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0" w:type="auto"/>
        <w:tblLook w:val="04A0" w:firstRow="1" w:lastRow="0" w:firstColumn="1" w:lastColumn="0" w:noHBand="0" w:noVBand="1"/>
      </w:tblPr>
      <w:tblGrid>
        <w:gridCol w:w="9056"/>
      </w:tblGrid>
      <w:tr w:rsidR="008D5C3E" w14:paraId="7996DC14" w14:textId="77777777" w:rsidTr="008D5C3E">
        <w:trPr>
          <w:ins w:id="0" w:author="만든 이"/>
        </w:trPr>
        <w:tc>
          <w:tcPr>
            <w:tcW w:w="9056" w:type="dxa"/>
          </w:tcPr>
          <w:p w14:paraId="1667E11A" w14:textId="2D6E8957" w:rsidR="008D5C3E" w:rsidRPr="005332E1" w:rsidRDefault="008D5C3E" w:rsidP="008D5C3E">
            <w:pPr>
              <w:rPr>
                <w:ins w:id="1" w:author="만든 이"/>
                <w:rFonts w:eastAsia="맑은 고딕"/>
                <w:lang w:eastAsia="ko-KR"/>
              </w:rPr>
            </w:pPr>
            <w:ins w:id="2" w:author="만든 이">
              <w:r>
                <w:t xml:space="preserve">Niniejszy dokument to zatwierdzone druki informacyjne dla leku </w:t>
              </w:r>
              <w:r>
                <w:rPr>
                  <w:rFonts w:eastAsia="맑은 고딕" w:hint="eastAsia"/>
                  <w:lang w:eastAsia="ko-KR"/>
                </w:rPr>
                <w:t>Avtozma</w:t>
              </w:r>
              <w:r>
                <w:t xml:space="preserve"> z wyróżnionymi zmianami wprowadzonymi od czasu poprzedniej procedury, mającymi wpływ na druki informacyjne </w:t>
              </w:r>
              <w:r>
                <w:rPr>
                  <w:rFonts w:eastAsia="맑은 고딕" w:hint="eastAsia"/>
                  <w:lang w:eastAsia="ko-KR"/>
                </w:rPr>
                <w:t>(</w:t>
              </w:r>
              <w:r w:rsidRPr="007833F1">
                <w:rPr>
                  <w:rFonts w:eastAsia="맑은 고딕"/>
                  <w:szCs w:val="28"/>
                  <w:lang w:val="en-GB" w:eastAsia="ko-KR"/>
                </w:rPr>
                <w:t>EMA/VR/0000287521</w:t>
              </w:r>
              <w:r>
                <w:rPr>
                  <w:rFonts w:eastAsia="맑은 고딕" w:hint="eastAsia"/>
                  <w:szCs w:val="28"/>
                  <w:lang w:val="en-GB" w:eastAsia="ko-KR"/>
                </w:rPr>
                <w:t xml:space="preserve">). </w:t>
              </w:r>
            </w:ins>
          </w:p>
          <w:p w14:paraId="2A335420" w14:textId="77777777" w:rsidR="008D5C3E" w:rsidRDefault="008D5C3E" w:rsidP="008D5C3E">
            <w:pPr>
              <w:rPr>
                <w:ins w:id="3" w:author="만든 이"/>
              </w:rPr>
            </w:pPr>
          </w:p>
          <w:p w14:paraId="07A5AAD2" w14:textId="0E2F1383" w:rsidR="008D5C3E" w:rsidRDefault="008D5C3E" w:rsidP="008D5C3E">
            <w:pPr>
              <w:rPr>
                <w:ins w:id="4" w:author="만든 이"/>
                <w:b/>
                <w:bCs/>
              </w:rPr>
            </w:pPr>
            <w:ins w:id="5" w:author="만든 이">
              <w:r>
                <w:t xml:space="preserve">Więcej informacji znajduje się na stronie internetowej Europejskiej Agencji Leków: </w:t>
              </w:r>
              <w:r>
                <w:rPr>
                  <w:noProof/>
                </w:rPr>
                <w:fldChar w:fldCharType="begin"/>
              </w:r>
              <w:r>
                <w:rPr>
                  <w:noProof/>
                </w:rPr>
                <w:instrText>HYPERLINK "</w:instrText>
              </w:r>
              <w:r w:rsidRPr="005F0664">
                <w:instrText>https://www.ema.europa.eu/en/medicines/human/EPAR/avtozma</w:instrText>
              </w:r>
              <w:r>
                <w:rPr>
                  <w:noProof/>
                </w:rPr>
                <w:instrText>"</w:instrText>
              </w:r>
              <w:r>
                <w:rPr>
                  <w:noProof/>
                </w:rPr>
              </w:r>
              <w:r>
                <w:rPr>
                  <w:noProof/>
                </w:rPr>
                <w:fldChar w:fldCharType="separate"/>
              </w:r>
              <w:r w:rsidRPr="005975E3">
                <w:rPr>
                  <w:rStyle w:val="a7"/>
                  <w:noProof/>
                </w:rPr>
                <w:t>https://www.ema.europa.eu/en/medicines/human/EPAR/</w:t>
              </w:r>
              <w:r w:rsidRPr="005975E3">
                <w:rPr>
                  <w:rStyle w:val="a7"/>
                  <w:rFonts w:eastAsia="맑은 고딕" w:hint="eastAsia"/>
                  <w:noProof/>
                  <w:lang w:eastAsia="ko-KR"/>
                </w:rPr>
                <w:t>avtozma</w:t>
              </w:r>
              <w:r>
                <w:rPr>
                  <w:noProof/>
                </w:rPr>
                <w:fldChar w:fldCharType="end"/>
              </w:r>
            </w:ins>
          </w:p>
        </w:tc>
      </w:tr>
    </w:tbl>
    <w:p w14:paraId="408CBCCC" w14:textId="77777777" w:rsidR="00833CB6" w:rsidRPr="005975E3" w:rsidRDefault="00833CB6" w:rsidP="008B4C50">
      <w:pPr>
        <w:rPr>
          <w:b/>
          <w:bCs/>
        </w:rPr>
      </w:pPr>
    </w:p>
    <w:p w14:paraId="7233AA15" w14:textId="77777777" w:rsidR="00833CB6" w:rsidRPr="00F13073" w:rsidRDefault="00833CB6" w:rsidP="008B4C50">
      <w:pPr>
        <w:rPr>
          <w:b/>
          <w:bCs/>
        </w:rPr>
      </w:pPr>
    </w:p>
    <w:p w14:paraId="4310EEE0" w14:textId="77777777" w:rsidR="00833CB6" w:rsidRPr="00F13073" w:rsidRDefault="00833CB6" w:rsidP="008B4C50">
      <w:pPr>
        <w:rPr>
          <w:b/>
          <w:bCs/>
        </w:rPr>
      </w:pPr>
    </w:p>
    <w:p w14:paraId="7BA8DBF7" w14:textId="77777777" w:rsidR="00833CB6" w:rsidRPr="00F13073" w:rsidRDefault="00833CB6" w:rsidP="008B4C50">
      <w:pPr>
        <w:rPr>
          <w:b/>
          <w:bCs/>
        </w:rPr>
      </w:pPr>
    </w:p>
    <w:p w14:paraId="180B95B5" w14:textId="77777777" w:rsidR="00833CB6" w:rsidRPr="00F13073" w:rsidRDefault="00833CB6" w:rsidP="008B4C50">
      <w:pPr>
        <w:rPr>
          <w:b/>
          <w:bCs/>
        </w:rPr>
      </w:pPr>
    </w:p>
    <w:p w14:paraId="0F7B07B7" w14:textId="77777777" w:rsidR="00833CB6" w:rsidRPr="00F13073" w:rsidRDefault="00833CB6" w:rsidP="008B4C50">
      <w:pPr>
        <w:rPr>
          <w:b/>
          <w:bCs/>
        </w:rPr>
      </w:pPr>
    </w:p>
    <w:p w14:paraId="7DE3AB7A" w14:textId="77777777" w:rsidR="00833CB6" w:rsidRPr="00F13073" w:rsidRDefault="00833CB6" w:rsidP="008B4C50">
      <w:pPr>
        <w:rPr>
          <w:b/>
          <w:bCs/>
        </w:rPr>
      </w:pPr>
    </w:p>
    <w:p w14:paraId="223669C6" w14:textId="77777777" w:rsidR="00833CB6" w:rsidRPr="00F13073" w:rsidRDefault="00833CB6" w:rsidP="008B4C50">
      <w:pPr>
        <w:rPr>
          <w:b/>
          <w:bCs/>
        </w:rPr>
      </w:pPr>
    </w:p>
    <w:p w14:paraId="1C848D8D" w14:textId="77777777" w:rsidR="00833CB6" w:rsidRPr="00F13073" w:rsidRDefault="00833CB6" w:rsidP="008B4C50">
      <w:pPr>
        <w:rPr>
          <w:b/>
          <w:bCs/>
        </w:rPr>
      </w:pPr>
    </w:p>
    <w:p w14:paraId="24370BAD" w14:textId="77777777" w:rsidR="00833CB6" w:rsidRPr="00F13073" w:rsidRDefault="00833CB6" w:rsidP="008B4C50">
      <w:pPr>
        <w:rPr>
          <w:b/>
          <w:bCs/>
        </w:rPr>
      </w:pPr>
    </w:p>
    <w:p w14:paraId="6EC7C130" w14:textId="77777777" w:rsidR="00833CB6" w:rsidRPr="00F13073" w:rsidRDefault="00833CB6" w:rsidP="008B4C50">
      <w:pPr>
        <w:rPr>
          <w:b/>
          <w:bCs/>
        </w:rPr>
      </w:pPr>
    </w:p>
    <w:p w14:paraId="004B4A60" w14:textId="77777777" w:rsidR="00833CB6" w:rsidRPr="00F13073" w:rsidRDefault="00833CB6" w:rsidP="008B4C50">
      <w:pPr>
        <w:rPr>
          <w:b/>
          <w:bCs/>
        </w:rPr>
      </w:pPr>
    </w:p>
    <w:p w14:paraId="6370E2C5" w14:textId="77777777" w:rsidR="00833CB6" w:rsidRPr="00F13073" w:rsidRDefault="00833CB6" w:rsidP="008B4C50">
      <w:pPr>
        <w:rPr>
          <w:b/>
          <w:bCs/>
        </w:rPr>
      </w:pPr>
    </w:p>
    <w:p w14:paraId="7CB88B9C" w14:textId="77777777" w:rsidR="00833CB6" w:rsidRPr="00F13073" w:rsidRDefault="00833CB6" w:rsidP="008B4C50">
      <w:pPr>
        <w:rPr>
          <w:b/>
          <w:bCs/>
        </w:rPr>
      </w:pPr>
    </w:p>
    <w:p w14:paraId="4ED0EB6A" w14:textId="77777777" w:rsidR="00833CB6" w:rsidRPr="00F13073" w:rsidRDefault="00833CB6" w:rsidP="008B4C50">
      <w:pPr>
        <w:rPr>
          <w:b/>
          <w:bCs/>
        </w:rPr>
      </w:pPr>
    </w:p>
    <w:p w14:paraId="3FE41235" w14:textId="77777777" w:rsidR="00833CB6" w:rsidRPr="00F13073" w:rsidRDefault="00833CB6" w:rsidP="008B4C50">
      <w:pPr>
        <w:rPr>
          <w:b/>
          <w:bCs/>
        </w:rPr>
      </w:pPr>
    </w:p>
    <w:p w14:paraId="2B9B46C8" w14:textId="77777777" w:rsidR="00833CB6" w:rsidRPr="00F13073" w:rsidRDefault="00833CB6" w:rsidP="008B4C50">
      <w:pPr>
        <w:rPr>
          <w:b/>
          <w:bCs/>
        </w:rPr>
      </w:pPr>
    </w:p>
    <w:p w14:paraId="7EF74417" w14:textId="77777777" w:rsidR="00833CB6" w:rsidRPr="00F13073" w:rsidRDefault="00833CB6" w:rsidP="008B4C50">
      <w:pPr>
        <w:rPr>
          <w:b/>
          <w:bCs/>
        </w:rPr>
      </w:pPr>
    </w:p>
    <w:p w14:paraId="6EFC1399" w14:textId="77777777" w:rsidR="00833CB6" w:rsidRPr="00F13073" w:rsidRDefault="00833CB6" w:rsidP="008B4C50">
      <w:pPr>
        <w:rPr>
          <w:b/>
          <w:bCs/>
        </w:rPr>
      </w:pPr>
    </w:p>
    <w:p w14:paraId="5788CE7D" w14:textId="77777777" w:rsidR="00833CB6" w:rsidRPr="00F13073" w:rsidRDefault="00833CB6" w:rsidP="008B4C50">
      <w:pPr>
        <w:rPr>
          <w:b/>
          <w:bCs/>
        </w:rPr>
      </w:pPr>
    </w:p>
    <w:p w14:paraId="36667FA1" w14:textId="77777777" w:rsidR="00833CB6" w:rsidRPr="00F13073" w:rsidRDefault="00833CB6" w:rsidP="008B4C50">
      <w:pPr>
        <w:rPr>
          <w:b/>
          <w:bCs/>
        </w:rPr>
      </w:pPr>
    </w:p>
    <w:p w14:paraId="153B24C0" w14:textId="77777777" w:rsidR="00833CB6" w:rsidRPr="00F13073" w:rsidRDefault="00833CB6" w:rsidP="008B4C50">
      <w:pPr>
        <w:rPr>
          <w:b/>
          <w:bCs/>
        </w:rPr>
      </w:pPr>
    </w:p>
    <w:p w14:paraId="18FD8463" w14:textId="77777777" w:rsidR="00833CB6" w:rsidRPr="00F13073" w:rsidRDefault="00833CB6" w:rsidP="008B4C50">
      <w:pPr>
        <w:rPr>
          <w:b/>
          <w:bCs/>
        </w:rPr>
      </w:pPr>
    </w:p>
    <w:p w14:paraId="50CC8B00" w14:textId="77777777" w:rsidR="001E0975" w:rsidRPr="00F13073" w:rsidRDefault="00B21713" w:rsidP="008B4C50">
      <w:pPr>
        <w:jc w:val="center"/>
        <w:rPr>
          <w:b/>
          <w:bCs/>
        </w:rPr>
      </w:pPr>
      <w:r w:rsidRPr="00F13073">
        <w:rPr>
          <w:b/>
          <w:bCs/>
        </w:rPr>
        <w:t>ANEKS</w:t>
      </w:r>
      <w:r w:rsidR="00611033" w:rsidRPr="00F13073">
        <w:rPr>
          <w:b/>
          <w:bCs/>
        </w:rPr>
        <w:t xml:space="preserve"> I</w:t>
      </w:r>
    </w:p>
    <w:p w14:paraId="51FD7250" w14:textId="77777777" w:rsidR="00833CB6" w:rsidRPr="00F13073" w:rsidRDefault="00833CB6" w:rsidP="008B4C50">
      <w:pPr>
        <w:jc w:val="center"/>
        <w:rPr>
          <w:b/>
          <w:bCs/>
        </w:rPr>
      </w:pPr>
    </w:p>
    <w:p w14:paraId="031755D0" w14:textId="77777777" w:rsidR="001E0975" w:rsidRPr="00F13073" w:rsidRDefault="00B21713" w:rsidP="008B4C50">
      <w:pPr>
        <w:pStyle w:val="TitleA"/>
        <w:rPr>
          <w:lang w:val="pl-PL"/>
        </w:rPr>
      </w:pPr>
      <w:r w:rsidRPr="00F13073">
        <w:rPr>
          <w:lang w:val="pl-PL"/>
        </w:rPr>
        <w:t>CHARAKTERYSTYKA PRODUKTU LECZNICZEGO</w:t>
      </w:r>
    </w:p>
    <w:p w14:paraId="3143AB82" w14:textId="77777777" w:rsidR="00833CB6" w:rsidRPr="00F13073" w:rsidRDefault="00833CB6" w:rsidP="008B4C50">
      <w:pPr>
        <w:rPr>
          <w:b/>
          <w:bCs/>
        </w:rPr>
      </w:pPr>
    </w:p>
    <w:p w14:paraId="72EDAB11" w14:textId="309BE0C3" w:rsidR="00026375" w:rsidRPr="00F13073" w:rsidRDefault="00833CB6" w:rsidP="005C73BB">
      <w:pPr>
        <w:rPr>
          <w:color w:val="00B050"/>
        </w:rPr>
      </w:pPr>
      <w:r w:rsidRPr="00F13073">
        <w:rPr>
          <w:b/>
          <w:bCs/>
        </w:rPr>
        <w:br w:type="page"/>
      </w:r>
      <w:r w:rsidR="004929A7">
        <w:rPr>
          <w:noProof/>
          <w:lang w:val="en-US" w:eastAsia="ko-KR"/>
        </w:rPr>
        <w:lastRenderedPageBreak/>
        <w:drawing>
          <wp:inline distT="0" distB="0" distL="0" distR="0" wp14:anchorId="1DE32154" wp14:editId="5377A904">
            <wp:extent cx="190500" cy="180975"/>
            <wp:effectExtent l="0" t="0" r="0" b="0"/>
            <wp:docPr id="2" name="그림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026375" w:rsidRPr="00F13073">
        <w:t xml:space="preserve">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w:t>
      </w:r>
      <w:r w:rsidR="00FA3CE5" w:rsidRPr="00F13073">
        <w:t>—</w:t>
      </w:r>
      <w:r w:rsidR="00026375" w:rsidRPr="00F13073">
        <w:t xml:space="preserve"> patrz punkt 4.8.</w:t>
      </w:r>
    </w:p>
    <w:p w14:paraId="55606332" w14:textId="77777777" w:rsidR="00026375" w:rsidRPr="00F13073" w:rsidRDefault="00026375" w:rsidP="005C73BB">
      <w:pPr>
        <w:rPr>
          <w:color w:val="00B050"/>
        </w:rPr>
      </w:pPr>
    </w:p>
    <w:p w14:paraId="2567ABBA" w14:textId="77777777" w:rsidR="00026375" w:rsidRPr="00F13073" w:rsidRDefault="00026375" w:rsidP="005C73BB">
      <w:pPr>
        <w:rPr>
          <w:color w:val="00B050"/>
        </w:rPr>
      </w:pPr>
    </w:p>
    <w:p w14:paraId="0C1774BF" w14:textId="599432A4" w:rsidR="001E0975" w:rsidRPr="00F13073" w:rsidRDefault="001721B1" w:rsidP="00AD75B2">
      <w:pPr>
        <w:ind w:left="567" w:hanging="567"/>
        <w:rPr>
          <w:b/>
          <w:bCs/>
        </w:rPr>
      </w:pPr>
      <w:r w:rsidRPr="00F13073">
        <w:rPr>
          <w:b/>
          <w:bCs/>
        </w:rPr>
        <w:t>1.</w:t>
      </w:r>
      <w:r w:rsidRPr="00F13073">
        <w:rPr>
          <w:b/>
          <w:bCs/>
        </w:rPr>
        <w:tab/>
      </w:r>
      <w:r w:rsidR="00811859" w:rsidRPr="00F13073">
        <w:rPr>
          <w:b/>
          <w:bCs/>
        </w:rPr>
        <w:t>NAZWA PRODUKTU LECZNICZEGO</w:t>
      </w:r>
    </w:p>
    <w:p w14:paraId="7AE677AF" w14:textId="77777777" w:rsidR="00833CB6" w:rsidRPr="00F13073" w:rsidRDefault="00833CB6" w:rsidP="008B4C50">
      <w:pPr>
        <w:keepNext/>
      </w:pPr>
    </w:p>
    <w:p w14:paraId="768A6C88" w14:textId="30FB1F18" w:rsidR="001E0975" w:rsidRPr="006A6B0C" w:rsidRDefault="007E6C7A" w:rsidP="008B4C50">
      <w:pPr>
        <w:rPr>
          <w:rFonts w:eastAsia="맑은 고딕" w:hint="eastAsia"/>
          <w:lang w:eastAsia="ko-KR"/>
          <w:rPrChange w:id="6" w:author="만든 이">
            <w:rPr/>
          </w:rPrChange>
        </w:rPr>
      </w:pPr>
      <w:r w:rsidRPr="00F13073">
        <w:t>Avtozma</w:t>
      </w:r>
      <w:r w:rsidR="00611033" w:rsidRPr="00F13073">
        <w:t xml:space="preserve"> 20 mg/mL </w:t>
      </w:r>
      <w:r w:rsidR="00811859" w:rsidRPr="00F13073">
        <w:t>koncentrat do sporządzania roztworu do infuzji</w:t>
      </w:r>
      <w:del w:id="7" w:author="만든 이">
        <w:r w:rsidR="00611033" w:rsidRPr="00F13073" w:rsidDel="006A6B0C">
          <w:delText>.</w:delText>
        </w:r>
      </w:del>
    </w:p>
    <w:p w14:paraId="37729644" w14:textId="77777777" w:rsidR="00833CB6" w:rsidRPr="00F13073" w:rsidRDefault="00833CB6" w:rsidP="008B4C50"/>
    <w:p w14:paraId="41FB8818" w14:textId="77777777" w:rsidR="00833CB6" w:rsidRPr="00F13073" w:rsidRDefault="00833CB6" w:rsidP="008B4C50"/>
    <w:p w14:paraId="69A0CEF1" w14:textId="77777777" w:rsidR="001E0975" w:rsidRPr="00F13073" w:rsidRDefault="001721B1" w:rsidP="00AD75B2">
      <w:pPr>
        <w:keepNext/>
        <w:ind w:left="567" w:hanging="567"/>
        <w:rPr>
          <w:b/>
          <w:bCs/>
        </w:rPr>
      </w:pPr>
      <w:r w:rsidRPr="00F13073">
        <w:rPr>
          <w:b/>
          <w:bCs/>
        </w:rPr>
        <w:t>2.</w:t>
      </w:r>
      <w:r w:rsidRPr="00F13073">
        <w:rPr>
          <w:b/>
          <w:bCs/>
        </w:rPr>
        <w:tab/>
      </w:r>
      <w:r w:rsidR="00811859" w:rsidRPr="00F13073">
        <w:rPr>
          <w:b/>
          <w:bCs/>
        </w:rPr>
        <w:t>SKŁAD JAKOŚCIOWY I ILOŚCIOWY</w:t>
      </w:r>
    </w:p>
    <w:p w14:paraId="592FE5AA" w14:textId="77777777" w:rsidR="00833CB6" w:rsidRPr="00F13073" w:rsidRDefault="00833CB6" w:rsidP="008B4C50">
      <w:pPr>
        <w:keepNext/>
        <w:ind w:left="567" w:hanging="567"/>
        <w:rPr>
          <w:b/>
          <w:bCs/>
        </w:rPr>
      </w:pPr>
    </w:p>
    <w:p w14:paraId="1D8A9D1A" w14:textId="77777777" w:rsidR="00811859" w:rsidRPr="00F13073" w:rsidRDefault="00811859" w:rsidP="008B4C50">
      <w:r w:rsidRPr="00F13073">
        <w:t>Każdy mL koncentratu zawiera 20 mg tocilizumabu*</w:t>
      </w:r>
    </w:p>
    <w:p w14:paraId="69B9A8F6" w14:textId="77777777" w:rsidR="00811859" w:rsidRPr="00F13073" w:rsidRDefault="00811859" w:rsidP="008B4C50"/>
    <w:p w14:paraId="1293E041" w14:textId="77777777" w:rsidR="00811859" w:rsidRPr="00F13073" w:rsidRDefault="00811859" w:rsidP="008B4C50">
      <w:r w:rsidRPr="00F13073">
        <w:t>Każda fiolka zawiera 80 mg tocilizumabu* w 4 mL (20 mg/mL).</w:t>
      </w:r>
    </w:p>
    <w:p w14:paraId="4E0ECCE4" w14:textId="77777777" w:rsidR="00811859" w:rsidRPr="00F13073" w:rsidRDefault="00811859" w:rsidP="008B4C50">
      <w:r w:rsidRPr="00F13073">
        <w:t>Każda fiolka zawiera 200 mg tocilizumabu* w 10 mL (20 mg/mL).</w:t>
      </w:r>
    </w:p>
    <w:p w14:paraId="28D73845" w14:textId="77777777" w:rsidR="00811859" w:rsidRPr="00F13073" w:rsidRDefault="00811859" w:rsidP="008B4C50">
      <w:r w:rsidRPr="00F13073">
        <w:t>Każda fiolka zawiera 400 mg tocilizumabu* w 20 mL (20 mg/mL).</w:t>
      </w:r>
    </w:p>
    <w:p w14:paraId="6396890E" w14:textId="77777777" w:rsidR="00811859" w:rsidRPr="00F13073" w:rsidRDefault="00811859" w:rsidP="008B4C50"/>
    <w:p w14:paraId="2114BDB2" w14:textId="77777777" w:rsidR="00811859" w:rsidRPr="00F13073" w:rsidRDefault="00811859" w:rsidP="008B4C50">
      <w:r w:rsidRPr="00F13073">
        <w:t>*humanizowane przeciwciało monoklonalne IgG1 skierowane przeciwko receptorowi dla ludzkiej interleukiny-6 (IL-6), wytwarzane w komórkach jajnika chomika chińskiego (CHO) z zastosowaniem technologii rekombinacji DNA.</w:t>
      </w:r>
    </w:p>
    <w:p w14:paraId="2BA85A49" w14:textId="77777777" w:rsidR="00811859" w:rsidRDefault="00811859" w:rsidP="008B4C50"/>
    <w:p w14:paraId="445FCBA8" w14:textId="53F1CBAA" w:rsidR="00130090" w:rsidRPr="00917928" w:rsidRDefault="00130090" w:rsidP="008B4C50">
      <w:pPr>
        <w:rPr>
          <w:u w:val="single"/>
        </w:rPr>
      </w:pPr>
      <w:r w:rsidRPr="00917928">
        <w:rPr>
          <w:u w:val="single"/>
        </w:rPr>
        <w:t>Substancje pomocnicze o znanym działaniu:</w:t>
      </w:r>
    </w:p>
    <w:p w14:paraId="62944B3D" w14:textId="2E7210C1" w:rsidR="00130090" w:rsidRPr="00917928" w:rsidRDefault="00130090" w:rsidP="008B4C50">
      <w:pPr>
        <w:rPr>
          <w:i/>
          <w:iCs/>
        </w:rPr>
      </w:pPr>
      <w:r w:rsidRPr="00917928">
        <w:rPr>
          <w:i/>
          <w:iCs/>
        </w:rPr>
        <w:t>Polisorbat</w:t>
      </w:r>
    </w:p>
    <w:p w14:paraId="388C8F47" w14:textId="49A4964F" w:rsidR="00604282" w:rsidRDefault="00604282" w:rsidP="008B4C50">
      <w:r w:rsidRPr="00604282">
        <w:t>Każda fiolka 80</w:t>
      </w:r>
      <w:r>
        <w:t> </w:t>
      </w:r>
      <w:r w:rsidRPr="00604282">
        <w:t>mg zawiera 2,0</w:t>
      </w:r>
      <w:r>
        <w:t> </w:t>
      </w:r>
      <w:r w:rsidRPr="00604282">
        <w:t>mg polisorbatu</w:t>
      </w:r>
      <w:r w:rsidR="00E265AD">
        <w:rPr>
          <w:rFonts w:eastAsia="맑은 고딕" w:hint="eastAsia"/>
          <w:lang w:eastAsia="ko-KR"/>
        </w:rPr>
        <w:t xml:space="preserve"> 80</w:t>
      </w:r>
      <w:r w:rsidRPr="00604282">
        <w:t>.</w:t>
      </w:r>
    </w:p>
    <w:p w14:paraId="7FFBACB7" w14:textId="7650977C" w:rsidR="00130090" w:rsidRDefault="00604282" w:rsidP="008B4C50">
      <w:r w:rsidRPr="00604282">
        <w:t xml:space="preserve">Każda fiolka </w:t>
      </w:r>
      <w:r w:rsidR="004974E8">
        <w:t>20</w:t>
      </w:r>
      <w:r w:rsidRPr="00604282">
        <w:t xml:space="preserve">0 mg zawiera </w:t>
      </w:r>
      <w:r w:rsidR="004974E8">
        <w:t>5</w:t>
      </w:r>
      <w:r w:rsidRPr="00604282">
        <w:t>,0 mg polisorbatu</w:t>
      </w:r>
      <w:r w:rsidR="00E265AD">
        <w:rPr>
          <w:rFonts w:eastAsia="맑은 고딕" w:hint="eastAsia"/>
          <w:lang w:eastAsia="ko-KR"/>
        </w:rPr>
        <w:t xml:space="preserve"> 80</w:t>
      </w:r>
      <w:r w:rsidRPr="00604282">
        <w:t>.</w:t>
      </w:r>
    </w:p>
    <w:p w14:paraId="1B179F5F" w14:textId="5C808515" w:rsidR="00604282" w:rsidRDefault="00604282" w:rsidP="008B4C50">
      <w:r w:rsidRPr="00604282">
        <w:t xml:space="preserve">Każda fiolka </w:t>
      </w:r>
      <w:r w:rsidR="004974E8">
        <w:t>40</w:t>
      </w:r>
      <w:r w:rsidRPr="00604282">
        <w:t xml:space="preserve">0 mg zawiera </w:t>
      </w:r>
      <w:r w:rsidR="004974E8">
        <w:t>10</w:t>
      </w:r>
      <w:r w:rsidRPr="00604282">
        <w:t>,0 mg polisorbatu</w:t>
      </w:r>
      <w:r w:rsidR="00E265AD">
        <w:rPr>
          <w:rFonts w:eastAsia="맑은 고딕" w:hint="eastAsia"/>
          <w:lang w:eastAsia="ko-KR"/>
        </w:rPr>
        <w:t xml:space="preserve"> 80</w:t>
      </w:r>
      <w:r w:rsidRPr="00604282">
        <w:t>.</w:t>
      </w:r>
    </w:p>
    <w:p w14:paraId="096E9D53" w14:textId="77777777" w:rsidR="00604282" w:rsidRPr="00F13073" w:rsidRDefault="00604282" w:rsidP="008B4C50"/>
    <w:p w14:paraId="749C69EC" w14:textId="77777777" w:rsidR="001E0975" w:rsidRPr="00F13073" w:rsidRDefault="00811859" w:rsidP="008B4C50">
      <w:r w:rsidRPr="00F13073">
        <w:t>Pełny wykaz substancji pomocniczych, patrz punkt 6.1.</w:t>
      </w:r>
    </w:p>
    <w:p w14:paraId="2F9886E9" w14:textId="77777777" w:rsidR="00833CB6" w:rsidRPr="00F13073" w:rsidRDefault="00833CB6" w:rsidP="008B4C50"/>
    <w:p w14:paraId="097C5C02" w14:textId="77777777" w:rsidR="00833CB6" w:rsidRPr="00F13073" w:rsidRDefault="00833CB6" w:rsidP="008B4C50"/>
    <w:p w14:paraId="02E27785" w14:textId="77777777" w:rsidR="001E0975" w:rsidRPr="00F13073" w:rsidRDefault="001721B1" w:rsidP="00AD75B2">
      <w:pPr>
        <w:keepNext/>
        <w:ind w:left="567" w:hanging="567"/>
        <w:rPr>
          <w:b/>
          <w:bCs/>
        </w:rPr>
      </w:pPr>
      <w:r w:rsidRPr="00F13073">
        <w:rPr>
          <w:b/>
          <w:bCs/>
        </w:rPr>
        <w:t>3.</w:t>
      </w:r>
      <w:r w:rsidRPr="00F13073">
        <w:rPr>
          <w:b/>
          <w:bCs/>
        </w:rPr>
        <w:tab/>
      </w:r>
      <w:r w:rsidR="00393D9F" w:rsidRPr="00F13073">
        <w:rPr>
          <w:b/>
          <w:bCs/>
        </w:rPr>
        <w:t>POSTAĆ FARMACEUTYCZNA</w:t>
      </w:r>
    </w:p>
    <w:p w14:paraId="450FE509" w14:textId="77777777" w:rsidR="00833CB6" w:rsidRPr="00F13073" w:rsidRDefault="00833CB6" w:rsidP="008B4C50">
      <w:pPr>
        <w:keepNext/>
        <w:ind w:left="567" w:hanging="567"/>
        <w:rPr>
          <w:b/>
          <w:bCs/>
        </w:rPr>
      </w:pPr>
    </w:p>
    <w:p w14:paraId="0189122C" w14:textId="565AF768" w:rsidR="00833CB6" w:rsidRPr="00F13073" w:rsidRDefault="00426F19" w:rsidP="00426F19">
      <w:r w:rsidRPr="00F13073">
        <w:t>Koncentrat do sporządzania roztworu do infuzji (jałowy koncentrat).</w:t>
      </w:r>
      <w:r w:rsidR="00151F2F" w:rsidRPr="00F13073">
        <w:t xml:space="preserve"> </w:t>
      </w:r>
      <w:r w:rsidRPr="00F13073">
        <w:t xml:space="preserve">Produkt ma postać przezroczystego do </w:t>
      </w:r>
      <w:r w:rsidR="00B7235D" w:rsidRPr="00F13073">
        <w:t xml:space="preserve">lekko </w:t>
      </w:r>
      <w:r w:rsidRPr="00F13073">
        <w:t>opalizującego roztworu, w kolorze od bezbarwnego do bladożółtego.</w:t>
      </w:r>
    </w:p>
    <w:p w14:paraId="028AC475" w14:textId="77777777" w:rsidR="00833CB6" w:rsidRPr="00F13073" w:rsidRDefault="00833CB6" w:rsidP="008B4C50"/>
    <w:p w14:paraId="209F5EE6" w14:textId="77777777" w:rsidR="00426F19" w:rsidRPr="00F13073" w:rsidRDefault="00426F19" w:rsidP="008B4C50"/>
    <w:p w14:paraId="1D086AD8" w14:textId="77777777" w:rsidR="001E0975" w:rsidRPr="00F13073" w:rsidRDefault="001721B1" w:rsidP="00AD75B2">
      <w:pPr>
        <w:keepNext/>
        <w:ind w:left="567" w:hanging="567"/>
        <w:rPr>
          <w:b/>
          <w:bCs/>
        </w:rPr>
      </w:pPr>
      <w:r w:rsidRPr="00F13073">
        <w:rPr>
          <w:b/>
          <w:bCs/>
        </w:rPr>
        <w:t>4.</w:t>
      </w:r>
      <w:r w:rsidRPr="00F13073">
        <w:rPr>
          <w:b/>
          <w:bCs/>
        </w:rPr>
        <w:tab/>
      </w:r>
      <w:r w:rsidR="00793DE8" w:rsidRPr="00F13073">
        <w:rPr>
          <w:b/>
          <w:bCs/>
        </w:rPr>
        <w:t>SZCZEGÓŁOWE DANE KLINICZNE</w:t>
      </w:r>
    </w:p>
    <w:p w14:paraId="66F79E05" w14:textId="77777777" w:rsidR="00833CB6" w:rsidRPr="00F13073" w:rsidRDefault="00833CB6" w:rsidP="008B4C50">
      <w:pPr>
        <w:keepNext/>
        <w:ind w:left="567" w:hanging="567"/>
        <w:rPr>
          <w:b/>
          <w:bCs/>
        </w:rPr>
      </w:pPr>
    </w:p>
    <w:p w14:paraId="44761B31" w14:textId="77777777" w:rsidR="001E0975" w:rsidRPr="00F13073" w:rsidRDefault="001721B1" w:rsidP="008B4C50">
      <w:pPr>
        <w:keepNext/>
        <w:ind w:left="567" w:hanging="567"/>
        <w:rPr>
          <w:b/>
          <w:bCs/>
        </w:rPr>
      </w:pPr>
      <w:r w:rsidRPr="00F13073">
        <w:rPr>
          <w:b/>
          <w:bCs/>
        </w:rPr>
        <w:t>4.1</w:t>
      </w:r>
      <w:r w:rsidRPr="00F13073">
        <w:rPr>
          <w:b/>
          <w:bCs/>
        </w:rPr>
        <w:tab/>
      </w:r>
      <w:r w:rsidR="00393D9F" w:rsidRPr="00F13073">
        <w:rPr>
          <w:b/>
          <w:bCs/>
        </w:rPr>
        <w:t>Wskazania do stosowania</w:t>
      </w:r>
    </w:p>
    <w:p w14:paraId="01FE0238" w14:textId="77777777" w:rsidR="00833CB6" w:rsidRDefault="00833CB6" w:rsidP="008B4C50">
      <w:pPr>
        <w:keepNext/>
        <w:ind w:left="567" w:hanging="567"/>
        <w:rPr>
          <w:rFonts w:eastAsia="맑은 고딕"/>
          <w:b/>
          <w:bCs/>
          <w:lang w:eastAsia="ko-KR"/>
        </w:rPr>
      </w:pPr>
    </w:p>
    <w:p w14:paraId="327537F5" w14:textId="7F1C867C" w:rsidR="00E265AD" w:rsidRPr="005F0664" w:rsidRDefault="00E265AD" w:rsidP="008B4C50">
      <w:pPr>
        <w:keepNext/>
        <w:ind w:left="567" w:hanging="567"/>
        <w:rPr>
          <w:rFonts w:eastAsia="맑은 고딕"/>
          <w:u w:val="single"/>
          <w:lang w:eastAsia="ko-KR"/>
        </w:rPr>
      </w:pPr>
      <w:r w:rsidRPr="005F0664">
        <w:rPr>
          <w:rFonts w:eastAsia="맑은 고딕"/>
          <w:u w:val="single"/>
          <w:lang w:eastAsia="ko-KR"/>
        </w:rPr>
        <w:t>Reumatoidalne zapalenie stawów (RZS)</w:t>
      </w:r>
    </w:p>
    <w:p w14:paraId="08A7C28A" w14:textId="7AD2272C" w:rsidR="001E0975" w:rsidRPr="00F13073" w:rsidRDefault="00393D9F" w:rsidP="008B4C50">
      <w:pPr>
        <w:keepNext/>
      </w:pPr>
      <w:r w:rsidRPr="00F13073">
        <w:t xml:space="preserve">Produkt leczniczy </w:t>
      </w:r>
      <w:r w:rsidR="00026375" w:rsidRPr="00F13073">
        <w:t>Avtozma</w:t>
      </w:r>
      <w:r w:rsidRPr="00F13073">
        <w:t>, w skojarzeniu z metotreksatem (MTX), jest wskazany:</w:t>
      </w:r>
    </w:p>
    <w:p w14:paraId="26DED159" w14:textId="77777777" w:rsidR="00833CB6" w:rsidRPr="00F13073" w:rsidRDefault="00833CB6" w:rsidP="008B4C50">
      <w:pPr>
        <w:keepNext/>
      </w:pPr>
    </w:p>
    <w:p w14:paraId="4D120A0E" w14:textId="77777777" w:rsidR="001E0975" w:rsidRPr="00F13073" w:rsidRDefault="00393D9F" w:rsidP="008B4C50">
      <w:pPr>
        <w:pStyle w:val="a0"/>
        <w:numPr>
          <w:ilvl w:val="0"/>
          <w:numId w:val="4"/>
        </w:numPr>
        <w:ind w:left="567" w:hanging="567"/>
        <w:contextualSpacing w:val="0"/>
      </w:pPr>
      <w:r w:rsidRPr="00F13073">
        <w:t>w leczeniu dorosłych pacjentów z czynnym, postępującym reumatoidalnym zapaleniem stawów (RZS) o ciężkim nasileniu, nieleczonych dotychczas za pomocą MTX</w:t>
      </w:r>
      <w:r w:rsidR="00611033" w:rsidRPr="00F13073">
        <w:t>.</w:t>
      </w:r>
    </w:p>
    <w:p w14:paraId="481897A9" w14:textId="77777777" w:rsidR="001E0975" w:rsidRPr="00F13073" w:rsidRDefault="00393D9F" w:rsidP="008B4C50">
      <w:pPr>
        <w:pStyle w:val="a0"/>
        <w:numPr>
          <w:ilvl w:val="0"/>
          <w:numId w:val="4"/>
        </w:numPr>
        <w:ind w:left="567" w:hanging="567"/>
        <w:contextualSpacing w:val="0"/>
      </w:pPr>
      <w:r w:rsidRPr="00F13073">
        <w:t>w leczeniu dorosłych pacjentów z czynnym reumatoidalnym zapaleniem stawów (RZS) o nasileniu umiarkowanym do ciężkiego, u których stwierdzono niewystarczającą odpowiedź na leczenie lub nietolerancję dotychczasowego leczenia jednym lub kilkoma lekami przeciwreumatycznymi modyfikującymi przebieg choroby (ang. DMARDs) lub inhibitorami czynnika martwicy nowotworu (ang. anti-TNF).</w:t>
      </w:r>
    </w:p>
    <w:p w14:paraId="727F0502" w14:textId="77777777" w:rsidR="00637859" w:rsidRPr="00F13073" w:rsidRDefault="00637859" w:rsidP="008B4C50"/>
    <w:p w14:paraId="0DF01D08" w14:textId="6B35AD61" w:rsidR="001E0975" w:rsidRPr="00F13073" w:rsidRDefault="00C553E7" w:rsidP="008B4C50">
      <w:r w:rsidRPr="00F13073">
        <w:t xml:space="preserve">Produkt leczniczy </w:t>
      </w:r>
      <w:r w:rsidR="00026375" w:rsidRPr="00F13073">
        <w:t>Avtozma</w:t>
      </w:r>
      <w:r w:rsidRPr="00F13073">
        <w:t xml:space="preserve"> może być podawany w monoterapii w przypadku nietolerancji metotreksatu lub u pacjentów, u których kontynuacja leczenia metotreksatem nie jest wskazana.</w:t>
      </w:r>
    </w:p>
    <w:p w14:paraId="4F9686C2" w14:textId="77777777" w:rsidR="00637859" w:rsidRPr="00F13073" w:rsidRDefault="00637859" w:rsidP="008B4C50"/>
    <w:p w14:paraId="5CBCABEC" w14:textId="05495FBF" w:rsidR="001E0975" w:rsidRPr="00F13073" w:rsidRDefault="009C415C" w:rsidP="008B4C50">
      <w:r w:rsidRPr="00F13073">
        <w:lastRenderedPageBreak/>
        <w:t xml:space="preserve">Wykazano, że produkt leczniczy </w:t>
      </w:r>
      <w:r w:rsidR="00026375" w:rsidRPr="00F13073">
        <w:t>Avtozma</w:t>
      </w:r>
      <w:r w:rsidRPr="00F13073">
        <w:t xml:space="preserve"> zmniejsza szybkość postępu uszkodzenia stawów mierzonego radiologicznie oraz powoduje poprawę sprawności fizycznej przy podawaniu łącznym z metotreksatem.</w:t>
      </w:r>
    </w:p>
    <w:p w14:paraId="4D1C68B5" w14:textId="77777777" w:rsidR="00637859" w:rsidRDefault="00637859" w:rsidP="008B4C50">
      <w:pPr>
        <w:rPr>
          <w:rFonts w:eastAsia="맑은 고딕"/>
          <w:lang w:eastAsia="ko-KR"/>
        </w:rPr>
      </w:pPr>
    </w:p>
    <w:p w14:paraId="1DAB6A62" w14:textId="63CDFE84" w:rsidR="00E265AD" w:rsidRPr="005F0664" w:rsidRDefault="00E265AD" w:rsidP="008B4C50">
      <w:pPr>
        <w:rPr>
          <w:rFonts w:eastAsia="맑은 고딕"/>
          <w:u w:val="single"/>
          <w:lang w:eastAsia="ko-KR"/>
        </w:rPr>
      </w:pPr>
      <w:r w:rsidRPr="005F0664">
        <w:rPr>
          <w:rFonts w:eastAsia="맑은 고딕"/>
          <w:u w:val="single"/>
          <w:lang w:eastAsia="ko-KR"/>
        </w:rPr>
        <w:t>Choroba koronawirusowa 2019 (COVID-19)</w:t>
      </w:r>
    </w:p>
    <w:p w14:paraId="55E9B7C7" w14:textId="6AEADF73" w:rsidR="009C415C" w:rsidRPr="00F13073" w:rsidRDefault="009C415C" w:rsidP="008B4C50">
      <w:r w:rsidRPr="00F13073">
        <w:t xml:space="preserve">Produkt leczniczy </w:t>
      </w:r>
      <w:r w:rsidR="00026375" w:rsidRPr="00F13073">
        <w:t>Avtozma</w:t>
      </w:r>
      <w:r w:rsidRPr="00F13073">
        <w:t xml:space="preserve"> jest wskazany w leczeniu choroby koronawirusowej 2019 (COVID-19) u osób dorosłych otrzymujących kortykosteroidy o działaniu układowym i wymagających tlenoterapii uzupełniającej lub wentylacji mechanicznej.</w:t>
      </w:r>
    </w:p>
    <w:p w14:paraId="023C26D6" w14:textId="77777777" w:rsidR="009C415C" w:rsidRDefault="009C415C" w:rsidP="008B4C50">
      <w:pPr>
        <w:rPr>
          <w:rFonts w:eastAsia="맑은 고딕"/>
          <w:lang w:eastAsia="ko-KR"/>
        </w:rPr>
      </w:pPr>
    </w:p>
    <w:p w14:paraId="2B061C02" w14:textId="6955DD3C" w:rsidR="00E265AD" w:rsidRPr="005F0664" w:rsidRDefault="00E265AD" w:rsidP="008B4C50">
      <w:pPr>
        <w:rPr>
          <w:rFonts w:eastAsia="맑은 고딕"/>
          <w:u w:val="single"/>
          <w:lang w:eastAsia="ko-KR"/>
        </w:rPr>
      </w:pPr>
      <w:r w:rsidRPr="005F0664">
        <w:rPr>
          <w:rFonts w:eastAsia="맑은 고딕"/>
          <w:u w:val="single"/>
          <w:lang w:eastAsia="ko-KR"/>
        </w:rPr>
        <w:t>Młodzieńcze idiopatyczne zapalenie stawów o początku uogólnionym (uMIZS)</w:t>
      </w:r>
    </w:p>
    <w:p w14:paraId="58AA958A" w14:textId="2C32928D" w:rsidR="009C415C" w:rsidRPr="00F13073" w:rsidRDefault="009C415C" w:rsidP="008B4C50">
      <w:r w:rsidRPr="00F13073">
        <w:t xml:space="preserve">Produkt leczniczy </w:t>
      </w:r>
      <w:r w:rsidR="00026375" w:rsidRPr="00F13073">
        <w:t>Avtozma</w:t>
      </w:r>
      <w:r w:rsidRPr="00F13073">
        <w:t xml:space="preserve"> jest wskazany w leczeniu czynnego młodzieńczego idiopatycznego zapalenia stawów o początku uogólnionym (uMIZS) u pacjentów w wieku co najmniej 2 lat, u których stwierdzono niewystarczającą odpowiedź na leczenie niesteroidowymi lekami przeciwzapalnymi (NLPZ) i kortykosteroidami systemowymi. Produkt leczniczy </w:t>
      </w:r>
      <w:r w:rsidR="00026375" w:rsidRPr="00F13073">
        <w:t>Avtozma</w:t>
      </w:r>
      <w:r w:rsidRPr="00F13073">
        <w:t xml:space="preserve"> może być podawany w monoterapii (w przypadku nietolerancji MTX oraz u pacjentów, u których leczenie MTX nie jest wskazane) lub w skojarzeniu z MTX.</w:t>
      </w:r>
    </w:p>
    <w:p w14:paraId="2337B903" w14:textId="77777777" w:rsidR="009C415C" w:rsidRDefault="009C415C" w:rsidP="008B4C50">
      <w:pPr>
        <w:rPr>
          <w:rFonts w:eastAsia="맑은 고딕"/>
          <w:lang w:eastAsia="ko-KR"/>
        </w:rPr>
      </w:pPr>
    </w:p>
    <w:p w14:paraId="34401725" w14:textId="290FF112" w:rsidR="00E265AD" w:rsidRPr="005F0664" w:rsidRDefault="00E265AD" w:rsidP="008B4C50">
      <w:pPr>
        <w:rPr>
          <w:rFonts w:eastAsia="맑은 고딕"/>
          <w:u w:val="single"/>
          <w:lang w:eastAsia="ko-KR"/>
        </w:rPr>
      </w:pPr>
      <w:r w:rsidRPr="00E265AD">
        <w:rPr>
          <w:rFonts w:eastAsia="맑은 고딕"/>
          <w:u w:val="single"/>
          <w:lang w:eastAsia="ko-KR"/>
        </w:rPr>
        <w:t>Wielostawowe młodzieńcze idiopatyczne zapalenie stawów (wMIZS)</w:t>
      </w:r>
    </w:p>
    <w:p w14:paraId="2BC16575" w14:textId="75315622" w:rsidR="009C415C" w:rsidRPr="00F13073" w:rsidRDefault="009C415C" w:rsidP="008B4C50">
      <w:r w:rsidRPr="00F13073">
        <w:t xml:space="preserve">Produkt leczniczy </w:t>
      </w:r>
      <w:r w:rsidR="00026375" w:rsidRPr="00F13073">
        <w:t>Avtozma</w:t>
      </w:r>
      <w:r w:rsidRPr="00F13073">
        <w:t xml:space="preserve"> w skojarzeniu z metotreksatem (MTX) jest wskazany w leczeniu wielostawowego młodzieńczego idiopatycznego zapalenia stawów (wMIZS; czynnik reumatoidalny pozytywny lub negatywny oraz postać nielicznostawowa, rozszerzająca) u pacjentów w wieku co najmniej 2 lat, u których stwierdzono niewystarczającą odpowiedź na wcześniejsze leczenie MTX. Produkt leczniczy </w:t>
      </w:r>
      <w:r w:rsidR="00026375" w:rsidRPr="00F13073">
        <w:t>Avtozma</w:t>
      </w:r>
      <w:r w:rsidRPr="00F13073">
        <w:t xml:space="preserve"> może być podawany w monoterapii w przypadku nietolerancji MTX lub u pacjentów, u których kontynuowanie leczenia MTX nie jest wskazane.</w:t>
      </w:r>
    </w:p>
    <w:p w14:paraId="355E0A47" w14:textId="77777777" w:rsidR="009C415C" w:rsidRDefault="009C415C" w:rsidP="008B4C50">
      <w:pPr>
        <w:rPr>
          <w:rFonts w:eastAsia="맑은 고딕"/>
          <w:lang w:eastAsia="ko-KR"/>
        </w:rPr>
      </w:pPr>
    </w:p>
    <w:p w14:paraId="07A8A928" w14:textId="2F124614" w:rsidR="00E265AD" w:rsidRPr="005F0664" w:rsidRDefault="00E265AD" w:rsidP="008B4C50">
      <w:pPr>
        <w:rPr>
          <w:rFonts w:eastAsia="맑은 고딕"/>
          <w:u w:val="single"/>
          <w:lang w:eastAsia="ko-KR"/>
        </w:rPr>
      </w:pPr>
      <w:r w:rsidRPr="00E265AD">
        <w:rPr>
          <w:rFonts w:eastAsia="맑은 고딕"/>
          <w:u w:val="single"/>
          <w:lang w:eastAsia="ko-KR"/>
        </w:rPr>
        <w:t>Zespół uwalniania cytokin (ang. cytokine release syndrome, CRS)</w:t>
      </w:r>
    </w:p>
    <w:p w14:paraId="73BD1849" w14:textId="00C25309" w:rsidR="001E0975" w:rsidRPr="00F13073" w:rsidRDefault="009C415C" w:rsidP="008B4C50">
      <w:r w:rsidRPr="00F13073">
        <w:t xml:space="preserve">Produkt leczniczy </w:t>
      </w:r>
      <w:r w:rsidR="00026375" w:rsidRPr="00F13073">
        <w:t>Avtozma</w:t>
      </w:r>
      <w:r w:rsidRPr="00F13073">
        <w:t xml:space="preserve"> jest wskazany do stosowania w leczeniu ciężkiego lub zagrażającego życiu zespołu uwalniania cytokin (ang. cytokine release syndrome, CRS) indukowanego terapią komórkami T zawierającymi chimeryczny receptor antygenowy (ang. chimeric antigen receptor, CAR) u dorosłych oraz dzieci i młodzieży w wieku co najmniej 2 lat.</w:t>
      </w:r>
    </w:p>
    <w:p w14:paraId="3859A833" w14:textId="77777777" w:rsidR="00637859" w:rsidRPr="00F13073" w:rsidRDefault="00637859" w:rsidP="008B4C50"/>
    <w:p w14:paraId="629673C8" w14:textId="77777777" w:rsidR="001E0975" w:rsidRPr="00F13073" w:rsidRDefault="001721B1" w:rsidP="008B4C50">
      <w:pPr>
        <w:keepNext/>
        <w:ind w:left="567" w:hanging="567"/>
        <w:rPr>
          <w:b/>
          <w:bCs/>
        </w:rPr>
      </w:pPr>
      <w:r w:rsidRPr="00F13073">
        <w:rPr>
          <w:b/>
          <w:bCs/>
        </w:rPr>
        <w:t>4.2</w:t>
      </w:r>
      <w:r w:rsidRPr="00F13073">
        <w:rPr>
          <w:b/>
          <w:bCs/>
        </w:rPr>
        <w:tab/>
      </w:r>
      <w:r w:rsidR="009C415C" w:rsidRPr="00F13073">
        <w:rPr>
          <w:b/>
          <w:bCs/>
        </w:rPr>
        <w:t>Dawkowanie i sposób podawania</w:t>
      </w:r>
    </w:p>
    <w:p w14:paraId="40E4B5E5" w14:textId="77777777" w:rsidR="00637859" w:rsidRPr="00F13073" w:rsidRDefault="00637859" w:rsidP="008B4C50">
      <w:pPr>
        <w:keepNext/>
        <w:ind w:left="567" w:hanging="567"/>
        <w:rPr>
          <w:b/>
          <w:bCs/>
        </w:rPr>
      </w:pPr>
    </w:p>
    <w:p w14:paraId="2122DDCC" w14:textId="77777777" w:rsidR="009C415C" w:rsidRPr="00F13073" w:rsidRDefault="009C415C" w:rsidP="008B4C50">
      <w:r w:rsidRPr="00F13073">
        <w:t>Leczenie powinno być rozpoczynane przez lekarza doświadczonego w rozpoznawaniu i leczeniu reumatoidalnego zapalenia stawów, COVID-19, młodzieńczego idiopatycznego zapalenia stawów o początku uogólnionym, wielostawowego młodzieńczego idiopatycznego zapalenia stawów lub zespołu uwalniania cytokin (CRS).</w:t>
      </w:r>
    </w:p>
    <w:p w14:paraId="51A39926" w14:textId="77777777" w:rsidR="00C205E1" w:rsidRPr="00F13073" w:rsidRDefault="00C205E1" w:rsidP="008B4C50"/>
    <w:p w14:paraId="5C35D086" w14:textId="798A6DCA" w:rsidR="00EF75FC" w:rsidRPr="00F13073" w:rsidRDefault="00EF75FC" w:rsidP="008B4C50">
      <w:r w:rsidRPr="00F13073">
        <w:t xml:space="preserve">W przypadku worków infuzyjnych wykonanych z polichlorku winylu (PVC) należy </w:t>
      </w:r>
      <w:r w:rsidR="00CC42B3" w:rsidRPr="00F13073">
        <w:t>stosować</w:t>
      </w:r>
      <w:r w:rsidRPr="00F13073">
        <w:t xml:space="preserve"> work</w:t>
      </w:r>
      <w:r w:rsidR="00CC42B3" w:rsidRPr="00F13073">
        <w:t>i</w:t>
      </w:r>
      <w:r w:rsidRPr="00F13073">
        <w:t xml:space="preserve"> infuzyjn</w:t>
      </w:r>
      <w:r w:rsidR="00CC42B3" w:rsidRPr="00F13073">
        <w:t>e</w:t>
      </w:r>
      <w:r w:rsidRPr="00F13073">
        <w:t xml:space="preserve"> niezawierając</w:t>
      </w:r>
      <w:r w:rsidR="00CC42B3" w:rsidRPr="00F13073">
        <w:t>e</w:t>
      </w:r>
      <w:r w:rsidRPr="00F13073">
        <w:t xml:space="preserve"> </w:t>
      </w:r>
      <w:r w:rsidR="00CC42B3" w:rsidRPr="00F13073">
        <w:t xml:space="preserve">ftalanu di-(2-etyloheksylu) </w:t>
      </w:r>
      <w:r w:rsidRPr="00F13073">
        <w:t>(DEHP).</w:t>
      </w:r>
    </w:p>
    <w:p w14:paraId="1713CAB7" w14:textId="77777777" w:rsidR="00EF75FC" w:rsidRPr="00F13073" w:rsidRDefault="00EF75FC" w:rsidP="008B4C50"/>
    <w:p w14:paraId="0C372FEF" w14:textId="39F83D56" w:rsidR="009C415C" w:rsidRPr="00F13073" w:rsidRDefault="009C415C" w:rsidP="008B4C50">
      <w:r w:rsidRPr="00F13073">
        <w:t xml:space="preserve">Wszyscy chorzy leczeni produktem leczniczym </w:t>
      </w:r>
      <w:r w:rsidR="00026375" w:rsidRPr="00F13073">
        <w:t>Avtozma</w:t>
      </w:r>
      <w:r w:rsidRPr="00F13073">
        <w:t xml:space="preserve"> powinni otrzymać Kartę Ostrzegawczą dla Pacjenta.</w:t>
      </w:r>
    </w:p>
    <w:p w14:paraId="3C36913B" w14:textId="77777777" w:rsidR="009C415C" w:rsidRPr="00F13073" w:rsidRDefault="009C415C" w:rsidP="008B4C50"/>
    <w:p w14:paraId="146E611F" w14:textId="77777777" w:rsidR="009C415C" w:rsidRPr="00F13073" w:rsidRDefault="009C415C" w:rsidP="008B4C50">
      <w:pPr>
        <w:rPr>
          <w:u w:val="single"/>
        </w:rPr>
      </w:pPr>
      <w:r w:rsidRPr="00F13073">
        <w:rPr>
          <w:u w:val="single"/>
        </w:rPr>
        <w:t>Dawkowanie</w:t>
      </w:r>
    </w:p>
    <w:p w14:paraId="6990B02F" w14:textId="77777777" w:rsidR="009C415C" w:rsidRPr="00F13073" w:rsidRDefault="009C415C" w:rsidP="008B4C50">
      <w:pPr>
        <w:rPr>
          <w:u w:val="single"/>
        </w:rPr>
      </w:pPr>
      <w:r w:rsidRPr="00F13073">
        <w:rPr>
          <w:u w:val="single"/>
        </w:rPr>
        <w:t>Ch</w:t>
      </w:r>
      <w:r w:rsidR="0004052D" w:rsidRPr="00F13073">
        <w:rPr>
          <w:u w:val="single"/>
        </w:rPr>
        <w:t>o</w:t>
      </w:r>
      <w:r w:rsidRPr="00F13073">
        <w:rPr>
          <w:u w:val="single"/>
        </w:rPr>
        <w:t>rzy na RZS</w:t>
      </w:r>
    </w:p>
    <w:p w14:paraId="6EC3F7AD" w14:textId="77777777" w:rsidR="00C205E1" w:rsidRPr="00F13073" w:rsidRDefault="00C205E1" w:rsidP="008B4C50"/>
    <w:p w14:paraId="6F01AAAB" w14:textId="77777777" w:rsidR="009C415C" w:rsidRPr="00F13073" w:rsidRDefault="009C415C" w:rsidP="008B4C50">
      <w:r w:rsidRPr="00F13073">
        <w:t>Zalecana dawka wynosi 8 mg/kg masy ciała, podawana raz na cztery tygodnie.</w:t>
      </w:r>
    </w:p>
    <w:p w14:paraId="2DFD6805" w14:textId="77777777" w:rsidR="009C415C" w:rsidRPr="00F13073" w:rsidRDefault="009C415C" w:rsidP="008B4C50"/>
    <w:p w14:paraId="6D8C5211" w14:textId="77777777" w:rsidR="009C415C" w:rsidRPr="00F13073" w:rsidRDefault="009C415C" w:rsidP="008B4C50">
      <w:r w:rsidRPr="00F13073">
        <w:t>Dla pacjentów z masą ciała powyżej 100 kg, nie zaleca się dawki większej niż 800 mg na infuzję (patrz punkt 5.2).</w:t>
      </w:r>
    </w:p>
    <w:p w14:paraId="3B35569A" w14:textId="77777777" w:rsidR="009C415C" w:rsidRPr="00F13073" w:rsidRDefault="009C415C" w:rsidP="008B4C50"/>
    <w:p w14:paraId="084838AD" w14:textId="77777777" w:rsidR="001E0975" w:rsidRPr="00F13073" w:rsidRDefault="009C415C" w:rsidP="008B4C50">
      <w:r w:rsidRPr="00F13073">
        <w:t>W badaniach klinicznych nie oceniano dawek powyżej 1,2 g (patrz punkt 5.1).</w:t>
      </w:r>
    </w:p>
    <w:p w14:paraId="55B2F972" w14:textId="77777777" w:rsidR="00637859" w:rsidRPr="00F13073" w:rsidRDefault="00637859" w:rsidP="008B4C50"/>
    <w:p w14:paraId="4E1877E2" w14:textId="77777777" w:rsidR="001E0975" w:rsidRPr="00F13073" w:rsidRDefault="00780507" w:rsidP="008B4C50">
      <w:pPr>
        <w:keepNext/>
        <w:rPr>
          <w:u w:val="single"/>
        </w:rPr>
      </w:pPr>
      <w:r w:rsidRPr="00F13073">
        <w:rPr>
          <w:u w:val="single"/>
        </w:rPr>
        <w:lastRenderedPageBreak/>
        <w:t>Dostosowanie dawki z powodu nieprawidłowości wyników badań laboratoryjnych (patrz punkt 4.4).</w:t>
      </w:r>
    </w:p>
    <w:p w14:paraId="1BBC0167" w14:textId="77777777" w:rsidR="00637859" w:rsidRPr="00F13073" w:rsidRDefault="00637859" w:rsidP="008B4C50">
      <w:pPr>
        <w:keepNext/>
        <w:rPr>
          <w:u w:val="single"/>
        </w:rPr>
      </w:pPr>
    </w:p>
    <w:p w14:paraId="168EA044" w14:textId="77777777" w:rsidR="001E0975" w:rsidRPr="00F13073" w:rsidRDefault="00780507" w:rsidP="008B4C50">
      <w:pPr>
        <w:pStyle w:val="a0"/>
        <w:keepNext/>
        <w:numPr>
          <w:ilvl w:val="0"/>
          <w:numId w:val="4"/>
        </w:numPr>
        <w:ind w:left="567" w:hanging="567"/>
        <w:contextualSpacing w:val="0"/>
      </w:pPr>
      <w:r w:rsidRPr="00F13073">
        <w:t>Nieprawidłowe aktywności enzymów wątrobowych</w:t>
      </w:r>
    </w:p>
    <w:p w14:paraId="78A70DFE" w14:textId="77777777" w:rsidR="00637859" w:rsidRPr="00F13073" w:rsidRDefault="00637859"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1925"/>
        <w:gridCol w:w="7152"/>
      </w:tblGrid>
      <w:tr w:rsidR="001E0975" w:rsidRPr="00F13073" w14:paraId="76AE2AEE" w14:textId="77777777" w:rsidTr="000A5348">
        <w:trPr>
          <w:cantSplit/>
          <w:tblHeader/>
          <w:jc w:val="center"/>
        </w:trPr>
        <w:tc>
          <w:tcPr>
            <w:tcW w:w="1925" w:type="dxa"/>
            <w:tcBorders>
              <w:top w:val="single" w:sz="4" w:space="0" w:color="auto"/>
              <w:left w:val="single" w:sz="4" w:space="0" w:color="auto"/>
              <w:bottom w:val="single" w:sz="4" w:space="0" w:color="auto"/>
            </w:tcBorders>
          </w:tcPr>
          <w:p w14:paraId="3BD0B971" w14:textId="77777777" w:rsidR="00D32EB9" w:rsidRPr="00F13073" w:rsidRDefault="003715AC" w:rsidP="002322A1">
            <w:pPr>
              <w:keepNext/>
              <w:suppressAutoHyphens/>
              <w:jc w:val="center"/>
            </w:pPr>
            <w:r w:rsidRPr="00F13073">
              <w:t>Wartość laboratoryjna</w:t>
            </w:r>
          </w:p>
        </w:tc>
        <w:tc>
          <w:tcPr>
            <w:tcW w:w="7152" w:type="dxa"/>
            <w:tcBorders>
              <w:top w:val="single" w:sz="4" w:space="0" w:color="auto"/>
              <w:left w:val="single" w:sz="4" w:space="0" w:color="auto"/>
              <w:bottom w:val="single" w:sz="4" w:space="0" w:color="auto"/>
              <w:right w:val="single" w:sz="4" w:space="0" w:color="auto"/>
            </w:tcBorders>
          </w:tcPr>
          <w:p w14:paraId="5166FABE" w14:textId="77777777" w:rsidR="00D32EB9" w:rsidRPr="00F13073" w:rsidRDefault="003715AC" w:rsidP="002322A1">
            <w:pPr>
              <w:keepNext/>
              <w:suppressAutoHyphens/>
              <w:jc w:val="center"/>
            </w:pPr>
            <w:r w:rsidRPr="00F13073">
              <w:t>Zalecane postępowanie</w:t>
            </w:r>
          </w:p>
        </w:tc>
      </w:tr>
      <w:tr w:rsidR="001E0975" w:rsidRPr="00F13073" w14:paraId="1DBBCA1B" w14:textId="77777777" w:rsidTr="000A5348">
        <w:trPr>
          <w:cantSplit/>
          <w:tblHeader/>
          <w:jc w:val="center"/>
        </w:trPr>
        <w:tc>
          <w:tcPr>
            <w:tcW w:w="1925" w:type="dxa"/>
            <w:tcBorders>
              <w:top w:val="single" w:sz="4" w:space="0" w:color="auto"/>
              <w:left w:val="single" w:sz="4" w:space="0" w:color="auto"/>
              <w:bottom w:val="single" w:sz="4" w:space="0" w:color="auto"/>
            </w:tcBorders>
          </w:tcPr>
          <w:p w14:paraId="12B1D97C" w14:textId="77777777" w:rsidR="00D32EB9" w:rsidRPr="00F13073" w:rsidRDefault="00611033" w:rsidP="008B4C50">
            <w:pPr>
              <w:suppressAutoHyphens/>
            </w:pPr>
            <w:r w:rsidRPr="00F13073">
              <w:t xml:space="preserve">&gt; </w:t>
            </w:r>
            <w:r w:rsidR="003715AC" w:rsidRPr="00F13073">
              <w:t>1 do 3 x górna granica normy (GGN)</w:t>
            </w:r>
          </w:p>
        </w:tc>
        <w:tc>
          <w:tcPr>
            <w:tcW w:w="7152" w:type="dxa"/>
            <w:tcBorders>
              <w:top w:val="single" w:sz="4" w:space="0" w:color="auto"/>
              <w:left w:val="single" w:sz="4" w:space="0" w:color="auto"/>
              <w:bottom w:val="single" w:sz="4" w:space="0" w:color="auto"/>
              <w:right w:val="single" w:sz="4" w:space="0" w:color="auto"/>
            </w:tcBorders>
          </w:tcPr>
          <w:p w14:paraId="4BF1289D" w14:textId="77777777" w:rsidR="003715AC" w:rsidRPr="00F13073" w:rsidRDefault="003715AC" w:rsidP="008B4C50">
            <w:pPr>
              <w:suppressAutoHyphens/>
            </w:pPr>
            <w:r w:rsidRPr="00F13073">
              <w:t>Należy zmodyfikować dawkę podawanego równolegle MTX w przypadkach, gdy jest to właściwe</w:t>
            </w:r>
          </w:p>
          <w:p w14:paraId="7DAFDC35" w14:textId="77777777" w:rsidR="003715AC" w:rsidRPr="00F13073" w:rsidRDefault="003715AC" w:rsidP="008B4C50">
            <w:pPr>
              <w:suppressAutoHyphens/>
            </w:pPr>
          </w:p>
          <w:p w14:paraId="5E9FE0E7" w14:textId="0355E783" w:rsidR="003715AC" w:rsidRPr="00F13073" w:rsidRDefault="003715AC" w:rsidP="008B4C50">
            <w:pPr>
              <w:suppressAutoHyphens/>
            </w:pPr>
            <w:r w:rsidRPr="00F13073">
              <w:t xml:space="preserve">W przypadku utrzymywania się zwiększonych wartości w tym zakresie należy zmniejszyć dawkę produktu leczniczego </w:t>
            </w:r>
            <w:r w:rsidR="00026375" w:rsidRPr="00F13073">
              <w:t>Avtozma</w:t>
            </w:r>
            <w:r w:rsidRPr="00F13073">
              <w:t xml:space="preserve"> do 4 mg/kg mc. lub przejściowo przerwać jego podawanie do czasu powrotu do prawidłowych wartości aktywności aminotransferazy alaninowej (AlAT) lub aminotransferazy asparaginianowej (AspAT)</w:t>
            </w:r>
          </w:p>
          <w:p w14:paraId="3683DD4D" w14:textId="77777777" w:rsidR="003715AC" w:rsidRPr="00F13073" w:rsidRDefault="003715AC" w:rsidP="008B4C50">
            <w:pPr>
              <w:suppressAutoHyphens/>
            </w:pPr>
          </w:p>
          <w:p w14:paraId="7BCDB593" w14:textId="119F2E50" w:rsidR="00DB1F02" w:rsidRPr="00F13073" w:rsidRDefault="003715AC" w:rsidP="00554A89">
            <w:pPr>
              <w:suppressAutoHyphens/>
            </w:pPr>
            <w:r w:rsidRPr="00F13073">
              <w:t xml:space="preserve">W przypadkach, gdy stan kliniczny pacjenta na to pozwala, można ponownie podać produkt leczniczy </w:t>
            </w:r>
            <w:r w:rsidR="00026375" w:rsidRPr="00F13073">
              <w:t>Avtozma</w:t>
            </w:r>
            <w:r w:rsidRPr="00F13073">
              <w:t xml:space="preserve"> w dawce 4 mg/kg mc. lub 8</w:t>
            </w:r>
            <w:r w:rsidR="00554A89" w:rsidRPr="00F13073">
              <w:t> </w:t>
            </w:r>
            <w:r w:rsidRPr="00F13073">
              <w:t>mg/kg mc.</w:t>
            </w:r>
          </w:p>
        </w:tc>
      </w:tr>
      <w:tr w:rsidR="001E0975" w:rsidRPr="00F13073" w14:paraId="360DB9BD" w14:textId="77777777" w:rsidTr="000A5348">
        <w:trPr>
          <w:cantSplit/>
          <w:tblHeader/>
          <w:jc w:val="center"/>
        </w:trPr>
        <w:tc>
          <w:tcPr>
            <w:tcW w:w="1925" w:type="dxa"/>
            <w:tcBorders>
              <w:top w:val="single" w:sz="4" w:space="0" w:color="auto"/>
              <w:left w:val="single" w:sz="4" w:space="0" w:color="auto"/>
            </w:tcBorders>
          </w:tcPr>
          <w:p w14:paraId="48453178" w14:textId="77777777" w:rsidR="001E0975" w:rsidRPr="00F13073" w:rsidRDefault="00611033" w:rsidP="008B4C50">
            <w:pPr>
              <w:suppressAutoHyphens/>
            </w:pPr>
            <w:r w:rsidRPr="00F13073">
              <w:t xml:space="preserve">&gt; </w:t>
            </w:r>
            <w:r w:rsidR="003715AC" w:rsidRPr="00F13073">
              <w:t>3 do 5 x GGN</w:t>
            </w:r>
          </w:p>
          <w:p w14:paraId="2187A342" w14:textId="77777777" w:rsidR="00D32EB9" w:rsidRPr="00F13073" w:rsidRDefault="00D32EB9" w:rsidP="008B4C50">
            <w:pPr>
              <w:suppressAutoHyphens/>
            </w:pPr>
          </w:p>
          <w:p w14:paraId="6B8EEC92" w14:textId="77777777" w:rsidR="00DB1F02" w:rsidRPr="00F13073" w:rsidRDefault="003715AC" w:rsidP="008B4C50">
            <w:pPr>
              <w:suppressAutoHyphens/>
            </w:pPr>
            <w:r w:rsidRPr="00F13073">
              <w:t>(potwierdzone w kolejnych oznaczeniach, patrz punkt 4.4).</w:t>
            </w:r>
          </w:p>
        </w:tc>
        <w:tc>
          <w:tcPr>
            <w:tcW w:w="7152" w:type="dxa"/>
            <w:tcBorders>
              <w:top w:val="single" w:sz="4" w:space="0" w:color="auto"/>
              <w:left w:val="single" w:sz="4" w:space="0" w:color="auto"/>
              <w:right w:val="single" w:sz="4" w:space="0" w:color="auto"/>
            </w:tcBorders>
          </w:tcPr>
          <w:p w14:paraId="651695D2" w14:textId="22C05C80" w:rsidR="003715AC" w:rsidRPr="00F13073" w:rsidRDefault="003715AC" w:rsidP="008B4C50">
            <w:pPr>
              <w:suppressAutoHyphens/>
            </w:pPr>
            <w:r w:rsidRPr="00F13073">
              <w:t xml:space="preserve">Przejściowo przerwać podawanie produktu leczniczego </w:t>
            </w:r>
            <w:r w:rsidR="00026375" w:rsidRPr="00F13073">
              <w:t>Avtozma</w:t>
            </w:r>
            <w:r w:rsidRPr="00F13073">
              <w:t xml:space="preserve"> do czasu, gdy wartości osiągną poziom &lt; 3 x GGN i postępować zgodnie z zaleceniami podanymi powyżej dla &gt; 1 do 3 x GGN</w:t>
            </w:r>
          </w:p>
          <w:p w14:paraId="2E7E9200" w14:textId="77777777" w:rsidR="003715AC" w:rsidRPr="00F13073" w:rsidRDefault="003715AC" w:rsidP="008B4C50">
            <w:pPr>
              <w:suppressAutoHyphens/>
            </w:pPr>
          </w:p>
          <w:p w14:paraId="48B3D561" w14:textId="48A95F22" w:rsidR="00D32EB9" w:rsidRPr="00F13073" w:rsidRDefault="003715AC" w:rsidP="008B4C50">
            <w:pPr>
              <w:suppressAutoHyphens/>
            </w:pPr>
            <w:r w:rsidRPr="00F13073">
              <w:t xml:space="preserve">W przypadku utrzymywania się podwyższonych wartości &gt; 3 x GGN należy przerwać podawanie produktu leczniczego </w:t>
            </w:r>
            <w:r w:rsidR="00026375" w:rsidRPr="00F13073">
              <w:t>Avtozma</w:t>
            </w:r>
          </w:p>
        </w:tc>
      </w:tr>
      <w:tr w:rsidR="001E0975" w:rsidRPr="00F13073" w14:paraId="6AFA7402" w14:textId="77777777" w:rsidTr="000A5348">
        <w:trPr>
          <w:cantSplit/>
          <w:tblHeader/>
          <w:jc w:val="center"/>
        </w:trPr>
        <w:tc>
          <w:tcPr>
            <w:tcW w:w="1925" w:type="dxa"/>
            <w:tcBorders>
              <w:top w:val="single" w:sz="4" w:space="0" w:color="auto"/>
              <w:left w:val="single" w:sz="4" w:space="0" w:color="auto"/>
              <w:bottom w:val="single" w:sz="4" w:space="0" w:color="auto"/>
            </w:tcBorders>
          </w:tcPr>
          <w:p w14:paraId="479B56C9" w14:textId="77777777" w:rsidR="00D32EB9" w:rsidRPr="00F13073" w:rsidRDefault="00611033" w:rsidP="008B4C50">
            <w:pPr>
              <w:suppressAutoHyphens/>
            </w:pPr>
            <w:r w:rsidRPr="00F13073">
              <w:t xml:space="preserve">&gt; 5 x </w:t>
            </w:r>
            <w:r w:rsidR="00793DE8" w:rsidRPr="00F13073">
              <w:t>GGN</w:t>
            </w:r>
          </w:p>
        </w:tc>
        <w:tc>
          <w:tcPr>
            <w:tcW w:w="7152" w:type="dxa"/>
            <w:tcBorders>
              <w:top w:val="single" w:sz="4" w:space="0" w:color="auto"/>
              <w:left w:val="single" w:sz="4" w:space="0" w:color="auto"/>
              <w:bottom w:val="single" w:sz="4" w:space="0" w:color="auto"/>
              <w:right w:val="single" w:sz="4" w:space="0" w:color="auto"/>
            </w:tcBorders>
          </w:tcPr>
          <w:p w14:paraId="2D5D2FAB" w14:textId="24B383E1" w:rsidR="00D32EB9" w:rsidRPr="00F13073" w:rsidRDefault="003715AC" w:rsidP="008B4C50">
            <w:pPr>
              <w:suppressAutoHyphens/>
            </w:pPr>
            <w:r w:rsidRPr="00F13073">
              <w:t xml:space="preserve">Przerwanie podawania produktu leczniczego </w:t>
            </w:r>
            <w:r w:rsidR="00026375" w:rsidRPr="00F13073">
              <w:t>Avtozma</w:t>
            </w:r>
          </w:p>
        </w:tc>
      </w:tr>
    </w:tbl>
    <w:p w14:paraId="2541561B" w14:textId="77777777" w:rsidR="001E0975" w:rsidRPr="00F13073" w:rsidRDefault="001E0975" w:rsidP="008B4C50"/>
    <w:p w14:paraId="56911A81" w14:textId="77777777" w:rsidR="001E0975" w:rsidRPr="00F13073" w:rsidRDefault="00327BBD" w:rsidP="008B4C50">
      <w:pPr>
        <w:pStyle w:val="a0"/>
        <w:keepNext/>
        <w:numPr>
          <w:ilvl w:val="0"/>
          <w:numId w:val="4"/>
        </w:numPr>
        <w:ind w:left="567" w:hanging="567"/>
        <w:contextualSpacing w:val="0"/>
      </w:pPr>
      <w:r w:rsidRPr="00F13073">
        <w:t>Mała bezwzględna liczba granulocytów obojętnochłonnych (</w:t>
      </w:r>
      <w:r w:rsidRPr="00F13073">
        <w:rPr>
          <w:i/>
          <w:iCs/>
        </w:rPr>
        <w:t>ang.</w:t>
      </w:r>
      <w:r w:rsidRPr="00F13073">
        <w:t xml:space="preserve"> ANC</w:t>
      </w:r>
      <w:r w:rsidR="00611033" w:rsidRPr="00F13073">
        <w:t>)</w:t>
      </w:r>
    </w:p>
    <w:p w14:paraId="17B2B8C2" w14:textId="77777777" w:rsidR="00D32EB9" w:rsidRPr="00F13073" w:rsidRDefault="00D32EB9" w:rsidP="008B4C50">
      <w:pPr>
        <w:keepNext/>
      </w:pPr>
    </w:p>
    <w:p w14:paraId="3E66A18D" w14:textId="76B8CFEA" w:rsidR="00D32EB9" w:rsidRPr="00F13073" w:rsidRDefault="00655604" w:rsidP="00554A89">
      <w:r w:rsidRPr="00F13073">
        <w:t xml:space="preserve">Nie zaleca się rozpoczynać leczenia u pacjentów nieleczonych wcześniej </w:t>
      </w:r>
      <w:r w:rsidR="00AB3D3C" w:rsidRPr="00F13073">
        <w:t>tocilizumabem</w:t>
      </w:r>
      <w:r w:rsidRPr="00F13073">
        <w:t xml:space="preserve"> z bezwzględną liczbą granulocytów obojętnochłonnych (ANC) poniżej 2</w:t>
      </w:r>
      <w:r w:rsidR="00554A89" w:rsidRPr="00F13073">
        <w:t> </w:t>
      </w:r>
      <w:r w:rsidRPr="00F13073">
        <w:t>x</w:t>
      </w:r>
      <w:r w:rsidR="00554A89" w:rsidRPr="00F13073">
        <w:t> </w:t>
      </w:r>
      <w:r w:rsidRPr="00F13073">
        <w:t>10</w:t>
      </w:r>
      <w:r w:rsidRPr="00F13073">
        <w:rPr>
          <w:vertAlign w:val="superscript"/>
        </w:rPr>
        <w:t>9</w:t>
      </w:r>
      <w:r w:rsidRPr="00F13073">
        <w:t>/l.</w:t>
      </w:r>
    </w:p>
    <w:p w14:paraId="0250651C" w14:textId="77777777" w:rsidR="001E0975" w:rsidRPr="00F13073" w:rsidRDefault="001E0975" w:rsidP="008B4C50"/>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34"/>
        <w:gridCol w:w="7142"/>
      </w:tblGrid>
      <w:tr w:rsidR="001E0975" w:rsidRPr="00F13073" w14:paraId="3250E79E" w14:textId="77777777" w:rsidTr="002322A1">
        <w:trPr>
          <w:cantSplit/>
          <w:tblHeader/>
          <w:jc w:val="center"/>
        </w:trPr>
        <w:tc>
          <w:tcPr>
            <w:tcW w:w="1934" w:type="dxa"/>
          </w:tcPr>
          <w:p w14:paraId="61439034" w14:textId="77777777" w:rsidR="00D32EB9" w:rsidRPr="00F13073" w:rsidRDefault="00655604" w:rsidP="002322A1">
            <w:pPr>
              <w:keepNext/>
              <w:suppressAutoHyphens/>
              <w:jc w:val="center"/>
            </w:pPr>
            <w:r w:rsidRPr="00F13073">
              <w:t>Wartość laboratoryjna (liczba komórek x 10</w:t>
            </w:r>
            <w:r w:rsidRPr="00F13073">
              <w:rPr>
                <w:vertAlign w:val="superscript"/>
              </w:rPr>
              <w:t>9</w:t>
            </w:r>
            <w:r w:rsidRPr="00F13073">
              <w:t>/l)</w:t>
            </w:r>
          </w:p>
        </w:tc>
        <w:tc>
          <w:tcPr>
            <w:tcW w:w="7142" w:type="dxa"/>
          </w:tcPr>
          <w:p w14:paraId="77FFFB19" w14:textId="77777777" w:rsidR="00D32EB9" w:rsidRPr="00F13073" w:rsidRDefault="008651CF" w:rsidP="002322A1">
            <w:pPr>
              <w:keepNext/>
              <w:suppressAutoHyphens/>
              <w:jc w:val="center"/>
            </w:pPr>
            <w:r w:rsidRPr="00F13073">
              <w:t>Zalecane postępowanie</w:t>
            </w:r>
          </w:p>
        </w:tc>
      </w:tr>
      <w:tr w:rsidR="001E0975" w:rsidRPr="00F13073" w14:paraId="151ADCC4" w14:textId="77777777" w:rsidTr="002322A1">
        <w:trPr>
          <w:cantSplit/>
          <w:jc w:val="center"/>
        </w:trPr>
        <w:tc>
          <w:tcPr>
            <w:tcW w:w="1934" w:type="dxa"/>
          </w:tcPr>
          <w:p w14:paraId="64D263D9" w14:textId="77777777" w:rsidR="00D32EB9" w:rsidRPr="00F13073" w:rsidRDefault="00611033" w:rsidP="008B4C50">
            <w:pPr>
              <w:suppressAutoHyphens/>
            </w:pPr>
            <w:r w:rsidRPr="00F13073">
              <w:t>ANC &gt; 1</w:t>
            </w:r>
          </w:p>
        </w:tc>
        <w:tc>
          <w:tcPr>
            <w:tcW w:w="7142" w:type="dxa"/>
          </w:tcPr>
          <w:p w14:paraId="764D78A9" w14:textId="77777777" w:rsidR="00D32EB9" w:rsidRPr="00F13073" w:rsidRDefault="008651CF" w:rsidP="008B4C50">
            <w:pPr>
              <w:suppressAutoHyphens/>
            </w:pPr>
            <w:r w:rsidRPr="00F13073">
              <w:t>Utrzymanie dotychczasowej dawki</w:t>
            </w:r>
          </w:p>
        </w:tc>
      </w:tr>
      <w:tr w:rsidR="001E0975" w:rsidRPr="00F13073" w14:paraId="2ED3858B" w14:textId="77777777" w:rsidTr="002322A1">
        <w:trPr>
          <w:cantSplit/>
          <w:jc w:val="center"/>
        </w:trPr>
        <w:tc>
          <w:tcPr>
            <w:tcW w:w="1934" w:type="dxa"/>
          </w:tcPr>
          <w:p w14:paraId="4293F7EF" w14:textId="77777777" w:rsidR="00D32EB9" w:rsidRPr="00F13073" w:rsidRDefault="00611033" w:rsidP="008B4C50">
            <w:pPr>
              <w:suppressAutoHyphens/>
            </w:pPr>
            <w:r w:rsidRPr="00F13073">
              <w:t xml:space="preserve">ANC </w:t>
            </w:r>
            <w:r w:rsidR="008651CF" w:rsidRPr="00F13073">
              <w:t>0,5 do</w:t>
            </w:r>
            <w:r w:rsidRPr="00F13073">
              <w:t xml:space="preserve"> 1</w:t>
            </w:r>
          </w:p>
        </w:tc>
        <w:tc>
          <w:tcPr>
            <w:tcW w:w="7142" w:type="dxa"/>
          </w:tcPr>
          <w:p w14:paraId="419B7686" w14:textId="2B0D354D" w:rsidR="008651CF" w:rsidRPr="00F13073" w:rsidRDefault="008651CF" w:rsidP="008B4C50">
            <w:pPr>
              <w:suppressAutoHyphens/>
            </w:pPr>
            <w:r w:rsidRPr="00F13073">
              <w:t xml:space="preserve">Przejściowe przerwanie podawania produktu leczniczego </w:t>
            </w:r>
            <w:r w:rsidR="00026375" w:rsidRPr="00F13073">
              <w:t>Avtozma</w:t>
            </w:r>
          </w:p>
          <w:p w14:paraId="041EBF56" w14:textId="77777777" w:rsidR="008651CF" w:rsidRPr="00F13073" w:rsidRDefault="008651CF" w:rsidP="008B4C50">
            <w:pPr>
              <w:suppressAutoHyphens/>
            </w:pPr>
          </w:p>
          <w:p w14:paraId="2A9EF2C0" w14:textId="41F974C7" w:rsidR="00D32EB9" w:rsidRPr="00F13073" w:rsidRDefault="008651CF" w:rsidP="008B4C50">
            <w:pPr>
              <w:suppressAutoHyphens/>
            </w:pPr>
            <w:r w:rsidRPr="00F13073">
              <w:t>Gdy wartość ANC wzrośnie &gt; 1 x 10</w:t>
            </w:r>
            <w:r w:rsidRPr="00F13073">
              <w:rPr>
                <w:vertAlign w:val="superscript"/>
              </w:rPr>
              <w:t>9</w:t>
            </w:r>
            <w:r w:rsidRPr="00F13073">
              <w:t xml:space="preserve">/l, należy wznowić podawanie produktu leczniczego </w:t>
            </w:r>
            <w:r w:rsidR="00026375" w:rsidRPr="00F13073">
              <w:t>Avtozma</w:t>
            </w:r>
            <w:r w:rsidRPr="00F13073">
              <w:t xml:space="preserve"> w dawce 4 mg/kg mc., którą następnie można zwiększyć do 8 mg/kg mc. w przypadku, gdy stan kliniczny pacjenta na to pozwala.</w:t>
            </w:r>
          </w:p>
        </w:tc>
      </w:tr>
      <w:tr w:rsidR="001E0975" w:rsidRPr="00F13073" w14:paraId="4D28F899" w14:textId="77777777" w:rsidTr="002322A1">
        <w:trPr>
          <w:cantSplit/>
          <w:jc w:val="center"/>
        </w:trPr>
        <w:tc>
          <w:tcPr>
            <w:tcW w:w="1934" w:type="dxa"/>
          </w:tcPr>
          <w:p w14:paraId="03B6FE84" w14:textId="77777777" w:rsidR="00D32EB9" w:rsidRPr="00F13073" w:rsidRDefault="00611033" w:rsidP="008B4C50">
            <w:pPr>
              <w:suppressAutoHyphens/>
            </w:pPr>
            <w:r w:rsidRPr="00F13073">
              <w:t>ANC &lt; 0</w:t>
            </w:r>
            <w:r w:rsidR="008651CF" w:rsidRPr="00F13073">
              <w:t>,</w:t>
            </w:r>
            <w:r w:rsidRPr="00F13073">
              <w:t>5</w:t>
            </w:r>
          </w:p>
        </w:tc>
        <w:tc>
          <w:tcPr>
            <w:tcW w:w="7142" w:type="dxa"/>
          </w:tcPr>
          <w:p w14:paraId="1E4EB957" w14:textId="2828A908" w:rsidR="00D32EB9" w:rsidRPr="00F13073" w:rsidRDefault="008651CF" w:rsidP="008B4C50">
            <w:pPr>
              <w:suppressAutoHyphens/>
            </w:pPr>
            <w:r w:rsidRPr="00F13073">
              <w:t xml:space="preserve">Przerwanie podawania produktu leczniczego </w:t>
            </w:r>
            <w:r w:rsidR="00026375" w:rsidRPr="00F13073">
              <w:t>Avtozma</w:t>
            </w:r>
          </w:p>
        </w:tc>
      </w:tr>
    </w:tbl>
    <w:p w14:paraId="37D5F60D" w14:textId="77777777" w:rsidR="00D32EB9" w:rsidRPr="00F13073" w:rsidRDefault="00D32EB9" w:rsidP="008B4C50"/>
    <w:p w14:paraId="264D1CDA" w14:textId="77777777" w:rsidR="001E0975" w:rsidRPr="00F13073" w:rsidRDefault="00195CF5" w:rsidP="008B4C50">
      <w:pPr>
        <w:pStyle w:val="a0"/>
        <w:keepNext/>
        <w:numPr>
          <w:ilvl w:val="0"/>
          <w:numId w:val="4"/>
        </w:numPr>
        <w:ind w:left="567" w:hanging="567"/>
        <w:contextualSpacing w:val="0"/>
      </w:pPr>
      <w:r w:rsidRPr="00F13073">
        <w:lastRenderedPageBreak/>
        <w:t>Mała liczba płytek krwi</w:t>
      </w:r>
    </w:p>
    <w:p w14:paraId="77589FA6" w14:textId="77777777" w:rsidR="001E0975" w:rsidRPr="00F13073" w:rsidRDefault="001E0975"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1934"/>
        <w:gridCol w:w="7142"/>
      </w:tblGrid>
      <w:tr w:rsidR="001E0975" w:rsidRPr="00F13073" w14:paraId="17611C39" w14:textId="77777777" w:rsidTr="00554A89">
        <w:trPr>
          <w:cantSplit/>
          <w:tblHeader/>
          <w:jc w:val="center"/>
        </w:trPr>
        <w:tc>
          <w:tcPr>
            <w:tcW w:w="1934" w:type="dxa"/>
            <w:tcBorders>
              <w:top w:val="single" w:sz="4" w:space="0" w:color="auto"/>
              <w:left w:val="single" w:sz="4" w:space="0" w:color="auto"/>
            </w:tcBorders>
          </w:tcPr>
          <w:p w14:paraId="1DF195F3" w14:textId="77777777" w:rsidR="00252B53" w:rsidRPr="00F13073" w:rsidRDefault="00195CF5" w:rsidP="002322A1">
            <w:pPr>
              <w:keepNext/>
              <w:suppressAutoHyphens/>
              <w:jc w:val="center"/>
            </w:pPr>
            <w:r w:rsidRPr="00F13073">
              <w:t>Wartość laboratoryjna (liczba komórek x</w:t>
            </w:r>
            <w:r w:rsidR="00611033" w:rsidRPr="00F13073">
              <w:t xml:space="preserve"> 10</w:t>
            </w:r>
            <w:r w:rsidR="00611033" w:rsidRPr="00F13073">
              <w:rPr>
                <w:vertAlign w:val="superscript"/>
              </w:rPr>
              <w:t>3</w:t>
            </w:r>
            <w:r w:rsidR="00611033" w:rsidRPr="00F13073">
              <w:t>/μL)</w:t>
            </w:r>
          </w:p>
        </w:tc>
        <w:tc>
          <w:tcPr>
            <w:tcW w:w="7142" w:type="dxa"/>
            <w:tcBorders>
              <w:top w:val="single" w:sz="4" w:space="0" w:color="auto"/>
              <w:left w:val="single" w:sz="4" w:space="0" w:color="auto"/>
              <w:right w:val="single" w:sz="4" w:space="0" w:color="auto"/>
            </w:tcBorders>
          </w:tcPr>
          <w:p w14:paraId="58123B75" w14:textId="77777777" w:rsidR="001E0975" w:rsidRPr="00F13073" w:rsidRDefault="00195CF5" w:rsidP="002322A1">
            <w:pPr>
              <w:keepNext/>
              <w:suppressAutoHyphens/>
              <w:jc w:val="center"/>
            </w:pPr>
            <w:r w:rsidRPr="00F13073">
              <w:t>Zalecane postępowanie</w:t>
            </w:r>
          </w:p>
          <w:p w14:paraId="4E7FC97A" w14:textId="77777777" w:rsidR="00252B53" w:rsidRPr="00F13073" w:rsidRDefault="00252B53" w:rsidP="002322A1">
            <w:pPr>
              <w:keepNext/>
              <w:suppressAutoHyphens/>
              <w:jc w:val="center"/>
            </w:pPr>
          </w:p>
        </w:tc>
      </w:tr>
      <w:tr w:rsidR="001E0975" w:rsidRPr="00F13073" w14:paraId="179B29A0" w14:textId="77777777" w:rsidTr="00554A89">
        <w:trPr>
          <w:cantSplit/>
          <w:tblHeader/>
          <w:jc w:val="center"/>
        </w:trPr>
        <w:tc>
          <w:tcPr>
            <w:tcW w:w="1934" w:type="dxa"/>
            <w:tcBorders>
              <w:top w:val="single" w:sz="4" w:space="0" w:color="auto"/>
              <w:left w:val="single" w:sz="4" w:space="0" w:color="auto"/>
            </w:tcBorders>
          </w:tcPr>
          <w:p w14:paraId="03847474" w14:textId="77777777" w:rsidR="00252B53" w:rsidRPr="00F13073" w:rsidRDefault="00611033" w:rsidP="008B4C50">
            <w:pPr>
              <w:suppressAutoHyphens/>
            </w:pPr>
            <w:r w:rsidRPr="00F13073">
              <w:t xml:space="preserve">50 </w:t>
            </w:r>
            <w:r w:rsidR="000208A6" w:rsidRPr="00F13073">
              <w:t>d</w:t>
            </w:r>
            <w:r w:rsidRPr="00F13073">
              <w:t>o 100</w:t>
            </w:r>
          </w:p>
        </w:tc>
        <w:tc>
          <w:tcPr>
            <w:tcW w:w="7142" w:type="dxa"/>
            <w:tcBorders>
              <w:top w:val="single" w:sz="4" w:space="0" w:color="auto"/>
              <w:left w:val="single" w:sz="4" w:space="0" w:color="auto"/>
              <w:right w:val="single" w:sz="4" w:space="0" w:color="auto"/>
            </w:tcBorders>
          </w:tcPr>
          <w:p w14:paraId="0B742D08" w14:textId="3AE9684E" w:rsidR="000208A6" w:rsidRPr="00F13073" w:rsidRDefault="000208A6" w:rsidP="008B4C50">
            <w:pPr>
              <w:suppressAutoHyphens/>
            </w:pPr>
            <w:r w:rsidRPr="00F13073">
              <w:t xml:space="preserve">Przejściowe przerwanie podawania produktu leczniczego </w:t>
            </w:r>
            <w:r w:rsidR="00026375" w:rsidRPr="00F13073">
              <w:t>Avtozma</w:t>
            </w:r>
          </w:p>
          <w:p w14:paraId="02F049CD" w14:textId="77777777" w:rsidR="000208A6" w:rsidRPr="00F13073" w:rsidRDefault="000208A6" w:rsidP="008B4C50">
            <w:pPr>
              <w:suppressAutoHyphens/>
            </w:pPr>
          </w:p>
          <w:p w14:paraId="574BF24C" w14:textId="27534E5B" w:rsidR="00252B53" w:rsidRPr="00F13073" w:rsidRDefault="000208A6" w:rsidP="008B4C50">
            <w:pPr>
              <w:suppressAutoHyphens/>
            </w:pPr>
            <w:r w:rsidRPr="00F13073">
              <w:t>Gdy liczba płytek krwi wzrośnie &gt; 100 x 10</w:t>
            </w:r>
            <w:r w:rsidRPr="00F13073">
              <w:rPr>
                <w:vertAlign w:val="superscript"/>
              </w:rPr>
              <w:t>3</w:t>
            </w:r>
            <w:r w:rsidRPr="00F13073">
              <w:t xml:space="preserve">/μl, należy wznowić podawanie produktu leczniczego </w:t>
            </w:r>
            <w:r w:rsidR="00026375" w:rsidRPr="00F13073">
              <w:t>Avtozma</w:t>
            </w:r>
            <w:r w:rsidRPr="00F13073">
              <w:t xml:space="preserve"> w dawce 4 mg/kg mc., którą następnie można zwiększyć do 8 mg/kg mc. w przypadku, gdy stan kliniczny pacjenta na to pozwala.</w:t>
            </w:r>
          </w:p>
        </w:tc>
      </w:tr>
      <w:tr w:rsidR="001E0975" w:rsidRPr="00F13073" w14:paraId="08E5EB2A" w14:textId="77777777" w:rsidTr="00554A89">
        <w:trPr>
          <w:cantSplit/>
          <w:tblHeader/>
          <w:jc w:val="center"/>
        </w:trPr>
        <w:tc>
          <w:tcPr>
            <w:tcW w:w="1934" w:type="dxa"/>
            <w:tcBorders>
              <w:top w:val="single" w:sz="4" w:space="0" w:color="auto"/>
              <w:left w:val="single" w:sz="4" w:space="0" w:color="auto"/>
              <w:bottom w:val="single" w:sz="4" w:space="0" w:color="auto"/>
            </w:tcBorders>
          </w:tcPr>
          <w:p w14:paraId="3698ABB4" w14:textId="77777777" w:rsidR="00252B53" w:rsidRPr="00F13073" w:rsidRDefault="00611033" w:rsidP="008B4C50">
            <w:pPr>
              <w:suppressAutoHyphens/>
            </w:pPr>
            <w:r w:rsidRPr="00F13073">
              <w:t>&lt; 50</w:t>
            </w:r>
          </w:p>
        </w:tc>
        <w:tc>
          <w:tcPr>
            <w:tcW w:w="7142" w:type="dxa"/>
            <w:tcBorders>
              <w:top w:val="single" w:sz="4" w:space="0" w:color="auto"/>
              <w:left w:val="single" w:sz="4" w:space="0" w:color="auto"/>
              <w:bottom w:val="single" w:sz="4" w:space="0" w:color="auto"/>
              <w:right w:val="single" w:sz="4" w:space="0" w:color="auto"/>
            </w:tcBorders>
          </w:tcPr>
          <w:p w14:paraId="19FFE44C" w14:textId="41F1C09E" w:rsidR="00252B53" w:rsidRPr="00F13073" w:rsidRDefault="00B53AD6" w:rsidP="008B4C50">
            <w:pPr>
              <w:suppressAutoHyphens/>
            </w:pPr>
            <w:r w:rsidRPr="00F13073">
              <w:t xml:space="preserve">Przerwanie podawania produktu leczniczego </w:t>
            </w:r>
            <w:r w:rsidR="00026375" w:rsidRPr="00F13073">
              <w:t>Avtozma</w:t>
            </w:r>
          </w:p>
        </w:tc>
      </w:tr>
    </w:tbl>
    <w:p w14:paraId="777B5C88" w14:textId="77777777" w:rsidR="00252B53" w:rsidRPr="00F13073" w:rsidRDefault="00252B53" w:rsidP="008B4C50"/>
    <w:p w14:paraId="5299C90A" w14:textId="77777777" w:rsidR="001E0975" w:rsidRPr="00F13073" w:rsidRDefault="00B53AD6" w:rsidP="008B4C50">
      <w:pPr>
        <w:keepNext/>
        <w:rPr>
          <w:u w:val="single"/>
        </w:rPr>
      </w:pPr>
      <w:r w:rsidRPr="00F13073">
        <w:rPr>
          <w:u w:val="single"/>
        </w:rPr>
        <w:t xml:space="preserve">Pacjenci z </w:t>
      </w:r>
      <w:r w:rsidR="00611033" w:rsidRPr="00F13073">
        <w:rPr>
          <w:u w:val="single"/>
        </w:rPr>
        <w:t>COVID-19</w:t>
      </w:r>
    </w:p>
    <w:p w14:paraId="70C25361" w14:textId="77777777" w:rsidR="001E0975" w:rsidRPr="00F13073" w:rsidRDefault="001E0975" w:rsidP="008B4C50">
      <w:pPr>
        <w:keepNext/>
      </w:pPr>
    </w:p>
    <w:p w14:paraId="6A05ACC4" w14:textId="727732C7" w:rsidR="00B53AD6" w:rsidRPr="00F13073" w:rsidRDefault="00B53AD6" w:rsidP="00554A89">
      <w:r w:rsidRPr="00F13073">
        <w:t>Zalecane dawkowanie w leczeniu COVID-19 to pojedynczy 60-minutowy wlew dożylny w dawce 8</w:t>
      </w:r>
      <w:r w:rsidR="00554A89" w:rsidRPr="00F13073">
        <w:t> </w:t>
      </w:r>
      <w:r w:rsidRPr="00F13073">
        <w:t xml:space="preserve">mg/kg mc u pacjentów otrzymujących kortykosteroidy o działaniu układowym i wymagających tlenoterapii uzupełniającej lub wentylacji mechanicznej, patrz punkt 5.1. Jeśli kliniczne objawy przedmiotowe lub podmiotowe nasilą się lub nie ulegną poprawie po podaniu pierwszej dawki, może zostać podany jeden dodatkowy wlew produktu leczniczego </w:t>
      </w:r>
      <w:r w:rsidR="00026375" w:rsidRPr="00F13073">
        <w:t>Avtozma</w:t>
      </w:r>
      <w:r w:rsidRPr="00F13073">
        <w:t xml:space="preserve"> w dawce 8 mg/kg mc. Odstęp pomiędzy dwoma wlewami powinien wynosić co najmniej 8 godzin.</w:t>
      </w:r>
    </w:p>
    <w:p w14:paraId="76C1D735" w14:textId="77777777" w:rsidR="00B53AD6" w:rsidRPr="00F13073" w:rsidRDefault="00B53AD6" w:rsidP="008B4C50"/>
    <w:p w14:paraId="0569FDB3" w14:textId="77777777" w:rsidR="001E0975" w:rsidRPr="00F13073" w:rsidRDefault="00B53AD6" w:rsidP="008B4C50">
      <w:r w:rsidRPr="00F13073">
        <w:t>U osób o masie ciała większej niż 100 kg nie zaleca się podawania dawek przekraczających 800 mg na wlew (patrz punkt 5.2).</w:t>
      </w:r>
    </w:p>
    <w:p w14:paraId="4E366FCD" w14:textId="77777777" w:rsidR="00252B53" w:rsidRPr="00F13073" w:rsidRDefault="00252B53" w:rsidP="008B4C50"/>
    <w:p w14:paraId="196BF905" w14:textId="61E40423" w:rsidR="001E0975" w:rsidRPr="00F13073" w:rsidRDefault="00B53AD6" w:rsidP="008B4C50">
      <w:pPr>
        <w:keepNext/>
      </w:pPr>
      <w:r w:rsidRPr="00F13073">
        <w:t xml:space="preserve">Nie zaleca się podawania produktu leczniczego </w:t>
      </w:r>
      <w:r w:rsidR="00026375" w:rsidRPr="00F13073">
        <w:t>Avtozma</w:t>
      </w:r>
      <w:r w:rsidRPr="00F13073">
        <w:t xml:space="preserve"> pacjentom z COVID-19, u których występuje którekolwiek z wymienionych niżej odchyleń w wynikach badań laboratoryjnych</w:t>
      </w:r>
      <w:r w:rsidR="00611033" w:rsidRPr="00F13073">
        <w:t>:</w:t>
      </w:r>
    </w:p>
    <w:p w14:paraId="5E3CFDB8" w14:textId="77777777" w:rsidR="00252B53" w:rsidRPr="00F13073" w:rsidRDefault="00252B53"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3024"/>
        <w:gridCol w:w="3024"/>
        <w:gridCol w:w="3029"/>
      </w:tblGrid>
      <w:tr w:rsidR="001E0975" w:rsidRPr="00F13073" w14:paraId="3014BC76" w14:textId="77777777" w:rsidTr="00554A89">
        <w:trPr>
          <w:cantSplit/>
          <w:tblHeader/>
          <w:jc w:val="center"/>
        </w:trPr>
        <w:tc>
          <w:tcPr>
            <w:tcW w:w="3024" w:type="dxa"/>
            <w:tcBorders>
              <w:top w:val="single" w:sz="4" w:space="0" w:color="auto"/>
              <w:left w:val="single" w:sz="4" w:space="0" w:color="auto"/>
            </w:tcBorders>
            <w:vAlign w:val="bottom"/>
          </w:tcPr>
          <w:p w14:paraId="64DE71EE" w14:textId="77777777" w:rsidR="001E0975" w:rsidRPr="00F13073" w:rsidRDefault="00242597" w:rsidP="002322A1">
            <w:pPr>
              <w:keepNext/>
              <w:suppressAutoHyphens/>
              <w:jc w:val="center"/>
              <w:rPr>
                <w:u w:val="single"/>
              </w:rPr>
            </w:pPr>
            <w:r w:rsidRPr="00F13073">
              <w:rPr>
                <w:u w:val="single"/>
              </w:rPr>
              <w:t>Rodzaj badania laboratoryjnego</w:t>
            </w:r>
          </w:p>
        </w:tc>
        <w:tc>
          <w:tcPr>
            <w:tcW w:w="3024" w:type="dxa"/>
            <w:tcBorders>
              <w:top w:val="single" w:sz="4" w:space="0" w:color="auto"/>
              <w:left w:val="single" w:sz="4" w:space="0" w:color="auto"/>
            </w:tcBorders>
            <w:vAlign w:val="bottom"/>
          </w:tcPr>
          <w:p w14:paraId="44C59B7E" w14:textId="77777777" w:rsidR="001E0975" w:rsidRPr="00F13073" w:rsidRDefault="00242597" w:rsidP="002322A1">
            <w:pPr>
              <w:keepNext/>
              <w:suppressAutoHyphens/>
              <w:jc w:val="center"/>
              <w:rPr>
                <w:u w:val="single"/>
              </w:rPr>
            </w:pPr>
            <w:r w:rsidRPr="00F13073">
              <w:rPr>
                <w:u w:val="single"/>
              </w:rPr>
              <w:t>Wartość laboratoryjna</w:t>
            </w:r>
          </w:p>
        </w:tc>
        <w:tc>
          <w:tcPr>
            <w:tcW w:w="3029" w:type="dxa"/>
            <w:tcBorders>
              <w:top w:val="single" w:sz="4" w:space="0" w:color="auto"/>
              <w:left w:val="single" w:sz="4" w:space="0" w:color="auto"/>
              <w:right w:val="single" w:sz="4" w:space="0" w:color="auto"/>
            </w:tcBorders>
            <w:vAlign w:val="bottom"/>
          </w:tcPr>
          <w:p w14:paraId="6BEAF70E" w14:textId="77777777" w:rsidR="001E0975" w:rsidRPr="00F13073" w:rsidRDefault="00242597" w:rsidP="002322A1">
            <w:pPr>
              <w:keepNext/>
              <w:suppressAutoHyphens/>
              <w:jc w:val="center"/>
              <w:rPr>
                <w:u w:val="single"/>
              </w:rPr>
            </w:pPr>
            <w:r w:rsidRPr="00F13073">
              <w:rPr>
                <w:u w:val="single"/>
              </w:rPr>
              <w:t>Działanie</w:t>
            </w:r>
          </w:p>
        </w:tc>
      </w:tr>
      <w:tr w:rsidR="001E0975" w:rsidRPr="00F13073" w14:paraId="28802DFA" w14:textId="77777777" w:rsidTr="00554A89">
        <w:trPr>
          <w:cantSplit/>
          <w:tblHeader/>
          <w:jc w:val="center"/>
        </w:trPr>
        <w:tc>
          <w:tcPr>
            <w:tcW w:w="3024" w:type="dxa"/>
            <w:tcBorders>
              <w:top w:val="single" w:sz="4" w:space="0" w:color="auto"/>
              <w:left w:val="single" w:sz="4" w:space="0" w:color="auto"/>
            </w:tcBorders>
            <w:vAlign w:val="bottom"/>
          </w:tcPr>
          <w:p w14:paraId="268ED5C2" w14:textId="77777777" w:rsidR="001E0975" w:rsidRPr="00F13073" w:rsidRDefault="00242597" w:rsidP="008B4C50">
            <w:pPr>
              <w:suppressAutoHyphens/>
            </w:pPr>
            <w:r w:rsidRPr="00F13073">
              <w:t>Enzymy wątrobowe</w:t>
            </w:r>
          </w:p>
        </w:tc>
        <w:tc>
          <w:tcPr>
            <w:tcW w:w="3024" w:type="dxa"/>
            <w:tcBorders>
              <w:top w:val="single" w:sz="4" w:space="0" w:color="auto"/>
              <w:left w:val="single" w:sz="4" w:space="0" w:color="auto"/>
            </w:tcBorders>
            <w:vAlign w:val="bottom"/>
          </w:tcPr>
          <w:p w14:paraId="50AB339D" w14:textId="037F98B2" w:rsidR="001E0975" w:rsidRPr="00F13073" w:rsidRDefault="00F01540" w:rsidP="008B4C50">
            <w:pPr>
              <w:suppressAutoHyphens/>
            </w:pPr>
            <w:r w:rsidRPr="001879E9">
              <w:rPr>
                <w:lang w:val="es-ES"/>
              </w:rPr>
              <w:t>≥</w:t>
            </w:r>
            <w:r w:rsidR="00611033" w:rsidRPr="00F13073">
              <w:t xml:space="preserve">10x </w:t>
            </w:r>
            <w:r w:rsidR="00242597" w:rsidRPr="00F13073">
              <w:t>GGN</w:t>
            </w:r>
          </w:p>
        </w:tc>
        <w:tc>
          <w:tcPr>
            <w:tcW w:w="3029" w:type="dxa"/>
            <w:vMerge w:val="restart"/>
            <w:tcBorders>
              <w:top w:val="single" w:sz="4" w:space="0" w:color="auto"/>
              <w:left w:val="single" w:sz="4" w:space="0" w:color="auto"/>
              <w:right w:val="single" w:sz="4" w:space="0" w:color="auto"/>
            </w:tcBorders>
          </w:tcPr>
          <w:p w14:paraId="52E7FA75" w14:textId="2C3FC0A8" w:rsidR="001E0975" w:rsidRPr="00F13073" w:rsidRDefault="00242597" w:rsidP="008B4C50">
            <w:pPr>
              <w:suppressAutoHyphens/>
            </w:pPr>
            <w:r w:rsidRPr="00F13073">
              <w:t xml:space="preserve">Nie zaleca się podawania produktu leczniczego </w:t>
            </w:r>
            <w:r w:rsidR="00026375" w:rsidRPr="00F13073">
              <w:t>Avtozma</w:t>
            </w:r>
          </w:p>
        </w:tc>
      </w:tr>
      <w:tr w:rsidR="001E0975" w:rsidRPr="00F13073" w14:paraId="09A6F041" w14:textId="77777777" w:rsidTr="00554A89">
        <w:trPr>
          <w:cantSplit/>
          <w:tblHeader/>
          <w:jc w:val="center"/>
        </w:trPr>
        <w:tc>
          <w:tcPr>
            <w:tcW w:w="3024" w:type="dxa"/>
            <w:tcBorders>
              <w:top w:val="single" w:sz="4" w:space="0" w:color="auto"/>
              <w:left w:val="single" w:sz="4" w:space="0" w:color="auto"/>
            </w:tcBorders>
            <w:vAlign w:val="bottom"/>
          </w:tcPr>
          <w:p w14:paraId="587090A2" w14:textId="77777777" w:rsidR="001E0975" w:rsidRPr="00F13073" w:rsidRDefault="00242597" w:rsidP="008B4C50">
            <w:pPr>
              <w:suppressAutoHyphens/>
            </w:pPr>
            <w:r w:rsidRPr="00F13073">
              <w:t>Bezwzględna liczba granulocytów obojętnochłonnych</w:t>
            </w:r>
          </w:p>
        </w:tc>
        <w:tc>
          <w:tcPr>
            <w:tcW w:w="3024" w:type="dxa"/>
            <w:tcBorders>
              <w:top w:val="single" w:sz="4" w:space="0" w:color="auto"/>
              <w:left w:val="single" w:sz="4" w:space="0" w:color="auto"/>
            </w:tcBorders>
            <w:vAlign w:val="bottom"/>
          </w:tcPr>
          <w:p w14:paraId="71697542" w14:textId="77777777" w:rsidR="001E0975" w:rsidRPr="00F13073" w:rsidRDefault="00611033" w:rsidP="008B4C50">
            <w:pPr>
              <w:suppressAutoHyphens/>
            </w:pPr>
            <w:r w:rsidRPr="00F13073">
              <w:t>&lt;1 x 10</w:t>
            </w:r>
            <w:r w:rsidRPr="00F13073">
              <w:rPr>
                <w:vertAlign w:val="superscript"/>
              </w:rPr>
              <w:t>9</w:t>
            </w:r>
            <w:r w:rsidRPr="00F13073">
              <w:t xml:space="preserve"> /</w:t>
            </w:r>
            <w:r w:rsidR="00793DE8" w:rsidRPr="00F13073">
              <w:t>l</w:t>
            </w:r>
          </w:p>
        </w:tc>
        <w:tc>
          <w:tcPr>
            <w:tcW w:w="3029" w:type="dxa"/>
            <w:vMerge/>
            <w:tcBorders>
              <w:left w:val="single" w:sz="4" w:space="0" w:color="auto"/>
              <w:right w:val="single" w:sz="4" w:space="0" w:color="auto"/>
            </w:tcBorders>
          </w:tcPr>
          <w:p w14:paraId="75C46015" w14:textId="77777777" w:rsidR="001E0975" w:rsidRPr="00F13073" w:rsidRDefault="001E0975" w:rsidP="008B4C50">
            <w:pPr>
              <w:suppressAutoHyphens/>
            </w:pPr>
          </w:p>
        </w:tc>
      </w:tr>
      <w:tr w:rsidR="001E0975" w:rsidRPr="00F13073" w14:paraId="6082CA86" w14:textId="77777777" w:rsidTr="00554A89">
        <w:trPr>
          <w:cantSplit/>
          <w:tblHeader/>
          <w:jc w:val="center"/>
        </w:trPr>
        <w:tc>
          <w:tcPr>
            <w:tcW w:w="3024" w:type="dxa"/>
            <w:tcBorders>
              <w:top w:val="single" w:sz="4" w:space="0" w:color="auto"/>
              <w:left w:val="single" w:sz="4" w:space="0" w:color="auto"/>
              <w:bottom w:val="single" w:sz="4" w:space="0" w:color="auto"/>
            </w:tcBorders>
          </w:tcPr>
          <w:p w14:paraId="645BB35F" w14:textId="77777777" w:rsidR="001E0975" w:rsidRPr="00F13073" w:rsidRDefault="00242597" w:rsidP="008B4C50">
            <w:pPr>
              <w:suppressAutoHyphens/>
            </w:pPr>
            <w:r w:rsidRPr="00F13073">
              <w:t>Liczba płytek krwi</w:t>
            </w:r>
          </w:p>
        </w:tc>
        <w:tc>
          <w:tcPr>
            <w:tcW w:w="3024" w:type="dxa"/>
            <w:tcBorders>
              <w:top w:val="single" w:sz="4" w:space="0" w:color="auto"/>
              <w:left w:val="single" w:sz="4" w:space="0" w:color="auto"/>
              <w:bottom w:val="single" w:sz="4" w:space="0" w:color="auto"/>
            </w:tcBorders>
          </w:tcPr>
          <w:p w14:paraId="2CFD2179" w14:textId="77777777" w:rsidR="001E0975" w:rsidRPr="00F13073" w:rsidRDefault="00611033" w:rsidP="008B4C50">
            <w:pPr>
              <w:suppressAutoHyphens/>
            </w:pPr>
            <w:r w:rsidRPr="00F13073">
              <w:t>&lt;</w:t>
            </w:r>
            <w:r w:rsidR="00793DE8" w:rsidRPr="00F13073">
              <w:t xml:space="preserve"> </w:t>
            </w:r>
            <w:r w:rsidRPr="00F13073">
              <w:t>50 x 10</w:t>
            </w:r>
            <w:r w:rsidRPr="00F13073">
              <w:rPr>
                <w:vertAlign w:val="superscript"/>
              </w:rPr>
              <w:t>3</w:t>
            </w:r>
            <w:r w:rsidRPr="00F13073">
              <w:t xml:space="preserve"> /μ</w:t>
            </w:r>
            <w:r w:rsidR="00793DE8" w:rsidRPr="00F13073">
              <w:t>l</w:t>
            </w:r>
          </w:p>
        </w:tc>
        <w:tc>
          <w:tcPr>
            <w:tcW w:w="3029" w:type="dxa"/>
            <w:vMerge/>
            <w:tcBorders>
              <w:left w:val="single" w:sz="4" w:space="0" w:color="auto"/>
              <w:bottom w:val="single" w:sz="4" w:space="0" w:color="auto"/>
              <w:right w:val="single" w:sz="4" w:space="0" w:color="auto"/>
            </w:tcBorders>
          </w:tcPr>
          <w:p w14:paraId="05F9F042" w14:textId="77777777" w:rsidR="001E0975" w:rsidRPr="00F13073" w:rsidRDefault="001E0975" w:rsidP="008B4C50">
            <w:pPr>
              <w:suppressAutoHyphens/>
            </w:pPr>
          </w:p>
        </w:tc>
      </w:tr>
    </w:tbl>
    <w:p w14:paraId="14A05983" w14:textId="77777777" w:rsidR="001E0975" w:rsidRPr="00F13073" w:rsidRDefault="001E0975" w:rsidP="008B4C50"/>
    <w:p w14:paraId="6696C078" w14:textId="77777777" w:rsidR="001E0975" w:rsidRPr="00F13073" w:rsidRDefault="00D3060F" w:rsidP="008B4C50">
      <w:pPr>
        <w:keepNext/>
        <w:rPr>
          <w:u w:val="single"/>
        </w:rPr>
      </w:pPr>
      <w:r w:rsidRPr="00F13073">
        <w:rPr>
          <w:u w:val="single"/>
        </w:rPr>
        <w:t>Zespół uwalniania cytokin (CRS) (dorośli oraz dzieci i młodzież</w:t>
      </w:r>
      <w:r w:rsidR="00611033" w:rsidRPr="00F13073">
        <w:rPr>
          <w:u w:val="single"/>
        </w:rPr>
        <w:t>)</w:t>
      </w:r>
    </w:p>
    <w:p w14:paraId="4062992E" w14:textId="24CEAB39" w:rsidR="00D3060F" w:rsidRPr="00F13073" w:rsidRDefault="00D3060F" w:rsidP="00554A89">
      <w:r w:rsidRPr="00F13073">
        <w:t>Zalecana dawka w leczeniu CRS jest podawana w 60-minutowym wlewie dożylnym i wynosi 8 mg/kg u pacjentów o masie ciała większej lub równej 30 kg lub 12 mg/kg u pacjentów o masie ciała poniżej 30</w:t>
      </w:r>
      <w:r w:rsidR="00554A89" w:rsidRPr="00F13073">
        <w:t> </w:t>
      </w:r>
      <w:r w:rsidRPr="00F13073">
        <w:t xml:space="preserve">kg. Produkt leczniczy </w:t>
      </w:r>
      <w:r w:rsidR="00026375" w:rsidRPr="00F13073">
        <w:t>Avtozma</w:t>
      </w:r>
      <w:r w:rsidRPr="00F13073">
        <w:t xml:space="preserve"> może być podawany w monoterapii lub w skojarzeniu z kortykosteroidami.</w:t>
      </w:r>
    </w:p>
    <w:p w14:paraId="219B4E88" w14:textId="77777777" w:rsidR="00D3060F" w:rsidRPr="00F13073" w:rsidRDefault="00D3060F" w:rsidP="008B4C50"/>
    <w:p w14:paraId="5E20828F" w14:textId="278B7A68" w:rsidR="00D3060F" w:rsidRPr="00F13073" w:rsidRDefault="00D3060F" w:rsidP="008B4C50">
      <w:r w:rsidRPr="00F13073">
        <w:t xml:space="preserve">Przy braku klinicznej poprawy w zakresie przedmiotowych i podmiotowych objawów CRS po podaniu pierwszej dawki, można podać maksymalnie 3 dodatkowe dawki produktu leczniczego </w:t>
      </w:r>
      <w:r w:rsidR="00026375" w:rsidRPr="00F13073">
        <w:t>Avtozma</w:t>
      </w:r>
      <w:r w:rsidRPr="00F13073">
        <w:t>. Odstęp pomiędzy kolejnymi dawkami powinien wynosić co najmniej 8 godzin. Dawki przekraczające 800 mg na wlew nie są zalecane u pacjentów z CRS.</w:t>
      </w:r>
    </w:p>
    <w:p w14:paraId="203D88E9" w14:textId="77777777" w:rsidR="00D3060F" w:rsidRPr="00F13073" w:rsidRDefault="00D3060F" w:rsidP="008B4C50"/>
    <w:p w14:paraId="73BA07C4" w14:textId="77777777" w:rsidR="001E0975" w:rsidRPr="00F13073" w:rsidRDefault="00D3060F" w:rsidP="008B4C50">
      <w:r w:rsidRPr="00F13073">
        <w:t>Pacjenci z ciężkim lub zagrażającym życiu CRS mają często cytopenie lub charakteryzują się podwyższoną aktywnością AlAT lub AspAT z powodu zasadniczego procesu nowotworowego, przebytej chemioterapii limfodeplecyjnej lub CRS.</w:t>
      </w:r>
    </w:p>
    <w:p w14:paraId="42C8E217" w14:textId="77777777" w:rsidR="00564056" w:rsidRPr="00F13073" w:rsidRDefault="00564056" w:rsidP="008B4C50"/>
    <w:p w14:paraId="2F9657CF" w14:textId="77777777" w:rsidR="001E0975" w:rsidRPr="00F13073" w:rsidRDefault="00D3060F" w:rsidP="008B4C50">
      <w:pPr>
        <w:keepNext/>
        <w:rPr>
          <w:u w:val="single"/>
        </w:rPr>
      </w:pPr>
      <w:r w:rsidRPr="00F13073">
        <w:rPr>
          <w:u w:val="single"/>
        </w:rPr>
        <w:lastRenderedPageBreak/>
        <w:t>Szczególne grupy pacjentów</w:t>
      </w:r>
    </w:p>
    <w:p w14:paraId="35B376AB" w14:textId="77777777" w:rsidR="00564056" w:rsidRPr="00F13073" w:rsidRDefault="00564056" w:rsidP="008B4C50">
      <w:pPr>
        <w:keepNext/>
        <w:rPr>
          <w:u w:val="single"/>
        </w:rPr>
      </w:pPr>
    </w:p>
    <w:p w14:paraId="40DC4920" w14:textId="77777777" w:rsidR="001E0975" w:rsidRPr="00F13073" w:rsidRDefault="00D3060F" w:rsidP="008B4C50">
      <w:pPr>
        <w:keepNext/>
        <w:rPr>
          <w:i/>
          <w:iCs/>
        </w:rPr>
      </w:pPr>
      <w:r w:rsidRPr="00F13073">
        <w:rPr>
          <w:i/>
          <w:iCs/>
        </w:rPr>
        <w:t>Dzieci</w:t>
      </w:r>
    </w:p>
    <w:p w14:paraId="5DEE23A5" w14:textId="77777777" w:rsidR="00564056" w:rsidRPr="00F13073" w:rsidRDefault="00564056" w:rsidP="008B4C50">
      <w:pPr>
        <w:keepNext/>
        <w:rPr>
          <w:i/>
          <w:iCs/>
        </w:rPr>
      </w:pPr>
    </w:p>
    <w:p w14:paraId="13DA54AD" w14:textId="77777777" w:rsidR="001E0975" w:rsidRPr="00F13073" w:rsidRDefault="00D3060F" w:rsidP="008B4C50">
      <w:pPr>
        <w:keepNext/>
        <w:rPr>
          <w:i/>
          <w:iCs/>
        </w:rPr>
      </w:pPr>
      <w:r w:rsidRPr="00F13073">
        <w:rPr>
          <w:i/>
          <w:iCs/>
        </w:rPr>
        <w:t>Chorzy na uMIZS</w:t>
      </w:r>
    </w:p>
    <w:p w14:paraId="39EF1B42" w14:textId="77777777" w:rsidR="00564056" w:rsidRPr="00F13073" w:rsidRDefault="00564056" w:rsidP="008B4C50">
      <w:pPr>
        <w:keepNext/>
        <w:rPr>
          <w:i/>
          <w:iCs/>
        </w:rPr>
      </w:pPr>
    </w:p>
    <w:p w14:paraId="24F58579" w14:textId="77777777" w:rsidR="00D3060F" w:rsidRPr="00F13073" w:rsidRDefault="00D3060F" w:rsidP="008B4C50">
      <w:r w:rsidRPr="00F13073">
        <w:t>Zalecana dawka u pacjentów powyżej 2 roku życia wynosi 8 mg/kg, podawana raz na dwa tygodnie u pacjentów o masie ciała większej lub równej 30 kg, lub 12 mg/kg podawana raz na dwa tygodnie u pacjentów o masie ciała poniżej 30 kg. Przed każdym podaniem należy obliczyć dawkę w oparciu o masę ciała pacjenta. Dawka może być zmieniana wyłącznie w oparciu o stałe zmiany masy ciała pacjenta wraz z upływem czasu.</w:t>
      </w:r>
    </w:p>
    <w:p w14:paraId="7A0E4C45" w14:textId="77777777" w:rsidR="00D3060F" w:rsidRPr="00F13073" w:rsidRDefault="00D3060F" w:rsidP="008B4C50"/>
    <w:p w14:paraId="1190E0B1" w14:textId="2CE3B34F" w:rsidR="00D3060F" w:rsidRPr="00F13073" w:rsidRDefault="00D3060F" w:rsidP="008B4C50">
      <w:r w:rsidRPr="00F13073">
        <w:t xml:space="preserve">Nie ustalono bezpieczeństwa i skuteczności dożylnego stosowania produktu leczniczego </w:t>
      </w:r>
      <w:r w:rsidR="00026375" w:rsidRPr="00F13073">
        <w:t>Avtozma</w:t>
      </w:r>
      <w:r w:rsidRPr="00F13073">
        <w:t xml:space="preserve"> u dzieci w wieku poniżej 2 lat.</w:t>
      </w:r>
    </w:p>
    <w:p w14:paraId="7E088FE2" w14:textId="77777777" w:rsidR="00D3060F" w:rsidRPr="00F13073" w:rsidRDefault="00D3060F" w:rsidP="008B4C50"/>
    <w:p w14:paraId="2984CA0A" w14:textId="77777777" w:rsidR="001E0975" w:rsidRPr="00F13073" w:rsidRDefault="00D3060F" w:rsidP="008B4C50">
      <w:r w:rsidRPr="00F13073">
        <w:t>U pacjentów z uMIZS zaleca się przerwanie podawania tocilizumabu, jeśli wystąpią nieprawidłowe wyniki badań laboratoryjnych wymienione w tabelach poniżej. Gdy jest to właściwe, dawka przyjmowanego równolegle MTX i (lub) innych leków powinna zostać zmodyfikowana lub należy zaprzestać ich podawania oraz należy przerwać podawanie tocilizumabu do czasu uzyskania oceny sytuacji klinicznej. Jakkolwiek wiele współistniejących chorób może wpływać na wyniki badań laboratoryjnych u pacjentów z uMIZS, decyzja o przerwaniu podawania tocilizumabu w związku z nieprawidłowymi wynikami badań laboratoryjnych powinna opierać się na ocenie lekarskiej danego pacjenta.</w:t>
      </w:r>
    </w:p>
    <w:p w14:paraId="66479BB3" w14:textId="77777777" w:rsidR="00564056" w:rsidRPr="00F13073" w:rsidRDefault="00564056" w:rsidP="008B4C50"/>
    <w:p w14:paraId="642D1976" w14:textId="77777777" w:rsidR="001E0975" w:rsidRPr="00F13073" w:rsidRDefault="00D3060F" w:rsidP="008B4C50">
      <w:pPr>
        <w:pStyle w:val="a0"/>
        <w:keepNext/>
        <w:numPr>
          <w:ilvl w:val="0"/>
          <w:numId w:val="4"/>
        </w:numPr>
        <w:ind w:left="567" w:hanging="567"/>
        <w:contextualSpacing w:val="0"/>
      </w:pPr>
      <w:r w:rsidRPr="00F13073">
        <w:t>Nieprawidłowe wyniki badań laboratoryjnych dotyczących enzymów wątrobowych</w:t>
      </w:r>
    </w:p>
    <w:p w14:paraId="3136B23D" w14:textId="77777777" w:rsidR="00564056" w:rsidRPr="00F13073" w:rsidRDefault="00564056"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1987"/>
        <w:gridCol w:w="7118"/>
      </w:tblGrid>
      <w:tr w:rsidR="001E0975" w:rsidRPr="00F13073" w14:paraId="77508FB1" w14:textId="77777777" w:rsidTr="00D854D5">
        <w:trPr>
          <w:cantSplit/>
          <w:tblHeader/>
          <w:jc w:val="center"/>
        </w:trPr>
        <w:tc>
          <w:tcPr>
            <w:tcW w:w="1987" w:type="dxa"/>
            <w:tcBorders>
              <w:top w:val="single" w:sz="4" w:space="0" w:color="auto"/>
              <w:left w:val="single" w:sz="4" w:space="0" w:color="auto"/>
            </w:tcBorders>
          </w:tcPr>
          <w:p w14:paraId="1A6096FE" w14:textId="77777777" w:rsidR="00493F7A" w:rsidRPr="00F13073" w:rsidRDefault="00D3060F" w:rsidP="002322A1">
            <w:pPr>
              <w:keepNext/>
              <w:suppressAutoHyphens/>
              <w:jc w:val="center"/>
            </w:pPr>
            <w:r w:rsidRPr="00F13073">
              <w:t>Wartość laboratoryjna</w:t>
            </w:r>
          </w:p>
        </w:tc>
        <w:tc>
          <w:tcPr>
            <w:tcW w:w="7118" w:type="dxa"/>
            <w:tcBorders>
              <w:top w:val="single" w:sz="4" w:space="0" w:color="auto"/>
              <w:left w:val="single" w:sz="4" w:space="0" w:color="auto"/>
              <w:right w:val="single" w:sz="4" w:space="0" w:color="auto"/>
            </w:tcBorders>
          </w:tcPr>
          <w:p w14:paraId="068D5708" w14:textId="77777777" w:rsidR="00493F7A" w:rsidRPr="00F13073" w:rsidRDefault="00D3060F" w:rsidP="002322A1">
            <w:pPr>
              <w:keepNext/>
              <w:suppressAutoHyphens/>
              <w:jc w:val="center"/>
            </w:pPr>
            <w:r w:rsidRPr="00F13073">
              <w:t>Zalecane postępowanie</w:t>
            </w:r>
          </w:p>
        </w:tc>
      </w:tr>
      <w:tr w:rsidR="001E0975" w:rsidRPr="00F13073" w14:paraId="4C1BF010" w14:textId="77777777" w:rsidTr="00D854D5">
        <w:trPr>
          <w:cantSplit/>
          <w:tblHeader/>
          <w:jc w:val="center"/>
        </w:trPr>
        <w:tc>
          <w:tcPr>
            <w:tcW w:w="1987" w:type="dxa"/>
            <w:tcBorders>
              <w:top w:val="single" w:sz="4" w:space="0" w:color="auto"/>
              <w:left w:val="single" w:sz="4" w:space="0" w:color="auto"/>
            </w:tcBorders>
          </w:tcPr>
          <w:p w14:paraId="68A56592" w14:textId="77777777" w:rsidR="00493F7A" w:rsidRPr="00F13073" w:rsidRDefault="00611033" w:rsidP="008B4C50">
            <w:pPr>
              <w:suppressAutoHyphens/>
            </w:pPr>
            <w:r w:rsidRPr="00F13073">
              <w:t xml:space="preserve">&gt; </w:t>
            </w:r>
            <w:r w:rsidR="00D3060F" w:rsidRPr="00F13073">
              <w:t>1 do 3 x górna granica normy (GGN)</w:t>
            </w:r>
          </w:p>
        </w:tc>
        <w:tc>
          <w:tcPr>
            <w:tcW w:w="7118" w:type="dxa"/>
            <w:tcBorders>
              <w:top w:val="single" w:sz="4" w:space="0" w:color="auto"/>
              <w:left w:val="single" w:sz="4" w:space="0" w:color="auto"/>
              <w:right w:val="single" w:sz="4" w:space="0" w:color="auto"/>
            </w:tcBorders>
          </w:tcPr>
          <w:p w14:paraId="2C367E03" w14:textId="77777777" w:rsidR="00D3060F" w:rsidRPr="00F13073" w:rsidRDefault="00D3060F" w:rsidP="008B4C50">
            <w:pPr>
              <w:suppressAutoHyphens/>
            </w:pPr>
            <w:r w:rsidRPr="00F13073">
              <w:t>Należy zmodyfikować dawkę podawanego równolegle MTX w przypadkach, gdy jest to właściwe</w:t>
            </w:r>
          </w:p>
          <w:p w14:paraId="418D091D" w14:textId="77777777" w:rsidR="00D3060F" w:rsidRPr="00F13073" w:rsidRDefault="00D3060F" w:rsidP="008B4C50">
            <w:pPr>
              <w:suppressAutoHyphens/>
            </w:pPr>
          </w:p>
          <w:p w14:paraId="5AA37713" w14:textId="3662BB23" w:rsidR="00493F7A" w:rsidRPr="00F13073" w:rsidRDefault="00D3060F" w:rsidP="008B4C50">
            <w:pPr>
              <w:suppressAutoHyphens/>
            </w:pPr>
            <w:r w:rsidRPr="00F13073">
              <w:t xml:space="preserve">W przypadku utrzymywania się zwiększonych wartości w tym zakresie należy przerwać podawanie produktu leczniczego </w:t>
            </w:r>
            <w:r w:rsidR="00026375" w:rsidRPr="00F13073">
              <w:t>Avtozma</w:t>
            </w:r>
            <w:r w:rsidRPr="00F13073">
              <w:t xml:space="preserve"> do czasu powrotu do prawidłowych wartości aktywności aminotransferazy alaninowej (AlAT) lub aminotransferazy asparaginianowej (AspAT)</w:t>
            </w:r>
          </w:p>
        </w:tc>
      </w:tr>
      <w:tr w:rsidR="001E0975" w:rsidRPr="00F13073" w14:paraId="6F54B000" w14:textId="77777777" w:rsidTr="00D854D5">
        <w:trPr>
          <w:cantSplit/>
          <w:tblHeader/>
          <w:jc w:val="center"/>
        </w:trPr>
        <w:tc>
          <w:tcPr>
            <w:tcW w:w="1987" w:type="dxa"/>
            <w:tcBorders>
              <w:top w:val="single" w:sz="4" w:space="0" w:color="auto"/>
              <w:left w:val="single" w:sz="4" w:space="0" w:color="auto"/>
            </w:tcBorders>
          </w:tcPr>
          <w:p w14:paraId="66D57FAF" w14:textId="77777777" w:rsidR="00493F7A" w:rsidRPr="00F13073" w:rsidRDefault="00611033" w:rsidP="008B4C50">
            <w:pPr>
              <w:suppressAutoHyphens/>
            </w:pPr>
            <w:r w:rsidRPr="00F13073">
              <w:t xml:space="preserve">&gt; </w:t>
            </w:r>
            <w:r w:rsidR="00D3060F" w:rsidRPr="00F13073">
              <w:t>3 do 5 x GGN</w:t>
            </w:r>
          </w:p>
        </w:tc>
        <w:tc>
          <w:tcPr>
            <w:tcW w:w="7118" w:type="dxa"/>
            <w:tcBorders>
              <w:top w:val="single" w:sz="4" w:space="0" w:color="auto"/>
              <w:left w:val="single" w:sz="4" w:space="0" w:color="auto"/>
              <w:right w:val="single" w:sz="4" w:space="0" w:color="auto"/>
            </w:tcBorders>
          </w:tcPr>
          <w:p w14:paraId="27904FAA" w14:textId="77777777" w:rsidR="00D3060F" w:rsidRPr="00F13073" w:rsidRDefault="00D3060F" w:rsidP="008B4C50">
            <w:pPr>
              <w:suppressAutoHyphens/>
            </w:pPr>
            <w:r w:rsidRPr="00F13073">
              <w:t>Należy zmodyfikować dawkę podawanego równolegle MTX w przypadkach, gdy jest to właściwe</w:t>
            </w:r>
          </w:p>
          <w:p w14:paraId="664D0698" w14:textId="77777777" w:rsidR="00D3060F" w:rsidRPr="00F13073" w:rsidRDefault="00D3060F" w:rsidP="008B4C50">
            <w:pPr>
              <w:suppressAutoHyphens/>
            </w:pPr>
          </w:p>
          <w:p w14:paraId="3402ED41" w14:textId="04B1F49A" w:rsidR="00493F7A" w:rsidRPr="00F13073" w:rsidRDefault="00D3060F" w:rsidP="008B4C50">
            <w:pPr>
              <w:suppressAutoHyphens/>
            </w:pPr>
            <w:r w:rsidRPr="00F13073">
              <w:t xml:space="preserve">Przejściowo przerwać podawanie produktu leczniczego </w:t>
            </w:r>
            <w:r w:rsidR="00026375" w:rsidRPr="00F13073">
              <w:t>Avtozma</w:t>
            </w:r>
            <w:r w:rsidRPr="00F13073">
              <w:t xml:space="preserve"> do czasu, gdy wartości osiągną poziom &lt; 3 x GGN i postępować zgodnie z zaleceniami podanymi powyżej dla &gt; 1 do 3 x GGN</w:t>
            </w:r>
          </w:p>
        </w:tc>
      </w:tr>
      <w:tr w:rsidR="001E0975" w:rsidRPr="00F13073" w14:paraId="50CAEF08" w14:textId="77777777" w:rsidTr="00D854D5">
        <w:trPr>
          <w:cantSplit/>
          <w:tblHeader/>
          <w:jc w:val="center"/>
        </w:trPr>
        <w:tc>
          <w:tcPr>
            <w:tcW w:w="1987" w:type="dxa"/>
            <w:tcBorders>
              <w:top w:val="single" w:sz="4" w:space="0" w:color="auto"/>
              <w:left w:val="single" w:sz="4" w:space="0" w:color="auto"/>
              <w:bottom w:val="single" w:sz="4" w:space="0" w:color="auto"/>
            </w:tcBorders>
          </w:tcPr>
          <w:p w14:paraId="1EF0E497" w14:textId="77777777" w:rsidR="00493F7A" w:rsidRPr="00F13073" w:rsidRDefault="00611033" w:rsidP="008B4C50">
            <w:pPr>
              <w:suppressAutoHyphens/>
            </w:pPr>
            <w:r w:rsidRPr="00F13073">
              <w:t xml:space="preserve">&gt; </w:t>
            </w:r>
            <w:r w:rsidR="00D3060F" w:rsidRPr="00F13073">
              <w:t>5 x GGN</w:t>
            </w:r>
          </w:p>
        </w:tc>
        <w:tc>
          <w:tcPr>
            <w:tcW w:w="7118" w:type="dxa"/>
            <w:tcBorders>
              <w:top w:val="single" w:sz="4" w:space="0" w:color="auto"/>
              <w:left w:val="single" w:sz="4" w:space="0" w:color="auto"/>
              <w:bottom w:val="single" w:sz="4" w:space="0" w:color="auto"/>
              <w:right w:val="single" w:sz="4" w:space="0" w:color="auto"/>
            </w:tcBorders>
          </w:tcPr>
          <w:p w14:paraId="1A7E409C" w14:textId="3A0164FA" w:rsidR="00D3060F" w:rsidRPr="00F13073" w:rsidRDefault="00D3060F" w:rsidP="008B4C50">
            <w:pPr>
              <w:suppressAutoHyphens/>
            </w:pPr>
            <w:r w:rsidRPr="00F13073">
              <w:t xml:space="preserve">Przerwanie podawania produktu leczniczego </w:t>
            </w:r>
            <w:r w:rsidR="00026375" w:rsidRPr="00F13073">
              <w:t>Avtozma</w:t>
            </w:r>
          </w:p>
          <w:p w14:paraId="78816CA5" w14:textId="77777777" w:rsidR="00644789" w:rsidRPr="00F13073" w:rsidRDefault="00644789" w:rsidP="008B4C50">
            <w:pPr>
              <w:suppressAutoHyphens/>
            </w:pPr>
          </w:p>
          <w:p w14:paraId="1831FD31" w14:textId="628BAB07" w:rsidR="00493F7A" w:rsidRPr="00F13073" w:rsidRDefault="00D3060F" w:rsidP="008B4C50">
            <w:pPr>
              <w:suppressAutoHyphens/>
            </w:pPr>
            <w:r w:rsidRPr="00F13073">
              <w:t xml:space="preserve">Decyzja o przerwaniu podawania </w:t>
            </w:r>
            <w:r w:rsidR="00784F4F" w:rsidRPr="00F13073">
              <w:t xml:space="preserve">produktu leczniczego Avtozma </w:t>
            </w:r>
            <w:r w:rsidRPr="00F13073">
              <w:t>u pacjenta uMIZS w związku z nieprawidłowymi wynikami badań laboratoryjnych powinna opierać się na badaniu lekarskim danego pacjenta.</w:t>
            </w:r>
          </w:p>
        </w:tc>
      </w:tr>
    </w:tbl>
    <w:p w14:paraId="1440E285" w14:textId="77777777" w:rsidR="001E0975" w:rsidRPr="00F13073" w:rsidRDefault="001E0975" w:rsidP="008B4C50"/>
    <w:p w14:paraId="183ECF47" w14:textId="77777777" w:rsidR="001E0975" w:rsidRPr="00F13073" w:rsidRDefault="0032324B" w:rsidP="008B4C50">
      <w:pPr>
        <w:pStyle w:val="a0"/>
        <w:keepNext/>
        <w:numPr>
          <w:ilvl w:val="0"/>
          <w:numId w:val="4"/>
        </w:numPr>
        <w:ind w:left="567" w:hanging="567"/>
        <w:contextualSpacing w:val="0"/>
      </w:pPr>
      <w:r w:rsidRPr="00F13073">
        <w:lastRenderedPageBreak/>
        <w:t>Mała bezwzględna liczba granulocytów obojętnochłonnych (</w:t>
      </w:r>
      <w:r w:rsidRPr="00F13073">
        <w:rPr>
          <w:i/>
          <w:iCs/>
        </w:rPr>
        <w:t>ang.</w:t>
      </w:r>
      <w:r w:rsidRPr="00F13073">
        <w:t xml:space="preserve"> ANC)</w:t>
      </w:r>
    </w:p>
    <w:p w14:paraId="3CA28ACB" w14:textId="77777777" w:rsidR="00493F7A" w:rsidRPr="00F13073" w:rsidRDefault="00493F7A" w:rsidP="008B4C50">
      <w:pPr>
        <w:keepNext/>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87"/>
        <w:gridCol w:w="7118"/>
      </w:tblGrid>
      <w:tr w:rsidR="001E0975" w:rsidRPr="00F13073" w14:paraId="4B55085E" w14:textId="77777777" w:rsidTr="00D854D5">
        <w:trPr>
          <w:cantSplit/>
          <w:tblHeader/>
          <w:jc w:val="center"/>
        </w:trPr>
        <w:tc>
          <w:tcPr>
            <w:tcW w:w="1987" w:type="dxa"/>
          </w:tcPr>
          <w:p w14:paraId="42B369D5" w14:textId="77777777" w:rsidR="00493F7A" w:rsidRPr="00F13073" w:rsidRDefault="0032324B" w:rsidP="002322A1">
            <w:pPr>
              <w:keepNext/>
              <w:suppressAutoHyphens/>
              <w:jc w:val="center"/>
            </w:pPr>
            <w:r w:rsidRPr="00F13073">
              <w:t>Wartość laboratoryjna (liczba komórek</w:t>
            </w:r>
            <w:r w:rsidR="00611033" w:rsidRPr="00F13073">
              <w:t xml:space="preserve"> x 10</w:t>
            </w:r>
            <w:r w:rsidR="00611033" w:rsidRPr="00F13073">
              <w:rPr>
                <w:vertAlign w:val="superscript"/>
              </w:rPr>
              <w:t>9</w:t>
            </w:r>
            <w:r w:rsidR="00611033" w:rsidRPr="00F13073">
              <w:t>/l)</w:t>
            </w:r>
          </w:p>
        </w:tc>
        <w:tc>
          <w:tcPr>
            <w:tcW w:w="7118" w:type="dxa"/>
          </w:tcPr>
          <w:p w14:paraId="77EFF348" w14:textId="77777777" w:rsidR="00493F7A" w:rsidRPr="00F13073" w:rsidRDefault="0032324B" w:rsidP="002322A1">
            <w:pPr>
              <w:keepNext/>
              <w:suppressAutoHyphens/>
              <w:jc w:val="center"/>
            </w:pPr>
            <w:r w:rsidRPr="00F13073">
              <w:t>Zalecane postępowanie</w:t>
            </w:r>
          </w:p>
        </w:tc>
      </w:tr>
      <w:tr w:rsidR="001E0975" w:rsidRPr="00F13073" w14:paraId="45BB43F5" w14:textId="77777777" w:rsidTr="00D854D5">
        <w:trPr>
          <w:cantSplit/>
          <w:tblHeader/>
          <w:jc w:val="center"/>
        </w:trPr>
        <w:tc>
          <w:tcPr>
            <w:tcW w:w="1987" w:type="dxa"/>
          </w:tcPr>
          <w:p w14:paraId="182ED7B1" w14:textId="77777777" w:rsidR="00493F7A" w:rsidRPr="00F13073" w:rsidRDefault="00611033" w:rsidP="008B4C50">
            <w:pPr>
              <w:suppressAutoHyphens/>
            </w:pPr>
            <w:r w:rsidRPr="00F13073">
              <w:t>ANC &gt; 1</w:t>
            </w:r>
          </w:p>
        </w:tc>
        <w:tc>
          <w:tcPr>
            <w:tcW w:w="7118" w:type="dxa"/>
          </w:tcPr>
          <w:p w14:paraId="58155719" w14:textId="77777777" w:rsidR="00493F7A" w:rsidRPr="00F13073" w:rsidRDefault="000651E6" w:rsidP="008B4C50">
            <w:pPr>
              <w:suppressAutoHyphens/>
            </w:pPr>
            <w:r w:rsidRPr="00F13073">
              <w:t>Utrzymanie dotychczasowej dawki</w:t>
            </w:r>
          </w:p>
        </w:tc>
      </w:tr>
      <w:tr w:rsidR="001E0975" w:rsidRPr="00F13073" w14:paraId="7E01AF55" w14:textId="77777777" w:rsidTr="00D854D5">
        <w:trPr>
          <w:cantSplit/>
          <w:tblHeader/>
          <w:jc w:val="center"/>
        </w:trPr>
        <w:tc>
          <w:tcPr>
            <w:tcW w:w="1987" w:type="dxa"/>
          </w:tcPr>
          <w:p w14:paraId="3C2ADABB" w14:textId="77777777" w:rsidR="00493F7A" w:rsidRPr="00F13073" w:rsidRDefault="00611033" w:rsidP="008B4C50">
            <w:pPr>
              <w:suppressAutoHyphens/>
            </w:pPr>
            <w:r w:rsidRPr="00F13073">
              <w:t xml:space="preserve">ANC </w:t>
            </w:r>
            <w:r w:rsidR="000651E6" w:rsidRPr="00F13073">
              <w:t>0,5 do</w:t>
            </w:r>
            <w:r w:rsidRPr="00F13073">
              <w:t xml:space="preserve"> 1</w:t>
            </w:r>
          </w:p>
        </w:tc>
        <w:tc>
          <w:tcPr>
            <w:tcW w:w="7118" w:type="dxa"/>
          </w:tcPr>
          <w:p w14:paraId="531611C6" w14:textId="232D0E13" w:rsidR="000651E6" w:rsidRPr="00F13073" w:rsidRDefault="000651E6" w:rsidP="008B4C50">
            <w:pPr>
              <w:suppressAutoHyphens/>
            </w:pPr>
            <w:r w:rsidRPr="00F13073">
              <w:t xml:space="preserve">Przejściowe przerwanie podawania produktu leczniczego </w:t>
            </w:r>
            <w:r w:rsidR="00026375" w:rsidRPr="00F13073">
              <w:t>Avtozma</w:t>
            </w:r>
          </w:p>
          <w:p w14:paraId="10B4AA9B" w14:textId="1A01D7DA" w:rsidR="00493F7A" w:rsidRPr="00F13073" w:rsidRDefault="000651E6" w:rsidP="008B4C50">
            <w:pPr>
              <w:suppressAutoHyphens/>
            </w:pPr>
            <w:r w:rsidRPr="00F13073">
              <w:t>Gdy wartość ANC wzrośnie &gt; 1 x 10</w:t>
            </w:r>
            <w:r w:rsidRPr="00F13073">
              <w:rPr>
                <w:vertAlign w:val="superscript"/>
              </w:rPr>
              <w:t>9</w:t>
            </w:r>
            <w:r w:rsidRPr="00F13073">
              <w:t xml:space="preserve">/l, należy wznowić podawanie produktu leczniczego </w:t>
            </w:r>
            <w:r w:rsidR="00026375" w:rsidRPr="00F13073">
              <w:t>Avtozma</w:t>
            </w:r>
          </w:p>
        </w:tc>
      </w:tr>
      <w:tr w:rsidR="001E0975" w:rsidRPr="00F13073" w14:paraId="133BD3A7" w14:textId="77777777" w:rsidTr="00D854D5">
        <w:trPr>
          <w:cantSplit/>
          <w:tblHeader/>
          <w:jc w:val="center"/>
        </w:trPr>
        <w:tc>
          <w:tcPr>
            <w:tcW w:w="1987" w:type="dxa"/>
          </w:tcPr>
          <w:p w14:paraId="21B04478" w14:textId="77777777" w:rsidR="00493F7A" w:rsidRPr="00F13073" w:rsidRDefault="00611033" w:rsidP="008B4C50">
            <w:pPr>
              <w:suppressAutoHyphens/>
            </w:pPr>
            <w:r w:rsidRPr="00F13073">
              <w:t>ANC &lt; 0</w:t>
            </w:r>
            <w:r w:rsidR="000651E6" w:rsidRPr="00F13073">
              <w:t>,</w:t>
            </w:r>
            <w:r w:rsidRPr="00F13073">
              <w:t>5</w:t>
            </w:r>
          </w:p>
        </w:tc>
        <w:tc>
          <w:tcPr>
            <w:tcW w:w="7118" w:type="dxa"/>
          </w:tcPr>
          <w:p w14:paraId="023F7B5A" w14:textId="172D1C24" w:rsidR="000651E6" w:rsidRPr="00F13073" w:rsidRDefault="000651E6" w:rsidP="008B4C50">
            <w:pPr>
              <w:suppressAutoHyphens/>
            </w:pPr>
            <w:r w:rsidRPr="00F13073">
              <w:t xml:space="preserve">Przerwanie podawania produktu leczniczego </w:t>
            </w:r>
            <w:r w:rsidR="00026375" w:rsidRPr="00F13073">
              <w:t>Avtozma</w:t>
            </w:r>
          </w:p>
          <w:p w14:paraId="586BD14F" w14:textId="77777777" w:rsidR="000651E6" w:rsidRPr="00F13073" w:rsidRDefault="000651E6" w:rsidP="008B4C50">
            <w:pPr>
              <w:suppressAutoHyphens/>
            </w:pPr>
          </w:p>
          <w:p w14:paraId="3B49A496" w14:textId="389D3E09" w:rsidR="00493F7A" w:rsidRPr="00F13073" w:rsidRDefault="000651E6" w:rsidP="008B4C50">
            <w:pPr>
              <w:suppressAutoHyphens/>
            </w:pPr>
            <w:r w:rsidRPr="00F13073">
              <w:t xml:space="preserve">Decyzja o przerwaniu podawania </w:t>
            </w:r>
            <w:r w:rsidR="005D1EDC" w:rsidRPr="00F13073">
              <w:t xml:space="preserve">produktu leczniczego Avtozma </w:t>
            </w:r>
            <w:r w:rsidRPr="00F13073">
              <w:t>u pacjenta uMIZS w związku z nieprawidłowymi wynikami badań laboratoryjnych powinna opierać się na badaniu lekarskim danego pacjenta.</w:t>
            </w:r>
          </w:p>
        </w:tc>
      </w:tr>
    </w:tbl>
    <w:p w14:paraId="79337A3E" w14:textId="77777777" w:rsidR="00493F7A" w:rsidRPr="00F13073" w:rsidRDefault="00493F7A" w:rsidP="008B4C50"/>
    <w:p w14:paraId="46E58ECA" w14:textId="77777777" w:rsidR="001E0975" w:rsidRPr="00F13073" w:rsidRDefault="000651E6" w:rsidP="008B4C50">
      <w:pPr>
        <w:pStyle w:val="a0"/>
        <w:keepNext/>
        <w:numPr>
          <w:ilvl w:val="0"/>
          <w:numId w:val="4"/>
        </w:numPr>
        <w:ind w:left="567" w:hanging="567"/>
        <w:contextualSpacing w:val="0"/>
      </w:pPr>
      <w:r w:rsidRPr="00F13073">
        <w:t>Mała liczba płytek krwi</w:t>
      </w:r>
    </w:p>
    <w:p w14:paraId="6FA3B55E" w14:textId="77777777" w:rsidR="00493F7A" w:rsidRPr="00F13073" w:rsidRDefault="00493F7A"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2078"/>
        <w:gridCol w:w="7027"/>
      </w:tblGrid>
      <w:tr w:rsidR="001E0975" w:rsidRPr="00F13073" w14:paraId="7A87EE31" w14:textId="77777777" w:rsidTr="002322A1">
        <w:trPr>
          <w:cantSplit/>
          <w:tblHeader/>
          <w:jc w:val="center"/>
        </w:trPr>
        <w:tc>
          <w:tcPr>
            <w:tcW w:w="2078" w:type="dxa"/>
            <w:tcBorders>
              <w:top w:val="single" w:sz="4" w:space="0" w:color="auto"/>
              <w:left w:val="single" w:sz="4" w:space="0" w:color="auto"/>
              <w:bottom w:val="single" w:sz="4" w:space="0" w:color="auto"/>
            </w:tcBorders>
          </w:tcPr>
          <w:p w14:paraId="7671DD1E" w14:textId="77777777" w:rsidR="001D3C7D" w:rsidRPr="00F13073" w:rsidRDefault="000651E6" w:rsidP="002322A1">
            <w:pPr>
              <w:keepNext/>
              <w:suppressAutoHyphens/>
              <w:jc w:val="center"/>
              <w:rPr>
                <w:b/>
                <w:bCs/>
              </w:rPr>
            </w:pPr>
            <w:r w:rsidRPr="00F13073">
              <w:rPr>
                <w:b/>
                <w:bCs/>
              </w:rPr>
              <w:t>Wartość laboratoryjna (liczba komórek</w:t>
            </w:r>
            <w:r w:rsidR="00611033" w:rsidRPr="00F13073">
              <w:rPr>
                <w:b/>
                <w:bCs/>
              </w:rPr>
              <w:t xml:space="preserve"> x 10</w:t>
            </w:r>
            <w:r w:rsidR="00611033" w:rsidRPr="00F13073">
              <w:rPr>
                <w:b/>
                <w:bCs/>
                <w:vertAlign w:val="superscript"/>
              </w:rPr>
              <w:t>3</w:t>
            </w:r>
            <w:r w:rsidR="00611033" w:rsidRPr="00F13073">
              <w:rPr>
                <w:b/>
                <w:bCs/>
              </w:rPr>
              <w:t>/µl)</w:t>
            </w:r>
          </w:p>
        </w:tc>
        <w:tc>
          <w:tcPr>
            <w:tcW w:w="7027" w:type="dxa"/>
            <w:tcBorders>
              <w:top w:val="single" w:sz="4" w:space="0" w:color="auto"/>
              <w:left w:val="single" w:sz="4" w:space="0" w:color="auto"/>
              <w:bottom w:val="single" w:sz="4" w:space="0" w:color="auto"/>
              <w:right w:val="single" w:sz="4" w:space="0" w:color="auto"/>
            </w:tcBorders>
          </w:tcPr>
          <w:p w14:paraId="093CBF6A" w14:textId="77777777" w:rsidR="001D3C7D" w:rsidRPr="00F13073" w:rsidRDefault="000651E6" w:rsidP="002322A1">
            <w:pPr>
              <w:keepNext/>
              <w:suppressAutoHyphens/>
              <w:jc w:val="center"/>
              <w:rPr>
                <w:b/>
                <w:bCs/>
              </w:rPr>
            </w:pPr>
            <w:r w:rsidRPr="00F13073">
              <w:rPr>
                <w:b/>
                <w:bCs/>
              </w:rPr>
              <w:t>Zalecane postępowanie</w:t>
            </w:r>
          </w:p>
        </w:tc>
      </w:tr>
      <w:tr w:rsidR="001E0975" w:rsidRPr="00F13073" w14:paraId="0EE89EF8" w14:textId="77777777" w:rsidTr="002322A1">
        <w:trPr>
          <w:cantSplit/>
          <w:jc w:val="center"/>
        </w:trPr>
        <w:tc>
          <w:tcPr>
            <w:tcW w:w="2078" w:type="dxa"/>
            <w:tcBorders>
              <w:top w:val="single" w:sz="4" w:space="0" w:color="auto"/>
              <w:left w:val="single" w:sz="4" w:space="0" w:color="auto"/>
              <w:bottom w:val="single" w:sz="4" w:space="0" w:color="auto"/>
            </w:tcBorders>
          </w:tcPr>
          <w:p w14:paraId="4BC9BFD7" w14:textId="77777777" w:rsidR="001D3C7D" w:rsidRPr="00F13073" w:rsidRDefault="00611033" w:rsidP="008B4C50">
            <w:pPr>
              <w:suppressAutoHyphens/>
            </w:pPr>
            <w:r w:rsidRPr="00F13073">
              <w:t xml:space="preserve">50 </w:t>
            </w:r>
            <w:r w:rsidR="000651E6" w:rsidRPr="00F13073">
              <w:t>d</w:t>
            </w:r>
            <w:r w:rsidRPr="00F13073">
              <w:t>o 100</w:t>
            </w:r>
          </w:p>
        </w:tc>
        <w:tc>
          <w:tcPr>
            <w:tcW w:w="7027" w:type="dxa"/>
            <w:tcBorders>
              <w:top w:val="single" w:sz="4" w:space="0" w:color="auto"/>
              <w:left w:val="single" w:sz="4" w:space="0" w:color="auto"/>
              <w:bottom w:val="single" w:sz="4" w:space="0" w:color="auto"/>
              <w:right w:val="single" w:sz="4" w:space="0" w:color="auto"/>
            </w:tcBorders>
          </w:tcPr>
          <w:p w14:paraId="15D186A1" w14:textId="77777777" w:rsidR="000651E6" w:rsidRPr="00F13073" w:rsidRDefault="000651E6" w:rsidP="008B4C50">
            <w:pPr>
              <w:suppressAutoHyphens/>
            </w:pPr>
            <w:r w:rsidRPr="00F13073">
              <w:t>Należy zmodyfikować dawkę podawanego równolegle MTX w przypadkach, gdy jest to właściwe</w:t>
            </w:r>
          </w:p>
          <w:p w14:paraId="22269B11" w14:textId="77777777" w:rsidR="000651E6" w:rsidRPr="00F13073" w:rsidRDefault="000651E6" w:rsidP="008B4C50">
            <w:pPr>
              <w:suppressAutoHyphens/>
            </w:pPr>
          </w:p>
          <w:p w14:paraId="3E17A714" w14:textId="0361B883" w:rsidR="000651E6" w:rsidRPr="00F13073" w:rsidRDefault="000651E6" w:rsidP="008B4C50">
            <w:pPr>
              <w:suppressAutoHyphens/>
            </w:pPr>
            <w:r w:rsidRPr="00F13073">
              <w:t xml:space="preserve">Przejściowe przerwanie podawania produktu leczniczego </w:t>
            </w:r>
            <w:r w:rsidR="00026375" w:rsidRPr="00F13073">
              <w:t>Avtozma</w:t>
            </w:r>
          </w:p>
          <w:p w14:paraId="2C71842E" w14:textId="77777777" w:rsidR="000651E6" w:rsidRPr="00F13073" w:rsidRDefault="000651E6" w:rsidP="008B4C50">
            <w:pPr>
              <w:suppressAutoHyphens/>
            </w:pPr>
          </w:p>
          <w:p w14:paraId="19E8B15B" w14:textId="56F039E1" w:rsidR="001D3C7D" w:rsidRPr="00F13073" w:rsidRDefault="000651E6" w:rsidP="008B4C50">
            <w:pPr>
              <w:suppressAutoHyphens/>
            </w:pPr>
            <w:r w:rsidRPr="00F13073">
              <w:t>Gdy liczba płytek krwi wzrośnie &gt; 100 x 10</w:t>
            </w:r>
            <w:r w:rsidRPr="00F13073">
              <w:rPr>
                <w:vertAlign w:val="superscript"/>
              </w:rPr>
              <w:t>3</w:t>
            </w:r>
            <w:r w:rsidRPr="00F13073">
              <w:t xml:space="preserve">/μl, należy wznowić podawanie produktu leczniczego </w:t>
            </w:r>
            <w:r w:rsidR="00026375" w:rsidRPr="00F13073">
              <w:t>Avtozma</w:t>
            </w:r>
          </w:p>
        </w:tc>
      </w:tr>
      <w:tr w:rsidR="001E0975" w:rsidRPr="00F13073" w14:paraId="3294058C" w14:textId="77777777" w:rsidTr="002322A1">
        <w:trPr>
          <w:cantSplit/>
          <w:jc w:val="center"/>
        </w:trPr>
        <w:tc>
          <w:tcPr>
            <w:tcW w:w="2078" w:type="dxa"/>
            <w:tcBorders>
              <w:top w:val="single" w:sz="4" w:space="0" w:color="auto"/>
              <w:left w:val="single" w:sz="4" w:space="0" w:color="auto"/>
              <w:bottom w:val="single" w:sz="4" w:space="0" w:color="auto"/>
            </w:tcBorders>
          </w:tcPr>
          <w:p w14:paraId="0D273855" w14:textId="77777777" w:rsidR="001E0975" w:rsidRPr="00F13073" w:rsidRDefault="00611033" w:rsidP="008B4C50">
            <w:pPr>
              <w:suppressAutoHyphens/>
            </w:pPr>
            <w:r w:rsidRPr="00F13073">
              <w:t>&lt; 50</w:t>
            </w:r>
          </w:p>
        </w:tc>
        <w:tc>
          <w:tcPr>
            <w:tcW w:w="7027" w:type="dxa"/>
            <w:tcBorders>
              <w:top w:val="single" w:sz="4" w:space="0" w:color="auto"/>
              <w:left w:val="single" w:sz="4" w:space="0" w:color="auto"/>
              <w:bottom w:val="single" w:sz="4" w:space="0" w:color="auto"/>
              <w:right w:val="single" w:sz="4" w:space="0" w:color="auto"/>
            </w:tcBorders>
          </w:tcPr>
          <w:p w14:paraId="34A8DD1C" w14:textId="58E940BB" w:rsidR="000651E6" w:rsidRPr="00F13073" w:rsidRDefault="000651E6" w:rsidP="008B4C50">
            <w:pPr>
              <w:suppressAutoHyphens/>
            </w:pPr>
            <w:r w:rsidRPr="00F13073">
              <w:t xml:space="preserve">Przerwanie podawania produktu leczniczego </w:t>
            </w:r>
            <w:r w:rsidR="00026375" w:rsidRPr="00F13073">
              <w:t>Avtozma</w:t>
            </w:r>
          </w:p>
          <w:p w14:paraId="4D3758E8" w14:textId="77777777" w:rsidR="000651E6" w:rsidRPr="00F13073" w:rsidRDefault="000651E6" w:rsidP="008B4C50">
            <w:pPr>
              <w:suppressAutoHyphens/>
            </w:pPr>
          </w:p>
          <w:p w14:paraId="5F5A9F09" w14:textId="07653787" w:rsidR="001D3C7D" w:rsidRPr="00F13073" w:rsidRDefault="000651E6" w:rsidP="008B4C50">
            <w:pPr>
              <w:suppressAutoHyphens/>
            </w:pPr>
            <w:r w:rsidRPr="00F13073">
              <w:t xml:space="preserve">Decyzja o przerwaniu podawania </w:t>
            </w:r>
            <w:r w:rsidR="000B7043" w:rsidRPr="00F13073">
              <w:t xml:space="preserve">produktu leczniczego Avtozma </w:t>
            </w:r>
            <w:r w:rsidRPr="00F13073">
              <w:t>u pacjenta uMIZS w związku z nieprawidłowymi wynikami badań laboratoryjnych powinna opierać się na badaniu lekarskim danego pacjenta.</w:t>
            </w:r>
          </w:p>
        </w:tc>
      </w:tr>
    </w:tbl>
    <w:p w14:paraId="73A58733" w14:textId="77777777" w:rsidR="001E0975" w:rsidRPr="00F13073" w:rsidRDefault="001E0975" w:rsidP="008B4C50"/>
    <w:p w14:paraId="3040AA56" w14:textId="77777777" w:rsidR="00103B33" w:rsidRPr="00F13073" w:rsidRDefault="00103B33" w:rsidP="008B4C50">
      <w:r w:rsidRPr="00F13073">
        <w:t>Dane kliniczne są niewystarczające, aby ocenić wpływ zmniejszenia dawki tocilizumabu na pacjentów z uMIZS, u których wystąpiły nieprawidłowe wyniki badań laboratoryjnych.</w:t>
      </w:r>
    </w:p>
    <w:p w14:paraId="3BD373FE" w14:textId="77777777" w:rsidR="00103B33" w:rsidRPr="00F13073" w:rsidRDefault="00103B33" w:rsidP="008B4C50"/>
    <w:p w14:paraId="3A15AD71" w14:textId="6C9ACCAC" w:rsidR="001E0975" w:rsidRPr="00F13073" w:rsidRDefault="00103B33" w:rsidP="008B4C50">
      <w:r w:rsidRPr="00F13073">
        <w:t xml:space="preserve">Dostępne dane sugerują, że poprawa stanu klinicznego jest obserwowana w ciągu 6 tygodni od rozpoczęcia leczenia </w:t>
      </w:r>
      <w:r w:rsidR="00151F2F" w:rsidRPr="00F13073">
        <w:t>tocilizumabem</w:t>
      </w:r>
      <w:r w:rsidRPr="00F13073">
        <w:t>. W przypadku pacjentów niewykazujących w tym okresie żadnej poprawy należy jeszcze raz dokładnie rozważyć kontynuację terapii.</w:t>
      </w:r>
    </w:p>
    <w:p w14:paraId="6CAB9D8B" w14:textId="77777777" w:rsidR="00AA3D00" w:rsidRPr="00F13073" w:rsidRDefault="00AA3D00" w:rsidP="008B4C50"/>
    <w:p w14:paraId="0EC7C101" w14:textId="77777777" w:rsidR="001E0975" w:rsidRPr="00F13073" w:rsidRDefault="00103B33" w:rsidP="008B4C50">
      <w:pPr>
        <w:keepNext/>
        <w:rPr>
          <w:i/>
          <w:iCs/>
        </w:rPr>
      </w:pPr>
      <w:r w:rsidRPr="00F13073">
        <w:rPr>
          <w:i/>
          <w:iCs/>
        </w:rPr>
        <w:t>Chorzy na wMIZS</w:t>
      </w:r>
    </w:p>
    <w:p w14:paraId="2043FF3C" w14:textId="77777777" w:rsidR="00AA3D00" w:rsidRPr="00F13073" w:rsidRDefault="00AA3D00" w:rsidP="008B4C50">
      <w:pPr>
        <w:keepNext/>
        <w:rPr>
          <w:i/>
          <w:iCs/>
        </w:rPr>
      </w:pPr>
    </w:p>
    <w:p w14:paraId="6BA3594A" w14:textId="77777777" w:rsidR="00103B33" w:rsidRPr="00F13073" w:rsidRDefault="00103B33" w:rsidP="008B4C50">
      <w:r w:rsidRPr="00F13073">
        <w:t>Zalecana dawka u pacjentów powyżej 2 roku życia wynosi 8 mg/kg, podawana raz na 4 tygodnie u pacjentów o masie ciała większej lub równej 30 kg, lub 10 mg/kg, podawana raz na 4 tygodnie u pacjentów o masie ciała poniżej 30 kg. Przed każdym podaniem należy obliczyć dawkę w oparciu o masę ciała pacjenta. Dawka może być zmieniana wyłącznie w oparciu o stałe zmiany masy ciała pacjenta wraz z upływem czasu.</w:t>
      </w:r>
    </w:p>
    <w:p w14:paraId="74A56A6F" w14:textId="77777777" w:rsidR="00103B33" w:rsidRPr="00F13073" w:rsidRDefault="00103B33" w:rsidP="008B4C50"/>
    <w:p w14:paraId="08F11C96" w14:textId="09AADABF" w:rsidR="001E0975" w:rsidRPr="00F13073" w:rsidRDefault="00103B33" w:rsidP="008B4C50">
      <w:r w:rsidRPr="00F13073">
        <w:t xml:space="preserve">Nie ustalono profilu bezpieczeństwa i skuteczności dożylnego stosowania produktu leczniczego </w:t>
      </w:r>
      <w:r w:rsidR="00026375" w:rsidRPr="00F13073">
        <w:t>Avtozma</w:t>
      </w:r>
      <w:r w:rsidRPr="00F13073">
        <w:t xml:space="preserve"> u dzieci w wieku poniżej 2 lat.</w:t>
      </w:r>
    </w:p>
    <w:p w14:paraId="24E26E80" w14:textId="77777777" w:rsidR="00AA3D00" w:rsidRPr="00F13073" w:rsidRDefault="00AA3D00" w:rsidP="008B4C50"/>
    <w:p w14:paraId="1DB5ED55" w14:textId="77777777" w:rsidR="001E0975" w:rsidRPr="00F13073" w:rsidRDefault="00103B33" w:rsidP="008B4C50">
      <w:r w:rsidRPr="00F13073">
        <w:t xml:space="preserve">U pacjentów z wMIZS zaleca się przerwanie podawania tocilizumabu, jeśli wystąpią nieprawidłowe wyniki badań laboratoryjnych wymienione w tabelach poniżej. Gdy jest to właściwe, dawka </w:t>
      </w:r>
      <w:r w:rsidRPr="00F13073">
        <w:lastRenderedPageBreak/>
        <w:t>przyjmowanego równolegle MTX i (lub) innych leków powinna zostać zmodyfikowana lub należy zaprzestać ich podawania oraz należy przerwać podawanie tocilizumabu do czasu uzyskania oceny sytuacji klinicznej. Jakkolwiek wiele współistniejących chorób może wpływać na wyniki badań laboratoryjnych u pacjentów z wMIZS, decyzja o przerwaniu podawania tocilizumabu w związku z nieprawidłowymi wynikami badań laboratoryjnych powinna opierać się na ocenie lekarskiej danego pacjenta.</w:t>
      </w:r>
    </w:p>
    <w:p w14:paraId="675E9EA2" w14:textId="77777777" w:rsidR="00AA3D00" w:rsidRPr="00F13073" w:rsidRDefault="00AA3D00" w:rsidP="008B4C50"/>
    <w:p w14:paraId="33F89501" w14:textId="77777777" w:rsidR="001E0975" w:rsidRPr="00F13073" w:rsidRDefault="00103B33" w:rsidP="008B4C50">
      <w:pPr>
        <w:pStyle w:val="a0"/>
        <w:keepNext/>
        <w:numPr>
          <w:ilvl w:val="0"/>
          <w:numId w:val="4"/>
        </w:numPr>
        <w:ind w:left="567" w:hanging="567"/>
        <w:contextualSpacing w:val="0"/>
      </w:pPr>
      <w:r w:rsidRPr="00F13073">
        <w:t>Nieprawidłowe wyniki badań laboratoryjnych dotyczących enzymów wątrobowych</w:t>
      </w:r>
    </w:p>
    <w:p w14:paraId="62790D45" w14:textId="77777777" w:rsidR="00AA3D00" w:rsidRPr="00F13073" w:rsidRDefault="00AA3D00"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2029"/>
        <w:gridCol w:w="7027"/>
      </w:tblGrid>
      <w:tr w:rsidR="001E0975" w:rsidRPr="00F13073" w14:paraId="450C2BAE" w14:textId="77777777" w:rsidTr="00E77A40">
        <w:trPr>
          <w:cantSplit/>
          <w:tblHeader/>
          <w:jc w:val="center"/>
        </w:trPr>
        <w:tc>
          <w:tcPr>
            <w:tcW w:w="2029" w:type="dxa"/>
            <w:tcBorders>
              <w:top w:val="single" w:sz="4" w:space="0" w:color="auto"/>
              <w:left w:val="single" w:sz="4" w:space="0" w:color="auto"/>
            </w:tcBorders>
          </w:tcPr>
          <w:p w14:paraId="58FEFBF6" w14:textId="77777777" w:rsidR="00AA3D00" w:rsidRPr="00F13073" w:rsidRDefault="00103B33" w:rsidP="002322A1">
            <w:pPr>
              <w:keepNext/>
              <w:suppressAutoHyphens/>
              <w:jc w:val="center"/>
            </w:pPr>
            <w:r w:rsidRPr="00F13073">
              <w:t>Wartość laboratoryjna</w:t>
            </w:r>
          </w:p>
        </w:tc>
        <w:tc>
          <w:tcPr>
            <w:tcW w:w="7027" w:type="dxa"/>
            <w:tcBorders>
              <w:top w:val="single" w:sz="4" w:space="0" w:color="auto"/>
              <w:left w:val="single" w:sz="4" w:space="0" w:color="auto"/>
              <w:right w:val="single" w:sz="4" w:space="0" w:color="auto"/>
            </w:tcBorders>
          </w:tcPr>
          <w:p w14:paraId="4914FBC9" w14:textId="77777777" w:rsidR="00AA3D00" w:rsidRPr="00F13073" w:rsidRDefault="00103B33" w:rsidP="002322A1">
            <w:pPr>
              <w:keepNext/>
              <w:suppressAutoHyphens/>
              <w:jc w:val="center"/>
            </w:pPr>
            <w:r w:rsidRPr="00F13073">
              <w:t>Zalecane postępowanie</w:t>
            </w:r>
          </w:p>
        </w:tc>
      </w:tr>
      <w:tr w:rsidR="001E0975" w:rsidRPr="00F13073" w14:paraId="16C9BFE9" w14:textId="77777777" w:rsidTr="00E77A40">
        <w:trPr>
          <w:cantSplit/>
          <w:tblHeader/>
          <w:jc w:val="center"/>
        </w:trPr>
        <w:tc>
          <w:tcPr>
            <w:tcW w:w="2029" w:type="dxa"/>
            <w:tcBorders>
              <w:top w:val="single" w:sz="4" w:space="0" w:color="auto"/>
              <w:left w:val="single" w:sz="4" w:space="0" w:color="auto"/>
              <w:bottom w:val="single" w:sz="4" w:space="0" w:color="auto"/>
            </w:tcBorders>
          </w:tcPr>
          <w:p w14:paraId="7EF48DFF" w14:textId="77777777" w:rsidR="00AA3D00" w:rsidRPr="00F13073" w:rsidRDefault="00611033" w:rsidP="008B4C50">
            <w:pPr>
              <w:suppressAutoHyphens/>
            </w:pPr>
            <w:r w:rsidRPr="00F13073">
              <w:t xml:space="preserve">&gt; </w:t>
            </w:r>
            <w:r w:rsidR="00793DE8" w:rsidRPr="00F13073">
              <w:t xml:space="preserve">1 </w:t>
            </w:r>
            <w:r w:rsidR="00103B33" w:rsidRPr="00F13073">
              <w:t>do 3 x górna granica normy (GGN)</w:t>
            </w:r>
          </w:p>
        </w:tc>
        <w:tc>
          <w:tcPr>
            <w:tcW w:w="7027" w:type="dxa"/>
            <w:tcBorders>
              <w:top w:val="single" w:sz="4" w:space="0" w:color="auto"/>
              <w:left w:val="single" w:sz="4" w:space="0" w:color="auto"/>
              <w:bottom w:val="single" w:sz="4" w:space="0" w:color="auto"/>
              <w:right w:val="single" w:sz="4" w:space="0" w:color="auto"/>
            </w:tcBorders>
          </w:tcPr>
          <w:p w14:paraId="06F85D09" w14:textId="77777777" w:rsidR="00103B33" w:rsidRPr="00F13073" w:rsidRDefault="00103B33" w:rsidP="008B4C50">
            <w:pPr>
              <w:suppressAutoHyphens/>
            </w:pPr>
            <w:r w:rsidRPr="00F13073">
              <w:t>Należy zmodyfikować dawkę podawanego równolegle MTX w przypadkach, gdy jest to właściwe.</w:t>
            </w:r>
          </w:p>
          <w:p w14:paraId="0115DD3E" w14:textId="77777777" w:rsidR="00103B33" w:rsidRPr="00F13073" w:rsidRDefault="00103B33" w:rsidP="008B4C50">
            <w:pPr>
              <w:suppressAutoHyphens/>
            </w:pPr>
          </w:p>
          <w:p w14:paraId="3ED54520" w14:textId="7A969964" w:rsidR="00AA3D00" w:rsidRPr="00F13073" w:rsidRDefault="00103B33" w:rsidP="008B4C50">
            <w:pPr>
              <w:suppressAutoHyphens/>
            </w:pPr>
            <w:r w:rsidRPr="00F13073">
              <w:t xml:space="preserve">W przypadku utrzymywania się zwiększonych wartości w tym zakresie należy przerwać podawanie produktu leczniczego </w:t>
            </w:r>
            <w:r w:rsidR="00026375" w:rsidRPr="00F13073">
              <w:t>Avtozma</w:t>
            </w:r>
            <w:r w:rsidRPr="00F13073">
              <w:t xml:space="preserve"> do czasu powrotu do prawidłowych wartości aktywności aminotransferazy alaninowej (AlAT) lub aminotransferazy asparaginianowej (AspAT).</w:t>
            </w:r>
          </w:p>
        </w:tc>
      </w:tr>
      <w:tr w:rsidR="001E0975" w:rsidRPr="00F13073" w14:paraId="6C70EAD7" w14:textId="77777777" w:rsidTr="00E77A40">
        <w:trPr>
          <w:cantSplit/>
          <w:tblHeader/>
          <w:jc w:val="center"/>
        </w:trPr>
        <w:tc>
          <w:tcPr>
            <w:tcW w:w="2029" w:type="dxa"/>
            <w:tcBorders>
              <w:top w:val="single" w:sz="4" w:space="0" w:color="auto"/>
              <w:left w:val="single" w:sz="4" w:space="0" w:color="auto"/>
              <w:bottom w:val="single" w:sz="4" w:space="0" w:color="auto"/>
            </w:tcBorders>
          </w:tcPr>
          <w:p w14:paraId="54D40012" w14:textId="77777777" w:rsidR="00AA3D00" w:rsidRPr="00F13073" w:rsidRDefault="00611033" w:rsidP="008B4C50">
            <w:pPr>
              <w:suppressAutoHyphens/>
            </w:pPr>
            <w:r w:rsidRPr="00F13073">
              <w:t xml:space="preserve">&gt; </w:t>
            </w:r>
            <w:r w:rsidR="00103B33" w:rsidRPr="00F13073">
              <w:t>3 do 5 x GGN</w:t>
            </w:r>
          </w:p>
        </w:tc>
        <w:tc>
          <w:tcPr>
            <w:tcW w:w="7027" w:type="dxa"/>
            <w:tcBorders>
              <w:top w:val="single" w:sz="4" w:space="0" w:color="auto"/>
              <w:left w:val="single" w:sz="4" w:space="0" w:color="auto"/>
              <w:bottom w:val="single" w:sz="4" w:space="0" w:color="auto"/>
              <w:right w:val="single" w:sz="4" w:space="0" w:color="auto"/>
            </w:tcBorders>
          </w:tcPr>
          <w:p w14:paraId="641395BE" w14:textId="77777777" w:rsidR="00103B33" w:rsidRPr="00F13073" w:rsidRDefault="00103B33" w:rsidP="008B4C50">
            <w:pPr>
              <w:suppressAutoHyphens/>
            </w:pPr>
            <w:r w:rsidRPr="00F13073">
              <w:t>Należy zmodyfikować dawkę podawanego równolegle MTX w przypadkach, gdy jest to właściwe.</w:t>
            </w:r>
          </w:p>
          <w:p w14:paraId="5E6486BE" w14:textId="77777777" w:rsidR="00103B33" w:rsidRPr="00F13073" w:rsidRDefault="00103B33" w:rsidP="008B4C50">
            <w:pPr>
              <w:suppressAutoHyphens/>
            </w:pPr>
          </w:p>
          <w:p w14:paraId="5192165E" w14:textId="7E878085" w:rsidR="00AA3D00" w:rsidRPr="00F13073" w:rsidRDefault="00103B33" w:rsidP="008B4C50">
            <w:pPr>
              <w:suppressAutoHyphens/>
            </w:pPr>
            <w:r w:rsidRPr="00F13073">
              <w:t xml:space="preserve">Przejściowo przerwać podawanie produktu leczniczego </w:t>
            </w:r>
            <w:r w:rsidR="00026375" w:rsidRPr="00F13073">
              <w:t>Avtozma</w:t>
            </w:r>
            <w:r w:rsidRPr="00F13073">
              <w:t xml:space="preserve"> do czasu, gdy wartości osiągną poziom &lt; 3 x GGN i postępować zgodnie z zaleceniami podanymi powyżej dla &gt; 1 do 3 x GGN.</w:t>
            </w:r>
          </w:p>
        </w:tc>
      </w:tr>
      <w:tr w:rsidR="001E0975" w:rsidRPr="00F13073" w14:paraId="4EDD1A28" w14:textId="77777777" w:rsidTr="00E77A40">
        <w:trPr>
          <w:cantSplit/>
          <w:tblHeader/>
          <w:jc w:val="center"/>
        </w:trPr>
        <w:tc>
          <w:tcPr>
            <w:tcW w:w="2029" w:type="dxa"/>
            <w:tcBorders>
              <w:top w:val="single" w:sz="4" w:space="0" w:color="auto"/>
              <w:left w:val="single" w:sz="4" w:space="0" w:color="auto"/>
              <w:bottom w:val="single" w:sz="4" w:space="0" w:color="auto"/>
            </w:tcBorders>
          </w:tcPr>
          <w:p w14:paraId="42EE1A04" w14:textId="77777777" w:rsidR="00AA3D00" w:rsidRPr="00F13073" w:rsidRDefault="00611033" w:rsidP="008B4C50">
            <w:pPr>
              <w:suppressAutoHyphens/>
            </w:pPr>
            <w:r w:rsidRPr="00F13073">
              <w:t xml:space="preserve">&gt; </w:t>
            </w:r>
            <w:r w:rsidR="00103B33" w:rsidRPr="00F13073">
              <w:t>5 x GGN</w:t>
            </w:r>
          </w:p>
        </w:tc>
        <w:tc>
          <w:tcPr>
            <w:tcW w:w="7027" w:type="dxa"/>
            <w:tcBorders>
              <w:top w:val="single" w:sz="4" w:space="0" w:color="auto"/>
              <w:left w:val="single" w:sz="4" w:space="0" w:color="auto"/>
              <w:bottom w:val="single" w:sz="4" w:space="0" w:color="auto"/>
              <w:right w:val="single" w:sz="4" w:space="0" w:color="auto"/>
            </w:tcBorders>
          </w:tcPr>
          <w:p w14:paraId="4368D21C" w14:textId="2F5A5D70" w:rsidR="00103B33" w:rsidRPr="00F13073" w:rsidRDefault="00103B33" w:rsidP="008B4C50">
            <w:pPr>
              <w:suppressAutoHyphens/>
            </w:pPr>
            <w:r w:rsidRPr="00F13073">
              <w:t xml:space="preserve">Przerwanie podawania produktu leczniczego </w:t>
            </w:r>
            <w:r w:rsidR="00026375" w:rsidRPr="00F13073">
              <w:t>Avtozma</w:t>
            </w:r>
            <w:r w:rsidRPr="00F13073">
              <w:t>.</w:t>
            </w:r>
          </w:p>
          <w:p w14:paraId="27516107" w14:textId="77777777" w:rsidR="00103B33" w:rsidRPr="00F13073" w:rsidRDefault="00103B33" w:rsidP="008B4C50">
            <w:pPr>
              <w:suppressAutoHyphens/>
            </w:pPr>
          </w:p>
          <w:p w14:paraId="78040FBF" w14:textId="38BF538D" w:rsidR="00AA3D00" w:rsidRPr="00F13073" w:rsidRDefault="00103B33" w:rsidP="008B4C50">
            <w:pPr>
              <w:suppressAutoHyphens/>
            </w:pPr>
            <w:r w:rsidRPr="00F13073">
              <w:t xml:space="preserve">Decyzja o przerwaniu podawania produktu leczniczego </w:t>
            </w:r>
            <w:r w:rsidR="00026375" w:rsidRPr="00F13073">
              <w:t>Avtozma</w:t>
            </w:r>
            <w:r w:rsidRPr="00F13073">
              <w:t xml:space="preserve"> u pacjenta z wMIZS w związku z nieprawidłowymi wynikami badań laboratoryjnych powinna opierać się na badaniu lekarskim danego pacjenta.</w:t>
            </w:r>
          </w:p>
        </w:tc>
      </w:tr>
    </w:tbl>
    <w:p w14:paraId="13414F78" w14:textId="77777777" w:rsidR="001E0975" w:rsidRPr="00F13073" w:rsidRDefault="001E0975" w:rsidP="008B4C50"/>
    <w:p w14:paraId="4B926764" w14:textId="77777777" w:rsidR="001E0975" w:rsidRPr="00F13073" w:rsidRDefault="00484652" w:rsidP="008B4C50">
      <w:pPr>
        <w:pStyle w:val="a0"/>
        <w:keepNext/>
        <w:numPr>
          <w:ilvl w:val="0"/>
          <w:numId w:val="4"/>
        </w:numPr>
        <w:ind w:left="567" w:hanging="567"/>
        <w:contextualSpacing w:val="0"/>
      </w:pPr>
      <w:r w:rsidRPr="00F13073">
        <w:t>Mała bezwzględna liczba granulocytów obojętnochłonnych (ang. ANC)</w:t>
      </w:r>
    </w:p>
    <w:p w14:paraId="4A953507" w14:textId="77777777" w:rsidR="00AA3D00" w:rsidRPr="00F13073" w:rsidRDefault="00AA3D00"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1987"/>
        <w:gridCol w:w="7027"/>
      </w:tblGrid>
      <w:tr w:rsidR="001E0975" w:rsidRPr="00F13073" w14:paraId="0A275898" w14:textId="77777777" w:rsidTr="00E77A40">
        <w:trPr>
          <w:cantSplit/>
          <w:tblHeader/>
          <w:jc w:val="center"/>
        </w:trPr>
        <w:tc>
          <w:tcPr>
            <w:tcW w:w="1987" w:type="dxa"/>
            <w:tcBorders>
              <w:top w:val="single" w:sz="4" w:space="0" w:color="auto"/>
              <w:left w:val="single" w:sz="4" w:space="0" w:color="auto"/>
            </w:tcBorders>
          </w:tcPr>
          <w:p w14:paraId="5920353E" w14:textId="53C28CB4" w:rsidR="00AA3D00" w:rsidRPr="00F13073" w:rsidRDefault="00484652" w:rsidP="002322A1">
            <w:pPr>
              <w:keepNext/>
              <w:suppressAutoHyphens/>
              <w:jc w:val="center"/>
            </w:pPr>
            <w:r w:rsidRPr="00F13073">
              <w:t>Wartość laboratoryjna (liczba komórek x 10</w:t>
            </w:r>
            <w:r w:rsidRPr="00F13073">
              <w:rPr>
                <w:vertAlign w:val="superscript"/>
              </w:rPr>
              <w:t>9</w:t>
            </w:r>
            <w:r w:rsidRPr="00F13073">
              <w:t>/l)</w:t>
            </w:r>
          </w:p>
        </w:tc>
        <w:tc>
          <w:tcPr>
            <w:tcW w:w="7027" w:type="dxa"/>
            <w:tcBorders>
              <w:top w:val="single" w:sz="4" w:space="0" w:color="auto"/>
              <w:left w:val="single" w:sz="4" w:space="0" w:color="auto"/>
              <w:right w:val="single" w:sz="4" w:space="0" w:color="auto"/>
            </w:tcBorders>
          </w:tcPr>
          <w:p w14:paraId="43A77459" w14:textId="77777777" w:rsidR="00AA3D00" w:rsidRPr="00F13073" w:rsidRDefault="00484652" w:rsidP="002322A1">
            <w:pPr>
              <w:keepNext/>
              <w:suppressAutoHyphens/>
              <w:jc w:val="center"/>
            </w:pPr>
            <w:r w:rsidRPr="00F13073">
              <w:t>Zalecane postępowanie</w:t>
            </w:r>
          </w:p>
        </w:tc>
      </w:tr>
      <w:tr w:rsidR="001E0975" w:rsidRPr="00F13073" w14:paraId="758EBC6B" w14:textId="77777777" w:rsidTr="00E77A40">
        <w:trPr>
          <w:cantSplit/>
          <w:tblHeader/>
          <w:jc w:val="center"/>
        </w:trPr>
        <w:tc>
          <w:tcPr>
            <w:tcW w:w="1987" w:type="dxa"/>
            <w:tcBorders>
              <w:top w:val="single" w:sz="4" w:space="0" w:color="auto"/>
              <w:left w:val="single" w:sz="4" w:space="0" w:color="auto"/>
            </w:tcBorders>
          </w:tcPr>
          <w:p w14:paraId="227E8607" w14:textId="77777777" w:rsidR="00AA3D00" w:rsidRPr="00F13073" w:rsidRDefault="00611033" w:rsidP="008B4C50">
            <w:pPr>
              <w:suppressAutoHyphens/>
            </w:pPr>
            <w:r w:rsidRPr="00F13073">
              <w:t>ANC &gt; 1</w:t>
            </w:r>
          </w:p>
        </w:tc>
        <w:tc>
          <w:tcPr>
            <w:tcW w:w="7027" w:type="dxa"/>
            <w:tcBorders>
              <w:top w:val="single" w:sz="4" w:space="0" w:color="auto"/>
              <w:left w:val="single" w:sz="4" w:space="0" w:color="auto"/>
              <w:right w:val="single" w:sz="4" w:space="0" w:color="auto"/>
            </w:tcBorders>
          </w:tcPr>
          <w:p w14:paraId="6AE886F8" w14:textId="77777777" w:rsidR="00AA3D00" w:rsidRPr="00F13073" w:rsidRDefault="00484652" w:rsidP="008B4C50">
            <w:pPr>
              <w:suppressAutoHyphens/>
            </w:pPr>
            <w:r w:rsidRPr="00F13073">
              <w:t>Utrzymanie dotychczasowej dawki</w:t>
            </w:r>
          </w:p>
        </w:tc>
      </w:tr>
      <w:tr w:rsidR="001E0975" w:rsidRPr="00F13073" w14:paraId="2CB45BA2" w14:textId="77777777" w:rsidTr="00E77A40">
        <w:trPr>
          <w:cantSplit/>
          <w:tblHeader/>
          <w:jc w:val="center"/>
        </w:trPr>
        <w:tc>
          <w:tcPr>
            <w:tcW w:w="1987" w:type="dxa"/>
            <w:tcBorders>
              <w:top w:val="single" w:sz="4" w:space="0" w:color="auto"/>
              <w:left w:val="single" w:sz="4" w:space="0" w:color="auto"/>
            </w:tcBorders>
          </w:tcPr>
          <w:p w14:paraId="7FDF5D76" w14:textId="77777777" w:rsidR="00AA3D00" w:rsidRPr="00F13073" w:rsidRDefault="00611033" w:rsidP="008B4C50">
            <w:pPr>
              <w:suppressAutoHyphens/>
            </w:pPr>
            <w:r w:rsidRPr="00F13073">
              <w:t xml:space="preserve">ANC </w:t>
            </w:r>
            <w:r w:rsidR="00484652" w:rsidRPr="00F13073">
              <w:t>0,5 do 1</w:t>
            </w:r>
          </w:p>
        </w:tc>
        <w:tc>
          <w:tcPr>
            <w:tcW w:w="7027" w:type="dxa"/>
            <w:tcBorders>
              <w:top w:val="single" w:sz="4" w:space="0" w:color="auto"/>
              <w:left w:val="single" w:sz="4" w:space="0" w:color="auto"/>
              <w:right w:val="single" w:sz="4" w:space="0" w:color="auto"/>
            </w:tcBorders>
          </w:tcPr>
          <w:p w14:paraId="37117D2A" w14:textId="1EF5151A" w:rsidR="00484652" w:rsidRPr="00F13073" w:rsidRDefault="00484652" w:rsidP="008B4C50">
            <w:pPr>
              <w:suppressAutoHyphens/>
            </w:pPr>
            <w:r w:rsidRPr="00F13073">
              <w:t xml:space="preserve">Przejściowe przerwanie podawania produktu leczniczego </w:t>
            </w:r>
            <w:r w:rsidR="00026375" w:rsidRPr="00F13073">
              <w:t>Avtozma</w:t>
            </w:r>
          </w:p>
          <w:p w14:paraId="34FB937E" w14:textId="77777777" w:rsidR="00484652" w:rsidRPr="00F13073" w:rsidRDefault="00484652" w:rsidP="008B4C50">
            <w:pPr>
              <w:suppressAutoHyphens/>
            </w:pPr>
          </w:p>
          <w:p w14:paraId="32561D72" w14:textId="699CAC4E" w:rsidR="00AA3D00" w:rsidRPr="00F13073" w:rsidRDefault="00484652" w:rsidP="008B4C50">
            <w:pPr>
              <w:suppressAutoHyphens/>
            </w:pPr>
            <w:r w:rsidRPr="00F13073">
              <w:t>Gdy wartość ANC wzrośnie do &gt; 1 x 10</w:t>
            </w:r>
            <w:r w:rsidRPr="00F13073">
              <w:rPr>
                <w:vertAlign w:val="superscript"/>
              </w:rPr>
              <w:t>9</w:t>
            </w:r>
            <w:r w:rsidRPr="00F13073">
              <w:t xml:space="preserve">/l należy wznowić podawanie produktu leczniczego </w:t>
            </w:r>
            <w:r w:rsidR="00026375" w:rsidRPr="00F13073">
              <w:t>Avtozma</w:t>
            </w:r>
            <w:r w:rsidR="00965252" w:rsidRPr="00F13073">
              <w:t>.</w:t>
            </w:r>
          </w:p>
        </w:tc>
      </w:tr>
      <w:tr w:rsidR="001E0975" w:rsidRPr="00F13073" w14:paraId="7D552EFE" w14:textId="77777777" w:rsidTr="00E77A40">
        <w:trPr>
          <w:cantSplit/>
          <w:tblHeader/>
          <w:jc w:val="center"/>
        </w:trPr>
        <w:tc>
          <w:tcPr>
            <w:tcW w:w="1987" w:type="dxa"/>
            <w:tcBorders>
              <w:top w:val="single" w:sz="4" w:space="0" w:color="auto"/>
              <w:left w:val="single" w:sz="4" w:space="0" w:color="auto"/>
              <w:bottom w:val="single" w:sz="4" w:space="0" w:color="auto"/>
            </w:tcBorders>
          </w:tcPr>
          <w:p w14:paraId="1E2C18B1" w14:textId="77777777" w:rsidR="00AA3D00" w:rsidRPr="00F13073" w:rsidRDefault="00611033" w:rsidP="008B4C50">
            <w:pPr>
              <w:suppressAutoHyphens/>
            </w:pPr>
            <w:r w:rsidRPr="00F13073">
              <w:t>ANC &lt; 0</w:t>
            </w:r>
            <w:r w:rsidR="00484652" w:rsidRPr="00F13073">
              <w:t>,</w:t>
            </w:r>
            <w:r w:rsidRPr="00F13073">
              <w:t>5</w:t>
            </w:r>
          </w:p>
        </w:tc>
        <w:tc>
          <w:tcPr>
            <w:tcW w:w="7027" w:type="dxa"/>
            <w:tcBorders>
              <w:top w:val="single" w:sz="4" w:space="0" w:color="auto"/>
              <w:left w:val="single" w:sz="4" w:space="0" w:color="auto"/>
              <w:bottom w:val="single" w:sz="4" w:space="0" w:color="auto"/>
              <w:right w:val="single" w:sz="4" w:space="0" w:color="auto"/>
            </w:tcBorders>
          </w:tcPr>
          <w:p w14:paraId="1CBBF2AE" w14:textId="52CC8C5A" w:rsidR="00484652" w:rsidRPr="00F13073" w:rsidRDefault="00484652" w:rsidP="008B4C50">
            <w:pPr>
              <w:suppressAutoHyphens/>
            </w:pPr>
            <w:r w:rsidRPr="00F13073">
              <w:t xml:space="preserve">Przerwanie podawania produktu leczniczego </w:t>
            </w:r>
            <w:r w:rsidR="00026375" w:rsidRPr="00F13073">
              <w:t>Avtozma</w:t>
            </w:r>
          </w:p>
          <w:p w14:paraId="7159AF69" w14:textId="77777777" w:rsidR="00484652" w:rsidRPr="00F13073" w:rsidRDefault="00484652" w:rsidP="008B4C50">
            <w:pPr>
              <w:suppressAutoHyphens/>
            </w:pPr>
          </w:p>
          <w:p w14:paraId="18AB43D0" w14:textId="0C3132D6" w:rsidR="00AA3D00" w:rsidRPr="00F13073" w:rsidRDefault="00484652" w:rsidP="008B4C50">
            <w:pPr>
              <w:suppressAutoHyphens/>
            </w:pPr>
            <w:r w:rsidRPr="00F13073">
              <w:t xml:space="preserve">Decyzja o przerwaniu podawania produktu leczniczego </w:t>
            </w:r>
            <w:r w:rsidR="00026375" w:rsidRPr="00F13073">
              <w:t>Avtozma</w:t>
            </w:r>
            <w:r w:rsidRPr="00F13073">
              <w:t xml:space="preserve"> u pacjenta z wMIZS w związku z nieprawidłowymi wynikami badań laboratoryjnych powinna opierać się na badaniu lekarskim danego pacjenta.</w:t>
            </w:r>
          </w:p>
        </w:tc>
      </w:tr>
    </w:tbl>
    <w:p w14:paraId="47F8BB76" w14:textId="77777777" w:rsidR="001E0975" w:rsidRPr="00F13073" w:rsidRDefault="001E0975" w:rsidP="008B4C50"/>
    <w:p w14:paraId="2C3C7B01" w14:textId="77777777" w:rsidR="001E0975" w:rsidRPr="00F13073" w:rsidRDefault="005B7EF9" w:rsidP="008B4C50">
      <w:pPr>
        <w:pStyle w:val="a0"/>
        <w:keepNext/>
        <w:numPr>
          <w:ilvl w:val="0"/>
          <w:numId w:val="4"/>
        </w:numPr>
        <w:ind w:left="567" w:hanging="567"/>
        <w:contextualSpacing w:val="0"/>
      </w:pPr>
      <w:r w:rsidRPr="00F13073">
        <w:lastRenderedPageBreak/>
        <w:t>Mała liczba płytek krwi</w:t>
      </w:r>
    </w:p>
    <w:p w14:paraId="2747A6BD" w14:textId="77777777" w:rsidR="00AA3D00" w:rsidRPr="00F13073" w:rsidRDefault="00AA3D00" w:rsidP="008B4C50">
      <w:pPr>
        <w:keepNext/>
      </w:pPr>
    </w:p>
    <w:tbl>
      <w:tblPr>
        <w:tblOverlap w:val="never"/>
        <w:tblW w:w="0" w:type="auto"/>
        <w:jc w:val="center"/>
        <w:tblLayout w:type="fixed"/>
        <w:tblCellMar>
          <w:top w:w="28" w:type="dxa"/>
          <w:bottom w:w="28" w:type="dxa"/>
        </w:tblCellMar>
        <w:tblLook w:val="04A0" w:firstRow="1" w:lastRow="0" w:firstColumn="1" w:lastColumn="0" w:noHBand="0" w:noVBand="1"/>
      </w:tblPr>
      <w:tblGrid>
        <w:gridCol w:w="1987"/>
        <w:gridCol w:w="7027"/>
      </w:tblGrid>
      <w:tr w:rsidR="001E0975" w:rsidRPr="00F13073" w14:paraId="7EA0E0B4" w14:textId="77777777" w:rsidTr="009C094A">
        <w:trPr>
          <w:cantSplit/>
          <w:tblHeader/>
          <w:jc w:val="center"/>
        </w:trPr>
        <w:tc>
          <w:tcPr>
            <w:tcW w:w="1987" w:type="dxa"/>
            <w:tcBorders>
              <w:top w:val="single" w:sz="4" w:space="0" w:color="auto"/>
              <w:left w:val="single" w:sz="4" w:space="0" w:color="auto"/>
            </w:tcBorders>
          </w:tcPr>
          <w:p w14:paraId="02D45E2E" w14:textId="77777777" w:rsidR="00AA3D00" w:rsidRPr="00F13073" w:rsidRDefault="005B7EF9" w:rsidP="002322A1">
            <w:pPr>
              <w:keepNext/>
              <w:suppressAutoHyphens/>
              <w:jc w:val="center"/>
              <w:rPr>
                <w:b/>
                <w:bCs/>
              </w:rPr>
            </w:pPr>
            <w:r w:rsidRPr="00F13073">
              <w:rPr>
                <w:b/>
                <w:bCs/>
              </w:rPr>
              <w:t xml:space="preserve">Wartość laboratoryjna (liczba komórek x </w:t>
            </w:r>
            <w:r w:rsidR="00611033" w:rsidRPr="00F13073">
              <w:rPr>
                <w:b/>
                <w:bCs/>
              </w:rPr>
              <w:t>10</w:t>
            </w:r>
            <w:r w:rsidR="00611033" w:rsidRPr="00F13073">
              <w:rPr>
                <w:b/>
                <w:bCs/>
                <w:vertAlign w:val="superscript"/>
              </w:rPr>
              <w:t>3</w:t>
            </w:r>
            <w:r w:rsidR="00611033" w:rsidRPr="00F13073">
              <w:rPr>
                <w:b/>
                <w:bCs/>
              </w:rPr>
              <w:t>/µl)</w:t>
            </w:r>
          </w:p>
        </w:tc>
        <w:tc>
          <w:tcPr>
            <w:tcW w:w="7027" w:type="dxa"/>
            <w:tcBorders>
              <w:top w:val="single" w:sz="4" w:space="0" w:color="auto"/>
              <w:left w:val="single" w:sz="4" w:space="0" w:color="auto"/>
              <w:right w:val="single" w:sz="4" w:space="0" w:color="auto"/>
            </w:tcBorders>
          </w:tcPr>
          <w:p w14:paraId="282DC30F" w14:textId="77777777" w:rsidR="00AA3D00" w:rsidRPr="00F13073" w:rsidRDefault="005B7EF9" w:rsidP="002322A1">
            <w:pPr>
              <w:keepNext/>
              <w:suppressAutoHyphens/>
              <w:jc w:val="center"/>
            </w:pPr>
            <w:r w:rsidRPr="00F13073">
              <w:rPr>
                <w:b/>
                <w:bCs/>
              </w:rPr>
              <w:t>Zalecane postępowanie</w:t>
            </w:r>
          </w:p>
        </w:tc>
      </w:tr>
      <w:tr w:rsidR="001E0975" w:rsidRPr="00F13073" w14:paraId="5277C350" w14:textId="77777777" w:rsidTr="009C094A">
        <w:trPr>
          <w:cantSplit/>
          <w:tblHeader/>
          <w:jc w:val="center"/>
        </w:trPr>
        <w:tc>
          <w:tcPr>
            <w:tcW w:w="1987" w:type="dxa"/>
            <w:tcBorders>
              <w:top w:val="single" w:sz="4" w:space="0" w:color="auto"/>
              <w:left w:val="single" w:sz="4" w:space="0" w:color="auto"/>
            </w:tcBorders>
          </w:tcPr>
          <w:p w14:paraId="7CD94A74" w14:textId="77777777" w:rsidR="00AA3D00" w:rsidRPr="00F13073" w:rsidRDefault="00611033" w:rsidP="008B4C50">
            <w:pPr>
              <w:suppressAutoHyphens/>
            </w:pPr>
            <w:r w:rsidRPr="00F13073">
              <w:t xml:space="preserve">50 </w:t>
            </w:r>
            <w:r w:rsidR="008C5ECD" w:rsidRPr="00F13073">
              <w:t>d</w:t>
            </w:r>
            <w:r w:rsidRPr="00F13073">
              <w:t>o 100</w:t>
            </w:r>
          </w:p>
        </w:tc>
        <w:tc>
          <w:tcPr>
            <w:tcW w:w="7027" w:type="dxa"/>
            <w:tcBorders>
              <w:top w:val="single" w:sz="4" w:space="0" w:color="auto"/>
              <w:left w:val="single" w:sz="4" w:space="0" w:color="auto"/>
              <w:right w:val="single" w:sz="4" w:space="0" w:color="auto"/>
            </w:tcBorders>
          </w:tcPr>
          <w:p w14:paraId="370A4817" w14:textId="77777777" w:rsidR="008C5ECD" w:rsidRPr="00F13073" w:rsidRDefault="008C5ECD" w:rsidP="008B4C50">
            <w:pPr>
              <w:suppressAutoHyphens/>
            </w:pPr>
            <w:r w:rsidRPr="00F13073">
              <w:t>Należy zmodyfikować dawkę podawanego równolegle MTX w przypadkach, gdy jest to właściwe</w:t>
            </w:r>
          </w:p>
          <w:p w14:paraId="207C6F40" w14:textId="77777777" w:rsidR="008C5ECD" w:rsidRPr="00F13073" w:rsidRDefault="008C5ECD" w:rsidP="008B4C50">
            <w:pPr>
              <w:suppressAutoHyphens/>
            </w:pPr>
          </w:p>
          <w:p w14:paraId="60C4BC5F" w14:textId="567802EC" w:rsidR="008C5ECD" w:rsidRPr="00F13073" w:rsidRDefault="008C5ECD" w:rsidP="008B4C50">
            <w:pPr>
              <w:suppressAutoHyphens/>
            </w:pPr>
            <w:r w:rsidRPr="00F13073">
              <w:t xml:space="preserve">Przejściowe przerwanie podawania produktu leczniczego </w:t>
            </w:r>
            <w:r w:rsidR="00026375" w:rsidRPr="00F13073">
              <w:t>Avtozma</w:t>
            </w:r>
          </w:p>
          <w:p w14:paraId="767B6558" w14:textId="77777777" w:rsidR="008C5ECD" w:rsidRPr="00F13073" w:rsidRDefault="008C5ECD" w:rsidP="008B4C50">
            <w:pPr>
              <w:suppressAutoHyphens/>
            </w:pPr>
          </w:p>
          <w:p w14:paraId="76EBE331" w14:textId="55150700" w:rsidR="00AA3D00" w:rsidRPr="00F13073" w:rsidRDefault="008C5ECD" w:rsidP="008B4C50">
            <w:pPr>
              <w:suppressAutoHyphens/>
            </w:pPr>
            <w:r w:rsidRPr="00F13073">
              <w:t>Gdy liczba płytek krwi wzrośnie do &gt; 100 x 10</w:t>
            </w:r>
            <w:r w:rsidRPr="00F13073">
              <w:rPr>
                <w:vertAlign w:val="superscript"/>
              </w:rPr>
              <w:t>3</w:t>
            </w:r>
            <w:r w:rsidRPr="00F13073">
              <w:t xml:space="preserve">/μl, należy wznowić podawanie produktu leczniczego </w:t>
            </w:r>
            <w:r w:rsidR="00026375" w:rsidRPr="00F13073">
              <w:t>Avtozma</w:t>
            </w:r>
          </w:p>
        </w:tc>
      </w:tr>
      <w:tr w:rsidR="001E0975" w:rsidRPr="00F13073" w14:paraId="0E4966E6" w14:textId="77777777" w:rsidTr="009C094A">
        <w:trPr>
          <w:cantSplit/>
          <w:tblHeader/>
          <w:jc w:val="center"/>
        </w:trPr>
        <w:tc>
          <w:tcPr>
            <w:tcW w:w="1987" w:type="dxa"/>
            <w:tcBorders>
              <w:top w:val="single" w:sz="4" w:space="0" w:color="auto"/>
              <w:left w:val="single" w:sz="4" w:space="0" w:color="auto"/>
              <w:bottom w:val="single" w:sz="4" w:space="0" w:color="auto"/>
            </w:tcBorders>
          </w:tcPr>
          <w:p w14:paraId="578CBF49" w14:textId="77777777" w:rsidR="00AA3D00" w:rsidRPr="00F13073" w:rsidRDefault="00611033" w:rsidP="008B4C50">
            <w:pPr>
              <w:suppressAutoHyphens/>
            </w:pPr>
            <w:r w:rsidRPr="00F13073">
              <w:t>&lt; 50</w:t>
            </w:r>
          </w:p>
        </w:tc>
        <w:tc>
          <w:tcPr>
            <w:tcW w:w="7027" w:type="dxa"/>
            <w:tcBorders>
              <w:top w:val="single" w:sz="4" w:space="0" w:color="auto"/>
              <w:left w:val="single" w:sz="4" w:space="0" w:color="auto"/>
              <w:bottom w:val="single" w:sz="4" w:space="0" w:color="auto"/>
              <w:right w:val="single" w:sz="4" w:space="0" w:color="auto"/>
            </w:tcBorders>
          </w:tcPr>
          <w:p w14:paraId="4D932A96" w14:textId="22BA8117" w:rsidR="008C5ECD" w:rsidRPr="00F13073" w:rsidRDefault="008C5ECD" w:rsidP="008B4C50">
            <w:pPr>
              <w:suppressAutoHyphens/>
            </w:pPr>
            <w:r w:rsidRPr="00F13073">
              <w:t xml:space="preserve">Przerwanie podawania produktu leczniczego </w:t>
            </w:r>
            <w:r w:rsidR="00026375" w:rsidRPr="00F13073">
              <w:t>Avtozma</w:t>
            </w:r>
            <w:r w:rsidRPr="00F13073">
              <w:t>.</w:t>
            </w:r>
          </w:p>
          <w:p w14:paraId="21D598E2" w14:textId="77777777" w:rsidR="008C5ECD" w:rsidRPr="00F13073" w:rsidRDefault="008C5ECD" w:rsidP="008B4C50">
            <w:pPr>
              <w:suppressAutoHyphens/>
            </w:pPr>
          </w:p>
          <w:p w14:paraId="1A56C828" w14:textId="67F70D05" w:rsidR="00AA3D00" w:rsidRPr="00F13073" w:rsidRDefault="008C5ECD" w:rsidP="008B4C50">
            <w:pPr>
              <w:suppressAutoHyphens/>
            </w:pPr>
            <w:r w:rsidRPr="00F13073">
              <w:t xml:space="preserve">Decyzja o przerwaniu podawania produktu leczniczego </w:t>
            </w:r>
            <w:r w:rsidR="00026375" w:rsidRPr="00F13073">
              <w:t>Avtozma</w:t>
            </w:r>
            <w:r w:rsidRPr="00F13073">
              <w:t xml:space="preserve"> u pacjenta z wMIZS w związku z nieprawidłowymi wynikami badań laboratoryjnych powinna opierać się na badaniu lekarskim danego pacjenta.</w:t>
            </w:r>
          </w:p>
        </w:tc>
      </w:tr>
    </w:tbl>
    <w:p w14:paraId="30FD3A28" w14:textId="77777777" w:rsidR="001E0975" w:rsidRPr="00F13073" w:rsidRDefault="001E0975" w:rsidP="008B4C50"/>
    <w:p w14:paraId="7DACD7A2" w14:textId="77777777" w:rsidR="00463FD3" w:rsidRPr="00F13073" w:rsidRDefault="00463FD3" w:rsidP="008B4C50">
      <w:r w:rsidRPr="00F13073">
        <w:t>Nie przeprowadzono badań nad zmniejszeniem dawki tocilizumabu w związku z nieprawidłowymi wynikami badań laboratoryjnych u pacjentów z wMIZS.</w:t>
      </w:r>
    </w:p>
    <w:p w14:paraId="6AD97083" w14:textId="77777777" w:rsidR="00463FD3" w:rsidRPr="00F13073" w:rsidRDefault="00463FD3" w:rsidP="008B4C50"/>
    <w:p w14:paraId="32BE4BCD" w14:textId="2F30483E" w:rsidR="00463FD3" w:rsidRPr="00F13073" w:rsidRDefault="00463FD3" w:rsidP="008B4C50">
      <w:r w:rsidRPr="00F13073">
        <w:t xml:space="preserve">Dostępne dane sugerują, że poprawa stanu klinicznego jest obserwowana w ciągu 12 tygodni od rozpoczęcia leczenia </w:t>
      </w:r>
      <w:r w:rsidR="00375A3C" w:rsidRPr="00F13073">
        <w:t>tocilizumabem</w:t>
      </w:r>
      <w:r w:rsidRPr="00F13073">
        <w:t>. W przypadku pacjentów niewykazujących w tym okresie żadnej poprawy należy jeszcze raz dokładnie rozważyć kontynuację leczenia.</w:t>
      </w:r>
    </w:p>
    <w:p w14:paraId="496EB4D7" w14:textId="77777777" w:rsidR="00463FD3" w:rsidRPr="00F13073" w:rsidRDefault="00463FD3" w:rsidP="008B4C50"/>
    <w:p w14:paraId="371C6CE1" w14:textId="77777777" w:rsidR="00463FD3" w:rsidRPr="00F13073" w:rsidRDefault="00463FD3" w:rsidP="008B4C50">
      <w:pPr>
        <w:rPr>
          <w:i/>
          <w:iCs/>
        </w:rPr>
      </w:pPr>
      <w:r w:rsidRPr="00F13073">
        <w:rPr>
          <w:i/>
          <w:iCs/>
        </w:rPr>
        <w:t>U starszych pacjentów</w:t>
      </w:r>
    </w:p>
    <w:p w14:paraId="5889C63C" w14:textId="77777777" w:rsidR="00463FD3" w:rsidRPr="00F13073" w:rsidRDefault="00463FD3" w:rsidP="008B4C50">
      <w:r w:rsidRPr="00F13073">
        <w:t>Nie jest wymagane dostosowanie dawki u starszych pacjentów &gt; 65 lat.</w:t>
      </w:r>
    </w:p>
    <w:p w14:paraId="3886C51D" w14:textId="77777777" w:rsidR="00463FD3" w:rsidRPr="00F13073" w:rsidRDefault="00463FD3" w:rsidP="008B4C50"/>
    <w:p w14:paraId="2544B0CB" w14:textId="77777777" w:rsidR="00463FD3" w:rsidRPr="00F13073" w:rsidRDefault="00463FD3" w:rsidP="00E91686">
      <w:pPr>
        <w:keepNext/>
        <w:rPr>
          <w:i/>
          <w:iCs/>
        </w:rPr>
      </w:pPr>
      <w:r w:rsidRPr="00F13073">
        <w:rPr>
          <w:i/>
          <w:iCs/>
        </w:rPr>
        <w:t>Osoby z zaburzoną czynnością nerek</w:t>
      </w:r>
    </w:p>
    <w:p w14:paraId="573F2B9E" w14:textId="6A504D56" w:rsidR="00463FD3" w:rsidRPr="00F13073" w:rsidRDefault="00463FD3" w:rsidP="008B4C50">
      <w:r w:rsidRPr="00F13073">
        <w:t xml:space="preserve">Nie jest wymagane dostosowanie dawki u pacjentów z łagodnym zaburzeniem czynności nerek. Produkt leczniczy </w:t>
      </w:r>
      <w:r w:rsidR="00026375" w:rsidRPr="00F13073">
        <w:t>Avtozma</w:t>
      </w:r>
      <w:r w:rsidRPr="00F13073">
        <w:t xml:space="preserve"> nie został przebadany u pacjentów z zaburzeniami czynności nerek o nasileniu umiarkowanym do ciężkiego (patrz punkt 5.2). U tych pacjentów należy ściśle kontrolować czynność nerek.</w:t>
      </w:r>
    </w:p>
    <w:p w14:paraId="2D793E5E" w14:textId="77777777" w:rsidR="00463FD3" w:rsidRPr="00F13073" w:rsidRDefault="00463FD3" w:rsidP="008B4C50"/>
    <w:p w14:paraId="1F5A5A31" w14:textId="77777777" w:rsidR="00463FD3" w:rsidRPr="00F13073" w:rsidRDefault="00463FD3" w:rsidP="008B4C50">
      <w:pPr>
        <w:rPr>
          <w:i/>
          <w:iCs/>
        </w:rPr>
      </w:pPr>
      <w:r w:rsidRPr="00F13073">
        <w:rPr>
          <w:i/>
          <w:iCs/>
        </w:rPr>
        <w:t>Osoby z zaburzoną czynnością wątroby</w:t>
      </w:r>
    </w:p>
    <w:p w14:paraId="6842CC8F" w14:textId="25B3BBC7" w:rsidR="00463FD3" w:rsidRPr="00F13073" w:rsidRDefault="00463FD3" w:rsidP="008B4C50">
      <w:r w:rsidRPr="00F13073">
        <w:t xml:space="preserve">Produkt leczniczy </w:t>
      </w:r>
      <w:r w:rsidR="00026375" w:rsidRPr="00F13073">
        <w:t>Avtozma</w:t>
      </w:r>
      <w:r w:rsidRPr="00F13073">
        <w:t xml:space="preserve"> nie został przebadany w grupie pacjentów z zaburzoną czynnością wątroby.</w:t>
      </w:r>
    </w:p>
    <w:p w14:paraId="65AE8415" w14:textId="77777777" w:rsidR="00463FD3" w:rsidRPr="00F13073" w:rsidRDefault="00463FD3" w:rsidP="008B4C50">
      <w:r w:rsidRPr="00F13073">
        <w:t>Z tego względu podanie zaleceń dotyczących dawkowania jest niemożliwe.</w:t>
      </w:r>
    </w:p>
    <w:p w14:paraId="730DF650" w14:textId="77777777" w:rsidR="00463FD3" w:rsidRPr="00F13073" w:rsidRDefault="00463FD3" w:rsidP="008B4C50"/>
    <w:p w14:paraId="79AF4F59" w14:textId="77777777" w:rsidR="00463FD3" w:rsidRPr="00F13073" w:rsidRDefault="00463FD3" w:rsidP="008B4C50">
      <w:pPr>
        <w:rPr>
          <w:u w:val="single"/>
        </w:rPr>
      </w:pPr>
      <w:r w:rsidRPr="00F13073">
        <w:rPr>
          <w:u w:val="single"/>
        </w:rPr>
        <w:t>Sposób podawania</w:t>
      </w:r>
    </w:p>
    <w:p w14:paraId="558405F0" w14:textId="77777777" w:rsidR="00463FD3" w:rsidRPr="00F13073" w:rsidRDefault="00463FD3" w:rsidP="008B4C50">
      <w:pPr>
        <w:rPr>
          <w:u w:val="single"/>
        </w:rPr>
      </w:pPr>
    </w:p>
    <w:p w14:paraId="44E4A4B9" w14:textId="7B378B78" w:rsidR="00463FD3" w:rsidRPr="00F13073" w:rsidRDefault="00463FD3" w:rsidP="008B4C50">
      <w:r w:rsidRPr="00F13073">
        <w:t xml:space="preserve">Po rozcieńczeniu produkt leczniczy </w:t>
      </w:r>
      <w:r w:rsidR="00026375" w:rsidRPr="00F13073">
        <w:t>Avtozma</w:t>
      </w:r>
      <w:r w:rsidRPr="00F13073">
        <w:t xml:space="preserve"> należy podawać chorym na RZS, uMIZS, wMIZS, CRS i COVID-19 we wlewie dożylnym trwającym 1 godzinę.</w:t>
      </w:r>
    </w:p>
    <w:p w14:paraId="12903390" w14:textId="77777777" w:rsidR="00463FD3" w:rsidRPr="00F13073" w:rsidRDefault="00463FD3" w:rsidP="008B4C50"/>
    <w:p w14:paraId="4116D36F" w14:textId="77777777" w:rsidR="00463FD3" w:rsidRPr="00F13073" w:rsidRDefault="00463FD3" w:rsidP="008B4C50">
      <w:r w:rsidRPr="00F13073">
        <w:t>Chorzy na RZS, uMIZS, wMIZS, CRS i COVID-19 o masie cia</w:t>
      </w:r>
      <w:r w:rsidRPr="00F13073">
        <w:rPr>
          <w:rFonts w:ascii="Cambria" w:hAnsi="Cambria" w:cs="Cambria"/>
        </w:rPr>
        <w:t>ł</w:t>
      </w:r>
      <w:r w:rsidRPr="00F13073">
        <w:t>a ≥ 30 kg</w:t>
      </w:r>
    </w:p>
    <w:p w14:paraId="23BA250A" w14:textId="02E70180" w:rsidR="00463FD3" w:rsidRPr="00F13073" w:rsidRDefault="00463FD3" w:rsidP="008B4C50">
      <w:r w:rsidRPr="00F13073">
        <w:t xml:space="preserve">Produkt leczniczy </w:t>
      </w:r>
      <w:r w:rsidR="00026375" w:rsidRPr="00F13073">
        <w:t>Avtozma</w:t>
      </w:r>
      <w:r w:rsidRPr="00F13073">
        <w:t xml:space="preserve"> należy rozcieńczyć do objętości 100 mL za pomocą jałowego, apirogennego roztworu chlorku sodu o stężeniu 9 mg/mL (0,9%) </w:t>
      </w:r>
      <w:r w:rsidR="00AF39BD" w:rsidRPr="00F13073">
        <w:t xml:space="preserve">lub 4,5 mg/ml (0,45%) </w:t>
      </w:r>
      <w:r w:rsidRPr="00F13073">
        <w:t>z zachowaniem zasad aseptyki.</w:t>
      </w:r>
    </w:p>
    <w:p w14:paraId="372BB0B3" w14:textId="77777777" w:rsidR="00463FD3" w:rsidRPr="00F13073" w:rsidRDefault="00463FD3" w:rsidP="008B4C50"/>
    <w:p w14:paraId="2226821E" w14:textId="77777777" w:rsidR="00463FD3" w:rsidRPr="00F13073" w:rsidRDefault="00463FD3" w:rsidP="008B4C50">
      <w:r w:rsidRPr="00F13073">
        <w:t>Instrukcja dotycząca rozcieńczania produktu leczniczego przed podaniem, patrz punkt 6.6.</w:t>
      </w:r>
    </w:p>
    <w:p w14:paraId="3A5A907E" w14:textId="77777777" w:rsidR="00463FD3" w:rsidRPr="00F13073" w:rsidRDefault="00463FD3" w:rsidP="008B4C50"/>
    <w:p w14:paraId="3F65F236" w14:textId="77777777" w:rsidR="001E0975" w:rsidRPr="00F13073" w:rsidRDefault="00463FD3" w:rsidP="008B4C50">
      <w:r w:rsidRPr="00F13073">
        <w:t>Chorzy na uMIZS, wMIZS i CRS o masie ciała &lt; 30 kg</w:t>
      </w:r>
    </w:p>
    <w:p w14:paraId="4509E38C" w14:textId="77777777" w:rsidR="00AA3D00" w:rsidRPr="00F13073" w:rsidRDefault="00AA3D00" w:rsidP="008B4C50"/>
    <w:p w14:paraId="276B5B36" w14:textId="35609874" w:rsidR="007D77BF" w:rsidRPr="00F13073" w:rsidRDefault="007D77BF" w:rsidP="008B4C50">
      <w:r w:rsidRPr="00F13073">
        <w:lastRenderedPageBreak/>
        <w:t xml:space="preserve">Produkt leczniczy </w:t>
      </w:r>
      <w:r w:rsidR="00026375" w:rsidRPr="00F13073">
        <w:t>Avtozma</w:t>
      </w:r>
      <w:r w:rsidRPr="00F13073">
        <w:t xml:space="preserve"> należy rozcieńczyć do końcowej objętości 50 mL za pomocą jałowego, apirogennego roztworu chlorku sodu do wstrzykiwań o stężeniu 9 mg/mL (0,9%) </w:t>
      </w:r>
      <w:r w:rsidR="00F3704F">
        <w:t xml:space="preserve">lub 4,5 mg/ml (0,45%) </w:t>
      </w:r>
      <w:r w:rsidRPr="00F13073">
        <w:t>z zachowaniem zasad aseptyki.</w:t>
      </w:r>
    </w:p>
    <w:p w14:paraId="5C96E8ED" w14:textId="77777777" w:rsidR="007D77BF" w:rsidRPr="00F13073" w:rsidRDefault="007D77BF" w:rsidP="008B4C50"/>
    <w:p w14:paraId="2472C2C9" w14:textId="77777777" w:rsidR="007D77BF" w:rsidRPr="00F13073" w:rsidRDefault="007D77BF" w:rsidP="008B4C50">
      <w:r w:rsidRPr="00F13073">
        <w:t>Instrukcja dotycząca rozcieńczania produktu leczniczego przed podaniem, patrz punkt 6.6.</w:t>
      </w:r>
    </w:p>
    <w:p w14:paraId="61A76811" w14:textId="77777777" w:rsidR="007D77BF" w:rsidRPr="00F13073" w:rsidRDefault="007D77BF" w:rsidP="008B4C50"/>
    <w:p w14:paraId="6E504637" w14:textId="77777777" w:rsidR="001E0975" w:rsidRPr="00F13073" w:rsidRDefault="007D77BF" w:rsidP="008B4C50">
      <w:r w:rsidRPr="00F13073">
        <w:t>Jeśli wystąpią przedmiotowe i podmiotowe objawy reakcji związanej z infuzją, należy zmniejszyć prędkość wlewu lub przerwać wlew i natychmiast podać odpowiednie leki lub zastosować leczenie wspomagające, patrz punkt 4.4.</w:t>
      </w:r>
    </w:p>
    <w:p w14:paraId="18A2975B" w14:textId="77777777" w:rsidR="00AA3D00" w:rsidRPr="00F13073" w:rsidRDefault="00AA3D00" w:rsidP="008B4C50"/>
    <w:p w14:paraId="30953CC6" w14:textId="77777777" w:rsidR="001E0975" w:rsidRPr="00F13073" w:rsidRDefault="001721B1" w:rsidP="008B4C50">
      <w:pPr>
        <w:keepNext/>
        <w:ind w:left="567" w:hanging="567"/>
        <w:rPr>
          <w:b/>
          <w:bCs/>
        </w:rPr>
      </w:pPr>
      <w:r w:rsidRPr="00F13073">
        <w:rPr>
          <w:b/>
          <w:bCs/>
        </w:rPr>
        <w:t>4.3</w:t>
      </w:r>
      <w:r w:rsidRPr="00F13073">
        <w:rPr>
          <w:b/>
          <w:bCs/>
        </w:rPr>
        <w:tab/>
      </w:r>
      <w:r w:rsidR="007D77BF" w:rsidRPr="00F13073">
        <w:rPr>
          <w:b/>
          <w:bCs/>
        </w:rPr>
        <w:t>Przeciwwskazania</w:t>
      </w:r>
    </w:p>
    <w:p w14:paraId="6849530A" w14:textId="77777777" w:rsidR="00AA3D00" w:rsidRPr="00F13073" w:rsidRDefault="00AA3D00" w:rsidP="008B4C50">
      <w:pPr>
        <w:keepNext/>
        <w:ind w:left="567" w:hanging="567"/>
        <w:rPr>
          <w:b/>
          <w:bCs/>
        </w:rPr>
      </w:pPr>
    </w:p>
    <w:p w14:paraId="6003A20A" w14:textId="77777777" w:rsidR="007D77BF" w:rsidRPr="00F13073" w:rsidRDefault="007D77BF" w:rsidP="008B4C50">
      <w:r w:rsidRPr="00F13073">
        <w:t>Nadwrażliwość na substancję czynną lub na którąkolwiek substancję pomocniczą wymienioną w punkcie 6.1.</w:t>
      </w:r>
    </w:p>
    <w:p w14:paraId="066C39B2" w14:textId="77777777" w:rsidR="007D77BF" w:rsidRPr="00F13073" w:rsidRDefault="007D77BF" w:rsidP="008B4C50"/>
    <w:p w14:paraId="00EE0FE6" w14:textId="77777777" w:rsidR="00AA3D00" w:rsidRPr="00F13073" w:rsidRDefault="007D77BF" w:rsidP="008B4C50">
      <w:r w:rsidRPr="00F13073">
        <w:t>Czynne, ciężkie zakażenia, z wyjątkiem COVID-19 (patrz punkt 4.4).</w:t>
      </w:r>
    </w:p>
    <w:p w14:paraId="47E4A0CD" w14:textId="77777777" w:rsidR="007D77BF" w:rsidRPr="00F13073" w:rsidRDefault="007D77BF" w:rsidP="008B4C50"/>
    <w:p w14:paraId="28F9C5CC" w14:textId="77777777" w:rsidR="001E0975" w:rsidRPr="00F13073" w:rsidRDefault="001721B1" w:rsidP="008B4C50">
      <w:pPr>
        <w:keepNext/>
        <w:ind w:left="567" w:hanging="567"/>
        <w:rPr>
          <w:b/>
          <w:bCs/>
        </w:rPr>
      </w:pPr>
      <w:r w:rsidRPr="00F13073">
        <w:rPr>
          <w:b/>
          <w:bCs/>
        </w:rPr>
        <w:t>4.4</w:t>
      </w:r>
      <w:r w:rsidRPr="00F13073">
        <w:rPr>
          <w:b/>
          <w:bCs/>
        </w:rPr>
        <w:tab/>
      </w:r>
      <w:r w:rsidR="007D77BF" w:rsidRPr="00F13073">
        <w:rPr>
          <w:b/>
          <w:bCs/>
        </w:rPr>
        <w:t>Specjalne ostrzeżenia i środki ostrożności dotyczące stosowania</w:t>
      </w:r>
    </w:p>
    <w:p w14:paraId="1125E294" w14:textId="77777777" w:rsidR="00AA3D00" w:rsidRPr="00F13073" w:rsidRDefault="00AA3D00" w:rsidP="008B4C50">
      <w:pPr>
        <w:keepNext/>
        <w:ind w:left="567" w:hanging="567"/>
        <w:rPr>
          <w:b/>
          <w:bCs/>
        </w:rPr>
      </w:pPr>
    </w:p>
    <w:p w14:paraId="7571F578" w14:textId="77777777" w:rsidR="001E0975" w:rsidRPr="00F13073" w:rsidRDefault="007D77BF" w:rsidP="008B4C50">
      <w:pPr>
        <w:keepNext/>
        <w:rPr>
          <w:i/>
          <w:iCs/>
        </w:rPr>
      </w:pPr>
      <w:r w:rsidRPr="00F13073">
        <w:rPr>
          <w:i/>
          <w:iCs/>
        </w:rPr>
        <w:t>Identyfikowalność</w:t>
      </w:r>
    </w:p>
    <w:p w14:paraId="2FE2F528" w14:textId="77777777" w:rsidR="007D77BF" w:rsidRPr="00F13073" w:rsidRDefault="007D77BF" w:rsidP="008B4C50">
      <w:r w:rsidRPr="00F13073">
        <w:t>W celu poprawy identyfikowalności biologicznych produktów leczniczych, nazwa handlowa i numer serii podawanego produktu powinny zostać jasno zapisane (lub odnotowane) w dokumentacji pacjenta.</w:t>
      </w:r>
    </w:p>
    <w:p w14:paraId="30E3BD0C" w14:textId="77777777" w:rsidR="007D77BF" w:rsidRPr="00F13073" w:rsidRDefault="007D77BF" w:rsidP="008B4C50"/>
    <w:p w14:paraId="2BD85412" w14:textId="77777777" w:rsidR="007D77BF" w:rsidRPr="00F13073" w:rsidRDefault="007D77BF" w:rsidP="008B4C50">
      <w:r w:rsidRPr="00F13073">
        <w:t>Chorzy na RZS, wMIZS i uMIZS</w:t>
      </w:r>
    </w:p>
    <w:p w14:paraId="251E00CC" w14:textId="77777777" w:rsidR="007D77BF" w:rsidRPr="00F13073" w:rsidRDefault="007D77BF" w:rsidP="008B4C50"/>
    <w:p w14:paraId="0B1145D0" w14:textId="77777777" w:rsidR="007D77BF" w:rsidRPr="00F13073" w:rsidRDefault="007D77BF" w:rsidP="008B4C50">
      <w:pPr>
        <w:rPr>
          <w:i/>
          <w:iCs/>
        </w:rPr>
      </w:pPr>
      <w:r w:rsidRPr="00F13073">
        <w:rPr>
          <w:i/>
          <w:iCs/>
        </w:rPr>
        <w:t>Zakażenia</w:t>
      </w:r>
    </w:p>
    <w:p w14:paraId="30AFFCC7" w14:textId="02F6A9A7" w:rsidR="007D77BF" w:rsidRPr="00F13073" w:rsidRDefault="007D77BF" w:rsidP="008B4C50">
      <w:r w:rsidRPr="00F13073">
        <w:t xml:space="preserve">U pacjentów otrzymujących leki immunosupresyjne, w tym </w:t>
      </w:r>
      <w:r w:rsidR="00C0331E" w:rsidRPr="00F13073">
        <w:t>tocilizumab</w:t>
      </w:r>
      <w:r w:rsidRPr="00F13073">
        <w:t xml:space="preserve">, zgłaszano ciężkie zakażenia, niekiedy zakończone zgonem (patrz punkt 4.8 Działania niepożądane). Nie należy rozpoczynać leczenia produktem leczniczym </w:t>
      </w:r>
      <w:r w:rsidR="00026375" w:rsidRPr="00F13073">
        <w:t>Avtozma</w:t>
      </w:r>
      <w:r w:rsidRPr="00F13073">
        <w:t xml:space="preserve"> u chorych z czynnym zakażeniem (patrz punkt 4.3). Jeśli w trakcie leczenia rozwinie się u pacjenta ciężkie zakażenie, podawanie </w:t>
      </w:r>
      <w:r w:rsidR="00C0331E" w:rsidRPr="00F13073">
        <w:t>tocilizumabu</w:t>
      </w:r>
      <w:r w:rsidR="00604715" w:rsidRPr="00F13073">
        <w:t xml:space="preserve"> </w:t>
      </w:r>
      <w:r w:rsidRPr="00F13073">
        <w:t xml:space="preserve">należy przerwać do czasu opanowania zakażenia (patrz punkt 4.8). Zaleca się zachowanie szczególnej ostrożności przy podejmowaniu decyzji o zastosowaniu leczenia produktem leczniczym </w:t>
      </w:r>
      <w:r w:rsidR="00026375" w:rsidRPr="00F13073">
        <w:t>Avtozma</w:t>
      </w:r>
      <w:r w:rsidRPr="00F13073">
        <w:t xml:space="preserve"> u pacjentów z nawracającymi zakażeniami w wywiadzie lub przewlekłymi zakażeniami lub z chorobami współistniejącymi (np. zapalenie uchyłków jelita, cukrzyca i śródmiąższowa choroba płuc), które mogą predysponować do zakażeń.</w:t>
      </w:r>
    </w:p>
    <w:p w14:paraId="6A812B51" w14:textId="77777777" w:rsidR="007D77BF" w:rsidRPr="00F13073" w:rsidRDefault="007D77BF" w:rsidP="008B4C50"/>
    <w:p w14:paraId="7867B823" w14:textId="77777777" w:rsidR="007D77BF" w:rsidRPr="00F13073" w:rsidRDefault="007D77BF" w:rsidP="008B4C50">
      <w:r w:rsidRPr="00F13073">
        <w:t>Zalecane jest zachowanie szczególnej czujności, w celu odpowiednio wczesnego wykrycia ciężkiego zakażenia u chorych otrzymujących leczenie biologiczne, gdyż dolegliwości i objawy kliniczne ostrego zapalenia mogą być słabiej wyrażone, co jest związane ze stłumieniem reakcji ostrej fazy. Oceniając pacjenta pod względem możliwości wystąpienia zakażenia, należy rozważyć działanie tocilizumabu na białko C – reaktywne (CRP), granulocyty obojętnochłonne oraz przedmiotowe i podmiotowe objawy zakażenia. Pacjentów (włączając młodsze dzieci z uMIZS i wMIZS, które mają niższą zdolność komunikowania swoich objawów) oraz rodziców/opiekunów pacjentów z uMIZS i wMIZS, należy poinstruować, aby w razie wystąpienia jakichkolwiek objawów wskazujących na zakażenie, niezwłocznie zgłosili się do lekarza w celu szybkiej oceny stanu klinicznego i zastosowania właściwego leczenia.</w:t>
      </w:r>
    </w:p>
    <w:p w14:paraId="3E0FFE44" w14:textId="77777777" w:rsidR="007D77BF" w:rsidRPr="00F13073" w:rsidRDefault="007D77BF" w:rsidP="008B4C50"/>
    <w:p w14:paraId="069A51BF" w14:textId="77777777" w:rsidR="007D77BF" w:rsidRPr="00F13073" w:rsidRDefault="007D77BF" w:rsidP="008B4C50">
      <w:pPr>
        <w:rPr>
          <w:i/>
          <w:iCs/>
        </w:rPr>
      </w:pPr>
      <w:r w:rsidRPr="00F13073">
        <w:rPr>
          <w:i/>
          <w:iCs/>
        </w:rPr>
        <w:t>Gruźlica</w:t>
      </w:r>
    </w:p>
    <w:p w14:paraId="693EB419" w14:textId="169C0293" w:rsidR="001E0975" w:rsidRPr="00F13073" w:rsidRDefault="007D77BF" w:rsidP="008B4C50">
      <w:r w:rsidRPr="00F13073">
        <w:t xml:space="preserve">Podobnie jak w przypadku innych terapii biologicznych, pacjenci chorzy na RZS, uMIZS i wMIZS, przed rozpoczęciem podawania produktu leczniczego </w:t>
      </w:r>
      <w:r w:rsidR="00026375" w:rsidRPr="00F13073">
        <w:t>Avtozma</w:t>
      </w:r>
      <w:r w:rsidRPr="00F13073">
        <w:t xml:space="preserve"> powinni zostać poddani badaniom przesiewowym w kierunku występowania utajonej gruźlicy (TB). U pacjentów z utajoną gruźlicą należy przed rozpoczęciem leczenia produktem leczniczym </w:t>
      </w:r>
      <w:r w:rsidR="00026375" w:rsidRPr="00F13073">
        <w:t>Avtozma</w:t>
      </w:r>
      <w:r w:rsidRPr="00F13073">
        <w:t xml:space="preserve"> zastosować standardowe leczenie przeciwprątkowe. Lekarze powinni pamiętać o ryzyku fałszywie ujemnych wyników tuberkulinowego testu skórnego oraz testu gamma interferonowego wykonywanego na podstawie badania krwi, zwłaszcza u pacjentów ciężko chorych lub u pacjentów o obniżonej odporności.</w:t>
      </w:r>
    </w:p>
    <w:p w14:paraId="25900743" w14:textId="77777777" w:rsidR="00AA3D00" w:rsidRPr="00F13073" w:rsidRDefault="00AA3D00" w:rsidP="008B4C50"/>
    <w:p w14:paraId="21736990" w14:textId="7A1B8D00" w:rsidR="007D77BF" w:rsidRPr="00F13073" w:rsidRDefault="007D77BF" w:rsidP="008B4C50">
      <w:r w:rsidRPr="00F13073">
        <w:lastRenderedPageBreak/>
        <w:t xml:space="preserve">Należy pouczyć pacjentów, aby zwrócili się do lekarza, jeśli w trakcie lub po terapii produktem leczniczym </w:t>
      </w:r>
      <w:r w:rsidR="00026375" w:rsidRPr="00F13073">
        <w:t>Avtozma</w:t>
      </w:r>
      <w:r w:rsidRPr="00F13073">
        <w:t xml:space="preserve"> wystąpią objawy wskazujące na zakażenie gruźlicą (np. uporczywy kaszel, wyniszczenie/zmniejszenie masy ciała, niewielka gorączka).</w:t>
      </w:r>
    </w:p>
    <w:p w14:paraId="63A57315" w14:textId="77777777" w:rsidR="007D77BF" w:rsidRPr="00F13073" w:rsidRDefault="007D77BF" w:rsidP="008B4C50"/>
    <w:p w14:paraId="5D3CC831" w14:textId="77777777" w:rsidR="007D77BF" w:rsidRPr="00F13073" w:rsidRDefault="007D77BF" w:rsidP="008B4C50">
      <w:pPr>
        <w:rPr>
          <w:i/>
          <w:iCs/>
        </w:rPr>
      </w:pPr>
      <w:r w:rsidRPr="00F13073">
        <w:rPr>
          <w:i/>
          <w:iCs/>
        </w:rPr>
        <w:t>Reaktywacja zakażenia wirusowego</w:t>
      </w:r>
    </w:p>
    <w:p w14:paraId="7FD8D84A" w14:textId="77777777" w:rsidR="007D77BF" w:rsidRPr="00F13073" w:rsidRDefault="007D77BF" w:rsidP="008B4C50">
      <w:r w:rsidRPr="00F13073">
        <w:t>W trakcie leczenia biologicznego chorych na RZS zgłaszano przypadki reaktywacji zakażenia wirusowego (np. wirusem zapalenia wątroby typu B). Do badań klinicznych z tocilizumabem nie włączano pacjentów, którzy w badaniach przesiewowych mieli dodatni wynik testu w kierunku wirusowego zapalenia wątroby.</w:t>
      </w:r>
    </w:p>
    <w:p w14:paraId="3CEE7C94" w14:textId="77777777" w:rsidR="007D77BF" w:rsidRPr="00F13073" w:rsidRDefault="007D77BF" w:rsidP="008B4C50"/>
    <w:p w14:paraId="242E109C" w14:textId="77777777" w:rsidR="007D77BF" w:rsidRPr="00F13073" w:rsidRDefault="007D77BF" w:rsidP="008B4C50">
      <w:pPr>
        <w:rPr>
          <w:i/>
          <w:iCs/>
        </w:rPr>
      </w:pPr>
      <w:r w:rsidRPr="00F13073">
        <w:rPr>
          <w:i/>
          <w:iCs/>
        </w:rPr>
        <w:t>Powikłania zapalenia uchyłków jelita</w:t>
      </w:r>
    </w:p>
    <w:p w14:paraId="163FF828" w14:textId="352A8D2E" w:rsidR="007D77BF" w:rsidRPr="00F13073" w:rsidRDefault="007D77BF" w:rsidP="008B4C50">
      <w:r w:rsidRPr="00F13073">
        <w:t xml:space="preserve">Niezbyt często zgłaszano przypadki perforacji uchyłków jako powikłanie zapalenia uchyłków po zastosowaniu </w:t>
      </w:r>
      <w:r w:rsidR="001F3420" w:rsidRPr="00F13073">
        <w:t>tocilizumabu</w:t>
      </w:r>
      <w:r w:rsidRPr="00F13073">
        <w:t xml:space="preserve"> chorych na RZS (patrz punkt 4.8). Należy zachować szczególną ostrożność przy stosowaniu produktu leczniczego </w:t>
      </w:r>
      <w:r w:rsidR="00026375" w:rsidRPr="00F13073">
        <w:t>Avtozma</w:t>
      </w:r>
      <w:r w:rsidRPr="00F13073">
        <w:t xml:space="preserve"> u pacjentów z owrzodzeniem jelita lub zapaleniem uchyłków w wywiadzie. Pacjenci zgłaszający się z objawami klinicznymi wskazującymi na powikłane zapalenie uchyłków, takimi jak: ból brzucha, krwotok i (lub) niewyjaśniona zmiana w rytmie wypróżnień z towarzyszącą gorączką powinni zostać poddani natychmiastowej ocenie klinicznej pod kątem wczesnego wykrycia zapalenia uchyłków, które może prowadzić do perforacji przewodu pokarmowego.</w:t>
      </w:r>
    </w:p>
    <w:p w14:paraId="2F1FD4F3" w14:textId="77777777" w:rsidR="007D77BF" w:rsidRPr="00F13073" w:rsidRDefault="007D77BF" w:rsidP="008B4C50"/>
    <w:p w14:paraId="73392D84" w14:textId="77777777" w:rsidR="007D77BF" w:rsidRPr="00F13073" w:rsidRDefault="007D77BF" w:rsidP="008B4C50">
      <w:pPr>
        <w:rPr>
          <w:i/>
          <w:iCs/>
        </w:rPr>
      </w:pPr>
      <w:r w:rsidRPr="00F13073">
        <w:rPr>
          <w:i/>
          <w:iCs/>
        </w:rPr>
        <w:t>Reakcje nadwrażliwości</w:t>
      </w:r>
    </w:p>
    <w:p w14:paraId="7394067A" w14:textId="7CCE2F9E" w:rsidR="007D77BF" w:rsidRPr="00F13073" w:rsidRDefault="007D77BF" w:rsidP="008B4C50">
      <w:r w:rsidRPr="00F13073">
        <w:t xml:space="preserve">Opisywano ciężkie reakcje nadwrażliwości pozostające w związku z wlewem </w:t>
      </w:r>
      <w:r w:rsidR="001F3420" w:rsidRPr="00F13073">
        <w:t>tocilizumabu</w:t>
      </w:r>
      <w:r w:rsidRPr="00F13073">
        <w:t xml:space="preserve"> (patrz punkt 4.8). Stopień nasilenia takich reakcji może być większy i mogą one stanowić potencjalne zagrożenie dla życia pacjentów, u których uprzednio wystąpiła reakcja nadwrażliwości podczas wcześniejszych wlewów, nawet jeżeli otrzymali oni w ramach premedykacji przed podaniem wlewu steroidy i leki przeciwhistaminowe. Podczas podawania produktu leczniczego </w:t>
      </w:r>
      <w:r w:rsidR="00026375" w:rsidRPr="00F13073">
        <w:t>Avtozma</w:t>
      </w:r>
      <w:r w:rsidRPr="00F13073">
        <w:t xml:space="preserve">, odpowiednie leczenie powinno być dostępne do natychmiastowego użycia na wypadek wystąpienia reakcji anafilaktycznej. W przypadku wystąpienia reakcji anafilaktycznej lub innej ciężkiej reakcji nadwrażliwości/ciężkiej reakcji związanej z wlewem, podawanie produktu leczniczego </w:t>
      </w:r>
      <w:r w:rsidR="00026375" w:rsidRPr="00F13073">
        <w:t>Avtozma</w:t>
      </w:r>
      <w:r w:rsidRPr="00F13073">
        <w:t xml:space="preserve"> należy natychmiast przerwać i na stałe odstawić.</w:t>
      </w:r>
    </w:p>
    <w:p w14:paraId="10C97B52" w14:textId="77777777" w:rsidR="007D77BF" w:rsidRPr="00F13073" w:rsidRDefault="007D77BF" w:rsidP="008B4C50"/>
    <w:p w14:paraId="1C8CBC27" w14:textId="77777777" w:rsidR="007D77BF" w:rsidRPr="00F13073" w:rsidRDefault="007D77BF" w:rsidP="00E91686">
      <w:pPr>
        <w:keepNext/>
        <w:rPr>
          <w:i/>
          <w:iCs/>
        </w:rPr>
      </w:pPr>
      <w:r w:rsidRPr="00F13073">
        <w:rPr>
          <w:i/>
          <w:iCs/>
        </w:rPr>
        <w:t>Choroba wątroby w fazie czynnej i zaburzona czynność wątroby</w:t>
      </w:r>
    </w:p>
    <w:p w14:paraId="5E1AE2F5" w14:textId="30F4231B" w:rsidR="007D77BF" w:rsidRPr="00F13073" w:rsidRDefault="007D77BF" w:rsidP="008B4C50">
      <w:r w:rsidRPr="00F13073">
        <w:t xml:space="preserve">W trakcie leczenia </w:t>
      </w:r>
      <w:r w:rsidR="00DC59AF" w:rsidRPr="00F13073">
        <w:t>tocilizumabem</w:t>
      </w:r>
      <w:r w:rsidRPr="00F13073">
        <w:t>, zwłaszcza gdy jest on podawany równocześnie z metotreksatem, może dojść do zwiększenia aktywności aminotransferaz wątrobowych. Dlatego też należy zachować szczególną ostrożność, rozważając leczenie u pacjentów z czynną chorobą wątroby lub zaburzoną czynnością wątroby (patrz punkty 4.2 i 4.8).</w:t>
      </w:r>
    </w:p>
    <w:p w14:paraId="4881B316" w14:textId="77777777" w:rsidR="007D77BF" w:rsidRPr="00F13073" w:rsidRDefault="007D77BF" w:rsidP="008B4C50"/>
    <w:p w14:paraId="32C023EA" w14:textId="77777777" w:rsidR="007D77BF" w:rsidRPr="00F13073" w:rsidRDefault="007D77BF" w:rsidP="008B4C50">
      <w:pPr>
        <w:rPr>
          <w:i/>
          <w:iCs/>
        </w:rPr>
      </w:pPr>
      <w:r w:rsidRPr="00F13073">
        <w:rPr>
          <w:i/>
          <w:iCs/>
        </w:rPr>
        <w:t>Hepatotoksyczność</w:t>
      </w:r>
    </w:p>
    <w:p w14:paraId="102EA872" w14:textId="0126C2A9" w:rsidR="007D77BF" w:rsidRPr="00F13073" w:rsidRDefault="007D77BF" w:rsidP="008B4C50">
      <w:r w:rsidRPr="00F13073">
        <w:t xml:space="preserve">W trakcie leczenia </w:t>
      </w:r>
      <w:r w:rsidR="00151F9B" w:rsidRPr="00F13073">
        <w:t xml:space="preserve">tocilizumabem </w:t>
      </w:r>
      <w:r w:rsidRPr="00F13073">
        <w:t xml:space="preserve">zgłaszano często przejściowe lub okresowe zwiększenia aktywności aminotransferaz wątrobowych o nasileniu łagodnym i umiarkowanym (patrz punkt 4.8). Obserwowano częstsze przypadki zwiększenia aktywności enzymów, gdy równocześnie z </w:t>
      </w:r>
      <w:r w:rsidR="001E3D15" w:rsidRPr="00F13073">
        <w:t xml:space="preserve">tocilizumabem </w:t>
      </w:r>
      <w:r w:rsidRPr="00F13073">
        <w:t>podawano leki potencjalnie hepatotoksyczne (np. MTX). W przypadku wskazań klinicznych należy rozważyć wykonanie dodatkowych badań oceniających czynność wątroby, w tym oznaczenie stężenia bilirubiny.</w:t>
      </w:r>
    </w:p>
    <w:p w14:paraId="6900C81F" w14:textId="77777777" w:rsidR="007D77BF" w:rsidRPr="00F13073" w:rsidRDefault="007D77BF" w:rsidP="008B4C50"/>
    <w:p w14:paraId="5E0A3BA1" w14:textId="621A3942" w:rsidR="007D77BF" w:rsidRPr="00F13073" w:rsidRDefault="007D77BF" w:rsidP="008B4C50">
      <w:r w:rsidRPr="00F13073">
        <w:t xml:space="preserve">U pacjentów przyjmujących </w:t>
      </w:r>
      <w:r w:rsidR="001E3D15" w:rsidRPr="00F13073">
        <w:t>tocilizumab</w:t>
      </w:r>
      <w:r w:rsidR="00604715" w:rsidRPr="00F13073">
        <w:t xml:space="preserve"> </w:t>
      </w:r>
      <w:r w:rsidRPr="00F13073">
        <w:t xml:space="preserve">obserwowano przypadki ciężkiego uszkodzenia wątroby wywołanego przez lek, w tym ostrą niewydolność wątroby, zapalenie wątroby i żółtaczkę (patrz punkt 4.8). Ciężkie uszkodzenie wątroby występowało w okresie od 2 tygodni do ponad 5 lat po rozpoczęciu przyjmowania </w:t>
      </w:r>
      <w:r w:rsidR="001E3D15" w:rsidRPr="00F13073">
        <w:t>tocilizumabu</w:t>
      </w:r>
      <w:r w:rsidRPr="00F13073">
        <w:t>. Opisywano przypadki niewydolności wątroby prowadzącej do przeszczepu wątroby. Należy poinformować pacjentów o konieczności natychmiastowego zgłoszenia się do lekarza w przypadku wystąpienia objawów przedmiotowych i podmiotowych uszkodzenia wątroby.</w:t>
      </w:r>
    </w:p>
    <w:p w14:paraId="499E7EAE" w14:textId="77777777" w:rsidR="007D77BF" w:rsidRPr="00F13073" w:rsidRDefault="007D77BF" w:rsidP="008B4C50"/>
    <w:p w14:paraId="606EC854" w14:textId="418F2F64" w:rsidR="007D77BF" w:rsidRPr="00F13073" w:rsidRDefault="007D77BF" w:rsidP="008B4C50">
      <w:r w:rsidRPr="00F13073">
        <w:t xml:space="preserve">Należy zachować szczególną ostrożność, rozważając rozpoczęcie leczenia produktem leczniczym </w:t>
      </w:r>
      <w:r w:rsidR="00026375" w:rsidRPr="00F13073">
        <w:t>Avtozma</w:t>
      </w:r>
      <w:r w:rsidRPr="00F13073">
        <w:t xml:space="preserve"> u pacjentów ze zwiększoną aktywnością aminotransferazy alaninowej (AlAT) lub asparaginianowej (AspAT) &gt; 1,5 x GGN (górna granica normy). Nie zaleca się leczenia produktem </w:t>
      </w:r>
      <w:r w:rsidRPr="00F13073">
        <w:lastRenderedPageBreak/>
        <w:t xml:space="preserve">leczniczym </w:t>
      </w:r>
      <w:r w:rsidR="00026375" w:rsidRPr="00F13073">
        <w:t>Avtozma</w:t>
      </w:r>
      <w:r w:rsidRPr="00F13073">
        <w:t xml:space="preserve"> pacjentów z RZS, wMIZS i uMIZS i wyjściową aktywnością AlAT lub AspAT przekraczającą &gt; 5 x GGN.</w:t>
      </w:r>
    </w:p>
    <w:p w14:paraId="150826AB" w14:textId="77777777" w:rsidR="00E2042A" w:rsidRPr="00F13073" w:rsidRDefault="00E2042A" w:rsidP="008B4C50"/>
    <w:p w14:paraId="74C03407" w14:textId="57E77336" w:rsidR="007D77BF" w:rsidRPr="00F13073" w:rsidRDefault="007D77BF" w:rsidP="008B4C50">
      <w:r w:rsidRPr="00F13073">
        <w:t xml:space="preserve">U chorych na RZS, uMIZS i wMIZS, AlAT/AspAT należy kontrolować co 4 do 8 tygodni przez pierwsze 6 miesięcy leczenia, a następnie co 12 tygodni. Zalecenia dotyczące modyfikacji dawki, w tym przerwania podawania produktu leczniczego </w:t>
      </w:r>
      <w:r w:rsidR="00026375" w:rsidRPr="00F13073">
        <w:t>Avtozma</w:t>
      </w:r>
      <w:r w:rsidRPr="00F13073">
        <w:t xml:space="preserve"> w oparciu o aktywności aminotransferaz - patrz punkt 4.2. W przypadkach zwiększenia aktywności AlAT lub AspAT &gt; 3–5 x GGN potwierdzonych w kolejnych oznaczeniach, należy czasowo przerwać leczenie produktem leczniczym </w:t>
      </w:r>
      <w:r w:rsidR="00026375" w:rsidRPr="00F13073">
        <w:t>Avtozma</w:t>
      </w:r>
      <w:r w:rsidRPr="00F13073">
        <w:t>.</w:t>
      </w:r>
    </w:p>
    <w:p w14:paraId="0C98DC71" w14:textId="77777777" w:rsidR="00E2042A" w:rsidRPr="00F13073" w:rsidRDefault="00E2042A" w:rsidP="008B4C50"/>
    <w:p w14:paraId="5F4DA41B" w14:textId="77777777" w:rsidR="007D77BF" w:rsidRPr="00F13073" w:rsidRDefault="007D77BF" w:rsidP="008B4C50">
      <w:pPr>
        <w:rPr>
          <w:i/>
          <w:iCs/>
        </w:rPr>
      </w:pPr>
      <w:r w:rsidRPr="00F13073">
        <w:rPr>
          <w:i/>
          <w:iCs/>
        </w:rPr>
        <w:t>Zaburzenia hematologiczne</w:t>
      </w:r>
    </w:p>
    <w:p w14:paraId="409D7D78" w14:textId="77777777" w:rsidR="007D77BF" w:rsidRPr="00F13073" w:rsidRDefault="007D77BF" w:rsidP="008B4C50">
      <w:r w:rsidRPr="00F13073">
        <w:t>W trakcie stosowania leczenia skojarzonego tocilizumabem w dawce 8 mg/kg mc. z metotreksatem odnotowano obniżenie liczby granulocytów obojętnochłonnych i płytek krwi (patrz punkt 4.8). Istnieje zwiększone ryzyko wystąpienia neutropenii u pacjentów uprzednio leczonych inhibitorem TNF.</w:t>
      </w:r>
    </w:p>
    <w:p w14:paraId="74E34061" w14:textId="77777777" w:rsidR="00E2042A" w:rsidRPr="00F13073" w:rsidRDefault="00E2042A" w:rsidP="008B4C50"/>
    <w:p w14:paraId="4D29B6A2" w14:textId="24EAFF91" w:rsidR="007D77BF" w:rsidRPr="00F13073" w:rsidRDefault="007D77BF" w:rsidP="008B4C50">
      <w:r w:rsidRPr="00F13073">
        <w:t xml:space="preserve">U pacjentów, którzy nie otrzymywali wcześniej </w:t>
      </w:r>
      <w:r w:rsidR="002F06BB" w:rsidRPr="00F13073">
        <w:t>tocilizumabu</w:t>
      </w:r>
      <w:r w:rsidRPr="00F13073">
        <w:t xml:space="preserve">, nie zaleca się rozpoczynania leczenia, jeśli wartość ANC (ang. </w:t>
      </w:r>
      <w:r w:rsidRPr="00F13073">
        <w:rPr>
          <w:i/>
          <w:iCs/>
        </w:rPr>
        <w:t>absolute neutrophil count</w:t>
      </w:r>
      <w:r w:rsidRPr="00F13073">
        <w:t>) jest niższa od 2 x 10</w:t>
      </w:r>
      <w:r w:rsidRPr="00F13073">
        <w:rPr>
          <w:vertAlign w:val="superscript"/>
        </w:rPr>
        <w:t>9</w:t>
      </w:r>
      <w:r w:rsidRPr="00F13073">
        <w:t xml:space="preserve">/l. Należy zachować ostrożność, rozważając rozpoczęcie leczenia </w:t>
      </w:r>
      <w:r w:rsidR="002F06BB" w:rsidRPr="00F13073">
        <w:t>tocilizumabem</w:t>
      </w:r>
      <w:r w:rsidRPr="00F13073">
        <w:t xml:space="preserve"> u pacjentów z niską liczbą płytek krwi (np. liczba płytek krwi poniżej 100 x 10</w:t>
      </w:r>
      <w:r w:rsidRPr="00F13073">
        <w:rPr>
          <w:vertAlign w:val="superscript"/>
        </w:rPr>
        <w:t>3</w:t>
      </w:r>
      <w:r w:rsidRPr="00F13073">
        <w:t>/μL). Nie zaleca się kontynuowania leczenia u pacjentów z RZS, uMIZS i wMIZS oraz wartością ANC &lt;0,5 x 10</w:t>
      </w:r>
      <w:r w:rsidRPr="00F13073">
        <w:rPr>
          <w:vertAlign w:val="superscript"/>
        </w:rPr>
        <w:t>9</w:t>
      </w:r>
      <w:r w:rsidRPr="00F13073">
        <w:t>/l lub liczbą płytek krwi &lt; 50 x 10</w:t>
      </w:r>
      <w:r w:rsidRPr="00F13073">
        <w:rPr>
          <w:vertAlign w:val="superscript"/>
        </w:rPr>
        <w:t>3</w:t>
      </w:r>
      <w:r w:rsidRPr="00F13073">
        <w:t>/μL.</w:t>
      </w:r>
    </w:p>
    <w:p w14:paraId="5450462F" w14:textId="77777777" w:rsidR="00E2042A" w:rsidRPr="00F13073" w:rsidRDefault="00E2042A" w:rsidP="008B4C50"/>
    <w:p w14:paraId="26A1510B" w14:textId="702C0183" w:rsidR="007D77BF" w:rsidRPr="00F13073" w:rsidRDefault="007D77BF" w:rsidP="008B4C50">
      <w:r w:rsidRPr="00F13073">
        <w:t xml:space="preserve">Ciężka neutropenia może wiązać się ze zwiększonym ryzykiem wystąpienia ciężkich zakażeń, chociaż w badaniach klinicznych </w:t>
      </w:r>
      <w:r w:rsidR="002F06BB" w:rsidRPr="00F13073">
        <w:t xml:space="preserve">tocilizumabu </w:t>
      </w:r>
      <w:r w:rsidRPr="00F13073">
        <w:t>dotychczas nie stwierdzono jasnego związku pomiędzy zmniejszeniem liczby granulocytów obojętnochłonnych a występowaniem ciężkich zakażeń.</w:t>
      </w:r>
    </w:p>
    <w:p w14:paraId="15AECFEA" w14:textId="77777777" w:rsidR="00F10BE5" w:rsidRPr="00F13073" w:rsidRDefault="00F10BE5" w:rsidP="008B4C50"/>
    <w:p w14:paraId="6E6B1155" w14:textId="77777777" w:rsidR="007D77BF" w:rsidRPr="00F13073" w:rsidRDefault="007D77BF" w:rsidP="008B4C50">
      <w:r w:rsidRPr="00F13073">
        <w:t>U chorych na RZS liczbę granulocytów obojętnochłonnych i płytek krwi należy kontrolować 4 do 8 tygodni po rozpoczęciu leczenia, a następnie zgodnie z zasadami praktyki klinicznej. Zalecenia dotyczące zmiany dawkowania w oparciu o bezwzględną liczbę granulocytów obojętnochłonnych (ANC) i liczbę płytek krwi - patrz punkt 4.2.</w:t>
      </w:r>
    </w:p>
    <w:p w14:paraId="1C84D51B" w14:textId="77777777" w:rsidR="00F10BE5" w:rsidRPr="00F13073" w:rsidRDefault="00F10BE5" w:rsidP="008B4C50"/>
    <w:p w14:paraId="2EF01D97" w14:textId="77777777" w:rsidR="007D77BF" w:rsidRPr="00F13073" w:rsidRDefault="007D77BF" w:rsidP="008B4C50">
      <w:r w:rsidRPr="00F13073">
        <w:t>U pacjentów z uMIZS i wMIZS liczbę granulocytów obojętnochłonnych i płytek krwi należy kontrolować podczas drugiego wlewu, a następnie zgodnie z zasadami dobrej praktyki klinicznej – patrz punkt 4.2.</w:t>
      </w:r>
    </w:p>
    <w:p w14:paraId="4CABE6D9" w14:textId="77777777" w:rsidR="00F10BE5" w:rsidRPr="00F13073" w:rsidRDefault="00F10BE5" w:rsidP="008B4C50"/>
    <w:p w14:paraId="79C3E720" w14:textId="77777777" w:rsidR="007D77BF" w:rsidRPr="00F13073" w:rsidRDefault="007D77BF" w:rsidP="008B4C50">
      <w:pPr>
        <w:rPr>
          <w:i/>
          <w:iCs/>
        </w:rPr>
      </w:pPr>
      <w:r w:rsidRPr="00F13073">
        <w:rPr>
          <w:i/>
          <w:iCs/>
        </w:rPr>
        <w:t>Parametry gospodarki lipidowej</w:t>
      </w:r>
    </w:p>
    <w:p w14:paraId="6B869DB9" w14:textId="77777777" w:rsidR="007D77BF" w:rsidRPr="00F13073" w:rsidRDefault="007D77BF" w:rsidP="008B4C50">
      <w:r w:rsidRPr="00F13073">
        <w:t>U pacjentów leczonych tocilizumabem obserwowano zwiększone wartości parametrów gospodarki lipidowej, takich jak stężenie cholesterolu całkowitego, frakcji lipoprotein o niskiej gęstości (LDL), frakcji lipoprotein o wysokiej gęstości (HDL) oraz triglicerydów (patrz punkt 4.8). U większości pacjentów nie stwierdzono zwiększenia wskaźników aterogennych, a podwyższone stężenia cholesterolu całkowitego odpowiadały na terapię lekami obniżającymi stężenie lipidów.</w:t>
      </w:r>
    </w:p>
    <w:p w14:paraId="64977040" w14:textId="77777777" w:rsidR="00FB0787" w:rsidRPr="00F13073" w:rsidRDefault="00FB0787" w:rsidP="008B4C50"/>
    <w:p w14:paraId="265DC003" w14:textId="18D16A8D" w:rsidR="007D77BF" w:rsidRPr="00F13073" w:rsidRDefault="007D77BF" w:rsidP="008B4C50">
      <w:r w:rsidRPr="00F13073">
        <w:t xml:space="preserve">U chorych na uMIZS, wMIZS i RZS ocenę parametrów lipidowych należy wykonać 4–8 tygodni po rozpoczęciu leczenia </w:t>
      </w:r>
      <w:r w:rsidR="00FB0787" w:rsidRPr="00F13073">
        <w:t>tocilizumabem</w:t>
      </w:r>
      <w:r w:rsidRPr="00F13073">
        <w:t>. W dalszym postępowaniu z pacjentami należy kierować się przyjętymi lokalnie wytycznymi klinicznymi leczenia hiperlipidemii.</w:t>
      </w:r>
    </w:p>
    <w:p w14:paraId="759C0C07" w14:textId="77777777" w:rsidR="00F10BE5" w:rsidRPr="00F13073" w:rsidRDefault="00F10BE5" w:rsidP="008B4C50"/>
    <w:p w14:paraId="7E8659AE" w14:textId="77777777" w:rsidR="007D77BF" w:rsidRPr="00F13073" w:rsidRDefault="007D77BF" w:rsidP="008B4C50">
      <w:pPr>
        <w:rPr>
          <w:i/>
          <w:iCs/>
        </w:rPr>
      </w:pPr>
      <w:r w:rsidRPr="00F13073">
        <w:rPr>
          <w:i/>
          <w:iCs/>
        </w:rPr>
        <w:t>Zaburzenia neurologiczne</w:t>
      </w:r>
    </w:p>
    <w:p w14:paraId="032B7335" w14:textId="2D1B9A39" w:rsidR="007D77BF" w:rsidRPr="00F13073" w:rsidRDefault="007D77BF" w:rsidP="008B4C50">
      <w:r w:rsidRPr="00F13073">
        <w:t xml:space="preserve">Lekarze powinni być szczególnie wyczuleni na objawy mogące wskazywać na nowopowstałe ośrodkowe zaburzenia demielinizacyjne. W chwili obecnej nie jest znana zdolność </w:t>
      </w:r>
      <w:r w:rsidR="00F36B76" w:rsidRPr="00F13073">
        <w:t>tocilizumabu</w:t>
      </w:r>
      <w:r w:rsidRPr="00F13073">
        <w:t xml:space="preserve"> do powodowania ośrodkowej demielinizacji.</w:t>
      </w:r>
    </w:p>
    <w:p w14:paraId="34EF69A2" w14:textId="77777777" w:rsidR="00F10BE5" w:rsidRPr="00F13073" w:rsidRDefault="00F10BE5" w:rsidP="008B4C50"/>
    <w:p w14:paraId="5FB43A3A" w14:textId="77777777" w:rsidR="007D77BF" w:rsidRPr="00F13073" w:rsidRDefault="007D77BF" w:rsidP="008B4C50">
      <w:pPr>
        <w:rPr>
          <w:i/>
          <w:iCs/>
        </w:rPr>
      </w:pPr>
      <w:r w:rsidRPr="00F13073">
        <w:rPr>
          <w:i/>
          <w:iCs/>
        </w:rPr>
        <w:t>Złośliwe procesy nowotworowe</w:t>
      </w:r>
    </w:p>
    <w:p w14:paraId="202AB3C4" w14:textId="77777777" w:rsidR="001E0975" w:rsidRPr="00F13073" w:rsidRDefault="007D77BF" w:rsidP="008B4C50">
      <w:r w:rsidRPr="00F13073">
        <w:t>U chorych na RZS istnieje zwiększone ryzyko wystąpienia nowotworów złośliwych. Immunomodulujące produkty lecznicze mogą zwiększać ryzyko rozwinięcia się złośliwego procesu nowotworowego.</w:t>
      </w:r>
    </w:p>
    <w:p w14:paraId="213F20E0" w14:textId="77777777" w:rsidR="00AA3D00" w:rsidRPr="00F13073" w:rsidRDefault="00AA3D00" w:rsidP="008B4C50"/>
    <w:p w14:paraId="0DDCED79" w14:textId="77777777" w:rsidR="000E35A5" w:rsidRPr="00F13073" w:rsidRDefault="000E35A5" w:rsidP="008B4C50">
      <w:pPr>
        <w:rPr>
          <w:i/>
          <w:iCs/>
        </w:rPr>
      </w:pPr>
      <w:r w:rsidRPr="00F13073">
        <w:rPr>
          <w:i/>
          <w:iCs/>
        </w:rPr>
        <w:t>Szczepienia</w:t>
      </w:r>
    </w:p>
    <w:p w14:paraId="6F8EE1FE" w14:textId="75C960B8" w:rsidR="000E35A5" w:rsidRPr="00F13073" w:rsidRDefault="000E35A5" w:rsidP="008B4C50">
      <w:r w:rsidRPr="00F13073">
        <w:lastRenderedPageBreak/>
        <w:t xml:space="preserve">Z uwagi na brak danych klinicznych dotyczących bezpieczeństwa nie należy podawać szczepionek żywych i żywych o osłabionej zjadliwości (atenuowanych) podczas leczenia </w:t>
      </w:r>
      <w:r w:rsidR="008843A2" w:rsidRPr="00F13073">
        <w:t>tocilizumabem</w:t>
      </w:r>
      <w:r w:rsidRPr="00F13073">
        <w:t xml:space="preserve">. W randomizowanym badaniu otwartym, dorośli chorzy na RZS leczeni </w:t>
      </w:r>
      <w:r w:rsidR="00293D39" w:rsidRPr="00F13073">
        <w:t>tocilizumabem</w:t>
      </w:r>
      <w:r w:rsidR="0095476B" w:rsidRPr="00F13073">
        <w:t xml:space="preserve"> </w:t>
      </w:r>
      <w:r w:rsidRPr="00F13073">
        <w:t xml:space="preserve">i metotreksatem (MTX) uzyskali skuteczną odpowiedź na szczepienie 23-walentną polisacharydową szczepionką przeciw pneumokokom oraz szczepionką tężca, co było porównywalne do odpowiedzi obserwowanej u pacjentów leczonych tylko MTX. Zaleca się, aby przed rozpoczęciem leczenia produktem leczniczym </w:t>
      </w:r>
      <w:r w:rsidR="00026375" w:rsidRPr="00F13073">
        <w:t>Avtozma</w:t>
      </w:r>
      <w:r w:rsidRPr="00F13073">
        <w:t xml:space="preserve"> u wszystkich pacjentów, a w szczególności u chorych na uMIZS i wMIZS, uzupełnić wszystkie ewentualne braki w realizacji programu szczepień zgodnie z aktualnymi wytycznymi. Przerwa między podaniem żywych szczepionek a rozpoczęciem leczenia produktem leczniczym </w:t>
      </w:r>
      <w:r w:rsidR="00026375" w:rsidRPr="00F13073">
        <w:t>Avtozma</w:t>
      </w:r>
      <w:r w:rsidRPr="00F13073">
        <w:t xml:space="preserve"> powinna być zgodna z aktualnymi wytycznymi dotyczącymi szczepień w odniesieniu do stosowania środków immunosupresyjnych.</w:t>
      </w:r>
    </w:p>
    <w:p w14:paraId="5780BF77" w14:textId="77777777" w:rsidR="000E35A5" w:rsidRPr="00F13073" w:rsidRDefault="000E35A5" w:rsidP="008B4C50"/>
    <w:p w14:paraId="013E0B2E" w14:textId="77777777" w:rsidR="000E35A5" w:rsidRPr="00F13073" w:rsidRDefault="000E35A5" w:rsidP="008B4C50">
      <w:pPr>
        <w:rPr>
          <w:i/>
          <w:iCs/>
        </w:rPr>
      </w:pPr>
      <w:r w:rsidRPr="00F13073">
        <w:rPr>
          <w:i/>
          <w:iCs/>
        </w:rPr>
        <w:t>Ryzyko sercowo-naczyniowe</w:t>
      </w:r>
    </w:p>
    <w:p w14:paraId="443F9A1C" w14:textId="77777777" w:rsidR="000E35A5" w:rsidRPr="00F13073" w:rsidRDefault="000E35A5" w:rsidP="008B4C50">
      <w:r w:rsidRPr="00F13073">
        <w:t>U chorych na RZS istnieje zwiększone ryzyko chorób sercowo-naczyniowych i w ramach standardowej opieki medycznej należy u nich opanować czynniki ryzyka (np. nadciśnienie tętnicze, hiperlipidemię).</w:t>
      </w:r>
    </w:p>
    <w:p w14:paraId="5707F911" w14:textId="77777777" w:rsidR="000E35A5" w:rsidRPr="00F13073" w:rsidRDefault="000E35A5" w:rsidP="008B4C50"/>
    <w:p w14:paraId="67EADEC2" w14:textId="77777777" w:rsidR="000E35A5" w:rsidRPr="00F13073" w:rsidRDefault="000E35A5" w:rsidP="008B4C50">
      <w:pPr>
        <w:rPr>
          <w:i/>
          <w:iCs/>
        </w:rPr>
      </w:pPr>
      <w:r w:rsidRPr="00F13073">
        <w:rPr>
          <w:i/>
          <w:iCs/>
        </w:rPr>
        <w:t>Leczenie skojarzone z inhibitorami TNF</w:t>
      </w:r>
    </w:p>
    <w:p w14:paraId="3870B3A9" w14:textId="446F728E" w:rsidR="000E35A5" w:rsidRPr="00F13073" w:rsidRDefault="000E35A5" w:rsidP="008B4C50">
      <w:r w:rsidRPr="00F13073">
        <w:t xml:space="preserve">Brak doświadczenia klinicznego dotyczącego stosowania produktu leczniczego </w:t>
      </w:r>
      <w:r w:rsidR="00026375" w:rsidRPr="00F13073">
        <w:t>Avtozma</w:t>
      </w:r>
      <w:r w:rsidRPr="00F13073">
        <w:t xml:space="preserve"> w skojarzeniu z inhibitorami TNF lub innymi lekami biologicznymi u pacjentów z RZS, uMIZS lub wMIZS. Nie zaleca się podawania produktu leczniczego </w:t>
      </w:r>
      <w:r w:rsidR="00026375" w:rsidRPr="00F13073">
        <w:t>Avtozma</w:t>
      </w:r>
      <w:r w:rsidRPr="00F13073">
        <w:t xml:space="preserve"> w skojarzeniu z innymi lekami biologicznymi.</w:t>
      </w:r>
    </w:p>
    <w:p w14:paraId="0F50B908" w14:textId="77777777" w:rsidR="00CE2EF1" w:rsidRPr="00F13073" w:rsidRDefault="00CE2EF1" w:rsidP="008B4C50"/>
    <w:p w14:paraId="26D7335D" w14:textId="77777777" w:rsidR="000E35A5" w:rsidRPr="00F13073" w:rsidRDefault="000E35A5" w:rsidP="00E91686">
      <w:pPr>
        <w:keepNext/>
        <w:rPr>
          <w:i/>
          <w:iCs/>
        </w:rPr>
      </w:pPr>
      <w:r w:rsidRPr="00F13073">
        <w:rPr>
          <w:i/>
          <w:iCs/>
        </w:rPr>
        <w:t>Pacjenci z COVID-19</w:t>
      </w:r>
    </w:p>
    <w:p w14:paraId="28DA3DE5" w14:textId="77777777" w:rsidR="00CE2EF1" w:rsidRPr="00F13073" w:rsidRDefault="00CE2EF1" w:rsidP="008B4C50">
      <w:pPr>
        <w:keepNext/>
      </w:pPr>
    </w:p>
    <w:p w14:paraId="57853C21" w14:textId="590EAF8E" w:rsidR="00CE2EF1" w:rsidRPr="00F13073" w:rsidRDefault="00CE2EF1" w:rsidP="008B4C50">
      <w:pPr>
        <w:pStyle w:val="a0"/>
        <w:numPr>
          <w:ilvl w:val="0"/>
          <w:numId w:val="4"/>
        </w:numPr>
        <w:ind w:left="567" w:hanging="567"/>
        <w:contextualSpacing w:val="0"/>
      </w:pPr>
      <w:r w:rsidRPr="00F13073">
        <w:t xml:space="preserve">Skuteczność produktu leczniczego </w:t>
      </w:r>
      <w:r w:rsidR="00026375" w:rsidRPr="00F13073">
        <w:t>Avtozma</w:t>
      </w:r>
      <w:r w:rsidRPr="00F13073">
        <w:t xml:space="preserve"> nie została ustalona w leczeniu pacjentów z COVID-19, którzy nie mają podwyższonego poziomu CRP, patrz punkt 5.1.</w:t>
      </w:r>
    </w:p>
    <w:p w14:paraId="2D6091D6" w14:textId="2371CDFA" w:rsidR="00CE2EF1" w:rsidRPr="00F13073" w:rsidRDefault="00CE2EF1" w:rsidP="008B4C50">
      <w:pPr>
        <w:pStyle w:val="a0"/>
        <w:numPr>
          <w:ilvl w:val="0"/>
          <w:numId w:val="4"/>
        </w:numPr>
        <w:ind w:left="567" w:hanging="567"/>
        <w:contextualSpacing w:val="0"/>
      </w:pPr>
      <w:r w:rsidRPr="00F13073">
        <w:t xml:space="preserve">Produkt leczniczy </w:t>
      </w:r>
      <w:r w:rsidR="00026375" w:rsidRPr="00F13073">
        <w:t>Avtozma</w:t>
      </w:r>
      <w:r w:rsidRPr="00F13073">
        <w:t xml:space="preserve"> nie powinien być podawany pacjentom z COVID-19, którzy nie otrzymują kortykosteroidów o działaniu układowym, ponieważ nie można wykluczyć wzrostu śmiertelności w tej podgrupie, patrz punkt 5.1.</w:t>
      </w:r>
    </w:p>
    <w:p w14:paraId="6CC77C08" w14:textId="77777777" w:rsidR="00CE2EF1" w:rsidRPr="00F13073" w:rsidRDefault="00CE2EF1" w:rsidP="008B4C50"/>
    <w:p w14:paraId="3BEE2F13" w14:textId="77777777" w:rsidR="000E35A5" w:rsidRPr="00F13073" w:rsidRDefault="000E35A5" w:rsidP="008B4C50">
      <w:pPr>
        <w:rPr>
          <w:i/>
          <w:iCs/>
        </w:rPr>
      </w:pPr>
      <w:r w:rsidRPr="00F13073">
        <w:rPr>
          <w:i/>
          <w:iCs/>
        </w:rPr>
        <w:t>Zakażenia</w:t>
      </w:r>
    </w:p>
    <w:p w14:paraId="3B90C298" w14:textId="3E6DBC2C" w:rsidR="000E35A5" w:rsidRPr="00F13073" w:rsidRDefault="000E35A5" w:rsidP="008B4C50">
      <w:r w:rsidRPr="00F13073">
        <w:t xml:space="preserve">U pacjentów z COVID-19 nie należy podawać produktu leczniczego </w:t>
      </w:r>
      <w:r w:rsidR="00026375" w:rsidRPr="00F13073">
        <w:t>Avtozma</w:t>
      </w:r>
      <w:r w:rsidRPr="00F13073">
        <w:t xml:space="preserve">, jeśli u pacjentów występuje jednocześnie jakiekolwiek inne czynne, ciężkie zakażenie. Zaleca się zachowanie szczególnej ostrożności przy podejmowaniu decyzji o zastosowaniu leczenia produktem leczniczym </w:t>
      </w:r>
      <w:r w:rsidR="00026375" w:rsidRPr="00F13073">
        <w:t>Avtozma</w:t>
      </w:r>
      <w:r w:rsidRPr="00F13073">
        <w:t xml:space="preserve"> u pacjentów z nawracającymi lub przewlekłymi zakażeniami lub z chorobami współistniejącymi (np. zapalenie uchyłków, cukrzyca, śródmiąższowa choroba płuc), które mogą predysponować pacjentów do zakażeń.</w:t>
      </w:r>
    </w:p>
    <w:p w14:paraId="3B862121" w14:textId="77777777" w:rsidR="00CE2EF1" w:rsidRPr="00F13073" w:rsidRDefault="00CE2EF1" w:rsidP="008B4C50"/>
    <w:p w14:paraId="23B1B5A6" w14:textId="77777777" w:rsidR="000E35A5" w:rsidRPr="00F13073" w:rsidRDefault="000E35A5" w:rsidP="008B4C50">
      <w:pPr>
        <w:rPr>
          <w:i/>
          <w:iCs/>
        </w:rPr>
      </w:pPr>
      <w:r w:rsidRPr="00F13073">
        <w:rPr>
          <w:i/>
          <w:iCs/>
        </w:rPr>
        <w:t>Hepatotoksyczność</w:t>
      </w:r>
    </w:p>
    <w:p w14:paraId="73925FCB" w14:textId="12D8BEE0" w:rsidR="000E35A5" w:rsidRPr="00F13073" w:rsidRDefault="000E35A5" w:rsidP="008B4C50">
      <w:r w:rsidRPr="00F13073">
        <w:t xml:space="preserve">U pacjentów hospitalizowanych z powodu COVID-19 może występować zwiększona aktywność AlAT lub AspAT. Niewydolność wielonarządowa z zajęciem wątroby jest rozpoznawana jako powikłanie COVID-19 o ciężkim przebiegu. Decyzja o podaniu tocilizumabu powinna być podjęta z rozważeniem potencjalnych korzyści z leczenia COVID-19 i potencjalnych zagrożeń związanych z leczeniem stanu ostrego tocilizumabem. Nie zaleca się podawania produktu leczniczego </w:t>
      </w:r>
      <w:r w:rsidR="00026375" w:rsidRPr="00F13073">
        <w:t>Avtozma</w:t>
      </w:r>
      <w:r w:rsidRPr="00F13073">
        <w:t xml:space="preserve"> u pacjentów z COVID-19, u których aktywność AlAT lub AspAT przekracza 10 x GGN. U pacjentów z COVID-19 aktywność AlAT lub AspAT należy monitorować zgodnie z aktualną standardową praktyką kliniczną.</w:t>
      </w:r>
    </w:p>
    <w:p w14:paraId="5171DB51" w14:textId="77777777" w:rsidR="000E35A5" w:rsidRPr="00F13073" w:rsidRDefault="000E35A5" w:rsidP="008B4C50"/>
    <w:p w14:paraId="17F793E9" w14:textId="77777777" w:rsidR="002823C0" w:rsidRPr="00F13073" w:rsidRDefault="002823C0" w:rsidP="008B4C50">
      <w:pPr>
        <w:rPr>
          <w:i/>
          <w:iCs/>
        </w:rPr>
      </w:pPr>
      <w:r w:rsidRPr="00F13073">
        <w:rPr>
          <w:i/>
          <w:iCs/>
        </w:rPr>
        <w:t>Nieprawidłowości hematologiczne</w:t>
      </w:r>
    </w:p>
    <w:p w14:paraId="0FF21130" w14:textId="77777777" w:rsidR="002823C0" w:rsidRPr="00F13073" w:rsidRDefault="002823C0" w:rsidP="008B4C50">
      <w:r w:rsidRPr="00F13073">
        <w:t>Nie jest zalecane podawanie produktu u pacjentów z COVID-19, u których ANC wynosi &lt; 1 x 10</w:t>
      </w:r>
      <w:r w:rsidRPr="00F13073">
        <w:rPr>
          <w:vertAlign w:val="superscript"/>
        </w:rPr>
        <w:t>9</w:t>
      </w:r>
      <w:r w:rsidRPr="00F13073">
        <w:t>/l lub liczba płytek krwi wynosi &lt; 50 x 10</w:t>
      </w:r>
      <w:r w:rsidRPr="00F13073">
        <w:rPr>
          <w:vertAlign w:val="superscript"/>
        </w:rPr>
        <w:t>3</w:t>
      </w:r>
      <w:r w:rsidRPr="00F13073">
        <w:t>/μl. Należy monitorować liczbę granulocytów obojętnochłonnych i płytek krwi zgodnie z aktualną standardową praktyką kliniczną, patrz punkt 4.2.</w:t>
      </w:r>
    </w:p>
    <w:p w14:paraId="548A131C" w14:textId="77777777" w:rsidR="002823C0" w:rsidRPr="00F13073" w:rsidRDefault="002823C0" w:rsidP="008B4C50"/>
    <w:p w14:paraId="500C0D9C" w14:textId="77777777" w:rsidR="002823C0" w:rsidRPr="00F13073" w:rsidRDefault="002823C0" w:rsidP="002322A1">
      <w:pPr>
        <w:keepNext/>
        <w:keepLines/>
        <w:rPr>
          <w:u w:val="single"/>
        </w:rPr>
      </w:pPr>
      <w:r w:rsidRPr="00F13073">
        <w:rPr>
          <w:u w:val="single"/>
        </w:rPr>
        <w:lastRenderedPageBreak/>
        <w:t>Dzieci i młodzież</w:t>
      </w:r>
    </w:p>
    <w:p w14:paraId="7972FDD9" w14:textId="77777777" w:rsidR="002823C0" w:rsidRPr="00F13073" w:rsidRDefault="002823C0" w:rsidP="002322A1">
      <w:pPr>
        <w:keepNext/>
        <w:keepLines/>
      </w:pPr>
    </w:p>
    <w:p w14:paraId="4B81686A" w14:textId="77777777" w:rsidR="002823C0" w:rsidRPr="00F13073" w:rsidRDefault="002823C0" w:rsidP="002322A1">
      <w:pPr>
        <w:keepNext/>
        <w:keepLines/>
        <w:rPr>
          <w:i/>
          <w:iCs/>
        </w:rPr>
      </w:pPr>
      <w:r w:rsidRPr="00F13073">
        <w:rPr>
          <w:i/>
          <w:iCs/>
        </w:rPr>
        <w:t>Pacjenci z uMIZS</w:t>
      </w:r>
    </w:p>
    <w:p w14:paraId="3E8F8AA4" w14:textId="77777777" w:rsidR="009F6B2A" w:rsidRPr="00F13073" w:rsidRDefault="002823C0" w:rsidP="008B4C50">
      <w:r w:rsidRPr="00F13073">
        <w:t>Zespół aktywacji makrofagów (ZAM) jest ciężkim schorzeniem zagrażającym życiu, które może wystąpić u chorych na uMIZS. W badaniach klinicznych nie oceniano stosowania tocilizumabu u pacjentów w czasie epizodu czynnego zespołu aktywacji makrofagów.</w:t>
      </w:r>
    </w:p>
    <w:p w14:paraId="23C69124" w14:textId="77777777" w:rsidR="002823C0" w:rsidRPr="00F13073" w:rsidRDefault="002823C0" w:rsidP="008B4C50"/>
    <w:p w14:paraId="3E4E2976" w14:textId="77ADC2E6" w:rsidR="0054576A" w:rsidRPr="00F13073" w:rsidRDefault="0054576A" w:rsidP="008B4C50">
      <w:pPr>
        <w:rPr>
          <w:u w:val="single"/>
        </w:rPr>
      </w:pPr>
      <w:r w:rsidRPr="00F13073">
        <w:rPr>
          <w:u w:val="single"/>
        </w:rPr>
        <w:t>Substancje pomocnicze o znanym działaniu</w:t>
      </w:r>
    </w:p>
    <w:p w14:paraId="265E277E" w14:textId="4B1205CF" w:rsidR="0054576A" w:rsidRPr="00F13073" w:rsidRDefault="0054576A" w:rsidP="008B4C50">
      <w:pPr>
        <w:rPr>
          <w:i/>
          <w:iCs/>
        </w:rPr>
      </w:pPr>
      <w:r w:rsidRPr="00F13073">
        <w:rPr>
          <w:i/>
          <w:iCs/>
        </w:rPr>
        <w:t>Polisorbat</w:t>
      </w:r>
    </w:p>
    <w:p w14:paraId="0E74EF52" w14:textId="35BCAF70" w:rsidR="0054576A" w:rsidRPr="00F13073" w:rsidRDefault="0040467A" w:rsidP="008B4C50">
      <w:r w:rsidRPr="00F13073">
        <w:t>Każda fiolka 80</w:t>
      </w:r>
      <w:r w:rsidR="00EE0B56" w:rsidRPr="00F13073">
        <w:t> </w:t>
      </w:r>
      <w:r w:rsidRPr="00F13073">
        <w:t>mg zawiera 2,0</w:t>
      </w:r>
      <w:r w:rsidR="00EE0B56" w:rsidRPr="00F13073">
        <w:t> </w:t>
      </w:r>
      <w:r w:rsidRPr="00F13073">
        <w:t>mg polisorbatu</w:t>
      </w:r>
      <w:r w:rsidR="00E265AD">
        <w:rPr>
          <w:rFonts w:eastAsia="맑은 고딕" w:hint="eastAsia"/>
          <w:lang w:eastAsia="ko-KR"/>
        </w:rPr>
        <w:t xml:space="preserve"> 80</w:t>
      </w:r>
      <w:r w:rsidRPr="00F13073">
        <w:t>.</w:t>
      </w:r>
    </w:p>
    <w:p w14:paraId="1CA735E4" w14:textId="06B3B243" w:rsidR="0040467A" w:rsidRPr="00F13073" w:rsidRDefault="0040467A" w:rsidP="008B4C50">
      <w:r w:rsidRPr="00F13073">
        <w:t xml:space="preserve">Każda fiolka </w:t>
      </w:r>
      <w:r w:rsidR="00EE0B56" w:rsidRPr="00F13073">
        <w:t>20</w:t>
      </w:r>
      <w:r w:rsidRPr="00F13073">
        <w:t xml:space="preserve">0 mg zawiera </w:t>
      </w:r>
      <w:r w:rsidR="00EE0B56" w:rsidRPr="00F13073">
        <w:t>5</w:t>
      </w:r>
      <w:r w:rsidRPr="00F13073">
        <w:t>,0</w:t>
      </w:r>
      <w:r w:rsidR="00EE0B56" w:rsidRPr="00F13073">
        <w:t> </w:t>
      </w:r>
      <w:r w:rsidRPr="00F13073">
        <w:t>mg polisorbatu</w:t>
      </w:r>
      <w:r w:rsidR="00E265AD">
        <w:rPr>
          <w:rFonts w:eastAsia="맑은 고딕" w:hint="eastAsia"/>
          <w:lang w:eastAsia="ko-KR"/>
        </w:rPr>
        <w:t xml:space="preserve"> 80</w:t>
      </w:r>
      <w:r w:rsidRPr="00F13073">
        <w:t>.</w:t>
      </w:r>
    </w:p>
    <w:p w14:paraId="3F2A0543" w14:textId="301D0C18" w:rsidR="00D96F7D" w:rsidRPr="00F13073" w:rsidRDefault="00D96F7D" w:rsidP="008B4C50">
      <w:r w:rsidRPr="00F13073">
        <w:t xml:space="preserve">Każda fiolka </w:t>
      </w:r>
      <w:r w:rsidR="00EE0B56" w:rsidRPr="00F13073">
        <w:t>40</w:t>
      </w:r>
      <w:r w:rsidRPr="00F13073">
        <w:t xml:space="preserve">0 mg zawiera </w:t>
      </w:r>
      <w:r w:rsidR="00EE0B56" w:rsidRPr="00F13073">
        <w:t>10</w:t>
      </w:r>
      <w:r w:rsidRPr="00F13073">
        <w:t>,0</w:t>
      </w:r>
      <w:r w:rsidR="00EE0B56" w:rsidRPr="00F13073">
        <w:t> </w:t>
      </w:r>
      <w:r w:rsidRPr="00F13073">
        <w:t>mg polisorbatu</w:t>
      </w:r>
      <w:r w:rsidR="00E265AD">
        <w:rPr>
          <w:rFonts w:eastAsia="맑은 고딕" w:hint="eastAsia"/>
          <w:lang w:eastAsia="ko-KR"/>
        </w:rPr>
        <w:t xml:space="preserve"> 80</w:t>
      </w:r>
      <w:r w:rsidRPr="00F13073">
        <w:t>.</w:t>
      </w:r>
    </w:p>
    <w:p w14:paraId="7B16346C" w14:textId="4B577AD2" w:rsidR="00D96F7D" w:rsidRPr="00F13073" w:rsidRDefault="00D96F7D" w:rsidP="008B4C50">
      <w:r w:rsidRPr="00F13073">
        <w:t xml:space="preserve">Polisorbaty mogą powodować reakcje alergiczne. </w:t>
      </w:r>
      <w:r w:rsidR="0009262E" w:rsidRPr="00F13073">
        <w:t>Pacjenci</w:t>
      </w:r>
      <w:r w:rsidR="00151F2F" w:rsidRPr="00F13073">
        <w:t xml:space="preserve"> z uczuleniem</w:t>
      </w:r>
      <w:r w:rsidRPr="00F13073">
        <w:t xml:space="preserve"> na polisorbaty nie powinni </w:t>
      </w:r>
      <w:r w:rsidR="00151F2F" w:rsidRPr="00F13073">
        <w:t>otrzymywać</w:t>
      </w:r>
      <w:r w:rsidRPr="00F13073">
        <w:t xml:space="preserve"> tego </w:t>
      </w:r>
      <w:r w:rsidR="0009262E" w:rsidRPr="00F13073">
        <w:t>produktu leczniczego</w:t>
      </w:r>
      <w:r w:rsidRPr="00F13073">
        <w:t>.</w:t>
      </w:r>
    </w:p>
    <w:p w14:paraId="44056403" w14:textId="77777777" w:rsidR="00D96F7D" w:rsidRPr="00F13073" w:rsidRDefault="00D96F7D" w:rsidP="008B4C50"/>
    <w:p w14:paraId="13BAEA92" w14:textId="77777777" w:rsidR="001E0975" w:rsidRPr="00F13073" w:rsidRDefault="001721B1" w:rsidP="008B4C50">
      <w:pPr>
        <w:keepNext/>
        <w:ind w:left="567" w:hanging="567"/>
        <w:rPr>
          <w:b/>
          <w:bCs/>
        </w:rPr>
      </w:pPr>
      <w:r w:rsidRPr="00F13073">
        <w:rPr>
          <w:b/>
          <w:bCs/>
        </w:rPr>
        <w:t>4.5</w:t>
      </w:r>
      <w:r w:rsidRPr="00F13073">
        <w:rPr>
          <w:b/>
          <w:bCs/>
        </w:rPr>
        <w:tab/>
      </w:r>
      <w:r w:rsidR="00F957E1" w:rsidRPr="00F13073">
        <w:rPr>
          <w:b/>
          <w:bCs/>
        </w:rPr>
        <w:t>Interakcje z innymi produktami leczniczymi i inne rodzaje interakcji</w:t>
      </w:r>
    </w:p>
    <w:p w14:paraId="04C5AA60" w14:textId="77777777" w:rsidR="009F6B2A" w:rsidRPr="00F13073" w:rsidRDefault="009F6B2A" w:rsidP="008B4C50">
      <w:pPr>
        <w:keepNext/>
        <w:ind w:left="567" w:hanging="567"/>
        <w:rPr>
          <w:b/>
          <w:bCs/>
        </w:rPr>
      </w:pPr>
    </w:p>
    <w:p w14:paraId="2E25D55B" w14:textId="77777777" w:rsidR="00F957E1" w:rsidRPr="00F13073" w:rsidRDefault="00F957E1" w:rsidP="008B4C50">
      <w:r w:rsidRPr="00F13073">
        <w:t>Badania dotyczące interakcji przeprowadzono wyłącznie u dorosłych pacjentów.</w:t>
      </w:r>
    </w:p>
    <w:p w14:paraId="7C76CB89" w14:textId="77777777" w:rsidR="00F957E1" w:rsidRPr="00F13073" w:rsidRDefault="00F957E1" w:rsidP="008B4C50"/>
    <w:p w14:paraId="746B51E9" w14:textId="77777777" w:rsidR="00F957E1" w:rsidRPr="00F13073" w:rsidRDefault="00F957E1" w:rsidP="008B4C50">
      <w:r w:rsidRPr="00F13073">
        <w:t>Równoczesne podanie pojedynczej dawki tocilizumabu wielkości 10 mg/kg mc. razem z metotreksatem (MTX) w dawce 10–25 mg raz na tydzień nie miało klinicznie istotnego wpływu na ekspozycję na MTX.</w:t>
      </w:r>
    </w:p>
    <w:p w14:paraId="54323D52" w14:textId="77777777" w:rsidR="00F957E1" w:rsidRPr="00F13073" w:rsidRDefault="00F957E1" w:rsidP="008B4C50"/>
    <w:p w14:paraId="26675F5D" w14:textId="77777777" w:rsidR="00F957E1" w:rsidRPr="00F13073" w:rsidRDefault="00F957E1" w:rsidP="008B4C50">
      <w:r w:rsidRPr="00F13073">
        <w:t>Analizy farmakokinetyki populacyjnej nie wykazały wpływu metotreksatu (MTX), niesteroidowych leków przeciwzapalnych (NLPZ) lub glikokortykosteroidów na klirens tocilizumabu.</w:t>
      </w:r>
    </w:p>
    <w:p w14:paraId="66C22DD4" w14:textId="77777777" w:rsidR="00F957E1" w:rsidRPr="00F13073" w:rsidRDefault="00F957E1" w:rsidP="008B4C50"/>
    <w:p w14:paraId="4264FCF3" w14:textId="77777777" w:rsidR="00F957E1" w:rsidRPr="00F13073" w:rsidRDefault="00F957E1" w:rsidP="008B4C50">
      <w:r w:rsidRPr="00F13073">
        <w:t>Ekspresja wątrobowych enzymów kompleksu CYP450 jest hamowana przez cytokiny, takie jak IL-6, które stymulują przewlekły proces zapalny. Dlatego też leczenie silnym inhibitorem cytokin, takim jak tocilizumab, może spowodować odwrócenie tej tendencji z następczym zwiększeniem aktywności CYP450.</w:t>
      </w:r>
    </w:p>
    <w:p w14:paraId="3748D570" w14:textId="77777777" w:rsidR="00F957E1" w:rsidRPr="00F13073" w:rsidRDefault="00F957E1" w:rsidP="008B4C50"/>
    <w:p w14:paraId="0030F764" w14:textId="77777777" w:rsidR="00F957E1" w:rsidRPr="00F13073" w:rsidRDefault="00F957E1" w:rsidP="008B4C50">
      <w:r w:rsidRPr="00F13073">
        <w:t xml:space="preserve">Badania </w:t>
      </w:r>
      <w:r w:rsidRPr="00F13073">
        <w:rPr>
          <w:i/>
          <w:iCs/>
        </w:rPr>
        <w:t>in vitro</w:t>
      </w:r>
      <w:r w:rsidRPr="00F13073">
        <w:t xml:space="preserve"> na hodowli ludzkich hepatocytów wykazały, że IL-6 powoduje zmniejszenie ekspresji enzymów CYP1A2, CYP2C9, CYP2C19 oraz CYP3A4. Tocilizumab normalizuje ekspresję tych enzymów.</w:t>
      </w:r>
    </w:p>
    <w:p w14:paraId="718F78AA" w14:textId="77777777" w:rsidR="00F957E1" w:rsidRPr="00F13073" w:rsidRDefault="00F957E1" w:rsidP="008B4C50"/>
    <w:p w14:paraId="2814FA96" w14:textId="77777777" w:rsidR="00F957E1" w:rsidRPr="00F13073" w:rsidRDefault="00F957E1" w:rsidP="008B4C50">
      <w:r w:rsidRPr="00F13073">
        <w:t>W badaniu u chorych na RZS po tygodniu od podania pojedynczej dawki tocilizumabu, stężenia symwastatyny (CYP3A4) zmniejszyły się o 57%, do poziomu porównywalnego lub nieznacznie wyższego, jaki obserwowano u zdrowych ochotników.</w:t>
      </w:r>
    </w:p>
    <w:p w14:paraId="47DE12DA" w14:textId="77777777" w:rsidR="00F957E1" w:rsidRPr="00F13073" w:rsidRDefault="00F957E1" w:rsidP="008B4C50"/>
    <w:p w14:paraId="2D85FE2D" w14:textId="77777777" w:rsidR="00C520CA" w:rsidRPr="00F13073" w:rsidRDefault="00F957E1" w:rsidP="008B4C50">
      <w:r w:rsidRPr="00F13073">
        <w:t xml:space="preserve">Rozpoczynając lub kończąc leczenie tocilizumabem należy monitorować chorych przyjmujących leki, których dawki dobiera się indywidualnie, a które są metabolizowane przez enzymy CYP4503 A4, 1A2 lub 2C9 (np. </w:t>
      </w:r>
      <w:r w:rsidR="00A9291E" w:rsidRPr="00F13073">
        <w:t>m</w:t>
      </w:r>
      <w:r w:rsidRPr="00F13073">
        <w:t>etyloprednizolon, deksametazon, (z możliwością wystąpienia zespołu odstawienia sterydów), atorwastatyna, blokery kanału wapniowego, teofilina, warfaryna, fenprokumon, fenytoina, cyklosporyna lub benzodiazepiny), gdyż może być konieczne zwiększenie dawek poszczególnych leków w celu utrzymania właściwego działania leczniczego. Ze względu na długi okres półtrwania (t</w:t>
      </w:r>
      <w:r w:rsidR="001478B7" w:rsidRPr="00F13073">
        <w:rPr>
          <w:vertAlign w:val="subscript"/>
        </w:rPr>
        <w:t>1/2</w:t>
      </w:r>
      <w:r w:rsidRPr="00F13073">
        <w:t>), wpływ tocilizumabu na aktywność enzymów CYP450 może utrzymywać się kilka tygodni po zaprzestaniu podawania leku.</w:t>
      </w:r>
    </w:p>
    <w:p w14:paraId="0874DB0B" w14:textId="77777777" w:rsidR="00F957E1" w:rsidRPr="00F13073" w:rsidRDefault="00F957E1" w:rsidP="008B4C50"/>
    <w:p w14:paraId="0603EE8B" w14:textId="77777777" w:rsidR="001E0975" w:rsidRPr="00F13073" w:rsidRDefault="001721B1" w:rsidP="008B4C50">
      <w:pPr>
        <w:keepNext/>
        <w:ind w:left="567" w:hanging="567"/>
        <w:rPr>
          <w:b/>
          <w:bCs/>
        </w:rPr>
      </w:pPr>
      <w:r w:rsidRPr="00F13073">
        <w:rPr>
          <w:b/>
          <w:bCs/>
        </w:rPr>
        <w:t>4.6</w:t>
      </w:r>
      <w:r w:rsidRPr="00F13073">
        <w:rPr>
          <w:b/>
          <w:bCs/>
        </w:rPr>
        <w:tab/>
      </w:r>
      <w:r w:rsidR="0021591B" w:rsidRPr="00F13073">
        <w:rPr>
          <w:b/>
          <w:bCs/>
        </w:rPr>
        <w:t xml:space="preserve">Wpływ na płodność, ciążę </w:t>
      </w:r>
      <w:r w:rsidR="00116BEA" w:rsidRPr="00F13073">
        <w:rPr>
          <w:b/>
          <w:bCs/>
        </w:rPr>
        <w:t>i</w:t>
      </w:r>
      <w:r w:rsidR="0021591B" w:rsidRPr="00F13073">
        <w:rPr>
          <w:b/>
          <w:bCs/>
        </w:rPr>
        <w:t xml:space="preserve"> laktację</w:t>
      </w:r>
    </w:p>
    <w:p w14:paraId="5FE31127" w14:textId="77777777" w:rsidR="00C520CA" w:rsidRPr="00F13073" w:rsidRDefault="00C520CA" w:rsidP="008B4C50">
      <w:pPr>
        <w:keepNext/>
        <w:ind w:left="567" w:hanging="567"/>
        <w:rPr>
          <w:b/>
          <w:bCs/>
        </w:rPr>
      </w:pPr>
    </w:p>
    <w:p w14:paraId="2515EA06" w14:textId="77777777" w:rsidR="0021591B" w:rsidRPr="00F13073" w:rsidRDefault="0021591B" w:rsidP="008B4C50">
      <w:pPr>
        <w:rPr>
          <w:u w:val="single"/>
        </w:rPr>
      </w:pPr>
      <w:r w:rsidRPr="00F13073">
        <w:rPr>
          <w:u w:val="single"/>
        </w:rPr>
        <w:t>Kobiety w wieku rozrodczym</w:t>
      </w:r>
    </w:p>
    <w:p w14:paraId="54BFAE63" w14:textId="0FCB2B90" w:rsidR="0021591B" w:rsidRPr="00F13073" w:rsidRDefault="0021591B" w:rsidP="008B4C50">
      <w:r w:rsidRPr="00F13073">
        <w:t>Kobiety w wieku rozrodczym muszą stosować skuteczną antykoncepcję w trakcie leczenia oraz do 3 miesięcy po zakończeniu leczenia.</w:t>
      </w:r>
    </w:p>
    <w:p w14:paraId="5891ED5F" w14:textId="77777777" w:rsidR="0021591B" w:rsidRPr="00F13073" w:rsidRDefault="0021591B" w:rsidP="008B4C50">
      <w:pPr>
        <w:rPr>
          <w:u w:val="single"/>
        </w:rPr>
      </w:pPr>
    </w:p>
    <w:p w14:paraId="714C3471" w14:textId="77777777" w:rsidR="0021591B" w:rsidRPr="00F13073" w:rsidRDefault="0021591B" w:rsidP="008B4C50">
      <w:pPr>
        <w:rPr>
          <w:u w:val="single"/>
        </w:rPr>
      </w:pPr>
      <w:r w:rsidRPr="00F13073">
        <w:rPr>
          <w:u w:val="single"/>
        </w:rPr>
        <w:t>Ciąża</w:t>
      </w:r>
    </w:p>
    <w:p w14:paraId="1384D893" w14:textId="09720DC8" w:rsidR="001E0975" w:rsidRPr="00F13073" w:rsidRDefault="0021591B" w:rsidP="008B4C50">
      <w:r w:rsidRPr="00F13073">
        <w:t xml:space="preserve">Brak wystarczających danych klinicznych dotyczących stosowania </w:t>
      </w:r>
      <w:r w:rsidR="00F9055B" w:rsidRPr="00F13073">
        <w:t>tocilizumabu</w:t>
      </w:r>
      <w:r w:rsidRPr="00F13073">
        <w:t xml:space="preserve"> u kobiet w ciąży. Badania na zwierzętach wykazały zwiększone ryzyko wystąpienia spontanicznego poronienia, śmierci </w:t>
      </w:r>
      <w:r w:rsidRPr="00F13073">
        <w:lastRenderedPageBreak/>
        <w:t>zarodka/płodu przy podawaniu dużych dawek (patrz punkt 5.3). Potencjalne ryzyko dla człowieka nie jest znane.</w:t>
      </w:r>
    </w:p>
    <w:p w14:paraId="6A754D40" w14:textId="77777777" w:rsidR="00C520CA" w:rsidRPr="00F13073" w:rsidRDefault="00C520CA" w:rsidP="008B4C50"/>
    <w:p w14:paraId="312185E3" w14:textId="778757CB" w:rsidR="00C76C0E" w:rsidRPr="00F13073" w:rsidRDefault="00C76C0E" w:rsidP="008B4C50">
      <w:r w:rsidRPr="00F13073">
        <w:t xml:space="preserve">Nie należy stosować produktu leczniczego </w:t>
      </w:r>
      <w:r w:rsidR="00026375" w:rsidRPr="00F13073">
        <w:t>Avtozma</w:t>
      </w:r>
      <w:r w:rsidRPr="00F13073">
        <w:t xml:space="preserve"> u kobiet w ciąży, chyba że jest to bezwzględnie konieczne.</w:t>
      </w:r>
    </w:p>
    <w:p w14:paraId="6E1A360C" w14:textId="77777777" w:rsidR="00C76C0E" w:rsidRPr="00F13073" w:rsidRDefault="00C76C0E" w:rsidP="008B4C50"/>
    <w:p w14:paraId="7E98495D" w14:textId="77777777" w:rsidR="00C76C0E" w:rsidRPr="00F13073" w:rsidRDefault="00C76C0E" w:rsidP="002322A1">
      <w:pPr>
        <w:keepNext/>
        <w:keepLines/>
        <w:rPr>
          <w:u w:val="single"/>
        </w:rPr>
      </w:pPr>
      <w:r w:rsidRPr="00F13073">
        <w:rPr>
          <w:u w:val="single"/>
        </w:rPr>
        <w:t>Karmienie piersią</w:t>
      </w:r>
    </w:p>
    <w:p w14:paraId="33438147" w14:textId="185CF957" w:rsidR="00C76C0E" w:rsidRPr="00F13073" w:rsidRDefault="00C76C0E" w:rsidP="008B4C50">
      <w:r w:rsidRPr="00F13073">
        <w:t xml:space="preserve">Nie wiadomo, czy tocilizumab przenika do mleka kobiecego. Nie badano przenikania tocilizumabu do mleka u zwierząt. Decyzję o kontynuacji lub przerwaniu karmienia piersią bądź kontynuacji lub przerwaniu podawania produktu leczniczego </w:t>
      </w:r>
      <w:r w:rsidR="00026375" w:rsidRPr="00F13073">
        <w:t>Avtozma</w:t>
      </w:r>
      <w:r w:rsidRPr="00F13073">
        <w:t xml:space="preserve"> należy podejmować mając na uwadze korzyści dla dziecka karmionego piersią oraz korzyści leczenia produktem leczniczym </w:t>
      </w:r>
      <w:r w:rsidR="00026375" w:rsidRPr="00F13073">
        <w:t>Avtozma</w:t>
      </w:r>
      <w:r w:rsidRPr="00F13073">
        <w:t xml:space="preserve"> dla pacjentki.</w:t>
      </w:r>
    </w:p>
    <w:p w14:paraId="3FC34A73" w14:textId="77777777" w:rsidR="00C76C0E" w:rsidRPr="00F13073" w:rsidRDefault="00C76C0E" w:rsidP="008B4C50"/>
    <w:p w14:paraId="420BE675" w14:textId="77777777" w:rsidR="00C76C0E" w:rsidRPr="00F13073" w:rsidRDefault="00C76C0E" w:rsidP="008B4C50">
      <w:pPr>
        <w:rPr>
          <w:u w:val="single"/>
        </w:rPr>
      </w:pPr>
      <w:r w:rsidRPr="00F13073">
        <w:rPr>
          <w:u w:val="single"/>
        </w:rPr>
        <w:t>Płodność</w:t>
      </w:r>
    </w:p>
    <w:p w14:paraId="5D94F7AF" w14:textId="77777777" w:rsidR="00C76C0E" w:rsidRPr="00F13073" w:rsidRDefault="00C76C0E" w:rsidP="008B4C50">
      <w:r w:rsidRPr="00F13073">
        <w:t>Dostępne dane niekliniczne nie wskazują na istnienie wpływu leczenia tocilizumabem na płodność.</w:t>
      </w:r>
    </w:p>
    <w:p w14:paraId="36EEE4F8" w14:textId="77777777" w:rsidR="00C76C0E" w:rsidRPr="00F13073" w:rsidRDefault="00C76C0E" w:rsidP="008B4C50"/>
    <w:p w14:paraId="05D2C342" w14:textId="77777777" w:rsidR="00C76C0E" w:rsidRPr="00F13073" w:rsidRDefault="00C76C0E" w:rsidP="008B4C50">
      <w:pPr>
        <w:keepNext/>
        <w:ind w:left="567" w:hanging="567"/>
        <w:rPr>
          <w:b/>
          <w:bCs/>
        </w:rPr>
      </w:pPr>
      <w:r w:rsidRPr="00F13073">
        <w:rPr>
          <w:b/>
          <w:bCs/>
        </w:rPr>
        <w:t>4.7</w:t>
      </w:r>
      <w:r w:rsidRPr="00F13073">
        <w:rPr>
          <w:b/>
          <w:bCs/>
        </w:rPr>
        <w:tab/>
        <w:t>Wpływ na zdolność prowadzenia pojazdów i obsługiwania maszyn</w:t>
      </w:r>
    </w:p>
    <w:p w14:paraId="01996132" w14:textId="77777777" w:rsidR="00C76C0E" w:rsidRPr="00F13073" w:rsidRDefault="00C76C0E" w:rsidP="008B4C50"/>
    <w:p w14:paraId="743260B3" w14:textId="29247664" w:rsidR="00C76C0E" w:rsidRPr="00F13073" w:rsidRDefault="00BF271F" w:rsidP="008B4C50">
      <w:r w:rsidRPr="00F13073">
        <w:t xml:space="preserve">Tocilizumab </w:t>
      </w:r>
      <w:r w:rsidR="00C76C0E" w:rsidRPr="00F13073">
        <w:t>ma niewielki wpływ na zdolność prowadzenia pojazdów mechanicznych i obsługiwania maszyn (patrz punkt 4.8, zawroty głowy).</w:t>
      </w:r>
    </w:p>
    <w:p w14:paraId="4BB4B34E" w14:textId="77777777" w:rsidR="00C76C0E" w:rsidRPr="00F13073" w:rsidRDefault="00C76C0E" w:rsidP="008B4C50"/>
    <w:p w14:paraId="6E4F9B83" w14:textId="77777777" w:rsidR="00C76C0E" w:rsidRPr="00F13073" w:rsidRDefault="00C76C0E" w:rsidP="008B4C50">
      <w:pPr>
        <w:keepNext/>
        <w:ind w:left="567" w:hanging="567"/>
        <w:rPr>
          <w:b/>
          <w:bCs/>
        </w:rPr>
      </w:pPr>
      <w:r w:rsidRPr="00F13073">
        <w:rPr>
          <w:b/>
          <w:bCs/>
        </w:rPr>
        <w:t>4.8</w:t>
      </w:r>
      <w:r w:rsidRPr="00F13073">
        <w:rPr>
          <w:b/>
          <w:bCs/>
        </w:rPr>
        <w:tab/>
        <w:t>Działania niepożądane</w:t>
      </w:r>
    </w:p>
    <w:p w14:paraId="7F0DEB2B" w14:textId="77777777" w:rsidR="00C76C0E" w:rsidRPr="00F13073" w:rsidRDefault="00C76C0E" w:rsidP="008B4C50"/>
    <w:p w14:paraId="5403D71E" w14:textId="77777777" w:rsidR="00C76C0E" w:rsidRPr="00F13073" w:rsidRDefault="00C76C0E" w:rsidP="008B4C50">
      <w:pPr>
        <w:rPr>
          <w:u w:val="single"/>
        </w:rPr>
      </w:pPr>
      <w:r w:rsidRPr="00F13073">
        <w:rPr>
          <w:u w:val="single"/>
        </w:rPr>
        <w:t>Podsumowanie profilu bezpieczeństwa</w:t>
      </w:r>
    </w:p>
    <w:p w14:paraId="32607589" w14:textId="76DEB0B8" w:rsidR="00C76C0E" w:rsidRPr="00F13073" w:rsidRDefault="00C76C0E" w:rsidP="008B4C50">
      <w:r w:rsidRPr="00F13073">
        <w:t>Do najcz</w:t>
      </w:r>
      <w:r w:rsidRPr="00F13073">
        <w:rPr>
          <w:rFonts w:ascii="Cambria" w:hAnsi="Cambria" w:cs="Cambria"/>
        </w:rPr>
        <w:t>ęś</w:t>
      </w:r>
      <w:r w:rsidRPr="00F13073">
        <w:t>ciej zg</w:t>
      </w:r>
      <w:r w:rsidRPr="00F13073">
        <w:rPr>
          <w:rFonts w:ascii="Cambria" w:hAnsi="Cambria" w:cs="Cambria"/>
        </w:rPr>
        <w:t>ł</w:t>
      </w:r>
      <w:r w:rsidRPr="00F13073">
        <w:t>aszanych dzia</w:t>
      </w:r>
      <w:r w:rsidRPr="00F13073">
        <w:rPr>
          <w:rFonts w:ascii="Cambria" w:hAnsi="Cambria" w:cs="Cambria"/>
        </w:rPr>
        <w:t>ł</w:t>
      </w:r>
      <w:r w:rsidRPr="00F13073">
        <w:t>ań niepo</w:t>
      </w:r>
      <w:r w:rsidRPr="00F13073">
        <w:rPr>
          <w:rFonts w:ascii="Cambria" w:hAnsi="Cambria" w:cs="Cambria"/>
        </w:rPr>
        <w:t>żą</w:t>
      </w:r>
      <w:r w:rsidRPr="00F13073">
        <w:t>danych (wyst</w:t>
      </w:r>
      <w:r w:rsidRPr="00F13073">
        <w:rPr>
          <w:rFonts w:ascii="Cambria" w:hAnsi="Cambria" w:cs="Cambria"/>
        </w:rPr>
        <w:t>ę</w:t>
      </w:r>
      <w:r w:rsidRPr="00F13073">
        <w:t>puj</w:t>
      </w:r>
      <w:r w:rsidRPr="00F13073">
        <w:rPr>
          <w:rFonts w:ascii="Cambria" w:hAnsi="Cambria" w:cs="Cambria"/>
        </w:rPr>
        <w:t>ą</w:t>
      </w:r>
      <w:r w:rsidRPr="00F13073">
        <w:t>cych u ≥ 5% chorych leczonych tocilizumabem w monoterapii lub w skojarzeniu z lekami z grupy DMARD z powodu RZS, uMIZS, wMIZS i CRS) nale</w:t>
      </w:r>
      <w:r w:rsidRPr="00F13073">
        <w:rPr>
          <w:rFonts w:ascii="Cambria" w:hAnsi="Cambria" w:cs="Cambria"/>
        </w:rPr>
        <w:t>ż</w:t>
      </w:r>
      <w:r w:rsidRPr="00F13073">
        <w:t>a</w:t>
      </w:r>
      <w:r w:rsidRPr="00F13073">
        <w:rPr>
          <w:rFonts w:ascii="Cambria" w:hAnsi="Cambria" w:cs="Cambria"/>
        </w:rPr>
        <w:t>ł</w:t>
      </w:r>
      <w:r w:rsidRPr="00F13073">
        <w:t>y zaka</w:t>
      </w:r>
      <w:r w:rsidRPr="00F13073">
        <w:rPr>
          <w:rFonts w:ascii="Cambria" w:hAnsi="Cambria" w:cs="Cambria"/>
        </w:rPr>
        <w:t>ż</w:t>
      </w:r>
      <w:r w:rsidRPr="00F13073">
        <w:t>enia górnych dróg oddechowych, zapalenie jamy nosowej i gardła, ból głowy, nadciśnienie tętnicze i zwiększenie aktywności AlAT.</w:t>
      </w:r>
    </w:p>
    <w:p w14:paraId="3989E83B" w14:textId="77777777" w:rsidR="000C3337" w:rsidRPr="00F13073" w:rsidRDefault="000C3337" w:rsidP="008B4C50"/>
    <w:p w14:paraId="7A9EE2A4" w14:textId="77777777" w:rsidR="00C76C0E" w:rsidRPr="00F13073" w:rsidRDefault="00C76C0E" w:rsidP="008B4C50">
      <w:r w:rsidRPr="00F13073">
        <w:t>Do najcięższych działań niepożądanych należały poważne zakażenia, powikłania zapalenia uchyłków jelita oraz reakcje nadwrażliwości.</w:t>
      </w:r>
    </w:p>
    <w:p w14:paraId="3C69AB29" w14:textId="77777777" w:rsidR="000C3337" w:rsidRPr="00F13073" w:rsidRDefault="000C3337" w:rsidP="008B4C50"/>
    <w:p w14:paraId="3CD807DB" w14:textId="77777777" w:rsidR="00C76C0E" w:rsidRPr="00F13073" w:rsidRDefault="00C76C0E" w:rsidP="008B4C50">
      <w:r w:rsidRPr="00F13073">
        <w:t>Do najcz</w:t>
      </w:r>
      <w:r w:rsidRPr="00F13073">
        <w:rPr>
          <w:rFonts w:ascii="Cambria" w:hAnsi="Cambria" w:cs="Cambria"/>
        </w:rPr>
        <w:t>ęś</w:t>
      </w:r>
      <w:r w:rsidRPr="00F13073">
        <w:t>ciej zg</w:t>
      </w:r>
      <w:r w:rsidRPr="00F13073">
        <w:rPr>
          <w:rFonts w:ascii="Cambria" w:hAnsi="Cambria" w:cs="Cambria"/>
        </w:rPr>
        <w:t>ł</w:t>
      </w:r>
      <w:r w:rsidRPr="00F13073">
        <w:t>aszanych dzia</w:t>
      </w:r>
      <w:r w:rsidRPr="00F13073">
        <w:rPr>
          <w:rFonts w:ascii="Cambria" w:hAnsi="Cambria" w:cs="Cambria"/>
        </w:rPr>
        <w:t>ł</w:t>
      </w:r>
      <w:r w:rsidRPr="00F13073">
        <w:t>ań niepo</w:t>
      </w:r>
      <w:r w:rsidRPr="00F13073">
        <w:rPr>
          <w:rFonts w:ascii="Cambria" w:hAnsi="Cambria" w:cs="Cambria"/>
        </w:rPr>
        <w:t>żą</w:t>
      </w:r>
      <w:r w:rsidRPr="00F13073">
        <w:t>danych (wyst</w:t>
      </w:r>
      <w:r w:rsidRPr="00F13073">
        <w:rPr>
          <w:rFonts w:ascii="Cambria" w:hAnsi="Cambria" w:cs="Cambria"/>
        </w:rPr>
        <w:t>ę</w:t>
      </w:r>
      <w:r w:rsidRPr="00F13073">
        <w:t>puj</w:t>
      </w:r>
      <w:r w:rsidRPr="00F13073">
        <w:rPr>
          <w:rFonts w:ascii="Cambria" w:hAnsi="Cambria" w:cs="Cambria"/>
        </w:rPr>
        <w:t>ą</w:t>
      </w:r>
      <w:r w:rsidRPr="00F13073">
        <w:t xml:space="preserve">cych u </w:t>
      </w:r>
      <w:r w:rsidR="000C3337" w:rsidRPr="00F13073">
        <w:t>≥</w:t>
      </w:r>
      <w:r w:rsidRPr="00F13073">
        <w:t xml:space="preserve"> 5% pacjentów leczonych tocilizumabem z powodu COVID-19) nale</w:t>
      </w:r>
      <w:r w:rsidRPr="00F13073">
        <w:rPr>
          <w:rFonts w:ascii="Cambria" w:hAnsi="Cambria" w:cs="Cambria"/>
        </w:rPr>
        <w:t>ż</w:t>
      </w:r>
      <w:r w:rsidRPr="00F13073">
        <w:t>a</w:t>
      </w:r>
      <w:r w:rsidRPr="00F13073">
        <w:rPr>
          <w:rFonts w:ascii="Cambria" w:hAnsi="Cambria" w:cs="Cambria"/>
        </w:rPr>
        <w:t>ł</w:t>
      </w:r>
      <w:r w:rsidRPr="00F13073">
        <w:t>o zwi</w:t>
      </w:r>
      <w:r w:rsidRPr="00F13073">
        <w:rPr>
          <w:rFonts w:ascii="Cambria" w:hAnsi="Cambria" w:cs="Cambria"/>
        </w:rPr>
        <w:t>ę</w:t>
      </w:r>
      <w:r w:rsidRPr="00F13073">
        <w:t>kszenie aktywno</w:t>
      </w:r>
      <w:r w:rsidRPr="00F13073">
        <w:rPr>
          <w:rFonts w:ascii="Cambria" w:hAnsi="Cambria" w:cs="Cambria"/>
        </w:rPr>
        <w:t>ś</w:t>
      </w:r>
      <w:r w:rsidRPr="00F13073">
        <w:t>ci aminotransferaz w</w:t>
      </w:r>
      <w:r w:rsidRPr="00F13073">
        <w:rPr>
          <w:rFonts w:ascii="Cambria" w:hAnsi="Cambria" w:cs="Cambria"/>
        </w:rPr>
        <w:t>ą</w:t>
      </w:r>
      <w:r w:rsidRPr="00F13073">
        <w:t>trobowych, zaparcia i zaka</w:t>
      </w:r>
      <w:r w:rsidRPr="00F13073">
        <w:rPr>
          <w:rFonts w:ascii="Cambria" w:hAnsi="Cambria" w:cs="Cambria"/>
        </w:rPr>
        <w:t>ż</w:t>
      </w:r>
      <w:r w:rsidRPr="00F13073">
        <w:t>enie uk</w:t>
      </w:r>
      <w:r w:rsidRPr="00F13073">
        <w:rPr>
          <w:rFonts w:ascii="Cambria" w:hAnsi="Cambria" w:cs="Cambria"/>
        </w:rPr>
        <w:t>ł</w:t>
      </w:r>
      <w:r w:rsidRPr="00F13073">
        <w:t>adu moczowego.</w:t>
      </w:r>
    </w:p>
    <w:p w14:paraId="46B22CBB" w14:textId="77777777" w:rsidR="000C3337" w:rsidRPr="00F13073" w:rsidRDefault="000C3337" w:rsidP="008B4C50"/>
    <w:p w14:paraId="3C6AE969" w14:textId="3A8B2126" w:rsidR="00C76C0E" w:rsidRPr="00F13073" w:rsidRDefault="00C76C0E" w:rsidP="00B73B0C">
      <w:r w:rsidRPr="00F13073">
        <w:t xml:space="preserve">Działania niepożądane występujące w badaniach klinicznych i (lub) w okresie po wprowadzeniu </w:t>
      </w:r>
      <w:r w:rsidR="005F4484" w:rsidRPr="00F13073">
        <w:t xml:space="preserve">tocilizumabu </w:t>
      </w:r>
      <w:r w:rsidRPr="00F13073">
        <w:t>do obrotu, oparte na zgłoszeniach spontanicznych, przypadkach opisanych w piśmiennictwie oraz przypadkach zgłaszanych w programach badań nieinterwencyjnych zostały wymienione w Tabeli 1 i Tabeli 2 zgodnie z klasyfikacją układów i narządów MedDRA. Każde działanie niepożądane zostało przyporządkowane do odpowiedniej kategorii częstości występowania zgodnie z następującą konwencją: bardzo cz</w:t>
      </w:r>
      <w:r w:rsidRPr="00F13073">
        <w:rPr>
          <w:rFonts w:ascii="Cambria" w:hAnsi="Cambria" w:cs="Cambria"/>
        </w:rPr>
        <w:t>ę</w:t>
      </w:r>
      <w:r w:rsidRPr="00F13073">
        <w:t>sto (</w:t>
      </w:r>
      <w:r w:rsidR="000C3337" w:rsidRPr="00F13073">
        <w:t>≥</w:t>
      </w:r>
      <w:r w:rsidRPr="00F13073">
        <w:t xml:space="preserve"> 1/10); cz</w:t>
      </w:r>
      <w:r w:rsidRPr="00F13073">
        <w:rPr>
          <w:rFonts w:ascii="Cambria" w:hAnsi="Cambria" w:cs="Cambria"/>
        </w:rPr>
        <w:t>ę</w:t>
      </w:r>
      <w:r w:rsidRPr="00F13073">
        <w:t>sto (</w:t>
      </w:r>
      <w:r w:rsidR="000C3337" w:rsidRPr="00F13073">
        <w:t>≥</w:t>
      </w:r>
      <w:r w:rsidR="00B73B0C" w:rsidRPr="00F13073">
        <w:t> </w:t>
      </w:r>
      <w:r w:rsidRPr="00F13073">
        <w:t>1/100 do &lt; 1/10), niezbyt cz</w:t>
      </w:r>
      <w:r w:rsidRPr="00F13073">
        <w:rPr>
          <w:rFonts w:ascii="Cambria" w:hAnsi="Cambria" w:cs="Cambria"/>
        </w:rPr>
        <w:t>ę</w:t>
      </w:r>
      <w:r w:rsidRPr="00F13073">
        <w:t>sto (</w:t>
      </w:r>
      <w:r w:rsidR="000C3337" w:rsidRPr="00F13073">
        <w:t>≥</w:t>
      </w:r>
      <w:r w:rsidRPr="00F13073">
        <w:t xml:space="preserve"> 1/1000 do &lt; 1/100), rzadko (</w:t>
      </w:r>
      <w:r w:rsidR="000C3337" w:rsidRPr="00F13073">
        <w:t>≥</w:t>
      </w:r>
      <w:r w:rsidRPr="00F13073">
        <w:t xml:space="preserve"> 1/10 000 do &lt; 1/1000) lub bardzo rzadko (&lt; 1/10 000). W obr</w:t>
      </w:r>
      <w:r w:rsidRPr="00F13073">
        <w:rPr>
          <w:rFonts w:ascii="Cambria" w:hAnsi="Cambria" w:cs="Cambria"/>
        </w:rPr>
        <w:t>ę</w:t>
      </w:r>
      <w:r w:rsidRPr="00F13073">
        <w:t>bie ka</w:t>
      </w:r>
      <w:r w:rsidRPr="00F13073">
        <w:rPr>
          <w:rFonts w:ascii="Cambria" w:hAnsi="Cambria" w:cs="Cambria"/>
        </w:rPr>
        <w:t>ż</w:t>
      </w:r>
      <w:r w:rsidRPr="00F13073">
        <w:t>dej grupy o okre</w:t>
      </w:r>
      <w:r w:rsidRPr="00F13073">
        <w:rPr>
          <w:rFonts w:ascii="Cambria" w:hAnsi="Cambria" w:cs="Cambria"/>
        </w:rPr>
        <w:t>ś</w:t>
      </w:r>
      <w:r w:rsidRPr="00F13073">
        <w:t>lonej cz</w:t>
      </w:r>
      <w:r w:rsidRPr="00F13073">
        <w:rPr>
          <w:rFonts w:ascii="Cambria" w:hAnsi="Cambria" w:cs="Cambria"/>
        </w:rPr>
        <w:t>ę</w:t>
      </w:r>
      <w:r w:rsidRPr="00F13073">
        <w:t>sto</w:t>
      </w:r>
      <w:r w:rsidRPr="00F13073">
        <w:rPr>
          <w:rFonts w:ascii="Cambria" w:hAnsi="Cambria" w:cs="Cambria"/>
        </w:rPr>
        <w:t>ś</w:t>
      </w:r>
      <w:r w:rsidRPr="00F13073">
        <w:t>ci wyst</w:t>
      </w:r>
      <w:r w:rsidRPr="00F13073">
        <w:rPr>
          <w:rFonts w:ascii="Cambria" w:hAnsi="Cambria" w:cs="Cambria"/>
        </w:rPr>
        <w:t>ę</w:t>
      </w:r>
      <w:r w:rsidRPr="00F13073">
        <w:t>powania dzia</w:t>
      </w:r>
      <w:r w:rsidRPr="00F13073">
        <w:rPr>
          <w:rFonts w:ascii="Cambria" w:hAnsi="Cambria" w:cs="Cambria"/>
        </w:rPr>
        <w:t>ł</w:t>
      </w:r>
      <w:r w:rsidRPr="00F13073">
        <w:t>ania niepo</w:t>
      </w:r>
      <w:r w:rsidRPr="00F13073">
        <w:rPr>
          <w:rFonts w:ascii="Cambria" w:hAnsi="Cambria" w:cs="Cambria"/>
        </w:rPr>
        <w:t>żą</w:t>
      </w:r>
      <w:r w:rsidRPr="00F13073">
        <w:t>dane s</w:t>
      </w:r>
      <w:r w:rsidRPr="00F13073">
        <w:rPr>
          <w:rFonts w:ascii="Cambria" w:hAnsi="Cambria" w:cs="Cambria"/>
        </w:rPr>
        <w:t>ą</w:t>
      </w:r>
      <w:r w:rsidRPr="00F13073">
        <w:t xml:space="preserve"> przedstawiane w kolejno</w:t>
      </w:r>
      <w:r w:rsidRPr="00F13073">
        <w:rPr>
          <w:rFonts w:ascii="Cambria" w:hAnsi="Cambria" w:cs="Cambria"/>
        </w:rPr>
        <w:t>ś</w:t>
      </w:r>
      <w:r w:rsidRPr="00F13073">
        <w:t>ci malejącej ciężkości.</w:t>
      </w:r>
    </w:p>
    <w:p w14:paraId="6C893510" w14:textId="77777777" w:rsidR="000C3337" w:rsidRPr="00F13073" w:rsidRDefault="000C3337" w:rsidP="008B4C50"/>
    <w:p w14:paraId="66C5916F" w14:textId="77777777" w:rsidR="00C76C0E" w:rsidRPr="00F13073" w:rsidRDefault="00C76C0E" w:rsidP="008B4C50">
      <w:pPr>
        <w:rPr>
          <w:u w:val="single"/>
        </w:rPr>
      </w:pPr>
      <w:r w:rsidRPr="00F13073">
        <w:rPr>
          <w:u w:val="single"/>
        </w:rPr>
        <w:t>Chorzy na RZS</w:t>
      </w:r>
    </w:p>
    <w:p w14:paraId="44693B72" w14:textId="77777777" w:rsidR="00C76C0E" w:rsidRPr="00F13073" w:rsidRDefault="00C76C0E" w:rsidP="008B4C50">
      <w:r w:rsidRPr="00F13073">
        <w:t>Profil bezpieczeństwa stosowania tocilizumabu oceniono w 4 badaniach kontrolowanych placebo (badania II, III, IV i V), w badaniu, w którym grupa kontrolna otrzymywała metotreksat (badanie I) oraz w fazach przedłużonych tych badań (patrz punkt 5.1).</w:t>
      </w:r>
    </w:p>
    <w:p w14:paraId="141A6261" w14:textId="77777777" w:rsidR="000C3337" w:rsidRPr="00F13073" w:rsidRDefault="000C3337" w:rsidP="008B4C50"/>
    <w:p w14:paraId="533CCE2C" w14:textId="77777777" w:rsidR="001E0975" w:rsidRPr="00F13073" w:rsidRDefault="00C76C0E" w:rsidP="008B4C50">
      <w:r w:rsidRPr="00F13073">
        <w:t>Okres badania kontrolowanego z podwójnie ślepą próbą wynosił 6 miesięcy w czterech badaniach (badanie I, III, IV i V) oraz do 2 lat w jednym badaniu (badanie II). W kontrolowanych badaniach z podwójnie ślepą próbą, 774 pacjentów otrzymywało tocilizumab w dawce 4 mg/kg mc. w skojarzeniu z MTX, 1870 pacjentów otrzymywało tocilizumab w dawce 8 mg/kg mc. w skojarzeniu z MTX lub innym lekiem przeciwreumatycznym modyfikującym przebieg choroby (ang. DMARD), a 288 chorych otrzymywało tocilizumab w dawce 8 mg/kg mc. w monoterapii.</w:t>
      </w:r>
    </w:p>
    <w:p w14:paraId="5EBE4AE5" w14:textId="77777777" w:rsidR="00C520CA" w:rsidRPr="00F13073" w:rsidRDefault="00C520CA" w:rsidP="008B4C50"/>
    <w:p w14:paraId="454C1606" w14:textId="77777777" w:rsidR="001E0975" w:rsidRDefault="00D02894" w:rsidP="008B4C50">
      <w:pPr>
        <w:rPr>
          <w:rFonts w:eastAsia="맑은 고딕"/>
          <w:lang w:eastAsia="ko-KR"/>
        </w:rPr>
      </w:pPr>
      <w:r w:rsidRPr="00F13073">
        <w:lastRenderedPageBreak/>
        <w:t>Analizą długookresowej ekspozycji na tocilizumab objęto populację wszystkich pacjentów, którzy otrzymali co najmniej jedną dawkę tocilizumabu w okresie badania z podwójnie ślepą próbą lub w otwartej fazie przedłużenia badania. Z całkowitej liczby 4009 pacjentów, 3577 było leczonych tocilizumabem przez co najmniej 6 miesięcy, 3296 przez co najmniej 1 rok, 2806 przez co najmniej 2 lata, 1222 przez co najmniej 3 lata.</w:t>
      </w:r>
    </w:p>
    <w:p w14:paraId="29F72DFE" w14:textId="77777777" w:rsidR="00AD1B8B" w:rsidRDefault="00AD1B8B" w:rsidP="008B4C50">
      <w:pPr>
        <w:rPr>
          <w:rFonts w:eastAsia="맑은 고딕"/>
          <w:lang w:eastAsia="ko-KR"/>
        </w:rPr>
      </w:pPr>
    </w:p>
    <w:p w14:paraId="44E21D1B" w14:textId="48D09030" w:rsidR="00AD1B8B" w:rsidRDefault="00AD1B8B" w:rsidP="008B4C50">
      <w:pPr>
        <w:rPr>
          <w:rFonts w:eastAsia="맑은 고딕"/>
          <w:i/>
          <w:iCs/>
          <w:lang w:eastAsia="ko-KR"/>
        </w:rPr>
      </w:pPr>
      <w:r w:rsidRPr="00F13073">
        <w:rPr>
          <w:i/>
          <w:iCs/>
        </w:rPr>
        <w:t>Tabela 1.</w:t>
      </w:r>
      <w:r w:rsidRPr="00F13073">
        <w:rPr>
          <w:i/>
          <w:iCs/>
        </w:rPr>
        <w:tab/>
        <w:t>Działania niepożądane występujące u chorych na RZS otrzymujących tocilizumab w monoterapii lub w skojarzeniu z metotreksatem lub innymi lekami z grupy DMARD w okresach badań kontrolowanych z podwójnie ślepą próbą lub po wprowadzeniu produktu</w:t>
      </w:r>
    </w:p>
    <w:tbl>
      <w:tblPr>
        <w:tblOverlap w:val="neve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3"/>
        <w:gridCol w:w="1966"/>
        <w:gridCol w:w="1817"/>
        <w:gridCol w:w="1802"/>
        <w:gridCol w:w="1569"/>
      </w:tblGrid>
      <w:tr w:rsidR="00AD1B8B" w:rsidRPr="00F13073" w14:paraId="14DCA6A0" w14:textId="77777777" w:rsidTr="00AD1B8B">
        <w:trPr>
          <w:tblHeader/>
          <w:jc w:val="center"/>
        </w:trPr>
        <w:tc>
          <w:tcPr>
            <w:tcW w:w="1723" w:type="dxa"/>
            <w:vMerge w:val="restart"/>
            <w:vAlign w:val="bottom"/>
          </w:tcPr>
          <w:p w14:paraId="42E7279A" w14:textId="77777777" w:rsidR="00AD1B8B" w:rsidRPr="00F13073" w:rsidRDefault="00AD1B8B" w:rsidP="00773461">
            <w:pPr>
              <w:keepNext/>
              <w:suppressAutoHyphens/>
              <w:jc w:val="center"/>
              <w:rPr>
                <w:b/>
                <w:bCs/>
                <w:sz w:val="20"/>
                <w:szCs w:val="20"/>
              </w:rPr>
            </w:pPr>
            <w:r w:rsidRPr="00F13073">
              <w:rPr>
                <w:b/>
                <w:bCs/>
                <w:sz w:val="20"/>
                <w:szCs w:val="20"/>
              </w:rPr>
              <w:lastRenderedPageBreak/>
              <w:t>MedDRA Klasyfikacja układów i narządów</w:t>
            </w:r>
          </w:p>
        </w:tc>
        <w:tc>
          <w:tcPr>
            <w:tcW w:w="7154" w:type="dxa"/>
            <w:gridSpan w:val="4"/>
            <w:vAlign w:val="bottom"/>
          </w:tcPr>
          <w:p w14:paraId="38E719FC" w14:textId="77777777" w:rsidR="00AD1B8B" w:rsidRPr="00F13073" w:rsidRDefault="00AD1B8B" w:rsidP="00773461">
            <w:pPr>
              <w:keepNext/>
              <w:suppressAutoHyphens/>
              <w:jc w:val="center"/>
              <w:rPr>
                <w:b/>
                <w:bCs/>
                <w:sz w:val="20"/>
                <w:szCs w:val="20"/>
              </w:rPr>
            </w:pPr>
            <w:r w:rsidRPr="00F13073">
              <w:rPr>
                <w:b/>
                <w:bCs/>
                <w:sz w:val="20"/>
                <w:szCs w:val="20"/>
              </w:rPr>
              <w:t>Kategorie częstości z zastosowaniem zalecanej terminologii</w:t>
            </w:r>
          </w:p>
        </w:tc>
      </w:tr>
      <w:tr w:rsidR="00AD1B8B" w:rsidRPr="00F13073" w14:paraId="1C060BAB" w14:textId="77777777" w:rsidTr="00AD1B8B">
        <w:trPr>
          <w:tblHeader/>
          <w:jc w:val="center"/>
        </w:trPr>
        <w:tc>
          <w:tcPr>
            <w:tcW w:w="1723" w:type="dxa"/>
            <w:vMerge/>
            <w:vAlign w:val="bottom"/>
          </w:tcPr>
          <w:p w14:paraId="6FF105F0" w14:textId="77777777" w:rsidR="00AD1B8B" w:rsidRPr="00F13073" w:rsidRDefault="00AD1B8B" w:rsidP="00773461">
            <w:pPr>
              <w:keepNext/>
              <w:suppressAutoHyphens/>
              <w:jc w:val="center"/>
              <w:rPr>
                <w:b/>
                <w:bCs/>
                <w:sz w:val="20"/>
                <w:szCs w:val="20"/>
              </w:rPr>
            </w:pPr>
          </w:p>
        </w:tc>
        <w:tc>
          <w:tcPr>
            <w:tcW w:w="1966" w:type="dxa"/>
          </w:tcPr>
          <w:p w14:paraId="0C7DC2C6" w14:textId="77777777" w:rsidR="00AD1B8B" w:rsidRPr="00F13073" w:rsidRDefault="00AD1B8B" w:rsidP="00773461">
            <w:pPr>
              <w:keepNext/>
              <w:suppressAutoHyphens/>
              <w:jc w:val="center"/>
              <w:rPr>
                <w:b/>
                <w:bCs/>
                <w:sz w:val="20"/>
                <w:szCs w:val="20"/>
              </w:rPr>
            </w:pPr>
            <w:r w:rsidRPr="00F13073">
              <w:rPr>
                <w:b/>
                <w:bCs/>
                <w:sz w:val="20"/>
                <w:szCs w:val="20"/>
              </w:rPr>
              <w:t>Bardzo często</w:t>
            </w:r>
          </w:p>
        </w:tc>
        <w:tc>
          <w:tcPr>
            <w:tcW w:w="1817" w:type="dxa"/>
          </w:tcPr>
          <w:p w14:paraId="4FA5DFB3" w14:textId="77777777" w:rsidR="00AD1B8B" w:rsidRPr="00F13073" w:rsidRDefault="00AD1B8B" w:rsidP="00773461">
            <w:pPr>
              <w:keepNext/>
              <w:suppressAutoHyphens/>
              <w:jc w:val="center"/>
              <w:rPr>
                <w:b/>
                <w:bCs/>
                <w:sz w:val="20"/>
                <w:szCs w:val="20"/>
              </w:rPr>
            </w:pPr>
            <w:r w:rsidRPr="00F13073">
              <w:rPr>
                <w:b/>
                <w:bCs/>
                <w:sz w:val="20"/>
                <w:szCs w:val="20"/>
              </w:rPr>
              <w:t>Często</w:t>
            </w:r>
          </w:p>
        </w:tc>
        <w:tc>
          <w:tcPr>
            <w:tcW w:w="1802" w:type="dxa"/>
          </w:tcPr>
          <w:p w14:paraId="2983B197" w14:textId="77777777" w:rsidR="00AD1B8B" w:rsidRPr="00F13073" w:rsidRDefault="00AD1B8B" w:rsidP="00773461">
            <w:pPr>
              <w:keepNext/>
              <w:suppressAutoHyphens/>
              <w:jc w:val="center"/>
              <w:rPr>
                <w:b/>
                <w:bCs/>
                <w:sz w:val="20"/>
                <w:szCs w:val="20"/>
              </w:rPr>
            </w:pPr>
            <w:r w:rsidRPr="00F13073">
              <w:rPr>
                <w:b/>
                <w:bCs/>
                <w:sz w:val="20"/>
                <w:szCs w:val="20"/>
              </w:rPr>
              <w:t>Niezbyt często</w:t>
            </w:r>
          </w:p>
        </w:tc>
        <w:tc>
          <w:tcPr>
            <w:tcW w:w="1569" w:type="dxa"/>
          </w:tcPr>
          <w:p w14:paraId="3C40C659" w14:textId="77777777" w:rsidR="00AD1B8B" w:rsidRPr="00F13073" w:rsidRDefault="00AD1B8B" w:rsidP="00773461">
            <w:pPr>
              <w:keepNext/>
              <w:suppressAutoHyphens/>
              <w:jc w:val="center"/>
              <w:rPr>
                <w:b/>
                <w:bCs/>
                <w:sz w:val="20"/>
                <w:szCs w:val="20"/>
              </w:rPr>
            </w:pPr>
            <w:r w:rsidRPr="00F13073">
              <w:rPr>
                <w:b/>
                <w:bCs/>
                <w:sz w:val="20"/>
                <w:szCs w:val="20"/>
              </w:rPr>
              <w:t>Rzadko</w:t>
            </w:r>
          </w:p>
        </w:tc>
      </w:tr>
      <w:tr w:rsidR="00AD1B8B" w:rsidRPr="00F13073" w14:paraId="5CC65464" w14:textId="77777777" w:rsidTr="00AD1B8B">
        <w:trPr>
          <w:cantSplit/>
          <w:tblHeader/>
          <w:jc w:val="center"/>
        </w:trPr>
        <w:tc>
          <w:tcPr>
            <w:tcW w:w="1723" w:type="dxa"/>
          </w:tcPr>
          <w:p w14:paraId="2EFA4F9A" w14:textId="77777777" w:rsidR="00AD1B8B" w:rsidRPr="00F13073" w:rsidRDefault="00AD1B8B" w:rsidP="00773461">
            <w:pPr>
              <w:suppressAutoHyphens/>
              <w:rPr>
                <w:sz w:val="20"/>
                <w:szCs w:val="20"/>
              </w:rPr>
            </w:pPr>
            <w:r w:rsidRPr="00F13073">
              <w:rPr>
                <w:sz w:val="20"/>
                <w:szCs w:val="20"/>
              </w:rPr>
              <w:t>Zakażenia i zarażenia pasożytnicze</w:t>
            </w:r>
          </w:p>
        </w:tc>
        <w:tc>
          <w:tcPr>
            <w:tcW w:w="1966" w:type="dxa"/>
          </w:tcPr>
          <w:p w14:paraId="53CC8E6D" w14:textId="77777777" w:rsidR="00AD1B8B" w:rsidRPr="00F13073" w:rsidRDefault="00AD1B8B" w:rsidP="00773461">
            <w:pPr>
              <w:suppressAutoHyphens/>
              <w:rPr>
                <w:sz w:val="20"/>
                <w:szCs w:val="20"/>
              </w:rPr>
            </w:pPr>
            <w:r w:rsidRPr="00F13073">
              <w:rPr>
                <w:rStyle w:val="Other"/>
                <w:rFonts w:eastAsia="DengXian"/>
                <w:sz w:val="20"/>
                <w:szCs w:val="20"/>
              </w:rPr>
              <w:t>Zakażenie górnych dróg oddechowych</w:t>
            </w:r>
          </w:p>
        </w:tc>
        <w:tc>
          <w:tcPr>
            <w:tcW w:w="1817" w:type="dxa"/>
          </w:tcPr>
          <w:p w14:paraId="6980D060" w14:textId="77777777" w:rsidR="00AD1B8B" w:rsidRPr="00F13073" w:rsidRDefault="00AD1B8B" w:rsidP="00773461">
            <w:pPr>
              <w:suppressAutoHyphens/>
              <w:rPr>
                <w:sz w:val="20"/>
                <w:szCs w:val="20"/>
              </w:rPr>
            </w:pPr>
            <w:r w:rsidRPr="00F13073">
              <w:rPr>
                <w:rStyle w:val="Other"/>
                <w:rFonts w:eastAsia="DengXian"/>
                <w:sz w:val="20"/>
                <w:szCs w:val="20"/>
              </w:rPr>
              <w:t>Zapalenie podskórnej tkanki łącznej, zapalenie płuc, opryszczka wargowa, półpasiec</w:t>
            </w:r>
          </w:p>
        </w:tc>
        <w:tc>
          <w:tcPr>
            <w:tcW w:w="1802" w:type="dxa"/>
          </w:tcPr>
          <w:p w14:paraId="0DC6D87B" w14:textId="77777777" w:rsidR="00AD1B8B" w:rsidRPr="00F13073" w:rsidRDefault="00AD1B8B" w:rsidP="00773461">
            <w:pPr>
              <w:suppressAutoHyphens/>
              <w:rPr>
                <w:sz w:val="20"/>
                <w:szCs w:val="20"/>
              </w:rPr>
            </w:pPr>
            <w:r w:rsidRPr="00F13073">
              <w:rPr>
                <w:rStyle w:val="Other"/>
                <w:rFonts w:eastAsia="DengXian"/>
                <w:sz w:val="20"/>
                <w:szCs w:val="20"/>
              </w:rPr>
              <w:t>Zapalenie uchyłków jelita</w:t>
            </w:r>
          </w:p>
        </w:tc>
        <w:tc>
          <w:tcPr>
            <w:tcW w:w="1569" w:type="dxa"/>
          </w:tcPr>
          <w:p w14:paraId="206BA5DA" w14:textId="77777777" w:rsidR="00AD1B8B" w:rsidRPr="00F13073" w:rsidRDefault="00AD1B8B" w:rsidP="00773461">
            <w:pPr>
              <w:suppressAutoHyphens/>
              <w:rPr>
                <w:sz w:val="20"/>
                <w:szCs w:val="20"/>
              </w:rPr>
            </w:pPr>
          </w:p>
        </w:tc>
      </w:tr>
      <w:tr w:rsidR="00AD1B8B" w:rsidRPr="00F13073" w14:paraId="1A63D9C7" w14:textId="77777777" w:rsidTr="00AD1B8B">
        <w:trPr>
          <w:cantSplit/>
          <w:tblHeader/>
          <w:jc w:val="center"/>
        </w:trPr>
        <w:tc>
          <w:tcPr>
            <w:tcW w:w="1723" w:type="dxa"/>
          </w:tcPr>
          <w:p w14:paraId="3FA06302" w14:textId="77777777" w:rsidR="00AD1B8B" w:rsidRPr="00F13073" w:rsidRDefault="00AD1B8B" w:rsidP="00773461">
            <w:pPr>
              <w:suppressAutoHyphens/>
              <w:rPr>
                <w:sz w:val="20"/>
                <w:szCs w:val="20"/>
              </w:rPr>
            </w:pPr>
            <w:r w:rsidRPr="00F13073">
              <w:rPr>
                <w:sz w:val="20"/>
                <w:szCs w:val="20"/>
              </w:rPr>
              <w:t>Zaburzenia krwi i układu chłonnego</w:t>
            </w:r>
          </w:p>
        </w:tc>
        <w:tc>
          <w:tcPr>
            <w:tcW w:w="1966" w:type="dxa"/>
          </w:tcPr>
          <w:p w14:paraId="07032609" w14:textId="77777777" w:rsidR="00AD1B8B" w:rsidRPr="00F13073" w:rsidRDefault="00AD1B8B" w:rsidP="00773461">
            <w:pPr>
              <w:suppressAutoHyphens/>
              <w:rPr>
                <w:sz w:val="20"/>
                <w:szCs w:val="20"/>
              </w:rPr>
            </w:pPr>
          </w:p>
        </w:tc>
        <w:tc>
          <w:tcPr>
            <w:tcW w:w="1817" w:type="dxa"/>
          </w:tcPr>
          <w:p w14:paraId="1ED6E6BC" w14:textId="77777777" w:rsidR="00AD1B8B" w:rsidRPr="00F13073" w:rsidRDefault="00AD1B8B" w:rsidP="00773461">
            <w:pPr>
              <w:suppressAutoHyphens/>
              <w:rPr>
                <w:sz w:val="20"/>
                <w:szCs w:val="20"/>
              </w:rPr>
            </w:pPr>
            <w:r w:rsidRPr="00F13073">
              <w:rPr>
                <w:rStyle w:val="Other"/>
                <w:rFonts w:eastAsia="DengXian"/>
                <w:sz w:val="20"/>
                <w:szCs w:val="20"/>
              </w:rPr>
              <w:t>Leukopenia, neutropenia, hipofibrynogenemia</w:t>
            </w:r>
          </w:p>
        </w:tc>
        <w:tc>
          <w:tcPr>
            <w:tcW w:w="1802" w:type="dxa"/>
          </w:tcPr>
          <w:p w14:paraId="355E8E5E" w14:textId="77777777" w:rsidR="00AD1B8B" w:rsidRPr="00F13073" w:rsidRDefault="00AD1B8B" w:rsidP="00773461">
            <w:pPr>
              <w:suppressAutoHyphens/>
              <w:rPr>
                <w:sz w:val="20"/>
                <w:szCs w:val="20"/>
              </w:rPr>
            </w:pPr>
          </w:p>
        </w:tc>
        <w:tc>
          <w:tcPr>
            <w:tcW w:w="1569" w:type="dxa"/>
          </w:tcPr>
          <w:p w14:paraId="07887E59" w14:textId="77777777" w:rsidR="00AD1B8B" w:rsidRPr="00F13073" w:rsidRDefault="00AD1B8B" w:rsidP="00773461">
            <w:pPr>
              <w:suppressAutoHyphens/>
              <w:rPr>
                <w:sz w:val="20"/>
                <w:szCs w:val="20"/>
              </w:rPr>
            </w:pPr>
          </w:p>
        </w:tc>
      </w:tr>
      <w:tr w:rsidR="00AD1B8B" w:rsidRPr="00F13073" w14:paraId="34BD5801" w14:textId="77777777" w:rsidTr="00AD1B8B">
        <w:trPr>
          <w:cantSplit/>
          <w:tblHeader/>
          <w:jc w:val="center"/>
        </w:trPr>
        <w:tc>
          <w:tcPr>
            <w:tcW w:w="1723" w:type="dxa"/>
          </w:tcPr>
          <w:p w14:paraId="03A658AD" w14:textId="77777777" w:rsidR="00AD1B8B" w:rsidRPr="00F13073" w:rsidRDefault="00AD1B8B" w:rsidP="00773461">
            <w:pPr>
              <w:suppressAutoHyphens/>
              <w:ind w:right="-30"/>
              <w:rPr>
                <w:sz w:val="20"/>
                <w:szCs w:val="20"/>
              </w:rPr>
            </w:pPr>
            <w:r w:rsidRPr="00F13073">
              <w:rPr>
                <w:sz w:val="20"/>
                <w:szCs w:val="20"/>
              </w:rPr>
              <w:t>Zaburzenia układu immunologicznego</w:t>
            </w:r>
          </w:p>
        </w:tc>
        <w:tc>
          <w:tcPr>
            <w:tcW w:w="1966" w:type="dxa"/>
          </w:tcPr>
          <w:p w14:paraId="1FA48CDD" w14:textId="77777777" w:rsidR="00AD1B8B" w:rsidRPr="00F13073" w:rsidRDefault="00AD1B8B" w:rsidP="00773461">
            <w:pPr>
              <w:suppressAutoHyphens/>
              <w:rPr>
                <w:sz w:val="20"/>
                <w:szCs w:val="20"/>
              </w:rPr>
            </w:pPr>
          </w:p>
        </w:tc>
        <w:tc>
          <w:tcPr>
            <w:tcW w:w="1817" w:type="dxa"/>
          </w:tcPr>
          <w:p w14:paraId="06BCAD9D" w14:textId="77777777" w:rsidR="00AD1B8B" w:rsidRPr="00F13073" w:rsidRDefault="00AD1B8B" w:rsidP="00773461">
            <w:pPr>
              <w:suppressAutoHyphens/>
              <w:rPr>
                <w:sz w:val="20"/>
                <w:szCs w:val="20"/>
              </w:rPr>
            </w:pPr>
          </w:p>
        </w:tc>
        <w:tc>
          <w:tcPr>
            <w:tcW w:w="1802" w:type="dxa"/>
          </w:tcPr>
          <w:p w14:paraId="0F5D23C6" w14:textId="77777777" w:rsidR="00AD1B8B" w:rsidRPr="00F13073" w:rsidRDefault="00AD1B8B" w:rsidP="00773461">
            <w:pPr>
              <w:suppressAutoHyphens/>
              <w:rPr>
                <w:sz w:val="20"/>
                <w:szCs w:val="20"/>
              </w:rPr>
            </w:pPr>
          </w:p>
        </w:tc>
        <w:tc>
          <w:tcPr>
            <w:tcW w:w="1569" w:type="dxa"/>
          </w:tcPr>
          <w:p w14:paraId="03321E34" w14:textId="77777777" w:rsidR="00AD1B8B" w:rsidRPr="00F13073" w:rsidRDefault="00AD1B8B" w:rsidP="00773461">
            <w:pPr>
              <w:suppressAutoHyphens/>
              <w:rPr>
                <w:sz w:val="20"/>
                <w:szCs w:val="20"/>
              </w:rPr>
            </w:pPr>
            <w:r w:rsidRPr="00F13073">
              <w:rPr>
                <w:rStyle w:val="Other"/>
                <w:rFonts w:eastAsia="DengXian"/>
                <w:sz w:val="20"/>
                <w:szCs w:val="20"/>
              </w:rPr>
              <w:t>Anafilaksja (ze skutkiem śmiertelnym)</w:t>
            </w:r>
            <w:r w:rsidRPr="00F13073">
              <w:rPr>
                <w:rStyle w:val="Other"/>
                <w:rFonts w:eastAsia="DengXian"/>
                <w:sz w:val="20"/>
                <w:szCs w:val="20"/>
                <w:vertAlign w:val="superscript"/>
              </w:rPr>
              <w:t>1, 2, 3</w:t>
            </w:r>
          </w:p>
        </w:tc>
      </w:tr>
      <w:tr w:rsidR="00AD1B8B" w:rsidRPr="00F13073" w14:paraId="5F36A238" w14:textId="77777777" w:rsidTr="00AD1B8B">
        <w:trPr>
          <w:cantSplit/>
          <w:tblHeader/>
          <w:jc w:val="center"/>
        </w:trPr>
        <w:tc>
          <w:tcPr>
            <w:tcW w:w="1723" w:type="dxa"/>
          </w:tcPr>
          <w:p w14:paraId="5EE5F129" w14:textId="77777777" w:rsidR="00AD1B8B" w:rsidRPr="00F13073" w:rsidRDefault="00AD1B8B" w:rsidP="00773461">
            <w:pPr>
              <w:suppressAutoHyphens/>
              <w:rPr>
                <w:sz w:val="20"/>
                <w:szCs w:val="20"/>
              </w:rPr>
            </w:pPr>
            <w:r w:rsidRPr="00F13073">
              <w:rPr>
                <w:sz w:val="20"/>
                <w:szCs w:val="20"/>
              </w:rPr>
              <w:t>Zaburzenia endokrynologiczne</w:t>
            </w:r>
          </w:p>
        </w:tc>
        <w:tc>
          <w:tcPr>
            <w:tcW w:w="1966" w:type="dxa"/>
          </w:tcPr>
          <w:p w14:paraId="366197B9" w14:textId="77777777" w:rsidR="00AD1B8B" w:rsidRPr="00F13073" w:rsidRDefault="00AD1B8B" w:rsidP="00773461">
            <w:pPr>
              <w:suppressAutoHyphens/>
              <w:rPr>
                <w:sz w:val="20"/>
                <w:szCs w:val="20"/>
              </w:rPr>
            </w:pPr>
          </w:p>
        </w:tc>
        <w:tc>
          <w:tcPr>
            <w:tcW w:w="1817" w:type="dxa"/>
          </w:tcPr>
          <w:p w14:paraId="59066846" w14:textId="77777777" w:rsidR="00AD1B8B" w:rsidRPr="00F13073" w:rsidRDefault="00AD1B8B" w:rsidP="00773461">
            <w:pPr>
              <w:suppressAutoHyphens/>
              <w:rPr>
                <w:sz w:val="20"/>
                <w:szCs w:val="20"/>
              </w:rPr>
            </w:pPr>
          </w:p>
        </w:tc>
        <w:tc>
          <w:tcPr>
            <w:tcW w:w="1802" w:type="dxa"/>
          </w:tcPr>
          <w:p w14:paraId="65DB3DFD" w14:textId="77777777" w:rsidR="00AD1B8B" w:rsidRPr="00F13073" w:rsidRDefault="00AD1B8B" w:rsidP="00773461">
            <w:pPr>
              <w:suppressAutoHyphens/>
              <w:rPr>
                <w:sz w:val="20"/>
                <w:szCs w:val="20"/>
              </w:rPr>
            </w:pPr>
            <w:r w:rsidRPr="00F13073">
              <w:rPr>
                <w:rStyle w:val="Other"/>
                <w:rFonts w:eastAsia="DengXian"/>
                <w:sz w:val="20"/>
                <w:szCs w:val="20"/>
              </w:rPr>
              <w:t>Niedoczynność tarczycy</w:t>
            </w:r>
          </w:p>
        </w:tc>
        <w:tc>
          <w:tcPr>
            <w:tcW w:w="1569" w:type="dxa"/>
          </w:tcPr>
          <w:p w14:paraId="26E5F6B7" w14:textId="77777777" w:rsidR="00AD1B8B" w:rsidRPr="00F13073" w:rsidRDefault="00AD1B8B" w:rsidP="00773461">
            <w:pPr>
              <w:suppressAutoHyphens/>
              <w:rPr>
                <w:sz w:val="20"/>
                <w:szCs w:val="20"/>
              </w:rPr>
            </w:pPr>
          </w:p>
        </w:tc>
      </w:tr>
      <w:tr w:rsidR="00AD1B8B" w:rsidRPr="00F13073" w14:paraId="1E00AFEF" w14:textId="77777777" w:rsidTr="00AD1B8B">
        <w:trPr>
          <w:cantSplit/>
          <w:tblHeader/>
          <w:jc w:val="center"/>
        </w:trPr>
        <w:tc>
          <w:tcPr>
            <w:tcW w:w="1723" w:type="dxa"/>
          </w:tcPr>
          <w:p w14:paraId="4DFA3315" w14:textId="77777777" w:rsidR="00AD1B8B" w:rsidRPr="00F13073" w:rsidRDefault="00AD1B8B" w:rsidP="00773461">
            <w:pPr>
              <w:suppressAutoHyphens/>
              <w:rPr>
                <w:sz w:val="20"/>
                <w:szCs w:val="20"/>
              </w:rPr>
            </w:pPr>
            <w:r w:rsidRPr="00F13073">
              <w:rPr>
                <w:sz w:val="20"/>
                <w:szCs w:val="20"/>
              </w:rPr>
              <w:t>Zaburzenia metabolizmu i odżywiania</w:t>
            </w:r>
          </w:p>
        </w:tc>
        <w:tc>
          <w:tcPr>
            <w:tcW w:w="1966" w:type="dxa"/>
          </w:tcPr>
          <w:p w14:paraId="12868652" w14:textId="77777777" w:rsidR="00AD1B8B" w:rsidRPr="00F13073" w:rsidRDefault="00AD1B8B" w:rsidP="00773461">
            <w:pPr>
              <w:suppressAutoHyphens/>
              <w:ind w:right="-46"/>
              <w:rPr>
                <w:sz w:val="20"/>
                <w:szCs w:val="20"/>
              </w:rPr>
            </w:pPr>
            <w:r w:rsidRPr="00F13073">
              <w:rPr>
                <w:rStyle w:val="Other"/>
                <w:rFonts w:eastAsia="DengXian"/>
                <w:sz w:val="20"/>
                <w:szCs w:val="20"/>
              </w:rPr>
              <w:t>Hipercholesterolemia*</w:t>
            </w:r>
          </w:p>
        </w:tc>
        <w:tc>
          <w:tcPr>
            <w:tcW w:w="1817" w:type="dxa"/>
          </w:tcPr>
          <w:p w14:paraId="4DDBBB86" w14:textId="77777777" w:rsidR="00AD1B8B" w:rsidRPr="00F13073" w:rsidRDefault="00AD1B8B" w:rsidP="00773461">
            <w:pPr>
              <w:suppressAutoHyphens/>
              <w:rPr>
                <w:sz w:val="20"/>
                <w:szCs w:val="20"/>
              </w:rPr>
            </w:pPr>
          </w:p>
        </w:tc>
        <w:tc>
          <w:tcPr>
            <w:tcW w:w="1802" w:type="dxa"/>
          </w:tcPr>
          <w:p w14:paraId="01B5E551" w14:textId="77777777" w:rsidR="00AD1B8B" w:rsidRPr="00F13073" w:rsidRDefault="00AD1B8B" w:rsidP="00773461">
            <w:pPr>
              <w:suppressAutoHyphens/>
              <w:ind w:right="-55"/>
              <w:rPr>
                <w:sz w:val="20"/>
                <w:szCs w:val="20"/>
              </w:rPr>
            </w:pPr>
            <w:r w:rsidRPr="00F13073">
              <w:rPr>
                <w:rStyle w:val="Other"/>
                <w:rFonts w:eastAsia="DengXian"/>
                <w:sz w:val="20"/>
                <w:szCs w:val="20"/>
              </w:rPr>
              <w:t>Hipertriglicerydemia</w:t>
            </w:r>
          </w:p>
        </w:tc>
        <w:tc>
          <w:tcPr>
            <w:tcW w:w="1569" w:type="dxa"/>
          </w:tcPr>
          <w:p w14:paraId="3A2AFB8A" w14:textId="77777777" w:rsidR="00AD1B8B" w:rsidRPr="00F13073" w:rsidRDefault="00AD1B8B" w:rsidP="00773461">
            <w:pPr>
              <w:suppressAutoHyphens/>
              <w:rPr>
                <w:sz w:val="20"/>
                <w:szCs w:val="20"/>
              </w:rPr>
            </w:pPr>
          </w:p>
        </w:tc>
      </w:tr>
      <w:tr w:rsidR="00AD1B8B" w:rsidRPr="00F13073" w14:paraId="4AEFE452" w14:textId="77777777" w:rsidTr="00AD1B8B">
        <w:trPr>
          <w:cantSplit/>
          <w:tblHeader/>
          <w:jc w:val="center"/>
        </w:trPr>
        <w:tc>
          <w:tcPr>
            <w:tcW w:w="1723" w:type="dxa"/>
          </w:tcPr>
          <w:p w14:paraId="1B6A234B" w14:textId="77777777" w:rsidR="00AD1B8B" w:rsidRPr="00F13073" w:rsidRDefault="00AD1B8B" w:rsidP="00773461">
            <w:pPr>
              <w:suppressAutoHyphens/>
              <w:rPr>
                <w:sz w:val="20"/>
                <w:szCs w:val="20"/>
              </w:rPr>
            </w:pPr>
            <w:r w:rsidRPr="00F13073">
              <w:rPr>
                <w:sz w:val="20"/>
                <w:szCs w:val="20"/>
              </w:rPr>
              <w:t>Zaburzenia układu nerwowego</w:t>
            </w:r>
          </w:p>
        </w:tc>
        <w:tc>
          <w:tcPr>
            <w:tcW w:w="1966" w:type="dxa"/>
          </w:tcPr>
          <w:p w14:paraId="51D8A1F4" w14:textId="77777777" w:rsidR="00AD1B8B" w:rsidRPr="00F13073" w:rsidRDefault="00AD1B8B" w:rsidP="00773461">
            <w:pPr>
              <w:suppressAutoHyphens/>
              <w:rPr>
                <w:sz w:val="20"/>
                <w:szCs w:val="20"/>
              </w:rPr>
            </w:pPr>
          </w:p>
        </w:tc>
        <w:tc>
          <w:tcPr>
            <w:tcW w:w="1817" w:type="dxa"/>
          </w:tcPr>
          <w:p w14:paraId="7EC9DFD5" w14:textId="77777777" w:rsidR="00AD1B8B" w:rsidRPr="00F13073" w:rsidRDefault="00AD1B8B" w:rsidP="00773461">
            <w:pPr>
              <w:suppressAutoHyphens/>
              <w:rPr>
                <w:sz w:val="20"/>
                <w:szCs w:val="20"/>
              </w:rPr>
            </w:pPr>
            <w:r w:rsidRPr="00F13073">
              <w:rPr>
                <w:rStyle w:val="Other"/>
                <w:rFonts w:eastAsia="DengXian"/>
                <w:sz w:val="20"/>
                <w:szCs w:val="20"/>
              </w:rPr>
              <w:t>Ból głowy, zawroty głowy</w:t>
            </w:r>
          </w:p>
        </w:tc>
        <w:tc>
          <w:tcPr>
            <w:tcW w:w="1802" w:type="dxa"/>
          </w:tcPr>
          <w:p w14:paraId="219CF88D" w14:textId="77777777" w:rsidR="00AD1B8B" w:rsidRPr="00F13073" w:rsidRDefault="00AD1B8B" w:rsidP="00773461">
            <w:pPr>
              <w:suppressAutoHyphens/>
              <w:rPr>
                <w:sz w:val="20"/>
                <w:szCs w:val="20"/>
              </w:rPr>
            </w:pPr>
          </w:p>
        </w:tc>
        <w:tc>
          <w:tcPr>
            <w:tcW w:w="1569" w:type="dxa"/>
          </w:tcPr>
          <w:p w14:paraId="1DF7EA9A" w14:textId="77777777" w:rsidR="00AD1B8B" w:rsidRPr="00F13073" w:rsidRDefault="00AD1B8B" w:rsidP="00773461">
            <w:pPr>
              <w:suppressAutoHyphens/>
              <w:rPr>
                <w:sz w:val="20"/>
                <w:szCs w:val="20"/>
              </w:rPr>
            </w:pPr>
          </w:p>
        </w:tc>
      </w:tr>
      <w:tr w:rsidR="00AD1B8B" w:rsidRPr="00F13073" w14:paraId="201AEB3F" w14:textId="77777777" w:rsidTr="00AD1B8B">
        <w:trPr>
          <w:cantSplit/>
          <w:tblHeader/>
          <w:jc w:val="center"/>
        </w:trPr>
        <w:tc>
          <w:tcPr>
            <w:tcW w:w="1723" w:type="dxa"/>
          </w:tcPr>
          <w:p w14:paraId="7016F77A" w14:textId="77777777" w:rsidR="00AD1B8B" w:rsidRPr="00F13073" w:rsidRDefault="00AD1B8B" w:rsidP="00773461">
            <w:pPr>
              <w:suppressAutoHyphens/>
              <w:rPr>
                <w:sz w:val="20"/>
                <w:szCs w:val="20"/>
              </w:rPr>
            </w:pPr>
            <w:r w:rsidRPr="00F13073">
              <w:rPr>
                <w:sz w:val="20"/>
                <w:szCs w:val="20"/>
              </w:rPr>
              <w:t>Zaburzenia oka</w:t>
            </w:r>
          </w:p>
        </w:tc>
        <w:tc>
          <w:tcPr>
            <w:tcW w:w="1966" w:type="dxa"/>
          </w:tcPr>
          <w:p w14:paraId="3C20ED6B" w14:textId="77777777" w:rsidR="00AD1B8B" w:rsidRPr="00F13073" w:rsidRDefault="00AD1B8B" w:rsidP="00773461">
            <w:pPr>
              <w:suppressAutoHyphens/>
              <w:rPr>
                <w:sz w:val="20"/>
                <w:szCs w:val="20"/>
              </w:rPr>
            </w:pPr>
          </w:p>
        </w:tc>
        <w:tc>
          <w:tcPr>
            <w:tcW w:w="1817" w:type="dxa"/>
          </w:tcPr>
          <w:p w14:paraId="56410380" w14:textId="77777777" w:rsidR="00AD1B8B" w:rsidRPr="00F13073" w:rsidRDefault="00AD1B8B" w:rsidP="00773461">
            <w:pPr>
              <w:suppressAutoHyphens/>
              <w:rPr>
                <w:sz w:val="20"/>
                <w:szCs w:val="20"/>
              </w:rPr>
            </w:pPr>
            <w:r w:rsidRPr="00F13073">
              <w:rPr>
                <w:rStyle w:val="Other"/>
                <w:rFonts w:eastAsia="DengXian"/>
                <w:sz w:val="20"/>
                <w:szCs w:val="20"/>
              </w:rPr>
              <w:t>Zapalenie spojówek</w:t>
            </w:r>
          </w:p>
        </w:tc>
        <w:tc>
          <w:tcPr>
            <w:tcW w:w="1802" w:type="dxa"/>
          </w:tcPr>
          <w:p w14:paraId="17303958" w14:textId="77777777" w:rsidR="00AD1B8B" w:rsidRPr="00F13073" w:rsidRDefault="00AD1B8B" w:rsidP="00773461">
            <w:pPr>
              <w:suppressAutoHyphens/>
              <w:rPr>
                <w:sz w:val="20"/>
                <w:szCs w:val="20"/>
              </w:rPr>
            </w:pPr>
          </w:p>
        </w:tc>
        <w:tc>
          <w:tcPr>
            <w:tcW w:w="1569" w:type="dxa"/>
          </w:tcPr>
          <w:p w14:paraId="30149167" w14:textId="77777777" w:rsidR="00AD1B8B" w:rsidRPr="00F13073" w:rsidRDefault="00AD1B8B" w:rsidP="00773461">
            <w:pPr>
              <w:suppressAutoHyphens/>
              <w:rPr>
                <w:sz w:val="20"/>
                <w:szCs w:val="20"/>
              </w:rPr>
            </w:pPr>
          </w:p>
        </w:tc>
      </w:tr>
      <w:tr w:rsidR="00AD1B8B" w:rsidRPr="00F13073" w14:paraId="11EA5E10" w14:textId="77777777" w:rsidTr="00AD1B8B">
        <w:trPr>
          <w:cantSplit/>
          <w:tblHeader/>
          <w:jc w:val="center"/>
        </w:trPr>
        <w:tc>
          <w:tcPr>
            <w:tcW w:w="1723" w:type="dxa"/>
          </w:tcPr>
          <w:p w14:paraId="43BF86A9" w14:textId="77777777" w:rsidR="00AD1B8B" w:rsidRPr="00F13073" w:rsidRDefault="00AD1B8B" w:rsidP="00773461">
            <w:pPr>
              <w:suppressAutoHyphens/>
              <w:rPr>
                <w:sz w:val="20"/>
                <w:szCs w:val="20"/>
              </w:rPr>
            </w:pPr>
            <w:r w:rsidRPr="00F13073">
              <w:rPr>
                <w:sz w:val="20"/>
                <w:szCs w:val="20"/>
              </w:rPr>
              <w:t>Zaburzenia naczyniowe</w:t>
            </w:r>
          </w:p>
        </w:tc>
        <w:tc>
          <w:tcPr>
            <w:tcW w:w="1966" w:type="dxa"/>
          </w:tcPr>
          <w:p w14:paraId="259DD2C5" w14:textId="77777777" w:rsidR="00AD1B8B" w:rsidRPr="00F13073" w:rsidRDefault="00AD1B8B" w:rsidP="00773461">
            <w:pPr>
              <w:suppressAutoHyphens/>
              <w:rPr>
                <w:sz w:val="20"/>
                <w:szCs w:val="20"/>
              </w:rPr>
            </w:pPr>
          </w:p>
        </w:tc>
        <w:tc>
          <w:tcPr>
            <w:tcW w:w="1817" w:type="dxa"/>
          </w:tcPr>
          <w:p w14:paraId="32AB8D15" w14:textId="77777777" w:rsidR="00AD1B8B" w:rsidRPr="00F13073" w:rsidRDefault="00AD1B8B" w:rsidP="00773461">
            <w:pPr>
              <w:suppressAutoHyphens/>
              <w:rPr>
                <w:sz w:val="20"/>
                <w:szCs w:val="20"/>
              </w:rPr>
            </w:pPr>
            <w:r w:rsidRPr="00F13073">
              <w:rPr>
                <w:rStyle w:val="Other"/>
                <w:rFonts w:eastAsia="DengXian"/>
                <w:sz w:val="20"/>
                <w:szCs w:val="20"/>
              </w:rPr>
              <w:t>Nadciśnienie tętnicze</w:t>
            </w:r>
          </w:p>
        </w:tc>
        <w:tc>
          <w:tcPr>
            <w:tcW w:w="1802" w:type="dxa"/>
          </w:tcPr>
          <w:p w14:paraId="7A503D56" w14:textId="77777777" w:rsidR="00AD1B8B" w:rsidRPr="00F13073" w:rsidRDefault="00AD1B8B" w:rsidP="00773461">
            <w:pPr>
              <w:suppressAutoHyphens/>
              <w:rPr>
                <w:sz w:val="20"/>
                <w:szCs w:val="20"/>
              </w:rPr>
            </w:pPr>
          </w:p>
        </w:tc>
        <w:tc>
          <w:tcPr>
            <w:tcW w:w="1569" w:type="dxa"/>
          </w:tcPr>
          <w:p w14:paraId="734DFCDB" w14:textId="77777777" w:rsidR="00AD1B8B" w:rsidRPr="00F13073" w:rsidRDefault="00AD1B8B" w:rsidP="00773461">
            <w:pPr>
              <w:suppressAutoHyphens/>
              <w:rPr>
                <w:sz w:val="20"/>
                <w:szCs w:val="20"/>
              </w:rPr>
            </w:pPr>
          </w:p>
        </w:tc>
      </w:tr>
      <w:tr w:rsidR="00AD1B8B" w:rsidRPr="00F13073" w14:paraId="26ECE3D1" w14:textId="77777777" w:rsidTr="00AD1B8B">
        <w:trPr>
          <w:cantSplit/>
          <w:tblHeader/>
          <w:jc w:val="center"/>
        </w:trPr>
        <w:tc>
          <w:tcPr>
            <w:tcW w:w="1723" w:type="dxa"/>
            <w:vAlign w:val="bottom"/>
          </w:tcPr>
          <w:p w14:paraId="67275311" w14:textId="77777777" w:rsidR="00AD1B8B" w:rsidRPr="00F13073" w:rsidRDefault="00AD1B8B" w:rsidP="00773461">
            <w:pPr>
              <w:suppressAutoHyphens/>
              <w:ind w:right="56"/>
              <w:rPr>
                <w:sz w:val="20"/>
                <w:szCs w:val="20"/>
              </w:rPr>
            </w:pPr>
            <w:r w:rsidRPr="00F13073">
              <w:rPr>
                <w:rStyle w:val="Other"/>
                <w:rFonts w:eastAsia="DengXian"/>
                <w:sz w:val="20"/>
                <w:szCs w:val="20"/>
              </w:rPr>
              <w:t>Zaburzenia układu oddechowego, klatki piersiowej i śródpiersia</w:t>
            </w:r>
          </w:p>
        </w:tc>
        <w:tc>
          <w:tcPr>
            <w:tcW w:w="1966" w:type="dxa"/>
          </w:tcPr>
          <w:p w14:paraId="6AAAA969" w14:textId="77777777" w:rsidR="00AD1B8B" w:rsidRPr="00F13073" w:rsidRDefault="00AD1B8B" w:rsidP="00773461">
            <w:pPr>
              <w:suppressAutoHyphens/>
              <w:rPr>
                <w:sz w:val="20"/>
                <w:szCs w:val="20"/>
              </w:rPr>
            </w:pPr>
          </w:p>
        </w:tc>
        <w:tc>
          <w:tcPr>
            <w:tcW w:w="1817" w:type="dxa"/>
          </w:tcPr>
          <w:p w14:paraId="3032131D" w14:textId="77777777" w:rsidR="00AD1B8B" w:rsidRPr="00F13073" w:rsidRDefault="00AD1B8B" w:rsidP="00773461">
            <w:pPr>
              <w:suppressAutoHyphens/>
              <w:rPr>
                <w:sz w:val="20"/>
                <w:szCs w:val="20"/>
              </w:rPr>
            </w:pPr>
            <w:r w:rsidRPr="00F13073">
              <w:rPr>
                <w:rStyle w:val="Other"/>
                <w:rFonts w:eastAsia="DengXian"/>
                <w:sz w:val="20"/>
                <w:szCs w:val="20"/>
              </w:rPr>
              <w:t>Kaszel, duszność</w:t>
            </w:r>
          </w:p>
        </w:tc>
        <w:tc>
          <w:tcPr>
            <w:tcW w:w="1802" w:type="dxa"/>
          </w:tcPr>
          <w:p w14:paraId="0C13FD94" w14:textId="77777777" w:rsidR="00AD1B8B" w:rsidRPr="00F13073" w:rsidRDefault="00AD1B8B" w:rsidP="00773461">
            <w:pPr>
              <w:suppressAutoHyphens/>
              <w:rPr>
                <w:sz w:val="20"/>
                <w:szCs w:val="20"/>
              </w:rPr>
            </w:pPr>
          </w:p>
        </w:tc>
        <w:tc>
          <w:tcPr>
            <w:tcW w:w="1569" w:type="dxa"/>
          </w:tcPr>
          <w:p w14:paraId="75F3D986" w14:textId="77777777" w:rsidR="00AD1B8B" w:rsidRPr="00F13073" w:rsidRDefault="00AD1B8B" w:rsidP="00773461">
            <w:pPr>
              <w:suppressAutoHyphens/>
              <w:rPr>
                <w:sz w:val="20"/>
                <w:szCs w:val="20"/>
              </w:rPr>
            </w:pPr>
          </w:p>
        </w:tc>
      </w:tr>
      <w:tr w:rsidR="00AD1B8B" w:rsidRPr="00F13073" w14:paraId="30A3389E" w14:textId="77777777" w:rsidTr="00AD1B8B">
        <w:trPr>
          <w:cantSplit/>
          <w:tblHeader/>
          <w:jc w:val="center"/>
        </w:trPr>
        <w:tc>
          <w:tcPr>
            <w:tcW w:w="1723" w:type="dxa"/>
          </w:tcPr>
          <w:p w14:paraId="68EC7F65" w14:textId="77777777" w:rsidR="00AD1B8B" w:rsidRPr="00F13073" w:rsidRDefault="00AD1B8B" w:rsidP="00773461">
            <w:pPr>
              <w:suppressAutoHyphens/>
              <w:rPr>
                <w:sz w:val="20"/>
                <w:szCs w:val="20"/>
              </w:rPr>
            </w:pPr>
            <w:r w:rsidRPr="00F13073">
              <w:rPr>
                <w:rStyle w:val="Other"/>
                <w:rFonts w:eastAsia="DengXian"/>
                <w:sz w:val="20"/>
                <w:szCs w:val="20"/>
              </w:rPr>
              <w:t>Zaburzenia żołądka i jelit</w:t>
            </w:r>
          </w:p>
        </w:tc>
        <w:tc>
          <w:tcPr>
            <w:tcW w:w="1966" w:type="dxa"/>
          </w:tcPr>
          <w:p w14:paraId="53E047EA" w14:textId="77777777" w:rsidR="00AD1B8B" w:rsidRPr="00F13073" w:rsidRDefault="00AD1B8B" w:rsidP="00773461">
            <w:pPr>
              <w:suppressAutoHyphens/>
              <w:rPr>
                <w:sz w:val="20"/>
                <w:szCs w:val="20"/>
              </w:rPr>
            </w:pPr>
          </w:p>
        </w:tc>
        <w:tc>
          <w:tcPr>
            <w:tcW w:w="1817" w:type="dxa"/>
            <w:vAlign w:val="bottom"/>
          </w:tcPr>
          <w:p w14:paraId="5E33D05F" w14:textId="77777777" w:rsidR="00AD1B8B" w:rsidRPr="00F13073" w:rsidRDefault="00AD1B8B" w:rsidP="00773461">
            <w:pPr>
              <w:suppressAutoHyphens/>
              <w:rPr>
                <w:sz w:val="20"/>
                <w:szCs w:val="20"/>
              </w:rPr>
            </w:pPr>
            <w:r w:rsidRPr="00F13073">
              <w:rPr>
                <w:rStyle w:val="Other"/>
                <w:rFonts w:eastAsia="DengXian"/>
                <w:sz w:val="20"/>
                <w:szCs w:val="20"/>
              </w:rPr>
              <w:t>Ból brzucha, owrzodzenie jamy ustnej, zapalenie błony śluzowej żołądka</w:t>
            </w:r>
          </w:p>
        </w:tc>
        <w:tc>
          <w:tcPr>
            <w:tcW w:w="1802" w:type="dxa"/>
          </w:tcPr>
          <w:p w14:paraId="04CDA9BA" w14:textId="77777777" w:rsidR="00AD1B8B" w:rsidRPr="00F13073" w:rsidRDefault="00AD1B8B" w:rsidP="00773461">
            <w:pPr>
              <w:suppressAutoHyphens/>
              <w:rPr>
                <w:sz w:val="20"/>
                <w:szCs w:val="20"/>
              </w:rPr>
            </w:pPr>
            <w:r w:rsidRPr="00F13073">
              <w:rPr>
                <w:rStyle w:val="Other"/>
                <w:rFonts w:eastAsia="DengXian"/>
                <w:sz w:val="20"/>
                <w:szCs w:val="20"/>
              </w:rPr>
              <w:t>Zapalenie błony śluzowej jamy ustnej, wrzód żołądka</w:t>
            </w:r>
          </w:p>
        </w:tc>
        <w:tc>
          <w:tcPr>
            <w:tcW w:w="1569" w:type="dxa"/>
          </w:tcPr>
          <w:p w14:paraId="60F4F68C" w14:textId="77777777" w:rsidR="00AD1B8B" w:rsidRPr="00F13073" w:rsidRDefault="00AD1B8B" w:rsidP="00773461">
            <w:pPr>
              <w:suppressAutoHyphens/>
              <w:rPr>
                <w:sz w:val="20"/>
                <w:szCs w:val="20"/>
              </w:rPr>
            </w:pPr>
          </w:p>
        </w:tc>
      </w:tr>
      <w:tr w:rsidR="00AD1B8B" w:rsidRPr="00F13073" w14:paraId="6372E112" w14:textId="77777777" w:rsidTr="00AD1B8B">
        <w:trPr>
          <w:cantSplit/>
          <w:tblHeader/>
          <w:jc w:val="center"/>
        </w:trPr>
        <w:tc>
          <w:tcPr>
            <w:tcW w:w="1723" w:type="dxa"/>
          </w:tcPr>
          <w:p w14:paraId="00BFE47D" w14:textId="77777777" w:rsidR="00AD1B8B" w:rsidRPr="00F13073" w:rsidRDefault="00AD1B8B" w:rsidP="00773461">
            <w:pPr>
              <w:suppressAutoHyphens/>
              <w:rPr>
                <w:sz w:val="20"/>
                <w:szCs w:val="20"/>
              </w:rPr>
            </w:pPr>
            <w:r w:rsidRPr="00F13073">
              <w:rPr>
                <w:rStyle w:val="Other"/>
                <w:rFonts w:eastAsia="DengXian"/>
                <w:sz w:val="20"/>
                <w:szCs w:val="20"/>
              </w:rPr>
              <w:t>Zaburzenia wątroby i dróg żółciowych</w:t>
            </w:r>
          </w:p>
        </w:tc>
        <w:tc>
          <w:tcPr>
            <w:tcW w:w="1966" w:type="dxa"/>
          </w:tcPr>
          <w:p w14:paraId="5CAD2FC7" w14:textId="77777777" w:rsidR="00AD1B8B" w:rsidRPr="00F13073" w:rsidRDefault="00AD1B8B" w:rsidP="00773461">
            <w:pPr>
              <w:suppressAutoHyphens/>
              <w:rPr>
                <w:sz w:val="20"/>
                <w:szCs w:val="20"/>
              </w:rPr>
            </w:pPr>
          </w:p>
        </w:tc>
        <w:tc>
          <w:tcPr>
            <w:tcW w:w="1817" w:type="dxa"/>
          </w:tcPr>
          <w:p w14:paraId="7B0ED11D" w14:textId="77777777" w:rsidR="00AD1B8B" w:rsidRPr="00F13073" w:rsidRDefault="00AD1B8B" w:rsidP="00773461">
            <w:pPr>
              <w:suppressAutoHyphens/>
              <w:rPr>
                <w:sz w:val="20"/>
                <w:szCs w:val="20"/>
              </w:rPr>
            </w:pPr>
          </w:p>
        </w:tc>
        <w:tc>
          <w:tcPr>
            <w:tcW w:w="1802" w:type="dxa"/>
          </w:tcPr>
          <w:p w14:paraId="02793974" w14:textId="77777777" w:rsidR="00AD1B8B" w:rsidRPr="00F13073" w:rsidRDefault="00AD1B8B" w:rsidP="00773461">
            <w:pPr>
              <w:suppressAutoHyphens/>
              <w:rPr>
                <w:sz w:val="20"/>
                <w:szCs w:val="20"/>
              </w:rPr>
            </w:pPr>
          </w:p>
        </w:tc>
        <w:tc>
          <w:tcPr>
            <w:tcW w:w="1569" w:type="dxa"/>
            <w:vAlign w:val="bottom"/>
          </w:tcPr>
          <w:p w14:paraId="7F9DCA9D" w14:textId="77777777" w:rsidR="00AD1B8B" w:rsidRPr="00F13073" w:rsidRDefault="00AD1B8B" w:rsidP="00773461">
            <w:pPr>
              <w:suppressAutoHyphens/>
              <w:rPr>
                <w:sz w:val="20"/>
                <w:szCs w:val="20"/>
              </w:rPr>
            </w:pPr>
            <w:r w:rsidRPr="00F13073">
              <w:rPr>
                <w:rStyle w:val="Other"/>
                <w:rFonts w:eastAsia="DengXian"/>
                <w:sz w:val="20"/>
                <w:szCs w:val="20"/>
              </w:rPr>
              <w:t>Polekowe uszkodzenie wątroby, zapalenie wątroby, żółtaczka, Bardzo rzadko: niewydolność wątroby</w:t>
            </w:r>
          </w:p>
        </w:tc>
      </w:tr>
      <w:tr w:rsidR="00AD1B8B" w:rsidRPr="00F13073" w14:paraId="3B76CD4B" w14:textId="77777777" w:rsidTr="00AD1B8B">
        <w:trPr>
          <w:cantSplit/>
          <w:tblHeader/>
          <w:jc w:val="center"/>
        </w:trPr>
        <w:tc>
          <w:tcPr>
            <w:tcW w:w="1723" w:type="dxa"/>
          </w:tcPr>
          <w:p w14:paraId="49316002" w14:textId="77777777" w:rsidR="00AD1B8B" w:rsidRPr="00F13073" w:rsidRDefault="00AD1B8B" w:rsidP="00773461">
            <w:pPr>
              <w:suppressAutoHyphens/>
              <w:rPr>
                <w:sz w:val="20"/>
                <w:szCs w:val="20"/>
              </w:rPr>
            </w:pPr>
            <w:r w:rsidRPr="00F13073">
              <w:rPr>
                <w:rStyle w:val="Other"/>
                <w:rFonts w:eastAsia="DengXian"/>
                <w:sz w:val="20"/>
                <w:szCs w:val="20"/>
              </w:rPr>
              <w:t>Zaburzenia skóry i tkanki podskórnej</w:t>
            </w:r>
          </w:p>
        </w:tc>
        <w:tc>
          <w:tcPr>
            <w:tcW w:w="1966" w:type="dxa"/>
          </w:tcPr>
          <w:p w14:paraId="063CF8DC" w14:textId="77777777" w:rsidR="00AD1B8B" w:rsidRPr="00F13073" w:rsidRDefault="00AD1B8B" w:rsidP="00773461">
            <w:pPr>
              <w:suppressAutoHyphens/>
              <w:rPr>
                <w:sz w:val="20"/>
                <w:szCs w:val="20"/>
              </w:rPr>
            </w:pPr>
          </w:p>
        </w:tc>
        <w:tc>
          <w:tcPr>
            <w:tcW w:w="1817" w:type="dxa"/>
          </w:tcPr>
          <w:p w14:paraId="6C23B203" w14:textId="77777777" w:rsidR="00AD1B8B" w:rsidRPr="00F13073" w:rsidRDefault="00AD1B8B" w:rsidP="00773461">
            <w:pPr>
              <w:suppressAutoHyphens/>
              <w:rPr>
                <w:sz w:val="20"/>
                <w:szCs w:val="20"/>
              </w:rPr>
            </w:pPr>
            <w:r w:rsidRPr="00F13073">
              <w:rPr>
                <w:rStyle w:val="Other"/>
                <w:rFonts w:eastAsia="DengXian"/>
                <w:sz w:val="20"/>
                <w:szCs w:val="20"/>
              </w:rPr>
              <w:t>Wysypka, świąd, pokrzywka</w:t>
            </w:r>
          </w:p>
        </w:tc>
        <w:tc>
          <w:tcPr>
            <w:tcW w:w="1802" w:type="dxa"/>
          </w:tcPr>
          <w:p w14:paraId="30710FBB" w14:textId="77777777" w:rsidR="00AD1B8B" w:rsidRPr="00F13073" w:rsidRDefault="00AD1B8B" w:rsidP="00773461">
            <w:pPr>
              <w:suppressAutoHyphens/>
              <w:rPr>
                <w:sz w:val="20"/>
                <w:szCs w:val="20"/>
              </w:rPr>
            </w:pPr>
          </w:p>
        </w:tc>
        <w:tc>
          <w:tcPr>
            <w:tcW w:w="1569" w:type="dxa"/>
          </w:tcPr>
          <w:p w14:paraId="7C754F79" w14:textId="77777777" w:rsidR="00AD1B8B" w:rsidRPr="00F13073" w:rsidRDefault="00AD1B8B" w:rsidP="00773461">
            <w:pPr>
              <w:suppressAutoHyphens/>
              <w:rPr>
                <w:sz w:val="20"/>
                <w:szCs w:val="20"/>
              </w:rPr>
            </w:pPr>
            <w:r w:rsidRPr="00F13073">
              <w:rPr>
                <w:rStyle w:val="Other"/>
                <w:rFonts w:eastAsia="DengXian"/>
                <w:sz w:val="20"/>
                <w:szCs w:val="20"/>
              </w:rPr>
              <w:t>Zespół Stevensa- Johnsona</w:t>
            </w:r>
            <w:r w:rsidRPr="00F13073">
              <w:rPr>
                <w:rStyle w:val="Other"/>
                <w:rFonts w:eastAsia="DengXian"/>
                <w:sz w:val="20"/>
                <w:szCs w:val="20"/>
                <w:vertAlign w:val="superscript"/>
              </w:rPr>
              <w:t>3</w:t>
            </w:r>
          </w:p>
        </w:tc>
      </w:tr>
      <w:tr w:rsidR="00AD1B8B" w:rsidRPr="00F13073" w14:paraId="0735DED9" w14:textId="77777777" w:rsidTr="00AD1B8B">
        <w:trPr>
          <w:cantSplit/>
          <w:tblHeader/>
          <w:jc w:val="center"/>
        </w:trPr>
        <w:tc>
          <w:tcPr>
            <w:tcW w:w="1723" w:type="dxa"/>
            <w:vAlign w:val="bottom"/>
          </w:tcPr>
          <w:p w14:paraId="57AE854B" w14:textId="77777777" w:rsidR="00AD1B8B" w:rsidRPr="00F13073" w:rsidRDefault="00AD1B8B" w:rsidP="00773461">
            <w:pPr>
              <w:suppressAutoHyphens/>
              <w:rPr>
                <w:sz w:val="20"/>
                <w:szCs w:val="20"/>
              </w:rPr>
            </w:pPr>
            <w:r w:rsidRPr="00F13073">
              <w:rPr>
                <w:rStyle w:val="Other"/>
                <w:rFonts w:eastAsia="DengXian"/>
                <w:sz w:val="20"/>
                <w:szCs w:val="20"/>
              </w:rPr>
              <w:t>Zaburzenia nerek i dróg moczowych</w:t>
            </w:r>
          </w:p>
        </w:tc>
        <w:tc>
          <w:tcPr>
            <w:tcW w:w="1966" w:type="dxa"/>
          </w:tcPr>
          <w:p w14:paraId="5D3C8049" w14:textId="77777777" w:rsidR="00AD1B8B" w:rsidRPr="00F13073" w:rsidRDefault="00AD1B8B" w:rsidP="00773461">
            <w:pPr>
              <w:suppressAutoHyphens/>
              <w:rPr>
                <w:sz w:val="20"/>
                <w:szCs w:val="20"/>
              </w:rPr>
            </w:pPr>
          </w:p>
        </w:tc>
        <w:tc>
          <w:tcPr>
            <w:tcW w:w="1817" w:type="dxa"/>
          </w:tcPr>
          <w:p w14:paraId="75125BE4" w14:textId="77777777" w:rsidR="00AD1B8B" w:rsidRPr="00F13073" w:rsidRDefault="00AD1B8B" w:rsidP="00773461">
            <w:pPr>
              <w:suppressAutoHyphens/>
              <w:rPr>
                <w:sz w:val="20"/>
                <w:szCs w:val="20"/>
              </w:rPr>
            </w:pPr>
          </w:p>
        </w:tc>
        <w:tc>
          <w:tcPr>
            <w:tcW w:w="1802" w:type="dxa"/>
          </w:tcPr>
          <w:p w14:paraId="5C5C1ED4" w14:textId="77777777" w:rsidR="00AD1B8B" w:rsidRPr="00F13073" w:rsidRDefault="00AD1B8B" w:rsidP="00773461">
            <w:pPr>
              <w:suppressAutoHyphens/>
              <w:rPr>
                <w:sz w:val="20"/>
                <w:szCs w:val="20"/>
              </w:rPr>
            </w:pPr>
            <w:r w:rsidRPr="00F13073">
              <w:rPr>
                <w:rStyle w:val="Other"/>
                <w:rFonts w:eastAsia="DengXian"/>
                <w:sz w:val="20"/>
                <w:szCs w:val="20"/>
              </w:rPr>
              <w:t>Kamica nerkowa</w:t>
            </w:r>
          </w:p>
        </w:tc>
        <w:tc>
          <w:tcPr>
            <w:tcW w:w="1569" w:type="dxa"/>
          </w:tcPr>
          <w:p w14:paraId="5517A586" w14:textId="77777777" w:rsidR="00AD1B8B" w:rsidRPr="00F13073" w:rsidRDefault="00AD1B8B" w:rsidP="00773461">
            <w:pPr>
              <w:suppressAutoHyphens/>
              <w:rPr>
                <w:sz w:val="20"/>
                <w:szCs w:val="20"/>
              </w:rPr>
            </w:pPr>
          </w:p>
        </w:tc>
      </w:tr>
      <w:tr w:rsidR="00AD1B8B" w:rsidRPr="00F13073" w14:paraId="6E102AD7" w14:textId="77777777" w:rsidTr="00AD1B8B">
        <w:trPr>
          <w:cantSplit/>
          <w:tblHeader/>
          <w:jc w:val="center"/>
        </w:trPr>
        <w:tc>
          <w:tcPr>
            <w:tcW w:w="1723" w:type="dxa"/>
            <w:vAlign w:val="bottom"/>
          </w:tcPr>
          <w:p w14:paraId="38B2E427" w14:textId="77777777" w:rsidR="00AD1B8B" w:rsidRPr="00F13073" w:rsidRDefault="00AD1B8B" w:rsidP="00773461">
            <w:pPr>
              <w:suppressAutoHyphens/>
              <w:rPr>
                <w:sz w:val="20"/>
                <w:szCs w:val="20"/>
              </w:rPr>
            </w:pPr>
            <w:r w:rsidRPr="00F13073">
              <w:rPr>
                <w:rStyle w:val="Other"/>
                <w:rFonts w:eastAsia="DengXian"/>
                <w:sz w:val="20"/>
                <w:szCs w:val="20"/>
              </w:rPr>
              <w:t>Zaburzenia ogólne i stany w miejscu podania</w:t>
            </w:r>
          </w:p>
        </w:tc>
        <w:tc>
          <w:tcPr>
            <w:tcW w:w="1966" w:type="dxa"/>
          </w:tcPr>
          <w:p w14:paraId="41E78449" w14:textId="77777777" w:rsidR="00AD1B8B" w:rsidRPr="00F13073" w:rsidRDefault="00AD1B8B" w:rsidP="00773461">
            <w:pPr>
              <w:suppressAutoHyphens/>
              <w:rPr>
                <w:sz w:val="20"/>
                <w:szCs w:val="20"/>
              </w:rPr>
            </w:pPr>
          </w:p>
        </w:tc>
        <w:tc>
          <w:tcPr>
            <w:tcW w:w="1817" w:type="dxa"/>
            <w:vAlign w:val="bottom"/>
          </w:tcPr>
          <w:p w14:paraId="69CAAF5F" w14:textId="77777777" w:rsidR="00AD1B8B" w:rsidRPr="00F13073" w:rsidRDefault="00AD1B8B" w:rsidP="00773461">
            <w:pPr>
              <w:suppressAutoHyphens/>
              <w:rPr>
                <w:sz w:val="20"/>
                <w:szCs w:val="20"/>
              </w:rPr>
            </w:pPr>
            <w:r w:rsidRPr="00F13073">
              <w:rPr>
                <w:rStyle w:val="Other"/>
                <w:rFonts w:eastAsia="DengXian"/>
                <w:sz w:val="20"/>
                <w:szCs w:val="20"/>
              </w:rPr>
              <w:t>Obrzęk obwodowy, reakcje nadwrażliwości</w:t>
            </w:r>
          </w:p>
        </w:tc>
        <w:tc>
          <w:tcPr>
            <w:tcW w:w="1802" w:type="dxa"/>
          </w:tcPr>
          <w:p w14:paraId="1FB6BAF6" w14:textId="77777777" w:rsidR="00AD1B8B" w:rsidRPr="00F13073" w:rsidRDefault="00AD1B8B" w:rsidP="00773461">
            <w:pPr>
              <w:suppressAutoHyphens/>
              <w:rPr>
                <w:sz w:val="20"/>
                <w:szCs w:val="20"/>
              </w:rPr>
            </w:pPr>
          </w:p>
        </w:tc>
        <w:tc>
          <w:tcPr>
            <w:tcW w:w="1569" w:type="dxa"/>
          </w:tcPr>
          <w:p w14:paraId="402F34FA" w14:textId="77777777" w:rsidR="00AD1B8B" w:rsidRPr="00F13073" w:rsidRDefault="00AD1B8B" w:rsidP="00773461">
            <w:pPr>
              <w:suppressAutoHyphens/>
              <w:rPr>
                <w:sz w:val="20"/>
                <w:szCs w:val="20"/>
              </w:rPr>
            </w:pPr>
          </w:p>
        </w:tc>
      </w:tr>
      <w:tr w:rsidR="00AD1B8B" w:rsidRPr="00F13073" w14:paraId="2C4D5017" w14:textId="77777777" w:rsidTr="00AD1B8B">
        <w:trPr>
          <w:cantSplit/>
          <w:tblHeader/>
          <w:jc w:val="center"/>
        </w:trPr>
        <w:tc>
          <w:tcPr>
            <w:tcW w:w="1723" w:type="dxa"/>
          </w:tcPr>
          <w:p w14:paraId="7D487A01" w14:textId="77777777" w:rsidR="00AD1B8B" w:rsidRPr="00F13073" w:rsidRDefault="00AD1B8B" w:rsidP="00773461">
            <w:pPr>
              <w:keepNext/>
              <w:suppressAutoHyphens/>
              <w:rPr>
                <w:sz w:val="20"/>
                <w:szCs w:val="20"/>
              </w:rPr>
            </w:pPr>
            <w:r w:rsidRPr="00F13073">
              <w:rPr>
                <w:rStyle w:val="Other"/>
                <w:rFonts w:eastAsia="DengXian"/>
                <w:sz w:val="20"/>
                <w:szCs w:val="20"/>
              </w:rPr>
              <w:lastRenderedPageBreak/>
              <w:t>Badania diagnostyczne</w:t>
            </w:r>
          </w:p>
        </w:tc>
        <w:tc>
          <w:tcPr>
            <w:tcW w:w="1966" w:type="dxa"/>
          </w:tcPr>
          <w:p w14:paraId="607D7AF6" w14:textId="77777777" w:rsidR="00AD1B8B" w:rsidRPr="00F13073" w:rsidRDefault="00AD1B8B" w:rsidP="00773461">
            <w:pPr>
              <w:keepNext/>
              <w:suppressAutoHyphens/>
              <w:rPr>
                <w:sz w:val="20"/>
                <w:szCs w:val="20"/>
              </w:rPr>
            </w:pPr>
          </w:p>
        </w:tc>
        <w:tc>
          <w:tcPr>
            <w:tcW w:w="1817" w:type="dxa"/>
          </w:tcPr>
          <w:p w14:paraId="48E32049" w14:textId="77777777" w:rsidR="00AD1B8B" w:rsidRPr="00F13073" w:rsidRDefault="00AD1B8B" w:rsidP="00773461">
            <w:pPr>
              <w:keepNext/>
              <w:suppressAutoHyphens/>
              <w:rPr>
                <w:sz w:val="20"/>
                <w:szCs w:val="20"/>
              </w:rPr>
            </w:pPr>
            <w:r w:rsidRPr="00F13073">
              <w:rPr>
                <w:rStyle w:val="Other"/>
                <w:rFonts w:eastAsia="DengXian"/>
                <w:sz w:val="20"/>
                <w:szCs w:val="20"/>
              </w:rPr>
              <w:t>Zwiększenie aktywności aminotransferaz wątrobowych, zwiększenie masy ciała, zwiększenie stężenia bilirubiny całkowitej *</w:t>
            </w:r>
          </w:p>
        </w:tc>
        <w:tc>
          <w:tcPr>
            <w:tcW w:w="1802" w:type="dxa"/>
          </w:tcPr>
          <w:p w14:paraId="4C5A6018" w14:textId="77777777" w:rsidR="00AD1B8B" w:rsidRPr="00F13073" w:rsidRDefault="00AD1B8B" w:rsidP="00773461">
            <w:pPr>
              <w:keepNext/>
              <w:suppressAutoHyphens/>
              <w:rPr>
                <w:sz w:val="20"/>
                <w:szCs w:val="20"/>
              </w:rPr>
            </w:pPr>
          </w:p>
        </w:tc>
        <w:tc>
          <w:tcPr>
            <w:tcW w:w="1569" w:type="dxa"/>
          </w:tcPr>
          <w:p w14:paraId="42254ED0" w14:textId="77777777" w:rsidR="00AD1B8B" w:rsidRPr="00F13073" w:rsidRDefault="00AD1B8B" w:rsidP="00773461">
            <w:pPr>
              <w:keepNext/>
              <w:suppressAutoHyphens/>
              <w:rPr>
                <w:sz w:val="20"/>
                <w:szCs w:val="20"/>
              </w:rPr>
            </w:pPr>
          </w:p>
        </w:tc>
      </w:tr>
    </w:tbl>
    <w:p w14:paraId="0E606F9F" w14:textId="77777777" w:rsidR="001E0975" w:rsidRPr="00F13073" w:rsidRDefault="00611033" w:rsidP="008B4C50">
      <w:pPr>
        <w:rPr>
          <w:sz w:val="18"/>
          <w:szCs w:val="18"/>
        </w:rPr>
      </w:pPr>
      <w:r w:rsidRPr="00F13073">
        <w:rPr>
          <w:sz w:val="18"/>
          <w:szCs w:val="18"/>
        </w:rPr>
        <w:t xml:space="preserve">* </w:t>
      </w:r>
      <w:r w:rsidR="00E64384" w:rsidRPr="00F13073">
        <w:rPr>
          <w:sz w:val="18"/>
          <w:szCs w:val="18"/>
        </w:rPr>
        <w:t>Łącznie z przypadkami zbieranymi podczas rutynowego monitorowania parametrów laboratoryjnych (patrz tekst poniżej).</w:t>
      </w:r>
    </w:p>
    <w:p w14:paraId="24A6EEFF" w14:textId="77777777" w:rsidR="001E0975" w:rsidRPr="00F13073" w:rsidRDefault="00611033" w:rsidP="008B4C50">
      <w:pPr>
        <w:ind w:left="284" w:hanging="284"/>
        <w:rPr>
          <w:sz w:val="18"/>
          <w:szCs w:val="18"/>
        </w:rPr>
      </w:pPr>
      <w:r w:rsidRPr="00F13073">
        <w:rPr>
          <w:sz w:val="18"/>
          <w:szCs w:val="18"/>
          <w:vertAlign w:val="superscript"/>
        </w:rPr>
        <w:t>1</w:t>
      </w:r>
      <w:r w:rsidR="006A5803" w:rsidRPr="00F13073">
        <w:rPr>
          <w:sz w:val="18"/>
          <w:szCs w:val="18"/>
        </w:rPr>
        <w:tab/>
      </w:r>
      <w:r w:rsidR="00E64384" w:rsidRPr="00F13073">
        <w:rPr>
          <w:sz w:val="18"/>
          <w:szCs w:val="18"/>
        </w:rPr>
        <w:t>Patrz punkt</w:t>
      </w:r>
      <w:r w:rsidRPr="00F13073">
        <w:rPr>
          <w:sz w:val="18"/>
          <w:szCs w:val="18"/>
        </w:rPr>
        <w:t xml:space="preserve"> 4.3</w:t>
      </w:r>
    </w:p>
    <w:p w14:paraId="332B6403" w14:textId="77777777" w:rsidR="001E0975" w:rsidRPr="00F13073" w:rsidRDefault="00611033" w:rsidP="008B4C50">
      <w:pPr>
        <w:ind w:left="284" w:hanging="284"/>
        <w:rPr>
          <w:sz w:val="18"/>
          <w:szCs w:val="18"/>
        </w:rPr>
      </w:pPr>
      <w:r w:rsidRPr="00F13073">
        <w:rPr>
          <w:sz w:val="18"/>
          <w:szCs w:val="18"/>
          <w:vertAlign w:val="superscript"/>
        </w:rPr>
        <w:t>2</w:t>
      </w:r>
      <w:r w:rsidR="006A5803" w:rsidRPr="00F13073">
        <w:rPr>
          <w:sz w:val="18"/>
          <w:szCs w:val="18"/>
        </w:rPr>
        <w:tab/>
      </w:r>
      <w:r w:rsidR="00E64384" w:rsidRPr="00F13073">
        <w:rPr>
          <w:sz w:val="18"/>
          <w:szCs w:val="18"/>
        </w:rPr>
        <w:t>Patrz punkt</w:t>
      </w:r>
      <w:r w:rsidRPr="00F13073">
        <w:rPr>
          <w:sz w:val="18"/>
          <w:szCs w:val="18"/>
        </w:rPr>
        <w:t xml:space="preserve"> 4.4</w:t>
      </w:r>
    </w:p>
    <w:p w14:paraId="22A8837C" w14:textId="77777777" w:rsidR="001E0975" w:rsidRPr="00F13073" w:rsidRDefault="00611033" w:rsidP="008B4C50">
      <w:pPr>
        <w:ind w:left="284" w:hanging="284"/>
        <w:rPr>
          <w:sz w:val="18"/>
          <w:szCs w:val="18"/>
        </w:rPr>
      </w:pPr>
      <w:r w:rsidRPr="00F13073">
        <w:rPr>
          <w:sz w:val="18"/>
          <w:szCs w:val="18"/>
          <w:vertAlign w:val="superscript"/>
        </w:rPr>
        <w:t>3</w:t>
      </w:r>
      <w:r w:rsidR="006A5803" w:rsidRPr="00F13073">
        <w:rPr>
          <w:sz w:val="18"/>
          <w:szCs w:val="18"/>
        </w:rPr>
        <w:tab/>
      </w:r>
      <w:r w:rsidR="00E64384" w:rsidRPr="00F13073">
        <w:rPr>
          <w:sz w:val="18"/>
          <w:szCs w:val="18"/>
        </w:rPr>
        <w:t>To działanie niepożądane zostało zidentyfikowane podczas monitorowania bezpieczeństwa stosowania leku po jego wprowadzeniu do obrotu, ale nie było obserwowane w kontrolowanych badaniach klinicznych. Kategorię częstotliwości oszacowano jako górną granicę przedziału ufności 95%, obliczonego na podstawie łącznej liczby pacjentów poddanych działaniu TCZ podczas badań klinicznych.</w:t>
      </w:r>
    </w:p>
    <w:p w14:paraId="35C8EEF5" w14:textId="77777777" w:rsidR="001E0975" w:rsidRPr="00F13073" w:rsidRDefault="001E0975" w:rsidP="008B4C50"/>
    <w:p w14:paraId="78840EB5" w14:textId="77777777" w:rsidR="004A1F37" w:rsidRPr="00F13073" w:rsidRDefault="004A1F37" w:rsidP="008B4C50">
      <w:pPr>
        <w:keepNext/>
        <w:rPr>
          <w:i/>
          <w:iCs/>
        </w:rPr>
      </w:pPr>
      <w:r w:rsidRPr="00F13073">
        <w:rPr>
          <w:i/>
          <w:iCs/>
        </w:rPr>
        <w:t>Zakażenia</w:t>
      </w:r>
    </w:p>
    <w:p w14:paraId="7D35308F" w14:textId="53B24F1E" w:rsidR="004A1F37" w:rsidRPr="00F13073" w:rsidRDefault="004A1F37" w:rsidP="008B4C50">
      <w:pPr>
        <w:pStyle w:val="a4"/>
        <w:widowControl/>
        <w:spacing w:after="0"/>
        <w:rPr>
          <w:rStyle w:val="Char"/>
        </w:rPr>
      </w:pPr>
      <w:r w:rsidRPr="00F13073">
        <w:rPr>
          <w:rStyle w:val="Char"/>
        </w:rPr>
        <w:t xml:space="preserve">W 6-miesięcznych kontrolowanych badaniach klinicznych częstość wszystkich zgłoszonych przypadków zakażeń podczas stosowania tocilizumabu w dawce 8 mg/kg mc. w skojarzeniu z lekami z grupy DMARD wynosiła 127 zdarzeń na 100 pacjentolat w porównaniu do 112 zdarzeń na 100 pacjentolat w przypadku podawania placebo w skojarzeniu z lekami z grupy DMARD. W populacji z długookresową ekspozycją na tocilizumab całkowita częstość zakażeń podczas leczenia </w:t>
      </w:r>
      <w:r w:rsidR="00FA4CD9" w:rsidRPr="00F13073">
        <w:rPr>
          <w:rStyle w:val="Char"/>
        </w:rPr>
        <w:t>tocilizumabem</w:t>
      </w:r>
      <w:r w:rsidRPr="00F13073">
        <w:rPr>
          <w:rStyle w:val="Char"/>
        </w:rPr>
        <w:t xml:space="preserve"> wynosiła 108 zdarzeń na 100 pacjentolat ekspozycji.</w:t>
      </w:r>
    </w:p>
    <w:p w14:paraId="7C94D30F" w14:textId="77777777" w:rsidR="004A1F37" w:rsidRPr="00F13073" w:rsidRDefault="004A1F37" w:rsidP="008B4C50">
      <w:pPr>
        <w:pStyle w:val="a4"/>
        <w:widowControl/>
        <w:spacing w:after="0"/>
      </w:pPr>
    </w:p>
    <w:p w14:paraId="7471E30D" w14:textId="77777777" w:rsidR="004A1F37" w:rsidRPr="00F13073" w:rsidRDefault="004A1F37" w:rsidP="008B4C50">
      <w:pPr>
        <w:pStyle w:val="a4"/>
        <w:widowControl/>
        <w:spacing w:after="0"/>
        <w:rPr>
          <w:rStyle w:val="Char"/>
        </w:rPr>
      </w:pPr>
      <w:r w:rsidRPr="00F13073">
        <w:rPr>
          <w:rStyle w:val="Char"/>
        </w:rPr>
        <w:t>W 6-miesięcznych kontrolowanych badaniach klinicznych częstość ciężkich zakażeń podczas stosowania tocilizumabu w dawce 8 mg/kg mc. razem z lekami z grupy DMARD wynosiła 5,3 zdarzeń na 100 pacjentolat ekspozycji w porównaniu do 3,9 zdarzeń na 100 pacjentolat ekspozycji w przypadku podawania placebo w skojarzeniu z lekami z grupy DMARD. W badaniu, w trakcie którego podawano leki w monoterapii, częstość ciężkich zakażeń wynosiła 3,6 zdarzeń na 100 pacjentolat ekspozycji w grupie przyjmującej tocilizumab i 1,5 zdarzeń na 100 pacjentolat ekspozycji w grupie otrzymującej metotreksat.</w:t>
      </w:r>
    </w:p>
    <w:p w14:paraId="50206C9F" w14:textId="77777777" w:rsidR="004A1F37" w:rsidRPr="00F13073" w:rsidRDefault="004A1F37" w:rsidP="008B4C50">
      <w:pPr>
        <w:pStyle w:val="a4"/>
        <w:widowControl/>
        <w:spacing w:after="0"/>
      </w:pPr>
    </w:p>
    <w:p w14:paraId="06F3F631" w14:textId="77777777" w:rsidR="004A1F37" w:rsidRPr="00F13073" w:rsidRDefault="004A1F37" w:rsidP="008B4C50">
      <w:pPr>
        <w:pStyle w:val="a4"/>
        <w:widowControl/>
        <w:spacing w:after="0"/>
        <w:rPr>
          <w:rStyle w:val="Char"/>
        </w:rPr>
      </w:pPr>
      <w:r w:rsidRPr="00F13073">
        <w:rPr>
          <w:rStyle w:val="Char"/>
        </w:rPr>
        <w:t>W populacji z długookresową ekspozycją na tocilizumab całkowita częstość ciężkich zakażeń (bakteryjnych, wirusowych i grzybiczych) wynosiła 4,7 zdarzeń na 100 pacjentolat ekspozycji. Zgłoszone ciężkie zakażenia, niektóre zakończone zgonem, obejmowały czynną gruźlicę płucną lub pozapłucną, inwazyjne zakażenia płuc, w tym kandydozę, grzybicę kropidlakową, kokcydioidomikozę i zakażenie pneumocystis jiroveci, zapalenie płuc, zapalenie podskórnej tkanki łącznej, półpasiec, zapalenie błony śluzowej żołądka i jelit, zapalenie uchyłków jelita, sepsę i bakteryjne zapalenie stawów. Zgłaszano również przypadki zakażeń oportunistycznych.</w:t>
      </w:r>
    </w:p>
    <w:p w14:paraId="583874E4" w14:textId="77777777" w:rsidR="004A1F37" w:rsidRPr="00F13073" w:rsidRDefault="004A1F37" w:rsidP="008B4C50">
      <w:pPr>
        <w:pStyle w:val="a4"/>
        <w:widowControl/>
        <w:spacing w:after="0"/>
      </w:pPr>
    </w:p>
    <w:p w14:paraId="08E9266C" w14:textId="77777777" w:rsidR="004A1F37" w:rsidRPr="00F13073" w:rsidRDefault="004A1F37" w:rsidP="008B4C50">
      <w:pPr>
        <w:pStyle w:val="a4"/>
        <w:widowControl/>
        <w:spacing w:after="0"/>
      </w:pPr>
      <w:r w:rsidRPr="00F13073">
        <w:rPr>
          <w:rStyle w:val="Char"/>
          <w:i/>
          <w:iCs/>
        </w:rPr>
        <w:t>Choroba śródmiąższowa płuc</w:t>
      </w:r>
    </w:p>
    <w:p w14:paraId="7373BDAB" w14:textId="77777777" w:rsidR="004A1F37" w:rsidRPr="00F13073" w:rsidRDefault="004A1F37" w:rsidP="008B4C50">
      <w:pPr>
        <w:pStyle w:val="a4"/>
        <w:widowControl/>
        <w:spacing w:after="0"/>
        <w:rPr>
          <w:rStyle w:val="Char"/>
        </w:rPr>
      </w:pPr>
      <w:r w:rsidRPr="00F13073">
        <w:rPr>
          <w:rStyle w:val="Char"/>
        </w:rPr>
        <w:t>Zaburzona czynność płuc może zwiększać ryzyko rozwoju zakażeń. Po wprowadzeniu leku do obrotu zgłaszano przypadki śródmiąższowej choroby płuc (w tym zapalenia płuc oraz zwłóknienia płuc), z których niektóre były zakończone zgonem.</w:t>
      </w:r>
    </w:p>
    <w:p w14:paraId="3A40516B" w14:textId="77777777" w:rsidR="004A1F37" w:rsidRPr="00F13073" w:rsidRDefault="004A1F37" w:rsidP="008B4C50">
      <w:pPr>
        <w:pStyle w:val="a4"/>
        <w:widowControl/>
        <w:spacing w:after="0"/>
      </w:pPr>
    </w:p>
    <w:p w14:paraId="508038EE" w14:textId="77777777" w:rsidR="004A1F37" w:rsidRPr="00F13073" w:rsidRDefault="004A1F37" w:rsidP="008B4C50">
      <w:pPr>
        <w:pStyle w:val="a4"/>
        <w:widowControl/>
        <w:spacing w:after="0"/>
      </w:pPr>
      <w:r w:rsidRPr="00F13073">
        <w:rPr>
          <w:rStyle w:val="Char"/>
          <w:i/>
          <w:iCs/>
        </w:rPr>
        <w:t>Perforacja przewodu pokarmowego</w:t>
      </w:r>
    </w:p>
    <w:p w14:paraId="6214F21A" w14:textId="77777777" w:rsidR="004A1F37" w:rsidRPr="00F13073" w:rsidRDefault="004A1F37" w:rsidP="008B4C50">
      <w:pPr>
        <w:pStyle w:val="a4"/>
        <w:widowControl/>
        <w:spacing w:after="0"/>
        <w:rPr>
          <w:rStyle w:val="Char"/>
        </w:rPr>
      </w:pPr>
      <w:r w:rsidRPr="00F13073">
        <w:rPr>
          <w:rStyle w:val="Char"/>
        </w:rPr>
        <w:t>W trakcie 6-miesięcznych kontrolowanych badań klinicznych, całkowita częstość perforacji przewodu pokarmowego u leczonych tocilizumabem wynosiła 0,26 na 100 pacjentolat. W populacji z długookresową ekspozycją na tocilizumab całkowita częstość perforacji przewodu pokarmowego wynosiła 0,28 na 100 pacjentolat. Przypadki perforacji przewodu pokarmowego u leczonych tocilizumabem pierwotnie zgłaszano jako powikłania zapalenia uchyłków jelita, włączając uogólnione ropne zapalenie otrzewnej, perforację w obrębie dolnego odcinka przewodu pokarmowego, przetokę i ropień.</w:t>
      </w:r>
    </w:p>
    <w:p w14:paraId="5898C202" w14:textId="77777777" w:rsidR="004A1F37" w:rsidRPr="00F13073" w:rsidRDefault="004A1F37" w:rsidP="008B4C50">
      <w:pPr>
        <w:pStyle w:val="a4"/>
        <w:widowControl/>
        <w:spacing w:after="0"/>
      </w:pPr>
    </w:p>
    <w:p w14:paraId="7757BC83" w14:textId="77777777" w:rsidR="004A1F37" w:rsidRPr="00F13073" w:rsidRDefault="004A1F37" w:rsidP="003F1E4F">
      <w:pPr>
        <w:pStyle w:val="a4"/>
        <w:keepNext/>
        <w:widowControl/>
        <w:spacing w:after="0"/>
      </w:pPr>
      <w:r w:rsidRPr="00F13073">
        <w:rPr>
          <w:rStyle w:val="Char"/>
          <w:i/>
          <w:iCs/>
        </w:rPr>
        <w:t>Reakcje związane z infuzją</w:t>
      </w:r>
    </w:p>
    <w:p w14:paraId="7BE7DC1B" w14:textId="4F7D2778" w:rsidR="004A1F37" w:rsidRPr="00F13073" w:rsidRDefault="004A1F37" w:rsidP="008B4C50">
      <w:pPr>
        <w:pStyle w:val="a4"/>
        <w:widowControl/>
        <w:spacing w:after="0"/>
        <w:rPr>
          <w:rStyle w:val="Char"/>
        </w:rPr>
      </w:pPr>
      <w:r w:rsidRPr="00F13073">
        <w:rPr>
          <w:rStyle w:val="Char"/>
        </w:rPr>
        <w:t xml:space="preserve">W 6-miesięcznych kontrolowanych badaniach klinicznych zdarzenia niepożądane związane z infuzją (wybrane zdarzenia występujące w ciągu 24 godzin od wlewu preparatu) zgłoszono u 6,9% pacjentów przyjmujących tocilizumab w dawce 8 mg/kg mc. w skojarzeniu z lekiem z grupy DMARD i u 5,1% pacjentów otrzymujących placebo w skojarzeniu z lekiem z grupy DMARD. Zdarzenia zgłaszane </w:t>
      </w:r>
      <w:r w:rsidRPr="00F13073">
        <w:rPr>
          <w:rStyle w:val="Char"/>
        </w:rPr>
        <w:lastRenderedPageBreak/>
        <w:t>podczas podawania wlewu dożylnego dotyczyły przede wszystkim epizodów nadciśnienia tętniczego; zdarzenia zgłaszane w ciągu 24 godzin od zakończenia podawania wlewu obejmowały ból głowy i reakcje skórne (wysypka, pokrzywka). Zdarzenia te nie wymagały zmiany leczenia.</w:t>
      </w:r>
    </w:p>
    <w:p w14:paraId="08F3F504" w14:textId="77777777" w:rsidR="004A1F37" w:rsidRPr="00F13073" w:rsidRDefault="004A1F37" w:rsidP="008B4C50">
      <w:pPr>
        <w:pStyle w:val="a4"/>
        <w:widowControl/>
        <w:spacing w:after="0"/>
      </w:pPr>
    </w:p>
    <w:p w14:paraId="120B6203" w14:textId="7375D78B" w:rsidR="004A1F37" w:rsidRPr="00F13073" w:rsidRDefault="004A1F37" w:rsidP="008B4C50">
      <w:pPr>
        <w:pStyle w:val="a4"/>
        <w:widowControl/>
        <w:spacing w:after="0"/>
        <w:rPr>
          <w:rStyle w:val="Char"/>
        </w:rPr>
      </w:pPr>
      <w:r w:rsidRPr="00F13073">
        <w:rPr>
          <w:rStyle w:val="Char"/>
        </w:rPr>
        <w:t>Częstość reakcji anafilaktycznych (które wystąpiły ogółem u 8 na 4009 pacjentów, 0,2%) była kilkakrotnie wyższa w przypadku dawki 4 mg/kg mc. w porównaniu do dawki 8 mg/kg mc. Klinicznie istotne reakcje nadwrażliwości związane z podawaniem tocilizumabu i wymagające przerwania podawania leku zgłoszono ogółem u 56 na 4009 pacjentów (1,4%) leczonych tocilizumabem w ramach badań klinicznych kontrolowanych i otwartych. Reakcje te zazwyczaj obserwowano podczas drugiego do piątego wlewu dożylnego tocilizumabu (patrz punkt 4.4). W okresie po dopuszczeniu do obrotu, zgłoszono wystąpienie reakcji anafilaktycznej zakończonej zgonem podczas leczenia tocilizumabem (patrz punkt 4.4).</w:t>
      </w:r>
    </w:p>
    <w:p w14:paraId="5D0B26E4" w14:textId="77777777" w:rsidR="004A1F37" w:rsidRPr="00F13073" w:rsidRDefault="004A1F37" w:rsidP="008B4C50">
      <w:pPr>
        <w:pStyle w:val="a4"/>
        <w:widowControl/>
        <w:spacing w:after="0"/>
      </w:pPr>
    </w:p>
    <w:p w14:paraId="0FDFED45" w14:textId="77777777" w:rsidR="004A1F37" w:rsidRPr="00F13073" w:rsidRDefault="004A1F37" w:rsidP="00E91686">
      <w:pPr>
        <w:pStyle w:val="a4"/>
        <w:keepNext/>
        <w:widowControl/>
        <w:spacing w:after="0"/>
      </w:pPr>
      <w:r w:rsidRPr="00F13073">
        <w:rPr>
          <w:rStyle w:val="Char"/>
          <w:i/>
          <w:iCs/>
        </w:rPr>
        <w:t>Nieprawidłowości hematologiczne:</w:t>
      </w:r>
    </w:p>
    <w:p w14:paraId="1C9E2DE2" w14:textId="77777777" w:rsidR="004A1F37" w:rsidRPr="00F13073" w:rsidRDefault="004A1F37" w:rsidP="00E91686">
      <w:pPr>
        <w:pStyle w:val="a4"/>
        <w:keepNext/>
        <w:widowControl/>
        <w:spacing w:after="0"/>
      </w:pPr>
      <w:r w:rsidRPr="00F13073">
        <w:rPr>
          <w:rStyle w:val="Char"/>
          <w:i/>
          <w:iCs/>
        </w:rPr>
        <w:t>Granulocyty obojętnochłonne</w:t>
      </w:r>
    </w:p>
    <w:p w14:paraId="7B530B51" w14:textId="77777777" w:rsidR="004A1F37" w:rsidRPr="00F13073" w:rsidRDefault="004A1F37" w:rsidP="008B4C50">
      <w:pPr>
        <w:pStyle w:val="a4"/>
        <w:widowControl/>
        <w:spacing w:after="0"/>
        <w:rPr>
          <w:rStyle w:val="Char"/>
        </w:rPr>
      </w:pPr>
      <w:r w:rsidRPr="00F13073">
        <w:rPr>
          <w:rStyle w:val="Char"/>
        </w:rPr>
        <w:t>W 6-miesięcznych kontrolowanych badaniach klinicznych zmniejszenie liczby granulocytów obojętnochłonnych poniżej 1 x 10</w:t>
      </w:r>
      <w:r w:rsidRPr="00F13073">
        <w:rPr>
          <w:rStyle w:val="Char"/>
          <w:vertAlign w:val="superscript"/>
        </w:rPr>
        <w:t>9</w:t>
      </w:r>
      <w:r w:rsidRPr="00F13073">
        <w:rPr>
          <w:rStyle w:val="Char"/>
        </w:rPr>
        <w:t>/l wystąpiło u 3,4 % pacjentów otrzymujących tocilizumab w dawce 8 mg/kg mc. w skojarzeniu z lekami z grupy DMARD w porównaniu do &lt; 0,1 % chorych przyjmujących placebo razem z lekami z grupy DMARD. U około połowy pacjentów, u których ANC wynosiła &lt; 1 x 10</w:t>
      </w:r>
      <w:r w:rsidRPr="00F13073">
        <w:rPr>
          <w:rStyle w:val="Char"/>
          <w:vertAlign w:val="superscript"/>
        </w:rPr>
        <w:t>9</w:t>
      </w:r>
      <w:r w:rsidRPr="00F13073">
        <w:rPr>
          <w:rStyle w:val="Char"/>
        </w:rPr>
        <w:t>/l, zaburzenie to wystąpiło w ciągu 8 tygodni od rozpoczęcia leczenia. Zmniejszenie liczby granulocytów obojętnochłonnych poniżej 0,5 x 10</w:t>
      </w:r>
      <w:r w:rsidRPr="00F13073">
        <w:rPr>
          <w:rStyle w:val="Char"/>
          <w:vertAlign w:val="superscript"/>
        </w:rPr>
        <w:t>9</w:t>
      </w:r>
      <w:r w:rsidRPr="00F13073">
        <w:rPr>
          <w:rStyle w:val="Char"/>
        </w:rPr>
        <w:t>/l zgłoszono u 0,3 % chorych otrzymujących tocilizumab w dawce 8 mg/kg mc. w skojarzeniu z lekiem z grupy DMARD. Zgłaszano przypadki zakażeń z neutropenią.</w:t>
      </w:r>
    </w:p>
    <w:p w14:paraId="3BE628EC" w14:textId="77777777" w:rsidR="004A1F37" w:rsidRPr="00F13073" w:rsidRDefault="004A1F37" w:rsidP="008B4C50">
      <w:pPr>
        <w:pStyle w:val="a4"/>
        <w:widowControl/>
        <w:spacing w:after="0"/>
      </w:pPr>
    </w:p>
    <w:p w14:paraId="07BCC160" w14:textId="77777777" w:rsidR="004A1F37" w:rsidRPr="00F13073" w:rsidRDefault="004A1F37"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zmniejszenia liczby granulocytów obojętnochłonnych była zgodna z danymi, które zgłoszono w 6-miesięcznych kontrolowanych badaniach klinicznych.</w:t>
      </w:r>
    </w:p>
    <w:p w14:paraId="6F5338F8" w14:textId="77777777" w:rsidR="004A1F37" w:rsidRPr="00F13073" w:rsidRDefault="004A1F37" w:rsidP="008B4C50">
      <w:pPr>
        <w:pStyle w:val="a4"/>
        <w:widowControl/>
        <w:spacing w:after="0"/>
      </w:pPr>
    </w:p>
    <w:p w14:paraId="66BD6BAA" w14:textId="77777777" w:rsidR="004A1F37" w:rsidRPr="00F13073" w:rsidRDefault="004A1F37" w:rsidP="008B4C50">
      <w:pPr>
        <w:pStyle w:val="a4"/>
        <w:widowControl/>
        <w:spacing w:after="0"/>
      </w:pPr>
      <w:r w:rsidRPr="00F13073">
        <w:rPr>
          <w:rStyle w:val="Char"/>
          <w:i/>
          <w:iCs/>
        </w:rPr>
        <w:t>Płytki krwi</w:t>
      </w:r>
    </w:p>
    <w:p w14:paraId="0BD8566B" w14:textId="7ACEE0D1" w:rsidR="004A1F37" w:rsidRPr="00F13073" w:rsidRDefault="004A1F37" w:rsidP="00B73B0C">
      <w:pPr>
        <w:pStyle w:val="a4"/>
        <w:widowControl/>
        <w:spacing w:after="0"/>
        <w:rPr>
          <w:rStyle w:val="Char"/>
        </w:rPr>
      </w:pPr>
      <w:r w:rsidRPr="00F13073">
        <w:rPr>
          <w:rStyle w:val="Char"/>
        </w:rPr>
        <w:t>W 6-miesięcznych kontrolowanych badaniach klinicznych zmniejszenie liczby płytek krwi poniżej 100</w:t>
      </w:r>
      <w:r w:rsidR="00B73B0C" w:rsidRPr="00F13073">
        <w:rPr>
          <w:rStyle w:val="Char"/>
        </w:rPr>
        <w:t> </w:t>
      </w:r>
      <w:r w:rsidRPr="00F13073">
        <w:rPr>
          <w:rStyle w:val="Char"/>
        </w:rPr>
        <w:t>x 10</w:t>
      </w:r>
      <w:r w:rsidRPr="00F13073">
        <w:rPr>
          <w:rStyle w:val="Char"/>
          <w:vertAlign w:val="superscript"/>
        </w:rPr>
        <w:t>3</w:t>
      </w:r>
      <w:r w:rsidRPr="00F13073">
        <w:rPr>
          <w:rStyle w:val="Char"/>
        </w:rPr>
        <w:t>/μL wystąpiło u 1,7 % pacjentów otrzymujących tocilizumab w dawce 8 mg/kg mc. w skojarzeniu z lekiem z grupy DMARD w porównaniu do &lt;1 % chorych przyjmujących placebo razem z lekiem z grupy DMARD. Zmniejszeniom liczby płytek krwi nie towarzyszyły krwawienia.</w:t>
      </w:r>
    </w:p>
    <w:p w14:paraId="0577EB71" w14:textId="77777777" w:rsidR="006A7175" w:rsidRPr="00F13073" w:rsidRDefault="006A7175" w:rsidP="008B4C50">
      <w:pPr>
        <w:pStyle w:val="a4"/>
        <w:widowControl/>
        <w:spacing w:after="0"/>
      </w:pPr>
    </w:p>
    <w:p w14:paraId="648FF3BD" w14:textId="77777777" w:rsidR="004A1F37" w:rsidRPr="00F13073" w:rsidRDefault="004A1F37"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zmniejszenia liczby płytek krwi była zgodna z danymi, które zgłoszono w 6-miesięcznych kontrolowanych badaniach klinicznych.</w:t>
      </w:r>
    </w:p>
    <w:p w14:paraId="01868184" w14:textId="77777777" w:rsidR="006A7175" w:rsidRPr="00F13073" w:rsidRDefault="006A7175" w:rsidP="008B4C50">
      <w:pPr>
        <w:pStyle w:val="a4"/>
        <w:widowControl/>
        <w:spacing w:after="0"/>
      </w:pPr>
    </w:p>
    <w:p w14:paraId="20234EFD" w14:textId="77777777" w:rsidR="004A1F37" w:rsidRPr="00F13073" w:rsidRDefault="004A1F37" w:rsidP="008B4C50">
      <w:pPr>
        <w:pStyle w:val="a4"/>
        <w:widowControl/>
        <w:spacing w:after="0"/>
        <w:rPr>
          <w:rStyle w:val="Char"/>
        </w:rPr>
      </w:pPr>
      <w:r w:rsidRPr="00F13073">
        <w:rPr>
          <w:rStyle w:val="Char"/>
        </w:rPr>
        <w:t>Zgłaszano bardzo rzadkie przypadki pancytopenii po dopuszczeniu leku do obrotu.</w:t>
      </w:r>
    </w:p>
    <w:p w14:paraId="059A15EF" w14:textId="77777777" w:rsidR="006A7175" w:rsidRPr="00F13073" w:rsidRDefault="006A7175" w:rsidP="008B4C50">
      <w:pPr>
        <w:pStyle w:val="a4"/>
        <w:widowControl/>
        <w:spacing w:after="0"/>
      </w:pPr>
    </w:p>
    <w:p w14:paraId="03481E86" w14:textId="77777777" w:rsidR="004A1F37" w:rsidRPr="00F13073" w:rsidRDefault="004A1F37" w:rsidP="008B4C50">
      <w:pPr>
        <w:pStyle w:val="a4"/>
        <w:widowControl/>
        <w:spacing w:after="0"/>
      </w:pPr>
      <w:r w:rsidRPr="00F13073">
        <w:rPr>
          <w:rStyle w:val="Char"/>
          <w:i/>
          <w:iCs/>
        </w:rPr>
        <w:t>Zwiększenie aktywności enzymów wątrobowych</w:t>
      </w:r>
    </w:p>
    <w:p w14:paraId="00C7A85A" w14:textId="77777777" w:rsidR="004A1F37" w:rsidRPr="00F13073" w:rsidRDefault="004A1F37" w:rsidP="008B4C50">
      <w:pPr>
        <w:pStyle w:val="a4"/>
        <w:widowControl/>
        <w:spacing w:after="0"/>
        <w:rPr>
          <w:rStyle w:val="Char"/>
        </w:rPr>
      </w:pPr>
      <w:r w:rsidRPr="00F13073">
        <w:rPr>
          <w:rStyle w:val="Char"/>
        </w:rPr>
        <w:t>W 6-miesięcznych kontrolowanych badaniach klinicznych przejściowe zwiększenie aktywności AlAT/AspAT &gt; 3 x górnej granicy normy (GGN) obserwowano u 2,1 % pacjentów otrzymujących tocilizumab w dawce 8 mg/kg mc. w porównaniu do 4,9 % chorych przyjmujących metotreksat i u 6,5 % pacjentów otrzymujących tocilizumab w dawce 8 mg/kg mc. w skojarzeniu z DMARD w porównaniu do 1,5 % u chorych przyjmujących placebo w skojarzeniu z DMARD.</w:t>
      </w:r>
    </w:p>
    <w:p w14:paraId="0692403B" w14:textId="77777777" w:rsidR="006A7175" w:rsidRPr="00F13073" w:rsidRDefault="006A7175" w:rsidP="008B4C50">
      <w:pPr>
        <w:pStyle w:val="a4"/>
        <w:widowControl/>
        <w:spacing w:after="0"/>
      </w:pPr>
    </w:p>
    <w:p w14:paraId="33B6DAC0" w14:textId="77777777" w:rsidR="004A1F37" w:rsidRPr="00F13073" w:rsidRDefault="004A1F37" w:rsidP="008B4C50">
      <w:pPr>
        <w:pStyle w:val="a4"/>
        <w:widowControl/>
        <w:spacing w:after="0"/>
        <w:rPr>
          <w:rStyle w:val="Char"/>
        </w:rPr>
      </w:pPr>
      <w:r w:rsidRPr="00F13073">
        <w:rPr>
          <w:rStyle w:val="Char"/>
        </w:rPr>
        <w:t xml:space="preserve">Dołączenie leków potencjalnie hepatotoksycznych (np. metotreksatu) do tocilizumabu podawanego w monoterapii powodowało zwiększenie częstości występowania wzrostów aktywności enzymów wątrobowych. Zwiększenie aktywności AlAT / AspAT &gt; 5 x GGN stwierdzono u 0,7 % pacjentów otrzymujących tocilizumab w monoterapii oraz u 1,4 % pacjentów przyjmujących tocilizumab w skojarzeniu z DMARD, przy czym u większości z tych chorych na stałe przerwano leczenie tocilizumabem. W okresie kontrolowanego badania z podwójnie ślepą próbą, częstość występowania zwiększonego stężenia bilirubiny pośredniej powyżej górnej granicy normy, ocenionej podczas rutynowego monitorowania parametrów laboratoryjnych wynosiła 6,2% u pacjentów otrzymujących tocilizumab w dawce 8 mg/kg mc w skojarzeniu z DMARD. Całkowita częstość występowania </w:t>
      </w:r>
      <w:r w:rsidRPr="00F13073">
        <w:rPr>
          <w:rStyle w:val="Char"/>
        </w:rPr>
        <w:lastRenderedPageBreak/>
        <w:t>zwiększenia stężenia bilirubiny pośredniej &gt; 1 do 2 x GGN wynosiła 5,8%, natomiast u 0,4% pacjentów odnotowano zwiększenie stężenia bilirubiny pośredniej &gt; 2 x GGN.</w:t>
      </w:r>
    </w:p>
    <w:p w14:paraId="08F2D97B" w14:textId="77777777" w:rsidR="006A7175" w:rsidRPr="00F13073" w:rsidRDefault="006A7175" w:rsidP="008B4C50">
      <w:pPr>
        <w:pStyle w:val="a4"/>
        <w:widowControl/>
        <w:spacing w:after="0"/>
      </w:pPr>
    </w:p>
    <w:p w14:paraId="678DE9E5" w14:textId="77777777" w:rsidR="004A1F37" w:rsidRPr="00F13073" w:rsidRDefault="004A1F37"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zwiększonej aktywności AlAT/AspAT była zgodna z danymi, które zgłoszono w 6-miesięcznych kontrolowanych badaniach klinicznych.</w:t>
      </w:r>
    </w:p>
    <w:p w14:paraId="4A52E875" w14:textId="77777777" w:rsidR="006A7175" w:rsidRPr="00F13073" w:rsidRDefault="006A7175" w:rsidP="008B4C50">
      <w:pPr>
        <w:pStyle w:val="a4"/>
        <w:widowControl/>
        <w:spacing w:after="0"/>
      </w:pPr>
    </w:p>
    <w:p w14:paraId="69ACAA6A" w14:textId="77777777" w:rsidR="004A1F37" w:rsidRPr="00F13073" w:rsidRDefault="004A1F37" w:rsidP="008B4C50">
      <w:pPr>
        <w:pStyle w:val="a4"/>
        <w:widowControl/>
        <w:spacing w:after="0"/>
      </w:pPr>
      <w:r w:rsidRPr="00F13073">
        <w:rPr>
          <w:rStyle w:val="Char"/>
          <w:i/>
          <w:iCs/>
        </w:rPr>
        <w:t>Parametry gospodarki lipidowej</w:t>
      </w:r>
    </w:p>
    <w:p w14:paraId="2012A383" w14:textId="2359B545" w:rsidR="004A1F37" w:rsidRPr="00F13073" w:rsidRDefault="004A1F37" w:rsidP="008B4C50">
      <w:pPr>
        <w:pStyle w:val="a4"/>
        <w:widowControl/>
        <w:spacing w:after="0"/>
        <w:rPr>
          <w:rStyle w:val="Char"/>
        </w:rPr>
      </w:pPr>
      <w:r w:rsidRPr="00F13073">
        <w:rPr>
          <w:rStyle w:val="Char"/>
        </w:rPr>
        <w:t xml:space="preserve">W trakcie 6-miesięcznych kontrolowanych badań klinicznych często zgłaszano zwiększenie wartości parametrów gospodarki lipidowej obejmujące: stężenie cholesterolu całkowitego, triglicerydów, cholesterolu LDL, cholesterolu HDL. Podczas rutynowej oceny parametrów laboratoryjnych u około 24 % pacjentów przyjmujących </w:t>
      </w:r>
      <w:r w:rsidR="00C13855" w:rsidRPr="00F13073">
        <w:rPr>
          <w:rStyle w:val="Char"/>
        </w:rPr>
        <w:t>tocilizumab</w:t>
      </w:r>
      <w:r w:rsidR="00604715" w:rsidRPr="00F13073">
        <w:rPr>
          <w:rStyle w:val="Char"/>
        </w:rPr>
        <w:t xml:space="preserve"> </w:t>
      </w:r>
      <w:r w:rsidRPr="00F13073">
        <w:rPr>
          <w:rStyle w:val="Char"/>
        </w:rPr>
        <w:t>w badaniach klinicznych obserwowano utrzymujące się zwiększenie wartości cholesterolu całkowitego ≥ 6,2 mmol/l, a u 15 % chorych</w:t>
      </w:r>
      <w:r w:rsidR="006A7175" w:rsidRPr="00F13073">
        <w:rPr>
          <w:rStyle w:val="Char"/>
        </w:rPr>
        <w:t xml:space="preserve"> </w:t>
      </w:r>
      <w:r w:rsidRPr="00F13073">
        <w:rPr>
          <w:rStyle w:val="Char"/>
        </w:rPr>
        <w:t>obserwowano utrzymujące się zwiększenie wartości LDL ≥ 4,1 mmol/l. Zwiększone stężenia parametrów lipidowych ulegały normalizacji po wdrożeniu leczenia obniżającego stężenia lipidów.</w:t>
      </w:r>
    </w:p>
    <w:p w14:paraId="0617ADDD" w14:textId="77777777" w:rsidR="006A7175" w:rsidRPr="00F13073" w:rsidRDefault="006A7175" w:rsidP="008B4C50">
      <w:pPr>
        <w:pStyle w:val="a4"/>
        <w:widowControl/>
        <w:spacing w:after="0"/>
      </w:pPr>
    </w:p>
    <w:p w14:paraId="55759F85" w14:textId="77777777" w:rsidR="004A1F37" w:rsidRPr="00F13073" w:rsidRDefault="004A1F37" w:rsidP="008B4C50">
      <w:pPr>
        <w:pStyle w:val="a4"/>
        <w:widowControl/>
        <w:spacing w:after="0"/>
        <w:rPr>
          <w:rStyle w:val="Char"/>
        </w:rPr>
      </w:pPr>
      <w:r w:rsidRPr="00F13073">
        <w:rPr>
          <w:rStyle w:val="Char"/>
        </w:rPr>
        <w:t>W trakcie kontrolowanych badań klinicznych z podwójnie ślepą próbą i w trakcie długookresowego leczenia, rodzaj oraz częstość występowania zwiększonych wartości parametrów lipidowych była zgodna z danymi uzyskanymi w 6-miesięcznych kontrolowanych badaniach klinicznych.</w:t>
      </w:r>
    </w:p>
    <w:p w14:paraId="1C759FEA" w14:textId="77777777" w:rsidR="006A7175" w:rsidRPr="00F13073" w:rsidRDefault="006A7175" w:rsidP="008B4C50">
      <w:pPr>
        <w:pStyle w:val="a4"/>
        <w:widowControl/>
        <w:spacing w:after="0"/>
        <w:rPr>
          <w:rStyle w:val="Char"/>
        </w:rPr>
      </w:pPr>
    </w:p>
    <w:p w14:paraId="67848B61" w14:textId="77777777" w:rsidR="004A1F37" w:rsidRPr="00F13073" w:rsidRDefault="004A1F37" w:rsidP="008B4C50">
      <w:pPr>
        <w:pStyle w:val="a4"/>
        <w:widowControl/>
        <w:spacing w:after="0"/>
        <w:rPr>
          <w:rStyle w:val="Char"/>
          <w:i/>
          <w:iCs/>
        </w:rPr>
      </w:pPr>
      <w:r w:rsidRPr="00F13073">
        <w:rPr>
          <w:rStyle w:val="Char"/>
          <w:i/>
          <w:iCs/>
        </w:rPr>
        <w:t>Złośliwe procesy nowotworowe</w:t>
      </w:r>
    </w:p>
    <w:p w14:paraId="62E3EAFE" w14:textId="77777777" w:rsidR="004A1F37" w:rsidRPr="00F13073" w:rsidRDefault="004A1F37" w:rsidP="008B4C50">
      <w:pPr>
        <w:pStyle w:val="a4"/>
        <w:widowControl/>
        <w:spacing w:after="0"/>
        <w:rPr>
          <w:rStyle w:val="Char"/>
        </w:rPr>
      </w:pPr>
      <w:r w:rsidRPr="00F13073">
        <w:rPr>
          <w:rStyle w:val="Char"/>
        </w:rPr>
        <w:t>Dane kliniczne są niewystarczające do oceny potencjalnej częstości występowania nowotworów złośliwych w następstwie ekspozycji na tocilizumab. Trwają długoterminowe badania oceniające bezpieczeństwo tocilizumabu.</w:t>
      </w:r>
    </w:p>
    <w:p w14:paraId="5CBAFB8C" w14:textId="77777777" w:rsidR="006A7175" w:rsidRPr="00F13073" w:rsidRDefault="006A7175" w:rsidP="008B4C50">
      <w:pPr>
        <w:pStyle w:val="a4"/>
        <w:widowControl/>
        <w:spacing w:after="0"/>
      </w:pPr>
    </w:p>
    <w:p w14:paraId="0C510B92" w14:textId="77777777" w:rsidR="004A1F37" w:rsidRPr="00F13073" w:rsidRDefault="004A1F37" w:rsidP="008B4C50">
      <w:pPr>
        <w:pStyle w:val="a4"/>
        <w:widowControl/>
        <w:spacing w:after="0"/>
        <w:rPr>
          <w:rStyle w:val="Char"/>
          <w:i/>
          <w:iCs/>
        </w:rPr>
      </w:pPr>
      <w:r w:rsidRPr="00F13073">
        <w:rPr>
          <w:rStyle w:val="Char"/>
          <w:i/>
          <w:iCs/>
        </w:rPr>
        <w:t>Reakcje skórne</w:t>
      </w:r>
    </w:p>
    <w:p w14:paraId="1C358E1F" w14:textId="77777777" w:rsidR="004A1F37" w:rsidRPr="00F13073" w:rsidRDefault="004A1F37" w:rsidP="008B4C50">
      <w:pPr>
        <w:pStyle w:val="a4"/>
        <w:widowControl/>
        <w:spacing w:after="0"/>
        <w:rPr>
          <w:rStyle w:val="Char"/>
        </w:rPr>
      </w:pPr>
      <w:r w:rsidRPr="00F13073">
        <w:rPr>
          <w:rStyle w:val="Char"/>
        </w:rPr>
        <w:t>Rzadko zgłaszano przypadki występowania zespołu Stevensa-Johnsona po dopuszczeniu produktu leczniczego do obrotu.</w:t>
      </w:r>
    </w:p>
    <w:p w14:paraId="4D9A09F0" w14:textId="77777777" w:rsidR="00A76043" w:rsidRPr="00F13073" w:rsidRDefault="00A76043" w:rsidP="008B4C50">
      <w:pPr>
        <w:pStyle w:val="a4"/>
        <w:widowControl/>
        <w:spacing w:after="0"/>
      </w:pPr>
    </w:p>
    <w:p w14:paraId="297C0B63" w14:textId="77777777" w:rsidR="004A1F37" w:rsidRPr="00F13073" w:rsidRDefault="004A1F37" w:rsidP="008B4C50">
      <w:pPr>
        <w:pStyle w:val="a4"/>
        <w:widowControl/>
        <w:spacing w:after="0"/>
      </w:pPr>
      <w:r w:rsidRPr="00F13073">
        <w:rPr>
          <w:rStyle w:val="Char"/>
          <w:u w:val="single"/>
        </w:rPr>
        <w:t>Pacjenci z COVID-19</w:t>
      </w:r>
    </w:p>
    <w:p w14:paraId="16CDAE95" w14:textId="464FF7FE" w:rsidR="004A1F37" w:rsidRPr="00F13073" w:rsidRDefault="004A1F37" w:rsidP="008B4C50">
      <w:pPr>
        <w:pStyle w:val="a4"/>
        <w:widowControl/>
        <w:spacing w:after="0"/>
        <w:rPr>
          <w:rStyle w:val="Char"/>
        </w:rPr>
      </w:pPr>
      <w:r w:rsidRPr="00F13073">
        <w:rPr>
          <w:rStyle w:val="Char"/>
        </w:rPr>
        <w:t xml:space="preserve">Ocena bezpieczeństwa stosowania </w:t>
      </w:r>
      <w:r w:rsidR="003E393E" w:rsidRPr="00F13073">
        <w:rPr>
          <w:rStyle w:val="Char"/>
        </w:rPr>
        <w:t>tocilizumabu</w:t>
      </w:r>
      <w:r w:rsidR="00604715" w:rsidRPr="00F13073">
        <w:rPr>
          <w:rStyle w:val="Char"/>
        </w:rPr>
        <w:t xml:space="preserve"> </w:t>
      </w:r>
      <w:r w:rsidRPr="00F13073">
        <w:rPr>
          <w:rStyle w:val="Char"/>
        </w:rPr>
        <w:t xml:space="preserve">u pacjentów z COVID-19 była oparta na 3 randomizowanych badaniach kontrolowanych placebo, prowadzonych metodą podwójnie ślepej próby (badania ML42528, WA42380 i WA42511). W tych badaniach łącznie 974 pacjentów doświadczyło ekspozycji na </w:t>
      </w:r>
      <w:r w:rsidR="003E393E" w:rsidRPr="00F13073">
        <w:rPr>
          <w:rStyle w:val="Char"/>
        </w:rPr>
        <w:t>tocilizumab</w:t>
      </w:r>
      <w:r w:rsidRPr="00F13073">
        <w:rPr>
          <w:rStyle w:val="Char"/>
        </w:rPr>
        <w:t>. Zbieranie danych o bezpieczeństwie z badania RECOVERY było ograniczone i nie zostało tu przedstawione.</w:t>
      </w:r>
    </w:p>
    <w:p w14:paraId="6BAF46E5" w14:textId="77777777" w:rsidR="00A76043" w:rsidRPr="00F13073" w:rsidRDefault="00A76043" w:rsidP="008B4C50">
      <w:pPr>
        <w:pStyle w:val="a4"/>
        <w:widowControl/>
        <w:spacing w:after="0"/>
      </w:pPr>
    </w:p>
    <w:p w14:paraId="3E3FA4F2" w14:textId="1B940397" w:rsidR="004A1F37" w:rsidRPr="00F13073" w:rsidRDefault="004A1F37" w:rsidP="008B4C50">
      <w:pPr>
        <w:pStyle w:val="a4"/>
        <w:widowControl/>
        <w:spacing w:after="0"/>
        <w:rPr>
          <w:rStyle w:val="Char"/>
        </w:rPr>
      </w:pPr>
      <w:r w:rsidRPr="00F13073">
        <w:rPr>
          <w:rStyle w:val="Char"/>
        </w:rPr>
        <w:t xml:space="preserve">Poniższe działania niepożądane, wymienione w Tabeli 2 zgodnie z klasyfikacją układów i narządów MedDRA zostały stwierdzone na podstawie zdarzeń, które wystąpiły u co najmniej 3% pacjentów leczonych </w:t>
      </w:r>
      <w:r w:rsidR="007065A0" w:rsidRPr="00F13073">
        <w:rPr>
          <w:rStyle w:val="Char"/>
        </w:rPr>
        <w:t xml:space="preserve">tocilizumabem </w:t>
      </w:r>
      <w:r w:rsidRPr="00F13073">
        <w:rPr>
          <w:rStyle w:val="Char"/>
        </w:rPr>
        <w:t>oraz częściej niż u pacjentów otrzymujących placebo w zbiorczej populacji uczestniczącej w badaniach klinicznych ML42528, WA42380 i WA42511, u której możliwe było dokonanie oceny bezpieczeństwa.</w:t>
      </w:r>
    </w:p>
    <w:p w14:paraId="2AA7A52B" w14:textId="77777777" w:rsidR="00A76043" w:rsidRPr="00F13073" w:rsidRDefault="00A76043" w:rsidP="008B4C50">
      <w:pPr>
        <w:pStyle w:val="a4"/>
        <w:widowControl/>
        <w:spacing w:after="0"/>
      </w:pPr>
    </w:p>
    <w:p w14:paraId="7C782082" w14:textId="2625E058" w:rsidR="001E0975" w:rsidRPr="00F13073" w:rsidRDefault="00611033" w:rsidP="008B4C50">
      <w:pPr>
        <w:keepNext/>
        <w:ind w:left="1134" w:hanging="1134"/>
        <w:rPr>
          <w:i/>
          <w:iCs/>
          <w:vertAlign w:val="superscript"/>
        </w:rPr>
      </w:pPr>
      <w:r w:rsidRPr="00F13073">
        <w:rPr>
          <w:i/>
          <w:iCs/>
        </w:rPr>
        <w:lastRenderedPageBreak/>
        <w:t>Tab</w:t>
      </w:r>
      <w:r w:rsidR="00E91686" w:rsidRPr="00F13073">
        <w:rPr>
          <w:i/>
          <w:iCs/>
        </w:rPr>
        <w:t>e</w:t>
      </w:r>
      <w:r w:rsidRPr="00F13073">
        <w:rPr>
          <w:i/>
          <w:iCs/>
        </w:rPr>
        <w:t>l</w:t>
      </w:r>
      <w:r w:rsidR="00370C28" w:rsidRPr="00F13073">
        <w:rPr>
          <w:i/>
          <w:iCs/>
        </w:rPr>
        <w:t>a</w:t>
      </w:r>
      <w:r w:rsidRPr="00F13073">
        <w:rPr>
          <w:i/>
          <w:iCs/>
        </w:rPr>
        <w:t xml:space="preserve"> 2</w:t>
      </w:r>
      <w:r w:rsidR="00370C28" w:rsidRPr="00F13073">
        <w:rPr>
          <w:i/>
          <w:iCs/>
        </w:rPr>
        <w:t>.</w:t>
      </w:r>
      <w:r w:rsidR="009C0B19" w:rsidRPr="00F13073">
        <w:rPr>
          <w:i/>
          <w:iCs/>
        </w:rPr>
        <w:tab/>
      </w:r>
      <w:r w:rsidR="00A76043" w:rsidRPr="00F13073">
        <w:rPr>
          <w:rStyle w:val="Char"/>
          <w:rFonts w:eastAsia="DengXian"/>
          <w:i/>
          <w:iCs/>
        </w:rPr>
        <w:t>Wykaz działań niepożądanych</w:t>
      </w:r>
      <w:r w:rsidR="00A76043" w:rsidRPr="00F13073">
        <w:rPr>
          <w:rStyle w:val="Char"/>
          <w:rFonts w:eastAsia="DengXian"/>
          <w:i/>
          <w:iCs/>
          <w:vertAlign w:val="superscript"/>
        </w:rPr>
        <w:t>1</w:t>
      </w:r>
      <w:r w:rsidR="00A76043" w:rsidRPr="00F13073">
        <w:rPr>
          <w:rStyle w:val="Char"/>
          <w:rFonts w:eastAsia="DengXian"/>
          <w:i/>
          <w:iCs/>
        </w:rPr>
        <w:t xml:space="preserve"> zidentyfikowanych w zbiorczej populacji z możliwą do przeprowadzenia oceną bezpieczeństwa, uczestniczącej w badaniach klinicznych z </w:t>
      </w:r>
      <w:r w:rsidR="007065A0" w:rsidRPr="00F13073">
        <w:rPr>
          <w:rStyle w:val="Char"/>
          <w:rFonts w:eastAsia="DengXian"/>
          <w:i/>
          <w:iCs/>
        </w:rPr>
        <w:t>tocilizumabem</w:t>
      </w:r>
      <w:r w:rsidR="00151F2F" w:rsidRPr="00F13073">
        <w:rPr>
          <w:rStyle w:val="Char"/>
          <w:rFonts w:eastAsia="DengXian"/>
          <w:i/>
          <w:iCs/>
        </w:rPr>
        <w:t xml:space="preserve"> </w:t>
      </w:r>
      <w:r w:rsidR="00A76043" w:rsidRPr="00F13073">
        <w:rPr>
          <w:rStyle w:val="Char"/>
          <w:rFonts w:eastAsia="DengXian"/>
          <w:i/>
          <w:iCs/>
        </w:rPr>
        <w:t>u pacjentów z COVID-19</w:t>
      </w:r>
      <w:r w:rsidRPr="00F13073">
        <w:rPr>
          <w:i/>
          <w:iCs/>
          <w:vertAlign w:val="superscript"/>
        </w:rPr>
        <w:t>2</w:t>
      </w:r>
    </w:p>
    <w:p w14:paraId="27841CC8" w14:textId="77777777" w:rsidR="004353A8" w:rsidRPr="00F13073" w:rsidRDefault="004353A8"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3296"/>
        <w:gridCol w:w="2609"/>
        <w:gridCol w:w="2946"/>
      </w:tblGrid>
      <w:tr w:rsidR="004353A8" w:rsidRPr="00F13073" w14:paraId="79936A58" w14:textId="77777777" w:rsidTr="00B73B0C">
        <w:trPr>
          <w:cantSplit/>
          <w:tblHeader/>
        </w:trPr>
        <w:tc>
          <w:tcPr>
            <w:tcW w:w="3379" w:type="dxa"/>
            <w:tcBorders>
              <w:top w:val="single" w:sz="4" w:space="0" w:color="auto"/>
              <w:left w:val="single" w:sz="4" w:space="0" w:color="auto"/>
            </w:tcBorders>
          </w:tcPr>
          <w:p w14:paraId="1250DA62" w14:textId="77777777" w:rsidR="004353A8" w:rsidRPr="00F13073" w:rsidRDefault="004353A8" w:rsidP="008B4C50">
            <w:pPr>
              <w:keepNext/>
              <w:suppressAutoHyphens/>
              <w:rPr>
                <w:b/>
                <w:bCs/>
              </w:rPr>
            </w:pPr>
            <w:r w:rsidRPr="00F13073">
              <w:rPr>
                <w:rStyle w:val="Other"/>
                <w:rFonts w:eastAsia="DengXian"/>
                <w:b/>
                <w:bCs/>
              </w:rPr>
              <w:t>Klasyfikacja układów i narządów MedDRA</w:t>
            </w:r>
          </w:p>
        </w:tc>
        <w:tc>
          <w:tcPr>
            <w:tcW w:w="2673" w:type="dxa"/>
            <w:tcBorders>
              <w:top w:val="single" w:sz="4" w:space="0" w:color="auto"/>
              <w:left w:val="single" w:sz="4" w:space="0" w:color="auto"/>
            </w:tcBorders>
          </w:tcPr>
          <w:p w14:paraId="42D69E25" w14:textId="77777777" w:rsidR="004353A8" w:rsidRPr="00F13073" w:rsidRDefault="004353A8" w:rsidP="00516EFE">
            <w:pPr>
              <w:keepNext/>
              <w:suppressAutoHyphens/>
              <w:jc w:val="center"/>
              <w:rPr>
                <w:b/>
                <w:bCs/>
              </w:rPr>
            </w:pPr>
            <w:r w:rsidRPr="00F13073">
              <w:rPr>
                <w:rStyle w:val="Other"/>
                <w:rFonts w:eastAsia="DengXian"/>
                <w:b/>
                <w:bCs/>
              </w:rPr>
              <w:t>Bardzo często</w:t>
            </w:r>
          </w:p>
        </w:tc>
        <w:tc>
          <w:tcPr>
            <w:tcW w:w="3020" w:type="dxa"/>
            <w:tcBorders>
              <w:top w:val="single" w:sz="4" w:space="0" w:color="auto"/>
              <w:left w:val="single" w:sz="4" w:space="0" w:color="auto"/>
              <w:right w:val="single" w:sz="4" w:space="0" w:color="auto"/>
            </w:tcBorders>
          </w:tcPr>
          <w:p w14:paraId="3E7DC24A" w14:textId="77777777" w:rsidR="004353A8" w:rsidRPr="00F13073" w:rsidRDefault="004353A8" w:rsidP="00516EFE">
            <w:pPr>
              <w:keepNext/>
              <w:suppressAutoHyphens/>
              <w:jc w:val="center"/>
              <w:rPr>
                <w:b/>
                <w:bCs/>
              </w:rPr>
            </w:pPr>
            <w:r w:rsidRPr="00F13073">
              <w:rPr>
                <w:rStyle w:val="Other"/>
                <w:rFonts w:eastAsia="DengXian"/>
                <w:b/>
                <w:bCs/>
              </w:rPr>
              <w:t>Często</w:t>
            </w:r>
          </w:p>
        </w:tc>
      </w:tr>
      <w:tr w:rsidR="004353A8" w:rsidRPr="00F13073" w14:paraId="0A6113C8" w14:textId="77777777" w:rsidTr="00B73B0C">
        <w:trPr>
          <w:cantSplit/>
          <w:tblHeader/>
        </w:trPr>
        <w:tc>
          <w:tcPr>
            <w:tcW w:w="3379" w:type="dxa"/>
            <w:tcBorders>
              <w:top w:val="single" w:sz="4" w:space="0" w:color="auto"/>
              <w:left w:val="single" w:sz="4" w:space="0" w:color="auto"/>
            </w:tcBorders>
          </w:tcPr>
          <w:p w14:paraId="2763AD87" w14:textId="77777777" w:rsidR="004353A8" w:rsidRPr="00F13073" w:rsidRDefault="004353A8" w:rsidP="008B4C50">
            <w:pPr>
              <w:suppressAutoHyphens/>
            </w:pPr>
            <w:r w:rsidRPr="00F13073">
              <w:rPr>
                <w:rStyle w:val="Other"/>
                <w:rFonts w:eastAsia="DengXian"/>
              </w:rPr>
              <w:t>Zakażenia i zarażenia pasożytnicze</w:t>
            </w:r>
          </w:p>
        </w:tc>
        <w:tc>
          <w:tcPr>
            <w:tcW w:w="2673" w:type="dxa"/>
            <w:tcBorders>
              <w:top w:val="single" w:sz="4" w:space="0" w:color="auto"/>
              <w:left w:val="single" w:sz="4" w:space="0" w:color="auto"/>
            </w:tcBorders>
          </w:tcPr>
          <w:p w14:paraId="3604DBC0" w14:textId="77777777" w:rsidR="004353A8" w:rsidRPr="00F13073" w:rsidRDefault="004353A8" w:rsidP="008B4C50">
            <w:pPr>
              <w:suppressAutoHyphens/>
            </w:pPr>
          </w:p>
        </w:tc>
        <w:tc>
          <w:tcPr>
            <w:tcW w:w="3020" w:type="dxa"/>
            <w:tcBorders>
              <w:top w:val="single" w:sz="4" w:space="0" w:color="auto"/>
              <w:left w:val="single" w:sz="4" w:space="0" w:color="auto"/>
              <w:right w:val="single" w:sz="4" w:space="0" w:color="auto"/>
            </w:tcBorders>
          </w:tcPr>
          <w:p w14:paraId="736F2811" w14:textId="77777777" w:rsidR="004353A8" w:rsidRPr="00F13073" w:rsidRDefault="004353A8" w:rsidP="008B4C50">
            <w:pPr>
              <w:suppressAutoHyphens/>
            </w:pPr>
            <w:r w:rsidRPr="00F13073">
              <w:rPr>
                <w:rStyle w:val="Other"/>
                <w:rFonts w:eastAsia="DengXian"/>
              </w:rPr>
              <w:t>Zakażenia układu moczowego</w:t>
            </w:r>
          </w:p>
        </w:tc>
      </w:tr>
      <w:tr w:rsidR="004353A8" w:rsidRPr="00F13073" w14:paraId="4BAE8E24" w14:textId="77777777" w:rsidTr="00B73B0C">
        <w:trPr>
          <w:cantSplit/>
          <w:tblHeader/>
        </w:trPr>
        <w:tc>
          <w:tcPr>
            <w:tcW w:w="3379" w:type="dxa"/>
            <w:tcBorders>
              <w:top w:val="single" w:sz="4" w:space="0" w:color="auto"/>
              <w:left w:val="single" w:sz="4" w:space="0" w:color="auto"/>
            </w:tcBorders>
          </w:tcPr>
          <w:p w14:paraId="4940A005" w14:textId="77777777" w:rsidR="004353A8" w:rsidRPr="00F13073" w:rsidRDefault="004353A8" w:rsidP="008B4C50">
            <w:pPr>
              <w:suppressAutoHyphens/>
            </w:pPr>
            <w:r w:rsidRPr="00F13073">
              <w:rPr>
                <w:rStyle w:val="Other"/>
                <w:rFonts w:eastAsia="DengXian"/>
              </w:rPr>
              <w:t>Zaburzenia metabolizmu i odżywiania</w:t>
            </w:r>
          </w:p>
        </w:tc>
        <w:tc>
          <w:tcPr>
            <w:tcW w:w="2673" w:type="dxa"/>
            <w:tcBorders>
              <w:top w:val="single" w:sz="4" w:space="0" w:color="auto"/>
              <w:left w:val="single" w:sz="4" w:space="0" w:color="auto"/>
            </w:tcBorders>
          </w:tcPr>
          <w:p w14:paraId="4F47BAC7" w14:textId="77777777" w:rsidR="004353A8" w:rsidRPr="00F13073" w:rsidRDefault="004353A8" w:rsidP="008B4C50">
            <w:pPr>
              <w:suppressAutoHyphens/>
            </w:pPr>
          </w:p>
        </w:tc>
        <w:tc>
          <w:tcPr>
            <w:tcW w:w="3020" w:type="dxa"/>
            <w:tcBorders>
              <w:top w:val="single" w:sz="4" w:space="0" w:color="auto"/>
              <w:left w:val="single" w:sz="4" w:space="0" w:color="auto"/>
              <w:right w:val="single" w:sz="4" w:space="0" w:color="auto"/>
            </w:tcBorders>
          </w:tcPr>
          <w:p w14:paraId="0DD551C4" w14:textId="77777777" w:rsidR="004353A8" w:rsidRPr="00F13073" w:rsidRDefault="004353A8" w:rsidP="008B4C50">
            <w:pPr>
              <w:suppressAutoHyphens/>
            </w:pPr>
            <w:r w:rsidRPr="00F13073">
              <w:rPr>
                <w:rStyle w:val="Other"/>
                <w:rFonts w:eastAsia="DengXian"/>
              </w:rPr>
              <w:t>Hipokaliemia</w:t>
            </w:r>
          </w:p>
        </w:tc>
      </w:tr>
      <w:tr w:rsidR="004353A8" w:rsidRPr="00F13073" w14:paraId="3B2C02F9" w14:textId="77777777" w:rsidTr="00B73B0C">
        <w:trPr>
          <w:cantSplit/>
          <w:tblHeader/>
        </w:trPr>
        <w:tc>
          <w:tcPr>
            <w:tcW w:w="3379" w:type="dxa"/>
            <w:tcBorders>
              <w:top w:val="single" w:sz="4" w:space="0" w:color="auto"/>
              <w:left w:val="single" w:sz="4" w:space="0" w:color="auto"/>
            </w:tcBorders>
          </w:tcPr>
          <w:p w14:paraId="028FCEED" w14:textId="77777777" w:rsidR="004353A8" w:rsidRPr="00F13073" w:rsidRDefault="004353A8" w:rsidP="008B4C50">
            <w:pPr>
              <w:suppressAutoHyphens/>
            </w:pPr>
            <w:r w:rsidRPr="00F13073">
              <w:rPr>
                <w:rStyle w:val="Other"/>
                <w:rFonts w:eastAsia="DengXian"/>
              </w:rPr>
              <w:t>Zaburzenia psychiczne</w:t>
            </w:r>
          </w:p>
        </w:tc>
        <w:tc>
          <w:tcPr>
            <w:tcW w:w="2673" w:type="dxa"/>
            <w:tcBorders>
              <w:top w:val="single" w:sz="4" w:space="0" w:color="auto"/>
              <w:left w:val="single" w:sz="4" w:space="0" w:color="auto"/>
            </w:tcBorders>
          </w:tcPr>
          <w:p w14:paraId="62021763" w14:textId="77777777" w:rsidR="004353A8" w:rsidRPr="00F13073" w:rsidRDefault="004353A8" w:rsidP="008B4C50">
            <w:pPr>
              <w:suppressAutoHyphens/>
            </w:pPr>
          </w:p>
        </w:tc>
        <w:tc>
          <w:tcPr>
            <w:tcW w:w="3020" w:type="dxa"/>
            <w:tcBorders>
              <w:top w:val="single" w:sz="4" w:space="0" w:color="auto"/>
              <w:left w:val="single" w:sz="4" w:space="0" w:color="auto"/>
              <w:right w:val="single" w:sz="4" w:space="0" w:color="auto"/>
            </w:tcBorders>
          </w:tcPr>
          <w:p w14:paraId="05482124" w14:textId="77777777" w:rsidR="004353A8" w:rsidRPr="00F13073" w:rsidRDefault="004353A8" w:rsidP="008B4C50">
            <w:pPr>
              <w:suppressAutoHyphens/>
            </w:pPr>
            <w:r w:rsidRPr="00F13073">
              <w:rPr>
                <w:rStyle w:val="Other"/>
                <w:rFonts w:eastAsia="DengXian"/>
              </w:rPr>
              <w:t>Lęk, bezsenność</w:t>
            </w:r>
          </w:p>
        </w:tc>
      </w:tr>
      <w:tr w:rsidR="004353A8" w:rsidRPr="00F13073" w14:paraId="08ED661F" w14:textId="77777777" w:rsidTr="00B73B0C">
        <w:trPr>
          <w:cantSplit/>
          <w:tblHeader/>
        </w:trPr>
        <w:tc>
          <w:tcPr>
            <w:tcW w:w="3379" w:type="dxa"/>
            <w:tcBorders>
              <w:top w:val="single" w:sz="4" w:space="0" w:color="auto"/>
              <w:left w:val="single" w:sz="4" w:space="0" w:color="auto"/>
            </w:tcBorders>
          </w:tcPr>
          <w:p w14:paraId="227ADA55" w14:textId="77777777" w:rsidR="004353A8" w:rsidRPr="00F13073" w:rsidRDefault="004353A8" w:rsidP="008B4C50">
            <w:pPr>
              <w:suppressAutoHyphens/>
            </w:pPr>
            <w:r w:rsidRPr="00F13073">
              <w:rPr>
                <w:rStyle w:val="Other"/>
                <w:rFonts w:eastAsia="DengXian"/>
              </w:rPr>
              <w:t>Zaburzenia naczyniowe</w:t>
            </w:r>
          </w:p>
        </w:tc>
        <w:tc>
          <w:tcPr>
            <w:tcW w:w="2673" w:type="dxa"/>
            <w:tcBorders>
              <w:top w:val="single" w:sz="4" w:space="0" w:color="auto"/>
              <w:left w:val="single" w:sz="4" w:space="0" w:color="auto"/>
            </w:tcBorders>
          </w:tcPr>
          <w:p w14:paraId="5E16BA7B" w14:textId="77777777" w:rsidR="004353A8" w:rsidRPr="00F13073" w:rsidRDefault="004353A8" w:rsidP="008B4C50">
            <w:pPr>
              <w:suppressAutoHyphens/>
            </w:pPr>
          </w:p>
        </w:tc>
        <w:tc>
          <w:tcPr>
            <w:tcW w:w="3020" w:type="dxa"/>
            <w:tcBorders>
              <w:top w:val="single" w:sz="4" w:space="0" w:color="auto"/>
              <w:left w:val="single" w:sz="4" w:space="0" w:color="auto"/>
              <w:right w:val="single" w:sz="4" w:space="0" w:color="auto"/>
            </w:tcBorders>
          </w:tcPr>
          <w:p w14:paraId="28FCE517" w14:textId="77777777" w:rsidR="004353A8" w:rsidRPr="00F13073" w:rsidRDefault="004353A8" w:rsidP="008B4C50">
            <w:pPr>
              <w:suppressAutoHyphens/>
            </w:pPr>
            <w:r w:rsidRPr="00F13073">
              <w:rPr>
                <w:rStyle w:val="Other"/>
                <w:rFonts w:eastAsia="DengXian"/>
              </w:rPr>
              <w:t>Nadciśnienie tętnicze</w:t>
            </w:r>
          </w:p>
        </w:tc>
      </w:tr>
      <w:tr w:rsidR="004353A8" w:rsidRPr="00F13073" w14:paraId="6D5384DD" w14:textId="77777777" w:rsidTr="00B73B0C">
        <w:trPr>
          <w:cantSplit/>
          <w:tblHeader/>
        </w:trPr>
        <w:tc>
          <w:tcPr>
            <w:tcW w:w="3379" w:type="dxa"/>
            <w:tcBorders>
              <w:top w:val="single" w:sz="4" w:space="0" w:color="auto"/>
              <w:left w:val="single" w:sz="4" w:space="0" w:color="auto"/>
            </w:tcBorders>
          </w:tcPr>
          <w:p w14:paraId="167360AC" w14:textId="77777777" w:rsidR="004353A8" w:rsidRPr="00F13073" w:rsidRDefault="004353A8" w:rsidP="008B4C50">
            <w:pPr>
              <w:suppressAutoHyphens/>
            </w:pPr>
            <w:r w:rsidRPr="00F13073">
              <w:rPr>
                <w:rStyle w:val="Other"/>
                <w:rFonts w:eastAsia="DengXian"/>
              </w:rPr>
              <w:t>Zaburzenia żołądka i jelit</w:t>
            </w:r>
          </w:p>
        </w:tc>
        <w:tc>
          <w:tcPr>
            <w:tcW w:w="2673" w:type="dxa"/>
            <w:tcBorders>
              <w:top w:val="single" w:sz="4" w:space="0" w:color="auto"/>
              <w:left w:val="single" w:sz="4" w:space="0" w:color="auto"/>
            </w:tcBorders>
          </w:tcPr>
          <w:p w14:paraId="63505CCE" w14:textId="77777777" w:rsidR="004353A8" w:rsidRPr="00F13073" w:rsidRDefault="004353A8" w:rsidP="008B4C50">
            <w:pPr>
              <w:suppressAutoHyphens/>
            </w:pPr>
          </w:p>
        </w:tc>
        <w:tc>
          <w:tcPr>
            <w:tcW w:w="3020" w:type="dxa"/>
            <w:tcBorders>
              <w:top w:val="single" w:sz="4" w:space="0" w:color="auto"/>
              <w:left w:val="single" w:sz="4" w:space="0" w:color="auto"/>
              <w:right w:val="single" w:sz="4" w:space="0" w:color="auto"/>
            </w:tcBorders>
          </w:tcPr>
          <w:p w14:paraId="1D053F21" w14:textId="77777777" w:rsidR="004353A8" w:rsidRPr="00F13073" w:rsidRDefault="004353A8" w:rsidP="008B4C50">
            <w:pPr>
              <w:suppressAutoHyphens/>
            </w:pPr>
            <w:r w:rsidRPr="00F13073">
              <w:rPr>
                <w:rStyle w:val="Other"/>
                <w:rFonts w:eastAsia="DengXian"/>
              </w:rPr>
              <w:t>Zaparcie, biegunka, nudności</w:t>
            </w:r>
          </w:p>
        </w:tc>
      </w:tr>
      <w:tr w:rsidR="004353A8" w:rsidRPr="00F13073" w14:paraId="0E330AEC" w14:textId="77777777" w:rsidTr="00B73B0C">
        <w:trPr>
          <w:cantSplit/>
          <w:tblHeader/>
        </w:trPr>
        <w:tc>
          <w:tcPr>
            <w:tcW w:w="3379" w:type="dxa"/>
            <w:tcBorders>
              <w:top w:val="single" w:sz="4" w:space="0" w:color="auto"/>
              <w:left w:val="single" w:sz="4" w:space="0" w:color="auto"/>
              <w:bottom w:val="single" w:sz="4" w:space="0" w:color="auto"/>
            </w:tcBorders>
          </w:tcPr>
          <w:p w14:paraId="381D151C" w14:textId="77777777" w:rsidR="004353A8" w:rsidRPr="00F13073" w:rsidRDefault="004353A8" w:rsidP="008B4C50">
            <w:pPr>
              <w:keepNext/>
              <w:suppressAutoHyphens/>
            </w:pPr>
            <w:r w:rsidRPr="00F13073">
              <w:rPr>
                <w:rStyle w:val="Other"/>
                <w:rFonts w:eastAsia="DengXian"/>
              </w:rPr>
              <w:t>Zaburzenia wątroby i dróg żółciowych</w:t>
            </w:r>
          </w:p>
        </w:tc>
        <w:tc>
          <w:tcPr>
            <w:tcW w:w="2673" w:type="dxa"/>
            <w:tcBorders>
              <w:top w:val="single" w:sz="4" w:space="0" w:color="auto"/>
              <w:left w:val="single" w:sz="4" w:space="0" w:color="auto"/>
              <w:bottom w:val="single" w:sz="4" w:space="0" w:color="auto"/>
            </w:tcBorders>
          </w:tcPr>
          <w:p w14:paraId="4EBFB2B4" w14:textId="77777777" w:rsidR="004353A8" w:rsidRPr="00F13073" w:rsidRDefault="004353A8" w:rsidP="008B4C50">
            <w:pPr>
              <w:keepNext/>
              <w:suppressAutoHyphens/>
            </w:pPr>
          </w:p>
        </w:tc>
        <w:tc>
          <w:tcPr>
            <w:tcW w:w="3020" w:type="dxa"/>
            <w:tcBorders>
              <w:top w:val="single" w:sz="4" w:space="0" w:color="auto"/>
              <w:left w:val="single" w:sz="4" w:space="0" w:color="auto"/>
              <w:bottom w:val="single" w:sz="4" w:space="0" w:color="auto"/>
              <w:right w:val="single" w:sz="4" w:space="0" w:color="auto"/>
            </w:tcBorders>
          </w:tcPr>
          <w:p w14:paraId="2B3793EF" w14:textId="77777777" w:rsidR="004353A8" w:rsidRPr="00F13073" w:rsidRDefault="004353A8" w:rsidP="008B4C50">
            <w:pPr>
              <w:keepNext/>
              <w:suppressAutoHyphens/>
            </w:pPr>
            <w:r w:rsidRPr="00F13073">
              <w:rPr>
                <w:rStyle w:val="Other"/>
                <w:rFonts w:eastAsia="DengXian"/>
              </w:rPr>
              <w:t>Zwiększenie aktywności aminotransferaz wątrobowych</w:t>
            </w:r>
          </w:p>
        </w:tc>
      </w:tr>
    </w:tbl>
    <w:p w14:paraId="5736C411" w14:textId="77777777" w:rsidR="001E0975" w:rsidRPr="00F13073" w:rsidRDefault="00611033" w:rsidP="008B4C50">
      <w:pPr>
        <w:ind w:left="284" w:hanging="284"/>
        <w:rPr>
          <w:i/>
          <w:iCs/>
          <w:sz w:val="18"/>
          <w:szCs w:val="18"/>
        </w:rPr>
      </w:pPr>
      <w:r w:rsidRPr="00F13073">
        <w:rPr>
          <w:sz w:val="18"/>
          <w:szCs w:val="18"/>
          <w:vertAlign w:val="superscript"/>
        </w:rPr>
        <w:t>1</w:t>
      </w:r>
      <w:r w:rsidR="00261FF5" w:rsidRPr="00F13073">
        <w:rPr>
          <w:i/>
          <w:iCs/>
          <w:sz w:val="18"/>
          <w:szCs w:val="18"/>
        </w:rPr>
        <w:tab/>
      </w:r>
      <w:r w:rsidR="00E802FC" w:rsidRPr="00F13073">
        <w:rPr>
          <w:rStyle w:val="Tablecaption"/>
          <w:rFonts w:eastAsia="DengXian"/>
          <w:i w:val="0"/>
          <w:iCs w:val="0"/>
          <w:sz w:val="18"/>
          <w:szCs w:val="18"/>
        </w:rPr>
        <w:t>Pacjenci zostali uwzględnieni tylko jeden raz w każdej kategorii, niezależnie od liczby działań</w:t>
      </w:r>
    </w:p>
    <w:p w14:paraId="6B0CB330" w14:textId="77777777" w:rsidR="001E0975" w:rsidRPr="00F13073" w:rsidRDefault="00611033" w:rsidP="008B4C50">
      <w:pPr>
        <w:ind w:left="284" w:hanging="284"/>
        <w:rPr>
          <w:sz w:val="18"/>
          <w:szCs w:val="18"/>
        </w:rPr>
      </w:pPr>
      <w:r w:rsidRPr="00F13073">
        <w:rPr>
          <w:sz w:val="18"/>
          <w:szCs w:val="18"/>
          <w:vertAlign w:val="superscript"/>
        </w:rPr>
        <w:t>2</w:t>
      </w:r>
      <w:r w:rsidR="00261FF5" w:rsidRPr="00F13073">
        <w:rPr>
          <w:sz w:val="18"/>
          <w:szCs w:val="18"/>
        </w:rPr>
        <w:tab/>
      </w:r>
      <w:r w:rsidR="00E802FC" w:rsidRPr="00F13073">
        <w:rPr>
          <w:sz w:val="18"/>
          <w:szCs w:val="18"/>
        </w:rPr>
        <w:t>Obejmuje reakcje uznane za działania niepożądane, zgłaszane w badaniach WA42511, WA42380 i ML42528</w:t>
      </w:r>
    </w:p>
    <w:p w14:paraId="614331AB" w14:textId="77777777" w:rsidR="001E0975" w:rsidRPr="00F13073" w:rsidRDefault="001E0975" w:rsidP="008B4C50"/>
    <w:p w14:paraId="69D5696D" w14:textId="77777777" w:rsidR="001E0975" w:rsidRPr="00F13073" w:rsidRDefault="00A647F2" w:rsidP="00E91686">
      <w:pPr>
        <w:keepNext/>
        <w:rPr>
          <w:u w:val="single"/>
        </w:rPr>
      </w:pPr>
      <w:r w:rsidRPr="00F13073">
        <w:rPr>
          <w:u w:val="single"/>
        </w:rPr>
        <w:t>Opis wybranych działań niepożądanych</w:t>
      </w:r>
    </w:p>
    <w:p w14:paraId="3B3A618D" w14:textId="77777777" w:rsidR="00547117" w:rsidRPr="00F13073" w:rsidRDefault="00547117" w:rsidP="00E91686">
      <w:pPr>
        <w:keepNext/>
        <w:rPr>
          <w:u w:val="single"/>
        </w:rPr>
      </w:pPr>
    </w:p>
    <w:p w14:paraId="49BD27BA" w14:textId="77777777" w:rsidR="001E0975" w:rsidRPr="00F13073" w:rsidRDefault="00A647F2" w:rsidP="00E91686">
      <w:pPr>
        <w:keepNext/>
        <w:rPr>
          <w:i/>
          <w:iCs/>
          <w:u w:val="single"/>
        </w:rPr>
      </w:pPr>
      <w:r w:rsidRPr="00F13073">
        <w:rPr>
          <w:i/>
          <w:iCs/>
          <w:u w:val="single"/>
        </w:rPr>
        <w:t>Zakażenia</w:t>
      </w:r>
    </w:p>
    <w:p w14:paraId="78A9EBAD" w14:textId="77777777" w:rsidR="00A647F2" w:rsidRPr="00F13073" w:rsidRDefault="00A647F2" w:rsidP="00E91686">
      <w:pPr>
        <w:pStyle w:val="a4"/>
        <w:keepNext/>
        <w:widowControl/>
        <w:spacing w:after="0"/>
        <w:ind w:firstLine="160"/>
      </w:pPr>
    </w:p>
    <w:p w14:paraId="29C33546" w14:textId="77777777" w:rsidR="00A647F2" w:rsidRPr="00F13073" w:rsidRDefault="00A647F2" w:rsidP="008B4C50">
      <w:pPr>
        <w:pStyle w:val="a4"/>
        <w:widowControl/>
        <w:spacing w:after="0"/>
        <w:rPr>
          <w:rStyle w:val="Char"/>
        </w:rPr>
      </w:pPr>
      <w:r w:rsidRPr="00F13073">
        <w:rPr>
          <w:rStyle w:val="Char"/>
        </w:rPr>
        <w:t>W zbiorczej populacji uczestniczącej w badaniach ML42528, WA42380 i WA42511, dla której możliwe było dokonanie oceny bezpieczeństwa, odsetek zdarzeń będących zakażeniami/ciężkimi zakażeniami był zrównoważony pomiędzy pacjentami z COVID-19 otrzymującymi tocilizumab (30,3%/18,6%, n=974) a pacjentami z COVID-19 otrzymującymi placebo (32,1%/22,8%, n=483).</w:t>
      </w:r>
    </w:p>
    <w:p w14:paraId="40DF87C9" w14:textId="77777777" w:rsidR="00A647F2" w:rsidRPr="00F13073" w:rsidRDefault="00A647F2" w:rsidP="008B4C50">
      <w:pPr>
        <w:pStyle w:val="a4"/>
        <w:widowControl/>
        <w:spacing w:after="0"/>
      </w:pPr>
    </w:p>
    <w:p w14:paraId="5A68FD30" w14:textId="77777777" w:rsidR="00A647F2" w:rsidRPr="00F13073" w:rsidRDefault="00A647F2" w:rsidP="008B4C50">
      <w:pPr>
        <w:pStyle w:val="a4"/>
        <w:widowControl/>
        <w:spacing w:after="0"/>
        <w:rPr>
          <w:rStyle w:val="Char"/>
        </w:rPr>
      </w:pPr>
      <w:r w:rsidRPr="00F13073">
        <w:rPr>
          <w:rStyle w:val="Char"/>
        </w:rPr>
        <w:t>Profil bezpieczeństwa obserwowany w grupie terapeutycznej otrzymującej wyjściowo kortykosteroidy o działaniu układowym był spójny z profilem bezpieczeństwa tocilizumabu w całej populacji przedstawionym w Tabeli 2. W tej podgrupie zakażenia i ciężkie zakażenia wystąpiły odpowiednio u 27,8% i 18,1% pacjentów leczonych tocilizumabem podawanym dożylnie oraz u 30,5% i 22,9% pacjentów otrzymujących placebo.</w:t>
      </w:r>
    </w:p>
    <w:p w14:paraId="08C60C1B" w14:textId="77777777" w:rsidR="00A647F2" w:rsidRPr="00F13073" w:rsidRDefault="00A647F2" w:rsidP="008B4C50">
      <w:pPr>
        <w:pStyle w:val="a4"/>
        <w:widowControl/>
        <w:spacing w:after="0"/>
      </w:pPr>
    </w:p>
    <w:p w14:paraId="30CB3057" w14:textId="77777777" w:rsidR="00A647F2" w:rsidRPr="00F13073" w:rsidRDefault="00A647F2" w:rsidP="008B4C50">
      <w:pPr>
        <w:keepNext/>
        <w:rPr>
          <w:i/>
          <w:iCs/>
          <w:u w:val="single"/>
        </w:rPr>
      </w:pPr>
      <w:r w:rsidRPr="00F13073">
        <w:rPr>
          <w:i/>
          <w:iCs/>
          <w:u w:val="single"/>
        </w:rPr>
        <w:t>Odchylenia w wynikach badań laboratoryjnych</w:t>
      </w:r>
    </w:p>
    <w:p w14:paraId="7E0A4CD9" w14:textId="637D6662" w:rsidR="00A647F2" w:rsidRPr="00F13073" w:rsidRDefault="00A647F2" w:rsidP="008B4C50">
      <w:pPr>
        <w:pStyle w:val="a4"/>
        <w:widowControl/>
        <w:spacing w:after="0"/>
        <w:rPr>
          <w:rStyle w:val="Char"/>
        </w:rPr>
      </w:pPr>
      <w:r w:rsidRPr="00F13073">
        <w:rPr>
          <w:rStyle w:val="Char"/>
        </w:rPr>
        <w:t xml:space="preserve">Częstość występowania odchyleń w wynikach badań laboratoryjnych była na ogół podobna u pacjentów z COVID-19, którzy otrzymali jedną lub dwie dawki </w:t>
      </w:r>
      <w:r w:rsidR="007E754D" w:rsidRPr="00F13073">
        <w:rPr>
          <w:rStyle w:val="Char"/>
        </w:rPr>
        <w:t>tocilizumabu</w:t>
      </w:r>
      <w:r w:rsidR="00151F2F" w:rsidRPr="00F13073">
        <w:rPr>
          <w:rStyle w:val="Char"/>
        </w:rPr>
        <w:t xml:space="preserve"> </w:t>
      </w:r>
      <w:r w:rsidRPr="00F13073">
        <w:rPr>
          <w:rStyle w:val="Char"/>
        </w:rPr>
        <w:t xml:space="preserve">podawanego dożylnie w porównaniu z pacjentami, którzy otrzymali placebo w ramach randomizowanych, kontrolowanych placebo badań prowadzonych metodą podwójnie ślepej próby, z pewnymi wyjątkami. Zmniejszenie liczby płytek krwi i granulocytów obojętnochłonnych oraz zwiększenie aktywności AlAT i AspAT występowały częściej u pacjentów otrzymujących </w:t>
      </w:r>
      <w:r w:rsidR="007E754D" w:rsidRPr="00F13073">
        <w:rPr>
          <w:rStyle w:val="Char"/>
        </w:rPr>
        <w:t>tocilizumab</w:t>
      </w:r>
      <w:r w:rsidRPr="00F13073">
        <w:rPr>
          <w:rStyle w:val="Char"/>
        </w:rPr>
        <w:t xml:space="preserve"> podawany dożylnie w porównaniu z placebo (patrz punkt 4.2 i 4.4).</w:t>
      </w:r>
    </w:p>
    <w:p w14:paraId="6C331977" w14:textId="77777777" w:rsidR="00A647F2" w:rsidRPr="00F13073" w:rsidRDefault="00A647F2" w:rsidP="008B4C50">
      <w:pPr>
        <w:pStyle w:val="a4"/>
        <w:widowControl/>
        <w:spacing w:after="0"/>
      </w:pPr>
    </w:p>
    <w:p w14:paraId="7F64D526" w14:textId="77777777" w:rsidR="00A647F2" w:rsidRPr="00F13073" w:rsidRDefault="00A647F2" w:rsidP="008B4C50">
      <w:pPr>
        <w:keepNext/>
        <w:rPr>
          <w:i/>
          <w:iCs/>
          <w:u w:val="single"/>
        </w:rPr>
      </w:pPr>
      <w:r w:rsidRPr="00F13073">
        <w:rPr>
          <w:i/>
          <w:iCs/>
          <w:u w:val="single"/>
        </w:rPr>
        <w:t>Pacjenci z uMIZS i wMIZS</w:t>
      </w:r>
    </w:p>
    <w:p w14:paraId="5A521ACC" w14:textId="77777777" w:rsidR="00A647F2" w:rsidRPr="00F13073" w:rsidRDefault="00A647F2" w:rsidP="008B4C50">
      <w:pPr>
        <w:pStyle w:val="a4"/>
        <w:widowControl/>
        <w:spacing w:after="0"/>
        <w:rPr>
          <w:rStyle w:val="Char"/>
        </w:rPr>
      </w:pPr>
      <w:r w:rsidRPr="00F13073">
        <w:rPr>
          <w:rStyle w:val="Char"/>
        </w:rPr>
        <w:t>Profil bezpieczeństwa stosowania tocilizumabu w populacji u dzieci i młodzieży z rozpoznaniem wMIZS i uMIZS podsumowano poniżej. Ogólnie, rodzaj działań niepożądanych u chorych na wMIZS i uMIZS były podobny do obserwowanych u chorych na RZS, patrz punkt 4.8.</w:t>
      </w:r>
    </w:p>
    <w:p w14:paraId="1ADAF807" w14:textId="77777777" w:rsidR="00A647F2" w:rsidRPr="00F13073" w:rsidRDefault="00A647F2" w:rsidP="008B4C50">
      <w:pPr>
        <w:pStyle w:val="a4"/>
        <w:widowControl/>
        <w:spacing w:after="0"/>
      </w:pPr>
    </w:p>
    <w:p w14:paraId="5D69D7F1" w14:textId="77777777" w:rsidR="00A647F2" w:rsidRPr="00F13073" w:rsidRDefault="00A647F2" w:rsidP="008B4C50">
      <w:pPr>
        <w:pStyle w:val="a4"/>
        <w:widowControl/>
        <w:spacing w:after="0"/>
        <w:rPr>
          <w:rStyle w:val="Char"/>
        </w:rPr>
      </w:pPr>
      <w:r w:rsidRPr="00F13073">
        <w:rPr>
          <w:rStyle w:val="Char"/>
        </w:rPr>
        <w:t>Działania niepożądane u chorych na wMIZS i uMIZS leczonych tocilizumabem wymieniono poniżej i przedstawiono w Tabeli 3 według klasyfikacji układów i narządów MedDRA, Odpowiednie kategorie częstości występowania dla każdego działania niepożądanego są oparte na następującej konwencji: bardzo częste (</w:t>
      </w:r>
      <w:r w:rsidR="00577B60" w:rsidRPr="00F13073">
        <w:rPr>
          <w:rStyle w:val="Char"/>
        </w:rPr>
        <w:t>≥</w:t>
      </w:r>
      <w:r w:rsidRPr="00F13073">
        <w:rPr>
          <w:rStyle w:val="Char"/>
        </w:rPr>
        <w:t xml:space="preserve"> 1/10); częste (</w:t>
      </w:r>
      <w:r w:rsidR="00577B60" w:rsidRPr="00F13073">
        <w:rPr>
          <w:rStyle w:val="Char"/>
        </w:rPr>
        <w:t>≥</w:t>
      </w:r>
      <w:r w:rsidRPr="00F13073">
        <w:rPr>
          <w:rStyle w:val="Char"/>
        </w:rPr>
        <w:t xml:space="preserve"> 1/100 do &lt; 1/10) lub niezbyt częste (</w:t>
      </w:r>
      <w:r w:rsidR="00577B60" w:rsidRPr="00F13073">
        <w:rPr>
          <w:rStyle w:val="Char"/>
        </w:rPr>
        <w:t>≥</w:t>
      </w:r>
      <w:r w:rsidRPr="00F13073">
        <w:rPr>
          <w:rStyle w:val="Char"/>
        </w:rPr>
        <w:t xml:space="preserve"> 1/1 000 do &lt; 1/100).</w:t>
      </w:r>
    </w:p>
    <w:p w14:paraId="408E299E" w14:textId="77777777" w:rsidR="00547117" w:rsidRPr="00F13073" w:rsidRDefault="00547117" w:rsidP="008B4C50"/>
    <w:p w14:paraId="28DF6FE9" w14:textId="77777777" w:rsidR="001E0975" w:rsidRPr="00F13073" w:rsidRDefault="00611033" w:rsidP="008B4C50">
      <w:pPr>
        <w:keepNext/>
        <w:ind w:left="1134" w:hanging="1134"/>
        <w:rPr>
          <w:i/>
          <w:iCs/>
        </w:rPr>
      </w:pPr>
      <w:r w:rsidRPr="00F13073">
        <w:rPr>
          <w:i/>
          <w:iCs/>
        </w:rPr>
        <w:lastRenderedPageBreak/>
        <w:t>Tab</w:t>
      </w:r>
      <w:r w:rsidR="0017744B" w:rsidRPr="00F13073">
        <w:rPr>
          <w:i/>
          <w:iCs/>
        </w:rPr>
        <w:t>e</w:t>
      </w:r>
      <w:r w:rsidRPr="00F13073">
        <w:rPr>
          <w:i/>
          <w:iCs/>
        </w:rPr>
        <w:t>l</w:t>
      </w:r>
      <w:r w:rsidR="00A647F2" w:rsidRPr="00F13073">
        <w:rPr>
          <w:i/>
          <w:iCs/>
        </w:rPr>
        <w:t>a</w:t>
      </w:r>
      <w:r w:rsidRPr="00F13073">
        <w:rPr>
          <w:i/>
          <w:iCs/>
        </w:rPr>
        <w:t xml:space="preserve"> 3</w:t>
      </w:r>
      <w:r w:rsidR="00A647F2" w:rsidRPr="00F13073">
        <w:rPr>
          <w:i/>
          <w:iCs/>
        </w:rPr>
        <w:t>.</w:t>
      </w:r>
      <w:r w:rsidR="00F259C7" w:rsidRPr="00F13073">
        <w:rPr>
          <w:i/>
          <w:iCs/>
        </w:rPr>
        <w:tab/>
      </w:r>
      <w:r w:rsidR="00A647F2" w:rsidRPr="00F13073">
        <w:rPr>
          <w:i/>
          <w:iCs/>
        </w:rPr>
        <w:t>Lista działań niepożądanych występujących w badaniach klinicznych u chorych na uMIZS i wMIZS otrzymujących tocilizumab w monoterapii lub w skojarzeniu z metotreksatem</w:t>
      </w:r>
    </w:p>
    <w:p w14:paraId="1ED50B7F" w14:textId="77777777" w:rsidR="00F259C7" w:rsidRPr="00F13073" w:rsidRDefault="00F259C7" w:rsidP="008B4C50">
      <w:pPr>
        <w:keepNext/>
        <w:ind w:left="1134" w:hanging="1134"/>
        <w:rPr>
          <w:i/>
          <w:iCs/>
        </w:rPr>
      </w:pPr>
    </w:p>
    <w:tbl>
      <w:tblPr>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75"/>
        <w:gridCol w:w="2072"/>
        <w:gridCol w:w="1582"/>
        <w:gridCol w:w="1612"/>
        <w:gridCol w:w="1396"/>
      </w:tblGrid>
      <w:tr w:rsidR="00A47116" w:rsidRPr="00F13073" w14:paraId="31BBA3C4" w14:textId="77777777" w:rsidTr="00B73B0C">
        <w:trPr>
          <w:cantSplit/>
          <w:tblHeader/>
        </w:trPr>
        <w:tc>
          <w:tcPr>
            <w:tcW w:w="1675" w:type="dxa"/>
          </w:tcPr>
          <w:p w14:paraId="6E26D669" w14:textId="77777777" w:rsidR="00A47116" w:rsidRPr="00F13073" w:rsidRDefault="00A47116" w:rsidP="008B4C50">
            <w:pPr>
              <w:keepNext/>
              <w:suppressAutoHyphens/>
              <w:rPr>
                <w:b/>
                <w:bCs/>
                <w:sz w:val="20"/>
                <w:szCs w:val="20"/>
              </w:rPr>
            </w:pPr>
            <w:r w:rsidRPr="00F13073">
              <w:rPr>
                <w:b/>
                <w:bCs/>
                <w:sz w:val="20"/>
                <w:szCs w:val="20"/>
              </w:rPr>
              <w:t>MedDRA Klasyfikacja układów i narządów</w:t>
            </w:r>
          </w:p>
        </w:tc>
        <w:tc>
          <w:tcPr>
            <w:tcW w:w="2072" w:type="dxa"/>
          </w:tcPr>
          <w:p w14:paraId="62FC5ABA" w14:textId="77777777" w:rsidR="00A47116" w:rsidRPr="00F13073" w:rsidRDefault="00A47116" w:rsidP="008B4C50">
            <w:pPr>
              <w:keepNext/>
              <w:suppressAutoHyphens/>
              <w:rPr>
                <w:b/>
                <w:bCs/>
                <w:sz w:val="20"/>
                <w:szCs w:val="20"/>
              </w:rPr>
            </w:pPr>
            <w:r w:rsidRPr="00F13073">
              <w:rPr>
                <w:b/>
                <w:bCs/>
                <w:sz w:val="20"/>
                <w:szCs w:val="20"/>
              </w:rPr>
              <w:t>Zalecana terminologia</w:t>
            </w:r>
          </w:p>
        </w:tc>
        <w:tc>
          <w:tcPr>
            <w:tcW w:w="4590" w:type="dxa"/>
            <w:gridSpan w:val="3"/>
          </w:tcPr>
          <w:p w14:paraId="063170A8" w14:textId="77777777" w:rsidR="00A47116" w:rsidRPr="00F13073" w:rsidRDefault="00A47116" w:rsidP="008A3A9E">
            <w:pPr>
              <w:keepNext/>
              <w:suppressAutoHyphens/>
              <w:jc w:val="center"/>
              <w:rPr>
                <w:b/>
                <w:bCs/>
                <w:sz w:val="20"/>
                <w:szCs w:val="20"/>
              </w:rPr>
            </w:pPr>
            <w:r w:rsidRPr="00F13073">
              <w:rPr>
                <w:b/>
                <w:bCs/>
                <w:sz w:val="20"/>
                <w:szCs w:val="20"/>
              </w:rPr>
              <w:t>Częstość</w:t>
            </w:r>
          </w:p>
        </w:tc>
      </w:tr>
      <w:tr w:rsidR="00A47116" w:rsidRPr="00F13073" w14:paraId="0F28402F" w14:textId="77777777" w:rsidTr="00B73B0C">
        <w:trPr>
          <w:cantSplit/>
          <w:tblHeader/>
        </w:trPr>
        <w:tc>
          <w:tcPr>
            <w:tcW w:w="3747" w:type="dxa"/>
            <w:gridSpan w:val="2"/>
          </w:tcPr>
          <w:p w14:paraId="06865BAA" w14:textId="77777777" w:rsidR="00A47116" w:rsidRPr="00F13073" w:rsidRDefault="00A47116" w:rsidP="008B4C50">
            <w:pPr>
              <w:keepNext/>
              <w:suppressAutoHyphens/>
              <w:rPr>
                <w:sz w:val="20"/>
                <w:szCs w:val="20"/>
              </w:rPr>
            </w:pPr>
            <w:r w:rsidRPr="00F13073">
              <w:rPr>
                <w:sz w:val="20"/>
                <w:szCs w:val="20"/>
              </w:rPr>
              <w:t>Zakażenia i zarażenia pasożytnicze</w:t>
            </w:r>
          </w:p>
        </w:tc>
        <w:tc>
          <w:tcPr>
            <w:tcW w:w="1582" w:type="dxa"/>
          </w:tcPr>
          <w:p w14:paraId="6B774AD8" w14:textId="77777777" w:rsidR="00A47116" w:rsidRPr="00F13073" w:rsidRDefault="00A47116" w:rsidP="008B4C50">
            <w:pPr>
              <w:keepNext/>
              <w:suppressAutoHyphens/>
              <w:rPr>
                <w:sz w:val="20"/>
                <w:szCs w:val="20"/>
              </w:rPr>
            </w:pPr>
            <w:r w:rsidRPr="00F13073">
              <w:rPr>
                <w:sz w:val="20"/>
                <w:szCs w:val="20"/>
              </w:rPr>
              <w:t>Bardzo często</w:t>
            </w:r>
          </w:p>
        </w:tc>
        <w:tc>
          <w:tcPr>
            <w:tcW w:w="1612" w:type="dxa"/>
          </w:tcPr>
          <w:p w14:paraId="5A7F2240" w14:textId="77777777" w:rsidR="00A47116" w:rsidRPr="00F13073" w:rsidRDefault="00A47116" w:rsidP="008B4C50">
            <w:pPr>
              <w:keepNext/>
              <w:suppressAutoHyphens/>
              <w:rPr>
                <w:sz w:val="20"/>
                <w:szCs w:val="20"/>
              </w:rPr>
            </w:pPr>
            <w:r w:rsidRPr="00F13073">
              <w:rPr>
                <w:sz w:val="20"/>
                <w:szCs w:val="20"/>
              </w:rPr>
              <w:t>Często</w:t>
            </w:r>
          </w:p>
        </w:tc>
        <w:tc>
          <w:tcPr>
            <w:tcW w:w="1396" w:type="dxa"/>
          </w:tcPr>
          <w:p w14:paraId="5A51CCBC" w14:textId="77777777" w:rsidR="00A47116" w:rsidRPr="00F13073" w:rsidRDefault="00A47116" w:rsidP="008B4C50">
            <w:pPr>
              <w:keepNext/>
              <w:suppressAutoHyphens/>
              <w:ind w:right="-29"/>
              <w:rPr>
                <w:sz w:val="20"/>
                <w:szCs w:val="20"/>
              </w:rPr>
            </w:pPr>
            <w:r w:rsidRPr="00F13073">
              <w:rPr>
                <w:sz w:val="20"/>
                <w:szCs w:val="20"/>
              </w:rPr>
              <w:t>Niezbyt często</w:t>
            </w:r>
          </w:p>
        </w:tc>
      </w:tr>
      <w:tr w:rsidR="00A47116" w:rsidRPr="00F13073" w14:paraId="2E2ACB9A" w14:textId="77777777" w:rsidTr="00B73B0C">
        <w:trPr>
          <w:cantSplit/>
          <w:tblHeader/>
        </w:trPr>
        <w:tc>
          <w:tcPr>
            <w:tcW w:w="1675" w:type="dxa"/>
            <w:vMerge w:val="restart"/>
          </w:tcPr>
          <w:p w14:paraId="16331688" w14:textId="77777777" w:rsidR="00A47116" w:rsidRPr="00F13073" w:rsidRDefault="00A47116" w:rsidP="008B4C50">
            <w:pPr>
              <w:keepNext/>
              <w:suppressAutoHyphens/>
              <w:rPr>
                <w:sz w:val="20"/>
                <w:szCs w:val="20"/>
              </w:rPr>
            </w:pPr>
          </w:p>
        </w:tc>
        <w:tc>
          <w:tcPr>
            <w:tcW w:w="2072" w:type="dxa"/>
          </w:tcPr>
          <w:p w14:paraId="40F40F83" w14:textId="77777777" w:rsidR="00A47116" w:rsidRPr="00F13073" w:rsidRDefault="00A47116" w:rsidP="008B4C50">
            <w:pPr>
              <w:keepNext/>
              <w:suppressAutoHyphens/>
              <w:rPr>
                <w:sz w:val="20"/>
                <w:szCs w:val="20"/>
              </w:rPr>
            </w:pPr>
            <w:r w:rsidRPr="00F13073">
              <w:rPr>
                <w:sz w:val="20"/>
                <w:szCs w:val="20"/>
              </w:rPr>
              <w:t>Zakażenie górnych dróg oddechowych</w:t>
            </w:r>
          </w:p>
        </w:tc>
        <w:tc>
          <w:tcPr>
            <w:tcW w:w="1582" w:type="dxa"/>
          </w:tcPr>
          <w:p w14:paraId="6E03DF97" w14:textId="77777777" w:rsidR="00A47116" w:rsidRPr="00F13073" w:rsidRDefault="00A47116" w:rsidP="008B4C50">
            <w:pPr>
              <w:keepNext/>
              <w:suppressAutoHyphens/>
              <w:rPr>
                <w:sz w:val="20"/>
                <w:szCs w:val="20"/>
              </w:rPr>
            </w:pPr>
            <w:r w:rsidRPr="00F13073">
              <w:rPr>
                <w:sz w:val="20"/>
                <w:szCs w:val="20"/>
              </w:rPr>
              <w:t>wMIZS, uMIZS</w:t>
            </w:r>
          </w:p>
        </w:tc>
        <w:tc>
          <w:tcPr>
            <w:tcW w:w="1612" w:type="dxa"/>
          </w:tcPr>
          <w:p w14:paraId="25A59D3E" w14:textId="77777777" w:rsidR="00A47116" w:rsidRPr="00F13073" w:rsidRDefault="00A47116" w:rsidP="008B4C50">
            <w:pPr>
              <w:keepNext/>
              <w:suppressAutoHyphens/>
              <w:rPr>
                <w:sz w:val="20"/>
                <w:szCs w:val="20"/>
              </w:rPr>
            </w:pPr>
          </w:p>
        </w:tc>
        <w:tc>
          <w:tcPr>
            <w:tcW w:w="1396" w:type="dxa"/>
          </w:tcPr>
          <w:p w14:paraId="5D8E10E3" w14:textId="77777777" w:rsidR="00A47116" w:rsidRPr="00F13073" w:rsidRDefault="00A47116" w:rsidP="008B4C50">
            <w:pPr>
              <w:keepNext/>
              <w:suppressAutoHyphens/>
              <w:rPr>
                <w:sz w:val="20"/>
                <w:szCs w:val="20"/>
              </w:rPr>
            </w:pPr>
          </w:p>
        </w:tc>
      </w:tr>
      <w:tr w:rsidR="00A47116" w:rsidRPr="00F13073" w14:paraId="0EDAAA00" w14:textId="77777777" w:rsidTr="00B73B0C">
        <w:trPr>
          <w:cantSplit/>
          <w:tblHeader/>
        </w:trPr>
        <w:tc>
          <w:tcPr>
            <w:tcW w:w="1675" w:type="dxa"/>
            <w:vMerge/>
          </w:tcPr>
          <w:p w14:paraId="3AD1A571" w14:textId="77777777" w:rsidR="00A47116" w:rsidRPr="00F13073" w:rsidRDefault="00A47116" w:rsidP="008B4C50">
            <w:pPr>
              <w:suppressAutoHyphens/>
              <w:rPr>
                <w:sz w:val="20"/>
                <w:szCs w:val="20"/>
              </w:rPr>
            </w:pPr>
          </w:p>
        </w:tc>
        <w:tc>
          <w:tcPr>
            <w:tcW w:w="2072" w:type="dxa"/>
          </w:tcPr>
          <w:p w14:paraId="17C4B95E" w14:textId="77777777" w:rsidR="00A47116" w:rsidRPr="00F13073" w:rsidRDefault="00A47116" w:rsidP="008B4C50">
            <w:pPr>
              <w:suppressAutoHyphens/>
              <w:rPr>
                <w:sz w:val="20"/>
                <w:szCs w:val="20"/>
              </w:rPr>
            </w:pPr>
            <w:r w:rsidRPr="00F13073">
              <w:rPr>
                <w:sz w:val="20"/>
                <w:szCs w:val="20"/>
              </w:rPr>
              <w:t>Zapalenie nosa i gardła</w:t>
            </w:r>
          </w:p>
        </w:tc>
        <w:tc>
          <w:tcPr>
            <w:tcW w:w="1582" w:type="dxa"/>
          </w:tcPr>
          <w:p w14:paraId="71081267" w14:textId="77777777" w:rsidR="00A47116" w:rsidRPr="00F13073" w:rsidRDefault="00A47116" w:rsidP="008B4C50">
            <w:pPr>
              <w:suppressAutoHyphens/>
              <w:rPr>
                <w:sz w:val="20"/>
                <w:szCs w:val="20"/>
              </w:rPr>
            </w:pPr>
            <w:r w:rsidRPr="00F13073">
              <w:rPr>
                <w:sz w:val="20"/>
                <w:szCs w:val="20"/>
              </w:rPr>
              <w:t>wMIZS, uMIZS</w:t>
            </w:r>
          </w:p>
        </w:tc>
        <w:tc>
          <w:tcPr>
            <w:tcW w:w="1612" w:type="dxa"/>
          </w:tcPr>
          <w:p w14:paraId="5DB6EFA7" w14:textId="77777777" w:rsidR="00A47116" w:rsidRPr="00F13073" w:rsidRDefault="00A47116" w:rsidP="008B4C50">
            <w:pPr>
              <w:suppressAutoHyphens/>
              <w:rPr>
                <w:sz w:val="20"/>
                <w:szCs w:val="20"/>
              </w:rPr>
            </w:pPr>
          </w:p>
        </w:tc>
        <w:tc>
          <w:tcPr>
            <w:tcW w:w="1396" w:type="dxa"/>
          </w:tcPr>
          <w:p w14:paraId="4E14CBC9" w14:textId="77777777" w:rsidR="00A47116" w:rsidRPr="00F13073" w:rsidRDefault="00A47116" w:rsidP="008B4C50">
            <w:pPr>
              <w:suppressAutoHyphens/>
              <w:rPr>
                <w:sz w:val="20"/>
                <w:szCs w:val="20"/>
              </w:rPr>
            </w:pPr>
          </w:p>
        </w:tc>
      </w:tr>
      <w:tr w:rsidR="00A47116" w:rsidRPr="00F13073" w14:paraId="3E7F6223" w14:textId="77777777" w:rsidTr="00B73B0C">
        <w:trPr>
          <w:cantSplit/>
          <w:tblHeader/>
        </w:trPr>
        <w:tc>
          <w:tcPr>
            <w:tcW w:w="3747" w:type="dxa"/>
            <w:gridSpan w:val="2"/>
            <w:vAlign w:val="bottom"/>
          </w:tcPr>
          <w:p w14:paraId="75B87C84" w14:textId="77777777" w:rsidR="00A47116" w:rsidRPr="00F13073" w:rsidRDefault="00A47116" w:rsidP="008B4C50">
            <w:pPr>
              <w:keepNext/>
              <w:suppressAutoHyphens/>
              <w:rPr>
                <w:sz w:val="20"/>
                <w:szCs w:val="20"/>
              </w:rPr>
            </w:pPr>
            <w:r w:rsidRPr="00F13073">
              <w:rPr>
                <w:rStyle w:val="Other"/>
                <w:rFonts w:eastAsia="DengXian"/>
                <w:sz w:val="20"/>
                <w:szCs w:val="20"/>
              </w:rPr>
              <w:t>Zaburzenia układu nerwowego</w:t>
            </w:r>
          </w:p>
        </w:tc>
        <w:tc>
          <w:tcPr>
            <w:tcW w:w="1582" w:type="dxa"/>
          </w:tcPr>
          <w:p w14:paraId="418DCED6" w14:textId="77777777" w:rsidR="00A47116" w:rsidRPr="00F13073" w:rsidRDefault="00A47116" w:rsidP="008B4C50">
            <w:pPr>
              <w:keepNext/>
              <w:suppressAutoHyphens/>
              <w:rPr>
                <w:sz w:val="20"/>
                <w:szCs w:val="20"/>
              </w:rPr>
            </w:pPr>
          </w:p>
        </w:tc>
        <w:tc>
          <w:tcPr>
            <w:tcW w:w="1612" w:type="dxa"/>
          </w:tcPr>
          <w:p w14:paraId="7844BD62" w14:textId="77777777" w:rsidR="00A47116" w:rsidRPr="00F13073" w:rsidRDefault="00A47116" w:rsidP="008B4C50">
            <w:pPr>
              <w:keepNext/>
              <w:suppressAutoHyphens/>
              <w:rPr>
                <w:sz w:val="20"/>
                <w:szCs w:val="20"/>
              </w:rPr>
            </w:pPr>
          </w:p>
        </w:tc>
        <w:tc>
          <w:tcPr>
            <w:tcW w:w="1396" w:type="dxa"/>
          </w:tcPr>
          <w:p w14:paraId="00224A0C" w14:textId="77777777" w:rsidR="00A47116" w:rsidRPr="00F13073" w:rsidRDefault="00A47116" w:rsidP="008B4C50">
            <w:pPr>
              <w:keepNext/>
              <w:suppressAutoHyphens/>
              <w:rPr>
                <w:sz w:val="20"/>
                <w:szCs w:val="20"/>
              </w:rPr>
            </w:pPr>
          </w:p>
        </w:tc>
      </w:tr>
      <w:tr w:rsidR="00A47116" w:rsidRPr="00F13073" w14:paraId="06E3FDC3" w14:textId="77777777" w:rsidTr="00B73B0C">
        <w:trPr>
          <w:cantSplit/>
          <w:tblHeader/>
        </w:trPr>
        <w:tc>
          <w:tcPr>
            <w:tcW w:w="1675" w:type="dxa"/>
            <w:vAlign w:val="bottom"/>
          </w:tcPr>
          <w:p w14:paraId="37E49FE6" w14:textId="77777777" w:rsidR="00A47116" w:rsidRPr="00F13073" w:rsidRDefault="00A47116" w:rsidP="008B4C50">
            <w:pPr>
              <w:suppressAutoHyphens/>
              <w:rPr>
                <w:sz w:val="20"/>
                <w:szCs w:val="20"/>
              </w:rPr>
            </w:pPr>
          </w:p>
        </w:tc>
        <w:tc>
          <w:tcPr>
            <w:tcW w:w="2072" w:type="dxa"/>
            <w:vAlign w:val="bottom"/>
          </w:tcPr>
          <w:p w14:paraId="58D711D8" w14:textId="77777777" w:rsidR="00A47116" w:rsidRPr="00F13073" w:rsidRDefault="00A47116" w:rsidP="008B4C50">
            <w:pPr>
              <w:suppressAutoHyphens/>
              <w:rPr>
                <w:sz w:val="20"/>
                <w:szCs w:val="20"/>
              </w:rPr>
            </w:pPr>
            <w:r w:rsidRPr="00F13073">
              <w:rPr>
                <w:rStyle w:val="Other"/>
                <w:rFonts w:eastAsia="DengXian"/>
                <w:sz w:val="20"/>
                <w:szCs w:val="20"/>
              </w:rPr>
              <w:t>Ból głowy</w:t>
            </w:r>
          </w:p>
        </w:tc>
        <w:tc>
          <w:tcPr>
            <w:tcW w:w="1582" w:type="dxa"/>
            <w:vAlign w:val="bottom"/>
          </w:tcPr>
          <w:p w14:paraId="4DD47CC3" w14:textId="77777777" w:rsidR="00A47116" w:rsidRPr="00F13073" w:rsidRDefault="00A47116" w:rsidP="008B4C50">
            <w:pPr>
              <w:suppressAutoHyphens/>
              <w:rPr>
                <w:sz w:val="20"/>
                <w:szCs w:val="20"/>
              </w:rPr>
            </w:pPr>
            <w:r w:rsidRPr="00F13073">
              <w:rPr>
                <w:rStyle w:val="Other"/>
                <w:rFonts w:eastAsia="DengXian"/>
                <w:sz w:val="20"/>
                <w:szCs w:val="20"/>
              </w:rPr>
              <w:t>wMIZS</w:t>
            </w:r>
          </w:p>
        </w:tc>
        <w:tc>
          <w:tcPr>
            <w:tcW w:w="1612" w:type="dxa"/>
            <w:vAlign w:val="bottom"/>
          </w:tcPr>
          <w:p w14:paraId="6BC310E4" w14:textId="77777777" w:rsidR="00A47116" w:rsidRPr="00F13073" w:rsidRDefault="00A47116" w:rsidP="008B4C50">
            <w:pPr>
              <w:suppressAutoHyphens/>
              <w:rPr>
                <w:sz w:val="20"/>
                <w:szCs w:val="20"/>
              </w:rPr>
            </w:pPr>
            <w:r w:rsidRPr="00F13073">
              <w:rPr>
                <w:rStyle w:val="Other"/>
                <w:rFonts w:eastAsia="DengXian"/>
                <w:sz w:val="20"/>
                <w:szCs w:val="20"/>
              </w:rPr>
              <w:t>uMIZS</w:t>
            </w:r>
          </w:p>
        </w:tc>
        <w:tc>
          <w:tcPr>
            <w:tcW w:w="1396" w:type="dxa"/>
          </w:tcPr>
          <w:p w14:paraId="356BE2AE" w14:textId="77777777" w:rsidR="00A47116" w:rsidRPr="00F13073" w:rsidRDefault="00A47116" w:rsidP="008B4C50">
            <w:pPr>
              <w:suppressAutoHyphens/>
              <w:rPr>
                <w:sz w:val="20"/>
                <w:szCs w:val="20"/>
              </w:rPr>
            </w:pPr>
          </w:p>
        </w:tc>
      </w:tr>
      <w:tr w:rsidR="00A47116" w:rsidRPr="00F13073" w14:paraId="28380989" w14:textId="77777777" w:rsidTr="00B73B0C">
        <w:trPr>
          <w:cantSplit/>
          <w:tblHeader/>
        </w:trPr>
        <w:tc>
          <w:tcPr>
            <w:tcW w:w="3747" w:type="dxa"/>
            <w:gridSpan w:val="2"/>
            <w:vAlign w:val="bottom"/>
          </w:tcPr>
          <w:p w14:paraId="738ADF6E" w14:textId="77777777" w:rsidR="00A47116" w:rsidRPr="00F13073" w:rsidRDefault="00A47116" w:rsidP="008B4C50">
            <w:pPr>
              <w:keepNext/>
              <w:suppressAutoHyphens/>
              <w:rPr>
                <w:sz w:val="20"/>
                <w:szCs w:val="20"/>
              </w:rPr>
            </w:pPr>
            <w:r w:rsidRPr="00F13073">
              <w:rPr>
                <w:rStyle w:val="Other"/>
                <w:rFonts w:eastAsia="DengXian"/>
                <w:sz w:val="20"/>
                <w:szCs w:val="20"/>
              </w:rPr>
              <w:t>Zaburzenia żołądka i jelit</w:t>
            </w:r>
          </w:p>
        </w:tc>
        <w:tc>
          <w:tcPr>
            <w:tcW w:w="1582" w:type="dxa"/>
          </w:tcPr>
          <w:p w14:paraId="31AA64A4" w14:textId="77777777" w:rsidR="00A47116" w:rsidRPr="00F13073" w:rsidRDefault="00A47116" w:rsidP="008B4C50">
            <w:pPr>
              <w:keepNext/>
              <w:suppressAutoHyphens/>
              <w:rPr>
                <w:sz w:val="20"/>
                <w:szCs w:val="20"/>
              </w:rPr>
            </w:pPr>
          </w:p>
        </w:tc>
        <w:tc>
          <w:tcPr>
            <w:tcW w:w="1612" w:type="dxa"/>
          </w:tcPr>
          <w:p w14:paraId="70E3ADC9" w14:textId="77777777" w:rsidR="00A47116" w:rsidRPr="00F13073" w:rsidRDefault="00A47116" w:rsidP="008B4C50">
            <w:pPr>
              <w:keepNext/>
              <w:suppressAutoHyphens/>
              <w:rPr>
                <w:sz w:val="20"/>
                <w:szCs w:val="20"/>
              </w:rPr>
            </w:pPr>
          </w:p>
        </w:tc>
        <w:tc>
          <w:tcPr>
            <w:tcW w:w="1396" w:type="dxa"/>
          </w:tcPr>
          <w:p w14:paraId="698ED96D" w14:textId="77777777" w:rsidR="00A47116" w:rsidRPr="00F13073" w:rsidRDefault="00A47116" w:rsidP="008B4C50">
            <w:pPr>
              <w:keepNext/>
              <w:suppressAutoHyphens/>
              <w:rPr>
                <w:sz w:val="20"/>
                <w:szCs w:val="20"/>
              </w:rPr>
            </w:pPr>
          </w:p>
        </w:tc>
      </w:tr>
      <w:tr w:rsidR="00A47116" w:rsidRPr="00F13073" w14:paraId="08110971" w14:textId="77777777" w:rsidTr="00B73B0C">
        <w:trPr>
          <w:cantSplit/>
          <w:tblHeader/>
        </w:trPr>
        <w:tc>
          <w:tcPr>
            <w:tcW w:w="1675" w:type="dxa"/>
            <w:vMerge w:val="restart"/>
          </w:tcPr>
          <w:p w14:paraId="08D28592" w14:textId="77777777" w:rsidR="00A47116" w:rsidRPr="00F13073" w:rsidRDefault="00A47116" w:rsidP="008B4C50">
            <w:pPr>
              <w:keepNext/>
              <w:suppressAutoHyphens/>
              <w:rPr>
                <w:sz w:val="20"/>
                <w:szCs w:val="20"/>
              </w:rPr>
            </w:pPr>
          </w:p>
          <w:p w14:paraId="0F5AD961" w14:textId="77777777" w:rsidR="00A47116" w:rsidRPr="00F13073" w:rsidRDefault="00A47116" w:rsidP="008B4C50">
            <w:pPr>
              <w:keepNext/>
              <w:suppressAutoHyphens/>
              <w:rPr>
                <w:sz w:val="20"/>
                <w:szCs w:val="20"/>
              </w:rPr>
            </w:pPr>
          </w:p>
        </w:tc>
        <w:tc>
          <w:tcPr>
            <w:tcW w:w="2072" w:type="dxa"/>
            <w:vAlign w:val="bottom"/>
          </w:tcPr>
          <w:p w14:paraId="2B521F94" w14:textId="77777777" w:rsidR="00A47116" w:rsidRPr="00F13073" w:rsidRDefault="00A47116" w:rsidP="008B4C50">
            <w:pPr>
              <w:keepNext/>
              <w:suppressAutoHyphens/>
              <w:rPr>
                <w:sz w:val="20"/>
                <w:szCs w:val="20"/>
              </w:rPr>
            </w:pPr>
            <w:r w:rsidRPr="00F13073">
              <w:rPr>
                <w:rStyle w:val="Other"/>
                <w:rFonts w:eastAsia="DengXian"/>
                <w:sz w:val="20"/>
                <w:szCs w:val="20"/>
              </w:rPr>
              <w:t>Nudności</w:t>
            </w:r>
          </w:p>
        </w:tc>
        <w:tc>
          <w:tcPr>
            <w:tcW w:w="1582" w:type="dxa"/>
          </w:tcPr>
          <w:p w14:paraId="0892333B" w14:textId="77777777" w:rsidR="00A47116" w:rsidRPr="00F13073" w:rsidRDefault="00A47116" w:rsidP="008B4C50">
            <w:pPr>
              <w:keepNext/>
              <w:suppressAutoHyphens/>
              <w:rPr>
                <w:sz w:val="20"/>
                <w:szCs w:val="20"/>
              </w:rPr>
            </w:pPr>
          </w:p>
        </w:tc>
        <w:tc>
          <w:tcPr>
            <w:tcW w:w="1612" w:type="dxa"/>
            <w:vAlign w:val="bottom"/>
          </w:tcPr>
          <w:p w14:paraId="6BC41654" w14:textId="77777777" w:rsidR="00A47116" w:rsidRPr="00F13073" w:rsidRDefault="00A47116" w:rsidP="008B4C50">
            <w:pPr>
              <w:keepNext/>
              <w:suppressAutoHyphens/>
              <w:rPr>
                <w:sz w:val="20"/>
                <w:szCs w:val="20"/>
              </w:rPr>
            </w:pPr>
            <w:r w:rsidRPr="00F13073">
              <w:rPr>
                <w:rStyle w:val="Other"/>
                <w:rFonts w:eastAsia="DengXian"/>
                <w:sz w:val="20"/>
                <w:szCs w:val="20"/>
              </w:rPr>
              <w:t>wMIZS</w:t>
            </w:r>
          </w:p>
        </w:tc>
        <w:tc>
          <w:tcPr>
            <w:tcW w:w="1396" w:type="dxa"/>
          </w:tcPr>
          <w:p w14:paraId="5C9981AF" w14:textId="77777777" w:rsidR="00A47116" w:rsidRPr="00F13073" w:rsidRDefault="00A47116" w:rsidP="008B4C50">
            <w:pPr>
              <w:keepNext/>
              <w:suppressAutoHyphens/>
              <w:rPr>
                <w:sz w:val="20"/>
                <w:szCs w:val="20"/>
              </w:rPr>
            </w:pPr>
          </w:p>
        </w:tc>
      </w:tr>
      <w:tr w:rsidR="00A47116" w:rsidRPr="00F13073" w14:paraId="098229F9" w14:textId="77777777" w:rsidTr="00B73B0C">
        <w:trPr>
          <w:cantSplit/>
          <w:tblHeader/>
        </w:trPr>
        <w:tc>
          <w:tcPr>
            <w:tcW w:w="1675" w:type="dxa"/>
            <w:vMerge/>
          </w:tcPr>
          <w:p w14:paraId="10A3F8FD" w14:textId="77777777" w:rsidR="00A47116" w:rsidRPr="00F13073" w:rsidRDefault="00A47116" w:rsidP="008B4C50">
            <w:pPr>
              <w:suppressAutoHyphens/>
              <w:rPr>
                <w:sz w:val="20"/>
                <w:szCs w:val="20"/>
              </w:rPr>
            </w:pPr>
          </w:p>
        </w:tc>
        <w:tc>
          <w:tcPr>
            <w:tcW w:w="2072" w:type="dxa"/>
            <w:vAlign w:val="bottom"/>
          </w:tcPr>
          <w:p w14:paraId="7D93B994" w14:textId="77777777" w:rsidR="00A47116" w:rsidRPr="00F13073" w:rsidRDefault="00A47116" w:rsidP="008B4C50">
            <w:pPr>
              <w:suppressAutoHyphens/>
              <w:rPr>
                <w:sz w:val="20"/>
                <w:szCs w:val="20"/>
              </w:rPr>
            </w:pPr>
            <w:r w:rsidRPr="00F13073">
              <w:rPr>
                <w:rStyle w:val="Other"/>
                <w:rFonts w:eastAsia="DengXian"/>
                <w:sz w:val="20"/>
                <w:szCs w:val="20"/>
              </w:rPr>
              <w:t>Biegunka</w:t>
            </w:r>
          </w:p>
        </w:tc>
        <w:tc>
          <w:tcPr>
            <w:tcW w:w="1582" w:type="dxa"/>
          </w:tcPr>
          <w:p w14:paraId="27436165" w14:textId="77777777" w:rsidR="00A47116" w:rsidRPr="00F13073" w:rsidRDefault="00A47116" w:rsidP="008B4C50">
            <w:pPr>
              <w:suppressAutoHyphens/>
              <w:rPr>
                <w:sz w:val="20"/>
                <w:szCs w:val="20"/>
              </w:rPr>
            </w:pPr>
          </w:p>
        </w:tc>
        <w:tc>
          <w:tcPr>
            <w:tcW w:w="1612" w:type="dxa"/>
            <w:vAlign w:val="bottom"/>
          </w:tcPr>
          <w:p w14:paraId="5EFC38A1" w14:textId="77777777" w:rsidR="00A47116" w:rsidRPr="00F13073" w:rsidRDefault="00A47116" w:rsidP="008B4C50">
            <w:pPr>
              <w:suppressAutoHyphens/>
              <w:rPr>
                <w:sz w:val="20"/>
                <w:szCs w:val="20"/>
              </w:rPr>
            </w:pPr>
            <w:r w:rsidRPr="00F13073">
              <w:rPr>
                <w:rStyle w:val="Other"/>
                <w:rFonts w:eastAsia="DengXian"/>
                <w:sz w:val="20"/>
                <w:szCs w:val="20"/>
              </w:rPr>
              <w:t>wMIZS, uMIZS</w:t>
            </w:r>
          </w:p>
        </w:tc>
        <w:tc>
          <w:tcPr>
            <w:tcW w:w="1396" w:type="dxa"/>
          </w:tcPr>
          <w:p w14:paraId="0D1569A2" w14:textId="77777777" w:rsidR="00A47116" w:rsidRPr="00F13073" w:rsidRDefault="00A47116" w:rsidP="008B4C50">
            <w:pPr>
              <w:suppressAutoHyphens/>
              <w:rPr>
                <w:sz w:val="20"/>
                <w:szCs w:val="20"/>
              </w:rPr>
            </w:pPr>
          </w:p>
        </w:tc>
      </w:tr>
      <w:tr w:rsidR="00A47116" w:rsidRPr="00F13073" w14:paraId="01A5C27D" w14:textId="77777777" w:rsidTr="00B73B0C">
        <w:trPr>
          <w:cantSplit/>
          <w:tblHeader/>
        </w:trPr>
        <w:tc>
          <w:tcPr>
            <w:tcW w:w="3747" w:type="dxa"/>
            <w:gridSpan w:val="2"/>
            <w:vAlign w:val="bottom"/>
          </w:tcPr>
          <w:p w14:paraId="6190D8D2" w14:textId="77777777" w:rsidR="00A47116" w:rsidRPr="00F13073" w:rsidRDefault="00A47116" w:rsidP="008B4C50">
            <w:pPr>
              <w:keepNext/>
              <w:suppressAutoHyphens/>
              <w:rPr>
                <w:sz w:val="20"/>
                <w:szCs w:val="20"/>
              </w:rPr>
            </w:pPr>
            <w:r w:rsidRPr="00F13073">
              <w:rPr>
                <w:rStyle w:val="Other"/>
                <w:rFonts w:eastAsia="DengXian"/>
                <w:sz w:val="20"/>
                <w:szCs w:val="20"/>
              </w:rPr>
              <w:t>Zaburzenia ogólne i stany w miejscu podania</w:t>
            </w:r>
          </w:p>
        </w:tc>
        <w:tc>
          <w:tcPr>
            <w:tcW w:w="1582" w:type="dxa"/>
          </w:tcPr>
          <w:p w14:paraId="0CDAE64E" w14:textId="77777777" w:rsidR="00A47116" w:rsidRPr="00F13073" w:rsidRDefault="00A47116" w:rsidP="008B4C50">
            <w:pPr>
              <w:keepNext/>
              <w:suppressAutoHyphens/>
              <w:rPr>
                <w:sz w:val="20"/>
                <w:szCs w:val="20"/>
              </w:rPr>
            </w:pPr>
          </w:p>
        </w:tc>
        <w:tc>
          <w:tcPr>
            <w:tcW w:w="1612" w:type="dxa"/>
          </w:tcPr>
          <w:p w14:paraId="44C1F509" w14:textId="77777777" w:rsidR="00A47116" w:rsidRPr="00F13073" w:rsidRDefault="00A47116" w:rsidP="008B4C50">
            <w:pPr>
              <w:keepNext/>
              <w:suppressAutoHyphens/>
              <w:rPr>
                <w:sz w:val="20"/>
                <w:szCs w:val="20"/>
              </w:rPr>
            </w:pPr>
          </w:p>
        </w:tc>
        <w:tc>
          <w:tcPr>
            <w:tcW w:w="1396" w:type="dxa"/>
          </w:tcPr>
          <w:p w14:paraId="5FE224AC" w14:textId="77777777" w:rsidR="00A47116" w:rsidRPr="00F13073" w:rsidRDefault="00A47116" w:rsidP="008B4C50">
            <w:pPr>
              <w:keepNext/>
              <w:suppressAutoHyphens/>
              <w:rPr>
                <w:sz w:val="20"/>
                <w:szCs w:val="20"/>
              </w:rPr>
            </w:pPr>
          </w:p>
        </w:tc>
      </w:tr>
      <w:tr w:rsidR="00A47116" w:rsidRPr="00F13073" w14:paraId="2191E092" w14:textId="77777777" w:rsidTr="00B73B0C">
        <w:trPr>
          <w:cantSplit/>
          <w:tblHeader/>
        </w:trPr>
        <w:tc>
          <w:tcPr>
            <w:tcW w:w="1675" w:type="dxa"/>
          </w:tcPr>
          <w:p w14:paraId="4F22ED62" w14:textId="77777777" w:rsidR="00A47116" w:rsidRPr="00F13073" w:rsidRDefault="00A47116" w:rsidP="008B4C50">
            <w:pPr>
              <w:suppressAutoHyphens/>
              <w:rPr>
                <w:sz w:val="20"/>
                <w:szCs w:val="20"/>
              </w:rPr>
            </w:pPr>
          </w:p>
        </w:tc>
        <w:tc>
          <w:tcPr>
            <w:tcW w:w="2072" w:type="dxa"/>
            <w:vAlign w:val="bottom"/>
          </w:tcPr>
          <w:p w14:paraId="09F99662" w14:textId="77777777" w:rsidR="00A47116" w:rsidRPr="00F13073" w:rsidRDefault="00A47116" w:rsidP="008B4C50">
            <w:pPr>
              <w:suppressAutoHyphens/>
              <w:rPr>
                <w:sz w:val="20"/>
                <w:szCs w:val="20"/>
              </w:rPr>
            </w:pPr>
            <w:r w:rsidRPr="00F13073">
              <w:rPr>
                <w:rStyle w:val="Other"/>
                <w:rFonts w:eastAsia="DengXian"/>
                <w:sz w:val="20"/>
                <w:szCs w:val="20"/>
              </w:rPr>
              <w:t>Reakcje związane z infuzją</w:t>
            </w:r>
          </w:p>
        </w:tc>
        <w:tc>
          <w:tcPr>
            <w:tcW w:w="1582" w:type="dxa"/>
          </w:tcPr>
          <w:p w14:paraId="470ADB02" w14:textId="77777777" w:rsidR="00A47116" w:rsidRPr="00F13073" w:rsidRDefault="00A47116" w:rsidP="008B4C50">
            <w:pPr>
              <w:suppressAutoHyphens/>
              <w:rPr>
                <w:sz w:val="20"/>
                <w:szCs w:val="20"/>
              </w:rPr>
            </w:pPr>
          </w:p>
        </w:tc>
        <w:tc>
          <w:tcPr>
            <w:tcW w:w="1612" w:type="dxa"/>
          </w:tcPr>
          <w:p w14:paraId="0680B86B" w14:textId="77777777" w:rsidR="00A47116" w:rsidRPr="00F13073" w:rsidRDefault="00A47116" w:rsidP="008B4C50">
            <w:pPr>
              <w:suppressAutoHyphens/>
              <w:ind w:right="-89"/>
              <w:rPr>
                <w:sz w:val="20"/>
                <w:szCs w:val="20"/>
              </w:rPr>
            </w:pPr>
            <w:r w:rsidRPr="00F13073">
              <w:rPr>
                <w:rStyle w:val="Other"/>
                <w:rFonts w:eastAsia="DengXian"/>
                <w:sz w:val="20"/>
                <w:szCs w:val="20"/>
              </w:rPr>
              <w:t>wMIZS</w:t>
            </w:r>
            <w:r w:rsidRPr="00F13073">
              <w:rPr>
                <w:rStyle w:val="Other"/>
                <w:rFonts w:eastAsia="DengXian"/>
                <w:sz w:val="20"/>
                <w:szCs w:val="20"/>
                <w:vertAlign w:val="superscript"/>
              </w:rPr>
              <w:t>1</w:t>
            </w:r>
            <w:r w:rsidRPr="00F13073">
              <w:rPr>
                <w:rStyle w:val="Other"/>
                <w:rFonts w:eastAsia="DengXian"/>
                <w:sz w:val="20"/>
                <w:szCs w:val="20"/>
              </w:rPr>
              <w:t>, uMIZS</w:t>
            </w:r>
            <w:r w:rsidRPr="00F13073">
              <w:rPr>
                <w:rStyle w:val="Other"/>
                <w:rFonts w:eastAsia="DengXian"/>
                <w:sz w:val="20"/>
                <w:szCs w:val="20"/>
                <w:vertAlign w:val="superscript"/>
              </w:rPr>
              <w:t>2</w:t>
            </w:r>
          </w:p>
        </w:tc>
        <w:tc>
          <w:tcPr>
            <w:tcW w:w="1396" w:type="dxa"/>
          </w:tcPr>
          <w:p w14:paraId="132F8870" w14:textId="77777777" w:rsidR="00A47116" w:rsidRPr="00F13073" w:rsidRDefault="00A47116" w:rsidP="008B4C50">
            <w:pPr>
              <w:suppressAutoHyphens/>
              <w:rPr>
                <w:sz w:val="20"/>
                <w:szCs w:val="20"/>
              </w:rPr>
            </w:pPr>
          </w:p>
        </w:tc>
      </w:tr>
      <w:tr w:rsidR="001E0975" w:rsidRPr="00F13073" w14:paraId="2EA0E645" w14:textId="77777777" w:rsidTr="00B73B0C">
        <w:trPr>
          <w:cantSplit/>
          <w:tblHeader/>
        </w:trPr>
        <w:tc>
          <w:tcPr>
            <w:tcW w:w="3747" w:type="dxa"/>
            <w:gridSpan w:val="2"/>
          </w:tcPr>
          <w:p w14:paraId="7460F722" w14:textId="77777777" w:rsidR="001E0975" w:rsidRPr="00F13073" w:rsidRDefault="00A47116" w:rsidP="008B4C50">
            <w:pPr>
              <w:keepNext/>
              <w:suppressAutoHyphens/>
              <w:rPr>
                <w:sz w:val="20"/>
                <w:szCs w:val="20"/>
              </w:rPr>
            </w:pPr>
            <w:r w:rsidRPr="00F13073">
              <w:rPr>
                <w:rStyle w:val="Other"/>
                <w:rFonts w:eastAsia="DengXian"/>
                <w:sz w:val="20"/>
                <w:szCs w:val="20"/>
              </w:rPr>
              <w:t>Badania diagnostyczne</w:t>
            </w:r>
          </w:p>
        </w:tc>
        <w:tc>
          <w:tcPr>
            <w:tcW w:w="1582" w:type="dxa"/>
          </w:tcPr>
          <w:p w14:paraId="46F5D919" w14:textId="77777777" w:rsidR="001E0975" w:rsidRPr="00F13073" w:rsidRDefault="001E0975" w:rsidP="008B4C50">
            <w:pPr>
              <w:keepNext/>
              <w:suppressAutoHyphens/>
              <w:rPr>
                <w:sz w:val="20"/>
                <w:szCs w:val="20"/>
              </w:rPr>
            </w:pPr>
          </w:p>
        </w:tc>
        <w:tc>
          <w:tcPr>
            <w:tcW w:w="1612" w:type="dxa"/>
          </w:tcPr>
          <w:p w14:paraId="609676C3" w14:textId="77777777" w:rsidR="001E0975" w:rsidRPr="00F13073" w:rsidRDefault="001E0975" w:rsidP="008B4C50">
            <w:pPr>
              <w:keepNext/>
              <w:suppressAutoHyphens/>
              <w:rPr>
                <w:sz w:val="20"/>
                <w:szCs w:val="20"/>
              </w:rPr>
            </w:pPr>
          </w:p>
        </w:tc>
        <w:tc>
          <w:tcPr>
            <w:tcW w:w="1396" w:type="dxa"/>
          </w:tcPr>
          <w:p w14:paraId="0756F926" w14:textId="77777777" w:rsidR="001E0975" w:rsidRPr="00F13073" w:rsidRDefault="001E0975" w:rsidP="008B4C50">
            <w:pPr>
              <w:keepNext/>
              <w:suppressAutoHyphens/>
              <w:rPr>
                <w:sz w:val="20"/>
                <w:szCs w:val="20"/>
              </w:rPr>
            </w:pPr>
          </w:p>
        </w:tc>
      </w:tr>
      <w:tr w:rsidR="00A47116" w:rsidRPr="00F13073" w14:paraId="228F4232" w14:textId="77777777" w:rsidTr="00B73B0C">
        <w:trPr>
          <w:cantSplit/>
          <w:tblHeader/>
        </w:trPr>
        <w:tc>
          <w:tcPr>
            <w:tcW w:w="1675" w:type="dxa"/>
            <w:vMerge w:val="restart"/>
          </w:tcPr>
          <w:p w14:paraId="6DAEB922" w14:textId="77777777" w:rsidR="00A47116" w:rsidRPr="00F13073" w:rsidRDefault="00A47116" w:rsidP="008B4C50">
            <w:pPr>
              <w:keepNext/>
              <w:suppressAutoHyphens/>
              <w:rPr>
                <w:sz w:val="20"/>
                <w:szCs w:val="20"/>
              </w:rPr>
            </w:pPr>
          </w:p>
        </w:tc>
        <w:tc>
          <w:tcPr>
            <w:tcW w:w="2072" w:type="dxa"/>
            <w:vAlign w:val="bottom"/>
          </w:tcPr>
          <w:p w14:paraId="630145E9" w14:textId="77777777" w:rsidR="00A47116" w:rsidRPr="00F13073" w:rsidRDefault="00A47116" w:rsidP="008B4C50">
            <w:pPr>
              <w:keepNext/>
              <w:suppressAutoHyphens/>
              <w:rPr>
                <w:sz w:val="20"/>
                <w:szCs w:val="20"/>
              </w:rPr>
            </w:pPr>
            <w:r w:rsidRPr="00F13073">
              <w:rPr>
                <w:rStyle w:val="Other"/>
                <w:rFonts w:eastAsia="DengXian"/>
                <w:sz w:val="20"/>
                <w:szCs w:val="20"/>
              </w:rPr>
              <w:t>Zwiększenie aktywności aminotransferaz wątrobowych</w:t>
            </w:r>
          </w:p>
        </w:tc>
        <w:tc>
          <w:tcPr>
            <w:tcW w:w="1582" w:type="dxa"/>
          </w:tcPr>
          <w:p w14:paraId="42E3DF86" w14:textId="77777777" w:rsidR="00A47116" w:rsidRPr="00F13073" w:rsidRDefault="00A47116" w:rsidP="008B4C50">
            <w:pPr>
              <w:keepNext/>
              <w:suppressAutoHyphens/>
              <w:rPr>
                <w:sz w:val="20"/>
                <w:szCs w:val="20"/>
              </w:rPr>
            </w:pPr>
          </w:p>
        </w:tc>
        <w:tc>
          <w:tcPr>
            <w:tcW w:w="1612" w:type="dxa"/>
          </w:tcPr>
          <w:p w14:paraId="3B02F664" w14:textId="77777777" w:rsidR="00A47116" w:rsidRPr="00F13073" w:rsidRDefault="00A47116" w:rsidP="008B4C50">
            <w:pPr>
              <w:keepNext/>
              <w:suppressAutoHyphens/>
              <w:rPr>
                <w:sz w:val="20"/>
                <w:szCs w:val="20"/>
              </w:rPr>
            </w:pPr>
            <w:r w:rsidRPr="00F13073">
              <w:rPr>
                <w:rStyle w:val="Other"/>
                <w:rFonts w:eastAsia="DengXian"/>
                <w:sz w:val="20"/>
                <w:szCs w:val="20"/>
              </w:rPr>
              <w:t>wMIZS</w:t>
            </w:r>
          </w:p>
        </w:tc>
        <w:tc>
          <w:tcPr>
            <w:tcW w:w="1396" w:type="dxa"/>
          </w:tcPr>
          <w:p w14:paraId="7BB32494" w14:textId="77777777" w:rsidR="00A47116" w:rsidRPr="00F13073" w:rsidRDefault="00A47116" w:rsidP="008B4C50">
            <w:pPr>
              <w:keepNext/>
              <w:suppressAutoHyphens/>
              <w:rPr>
                <w:sz w:val="20"/>
                <w:szCs w:val="20"/>
              </w:rPr>
            </w:pPr>
          </w:p>
        </w:tc>
      </w:tr>
      <w:tr w:rsidR="00A47116" w:rsidRPr="00F13073" w14:paraId="5FE56025" w14:textId="77777777" w:rsidTr="00B73B0C">
        <w:trPr>
          <w:cantSplit/>
          <w:tblHeader/>
        </w:trPr>
        <w:tc>
          <w:tcPr>
            <w:tcW w:w="1675" w:type="dxa"/>
            <w:vMerge/>
          </w:tcPr>
          <w:p w14:paraId="6CEB3886" w14:textId="77777777" w:rsidR="00A47116" w:rsidRPr="00F13073" w:rsidRDefault="00A47116" w:rsidP="008B4C50">
            <w:pPr>
              <w:keepNext/>
              <w:suppressAutoHyphens/>
              <w:rPr>
                <w:sz w:val="20"/>
                <w:szCs w:val="20"/>
              </w:rPr>
            </w:pPr>
          </w:p>
        </w:tc>
        <w:tc>
          <w:tcPr>
            <w:tcW w:w="2072" w:type="dxa"/>
            <w:vAlign w:val="bottom"/>
          </w:tcPr>
          <w:p w14:paraId="16E46E02" w14:textId="77777777" w:rsidR="00A47116" w:rsidRPr="00F13073" w:rsidRDefault="00A47116" w:rsidP="008B4C50">
            <w:pPr>
              <w:keepNext/>
              <w:suppressAutoHyphens/>
              <w:rPr>
                <w:sz w:val="20"/>
                <w:szCs w:val="20"/>
              </w:rPr>
            </w:pPr>
            <w:r w:rsidRPr="00F13073">
              <w:rPr>
                <w:rStyle w:val="Other"/>
                <w:rFonts w:eastAsia="DengXian"/>
                <w:sz w:val="20"/>
                <w:szCs w:val="20"/>
              </w:rPr>
              <w:t>Neutropenia (Zmniejszenie liczby neutrofili)</w:t>
            </w:r>
          </w:p>
        </w:tc>
        <w:tc>
          <w:tcPr>
            <w:tcW w:w="1582" w:type="dxa"/>
          </w:tcPr>
          <w:p w14:paraId="545D09FC" w14:textId="77777777" w:rsidR="00A47116" w:rsidRPr="00F13073" w:rsidRDefault="00A47116" w:rsidP="008B4C50">
            <w:pPr>
              <w:keepNext/>
              <w:suppressAutoHyphens/>
              <w:rPr>
                <w:sz w:val="20"/>
                <w:szCs w:val="20"/>
              </w:rPr>
            </w:pPr>
            <w:r w:rsidRPr="00F13073">
              <w:rPr>
                <w:rStyle w:val="Other"/>
                <w:rFonts w:eastAsia="DengXian"/>
                <w:sz w:val="20"/>
                <w:szCs w:val="20"/>
              </w:rPr>
              <w:t>uMIZS</w:t>
            </w:r>
          </w:p>
        </w:tc>
        <w:tc>
          <w:tcPr>
            <w:tcW w:w="1612" w:type="dxa"/>
          </w:tcPr>
          <w:p w14:paraId="1054D86C" w14:textId="77777777" w:rsidR="00A47116" w:rsidRPr="00F13073" w:rsidRDefault="00A47116" w:rsidP="008B4C50">
            <w:pPr>
              <w:keepNext/>
              <w:suppressAutoHyphens/>
              <w:rPr>
                <w:sz w:val="20"/>
                <w:szCs w:val="20"/>
              </w:rPr>
            </w:pPr>
            <w:r w:rsidRPr="00F13073">
              <w:rPr>
                <w:rStyle w:val="Other"/>
                <w:rFonts w:eastAsia="DengXian"/>
                <w:sz w:val="20"/>
                <w:szCs w:val="20"/>
              </w:rPr>
              <w:t>wMIZS</w:t>
            </w:r>
          </w:p>
        </w:tc>
        <w:tc>
          <w:tcPr>
            <w:tcW w:w="1396" w:type="dxa"/>
          </w:tcPr>
          <w:p w14:paraId="21FF72D7" w14:textId="77777777" w:rsidR="00A47116" w:rsidRPr="00F13073" w:rsidRDefault="00A47116" w:rsidP="008B4C50">
            <w:pPr>
              <w:keepNext/>
              <w:suppressAutoHyphens/>
              <w:rPr>
                <w:sz w:val="20"/>
                <w:szCs w:val="20"/>
              </w:rPr>
            </w:pPr>
          </w:p>
        </w:tc>
      </w:tr>
      <w:tr w:rsidR="00A47116" w:rsidRPr="00F13073" w14:paraId="507753DF" w14:textId="77777777" w:rsidTr="00B73B0C">
        <w:trPr>
          <w:cantSplit/>
          <w:tblHeader/>
        </w:trPr>
        <w:tc>
          <w:tcPr>
            <w:tcW w:w="1675" w:type="dxa"/>
            <w:vMerge/>
          </w:tcPr>
          <w:p w14:paraId="7DA65490" w14:textId="77777777" w:rsidR="00A47116" w:rsidRPr="00F13073" w:rsidRDefault="00A47116" w:rsidP="008B4C50">
            <w:pPr>
              <w:keepNext/>
              <w:suppressAutoHyphens/>
              <w:rPr>
                <w:sz w:val="20"/>
                <w:szCs w:val="20"/>
              </w:rPr>
            </w:pPr>
          </w:p>
        </w:tc>
        <w:tc>
          <w:tcPr>
            <w:tcW w:w="2072" w:type="dxa"/>
            <w:vAlign w:val="bottom"/>
          </w:tcPr>
          <w:p w14:paraId="71071271" w14:textId="77777777" w:rsidR="00A47116" w:rsidRPr="00F13073" w:rsidRDefault="00A47116" w:rsidP="008B4C50">
            <w:pPr>
              <w:keepNext/>
              <w:suppressAutoHyphens/>
              <w:rPr>
                <w:sz w:val="20"/>
                <w:szCs w:val="20"/>
              </w:rPr>
            </w:pPr>
            <w:r w:rsidRPr="00F13073">
              <w:rPr>
                <w:rStyle w:val="Other"/>
                <w:rFonts w:eastAsia="DengXian"/>
                <w:sz w:val="20"/>
                <w:szCs w:val="20"/>
              </w:rPr>
              <w:t>Zmniejszenie liczby płytek krwi</w:t>
            </w:r>
          </w:p>
        </w:tc>
        <w:tc>
          <w:tcPr>
            <w:tcW w:w="1582" w:type="dxa"/>
          </w:tcPr>
          <w:p w14:paraId="375B7C40" w14:textId="77777777" w:rsidR="00A47116" w:rsidRPr="00F13073" w:rsidRDefault="00A47116" w:rsidP="008B4C50">
            <w:pPr>
              <w:keepNext/>
              <w:suppressAutoHyphens/>
              <w:rPr>
                <w:sz w:val="20"/>
                <w:szCs w:val="20"/>
              </w:rPr>
            </w:pPr>
          </w:p>
        </w:tc>
        <w:tc>
          <w:tcPr>
            <w:tcW w:w="1612" w:type="dxa"/>
          </w:tcPr>
          <w:p w14:paraId="4BBA7F30" w14:textId="77777777" w:rsidR="00A47116" w:rsidRPr="00F13073" w:rsidRDefault="00A47116" w:rsidP="008B4C50">
            <w:pPr>
              <w:keepNext/>
              <w:suppressAutoHyphens/>
              <w:rPr>
                <w:sz w:val="20"/>
                <w:szCs w:val="20"/>
              </w:rPr>
            </w:pPr>
            <w:r w:rsidRPr="00F13073">
              <w:rPr>
                <w:rStyle w:val="Other"/>
                <w:rFonts w:eastAsia="DengXian"/>
                <w:sz w:val="20"/>
                <w:szCs w:val="20"/>
              </w:rPr>
              <w:t>uMIZS</w:t>
            </w:r>
          </w:p>
        </w:tc>
        <w:tc>
          <w:tcPr>
            <w:tcW w:w="1396" w:type="dxa"/>
          </w:tcPr>
          <w:p w14:paraId="4CAE2968" w14:textId="77777777" w:rsidR="00A47116" w:rsidRPr="00F13073" w:rsidRDefault="00A47116" w:rsidP="008B4C50">
            <w:pPr>
              <w:keepNext/>
              <w:suppressAutoHyphens/>
              <w:rPr>
                <w:sz w:val="20"/>
                <w:szCs w:val="20"/>
              </w:rPr>
            </w:pPr>
            <w:r w:rsidRPr="00F13073">
              <w:rPr>
                <w:rStyle w:val="Other"/>
                <w:rFonts w:eastAsia="DengXian"/>
                <w:sz w:val="20"/>
                <w:szCs w:val="20"/>
              </w:rPr>
              <w:t>wMIZS</w:t>
            </w:r>
          </w:p>
        </w:tc>
      </w:tr>
      <w:tr w:rsidR="00A47116" w:rsidRPr="00F13073" w14:paraId="5806FA3A" w14:textId="77777777" w:rsidTr="00B73B0C">
        <w:trPr>
          <w:cantSplit/>
          <w:tblHeader/>
        </w:trPr>
        <w:tc>
          <w:tcPr>
            <w:tcW w:w="1675" w:type="dxa"/>
            <w:vMerge/>
          </w:tcPr>
          <w:p w14:paraId="0CD96ABB" w14:textId="77777777" w:rsidR="00A47116" w:rsidRPr="00F13073" w:rsidRDefault="00A47116" w:rsidP="008B4C50">
            <w:pPr>
              <w:keepNext/>
              <w:suppressAutoHyphens/>
              <w:rPr>
                <w:sz w:val="20"/>
                <w:szCs w:val="20"/>
              </w:rPr>
            </w:pPr>
          </w:p>
        </w:tc>
        <w:tc>
          <w:tcPr>
            <w:tcW w:w="2072" w:type="dxa"/>
            <w:vAlign w:val="bottom"/>
          </w:tcPr>
          <w:p w14:paraId="0BE03DCF" w14:textId="77777777" w:rsidR="00A47116" w:rsidRPr="00F13073" w:rsidRDefault="00A47116" w:rsidP="008B4C50">
            <w:pPr>
              <w:keepNext/>
              <w:suppressAutoHyphens/>
              <w:rPr>
                <w:sz w:val="20"/>
                <w:szCs w:val="20"/>
              </w:rPr>
            </w:pPr>
            <w:r w:rsidRPr="00F13073">
              <w:rPr>
                <w:rStyle w:val="Other"/>
                <w:rFonts w:eastAsia="DengXian"/>
                <w:sz w:val="20"/>
                <w:szCs w:val="20"/>
              </w:rPr>
              <w:t>Zwiększenie stężenia cholesterolu</w:t>
            </w:r>
          </w:p>
        </w:tc>
        <w:tc>
          <w:tcPr>
            <w:tcW w:w="1582" w:type="dxa"/>
          </w:tcPr>
          <w:p w14:paraId="34AFF8AE" w14:textId="77777777" w:rsidR="00A47116" w:rsidRPr="00F13073" w:rsidRDefault="00A47116" w:rsidP="008B4C50">
            <w:pPr>
              <w:keepNext/>
              <w:suppressAutoHyphens/>
              <w:rPr>
                <w:sz w:val="20"/>
                <w:szCs w:val="20"/>
              </w:rPr>
            </w:pPr>
          </w:p>
        </w:tc>
        <w:tc>
          <w:tcPr>
            <w:tcW w:w="1612" w:type="dxa"/>
          </w:tcPr>
          <w:p w14:paraId="5DE3F3D1" w14:textId="77777777" w:rsidR="00A47116" w:rsidRPr="00F13073" w:rsidRDefault="00A47116" w:rsidP="008B4C50">
            <w:pPr>
              <w:keepNext/>
              <w:suppressAutoHyphens/>
              <w:rPr>
                <w:sz w:val="20"/>
                <w:szCs w:val="20"/>
              </w:rPr>
            </w:pPr>
            <w:r w:rsidRPr="00F13073">
              <w:rPr>
                <w:rStyle w:val="Other"/>
                <w:rFonts w:eastAsia="DengXian"/>
                <w:sz w:val="20"/>
                <w:szCs w:val="20"/>
              </w:rPr>
              <w:t>uMIZS</w:t>
            </w:r>
          </w:p>
        </w:tc>
        <w:tc>
          <w:tcPr>
            <w:tcW w:w="1396" w:type="dxa"/>
          </w:tcPr>
          <w:p w14:paraId="0D0D7325" w14:textId="77777777" w:rsidR="00A47116" w:rsidRPr="00F13073" w:rsidRDefault="00A47116" w:rsidP="008B4C50">
            <w:pPr>
              <w:keepNext/>
              <w:suppressAutoHyphens/>
              <w:rPr>
                <w:sz w:val="20"/>
                <w:szCs w:val="20"/>
              </w:rPr>
            </w:pPr>
            <w:r w:rsidRPr="00F13073">
              <w:rPr>
                <w:rStyle w:val="Other"/>
                <w:rFonts w:eastAsia="DengXian"/>
                <w:sz w:val="20"/>
                <w:szCs w:val="20"/>
              </w:rPr>
              <w:t>wMIZS</w:t>
            </w:r>
          </w:p>
        </w:tc>
      </w:tr>
    </w:tbl>
    <w:p w14:paraId="1EBA6E38" w14:textId="77777777" w:rsidR="00BB002A" w:rsidRPr="00F13073" w:rsidRDefault="00611033" w:rsidP="008B4C50">
      <w:pPr>
        <w:ind w:left="284" w:hanging="284"/>
        <w:rPr>
          <w:sz w:val="18"/>
          <w:szCs w:val="18"/>
        </w:rPr>
      </w:pPr>
      <w:r w:rsidRPr="00F13073">
        <w:rPr>
          <w:sz w:val="18"/>
          <w:szCs w:val="18"/>
        </w:rPr>
        <w:t>1.</w:t>
      </w:r>
      <w:r w:rsidR="00BB002A" w:rsidRPr="00F13073">
        <w:rPr>
          <w:sz w:val="18"/>
          <w:szCs w:val="18"/>
        </w:rPr>
        <w:tab/>
      </w:r>
      <w:r w:rsidR="00BB7E11" w:rsidRPr="00F13073">
        <w:rPr>
          <w:sz w:val="18"/>
          <w:szCs w:val="18"/>
        </w:rPr>
        <w:t>Reakcje związane z infuzją u chorych na wMIZS obejmowały między innymi: ból głowy, nudności i niedociśnienie.</w:t>
      </w:r>
    </w:p>
    <w:p w14:paraId="71232A70" w14:textId="77777777" w:rsidR="001E0975" w:rsidRPr="00F13073" w:rsidRDefault="00611033" w:rsidP="008B4C50">
      <w:pPr>
        <w:ind w:left="284" w:hanging="284"/>
        <w:rPr>
          <w:sz w:val="18"/>
          <w:szCs w:val="18"/>
        </w:rPr>
      </w:pPr>
      <w:r w:rsidRPr="00F13073">
        <w:rPr>
          <w:sz w:val="18"/>
          <w:szCs w:val="18"/>
        </w:rPr>
        <w:t>2.</w:t>
      </w:r>
      <w:r w:rsidR="00BB002A" w:rsidRPr="00F13073">
        <w:rPr>
          <w:sz w:val="18"/>
          <w:szCs w:val="18"/>
        </w:rPr>
        <w:tab/>
      </w:r>
      <w:r w:rsidR="00BB7E11" w:rsidRPr="00F13073">
        <w:rPr>
          <w:sz w:val="18"/>
          <w:szCs w:val="18"/>
        </w:rPr>
        <w:t>Reakcje związane z infuzją u chorych na uMIZS obejmowały między innymi: wysypkę, pokrzywkę, biegunkę, dyskomfort w jamie brzusznej, ból stawów i ból głowy.</w:t>
      </w:r>
    </w:p>
    <w:p w14:paraId="6D20118E" w14:textId="77777777" w:rsidR="001E0975" w:rsidRPr="00F13073" w:rsidRDefault="001E0975" w:rsidP="008B4C50"/>
    <w:p w14:paraId="024E72FE" w14:textId="77777777" w:rsidR="00045BD0" w:rsidRPr="00F13073" w:rsidRDefault="00045BD0" w:rsidP="008B4C50">
      <w:pPr>
        <w:pStyle w:val="a4"/>
        <w:widowControl/>
        <w:spacing w:after="0"/>
      </w:pPr>
      <w:r w:rsidRPr="00F13073">
        <w:rPr>
          <w:rStyle w:val="Char"/>
        </w:rPr>
        <w:t>Chorzy na wMIZS</w:t>
      </w:r>
    </w:p>
    <w:p w14:paraId="169E3E3C" w14:textId="76706F74" w:rsidR="00045BD0" w:rsidRPr="00F13073" w:rsidRDefault="00045BD0" w:rsidP="008B4C50">
      <w:pPr>
        <w:pStyle w:val="a4"/>
        <w:widowControl/>
        <w:spacing w:after="0"/>
        <w:rPr>
          <w:rStyle w:val="Char"/>
        </w:rPr>
      </w:pPr>
      <w:r w:rsidRPr="00F13073">
        <w:rPr>
          <w:rStyle w:val="Char"/>
        </w:rPr>
        <w:t xml:space="preserve">Profil bezpieczeństwa dożylnego stosowania </w:t>
      </w:r>
      <w:r w:rsidR="004F72AE" w:rsidRPr="00F13073">
        <w:rPr>
          <w:rStyle w:val="Char"/>
        </w:rPr>
        <w:t>tocilizumabu</w:t>
      </w:r>
      <w:r w:rsidR="00151F2F" w:rsidRPr="00F13073">
        <w:rPr>
          <w:rStyle w:val="Char"/>
        </w:rPr>
        <w:t xml:space="preserve"> </w:t>
      </w:r>
      <w:r w:rsidRPr="00F13073">
        <w:rPr>
          <w:rStyle w:val="Char"/>
        </w:rPr>
        <w:t>u chorych na wMIZS oceniano w grupie 188 pacjentów w wieku od 2 do 17 lat. Całkowita ekspozycja na lek wynosiła 184,4 pacjentolat. Częstość występowania działań niepożądanych u pacjentów z wMIZS przedstawiono w Tabeli 3. Działania niepożądane u chorych na wMIZS były zbliżone do obserwowanych u chorych na RZS i uMIZS; patrz punkt 4.8. W porównaniu do populacji dorosłych chorych na RZS, działania niepożądane takie jak: zapalenie jamy nosowej i gardła, ból głowy, nudności oraz zmniejszenie liczby neutrofili zgłaszano częściej u chorych na wMIZS. Zwiększone stężenie cholesterolu rzadziej zgłaszano u chorych na wMIZS niż u dorosłych chorych na RZS.</w:t>
      </w:r>
    </w:p>
    <w:p w14:paraId="4FC653F9" w14:textId="77777777" w:rsidR="00045BD0" w:rsidRPr="00F13073" w:rsidRDefault="00045BD0" w:rsidP="008B4C50">
      <w:pPr>
        <w:pStyle w:val="a4"/>
        <w:widowControl/>
        <w:spacing w:after="0"/>
      </w:pPr>
    </w:p>
    <w:p w14:paraId="06904F94" w14:textId="77777777" w:rsidR="00045BD0" w:rsidRPr="00F13073" w:rsidRDefault="00045BD0" w:rsidP="008B4C50">
      <w:pPr>
        <w:pStyle w:val="a4"/>
        <w:widowControl/>
        <w:spacing w:after="0"/>
        <w:rPr>
          <w:rStyle w:val="Char"/>
          <w:i/>
          <w:iCs/>
        </w:rPr>
      </w:pPr>
      <w:r w:rsidRPr="00F13073">
        <w:rPr>
          <w:rStyle w:val="Char"/>
          <w:i/>
          <w:iCs/>
        </w:rPr>
        <w:t>Zakażenia</w:t>
      </w:r>
    </w:p>
    <w:p w14:paraId="69498541" w14:textId="77777777" w:rsidR="00045BD0" w:rsidRPr="00F13073" w:rsidRDefault="00045BD0" w:rsidP="008B4C50">
      <w:pPr>
        <w:pStyle w:val="a4"/>
        <w:widowControl/>
        <w:spacing w:after="0"/>
        <w:rPr>
          <w:rStyle w:val="Char"/>
        </w:rPr>
      </w:pPr>
      <w:r w:rsidRPr="00F13073">
        <w:rPr>
          <w:rStyle w:val="Char"/>
        </w:rPr>
        <w:t xml:space="preserve">Częstość występowania zakażeń w populacji przyjmującej tocilizumab wynosiła 163,7 zdarzeń na 100 pacjentolat. Do najczęściej obserwowanych zdarzeń należało zapalenie jamy nosowej i gardła oraz zakażenia górnych dróg oddechowych. Wskaźnik ciężkich działań niepożądanych był liczbowo wyższy w grupie pacjentów o masie ciała &lt; 30 kg przyjmujących 10 mg/kg mc. tocilizumabu (12,2 na 100 pacjentolat) w porównaniu do pacjentów o masie ciała ≥ 30 kg przyjmujących 8 mg/kg mc. tocilizumabu (4,0 na 100 pacjentolat). Częstość występowania zakażeń prowadzących do przerwania leczenia była także liczbowo większa u pacjentów o masie ciała &lt; 30 kg przyjmujących 10 mg/kg mc. </w:t>
      </w:r>
      <w:r w:rsidRPr="00F13073">
        <w:rPr>
          <w:rStyle w:val="Char"/>
        </w:rPr>
        <w:lastRenderedPageBreak/>
        <w:t>tocilizumabu (21,4%) w porównaniu do pacjentów o masie ciała ≥ 30 kg przyjmujących 8 mg/kg mc. tocilizumabu (7,6%).</w:t>
      </w:r>
    </w:p>
    <w:p w14:paraId="4489FA0F" w14:textId="77777777" w:rsidR="00045BD0" w:rsidRPr="00F13073" w:rsidRDefault="00045BD0" w:rsidP="008B4C50">
      <w:pPr>
        <w:pStyle w:val="a4"/>
        <w:widowControl/>
        <w:spacing w:after="0"/>
      </w:pPr>
    </w:p>
    <w:p w14:paraId="7C4AFD6B" w14:textId="77777777" w:rsidR="00045BD0" w:rsidRPr="00F13073" w:rsidRDefault="00045BD0" w:rsidP="008B4C50">
      <w:pPr>
        <w:pStyle w:val="a4"/>
        <w:widowControl/>
        <w:spacing w:after="0"/>
        <w:rPr>
          <w:rStyle w:val="Char"/>
          <w:i/>
          <w:iCs/>
        </w:rPr>
      </w:pPr>
      <w:r w:rsidRPr="00F13073">
        <w:rPr>
          <w:rStyle w:val="Char"/>
          <w:i/>
          <w:iCs/>
        </w:rPr>
        <w:t>Reakcje związane z infuzją</w:t>
      </w:r>
    </w:p>
    <w:p w14:paraId="63E8E842" w14:textId="77777777" w:rsidR="00045BD0" w:rsidRPr="00F13073" w:rsidRDefault="00045BD0" w:rsidP="008B4C50">
      <w:pPr>
        <w:pStyle w:val="a4"/>
        <w:widowControl/>
        <w:spacing w:after="0"/>
        <w:rPr>
          <w:rStyle w:val="Char"/>
        </w:rPr>
      </w:pPr>
      <w:r w:rsidRPr="00F13073">
        <w:rPr>
          <w:rStyle w:val="Char"/>
        </w:rPr>
        <w:t>U chorych na wMIZS reakcje związane z infuzją definiowano jako wszystkie zdarzenia występujące w czasie wlewu lub w ciągu 24 godzin od wlewu. W populacji leczonej tocilizumabem, u 11 pacjentów (5,9%) reakcje związane z infuzją wystąpiły podczas podawania wlewu, a u 38 pacjentów (20,2%) wystąpiły one w ciągu 24 godzin od wlewu. Do najczęściej obserwowanych zdarzeń występujących w czasie wlewu należał ból głowy, nudności i niedociśnienie, natomiast w ciągu 24 godzin od wlewu najczęściej obserwowano zawroty głowy i niedociśnienie. Działania niepożądane występujące w czasie wlewu lub w ciągu 24 godzin od wlewu były na ogół zbliżone do obserwowanych u chorych na RZS i uMIZS; patrz punkt 4.8.</w:t>
      </w:r>
    </w:p>
    <w:p w14:paraId="79230583" w14:textId="77777777" w:rsidR="00045BD0" w:rsidRPr="00F13073" w:rsidRDefault="00045BD0" w:rsidP="008B4C50">
      <w:pPr>
        <w:pStyle w:val="a4"/>
        <w:widowControl/>
        <w:spacing w:after="0"/>
      </w:pPr>
    </w:p>
    <w:p w14:paraId="4F97751D" w14:textId="77777777" w:rsidR="00045BD0" w:rsidRPr="00F13073" w:rsidRDefault="00045BD0" w:rsidP="008B4C50">
      <w:pPr>
        <w:pStyle w:val="a4"/>
        <w:widowControl/>
        <w:spacing w:after="0"/>
        <w:rPr>
          <w:rStyle w:val="Char"/>
        </w:rPr>
      </w:pPr>
      <w:r w:rsidRPr="00F13073">
        <w:rPr>
          <w:rStyle w:val="Char"/>
        </w:rPr>
        <w:t>Nie zgłoszono żadnych klinicznie istotnych reakcji nadwrażliwości związanych ze stosowaniem tocilizumabu i wymagających przerwania leczenia.</w:t>
      </w:r>
    </w:p>
    <w:p w14:paraId="251B73C7" w14:textId="77777777" w:rsidR="00045BD0" w:rsidRPr="00F13073" w:rsidRDefault="00045BD0" w:rsidP="008B4C50">
      <w:pPr>
        <w:pStyle w:val="a4"/>
        <w:widowControl/>
        <w:spacing w:after="0"/>
      </w:pPr>
    </w:p>
    <w:p w14:paraId="293553ED" w14:textId="77777777" w:rsidR="00045BD0" w:rsidRPr="00F13073" w:rsidRDefault="00045BD0" w:rsidP="008B4C50">
      <w:pPr>
        <w:pStyle w:val="a4"/>
        <w:widowControl/>
        <w:spacing w:after="0"/>
        <w:rPr>
          <w:rStyle w:val="Char"/>
          <w:i/>
          <w:iCs/>
        </w:rPr>
      </w:pPr>
      <w:r w:rsidRPr="00F13073">
        <w:rPr>
          <w:rStyle w:val="Char"/>
          <w:i/>
          <w:iCs/>
        </w:rPr>
        <w:t>Granulocyty obojętnochłonne</w:t>
      </w:r>
    </w:p>
    <w:p w14:paraId="7DE176E2" w14:textId="77777777" w:rsidR="00045BD0" w:rsidRPr="00F13073" w:rsidRDefault="00045BD0" w:rsidP="008B4C50">
      <w:pPr>
        <w:pStyle w:val="a4"/>
        <w:widowControl/>
        <w:spacing w:after="0"/>
        <w:rPr>
          <w:rStyle w:val="Char"/>
        </w:rPr>
      </w:pPr>
      <w:r w:rsidRPr="00F13073">
        <w:rPr>
          <w:rStyle w:val="Char"/>
        </w:rPr>
        <w:t>W czasie rutynowych badań laboratoryjnych w populacji przyjmującej tocilizumab, u 3,7% pacjentów wystąpiło zmniejszenie liczby granulocytów obojętnochłonnych poniżej 1 ×</w:t>
      </w:r>
      <w:r w:rsidRPr="00F13073">
        <w:rPr>
          <w:rStyle w:val="Char"/>
          <w:lang w:eastAsia="el-GR"/>
        </w:rPr>
        <w:t xml:space="preserve"> </w:t>
      </w:r>
      <w:r w:rsidRPr="00F13073">
        <w:rPr>
          <w:rStyle w:val="Char"/>
        </w:rPr>
        <w:t>10</w:t>
      </w:r>
      <w:r w:rsidRPr="00F13073">
        <w:rPr>
          <w:rStyle w:val="Char"/>
          <w:vertAlign w:val="superscript"/>
        </w:rPr>
        <w:t>9</w:t>
      </w:r>
      <w:r w:rsidRPr="00F13073">
        <w:rPr>
          <w:rStyle w:val="Char"/>
        </w:rPr>
        <w:t>/l.</w:t>
      </w:r>
    </w:p>
    <w:p w14:paraId="4D9AC51C" w14:textId="77777777" w:rsidR="00045BD0" w:rsidRPr="00F13073" w:rsidRDefault="00045BD0" w:rsidP="008B4C50">
      <w:pPr>
        <w:pStyle w:val="a4"/>
        <w:widowControl/>
        <w:spacing w:after="0"/>
      </w:pPr>
    </w:p>
    <w:p w14:paraId="45888EED" w14:textId="77777777" w:rsidR="00045BD0" w:rsidRPr="00F13073" w:rsidRDefault="00045BD0" w:rsidP="008B4C50">
      <w:pPr>
        <w:pStyle w:val="a4"/>
        <w:widowControl/>
        <w:spacing w:after="0"/>
        <w:rPr>
          <w:rStyle w:val="Char"/>
          <w:i/>
          <w:iCs/>
        </w:rPr>
      </w:pPr>
      <w:r w:rsidRPr="00F13073">
        <w:rPr>
          <w:rStyle w:val="Char"/>
          <w:i/>
          <w:iCs/>
        </w:rPr>
        <w:t>Płytki krwi</w:t>
      </w:r>
    </w:p>
    <w:p w14:paraId="22DFE614" w14:textId="77777777" w:rsidR="00045BD0" w:rsidRPr="00F13073" w:rsidRDefault="00045BD0" w:rsidP="008B4C50">
      <w:pPr>
        <w:pStyle w:val="a4"/>
        <w:widowControl/>
        <w:spacing w:after="0"/>
        <w:rPr>
          <w:rStyle w:val="Char"/>
        </w:rPr>
      </w:pPr>
      <w:r w:rsidRPr="00F13073">
        <w:rPr>
          <w:rStyle w:val="Char"/>
        </w:rPr>
        <w:t>W czasie rutynowych badań laboratoryjnych w populacji przyjmującej tocilizumab, u 1% pacjentów wystąpiło zmniejszenie liczby płytek krwi do ≤</w:t>
      </w:r>
      <w:r w:rsidRPr="00F13073">
        <w:rPr>
          <w:rStyle w:val="Char"/>
          <w:color w:val="1F497D"/>
        </w:rPr>
        <w:t xml:space="preserve"> </w:t>
      </w:r>
      <w:r w:rsidRPr="00F13073">
        <w:rPr>
          <w:rStyle w:val="Char"/>
        </w:rPr>
        <w:t>50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/μL bez jednoczesnego krwawienia.</w:t>
      </w:r>
    </w:p>
    <w:p w14:paraId="028A47CA" w14:textId="77777777" w:rsidR="00045BD0" w:rsidRPr="00F13073" w:rsidRDefault="00045BD0" w:rsidP="008B4C50">
      <w:pPr>
        <w:pStyle w:val="a4"/>
        <w:widowControl/>
        <w:spacing w:after="0"/>
      </w:pPr>
    </w:p>
    <w:p w14:paraId="0DF0BE8B" w14:textId="77777777" w:rsidR="00045BD0" w:rsidRPr="00F13073" w:rsidRDefault="00045BD0" w:rsidP="008B4C50">
      <w:pPr>
        <w:pStyle w:val="a4"/>
        <w:widowControl/>
        <w:spacing w:after="0"/>
        <w:rPr>
          <w:rStyle w:val="Char"/>
          <w:i/>
          <w:iCs/>
        </w:rPr>
      </w:pPr>
      <w:r w:rsidRPr="00F13073">
        <w:rPr>
          <w:rStyle w:val="Char"/>
          <w:i/>
          <w:iCs/>
        </w:rPr>
        <w:t>Zwiększenie aktywności enzymów wątrobowych</w:t>
      </w:r>
    </w:p>
    <w:p w14:paraId="67CA89C7" w14:textId="77777777" w:rsidR="00045BD0" w:rsidRPr="00F13073" w:rsidRDefault="00045BD0" w:rsidP="008B4C50">
      <w:pPr>
        <w:pStyle w:val="a4"/>
        <w:widowControl/>
        <w:spacing w:after="0"/>
        <w:rPr>
          <w:rStyle w:val="Char"/>
        </w:rPr>
      </w:pPr>
      <w:r w:rsidRPr="00F13073">
        <w:rPr>
          <w:rStyle w:val="Char"/>
        </w:rPr>
        <w:t>W czasie rutynowych badań laboratoryjnych w populacji przyjmującej tocilizumab, zwiększenie aktywności AlAT lub AspAT ≥ 3 x GGN wystąpiło u odpowiednio 3,7% i &lt; 1% pacjentów.</w:t>
      </w:r>
    </w:p>
    <w:p w14:paraId="6014795F" w14:textId="77777777" w:rsidR="00045BD0" w:rsidRPr="00F13073" w:rsidRDefault="00045BD0" w:rsidP="008B4C50">
      <w:pPr>
        <w:pStyle w:val="a4"/>
        <w:widowControl/>
        <w:spacing w:after="0"/>
      </w:pPr>
    </w:p>
    <w:p w14:paraId="0C8128CD" w14:textId="77777777" w:rsidR="00045BD0" w:rsidRPr="00F13073" w:rsidRDefault="00045BD0" w:rsidP="008B4C50">
      <w:pPr>
        <w:pStyle w:val="a4"/>
        <w:widowControl/>
        <w:spacing w:after="0"/>
        <w:rPr>
          <w:rStyle w:val="Char"/>
          <w:i/>
          <w:iCs/>
        </w:rPr>
      </w:pPr>
      <w:r w:rsidRPr="00F13073">
        <w:rPr>
          <w:rStyle w:val="Char"/>
          <w:i/>
          <w:iCs/>
        </w:rPr>
        <w:t>Parametry gospodarki lipidowej</w:t>
      </w:r>
    </w:p>
    <w:p w14:paraId="5206FA8B" w14:textId="4169373E" w:rsidR="00045BD0" w:rsidRPr="00F13073" w:rsidRDefault="00045BD0" w:rsidP="008B4C50">
      <w:pPr>
        <w:pStyle w:val="a4"/>
        <w:widowControl/>
        <w:spacing w:after="0"/>
        <w:rPr>
          <w:rStyle w:val="Char"/>
        </w:rPr>
      </w:pPr>
      <w:r w:rsidRPr="00F13073">
        <w:rPr>
          <w:rStyle w:val="Char"/>
        </w:rPr>
        <w:t xml:space="preserve">W czasie rutynowych badań laboratoryjnych w badaniu WA19977 z dożylnym podawaniem </w:t>
      </w:r>
      <w:r w:rsidR="00D322C1" w:rsidRPr="00F13073">
        <w:rPr>
          <w:rStyle w:val="Char"/>
        </w:rPr>
        <w:t>tocilizumabu</w:t>
      </w:r>
      <w:r w:rsidRPr="00F13073">
        <w:rPr>
          <w:rStyle w:val="Char"/>
        </w:rPr>
        <w:t xml:space="preserve"> u odpowiednio 3,4% i 10,4% pacjentów wystąpiło zwiększenie stężenia cholesterolu LDL do </w:t>
      </w:r>
      <w:r w:rsidR="0016720A" w:rsidRPr="00F13073">
        <w:rPr>
          <w:rStyle w:val="Char"/>
        </w:rPr>
        <w:t>≥</w:t>
      </w:r>
      <w:r w:rsidRPr="00F13073">
        <w:rPr>
          <w:rStyle w:val="Char"/>
        </w:rPr>
        <w:t xml:space="preserve">130 mg/dL i cholesterolu całkowitego do </w:t>
      </w:r>
      <w:r w:rsidR="0016720A" w:rsidRPr="00F13073">
        <w:rPr>
          <w:rStyle w:val="Char"/>
        </w:rPr>
        <w:t>≥</w:t>
      </w:r>
      <w:r w:rsidRPr="00F13073">
        <w:rPr>
          <w:rStyle w:val="Char"/>
        </w:rPr>
        <w:t>200 mg/dL względem wartości wyjściowych, w dowolnym czasie podczas stosowania leczenia badanego.</w:t>
      </w:r>
    </w:p>
    <w:p w14:paraId="70C67791" w14:textId="77777777" w:rsidR="00045BD0" w:rsidRPr="00F13073" w:rsidRDefault="00045BD0" w:rsidP="008B4C50">
      <w:pPr>
        <w:pStyle w:val="a4"/>
        <w:widowControl/>
        <w:spacing w:after="0"/>
      </w:pPr>
    </w:p>
    <w:p w14:paraId="08E5E40D" w14:textId="77777777" w:rsidR="00045BD0" w:rsidRPr="00F13073" w:rsidRDefault="00045BD0" w:rsidP="008B4C50">
      <w:pPr>
        <w:pStyle w:val="a4"/>
        <w:widowControl/>
        <w:spacing w:after="0"/>
        <w:rPr>
          <w:rStyle w:val="Char"/>
          <w:i/>
          <w:iCs/>
        </w:rPr>
      </w:pPr>
      <w:r w:rsidRPr="00F13073">
        <w:rPr>
          <w:rStyle w:val="Char"/>
          <w:i/>
          <w:iCs/>
        </w:rPr>
        <w:t>Chorzy na uMIZS</w:t>
      </w:r>
    </w:p>
    <w:p w14:paraId="766A6943" w14:textId="6CCDB3F8" w:rsidR="00045BD0" w:rsidRPr="00F13073" w:rsidRDefault="00045BD0" w:rsidP="00B73B0C">
      <w:pPr>
        <w:pStyle w:val="a4"/>
        <w:widowControl/>
        <w:spacing w:after="0"/>
        <w:rPr>
          <w:rStyle w:val="Char"/>
        </w:rPr>
      </w:pPr>
      <w:r w:rsidRPr="00F13073">
        <w:rPr>
          <w:rStyle w:val="Char"/>
        </w:rPr>
        <w:t xml:space="preserve">Profil bezpieczeństwa dożylnego stosowania </w:t>
      </w:r>
      <w:r w:rsidR="00D322C1" w:rsidRPr="00F13073">
        <w:rPr>
          <w:rStyle w:val="Char"/>
        </w:rPr>
        <w:t xml:space="preserve">tocilizumabu </w:t>
      </w:r>
      <w:r w:rsidRPr="00F13073">
        <w:rPr>
          <w:rStyle w:val="Char"/>
        </w:rPr>
        <w:t>u chorych na uMIZS oceniano w grupie 112 pacjentów w wieku od 2 do 17 lat. W trwającej 12 tygodni fazie badania kontrolowanej placebo z podwójnie ślepą próbą 75 pacjentów było leczonych tocilizumabem (8</w:t>
      </w:r>
      <w:r w:rsidR="00B73B0C" w:rsidRPr="00F13073">
        <w:rPr>
          <w:rStyle w:val="Char"/>
        </w:rPr>
        <w:t> </w:t>
      </w:r>
      <w:r w:rsidRPr="00F13073">
        <w:rPr>
          <w:rStyle w:val="Char"/>
        </w:rPr>
        <w:t xml:space="preserve">mg/kg mc. lub 12 mg/kg mc. w zależności od masy ciała). Po 12 tygodniach terapii lub po przejściu na terapię </w:t>
      </w:r>
      <w:r w:rsidR="00D322C1" w:rsidRPr="00F13073">
        <w:rPr>
          <w:rStyle w:val="Char"/>
        </w:rPr>
        <w:t xml:space="preserve">tocilizumabem </w:t>
      </w:r>
      <w:r w:rsidRPr="00F13073">
        <w:rPr>
          <w:rStyle w:val="Char"/>
        </w:rPr>
        <w:t>ze względu na zaostrzenie choroby, pacjenci byli leczeni w ramach otwartej fazy przedłużenia badania.</w:t>
      </w:r>
    </w:p>
    <w:p w14:paraId="6B55256D" w14:textId="77777777" w:rsidR="00045BD0" w:rsidRPr="00F13073" w:rsidRDefault="00045BD0" w:rsidP="008B4C50">
      <w:pPr>
        <w:pStyle w:val="a4"/>
        <w:widowControl/>
        <w:spacing w:after="0"/>
      </w:pPr>
    </w:p>
    <w:p w14:paraId="3C89AAA1" w14:textId="77777777" w:rsidR="00045BD0" w:rsidRPr="00F13073" w:rsidRDefault="00045BD0" w:rsidP="008B4C50">
      <w:pPr>
        <w:pStyle w:val="a4"/>
        <w:widowControl/>
        <w:spacing w:after="0"/>
        <w:rPr>
          <w:rStyle w:val="Char"/>
        </w:rPr>
      </w:pPr>
      <w:r w:rsidRPr="00F13073">
        <w:rPr>
          <w:rStyle w:val="Char"/>
        </w:rPr>
        <w:t>Na ogół działania niepożądane u chorych na uMIZS i RZS były podobne, patrz punkt 4.8. Częstość występowania działań niepożądanych u chorych na uMIZS przedstawiono w Tabeli 3. W porównaniu do populacji dorosłych chorych na RZS, działania niepożądane takie jak: zapalenie jamy nosowej i gardła, obniżenie liczby neutrofili, zwiększenie aktywności enzymów wątrobowych i biegunka zgłaszano częściej u chorych na uMIZS. Zwiększenie stężenia cholesterolu było zgłaszane rzadziej u chorych na uMIZS niż u dorosłych chorych na RZS.</w:t>
      </w:r>
    </w:p>
    <w:p w14:paraId="0863A8DA" w14:textId="77777777" w:rsidR="00045BD0" w:rsidRPr="00F13073" w:rsidRDefault="00045BD0" w:rsidP="008B4C50">
      <w:pPr>
        <w:pStyle w:val="a4"/>
        <w:widowControl/>
        <w:spacing w:after="0"/>
      </w:pPr>
    </w:p>
    <w:p w14:paraId="725155CF" w14:textId="77777777" w:rsidR="00045BD0" w:rsidRPr="00F13073" w:rsidRDefault="00045BD0" w:rsidP="0016720A">
      <w:pPr>
        <w:pStyle w:val="a4"/>
        <w:keepNext/>
        <w:widowControl/>
        <w:spacing w:after="0"/>
        <w:rPr>
          <w:rStyle w:val="Char"/>
          <w:i/>
          <w:iCs/>
        </w:rPr>
      </w:pPr>
      <w:r w:rsidRPr="00F13073">
        <w:rPr>
          <w:rStyle w:val="Char"/>
          <w:i/>
          <w:iCs/>
        </w:rPr>
        <w:t>Zakażenia</w:t>
      </w:r>
    </w:p>
    <w:p w14:paraId="3555E341" w14:textId="43FCDBF6" w:rsidR="00045BD0" w:rsidRPr="00F13073" w:rsidRDefault="00045BD0" w:rsidP="008B4C50">
      <w:pPr>
        <w:pStyle w:val="a4"/>
        <w:widowControl/>
        <w:spacing w:after="0"/>
        <w:rPr>
          <w:rStyle w:val="Char"/>
        </w:rPr>
      </w:pPr>
      <w:r w:rsidRPr="00F13073">
        <w:rPr>
          <w:rStyle w:val="Char"/>
        </w:rPr>
        <w:t xml:space="preserve">W trwającej 12 tygodni fazie kontrolowanej placebo częstość wszystkich zakażeń wyniosła 344,7 zdarzeń na 100 pacjentolat w grupie pacjentów otrzymujących dożylnie </w:t>
      </w:r>
      <w:r w:rsidR="007D71B2" w:rsidRPr="00F13073">
        <w:rPr>
          <w:rStyle w:val="Char"/>
        </w:rPr>
        <w:t>tocilizumab</w:t>
      </w:r>
      <w:r w:rsidRPr="00F13073">
        <w:rPr>
          <w:rStyle w:val="Char"/>
        </w:rPr>
        <w:t xml:space="preserve"> oraz 287,0 zdarzeń na 100 pacjentolat w grupie placebo. W otwartej fazie przedłużenia badania (część II) całkowita częstość zakażeń była podobna, tj. 306,6 zdarzeń na 100 pacjentolat.</w:t>
      </w:r>
    </w:p>
    <w:p w14:paraId="3AFC1499" w14:textId="77777777" w:rsidR="00045BD0" w:rsidRPr="00F13073" w:rsidRDefault="00045BD0" w:rsidP="008B4C50">
      <w:pPr>
        <w:pStyle w:val="a4"/>
        <w:widowControl/>
        <w:spacing w:after="0"/>
      </w:pPr>
    </w:p>
    <w:p w14:paraId="73AEFF34" w14:textId="6995DEE2" w:rsidR="00045BD0" w:rsidRPr="00F13073" w:rsidRDefault="00045BD0" w:rsidP="008B4C50">
      <w:pPr>
        <w:pStyle w:val="a4"/>
        <w:widowControl/>
        <w:spacing w:after="0"/>
        <w:rPr>
          <w:rStyle w:val="Char"/>
        </w:rPr>
      </w:pPr>
      <w:r w:rsidRPr="00F13073">
        <w:rPr>
          <w:rStyle w:val="Char"/>
        </w:rPr>
        <w:t xml:space="preserve">W trwającej 12 tygodni fazie kontrolowanej placebo częstość wszystkich ciężkich zakażeń w grupie pacjentów otrzymujących dożylnie </w:t>
      </w:r>
      <w:r w:rsidR="009C5AE2" w:rsidRPr="00F13073">
        <w:rPr>
          <w:rStyle w:val="Char"/>
        </w:rPr>
        <w:t xml:space="preserve">tocilizumab </w:t>
      </w:r>
      <w:r w:rsidRPr="00F13073">
        <w:rPr>
          <w:rStyle w:val="Char"/>
        </w:rPr>
        <w:t xml:space="preserve">wyniosła 11,5 na 100 pacjentolat. Po pierwszym roku otwartej fazy przedłużenia badania całkowita częstość ciężkich zakażeń pozostała na stałym poziomie </w:t>
      </w:r>
      <w:r w:rsidRPr="00F13073">
        <w:rPr>
          <w:rStyle w:val="Char"/>
        </w:rPr>
        <w:lastRenderedPageBreak/>
        <w:t>11,3 na 100 pacjentolat. Zgłoszone ciężkie zakażenia były podobne do obserwowanych u chorych na RZS, przy czym dodatkowo stwierdzono ospę wietrzną i zapalenie ucha środkowego.</w:t>
      </w:r>
    </w:p>
    <w:p w14:paraId="1B8174FD" w14:textId="77777777" w:rsidR="00045BD0" w:rsidRPr="00F13073" w:rsidRDefault="00045BD0" w:rsidP="008B4C50">
      <w:pPr>
        <w:pStyle w:val="a4"/>
        <w:widowControl/>
        <w:spacing w:after="0"/>
      </w:pPr>
    </w:p>
    <w:p w14:paraId="5071D491" w14:textId="77777777" w:rsidR="00045BD0" w:rsidRPr="00F13073" w:rsidRDefault="00045BD0" w:rsidP="008B4C50">
      <w:pPr>
        <w:pStyle w:val="a4"/>
        <w:widowControl/>
        <w:spacing w:after="0"/>
        <w:rPr>
          <w:rStyle w:val="Char"/>
          <w:i/>
          <w:iCs/>
        </w:rPr>
      </w:pPr>
      <w:r w:rsidRPr="00F13073">
        <w:rPr>
          <w:rStyle w:val="Char"/>
          <w:i/>
          <w:iCs/>
        </w:rPr>
        <w:t>Reakcje związane z infuzją</w:t>
      </w:r>
    </w:p>
    <w:p w14:paraId="39F4A388" w14:textId="77777777" w:rsidR="00045BD0" w:rsidRPr="00F13073" w:rsidRDefault="00045BD0" w:rsidP="008B4C50">
      <w:pPr>
        <w:pStyle w:val="a4"/>
        <w:widowControl/>
        <w:spacing w:after="0"/>
        <w:rPr>
          <w:rStyle w:val="Char"/>
        </w:rPr>
      </w:pPr>
      <w:r w:rsidRPr="00F13073">
        <w:rPr>
          <w:rStyle w:val="Char"/>
        </w:rPr>
        <w:t>Reakcje związane z infuzją definiowano jako zdarzenia występujące w czasie wlewu lub w ciągu 24 godzin od wlewu. W trwającej 12 tygodni fazie kontrolowanej placebo zdarzenia występujące podczas wlewu stwierdzono u 4% pacjentów otrzymujących tocilizumab. Jedno zdarzenie (obrzęk naczynioruchowy) zostało uznane za ciężkie i zagrażające życiu, a pacjenta wycofano z grupy otrzymującej leczenie w ramach badania.</w:t>
      </w:r>
    </w:p>
    <w:p w14:paraId="79325E9C" w14:textId="77777777" w:rsidR="00045BD0" w:rsidRPr="00F13073" w:rsidRDefault="00045BD0" w:rsidP="008B4C50">
      <w:pPr>
        <w:pStyle w:val="a4"/>
        <w:widowControl/>
        <w:spacing w:after="0"/>
      </w:pPr>
    </w:p>
    <w:p w14:paraId="1C648E72" w14:textId="77777777" w:rsidR="00045BD0" w:rsidRPr="00F13073" w:rsidRDefault="00045BD0" w:rsidP="008B4C50">
      <w:pPr>
        <w:pStyle w:val="a4"/>
        <w:widowControl/>
        <w:spacing w:after="0"/>
        <w:rPr>
          <w:rStyle w:val="Char"/>
        </w:rPr>
      </w:pPr>
      <w:r w:rsidRPr="00F13073">
        <w:rPr>
          <w:rStyle w:val="Char"/>
        </w:rPr>
        <w:t>W czasie 12-tygodniowej fazy kontrolowanej u 16% pacjentów z grupy otrzymującej tocilizumab i u 5,4% pacjentów z grupy placebo w ciągu 24 godzin po wlewie wystąpiły zdarzenia, które w grupie otrzymującej tocilizumab obejmowały m.in. wysypkę, pokrzywkę, biegunkę, dyskomfort w nadbrzuszu, bóle stawów i bóle głowy. Jedno z tych zdarzeń (pokrzywka), zostało uznane za ciężkie.</w:t>
      </w:r>
    </w:p>
    <w:p w14:paraId="58B963FC" w14:textId="77777777" w:rsidR="00045BD0" w:rsidRPr="00F13073" w:rsidRDefault="00045BD0" w:rsidP="008B4C50">
      <w:pPr>
        <w:pStyle w:val="a4"/>
        <w:widowControl/>
        <w:spacing w:after="0"/>
      </w:pPr>
    </w:p>
    <w:p w14:paraId="5B3D99B4" w14:textId="77777777" w:rsidR="00045BD0" w:rsidRPr="00F13073" w:rsidRDefault="00045BD0" w:rsidP="008B4C50">
      <w:pPr>
        <w:pStyle w:val="a4"/>
        <w:widowControl/>
        <w:spacing w:after="0"/>
        <w:rPr>
          <w:rStyle w:val="Char"/>
        </w:rPr>
      </w:pPr>
      <w:r w:rsidRPr="00F13073">
        <w:rPr>
          <w:rStyle w:val="Char"/>
        </w:rPr>
        <w:t>Klinicznie istotne reakcje nadwrażliwości związane ze stosowaniem tocilizumabu i wymagające przerwania leczenia zgłoszono w 1 przypadku spośród 112 pacjentów (&lt; 1%) leczonych tocilizumabem w czasie badania kontrolowanego aż do otwartej fazy badania klinicznego włącznie.</w:t>
      </w:r>
    </w:p>
    <w:p w14:paraId="40CA03B9" w14:textId="77777777" w:rsidR="00045BD0" w:rsidRPr="00F13073" w:rsidRDefault="00045BD0" w:rsidP="008B4C50">
      <w:pPr>
        <w:pStyle w:val="a4"/>
        <w:widowControl/>
        <w:spacing w:after="0"/>
      </w:pPr>
    </w:p>
    <w:p w14:paraId="20FD9704" w14:textId="77777777" w:rsidR="00045BD0" w:rsidRPr="00F13073" w:rsidRDefault="00045BD0" w:rsidP="008B4C50">
      <w:pPr>
        <w:pStyle w:val="a4"/>
        <w:widowControl/>
        <w:spacing w:after="0"/>
        <w:rPr>
          <w:rStyle w:val="Char"/>
          <w:i/>
          <w:iCs/>
        </w:rPr>
      </w:pPr>
      <w:r w:rsidRPr="00F13073">
        <w:rPr>
          <w:rStyle w:val="Char"/>
          <w:i/>
          <w:iCs/>
        </w:rPr>
        <w:t>Granulocyty obojętnochłonne</w:t>
      </w:r>
    </w:p>
    <w:p w14:paraId="3B9740E1" w14:textId="77777777" w:rsidR="00045BD0" w:rsidRPr="00F13073" w:rsidRDefault="00045BD0" w:rsidP="008B4C50">
      <w:pPr>
        <w:pStyle w:val="a4"/>
        <w:widowControl/>
        <w:spacing w:after="0"/>
        <w:rPr>
          <w:rStyle w:val="Char"/>
        </w:rPr>
      </w:pPr>
      <w:r w:rsidRPr="00F13073">
        <w:rPr>
          <w:rStyle w:val="Char"/>
        </w:rPr>
        <w:t>W czasie rutynowych badań laboratoryjnych w okresie 12-tygodniowej fazy kontrolowanej u 7% pacjentów otrzymujących tocilizumab wystąpiło zmniejszenie liczby granulocytów obojętnochłonnych poniżej 1 x 10</w:t>
      </w:r>
      <w:r w:rsidRPr="00F13073">
        <w:rPr>
          <w:rStyle w:val="Char"/>
          <w:vertAlign w:val="superscript"/>
        </w:rPr>
        <w:t>9</w:t>
      </w:r>
      <w:r w:rsidRPr="00F13073">
        <w:rPr>
          <w:rStyle w:val="Char"/>
        </w:rPr>
        <w:t>/l; w grupie placebo nie stwierdzono żadnych spadków.</w:t>
      </w:r>
    </w:p>
    <w:p w14:paraId="34A0DC11" w14:textId="77777777" w:rsidR="00045BD0" w:rsidRPr="00F13073" w:rsidRDefault="00045BD0" w:rsidP="008B4C50">
      <w:pPr>
        <w:pStyle w:val="a4"/>
        <w:widowControl/>
        <w:spacing w:after="0"/>
      </w:pPr>
    </w:p>
    <w:p w14:paraId="1A275A56" w14:textId="32E2BC37" w:rsidR="00045BD0" w:rsidRPr="00F13073" w:rsidRDefault="00045BD0" w:rsidP="00B73B0C">
      <w:pPr>
        <w:pStyle w:val="a4"/>
        <w:widowControl/>
        <w:spacing w:after="0"/>
        <w:rPr>
          <w:rStyle w:val="Char"/>
        </w:rPr>
      </w:pPr>
      <w:r w:rsidRPr="00F13073">
        <w:rPr>
          <w:rStyle w:val="Char"/>
        </w:rPr>
        <w:t>W otwartej fazie przedłużenia badania, zmniejszenie liczby granulocytów obojętnochłonnych poniżej 1</w:t>
      </w:r>
      <w:r w:rsidR="00B73B0C" w:rsidRPr="00F13073">
        <w:rPr>
          <w:rStyle w:val="Char"/>
        </w:rPr>
        <w:t> </w:t>
      </w:r>
      <w:r w:rsidRPr="00F13073">
        <w:rPr>
          <w:rStyle w:val="Char"/>
        </w:rPr>
        <w:t>x 10</w:t>
      </w:r>
      <w:r w:rsidRPr="00F13073">
        <w:rPr>
          <w:rStyle w:val="Char"/>
          <w:vertAlign w:val="superscript"/>
        </w:rPr>
        <w:t>9</w:t>
      </w:r>
      <w:r w:rsidRPr="00F13073">
        <w:rPr>
          <w:rStyle w:val="Char"/>
        </w:rPr>
        <w:t>/l wystąpiło u 15% pacjentów otrzymujących tocilizumab.</w:t>
      </w:r>
    </w:p>
    <w:p w14:paraId="72C146C4" w14:textId="77777777" w:rsidR="00045BD0" w:rsidRPr="00F13073" w:rsidRDefault="00045BD0" w:rsidP="008B4C50">
      <w:pPr>
        <w:pStyle w:val="a4"/>
        <w:widowControl/>
        <w:spacing w:after="0"/>
      </w:pPr>
    </w:p>
    <w:p w14:paraId="7BC4CFE0" w14:textId="77777777" w:rsidR="00045BD0" w:rsidRPr="00F13073" w:rsidRDefault="00045BD0" w:rsidP="008B4C50">
      <w:pPr>
        <w:pStyle w:val="a4"/>
        <w:widowControl/>
        <w:spacing w:after="0"/>
        <w:rPr>
          <w:rStyle w:val="Char"/>
          <w:i/>
          <w:iCs/>
        </w:rPr>
      </w:pPr>
      <w:r w:rsidRPr="00F13073">
        <w:rPr>
          <w:rStyle w:val="Char"/>
          <w:i/>
          <w:iCs/>
        </w:rPr>
        <w:t>Płytki krwi</w:t>
      </w:r>
    </w:p>
    <w:p w14:paraId="4867BC2F" w14:textId="77777777" w:rsidR="00045BD0" w:rsidRPr="00F13073" w:rsidRDefault="00045BD0" w:rsidP="008B4C50">
      <w:pPr>
        <w:pStyle w:val="a4"/>
        <w:widowControl/>
        <w:spacing w:after="0"/>
        <w:rPr>
          <w:rStyle w:val="Char"/>
        </w:rPr>
      </w:pPr>
      <w:r w:rsidRPr="00F13073">
        <w:rPr>
          <w:rStyle w:val="Char"/>
        </w:rPr>
        <w:t>W czasie rutynowych badań laboratoryjnych w okresie 12-tygodniowej fazy kontrolowanej u 3% pacjentów otrzymujących placebo i u 1% pacjentów otrzymujących tocilizumab wystąpiło zmniejszenie liczby płytek krwi do ≤ 100 x 10</w:t>
      </w:r>
      <w:r w:rsidRPr="00F13073">
        <w:rPr>
          <w:rStyle w:val="Char"/>
          <w:vertAlign w:val="superscript"/>
        </w:rPr>
        <w:t>3</w:t>
      </w:r>
      <w:r w:rsidRPr="00F13073">
        <w:rPr>
          <w:rStyle w:val="Char"/>
        </w:rPr>
        <w:t>/μl.</w:t>
      </w:r>
    </w:p>
    <w:p w14:paraId="4EAB41FF" w14:textId="77777777" w:rsidR="00045BD0" w:rsidRPr="00F13073" w:rsidRDefault="00045BD0" w:rsidP="008B4C50">
      <w:pPr>
        <w:pStyle w:val="a4"/>
        <w:widowControl/>
        <w:spacing w:after="0"/>
      </w:pPr>
    </w:p>
    <w:p w14:paraId="1B0FB532" w14:textId="77777777" w:rsidR="00045BD0" w:rsidRPr="00F13073" w:rsidRDefault="00045BD0" w:rsidP="008B4C50">
      <w:pPr>
        <w:pStyle w:val="a4"/>
        <w:widowControl/>
        <w:spacing w:after="0"/>
        <w:rPr>
          <w:rStyle w:val="Char"/>
        </w:rPr>
      </w:pPr>
      <w:r w:rsidRPr="00F13073">
        <w:rPr>
          <w:rStyle w:val="Char"/>
        </w:rPr>
        <w:t>W otwartej fazie przedłużenia badania zmniejszenie liczby płytek krwi poniżej 100 x 10</w:t>
      </w:r>
      <w:r w:rsidRPr="00F13073">
        <w:rPr>
          <w:rStyle w:val="Char"/>
          <w:vertAlign w:val="superscript"/>
        </w:rPr>
        <w:t>3</w:t>
      </w:r>
      <w:r w:rsidRPr="00F13073">
        <w:rPr>
          <w:rStyle w:val="Char"/>
        </w:rPr>
        <w:t>/μl wystąpiło u 3% pacjentów otrzymujących tocilizumab i nie towarzyszyły temu krwawienia.</w:t>
      </w:r>
    </w:p>
    <w:p w14:paraId="44A705AC" w14:textId="77777777" w:rsidR="00045BD0" w:rsidRPr="00F13073" w:rsidRDefault="00045BD0" w:rsidP="008B4C50">
      <w:pPr>
        <w:pStyle w:val="a4"/>
        <w:widowControl/>
        <w:spacing w:after="0"/>
      </w:pPr>
    </w:p>
    <w:p w14:paraId="56916E66" w14:textId="77777777" w:rsidR="00045BD0" w:rsidRPr="00F13073" w:rsidRDefault="00045BD0" w:rsidP="008B4C50">
      <w:pPr>
        <w:pStyle w:val="a4"/>
        <w:widowControl/>
        <w:spacing w:after="0"/>
        <w:rPr>
          <w:rStyle w:val="Char"/>
          <w:i/>
          <w:iCs/>
        </w:rPr>
      </w:pPr>
      <w:r w:rsidRPr="00F13073">
        <w:rPr>
          <w:rStyle w:val="Char"/>
          <w:i/>
          <w:iCs/>
        </w:rPr>
        <w:t>Zwiększenie aktywności enzymów wątrobowych</w:t>
      </w:r>
    </w:p>
    <w:p w14:paraId="244533DF" w14:textId="77777777" w:rsidR="00045BD0" w:rsidRPr="00F13073" w:rsidRDefault="00045BD0" w:rsidP="008B4C50">
      <w:pPr>
        <w:pStyle w:val="a4"/>
        <w:widowControl/>
        <w:spacing w:after="0"/>
        <w:rPr>
          <w:rStyle w:val="Char"/>
        </w:rPr>
      </w:pPr>
      <w:r w:rsidRPr="00F13073">
        <w:rPr>
          <w:rStyle w:val="Char"/>
        </w:rPr>
        <w:t>W czasie rutynowych badań laboratoryjnych w okresie trwającej 12 tygodni fazie kontrolowanej badania, zwiększenie aktywności AlAT i AspAT ≥ 3 x GGN wystąpiło odpowiednio u 5 i 3% pacjentów z grupy otrzymującej tocilizumab, a w grupie placebo u 0% pacjentów.</w:t>
      </w:r>
    </w:p>
    <w:p w14:paraId="0DE3AC4F" w14:textId="77777777" w:rsidR="00045BD0" w:rsidRPr="00F13073" w:rsidRDefault="00045BD0" w:rsidP="008B4C50">
      <w:pPr>
        <w:pStyle w:val="a4"/>
        <w:widowControl/>
        <w:spacing w:after="0"/>
      </w:pPr>
    </w:p>
    <w:p w14:paraId="72561250" w14:textId="77777777" w:rsidR="00045BD0" w:rsidRPr="00F13073" w:rsidRDefault="00045BD0" w:rsidP="008B4C50">
      <w:pPr>
        <w:pStyle w:val="a4"/>
        <w:widowControl/>
        <w:spacing w:after="0"/>
        <w:rPr>
          <w:rStyle w:val="Char"/>
        </w:rPr>
      </w:pPr>
      <w:r w:rsidRPr="00F13073">
        <w:rPr>
          <w:rStyle w:val="Char"/>
        </w:rPr>
        <w:t>W otwartej fazie przedłużenia badania zwiększenie aktywności AlAT i AspAT ≥ 3 x GGN wystąpiło odpowiednio u 12 i 4% pacjentów z grupy otrzymującej tocilizumab.</w:t>
      </w:r>
    </w:p>
    <w:p w14:paraId="6B096911" w14:textId="77777777" w:rsidR="00045BD0" w:rsidRPr="00F13073" w:rsidRDefault="00045BD0" w:rsidP="008B4C50">
      <w:pPr>
        <w:pStyle w:val="a4"/>
        <w:widowControl/>
        <w:spacing w:after="0"/>
      </w:pPr>
    </w:p>
    <w:p w14:paraId="6310A17E" w14:textId="77777777" w:rsidR="00045BD0" w:rsidRPr="00F13073" w:rsidRDefault="00045BD0" w:rsidP="008A3A9E">
      <w:pPr>
        <w:pStyle w:val="a4"/>
        <w:keepNext/>
        <w:keepLines/>
        <w:widowControl/>
        <w:spacing w:after="0"/>
        <w:rPr>
          <w:rStyle w:val="Char"/>
          <w:i/>
          <w:iCs/>
        </w:rPr>
      </w:pPr>
      <w:r w:rsidRPr="00F13073">
        <w:rPr>
          <w:rStyle w:val="Char"/>
          <w:i/>
          <w:iCs/>
        </w:rPr>
        <w:t>Immunoglobulina G</w:t>
      </w:r>
    </w:p>
    <w:p w14:paraId="10104368" w14:textId="77777777" w:rsidR="00045BD0" w:rsidRPr="00F13073" w:rsidRDefault="00045BD0" w:rsidP="008B4C50">
      <w:pPr>
        <w:pStyle w:val="a4"/>
        <w:widowControl/>
        <w:spacing w:after="0"/>
        <w:rPr>
          <w:rStyle w:val="Char"/>
        </w:rPr>
      </w:pPr>
      <w:r w:rsidRPr="00F13073">
        <w:rPr>
          <w:rStyle w:val="Char"/>
        </w:rPr>
        <w:t>Stężenia immunoglobuliny G (IgG) ulegają zmniejszeniu w trakcie leczenia. Spadek stężenia do dolnej granicy normy wystąpił u 15 pacjentów w pewnym momencie badania.</w:t>
      </w:r>
    </w:p>
    <w:p w14:paraId="5AF69E15" w14:textId="77777777" w:rsidR="00045BD0" w:rsidRPr="00F13073" w:rsidRDefault="00045BD0" w:rsidP="008B4C50">
      <w:pPr>
        <w:pStyle w:val="a4"/>
        <w:widowControl/>
        <w:spacing w:after="0"/>
      </w:pPr>
    </w:p>
    <w:p w14:paraId="421B7966" w14:textId="77777777" w:rsidR="00045BD0" w:rsidRPr="00F13073" w:rsidRDefault="00045BD0" w:rsidP="008B4C50">
      <w:pPr>
        <w:pStyle w:val="a4"/>
        <w:widowControl/>
        <w:spacing w:after="0"/>
        <w:rPr>
          <w:rStyle w:val="Char"/>
          <w:i/>
          <w:iCs/>
        </w:rPr>
      </w:pPr>
      <w:r w:rsidRPr="00F13073">
        <w:rPr>
          <w:rStyle w:val="Char"/>
          <w:i/>
          <w:iCs/>
        </w:rPr>
        <w:t>Parametry gospodarki lipidowej</w:t>
      </w:r>
    </w:p>
    <w:p w14:paraId="330D1BDE" w14:textId="77777777" w:rsidR="00045BD0" w:rsidRPr="00F13073" w:rsidRDefault="00045BD0" w:rsidP="008B4C50">
      <w:pPr>
        <w:pStyle w:val="a4"/>
        <w:widowControl/>
        <w:spacing w:after="0"/>
        <w:rPr>
          <w:rStyle w:val="Char"/>
        </w:rPr>
      </w:pPr>
      <w:r w:rsidRPr="00F13073">
        <w:rPr>
          <w:rStyle w:val="Char"/>
        </w:rPr>
        <w:t xml:space="preserve">W czasie rutynowych badań laboratoryjnych w okresie 12-tygodniowej fazy kontrolowanej (badanie WA18221) odpowiednio u 13,4% i 33,3% pacjentów wystąpiło zwiększenie stężenia cholesterolu LDL do </w:t>
      </w:r>
      <w:r w:rsidR="0016720A" w:rsidRPr="00F13073">
        <w:rPr>
          <w:rStyle w:val="Char"/>
        </w:rPr>
        <w:t>≥</w:t>
      </w:r>
      <w:r w:rsidRPr="00F13073">
        <w:rPr>
          <w:rStyle w:val="Char"/>
        </w:rPr>
        <w:t xml:space="preserve">130 mg/dL i cholesterolu całkowitego do </w:t>
      </w:r>
      <w:r w:rsidR="0016720A" w:rsidRPr="00F13073">
        <w:rPr>
          <w:rStyle w:val="Char"/>
        </w:rPr>
        <w:t>≥</w:t>
      </w:r>
      <w:r w:rsidRPr="00F13073">
        <w:rPr>
          <w:rStyle w:val="Char"/>
        </w:rPr>
        <w:t>200 mg/dL względem wartości wyjściowych, w dowolnym momencie stosowania leczenia badanego.</w:t>
      </w:r>
    </w:p>
    <w:p w14:paraId="18F2D703" w14:textId="77777777" w:rsidR="00045BD0" w:rsidRPr="00F13073" w:rsidRDefault="00045BD0" w:rsidP="008B4C50">
      <w:pPr>
        <w:pStyle w:val="a4"/>
        <w:widowControl/>
        <w:spacing w:after="0"/>
        <w:ind w:left="180" w:firstLine="20"/>
      </w:pPr>
    </w:p>
    <w:p w14:paraId="372F4CE1" w14:textId="77777777" w:rsidR="00045BD0" w:rsidRPr="00F13073" w:rsidRDefault="00045BD0" w:rsidP="008B4C50">
      <w:pPr>
        <w:pStyle w:val="a4"/>
        <w:widowControl/>
        <w:spacing w:after="0"/>
        <w:rPr>
          <w:rStyle w:val="Char"/>
        </w:rPr>
      </w:pPr>
      <w:r w:rsidRPr="00F13073">
        <w:rPr>
          <w:rStyle w:val="Char"/>
        </w:rPr>
        <w:t xml:space="preserve">W otwartej fazie przedłużenia badania (badanie WA18221) odpowiednio u 13,2% i 27,7% pacjentów wystąpiło zwiększenie stężenia cholesterolu LDL do </w:t>
      </w:r>
      <w:r w:rsidR="00FB2E71" w:rsidRPr="00F13073">
        <w:rPr>
          <w:rStyle w:val="Char"/>
        </w:rPr>
        <w:t>≥</w:t>
      </w:r>
      <w:r w:rsidRPr="00F13073">
        <w:rPr>
          <w:rStyle w:val="Char"/>
        </w:rPr>
        <w:t xml:space="preserve">130 mg/dL i cholesterolu całkowitego do </w:t>
      </w:r>
      <w:r w:rsidR="00FB2E71" w:rsidRPr="00F13073">
        <w:rPr>
          <w:rStyle w:val="Char"/>
        </w:rPr>
        <w:t>≥</w:t>
      </w:r>
      <w:r w:rsidRPr="00F13073">
        <w:rPr>
          <w:rStyle w:val="Char"/>
        </w:rPr>
        <w:t>200</w:t>
      </w:r>
      <w:r w:rsidR="00CD019E" w:rsidRPr="00F13073">
        <w:rPr>
          <w:rStyle w:val="Char"/>
        </w:rPr>
        <w:t> </w:t>
      </w:r>
      <w:r w:rsidRPr="00F13073">
        <w:rPr>
          <w:rStyle w:val="Char"/>
        </w:rPr>
        <w:t>mg/dL względem wartości wyjściowych, w dowolnym momencie stosowania leczenia badanego.</w:t>
      </w:r>
    </w:p>
    <w:p w14:paraId="2CA535D2" w14:textId="77777777" w:rsidR="00045BD0" w:rsidRPr="00F13073" w:rsidRDefault="00045BD0" w:rsidP="008B4C50">
      <w:pPr>
        <w:pStyle w:val="a4"/>
        <w:widowControl/>
        <w:spacing w:after="0"/>
        <w:ind w:left="180" w:firstLine="20"/>
      </w:pPr>
    </w:p>
    <w:p w14:paraId="590E8A36" w14:textId="77777777" w:rsidR="00045BD0" w:rsidRPr="00F13073" w:rsidRDefault="00045BD0" w:rsidP="0017744B">
      <w:pPr>
        <w:pStyle w:val="a4"/>
        <w:keepNext/>
        <w:widowControl/>
        <w:spacing w:after="0"/>
      </w:pPr>
      <w:r w:rsidRPr="00F13073">
        <w:rPr>
          <w:rStyle w:val="Char"/>
          <w:u w:val="single"/>
        </w:rPr>
        <w:lastRenderedPageBreak/>
        <w:t>Pacjenci z CRS</w:t>
      </w:r>
    </w:p>
    <w:p w14:paraId="1DD91A0D" w14:textId="77777777" w:rsidR="00045BD0" w:rsidRPr="00F13073" w:rsidRDefault="00045BD0" w:rsidP="008B4C50">
      <w:pPr>
        <w:pStyle w:val="a4"/>
        <w:widowControl/>
        <w:spacing w:after="0"/>
        <w:rPr>
          <w:rStyle w:val="Char"/>
        </w:rPr>
      </w:pPr>
      <w:r w:rsidRPr="00F13073">
        <w:rPr>
          <w:rStyle w:val="Char"/>
        </w:rPr>
        <w:t>Bezpieczeństwo stosowania tocilizumabu w leczeniu CRS było oceniane w retrospektywnej analizie danych z badań klinicznych, w których 51 pacjentów leczono tocilizumabem podawanym we wlewie dożylnym w dawce 8 mg/kg (12 mg/kg u pacjentów o masie ciała poniżej 30 kg) z dodatkową wysoką dawką kortykosteroidów lub bez dodatkowej wysokiej dawki kortykosteroidów, z powodu ciężkiego lub zagrażającego życiu CRS indukowanego terapią z komórkami i T CAR. Mediana liczby podanych dawek tocilizumabu wynosiła 1 (zakres: 1-4 dawek).</w:t>
      </w:r>
    </w:p>
    <w:p w14:paraId="70270FC7" w14:textId="77777777" w:rsidR="001811E8" w:rsidRPr="00F13073" w:rsidRDefault="001811E8" w:rsidP="008B4C50">
      <w:pPr>
        <w:pStyle w:val="a4"/>
        <w:widowControl/>
        <w:spacing w:after="0"/>
        <w:rPr>
          <w:rStyle w:val="Char"/>
        </w:rPr>
      </w:pPr>
    </w:p>
    <w:p w14:paraId="13FE8B9B" w14:textId="32821C07" w:rsidR="001811E8" w:rsidRPr="00F13073" w:rsidRDefault="001811E8" w:rsidP="008B4C50">
      <w:pPr>
        <w:pStyle w:val="a4"/>
        <w:widowControl/>
        <w:spacing w:after="0"/>
        <w:rPr>
          <w:rStyle w:val="Char"/>
          <w:u w:val="single"/>
        </w:rPr>
      </w:pPr>
      <w:r w:rsidRPr="00F13073">
        <w:rPr>
          <w:rStyle w:val="Char"/>
          <w:u w:val="single"/>
        </w:rPr>
        <w:t>Immunogenność</w:t>
      </w:r>
    </w:p>
    <w:p w14:paraId="161D6924" w14:textId="244BD880" w:rsidR="001811E8" w:rsidRPr="00F13073" w:rsidRDefault="00774C36" w:rsidP="008B4C50">
      <w:pPr>
        <w:pStyle w:val="a4"/>
        <w:widowControl/>
        <w:spacing w:after="0"/>
        <w:rPr>
          <w:rStyle w:val="Char"/>
        </w:rPr>
      </w:pPr>
      <w:r w:rsidRPr="00F13073">
        <w:rPr>
          <w:rStyle w:val="Char"/>
        </w:rPr>
        <w:t>Podczas leczenia tocilizumabem mogą wytworzyć się p</w:t>
      </w:r>
      <w:r w:rsidR="001811E8" w:rsidRPr="00F13073">
        <w:rPr>
          <w:rStyle w:val="Char"/>
        </w:rPr>
        <w:t xml:space="preserve">rzeciwciała przeciwko tocilizumabowi. Można zaobserwować </w:t>
      </w:r>
      <w:r w:rsidR="00485C8C" w:rsidRPr="00F13073">
        <w:rPr>
          <w:rStyle w:val="Char"/>
        </w:rPr>
        <w:t>zależność</w:t>
      </w:r>
      <w:r w:rsidR="001811E8" w:rsidRPr="00F13073">
        <w:rPr>
          <w:rStyle w:val="Char"/>
        </w:rPr>
        <w:t xml:space="preserve"> między </w:t>
      </w:r>
      <w:r w:rsidR="0094201C" w:rsidRPr="00F13073">
        <w:rPr>
          <w:rStyle w:val="Char"/>
        </w:rPr>
        <w:t xml:space="preserve">wytwarzaniem </w:t>
      </w:r>
      <w:r w:rsidR="001811E8" w:rsidRPr="00F13073">
        <w:rPr>
          <w:rStyle w:val="Char"/>
        </w:rPr>
        <w:t>przeciwciał a odpowiedzią kliniczną lub zdarzeniami niepożądanymi.</w:t>
      </w:r>
    </w:p>
    <w:p w14:paraId="2CC935CC" w14:textId="77777777" w:rsidR="00045BD0" w:rsidRPr="00F13073" w:rsidRDefault="00045BD0" w:rsidP="008B4C50">
      <w:pPr>
        <w:pStyle w:val="a4"/>
        <w:widowControl/>
        <w:spacing w:after="0"/>
        <w:ind w:left="180" w:firstLine="20"/>
      </w:pPr>
    </w:p>
    <w:p w14:paraId="3E219B1E" w14:textId="77777777" w:rsidR="001E0975" w:rsidRPr="00F13073" w:rsidRDefault="00045BD0" w:rsidP="008B4C50">
      <w:r w:rsidRPr="00F13073">
        <w:rPr>
          <w:rStyle w:val="Char"/>
          <w:rFonts w:eastAsia="DengXian"/>
          <w:u w:val="single"/>
        </w:rPr>
        <w:t>Zgłaszanie podejrzewanych działań niepożądanych</w:t>
      </w:r>
    </w:p>
    <w:p w14:paraId="2A4896BB" w14:textId="77777777" w:rsidR="001E0975" w:rsidRPr="00F13073" w:rsidRDefault="00045BD0" w:rsidP="008B4C50">
      <w:r w:rsidRPr="00F13073">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rPr>
        <w:t xml:space="preserve">krajowego systemu zgłaszania wymienionego w </w:t>
      </w:r>
      <w:r>
        <w:fldChar w:fldCharType="begin"/>
      </w:r>
      <w:r>
        <w:instrText>HYPERLINK "https://www.ema.europa.eu/documents/template-form/appendix-v-adverse-drug-reaction-reporting-details_en.doc"</w:instrText>
      </w:r>
      <w:r>
        <w:fldChar w:fldCharType="separate"/>
      </w:r>
      <w:r>
        <w:rPr>
          <w:rStyle w:val="a7"/>
          <w:highlight w:val="lightGray"/>
        </w:rPr>
        <w:t>załączniku V</w:t>
      </w:r>
      <w:r>
        <w:fldChar w:fldCharType="end"/>
      </w:r>
      <w:r w:rsidR="00EE080A" w:rsidRPr="00F13073">
        <w:t>.</w:t>
      </w:r>
    </w:p>
    <w:p w14:paraId="3DCB4CB0" w14:textId="77777777" w:rsidR="00B6585C" w:rsidRPr="00F13073" w:rsidRDefault="00B6585C" w:rsidP="008B4C50"/>
    <w:p w14:paraId="3B49E417" w14:textId="77777777" w:rsidR="001E0975" w:rsidRPr="00F13073" w:rsidRDefault="001721B1" w:rsidP="008B4C50">
      <w:pPr>
        <w:keepNext/>
        <w:ind w:left="567" w:hanging="567"/>
        <w:rPr>
          <w:b/>
          <w:bCs/>
        </w:rPr>
      </w:pPr>
      <w:r w:rsidRPr="00F13073">
        <w:rPr>
          <w:b/>
          <w:bCs/>
        </w:rPr>
        <w:t>4.9</w:t>
      </w:r>
      <w:r w:rsidRPr="00F13073">
        <w:rPr>
          <w:b/>
          <w:bCs/>
        </w:rPr>
        <w:tab/>
      </w:r>
      <w:r w:rsidR="00755B23" w:rsidRPr="00F13073">
        <w:rPr>
          <w:b/>
          <w:bCs/>
        </w:rPr>
        <w:t>Przedawkowanie</w:t>
      </w:r>
    </w:p>
    <w:p w14:paraId="1CC00C44" w14:textId="77777777" w:rsidR="00EE080A" w:rsidRPr="00F13073" w:rsidRDefault="00EE080A" w:rsidP="008B4C50">
      <w:pPr>
        <w:keepNext/>
        <w:ind w:left="567" w:hanging="567"/>
        <w:rPr>
          <w:b/>
          <w:bCs/>
        </w:rPr>
      </w:pPr>
    </w:p>
    <w:p w14:paraId="0EA3523D" w14:textId="77777777" w:rsidR="00755B23" w:rsidRPr="00F13073" w:rsidRDefault="00755B23" w:rsidP="008B4C50">
      <w:pPr>
        <w:rPr>
          <w:rStyle w:val="Char"/>
          <w:rFonts w:eastAsia="DengXian"/>
        </w:rPr>
      </w:pPr>
      <w:r w:rsidRPr="00F13073">
        <w:rPr>
          <w:rStyle w:val="Char"/>
          <w:rFonts w:eastAsia="DengXian"/>
        </w:rPr>
        <w:t xml:space="preserve">Dostępne dane dotyczące przedawkowania tocilizumabu są ograniczone. Zgłoszono jedno zdarzenie </w:t>
      </w:r>
      <w:r w:rsidRPr="00F13073">
        <w:t>przypadkowego</w:t>
      </w:r>
      <w:r w:rsidRPr="00F13073">
        <w:rPr>
          <w:rStyle w:val="Char"/>
          <w:rFonts w:eastAsia="DengXian"/>
        </w:rPr>
        <w:t xml:space="preserve"> przedawkowania, w którym chory ze szpiczakiem mnogim otrzymał pojedynczą dawkę w wysokości 40 mg/kg mc. Nie zaobserwowano żadnych działań niepożądanych.</w:t>
      </w:r>
    </w:p>
    <w:p w14:paraId="2A96B738" w14:textId="77777777" w:rsidR="00755B23" w:rsidRPr="00F13073" w:rsidRDefault="00755B23" w:rsidP="008B4C50"/>
    <w:p w14:paraId="72FF96A3" w14:textId="77777777" w:rsidR="001E0975" w:rsidRPr="00F13073" w:rsidRDefault="00755B23" w:rsidP="008B4C50">
      <w:r w:rsidRPr="00F13073">
        <w:rPr>
          <w:rStyle w:val="Char"/>
          <w:rFonts w:eastAsia="DengXian"/>
        </w:rPr>
        <w:t xml:space="preserve">U </w:t>
      </w:r>
      <w:r w:rsidRPr="00F13073">
        <w:t>zdrowych</w:t>
      </w:r>
      <w:r w:rsidRPr="00F13073">
        <w:rPr>
          <w:rStyle w:val="Char"/>
          <w:rFonts w:eastAsia="DengXian"/>
        </w:rPr>
        <w:t xml:space="preserve"> ochotników, którzy otrzymali pojedynczą dawkę w wysokości do 28 mg/kg mc. nie zaobserwowano ciężkich działań niepożądanych, aczkolwiek wystąpiła neutropenia wymagająca zmniejszenia dawki leczniczej.</w:t>
      </w:r>
    </w:p>
    <w:p w14:paraId="5242ED5D" w14:textId="77777777" w:rsidR="00EE080A" w:rsidRPr="00F13073" w:rsidRDefault="00EE080A" w:rsidP="008B4C50"/>
    <w:p w14:paraId="6C98F641" w14:textId="77777777" w:rsidR="001E0975" w:rsidRPr="00F13073" w:rsidRDefault="00755B23" w:rsidP="008B4C50">
      <w:pPr>
        <w:keepNext/>
        <w:rPr>
          <w:b/>
          <w:bCs/>
          <w:u w:val="single"/>
        </w:rPr>
      </w:pPr>
      <w:r w:rsidRPr="00F13073">
        <w:rPr>
          <w:b/>
          <w:bCs/>
          <w:u w:val="single"/>
        </w:rPr>
        <w:t>Dzieci i młodzież</w:t>
      </w:r>
    </w:p>
    <w:p w14:paraId="432C03EA" w14:textId="77777777" w:rsidR="00EE080A" w:rsidRPr="00F13073" w:rsidRDefault="00EE080A" w:rsidP="008B4C50">
      <w:pPr>
        <w:keepNext/>
        <w:rPr>
          <w:b/>
          <w:bCs/>
          <w:u w:val="single"/>
        </w:rPr>
      </w:pPr>
    </w:p>
    <w:p w14:paraId="0A9EFBDB" w14:textId="77777777" w:rsidR="001E0975" w:rsidRPr="00F13073" w:rsidRDefault="00755B23" w:rsidP="008B4C50">
      <w:r w:rsidRPr="00F13073">
        <w:t>Nie odnotowano przypadku przedawkowania w populacji dzieci i młodzieży.</w:t>
      </w:r>
    </w:p>
    <w:p w14:paraId="1030BDDA" w14:textId="77777777" w:rsidR="00EE080A" w:rsidRPr="00F13073" w:rsidRDefault="00EE080A" w:rsidP="008B4C50"/>
    <w:p w14:paraId="38F01E00" w14:textId="77777777" w:rsidR="00EE080A" w:rsidRPr="00F13073" w:rsidRDefault="00EE080A" w:rsidP="008B4C50"/>
    <w:p w14:paraId="6EBBBC9D" w14:textId="77777777" w:rsidR="001E0975" w:rsidRPr="00F13073" w:rsidRDefault="001721B1" w:rsidP="008B4C50">
      <w:pPr>
        <w:keepNext/>
        <w:ind w:left="567" w:hanging="567"/>
        <w:rPr>
          <w:b/>
          <w:bCs/>
        </w:rPr>
      </w:pPr>
      <w:r w:rsidRPr="00F13073">
        <w:rPr>
          <w:b/>
          <w:bCs/>
        </w:rPr>
        <w:t>5.</w:t>
      </w:r>
      <w:r w:rsidRPr="00F13073">
        <w:rPr>
          <w:b/>
          <w:bCs/>
        </w:rPr>
        <w:tab/>
      </w:r>
      <w:r w:rsidR="00755B23" w:rsidRPr="00F13073">
        <w:rPr>
          <w:b/>
          <w:bCs/>
        </w:rPr>
        <w:t>WŁAŚCIWOŚCI FARMAKOLOGICZNE</w:t>
      </w:r>
    </w:p>
    <w:p w14:paraId="333FD257" w14:textId="77777777" w:rsidR="00FB5B64" w:rsidRPr="00F13073" w:rsidRDefault="00FB5B64" w:rsidP="008B4C50">
      <w:pPr>
        <w:keepNext/>
        <w:ind w:left="567" w:hanging="567"/>
        <w:rPr>
          <w:b/>
          <w:bCs/>
        </w:rPr>
      </w:pPr>
    </w:p>
    <w:p w14:paraId="32751E76" w14:textId="77777777" w:rsidR="001E0975" w:rsidRPr="00F13073" w:rsidRDefault="001721B1" w:rsidP="008B4C50">
      <w:pPr>
        <w:keepNext/>
        <w:ind w:left="567" w:hanging="567"/>
        <w:rPr>
          <w:b/>
          <w:bCs/>
        </w:rPr>
      </w:pPr>
      <w:r w:rsidRPr="00F13073">
        <w:rPr>
          <w:b/>
          <w:bCs/>
        </w:rPr>
        <w:t>5.1</w:t>
      </w:r>
      <w:r w:rsidRPr="00F13073">
        <w:rPr>
          <w:b/>
          <w:bCs/>
        </w:rPr>
        <w:tab/>
      </w:r>
      <w:r w:rsidR="00755B23" w:rsidRPr="00F13073">
        <w:rPr>
          <w:b/>
          <w:bCs/>
        </w:rPr>
        <w:t>Właściwości farmakodynamiczne</w:t>
      </w:r>
    </w:p>
    <w:p w14:paraId="521E59F3" w14:textId="77777777" w:rsidR="00FB5B64" w:rsidRPr="00F13073" w:rsidRDefault="00FB5B64" w:rsidP="008B4C50">
      <w:pPr>
        <w:keepNext/>
        <w:ind w:left="567" w:hanging="567"/>
        <w:rPr>
          <w:b/>
          <w:bCs/>
        </w:rPr>
      </w:pPr>
    </w:p>
    <w:p w14:paraId="716DAB3F" w14:textId="77777777" w:rsidR="00985C49" w:rsidRPr="00F13073" w:rsidRDefault="00985C49" w:rsidP="008B4C50">
      <w:pPr>
        <w:rPr>
          <w:rStyle w:val="Char"/>
          <w:rFonts w:eastAsia="DengXian"/>
        </w:rPr>
      </w:pPr>
      <w:r w:rsidRPr="00F13073">
        <w:t>Grupa</w:t>
      </w:r>
      <w:r w:rsidRPr="00F13073">
        <w:rPr>
          <w:rStyle w:val="Char"/>
          <w:rFonts w:eastAsia="DengXian"/>
        </w:rPr>
        <w:t xml:space="preserve"> farmakoterapeutyczna: leki immunosupresyjne, inhibitory interleukin; kod ATC: L04AC07</w:t>
      </w:r>
    </w:p>
    <w:p w14:paraId="174F8647" w14:textId="77777777" w:rsidR="00985C49" w:rsidRPr="00F13073" w:rsidRDefault="00985C49" w:rsidP="008B4C50"/>
    <w:p w14:paraId="3E75C083" w14:textId="29343BF8" w:rsidR="006D6FC1" w:rsidRPr="00F13073" w:rsidRDefault="006D6FC1" w:rsidP="008B4C50">
      <w:r w:rsidRPr="00F13073">
        <w:t xml:space="preserve">Avtozma jest produktem leczniczym biopodobnym. Szczegółowe informacje są dostępne na stronie internetowej Europejskiej Agencji Leków </w:t>
      </w:r>
      <w:r>
        <w:fldChar w:fldCharType="begin"/>
      </w:r>
      <w:r>
        <w:instrText>HYPERLINK "https://www.ema.europa.eu"</w:instrText>
      </w:r>
      <w:r>
        <w:fldChar w:fldCharType="separate"/>
      </w:r>
      <w:r w:rsidRPr="00F13073">
        <w:rPr>
          <w:rStyle w:val="a7"/>
        </w:rPr>
        <w:t>https://www.ema.europa.eu</w:t>
      </w:r>
      <w:r>
        <w:fldChar w:fldCharType="end"/>
      </w:r>
      <w:r w:rsidRPr="00F13073">
        <w:rPr>
          <w:color w:val="0000FF"/>
        </w:rPr>
        <w:t>.</w:t>
      </w:r>
    </w:p>
    <w:p w14:paraId="1B6DE68B" w14:textId="77777777" w:rsidR="006D6FC1" w:rsidRPr="00F13073" w:rsidRDefault="006D6FC1" w:rsidP="008B4C50"/>
    <w:p w14:paraId="60DF04F8" w14:textId="77777777" w:rsidR="00985C49" w:rsidRPr="00F13073" w:rsidRDefault="00985C49" w:rsidP="008B4C50">
      <w:pPr>
        <w:rPr>
          <w:u w:val="single"/>
        </w:rPr>
      </w:pPr>
      <w:r w:rsidRPr="00F13073">
        <w:rPr>
          <w:u w:val="single"/>
        </w:rPr>
        <w:t>Mechanizm</w:t>
      </w:r>
      <w:r w:rsidRPr="00F13073">
        <w:rPr>
          <w:rStyle w:val="Char"/>
          <w:rFonts w:eastAsia="DengXian"/>
          <w:u w:val="single"/>
        </w:rPr>
        <w:t xml:space="preserve"> działania</w:t>
      </w:r>
    </w:p>
    <w:p w14:paraId="66CE7A41" w14:textId="77777777" w:rsidR="00985C49" w:rsidRPr="00F13073" w:rsidRDefault="00985C49" w:rsidP="008B4C50">
      <w:pPr>
        <w:rPr>
          <w:rStyle w:val="Char"/>
          <w:rFonts w:eastAsia="DengXian"/>
        </w:rPr>
      </w:pPr>
      <w:r w:rsidRPr="00F13073">
        <w:t>Tocilizumab</w:t>
      </w:r>
      <w:r w:rsidRPr="00F13073">
        <w:rPr>
          <w:rStyle w:val="Char"/>
          <w:rFonts w:eastAsia="DengXian"/>
        </w:rPr>
        <w:t xml:space="preserve"> wiąże się swoiście z receptorami IL-6, zarówno rozpuszczalnymi, jak i związanymi z błonami komórkowymi (sIL-6R i mIL-6R). Wykazano, że tocilizumab hamuje przekazywanie sygnału szlakiem pośredniczonym przez sIL-6R i mIL-6R. IL-6 jest plejotropową cytokiną prozapalną produkowaną przez wiele różnych komórek, w tym limfocyty T i B, monocyty i fibroblasty. IL-6 bierze udział w różnorodnych procesach fizjologicznych takich jak aktywacja limfocytów T, indukcja wydzielania immunoglobulin, indukcja wytwarzania białek ostrej fazy w wątrobie i stymulacja hematopoezy. IL-6 odgrywa również rolę w patogenezie chorób, w tym chorób zapalnych, osteoporozy i chorób nowotworowych.</w:t>
      </w:r>
    </w:p>
    <w:p w14:paraId="1A34F97D" w14:textId="77777777" w:rsidR="00985C49" w:rsidRPr="00F13073" w:rsidRDefault="00985C49" w:rsidP="008B4C50"/>
    <w:p w14:paraId="7D53FD22" w14:textId="77777777" w:rsidR="00985C49" w:rsidRPr="00F13073" w:rsidRDefault="00985C49" w:rsidP="008B4C50">
      <w:r w:rsidRPr="00F13073">
        <w:t>Właściwości farmakodynamiczne</w:t>
      </w:r>
    </w:p>
    <w:p w14:paraId="1A23018E" w14:textId="77777777" w:rsidR="00985C49" w:rsidRPr="00F13073" w:rsidRDefault="00985C49" w:rsidP="008B4C50">
      <w:pPr>
        <w:rPr>
          <w:rStyle w:val="Char"/>
          <w:rFonts w:eastAsia="DengXian"/>
        </w:rPr>
      </w:pPr>
      <w:r w:rsidRPr="00F13073">
        <w:rPr>
          <w:rStyle w:val="Char"/>
          <w:rFonts w:eastAsia="DengXian"/>
        </w:rPr>
        <w:t xml:space="preserve">W badaniach klinicznych z udziałem pacjentów z RZS leczonych tocilizumabem obserwowano szybkie zmniejszenie stężenia białka C-reaktywnego (CRP), szybkości opadania krwinek czerwonych </w:t>
      </w:r>
      <w:r w:rsidRPr="00F13073">
        <w:rPr>
          <w:rStyle w:val="Char"/>
          <w:rFonts w:eastAsia="DengXian"/>
        </w:rPr>
        <w:lastRenderedPageBreak/>
        <w:t>(OB), stężenia osoczowego amyloidu A (SAA) i fibrynogenu. Zgodnie z działaniem na białka ostrej fazy, podawanie tocilizumabu wiązało się ze zmniejszeniem liczby płytek krwi, przy czym zmniejszenie wartości tego parametru nie przekraczało granic normy. Obserwowano zwiększenie stężenia hemoglobiny, co jest spowodowane osłabieniem przez tocilizumab działania IL-6, stymulującej wytwarzanie hepcydyny, w wyniku czego dochodzi do zwiększenia dostępności żelaza. U chorych leczonych tocilizumabem stężenie CRP ulegało zmniejszeniu do wartości mieszczących się w granicach normy już w drugim tygodniu leczenia i utrzymywało się na tym poziomie do końca trwania leczenia.</w:t>
      </w:r>
    </w:p>
    <w:p w14:paraId="4BFF7655" w14:textId="77777777" w:rsidR="00985C49" w:rsidRPr="00F13073" w:rsidRDefault="00985C49" w:rsidP="008B4C50"/>
    <w:p w14:paraId="226B7B3D" w14:textId="77777777" w:rsidR="00985C49" w:rsidRPr="00F13073" w:rsidRDefault="00985C49" w:rsidP="008B4C50">
      <w:pPr>
        <w:rPr>
          <w:rStyle w:val="Char"/>
          <w:rFonts w:eastAsia="DengXian"/>
        </w:rPr>
      </w:pPr>
      <w:r w:rsidRPr="00F13073">
        <w:rPr>
          <w:rStyle w:val="Char"/>
          <w:rFonts w:eastAsia="DengXian"/>
        </w:rPr>
        <w:t>U zdrowych ochotników, którym podano tocilizumab w dawce od 2 do 28 mg/kg mc., 3 do 5 dni po podaniu bezwzględna liczba granulocytów obojętnochłonnych zmniejszyła się do najniższych wartości. Następnie liczba granulocytów obojętnochłonnych zwiększyła się do wartości wyjściowych w sposób zależny od dawki. U chorych na RZS zaobserwowano podobny sposób zmian liczby granulocytów obojętnochłonnych po podaniu tocilizumabu (patrz punkt 4.8).</w:t>
      </w:r>
    </w:p>
    <w:p w14:paraId="10639D44" w14:textId="77777777" w:rsidR="00985C49" w:rsidRPr="00F13073" w:rsidRDefault="00985C49" w:rsidP="008B4C50"/>
    <w:p w14:paraId="589505D4" w14:textId="77777777" w:rsidR="00985C49" w:rsidRPr="00F13073" w:rsidRDefault="00985C49" w:rsidP="008B4C50">
      <w:r w:rsidRPr="00F13073">
        <w:rPr>
          <w:rStyle w:val="Char"/>
          <w:rFonts w:eastAsia="DengXian"/>
        </w:rPr>
        <w:t>U pacjentów z COVID-19, którym podano dożylnie jedną dawkę tocilizumabu 8 mg/kg mc. zmniejszenie stężenia CRP do wartości mieszczących się w granicach normy obserwowano już w dniu 7.</w:t>
      </w:r>
    </w:p>
    <w:p w14:paraId="680D84D5" w14:textId="77777777" w:rsidR="00985C49" w:rsidRPr="00F13073" w:rsidRDefault="00985C49" w:rsidP="008B4C50">
      <w:pPr>
        <w:rPr>
          <w:rStyle w:val="Char"/>
          <w:rFonts w:eastAsia="DengXian"/>
          <w:u w:val="single"/>
        </w:rPr>
      </w:pPr>
      <w:r w:rsidRPr="00F13073">
        <w:rPr>
          <w:rStyle w:val="Char"/>
          <w:rFonts w:eastAsia="DengXian"/>
          <w:u w:val="single"/>
        </w:rPr>
        <w:t>Chorzy na RZS</w:t>
      </w:r>
    </w:p>
    <w:p w14:paraId="69ADD204" w14:textId="77777777" w:rsidR="00985C49" w:rsidRPr="00F13073" w:rsidRDefault="00985C49" w:rsidP="008B4C50"/>
    <w:p w14:paraId="4C5EE035" w14:textId="77777777" w:rsidR="00985C49" w:rsidRPr="00F13073" w:rsidRDefault="00985C49" w:rsidP="008B4C50">
      <w:r w:rsidRPr="00F13073">
        <w:rPr>
          <w:rStyle w:val="Char"/>
          <w:rFonts w:eastAsia="DengXian"/>
          <w:u w:val="single"/>
        </w:rPr>
        <w:t>Skuteczność kliniczna i bezpieczeństwo</w:t>
      </w:r>
    </w:p>
    <w:p w14:paraId="6ECC3BA6" w14:textId="77777777" w:rsidR="00985C49" w:rsidRPr="00F13073" w:rsidRDefault="00985C49" w:rsidP="008B4C50">
      <w:pPr>
        <w:rPr>
          <w:rStyle w:val="Char"/>
          <w:rFonts w:eastAsia="DengXian"/>
        </w:rPr>
      </w:pPr>
      <w:r w:rsidRPr="00F13073">
        <w:rPr>
          <w:rStyle w:val="Char"/>
          <w:rFonts w:eastAsia="DengXian"/>
        </w:rPr>
        <w:t xml:space="preserve">Skuteczność kliniczną tocilizumabu w zakresie łagodzenia objawów przedmiotowych i podmiotowych RZS oceniano w pięciu wieloośrodkowych, randomizowanych badaniach, prowadzonych metodą podwójnie ślepej próby. W badaniach I-V wzięli udział pacjenci w wieku ≥ 18 lat z czynnym RZS rozpoznanym na podstawie kryteriów </w:t>
      </w:r>
      <w:r w:rsidRPr="00F13073">
        <w:rPr>
          <w:rStyle w:val="Char"/>
          <w:rFonts w:eastAsia="DengXian"/>
          <w:i/>
          <w:iCs/>
        </w:rPr>
        <w:t>American College of Rheumatology</w:t>
      </w:r>
      <w:r w:rsidRPr="00F13073">
        <w:rPr>
          <w:rStyle w:val="Char"/>
          <w:rFonts w:eastAsia="DengXian"/>
        </w:rPr>
        <w:t xml:space="preserve"> (ACR) i u których wyjściowo stwierdzono co najmniej 8 bolesnych i 6 obrzękniętych stawów.</w:t>
      </w:r>
    </w:p>
    <w:p w14:paraId="2C194CD0" w14:textId="77777777" w:rsidR="00985C49" w:rsidRPr="00F13073" w:rsidRDefault="00985C49" w:rsidP="008B4C50"/>
    <w:p w14:paraId="61A484A1" w14:textId="77777777" w:rsidR="00985C49" w:rsidRPr="00F13073" w:rsidRDefault="00985C49" w:rsidP="008B4C50">
      <w:pPr>
        <w:rPr>
          <w:rStyle w:val="Char"/>
          <w:rFonts w:eastAsia="DengXian"/>
        </w:rPr>
      </w:pPr>
      <w:r w:rsidRPr="00F13073">
        <w:rPr>
          <w:rStyle w:val="Char"/>
          <w:rFonts w:eastAsia="DengXian"/>
        </w:rPr>
        <w:t>W badaniu I tocilizumab podawano dożylnie raz na cztery tygodnie w monoterapii. W badaniach II, III i V porównywano tocilizumab podawany dożylnie raz na cztery tygodnie w skojarzeniu z metotreksatem do leczenia placebo z metotreksatem. W badaniu IV porównywano leczenie tocilizumabem podawanym dożylnie raz na cztery tygodnie w skojarzeniu z innym lekiem z grupy DMARD do placebo w skojarzeniu z lekiem z grupy DMARD. Pierwszorzędowym punktem końcowym tych pięciu badań był odsetek pacjentów, którzy uzyskali odpowiedź na leczenie według kryteriów ACR 20 w 24. tygodniu.</w:t>
      </w:r>
    </w:p>
    <w:p w14:paraId="7F80EFBF" w14:textId="77777777" w:rsidR="00985C49" w:rsidRPr="00F13073" w:rsidRDefault="00985C49" w:rsidP="008B4C50"/>
    <w:p w14:paraId="107A7BBC" w14:textId="77777777" w:rsidR="00985C49" w:rsidRPr="00F13073" w:rsidRDefault="00985C49" w:rsidP="008B4C50">
      <w:pPr>
        <w:rPr>
          <w:rStyle w:val="Char"/>
          <w:rFonts w:eastAsia="DengXian"/>
        </w:rPr>
      </w:pPr>
      <w:r w:rsidRPr="00F13073">
        <w:rPr>
          <w:rStyle w:val="Char"/>
          <w:rFonts w:eastAsia="DengXian"/>
        </w:rPr>
        <w:t>W badaniu I wzięło udział 673 pacjentów, którzy nie byli leczeni metotreksatem w ciągu sześciu miesięcy poprzedzających randomizację i u których nie zachodziła konieczność przerwania podawania metotreksatu z powodu istotnych klinicznie działań toksycznych lub braku odpowiedzi na leczenie. Większość (67 %) pacjentów nigdy wcześniej nie przyjmowała metotreksatu. Tocilizumab w dawce 8 mg/kg mc. podawano raz na cztery tygodnie w monoterapii. Grupa porównawcza otrzymywała metotreksat raz na tydzień (dawki dobierane indywidualnie od 7,5 mg do maksymalnie 20 mg na tydzień przez okres ośmiu tygodni).</w:t>
      </w:r>
    </w:p>
    <w:p w14:paraId="45E98CD3" w14:textId="77777777" w:rsidR="00985C49" w:rsidRPr="00F13073" w:rsidRDefault="00985C49" w:rsidP="008B4C50"/>
    <w:p w14:paraId="2BCC56F7" w14:textId="77777777" w:rsidR="00985C49" w:rsidRPr="00F13073" w:rsidRDefault="00985C49" w:rsidP="008B4C50">
      <w:r w:rsidRPr="00F13073">
        <w:rPr>
          <w:rStyle w:val="Char"/>
          <w:rFonts w:eastAsia="DengXian"/>
        </w:rPr>
        <w:t>Badanie II, trwające dwa lata, z zaplanowaną analizą wyników w 24., 52. i w 104. tygodniu, objęło 1196 pacjentów, u których stwierdzono niedostateczną odpowiedź kliniczną na metotreksat.</w:t>
      </w:r>
    </w:p>
    <w:p w14:paraId="5931132D" w14:textId="77777777" w:rsidR="00985C49" w:rsidRPr="00F13073" w:rsidRDefault="00985C49" w:rsidP="008B4C50">
      <w:pPr>
        <w:rPr>
          <w:rStyle w:val="Char"/>
          <w:rFonts w:eastAsia="DengXian"/>
        </w:rPr>
      </w:pPr>
      <w:r w:rsidRPr="00F13073">
        <w:rPr>
          <w:rStyle w:val="Char"/>
          <w:rFonts w:eastAsia="DengXian"/>
        </w:rPr>
        <w:t xml:space="preserve">Tocilizumab w dawce 4 lub 8 mg/kg mc. lub placebo podawano z zachowaniem zasad zaślepienia raz na cztery tygodnie przez okres 52 tygodni w skojarzeniu ze stałą dawką metotreksatu (od 10 do 25 mg na tydzień). Po 52. tygodniu, wszyscy pacjenci mieli możliwość leczenia tocilizumabem w dawce 8 mg/kg mc. w ramach badania otwartego. Z grupy pacjentów, którzy zostali zrandomizowani do grupy placebo + MTX i ukończyli badanie, 86% otrzymało tocilizumab w dawce 8 mg/kg mc. w </w:t>
      </w:r>
      <w:r w:rsidRPr="00F13073">
        <w:rPr>
          <w:rStyle w:val="Char"/>
          <w:rFonts w:eastAsia="DengXian"/>
          <w:lang w:eastAsia="el-GR"/>
        </w:rPr>
        <w:t xml:space="preserve">2. </w:t>
      </w:r>
      <w:r w:rsidRPr="00F13073">
        <w:rPr>
          <w:rStyle w:val="Char"/>
          <w:rFonts w:eastAsia="DengXian"/>
        </w:rPr>
        <w:t>roku. Pierwszorzędowym punktem końcowym w 24. tygodniu badania był odsetek chorych, którzy spełnili kryteria odpowiedzi na leczenie ACR 20. Oceniane w 52. i 104. tygodniu badania współistniejące pierwszorzędowe punkty końcowe obejmowały zapobieganie uszkodzeniu stawów i poprawę sprawności fizycznej.</w:t>
      </w:r>
    </w:p>
    <w:p w14:paraId="4AB99032" w14:textId="77777777" w:rsidR="00985C49" w:rsidRPr="00F13073" w:rsidRDefault="00985C49" w:rsidP="008B4C50"/>
    <w:p w14:paraId="4BDDA8C1" w14:textId="77777777" w:rsidR="00985C49" w:rsidRPr="00F13073" w:rsidRDefault="00985C49" w:rsidP="008B4C50">
      <w:pPr>
        <w:rPr>
          <w:rStyle w:val="Char"/>
          <w:rFonts w:eastAsia="DengXian"/>
        </w:rPr>
      </w:pPr>
      <w:r w:rsidRPr="00F13073">
        <w:rPr>
          <w:rStyle w:val="Char"/>
          <w:rFonts w:eastAsia="DengXian"/>
        </w:rPr>
        <w:lastRenderedPageBreak/>
        <w:t>W badaniu III wzięło udział 623 pacjentów z niewystarczającą odpowiedzią kliniczną na metotreksat. Chorym podawano tocilizumab raz na cztery tygodnie w dawce 4 lub 8 mg/kg mc. lub placebo, w skojarzeniu z metotreksatem w stałej dawce (od 10 do 25 mg na tydzień).</w:t>
      </w:r>
    </w:p>
    <w:p w14:paraId="119FBEBF" w14:textId="77777777" w:rsidR="00985C49" w:rsidRPr="00F13073" w:rsidRDefault="00985C49" w:rsidP="008B4C50"/>
    <w:p w14:paraId="38655591" w14:textId="77777777" w:rsidR="00985C49" w:rsidRPr="00F13073" w:rsidRDefault="00985C49" w:rsidP="008B4C50">
      <w:pPr>
        <w:rPr>
          <w:rStyle w:val="Char"/>
          <w:rFonts w:eastAsia="DengXian"/>
        </w:rPr>
      </w:pPr>
      <w:r w:rsidRPr="00F13073">
        <w:rPr>
          <w:rStyle w:val="Char"/>
          <w:rFonts w:eastAsia="DengXian"/>
        </w:rPr>
        <w:t>Badanie IV objęło 1220 pacjentów, u których stwierdzono niewystarczającą odpowiedź na stosowane dotychczas leczenie przeciwreumatyczne obejmujące jeden lub więcej leków z grupy DMARD. Chorym podawano tocilizumab w dawce 8 mg/kg mc. lub placebo raz na cztery tygodnie w skojarzeniu z lekami z grupy DMARD w stałych dawkach.</w:t>
      </w:r>
    </w:p>
    <w:p w14:paraId="22906DA6" w14:textId="77777777" w:rsidR="00985C49" w:rsidRPr="00F13073" w:rsidRDefault="00985C49" w:rsidP="008B4C50"/>
    <w:p w14:paraId="19CB4835" w14:textId="77777777" w:rsidR="00985C49" w:rsidRPr="00F13073" w:rsidRDefault="00985C49" w:rsidP="008B4C50">
      <w:pPr>
        <w:rPr>
          <w:rStyle w:val="Char"/>
          <w:rFonts w:eastAsia="DengXian"/>
        </w:rPr>
      </w:pPr>
      <w:r w:rsidRPr="00F13073">
        <w:rPr>
          <w:rStyle w:val="Char"/>
          <w:rFonts w:eastAsia="DengXian"/>
        </w:rPr>
        <w:t>W badaniu V wzięło udział 499 pacjentów z niedostateczną odpowiedzią kliniczną lub nietolerancją jednego lub więcej leków z grupy inhibitorów TNF. Leczenie inhibitorem TNF przerwano przed randomizacją. Tocilizumab w dawce 4 mg/kg mc. lub 8 mg/kg mc. lub placebo podawano raz na cztery tygodnie w skojarzeniu ze stałymi dawkami metotreksatu (od 10 do 25 mg na tydzień).</w:t>
      </w:r>
    </w:p>
    <w:p w14:paraId="269DD6FF" w14:textId="77777777" w:rsidR="00985C49" w:rsidRPr="00F13073" w:rsidRDefault="00985C49" w:rsidP="008B4C50"/>
    <w:p w14:paraId="104DC1E4" w14:textId="77777777" w:rsidR="00985C49" w:rsidRPr="00F13073" w:rsidRDefault="00985C49" w:rsidP="008B4C50">
      <w:pPr>
        <w:pStyle w:val="a4"/>
        <w:widowControl/>
        <w:spacing w:after="0"/>
      </w:pPr>
      <w:r w:rsidRPr="00F13073">
        <w:rPr>
          <w:rStyle w:val="Char"/>
          <w:i/>
          <w:iCs/>
        </w:rPr>
        <w:t>Odpowiedź kliniczna</w:t>
      </w:r>
    </w:p>
    <w:p w14:paraId="121405B9" w14:textId="77777777" w:rsidR="00985C49" w:rsidRPr="00F13073" w:rsidRDefault="00985C49" w:rsidP="008B4C50">
      <w:pPr>
        <w:rPr>
          <w:rStyle w:val="Char"/>
          <w:rFonts w:eastAsia="DengXian"/>
        </w:rPr>
      </w:pPr>
      <w:r w:rsidRPr="00F13073">
        <w:rPr>
          <w:rStyle w:val="Char"/>
          <w:rFonts w:eastAsia="DengXian"/>
        </w:rPr>
        <w:t>We wszystkich badaniach, u chorych leczonych tocilizumabem w dawce 8 mg/kg mc. stwierdzono po 6 miesiącach istotnie statystycznie większą częstość odpowiedzi na leczenie ACR 20, 50, 70 w porównaniu do grupy kontrolnej (Tabela 4). W badaniu I, dowiedziono wyższości tocilizumabu podawanego w dawce 8 mg/kg mc. od czynnego produktu porównawczego - metotreksatu.</w:t>
      </w:r>
    </w:p>
    <w:p w14:paraId="252C3F09" w14:textId="77777777" w:rsidR="00985C49" w:rsidRPr="00F13073" w:rsidRDefault="00985C49" w:rsidP="008B4C50"/>
    <w:p w14:paraId="2D7AF1EB" w14:textId="77777777" w:rsidR="00985C49" w:rsidRPr="00F13073" w:rsidRDefault="00985C49" w:rsidP="008B4C50">
      <w:pPr>
        <w:rPr>
          <w:rStyle w:val="Char"/>
          <w:rFonts w:eastAsia="DengXian"/>
        </w:rPr>
      </w:pPr>
      <w:r w:rsidRPr="00F13073">
        <w:rPr>
          <w:rStyle w:val="Char"/>
          <w:rFonts w:eastAsia="DengXian"/>
        </w:rPr>
        <w:t>Efekt leczenia u chorych był porównywalny niezależnie od obecności lub braku czynnika reumatoidalnego w surowicy krwi, wieku, płci, rasy, liczby stosowanych wcześniej terapii i stopnia zaawansowania choroby. Poprawa następowała szybko (już od drugiego tygodnia od rozpoczęcia podawania), a odpowiedź na leczenie wzrastała wraz z czasem trwania terapii. W badaniach otwartych będących przedłużeniem badań I - V obserwowano utrzymywanie się trwałej odpowiedzi na leczenie przez ponad 3 lata.</w:t>
      </w:r>
    </w:p>
    <w:p w14:paraId="609FA04E" w14:textId="77777777" w:rsidR="00985C49" w:rsidRPr="00F13073" w:rsidRDefault="00985C49" w:rsidP="008B4C50"/>
    <w:p w14:paraId="66D5CBAA" w14:textId="77777777" w:rsidR="00985C49" w:rsidRPr="00F13073" w:rsidRDefault="00985C49" w:rsidP="008B4C50">
      <w:pPr>
        <w:rPr>
          <w:rStyle w:val="Char"/>
          <w:rFonts w:eastAsia="DengXian"/>
        </w:rPr>
      </w:pPr>
      <w:r w:rsidRPr="00F13073">
        <w:rPr>
          <w:rStyle w:val="Char"/>
          <w:rFonts w:eastAsia="DengXian"/>
        </w:rPr>
        <w:t>We wszystkich badaniach u chorych leczonych tocilizumabem w dawce 8 mg/kg mc. odnotowano istotną poprawę we wszystkich parametrach oceny odpowiedzi ACR: liczba bolesnych i obrzękniętych stawów; ocena ogólna w opinii pacjenta i lekarza; wskaźnik niepełnosprawności; ocena bólu i stężenie CRP, w porównaniu do pacjentów otrzymujących placebo i metotreksat lub inny lek z grupy DMARD.</w:t>
      </w:r>
    </w:p>
    <w:p w14:paraId="32F33836" w14:textId="77777777" w:rsidR="00985C49" w:rsidRPr="00F13073" w:rsidRDefault="00985C49" w:rsidP="008B4C50"/>
    <w:p w14:paraId="37C04855" w14:textId="77777777" w:rsidR="00985C49" w:rsidRPr="00F13073" w:rsidRDefault="00985C49" w:rsidP="008B4C50">
      <w:pPr>
        <w:rPr>
          <w:rStyle w:val="Char"/>
          <w:rFonts w:eastAsia="DengXian"/>
        </w:rPr>
      </w:pPr>
      <w:r w:rsidRPr="00F13073">
        <w:rPr>
          <w:rStyle w:val="Char"/>
          <w:rFonts w:eastAsia="DengXian"/>
        </w:rPr>
        <w:t>U pacjentów biorących udział w badaniach od I do V średnia wartość wskaźnika aktywności choroby dla 28 stawów (DAS28) wynosiła wyjściowo 6,5-6,8. U chorych otrzymujących tocilizumab stwierdzono statystycznie istotne zmniejszenie wyjściowych wartości wskaźnika DAS28 (średnia poprawa) 3,1-3,4 w porównaniu do pacjentów w grupie kontrolnej (1,3-2,1). Odsetek pacjentów, u których stwierdzono kliniczną remisję wg DAS28 (DAS28 &lt; 2,6) po 24 tygodniach leczenia, był istotnie wyższy wśród pacjentów otrzymujących tocilizumab (28 % - 34 %) w porównaniu do 1 % - 12 % wśród chorych z grup kontrolnych. W badaniu II, w 104. tyg. leczenia 65% pacjentów osiągnęło wartość wskaźnika DAS28 &lt; 2,6 w porównaniu do 48% w 52. tygodniu i 33 % w 24. tygodniu leczenia.</w:t>
      </w:r>
    </w:p>
    <w:p w14:paraId="66A3C11D" w14:textId="77777777" w:rsidR="00985C49" w:rsidRPr="00F13073" w:rsidRDefault="00985C49" w:rsidP="008B4C50"/>
    <w:p w14:paraId="33346661" w14:textId="77777777" w:rsidR="00FB5B64" w:rsidRPr="00F13073" w:rsidRDefault="00985C49" w:rsidP="008B4C50">
      <w:pPr>
        <w:rPr>
          <w:rStyle w:val="Char"/>
          <w:rFonts w:eastAsia="DengXian"/>
        </w:rPr>
      </w:pPr>
      <w:r w:rsidRPr="00F13073">
        <w:rPr>
          <w:rStyle w:val="Char"/>
          <w:rFonts w:eastAsia="DengXian"/>
        </w:rPr>
        <w:t>W analizie zbiorczej badań II, III i IV odsetek pacjentów, którzy uzyskali odpowiedź ACR 20, 50, 70 był istotnie wyższy (odpowiednio 59 % vs 50 %, 37 % vs 27 %, 18 % vs 11 %) w grupie otrzymującej tocilizumab w dawce 8 mg/kg mc. w skojarzeniu z lekiem z grupy DMARD, w porównaniu do grupy leczonej tocilizumabem w dawce 4 mg/kg mc. w skojarzeniu z lekiem z grupy DMARD (p &lt; 0,03). Podobnie odsetek pacjentów, u których stwierdzono remisję według wskaźnika aktywności choroby DAS28 (DAS28 &lt; 2,6) był istotnie wyższy (odpowiednio 31 % vs 16 %) wśród chorych otrzymujących tocilizumab w dawce 8 mg/kg mc. z lekiem z grupy DMARD niż u chorych leczonych tocilizumabem w dawce 4 mg/kg mc. z lekiem z grupy DMARD (p &lt; 0,0001).</w:t>
      </w:r>
    </w:p>
    <w:p w14:paraId="7C485FD7" w14:textId="77777777" w:rsidR="00985C49" w:rsidRPr="00F13073" w:rsidRDefault="00985C49" w:rsidP="008B4C50"/>
    <w:p w14:paraId="7F91BBAE" w14:textId="77777777" w:rsidR="001E0975" w:rsidRPr="00F13073" w:rsidRDefault="00611033" w:rsidP="008B4C50">
      <w:pPr>
        <w:keepNext/>
        <w:ind w:left="1134" w:hanging="1134"/>
        <w:rPr>
          <w:i/>
          <w:iCs/>
        </w:rPr>
      </w:pPr>
      <w:r w:rsidRPr="00F13073">
        <w:rPr>
          <w:i/>
          <w:iCs/>
        </w:rPr>
        <w:lastRenderedPageBreak/>
        <w:t>Tab</w:t>
      </w:r>
      <w:r w:rsidR="0017744B" w:rsidRPr="00F13073">
        <w:rPr>
          <w:i/>
          <w:iCs/>
        </w:rPr>
        <w:t>e</w:t>
      </w:r>
      <w:r w:rsidRPr="00F13073">
        <w:rPr>
          <w:i/>
          <w:iCs/>
        </w:rPr>
        <w:t>l</w:t>
      </w:r>
      <w:r w:rsidR="00360B4D" w:rsidRPr="00F13073">
        <w:rPr>
          <w:i/>
          <w:iCs/>
        </w:rPr>
        <w:t>a</w:t>
      </w:r>
      <w:r w:rsidRPr="00F13073">
        <w:rPr>
          <w:i/>
          <w:iCs/>
        </w:rPr>
        <w:t xml:space="preserve"> 4.</w:t>
      </w:r>
      <w:r w:rsidR="00FB5B64" w:rsidRPr="00F13073">
        <w:rPr>
          <w:i/>
          <w:iCs/>
        </w:rPr>
        <w:tab/>
      </w:r>
      <w:r w:rsidR="00360B4D" w:rsidRPr="00F13073">
        <w:rPr>
          <w:i/>
          <w:iCs/>
        </w:rPr>
        <w:t>Odpowiedzi ACR w badaniach kontrolowanych placebo / MTX / DMARDs (% pacjentów)</w:t>
      </w:r>
    </w:p>
    <w:p w14:paraId="14D9F6BA" w14:textId="77777777" w:rsidR="00FB5B64" w:rsidRPr="00F13073" w:rsidRDefault="00FB5B64" w:rsidP="008B4C50">
      <w:pPr>
        <w:keepNext/>
        <w:ind w:left="1134" w:hanging="1134"/>
        <w:rPr>
          <w:i/>
          <w:iCs/>
        </w:rPr>
      </w:pPr>
    </w:p>
    <w:tbl>
      <w:tblPr>
        <w:tblOverlap w:val="never"/>
        <w:tblW w:w="4973" w:type="pct"/>
        <w:tblInd w:w="28" w:type="dxa"/>
        <w:tblLayout w:type="fixed"/>
        <w:tblCellMar>
          <w:top w:w="28" w:type="dxa"/>
          <w:left w:w="28" w:type="dxa"/>
          <w:bottom w:w="28" w:type="dxa"/>
          <w:right w:w="28" w:type="dxa"/>
        </w:tblCellMar>
        <w:tblLook w:val="04A0" w:firstRow="1" w:lastRow="0" w:firstColumn="1" w:lastColumn="0" w:noHBand="0" w:noVBand="1"/>
      </w:tblPr>
      <w:tblGrid>
        <w:gridCol w:w="682"/>
        <w:gridCol w:w="777"/>
        <w:gridCol w:w="721"/>
        <w:gridCol w:w="840"/>
        <w:gridCol w:w="846"/>
        <w:gridCol w:w="826"/>
        <w:gridCol w:w="830"/>
        <w:gridCol w:w="909"/>
        <w:gridCol w:w="909"/>
        <w:gridCol w:w="830"/>
        <w:gridCol w:w="837"/>
      </w:tblGrid>
      <w:tr w:rsidR="00FC6D3A" w:rsidRPr="00F13073" w14:paraId="43187640" w14:textId="77777777" w:rsidTr="00B73B0C">
        <w:trPr>
          <w:cantSplit/>
          <w:tblHeader/>
        </w:trPr>
        <w:tc>
          <w:tcPr>
            <w:tcW w:w="687" w:type="dxa"/>
            <w:tcBorders>
              <w:top w:val="single" w:sz="4" w:space="0" w:color="auto"/>
              <w:left w:val="single" w:sz="4" w:space="0" w:color="auto"/>
            </w:tcBorders>
          </w:tcPr>
          <w:p w14:paraId="08DB026F" w14:textId="77777777" w:rsidR="00FC6D3A" w:rsidRPr="00F13073" w:rsidRDefault="00FC6D3A" w:rsidP="008A3A9E">
            <w:pPr>
              <w:keepNext/>
              <w:suppressAutoHyphens/>
              <w:jc w:val="center"/>
              <w:rPr>
                <w:b/>
                <w:bCs/>
                <w:sz w:val="20"/>
                <w:szCs w:val="20"/>
              </w:rPr>
            </w:pPr>
          </w:p>
        </w:tc>
        <w:tc>
          <w:tcPr>
            <w:tcW w:w="1509" w:type="dxa"/>
            <w:gridSpan w:val="2"/>
            <w:tcBorders>
              <w:top w:val="single" w:sz="4" w:space="0" w:color="auto"/>
              <w:left w:val="single" w:sz="4" w:space="0" w:color="auto"/>
            </w:tcBorders>
          </w:tcPr>
          <w:p w14:paraId="54F90D07"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Badanie I</w:t>
            </w:r>
            <w:r w:rsidRPr="00F13073">
              <w:rPr>
                <w:rStyle w:val="Other"/>
                <w:rFonts w:eastAsia="DengXian"/>
                <w:b/>
                <w:bCs/>
                <w:sz w:val="18"/>
                <w:szCs w:val="18"/>
              </w:rPr>
              <w:br/>
              <w:t>AMBITION</w:t>
            </w:r>
          </w:p>
        </w:tc>
        <w:tc>
          <w:tcPr>
            <w:tcW w:w="1698" w:type="dxa"/>
            <w:gridSpan w:val="2"/>
            <w:tcBorders>
              <w:top w:val="single" w:sz="4" w:space="0" w:color="auto"/>
              <w:left w:val="single" w:sz="4" w:space="0" w:color="auto"/>
            </w:tcBorders>
          </w:tcPr>
          <w:p w14:paraId="7175A1ED"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Badanie II</w:t>
            </w:r>
            <w:r w:rsidRPr="00F13073">
              <w:rPr>
                <w:rStyle w:val="Other"/>
                <w:rFonts w:eastAsia="DengXian"/>
                <w:b/>
                <w:bCs/>
                <w:sz w:val="18"/>
                <w:szCs w:val="18"/>
              </w:rPr>
              <w:br/>
              <w:t>LITHE</w:t>
            </w:r>
          </w:p>
        </w:tc>
        <w:tc>
          <w:tcPr>
            <w:tcW w:w="1668" w:type="dxa"/>
            <w:gridSpan w:val="2"/>
            <w:tcBorders>
              <w:top w:val="single" w:sz="4" w:space="0" w:color="auto"/>
              <w:left w:val="single" w:sz="4" w:space="0" w:color="auto"/>
            </w:tcBorders>
          </w:tcPr>
          <w:p w14:paraId="48D1FFE0"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Badanie III</w:t>
            </w:r>
            <w:r w:rsidRPr="00F13073">
              <w:rPr>
                <w:rStyle w:val="Other"/>
                <w:rFonts w:eastAsia="DengXian"/>
                <w:b/>
                <w:bCs/>
                <w:sz w:val="18"/>
                <w:szCs w:val="18"/>
              </w:rPr>
              <w:br/>
              <w:t>OPTION</w:t>
            </w:r>
          </w:p>
        </w:tc>
        <w:tc>
          <w:tcPr>
            <w:tcW w:w="1832" w:type="dxa"/>
            <w:gridSpan w:val="2"/>
            <w:tcBorders>
              <w:top w:val="single" w:sz="4" w:space="0" w:color="auto"/>
              <w:left w:val="single" w:sz="4" w:space="0" w:color="auto"/>
            </w:tcBorders>
          </w:tcPr>
          <w:p w14:paraId="3B521B1A"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Badanie IV</w:t>
            </w:r>
            <w:r w:rsidRPr="00F13073">
              <w:rPr>
                <w:rStyle w:val="Other"/>
                <w:rFonts w:eastAsia="DengXian"/>
                <w:b/>
                <w:bCs/>
                <w:sz w:val="18"/>
                <w:szCs w:val="18"/>
              </w:rPr>
              <w:br/>
              <w:t>TOWARD</w:t>
            </w:r>
          </w:p>
        </w:tc>
        <w:tc>
          <w:tcPr>
            <w:tcW w:w="1679" w:type="dxa"/>
            <w:gridSpan w:val="2"/>
            <w:tcBorders>
              <w:top w:val="single" w:sz="4" w:space="0" w:color="auto"/>
              <w:left w:val="single" w:sz="4" w:space="0" w:color="auto"/>
              <w:right w:val="single" w:sz="4" w:space="0" w:color="auto"/>
            </w:tcBorders>
          </w:tcPr>
          <w:p w14:paraId="57E68F68"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Badanie V</w:t>
            </w:r>
            <w:r w:rsidRPr="00F13073">
              <w:rPr>
                <w:rStyle w:val="Other"/>
                <w:rFonts w:eastAsia="DengXian"/>
                <w:b/>
                <w:bCs/>
                <w:sz w:val="18"/>
                <w:szCs w:val="18"/>
              </w:rPr>
              <w:br/>
              <w:t>RADIATE</w:t>
            </w:r>
          </w:p>
        </w:tc>
      </w:tr>
      <w:tr w:rsidR="00FC6D3A" w:rsidRPr="00F13073" w14:paraId="106AF383" w14:textId="77777777" w:rsidTr="00B73B0C">
        <w:trPr>
          <w:cantSplit/>
          <w:tblHeader/>
        </w:trPr>
        <w:tc>
          <w:tcPr>
            <w:tcW w:w="687" w:type="dxa"/>
            <w:tcBorders>
              <w:top w:val="single" w:sz="4" w:space="0" w:color="auto"/>
              <w:left w:val="single" w:sz="4" w:space="0" w:color="auto"/>
            </w:tcBorders>
          </w:tcPr>
          <w:p w14:paraId="1C7D5D8D"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Tydzień</w:t>
            </w:r>
          </w:p>
        </w:tc>
        <w:tc>
          <w:tcPr>
            <w:tcW w:w="783" w:type="dxa"/>
            <w:tcBorders>
              <w:top w:val="single" w:sz="4" w:space="0" w:color="auto"/>
              <w:left w:val="single" w:sz="4" w:space="0" w:color="auto"/>
            </w:tcBorders>
          </w:tcPr>
          <w:p w14:paraId="107ABE12" w14:textId="77777777" w:rsidR="00FC6D3A" w:rsidRPr="00F13073" w:rsidRDefault="00FC6D3A" w:rsidP="008A3A9E">
            <w:pPr>
              <w:pStyle w:val="Other0"/>
              <w:widowControl/>
              <w:spacing w:after="0"/>
              <w:jc w:val="center"/>
              <w:rPr>
                <w:sz w:val="18"/>
                <w:szCs w:val="18"/>
              </w:rPr>
            </w:pPr>
            <w:r w:rsidRPr="00F13073">
              <w:rPr>
                <w:rStyle w:val="Other"/>
                <w:b/>
                <w:bCs/>
                <w:sz w:val="18"/>
                <w:szCs w:val="18"/>
              </w:rPr>
              <w:t>TCZ</w:t>
            </w:r>
          </w:p>
          <w:p w14:paraId="4FDA75D4"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8 mg/kg mc.</w:t>
            </w:r>
          </w:p>
        </w:tc>
        <w:tc>
          <w:tcPr>
            <w:tcW w:w="726" w:type="dxa"/>
            <w:tcBorders>
              <w:top w:val="single" w:sz="4" w:space="0" w:color="auto"/>
              <w:left w:val="single" w:sz="4" w:space="0" w:color="auto"/>
            </w:tcBorders>
          </w:tcPr>
          <w:p w14:paraId="0AE73630"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MTX</w:t>
            </w:r>
          </w:p>
        </w:tc>
        <w:tc>
          <w:tcPr>
            <w:tcW w:w="846" w:type="dxa"/>
            <w:tcBorders>
              <w:top w:val="single" w:sz="4" w:space="0" w:color="auto"/>
              <w:left w:val="single" w:sz="4" w:space="0" w:color="auto"/>
            </w:tcBorders>
          </w:tcPr>
          <w:p w14:paraId="63167FB1" w14:textId="77777777" w:rsidR="00FC6D3A" w:rsidRPr="00F13073" w:rsidRDefault="00FC6D3A" w:rsidP="008A3A9E">
            <w:pPr>
              <w:pStyle w:val="Other0"/>
              <w:widowControl/>
              <w:spacing w:after="0"/>
              <w:jc w:val="center"/>
              <w:rPr>
                <w:sz w:val="18"/>
                <w:szCs w:val="18"/>
              </w:rPr>
            </w:pPr>
            <w:r w:rsidRPr="00F13073">
              <w:rPr>
                <w:rStyle w:val="Other"/>
                <w:b/>
                <w:bCs/>
                <w:sz w:val="18"/>
                <w:szCs w:val="18"/>
              </w:rPr>
              <w:t>TCZ</w:t>
            </w:r>
          </w:p>
          <w:p w14:paraId="712D823D"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8 mg/kg mc.+ MTX</w:t>
            </w:r>
          </w:p>
        </w:tc>
        <w:tc>
          <w:tcPr>
            <w:tcW w:w="852" w:type="dxa"/>
            <w:tcBorders>
              <w:top w:val="single" w:sz="4" w:space="0" w:color="auto"/>
              <w:left w:val="single" w:sz="4" w:space="0" w:color="auto"/>
            </w:tcBorders>
          </w:tcPr>
          <w:p w14:paraId="79EA4F4C"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PBO + MTX</w:t>
            </w:r>
          </w:p>
        </w:tc>
        <w:tc>
          <w:tcPr>
            <w:tcW w:w="832" w:type="dxa"/>
            <w:tcBorders>
              <w:top w:val="single" w:sz="4" w:space="0" w:color="auto"/>
              <w:left w:val="single" w:sz="4" w:space="0" w:color="auto"/>
            </w:tcBorders>
          </w:tcPr>
          <w:p w14:paraId="2CF1219A" w14:textId="77777777" w:rsidR="00FC6D3A" w:rsidRPr="00F13073" w:rsidRDefault="00FC6D3A" w:rsidP="008A3A9E">
            <w:pPr>
              <w:keepNext/>
              <w:suppressAutoHyphens/>
              <w:jc w:val="center"/>
              <w:rPr>
                <w:rStyle w:val="Other"/>
                <w:rFonts w:eastAsia="DengXian"/>
                <w:b/>
                <w:bCs/>
                <w:sz w:val="18"/>
                <w:szCs w:val="18"/>
              </w:rPr>
            </w:pPr>
            <w:r w:rsidRPr="00F13073">
              <w:rPr>
                <w:rStyle w:val="Other"/>
                <w:rFonts w:eastAsia="DengXian"/>
                <w:b/>
                <w:bCs/>
                <w:sz w:val="18"/>
                <w:szCs w:val="18"/>
              </w:rPr>
              <w:t>TCZ</w:t>
            </w:r>
          </w:p>
          <w:p w14:paraId="39A2E8B0"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8 mg/kg mc. + MTX</w:t>
            </w:r>
          </w:p>
        </w:tc>
        <w:tc>
          <w:tcPr>
            <w:tcW w:w="836" w:type="dxa"/>
            <w:tcBorders>
              <w:top w:val="single" w:sz="4" w:space="0" w:color="auto"/>
              <w:left w:val="single" w:sz="4" w:space="0" w:color="auto"/>
            </w:tcBorders>
          </w:tcPr>
          <w:p w14:paraId="39C57650"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PBO + MTX</w:t>
            </w:r>
          </w:p>
        </w:tc>
        <w:tc>
          <w:tcPr>
            <w:tcW w:w="916" w:type="dxa"/>
            <w:tcBorders>
              <w:top w:val="single" w:sz="4" w:space="0" w:color="auto"/>
              <w:left w:val="single" w:sz="4" w:space="0" w:color="auto"/>
            </w:tcBorders>
          </w:tcPr>
          <w:p w14:paraId="6758B4C0" w14:textId="77777777" w:rsidR="00FC6D3A" w:rsidRPr="00F13073" w:rsidRDefault="00FC6D3A" w:rsidP="008A3A9E">
            <w:pPr>
              <w:keepNext/>
              <w:suppressAutoHyphens/>
              <w:jc w:val="center"/>
              <w:rPr>
                <w:rStyle w:val="Other"/>
                <w:rFonts w:eastAsia="DengXian"/>
                <w:b/>
                <w:bCs/>
                <w:sz w:val="18"/>
                <w:szCs w:val="18"/>
              </w:rPr>
            </w:pPr>
            <w:r w:rsidRPr="00F13073">
              <w:rPr>
                <w:rStyle w:val="Other"/>
                <w:rFonts w:eastAsia="DengXian"/>
                <w:b/>
                <w:bCs/>
                <w:sz w:val="18"/>
                <w:szCs w:val="18"/>
              </w:rPr>
              <w:t>TCZ</w:t>
            </w:r>
          </w:p>
          <w:p w14:paraId="511B13D9"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8 mg/kg mc. + DMARD</w:t>
            </w:r>
          </w:p>
        </w:tc>
        <w:tc>
          <w:tcPr>
            <w:tcW w:w="916" w:type="dxa"/>
            <w:tcBorders>
              <w:top w:val="single" w:sz="4" w:space="0" w:color="auto"/>
              <w:left w:val="single" w:sz="4" w:space="0" w:color="auto"/>
            </w:tcBorders>
          </w:tcPr>
          <w:p w14:paraId="16D54D77" w14:textId="3AA24674" w:rsidR="00FC6D3A" w:rsidRPr="00F13073" w:rsidRDefault="00FC6D3A" w:rsidP="008A3A9E">
            <w:pPr>
              <w:keepNext/>
              <w:suppressAutoHyphens/>
              <w:jc w:val="center"/>
              <w:rPr>
                <w:b/>
                <w:bCs/>
                <w:sz w:val="20"/>
                <w:szCs w:val="20"/>
              </w:rPr>
            </w:pPr>
            <w:r w:rsidRPr="00F13073">
              <w:rPr>
                <w:rStyle w:val="Other"/>
                <w:rFonts w:eastAsia="DengXian"/>
                <w:b/>
                <w:bCs/>
                <w:sz w:val="18"/>
                <w:szCs w:val="18"/>
              </w:rPr>
              <w:t>PBO + DMARD</w:t>
            </w:r>
          </w:p>
        </w:tc>
        <w:tc>
          <w:tcPr>
            <w:tcW w:w="836" w:type="dxa"/>
            <w:tcBorders>
              <w:top w:val="single" w:sz="4" w:space="0" w:color="auto"/>
              <w:left w:val="single" w:sz="4" w:space="0" w:color="auto"/>
            </w:tcBorders>
          </w:tcPr>
          <w:p w14:paraId="10099BB6" w14:textId="77777777" w:rsidR="00FC6D3A" w:rsidRPr="00F13073" w:rsidRDefault="00FC6D3A" w:rsidP="008A3A9E">
            <w:pPr>
              <w:pStyle w:val="Other0"/>
              <w:widowControl/>
              <w:spacing w:after="0"/>
              <w:jc w:val="center"/>
              <w:rPr>
                <w:sz w:val="18"/>
                <w:szCs w:val="18"/>
              </w:rPr>
            </w:pPr>
            <w:r w:rsidRPr="00F13073">
              <w:rPr>
                <w:rStyle w:val="Other"/>
                <w:b/>
                <w:bCs/>
                <w:sz w:val="18"/>
                <w:szCs w:val="18"/>
              </w:rPr>
              <w:t>TCZ</w:t>
            </w:r>
          </w:p>
          <w:p w14:paraId="5BA7418C" w14:textId="77777777" w:rsidR="00FC6D3A" w:rsidRPr="00F13073" w:rsidRDefault="00FC6D3A" w:rsidP="008A3A9E">
            <w:pPr>
              <w:pStyle w:val="Other0"/>
              <w:widowControl/>
              <w:spacing w:after="0"/>
              <w:jc w:val="center"/>
              <w:rPr>
                <w:sz w:val="18"/>
                <w:szCs w:val="18"/>
              </w:rPr>
            </w:pPr>
            <w:r w:rsidRPr="00F13073">
              <w:rPr>
                <w:rStyle w:val="Other"/>
                <w:b/>
                <w:bCs/>
                <w:sz w:val="18"/>
                <w:szCs w:val="18"/>
              </w:rPr>
              <w:t>8 mg/kg mc.</w:t>
            </w:r>
          </w:p>
          <w:p w14:paraId="3A8A8D0C"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 MTX</w:t>
            </w:r>
          </w:p>
        </w:tc>
        <w:tc>
          <w:tcPr>
            <w:tcW w:w="843" w:type="dxa"/>
            <w:tcBorders>
              <w:top w:val="single" w:sz="4" w:space="0" w:color="auto"/>
              <w:left w:val="single" w:sz="4" w:space="0" w:color="auto"/>
              <w:right w:val="single" w:sz="4" w:space="0" w:color="auto"/>
            </w:tcBorders>
          </w:tcPr>
          <w:p w14:paraId="7051E27E" w14:textId="77777777" w:rsidR="00FC6D3A" w:rsidRPr="00F13073" w:rsidRDefault="00FC6D3A" w:rsidP="008A3A9E">
            <w:pPr>
              <w:keepNext/>
              <w:suppressAutoHyphens/>
              <w:jc w:val="center"/>
              <w:rPr>
                <w:b/>
                <w:bCs/>
                <w:sz w:val="20"/>
                <w:szCs w:val="20"/>
              </w:rPr>
            </w:pPr>
            <w:r w:rsidRPr="00F13073">
              <w:rPr>
                <w:rStyle w:val="Other"/>
                <w:rFonts w:eastAsia="DengXian"/>
                <w:b/>
                <w:bCs/>
                <w:sz w:val="18"/>
                <w:szCs w:val="18"/>
              </w:rPr>
              <w:t>PBO + MTX</w:t>
            </w:r>
          </w:p>
        </w:tc>
      </w:tr>
      <w:tr w:rsidR="001E0975" w:rsidRPr="00F13073" w14:paraId="086060E9" w14:textId="77777777" w:rsidTr="00B73B0C">
        <w:trPr>
          <w:cantSplit/>
          <w:tblHeader/>
        </w:trPr>
        <w:tc>
          <w:tcPr>
            <w:tcW w:w="687" w:type="dxa"/>
            <w:tcBorders>
              <w:top w:val="single" w:sz="4" w:space="0" w:color="auto"/>
              <w:left w:val="single" w:sz="4" w:space="0" w:color="auto"/>
            </w:tcBorders>
          </w:tcPr>
          <w:p w14:paraId="720CA641" w14:textId="77777777" w:rsidR="001E0975" w:rsidRPr="00F13073" w:rsidRDefault="001E0975" w:rsidP="008A3A9E">
            <w:pPr>
              <w:keepNext/>
              <w:suppressAutoHyphens/>
              <w:jc w:val="center"/>
              <w:rPr>
                <w:b/>
                <w:bCs/>
                <w:sz w:val="20"/>
                <w:szCs w:val="20"/>
              </w:rPr>
            </w:pPr>
          </w:p>
        </w:tc>
        <w:tc>
          <w:tcPr>
            <w:tcW w:w="783" w:type="dxa"/>
            <w:tcBorders>
              <w:top w:val="single" w:sz="4" w:space="0" w:color="auto"/>
              <w:left w:val="single" w:sz="4" w:space="0" w:color="auto"/>
            </w:tcBorders>
          </w:tcPr>
          <w:p w14:paraId="6A52F842" w14:textId="77777777" w:rsidR="001E0975" w:rsidRPr="00F13073" w:rsidRDefault="00611033" w:rsidP="008A3A9E">
            <w:pPr>
              <w:keepNext/>
              <w:suppressAutoHyphens/>
              <w:jc w:val="center"/>
              <w:rPr>
                <w:b/>
                <w:bCs/>
                <w:sz w:val="20"/>
                <w:szCs w:val="20"/>
              </w:rPr>
            </w:pPr>
            <w:r w:rsidRPr="00F13073">
              <w:rPr>
                <w:b/>
                <w:bCs/>
                <w:sz w:val="20"/>
                <w:szCs w:val="20"/>
              </w:rPr>
              <w:t>N=</w:t>
            </w:r>
            <w:r w:rsidR="001C47DE" w:rsidRPr="00F13073">
              <w:rPr>
                <w:b/>
                <w:bCs/>
                <w:sz w:val="20"/>
                <w:szCs w:val="20"/>
              </w:rPr>
              <w:t xml:space="preserve"> </w:t>
            </w:r>
            <w:r w:rsidRPr="00F13073">
              <w:rPr>
                <w:b/>
                <w:bCs/>
                <w:sz w:val="20"/>
                <w:szCs w:val="20"/>
              </w:rPr>
              <w:t>286</w:t>
            </w:r>
          </w:p>
        </w:tc>
        <w:tc>
          <w:tcPr>
            <w:tcW w:w="726" w:type="dxa"/>
            <w:tcBorders>
              <w:top w:val="single" w:sz="4" w:space="0" w:color="auto"/>
              <w:left w:val="single" w:sz="4" w:space="0" w:color="auto"/>
            </w:tcBorders>
          </w:tcPr>
          <w:p w14:paraId="0C0AE481" w14:textId="77777777" w:rsidR="001E0975" w:rsidRPr="00F13073" w:rsidRDefault="00611033" w:rsidP="008A3A9E">
            <w:pPr>
              <w:keepNext/>
              <w:suppressAutoHyphens/>
              <w:jc w:val="center"/>
              <w:rPr>
                <w:b/>
                <w:bCs/>
                <w:sz w:val="20"/>
                <w:szCs w:val="20"/>
              </w:rPr>
            </w:pPr>
            <w:r w:rsidRPr="00F13073">
              <w:rPr>
                <w:b/>
                <w:bCs/>
                <w:sz w:val="20"/>
                <w:szCs w:val="20"/>
              </w:rPr>
              <w:t>N=</w:t>
            </w:r>
            <w:r w:rsidR="001C47DE" w:rsidRPr="00F13073">
              <w:rPr>
                <w:b/>
                <w:bCs/>
                <w:sz w:val="20"/>
                <w:szCs w:val="20"/>
              </w:rPr>
              <w:t xml:space="preserve"> </w:t>
            </w:r>
            <w:r w:rsidRPr="00F13073">
              <w:rPr>
                <w:b/>
                <w:bCs/>
                <w:sz w:val="20"/>
                <w:szCs w:val="20"/>
              </w:rPr>
              <w:t>284</w:t>
            </w:r>
          </w:p>
        </w:tc>
        <w:tc>
          <w:tcPr>
            <w:tcW w:w="846" w:type="dxa"/>
            <w:tcBorders>
              <w:top w:val="single" w:sz="4" w:space="0" w:color="auto"/>
              <w:left w:val="single" w:sz="4" w:space="0" w:color="auto"/>
            </w:tcBorders>
          </w:tcPr>
          <w:p w14:paraId="18ECEB41" w14:textId="77777777" w:rsidR="001E0975" w:rsidRPr="00F13073" w:rsidRDefault="00611033" w:rsidP="008A3A9E">
            <w:pPr>
              <w:keepNext/>
              <w:suppressAutoHyphens/>
              <w:jc w:val="center"/>
              <w:rPr>
                <w:b/>
                <w:bCs/>
                <w:sz w:val="20"/>
                <w:szCs w:val="20"/>
              </w:rPr>
            </w:pPr>
            <w:r w:rsidRPr="00F13073">
              <w:rPr>
                <w:b/>
                <w:bCs/>
                <w:sz w:val="20"/>
                <w:szCs w:val="20"/>
              </w:rPr>
              <w:t>N= 398</w:t>
            </w:r>
          </w:p>
        </w:tc>
        <w:tc>
          <w:tcPr>
            <w:tcW w:w="852" w:type="dxa"/>
            <w:tcBorders>
              <w:top w:val="single" w:sz="4" w:space="0" w:color="auto"/>
              <w:left w:val="single" w:sz="4" w:space="0" w:color="auto"/>
            </w:tcBorders>
          </w:tcPr>
          <w:p w14:paraId="5409CD8A" w14:textId="77777777" w:rsidR="001E0975" w:rsidRPr="00F13073" w:rsidRDefault="00611033" w:rsidP="008A3A9E">
            <w:pPr>
              <w:keepNext/>
              <w:suppressAutoHyphens/>
              <w:jc w:val="center"/>
              <w:rPr>
                <w:b/>
                <w:bCs/>
                <w:sz w:val="20"/>
                <w:szCs w:val="20"/>
              </w:rPr>
            </w:pPr>
            <w:r w:rsidRPr="00F13073">
              <w:rPr>
                <w:b/>
                <w:bCs/>
                <w:sz w:val="20"/>
                <w:szCs w:val="20"/>
              </w:rPr>
              <w:t>N= 393</w:t>
            </w:r>
          </w:p>
        </w:tc>
        <w:tc>
          <w:tcPr>
            <w:tcW w:w="832" w:type="dxa"/>
            <w:tcBorders>
              <w:top w:val="single" w:sz="4" w:space="0" w:color="auto"/>
              <w:left w:val="single" w:sz="4" w:space="0" w:color="auto"/>
            </w:tcBorders>
          </w:tcPr>
          <w:p w14:paraId="171F186D" w14:textId="77777777" w:rsidR="001E0975" w:rsidRPr="00F13073" w:rsidRDefault="00611033" w:rsidP="008A3A9E">
            <w:pPr>
              <w:keepNext/>
              <w:suppressAutoHyphens/>
              <w:jc w:val="center"/>
              <w:rPr>
                <w:b/>
                <w:bCs/>
                <w:sz w:val="20"/>
                <w:szCs w:val="20"/>
              </w:rPr>
            </w:pPr>
            <w:r w:rsidRPr="00F13073">
              <w:rPr>
                <w:b/>
                <w:bCs/>
                <w:sz w:val="20"/>
                <w:szCs w:val="20"/>
              </w:rPr>
              <w:t>N= 205</w:t>
            </w:r>
          </w:p>
        </w:tc>
        <w:tc>
          <w:tcPr>
            <w:tcW w:w="836" w:type="dxa"/>
            <w:tcBorders>
              <w:top w:val="single" w:sz="4" w:space="0" w:color="auto"/>
              <w:left w:val="single" w:sz="4" w:space="0" w:color="auto"/>
            </w:tcBorders>
          </w:tcPr>
          <w:p w14:paraId="1EF8D9A7" w14:textId="77777777" w:rsidR="001E0975" w:rsidRPr="00F13073" w:rsidRDefault="00611033" w:rsidP="008A3A9E">
            <w:pPr>
              <w:keepNext/>
              <w:suppressAutoHyphens/>
              <w:jc w:val="center"/>
              <w:rPr>
                <w:b/>
                <w:bCs/>
                <w:sz w:val="20"/>
                <w:szCs w:val="20"/>
              </w:rPr>
            </w:pPr>
            <w:r w:rsidRPr="00F13073">
              <w:rPr>
                <w:b/>
                <w:bCs/>
                <w:sz w:val="20"/>
                <w:szCs w:val="20"/>
              </w:rPr>
              <w:t>N= 204</w:t>
            </w:r>
          </w:p>
        </w:tc>
        <w:tc>
          <w:tcPr>
            <w:tcW w:w="916" w:type="dxa"/>
            <w:tcBorders>
              <w:top w:val="single" w:sz="4" w:space="0" w:color="auto"/>
              <w:left w:val="single" w:sz="4" w:space="0" w:color="auto"/>
            </w:tcBorders>
          </w:tcPr>
          <w:p w14:paraId="4BC29D28" w14:textId="77777777" w:rsidR="001E0975" w:rsidRPr="00F13073" w:rsidRDefault="00611033" w:rsidP="008A3A9E">
            <w:pPr>
              <w:keepNext/>
              <w:suppressAutoHyphens/>
              <w:jc w:val="center"/>
              <w:rPr>
                <w:b/>
                <w:bCs/>
                <w:sz w:val="20"/>
                <w:szCs w:val="20"/>
              </w:rPr>
            </w:pPr>
            <w:r w:rsidRPr="00F13073">
              <w:rPr>
                <w:b/>
                <w:bCs/>
                <w:sz w:val="20"/>
                <w:szCs w:val="20"/>
              </w:rPr>
              <w:t>N= 803</w:t>
            </w:r>
          </w:p>
        </w:tc>
        <w:tc>
          <w:tcPr>
            <w:tcW w:w="916" w:type="dxa"/>
            <w:tcBorders>
              <w:top w:val="single" w:sz="4" w:space="0" w:color="auto"/>
              <w:left w:val="single" w:sz="4" w:space="0" w:color="auto"/>
            </w:tcBorders>
          </w:tcPr>
          <w:p w14:paraId="0413D7EF" w14:textId="77777777" w:rsidR="001E0975" w:rsidRPr="00F13073" w:rsidRDefault="00611033" w:rsidP="008A3A9E">
            <w:pPr>
              <w:keepNext/>
              <w:suppressAutoHyphens/>
              <w:jc w:val="center"/>
              <w:rPr>
                <w:b/>
                <w:bCs/>
                <w:sz w:val="20"/>
                <w:szCs w:val="20"/>
              </w:rPr>
            </w:pPr>
            <w:r w:rsidRPr="00F13073">
              <w:rPr>
                <w:b/>
                <w:bCs/>
                <w:sz w:val="20"/>
                <w:szCs w:val="20"/>
              </w:rPr>
              <w:t>N= 413</w:t>
            </w:r>
          </w:p>
        </w:tc>
        <w:tc>
          <w:tcPr>
            <w:tcW w:w="836" w:type="dxa"/>
            <w:tcBorders>
              <w:top w:val="single" w:sz="4" w:space="0" w:color="auto"/>
              <w:left w:val="single" w:sz="4" w:space="0" w:color="auto"/>
            </w:tcBorders>
          </w:tcPr>
          <w:p w14:paraId="084F9B7B" w14:textId="77777777" w:rsidR="001E0975" w:rsidRPr="00F13073" w:rsidRDefault="00611033" w:rsidP="008A3A9E">
            <w:pPr>
              <w:keepNext/>
              <w:suppressAutoHyphens/>
              <w:jc w:val="center"/>
              <w:rPr>
                <w:b/>
                <w:bCs/>
                <w:sz w:val="20"/>
                <w:szCs w:val="20"/>
              </w:rPr>
            </w:pPr>
            <w:r w:rsidRPr="00F13073">
              <w:rPr>
                <w:b/>
                <w:bCs/>
                <w:sz w:val="20"/>
                <w:szCs w:val="20"/>
              </w:rPr>
              <w:t>N= 170</w:t>
            </w:r>
          </w:p>
        </w:tc>
        <w:tc>
          <w:tcPr>
            <w:tcW w:w="843" w:type="dxa"/>
            <w:tcBorders>
              <w:top w:val="single" w:sz="4" w:space="0" w:color="auto"/>
              <w:left w:val="single" w:sz="4" w:space="0" w:color="auto"/>
              <w:right w:val="single" w:sz="4" w:space="0" w:color="auto"/>
            </w:tcBorders>
          </w:tcPr>
          <w:p w14:paraId="710C853D" w14:textId="77777777" w:rsidR="001E0975" w:rsidRPr="00F13073" w:rsidRDefault="00611033" w:rsidP="008A3A9E">
            <w:pPr>
              <w:keepNext/>
              <w:suppressAutoHyphens/>
              <w:jc w:val="center"/>
              <w:rPr>
                <w:b/>
                <w:bCs/>
                <w:sz w:val="20"/>
                <w:szCs w:val="20"/>
              </w:rPr>
            </w:pPr>
            <w:r w:rsidRPr="00F13073">
              <w:rPr>
                <w:b/>
                <w:bCs/>
                <w:sz w:val="20"/>
                <w:szCs w:val="20"/>
              </w:rPr>
              <w:t>N= 158</w:t>
            </w:r>
          </w:p>
        </w:tc>
      </w:tr>
      <w:tr w:rsidR="001E0975" w:rsidRPr="00F13073" w14:paraId="68882F7B" w14:textId="77777777" w:rsidTr="00B73B0C">
        <w:trPr>
          <w:cantSplit/>
          <w:tblHeader/>
        </w:trPr>
        <w:tc>
          <w:tcPr>
            <w:tcW w:w="9073" w:type="dxa"/>
            <w:gridSpan w:val="11"/>
            <w:tcBorders>
              <w:top w:val="single" w:sz="4" w:space="0" w:color="auto"/>
              <w:left w:val="single" w:sz="4" w:space="0" w:color="auto"/>
              <w:right w:val="single" w:sz="4" w:space="0" w:color="auto"/>
            </w:tcBorders>
          </w:tcPr>
          <w:p w14:paraId="747285E9" w14:textId="77777777" w:rsidR="001E0975" w:rsidRPr="00F13073" w:rsidRDefault="00611033" w:rsidP="008A3A9E">
            <w:pPr>
              <w:keepNext/>
              <w:suppressAutoHyphens/>
              <w:jc w:val="center"/>
              <w:rPr>
                <w:b/>
                <w:bCs/>
                <w:sz w:val="20"/>
                <w:szCs w:val="20"/>
              </w:rPr>
            </w:pPr>
            <w:r w:rsidRPr="00F13073">
              <w:rPr>
                <w:b/>
                <w:bCs/>
                <w:sz w:val="20"/>
                <w:szCs w:val="20"/>
              </w:rPr>
              <w:t>ACR 20</w:t>
            </w:r>
          </w:p>
        </w:tc>
      </w:tr>
      <w:tr w:rsidR="001E0975" w:rsidRPr="00F13073" w14:paraId="0568C8B7" w14:textId="77777777" w:rsidTr="00B73B0C">
        <w:trPr>
          <w:cantSplit/>
          <w:tblHeader/>
        </w:trPr>
        <w:tc>
          <w:tcPr>
            <w:tcW w:w="687" w:type="dxa"/>
            <w:tcBorders>
              <w:top w:val="single" w:sz="4" w:space="0" w:color="auto"/>
              <w:left w:val="single" w:sz="4" w:space="0" w:color="auto"/>
            </w:tcBorders>
          </w:tcPr>
          <w:p w14:paraId="4B927AFE" w14:textId="77777777" w:rsidR="001E0975" w:rsidRPr="00F13073" w:rsidRDefault="00611033" w:rsidP="008A3A9E">
            <w:pPr>
              <w:keepNext/>
              <w:suppressAutoHyphens/>
              <w:jc w:val="center"/>
              <w:rPr>
                <w:sz w:val="20"/>
                <w:szCs w:val="20"/>
              </w:rPr>
            </w:pPr>
            <w:r w:rsidRPr="00F13073">
              <w:rPr>
                <w:sz w:val="20"/>
                <w:szCs w:val="20"/>
              </w:rPr>
              <w:t>24</w:t>
            </w:r>
          </w:p>
        </w:tc>
        <w:tc>
          <w:tcPr>
            <w:tcW w:w="783" w:type="dxa"/>
            <w:tcBorders>
              <w:top w:val="single" w:sz="4" w:space="0" w:color="auto"/>
              <w:left w:val="single" w:sz="4" w:space="0" w:color="auto"/>
            </w:tcBorders>
          </w:tcPr>
          <w:p w14:paraId="4D853F09" w14:textId="77777777" w:rsidR="001E0975" w:rsidRPr="00F13073" w:rsidRDefault="00611033" w:rsidP="008A3A9E">
            <w:pPr>
              <w:keepNext/>
              <w:suppressAutoHyphens/>
              <w:jc w:val="center"/>
              <w:rPr>
                <w:sz w:val="20"/>
                <w:szCs w:val="20"/>
              </w:rPr>
            </w:pPr>
            <w:r w:rsidRPr="00F13073">
              <w:rPr>
                <w:sz w:val="20"/>
                <w:szCs w:val="20"/>
              </w:rPr>
              <w:t>70</w:t>
            </w:r>
            <w:r w:rsidR="001C47DE" w:rsidRPr="00F13073">
              <w:rPr>
                <w:sz w:val="20"/>
                <w:szCs w:val="20"/>
              </w:rPr>
              <w:t xml:space="preserve"> </w:t>
            </w:r>
            <w:r w:rsidRPr="00F13073">
              <w:rPr>
                <w:sz w:val="20"/>
                <w:szCs w:val="20"/>
              </w:rPr>
              <w:t>%***</w:t>
            </w:r>
          </w:p>
        </w:tc>
        <w:tc>
          <w:tcPr>
            <w:tcW w:w="726" w:type="dxa"/>
            <w:tcBorders>
              <w:top w:val="single" w:sz="4" w:space="0" w:color="auto"/>
              <w:left w:val="single" w:sz="4" w:space="0" w:color="auto"/>
            </w:tcBorders>
          </w:tcPr>
          <w:p w14:paraId="0BD0112B" w14:textId="77777777" w:rsidR="001E0975" w:rsidRPr="00F13073" w:rsidRDefault="00611033" w:rsidP="008A3A9E">
            <w:pPr>
              <w:keepNext/>
              <w:suppressAutoHyphens/>
              <w:jc w:val="center"/>
              <w:rPr>
                <w:sz w:val="20"/>
                <w:szCs w:val="20"/>
              </w:rPr>
            </w:pPr>
            <w:r w:rsidRPr="00F13073">
              <w:rPr>
                <w:sz w:val="20"/>
                <w:szCs w:val="20"/>
              </w:rPr>
              <w:t>52</w:t>
            </w:r>
            <w:r w:rsidR="001C47DE" w:rsidRPr="00F13073">
              <w:rPr>
                <w:sz w:val="20"/>
                <w:szCs w:val="20"/>
              </w:rPr>
              <w:t xml:space="preserve"> </w:t>
            </w:r>
            <w:r w:rsidRPr="00F13073">
              <w:rPr>
                <w:sz w:val="20"/>
                <w:szCs w:val="20"/>
              </w:rPr>
              <w:t>%</w:t>
            </w:r>
          </w:p>
        </w:tc>
        <w:tc>
          <w:tcPr>
            <w:tcW w:w="846" w:type="dxa"/>
            <w:tcBorders>
              <w:top w:val="single" w:sz="4" w:space="0" w:color="auto"/>
              <w:left w:val="single" w:sz="4" w:space="0" w:color="auto"/>
            </w:tcBorders>
          </w:tcPr>
          <w:p w14:paraId="482F4A61" w14:textId="77777777" w:rsidR="001E0975" w:rsidRPr="00F13073" w:rsidRDefault="00611033" w:rsidP="008A3A9E">
            <w:pPr>
              <w:keepNext/>
              <w:suppressAutoHyphens/>
              <w:jc w:val="center"/>
              <w:rPr>
                <w:sz w:val="20"/>
                <w:szCs w:val="20"/>
              </w:rPr>
            </w:pPr>
            <w:r w:rsidRPr="00F13073">
              <w:rPr>
                <w:sz w:val="20"/>
                <w:szCs w:val="20"/>
              </w:rPr>
              <w:t>56</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59454813" w14:textId="77777777" w:rsidR="001E0975" w:rsidRPr="00F13073" w:rsidRDefault="00611033" w:rsidP="008A3A9E">
            <w:pPr>
              <w:keepNext/>
              <w:suppressAutoHyphens/>
              <w:jc w:val="center"/>
              <w:rPr>
                <w:sz w:val="20"/>
                <w:szCs w:val="20"/>
              </w:rPr>
            </w:pPr>
            <w:r w:rsidRPr="00F13073">
              <w:rPr>
                <w:sz w:val="20"/>
                <w:szCs w:val="20"/>
              </w:rPr>
              <w:t>27</w:t>
            </w:r>
            <w:r w:rsidR="001C47DE" w:rsidRPr="00F13073">
              <w:rPr>
                <w:sz w:val="20"/>
                <w:szCs w:val="20"/>
              </w:rPr>
              <w:t xml:space="preserve"> </w:t>
            </w:r>
            <w:r w:rsidRPr="00F13073">
              <w:rPr>
                <w:sz w:val="20"/>
                <w:szCs w:val="20"/>
              </w:rPr>
              <w:t>%</w:t>
            </w:r>
          </w:p>
        </w:tc>
        <w:tc>
          <w:tcPr>
            <w:tcW w:w="832" w:type="dxa"/>
            <w:tcBorders>
              <w:top w:val="single" w:sz="4" w:space="0" w:color="auto"/>
              <w:left w:val="single" w:sz="4" w:space="0" w:color="auto"/>
            </w:tcBorders>
          </w:tcPr>
          <w:p w14:paraId="51EADCC3" w14:textId="77777777" w:rsidR="001E0975" w:rsidRPr="00F13073" w:rsidRDefault="00611033" w:rsidP="008A3A9E">
            <w:pPr>
              <w:keepNext/>
              <w:suppressAutoHyphens/>
              <w:jc w:val="center"/>
              <w:rPr>
                <w:sz w:val="20"/>
                <w:szCs w:val="20"/>
              </w:rPr>
            </w:pPr>
            <w:r w:rsidRPr="00F13073">
              <w:rPr>
                <w:sz w:val="20"/>
                <w:szCs w:val="20"/>
              </w:rPr>
              <w:t>59</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3A241934" w14:textId="77777777" w:rsidR="001E0975" w:rsidRPr="00F13073" w:rsidRDefault="00611033" w:rsidP="008A3A9E">
            <w:pPr>
              <w:keepNext/>
              <w:suppressAutoHyphens/>
              <w:jc w:val="center"/>
              <w:rPr>
                <w:sz w:val="20"/>
                <w:szCs w:val="20"/>
              </w:rPr>
            </w:pPr>
            <w:r w:rsidRPr="00F13073">
              <w:rPr>
                <w:sz w:val="20"/>
                <w:szCs w:val="20"/>
              </w:rPr>
              <w:t>26</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15E7BD1B" w14:textId="77777777" w:rsidR="001E0975" w:rsidRPr="00F13073" w:rsidRDefault="00611033" w:rsidP="008A3A9E">
            <w:pPr>
              <w:keepNext/>
              <w:suppressAutoHyphens/>
              <w:jc w:val="center"/>
              <w:rPr>
                <w:sz w:val="20"/>
                <w:szCs w:val="20"/>
              </w:rPr>
            </w:pPr>
            <w:r w:rsidRPr="00F13073">
              <w:rPr>
                <w:sz w:val="20"/>
                <w:szCs w:val="20"/>
              </w:rPr>
              <w:t>61</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764E66C8" w14:textId="77777777" w:rsidR="001E0975" w:rsidRPr="00F13073" w:rsidRDefault="00611033" w:rsidP="008A3A9E">
            <w:pPr>
              <w:keepNext/>
              <w:suppressAutoHyphens/>
              <w:jc w:val="center"/>
              <w:rPr>
                <w:sz w:val="20"/>
                <w:szCs w:val="20"/>
              </w:rPr>
            </w:pPr>
            <w:r w:rsidRPr="00F13073">
              <w:rPr>
                <w:sz w:val="20"/>
                <w:szCs w:val="20"/>
              </w:rPr>
              <w:t>24</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38CA0CC7" w14:textId="77777777" w:rsidR="001E0975" w:rsidRPr="00F13073" w:rsidRDefault="00611033" w:rsidP="008A3A9E">
            <w:pPr>
              <w:keepNext/>
              <w:suppressAutoHyphens/>
              <w:jc w:val="center"/>
              <w:rPr>
                <w:sz w:val="20"/>
                <w:szCs w:val="20"/>
              </w:rPr>
            </w:pPr>
            <w:r w:rsidRPr="00F13073">
              <w:rPr>
                <w:sz w:val="20"/>
                <w:szCs w:val="20"/>
              </w:rPr>
              <w:t>50</w:t>
            </w:r>
            <w:r w:rsidR="001C47DE" w:rsidRPr="00F13073">
              <w:rPr>
                <w:sz w:val="20"/>
                <w:szCs w:val="20"/>
              </w:rPr>
              <w:t xml:space="preserve"> </w:t>
            </w:r>
            <w:r w:rsidRPr="00F13073">
              <w:rPr>
                <w:sz w:val="20"/>
                <w:szCs w:val="20"/>
              </w:rPr>
              <w:t>%***</w:t>
            </w:r>
          </w:p>
        </w:tc>
        <w:tc>
          <w:tcPr>
            <w:tcW w:w="843" w:type="dxa"/>
            <w:tcBorders>
              <w:top w:val="single" w:sz="4" w:space="0" w:color="auto"/>
              <w:left w:val="single" w:sz="4" w:space="0" w:color="auto"/>
              <w:right w:val="single" w:sz="4" w:space="0" w:color="auto"/>
            </w:tcBorders>
          </w:tcPr>
          <w:p w14:paraId="3A590D87" w14:textId="77777777" w:rsidR="001E0975" w:rsidRPr="00F13073" w:rsidRDefault="00611033" w:rsidP="008A3A9E">
            <w:pPr>
              <w:keepNext/>
              <w:suppressAutoHyphens/>
              <w:jc w:val="center"/>
              <w:rPr>
                <w:sz w:val="20"/>
                <w:szCs w:val="20"/>
              </w:rPr>
            </w:pPr>
            <w:r w:rsidRPr="00F13073">
              <w:rPr>
                <w:sz w:val="20"/>
                <w:szCs w:val="20"/>
              </w:rPr>
              <w:t>10</w:t>
            </w:r>
            <w:r w:rsidR="001C47DE" w:rsidRPr="00F13073">
              <w:rPr>
                <w:sz w:val="20"/>
                <w:szCs w:val="20"/>
              </w:rPr>
              <w:t xml:space="preserve"> </w:t>
            </w:r>
            <w:r w:rsidRPr="00F13073">
              <w:rPr>
                <w:sz w:val="20"/>
                <w:szCs w:val="20"/>
              </w:rPr>
              <w:t>%</w:t>
            </w:r>
          </w:p>
        </w:tc>
      </w:tr>
      <w:tr w:rsidR="001E0975" w:rsidRPr="00F13073" w14:paraId="25556402" w14:textId="77777777" w:rsidTr="00B73B0C">
        <w:trPr>
          <w:cantSplit/>
          <w:tblHeader/>
        </w:trPr>
        <w:tc>
          <w:tcPr>
            <w:tcW w:w="687" w:type="dxa"/>
            <w:tcBorders>
              <w:top w:val="single" w:sz="4" w:space="0" w:color="auto"/>
              <w:left w:val="single" w:sz="4" w:space="0" w:color="auto"/>
            </w:tcBorders>
          </w:tcPr>
          <w:p w14:paraId="1FE8D1B3" w14:textId="77777777" w:rsidR="001E0975" w:rsidRPr="00F13073" w:rsidRDefault="00611033" w:rsidP="008A3A9E">
            <w:pPr>
              <w:suppressAutoHyphens/>
              <w:jc w:val="center"/>
              <w:rPr>
                <w:sz w:val="20"/>
                <w:szCs w:val="20"/>
              </w:rPr>
            </w:pPr>
            <w:r w:rsidRPr="00F13073">
              <w:rPr>
                <w:sz w:val="20"/>
                <w:szCs w:val="20"/>
              </w:rPr>
              <w:t>52</w:t>
            </w:r>
          </w:p>
        </w:tc>
        <w:tc>
          <w:tcPr>
            <w:tcW w:w="783" w:type="dxa"/>
            <w:tcBorders>
              <w:top w:val="single" w:sz="4" w:space="0" w:color="auto"/>
              <w:left w:val="single" w:sz="4" w:space="0" w:color="auto"/>
            </w:tcBorders>
          </w:tcPr>
          <w:p w14:paraId="41C182DD" w14:textId="77777777" w:rsidR="001E0975" w:rsidRPr="00F13073" w:rsidRDefault="001E0975" w:rsidP="008A3A9E">
            <w:pPr>
              <w:suppressAutoHyphens/>
              <w:jc w:val="center"/>
              <w:rPr>
                <w:sz w:val="20"/>
                <w:szCs w:val="20"/>
              </w:rPr>
            </w:pPr>
          </w:p>
        </w:tc>
        <w:tc>
          <w:tcPr>
            <w:tcW w:w="726" w:type="dxa"/>
            <w:tcBorders>
              <w:top w:val="single" w:sz="4" w:space="0" w:color="auto"/>
              <w:left w:val="single" w:sz="4" w:space="0" w:color="auto"/>
            </w:tcBorders>
          </w:tcPr>
          <w:p w14:paraId="37C63306" w14:textId="77777777" w:rsidR="001E0975" w:rsidRPr="00F13073" w:rsidRDefault="001E0975" w:rsidP="008A3A9E">
            <w:pPr>
              <w:suppressAutoHyphens/>
              <w:jc w:val="center"/>
              <w:rPr>
                <w:sz w:val="20"/>
                <w:szCs w:val="20"/>
              </w:rPr>
            </w:pPr>
          </w:p>
        </w:tc>
        <w:tc>
          <w:tcPr>
            <w:tcW w:w="846" w:type="dxa"/>
            <w:tcBorders>
              <w:top w:val="single" w:sz="4" w:space="0" w:color="auto"/>
              <w:left w:val="single" w:sz="4" w:space="0" w:color="auto"/>
            </w:tcBorders>
          </w:tcPr>
          <w:p w14:paraId="49A045BF" w14:textId="77777777" w:rsidR="001E0975" w:rsidRPr="00F13073" w:rsidRDefault="00611033" w:rsidP="008A3A9E">
            <w:pPr>
              <w:suppressAutoHyphens/>
              <w:jc w:val="center"/>
              <w:rPr>
                <w:sz w:val="20"/>
                <w:szCs w:val="20"/>
              </w:rPr>
            </w:pPr>
            <w:r w:rsidRPr="00F13073">
              <w:rPr>
                <w:sz w:val="20"/>
                <w:szCs w:val="20"/>
              </w:rPr>
              <w:t>56</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24A07EB0" w14:textId="77777777" w:rsidR="001E0975" w:rsidRPr="00F13073" w:rsidRDefault="00611033" w:rsidP="008A3A9E">
            <w:pPr>
              <w:suppressAutoHyphens/>
              <w:jc w:val="center"/>
              <w:rPr>
                <w:sz w:val="20"/>
                <w:szCs w:val="20"/>
              </w:rPr>
            </w:pPr>
            <w:r w:rsidRPr="00F13073">
              <w:rPr>
                <w:sz w:val="20"/>
                <w:szCs w:val="20"/>
              </w:rPr>
              <w:t>25</w:t>
            </w:r>
            <w:r w:rsidR="001C47DE" w:rsidRPr="00F13073">
              <w:rPr>
                <w:sz w:val="20"/>
                <w:szCs w:val="20"/>
              </w:rPr>
              <w:t xml:space="preserve"> </w:t>
            </w:r>
            <w:r w:rsidRPr="00F13073">
              <w:rPr>
                <w:sz w:val="20"/>
                <w:szCs w:val="20"/>
              </w:rPr>
              <w:t>%</w:t>
            </w:r>
          </w:p>
        </w:tc>
        <w:tc>
          <w:tcPr>
            <w:tcW w:w="832" w:type="dxa"/>
            <w:tcBorders>
              <w:top w:val="single" w:sz="4" w:space="0" w:color="auto"/>
              <w:left w:val="single" w:sz="4" w:space="0" w:color="auto"/>
            </w:tcBorders>
          </w:tcPr>
          <w:p w14:paraId="3C28F8A9" w14:textId="77777777" w:rsidR="001E0975" w:rsidRPr="00F13073" w:rsidRDefault="001E0975" w:rsidP="008A3A9E">
            <w:pPr>
              <w:suppressAutoHyphens/>
              <w:jc w:val="center"/>
              <w:rPr>
                <w:sz w:val="20"/>
                <w:szCs w:val="20"/>
              </w:rPr>
            </w:pPr>
          </w:p>
        </w:tc>
        <w:tc>
          <w:tcPr>
            <w:tcW w:w="836" w:type="dxa"/>
            <w:tcBorders>
              <w:top w:val="single" w:sz="4" w:space="0" w:color="auto"/>
              <w:left w:val="single" w:sz="4" w:space="0" w:color="auto"/>
            </w:tcBorders>
          </w:tcPr>
          <w:p w14:paraId="0AD83341" w14:textId="77777777" w:rsidR="001E0975" w:rsidRPr="00F13073" w:rsidRDefault="001E0975" w:rsidP="008A3A9E">
            <w:pPr>
              <w:suppressAutoHyphens/>
              <w:jc w:val="center"/>
              <w:rPr>
                <w:sz w:val="20"/>
                <w:szCs w:val="20"/>
              </w:rPr>
            </w:pPr>
          </w:p>
        </w:tc>
        <w:tc>
          <w:tcPr>
            <w:tcW w:w="916" w:type="dxa"/>
            <w:tcBorders>
              <w:top w:val="single" w:sz="4" w:space="0" w:color="auto"/>
              <w:left w:val="single" w:sz="4" w:space="0" w:color="auto"/>
            </w:tcBorders>
          </w:tcPr>
          <w:p w14:paraId="2332FF82" w14:textId="77777777" w:rsidR="001E0975" w:rsidRPr="00F13073" w:rsidRDefault="001E0975" w:rsidP="008A3A9E">
            <w:pPr>
              <w:suppressAutoHyphens/>
              <w:jc w:val="center"/>
              <w:rPr>
                <w:sz w:val="20"/>
                <w:szCs w:val="20"/>
              </w:rPr>
            </w:pPr>
          </w:p>
        </w:tc>
        <w:tc>
          <w:tcPr>
            <w:tcW w:w="916" w:type="dxa"/>
            <w:tcBorders>
              <w:top w:val="single" w:sz="4" w:space="0" w:color="auto"/>
              <w:left w:val="single" w:sz="4" w:space="0" w:color="auto"/>
            </w:tcBorders>
          </w:tcPr>
          <w:p w14:paraId="7680EF39" w14:textId="77777777" w:rsidR="001E0975" w:rsidRPr="00F13073" w:rsidRDefault="001E0975" w:rsidP="008A3A9E">
            <w:pPr>
              <w:suppressAutoHyphens/>
              <w:jc w:val="center"/>
              <w:rPr>
                <w:sz w:val="20"/>
                <w:szCs w:val="20"/>
              </w:rPr>
            </w:pPr>
          </w:p>
        </w:tc>
        <w:tc>
          <w:tcPr>
            <w:tcW w:w="836" w:type="dxa"/>
            <w:tcBorders>
              <w:top w:val="single" w:sz="4" w:space="0" w:color="auto"/>
              <w:left w:val="single" w:sz="4" w:space="0" w:color="auto"/>
            </w:tcBorders>
          </w:tcPr>
          <w:p w14:paraId="4B66451C" w14:textId="77777777" w:rsidR="001E0975" w:rsidRPr="00F13073" w:rsidRDefault="001E0975" w:rsidP="008A3A9E">
            <w:pPr>
              <w:suppressAutoHyphens/>
              <w:jc w:val="center"/>
              <w:rPr>
                <w:sz w:val="20"/>
                <w:szCs w:val="20"/>
              </w:rPr>
            </w:pPr>
          </w:p>
        </w:tc>
        <w:tc>
          <w:tcPr>
            <w:tcW w:w="843" w:type="dxa"/>
            <w:tcBorders>
              <w:top w:val="single" w:sz="4" w:space="0" w:color="auto"/>
              <w:left w:val="single" w:sz="4" w:space="0" w:color="auto"/>
              <w:right w:val="single" w:sz="4" w:space="0" w:color="auto"/>
            </w:tcBorders>
          </w:tcPr>
          <w:p w14:paraId="2D761020" w14:textId="77777777" w:rsidR="001E0975" w:rsidRPr="00F13073" w:rsidRDefault="001E0975" w:rsidP="008A3A9E">
            <w:pPr>
              <w:suppressAutoHyphens/>
              <w:jc w:val="center"/>
              <w:rPr>
                <w:sz w:val="20"/>
                <w:szCs w:val="20"/>
              </w:rPr>
            </w:pPr>
          </w:p>
        </w:tc>
      </w:tr>
      <w:tr w:rsidR="001E0975" w:rsidRPr="00F13073" w14:paraId="565941C8" w14:textId="77777777" w:rsidTr="00B73B0C">
        <w:trPr>
          <w:cantSplit/>
          <w:tblHeader/>
        </w:trPr>
        <w:tc>
          <w:tcPr>
            <w:tcW w:w="9073" w:type="dxa"/>
            <w:gridSpan w:val="11"/>
            <w:tcBorders>
              <w:top w:val="single" w:sz="4" w:space="0" w:color="auto"/>
              <w:left w:val="single" w:sz="4" w:space="0" w:color="auto"/>
              <w:right w:val="single" w:sz="4" w:space="0" w:color="auto"/>
            </w:tcBorders>
          </w:tcPr>
          <w:p w14:paraId="57EA6609" w14:textId="77777777" w:rsidR="001E0975" w:rsidRPr="00F13073" w:rsidRDefault="00611033" w:rsidP="008A3A9E">
            <w:pPr>
              <w:keepNext/>
              <w:suppressAutoHyphens/>
              <w:jc w:val="center"/>
              <w:rPr>
                <w:b/>
                <w:bCs/>
                <w:sz w:val="20"/>
                <w:szCs w:val="20"/>
              </w:rPr>
            </w:pPr>
            <w:r w:rsidRPr="00F13073">
              <w:rPr>
                <w:b/>
                <w:bCs/>
                <w:sz w:val="20"/>
                <w:szCs w:val="20"/>
              </w:rPr>
              <w:t>ACR 50</w:t>
            </w:r>
          </w:p>
        </w:tc>
      </w:tr>
      <w:tr w:rsidR="001E0975" w:rsidRPr="00F13073" w14:paraId="673453FF" w14:textId="77777777" w:rsidTr="00B73B0C">
        <w:trPr>
          <w:cantSplit/>
          <w:tblHeader/>
        </w:trPr>
        <w:tc>
          <w:tcPr>
            <w:tcW w:w="687" w:type="dxa"/>
            <w:tcBorders>
              <w:top w:val="single" w:sz="4" w:space="0" w:color="auto"/>
              <w:left w:val="single" w:sz="4" w:space="0" w:color="auto"/>
            </w:tcBorders>
          </w:tcPr>
          <w:p w14:paraId="393D7FAE" w14:textId="77777777" w:rsidR="001E0975" w:rsidRPr="00F13073" w:rsidRDefault="00611033" w:rsidP="008A3A9E">
            <w:pPr>
              <w:keepNext/>
              <w:suppressAutoHyphens/>
              <w:jc w:val="center"/>
              <w:rPr>
                <w:sz w:val="20"/>
                <w:szCs w:val="20"/>
              </w:rPr>
            </w:pPr>
            <w:r w:rsidRPr="00F13073">
              <w:rPr>
                <w:sz w:val="20"/>
                <w:szCs w:val="20"/>
              </w:rPr>
              <w:t>24</w:t>
            </w:r>
          </w:p>
        </w:tc>
        <w:tc>
          <w:tcPr>
            <w:tcW w:w="783" w:type="dxa"/>
            <w:tcBorders>
              <w:top w:val="single" w:sz="4" w:space="0" w:color="auto"/>
              <w:left w:val="single" w:sz="4" w:space="0" w:color="auto"/>
            </w:tcBorders>
          </w:tcPr>
          <w:p w14:paraId="075810E1" w14:textId="77777777" w:rsidR="001E0975" w:rsidRPr="00F13073" w:rsidRDefault="00611033" w:rsidP="008A3A9E">
            <w:pPr>
              <w:keepNext/>
              <w:suppressAutoHyphens/>
              <w:jc w:val="center"/>
              <w:rPr>
                <w:sz w:val="20"/>
                <w:szCs w:val="20"/>
              </w:rPr>
            </w:pPr>
            <w:r w:rsidRPr="00F13073">
              <w:rPr>
                <w:sz w:val="20"/>
                <w:szCs w:val="20"/>
              </w:rPr>
              <w:t>44</w:t>
            </w:r>
            <w:r w:rsidR="001C47DE" w:rsidRPr="00F13073">
              <w:rPr>
                <w:sz w:val="20"/>
                <w:szCs w:val="20"/>
              </w:rPr>
              <w:t xml:space="preserve"> </w:t>
            </w:r>
            <w:r w:rsidRPr="00F13073">
              <w:rPr>
                <w:sz w:val="20"/>
                <w:szCs w:val="20"/>
              </w:rPr>
              <w:t>%**</w:t>
            </w:r>
          </w:p>
        </w:tc>
        <w:tc>
          <w:tcPr>
            <w:tcW w:w="726" w:type="dxa"/>
            <w:tcBorders>
              <w:top w:val="single" w:sz="4" w:space="0" w:color="auto"/>
              <w:left w:val="single" w:sz="4" w:space="0" w:color="auto"/>
            </w:tcBorders>
          </w:tcPr>
          <w:p w14:paraId="588C32F9" w14:textId="77777777" w:rsidR="001E0975" w:rsidRPr="00F13073" w:rsidRDefault="00611033" w:rsidP="008A3A9E">
            <w:pPr>
              <w:keepNext/>
              <w:suppressAutoHyphens/>
              <w:jc w:val="center"/>
              <w:rPr>
                <w:sz w:val="20"/>
                <w:szCs w:val="20"/>
              </w:rPr>
            </w:pPr>
            <w:r w:rsidRPr="00F13073">
              <w:rPr>
                <w:sz w:val="20"/>
                <w:szCs w:val="20"/>
              </w:rPr>
              <w:t>33</w:t>
            </w:r>
            <w:r w:rsidR="001C47DE" w:rsidRPr="00F13073">
              <w:rPr>
                <w:sz w:val="20"/>
                <w:szCs w:val="20"/>
              </w:rPr>
              <w:t xml:space="preserve"> </w:t>
            </w:r>
            <w:r w:rsidRPr="00F13073">
              <w:rPr>
                <w:sz w:val="20"/>
                <w:szCs w:val="20"/>
              </w:rPr>
              <w:t>%</w:t>
            </w:r>
          </w:p>
        </w:tc>
        <w:tc>
          <w:tcPr>
            <w:tcW w:w="846" w:type="dxa"/>
            <w:tcBorders>
              <w:top w:val="single" w:sz="4" w:space="0" w:color="auto"/>
              <w:left w:val="single" w:sz="4" w:space="0" w:color="auto"/>
            </w:tcBorders>
          </w:tcPr>
          <w:p w14:paraId="158C4CE2" w14:textId="77777777" w:rsidR="001E0975" w:rsidRPr="00F13073" w:rsidRDefault="00611033" w:rsidP="008A3A9E">
            <w:pPr>
              <w:keepNext/>
              <w:suppressAutoHyphens/>
              <w:jc w:val="center"/>
              <w:rPr>
                <w:sz w:val="20"/>
                <w:szCs w:val="20"/>
              </w:rPr>
            </w:pPr>
            <w:r w:rsidRPr="00F13073">
              <w:rPr>
                <w:sz w:val="20"/>
                <w:szCs w:val="20"/>
              </w:rPr>
              <w:t>32</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426E2616" w14:textId="77777777" w:rsidR="001E0975" w:rsidRPr="00F13073" w:rsidRDefault="00611033" w:rsidP="008A3A9E">
            <w:pPr>
              <w:keepNext/>
              <w:suppressAutoHyphens/>
              <w:jc w:val="center"/>
              <w:rPr>
                <w:sz w:val="20"/>
                <w:szCs w:val="20"/>
              </w:rPr>
            </w:pPr>
            <w:r w:rsidRPr="00F13073">
              <w:rPr>
                <w:sz w:val="20"/>
                <w:szCs w:val="20"/>
              </w:rPr>
              <w:t>10</w:t>
            </w:r>
            <w:r w:rsidR="001C47DE" w:rsidRPr="00F13073">
              <w:rPr>
                <w:sz w:val="20"/>
                <w:szCs w:val="20"/>
              </w:rPr>
              <w:t xml:space="preserve"> </w:t>
            </w:r>
            <w:r w:rsidRPr="00F13073">
              <w:rPr>
                <w:sz w:val="20"/>
                <w:szCs w:val="20"/>
              </w:rPr>
              <w:t>%</w:t>
            </w:r>
          </w:p>
        </w:tc>
        <w:tc>
          <w:tcPr>
            <w:tcW w:w="832" w:type="dxa"/>
            <w:tcBorders>
              <w:top w:val="single" w:sz="4" w:space="0" w:color="auto"/>
              <w:left w:val="single" w:sz="4" w:space="0" w:color="auto"/>
            </w:tcBorders>
          </w:tcPr>
          <w:p w14:paraId="16B7E55F" w14:textId="77777777" w:rsidR="001E0975" w:rsidRPr="00F13073" w:rsidRDefault="00611033" w:rsidP="008A3A9E">
            <w:pPr>
              <w:keepNext/>
              <w:suppressAutoHyphens/>
              <w:jc w:val="center"/>
              <w:rPr>
                <w:sz w:val="20"/>
                <w:szCs w:val="20"/>
              </w:rPr>
            </w:pPr>
            <w:r w:rsidRPr="00F13073">
              <w:rPr>
                <w:sz w:val="20"/>
                <w:szCs w:val="20"/>
              </w:rPr>
              <w:t>44</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27E73D03" w14:textId="77777777" w:rsidR="001E0975" w:rsidRPr="00F13073" w:rsidRDefault="00611033" w:rsidP="008A3A9E">
            <w:pPr>
              <w:keepNext/>
              <w:suppressAutoHyphens/>
              <w:jc w:val="center"/>
              <w:rPr>
                <w:sz w:val="20"/>
                <w:szCs w:val="20"/>
              </w:rPr>
            </w:pPr>
            <w:r w:rsidRPr="00F13073">
              <w:rPr>
                <w:sz w:val="20"/>
                <w:szCs w:val="20"/>
              </w:rPr>
              <w:t>11</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6D1C6B36" w14:textId="77777777" w:rsidR="001E0975" w:rsidRPr="00F13073" w:rsidRDefault="00611033" w:rsidP="008A3A9E">
            <w:pPr>
              <w:keepNext/>
              <w:suppressAutoHyphens/>
              <w:jc w:val="center"/>
              <w:rPr>
                <w:sz w:val="20"/>
                <w:szCs w:val="20"/>
              </w:rPr>
            </w:pPr>
            <w:r w:rsidRPr="00F13073">
              <w:rPr>
                <w:sz w:val="20"/>
                <w:szCs w:val="20"/>
              </w:rPr>
              <w:t>38</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7649EFA0" w14:textId="77777777" w:rsidR="001E0975" w:rsidRPr="00F13073" w:rsidRDefault="00611033" w:rsidP="008A3A9E">
            <w:pPr>
              <w:keepNext/>
              <w:suppressAutoHyphens/>
              <w:jc w:val="center"/>
              <w:rPr>
                <w:sz w:val="20"/>
                <w:szCs w:val="20"/>
              </w:rPr>
            </w:pPr>
            <w:r w:rsidRPr="00F13073">
              <w:rPr>
                <w:sz w:val="20"/>
                <w:szCs w:val="20"/>
              </w:rPr>
              <w:t>9</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0D7AB474" w14:textId="77777777" w:rsidR="001E0975" w:rsidRPr="00F13073" w:rsidRDefault="00611033" w:rsidP="008A3A9E">
            <w:pPr>
              <w:keepNext/>
              <w:suppressAutoHyphens/>
              <w:jc w:val="center"/>
              <w:rPr>
                <w:sz w:val="20"/>
                <w:szCs w:val="20"/>
              </w:rPr>
            </w:pPr>
            <w:r w:rsidRPr="00F13073">
              <w:rPr>
                <w:sz w:val="20"/>
                <w:szCs w:val="20"/>
              </w:rPr>
              <w:t>29</w:t>
            </w:r>
            <w:r w:rsidR="001C47DE" w:rsidRPr="00F13073">
              <w:rPr>
                <w:sz w:val="20"/>
                <w:szCs w:val="20"/>
              </w:rPr>
              <w:t xml:space="preserve"> </w:t>
            </w:r>
            <w:r w:rsidRPr="00F13073">
              <w:rPr>
                <w:sz w:val="20"/>
                <w:szCs w:val="20"/>
              </w:rPr>
              <w:t>%***</w:t>
            </w:r>
          </w:p>
        </w:tc>
        <w:tc>
          <w:tcPr>
            <w:tcW w:w="843" w:type="dxa"/>
            <w:tcBorders>
              <w:top w:val="single" w:sz="4" w:space="0" w:color="auto"/>
              <w:left w:val="single" w:sz="4" w:space="0" w:color="auto"/>
              <w:right w:val="single" w:sz="4" w:space="0" w:color="auto"/>
            </w:tcBorders>
          </w:tcPr>
          <w:p w14:paraId="37698C33" w14:textId="77777777" w:rsidR="001E0975" w:rsidRPr="00F13073" w:rsidRDefault="00611033" w:rsidP="008A3A9E">
            <w:pPr>
              <w:keepNext/>
              <w:suppressAutoHyphens/>
              <w:jc w:val="center"/>
              <w:rPr>
                <w:sz w:val="20"/>
                <w:szCs w:val="20"/>
              </w:rPr>
            </w:pPr>
            <w:r w:rsidRPr="00F13073">
              <w:rPr>
                <w:sz w:val="20"/>
                <w:szCs w:val="20"/>
              </w:rPr>
              <w:t>4</w:t>
            </w:r>
            <w:r w:rsidR="001C47DE" w:rsidRPr="00F13073">
              <w:rPr>
                <w:sz w:val="20"/>
                <w:szCs w:val="20"/>
              </w:rPr>
              <w:t xml:space="preserve"> </w:t>
            </w:r>
            <w:r w:rsidRPr="00F13073">
              <w:rPr>
                <w:sz w:val="20"/>
                <w:szCs w:val="20"/>
              </w:rPr>
              <w:t>%</w:t>
            </w:r>
          </w:p>
        </w:tc>
      </w:tr>
      <w:tr w:rsidR="001E0975" w:rsidRPr="00F13073" w14:paraId="5A8F5075" w14:textId="77777777" w:rsidTr="00B73B0C">
        <w:trPr>
          <w:cantSplit/>
          <w:tblHeader/>
        </w:trPr>
        <w:tc>
          <w:tcPr>
            <w:tcW w:w="687" w:type="dxa"/>
            <w:tcBorders>
              <w:top w:val="single" w:sz="4" w:space="0" w:color="auto"/>
              <w:left w:val="single" w:sz="4" w:space="0" w:color="auto"/>
            </w:tcBorders>
          </w:tcPr>
          <w:p w14:paraId="5D8744D0" w14:textId="77777777" w:rsidR="001E0975" w:rsidRPr="00F13073" w:rsidRDefault="00611033" w:rsidP="008A3A9E">
            <w:pPr>
              <w:suppressAutoHyphens/>
              <w:jc w:val="center"/>
              <w:rPr>
                <w:sz w:val="20"/>
                <w:szCs w:val="20"/>
              </w:rPr>
            </w:pPr>
            <w:r w:rsidRPr="00F13073">
              <w:rPr>
                <w:sz w:val="20"/>
                <w:szCs w:val="20"/>
              </w:rPr>
              <w:t>52</w:t>
            </w:r>
          </w:p>
        </w:tc>
        <w:tc>
          <w:tcPr>
            <w:tcW w:w="783" w:type="dxa"/>
            <w:tcBorders>
              <w:top w:val="single" w:sz="4" w:space="0" w:color="auto"/>
              <w:left w:val="single" w:sz="4" w:space="0" w:color="auto"/>
            </w:tcBorders>
          </w:tcPr>
          <w:p w14:paraId="2967BDF9" w14:textId="77777777" w:rsidR="001E0975" w:rsidRPr="00F13073" w:rsidRDefault="001E0975" w:rsidP="008A3A9E">
            <w:pPr>
              <w:suppressAutoHyphens/>
              <w:jc w:val="center"/>
              <w:rPr>
                <w:sz w:val="20"/>
                <w:szCs w:val="20"/>
              </w:rPr>
            </w:pPr>
          </w:p>
        </w:tc>
        <w:tc>
          <w:tcPr>
            <w:tcW w:w="726" w:type="dxa"/>
            <w:tcBorders>
              <w:top w:val="single" w:sz="4" w:space="0" w:color="auto"/>
              <w:left w:val="single" w:sz="4" w:space="0" w:color="auto"/>
            </w:tcBorders>
          </w:tcPr>
          <w:p w14:paraId="0BEFCE34" w14:textId="77777777" w:rsidR="001E0975" w:rsidRPr="00F13073" w:rsidRDefault="001E0975" w:rsidP="008A3A9E">
            <w:pPr>
              <w:suppressAutoHyphens/>
              <w:jc w:val="center"/>
              <w:rPr>
                <w:sz w:val="20"/>
                <w:szCs w:val="20"/>
              </w:rPr>
            </w:pPr>
          </w:p>
        </w:tc>
        <w:tc>
          <w:tcPr>
            <w:tcW w:w="846" w:type="dxa"/>
            <w:tcBorders>
              <w:top w:val="single" w:sz="4" w:space="0" w:color="auto"/>
              <w:left w:val="single" w:sz="4" w:space="0" w:color="auto"/>
            </w:tcBorders>
          </w:tcPr>
          <w:p w14:paraId="09C66514" w14:textId="77777777" w:rsidR="001E0975" w:rsidRPr="00F13073" w:rsidRDefault="00611033" w:rsidP="008A3A9E">
            <w:pPr>
              <w:suppressAutoHyphens/>
              <w:jc w:val="center"/>
              <w:rPr>
                <w:sz w:val="20"/>
                <w:szCs w:val="20"/>
              </w:rPr>
            </w:pPr>
            <w:r w:rsidRPr="00F13073">
              <w:rPr>
                <w:sz w:val="20"/>
                <w:szCs w:val="20"/>
              </w:rPr>
              <w:t>36</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1B206EFC" w14:textId="77777777" w:rsidR="001E0975" w:rsidRPr="00F13073" w:rsidRDefault="00611033" w:rsidP="008A3A9E">
            <w:pPr>
              <w:suppressAutoHyphens/>
              <w:jc w:val="center"/>
              <w:rPr>
                <w:sz w:val="20"/>
                <w:szCs w:val="20"/>
              </w:rPr>
            </w:pPr>
            <w:r w:rsidRPr="00F13073">
              <w:rPr>
                <w:sz w:val="20"/>
                <w:szCs w:val="20"/>
              </w:rPr>
              <w:t>10</w:t>
            </w:r>
            <w:r w:rsidR="001C47DE" w:rsidRPr="00F13073">
              <w:rPr>
                <w:sz w:val="20"/>
                <w:szCs w:val="20"/>
              </w:rPr>
              <w:t xml:space="preserve"> </w:t>
            </w:r>
            <w:r w:rsidRPr="00F13073">
              <w:rPr>
                <w:sz w:val="20"/>
                <w:szCs w:val="20"/>
              </w:rPr>
              <w:t>%</w:t>
            </w:r>
          </w:p>
        </w:tc>
        <w:tc>
          <w:tcPr>
            <w:tcW w:w="832" w:type="dxa"/>
            <w:tcBorders>
              <w:top w:val="single" w:sz="4" w:space="0" w:color="auto"/>
              <w:left w:val="single" w:sz="4" w:space="0" w:color="auto"/>
            </w:tcBorders>
          </w:tcPr>
          <w:p w14:paraId="464E6E4C" w14:textId="77777777" w:rsidR="001E0975" w:rsidRPr="00F13073" w:rsidRDefault="001E0975" w:rsidP="008A3A9E">
            <w:pPr>
              <w:suppressAutoHyphens/>
              <w:jc w:val="center"/>
              <w:rPr>
                <w:sz w:val="20"/>
                <w:szCs w:val="20"/>
              </w:rPr>
            </w:pPr>
          </w:p>
        </w:tc>
        <w:tc>
          <w:tcPr>
            <w:tcW w:w="836" w:type="dxa"/>
            <w:tcBorders>
              <w:top w:val="single" w:sz="4" w:space="0" w:color="auto"/>
              <w:left w:val="single" w:sz="4" w:space="0" w:color="auto"/>
            </w:tcBorders>
          </w:tcPr>
          <w:p w14:paraId="49EA2EA7" w14:textId="77777777" w:rsidR="001E0975" w:rsidRPr="00F13073" w:rsidRDefault="001E0975" w:rsidP="008A3A9E">
            <w:pPr>
              <w:suppressAutoHyphens/>
              <w:jc w:val="center"/>
              <w:rPr>
                <w:sz w:val="20"/>
                <w:szCs w:val="20"/>
              </w:rPr>
            </w:pPr>
          </w:p>
        </w:tc>
        <w:tc>
          <w:tcPr>
            <w:tcW w:w="916" w:type="dxa"/>
            <w:tcBorders>
              <w:top w:val="single" w:sz="4" w:space="0" w:color="auto"/>
              <w:left w:val="single" w:sz="4" w:space="0" w:color="auto"/>
            </w:tcBorders>
          </w:tcPr>
          <w:p w14:paraId="380C9CBA" w14:textId="77777777" w:rsidR="001E0975" w:rsidRPr="00F13073" w:rsidRDefault="001E0975" w:rsidP="008A3A9E">
            <w:pPr>
              <w:suppressAutoHyphens/>
              <w:jc w:val="center"/>
              <w:rPr>
                <w:sz w:val="20"/>
                <w:szCs w:val="20"/>
              </w:rPr>
            </w:pPr>
          </w:p>
        </w:tc>
        <w:tc>
          <w:tcPr>
            <w:tcW w:w="916" w:type="dxa"/>
            <w:tcBorders>
              <w:top w:val="single" w:sz="4" w:space="0" w:color="auto"/>
              <w:left w:val="single" w:sz="4" w:space="0" w:color="auto"/>
            </w:tcBorders>
          </w:tcPr>
          <w:p w14:paraId="56E5602A" w14:textId="77777777" w:rsidR="001E0975" w:rsidRPr="00F13073" w:rsidRDefault="001E0975" w:rsidP="008A3A9E">
            <w:pPr>
              <w:suppressAutoHyphens/>
              <w:jc w:val="center"/>
              <w:rPr>
                <w:sz w:val="20"/>
                <w:szCs w:val="20"/>
              </w:rPr>
            </w:pPr>
          </w:p>
        </w:tc>
        <w:tc>
          <w:tcPr>
            <w:tcW w:w="836" w:type="dxa"/>
            <w:tcBorders>
              <w:top w:val="single" w:sz="4" w:space="0" w:color="auto"/>
              <w:left w:val="single" w:sz="4" w:space="0" w:color="auto"/>
            </w:tcBorders>
          </w:tcPr>
          <w:p w14:paraId="38A707DF" w14:textId="77777777" w:rsidR="001E0975" w:rsidRPr="00F13073" w:rsidRDefault="001E0975" w:rsidP="008A3A9E">
            <w:pPr>
              <w:suppressAutoHyphens/>
              <w:jc w:val="center"/>
              <w:rPr>
                <w:sz w:val="20"/>
                <w:szCs w:val="20"/>
              </w:rPr>
            </w:pPr>
          </w:p>
        </w:tc>
        <w:tc>
          <w:tcPr>
            <w:tcW w:w="843" w:type="dxa"/>
            <w:tcBorders>
              <w:top w:val="single" w:sz="4" w:space="0" w:color="auto"/>
              <w:left w:val="single" w:sz="4" w:space="0" w:color="auto"/>
              <w:right w:val="single" w:sz="4" w:space="0" w:color="auto"/>
            </w:tcBorders>
          </w:tcPr>
          <w:p w14:paraId="7AE5BCF7" w14:textId="77777777" w:rsidR="001E0975" w:rsidRPr="00F13073" w:rsidRDefault="001E0975" w:rsidP="008A3A9E">
            <w:pPr>
              <w:suppressAutoHyphens/>
              <w:jc w:val="center"/>
              <w:rPr>
                <w:sz w:val="20"/>
                <w:szCs w:val="20"/>
              </w:rPr>
            </w:pPr>
          </w:p>
        </w:tc>
      </w:tr>
      <w:tr w:rsidR="001E0975" w:rsidRPr="00F13073" w14:paraId="10A16781" w14:textId="77777777" w:rsidTr="00B73B0C">
        <w:trPr>
          <w:cantSplit/>
          <w:tblHeader/>
        </w:trPr>
        <w:tc>
          <w:tcPr>
            <w:tcW w:w="9073" w:type="dxa"/>
            <w:gridSpan w:val="11"/>
            <w:tcBorders>
              <w:top w:val="single" w:sz="4" w:space="0" w:color="auto"/>
              <w:left w:val="single" w:sz="4" w:space="0" w:color="auto"/>
              <w:right w:val="single" w:sz="4" w:space="0" w:color="auto"/>
            </w:tcBorders>
          </w:tcPr>
          <w:p w14:paraId="470E74BE" w14:textId="77777777" w:rsidR="001E0975" w:rsidRPr="00F13073" w:rsidRDefault="00611033" w:rsidP="008A3A9E">
            <w:pPr>
              <w:keepNext/>
              <w:suppressAutoHyphens/>
              <w:jc w:val="center"/>
              <w:rPr>
                <w:b/>
                <w:bCs/>
                <w:sz w:val="20"/>
                <w:szCs w:val="20"/>
              </w:rPr>
            </w:pPr>
            <w:r w:rsidRPr="00F13073">
              <w:rPr>
                <w:b/>
                <w:bCs/>
                <w:sz w:val="20"/>
                <w:szCs w:val="20"/>
              </w:rPr>
              <w:t>ACR 70</w:t>
            </w:r>
          </w:p>
        </w:tc>
      </w:tr>
      <w:tr w:rsidR="001E0975" w:rsidRPr="00F13073" w14:paraId="4C56B0FB" w14:textId="77777777" w:rsidTr="00B73B0C">
        <w:trPr>
          <w:cantSplit/>
          <w:tblHeader/>
        </w:trPr>
        <w:tc>
          <w:tcPr>
            <w:tcW w:w="687" w:type="dxa"/>
            <w:tcBorders>
              <w:top w:val="single" w:sz="4" w:space="0" w:color="auto"/>
              <w:left w:val="single" w:sz="4" w:space="0" w:color="auto"/>
            </w:tcBorders>
          </w:tcPr>
          <w:p w14:paraId="1B0C8879" w14:textId="77777777" w:rsidR="001E0975" w:rsidRPr="00F13073" w:rsidRDefault="00611033" w:rsidP="008A3A9E">
            <w:pPr>
              <w:keepNext/>
              <w:suppressAutoHyphens/>
              <w:jc w:val="center"/>
              <w:rPr>
                <w:sz w:val="20"/>
                <w:szCs w:val="20"/>
              </w:rPr>
            </w:pPr>
            <w:r w:rsidRPr="00F13073">
              <w:rPr>
                <w:sz w:val="20"/>
                <w:szCs w:val="20"/>
              </w:rPr>
              <w:t>24</w:t>
            </w:r>
          </w:p>
        </w:tc>
        <w:tc>
          <w:tcPr>
            <w:tcW w:w="783" w:type="dxa"/>
            <w:tcBorders>
              <w:top w:val="single" w:sz="4" w:space="0" w:color="auto"/>
              <w:left w:val="single" w:sz="4" w:space="0" w:color="auto"/>
            </w:tcBorders>
          </w:tcPr>
          <w:p w14:paraId="4ADC3DCF" w14:textId="77777777" w:rsidR="001E0975" w:rsidRPr="00F13073" w:rsidRDefault="00611033" w:rsidP="008A3A9E">
            <w:pPr>
              <w:keepNext/>
              <w:suppressAutoHyphens/>
              <w:jc w:val="center"/>
              <w:rPr>
                <w:sz w:val="20"/>
                <w:szCs w:val="20"/>
              </w:rPr>
            </w:pPr>
            <w:r w:rsidRPr="00F13073">
              <w:rPr>
                <w:sz w:val="20"/>
                <w:szCs w:val="20"/>
              </w:rPr>
              <w:t>28</w:t>
            </w:r>
            <w:r w:rsidR="001C47DE" w:rsidRPr="00F13073">
              <w:rPr>
                <w:sz w:val="20"/>
                <w:szCs w:val="20"/>
              </w:rPr>
              <w:t xml:space="preserve"> </w:t>
            </w:r>
            <w:r w:rsidRPr="00F13073">
              <w:rPr>
                <w:sz w:val="20"/>
                <w:szCs w:val="20"/>
              </w:rPr>
              <w:t>%**</w:t>
            </w:r>
          </w:p>
        </w:tc>
        <w:tc>
          <w:tcPr>
            <w:tcW w:w="726" w:type="dxa"/>
            <w:tcBorders>
              <w:top w:val="single" w:sz="4" w:space="0" w:color="auto"/>
              <w:left w:val="single" w:sz="4" w:space="0" w:color="auto"/>
            </w:tcBorders>
          </w:tcPr>
          <w:p w14:paraId="7E3BFC59" w14:textId="77777777" w:rsidR="001E0975" w:rsidRPr="00F13073" w:rsidRDefault="00611033" w:rsidP="008A3A9E">
            <w:pPr>
              <w:keepNext/>
              <w:suppressAutoHyphens/>
              <w:jc w:val="center"/>
              <w:rPr>
                <w:sz w:val="20"/>
                <w:szCs w:val="20"/>
              </w:rPr>
            </w:pPr>
            <w:r w:rsidRPr="00F13073">
              <w:rPr>
                <w:sz w:val="20"/>
                <w:szCs w:val="20"/>
              </w:rPr>
              <w:t>15</w:t>
            </w:r>
            <w:r w:rsidR="001C47DE" w:rsidRPr="00F13073">
              <w:rPr>
                <w:sz w:val="20"/>
                <w:szCs w:val="20"/>
              </w:rPr>
              <w:t xml:space="preserve"> </w:t>
            </w:r>
            <w:r w:rsidRPr="00F13073">
              <w:rPr>
                <w:sz w:val="20"/>
                <w:szCs w:val="20"/>
              </w:rPr>
              <w:t>%</w:t>
            </w:r>
          </w:p>
        </w:tc>
        <w:tc>
          <w:tcPr>
            <w:tcW w:w="846" w:type="dxa"/>
            <w:tcBorders>
              <w:top w:val="single" w:sz="4" w:space="0" w:color="auto"/>
              <w:left w:val="single" w:sz="4" w:space="0" w:color="auto"/>
            </w:tcBorders>
          </w:tcPr>
          <w:p w14:paraId="5E4CCD7A" w14:textId="77777777" w:rsidR="001E0975" w:rsidRPr="00F13073" w:rsidRDefault="00611033" w:rsidP="008A3A9E">
            <w:pPr>
              <w:keepNext/>
              <w:suppressAutoHyphens/>
              <w:jc w:val="center"/>
              <w:rPr>
                <w:sz w:val="20"/>
                <w:szCs w:val="20"/>
              </w:rPr>
            </w:pPr>
            <w:r w:rsidRPr="00F13073">
              <w:rPr>
                <w:sz w:val="20"/>
                <w:szCs w:val="20"/>
              </w:rPr>
              <w:t>13</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4373B7EF" w14:textId="77777777" w:rsidR="001E0975" w:rsidRPr="00F13073" w:rsidRDefault="00611033" w:rsidP="008A3A9E">
            <w:pPr>
              <w:keepNext/>
              <w:suppressAutoHyphens/>
              <w:jc w:val="center"/>
              <w:rPr>
                <w:sz w:val="20"/>
                <w:szCs w:val="20"/>
              </w:rPr>
            </w:pPr>
            <w:r w:rsidRPr="00F13073">
              <w:rPr>
                <w:sz w:val="20"/>
                <w:szCs w:val="20"/>
              </w:rPr>
              <w:t>2</w:t>
            </w:r>
            <w:r w:rsidR="001C47DE" w:rsidRPr="00F13073">
              <w:rPr>
                <w:sz w:val="20"/>
                <w:szCs w:val="20"/>
              </w:rPr>
              <w:t xml:space="preserve"> </w:t>
            </w:r>
            <w:r w:rsidRPr="00F13073">
              <w:rPr>
                <w:sz w:val="20"/>
                <w:szCs w:val="20"/>
              </w:rPr>
              <w:t>%</w:t>
            </w:r>
          </w:p>
        </w:tc>
        <w:tc>
          <w:tcPr>
            <w:tcW w:w="832" w:type="dxa"/>
            <w:tcBorders>
              <w:top w:val="single" w:sz="4" w:space="0" w:color="auto"/>
              <w:left w:val="single" w:sz="4" w:space="0" w:color="auto"/>
            </w:tcBorders>
          </w:tcPr>
          <w:p w14:paraId="496413E8" w14:textId="77777777" w:rsidR="001E0975" w:rsidRPr="00F13073" w:rsidRDefault="00611033" w:rsidP="008A3A9E">
            <w:pPr>
              <w:keepNext/>
              <w:suppressAutoHyphens/>
              <w:jc w:val="center"/>
              <w:rPr>
                <w:sz w:val="20"/>
                <w:szCs w:val="20"/>
              </w:rPr>
            </w:pPr>
            <w:r w:rsidRPr="00F13073">
              <w:rPr>
                <w:sz w:val="20"/>
                <w:szCs w:val="20"/>
              </w:rPr>
              <w:t>22</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1F5C7B15" w14:textId="77777777" w:rsidR="001E0975" w:rsidRPr="00F13073" w:rsidRDefault="00611033" w:rsidP="008A3A9E">
            <w:pPr>
              <w:keepNext/>
              <w:suppressAutoHyphens/>
              <w:jc w:val="center"/>
              <w:rPr>
                <w:sz w:val="20"/>
                <w:szCs w:val="20"/>
              </w:rPr>
            </w:pPr>
            <w:r w:rsidRPr="00F13073">
              <w:rPr>
                <w:sz w:val="20"/>
                <w:szCs w:val="20"/>
              </w:rPr>
              <w:t>2</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39EA9944" w14:textId="77777777" w:rsidR="001E0975" w:rsidRPr="00F13073" w:rsidRDefault="00611033" w:rsidP="008A3A9E">
            <w:pPr>
              <w:keepNext/>
              <w:suppressAutoHyphens/>
              <w:jc w:val="center"/>
              <w:rPr>
                <w:sz w:val="20"/>
                <w:szCs w:val="20"/>
              </w:rPr>
            </w:pPr>
            <w:r w:rsidRPr="00F13073">
              <w:rPr>
                <w:sz w:val="20"/>
                <w:szCs w:val="20"/>
              </w:rPr>
              <w:t>21</w:t>
            </w:r>
            <w:r w:rsidR="001C47DE" w:rsidRPr="00F13073">
              <w:rPr>
                <w:sz w:val="20"/>
                <w:szCs w:val="20"/>
              </w:rPr>
              <w:t xml:space="preserve"> </w:t>
            </w:r>
            <w:r w:rsidRPr="00F13073">
              <w:rPr>
                <w:sz w:val="20"/>
                <w:szCs w:val="20"/>
              </w:rPr>
              <w:t>%***</w:t>
            </w:r>
          </w:p>
        </w:tc>
        <w:tc>
          <w:tcPr>
            <w:tcW w:w="916" w:type="dxa"/>
            <w:tcBorders>
              <w:top w:val="single" w:sz="4" w:space="0" w:color="auto"/>
              <w:left w:val="single" w:sz="4" w:space="0" w:color="auto"/>
            </w:tcBorders>
          </w:tcPr>
          <w:p w14:paraId="780687DD" w14:textId="77777777" w:rsidR="001E0975" w:rsidRPr="00F13073" w:rsidRDefault="00611033" w:rsidP="008A3A9E">
            <w:pPr>
              <w:keepNext/>
              <w:suppressAutoHyphens/>
              <w:jc w:val="center"/>
              <w:rPr>
                <w:sz w:val="20"/>
                <w:szCs w:val="20"/>
              </w:rPr>
            </w:pPr>
            <w:r w:rsidRPr="00F13073">
              <w:rPr>
                <w:sz w:val="20"/>
                <w:szCs w:val="20"/>
              </w:rPr>
              <w:t>3</w:t>
            </w:r>
            <w:r w:rsidR="001C47DE" w:rsidRPr="00F13073">
              <w:rPr>
                <w:sz w:val="20"/>
                <w:szCs w:val="20"/>
              </w:rPr>
              <w:t xml:space="preserve"> </w:t>
            </w:r>
            <w:r w:rsidRPr="00F13073">
              <w:rPr>
                <w:sz w:val="20"/>
                <w:szCs w:val="20"/>
              </w:rPr>
              <w:t>%</w:t>
            </w:r>
          </w:p>
        </w:tc>
        <w:tc>
          <w:tcPr>
            <w:tcW w:w="836" w:type="dxa"/>
            <w:tcBorders>
              <w:top w:val="single" w:sz="4" w:space="0" w:color="auto"/>
              <w:left w:val="single" w:sz="4" w:space="0" w:color="auto"/>
            </w:tcBorders>
          </w:tcPr>
          <w:p w14:paraId="2D971209" w14:textId="77777777" w:rsidR="001E0975" w:rsidRPr="00F13073" w:rsidRDefault="00611033" w:rsidP="008A3A9E">
            <w:pPr>
              <w:keepNext/>
              <w:suppressAutoHyphens/>
              <w:jc w:val="center"/>
              <w:rPr>
                <w:sz w:val="20"/>
                <w:szCs w:val="20"/>
              </w:rPr>
            </w:pPr>
            <w:r w:rsidRPr="00F13073">
              <w:rPr>
                <w:sz w:val="20"/>
                <w:szCs w:val="20"/>
              </w:rPr>
              <w:t>12</w:t>
            </w:r>
            <w:r w:rsidR="001C47DE" w:rsidRPr="00F13073">
              <w:rPr>
                <w:sz w:val="20"/>
                <w:szCs w:val="20"/>
              </w:rPr>
              <w:t xml:space="preserve"> </w:t>
            </w:r>
            <w:r w:rsidRPr="00F13073">
              <w:rPr>
                <w:sz w:val="20"/>
                <w:szCs w:val="20"/>
              </w:rPr>
              <w:t>%**</w:t>
            </w:r>
          </w:p>
        </w:tc>
        <w:tc>
          <w:tcPr>
            <w:tcW w:w="843" w:type="dxa"/>
            <w:tcBorders>
              <w:top w:val="single" w:sz="4" w:space="0" w:color="auto"/>
              <w:left w:val="single" w:sz="4" w:space="0" w:color="auto"/>
              <w:right w:val="single" w:sz="4" w:space="0" w:color="auto"/>
            </w:tcBorders>
          </w:tcPr>
          <w:p w14:paraId="179BBAB7" w14:textId="77777777" w:rsidR="001E0975" w:rsidRPr="00F13073" w:rsidRDefault="00611033" w:rsidP="008A3A9E">
            <w:pPr>
              <w:keepNext/>
              <w:suppressAutoHyphens/>
              <w:jc w:val="center"/>
              <w:rPr>
                <w:sz w:val="20"/>
                <w:szCs w:val="20"/>
              </w:rPr>
            </w:pPr>
            <w:r w:rsidRPr="00F13073">
              <w:rPr>
                <w:sz w:val="20"/>
                <w:szCs w:val="20"/>
              </w:rPr>
              <w:t>1</w:t>
            </w:r>
            <w:r w:rsidR="001C47DE" w:rsidRPr="00F13073">
              <w:rPr>
                <w:sz w:val="20"/>
                <w:szCs w:val="20"/>
              </w:rPr>
              <w:t xml:space="preserve"> </w:t>
            </w:r>
            <w:r w:rsidRPr="00F13073">
              <w:rPr>
                <w:sz w:val="20"/>
                <w:szCs w:val="20"/>
              </w:rPr>
              <w:t>%</w:t>
            </w:r>
          </w:p>
        </w:tc>
      </w:tr>
      <w:tr w:rsidR="001E0975" w:rsidRPr="00F13073" w14:paraId="47B21E75" w14:textId="77777777" w:rsidTr="00B73B0C">
        <w:trPr>
          <w:cantSplit/>
          <w:tblHeader/>
        </w:trPr>
        <w:tc>
          <w:tcPr>
            <w:tcW w:w="687" w:type="dxa"/>
            <w:tcBorders>
              <w:top w:val="single" w:sz="4" w:space="0" w:color="auto"/>
              <w:left w:val="single" w:sz="4" w:space="0" w:color="auto"/>
            </w:tcBorders>
          </w:tcPr>
          <w:p w14:paraId="34D0775C" w14:textId="77777777" w:rsidR="001E0975" w:rsidRPr="00F13073" w:rsidRDefault="00611033" w:rsidP="008A3A9E">
            <w:pPr>
              <w:keepNext/>
              <w:suppressAutoHyphens/>
              <w:jc w:val="center"/>
              <w:rPr>
                <w:sz w:val="20"/>
                <w:szCs w:val="20"/>
              </w:rPr>
            </w:pPr>
            <w:r w:rsidRPr="00F13073">
              <w:rPr>
                <w:sz w:val="20"/>
                <w:szCs w:val="20"/>
              </w:rPr>
              <w:t>52</w:t>
            </w:r>
          </w:p>
        </w:tc>
        <w:tc>
          <w:tcPr>
            <w:tcW w:w="1509" w:type="dxa"/>
            <w:gridSpan w:val="2"/>
            <w:tcBorders>
              <w:top w:val="single" w:sz="4" w:space="0" w:color="auto"/>
              <w:left w:val="single" w:sz="4" w:space="0" w:color="auto"/>
            </w:tcBorders>
          </w:tcPr>
          <w:p w14:paraId="3C7FC6A9" w14:textId="77777777" w:rsidR="001E0975" w:rsidRPr="00F13073" w:rsidRDefault="001E0975" w:rsidP="008A3A9E">
            <w:pPr>
              <w:keepNext/>
              <w:suppressAutoHyphens/>
              <w:jc w:val="center"/>
              <w:rPr>
                <w:sz w:val="20"/>
                <w:szCs w:val="20"/>
              </w:rPr>
            </w:pPr>
          </w:p>
        </w:tc>
        <w:tc>
          <w:tcPr>
            <w:tcW w:w="846" w:type="dxa"/>
            <w:tcBorders>
              <w:top w:val="single" w:sz="4" w:space="0" w:color="auto"/>
              <w:left w:val="single" w:sz="4" w:space="0" w:color="auto"/>
            </w:tcBorders>
          </w:tcPr>
          <w:p w14:paraId="0CF50AC1" w14:textId="77777777" w:rsidR="001E0975" w:rsidRPr="00F13073" w:rsidRDefault="00611033" w:rsidP="008A3A9E">
            <w:pPr>
              <w:keepNext/>
              <w:suppressAutoHyphens/>
              <w:jc w:val="center"/>
              <w:rPr>
                <w:sz w:val="20"/>
                <w:szCs w:val="20"/>
              </w:rPr>
            </w:pPr>
            <w:r w:rsidRPr="00F13073">
              <w:rPr>
                <w:sz w:val="20"/>
                <w:szCs w:val="20"/>
              </w:rPr>
              <w:t>20</w:t>
            </w:r>
            <w:r w:rsidR="001C47DE" w:rsidRPr="00F13073">
              <w:rPr>
                <w:sz w:val="20"/>
                <w:szCs w:val="20"/>
              </w:rPr>
              <w:t xml:space="preserve"> </w:t>
            </w:r>
            <w:r w:rsidRPr="00F13073">
              <w:rPr>
                <w:sz w:val="20"/>
                <w:szCs w:val="20"/>
              </w:rPr>
              <w:t>%***</w:t>
            </w:r>
          </w:p>
        </w:tc>
        <w:tc>
          <w:tcPr>
            <w:tcW w:w="852" w:type="dxa"/>
            <w:tcBorders>
              <w:top w:val="single" w:sz="4" w:space="0" w:color="auto"/>
              <w:left w:val="single" w:sz="4" w:space="0" w:color="auto"/>
            </w:tcBorders>
          </w:tcPr>
          <w:p w14:paraId="2FAA3AEC" w14:textId="77777777" w:rsidR="001E0975" w:rsidRPr="00F13073" w:rsidRDefault="00611033" w:rsidP="008A3A9E">
            <w:pPr>
              <w:keepNext/>
              <w:suppressAutoHyphens/>
              <w:jc w:val="center"/>
              <w:rPr>
                <w:sz w:val="20"/>
                <w:szCs w:val="20"/>
              </w:rPr>
            </w:pPr>
            <w:r w:rsidRPr="00F13073">
              <w:rPr>
                <w:sz w:val="20"/>
                <w:szCs w:val="20"/>
              </w:rPr>
              <w:t>4</w:t>
            </w:r>
            <w:r w:rsidR="001C47DE" w:rsidRPr="00F13073">
              <w:rPr>
                <w:sz w:val="20"/>
                <w:szCs w:val="20"/>
              </w:rPr>
              <w:t xml:space="preserve"> </w:t>
            </w:r>
            <w:r w:rsidRPr="00F13073">
              <w:rPr>
                <w:sz w:val="20"/>
                <w:szCs w:val="20"/>
              </w:rPr>
              <w:t>%</w:t>
            </w:r>
          </w:p>
        </w:tc>
        <w:tc>
          <w:tcPr>
            <w:tcW w:w="1668" w:type="dxa"/>
            <w:gridSpan w:val="2"/>
            <w:tcBorders>
              <w:top w:val="single" w:sz="4" w:space="0" w:color="auto"/>
              <w:left w:val="single" w:sz="4" w:space="0" w:color="auto"/>
            </w:tcBorders>
          </w:tcPr>
          <w:p w14:paraId="30A33B0A" w14:textId="77777777" w:rsidR="001E0975" w:rsidRPr="00F13073" w:rsidRDefault="001E0975" w:rsidP="008A3A9E">
            <w:pPr>
              <w:keepNext/>
              <w:suppressAutoHyphens/>
              <w:jc w:val="center"/>
              <w:rPr>
                <w:sz w:val="20"/>
                <w:szCs w:val="20"/>
              </w:rPr>
            </w:pPr>
          </w:p>
        </w:tc>
        <w:tc>
          <w:tcPr>
            <w:tcW w:w="916" w:type="dxa"/>
            <w:tcBorders>
              <w:top w:val="single" w:sz="4" w:space="0" w:color="auto"/>
              <w:left w:val="single" w:sz="4" w:space="0" w:color="auto"/>
            </w:tcBorders>
          </w:tcPr>
          <w:p w14:paraId="011CB72B" w14:textId="77777777" w:rsidR="001E0975" w:rsidRPr="00F13073" w:rsidRDefault="001E0975" w:rsidP="008A3A9E">
            <w:pPr>
              <w:keepNext/>
              <w:suppressAutoHyphens/>
              <w:jc w:val="center"/>
              <w:rPr>
                <w:sz w:val="20"/>
                <w:szCs w:val="20"/>
              </w:rPr>
            </w:pPr>
          </w:p>
        </w:tc>
        <w:tc>
          <w:tcPr>
            <w:tcW w:w="916" w:type="dxa"/>
            <w:tcBorders>
              <w:top w:val="single" w:sz="4" w:space="0" w:color="auto"/>
              <w:left w:val="single" w:sz="4" w:space="0" w:color="auto"/>
            </w:tcBorders>
          </w:tcPr>
          <w:p w14:paraId="45AB9981" w14:textId="77777777" w:rsidR="001E0975" w:rsidRPr="00F13073" w:rsidRDefault="001E0975" w:rsidP="008A3A9E">
            <w:pPr>
              <w:keepNext/>
              <w:suppressAutoHyphens/>
              <w:jc w:val="center"/>
              <w:rPr>
                <w:sz w:val="20"/>
                <w:szCs w:val="20"/>
              </w:rPr>
            </w:pPr>
          </w:p>
        </w:tc>
        <w:tc>
          <w:tcPr>
            <w:tcW w:w="836" w:type="dxa"/>
            <w:tcBorders>
              <w:top w:val="single" w:sz="4" w:space="0" w:color="auto"/>
              <w:left w:val="single" w:sz="4" w:space="0" w:color="auto"/>
            </w:tcBorders>
          </w:tcPr>
          <w:p w14:paraId="632CBC22" w14:textId="77777777" w:rsidR="001E0975" w:rsidRPr="00F13073" w:rsidRDefault="001E0975" w:rsidP="008A3A9E">
            <w:pPr>
              <w:keepNext/>
              <w:suppressAutoHyphens/>
              <w:jc w:val="center"/>
              <w:rPr>
                <w:sz w:val="20"/>
                <w:szCs w:val="20"/>
              </w:rPr>
            </w:pPr>
          </w:p>
        </w:tc>
        <w:tc>
          <w:tcPr>
            <w:tcW w:w="843" w:type="dxa"/>
            <w:tcBorders>
              <w:top w:val="single" w:sz="4" w:space="0" w:color="auto"/>
              <w:left w:val="single" w:sz="4" w:space="0" w:color="auto"/>
              <w:right w:val="single" w:sz="4" w:space="0" w:color="auto"/>
            </w:tcBorders>
          </w:tcPr>
          <w:p w14:paraId="463A5A97" w14:textId="77777777" w:rsidR="001E0975" w:rsidRPr="00F13073" w:rsidRDefault="001E0975" w:rsidP="008A3A9E">
            <w:pPr>
              <w:keepNext/>
              <w:suppressAutoHyphens/>
              <w:jc w:val="center"/>
              <w:rPr>
                <w:sz w:val="20"/>
                <w:szCs w:val="20"/>
              </w:rPr>
            </w:pPr>
          </w:p>
        </w:tc>
      </w:tr>
      <w:tr w:rsidR="001E0975" w:rsidRPr="00F13073" w14:paraId="5CB66EB1" w14:textId="77777777" w:rsidTr="00B73B0C">
        <w:trPr>
          <w:cantSplit/>
          <w:tblHeader/>
        </w:trPr>
        <w:tc>
          <w:tcPr>
            <w:tcW w:w="9073" w:type="dxa"/>
            <w:gridSpan w:val="11"/>
            <w:tcBorders>
              <w:top w:val="single" w:sz="4" w:space="0" w:color="auto"/>
            </w:tcBorders>
          </w:tcPr>
          <w:p w14:paraId="279D6849" w14:textId="67DC2992" w:rsidR="001E0975" w:rsidRPr="00F13073" w:rsidRDefault="001E0975" w:rsidP="008B4C50">
            <w:pPr>
              <w:tabs>
                <w:tab w:val="left" w:pos="1107"/>
              </w:tabs>
              <w:suppressAutoHyphens/>
              <w:rPr>
                <w:i/>
                <w:iCs/>
                <w:sz w:val="18"/>
                <w:szCs w:val="18"/>
              </w:rPr>
            </w:pPr>
          </w:p>
        </w:tc>
      </w:tr>
    </w:tbl>
    <w:p w14:paraId="5DC162A7" w14:textId="77777777" w:rsidR="001E0975" w:rsidRPr="00F13073" w:rsidRDefault="001E0975" w:rsidP="008B4C50"/>
    <w:p w14:paraId="5EF27F27" w14:textId="77777777" w:rsidR="00E85686" w:rsidRPr="00F13073" w:rsidRDefault="00E85686" w:rsidP="008B4C50">
      <w:pPr>
        <w:keepNext/>
        <w:rPr>
          <w:i/>
          <w:iCs/>
        </w:rPr>
      </w:pPr>
      <w:r w:rsidRPr="00F13073">
        <w:rPr>
          <w:i/>
          <w:iCs/>
        </w:rPr>
        <w:t>Duża odpowiedź kliniczna</w:t>
      </w:r>
    </w:p>
    <w:p w14:paraId="1804D6E2" w14:textId="77777777" w:rsidR="00E85686" w:rsidRPr="00F13073" w:rsidRDefault="00E85686" w:rsidP="008B4C50">
      <w:pPr>
        <w:pStyle w:val="a4"/>
        <w:widowControl/>
        <w:spacing w:after="0"/>
        <w:rPr>
          <w:rStyle w:val="Char"/>
        </w:rPr>
      </w:pPr>
      <w:r w:rsidRPr="00F13073">
        <w:rPr>
          <w:rStyle w:val="Char"/>
        </w:rPr>
        <w:t>Po 2 latach leczenia tocilizumabem w skojarzeniu z MTX, 14% pacjentów osiągnęło dużą odpowiedź kliniczną (utrzymywanie się odpowiedzi na leczenie wg kryteriów ACR70 przez co najmniej 24 tygodnie).</w:t>
      </w:r>
    </w:p>
    <w:p w14:paraId="0CB45C2B" w14:textId="77777777" w:rsidR="00E85686" w:rsidRPr="00F13073" w:rsidRDefault="00E85686" w:rsidP="008B4C50">
      <w:pPr>
        <w:pStyle w:val="a4"/>
        <w:widowControl/>
        <w:spacing w:after="0"/>
      </w:pPr>
    </w:p>
    <w:p w14:paraId="7E409CB5" w14:textId="77777777" w:rsidR="00E85686" w:rsidRPr="00F13073" w:rsidRDefault="00E85686" w:rsidP="008B4C50">
      <w:pPr>
        <w:keepNext/>
        <w:rPr>
          <w:i/>
          <w:iCs/>
        </w:rPr>
      </w:pPr>
      <w:r w:rsidRPr="00F13073">
        <w:rPr>
          <w:i/>
          <w:iCs/>
        </w:rPr>
        <w:t>Odpowiedź radiologiczna</w:t>
      </w:r>
    </w:p>
    <w:p w14:paraId="0FC8C9B6" w14:textId="77777777" w:rsidR="00E85686" w:rsidRPr="00F13073" w:rsidRDefault="00E85686" w:rsidP="008B4C50">
      <w:pPr>
        <w:pStyle w:val="a4"/>
        <w:widowControl/>
        <w:spacing w:after="0"/>
        <w:rPr>
          <w:rStyle w:val="Char"/>
        </w:rPr>
      </w:pPr>
      <w:r w:rsidRPr="00F13073">
        <w:rPr>
          <w:rStyle w:val="Char"/>
        </w:rPr>
        <w:t>W badaniu II u pacjentów z niedostateczną odpowiedzią na leczenie metotreksatem oceniano radiologicznie stopień zahamowania zmian strukturalnych stawów i wyrażano jako zmianę w zmodyfikowanej skali Sharpa i jej składowych, liczby nadżerek i zwężeń szpar stawowych. Zahamowanie niszczenia struktury stawu wykazano na podstawie istotnie mniejszej progresji radiologicznej u chorych otrzymujących tocilizumab w porównaniu do grupy kontrolnej (Tabela 5).</w:t>
      </w:r>
    </w:p>
    <w:p w14:paraId="24EF0BA2" w14:textId="77777777" w:rsidR="00E85686" w:rsidRPr="00F13073" w:rsidRDefault="00E85686" w:rsidP="008B4C50">
      <w:pPr>
        <w:pStyle w:val="a4"/>
        <w:widowControl/>
        <w:spacing w:after="0"/>
      </w:pPr>
    </w:p>
    <w:p w14:paraId="019E0864" w14:textId="77777777" w:rsidR="00E85686" w:rsidRPr="00F13073" w:rsidRDefault="00E85686" w:rsidP="008B4C50">
      <w:pPr>
        <w:pStyle w:val="a4"/>
        <w:widowControl/>
        <w:spacing w:after="0"/>
      </w:pPr>
      <w:r w:rsidRPr="00F13073">
        <w:rPr>
          <w:rStyle w:val="Char"/>
        </w:rPr>
        <w:t>W przedłużonej otwartej fazie badania II zahamowanie progresji strukturalnego uszkodzenia stawów u leczonych tocilizumabem w skojarzeniu z MTX utrzymywało się w drugim roku leczenia. Średnia zmiana całkowitego wyniku w skali Sharpa w modyfikacji Genanta od wartości wyjściowej do 104. tygodnia leczenia była istotnie niższa u chorych leczonych tocilizumabem 8 mg/kg mc. + MTX (p&lt;0,0001) w porównaniu do pacjentów otrzymujących placebo + MTX.</w:t>
      </w:r>
    </w:p>
    <w:p w14:paraId="26B4A332" w14:textId="77777777" w:rsidR="00B37742" w:rsidRPr="00F13073" w:rsidRDefault="00B37742" w:rsidP="008B4C50"/>
    <w:p w14:paraId="7AE577D9" w14:textId="77777777" w:rsidR="001E0975" w:rsidRPr="00F13073" w:rsidRDefault="00611033" w:rsidP="008B4C50">
      <w:pPr>
        <w:keepNext/>
        <w:ind w:left="1134" w:hanging="1134"/>
        <w:rPr>
          <w:i/>
          <w:iCs/>
        </w:rPr>
      </w:pPr>
      <w:r w:rsidRPr="00F13073">
        <w:rPr>
          <w:i/>
          <w:iCs/>
        </w:rPr>
        <w:t>Tab</w:t>
      </w:r>
      <w:r w:rsidR="0017744B" w:rsidRPr="00F13073">
        <w:rPr>
          <w:i/>
          <w:iCs/>
        </w:rPr>
        <w:t>e</w:t>
      </w:r>
      <w:r w:rsidRPr="00F13073">
        <w:rPr>
          <w:i/>
          <w:iCs/>
        </w:rPr>
        <w:t>l</w:t>
      </w:r>
      <w:r w:rsidR="00E85686" w:rsidRPr="00F13073">
        <w:rPr>
          <w:i/>
          <w:iCs/>
        </w:rPr>
        <w:t>a</w:t>
      </w:r>
      <w:r w:rsidRPr="00F13073">
        <w:rPr>
          <w:i/>
          <w:iCs/>
        </w:rPr>
        <w:t xml:space="preserve"> 5.</w:t>
      </w:r>
      <w:r w:rsidR="00B37742" w:rsidRPr="00F13073">
        <w:rPr>
          <w:i/>
          <w:iCs/>
        </w:rPr>
        <w:tab/>
      </w:r>
      <w:r w:rsidR="00E85686" w:rsidRPr="00F13073">
        <w:rPr>
          <w:i/>
          <w:iCs/>
        </w:rPr>
        <w:t>Średnia zmiana wyników radiologicznych w trakcie 52 tygodni w Badaniu II</w:t>
      </w:r>
    </w:p>
    <w:p w14:paraId="5033BE7F" w14:textId="77777777" w:rsidR="00B37742" w:rsidRPr="00F13073" w:rsidRDefault="00B37742"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641"/>
        <w:gridCol w:w="1988"/>
        <w:gridCol w:w="3180"/>
        <w:gridCol w:w="3042"/>
      </w:tblGrid>
      <w:tr w:rsidR="001E0975" w:rsidRPr="00F13073" w14:paraId="51CF7C74" w14:textId="77777777" w:rsidTr="00FC5893">
        <w:trPr>
          <w:cantSplit/>
          <w:trHeight w:val="340"/>
          <w:tblHeader/>
        </w:trPr>
        <w:tc>
          <w:tcPr>
            <w:tcW w:w="2694" w:type="dxa"/>
            <w:gridSpan w:val="2"/>
            <w:tcBorders>
              <w:top w:val="single" w:sz="4" w:space="0" w:color="auto"/>
              <w:left w:val="single" w:sz="4" w:space="0" w:color="auto"/>
            </w:tcBorders>
          </w:tcPr>
          <w:p w14:paraId="6C1FFDB4" w14:textId="77777777" w:rsidR="001E0975" w:rsidRPr="00F13073" w:rsidRDefault="001E0975" w:rsidP="008D7C5B">
            <w:pPr>
              <w:keepNext/>
              <w:suppressAutoHyphens/>
              <w:rPr>
                <w:b/>
                <w:bCs/>
              </w:rPr>
            </w:pPr>
          </w:p>
        </w:tc>
        <w:tc>
          <w:tcPr>
            <w:tcW w:w="3260" w:type="dxa"/>
            <w:tcBorders>
              <w:top w:val="single" w:sz="4" w:space="0" w:color="auto"/>
              <w:left w:val="single" w:sz="4" w:space="0" w:color="auto"/>
            </w:tcBorders>
          </w:tcPr>
          <w:p w14:paraId="2254CDFD" w14:textId="77777777" w:rsidR="00B37742" w:rsidRPr="00F13073" w:rsidRDefault="00611033" w:rsidP="008D7C5B">
            <w:pPr>
              <w:keepNext/>
              <w:suppressAutoHyphens/>
              <w:jc w:val="center"/>
              <w:rPr>
                <w:b/>
                <w:bCs/>
              </w:rPr>
            </w:pPr>
            <w:r w:rsidRPr="00F13073">
              <w:rPr>
                <w:b/>
                <w:bCs/>
              </w:rPr>
              <w:t>PBO + MTX</w:t>
            </w:r>
          </w:p>
          <w:p w14:paraId="2A6F3675" w14:textId="77777777" w:rsidR="00B37742" w:rsidRPr="00F13073" w:rsidRDefault="00611033" w:rsidP="008D7C5B">
            <w:pPr>
              <w:keepNext/>
              <w:suppressAutoHyphens/>
              <w:jc w:val="center"/>
              <w:rPr>
                <w:b/>
                <w:bCs/>
              </w:rPr>
            </w:pPr>
            <w:r w:rsidRPr="00F13073">
              <w:rPr>
                <w:b/>
                <w:bCs/>
              </w:rPr>
              <w:t xml:space="preserve">(+ TCZ </w:t>
            </w:r>
            <w:r w:rsidR="00CF6838" w:rsidRPr="00F13073">
              <w:rPr>
                <w:b/>
                <w:bCs/>
              </w:rPr>
              <w:t>od tygodnia 24)</w:t>
            </w:r>
          </w:p>
          <w:p w14:paraId="0788EE4A" w14:textId="77777777" w:rsidR="001E0975" w:rsidRPr="00F13073" w:rsidRDefault="00611033" w:rsidP="008D7C5B">
            <w:pPr>
              <w:keepNext/>
              <w:suppressAutoHyphens/>
              <w:jc w:val="center"/>
              <w:rPr>
                <w:b/>
                <w:bCs/>
              </w:rPr>
            </w:pPr>
            <w:r w:rsidRPr="00F13073">
              <w:rPr>
                <w:b/>
                <w:bCs/>
              </w:rPr>
              <w:t>N = 393</w:t>
            </w:r>
          </w:p>
        </w:tc>
        <w:tc>
          <w:tcPr>
            <w:tcW w:w="3118" w:type="dxa"/>
            <w:tcBorders>
              <w:top w:val="single" w:sz="4" w:space="0" w:color="auto"/>
              <w:left w:val="single" w:sz="4" w:space="0" w:color="auto"/>
              <w:right w:val="single" w:sz="4" w:space="0" w:color="auto"/>
            </w:tcBorders>
          </w:tcPr>
          <w:p w14:paraId="2B2A40CF" w14:textId="77777777" w:rsidR="001E0975" w:rsidRPr="00F13073" w:rsidRDefault="00611033" w:rsidP="008D7C5B">
            <w:pPr>
              <w:keepNext/>
              <w:suppressAutoHyphens/>
              <w:jc w:val="center"/>
              <w:rPr>
                <w:b/>
                <w:bCs/>
              </w:rPr>
            </w:pPr>
            <w:r w:rsidRPr="00F13073">
              <w:rPr>
                <w:b/>
                <w:bCs/>
              </w:rPr>
              <w:t xml:space="preserve">TCZ 8 mg/kg </w:t>
            </w:r>
            <w:r w:rsidR="00CF6838" w:rsidRPr="00F13073">
              <w:rPr>
                <w:b/>
                <w:bCs/>
              </w:rPr>
              <w:t>mc.</w:t>
            </w:r>
            <w:r w:rsidRPr="00F13073">
              <w:rPr>
                <w:b/>
                <w:bCs/>
              </w:rPr>
              <w:t>+ MTX</w:t>
            </w:r>
          </w:p>
          <w:p w14:paraId="0F051A52" w14:textId="77777777" w:rsidR="001E0975" w:rsidRPr="00F13073" w:rsidRDefault="00611033" w:rsidP="008D7C5B">
            <w:pPr>
              <w:keepNext/>
              <w:suppressAutoHyphens/>
              <w:jc w:val="center"/>
              <w:rPr>
                <w:b/>
                <w:bCs/>
              </w:rPr>
            </w:pPr>
            <w:r w:rsidRPr="00F13073">
              <w:rPr>
                <w:b/>
                <w:bCs/>
              </w:rPr>
              <w:t>N = 398</w:t>
            </w:r>
          </w:p>
        </w:tc>
      </w:tr>
      <w:tr w:rsidR="0043599C" w:rsidRPr="00F13073" w14:paraId="59869228" w14:textId="77777777" w:rsidTr="00FC5893">
        <w:trPr>
          <w:cantSplit/>
          <w:trHeight w:val="227"/>
          <w:tblHeader/>
        </w:trPr>
        <w:tc>
          <w:tcPr>
            <w:tcW w:w="2694" w:type="dxa"/>
            <w:gridSpan w:val="2"/>
            <w:tcBorders>
              <w:top w:val="single" w:sz="4" w:space="0" w:color="auto"/>
              <w:left w:val="single" w:sz="4" w:space="0" w:color="auto"/>
            </w:tcBorders>
          </w:tcPr>
          <w:p w14:paraId="1FE63E9E" w14:textId="77777777" w:rsidR="0043599C" w:rsidRPr="00F13073" w:rsidRDefault="0043599C" w:rsidP="0022741D">
            <w:pPr>
              <w:suppressAutoHyphens/>
            </w:pPr>
            <w:r w:rsidRPr="00F13073">
              <w:rPr>
                <w:rStyle w:val="Other"/>
                <w:rFonts w:eastAsia="DengXian"/>
              </w:rPr>
              <w:t>Wartość wskaźnika Sharp-Genant</w:t>
            </w:r>
          </w:p>
        </w:tc>
        <w:tc>
          <w:tcPr>
            <w:tcW w:w="3260" w:type="dxa"/>
            <w:tcBorders>
              <w:top w:val="single" w:sz="4" w:space="0" w:color="auto"/>
              <w:left w:val="single" w:sz="4" w:space="0" w:color="auto"/>
            </w:tcBorders>
          </w:tcPr>
          <w:p w14:paraId="5EFCEA05" w14:textId="77777777" w:rsidR="0043599C" w:rsidRPr="00F13073" w:rsidRDefault="0043599C" w:rsidP="0022741D">
            <w:pPr>
              <w:suppressAutoHyphens/>
              <w:jc w:val="center"/>
            </w:pPr>
            <w:r w:rsidRPr="00F13073">
              <w:t>1,13</w:t>
            </w:r>
          </w:p>
        </w:tc>
        <w:tc>
          <w:tcPr>
            <w:tcW w:w="3118" w:type="dxa"/>
            <w:tcBorders>
              <w:top w:val="single" w:sz="4" w:space="0" w:color="auto"/>
              <w:left w:val="single" w:sz="4" w:space="0" w:color="auto"/>
              <w:right w:val="single" w:sz="4" w:space="0" w:color="auto"/>
            </w:tcBorders>
          </w:tcPr>
          <w:p w14:paraId="27AAAB9E" w14:textId="77777777" w:rsidR="0043599C" w:rsidRPr="00F13073" w:rsidRDefault="0043599C" w:rsidP="0022741D">
            <w:pPr>
              <w:suppressAutoHyphens/>
              <w:jc w:val="center"/>
            </w:pPr>
            <w:r w:rsidRPr="00F13073">
              <w:t>0,29*</w:t>
            </w:r>
          </w:p>
        </w:tc>
      </w:tr>
      <w:tr w:rsidR="0043599C" w:rsidRPr="00F13073" w14:paraId="11E31A9C" w14:textId="77777777" w:rsidTr="00FC5893">
        <w:trPr>
          <w:cantSplit/>
          <w:trHeight w:val="227"/>
          <w:tblHeader/>
        </w:trPr>
        <w:tc>
          <w:tcPr>
            <w:tcW w:w="2694" w:type="dxa"/>
            <w:gridSpan w:val="2"/>
            <w:tcBorders>
              <w:top w:val="single" w:sz="4" w:space="0" w:color="auto"/>
              <w:left w:val="single" w:sz="4" w:space="0" w:color="auto"/>
            </w:tcBorders>
          </w:tcPr>
          <w:p w14:paraId="1AA1E67E" w14:textId="77777777" w:rsidR="0043599C" w:rsidRPr="00F13073" w:rsidRDefault="0043599C" w:rsidP="0022741D">
            <w:pPr>
              <w:suppressAutoHyphens/>
            </w:pPr>
            <w:r w:rsidRPr="00F13073">
              <w:rPr>
                <w:rStyle w:val="Other"/>
                <w:rFonts w:eastAsia="DengXian"/>
              </w:rPr>
              <w:t>Wskaźnik nadżerek</w:t>
            </w:r>
          </w:p>
        </w:tc>
        <w:tc>
          <w:tcPr>
            <w:tcW w:w="3260" w:type="dxa"/>
            <w:tcBorders>
              <w:top w:val="single" w:sz="4" w:space="0" w:color="auto"/>
              <w:left w:val="single" w:sz="4" w:space="0" w:color="auto"/>
            </w:tcBorders>
          </w:tcPr>
          <w:p w14:paraId="50144112" w14:textId="77777777" w:rsidR="0043599C" w:rsidRPr="00F13073" w:rsidRDefault="0043599C" w:rsidP="0022741D">
            <w:pPr>
              <w:suppressAutoHyphens/>
              <w:jc w:val="center"/>
            </w:pPr>
            <w:r w:rsidRPr="00F13073">
              <w:t>0,71</w:t>
            </w:r>
          </w:p>
        </w:tc>
        <w:tc>
          <w:tcPr>
            <w:tcW w:w="3118" w:type="dxa"/>
            <w:tcBorders>
              <w:top w:val="single" w:sz="4" w:space="0" w:color="auto"/>
              <w:left w:val="single" w:sz="4" w:space="0" w:color="auto"/>
              <w:right w:val="single" w:sz="4" w:space="0" w:color="auto"/>
            </w:tcBorders>
          </w:tcPr>
          <w:p w14:paraId="34112C74" w14:textId="77777777" w:rsidR="0043599C" w:rsidRPr="00F13073" w:rsidRDefault="0043599C" w:rsidP="0022741D">
            <w:pPr>
              <w:suppressAutoHyphens/>
              <w:jc w:val="center"/>
            </w:pPr>
            <w:r w:rsidRPr="00F13073">
              <w:t>0,17*</w:t>
            </w:r>
          </w:p>
        </w:tc>
      </w:tr>
      <w:tr w:rsidR="0043599C" w:rsidRPr="00F13073" w14:paraId="04F136F9" w14:textId="77777777" w:rsidTr="00FC5893">
        <w:trPr>
          <w:cantSplit/>
          <w:trHeight w:val="227"/>
          <w:tblHeader/>
        </w:trPr>
        <w:tc>
          <w:tcPr>
            <w:tcW w:w="2694" w:type="dxa"/>
            <w:gridSpan w:val="2"/>
            <w:tcBorders>
              <w:top w:val="single" w:sz="4" w:space="0" w:color="auto"/>
              <w:left w:val="single" w:sz="4" w:space="0" w:color="auto"/>
              <w:bottom w:val="single" w:sz="4" w:space="0" w:color="auto"/>
            </w:tcBorders>
          </w:tcPr>
          <w:p w14:paraId="50809C8D" w14:textId="77777777" w:rsidR="0043599C" w:rsidRPr="00F13073" w:rsidRDefault="0043599C" w:rsidP="0022741D">
            <w:pPr>
              <w:keepNext/>
              <w:suppressAutoHyphens/>
            </w:pPr>
            <w:r w:rsidRPr="00F13073">
              <w:rPr>
                <w:rStyle w:val="Other"/>
                <w:rFonts w:eastAsia="DengXian"/>
              </w:rPr>
              <w:t>Wskaźnik JSN</w:t>
            </w:r>
          </w:p>
        </w:tc>
        <w:tc>
          <w:tcPr>
            <w:tcW w:w="3260" w:type="dxa"/>
            <w:tcBorders>
              <w:top w:val="single" w:sz="4" w:space="0" w:color="auto"/>
              <w:left w:val="single" w:sz="4" w:space="0" w:color="auto"/>
              <w:bottom w:val="single" w:sz="4" w:space="0" w:color="auto"/>
            </w:tcBorders>
          </w:tcPr>
          <w:p w14:paraId="7102AACE" w14:textId="77777777" w:rsidR="0043599C" w:rsidRPr="00F13073" w:rsidRDefault="0043599C" w:rsidP="0022741D">
            <w:pPr>
              <w:keepNext/>
              <w:suppressAutoHyphens/>
              <w:jc w:val="center"/>
            </w:pPr>
            <w:r w:rsidRPr="00F13073">
              <w:t>0,42</w:t>
            </w:r>
          </w:p>
        </w:tc>
        <w:tc>
          <w:tcPr>
            <w:tcW w:w="3118" w:type="dxa"/>
            <w:tcBorders>
              <w:top w:val="single" w:sz="4" w:space="0" w:color="auto"/>
              <w:left w:val="single" w:sz="4" w:space="0" w:color="auto"/>
              <w:bottom w:val="single" w:sz="4" w:space="0" w:color="auto"/>
              <w:right w:val="single" w:sz="4" w:space="0" w:color="auto"/>
            </w:tcBorders>
          </w:tcPr>
          <w:p w14:paraId="0E5F9C05" w14:textId="77777777" w:rsidR="0043599C" w:rsidRPr="00F13073" w:rsidRDefault="0043599C" w:rsidP="0022741D">
            <w:pPr>
              <w:keepNext/>
              <w:suppressAutoHyphens/>
              <w:jc w:val="center"/>
            </w:pPr>
            <w:r w:rsidRPr="00F13073">
              <w:t>0,12**</w:t>
            </w:r>
          </w:p>
        </w:tc>
      </w:tr>
      <w:tr w:rsidR="001E0975" w:rsidRPr="00F13073" w14:paraId="30597024" w14:textId="77777777" w:rsidTr="00FC5893">
        <w:trPr>
          <w:cantSplit/>
          <w:tblHeader/>
        </w:trPr>
        <w:tc>
          <w:tcPr>
            <w:tcW w:w="652" w:type="dxa"/>
            <w:tcBorders>
              <w:top w:val="single" w:sz="4" w:space="0" w:color="auto"/>
            </w:tcBorders>
            <w:vAlign w:val="bottom"/>
          </w:tcPr>
          <w:p w14:paraId="34D6A90D"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PB</w:t>
            </w:r>
          </w:p>
        </w:tc>
        <w:tc>
          <w:tcPr>
            <w:tcW w:w="8420" w:type="dxa"/>
            <w:gridSpan w:val="3"/>
            <w:tcBorders>
              <w:top w:val="single" w:sz="4" w:space="0" w:color="auto"/>
            </w:tcBorders>
            <w:vAlign w:val="bottom"/>
          </w:tcPr>
          <w:p w14:paraId="2A203336"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xml:space="preserve">- </w:t>
            </w:r>
            <w:r w:rsidR="00544E79" w:rsidRPr="00F13073">
              <w:rPr>
                <w:rStyle w:val="Other"/>
                <w:i/>
                <w:iCs/>
                <w:sz w:val="18"/>
                <w:szCs w:val="18"/>
              </w:rPr>
              <w:t>placebo</w:t>
            </w:r>
          </w:p>
        </w:tc>
      </w:tr>
      <w:tr w:rsidR="001E0975" w:rsidRPr="00F13073" w14:paraId="04603788" w14:textId="77777777" w:rsidTr="00FC5893">
        <w:trPr>
          <w:cantSplit/>
          <w:tblHeader/>
        </w:trPr>
        <w:tc>
          <w:tcPr>
            <w:tcW w:w="652" w:type="dxa"/>
            <w:vAlign w:val="bottom"/>
          </w:tcPr>
          <w:p w14:paraId="722FE087"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MTX</w:t>
            </w:r>
          </w:p>
        </w:tc>
        <w:tc>
          <w:tcPr>
            <w:tcW w:w="8420" w:type="dxa"/>
            <w:gridSpan w:val="3"/>
            <w:vAlign w:val="bottom"/>
          </w:tcPr>
          <w:p w14:paraId="31C597E0"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xml:space="preserve">- </w:t>
            </w:r>
            <w:r w:rsidR="00544E79" w:rsidRPr="00F13073">
              <w:rPr>
                <w:rStyle w:val="Other"/>
                <w:i/>
                <w:iCs/>
                <w:sz w:val="18"/>
                <w:szCs w:val="18"/>
              </w:rPr>
              <w:t>metotreksat</w:t>
            </w:r>
          </w:p>
        </w:tc>
      </w:tr>
      <w:tr w:rsidR="001E0975" w:rsidRPr="00F13073" w14:paraId="0FD12B03" w14:textId="77777777" w:rsidTr="00FC5893">
        <w:trPr>
          <w:cantSplit/>
          <w:tblHeader/>
        </w:trPr>
        <w:tc>
          <w:tcPr>
            <w:tcW w:w="652" w:type="dxa"/>
          </w:tcPr>
          <w:p w14:paraId="7A3F16FF"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TCZ</w:t>
            </w:r>
          </w:p>
        </w:tc>
        <w:tc>
          <w:tcPr>
            <w:tcW w:w="8420" w:type="dxa"/>
            <w:gridSpan w:val="3"/>
          </w:tcPr>
          <w:p w14:paraId="6162367C"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xml:space="preserve">- </w:t>
            </w:r>
            <w:r w:rsidR="00544E79" w:rsidRPr="00F13073">
              <w:rPr>
                <w:rStyle w:val="Other"/>
                <w:i/>
                <w:iCs/>
                <w:sz w:val="18"/>
                <w:szCs w:val="18"/>
              </w:rPr>
              <w:t>tocilizumab</w:t>
            </w:r>
          </w:p>
        </w:tc>
      </w:tr>
      <w:tr w:rsidR="001E0975" w:rsidRPr="00F13073" w14:paraId="6842C58B" w14:textId="77777777" w:rsidTr="00FC5893">
        <w:trPr>
          <w:cantSplit/>
          <w:tblHeader/>
        </w:trPr>
        <w:tc>
          <w:tcPr>
            <w:tcW w:w="652" w:type="dxa"/>
            <w:vAlign w:val="bottom"/>
          </w:tcPr>
          <w:p w14:paraId="666BBE25"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JSN</w:t>
            </w:r>
          </w:p>
        </w:tc>
        <w:tc>
          <w:tcPr>
            <w:tcW w:w="8420" w:type="dxa"/>
            <w:gridSpan w:val="3"/>
            <w:vAlign w:val="bottom"/>
          </w:tcPr>
          <w:p w14:paraId="4E6A8A26"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xml:space="preserve">- </w:t>
            </w:r>
            <w:r w:rsidR="00544E79" w:rsidRPr="00F13073">
              <w:rPr>
                <w:rStyle w:val="Other"/>
                <w:i/>
                <w:iCs/>
                <w:sz w:val="18"/>
                <w:szCs w:val="18"/>
              </w:rPr>
              <w:t>zwężenie szpar stawowych</w:t>
            </w:r>
          </w:p>
        </w:tc>
      </w:tr>
      <w:tr w:rsidR="001E0975" w:rsidRPr="00F13073" w14:paraId="6E3A7881" w14:textId="77777777" w:rsidTr="00FC5893">
        <w:trPr>
          <w:cantSplit/>
          <w:tblHeader/>
        </w:trPr>
        <w:tc>
          <w:tcPr>
            <w:tcW w:w="652" w:type="dxa"/>
          </w:tcPr>
          <w:p w14:paraId="64A15B5B"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w:t>
            </w:r>
          </w:p>
        </w:tc>
        <w:tc>
          <w:tcPr>
            <w:tcW w:w="8420" w:type="dxa"/>
            <w:gridSpan w:val="3"/>
            <w:vAlign w:val="bottom"/>
          </w:tcPr>
          <w:p w14:paraId="1D3AA78C"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p≤ 0</w:t>
            </w:r>
            <w:r w:rsidR="00544E79" w:rsidRPr="00F13073">
              <w:rPr>
                <w:rStyle w:val="Other"/>
                <w:i/>
                <w:iCs/>
                <w:sz w:val="18"/>
                <w:szCs w:val="18"/>
              </w:rPr>
              <w:t>,</w:t>
            </w:r>
            <w:r w:rsidRPr="00F13073">
              <w:rPr>
                <w:rStyle w:val="Other"/>
                <w:i/>
                <w:iCs/>
                <w:sz w:val="18"/>
                <w:szCs w:val="18"/>
              </w:rPr>
              <w:t>0001, TCZ vs. PBO + MTX</w:t>
            </w:r>
          </w:p>
        </w:tc>
      </w:tr>
      <w:tr w:rsidR="001E0975" w:rsidRPr="00F13073" w14:paraId="19063E60" w14:textId="77777777" w:rsidTr="00FC5893">
        <w:trPr>
          <w:cantSplit/>
          <w:tblHeader/>
        </w:trPr>
        <w:tc>
          <w:tcPr>
            <w:tcW w:w="652" w:type="dxa"/>
          </w:tcPr>
          <w:p w14:paraId="542DD41D" w14:textId="77777777" w:rsidR="001E0975" w:rsidRPr="00F13073" w:rsidRDefault="00611033" w:rsidP="0022741D">
            <w:pPr>
              <w:pStyle w:val="Other0"/>
              <w:widowControl/>
              <w:suppressAutoHyphens/>
              <w:spacing w:after="0"/>
              <w:rPr>
                <w:sz w:val="18"/>
                <w:szCs w:val="18"/>
              </w:rPr>
            </w:pPr>
            <w:r w:rsidRPr="00F13073">
              <w:rPr>
                <w:rStyle w:val="Other"/>
                <w:i/>
                <w:iCs/>
                <w:sz w:val="18"/>
                <w:szCs w:val="18"/>
              </w:rPr>
              <w:t>**</w:t>
            </w:r>
          </w:p>
        </w:tc>
        <w:tc>
          <w:tcPr>
            <w:tcW w:w="8420" w:type="dxa"/>
            <w:gridSpan w:val="3"/>
            <w:vAlign w:val="bottom"/>
          </w:tcPr>
          <w:p w14:paraId="7D2F420F" w14:textId="77777777" w:rsidR="001E0975" w:rsidRPr="00F13073" w:rsidRDefault="00611033" w:rsidP="0022741D">
            <w:pPr>
              <w:pStyle w:val="Other0"/>
              <w:widowControl/>
              <w:suppressAutoHyphens/>
              <w:spacing w:after="0"/>
              <w:ind w:hanging="46"/>
              <w:rPr>
                <w:sz w:val="18"/>
                <w:szCs w:val="18"/>
              </w:rPr>
            </w:pPr>
            <w:r w:rsidRPr="00F13073">
              <w:rPr>
                <w:rStyle w:val="Other"/>
                <w:i/>
                <w:iCs/>
                <w:sz w:val="18"/>
                <w:szCs w:val="18"/>
              </w:rPr>
              <w:t>- p&lt; 0</w:t>
            </w:r>
            <w:r w:rsidR="00544E79" w:rsidRPr="00F13073">
              <w:rPr>
                <w:rStyle w:val="Other"/>
                <w:i/>
                <w:iCs/>
                <w:sz w:val="18"/>
                <w:szCs w:val="18"/>
              </w:rPr>
              <w:t>,</w:t>
            </w:r>
            <w:r w:rsidRPr="00F13073">
              <w:rPr>
                <w:rStyle w:val="Other"/>
                <w:i/>
                <w:iCs/>
                <w:sz w:val="18"/>
                <w:szCs w:val="18"/>
              </w:rPr>
              <w:t>005, TCZ vs. PBO + MTX</w:t>
            </w:r>
          </w:p>
        </w:tc>
      </w:tr>
    </w:tbl>
    <w:p w14:paraId="1F93A558" w14:textId="77777777" w:rsidR="001E0975" w:rsidRPr="00F13073" w:rsidRDefault="001E0975" w:rsidP="008B4C50"/>
    <w:p w14:paraId="7E3AEAD8" w14:textId="77777777" w:rsidR="001E0975" w:rsidRPr="00F13073" w:rsidRDefault="00691714" w:rsidP="008B4C50">
      <w:r w:rsidRPr="00F13073">
        <w:rPr>
          <w:rStyle w:val="Char"/>
          <w:rFonts w:eastAsia="DengXian"/>
        </w:rPr>
        <w:lastRenderedPageBreak/>
        <w:t>Po 1 roku leczenia tocilizumabem w skojarzeniu z MTX, 85% pacjentów (n=348) nie miało progresji strukturalnego uszkodzenia stawów, zdefiniowanej jako brak zmiany wyniku całkowitego w skali Sharpa lub zmiana poniżej zera, w porównaniu do 67% pacjentów otrzymujących placebo + MTX (n=290) (p≤0,001). Wyniki te były spójne z uzyskanymi po 2. roku leczenia (83%; n=353). 93% (n=271) pacjentów nie miało progresji między 52. a 104. tygodniem leczenia.</w:t>
      </w:r>
    </w:p>
    <w:p w14:paraId="3550646B" w14:textId="77777777" w:rsidR="00B37742" w:rsidRPr="00F13073" w:rsidRDefault="00B37742" w:rsidP="008B4C50"/>
    <w:p w14:paraId="682931C3" w14:textId="77777777" w:rsidR="00691714" w:rsidRPr="00F13073" w:rsidRDefault="00691714" w:rsidP="008B4C50">
      <w:pPr>
        <w:pStyle w:val="a4"/>
        <w:widowControl/>
        <w:spacing w:after="0"/>
      </w:pPr>
      <w:r w:rsidRPr="00F13073">
        <w:rPr>
          <w:rStyle w:val="Char"/>
          <w:i/>
          <w:iCs/>
        </w:rPr>
        <w:t>Wyniki związane ze stanem zdrowia oraz dotyczące jakości życia</w:t>
      </w:r>
    </w:p>
    <w:p w14:paraId="0F66FE54" w14:textId="51EB09D9" w:rsidR="00691714" w:rsidRPr="00F13073" w:rsidRDefault="00691714" w:rsidP="00FC5893">
      <w:pPr>
        <w:pStyle w:val="a4"/>
        <w:widowControl/>
        <w:spacing w:after="0"/>
        <w:rPr>
          <w:rStyle w:val="Char"/>
        </w:rPr>
      </w:pPr>
      <w:r w:rsidRPr="00F13073">
        <w:rPr>
          <w:rStyle w:val="Char"/>
        </w:rPr>
        <w:t xml:space="preserve">U chorych otrzymujących tocilizumab odnotowano poprawę we wszystkich kwestionariuszach samooceny pacjentów (kwestionariusz oceny stanu zdrowia-wskaźnik niepełnosprawności - HAQ-DI), krótki kwestionariusz SF-36 i kwestionariusz oceny funkcji w trakcie leczenia przewlekłej choroby - FACIT). Statystycznie istotną poprawę w wynikach HAQ-DI obserwowano u chorych leczonych </w:t>
      </w:r>
      <w:r w:rsidR="00D6366E" w:rsidRPr="00F13073">
        <w:rPr>
          <w:rStyle w:val="Char"/>
        </w:rPr>
        <w:t>tocilizumabem</w:t>
      </w:r>
      <w:r w:rsidR="00151F2F" w:rsidRPr="00F13073">
        <w:rPr>
          <w:rStyle w:val="Char"/>
        </w:rPr>
        <w:t xml:space="preserve"> </w:t>
      </w:r>
      <w:r w:rsidRPr="00F13073">
        <w:rPr>
          <w:rStyle w:val="Char"/>
        </w:rPr>
        <w:t>w porównaniu do chorych otrzymujących DMARDs. W przedłużonej otwartej fazie badania II, poprawa sprawności fizycznej utrzymywała się do 2. roku leczenia. W 52. tygodniu, średnia zmiana wyniku HAQ-DI wynosiła -0,58 u leczonych tocilizumabem 8</w:t>
      </w:r>
      <w:r w:rsidR="00FC5893" w:rsidRPr="00F13073">
        <w:rPr>
          <w:rStyle w:val="Char"/>
        </w:rPr>
        <w:t> </w:t>
      </w:r>
      <w:r w:rsidRPr="00F13073">
        <w:rPr>
          <w:rStyle w:val="Char"/>
        </w:rPr>
        <w:t>mg/kg mc. + MTX w porównaniu do -0,39 w grupie placebo + MTX. Średnia zmiana wyniku HAQ-DI utrzymywała się do 104. tygodnia w grupie otrzymującej tocilizumab 8 mg/kg mc. + MTX (-0,61).</w:t>
      </w:r>
    </w:p>
    <w:p w14:paraId="7D3792FC" w14:textId="77777777" w:rsidR="00691714" w:rsidRPr="00F13073" w:rsidRDefault="00691714" w:rsidP="008B4C50">
      <w:pPr>
        <w:pStyle w:val="a4"/>
        <w:widowControl/>
        <w:spacing w:after="0"/>
      </w:pPr>
    </w:p>
    <w:p w14:paraId="580ECFC5" w14:textId="77777777" w:rsidR="00691714" w:rsidRPr="00F13073" w:rsidRDefault="00691714" w:rsidP="008B4C50">
      <w:pPr>
        <w:pStyle w:val="a4"/>
        <w:widowControl/>
        <w:spacing w:after="0"/>
      </w:pPr>
      <w:r w:rsidRPr="00F13073">
        <w:rPr>
          <w:rStyle w:val="Char"/>
          <w:i/>
          <w:iCs/>
        </w:rPr>
        <w:t>Stężenie hemoglobiny</w:t>
      </w:r>
    </w:p>
    <w:p w14:paraId="4B45AD14" w14:textId="77777777" w:rsidR="00691714" w:rsidRPr="00F13073" w:rsidRDefault="00691714" w:rsidP="008B4C50">
      <w:pPr>
        <w:pStyle w:val="a4"/>
        <w:widowControl/>
        <w:spacing w:after="0"/>
        <w:rPr>
          <w:rStyle w:val="Char"/>
        </w:rPr>
      </w:pPr>
      <w:r w:rsidRPr="00F13073">
        <w:rPr>
          <w:rStyle w:val="Char"/>
        </w:rPr>
        <w:t>W 24. tygodniu stosowania tocilizumabu obserwowano statystycznie istotne zwiększenie stężenia hemoglobiny w porównaniu do DMARDs (p&lt;0,0001). Zwiększenie średniego stężenia hemoglobiny odnotowano w 2. tygodniu leczenia, przy czym wartości utrzymywały się w granicach normy przez cały okres 24 tygodni.</w:t>
      </w:r>
    </w:p>
    <w:p w14:paraId="4B0DC36A" w14:textId="77777777" w:rsidR="00691714" w:rsidRPr="00F13073" w:rsidRDefault="00691714" w:rsidP="008B4C50">
      <w:pPr>
        <w:pStyle w:val="a4"/>
        <w:widowControl/>
        <w:spacing w:after="0"/>
      </w:pPr>
    </w:p>
    <w:p w14:paraId="6A0E899B" w14:textId="77777777" w:rsidR="00691714" w:rsidRPr="00F13073" w:rsidRDefault="00691714" w:rsidP="008B4C50">
      <w:pPr>
        <w:pStyle w:val="a4"/>
        <w:widowControl/>
        <w:spacing w:after="0"/>
      </w:pPr>
      <w:r w:rsidRPr="00F13073">
        <w:rPr>
          <w:rStyle w:val="Char"/>
          <w:i/>
          <w:iCs/>
        </w:rPr>
        <w:t>Tocilizumab w porównaniu z adalimumabem w monoterapii</w:t>
      </w:r>
    </w:p>
    <w:p w14:paraId="4AC1DFD1" w14:textId="77777777" w:rsidR="00691714" w:rsidRPr="00F13073" w:rsidRDefault="00691714" w:rsidP="008B4C50">
      <w:pPr>
        <w:pStyle w:val="a4"/>
        <w:widowControl/>
        <w:spacing w:after="0"/>
        <w:rPr>
          <w:rStyle w:val="Char"/>
        </w:rPr>
      </w:pPr>
      <w:r w:rsidRPr="00F13073">
        <w:rPr>
          <w:rStyle w:val="Char"/>
        </w:rPr>
        <w:t>W 24-tygodniowym podwójnie zaślepionym badaniu VI (WA19924), które porównywało tocilizumab w monoterapii do adalimumabu w monoterapii, wzięło udział 326 pacjentów z RZS, którzy nie tolerowali MTX lub u których kontynuację leczenia MTX uznano za niewłaściwą (w tym osoby z niewystarczającą odpowiedzią na leczenie MTX). Pacjentom z grupy przyjmującej tocilizumab podawano tocilizumab we wlewie dożylnym (8 mg/kg mc.) co 4 tygodnie (q4w) oraz placebo we wstrzyknięciu podskórnym co 2 tygodnie (q2w). Pacjentom z grupy przyjmującej adalimumab podawano adalimumab we wstrzyknięciu podskórnym (40 mg) q2w oraz placebo we wlewie dożylnym q4w.</w:t>
      </w:r>
      <w:r w:rsidR="0058308E" w:rsidRPr="00F13073">
        <w:rPr>
          <w:rStyle w:val="Char"/>
        </w:rPr>
        <w:t xml:space="preserve"> </w:t>
      </w:r>
      <w:r w:rsidRPr="00F13073">
        <w:rPr>
          <w:rStyle w:val="Char"/>
        </w:rPr>
        <w:t>W grupie przyjmującej tocilizumab obserwowano statystycznie istotny większy efekt terapeutyczny w zakresie kontroli aktywności choroby do 24 tygodnia względem stanu początkowego dla pierwszorzędowego punktu końcowego, tj. zmiany DAS28 oraz wszystkich drugorzędowych punktów końcowych (Tabela 6).</w:t>
      </w:r>
    </w:p>
    <w:p w14:paraId="0AB42CF8" w14:textId="77777777" w:rsidR="00691714" w:rsidRPr="00F13073" w:rsidRDefault="00691714" w:rsidP="008B4C50">
      <w:pPr>
        <w:pStyle w:val="a4"/>
        <w:widowControl/>
        <w:spacing w:after="0"/>
      </w:pPr>
    </w:p>
    <w:p w14:paraId="3D2DE9FB" w14:textId="77777777" w:rsidR="001E0975" w:rsidRPr="00F13073" w:rsidRDefault="00691714" w:rsidP="008D7C5B">
      <w:pPr>
        <w:keepNext/>
      </w:pPr>
      <w:r w:rsidRPr="00F13073">
        <w:rPr>
          <w:rStyle w:val="Char"/>
          <w:rFonts w:eastAsia="DengXian"/>
          <w:i/>
          <w:iCs/>
        </w:rPr>
        <w:t>Tabela 6.</w:t>
      </w:r>
      <w:r w:rsidRPr="00F13073">
        <w:rPr>
          <w:rStyle w:val="Char"/>
          <w:rFonts w:eastAsia="DengXian"/>
          <w:i/>
          <w:iCs/>
        </w:rPr>
        <w:tab/>
        <w:t>Dane dotyczące skuteczności z badania VI (WA19924)</w:t>
      </w:r>
    </w:p>
    <w:p w14:paraId="25760B64" w14:textId="77777777" w:rsidR="003F773E" w:rsidRPr="00F13073" w:rsidRDefault="003F773E" w:rsidP="008B4C50">
      <w:pPr>
        <w:keepNext/>
        <w:ind w:left="1134" w:hanging="1134"/>
        <w:rPr>
          <w:i/>
          <w:iCs/>
        </w:rPr>
      </w:pPr>
    </w:p>
    <w:tbl>
      <w:tblPr>
        <w:tblOverlap w:val="never"/>
        <w:tblW w:w="9072"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44"/>
        <w:gridCol w:w="1985"/>
        <w:gridCol w:w="1979"/>
        <w:gridCol w:w="1564"/>
      </w:tblGrid>
      <w:tr w:rsidR="00D37A5C" w:rsidRPr="00F13073" w14:paraId="40AE5EF8" w14:textId="77777777" w:rsidTr="00FC5893">
        <w:trPr>
          <w:cantSplit/>
          <w:tblHeader/>
        </w:trPr>
        <w:tc>
          <w:tcPr>
            <w:tcW w:w="3544" w:type="dxa"/>
            <w:vAlign w:val="bottom"/>
          </w:tcPr>
          <w:p w14:paraId="3C9FC090" w14:textId="77777777" w:rsidR="00D37A5C" w:rsidRPr="00F13073" w:rsidRDefault="00D37A5C" w:rsidP="008B4C50">
            <w:pPr>
              <w:keepNext/>
              <w:suppressAutoHyphens/>
              <w:rPr>
                <w:sz w:val="20"/>
                <w:szCs w:val="20"/>
              </w:rPr>
            </w:pPr>
          </w:p>
        </w:tc>
        <w:tc>
          <w:tcPr>
            <w:tcW w:w="1985" w:type="dxa"/>
            <w:vAlign w:val="bottom"/>
          </w:tcPr>
          <w:p w14:paraId="57AB27DB" w14:textId="77777777" w:rsidR="00D37A5C" w:rsidRPr="00F13073" w:rsidRDefault="00D37A5C" w:rsidP="0022741D">
            <w:pPr>
              <w:keepNext/>
              <w:suppressAutoHyphens/>
              <w:jc w:val="center"/>
              <w:rPr>
                <w:b/>
                <w:bCs/>
                <w:sz w:val="20"/>
                <w:szCs w:val="20"/>
              </w:rPr>
            </w:pPr>
            <w:r w:rsidRPr="00F13073">
              <w:rPr>
                <w:b/>
                <w:bCs/>
                <w:sz w:val="20"/>
                <w:szCs w:val="20"/>
              </w:rPr>
              <w:t>ADA + Placebo (IV)</w:t>
            </w:r>
          </w:p>
          <w:p w14:paraId="5C24EAB4" w14:textId="77777777" w:rsidR="00D37A5C" w:rsidRPr="00F13073" w:rsidRDefault="00D37A5C" w:rsidP="0022741D">
            <w:pPr>
              <w:keepNext/>
              <w:suppressAutoHyphens/>
              <w:jc w:val="center"/>
              <w:rPr>
                <w:b/>
                <w:bCs/>
                <w:sz w:val="20"/>
                <w:szCs w:val="20"/>
              </w:rPr>
            </w:pPr>
            <w:r w:rsidRPr="00F13073">
              <w:rPr>
                <w:b/>
                <w:bCs/>
                <w:sz w:val="20"/>
                <w:szCs w:val="20"/>
              </w:rPr>
              <w:t>N = 162</w:t>
            </w:r>
          </w:p>
        </w:tc>
        <w:tc>
          <w:tcPr>
            <w:tcW w:w="1979" w:type="dxa"/>
            <w:vAlign w:val="bottom"/>
          </w:tcPr>
          <w:p w14:paraId="0F4CD5AF" w14:textId="77777777" w:rsidR="00D37A5C" w:rsidRPr="00F13073" w:rsidRDefault="00D37A5C" w:rsidP="0022741D">
            <w:pPr>
              <w:keepNext/>
              <w:suppressAutoHyphens/>
              <w:jc w:val="center"/>
              <w:rPr>
                <w:b/>
                <w:bCs/>
                <w:sz w:val="20"/>
                <w:szCs w:val="20"/>
              </w:rPr>
            </w:pPr>
            <w:r w:rsidRPr="00F13073">
              <w:rPr>
                <w:b/>
                <w:bCs/>
                <w:sz w:val="20"/>
                <w:szCs w:val="20"/>
              </w:rPr>
              <w:t>TCZ + Placebo (SC)</w:t>
            </w:r>
          </w:p>
          <w:p w14:paraId="11AE4955" w14:textId="77777777" w:rsidR="00D37A5C" w:rsidRPr="00F13073" w:rsidRDefault="00D37A5C" w:rsidP="0022741D">
            <w:pPr>
              <w:keepNext/>
              <w:suppressAutoHyphens/>
              <w:jc w:val="center"/>
              <w:rPr>
                <w:b/>
                <w:bCs/>
                <w:sz w:val="20"/>
                <w:szCs w:val="20"/>
              </w:rPr>
            </w:pPr>
            <w:r w:rsidRPr="00F13073">
              <w:rPr>
                <w:b/>
                <w:bCs/>
                <w:sz w:val="20"/>
                <w:szCs w:val="20"/>
              </w:rPr>
              <w:t>N = 163</w:t>
            </w:r>
          </w:p>
        </w:tc>
        <w:tc>
          <w:tcPr>
            <w:tcW w:w="1564" w:type="dxa"/>
            <w:vAlign w:val="bottom"/>
          </w:tcPr>
          <w:p w14:paraId="6640028A" w14:textId="77777777" w:rsidR="00D37A5C" w:rsidRPr="00F13073" w:rsidRDefault="00C5492F" w:rsidP="0022741D">
            <w:pPr>
              <w:keepNext/>
              <w:suppressAutoHyphens/>
              <w:jc w:val="center"/>
              <w:rPr>
                <w:b/>
                <w:bCs/>
                <w:sz w:val="20"/>
                <w:szCs w:val="20"/>
              </w:rPr>
            </w:pPr>
            <w:r w:rsidRPr="00F13073">
              <w:rPr>
                <w:rStyle w:val="Other"/>
                <w:rFonts w:eastAsia="DengXian"/>
                <w:b/>
                <w:bCs/>
                <w:sz w:val="20"/>
                <w:szCs w:val="20"/>
              </w:rPr>
              <w:t>Wartość p</w:t>
            </w:r>
            <w:r w:rsidR="00D37A5C" w:rsidRPr="00F13073">
              <w:rPr>
                <w:b/>
                <w:bCs/>
                <w:sz w:val="20"/>
                <w:szCs w:val="20"/>
                <w:vertAlign w:val="superscript"/>
              </w:rPr>
              <w:t>(a)</w:t>
            </w:r>
          </w:p>
        </w:tc>
      </w:tr>
      <w:tr w:rsidR="00D37A5C" w:rsidRPr="00F13073" w14:paraId="0F944211" w14:textId="77777777" w:rsidTr="00FC5893">
        <w:trPr>
          <w:cantSplit/>
          <w:tblHeader/>
        </w:trPr>
        <w:tc>
          <w:tcPr>
            <w:tcW w:w="9072" w:type="dxa"/>
            <w:gridSpan w:val="4"/>
          </w:tcPr>
          <w:p w14:paraId="7C7E2D14" w14:textId="77777777" w:rsidR="00D37A5C" w:rsidRPr="00F13073" w:rsidRDefault="00C5492F" w:rsidP="008B4C50">
            <w:pPr>
              <w:keepNext/>
              <w:suppressAutoHyphens/>
              <w:rPr>
                <w:b/>
                <w:bCs/>
                <w:sz w:val="20"/>
                <w:szCs w:val="20"/>
              </w:rPr>
            </w:pPr>
            <w:r w:rsidRPr="00F13073">
              <w:rPr>
                <w:b/>
                <w:bCs/>
                <w:sz w:val="20"/>
                <w:szCs w:val="20"/>
              </w:rPr>
              <w:t>Pierwszorzędowy punkt końcowy - średnia zmiana po 24 tygodniach względem wartości początkowej</w:t>
            </w:r>
          </w:p>
        </w:tc>
      </w:tr>
      <w:tr w:rsidR="00D37A5C" w:rsidRPr="00F13073" w14:paraId="44C9D713" w14:textId="77777777" w:rsidTr="00FC5893">
        <w:trPr>
          <w:cantSplit/>
          <w:tblHeader/>
        </w:trPr>
        <w:tc>
          <w:tcPr>
            <w:tcW w:w="3544" w:type="dxa"/>
          </w:tcPr>
          <w:p w14:paraId="45B74BEF" w14:textId="77777777" w:rsidR="00D37A5C" w:rsidRPr="00F13073" w:rsidRDefault="00C5492F" w:rsidP="008B4C50">
            <w:pPr>
              <w:keepNext/>
              <w:suppressAutoHyphens/>
              <w:rPr>
                <w:sz w:val="20"/>
                <w:szCs w:val="20"/>
              </w:rPr>
            </w:pPr>
            <w:r w:rsidRPr="00F13073">
              <w:rPr>
                <w:rStyle w:val="Other"/>
                <w:rFonts w:eastAsia="DengXian"/>
                <w:sz w:val="20"/>
                <w:szCs w:val="20"/>
              </w:rPr>
              <w:t>DAS28 (skorygowana średnia)</w:t>
            </w:r>
          </w:p>
        </w:tc>
        <w:tc>
          <w:tcPr>
            <w:tcW w:w="1985" w:type="dxa"/>
          </w:tcPr>
          <w:p w14:paraId="23E8EDC9" w14:textId="77777777" w:rsidR="00D37A5C" w:rsidRPr="00F13073" w:rsidRDefault="00D37A5C" w:rsidP="0022741D">
            <w:pPr>
              <w:keepNext/>
              <w:suppressAutoHyphens/>
              <w:jc w:val="center"/>
              <w:rPr>
                <w:sz w:val="20"/>
                <w:szCs w:val="20"/>
              </w:rPr>
            </w:pPr>
            <w:r w:rsidRPr="00F13073">
              <w:rPr>
                <w:sz w:val="20"/>
                <w:szCs w:val="20"/>
              </w:rPr>
              <w:t>-1</w:t>
            </w:r>
            <w:r w:rsidR="007236D1" w:rsidRPr="00F13073">
              <w:rPr>
                <w:sz w:val="20"/>
                <w:szCs w:val="20"/>
              </w:rPr>
              <w:t>,</w:t>
            </w:r>
            <w:r w:rsidRPr="00F13073">
              <w:rPr>
                <w:sz w:val="20"/>
                <w:szCs w:val="20"/>
              </w:rPr>
              <w:t>8</w:t>
            </w:r>
          </w:p>
        </w:tc>
        <w:tc>
          <w:tcPr>
            <w:tcW w:w="1979" w:type="dxa"/>
          </w:tcPr>
          <w:p w14:paraId="39F70951" w14:textId="77777777" w:rsidR="00D37A5C" w:rsidRPr="00F13073" w:rsidRDefault="00D37A5C" w:rsidP="0022741D">
            <w:pPr>
              <w:keepNext/>
              <w:suppressAutoHyphens/>
              <w:jc w:val="center"/>
              <w:rPr>
                <w:sz w:val="20"/>
                <w:szCs w:val="20"/>
              </w:rPr>
            </w:pPr>
            <w:r w:rsidRPr="00F13073">
              <w:rPr>
                <w:sz w:val="20"/>
                <w:szCs w:val="20"/>
              </w:rPr>
              <w:t>-3</w:t>
            </w:r>
            <w:r w:rsidR="007236D1" w:rsidRPr="00F13073">
              <w:rPr>
                <w:sz w:val="20"/>
                <w:szCs w:val="20"/>
              </w:rPr>
              <w:t>,</w:t>
            </w:r>
            <w:r w:rsidRPr="00F13073">
              <w:rPr>
                <w:sz w:val="20"/>
                <w:szCs w:val="20"/>
              </w:rPr>
              <w:t>3</w:t>
            </w:r>
          </w:p>
        </w:tc>
        <w:tc>
          <w:tcPr>
            <w:tcW w:w="1564" w:type="dxa"/>
          </w:tcPr>
          <w:p w14:paraId="552D4556" w14:textId="77777777" w:rsidR="00D37A5C" w:rsidRPr="00F13073" w:rsidRDefault="00D37A5C" w:rsidP="0022741D">
            <w:pPr>
              <w:keepNext/>
              <w:suppressAutoHyphens/>
              <w:jc w:val="center"/>
              <w:rPr>
                <w:sz w:val="20"/>
                <w:szCs w:val="20"/>
              </w:rPr>
            </w:pPr>
          </w:p>
        </w:tc>
      </w:tr>
      <w:tr w:rsidR="00F259C7" w:rsidRPr="00F13073" w14:paraId="5B84F51F" w14:textId="77777777" w:rsidTr="00FC5893">
        <w:trPr>
          <w:cantSplit/>
          <w:tblHeader/>
        </w:trPr>
        <w:tc>
          <w:tcPr>
            <w:tcW w:w="3544" w:type="dxa"/>
          </w:tcPr>
          <w:p w14:paraId="0E4CBDC9" w14:textId="77777777" w:rsidR="00F259C7" w:rsidRPr="00F13073" w:rsidRDefault="00C5492F" w:rsidP="008B4C50">
            <w:pPr>
              <w:suppressAutoHyphens/>
              <w:rPr>
                <w:sz w:val="20"/>
                <w:szCs w:val="20"/>
              </w:rPr>
            </w:pPr>
            <w:r w:rsidRPr="00F13073">
              <w:rPr>
                <w:sz w:val="20"/>
                <w:szCs w:val="20"/>
              </w:rPr>
              <w:t>Różnica skorygowanej średniej (95% CI)</w:t>
            </w:r>
          </w:p>
        </w:tc>
        <w:tc>
          <w:tcPr>
            <w:tcW w:w="3964" w:type="dxa"/>
            <w:gridSpan w:val="2"/>
          </w:tcPr>
          <w:p w14:paraId="31197F3E" w14:textId="77777777" w:rsidR="00F259C7" w:rsidRPr="00F13073" w:rsidRDefault="00F259C7" w:rsidP="0022741D">
            <w:pPr>
              <w:suppressAutoHyphens/>
              <w:jc w:val="center"/>
              <w:rPr>
                <w:sz w:val="20"/>
                <w:szCs w:val="20"/>
              </w:rPr>
            </w:pPr>
            <w:r w:rsidRPr="00F13073">
              <w:rPr>
                <w:sz w:val="20"/>
                <w:szCs w:val="20"/>
              </w:rPr>
              <w:t>-1</w:t>
            </w:r>
            <w:r w:rsidR="007236D1" w:rsidRPr="00F13073">
              <w:rPr>
                <w:sz w:val="20"/>
                <w:szCs w:val="20"/>
              </w:rPr>
              <w:t>,</w:t>
            </w:r>
            <w:r w:rsidRPr="00F13073">
              <w:rPr>
                <w:sz w:val="20"/>
                <w:szCs w:val="20"/>
              </w:rPr>
              <w:t>5 (-1</w:t>
            </w:r>
            <w:r w:rsidR="007236D1" w:rsidRPr="00F13073">
              <w:rPr>
                <w:sz w:val="20"/>
                <w:szCs w:val="20"/>
              </w:rPr>
              <w:t>,</w:t>
            </w:r>
            <w:r w:rsidRPr="00F13073">
              <w:rPr>
                <w:sz w:val="20"/>
                <w:szCs w:val="20"/>
              </w:rPr>
              <w:t>8, -1</w:t>
            </w:r>
            <w:r w:rsidR="007236D1" w:rsidRPr="00F13073">
              <w:rPr>
                <w:sz w:val="20"/>
                <w:szCs w:val="20"/>
              </w:rPr>
              <w:t>,</w:t>
            </w:r>
            <w:r w:rsidRPr="00F13073">
              <w:rPr>
                <w:sz w:val="20"/>
                <w:szCs w:val="20"/>
              </w:rPr>
              <w:t>1)</w:t>
            </w:r>
          </w:p>
        </w:tc>
        <w:tc>
          <w:tcPr>
            <w:tcW w:w="1564" w:type="dxa"/>
          </w:tcPr>
          <w:p w14:paraId="3A334258" w14:textId="77777777" w:rsidR="00F259C7" w:rsidRPr="00F13073" w:rsidRDefault="00F259C7" w:rsidP="0022741D">
            <w:pPr>
              <w:suppressAutoHyphens/>
              <w:jc w:val="center"/>
              <w:rPr>
                <w:sz w:val="20"/>
                <w:szCs w:val="20"/>
              </w:rPr>
            </w:pPr>
            <w:r w:rsidRPr="00F13073">
              <w:rPr>
                <w:sz w:val="20"/>
                <w:szCs w:val="20"/>
              </w:rPr>
              <w:t>&lt;0</w:t>
            </w:r>
            <w:r w:rsidR="006907FC" w:rsidRPr="00F13073">
              <w:rPr>
                <w:sz w:val="20"/>
                <w:szCs w:val="20"/>
              </w:rPr>
              <w:t>,</w:t>
            </w:r>
            <w:r w:rsidRPr="00F13073">
              <w:rPr>
                <w:sz w:val="20"/>
                <w:szCs w:val="20"/>
              </w:rPr>
              <w:t>0001</w:t>
            </w:r>
          </w:p>
        </w:tc>
      </w:tr>
      <w:tr w:rsidR="00D37A5C" w:rsidRPr="00F13073" w14:paraId="599C4AD4" w14:textId="77777777" w:rsidTr="00FC5893">
        <w:trPr>
          <w:cantSplit/>
          <w:tblHeader/>
        </w:trPr>
        <w:tc>
          <w:tcPr>
            <w:tcW w:w="9072" w:type="dxa"/>
            <w:gridSpan w:val="4"/>
          </w:tcPr>
          <w:p w14:paraId="16BC8739" w14:textId="77777777" w:rsidR="00D37A5C" w:rsidRPr="00F13073" w:rsidRDefault="007236D1" w:rsidP="008B4C50">
            <w:pPr>
              <w:keepNext/>
              <w:suppressAutoHyphens/>
              <w:rPr>
                <w:b/>
                <w:bCs/>
                <w:sz w:val="20"/>
                <w:szCs w:val="20"/>
              </w:rPr>
            </w:pPr>
            <w:r w:rsidRPr="00F13073">
              <w:rPr>
                <w:b/>
                <w:bCs/>
                <w:sz w:val="20"/>
                <w:szCs w:val="20"/>
              </w:rPr>
              <w:t>Drugorzędowe punkty końcowe - odsetek pacjentów, u których wystąpiła odpowiedź na leczenie po 24 tygodniach</w:t>
            </w:r>
            <w:r w:rsidR="00D37A5C" w:rsidRPr="00F13073">
              <w:rPr>
                <w:b/>
                <w:bCs/>
                <w:sz w:val="20"/>
                <w:szCs w:val="20"/>
              </w:rPr>
              <w:t xml:space="preserve"> </w:t>
            </w:r>
            <w:r w:rsidR="00D37A5C" w:rsidRPr="00F13073">
              <w:rPr>
                <w:b/>
                <w:bCs/>
                <w:sz w:val="20"/>
                <w:szCs w:val="20"/>
                <w:vertAlign w:val="superscript"/>
              </w:rPr>
              <w:t>(b)</w:t>
            </w:r>
          </w:p>
        </w:tc>
      </w:tr>
      <w:tr w:rsidR="00D37A5C" w:rsidRPr="00F13073" w14:paraId="7E85F988" w14:textId="77777777" w:rsidTr="00FC5893">
        <w:trPr>
          <w:cantSplit/>
          <w:tblHeader/>
        </w:trPr>
        <w:tc>
          <w:tcPr>
            <w:tcW w:w="3544" w:type="dxa"/>
          </w:tcPr>
          <w:p w14:paraId="5BEF9EE6" w14:textId="77777777" w:rsidR="00D37A5C" w:rsidRPr="00F13073" w:rsidRDefault="00D37A5C" w:rsidP="008B4C50">
            <w:pPr>
              <w:keepNext/>
              <w:suppressAutoHyphens/>
              <w:rPr>
                <w:sz w:val="20"/>
                <w:szCs w:val="20"/>
              </w:rPr>
            </w:pPr>
            <w:r w:rsidRPr="00F13073">
              <w:rPr>
                <w:sz w:val="20"/>
                <w:szCs w:val="20"/>
              </w:rPr>
              <w:t>DAS28 &lt; 2</w:t>
            </w:r>
            <w:r w:rsidR="004B2C72" w:rsidRPr="00F13073">
              <w:rPr>
                <w:sz w:val="20"/>
                <w:szCs w:val="20"/>
              </w:rPr>
              <w:t>,</w:t>
            </w:r>
            <w:r w:rsidRPr="00F13073">
              <w:rPr>
                <w:sz w:val="20"/>
                <w:szCs w:val="20"/>
              </w:rPr>
              <w:t>6, n (%)</w:t>
            </w:r>
          </w:p>
        </w:tc>
        <w:tc>
          <w:tcPr>
            <w:tcW w:w="1985" w:type="dxa"/>
          </w:tcPr>
          <w:p w14:paraId="12AFCF60" w14:textId="77777777" w:rsidR="00D37A5C" w:rsidRPr="00F13073" w:rsidRDefault="00D37A5C" w:rsidP="0022741D">
            <w:pPr>
              <w:keepNext/>
              <w:suppressAutoHyphens/>
              <w:jc w:val="center"/>
              <w:rPr>
                <w:sz w:val="20"/>
                <w:szCs w:val="20"/>
              </w:rPr>
            </w:pPr>
            <w:r w:rsidRPr="00F13073">
              <w:rPr>
                <w:sz w:val="20"/>
                <w:szCs w:val="20"/>
              </w:rPr>
              <w:t>17 (10</w:t>
            </w:r>
            <w:r w:rsidR="007236D1" w:rsidRPr="00F13073">
              <w:rPr>
                <w:sz w:val="20"/>
                <w:szCs w:val="20"/>
              </w:rPr>
              <w:t>,</w:t>
            </w:r>
            <w:r w:rsidRPr="00F13073">
              <w:rPr>
                <w:sz w:val="20"/>
                <w:szCs w:val="20"/>
              </w:rPr>
              <w:t>5)</w:t>
            </w:r>
          </w:p>
        </w:tc>
        <w:tc>
          <w:tcPr>
            <w:tcW w:w="1979" w:type="dxa"/>
          </w:tcPr>
          <w:p w14:paraId="7DB345FA" w14:textId="77777777" w:rsidR="00D37A5C" w:rsidRPr="00F13073" w:rsidRDefault="00D37A5C" w:rsidP="0022741D">
            <w:pPr>
              <w:keepNext/>
              <w:suppressAutoHyphens/>
              <w:jc w:val="center"/>
              <w:rPr>
                <w:sz w:val="20"/>
                <w:szCs w:val="20"/>
              </w:rPr>
            </w:pPr>
            <w:r w:rsidRPr="00F13073">
              <w:rPr>
                <w:sz w:val="20"/>
                <w:szCs w:val="20"/>
              </w:rPr>
              <w:t>65 (39</w:t>
            </w:r>
            <w:r w:rsidR="007236D1" w:rsidRPr="00F13073">
              <w:rPr>
                <w:sz w:val="20"/>
                <w:szCs w:val="20"/>
              </w:rPr>
              <w:t>,</w:t>
            </w:r>
            <w:r w:rsidRPr="00F13073">
              <w:rPr>
                <w:sz w:val="20"/>
                <w:szCs w:val="20"/>
              </w:rPr>
              <w:t>9)</w:t>
            </w:r>
          </w:p>
        </w:tc>
        <w:tc>
          <w:tcPr>
            <w:tcW w:w="1564" w:type="dxa"/>
          </w:tcPr>
          <w:p w14:paraId="6190792F" w14:textId="77777777" w:rsidR="00D37A5C" w:rsidRPr="00F13073" w:rsidRDefault="00D37A5C" w:rsidP="0022741D">
            <w:pPr>
              <w:keepNext/>
              <w:suppressAutoHyphens/>
              <w:jc w:val="center"/>
              <w:rPr>
                <w:sz w:val="20"/>
                <w:szCs w:val="20"/>
              </w:rPr>
            </w:pPr>
            <w:r w:rsidRPr="00F13073">
              <w:rPr>
                <w:sz w:val="20"/>
                <w:szCs w:val="20"/>
              </w:rPr>
              <w:t>&lt;0</w:t>
            </w:r>
            <w:r w:rsidR="007236D1" w:rsidRPr="00F13073">
              <w:rPr>
                <w:sz w:val="20"/>
                <w:szCs w:val="20"/>
              </w:rPr>
              <w:t>,</w:t>
            </w:r>
            <w:r w:rsidRPr="00F13073">
              <w:rPr>
                <w:sz w:val="20"/>
                <w:szCs w:val="20"/>
              </w:rPr>
              <w:t>0001</w:t>
            </w:r>
          </w:p>
        </w:tc>
      </w:tr>
      <w:tr w:rsidR="00D37A5C" w:rsidRPr="00F13073" w14:paraId="19361EEB" w14:textId="77777777" w:rsidTr="00FC5893">
        <w:trPr>
          <w:cantSplit/>
          <w:tblHeader/>
        </w:trPr>
        <w:tc>
          <w:tcPr>
            <w:tcW w:w="3544" w:type="dxa"/>
          </w:tcPr>
          <w:p w14:paraId="74C2C11A" w14:textId="77777777" w:rsidR="00D37A5C" w:rsidRPr="00F13073" w:rsidRDefault="00D37A5C" w:rsidP="008B4C50">
            <w:pPr>
              <w:keepNext/>
              <w:suppressAutoHyphens/>
              <w:rPr>
                <w:sz w:val="20"/>
                <w:szCs w:val="20"/>
              </w:rPr>
            </w:pPr>
            <w:r w:rsidRPr="00F13073">
              <w:rPr>
                <w:sz w:val="20"/>
                <w:szCs w:val="20"/>
              </w:rPr>
              <w:t>DAS28 ≤ 3</w:t>
            </w:r>
            <w:r w:rsidR="004B2C72" w:rsidRPr="00F13073">
              <w:rPr>
                <w:sz w:val="20"/>
                <w:szCs w:val="20"/>
              </w:rPr>
              <w:t>,</w:t>
            </w:r>
            <w:r w:rsidRPr="00F13073">
              <w:rPr>
                <w:sz w:val="20"/>
                <w:szCs w:val="20"/>
              </w:rPr>
              <w:t>2, n (%)</w:t>
            </w:r>
          </w:p>
        </w:tc>
        <w:tc>
          <w:tcPr>
            <w:tcW w:w="1985" w:type="dxa"/>
          </w:tcPr>
          <w:p w14:paraId="6E76F575" w14:textId="77777777" w:rsidR="00D37A5C" w:rsidRPr="00F13073" w:rsidRDefault="00D37A5C" w:rsidP="0022741D">
            <w:pPr>
              <w:keepNext/>
              <w:suppressAutoHyphens/>
              <w:jc w:val="center"/>
              <w:rPr>
                <w:sz w:val="20"/>
                <w:szCs w:val="20"/>
              </w:rPr>
            </w:pPr>
            <w:r w:rsidRPr="00F13073">
              <w:rPr>
                <w:sz w:val="20"/>
                <w:szCs w:val="20"/>
              </w:rPr>
              <w:t>32 (19</w:t>
            </w:r>
            <w:r w:rsidR="007236D1" w:rsidRPr="00F13073">
              <w:rPr>
                <w:sz w:val="20"/>
                <w:szCs w:val="20"/>
              </w:rPr>
              <w:t>,</w:t>
            </w:r>
            <w:r w:rsidRPr="00F13073">
              <w:rPr>
                <w:sz w:val="20"/>
                <w:szCs w:val="20"/>
              </w:rPr>
              <w:t>8)</w:t>
            </w:r>
          </w:p>
        </w:tc>
        <w:tc>
          <w:tcPr>
            <w:tcW w:w="1979" w:type="dxa"/>
          </w:tcPr>
          <w:p w14:paraId="64B382D0" w14:textId="77777777" w:rsidR="00D37A5C" w:rsidRPr="00F13073" w:rsidRDefault="00D37A5C" w:rsidP="0022741D">
            <w:pPr>
              <w:keepNext/>
              <w:suppressAutoHyphens/>
              <w:jc w:val="center"/>
              <w:rPr>
                <w:sz w:val="20"/>
                <w:szCs w:val="20"/>
              </w:rPr>
            </w:pPr>
            <w:r w:rsidRPr="00F13073">
              <w:rPr>
                <w:sz w:val="20"/>
                <w:szCs w:val="20"/>
              </w:rPr>
              <w:t>84 (51</w:t>
            </w:r>
            <w:r w:rsidR="007236D1" w:rsidRPr="00F13073">
              <w:rPr>
                <w:sz w:val="20"/>
                <w:szCs w:val="20"/>
              </w:rPr>
              <w:t>,</w:t>
            </w:r>
            <w:r w:rsidRPr="00F13073">
              <w:rPr>
                <w:sz w:val="20"/>
                <w:szCs w:val="20"/>
              </w:rPr>
              <w:t>5)</w:t>
            </w:r>
          </w:p>
        </w:tc>
        <w:tc>
          <w:tcPr>
            <w:tcW w:w="1564" w:type="dxa"/>
          </w:tcPr>
          <w:p w14:paraId="55AE4266" w14:textId="77777777" w:rsidR="00D37A5C" w:rsidRPr="00F13073" w:rsidRDefault="00D37A5C" w:rsidP="0022741D">
            <w:pPr>
              <w:keepNext/>
              <w:suppressAutoHyphens/>
              <w:jc w:val="center"/>
              <w:rPr>
                <w:sz w:val="20"/>
                <w:szCs w:val="20"/>
              </w:rPr>
            </w:pPr>
            <w:r w:rsidRPr="00F13073">
              <w:rPr>
                <w:sz w:val="20"/>
                <w:szCs w:val="20"/>
              </w:rPr>
              <w:t>&lt;0</w:t>
            </w:r>
            <w:r w:rsidR="007236D1" w:rsidRPr="00F13073">
              <w:rPr>
                <w:sz w:val="20"/>
                <w:szCs w:val="20"/>
              </w:rPr>
              <w:t>,</w:t>
            </w:r>
            <w:r w:rsidRPr="00F13073">
              <w:rPr>
                <w:sz w:val="20"/>
                <w:szCs w:val="20"/>
              </w:rPr>
              <w:t>0001</w:t>
            </w:r>
          </w:p>
        </w:tc>
      </w:tr>
      <w:tr w:rsidR="00D37A5C" w:rsidRPr="00F13073" w14:paraId="5D1BEF7B" w14:textId="77777777" w:rsidTr="00FC5893">
        <w:trPr>
          <w:cantSplit/>
          <w:tblHeader/>
        </w:trPr>
        <w:tc>
          <w:tcPr>
            <w:tcW w:w="3544" w:type="dxa"/>
          </w:tcPr>
          <w:p w14:paraId="4C4CEB5F" w14:textId="77777777" w:rsidR="00D37A5C" w:rsidRPr="00F13073" w:rsidRDefault="004B2C72" w:rsidP="008B4C50">
            <w:pPr>
              <w:keepNext/>
              <w:suppressAutoHyphens/>
              <w:rPr>
                <w:sz w:val="20"/>
                <w:szCs w:val="20"/>
              </w:rPr>
            </w:pPr>
            <w:r w:rsidRPr="00F13073">
              <w:rPr>
                <w:sz w:val="20"/>
                <w:szCs w:val="20"/>
              </w:rPr>
              <w:t xml:space="preserve">Odpowiedź </w:t>
            </w:r>
            <w:r w:rsidR="00D37A5C" w:rsidRPr="00F13073">
              <w:rPr>
                <w:sz w:val="20"/>
                <w:szCs w:val="20"/>
              </w:rPr>
              <w:t>ACR20, n (%)</w:t>
            </w:r>
          </w:p>
        </w:tc>
        <w:tc>
          <w:tcPr>
            <w:tcW w:w="1985" w:type="dxa"/>
          </w:tcPr>
          <w:p w14:paraId="3DEE78B9" w14:textId="77777777" w:rsidR="00D37A5C" w:rsidRPr="00F13073" w:rsidRDefault="00D37A5C" w:rsidP="0022741D">
            <w:pPr>
              <w:keepNext/>
              <w:suppressAutoHyphens/>
              <w:jc w:val="center"/>
              <w:rPr>
                <w:sz w:val="20"/>
                <w:szCs w:val="20"/>
              </w:rPr>
            </w:pPr>
            <w:r w:rsidRPr="00F13073">
              <w:rPr>
                <w:sz w:val="20"/>
                <w:szCs w:val="20"/>
              </w:rPr>
              <w:t>80 (49</w:t>
            </w:r>
            <w:r w:rsidR="007236D1" w:rsidRPr="00F13073">
              <w:rPr>
                <w:sz w:val="20"/>
                <w:szCs w:val="20"/>
              </w:rPr>
              <w:t>,</w:t>
            </w:r>
            <w:r w:rsidRPr="00F13073">
              <w:rPr>
                <w:sz w:val="20"/>
                <w:szCs w:val="20"/>
              </w:rPr>
              <w:t>4)</w:t>
            </w:r>
          </w:p>
        </w:tc>
        <w:tc>
          <w:tcPr>
            <w:tcW w:w="1979" w:type="dxa"/>
          </w:tcPr>
          <w:p w14:paraId="009A298D" w14:textId="77777777" w:rsidR="00D37A5C" w:rsidRPr="00F13073" w:rsidRDefault="00D37A5C" w:rsidP="0022741D">
            <w:pPr>
              <w:keepNext/>
              <w:suppressAutoHyphens/>
              <w:jc w:val="center"/>
              <w:rPr>
                <w:sz w:val="20"/>
                <w:szCs w:val="20"/>
              </w:rPr>
            </w:pPr>
            <w:r w:rsidRPr="00F13073">
              <w:rPr>
                <w:sz w:val="20"/>
                <w:szCs w:val="20"/>
              </w:rPr>
              <w:t>106 (65</w:t>
            </w:r>
            <w:r w:rsidR="007236D1" w:rsidRPr="00F13073">
              <w:rPr>
                <w:sz w:val="20"/>
                <w:szCs w:val="20"/>
              </w:rPr>
              <w:t>,</w:t>
            </w:r>
            <w:r w:rsidRPr="00F13073">
              <w:rPr>
                <w:sz w:val="20"/>
                <w:szCs w:val="20"/>
              </w:rPr>
              <w:t>0)</w:t>
            </w:r>
          </w:p>
        </w:tc>
        <w:tc>
          <w:tcPr>
            <w:tcW w:w="1564" w:type="dxa"/>
          </w:tcPr>
          <w:p w14:paraId="3538BF9E" w14:textId="77777777" w:rsidR="00D37A5C" w:rsidRPr="00F13073" w:rsidRDefault="00D37A5C" w:rsidP="0022741D">
            <w:pPr>
              <w:keepNext/>
              <w:suppressAutoHyphens/>
              <w:jc w:val="center"/>
              <w:rPr>
                <w:sz w:val="20"/>
                <w:szCs w:val="20"/>
              </w:rPr>
            </w:pPr>
            <w:r w:rsidRPr="00F13073">
              <w:rPr>
                <w:sz w:val="20"/>
                <w:szCs w:val="20"/>
              </w:rPr>
              <w:t>0</w:t>
            </w:r>
            <w:r w:rsidR="007236D1" w:rsidRPr="00F13073">
              <w:rPr>
                <w:sz w:val="20"/>
                <w:szCs w:val="20"/>
              </w:rPr>
              <w:t>,</w:t>
            </w:r>
            <w:r w:rsidRPr="00F13073">
              <w:rPr>
                <w:sz w:val="20"/>
                <w:szCs w:val="20"/>
              </w:rPr>
              <w:t>0038</w:t>
            </w:r>
          </w:p>
        </w:tc>
      </w:tr>
      <w:tr w:rsidR="00D37A5C" w:rsidRPr="00F13073" w14:paraId="466FE1F8" w14:textId="77777777" w:rsidTr="00FC5893">
        <w:trPr>
          <w:cantSplit/>
          <w:tblHeader/>
        </w:trPr>
        <w:tc>
          <w:tcPr>
            <w:tcW w:w="3544" w:type="dxa"/>
          </w:tcPr>
          <w:p w14:paraId="13BF3A49" w14:textId="77777777" w:rsidR="00D37A5C" w:rsidRPr="00F13073" w:rsidRDefault="004B2C72" w:rsidP="008B4C50">
            <w:pPr>
              <w:keepNext/>
              <w:suppressAutoHyphens/>
              <w:rPr>
                <w:sz w:val="20"/>
                <w:szCs w:val="20"/>
              </w:rPr>
            </w:pPr>
            <w:r w:rsidRPr="00F13073">
              <w:rPr>
                <w:sz w:val="20"/>
                <w:szCs w:val="20"/>
              </w:rPr>
              <w:t xml:space="preserve">Odpowiedź </w:t>
            </w:r>
            <w:r w:rsidR="00D37A5C" w:rsidRPr="00F13073">
              <w:rPr>
                <w:sz w:val="20"/>
                <w:szCs w:val="20"/>
              </w:rPr>
              <w:t>ACR50, n (%)</w:t>
            </w:r>
          </w:p>
        </w:tc>
        <w:tc>
          <w:tcPr>
            <w:tcW w:w="1985" w:type="dxa"/>
          </w:tcPr>
          <w:p w14:paraId="2A2BB03A" w14:textId="77777777" w:rsidR="00D37A5C" w:rsidRPr="00F13073" w:rsidRDefault="00D37A5C" w:rsidP="0022741D">
            <w:pPr>
              <w:keepNext/>
              <w:suppressAutoHyphens/>
              <w:jc w:val="center"/>
              <w:rPr>
                <w:sz w:val="20"/>
                <w:szCs w:val="20"/>
              </w:rPr>
            </w:pPr>
            <w:r w:rsidRPr="00F13073">
              <w:rPr>
                <w:sz w:val="20"/>
                <w:szCs w:val="20"/>
              </w:rPr>
              <w:t>45 (27</w:t>
            </w:r>
            <w:r w:rsidR="007236D1" w:rsidRPr="00F13073">
              <w:rPr>
                <w:sz w:val="20"/>
                <w:szCs w:val="20"/>
              </w:rPr>
              <w:t>,</w:t>
            </w:r>
            <w:r w:rsidRPr="00F13073">
              <w:rPr>
                <w:sz w:val="20"/>
                <w:szCs w:val="20"/>
              </w:rPr>
              <w:t>8)</w:t>
            </w:r>
          </w:p>
        </w:tc>
        <w:tc>
          <w:tcPr>
            <w:tcW w:w="1979" w:type="dxa"/>
          </w:tcPr>
          <w:p w14:paraId="69147344" w14:textId="77777777" w:rsidR="00D37A5C" w:rsidRPr="00F13073" w:rsidRDefault="00D37A5C" w:rsidP="0022741D">
            <w:pPr>
              <w:keepNext/>
              <w:suppressAutoHyphens/>
              <w:jc w:val="center"/>
              <w:rPr>
                <w:sz w:val="20"/>
                <w:szCs w:val="20"/>
              </w:rPr>
            </w:pPr>
            <w:r w:rsidRPr="00F13073">
              <w:rPr>
                <w:sz w:val="20"/>
                <w:szCs w:val="20"/>
              </w:rPr>
              <w:t>77 (47</w:t>
            </w:r>
            <w:r w:rsidR="007236D1" w:rsidRPr="00F13073">
              <w:rPr>
                <w:sz w:val="20"/>
                <w:szCs w:val="20"/>
              </w:rPr>
              <w:t>,</w:t>
            </w:r>
            <w:r w:rsidRPr="00F13073">
              <w:rPr>
                <w:sz w:val="20"/>
                <w:szCs w:val="20"/>
              </w:rPr>
              <w:t>2)</w:t>
            </w:r>
          </w:p>
        </w:tc>
        <w:tc>
          <w:tcPr>
            <w:tcW w:w="1564" w:type="dxa"/>
          </w:tcPr>
          <w:p w14:paraId="5096DB82" w14:textId="77777777" w:rsidR="00D37A5C" w:rsidRPr="00F13073" w:rsidRDefault="00D37A5C" w:rsidP="0022741D">
            <w:pPr>
              <w:keepNext/>
              <w:suppressAutoHyphens/>
              <w:jc w:val="center"/>
              <w:rPr>
                <w:sz w:val="20"/>
                <w:szCs w:val="20"/>
              </w:rPr>
            </w:pPr>
            <w:r w:rsidRPr="00F13073">
              <w:rPr>
                <w:sz w:val="20"/>
                <w:szCs w:val="20"/>
              </w:rPr>
              <w:t>0</w:t>
            </w:r>
            <w:r w:rsidR="007236D1" w:rsidRPr="00F13073">
              <w:rPr>
                <w:sz w:val="20"/>
                <w:szCs w:val="20"/>
              </w:rPr>
              <w:t>,</w:t>
            </w:r>
            <w:r w:rsidRPr="00F13073">
              <w:rPr>
                <w:sz w:val="20"/>
                <w:szCs w:val="20"/>
              </w:rPr>
              <w:t>0002</w:t>
            </w:r>
          </w:p>
        </w:tc>
      </w:tr>
      <w:tr w:rsidR="00D37A5C" w:rsidRPr="00F13073" w14:paraId="27CD435D" w14:textId="77777777" w:rsidTr="00FC5893">
        <w:trPr>
          <w:cantSplit/>
          <w:tblHeader/>
        </w:trPr>
        <w:tc>
          <w:tcPr>
            <w:tcW w:w="3544" w:type="dxa"/>
          </w:tcPr>
          <w:p w14:paraId="4D3CB578" w14:textId="77777777" w:rsidR="00D37A5C" w:rsidRPr="00F13073" w:rsidRDefault="004B2C72" w:rsidP="008B4C50">
            <w:pPr>
              <w:keepNext/>
              <w:suppressAutoHyphens/>
              <w:rPr>
                <w:sz w:val="20"/>
                <w:szCs w:val="20"/>
              </w:rPr>
            </w:pPr>
            <w:r w:rsidRPr="00F13073">
              <w:rPr>
                <w:sz w:val="20"/>
                <w:szCs w:val="20"/>
              </w:rPr>
              <w:t xml:space="preserve">Odpowiedź </w:t>
            </w:r>
            <w:r w:rsidR="00D37A5C" w:rsidRPr="00F13073">
              <w:rPr>
                <w:sz w:val="20"/>
                <w:szCs w:val="20"/>
              </w:rPr>
              <w:t>ACR70, n (%)</w:t>
            </w:r>
          </w:p>
        </w:tc>
        <w:tc>
          <w:tcPr>
            <w:tcW w:w="1985" w:type="dxa"/>
          </w:tcPr>
          <w:p w14:paraId="2D0A9649" w14:textId="77777777" w:rsidR="00D37A5C" w:rsidRPr="00F13073" w:rsidRDefault="00D37A5C" w:rsidP="0022741D">
            <w:pPr>
              <w:keepNext/>
              <w:suppressAutoHyphens/>
              <w:jc w:val="center"/>
              <w:rPr>
                <w:sz w:val="20"/>
                <w:szCs w:val="20"/>
              </w:rPr>
            </w:pPr>
            <w:r w:rsidRPr="00F13073">
              <w:rPr>
                <w:sz w:val="20"/>
                <w:szCs w:val="20"/>
              </w:rPr>
              <w:t>29 (17</w:t>
            </w:r>
            <w:r w:rsidR="007236D1" w:rsidRPr="00F13073">
              <w:rPr>
                <w:sz w:val="20"/>
                <w:szCs w:val="20"/>
              </w:rPr>
              <w:t>,</w:t>
            </w:r>
            <w:r w:rsidRPr="00F13073">
              <w:rPr>
                <w:sz w:val="20"/>
                <w:szCs w:val="20"/>
              </w:rPr>
              <w:t>9)</w:t>
            </w:r>
          </w:p>
        </w:tc>
        <w:tc>
          <w:tcPr>
            <w:tcW w:w="1979" w:type="dxa"/>
          </w:tcPr>
          <w:p w14:paraId="0A343242" w14:textId="77777777" w:rsidR="00D37A5C" w:rsidRPr="00F13073" w:rsidRDefault="00D37A5C" w:rsidP="0022741D">
            <w:pPr>
              <w:keepNext/>
              <w:suppressAutoHyphens/>
              <w:jc w:val="center"/>
              <w:rPr>
                <w:sz w:val="20"/>
                <w:szCs w:val="20"/>
              </w:rPr>
            </w:pPr>
            <w:r w:rsidRPr="00F13073">
              <w:rPr>
                <w:sz w:val="20"/>
                <w:szCs w:val="20"/>
              </w:rPr>
              <w:t>53 (32</w:t>
            </w:r>
            <w:r w:rsidR="007236D1" w:rsidRPr="00F13073">
              <w:rPr>
                <w:sz w:val="20"/>
                <w:szCs w:val="20"/>
              </w:rPr>
              <w:t>,</w:t>
            </w:r>
            <w:r w:rsidRPr="00F13073">
              <w:rPr>
                <w:sz w:val="20"/>
                <w:szCs w:val="20"/>
              </w:rPr>
              <w:t>5)</w:t>
            </w:r>
          </w:p>
        </w:tc>
        <w:tc>
          <w:tcPr>
            <w:tcW w:w="1564" w:type="dxa"/>
          </w:tcPr>
          <w:p w14:paraId="0F78C940" w14:textId="77777777" w:rsidR="00D37A5C" w:rsidRPr="00F13073" w:rsidRDefault="00D37A5C" w:rsidP="0022741D">
            <w:pPr>
              <w:keepNext/>
              <w:suppressAutoHyphens/>
              <w:jc w:val="center"/>
              <w:rPr>
                <w:sz w:val="20"/>
                <w:szCs w:val="20"/>
              </w:rPr>
            </w:pPr>
            <w:r w:rsidRPr="00F13073">
              <w:rPr>
                <w:sz w:val="20"/>
                <w:szCs w:val="20"/>
              </w:rPr>
              <w:t>0</w:t>
            </w:r>
            <w:r w:rsidR="007236D1" w:rsidRPr="00F13073">
              <w:rPr>
                <w:sz w:val="20"/>
                <w:szCs w:val="20"/>
              </w:rPr>
              <w:t>,</w:t>
            </w:r>
            <w:r w:rsidRPr="00F13073">
              <w:rPr>
                <w:sz w:val="20"/>
                <w:szCs w:val="20"/>
              </w:rPr>
              <w:t>0023</w:t>
            </w:r>
          </w:p>
        </w:tc>
      </w:tr>
    </w:tbl>
    <w:p w14:paraId="089E1996" w14:textId="77777777" w:rsidR="001E0975" w:rsidRPr="00F13073" w:rsidRDefault="00611033" w:rsidP="008B4C50">
      <w:pPr>
        <w:rPr>
          <w:i/>
          <w:iCs/>
          <w:sz w:val="18"/>
          <w:szCs w:val="18"/>
        </w:rPr>
      </w:pPr>
      <w:r w:rsidRPr="00F13073">
        <w:rPr>
          <w:i/>
          <w:iCs/>
          <w:sz w:val="18"/>
          <w:szCs w:val="18"/>
          <w:vertAlign w:val="superscript"/>
        </w:rPr>
        <w:t>a</w:t>
      </w:r>
      <w:r w:rsidR="00D37A5C" w:rsidRPr="00F13073">
        <w:rPr>
          <w:i/>
          <w:iCs/>
          <w:sz w:val="18"/>
          <w:szCs w:val="18"/>
        </w:rPr>
        <w:t xml:space="preserve"> </w:t>
      </w:r>
      <w:r w:rsidR="000F43E1" w:rsidRPr="00F13073">
        <w:rPr>
          <w:i/>
          <w:iCs/>
          <w:sz w:val="18"/>
          <w:szCs w:val="18"/>
        </w:rPr>
        <w:t>wartość p jest skorygowana pod względem regionu i czasu trwania RZS dla wszystkich punktów końcowych i dodatkowo wartości początkowej dla wszystkich ciągłych punktów końcowych.</w:t>
      </w:r>
    </w:p>
    <w:p w14:paraId="344837F4" w14:textId="77777777" w:rsidR="001E0975" w:rsidRPr="00F13073" w:rsidRDefault="00611033" w:rsidP="008B4C50">
      <w:pPr>
        <w:rPr>
          <w:i/>
          <w:iCs/>
          <w:sz w:val="18"/>
          <w:szCs w:val="18"/>
        </w:rPr>
      </w:pPr>
      <w:r w:rsidRPr="00F13073">
        <w:rPr>
          <w:i/>
          <w:iCs/>
          <w:sz w:val="18"/>
          <w:szCs w:val="18"/>
          <w:vertAlign w:val="superscript"/>
        </w:rPr>
        <w:t>b</w:t>
      </w:r>
      <w:r w:rsidRPr="00F13073">
        <w:rPr>
          <w:i/>
          <w:iCs/>
          <w:sz w:val="18"/>
          <w:szCs w:val="18"/>
        </w:rPr>
        <w:t xml:space="preserve"> </w:t>
      </w:r>
      <w:r w:rsidR="000F43E1" w:rsidRPr="00F13073">
        <w:rPr>
          <w:i/>
          <w:iCs/>
          <w:sz w:val="18"/>
          <w:szCs w:val="18"/>
        </w:rPr>
        <w:t>Brakujące dane kwalifikowano do grupy braku odpowiedzi. Wielokrotność kontrolowano metodą Bonferroni-Holm</w:t>
      </w:r>
    </w:p>
    <w:p w14:paraId="519768C7" w14:textId="77777777" w:rsidR="001E0975" w:rsidRPr="00F13073" w:rsidRDefault="001E0975" w:rsidP="008B4C50"/>
    <w:p w14:paraId="389B6BAA" w14:textId="77777777" w:rsidR="000A0598" w:rsidRPr="00F13073" w:rsidRDefault="000A0598" w:rsidP="008B4C50">
      <w:pPr>
        <w:pStyle w:val="a4"/>
        <w:widowControl/>
        <w:spacing w:after="0"/>
      </w:pPr>
      <w:r w:rsidRPr="00F13073">
        <w:rPr>
          <w:rStyle w:val="Char"/>
        </w:rPr>
        <w:t xml:space="preserve">Ogólny profil działań niepożądanych tocilizumabu i adalimumabu był zbliżony. Odsetek pacjentów, u których wystąpiły ciężkie działania niepożądane, był zbliżony w obu grupach (tocilizumab 11,7%, </w:t>
      </w:r>
      <w:r w:rsidRPr="00F13073">
        <w:rPr>
          <w:rStyle w:val="Char"/>
        </w:rPr>
        <w:lastRenderedPageBreak/>
        <w:t>adalimumab 9,9%). Rodzaj działań niepożądanych występujących u chorych leczonych tocilizumabem był spójny z wcześniej poznanym profilem bezpieczeństwa stosowania tocilizumabu i działania niepożądane były zgłaszane z podobną częstością w porównaniu do opisanych w Tabeli 1. Większą częstość występowania zakażeń i zarażeń pasożytniczych zgłaszano u chorych leczonych tocilizumabem (48% vs. 42%), bez różnic w częstości występowania ciężkich zakażeń (3.1%). Oba leki badane powodowały takie same rodzaje zmian laboratoryjnych parametrów bezpieczeństwa (spadek liczby granulocytów obojętnochłonnych i płytek, zwiększenie AlAT, AspAT oraz wzrost poziomu lipidów), jednak wielkość zmian i częstość występowania istotnych nieprawidłowości były większe w przypadku tocilizumabu w porównaniu z adalimumabem. U czterech (2,5%) pacjentów z grupy przyjmującej tocilizumab i dwóch (1,2%) pacjentów z grupy przyjmującej adalimumab wystąpiło zmniejszenie liczby granulocytów obojętnochłonnych stopnia 3. lub 4. wg CTC.</w:t>
      </w:r>
    </w:p>
    <w:p w14:paraId="3D7E3CA3" w14:textId="77777777" w:rsidR="000A0598" w:rsidRPr="00F13073" w:rsidRDefault="000A0598" w:rsidP="008B4C50">
      <w:pPr>
        <w:pStyle w:val="a4"/>
        <w:widowControl/>
        <w:spacing w:after="0"/>
        <w:rPr>
          <w:rStyle w:val="Char"/>
        </w:rPr>
      </w:pPr>
      <w:r w:rsidRPr="00F13073">
        <w:rPr>
          <w:rStyle w:val="Char"/>
        </w:rPr>
        <w:t>U jedenastu (6,8%) pacjentów z grupy przyjmującej tocilizumab i pięciu (3,1%) pacjentów z grupy przyjmującej adalimumab wystąpiło zwiększenie AlAT stopnia 2. lub wyższego wg CTC. Średnie zwiększenie stężenia LDL względem wartości początkowej wynosiło 0,64 mmol/l (25 mg/dl) u pacjentów przyjmujących tocilizumab oraz 0,19 mmol/l (7 mg/dl) u pacjentów przyjmujących adalimumab. Profil bezpieczeństwa obserwowany w grupie przyjmującej tocilizumab był zbliżony do dotychczas znanego profilu tocilizumabu; nie zaobserwowano żadnych nowych lub nieoczekiwanych działań niepożądanych (patrz Tabela 1).</w:t>
      </w:r>
    </w:p>
    <w:p w14:paraId="2EE917ED" w14:textId="77777777" w:rsidR="000A0598" w:rsidRPr="00F13073" w:rsidRDefault="000A0598" w:rsidP="008B4C50">
      <w:pPr>
        <w:pStyle w:val="a4"/>
        <w:widowControl/>
        <w:spacing w:after="0"/>
      </w:pPr>
    </w:p>
    <w:p w14:paraId="3F47A95A" w14:textId="77777777" w:rsidR="000A0598" w:rsidRPr="00F13073" w:rsidRDefault="000A0598" w:rsidP="008B4C50">
      <w:pPr>
        <w:pStyle w:val="a4"/>
        <w:widowControl/>
        <w:spacing w:after="0"/>
      </w:pPr>
      <w:r w:rsidRPr="00F13073">
        <w:rPr>
          <w:rStyle w:val="Char"/>
          <w:b/>
          <w:bCs/>
          <w:i/>
          <w:iCs/>
        </w:rPr>
        <w:t>Osoby dotychczas nieleczone MTX, wczesne RZS</w:t>
      </w:r>
    </w:p>
    <w:p w14:paraId="3B38BBC2" w14:textId="053A8045" w:rsidR="00D37A5C" w:rsidRPr="00F13073" w:rsidRDefault="000A0598" w:rsidP="00FC5893">
      <w:r w:rsidRPr="00F13073">
        <w:rPr>
          <w:rStyle w:val="Char"/>
          <w:rFonts w:eastAsia="DengXian"/>
        </w:rPr>
        <w:t>W trwającym przez 2 lata badaniu VII (WA19926), z planowaną po 52 tygodniach analizą wstępną, uczestniczyło 1162 dorosłych pacjentów z czynnym RZS o umiarkowanym lub ciężkim nasileniu we wczesnym stadium choroby (średni czas trwania RZS ≤ 6 miesięcy), nieleczonych wcześniej za pomocą MTX. Około 20% pacjentów było leczonych DMARD innym niż metotreksat. W ramach tego badania przez 104 tygodnie oceniano skuteczność w zakresie łagodzenia objawów oraz hamowania postępu uszkodzenia stawów leczenia skojarzonego za pomocą stosowanego dożylnie tocilizumabu w dawce 4 lub 8 mg/kg mc. co 4 tygodnie i MTX; tocilizumabu stosowanego dożylnie w monoterapii w dawce 8</w:t>
      </w:r>
      <w:r w:rsidR="00FC5893" w:rsidRPr="00F13073">
        <w:rPr>
          <w:rStyle w:val="Char"/>
          <w:rFonts w:eastAsia="DengXian"/>
        </w:rPr>
        <w:t> </w:t>
      </w:r>
      <w:r w:rsidRPr="00F13073">
        <w:rPr>
          <w:rStyle w:val="Char"/>
          <w:rFonts w:eastAsia="DengXian"/>
        </w:rPr>
        <w:t>mg/kg mc. oraz metotreksatu w monoterapii., Pierwszorzędowym punktem końcowym badania był odsetek pacjentów, którzy po 24 tygodniach osiągnęli remisję wg wskaźnika DAS28 (DAS28 &lt; 2,6). W grupach otrzymujących tocilizumab w dawce 8 mg/kg mc. + MTX oraz tocilizumab w monoterapii osiągnięto pierwszorzędowy punkt końcowy u istotnie większego odsetka pacjentów w porównaniu z grupą otrzymującą MTX w monoterapii. W grupie otrzymującej tocilizumab 8 mg/kg mc. + MTX wykazano również statystycznie istotną przewagę pod względem kluczowych drugorzędowych punktów końcowych. W grupie otrzymującej tocilizumab 8 mg/kg w monoterapii uzyskano większą liczbę odpowiedzi na leczenie pod względem wszystkich drugorzędowych punktów końcowych, w tym parametrów radiograficznych, w porównaniu z grupą otrzymującą metotreksat w monoterapii. W ramach tego badania analizowano również parametry remisji RZS wg definicji ACR/EULAR (wg zestawu kryteriów lub wg wskaźnika) jako z góry określone eksploracyjne punkty końcowe. W grupach otrzymujących tocilizumab obserwowano większe odsetki odpowiedzi. W Tabeli 7 przedstawiono wyniki badania VII.</w:t>
      </w:r>
    </w:p>
    <w:p w14:paraId="0A87E80F" w14:textId="77777777" w:rsidR="001E0975" w:rsidRPr="00F13073" w:rsidRDefault="001E0975" w:rsidP="008B4C50"/>
    <w:p w14:paraId="1ADE2E1D" w14:textId="77777777" w:rsidR="001E0975" w:rsidRPr="00F13073" w:rsidRDefault="00611033" w:rsidP="008B4C50">
      <w:pPr>
        <w:keepNext/>
        <w:ind w:left="1134" w:hanging="1134"/>
        <w:rPr>
          <w:i/>
          <w:iCs/>
        </w:rPr>
      </w:pPr>
      <w:r w:rsidRPr="00F13073">
        <w:rPr>
          <w:i/>
          <w:iCs/>
        </w:rPr>
        <w:lastRenderedPageBreak/>
        <w:t>Tab</w:t>
      </w:r>
      <w:r w:rsidR="006B567D" w:rsidRPr="00F13073">
        <w:rPr>
          <w:i/>
          <w:iCs/>
        </w:rPr>
        <w:t>e</w:t>
      </w:r>
      <w:r w:rsidRPr="00F13073">
        <w:rPr>
          <w:i/>
          <w:iCs/>
        </w:rPr>
        <w:t>l</w:t>
      </w:r>
      <w:r w:rsidR="00151606" w:rsidRPr="00F13073">
        <w:rPr>
          <w:i/>
          <w:iCs/>
        </w:rPr>
        <w:t>a</w:t>
      </w:r>
      <w:r w:rsidRPr="00F13073">
        <w:rPr>
          <w:i/>
          <w:iCs/>
        </w:rPr>
        <w:t xml:space="preserve"> 7</w:t>
      </w:r>
      <w:r w:rsidR="00151606" w:rsidRPr="00F13073">
        <w:rPr>
          <w:i/>
          <w:iCs/>
        </w:rPr>
        <w:t>.</w:t>
      </w:r>
      <w:r w:rsidR="00D37A5C" w:rsidRPr="00F13073">
        <w:rPr>
          <w:i/>
          <w:iCs/>
        </w:rPr>
        <w:tab/>
      </w:r>
      <w:r w:rsidR="00151606" w:rsidRPr="00F13073">
        <w:rPr>
          <w:i/>
          <w:iCs/>
        </w:rPr>
        <w:t>Wyniki badania VII (WA19926) dotyczące skuteczności u chorych na RZS we wczesnym etapie choroby, nieleczonych uprzednio MTX.</w:t>
      </w:r>
    </w:p>
    <w:p w14:paraId="589BDDE2" w14:textId="77777777" w:rsidR="00D37A5C" w:rsidRPr="00F13073" w:rsidRDefault="00D37A5C" w:rsidP="008B4C50">
      <w:pPr>
        <w:keepNext/>
        <w:ind w:left="1134" w:hanging="1134"/>
        <w:rPr>
          <w:i/>
          <w:iCs/>
        </w:rPr>
      </w:pPr>
    </w:p>
    <w:tbl>
      <w:tblPr>
        <w:tblOverlap w:val="neve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36"/>
        <w:gridCol w:w="2170"/>
        <w:gridCol w:w="1384"/>
        <w:gridCol w:w="1245"/>
        <w:gridCol w:w="1108"/>
        <w:gridCol w:w="1108"/>
      </w:tblGrid>
      <w:tr w:rsidR="00D21B43" w:rsidRPr="00F13073" w14:paraId="0EBDA388" w14:textId="77777777" w:rsidTr="00E2722E">
        <w:trPr>
          <w:cantSplit/>
          <w:tblHeader/>
        </w:trPr>
        <w:tc>
          <w:tcPr>
            <w:tcW w:w="4111" w:type="dxa"/>
            <w:gridSpan w:val="2"/>
            <w:vAlign w:val="bottom"/>
          </w:tcPr>
          <w:p w14:paraId="6E9C0EA6" w14:textId="77777777" w:rsidR="001E0975" w:rsidRPr="00F13073" w:rsidRDefault="001E0975" w:rsidP="008B4C50">
            <w:pPr>
              <w:keepNext/>
              <w:suppressAutoHyphens/>
              <w:rPr>
                <w:b/>
                <w:bCs/>
                <w:sz w:val="20"/>
                <w:szCs w:val="20"/>
              </w:rPr>
            </w:pPr>
          </w:p>
        </w:tc>
        <w:tc>
          <w:tcPr>
            <w:tcW w:w="1418" w:type="dxa"/>
            <w:vAlign w:val="bottom"/>
          </w:tcPr>
          <w:p w14:paraId="73EAF78E" w14:textId="77777777" w:rsidR="001E0975" w:rsidRPr="00F13073" w:rsidRDefault="00611033" w:rsidP="001029B8">
            <w:pPr>
              <w:keepNext/>
              <w:suppressAutoHyphens/>
              <w:jc w:val="center"/>
              <w:rPr>
                <w:b/>
                <w:bCs/>
                <w:sz w:val="20"/>
                <w:szCs w:val="20"/>
              </w:rPr>
            </w:pPr>
            <w:r w:rsidRPr="00F13073">
              <w:rPr>
                <w:b/>
                <w:bCs/>
                <w:sz w:val="20"/>
                <w:szCs w:val="20"/>
              </w:rPr>
              <w:t xml:space="preserve">TCZ </w:t>
            </w:r>
            <w:r w:rsidR="00D21B43" w:rsidRPr="00F13073">
              <w:rPr>
                <w:b/>
                <w:bCs/>
                <w:sz w:val="20"/>
                <w:szCs w:val="20"/>
              </w:rPr>
              <w:br/>
            </w:r>
            <w:r w:rsidRPr="00F13073">
              <w:rPr>
                <w:b/>
                <w:bCs/>
                <w:sz w:val="20"/>
                <w:szCs w:val="20"/>
              </w:rPr>
              <w:t xml:space="preserve">8 mg/kg </w:t>
            </w:r>
            <w:r w:rsidR="0048382A" w:rsidRPr="00F13073">
              <w:rPr>
                <w:b/>
                <w:bCs/>
                <w:sz w:val="20"/>
                <w:szCs w:val="20"/>
              </w:rPr>
              <w:t>mc.</w:t>
            </w:r>
            <w:r w:rsidR="00D21B43" w:rsidRPr="00F13073">
              <w:rPr>
                <w:b/>
                <w:bCs/>
                <w:sz w:val="20"/>
                <w:szCs w:val="20"/>
              </w:rPr>
              <w:br/>
            </w:r>
            <w:r w:rsidRPr="00F13073">
              <w:rPr>
                <w:b/>
                <w:bCs/>
                <w:sz w:val="20"/>
                <w:szCs w:val="20"/>
              </w:rPr>
              <w:t>+ MTX</w:t>
            </w:r>
          </w:p>
          <w:p w14:paraId="1827E92A" w14:textId="77777777" w:rsidR="001E0975" w:rsidRPr="00F13073" w:rsidRDefault="00611033" w:rsidP="001029B8">
            <w:pPr>
              <w:keepNext/>
              <w:suppressAutoHyphens/>
              <w:jc w:val="center"/>
              <w:rPr>
                <w:b/>
                <w:bCs/>
                <w:sz w:val="20"/>
                <w:szCs w:val="20"/>
              </w:rPr>
            </w:pPr>
            <w:r w:rsidRPr="00F13073">
              <w:rPr>
                <w:b/>
                <w:bCs/>
                <w:sz w:val="20"/>
                <w:szCs w:val="20"/>
              </w:rPr>
              <w:t>N=290</w:t>
            </w:r>
          </w:p>
        </w:tc>
        <w:tc>
          <w:tcPr>
            <w:tcW w:w="1275" w:type="dxa"/>
            <w:vAlign w:val="bottom"/>
          </w:tcPr>
          <w:p w14:paraId="4E28BD5C" w14:textId="77777777" w:rsidR="001E0975" w:rsidRPr="00F13073" w:rsidRDefault="00611033" w:rsidP="001029B8">
            <w:pPr>
              <w:keepNext/>
              <w:suppressAutoHyphens/>
              <w:jc w:val="center"/>
              <w:rPr>
                <w:b/>
                <w:bCs/>
                <w:sz w:val="20"/>
                <w:szCs w:val="20"/>
              </w:rPr>
            </w:pPr>
            <w:r w:rsidRPr="00F13073">
              <w:rPr>
                <w:b/>
                <w:bCs/>
                <w:sz w:val="20"/>
                <w:szCs w:val="20"/>
              </w:rPr>
              <w:t xml:space="preserve">TCZ </w:t>
            </w:r>
            <w:r w:rsidR="00D21B43" w:rsidRPr="00F13073">
              <w:rPr>
                <w:b/>
                <w:bCs/>
                <w:sz w:val="20"/>
                <w:szCs w:val="20"/>
              </w:rPr>
              <w:br/>
            </w:r>
            <w:r w:rsidRPr="00F13073">
              <w:rPr>
                <w:b/>
                <w:bCs/>
                <w:sz w:val="20"/>
                <w:szCs w:val="20"/>
              </w:rPr>
              <w:t xml:space="preserve">8 mg/kg </w:t>
            </w:r>
            <w:r w:rsidR="0048382A" w:rsidRPr="00F13073">
              <w:rPr>
                <w:b/>
                <w:bCs/>
                <w:sz w:val="20"/>
                <w:szCs w:val="20"/>
              </w:rPr>
              <w:t>mc.</w:t>
            </w:r>
            <w:r w:rsidR="00D21B43" w:rsidRPr="00F13073">
              <w:rPr>
                <w:b/>
                <w:bCs/>
                <w:sz w:val="20"/>
                <w:szCs w:val="20"/>
              </w:rPr>
              <w:br/>
            </w:r>
            <w:r w:rsidRPr="00F13073">
              <w:rPr>
                <w:b/>
                <w:bCs/>
                <w:sz w:val="20"/>
                <w:szCs w:val="20"/>
              </w:rPr>
              <w:t xml:space="preserve">+ placebo </w:t>
            </w:r>
            <w:r w:rsidR="00D21B43" w:rsidRPr="00F13073">
              <w:rPr>
                <w:b/>
                <w:bCs/>
                <w:sz w:val="20"/>
                <w:szCs w:val="20"/>
              </w:rPr>
              <w:br/>
            </w:r>
            <w:r w:rsidRPr="00F13073">
              <w:rPr>
                <w:b/>
                <w:bCs/>
                <w:sz w:val="20"/>
                <w:szCs w:val="20"/>
              </w:rPr>
              <w:t>N=292</w:t>
            </w:r>
          </w:p>
        </w:tc>
        <w:tc>
          <w:tcPr>
            <w:tcW w:w="1134" w:type="dxa"/>
            <w:vAlign w:val="bottom"/>
          </w:tcPr>
          <w:p w14:paraId="0BF548BE" w14:textId="77777777" w:rsidR="001E0975" w:rsidRPr="00F13073" w:rsidRDefault="00611033" w:rsidP="001029B8">
            <w:pPr>
              <w:keepNext/>
              <w:suppressAutoHyphens/>
              <w:jc w:val="center"/>
              <w:rPr>
                <w:b/>
                <w:bCs/>
                <w:sz w:val="20"/>
                <w:szCs w:val="20"/>
              </w:rPr>
            </w:pPr>
            <w:r w:rsidRPr="00F13073">
              <w:rPr>
                <w:b/>
                <w:bCs/>
                <w:sz w:val="20"/>
                <w:szCs w:val="20"/>
              </w:rPr>
              <w:t>TCZ</w:t>
            </w:r>
          </w:p>
          <w:p w14:paraId="5BF45E17" w14:textId="77777777" w:rsidR="001E0975" w:rsidRPr="00F13073" w:rsidRDefault="00611033" w:rsidP="001029B8">
            <w:pPr>
              <w:keepNext/>
              <w:suppressAutoHyphens/>
              <w:ind w:left="-107" w:right="-135"/>
              <w:jc w:val="center"/>
              <w:rPr>
                <w:b/>
                <w:bCs/>
                <w:sz w:val="20"/>
                <w:szCs w:val="20"/>
              </w:rPr>
            </w:pPr>
            <w:r w:rsidRPr="00F13073">
              <w:rPr>
                <w:b/>
                <w:bCs/>
                <w:sz w:val="20"/>
                <w:szCs w:val="20"/>
              </w:rPr>
              <w:t>4 mg/kg</w:t>
            </w:r>
            <w:r w:rsidR="0048382A" w:rsidRPr="00F13073">
              <w:rPr>
                <w:b/>
                <w:bCs/>
                <w:sz w:val="20"/>
                <w:szCs w:val="20"/>
              </w:rPr>
              <w:t xml:space="preserve"> mc.</w:t>
            </w:r>
          </w:p>
          <w:p w14:paraId="48CA739E" w14:textId="77777777" w:rsidR="001E0975" w:rsidRPr="00F13073" w:rsidRDefault="00611033" w:rsidP="001029B8">
            <w:pPr>
              <w:keepNext/>
              <w:suppressAutoHyphens/>
              <w:jc w:val="center"/>
              <w:rPr>
                <w:b/>
                <w:bCs/>
                <w:sz w:val="20"/>
                <w:szCs w:val="20"/>
              </w:rPr>
            </w:pPr>
            <w:r w:rsidRPr="00F13073">
              <w:rPr>
                <w:b/>
                <w:bCs/>
                <w:sz w:val="20"/>
                <w:szCs w:val="20"/>
              </w:rPr>
              <w:t>+</w:t>
            </w:r>
            <w:r w:rsidR="00D21B43" w:rsidRPr="00F13073">
              <w:rPr>
                <w:b/>
                <w:bCs/>
                <w:sz w:val="20"/>
                <w:szCs w:val="20"/>
              </w:rPr>
              <w:t xml:space="preserve"> </w:t>
            </w:r>
            <w:r w:rsidRPr="00F13073">
              <w:rPr>
                <w:b/>
                <w:bCs/>
                <w:sz w:val="20"/>
                <w:szCs w:val="20"/>
              </w:rPr>
              <w:t>MTX</w:t>
            </w:r>
          </w:p>
          <w:p w14:paraId="19C25762" w14:textId="77777777" w:rsidR="001E0975" w:rsidRPr="00F13073" w:rsidRDefault="00611033" w:rsidP="001029B8">
            <w:pPr>
              <w:keepNext/>
              <w:suppressAutoHyphens/>
              <w:jc w:val="center"/>
              <w:rPr>
                <w:b/>
                <w:bCs/>
                <w:sz w:val="20"/>
                <w:szCs w:val="20"/>
              </w:rPr>
            </w:pPr>
            <w:r w:rsidRPr="00F13073">
              <w:rPr>
                <w:b/>
                <w:bCs/>
                <w:sz w:val="20"/>
                <w:szCs w:val="20"/>
              </w:rPr>
              <w:t>N=288</w:t>
            </w:r>
          </w:p>
        </w:tc>
        <w:tc>
          <w:tcPr>
            <w:tcW w:w="1134" w:type="dxa"/>
            <w:vAlign w:val="bottom"/>
          </w:tcPr>
          <w:p w14:paraId="4F9EFC0E" w14:textId="77777777" w:rsidR="001E0975" w:rsidRPr="00F13073" w:rsidRDefault="00611033" w:rsidP="001029B8">
            <w:pPr>
              <w:keepNext/>
              <w:suppressAutoHyphens/>
              <w:jc w:val="center"/>
              <w:rPr>
                <w:b/>
                <w:bCs/>
                <w:sz w:val="20"/>
                <w:szCs w:val="20"/>
              </w:rPr>
            </w:pPr>
            <w:r w:rsidRPr="00F13073">
              <w:rPr>
                <w:b/>
                <w:bCs/>
                <w:sz w:val="20"/>
                <w:szCs w:val="20"/>
              </w:rPr>
              <w:t xml:space="preserve">Placebo </w:t>
            </w:r>
            <w:r w:rsidR="00D21B43" w:rsidRPr="00F13073">
              <w:rPr>
                <w:b/>
                <w:bCs/>
                <w:sz w:val="20"/>
                <w:szCs w:val="20"/>
              </w:rPr>
              <w:br/>
            </w:r>
            <w:r w:rsidRPr="00F13073">
              <w:rPr>
                <w:b/>
                <w:bCs/>
                <w:sz w:val="20"/>
                <w:szCs w:val="20"/>
              </w:rPr>
              <w:t>+ MTX</w:t>
            </w:r>
          </w:p>
          <w:p w14:paraId="21387A6E" w14:textId="77777777" w:rsidR="001E0975" w:rsidRPr="00F13073" w:rsidRDefault="00611033" w:rsidP="001029B8">
            <w:pPr>
              <w:keepNext/>
              <w:suppressAutoHyphens/>
              <w:jc w:val="center"/>
              <w:rPr>
                <w:b/>
                <w:bCs/>
                <w:sz w:val="20"/>
                <w:szCs w:val="20"/>
              </w:rPr>
            </w:pPr>
            <w:r w:rsidRPr="00F13073">
              <w:rPr>
                <w:b/>
                <w:bCs/>
                <w:sz w:val="20"/>
                <w:szCs w:val="20"/>
              </w:rPr>
              <w:t>N=287</w:t>
            </w:r>
          </w:p>
        </w:tc>
      </w:tr>
      <w:tr w:rsidR="001E0975" w:rsidRPr="00F13073" w14:paraId="12E51211" w14:textId="77777777" w:rsidTr="00E2722E">
        <w:trPr>
          <w:cantSplit/>
          <w:tblHeader/>
        </w:trPr>
        <w:tc>
          <w:tcPr>
            <w:tcW w:w="9072" w:type="dxa"/>
            <w:gridSpan w:val="6"/>
          </w:tcPr>
          <w:p w14:paraId="1C375C85" w14:textId="77777777" w:rsidR="001E0975" w:rsidRPr="00F13073" w:rsidRDefault="0096448C" w:rsidP="008B4C50">
            <w:pPr>
              <w:keepNext/>
              <w:suppressAutoHyphens/>
              <w:rPr>
                <w:b/>
                <w:bCs/>
                <w:sz w:val="20"/>
                <w:szCs w:val="20"/>
              </w:rPr>
            </w:pPr>
            <w:r w:rsidRPr="00F13073">
              <w:rPr>
                <w:b/>
                <w:bCs/>
                <w:sz w:val="20"/>
                <w:szCs w:val="20"/>
              </w:rPr>
              <w:t>Główny punkt końcowy</w:t>
            </w:r>
          </w:p>
        </w:tc>
      </w:tr>
      <w:tr w:rsidR="00D21B43" w:rsidRPr="00F13073" w14:paraId="7C14BA47" w14:textId="77777777" w:rsidTr="00E2722E">
        <w:trPr>
          <w:cantSplit/>
          <w:tblHeader/>
        </w:trPr>
        <w:tc>
          <w:tcPr>
            <w:tcW w:w="4111" w:type="dxa"/>
            <w:gridSpan w:val="2"/>
            <w:tcBorders>
              <w:bottom w:val="single" w:sz="4" w:space="0" w:color="auto"/>
            </w:tcBorders>
          </w:tcPr>
          <w:p w14:paraId="78F2CF0B" w14:textId="77777777" w:rsidR="001E0975" w:rsidRPr="00F13073" w:rsidRDefault="0096448C" w:rsidP="008B4C50">
            <w:pPr>
              <w:keepNext/>
              <w:suppressAutoHyphens/>
              <w:rPr>
                <w:sz w:val="20"/>
                <w:szCs w:val="20"/>
              </w:rPr>
            </w:pPr>
            <w:r w:rsidRPr="00F13073">
              <w:rPr>
                <w:sz w:val="20"/>
                <w:szCs w:val="20"/>
              </w:rPr>
              <w:t xml:space="preserve">Remisja wg </w:t>
            </w:r>
            <w:r w:rsidR="00611033" w:rsidRPr="00F13073">
              <w:rPr>
                <w:sz w:val="20"/>
                <w:szCs w:val="20"/>
              </w:rPr>
              <w:t>DAS28</w:t>
            </w:r>
          </w:p>
        </w:tc>
        <w:tc>
          <w:tcPr>
            <w:tcW w:w="1418" w:type="dxa"/>
          </w:tcPr>
          <w:p w14:paraId="15FDD408" w14:textId="77777777" w:rsidR="001E0975" w:rsidRPr="00F13073" w:rsidRDefault="001E0975" w:rsidP="008B4C50">
            <w:pPr>
              <w:keepNext/>
              <w:suppressAutoHyphens/>
              <w:rPr>
                <w:sz w:val="20"/>
                <w:szCs w:val="20"/>
              </w:rPr>
            </w:pPr>
          </w:p>
        </w:tc>
        <w:tc>
          <w:tcPr>
            <w:tcW w:w="1275" w:type="dxa"/>
          </w:tcPr>
          <w:p w14:paraId="45BBF446" w14:textId="77777777" w:rsidR="001E0975" w:rsidRPr="00F13073" w:rsidRDefault="001E0975" w:rsidP="008B4C50">
            <w:pPr>
              <w:keepNext/>
              <w:suppressAutoHyphens/>
              <w:rPr>
                <w:sz w:val="20"/>
                <w:szCs w:val="20"/>
              </w:rPr>
            </w:pPr>
          </w:p>
        </w:tc>
        <w:tc>
          <w:tcPr>
            <w:tcW w:w="1134" w:type="dxa"/>
          </w:tcPr>
          <w:p w14:paraId="5696F234" w14:textId="77777777" w:rsidR="001E0975" w:rsidRPr="00F13073" w:rsidRDefault="001E0975" w:rsidP="008B4C50">
            <w:pPr>
              <w:keepNext/>
              <w:suppressAutoHyphens/>
              <w:rPr>
                <w:sz w:val="20"/>
                <w:szCs w:val="20"/>
              </w:rPr>
            </w:pPr>
          </w:p>
        </w:tc>
        <w:tc>
          <w:tcPr>
            <w:tcW w:w="1134" w:type="dxa"/>
          </w:tcPr>
          <w:p w14:paraId="77D68762" w14:textId="77777777" w:rsidR="001E0975" w:rsidRPr="00F13073" w:rsidRDefault="001E0975" w:rsidP="008B4C50">
            <w:pPr>
              <w:keepNext/>
              <w:suppressAutoHyphens/>
              <w:rPr>
                <w:sz w:val="20"/>
                <w:szCs w:val="20"/>
              </w:rPr>
            </w:pPr>
          </w:p>
        </w:tc>
      </w:tr>
      <w:tr w:rsidR="00D21B43" w:rsidRPr="00F13073" w14:paraId="0220A50D" w14:textId="77777777" w:rsidTr="00E2722E">
        <w:trPr>
          <w:cantSplit/>
          <w:tblHeader/>
        </w:trPr>
        <w:tc>
          <w:tcPr>
            <w:tcW w:w="1884" w:type="dxa"/>
            <w:tcBorders>
              <w:right w:val="nil"/>
            </w:tcBorders>
          </w:tcPr>
          <w:p w14:paraId="423B236A" w14:textId="77777777" w:rsidR="00D21B43" w:rsidRPr="00F13073" w:rsidRDefault="0096448C" w:rsidP="008B4C50">
            <w:pPr>
              <w:suppressAutoHyphens/>
              <w:ind w:left="283"/>
              <w:rPr>
                <w:sz w:val="20"/>
                <w:szCs w:val="20"/>
              </w:rPr>
            </w:pPr>
            <w:r w:rsidRPr="00F13073">
              <w:rPr>
                <w:sz w:val="20"/>
                <w:szCs w:val="20"/>
              </w:rPr>
              <w:t xml:space="preserve">Tydzień </w:t>
            </w:r>
            <w:r w:rsidR="00D21B43" w:rsidRPr="00F13073">
              <w:rPr>
                <w:sz w:val="20"/>
                <w:szCs w:val="20"/>
              </w:rPr>
              <w:t>24</w:t>
            </w:r>
          </w:p>
        </w:tc>
        <w:tc>
          <w:tcPr>
            <w:tcW w:w="2227" w:type="dxa"/>
            <w:tcBorders>
              <w:left w:val="nil"/>
            </w:tcBorders>
          </w:tcPr>
          <w:p w14:paraId="71CA6974" w14:textId="77777777" w:rsidR="00D21B43" w:rsidRPr="00F13073" w:rsidRDefault="00D21B43" w:rsidP="008B4C50">
            <w:pPr>
              <w:rPr>
                <w:sz w:val="20"/>
                <w:szCs w:val="20"/>
              </w:rPr>
            </w:pPr>
            <w:r w:rsidRPr="00F13073">
              <w:rPr>
                <w:sz w:val="20"/>
                <w:szCs w:val="20"/>
              </w:rPr>
              <w:t>n (%)</w:t>
            </w:r>
          </w:p>
        </w:tc>
        <w:tc>
          <w:tcPr>
            <w:tcW w:w="1418" w:type="dxa"/>
          </w:tcPr>
          <w:p w14:paraId="7D3C8012" w14:textId="77777777" w:rsidR="00D21B43" w:rsidRPr="00F13073" w:rsidRDefault="00D21B43" w:rsidP="001029B8">
            <w:pPr>
              <w:suppressAutoHyphens/>
              <w:jc w:val="center"/>
              <w:rPr>
                <w:sz w:val="20"/>
                <w:szCs w:val="20"/>
              </w:rPr>
            </w:pPr>
            <w:r w:rsidRPr="00F13073">
              <w:rPr>
                <w:sz w:val="20"/>
                <w:szCs w:val="20"/>
              </w:rPr>
              <w:t>130 (44</w:t>
            </w:r>
            <w:r w:rsidR="0096448C" w:rsidRPr="00F13073">
              <w:rPr>
                <w:sz w:val="20"/>
                <w:szCs w:val="20"/>
              </w:rPr>
              <w:t>,</w:t>
            </w:r>
            <w:r w:rsidRPr="00F13073">
              <w:rPr>
                <w:sz w:val="20"/>
                <w:szCs w:val="20"/>
              </w:rPr>
              <w:t>8)***</w:t>
            </w:r>
          </w:p>
        </w:tc>
        <w:tc>
          <w:tcPr>
            <w:tcW w:w="1275" w:type="dxa"/>
          </w:tcPr>
          <w:p w14:paraId="150A3957" w14:textId="77777777" w:rsidR="00D21B43" w:rsidRPr="00F13073" w:rsidRDefault="00D21B43" w:rsidP="007D6DD9">
            <w:pPr>
              <w:suppressAutoHyphens/>
              <w:ind w:right="-108" w:hanging="108"/>
              <w:jc w:val="center"/>
              <w:rPr>
                <w:sz w:val="20"/>
                <w:szCs w:val="20"/>
              </w:rPr>
            </w:pPr>
            <w:r w:rsidRPr="00F13073">
              <w:rPr>
                <w:sz w:val="20"/>
                <w:szCs w:val="20"/>
              </w:rPr>
              <w:t>113 (38</w:t>
            </w:r>
            <w:r w:rsidR="0096448C" w:rsidRPr="00F13073">
              <w:rPr>
                <w:sz w:val="20"/>
                <w:szCs w:val="20"/>
              </w:rPr>
              <w:t>,</w:t>
            </w:r>
            <w:r w:rsidRPr="00F13073">
              <w:rPr>
                <w:sz w:val="20"/>
                <w:szCs w:val="20"/>
              </w:rPr>
              <w:t>7)***</w:t>
            </w:r>
          </w:p>
        </w:tc>
        <w:tc>
          <w:tcPr>
            <w:tcW w:w="1134" w:type="dxa"/>
          </w:tcPr>
          <w:p w14:paraId="44466964" w14:textId="77777777" w:rsidR="00D21B43" w:rsidRPr="00F13073" w:rsidRDefault="00D21B43" w:rsidP="001029B8">
            <w:pPr>
              <w:suppressAutoHyphens/>
              <w:jc w:val="center"/>
              <w:rPr>
                <w:sz w:val="20"/>
                <w:szCs w:val="20"/>
              </w:rPr>
            </w:pPr>
            <w:r w:rsidRPr="00F13073">
              <w:rPr>
                <w:sz w:val="20"/>
                <w:szCs w:val="20"/>
              </w:rPr>
              <w:t>92 (31</w:t>
            </w:r>
            <w:r w:rsidR="0096448C" w:rsidRPr="00F13073">
              <w:rPr>
                <w:sz w:val="20"/>
                <w:szCs w:val="20"/>
              </w:rPr>
              <w:t>,</w:t>
            </w:r>
            <w:r w:rsidRPr="00F13073">
              <w:rPr>
                <w:sz w:val="20"/>
                <w:szCs w:val="20"/>
              </w:rPr>
              <w:t>9)</w:t>
            </w:r>
          </w:p>
        </w:tc>
        <w:tc>
          <w:tcPr>
            <w:tcW w:w="1134" w:type="dxa"/>
          </w:tcPr>
          <w:p w14:paraId="5C45F04D" w14:textId="77777777" w:rsidR="00D21B43" w:rsidRPr="00F13073" w:rsidRDefault="00D21B43" w:rsidP="001029B8">
            <w:pPr>
              <w:suppressAutoHyphens/>
              <w:jc w:val="center"/>
              <w:rPr>
                <w:sz w:val="20"/>
                <w:szCs w:val="20"/>
              </w:rPr>
            </w:pPr>
            <w:r w:rsidRPr="00F13073">
              <w:rPr>
                <w:sz w:val="20"/>
                <w:szCs w:val="20"/>
              </w:rPr>
              <w:t>43 (15</w:t>
            </w:r>
            <w:r w:rsidR="0096448C" w:rsidRPr="00F13073">
              <w:rPr>
                <w:sz w:val="20"/>
                <w:szCs w:val="20"/>
              </w:rPr>
              <w:t>,</w:t>
            </w:r>
            <w:r w:rsidRPr="00F13073">
              <w:rPr>
                <w:sz w:val="20"/>
                <w:szCs w:val="20"/>
              </w:rPr>
              <w:t>0)</w:t>
            </w:r>
          </w:p>
        </w:tc>
      </w:tr>
      <w:tr w:rsidR="001E0975" w:rsidRPr="00F13073" w14:paraId="79FC4E0A" w14:textId="77777777" w:rsidTr="00E2722E">
        <w:trPr>
          <w:cantSplit/>
          <w:tblHeader/>
        </w:trPr>
        <w:tc>
          <w:tcPr>
            <w:tcW w:w="9072" w:type="dxa"/>
            <w:gridSpan w:val="6"/>
          </w:tcPr>
          <w:p w14:paraId="3968867D" w14:textId="77777777" w:rsidR="001E0975" w:rsidRPr="00F13073" w:rsidRDefault="0096448C" w:rsidP="008B4C50">
            <w:pPr>
              <w:keepNext/>
              <w:suppressAutoHyphens/>
              <w:rPr>
                <w:b/>
                <w:bCs/>
                <w:sz w:val="20"/>
                <w:szCs w:val="20"/>
              </w:rPr>
            </w:pPr>
            <w:r w:rsidRPr="00F13073">
              <w:rPr>
                <w:b/>
                <w:bCs/>
                <w:sz w:val="20"/>
                <w:szCs w:val="20"/>
              </w:rPr>
              <w:t>Kluczowe drugorzędowe punkty końcowe</w:t>
            </w:r>
          </w:p>
        </w:tc>
      </w:tr>
      <w:tr w:rsidR="00D21B43" w:rsidRPr="00F13073" w14:paraId="1148C363" w14:textId="77777777" w:rsidTr="00E2722E">
        <w:trPr>
          <w:cantSplit/>
          <w:tblHeader/>
        </w:trPr>
        <w:tc>
          <w:tcPr>
            <w:tcW w:w="4111" w:type="dxa"/>
            <w:gridSpan w:val="2"/>
            <w:tcBorders>
              <w:bottom w:val="single" w:sz="4" w:space="0" w:color="auto"/>
            </w:tcBorders>
          </w:tcPr>
          <w:p w14:paraId="5F4AC44D" w14:textId="77777777" w:rsidR="001E0975" w:rsidRPr="00F13073" w:rsidRDefault="0096448C" w:rsidP="008B4C50">
            <w:pPr>
              <w:keepNext/>
              <w:suppressAutoHyphens/>
              <w:rPr>
                <w:sz w:val="20"/>
                <w:szCs w:val="20"/>
              </w:rPr>
            </w:pPr>
            <w:r w:rsidRPr="00F13073">
              <w:rPr>
                <w:sz w:val="20"/>
                <w:szCs w:val="20"/>
              </w:rPr>
              <w:t xml:space="preserve">Remisja wg </w:t>
            </w:r>
            <w:r w:rsidR="00611033" w:rsidRPr="00F13073">
              <w:rPr>
                <w:sz w:val="20"/>
                <w:szCs w:val="20"/>
              </w:rPr>
              <w:t>DAS28</w:t>
            </w:r>
          </w:p>
        </w:tc>
        <w:tc>
          <w:tcPr>
            <w:tcW w:w="1418" w:type="dxa"/>
          </w:tcPr>
          <w:p w14:paraId="5259A2C0" w14:textId="77777777" w:rsidR="001E0975" w:rsidRPr="00F13073" w:rsidRDefault="001E0975" w:rsidP="001029B8">
            <w:pPr>
              <w:keepNext/>
              <w:suppressAutoHyphens/>
              <w:jc w:val="center"/>
              <w:rPr>
                <w:sz w:val="20"/>
                <w:szCs w:val="20"/>
              </w:rPr>
            </w:pPr>
          </w:p>
        </w:tc>
        <w:tc>
          <w:tcPr>
            <w:tcW w:w="1275" w:type="dxa"/>
          </w:tcPr>
          <w:p w14:paraId="53C5855A" w14:textId="77777777" w:rsidR="001E0975" w:rsidRPr="00F13073" w:rsidRDefault="001E0975" w:rsidP="001029B8">
            <w:pPr>
              <w:keepNext/>
              <w:suppressAutoHyphens/>
              <w:jc w:val="center"/>
              <w:rPr>
                <w:sz w:val="20"/>
                <w:szCs w:val="20"/>
              </w:rPr>
            </w:pPr>
          </w:p>
        </w:tc>
        <w:tc>
          <w:tcPr>
            <w:tcW w:w="1134" w:type="dxa"/>
          </w:tcPr>
          <w:p w14:paraId="5B99B339" w14:textId="77777777" w:rsidR="001E0975" w:rsidRPr="00F13073" w:rsidRDefault="001E0975" w:rsidP="001029B8">
            <w:pPr>
              <w:keepNext/>
              <w:suppressAutoHyphens/>
              <w:jc w:val="center"/>
              <w:rPr>
                <w:sz w:val="20"/>
                <w:szCs w:val="20"/>
              </w:rPr>
            </w:pPr>
          </w:p>
        </w:tc>
        <w:tc>
          <w:tcPr>
            <w:tcW w:w="1134" w:type="dxa"/>
          </w:tcPr>
          <w:p w14:paraId="327D7045" w14:textId="77777777" w:rsidR="001E0975" w:rsidRPr="00F13073" w:rsidRDefault="001E0975" w:rsidP="001029B8">
            <w:pPr>
              <w:keepNext/>
              <w:suppressAutoHyphens/>
              <w:jc w:val="center"/>
              <w:rPr>
                <w:sz w:val="20"/>
                <w:szCs w:val="20"/>
              </w:rPr>
            </w:pPr>
          </w:p>
        </w:tc>
      </w:tr>
      <w:tr w:rsidR="00D21B43" w:rsidRPr="00F13073" w14:paraId="583214BC" w14:textId="77777777" w:rsidTr="00E2722E">
        <w:trPr>
          <w:cantSplit/>
          <w:tblHeader/>
        </w:trPr>
        <w:tc>
          <w:tcPr>
            <w:tcW w:w="1884" w:type="dxa"/>
            <w:tcBorders>
              <w:right w:val="nil"/>
            </w:tcBorders>
          </w:tcPr>
          <w:p w14:paraId="2F7C68E9" w14:textId="77777777" w:rsidR="00D21B43" w:rsidRPr="00F13073" w:rsidRDefault="0096448C" w:rsidP="008B4C50">
            <w:pPr>
              <w:suppressAutoHyphens/>
              <w:ind w:left="283"/>
              <w:rPr>
                <w:sz w:val="20"/>
                <w:szCs w:val="20"/>
              </w:rPr>
            </w:pPr>
            <w:r w:rsidRPr="00F13073">
              <w:rPr>
                <w:sz w:val="20"/>
                <w:szCs w:val="20"/>
              </w:rPr>
              <w:t xml:space="preserve">Tydzień </w:t>
            </w:r>
            <w:r w:rsidR="00D21B43" w:rsidRPr="00F13073">
              <w:rPr>
                <w:sz w:val="20"/>
                <w:szCs w:val="20"/>
              </w:rPr>
              <w:t>52</w:t>
            </w:r>
          </w:p>
        </w:tc>
        <w:tc>
          <w:tcPr>
            <w:tcW w:w="2227" w:type="dxa"/>
            <w:tcBorders>
              <w:left w:val="nil"/>
            </w:tcBorders>
          </w:tcPr>
          <w:p w14:paraId="52D1721C" w14:textId="77777777" w:rsidR="00D21B43" w:rsidRPr="00F13073" w:rsidRDefault="00D21B43" w:rsidP="008B4C50">
            <w:pPr>
              <w:rPr>
                <w:sz w:val="20"/>
                <w:szCs w:val="20"/>
              </w:rPr>
            </w:pPr>
            <w:r w:rsidRPr="00F13073">
              <w:rPr>
                <w:sz w:val="20"/>
                <w:szCs w:val="20"/>
              </w:rPr>
              <w:t>n (%)</w:t>
            </w:r>
          </w:p>
        </w:tc>
        <w:tc>
          <w:tcPr>
            <w:tcW w:w="1418" w:type="dxa"/>
          </w:tcPr>
          <w:p w14:paraId="4813703E" w14:textId="77777777" w:rsidR="00D21B43" w:rsidRPr="00F13073" w:rsidRDefault="00D21B43" w:rsidP="001029B8">
            <w:pPr>
              <w:suppressAutoHyphens/>
              <w:jc w:val="center"/>
              <w:rPr>
                <w:sz w:val="20"/>
                <w:szCs w:val="20"/>
              </w:rPr>
            </w:pPr>
            <w:r w:rsidRPr="00F13073">
              <w:rPr>
                <w:sz w:val="20"/>
                <w:szCs w:val="20"/>
              </w:rPr>
              <w:t>142 (49</w:t>
            </w:r>
            <w:r w:rsidR="005F5F09" w:rsidRPr="00F13073">
              <w:rPr>
                <w:sz w:val="20"/>
                <w:szCs w:val="20"/>
              </w:rPr>
              <w:t>,</w:t>
            </w:r>
            <w:r w:rsidRPr="00F13073">
              <w:rPr>
                <w:sz w:val="20"/>
                <w:szCs w:val="20"/>
              </w:rPr>
              <w:t>0)***</w:t>
            </w:r>
          </w:p>
        </w:tc>
        <w:tc>
          <w:tcPr>
            <w:tcW w:w="1275" w:type="dxa"/>
          </w:tcPr>
          <w:p w14:paraId="2CC5CCB9" w14:textId="77777777" w:rsidR="00D21B43" w:rsidRPr="00F13073" w:rsidRDefault="00D21B43" w:rsidP="001029B8">
            <w:pPr>
              <w:suppressAutoHyphens/>
              <w:jc w:val="center"/>
              <w:rPr>
                <w:sz w:val="20"/>
                <w:szCs w:val="20"/>
              </w:rPr>
            </w:pPr>
            <w:r w:rsidRPr="00F13073">
              <w:rPr>
                <w:sz w:val="20"/>
                <w:szCs w:val="20"/>
              </w:rPr>
              <w:t>115 (39</w:t>
            </w:r>
            <w:r w:rsidR="005F5F09" w:rsidRPr="00F13073">
              <w:rPr>
                <w:sz w:val="20"/>
                <w:szCs w:val="20"/>
              </w:rPr>
              <w:t>,</w:t>
            </w:r>
            <w:r w:rsidRPr="00F13073">
              <w:rPr>
                <w:sz w:val="20"/>
                <w:szCs w:val="20"/>
              </w:rPr>
              <w:t>4)</w:t>
            </w:r>
          </w:p>
        </w:tc>
        <w:tc>
          <w:tcPr>
            <w:tcW w:w="1134" w:type="dxa"/>
          </w:tcPr>
          <w:p w14:paraId="3B4B92A6" w14:textId="77777777" w:rsidR="00D21B43" w:rsidRPr="00F13073" w:rsidRDefault="00D21B43" w:rsidP="001029B8">
            <w:pPr>
              <w:suppressAutoHyphens/>
              <w:jc w:val="center"/>
              <w:rPr>
                <w:sz w:val="20"/>
                <w:szCs w:val="20"/>
              </w:rPr>
            </w:pPr>
            <w:r w:rsidRPr="00F13073">
              <w:rPr>
                <w:sz w:val="20"/>
                <w:szCs w:val="20"/>
              </w:rPr>
              <w:t>98 (34</w:t>
            </w:r>
            <w:r w:rsidR="005F5F09" w:rsidRPr="00F13073">
              <w:rPr>
                <w:sz w:val="20"/>
                <w:szCs w:val="20"/>
              </w:rPr>
              <w:t>,</w:t>
            </w:r>
            <w:r w:rsidRPr="00F13073">
              <w:rPr>
                <w:sz w:val="20"/>
                <w:szCs w:val="20"/>
              </w:rPr>
              <w:t>0)</w:t>
            </w:r>
          </w:p>
        </w:tc>
        <w:tc>
          <w:tcPr>
            <w:tcW w:w="1134" w:type="dxa"/>
          </w:tcPr>
          <w:p w14:paraId="5D45C20B" w14:textId="77777777" w:rsidR="00D21B43" w:rsidRPr="00F13073" w:rsidRDefault="00D21B43" w:rsidP="001029B8">
            <w:pPr>
              <w:suppressAutoHyphens/>
              <w:jc w:val="center"/>
              <w:rPr>
                <w:sz w:val="20"/>
                <w:szCs w:val="20"/>
              </w:rPr>
            </w:pPr>
            <w:r w:rsidRPr="00F13073">
              <w:rPr>
                <w:sz w:val="20"/>
                <w:szCs w:val="20"/>
              </w:rPr>
              <w:t>56 (19</w:t>
            </w:r>
            <w:r w:rsidR="005F5F09" w:rsidRPr="00F13073">
              <w:rPr>
                <w:sz w:val="20"/>
                <w:szCs w:val="20"/>
              </w:rPr>
              <w:t>,</w:t>
            </w:r>
            <w:r w:rsidRPr="00F13073">
              <w:rPr>
                <w:sz w:val="20"/>
                <w:szCs w:val="20"/>
              </w:rPr>
              <w:t>5)</w:t>
            </w:r>
          </w:p>
        </w:tc>
      </w:tr>
      <w:tr w:rsidR="00D21B43" w:rsidRPr="00F13073" w14:paraId="761E355A" w14:textId="77777777" w:rsidTr="00E2722E">
        <w:trPr>
          <w:cantSplit/>
          <w:tblHeader/>
        </w:trPr>
        <w:tc>
          <w:tcPr>
            <w:tcW w:w="1884" w:type="dxa"/>
            <w:tcBorders>
              <w:right w:val="nil"/>
            </w:tcBorders>
          </w:tcPr>
          <w:p w14:paraId="145249FD" w14:textId="77777777" w:rsidR="00D21B43" w:rsidRPr="00F13073" w:rsidRDefault="00D21B43" w:rsidP="008B4C50">
            <w:pPr>
              <w:keepNext/>
              <w:suppressAutoHyphens/>
              <w:rPr>
                <w:sz w:val="20"/>
                <w:szCs w:val="20"/>
              </w:rPr>
            </w:pPr>
            <w:r w:rsidRPr="00F13073">
              <w:rPr>
                <w:sz w:val="20"/>
                <w:szCs w:val="20"/>
              </w:rPr>
              <w:t>ACR</w:t>
            </w:r>
          </w:p>
        </w:tc>
        <w:tc>
          <w:tcPr>
            <w:tcW w:w="2227" w:type="dxa"/>
            <w:tcBorders>
              <w:left w:val="nil"/>
            </w:tcBorders>
          </w:tcPr>
          <w:p w14:paraId="33ED32A5" w14:textId="77777777" w:rsidR="00D21B43" w:rsidRPr="00F13073" w:rsidRDefault="00D21B43" w:rsidP="008B4C50">
            <w:pPr>
              <w:keepNext/>
              <w:suppressAutoHyphens/>
              <w:rPr>
                <w:sz w:val="20"/>
                <w:szCs w:val="20"/>
              </w:rPr>
            </w:pPr>
          </w:p>
        </w:tc>
        <w:tc>
          <w:tcPr>
            <w:tcW w:w="1418" w:type="dxa"/>
          </w:tcPr>
          <w:p w14:paraId="2DBCC593" w14:textId="77777777" w:rsidR="00D21B43" w:rsidRPr="00F13073" w:rsidRDefault="00D21B43" w:rsidP="001029B8">
            <w:pPr>
              <w:keepNext/>
              <w:suppressAutoHyphens/>
              <w:jc w:val="center"/>
              <w:rPr>
                <w:sz w:val="20"/>
                <w:szCs w:val="20"/>
              </w:rPr>
            </w:pPr>
          </w:p>
        </w:tc>
        <w:tc>
          <w:tcPr>
            <w:tcW w:w="1275" w:type="dxa"/>
          </w:tcPr>
          <w:p w14:paraId="3DF465E1" w14:textId="77777777" w:rsidR="00D21B43" w:rsidRPr="00F13073" w:rsidRDefault="00D21B43" w:rsidP="001029B8">
            <w:pPr>
              <w:keepNext/>
              <w:suppressAutoHyphens/>
              <w:jc w:val="center"/>
              <w:rPr>
                <w:sz w:val="20"/>
                <w:szCs w:val="20"/>
              </w:rPr>
            </w:pPr>
          </w:p>
        </w:tc>
        <w:tc>
          <w:tcPr>
            <w:tcW w:w="1134" w:type="dxa"/>
          </w:tcPr>
          <w:p w14:paraId="63F53B88" w14:textId="77777777" w:rsidR="00D21B43" w:rsidRPr="00F13073" w:rsidRDefault="00D21B43" w:rsidP="001029B8">
            <w:pPr>
              <w:keepNext/>
              <w:suppressAutoHyphens/>
              <w:jc w:val="center"/>
              <w:rPr>
                <w:sz w:val="20"/>
                <w:szCs w:val="20"/>
              </w:rPr>
            </w:pPr>
          </w:p>
        </w:tc>
        <w:tc>
          <w:tcPr>
            <w:tcW w:w="1134" w:type="dxa"/>
          </w:tcPr>
          <w:p w14:paraId="51F9C598" w14:textId="77777777" w:rsidR="00D21B43" w:rsidRPr="00F13073" w:rsidRDefault="00D21B43" w:rsidP="001029B8">
            <w:pPr>
              <w:keepNext/>
              <w:suppressAutoHyphens/>
              <w:jc w:val="center"/>
              <w:rPr>
                <w:sz w:val="20"/>
                <w:szCs w:val="20"/>
              </w:rPr>
            </w:pPr>
          </w:p>
        </w:tc>
      </w:tr>
      <w:tr w:rsidR="00D21B43" w:rsidRPr="00F13073" w14:paraId="4BC84FA3" w14:textId="77777777" w:rsidTr="00E2722E">
        <w:trPr>
          <w:cantSplit/>
          <w:tblHeader/>
        </w:trPr>
        <w:tc>
          <w:tcPr>
            <w:tcW w:w="1884" w:type="dxa"/>
            <w:tcBorders>
              <w:right w:val="nil"/>
            </w:tcBorders>
          </w:tcPr>
          <w:p w14:paraId="7FF1B56D" w14:textId="77777777" w:rsidR="00D21B43" w:rsidRPr="00F13073" w:rsidRDefault="0096448C" w:rsidP="008B4C50">
            <w:pPr>
              <w:keepNext/>
              <w:suppressAutoHyphens/>
              <w:ind w:left="283"/>
              <w:rPr>
                <w:sz w:val="20"/>
                <w:szCs w:val="20"/>
              </w:rPr>
            </w:pPr>
            <w:r w:rsidRPr="00F13073">
              <w:rPr>
                <w:sz w:val="20"/>
                <w:szCs w:val="20"/>
              </w:rPr>
              <w:t xml:space="preserve">Tydzień </w:t>
            </w:r>
            <w:r w:rsidR="00D21B43" w:rsidRPr="00F13073">
              <w:rPr>
                <w:sz w:val="20"/>
                <w:szCs w:val="20"/>
              </w:rPr>
              <w:t>24</w:t>
            </w:r>
          </w:p>
        </w:tc>
        <w:tc>
          <w:tcPr>
            <w:tcW w:w="2227" w:type="dxa"/>
            <w:tcBorders>
              <w:left w:val="nil"/>
            </w:tcBorders>
          </w:tcPr>
          <w:p w14:paraId="76CA20FD" w14:textId="77777777" w:rsidR="00D21B43" w:rsidRPr="00F13073" w:rsidRDefault="00D21B43" w:rsidP="008B4C50">
            <w:pPr>
              <w:keepNext/>
              <w:rPr>
                <w:sz w:val="20"/>
                <w:szCs w:val="20"/>
              </w:rPr>
            </w:pPr>
            <w:r w:rsidRPr="00F13073">
              <w:rPr>
                <w:sz w:val="20"/>
                <w:szCs w:val="20"/>
              </w:rPr>
              <w:t>ACR20, n (%)</w:t>
            </w:r>
          </w:p>
        </w:tc>
        <w:tc>
          <w:tcPr>
            <w:tcW w:w="1418" w:type="dxa"/>
          </w:tcPr>
          <w:p w14:paraId="436076A2" w14:textId="77777777" w:rsidR="00D21B43" w:rsidRPr="00F13073" w:rsidRDefault="00D21B43" w:rsidP="001029B8">
            <w:pPr>
              <w:keepNext/>
              <w:suppressAutoHyphens/>
              <w:jc w:val="center"/>
              <w:rPr>
                <w:sz w:val="20"/>
                <w:szCs w:val="20"/>
              </w:rPr>
            </w:pPr>
            <w:r w:rsidRPr="00F13073">
              <w:rPr>
                <w:sz w:val="20"/>
                <w:szCs w:val="20"/>
              </w:rPr>
              <w:t>216 (74</w:t>
            </w:r>
            <w:r w:rsidR="005F5F09" w:rsidRPr="00F13073">
              <w:rPr>
                <w:sz w:val="20"/>
                <w:szCs w:val="20"/>
              </w:rPr>
              <w:t>,</w:t>
            </w:r>
            <w:r w:rsidRPr="00F13073">
              <w:rPr>
                <w:sz w:val="20"/>
                <w:szCs w:val="20"/>
              </w:rPr>
              <w:t>5)*</w:t>
            </w:r>
          </w:p>
        </w:tc>
        <w:tc>
          <w:tcPr>
            <w:tcW w:w="1275" w:type="dxa"/>
          </w:tcPr>
          <w:p w14:paraId="66B3EDE8" w14:textId="77777777" w:rsidR="00D21B43" w:rsidRPr="00F13073" w:rsidRDefault="00D21B43" w:rsidP="001029B8">
            <w:pPr>
              <w:keepNext/>
              <w:suppressAutoHyphens/>
              <w:jc w:val="center"/>
              <w:rPr>
                <w:sz w:val="20"/>
                <w:szCs w:val="20"/>
              </w:rPr>
            </w:pPr>
            <w:r w:rsidRPr="00F13073">
              <w:rPr>
                <w:sz w:val="20"/>
                <w:szCs w:val="20"/>
              </w:rPr>
              <w:t>205 (70</w:t>
            </w:r>
            <w:r w:rsidR="005F5F09" w:rsidRPr="00F13073">
              <w:rPr>
                <w:sz w:val="20"/>
                <w:szCs w:val="20"/>
              </w:rPr>
              <w:t>,</w:t>
            </w:r>
            <w:r w:rsidRPr="00F13073">
              <w:rPr>
                <w:sz w:val="20"/>
                <w:szCs w:val="20"/>
              </w:rPr>
              <w:t>2)</w:t>
            </w:r>
          </w:p>
        </w:tc>
        <w:tc>
          <w:tcPr>
            <w:tcW w:w="1134" w:type="dxa"/>
          </w:tcPr>
          <w:p w14:paraId="1FBABAF2" w14:textId="77777777" w:rsidR="00D21B43" w:rsidRPr="00F13073" w:rsidRDefault="00D21B43" w:rsidP="001029B8">
            <w:pPr>
              <w:keepNext/>
              <w:suppressAutoHyphens/>
              <w:jc w:val="center"/>
              <w:rPr>
                <w:sz w:val="20"/>
                <w:szCs w:val="20"/>
              </w:rPr>
            </w:pPr>
            <w:r w:rsidRPr="00F13073">
              <w:rPr>
                <w:sz w:val="20"/>
                <w:szCs w:val="20"/>
              </w:rPr>
              <w:t>212 (73</w:t>
            </w:r>
            <w:r w:rsidR="005F5F09" w:rsidRPr="00F13073">
              <w:rPr>
                <w:sz w:val="20"/>
                <w:szCs w:val="20"/>
              </w:rPr>
              <w:t>,</w:t>
            </w:r>
            <w:r w:rsidRPr="00F13073">
              <w:rPr>
                <w:sz w:val="20"/>
                <w:szCs w:val="20"/>
              </w:rPr>
              <w:t>6)</w:t>
            </w:r>
          </w:p>
        </w:tc>
        <w:tc>
          <w:tcPr>
            <w:tcW w:w="1134" w:type="dxa"/>
          </w:tcPr>
          <w:p w14:paraId="59A28B56" w14:textId="77777777" w:rsidR="00D21B43" w:rsidRPr="00F13073" w:rsidRDefault="00D21B43" w:rsidP="001029B8">
            <w:pPr>
              <w:keepNext/>
              <w:suppressAutoHyphens/>
              <w:jc w:val="center"/>
              <w:rPr>
                <w:sz w:val="20"/>
                <w:szCs w:val="20"/>
              </w:rPr>
            </w:pPr>
            <w:r w:rsidRPr="00F13073">
              <w:rPr>
                <w:sz w:val="20"/>
                <w:szCs w:val="20"/>
              </w:rPr>
              <w:t>187 (65</w:t>
            </w:r>
            <w:r w:rsidR="005F5F09" w:rsidRPr="00F13073">
              <w:rPr>
                <w:sz w:val="20"/>
                <w:szCs w:val="20"/>
              </w:rPr>
              <w:t>,</w:t>
            </w:r>
            <w:r w:rsidRPr="00F13073">
              <w:rPr>
                <w:sz w:val="20"/>
                <w:szCs w:val="20"/>
              </w:rPr>
              <w:t>2)</w:t>
            </w:r>
          </w:p>
        </w:tc>
      </w:tr>
      <w:tr w:rsidR="00D21B43" w:rsidRPr="00F13073" w14:paraId="4A62E30F" w14:textId="77777777" w:rsidTr="00E2722E">
        <w:trPr>
          <w:cantSplit/>
          <w:tblHeader/>
        </w:trPr>
        <w:tc>
          <w:tcPr>
            <w:tcW w:w="1884" w:type="dxa"/>
            <w:tcBorders>
              <w:right w:val="nil"/>
            </w:tcBorders>
          </w:tcPr>
          <w:p w14:paraId="5EA4018C" w14:textId="77777777" w:rsidR="00D21B43" w:rsidRPr="00F13073" w:rsidRDefault="00D21B43" w:rsidP="008B4C50">
            <w:pPr>
              <w:keepNext/>
              <w:suppressAutoHyphens/>
              <w:rPr>
                <w:sz w:val="20"/>
                <w:szCs w:val="20"/>
              </w:rPr>
            </w:pPr>
          </w:p>
        </w:tc>
        <w:tc>
          <w:tcPr>
            <w:tcW w:w="2227" w:type="dxa"/>
            <w:tcBorders>
              <w:left w:val="nil"/>
            </w:tcBorders>
          </w:tcPr>
          <w:p w14:paraId="54DC2FD3" w14:textId="77777777" w:rsidR="00D21B43" w:rsidRPr="00F13073" w:rsidRDefault="00D21B43" w:rsidP="008B4C50">
            <w:pPr>
              <w:keepNext/>
              <w:suppressAutoHyphens/>
              <w:rPr>
                <w:sz w:val="20"/>
                <w:szCs w:val="20"/>
              </w:rPr>
            </w:pPr>
            <w:r w:rsidRPr="00F13073">
              <w:rPr>
                <w:sz w:val="20"/>
                <w:szCs w:val="20"/>
              </w:rPr>
              <w:t>ACR50, n (%)</w:t>
            </w:r>
          </w:p>
        </w:tc>
        <w:tc>
          <w:tcPr>
            <w:tcW w:w="1418" w:type="dxa"/>
          </w:tcPr>
          <w:p w14:paraId="1E2394EF" w14:textId="77777777" w:rsidR="00D21B43" w:rsidRPr="00F13073" w:rsidRDefault="00D21B43" w:rsidP="001029B8">
            <w:pPr>
              <w:keepNext/>
              <w:suppressAutoHyphens/>
              <w:jc w:val="center"/>
              <w:rPr>
                <w:sz w:val="20"/>
                <w:szCs w:val="20"/>
              </w:rPr>
            </w:pPr>
            <w:r w:rsidRPr="00F13073">
              <w:rPr>
                <w:sz w:val="20"/>
                <w:szCs w:val="20"/>
              </w:rPr>
              <w:t>165 (56</w:t>
            </w:r>
            <w:r w:rsidR="005F5F09" w:rsidRPr="00F13073">
              <w:rPr>
                <w:sz w:val="20"/>
                <w:szCs w:val="20"/>
              </w:rPr>
              <w:t>,</w:t>
            </w:r>
            <w:r w:rsidRPr="00F13073">
              <w:rPr>
                <w:sz w:val="20"/>
                <w:szCs w:val="20"/>
              </w:rPr>
              <w:t>9)**</w:t>
            </w:r>
          </w:p>
        </w:tc>
        <w:tc>
          <w:tcPr>
            <w:tcW w:w="1275" w:type="dxa"/>
          </w:tcPr>
          <w:p w14:paraId="56156226" w14:textId="77777777" w:rsidR="00D21B43" w:rsidRPr="00F13073" w:rsidRDefault="00D21B43" w:rsidP="001029B8">
            <w:pPr>
              <w:keepNext/>
              <w:suppressAutoHyphens/>
              <w:jc w:val="center"/>
              <w:rPr>
                <w:sz w:val="20"/>
                <w:szCs w:val="20"/>
              </w:rPr>
            </w:pPr>
            <w:r w:rsidRPr="00F13073">
              <w:rPr>
                <w:sz w:val="20"/>
                <w:szCs w:val="20"/>
              </w:rPr>
              <w:t>139 (47</w:t>
            </w:r>
            <w:r w:rsidR="005F5F09" w:rsidRPr="00F13073">
              <w:rPr>
                <w:sz w:val="20"/>
                <w:szCs w:val="20"/>
              </w:rPr>
              <w:t>,</w:t>
            </w:r>
            <w:r w:rsidRPr="00F13073">
              <w:rPr>
                <w:sz w:val="20"/>
                <w:szCs w:val="20"/>
              </w:rPr>
              <w:t>6)</w:t>
            </w:r>
          </w:p>
        </w:tc>
        <w:tc>
          <w:tcPr>
            <w:tcW w:w="1134" w:type="dxa"/>
          </w:tcPr>
          <w:p w14:paraId="0D633708" w14:textId="77777777" w:rsidR="00D21B43" w:rsidRPr="00F13073" w:rsidRDefault="00D21B43" w:rsidP="001029B8">
            <w:pPr>
              <w:keepNext/>
              <w:suppressAutoHyphens/>
              <w:jc w:val="center"/>
              <w:rPr>
                <w:sz w:val="20"/>
                <w:szCs w:val="20"/>
              </w:rPr>
            </w:pPr>
            <w:r w:rsidRPr="00F13073">
              <w:rPr>
                <w:sz w:val="20"/>
                <w:szCs w:val="20"/>
              </w:rPr>
              <w:t>138 (47</w:t>
            </w:r>
            <w:r w:rsidR="005F5F09" w:rsidRPr="00F13073">
              <w:rPr>
                <w:sz w:val="20"/>
                <w:szCs w:val="20"/>
              </w:rPr>
              <w:t>,</w:t>
            </w:r>
            <w:r w:rsidRPr="00F13073">
              <w:rPr>
                <w:sz w:val="20"/>
                <w:szCs w:val="20"/>
              </w:rPr>
              <w:t>9)</w:t>
            </w:r>
          </w:p>
        </w:tc>
        <w:tc>
          <w:tcPr>
            <w:tcW w:w="1134" w:type="dxa"/>
          </w:tcPr>
          <w:p w14:paraId="3242DE9C" w14:textId="77777777" w:rsidR="00D21B43" w:rsidRPr="00F13073" w:rsidRDefault="00D21B43" w:rsidP="001029B8">
            <w:pPr>
              <w:keepNext/>
              <w:suppressAutoHyphens/>
              <w:jc w:val="center"/>
              <w:rPr>
                <w:sz w:val="20"/>
                <w:szCs w:val="20"/>
              </w:rPr>
            </w:pPr>
            <w:r w:rsidRPr="00F13073">
              <w:rPr>
                <w:sz w:val="20"/>
                <w:szCs w:val="20"/>
              </w:rPr>
              <w:t>124 (43</w:t>
            </w:r>
            <w:r w:rsidR="005F5F09" w:rsidRPr="00F13073">
              <w:rPr>
                <w:sz w:val="20"/>
                <w:szCs w:val="20"/>
              </w:rPr>
              <w:t>,</w:t>
            </w:r>
            <w:r w:rsidRPr="00F13073">
              <w:rPr>
                <w:sz w:val="20"/>
                <w:szCs w:val="20"/>
              </w:rPr>
              <w:t>2)</w:t>
            </w:r>
          </w:p>
        </w:tc>
      </w:tr>
      <w:tr w:rsidR="00D21B43" w:rsidRPr="00F13073" w14:paraId="32829CF2" w14:textId="77777777" w:rsidTr="00E2722E">
        <w:trPr>
          <w:cantSplit/>
          <w:tblHeader/>
        </w:trPr>
        <w:tc>
          <w:tcPr>
            <w:tcW w:w="1884" w:type="dxa"/>
            <w:tcBorders>
              <w:right w:val="nil"/>
            </w:tcBorders>
          </w:tcPr>
          <w:p w14:paraId="4EAD8EDD" w14:textId="77777777" w:rsidR="00D21B43" w:rsidRPr="00F13073" w:rsidRDefault="00D21B43" w:rsidP="008B4C50">
            <w:pPr>
              <w:suppressAutoHyphens/>
              <w:rPr>
                <w:sz w:val="20"/>
                <w:szCs w:val="20"/>
              </w:rPr>
            </w:pPr>
          </w:p>
        </w:tc>
        <w:tc>
          <w:tcPr>
            <w:tcW w:w="2227" w:type="dxa"/>
            <w:tcBorders>
              <w:left w:val="nil"/>
            </w:tcBorders>
          </w:tcPr>
          <w:p w14:paraId="734E9B02" w14:textId="77777777" w:rsidR="00D21B43" w:rsidRPr="00F13073" w:rsidRDefault="00D21B43" w:rsidP="008B4C50">
            <w:pPr>
              <w:suppressAutoHyphens/>
              <w:rPr>
                <w:sz w:val="20"/>
                <w:szCs w:val="20"/>
              </w:rPr>
            </w:pPr>
            <w:r w:rsidRPr="00F13073">
              <w:rPr>
                <w:sz w:val="20"/>
                <w:szCs w:val="20"/>
              </w:rPr>
              <w:t>ACR70, n (%)</w:t>
            </w:r>
          </w:p>
        </w:tc>
        <w:tc>
          <w:tcPr>
            <w:tcW w:w="1418" w:type="dxa"/>
          </w:tcPr>
          <w:p w14:paraId="299D9D0E" w14:textId="77777777" w:rsidR="00D21B43" w:rsidRPr="00F13073" w:rsidRDefault="00D21B43" w:rsidP="001029B8">
            <w:pPr>
              <w:suppressAutoHyphens/>
              <w:jc w:val="center"/>
              <w:rPr>
                <w:sz w:val="20"/>
                <w:szCs w:val="20"/>
              </w:rPr>
            </w:pPr>
            <w:r w:rsidRPr="00F13073">
              <w:rPr>
                <w:sz w:val="20"/>
                <w:szCs w:val="20"/>
              </w:rPr>
              <w:t>112 (38</w:t>
            </w:r>
            <w:r w:rsidR="005F5F09" w:rsidRPr="00F13073">
              <w:rPr>
                <w:sz w:val="20"/>
                <w:szCs w:val="20"/>
              </w:rPr>
              <w:t>,</w:t>
            </w:r>
            <w:r w:rsidRPr="00F13073">
              <w:rPr>
                <w:sz w:val="20"/>
                <w:szCs w:val="20"/>
              </w:rPr>
              <w:t>6)**</w:t>
            </w:r>
          </w:p>
        </w:tc>
        <w:tc>
          <w:tcPr>
            <w:tcW w:w="1275" w:type="dxa"/>
          </w:tcPr>
          <w:p w14:paraId="1E9EE958" w14:textId="77777777" w:rsidR="00D21B43" w:rsidRPr="00F13073" w:rsidRDefault="00D21B43" w:rsidP="001029B8">
            <w:pPr>
              <w:suppressAutoHyphens/>
              <w:jc w:val="center"/>
              <w:rPr>
                <w:sz w:val="20"/>
                <w:szCs w:val="20"/>
              </w:rPr>
            </w:pPr>
            <w:r w:rsidRPr="00F13073">
              <w:rPr>
                <w:sz w:val="20"/>
                <w:szCs w:val="20"/>
              </w:rPr>
              <w:t>88 (30</w:t>
            </w:r>
            <w:r w:rsidR="005F5F09" w:rsidRPr="00F13073">
              <w:rPr>
                <w:sz w:val="20"/>
                <w:szCs w:val="20"/>
              </w:rPr>
              <w:t>,</w:t>
            </w:r>
            <w:r w:rsidRPr="00F13073">
              <w:rPr>
                <w:sz w:val="20"/>
                <w:szCs w:val="20"/>
              </w:rPr>
              <w:t>1)</w:t>
            </w:r>
          </w:p>
        </w:tc>
        <w:tc>
          <w:tcPr>
            <w:tcW w:w="1134" w:type="dxa"/>
          </w:tcPr>
          <w:p w14:paraId="516AA4D7" w14:textId="77777777" w:rsidR="00D21B43" w:rsidRPr="00F13073" w:rsidRDefault="00D21B43" w:rsidP="001029B8">
            <w:pPr>
              <w:suppressAutoHyphens/>
              <w:jc w:val="center"/>
              <w:rPr>
                <w:sz w:val="20"/>
                <w:szCs w:val="20"/>
              </w:rPr>
            </w:pPr>
            <w:r w:rsidRPr="00F13073">
              <w:rPr>
                <w:sz w:val="20"/>
                <w:szCs w:val="20"/>
              </w:rPr>
              <w:t>100 (34</w:t>
            </w:r>
            <w:r w:rsidR="005F5F09" w:rsidRPr="00F13073">
              <w:rPr>
                <w:sz w:val="20"/>
                <w:szCs w:val="20"/>
              </w:rPr>
              <w:t>,</w:t>
            </w:r>
            <w:r w:rsidRPr="00F13073">
              <w:rPr>
                <w:sz w:val="20"/>
                <w:szCs w:val="20"/>
              </w:rPr>
              <w:t>7)</w:t>
            </w:r>
          </w:p>
        </w:tc>
        <w:tc>
          <w:tcPr>
            <w:tcW w:w="1134" w:type="dxa"/>
          </w:tcPr>
          <w:p w14:paraId="0342BE13" w14:textId="77777777" w:rsidR="00D21B43" w:rsidRPr="00F13073" w:rsidRDefault="00D21B43" w:rsidP="001029B8">
            <w:pPr>
              <w:suppressAutoHyphens/>
              <w:jc w:val="center"/>
              <w:rPr>
                <w:sz w:val="20"/>
                <w:szCs w:val="20"/>
              </w:rPr>
            </w:pPr>
            <w:r w:rsidRPr="00F13073">
              <w:rPr>
                <w:sz w:val="20"/>
                <w:szCs w:val="20"/>
              </w:rPr>
              <w:t>73 (25</w:t>
            </w:r>
            <w:r w:rsidR="005F5F09" w:rsidRPr="00F13073">
              <w:rPr>
                <w:sz w:val="20"/>
                <w:szCs w:val="20"/>
              </w:rPr>
              <w:t>,</w:t>
            </w:r>
            <w:r w:rsidRPr="00F13073">
              <w:rPr>
                <w:sz w:val="20"/>
                <w:szCs w:val="20"/>
              </w:rPr>
              <w:t>4)</w:t>
            </w:r>
          </w:p>
        </w:tc>
      </w:tr>
      <w:tr w:rsidR="00D21B43" w:rsidRPr="00F13073" w14:paraId="2D9698E0" w14:textId="77777777" w:rsidTr="00E2722E">
        <w:trPr>
          <w:cantSplit/>
          <w:tblHeader/>
        </w:trPr>
        <w:tc>
          <w:tcPr>
            <w:tcW w:w="1884" w:type="dxa"/>
            <w:tcBorders>
              <w:right w:val="nil"/>
            </w:tcBorders>
          </w:tcPr>
          <w:p w14:paraId="57CBB2AD" w14:textId="77777777" w:rsidR="00D21B43" w:rsidRPr="00F13073" w:rsidRDefault="0096448C" w:rsidP="008B4C50">
            <w:pPr>
              <w:keepNext/>
              <w:suppressAutoHyphens/>
              <w:ind w:left="283"/>
              <w:rPr>
                <w:sz w:val="20"/>
                <w:szCs w:val="20"/>
              </w:rPr>
            </w:pPr>
            <w:r w:rsidRPr="00F13073">
              <w:rPr>
                <w:sz w:val="20"/>
                <w:szCs w:val="20"/>
              </w:rPr>
              <w:t xml:space="preserve">Tydzień </w:t>
            </w:r>
            <w:r w:rsidR="00D21B43" w:rsidRPr="00F13073">
              <w:rPr>
                <w:sz w:val="20"/>
                <w:szCs w:val="20"/>
              </w:rPr>
              <w:t>52</w:t>
            </w:r>
          </w:p>
        </w:tc>
        <w:tc>
          <w:tcPr>
            <w:tcW w:w="2227" w:type="dxa"/>
            <w:tcBorders>
              <w:left w:val="nil"/>
            </w:tcBorders>
          </w:tcPr>
          <w:p w14:paraId="3C92819F" w14:textId="77777777" w:rsidR="00D21B43" w:rsidRPr="00F13073" w:rsidRDefault="00D21B43" w:rsidP="008B4C50">
            <w:pPr>
              <w:keepNext/>
              <w:rPr>
                <w:sz w:val="20"/>
                <w:szCs w:val="20"/>
              </w:rPr>
            </w:pPr>
            <w:r w:rsidRPr="00F13073">
              <w:rPr>
                <w:sz w:val="20"/>
                <w:szCs w:val="20"/>
              </w:rPr>
              <w:t>ACR20, n (%)</w:t>
            </w:r>
          </w:p>
        </w:tc>
        <w:tc>
          <w:tcPr>
            <w:tcW w:w="1418" w:type="dxa"/>
          </w:tcPr>
          <w:p w14:paraId="5B838461" w14:textId="77777777" w:rsidR="00D21B43" w:rsidRPr="00F13073" w:rsidRDefault="00D21B43" w:rsidP="001029B8">
            <w:pPr>
              <w:keepNext/>
              <w:suppressAutoHyphens/>
              <w:jc w:val="center"/>
              <w:rPr>
                <w:sz w:val="20"/>
                <w:szCs w:val="20"/>
              </w:rPr>
            </w:pPr>
            <w:r w:rsidRPr="00F13073">
              <w:rPr>
                <w:sz w:val="20"/>
                <w:szCs w:val="20"/>
              </w:rPr>
              <w:t>195 (67</w:t>
            </w:r>
            <w:r w:rsidR="005F5F09" w:rsidRPr="00F13073">
              <w:rPr>
                <w:sz w:val="20"/>
                <w:szCs w:val="20"/>
              </w:rPr>
              <w:t>,</w:t>
            </w:r>
            <w:r w:rsidRPr="00F13073">
              <w:rPr>
                <w:sz w:val="20"/>
                <w:szCs w:val="20"/>
              </w:rPr>
              <w:t>2)*</w:t>
            </w:r>
          </w:p>
        </w:tc>
        <w:tc>
          <w:tcPr>
            <w:tcW w:w="1275" w:type="dxa"/>
          </w:tcPr>
          <w:p w14:paraId="5F7A7259" w14:textId="77777777" w:rsidR="00D21B43" w:rsidRPr="00F13073" w:rsidRDefault="00D21B43" w:rsidP="001029B8">
            <w:pPr>
              <w:keepNext/>
              <w:suppressAutoHyphens/>
              <w:jc w:val="center"/>
              <w:rPr>
                <w:sz w:val="20"/>
                <w:szCs w:val="20"/>
              </w:rPr>
            </w:pPr>
            <w:r w:rsidRPr="00F13073">
              <w:rPr>
                <w:sz w:val="20"/>
                <w:szCs w:val="20"/>
              </w:rPr>
              <w:t>184 (63</w:t>
            </w:r>
            <w:r w:rsidR="005F5F09" w:rsidRPr="00F13073">
              <w:rPr>
                <w:sz w:val="20"/>
                <w:szCs w:val="20"/>
              </w:rPr>
              <w:t>,</w:t>
            </w:r>
            <w:r w:rsidRPr="00F13073">
              <w:rPr>
                <w:sz w:val="20"/>
                <w:szCs w:val="20"/>
              </w:rPr>
              <w:t>0)</w:t>
            </w:r>
          </w:p>
        </w:tc>
        <w:tc>
          <w:tcPr>
            <w:tcW w:w="1134" w:type="dxa"/>
          </w:tcPr>
          <w:p w14:paraId="7781BCDC" w14:textId="77777777" w:rsidR="00D21B43" w:rsidRPr="00F13073" w:rsidRDefault="00D21B43" w:rsidP="001029B8">
            <w:pPr>
              <w:keepNext/>
              <w:suppressAutoHyphens/>
              <w:jc w:val="center"/>
              <w:rPr>
                <w:sz w:val="20"/>
                <w:szCs w:val="20"/>
              </w:rPr>
            </w:pPr>
            <w:r w:rsidRPr="00F13073">
              <w:rPr>
                <w:sz w:val="20"/>
                <w:szCs w:val="20"/>
              </w:rPr>
              <w:t>181 (62</w:t>
            </w:r>
            <w:r w:rsidR="005F5F09" w:rsidRPr="00F13073">
              <w:rPr>
                <w:sz w:val="20"/>
                <w:szCs w:val="20"/>
              </w:rPr>
              <w:t>,</w:t>
            </w:r>
            <w:r w:rsidRPr="00F13073">
              <w:rPr>
                <w:sz w:val="20"/>
                <w:szCs w:val="20"/>
              </w:rPr>
              <w:t>8)</w:t>
            </w:r>
          </w:p>
        </w:tc>
        <w:tc>
          <w:tcPr>
            <w:tcW w:w="1134" w:type="dxa"/>
          </w:tcPr>
          <w:p w14:paraId="47373FC7" w14:textId="77777777" w:rsidR="00D21B43" w:rsidRPr="00F13073" w:rsidRDefault="00D21B43" w:rsidP="001029B8">
            <w:pPr>
              <w:keepNext/>
              <w:suppressAutoHyphens/>
              <w:jc w:val="center"/>
              <w:rPr>
                <w:sz w:val="20"/>
                <w:szCs w:val="20"/>
              </w:rPr>
            </w:pPr>
            <w:r w:rsidRPr="00F13073">
              <w:rPr>
                <w:sz w:val="20"/>
                <w:szCs w:val="20"/>
              </w:rPr>
              <w:t>164 (57</w:t>
            </w:r>
            <w:r w:rsidR="005F5F09" w:rsidRPr="00F13073">
              <w:rPr>
                <w:sz w:val="20"/>
                <w:szCs w:val="20"/>
              </w:rPr>
              <w:t>,</w:t>
            </w:r>
            <w:r w:rsidRPr="00F13073">
              <w:rPr>
                <w:sz w:val="20"/>
                <w:szCs w:val="20"/>
              </w:rPr>
              <w:t>1)</w:t>
            </w:r>
          </w:p>
        </w:tc>
      </w:tr>
      <w:tr w:rsidR="00D21B43" w:rsidRPr="00F13073" w14:paraId="2E6B3933" w14:textId="77777777" w:rsidTr="00E2722E">
        <w:trPr>
          <w:cantSplit/>
          <w:tblHeader/>
        </w:trPr>
        <w:tc>
          <w:tcPr>
            <w:tcW w:w="1884" w:type="dxa"/>
            <w:tcBorders>
              <w:right w:val="nil"/>
            </w:tcBorders>
          </w:tcPr>
          <w:p w14:paraId="05738C37" w14:textId="77777777" w:rsidR="00D21B43" w:rsidRPr="00F13073" w:rsidRDefault="00D21B43" w:rsidP="008B4C50">
            <w:pPr>
              <w:keepNext/>
              <w:suppressAutoHyphens/>
              <w:rPr>
                <w:sz w:val="20"/>
                <w:szCs w:val="20"/>
              </w:rPr>
            </w:pPr>
          </w:p>
        </w:tc>
        <w:tc>
          <w:tcPr>
            <w:tcW w:w="2227" w:type="dxa"/>
            <w:tcBorders>
              <w:left w:val="nil"/>
            </w:tcBorders>
          </w:tcPr>
          <w:p w14:paraId="3CD6CE5B" w14:textId="77777777" w:rsidR="00D21B43" w:rsidRPr="00F13073" w:rsidRDefault="00D21B43" w:rsidP="008B4C50">
            <w:pPr>
              <w:keepNext/>
              <w:suppressAutoHyphens/>
              <w:rPr>
                <w:sz w:val="20"/>
                <w:szCs w:val="20"/>
              </w:rPr>
            </w:pPr>
            <w:r w:rsidRPr="00F13073">
              <w:rPr>
                <w:sz w:val="20"/>
                <w:szCs w:val="20"/>
              </w:rPr>
              <w:t>ACR50, n (%)</w:t>
            </w:r>
          </w:p>
        </w:tc>
        <w:tc>
          <w:tcPr>
            <w:tcW w:w="1418" w:type="dxa"/>
          </w:tcPr>
          <w:p w14:paraId="17B751A0" w14:textId="77777777" w:rsidR="00D21B43" w:rsidRPr="00F13073" w:rsidRDefault="00D21B43" w:rsidP="001029B8">
            <w:pPr>
              <w:keepNext/>
              <w:suppressAutoHyphens/>
              <w:jc w:val="center"/>
              <w:rPr>
                <w:sz w:val="20"/>
                <w:szCs w:val="20"/>
              </w:rPr>
            </w:pPr>
            <w:r w:rsidRPr="00F13073">
              <w:rPr>
                <w:sz w:val="20"/>
                <w:szCs w:val="20"/>
              </w:rPr>
              <w:t>162 (55</w:t>
            </w:r>
            <w:r w:rsidR="005F5F09" w:rsidRPr="00F13073">
              <w:rPr>
                <w:sz w:val="20"/>
                <w:szCs w:val="20"/>
              </w:rPr>
              <w:t>,</w:t>
            </w:r>
            <w:r w:rsidRPr="00F13073">
              <w:rPr>
                <w:sz w:val="20"/>
                <w:szCs w:val="20"/>
              </w:rPr>
              <w:t>9)**</w:t>
            </w:r>
          </w:p>
        </w:tc>
        <w:tc>
          <w:tcPr>
            <w:tcW w:w="1275" w:type="dxa"/>
          </w:tcPr>
          <w:p w14:paraId="6EC3356C" w14:textId="77777777" w:rsidR="00D21B43" w:rsidRPr="00F13073" w:rsidRDefault="00D21B43" w:rsidP="001029B8">
            <w:pPr>
              <w:keepNext/>
              <w:suppressAutoHyphens/>
              <w:jc w:val="center"/>
              <w:rPr>
                <w:sz w:val="20"/>
                <w:szCs w:val="20"/>
              </w:rPr>
            </w:pPr>
            <w:r w:rsidRPr="00F13073">
              <w:rPr>
                <w:sz w:val="20"/>
                <w:szCs w:val="20"/>
              </w:rPr>
              <w:t>144 (49</w:t>
            </w:r>
            <w:r w:rsidR="005F5F09" w:rsidRPr="00F13073">
              <w:rPr>
                <w:sz w:val="20"/>
                <w:szCs w:val="20"/>
              </w:rPr>
              <w:t>,</w:t>
            </w:r>
            <w:r w:rsidRPr="00F13073">
              <w:rPr>
                <w:sz w:val="20"/>
                <w:szCs w:val="20"/>
              </w:rPr>
              <w:t>3)</w:t>
            </w:r>
          </w:p>
        </w:tc>
        <w:tc>
          <w:tcPr>
            <w:tcW w:w="1134" w:type="dxa"/>
          </w:tcPr>
          <w:p w14:paraId="51E56951" w14:textId="77777777" w:rsidR="00D21B43" w:rsidRPr="00F13073" w:rsidRDefault="00D21B43" w:rsidP="001029B8">
            <w:pPr>
              <w:keepNext/>
              <w:suppressAutoHyphens/>
              <w:jc w:val="center"/>
              <w:rPr>
                <w:sz w:val="20"/>
                <w:szCs w:val="20"/>
              </w:rPr>
            </w:pPr>
            <w:r w:rsidRPr="00F13073">
              <w:rPr>
                <w:sz w:val="20"/>
                <w:szCs w:val="20"/>
              </w:rPr>
              <w:t>151 (52</w:t>
            </w:r>
            <w:r w:rsidR="005F5F09" w:rsidRPr="00F13073">
              <w:rPr>
                <w:sz w:val="20"/>
                <w:szCs w:val="20"/>
              </w:rPr>
              <w:t>,</w:t>
            </w:r>
            <w:r w:rsidRPr="00F13073">
              <w:rPr>
                <w:sz w:val="20"/>
                <w:szCs w:val="20"/>
              </w:rPr>
              <w:t>4)</w:t>
            </w:r>
          </w:p>
        </w:tc>
        <w:tc>
          <w:tcPr>
            <w:tcW w:w="1134" w:type="dxa"/>
          </w:tcPr>
          <w:p w14:paraId="690636A5" w14:textId="77777777" w:rsidR="00D21B43" w:rsidRPr="00F13073" w:rsidRDefault="00D21B43" w:rsidP="001029B8">
            <w:pPr>
              <w:keepNext/>
              <w:suppressAutoHyphens/>
              <w:jc w:val="center"/>
              <w:rPr>
                <w:sz w:val="20"/>
                <w:szCs w:val="20"/>
              </w:rPr>
            </w:pPr>
            <w:r w:rsidRPr="00F13073">
              <w:rPr>
                <w:sz w:val="20"/>
                <w:szCs w:val="20"/>
              </w:rPr>
              <w:t>117 (40</w:t>
            </w:r>
            <w:r w:rsidR="005F5F09" w:rsidRPr="00F13073">
              <w:rPr>
                <w:sz w:val="20"/>
                <w:szCs w:val="20"/>
              </w:rPr>
              <w:t>,</w:t>
            </w:r>
            <w:r w:rsidRPr="00F13073">
              <w:rPr>
                <w:sz w:val="20"/>
                <w:szCs w:val="20"/>
              </w:rPr>
              <w:t>8)</w:t>
            </w:r>
          </w:p>
        </w:tc>
      </w:tr>
      <w:tr w:rsidR="00D21B43" w:rsidRPr="00F13073" w14:paraId="3027DA33" w14:textId="77777777" w:rsidTr="00E2722E">
        <w:trPr>
          <w:cantSplit/>
          <w:tblHeader/>
        </w:trPr>
        <w:tc>
          <w:tcPr>
            <w:tcW w:w="1884" w:type="dxa"/>
            <w:tcBorders>
              <w:right w:val="nil"/>
            </w:tcBorders>
          </w:tcPr>
          <w:p w14:paraId="627E2A86" w14:textId="77777777" w:rsidR="00D21B43" w:rsidRPr="00F13073" w:rsidRDefault="00D21B43" w:rsidP="008B4C50">
            <w:pPr>
              <w:suppressAutoHyphens/>
              <w:rPr>
                <w:sz w:val="20"/>
                <w:szCs w:val="20"/>
              </w:rPr>
            </w:pPr>
          </w:p>
        </w:tc>
        <w:tc>
          <w:tcPr>
            <w:tcW w:w="2227" w:type="dxa"/>
            <w:tcBorders>
              <w:left w:val="nil"/>
            </w:tcBorders>
          </w:tcPr>
          <w:p w14:paraId="1D323E15" w14:textId="77777777" w:rsidR="00D21B43" w:rsidRPr="00F13073" w:rsidRDefault="00D21B43" w:rsidP="008B4C50">
            <w:pPr>
              <w:suppressAutoHyphens/>
              <w:rPr>
                <w:sz w:val="20"/>
                <w:szCs w:val="20"/>
              </w:rPr>
            </w:pPr>
            <w:r w:rsidRPr="00F13073">
              <w:rPr>
                <w:sz w:val="20"/>
                <w:szCs w:val="20"/>
              </w:rPr>
              <w:t>ACR70, n (%)</w:t>
            </w:r>
          </w:p>
        </w:tc>
        <w:tc>
          <w:tcPr>
            <w:tcW w:w="1418" w:type="dxa"/>
          </w:tcPr>
          <w:p w14:paraId="2B847895" w14:textId="77777777" w:rsidR="00D21B43" w:rsidRPr="00F13073" w:rsidRDefault="00D21B43" w:rsidP="001029B8">
            <w:pPr>
              <w:suppressAutoHyphens/>
              <w:jc w:val="center"/>
              <w:rPr>
                <w:sz w:val="20"/>
                <w:szCs w:val="20"/>
              </w:rPr>
            </w:pPr>
            <w:r w:rsidRPr="00F13073">
              <w:rPr>
                <w:sz w:val="20"/>
                <w:szCs w:val="20"/>
              </w:rPr>
              <w:t>125 (43</w:t>
            </w:r>
            <w:r w:rsidR="005F5F09" w:rsidRPr="00F13073">
              <w:rPr>
                <w:sz w:val="20"/>
                <w:szCs w:val="20"/>
              </w:rPr>
              <w:t>,</w:t>
            </w:r>
            <w:r w:rsidRPr="00F13073">
              <w:rPr>
                <w:sz w:val="20"/>
                <w:szCs w:val="20"/>
              </w:rPr>
              <w:t>1)**</w:t>
            </w:r>
          </w:p>
        </w:tc>
        <w:tc>
          <w:tcPr>
            <w:tcW w:w="1275" w:type="dxa"/>
          </w:tcPr>
          <w:p w14:paraId="1412B483" w14:textId="77777777" w:rsidR="00D21B43" w:rsidRPr="00F13073" w:rsidRDefault="00D21B43" w:rsidP="001029B8">
            <w:pPr>
              <w:suppressAutoHyphens/>
              <w:jc w:val="center"/>
              <w:rPr>
                <w:sz w:val="20"/>
                <w:szCs w:val="20"/>
              </w:rPr>
            </w:pPr>
            <w:r w:rsidRPr="00F13073">
              <w:rPr>
                <w:sz w:val="20"/>
                <w:szCs w:val="20"/>
              </w:rPr>
              <w:t>105 (36</w:t>
            </w:r>
            <w:r w:rsidR="005F5F09" w:rsidRPr="00F13073">
              <w:rPr>
                <w:sz w:val="20"/>
                <w:szCs w:val="20"/>
              </w:rPr>
              <w:t>,</w:t>
            </w:r>
            <w:r w:rsidRPr="00F13073">
              <w:rPr>
                <w:sz w:val="20"/>
                <w:szCs w:val="20"/>
              </w:rPr>
              <w:t>0)</w:t>
            </w:r>
          </w:p>
        </w:tc>
        <w:tc>
          <w:tcPr>
            <w:tcW w:w="1134" w:type="dxa"/>
          </w:tcPr>
          <w:p w14:paraId="2CA3CAE6" w14:textId="77777777" w:rsidR="00D21B43" w:rsidRPr="00F13073" w:rsidRDefault="00D21B43" w:rsidP="001029B8">
            <w:pPr>
              <w:suppressAutoHyphens/>
              <w:jc w:val="center"/>
              <w:rPr>
                <w:sz w:val="20"/>
                <w:szCs w:val="20"/>
              </w:rPr>
            </w:pPr>
            <w:r w:rsidRPr="00F13073">
              <w:rPr>
                <w:sz w:val="20"/>
                <w:szCs w:val="20"/>
              </w:rPr>
              <w:t>107 (37</w:t>
            </w:r>
            <w:r w:rsidR="005F5F09" w:rsidRPr="00F13073">
              <w:rPr>
                <w:sz w:val="20"/>
                <w:szCs w:val="20"/>
              </w:rPr>
              <w:t>,</w:t>
            </w:r>
            <w:r w:rsidRPr="00F13073">
              <w:rPr>
                <w:sz w:val="20"/>
                <w:szCs w:val="20"/>
              </w:rPr>
              <w:t>2)</w:t>
            </w:r>
          </w:p>
        </w:tc>
        <w:tc>
          <w:tcPr>
            <w:tcW w:w="1134" w:type="dxa"/>
          </w:tcPr>
          <w:p w14:paraId="22ABB412" w14:textId="77777777" w:rsidR="00D21B43" w:rsidRPr="00F13073" w:rsidRDefault="00D21B43" w:rsidP="001029B8">
            <w:pPr>
              <w:suppressAutoHyphens/>
              <w:jc w:val="center"/>
              <w:rPr>
                <w:sz w:val="20"/>
                <w:szCs w:val="20"/>
              </w:rPr>
            </w:pPr>
            <w:r w:rsidRPr="00F13073">
              <w:rPr>
                <w:sz w:val="20"/>
                <w:szCs w:val="20"/>
              </w:rPr>
              <w:t>83 (28</w:t>
            </w:r>
            <w:r w:rsidR="005F5F09" w:rsidRPr="00F13073">
              <w:rPr>
                <w:sz w:val="20"/>
                <w:szCs w:val="20"/>
              </w:rPr>
              <w:t>,</w:t>
            </w:r>
            <w:r w:rsidRPr="00F13073">
              <w:rPr>
                <w:sz w:val="20"/>
                <w:szCs w:val="20"/>
              </w:rPr>
              <w:t>9)</w:t>
            </w:r>
          </w:p>
        </w:tc>
      </w:tr>
      <w:tr w:rsidR="00D21B43" w:rsidRPr="00F13073" w14:paraId="316F2400" w14:textId="77777777" w:rsidTr="00E2722E">
        <w:trPr>
          <w:cantSplit/>
          <w:tblHeader/>
        </w:trPr>
        <w:tc>
          <w:tcPr>
            <w:tcW w:w="4111" w:type="dxa"/>
            <w:gridSpan w:val="2"/>
          </w:tcPr>
          <w:p w14:paraId="03EAB132" w14:textId="77777777" w:rsidR="001E0975" w:rsidRPr="00F13073" w:rsidRDefault="00B87279" w:rsidP="008B4C50">
            <w:pPr>
              <w:keepNext/>
              <w:suppressAutoHyphens/>
              <w:rPr>
                <w:sz w:val="20"/>
                <w:szCs w:val="20"/>
              </w:rPr>
            </w:pPr>
            <w:r w:rsidRPr="00F13073">
              <w:rPr>
                <w:sz w:val="20"/>
                <w:szCs w:val="20"/>
              </w:rPr>
              <w:t>Kwestionariusz HAQ-DI (średnia skorygowana zmiana wobec wartości wyjściowej)</w:t>
            </w:r>
          </w:p>
        </w:tc>
        <w:tc>
          <w:tcPr>
            <w:tcW w:w="1418" w:type="dxa"/>
          </w:tcPr>
          <w:p w14:paraId="5D9C7665" w14:textId="77777777" w:rsidR="001E0975" w:rsidRPr="00F13073" w:rsidRDefault="001E0975" w:rsidP="001029B8">
            <w:pPr>
              <w:keepNext/>
              <w:suppressAutoHyphens/>
              <w:jc w:val="center"/>
              <w:rPr>
                <w:sz w:val="20"/>
                <w:szCs w:val="20"/>
              </w:rPr>
            </w:pPr>
          </w:p>
        </w:tc>
        <w:tc>
          <w:tcPr>
            <w:tcW w:w="1275" w:type="dxa"/>
          </w:tcPr>
          <w:p w14:paraId="5676F97A" w14:textId="77777777" w:rsidR="001E0975" w:rsidRPr="00F13073" w:rsidRDefault="001E0975" w:rsidP="001029B8">
            <w:pPr>
              <w:keepNext/>
              <w:suppressAutoHyphens/>
              <w:jc w:val="center"/>
              <w:rPr>
                <w:sz w:val="20"/>
                <w:szCs w:val="20"/>
              </w:rPr>
            </w:pPr>
          </w:p>
        </w:tc>
        <w:tc>
          <w:tcPr>
            <w:tcW w:w="1134" w:type="dxa"/>
          </w:tcPr>
          <w:p w14:paraId="2D4D8FAB" w14:textId="77777777" w:rsidR="001E0975" w:rsidRPr="00F13073" w:rsidRDefault="001E0975" w:rsidP="001029B8">
            <w:pPr>
              <w:keepNext/>
              <w:suppressAutoHyphens/>
              <w:jc w:val="center"/>
              <w:rPr>
                <w:sz w:val="20"/>
                <w:szCs w:val="20"/>
              </w:rPr>
            </w:pPr>
          </w:p>
        </w:tc>
        <w:tc>
          <w:tcPr>
            <w:tcW w:w="1134" w:type="dxa"/>
          </w:tcPr>
          <w:p w14:paraId="138D5E81" w14:textId="77777777" w:rsidR="001E0975" w:rsidRPr="00F13073" w:rsidRDefault="001E0975" w:rsidP="001029B8">
            <w:pPr>
              <w:keepNext/>
              <w:suppressAutoHyphens/>
              <w:jc w:val="center"/>
              <w:rPr>
                <w:sz w:val="20"/>
                <w:szCs w:val="20"/>
              </w:rPr>
            </w:pPr>
          </w:p>
        </w:tc>
      </w:tr>
      <w:tr w:rsidR="00D21B43" w:rsidRPr="00F13073" w14:paraId="6358A96D" w14:textId="77777777" w:rsidTr="00E2722E">
        <w:trPr>
          <w:cantSplit/>
          <w:tblHeader/>
        </w:trPr>
        <w:tc>
          <w:tcPr>
            <w:tcW w:w="4111" w:type="dxa"/>
            <w:gridSpan w:val="2"/>
          </w:tcPr>
          <w:p w14:paraId="0FC4E321" w14:textId="77777777" w:rsidR="001E0975" w:rsidRPr="00F13073" w:rsidRDefault="0096448C" w:rsidP="008B4C50">
            <w:pPr>
              <w:suppressAutoHyphens/>
              <w:ind w:left="283"/>
              <w:rPr>
                <w:sz w:val="20"/>
                <w:szCs w:val="20"/>
              </w:rPr>
            </w:pPr>
            <w:r w:rsidRPr="00F13073">
              <w:rPr>
                <w:sz w:val="20"/>
                <w:szCs w:val="20"/>
              </w:rPr>
              <w:t xml:space="preserve">Tydzień </w:t>
            </w:r>
            <w:r w:rsidR="00611033" w:rsidRPr="00F13073">
              <w:rPr>
                <w:sz w:val="20"/>
                <w:szCs w:val="20"/>
              </w:rPr>
              <w:t>52</w:t>
            </w:r>
          </w:p>
        </w:tc>
        <w:tc>
          <w:tcPr>
            <w:tcW w:w="1418" w:type="dxa"/>
          </w:tcPr>
          <w:p w14:paraId="0F4A1546" w14:textId="77777777" w:rsidR="001E0975" w:rsidRPr="00F13073" w:rsidRDefault="00611033" w:rsidP="001029B8">
            <w:pPr>
              <w:suppressAutoHyphens/>
              <w:jc w:val="center"/>
              <w:rPr>
                <w:sz w:val="20"/>
                <w:szCs w:val="20"/>
              </w:rPr>
            </w:pPr>
            <w:r w:rsidRPr="00F13073">
              <w:rPr>
                <w:sz w:val="20"/>
                <w:szCs w:val="20"/>
              </w:rPr>
              <w:t>-0</w:t>
            </w:r>
            <w:r w:rsidR="005F5F09" w:rsidRPr="00F13073">
              <w:rPr>
                <w:sz w:val="20"/>
                <w:szCs w:val="20"/>
              </w:rPr>
              <w:t>,</w:t>
            </w:r>
            <w:r w:rsidRPr="00F13073">
              <w:rPr>
                <w:sz w:val="20"/>
                <w:szCs w:val="20"/>
              </w:rPr>
              <w:t>81*</w:t>
            </w:r>
          </w:p>
        </w:tc>
        <w:tc>
          <w:tcPr>
            <w:tcW w:w="1275" w:type="dxa"/>
          </w:tcPr>
          <w:p w14:paraId="281EDF52" w14:textId="77777777" w:rsidR="001E0975" w:rsidRPr="00F13073" w:rsidRDefault="00611033" w:rsidP="001029B8">
            <w:pPr>
              <w:suppressAutoHyphens/>
              <w:jc w:val="center"/>
              <w:rPr>
                <w:sz w:val="20"/>
                <w:szCs w:val="20"/>
              </w:rPr>
            </w:pPr>
            <w:r w:rsidRPr="00F13073">
              <w:rPr>
                <w:sz w:val="20"/>
                <w:szCs w:val="20"/>
              </w:rPr>
              <w:t>-0</w:t>
            </w:r>
            <w:r w:rsidR="005F5F09" w:rsidRPr="00F13073">
              <w:rPr>
                <w:sz w:val="20"/>
                <w:szCs w:val="20"/>
              </w:rPr>
              <w:t>,</w:t>
            </w:r>
            <w:r w:rsidRPr="00F13073">
              <w:rPr>
                <w:sz w:val="20"/>
                <w:szCs w:val="20"/>
              </w:rPr>
              <w:t>67</w:t>
            </w:r>
          </w:p>
        </w:tc>
        <w:tc>
          <w:tcPr>
            <w:tcW w:w="1134" w:type="dxa"/>
          </w:tcPr>
          <w:p w14:paraId="436A0BCE" w14:textId="77777777" w:rsidR="001E0975" w:rsidRPr="00F13073" w:rsidRDefault="00611033" w:rsidP="001029B8">
            <w:pPr>
              <w:suppressAutoHyphens/>
              <w:jc w:val="center"/>
              <w:rPr>
                <w:sz w:val="20"/>
                <w:szCs w:val="20"/>
              </w:rPr>
            </w:pPr>
            <w:r w:rsidRPr="00F13073">
              <w:rPr>
                <w:sz w:val="20"/>
                <w:szCs w:val="20"/>
              </w:rPr>
              <w:t>-0</w:t>
            </w:r>
            <w:r w:rsidR="005F5F09" w:rsidRPr="00F13073">
              <w:rPr>
                <w:sz w:val="20"/>
                <w:szCs w:val="20"/>
              </w:rPr>
              <w:t>,</w:t>
            </w:r>
            <w:r w:rsidRPr="00F13073">
              <w:rPr>
                <w:sz w:val="20"/>
                <w:szCs w:val="20"/>
              </w:rPr>
              <w:t>75</w:t>
            </w:r>
          </w:p>
        </w:tc>
        <w:tc>
          <w:tcPr>
            <w:tcW w:w="1134" w:type="dxa"/>
          </w:tcPr>
          <w:p w14:paraId="5653AE75" w14:textId="77777777" w:rsidR="001E0975" w:rsidRPr="00F13073" w:rsidRDefault="00611033" w:rsidP="001029B8">
            <w:pPr>
              <w:suppressAutoHyphens/>
              <w:jc w:val="center"/>
              <w:rPr>
                <w:sz w:val="20"/>
                <w:szCs w:val="20"/>
              </w:rPr>
            </w:pPr>
            <w:r w:rsidRPr="00F13073">
              <w:rPr>
                <w:sz w:val="20"/>
                <w:szCs w:val="20"/>
              </w:rPr>
              <w:t>-0</w:t>
            </w:r>
            <w:r w:rsidR="005F5F09" w:rsidRPr="00F13073">
              <w:rPr>
                <w:sz w:val="20"/>
                <w:szCs w:val="20"/>
              </w:rPr>
              <w:t>,</w:t>
            </w:r>
            <w:r w:rsidRPr="00F13073">
              <w:rPr>
                <w:sz w:val="20"/>
                <w:szCs w:val="20"/>
              </w:rPr>
              <w:t>64</w:t>
            </w:r>
          </w:p>
        </w:tc>
      </w:tr>
      <w:tr w:rsidR="001E0975" w:rsidRPr="00F13073" w14:paraId="573B710A" w14:textId="77777777" w:rsidTr="00E2722E">
        <w:trPr>
          <w:cantSplit/>
          <w:tblHeader/>
        </w:trPr>
        <w:tc>
          <w:tcPr>
            <w:tcW w:w="9072" w:type="dxa"/>
            <w:gridSpan w:val="6"/>
          </w:tcPr>
          <w:p w14:paraId="5B689C27" w14:textId="77777777" w:rsidR="001E0975" w:rsidRPr="00F13073" w:rsidRDefault="00645041" w:rsidP="008B4C50">
            <w:pPr>
              <w:keepNext/>
              <w:suppressAutoHyphens/>
              <w:rPr>
                <w:b/>
                <w:bCs/>
                <w:sz w:val="20"/>
                <w:szCs w:val="20"/>
              </w:rPr>
            </w:pPr>
            <w:r w:rsidRPr="00F13073">
              <w:rPr>
                <w:b/>
                <w:bCs/>
                <w:sz w:val="20"/>
                <w:szCs w:val="20"/>
              </w:rPr>
              <w:t>Radiologiczne punkty końcowe (średnia zmiana wobec wartości wyjściowych)</w:t>
            </w:r>
          </w:p>
        </w:tc>
      </w:tr>
      <w:tr w:rsidR="00D21B43" w:rsidRPr="00F13073" w14:paraId="205F141E" w14:textId="77777777" w:rsidTr="00E2722E">
        <w:trPr>
          <w:cantSplit/>
          <w:tblHeader/>
        </w:trPr>
        <w:tc>
          <w:tcPr>
            <w:tcW w:w="1884" w:type="dxa"/>
            <w:tcBorders>
              <w:right w:val="nil"/>
            </w:tcBorders>
          </w:tcPr>
          <w:p w14:paraId="1E6C638D" w14:textId="77777777" w:rsidR="00D21B43" w:rsidRPr="00F13073" w:rsidRDefault="0096448C" w:rsidP="008B4C50">
            <w:pPr>
              <w:keepNext/>
              <w:suppressAutoHyphens/>
              <w:ind w:left="283"/>
              <w:rPr>
                <w:sz w:val="20"/>
                <w:szCs w:val="20"/>
              </w:rPr>
            </w:pPr>
            <w:r w:rsidRPr="00F13073">
              <w:rPr>
                <w:sz w:val="20"/>
                <w:szCs w:val="20"/>
              </w:rPr>
              <w:t xml:space="preserve">Tydzień </w:t>
            </w:r>
            <w:r w:rsidR="00D21B43" w:rsidRPr="00F13073">
              <w:rPr>
                <w:sz w:val="20"/>
                <w:szCs w:val="20"/>
              </w:rPr>
              <w:t>52</w:t>
            </w:r>
          </w:p>
        </w:tc>
        <w:tc>
          <w:tcPr>
            <w:tcW w:w="2227" w:type="dxa"/>
            <w:tcBorders>
              <w:left w:val="nil"/>
            </w:tcBorders>
          </w:tcPr>
          <w:p w14:paraId="3F33E6AC" w14:textId="77777777" w:rsidR="00D21B43" w:rsidRPr="00F13073" w:rsidRDefault="00D21B43" w:rsidP="008B4C50">
            <w:pPr>
              <w:keepNext/>
              <w:suppressAutoHyphens/>
              <w:ind w:left="235"/>
              <w:rPr>
                <w:sz w:val="20"/>
                <w:szCs w:val="20"/>
              </w:rPr>
            </w:pPr>
            <w:r w:rsidRPr="00F13073">
              <w:rPr>
                <w:sz w:val="20"/>
                <w:szCs w:val="20"/>
              </w:rPr>
              <w:t>mTSS</w:t>
            </w:r>
          </w:p>
        </w:tc>
        <w:tc>
          <w:tcPr>
            <w:tcW w:w="1418" w:type="dxa"/>
          </w:tcPr>
          <w:p w14:paraId="45253524"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08***</w:t>
            </w:r>
          </w:p>
        </w:tc>
        <w:tc>
          <w:tcPr>
            <w:tcW w:w="1275" w:type="dxa"/>
          </w:tcPr>
          <w:p w14:paraId="3F748C0E"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26</w:t>
            </w:r>
          </w:p>
        </w:tc>
        <w:tc>
          <w:tcPr>
            <w:tcW w:w="1134" w:type="dxa"/>
          </w:tcPr>
          <w:p w14:paraId="752DD717"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42</w:t>
            </w:r>
          </w:p>
        </w:tc>
        <w:tc>
          <w:tcPr>
            <w:tcW w:w="1134" w:type="dxa"/>
          </w:tcPr>
          <w:p w14:paraId="7AA17DAB" w14:textId="77777777" w:rsidR="00D21B43" w:rsidRPr="00F13073" w:rsidRDefault="00D21B43" w:rsidP="001029B8">
            <w:pPr>
              <w:keepNext/>
              <w:suppressAutoHyphens/>
              <w:jc w:val="center"/>
              <w:rPr>
                <w:sz w:val="20"/>
                <w:szCs w:val="20"/>
              </w:rPr>
            </w:pPr>
            <w:r w:rsidRPr="00F13073">
              <w:rPr>
                <w:sz w:val="20"/>
                <w:szCs w:val="20"/>
              </w:rPr>
              <w:t>1</w:t>
            </w:r>
            <w:r w:rsidR="005F5F09" w:rsidRPr="00F13073">
              <w:rPr>
                <w:sz w:val="20"/>
                <w:szCs w:val="20"/>
              </w:rPr>
              <w:t>,</w:t>
            </w:r>
            <w:r w:rsidRPr="00F13073">
              <w:rPr>
                <w:sz w:val="20"/>
                <w:szCs w:val="20"/>
              </w:rPr>
              <w:t>14</w:t>
            </w:r>
          </w:p>
        </w:tc>
      </w:tr>
      <w:tr w:rsidR="00D21B43" w:rsidRPr="00F13073" w14:paraId="0B44420A" w14:textId="77777777" w:rsidTr="00E2722E">
        <w:trPr>
          <w:cantSplit/>
          <w:tblHeader/>
        </w:trPr>
        <w:tc>
          <w:tcPr>
            <w:tcW w:w="1884" w:type="dxa"/>
            <w:tcBorders>
              <w:right w:val="nil"/>
            </w:tcBorders>
          </w:tcPr>
          <w:p w14:paraId="7A937446" w14:textId="77777777" w:rsidR="00D21B43" w:rsidRPr="00F13073" w:rsidRDefault="00D21B43" w:rsidP="008B4C50">
            <w:pPr>
              <w:keepNext/>
              <w:suppressAutoHyphens/>
              <w:rPr>
                <w:sz w:val="20"/>
                <w:szCs w:val="20"/>
              </w:rPr>
            </w:pPr>
          </w:p>
        </w:tc>
        <w:tc>
          <w:tcPr>
            <w:tcW w:w="2227" w:type="dxa"/>
            <w:tcBorders>
              <w:left w:val="nil"/>
            </w:tcBorders>
          </w:tcPr>
          <w:p w14:paraId="05E0962C" w14:textId="77777777" w:rsidR="00D21B43" w:rsidRPr="00F13073" w:rsidRDefault="00645041" w:rsidP="008B4C50">
            <w:pPr>
              <w:keepNext/>
              <w:suppressAutoHyphens/>
              <w:rPr>
                <w:sz w:val="20"/>
                <w:szCs w:val="20"/>
              </w:rPr>
            </w:pPr>
            <w:r w:rsidRPr="00F13073">
              <w:rPr>
                <w:sz w:val="20"/>
                <w:szCs w:val="20"/>
              </w:rPr>
              <w:t>Nadżerki</w:t>
            </w:r>
          </w:p>
        </w:tc>
        <w:tc>
          <w:tcPr>
            <w:tcW w:w="1418" w:type="dxa"/>
          </w:tcPr>
          <w:p w14:paraId="13EDC977"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05**</w:t>
            </w:r>
          </w:p>
        </w:tc>
        <w:tc>
          <w:tcPr>
            <w:tcW w:w="1275" w:type="dxa"/>
          </w:tcPr>
          <w:p w14:paraId="2456858B"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15</w:t>
            </w:r>
          </w:p>
        </w:tc>
        <w:tc>
          <w:tcPr>
            <w:tcW w:w="1134" w:type="dxa"/>
          </w:tcPr>
          <w:p w14:paraId="264DD886"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25</w:t>
            </w:r>
          </w:p>
        </w:tc>
        <w:tc>
          <w:tcPr>
            <w:tcW w:w="1134" w:type="dxa"/>
          </w:tcPr>
          <w:p w14:paraId="13785AE8"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63</w:t>
            </w:r>
          </w:p>
        </w:tc>
      </w:tr>
      <w:tr w:rsidR="00D21B43" w:rsidRPr="00F13073" w14:paraId="308A9D2B" w14:textId="77777777" w:rsidTr="00E2722E">
        <w:trPr>
          <w:cantSplit/>
          <w:tblHeader/>
        </w:trPr>
        <w:tc>
          <w:tcPr>
            <w:tcW w:w="1884" w:type="dxa"/>
            <w:tcBorders>
              <w:right w:val="nil"/>
            </w:tcBorders>
          </w:tcPr>
          <w:p w14:paraId="54A61F3F" w14:textId="77777777" w:rsidR="00D21B43" w:rsidRPr="00F13073" w:rsidRDefault="00D21B43" w:rsidP="008B4C50">
            <w:pPr>
              <w:keepNext/>
              <w:suppressAutoHyphens/>
              <w:rPr>
                <w:sz w:val="20"/>
                <w:szCs w:val="20"/>
              </w:rPr>
            </w:pPr>
          </w:p>
        </w:tc>
        <w:tc>
          <w:tcPr>
            <w:tcW w:w="2227" w:type="dxa"/>
            <w:tcBorders>
              <w:left w:val="nil"/>
            </w:tcBorders>
          </w:tcPr>
          <w:p w14:paraId="040994C6" w14:textId="77777777" w:rsidR="00D21B43" w:rsidRPr="00F13073" w:rsidRDefault="00D21B43" w:rsidP="008B4C50">
            <w:pPr>
              <w:keepNext/>
              <w:suppressAutoHyphens/>
              <w:rPr>
                <w:sz w:val="20"/>
                <w:szCs w:val="20"/>
              </w:rPr>
            </w:pPr>
            <w:r w:rsidRPr="00F13073">
              <w:rPr>
                <w:sz w:val="20"/>
                <w:szCs w:val="20"/>
              </w:rPr>
              <w:t>JSN</w:t>
            </w:r>
          </w:p>
        </w:tc>
        <w:tc>
          <w:tcPr>
            <w:tcW w:w="1418" w:type="dxa"/>
          </w:tcPr>
          <w:p w14:paraId="7E9D1E15"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03</w:t>
            </w:r>
          </w:p>
        </w:tc>
        <w:tc>
          <w:tcPr>
            <w:tcW w:w="1275" w:type="dxa"/>
          </w:tcPr>
          <w:p w14:paraId="6C9807A2"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11</w:t>
            </w:r>
          </w:p>
        </w:tc>
        <w:tc>
          <w:tcPr>
            <w:tcW w:w="1134" w:type="dxa"/>
          </w:tcPr>
          <w:p w14:paraId="1F69C35F"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17</w:t>
            </w:r>
          </w:p>
        </w:tc>
        <w:tc>
          <w:tcPr>
            <w:tcW w:w="1134" w:type="dxa"/>
          </w:tcPr>
          <w:p w14:paraId="3778CE2E" w14:textId="77777777" w:rsidR="00D21B43" w:rsidRPr="00F13073" w:rsidRDefault="00D21B43" w:rsidP="001029B8">
            <w:pPr>
              <w:keepNext/>
              <w:suppressAutoHyphens/>
              <w:jc w:val="center"/>
              <w:rPr>
                <w:sz w:val="20"/>
                <w:szCs w:val="20"/>
              </w:rPr>
            </w:pPr>
            <w:r w:rsidRPr="00F13073">
              <w:rPr>
                <w:sz w:val="20"/>
                <w:szCs w:val="20"/>
              </w:rPr>
              <w:t>0</w:t>
            </w:r>
            <w:r w:rsidR="005F5F09" w:rsidRPr="00F13073">
              <w:rPr>
                <w:sz w:val="20"/>
                <w:szCs w:val="20"/>
              </w:rPr>
              <w:t>,</w:t>
            </w:r>
            <w:r w:rsidRPr="00F13073">
              <w:rPr>
                <w:sz w:val="20"/>
                <w:szCs w:val="20"/>
              </w:rPr>
              <w:t>51</w:t>
            </w:r>
          </w:p>
        </w:tc>
      </w:tr>
      <w:tr w:rsidR="00D21B43" w:rsidRPr="00F13073" w14:paraId="55A16BC7" w14:textId="77777777" w:rsidTr="00E2722E">
        <w:trPr>
          <w:cantSplit/>
          <w:tblHeader/>
        </w:trPr>
        <w:tc>
          <w:tcPr>
            <w:tcW w:w="4111" w:type="dxa"/>
            <w:gridSpan w:val="2"/>
          </w:tcPr>
          <w:p w14:paraId="50BC4805" w14:textId="77777777" w:rsidR="00D21B43" w:rsidRPr="00F13073" w:rsidRDefault="00645041" w:rsidP="00166AFC">
            <w:pPr>
              <w:suppressAutoHyphens/>
              <w:jc w:val="right"/>
              <w:rPr>
                <w:sz w:val="20"/>
                <w:szCs w:val="20"/>
              </w:rPr>
            </w:pPr>
            <w:r w:rsidRPr="00F13073">
              <w:rPr>
                <w:sz w:val="20"/>
                <w:szCs w:val="20"/>
              </w:rPr>
              <w:t xml:space="preserve">Brak progresji radiologicznej n (%) (zmiana pod względem mTSS o wartości </w:t>
            </w:r>
            <w:r w:rsidR="00D21B43" w:rsidRPr="00F13073">
              <w:rPr>
                <w:sz w:val="20"/>
                <w:szCs w:val="20"/>
              </w:rPr>
              <w:t>≤0</w:t>
            </w:r>
            <w:r w:rsidRPr="00F13073">
              <w:rPr>
                <w:sz w:val="20"/>
                <w:szCs w:val="20"/>
              </w:rPr>
              <w:t xml:space="preserve"> wobec wartości wyjściowej)</w:t>
            </w:r>
          </w:p>
        </w:tc>
        <w:tc>
          <w:tcPr>
            <w:tcW w:w="1418" w:type="dxa"/>
          </w:tcPr>
          <w:p w14:paraId="6223DA01" w14:textId="77777777" w:rsidR="00D21B43" w:rsidRPr="00F13073" w:rsidRDefault="00D21B43" w:rsidP="001029B8">
            <w:pPr>
              <w:suppressAutoHyphens/>
              <w:jc w:val="center"/>
              <w:rPr>
                <w:sz w:val="20"/>
                <w:szCs w:val="20"/>
              </w:rPr>
            </w:pPr>
            <w:r w:rsidRPr="00F13073">
              <w:rPr>
                <w:sz w:val="20"/>
                <w:szCs w:val="20"/>
              </w:rPr>
              <w:t>226 (83)</w:t>
            </w:r>
            <w:r w:rsidRPr="00F13073">
              <w:rPr>
                <w:sz w:val="20"/>
                <w:szCs w:val="20"/>
                <w:vertAlign w:val="superscript"/>
              </w:rPr>
              <w:t>‡</w:t>
            </w:r>
          </w:p>
        </w:tc>
        <w:tc>
          <w:tcPr>
            <w:tcW w:w="1275" w:type="dxa"/>
          </w:tcPr>
          <w:p w14:paraId="146F51AD" w14:textId="77777777" w:rsidR="00D21B43" w:rsidRPr="00F13073" w:rsidRDefault="00D21B43" w:rsidP="001029B8">
            <w:pPr>
              <w:suppressAutoHyphens/>
              <w:jc w:val="center"/>
              <w:rPr>
                <w:sz w:val="20"/>
                <w:szCs w:val="20"/>
              </w:rPr>
            </w:pPr>
            <w:r w:rsidRPr="00F13073">
              <w:rPr>
                <w:sz w:val="20"/>
                <w:szCs w:val="20"/>
              </w:rPr>
              <w:t>226 (82)</w:t>
            </w:r>
            <w:r w:rsidRPr="00F13073">
              <w:rPr>
                <w:sz w:val="20"/>
                <w:szCs w:val="20"/>
                <w:vertAlign w:val="superscript"/>
              </w:rPr>
              <w:t>‡</w:t>
            </w:r>
          </w:p>
        </w:tc>
        <w:tc>
          <w:tcPr>
            <w:tcW w:w="1134" w:type="dxa"/>
          </w:tcPr>
          <w:p w14:paraId="0D9D1040" w14:textId="77777777" w:rsidR="00D21B43" w:rsidRPr="00F13073" w:rsidRDefault="00D21B43" w:rsidP="001029B8">
            <w:pPr>
              <w:suppressAutoHyphens/>
              <w:jc w:val="center"/>
              <w:rPr>
                <w:sz w:val="20"/>
                <w:szCs w:val="20"/>
              </w:rPr>
            </w:pPr>
            <w:r w:rsidRPr="00F13073">
              <w:rPr>
                <w:sz w:val="20"/>
                <w:szCs w:val="20"/>
              </w:rPr>
              <w:t>211 (79)</w:t>
            </w:r>
          </w:p>
        </w:tc>
        <w:tc>
          <w:tcPr>
            <w:tcW w:w="1134" w:type="dxa"/>
          </w:tcPr>
          <w:p w14:paraId="5D8515C7" w14:textId="77777777" w:rsidR="00D21B43" w:rsidRPr="00F13073" w:rsidRDefault="00D21B43" w:rsidP="001029B8">
            <w:pPr>
              <w:suppressAutoHyphens/>
              <w:jc w:val="center"/>
              <w:rPr>
                <w:sz w:val="20"/>
                <w:szCs w:val="20"/>
              </w:rPr>
            </w:pPr>
            <w:r w:rsidRPr="00F13073">
              <w:rPr>
                <w:sz w:val="20"/>
                <w:szCs w:val="20"/>
              </w:rPr>
              <w:t>194 (73)</w:t>
            </w:r>
          </w:p>
        </w:tc>
      </w:tr>
      <w:tr w:rsidR="001E0975" w:rsidRPr="00F13073" w14:paraId="0C4963DB" w14:textId="77777777" w:rsidTr="00E2722E">
        <w:trPr>
          <w:cantSplit/>
          <w:tblHeader/>
        </w:trPr>
        <w:tc>
          <w:tcPr>
            <w:tcW w:w="9072" w:type="dxa"/>
            <w:gridSpan w:val="6"/>
          </w:tcPr>
          <w:p w14:paraId="2CB08E21" w14:textId="77777777" w:rsidR="001E0975" w:rsidRPr="00F13073" w:rsidRDefault="00645041" w:rsidP="008B4C50">
            <w:pPr>
              <w:keepNext/>
              <w:suppressAutoHyphens/>
              <w:rPr>
                <w:b/>
                <w:bCs/>
                <w:sz w:val="20"/>
                <w:szCs w:val="20"/>
              </w:rPr>
            </w:pPr>
            <w:r w:rsidRPr="00F13073">
              <w:rPr>
                <w:b/>
                <w:bCs/>
                <w:sz w:val="20"/>
                <w:szCs w:val="20"/>
              </w:rPr>
              <w:t>Eksploracyjne punkty końcowe</w:t>
            </w:r>
          </w:p>
        </w:tc>
      </w:tr>
      <w:tr w:rsidR="00D21B43" w:rsidRPr="00F13073" w14:paraId="2B148403" w14:textId="77777777" w:rsidTr="00E2722E">
        <w:trPr>
          <w:cantSplit/>
          <w:tblHeader/>
        </w:trPr>
        <w:tc>
          <w:tcPr>
            <w:tcW w:w="4111" w:type="dxa"/>
            <w:gridSpan w:val="2"/>
          </w:tcPr>
          <w:p w14:paraId="76887031" w14:textId="77777777" w:rsidR="001E0975" w:rsidRPr="00F13073" w:rsidRDefault="0096448C" w:rsidP="00166AFC">
            <w:pPr>
              <w:keepNext/>
              <w:suppressAutoHyphens/>
              <w:jc w:val="right"/>
              <w:rPr>
                <w:sz w:val="20"/>
                <w:szCs w:val="20"/>
              </w:rPr>
            </w:pPr>
            <w:r w:rsidRPr="00F13073">
              <w:rPr>
                <w:sz w:val="20"/>
                <w:szCs w:val="20"/>
              </w:rPr>
              <w:t xml:space="preserve">Tydzień </w:t>
            </w:r>
            <w:r w:rsidR="00611033" w:rsidRPr="00F13073">
              <w:rPr>
                <w:sz w:val="20"/>
                <w:szCs w:val="20"/>
              </w:rPr>
              <w:t xml:space="preserve">24: </w:t>
            </w:r>
            <w:r w:rsidR="00645041" w:rsidRPr="00F13073">
              <w:rPr>
                <w:sz w:val="20"/>
                <w:szCs w:val="20"/>
              </w:rPr>
              <w:t xml:space="preserve">Remisja wg kryteriów </w:t>
            </w:r>
            <w:r w:rsidR="00611033" w:rsidRPr="00F13073">
              <w:rPr>
                <w:sz w:val="20"/>
                <w:szCs w:val="20"/>
              </w:rPr>
              <w:t>ACR/EULAR, n</w:t>
            </w:r>
            <w:r w:rsidR="00D21B43" w:rsidRPr="00F13073">
              <w:rPr>
                <w:sz w:val="20"/>
                <w:szCs w:val="20"/>
              </w:rPr>
              <w:t> </w:t>
            </w:r>
            <w:r w:rsidR="00611033" w:rsidRPr="00F13073">
              <w:rPr>
                <w:sz w:val="20"/>
                <w:szCs w:val="20"/>
              </w:rPr>
              <w:t>(%)</w:t>
            </w:r>
          </w:p>
        </w:tc>
        <w:tc>
          <w:tcPr>
            <w:tcW w:w="1418" w:type="dxa"/>
          </w:tcPr>
          <w:p w14:paraId="6B450B5F" w14:textId="77777777" w:rsidR="001E0975" w:rsidRPr="00F13073" w:rsidRDefault="00611033" w:rsidP="001029B8">
            <w:pPr>
              <w:keepNext/>
              <w:suppressAutoHyphens/>
              <w:jc w:val="center"/>
              <w:rPr>
                <w:sz w:val="20"/>
                <w:szCs w:val="20"/>
              </w:rPr>
            </w:pPr>
            <w:r w:rsidRPr="00F13073">
              <w:rPr>
                <w:sz w:val="20"/>
                <w:szCs w:val="20"/>
              </w:rPr>
              <w:t>47 (18</w:t>
            </w:r>
            <w:r w:rsidR="005F5F09" w:rsidRPr="00F13073">
              <w:rPr>
                <w:sz w:val="20"/>
                <w:szCs w:val="20"/>
              </w:rPr>
              <w:t>,</w:t>
            </w:r>
            <w:r w:rsidRPr="00F13073">
              <w:rPr>
                <w:sz w:val="20"/>
                <w:szCs w:val="20"/>
              </w:rPr>
              <w:t xml:space="preserve">4) </w:t>
            </w:r>
            <w:r w:rsidRPr="00F13073">
              <w:rPr>
                <w:sz w:val="20"/>
                <w:szCs w:val="20"/>
                <w:vertAlign w:val="superscript"/>
              </w:rPr>
              <w:t>‡</w:t>
            </w:r>
          </w:p>
        </w:tc>
        <w:tc>
          <w:tcPr>
            <w:tcW w:w="1275" w:type="dxa"/>
          </w:tcPr>
          <w:p w14:paraId="52D23A37" w14:textId="77777777" w:rsidR="001E0975" w:rsidRPr="00F13073" w:rsidRDefault="00611033" w:rsidP="001029B8">
            <w:pPr>
              <w:keepNext/>
              <w:suppressAutoHyphens/>
              <w:jc w:val="center"/>
              <w:rPr>
                <w:sz w:val="20"/>
                <w:szCs w:val="20"/>
              </w:rPr>
            </w:pPr>
            <w:r w:rsidRPr="00F13073">
              <w:rPr>
                <w:sz w:val="20"/>
                <w:szCs w:val="20"/>
              </w:rPr>
              <w:t>38 (14</w:t>
            </w:r>
            <w:r w:rsidR="005F5F09" w:rsidRPr="00F13073">
              <w:rPr>
                <w:sz w:val="20"/>
                <w:szCs w:val="20"/>
              </w:rPr>
              <w:t>,</w:t>
            </w:r>
            <w:r w:rsidRPr="00F13073">
              <w:rPr>
                <w:sz w:val="20"/>
                <w:szCs w:val="20"/>
              </w:rPr>
              <w:t>2)</w:t>
            </w:r>
          </w:p>
        </w:tc>
        <w:tc>
          <w:tcPr>
            <w:tcW w:w="1134" w:type="dxa"/>
          </w:tcPr>
          <w:p w14:paraId="66102FD0" w14:textId="77777777" w:rsidR="001E0975" w:rsidRPr="00F13073" w:rsidRDefault="00611033" w:rsidP="001029B8">
            <w:pPr>
              <w:keepNext/>
              <w:suppressAutoHyphens/>
              <w:jc w:val="center"/>
              <w:rPr>
                <w:sz w:val="20"/>
                <w:szCs w:val="20"/>
              </w:rPr>
            </w:pPr>
            <w:r w:rsidRPr="00F13073">
              <w:rPr>
                <w:sz w:val="20"/>
                <w:szCs w:val="20"/>
              </w:rPr>
              <w:t>43 (16</w:t>
            </w:r>
            <w:r w:rsidR="005F5F09" w:rsidRPr="00F13073">
              <w:rPr>
                <w:sz w:val="20"/>
                <w:szCs w:val="20"/>
              </w:rPr>
              <w:t>,</w:t>
            </w:r>
            <w:r w:rsidRPr="00F13073">
              <w:rPr>
                <w:sz w:val="20"/>
                <w:szCs w:val="20"/>
              </w:rPr>
              <w:t xml:space="preserve">7) </w:t>
            </w:r>
            <w:r w:rsidRPr="00F13073">
              <w:rPr>
                <w:sz w:val="20"/>
                <w:szCs w:val="20"/>
                <w:vertAlign w:val="superscript"/>
              </w:rPr>
              <w:t>‡</w:t>
            </w:r>
          </w:p>
        </w:tc>
        <w:tc>
          <w:tcPr>
            <w:tcW w:w="1134" w:type="dxa"/>
          </w:tcPr>
          <w:p w14:paraId="1607249E" w14:textId="77777777" w:rsidR="001E0975" w:rsidRPr="00F13073" w:rsidRDefault="00611033" w:rsidP="001029B8">
            <w:pPr>
              <w:keepNext/>
              <w:suppressAutoHyphens/>
              <w:jc w:val="center"/>
              <w:rPr>
                <w:sz w:val="20"/>
                <w:szCs w:val="20"/>
              </w:rPr>
            </w:pPr>
            <w:r w:rsidRPr="00F13073">
              <w:rPr>
                <w:sz w:val="20"/>
                <w:szCs w:val="20"/>
              </w:rPr>
              <w:t>25 (10</w:t>
            </w:r>
            <w:r w:rsidR="005F5F09" w:rsidRPr="00F13073">
              <w:rPr>
                <w:sz w:val="20"/>
                <w:szCs w:val="20"/>
              </w:rPr>
              <w:t>,</w:t>
            </w:r>
            <w:r w:rsidRPr="00F13073">
              <w:rPr>
                <w:sz w:val="20"/>
                <w:szCs w:val="20"/>
              </w:rPr>
              <w:t>0)</w:t>
            </w:r>
          </w:p>
        </w:tc>
      </w:tr>
      <w:tr w:rsidR="00D21B43" w:rsidRPr="00F13073" w14:paraId="56881152" w14:textId="77777777" w:rsidTr="00E2722E">
        <w:trPr>
          <w:cantSplit/>
          <w:tblHeader/>
        </w:trPr>
        <w:tc>
          <w:tcPr>
            <w:tcW w:w="4111" w:type="dxa"/>
            <w:gridSpan w:val="2"/>
          </w:tcPr>
          <w:p w14:paraId="4D192CEC" w14:textId="546CA448" w:rsidR="001E0975" w:rsidRPr="00F13073" w:rsidRDefault="00645041" w:rsidP="00166AFC">
            <w:pPr>
              <w:keepNext/>
              <w:suppressAutoHyphens/>
              <w:jc w:val="right"/>
              <w:rPr>
                <w:sz w:val="20"/>
                <w:szCs w:val="20"/>
              </w:rPr>
            </w:pPr>
            <w:r w:rsidRPr="00F13073">
              <w:rPr>
                <w:sz w:val="20"/>
                <w:szCs w:val="20"/>
              </w:rPr>
              <w:t xml:space="preserve">Remisja wg </w:t>
            </w:r>
            <w:r w:rsidR="004E126C" w:rsidRPr="00F13073">
              <w:rPr>
                <w:sz w:val="20"/>
                <w:szCs w:val="20"/>
              </w:rPr>
              <w:t>wsakźnika</w:t>
            </w:r>
            <w:r w:rsidRPr="00F13073">
              <w:rPr>
                <w:sz w:val="20"/>
                <w:szCs w:val="20"/>
              </w:rPr>
              <w:t xml:space="preserve"> </w:t>
            </w:r>
            <w:r w:rsidR="00611033" w:rsidRPr="00F13073">
              <w:rPr>
                <w:sz w:val="20"/>
                <w:szCs w:val="20"/>
              </w:rPr>
              <w:t>ACR/EULAR, n (%)</w:t>
            </w:r>
          </w:p>
        </w:tc>
        <w:tc>
          <w:tcPr>
            <w:tcW w:w="1418" w:type="dxa"/>
          </w:tcPr>
          <w:p w14:paraId="59DD3EA9" w14:textId="77777777" w:rsidR="001E0975" w:rsidRPr="00F13073" w:rsidRDefault="00611033" w:rsidP="001029B8">
            <w:pPr>
              <w:keepNext/>
              <w:suppressAutoHyphens/>
              <w:jc w:val="center"/>
              <w:rPr>
                <w:sz w:val="20"/>
                <w:szCs w:val="20"/>
              </w:rPr>
            </w:pPr>
            <w:r w:rsidRPr="00F13073">
              <w:rPr>
                <w:sz w:val="20"/>
                <w:szCs w:val="20"/>
              </w:rPr>
              <w:t>73 (28</w:t>
            </w:r>
            <w:r w:rsidR="005F5F09" w:rsidRPr="00F13073">
              <w:rPr>
                <w:sz w:val="20"/>
                <w:szCs w:val="20"/>
              </w:rPr>
              <w:t>,</w:t>
            </w:r>
            <w:r w:rsidRPr="00F13073">
              <w:rPr>
                <w:sz w:val="20"/>
                <w:szCs w:val="20"/>
              </w:rPr>
              <w:t xml:space="preserve">5) </w:t>
            </w:r>
            <w:r w:rsidRPr="00F13073">
              <w:rPr>
                <w:sz w:val="20"/>
                <w:szCs w:val="20"/>
                <w:vertAlign w:val="superscript"/>
              </w:rPr>
              <w:t>‡</w:t>
            </w:r>
          </w:p>
        </w:tc>
        <w:tc>
          <w:tcPr>
            <w:tcW w:w="1275" w:type="dxa"/>
          </w:tcPr>
          <w:p w14:paraId="17B9CCF0" w14:textId="77777777" w:rsidR="001E0975" w:rsidRPr="00F13073" w:rsidRDefault="00611033" w:rsidP="001029B8">
            <w:pPr>
              <w:keepNext/>
              <w:suppressAutoHyphens/>
              <w:jc w:val="center"/>
              <w:rPr>
                <w:sz w:val="20"/>
                <w:szCs w:val="20"/>
              </w:rPr>
            </w:pPr>
            <w:r w:rsidRPr="00F13073">
              <w:rPr>
                <w:sz w:val="20"/>
                <w:szCs w:val="20"/>
              </w:rPr>
              <w:t>60 (22</w:t>
            </w:r>
            <w:r w:rsidR="005F5F09" w:rsidRPr="00F13073">
              <w:rPr>
                <w:sz w:val="20"/>
                <w:szCs w:val="20"/>
              </w:rPr>
              <w:t>,</w:t>
            </w:r>
            <w:r w:rsidRPr="00F13073">
              <w:rPr>
                <w:sz w:val="20"/>
                <w:szCs w:val="20"/>
              </w:rPr>
              <w:t>6)</w:t>
            </w:r>
          </w:p>
        </w:tc>
        <w:tc>
          <w:tcPr>
            <w:tcW w:w="1134" w:type="dxa"/>
          </w:tcPr>
          <w:p w14:paraId="4DF7CA1C" w14:textId="77777777" w:rsidR="001E0975" w:rsidRPr="00F13073" w:rsidRDefault="00611033" w:rsidP="001029B8">
            <w:pPr>
              <w:keepNext/>
              <w:suppressAutoHyphens/>
              <w:jc w:val="center"/>
              <w:rPr>
                <w:sz w:val="20"/>
                <w:szCs w:val="20"/>
              </w:rPr>
            </w:pPr>
            <w:r w:rsidRPr="00F13073">
              <w:rPr>
                <w:sz w:val="20"/>
                <w:szCs w:val="20"/>
              </w:rPr>
              <w:t>58 (22</w:t>
            </w:r>
            <w:r w:rsidR="005F5F09" w:rsidRPr="00F13073">
              <w:rPr>
                <w:sz w:val="20"/>
                <w:szCs w:val="20"/>
              </w:rPr>
              <w:t>,</w:t>
            </w:r>
            <w:r w:rsidRPr="00F13073">
              <w:rPr>
                <w:sz w:val="20"/>
                <w:szCs w:val="20"/>
              </w:rPr>
              <w:t>6)</w:t>
            </w:r>
          </w:p>
        </w:tc>
        <w:tc>
          <w:tcPr>
            <w:tcW w:w="1134" w:type="dxa"/>
          </w:tcPr>
          <w:p w14:paraId="3611737B" w14:textId="77777777" w:rsidR="001E0975" w:rsidRPr="00F13073" w:rsidRDefault="00611033" w:rsidP="001029B8">
            <w:pPr>
              <w:keepNext/>
              <w:suppressAutoHyphens/>
              <w:jc w:val="center"/>
              <w:rPr>
                <w:sz w:val="20"/>
                <w:szCs w:val="20"/>
              </w:rPr>
            </w:pPr>
            <w:r w:rsidRPr="00F13073">
              <w:rPr>
                <w:sz w:val="20"/>
                <w:szCs w:val="20"/>
              </w:rPr>
              <w:t>41 (16</w:t>
            </w:r>
            <w:r w:rsidR="005F5F09" w:rsidRPr="00F13073">
              <w:rPr>
                <w:sz w:val="20"/>
                <w:szCs w:val="20"/>
              </w:rPr>
              <w:t>,</w:t>
            </w:r>
            <w:r w:rsidRPr="00F13073">
              <w:rPr>
                <w:sz w:val="20"/>
                <w:szCs w:val="20"/>
              </w:rPr>
              <w:t>4)</w:t>
            </w:r>
          </w:p>
        </w:tc>
      </w:tr>
      <w:tr w:rsidR="00D21B43" w:rsidRPr="00F13073" w14:paraId="0E49700B" w14:textId="77777777" w:rsidTr="00E2722E">
        <w:trPr>
          <w:cantSplit/>
          <w:tblHeader/>
        </w:trPr>
        <w:tc>
          <w:tcPr>
            <w:tcW w:w="4111" w:type="dxa"/>
            <w:gridSpan w:val="2"/>
          </w:tcPr>
          <w:p w14:paraId="3D0D5640" w14:textId="77777777" w:rsidR="001E0975" w:rsidRPr="00F13073" w:rsidRDefault="0096448C" w:rsidP="00166AFC">
            <w:pPr>
              <w:keepNext/>
              <w:suppressAutoHyphens/>
              <w:jc w:val="right"/>
              <w:rPr>
                <w:sz w:val="20"/>
                <w:szCs w:val="20"/>
              </w:rPr>
            </w:pPr>
            <w:r w:rsidRPr="00F13073">
              <w:rPr>
                <w:sz w:val="20"/>
                <w:szCs w:val="20"/>
              </w:rPr>
              <w:t xml:space="preserve">Tydzień </w:t>
            </w:r>
            <w:r w:rsidR="00611033" w:rsidRPr="00F13073">
              <w:rPr>
                <w:sz w:val="20"/>
                <w:szCs w:val="20"/>
              </w:rPr>
              <w:t xml:space="preserve">52: </w:t>
            </w:r>
            <w:r w:rsidR="00645041" w:rsidRPr="00F13073">
              <w:rPr>
                <w:sz w:val="20"/>
                <w:szCs w:val="20"/>
              </w:rPr>
              <w:t xml:space="preserve">Remisja wg kryteriów </w:t>
            </w:r>
            <w:r w:rsidR="00611033" w:rsidRPr="00F13073">
              <w:rPr>
                <w:sz w:val="20"/>
                <w:szCs w:val="20"/>
              </w:rPr>
              <w:t>ACR/EULAR, n</w:t>
            </w:r>
            <w:r w:rsidR="00D21B43" w:rsidRPr="00F13073">
              <w:rPr>
                <w:sz w:val="20"/>
                <w:szCs w:val="20"/>
              </w:rPr>
              <w:t> </w:t>
            </w:r>
            <w:r w:rsidR="00611033" w:rsidRPr="00F13073">
              <w:rPr>
                <w:sz w:val="20"/>
                <w:szCs w:val="20"/>
              </w:rPr>
              <w:t>(%)</w:t>
            </w:r>
          </w:p>
        </w:tc>
        <w:tc>
          <w:tcPr>
            <w:tcW w:w="1418" w:type="dxa"/>
          </w:tcPr>
          <w:p w14:paraId="43B29876" w14:textId="77777777" w:rsidR="001E0975" w:rsidRPr="00F13073" w:rsidRDefault="00611033" w:rsidP="001029B8">
            <w:pPr>
              <w:keepNext/>
              <w:suppressAutoHyphens/>
              <w:jc w:val="center"/>
              <w:rPr>
                <w:sz w:val="20"/>
                <w:szCs w:val="20"/>
              </w:rPr>
            </w:pPr>
            <w:r w:rsidRPr="00F13073">
              <w:rPr>
                <w:sz w:val="20"/>
                <w:szCs w:val="20"/>
              </w:rPr>
              <w:t>59 (25</w:t>
            </w:r>
            <w:r w:rsidR="005F5F09" w:rsidRPr="00F13073">
              <w:rPr>
                <w:sz w:val="20"/>
                <w:szCs w:val="20"/>
              </w:rPr>
              <w:t>,</w:t>
            </w:r>
            <w:r w:rsidRPr="00F13073">
              <w:rPr>
                <w:sz w:val="20"/>
                <w:szCs w:val="20"/>
              </w:rPr>
              <w:t xml:space="preserve">7) </w:t>
            </w:r>
            <w:r w:rsidRPr="00F13073">
              <w:rPr>
                <w:sz w:val="20"/>
                <w:szCs w:val="20"/>
                <w:vertAlign w:val="superscript"/>
              </w:rPr>
              <w:t>‡</w:t>
            </w:r>
          </w:p>
        </w:tc>
        <w:tc>
          <w:tcPr>
            <w:tcW w:w="1275" w:type="dxa"/>
          </w:tcPr>
          <w:p w14:paraId="358FBE16" w14:textId="77777777" w:rsidR="001E0975" w:rsidRPr="00F13073" w:rsidRDefault="00611033" w:rsidP="001029B8">
            <w:pPr>
              <w:keepNext/>
              <w:suppressAutoHyphens/>
              <w:jc w:val="center"/>
              <w:rPr>
                <w:sz w:val="20"/>
                <w:szCs w:val="20"/>
              </w:rPr>
            </w:pPr>
            <w:r w:rsidRPr="00F13073">
              <w:rPr>
                <w:sz w:val="20"/>
                <w:szCs w:val="20"/>
              </w:rPr>
              <w:t>43 (18</w:t>
            </w:r>
            <w:r w:rsidR="005F5F09" w:rsidRPr="00F13073">
              <w:rPr>
                <w:sz w:val="20"/>
                <w:szCs w:val="20"/>
              </w:rPr>
              <w:t>,</w:t>
            </w:r>
            <w:r w:rsidRPr="00F13073">
              <w:rPr>
                <w:sz w:val="20"/>
                <w:szCs w:val="20"/>
              </w:rPr>
              <w:t>7)</w:t>
            </w:r>
          </w:p>
        </w:tc>
        <w:tc>
          <w:tcPr>
            <w:tcW w:w="1134" w:type="dxa"/>
          </w:tcPr>
          <w:p w14:paraId="667C15F3" w14:textId="77777777" w:rsidR="001E0975" w:rsidRPr="00F13073" w:rsidRDefault="00611033" w:rsidP="001029B8">
            <w:pPr>
              <w:keepNext/>
              <w:suppressAutoHyphens/>
              <w:jc w:val="center"/>
              <w:rPr>
                <w:sz w:val="20"/>
                <w:szCs w:val="20"/>
              </w:rPr>
            </w:pPr>
            <w:r w:rsidRPr="00F13073">
              <w:rPr>
                <w:sz w:val="20"/>
                <w:szCs w:val="20"/>
              </w:rPr>
              <w:t>48 (21</w:t>
            </w:r>
            <w:r w:rsidR="005F5F09" w:rsidRPr="00F13073">
              <w:rPr>
                <w:sz w:val="20"/>
                <w:szCs w:val="20"/>
              </w:rPr>
              <w:t>,</w:t>
            </w:r>
            <w:r w:rsidRPr="00F13073">
              <w:rPr>
                <w:sz w:val="20"/>
                <w:szCs w:val="20"/>
              </w:rPr>
              <w:t>1)</w:t>
            </w:r>
          </w:p>
        </w:tc>
        <w:tc>
          <w:tcPr>
            <w:tcW w:w="1134" w:type="dxa"/>
          </w:tcPr>
          <w:p w14:paraId="416301D0" w14:textId="77777777" w:rsidR="001E0975" w:rsidRPr="00F13073" w:rsidRDefault="00611033" w:rsidP="001029B8">
            <w:pPr>
              <w:keepNext/>
              <w:suppressAutoHyphens/>
              <w:jc w:val="center"/>
              <w:rPr>
                <w:sz w:val="20"/>
                <w:szCs w:val="20"/>
              </w:rPr>
            </w:pPr>
            <w:r w:rsidRPr="00F13073">
              <w:rPr>
                <w:sz w:val="20"/>
                <w:szCs w:val="20"/>
              </w:rPr>
              <w:t>34 (15</w:t>
            </w:r>
            <w:r w:rsidR="005F5F09" w:rsidRPr="00F13073">
              <w:rPr>
                <w:sz w:val="20"/>
                <w:szCs w:val="20"/>
              </w:rPr>
              <w:t>,</w:t>
            </w:r>
            <w:r w:rsidRPr="00F13073">
              <w:rPr>
                <w:sz w:val="20"/>
                <w:szCs w:val="20"/>
              </w:rPr>
              <w:t>5)</w:t>
            </w:r>
          </w:p>
        </w:tc>
      </w:tr>
      <w:tr w:rsidR="00D21B43" w:rsidRPr="00F13073" w14:paraId="6534F06A" w14:textId="77777777" w:rsidTr="00E2722E">
        <w:trPr>
          <w:cantSplit/>
          <w:tblHeader/>
        </w:trPr>
        <w:tc>
          <w:tcPr>
            <w:tcW w:w="4111" w:type="dxa"/>
            <w:gridSpan w:val="2"/>
          </w:tcPr>
          <w:p w14:paraId="325C038E" w14:textId="5655972A" w:rsidR="001E0975" w:rsidRPr="00F13073" w:rsidRDefault="00645041" w:rsidP="00166AFC">
            <w:pPr>
              <w:keepNext/>
              <w:suppressAutoHyphens/>
              <w:jc w:val="right"/>
              <w:rPr>
                <w:sz w:val="20"/>
                <w:szCs w:val="20"/>
              </w:rPr>
            </w:pPr>
            <w:r w:rsidRPr="00F13073">
              <w:rPr>
                <w:sz w:val="20"/>
                <w:szCs w:val="20"/>
              </w:rPr>
              <w:t xml:space="preserve">Remisja wg </w:t>
            </w:r>
            <w:r w:rsidR="004E126C" w:rsidRPr="00F13073">
              <w:rPr>
                <w:sz w:val="20"/>
                <w:szCs w:val="20"/>
              </w:rPr>
              <w:t>wskaźnika</w:t>
            </w:r>
            <w:r w:rsidRPr="00F13073">
              <w:rPr>
                <w:sz w:val="20"/>
                <w:szCs w:val="20"/>
              </w:rPr>
              <w:t xml:space="preserve"> </w:t>
            </w:r>
            <w:r w:rsidR="00611033" w:rsidRPr="00F13073">
              <w:rPr>
                <w:sz w:val="20"/>
                <w:szCs w:val="20"/>
              </w:rPr>
              <w:t>ACR/EULAR, n (%)</w:t>
            </w:r>
          </w:p>
        </w:tc>
        <w:tc>
          <w:tcPr>
            <w:tcW w:w="1418" w:type="dxa"/>
          </w:tcPr>
          <w:p w14:paraId="0F0122D9" w14:textId="77777777" w:rsidR="001E0975" w:rsidRPr="00F13073" w:rsidRDefault="00611033" w:rsidP="001029B8">
            <w:pPr>
              <w:keepNext/>
              <w:suppressAutoHyphens/>
              <w:jc w:val="center"/>
              <w:rPr>
                <w:sz w:val="20"/>
                <w:szCs w:val="20"/>
              </w:rPr>
            </w:pPr>
            <w:r w:rsidRPr="00F13073">
              <w:rPr>
                <w:sz w:val="20"/>
                <w:szCs w:val="20"/>
              </w:rPr>
              <w:t>83 (36</w:t>
            </w:r>
            <w:r w:rsidR="005F5F09" w:rsidRPr="00F13073">
              <w:rPr>
                <w:sz w:val="20"/>
                <w:szCs w:val="20"/>
              </w:rPr>
              <w:t>,</w:t>
            </w:r>
            <w:r w:rsidRPr="00F13073">
              <w:rPr>
                <w:sz w:val="20"/>
                <w:szCs w:val="20"/>
              </w:rPr>
              <w:t xml:space="preserve">1) </w:t>
            </w:r>
            <w:r w:rsidRPr="00F13073">
              <w:rPr>
                <w:sz w:val="20"/>
                <w:szCs w:val="20"/>
                <w:vertAlign w:val="superscript"/>
              </w:rPr>
              <w:t>‡</w:t>
            </w:r>
          </w:p>
        </w:tc>
        <w:tc>
          <w:tcPr>
            <w:tcW w:w="1275" w:type="dxa"/>
          </w:tcPr>
          <w:p w14:paraId="39A2A484" w14:textId="77777777" w:rsidR="001E0975" w:rsidRPr="00F13073" w:rsidRDefault="00611033" w:rsidP="001029B8">
            <w:pPr>
              <w:keepNext/>
              <w:suppressAutoHyphens/>
              <w:jc w:val="center"/>
              <w:rPr>
                <w:sz w:val="20"/>
                <w:szCs w:val="20"/>
              </w:rPr>
            </w:pPr>
            <w:r w:rsidRPr="00F13073">
              <w:rPr>
                <w:sz w:val="20"/>
                <w:szCs w:val="20"/>
              </w:rPr>
              <w:t>69 (30</w:t>
            </w:r>
            <w:r w:rsidR="005F5F09" w:rsidRPr="00F13073">
              <w:rPr>
                <w:sz w:val="20"/>
                <w:szCs w:val="20"/>
              </w:rPr>
              <w:t>,</w:t>
            </w:r>
            <w:r w:rsidRPr="00F13073">
              <w:rPr>
                <w:sz w:val="20"/>
                <w:szCs w:val="20"/>
              </w:rPr>
              <w:t>0)</w:t>
            </w:r>
          </w:p>
        </w:tc>
        <w:tc>
          <w:tcPr>
            <w:tcW w:w="1134" w:type="dxa"/>
          </w:tcPr>
          <w:p w14:paraId="2F8E32F2" w14:textId="77777777" w:rsidR="001E0975" w:rsidRPr="00F13073" w:rsidRDefault="00611033" w:rsidP="001029B8">
            <w:pPr>
              <w:keepNext/>
              <w:suppressAutoHyphens/>
              <w:jc w:val="center"/>
              <w:rPr>
                <w:sz w:val="20"/>
                <w:szCs w:val="20"/>
              </w:rPr>
            </w:pPr>
            <w:r w:rsidRPr="00F13073">
              <w:rPr>
                <w:sz w:val="20"/>
                <w:szCs w:val="20"/>
              </w:rPr>
              <w:t>66 (29</w:t>
            </w:r>
            <w:r w:rsidR="005F5F09" w:rsidRPr="00F13073">
              <w:rPr>
                <w:sz w:val="20"/>
                <w:szCs w:val="20"/>
              </w:rPr>
              <w:t>,</w:t>
            </w:r>
            <w:r w:rsidRPr="00F13073">
              <w:rPr>
                <w:sz w:val="20"/>
                <w:szCs w:val="20"/>
              </w:rPr>
              <w:t>3)</w:t>
            </w:r>
          </w:p>
        </w:tc>
        <w:tc>
          <w:tcPr>
            <w:tcW w:w="1134" w:type="dxa"/>
          </w:tcPr>
          <w:p w14:paraId="7D454354" w14:textId="77777777" w:rsidR="001E0975" w:rsidRPr="00F13073" w:rsidRDefault="00611033" w:rsidP="001029B8">
            <w:pPr>
              <w:keepNext/>
              <w:suppressAutoHyphens/>
              <w:jc w:val="center"/>
              <w:rPr>
                <w:sz w:val="20"/>
                <w:szCs w:val="20"/>
              </w:rPr>
            </w:pPr>
            <w:r w:rsidRPr="00F13073">
              <w:rPr>
                <w:sz w:val="20"/>
                <w:szCs w:val="20"/>
              </w:rPr>
              <w:t>49 (22</w:t>
            </w:r>
            <w:r w:rsidR="005F5F09" w:rsidRPr="00F13073">
              <w:rPr>
                <w:sz w:val="20"/>
                <w:szCs w:val="20"/>
              </w:rPr>
              <w:t>,</w:t>
            </w:r>
            <w:r w:rsidRPr="00F13073">
              <w:rPr>
                <w:sz w:val="20"/>
                <w:szCs w:val="20"/>
              </w:rPr>
              <w:t>4)</w:t>
            </w:r>
          </w:p>
        </w:tc>
      </w:tr>
    </w:tbl>
    <w:p w14:paraId="3AF7F8EF" w14:textId="77777777" w:rsidR="001E0975" w:rsidRPr="00127FBE" w:rsidRDefault="00611033" w:rsidP="008B4C50">
      <w:pPr>
        <w:rPr>
          <w:i/>
          <w:iCs/>
          <w:sz w:val="18"/>
          <w:szCs w:val="18"/>
          <w:lang w:val="en-GB"/>
        </w:rPr>
      </w:pPr>
      <w:proofErr w:type="spellStart"/>
      <w:r w:rsidRPr="00127FBE">
        <w:rPr>
          <w:i/>
          <w:iCs/>
          <w:sz w:val="18"/>
          <w:szCs w:val="18"/>
          <w:lang w:val="en-GB"/>
        </w:rPr>
        <w:t>mTSS</w:t>
      </w:r>
      <w:proofErr w:type="spellEnd"/>
      <w:r w:rsidRPr="00127FBE">
        <w:rPr>
          <w:i/>
          <w:iCs/>
          <w:sz w:val="18"/>
          <w:szCs w:val="18"/>
          <w:lang w:val="en-GB"/>
        </w:rPr>
        <w:t xml:space="preserve"> - </w:t>
      </w:r>
      <w:proofErr w:type="spellStart"/>
      <w:r w:rsidR="00D75CF7" w:rsidRPr="00127FBE">
        <w:rPr>
          <w:i/>
          <w:iCs/>
          <w:sz w:val="18"/>
          <w:szCs w:val="18"/>
          <w:lang w:val="en-GB"/>
        </w:rPr>
        <w:t>zmodyfikowana</w:t>
      </w:r>
      <w:proofErr w:type="spellEnd"/>
      <w:r w:rsidR="00D75CF7" w:rsidRPr="00127FBE">
        <w:rPr>
          <w:i/>
          <w:iCs/>
          <w:sz w:val="18"/>
          <w:szCs w:val="18"/>
          <w:lang w:val="en-GB"/>
        </w:rPr>
        <w:t xml:space="preserve"> </w:t>
      </w:r>
      <w:proofErr w:type="spellStart"/>
      <w:r w:rsidR="00D75CF7" w:rsidRPr="00127FBE">
        <w:rPr>
          <w:i/>
          <w:iCs/>
          <w:sz w:val="18"/>
          <w:szCs w:val="18"/>
          <w:lang w:val="en-GB"/>
        </w:rPr>
        <w:t>skala</w:t>
      </w:r>
      <w:proofErr w:type="spellEnd"/>
      <w:r w:rsidR="00D75CF7" w:rsidRPr="00127FBE">
        <w:rPr>
          <w:i/>
          <w:iCs/>
          <w:sz w:val="18"/>
          <w:szCs w:val="18"/>
          <w:lang w:val="en-GB"/>
        </w:rPr>
        <w:t xml:space="preserve"> </w:t>
      </w:r>
      <w:proofErr w:type="spellStart"/>
      <w:r w:rsidR="00D75CF7" w:rsidRPr="00127FBE">
        <w:rPr>
          <w:i/>
          <w:iCs/>
          <w:sz w:val="18"/>
          <w:szCs w:val="18"/>
          <w:lang w:val="en-GB"/>
        </w:rPr>
        <w:t>Sharpa</w:t>
      </w:r>
      <w:proofErr w:type="spellEnd"/>
      <w:r w:rsidR="00D75CF7" w:rsidRPr="00127FBE">
        <w:rPr>
          <w:i/>
          <w:iCs/>
          <w:sz w:val="18"/>
          <w:szCs w:val="18"/>
          <w:lang w:val="en-GB"/>
        </w:rPr>
        <w:t xml:space="preserve"> (ang. modified Total Sharp Score)</w:t>
      </w:r>
    </w:p>
    <w:p w14:paraId="5615CE47" w14:textId="77777777" w:rsidR="001E0975" w:rsidRPr="00F13073" w:rsidRDefault="00611033" w:rsidP="008B4C50">
      <w:pPr>
        <w:rPr>
          <w:i/>
          <w:iCs/>
          <w:sz w:val="18"/>
          <w:szCs w:val="18"/>
        </w:rPr>
      </w:pPr>
      <w:r w:rsidRPr="00F13073">
        <w:rPr>
          <w:i/>
          <w:iCs/>
          <w:sz w:val="18"/>
          <w:szCs w:val="18"/>
        </w:rPr>
        <w:t xml:space="preserve">JSN - </w:t>
      </w:r>
      <w:r w:rsidR="00D75CF7" w:rsidRPr="00F13073">
        <w:rPr>
          <w:i/>
          <w:iCs/>
          <w:sz w:val="18"/>
          <w:szCs w:val="18"/>
        </w:rPr>
        <w:t>zwężenie szpary stawowej (ang. Joints Space Narrowing)</w:t>
      </w:r>
    </w:p>
    <w:p w14:paraId="1D975163" w14:textId="77777777" w:rsidR="001E0975" w:rsidRPr="00F13073" w:rsidRDefault="00D75CF7" w:rsidP="008B4C50">
      <w:pPr>
        <w:rPr>
          <w:sz w:val="18"/>
          <w:szCs w:val="18"/>
        </w:rPr>
      </w:pPr>
      <w:r w:rsidRPr="00F13073">
        <w:rPr>
          <w:sz w:val="18"/>
          <w:szCs w:val="18"/>
        </w:rPr>
        <w:t>W wszystkich przypadkach skuteczność leczenia porównywano wobec leczenia w schemacie placebo + MTX.</w:t>
      </w:r>
      <w:r w:rsidR="00611033" w:rsidRPr="00F13073">
        <w:rPr>
          <w:sz w:val="18"/>
          <w:szCs w:val="18"/>
        </w:rPr>
        <w:t xml:space="preserve"> ***p≤0</w:t>
      </w:r>
      <w:r w:rsidRPr="00F13073">
        <w:rPr>
          <w:sz w:val="18"/>
          <w:szCs w:val="18"/>
        </w:rPr>
        <w:t>,</w:t>
      </w:r>
      <w:r w:rsidR="00611033" w:rsidRPr="00F13073">
        <w:rPr>
          <w:sz w:val="18"/>
          <w:szCs w:val="18"/>
        </w:rPr>
        <w:t>0001; **p&lt;0</w:t>
      </w:r>
      <w:r w:rsidRPr="00F13073">
        <w:rPr>
          <w:sz w:val="18"/>
          <w:szCs w:val="18"/>
        </w:rPr>
        <w:t>,</w:t>
      </w:r>
      <w:r w:rsidR="00611033" w:rsidRPr="00F13073">
        <w:rPr>
          <w:sz w:val="18"/>
          <w:szCs w:val="18"/>
        </w:rPr>
        <w:t>001; *p&lt;0</w:t>
      </w:r>
      <w:r w:rsidR="00742D20" w:rsidRPr="00F13073">
        <w:rPr>
          <w:sz w:val="18"/>
          <w:szCs w:val="18"/>
        </w:rPr>
        <w:t>,</w:t>
      </w:r>
      <w:r w:rsidR="00611033" w:rsidRPr="00F13073">
        <w:rPr>
          <w:sz w:val="18"/>
          <w:szCs w:val="18"/>
        </w:rPr>
        <w:t>05;</w:t>
      </w:r>
    </w:p>
    <w:p w14:paraId="511A0367" w14:textId="77777777" w:rsidR="001E0975" w:rsidRPr="00F13073" w:rsidRDefault="00611033" w:rsidP="008B4C50">
      <w:pPr>
        <w:rPr>
          <w:sz w:val="18"/>
          <w:szCs w:val="18"/>
        </w:rPr>
      </w:pPr>
      <w:r w:rsidRPr="00F13073">
        <w:rPr>
          <w:sz w:val="18"/>
          <w:szCs w:val="18"/>
        </w:rPr>
        <w:t>‡p-value &lt; 0</w:t>
      </w:r>
      <w:r w:rsidR="00D75CF7" w:rsidRPr="00F13073">
        <w:rPr>
          <w:sz w:val="18"/>
          <w:szCs w:val="18"/>
        </w:rPr>
        <w:t>,</w:t>
      </w:r>
      <w:r w:rsidRPr="00F13073">
        <w:rPr>
          <w:sz w:val="18"/>
          <w:szCs w:val="18"/>
        </w:rPr>
        <w:t xml:space="preserve">05 </w:t>
      </w:r>
      <w:r w:rsidR="00D75CF7" w:rsidRPr="00F13073">
        <w:rPr>
          <w:sz w:val="18"/>
          <w:szCs w:val="18"/>
        </w:rPr>
        <w:t>wobec placebo + MTX, jednak ten punkt końcowy miał charakter eksploracyjny (nie włączony do hierarchii testów statystycznych, a zatem był kontrolowany pod względem liczebności)</w:t>
      </w:r>
    </w:p>
    <w:p w14:paraId="6E016859" w14:textId="77777777" w:rsidR="00D21B43" w:rsidRPr="00F13073" w:rsidRDefault="00D21B43" w:rsidP="008B4C50"/>
    <w:p w14:paraId="470D07AE" w14:textId="77777777" w:rsidR="001E0975" w:rsidRPr="00F13073" w:rsidRDefault="00611033" w:rsidP="008B4C50">
      <w:pPr>
        <w:keepNext/>
        <w:rPr>
          <w:u w:val="single"/>
        </w:rPr>
      </w:pPr>
      <w:r w:rsidRPr="00F13073">
        <w:rPr>
          <w:u w:val="single"/>
        </w:rPr>
        <w:t>COVID-19</w:t>
      </w:r>
    </w:p>
    <w:p w14:paraId="59EC8709" w14:textId="77777777" w:rsidR="00D21B43" w:rsidRPr="00F13073" w:rsidRDefault="00D21B43" w:rsidP="008B4C50">
      <w:pPr>
        <w:keepNext/>
        <w:rPr>
          <w:u w:val="single"/>
        </w:rPr>
      </w:pPr>
    </w:p>
    <w:p w14:paraId="62054287" w14:textId="77777777" w:rsidR="001E0975" w:rsidRPr="00F13073" w:rsidRDefault="00622406" w:rsidP="008B4C50">
      <w:pPr>
        <w:rPr>
          <w:u w:val="single"/>
        </w:rPr>
      </w:pPr>
      <w:r w:rsidRPr="00F13073">
        <w:rPr>
          <w:u w:val="single"/>
        </w:rPr>
        <w:t>Skuteczność kliniczna</w:t>
      </w:r>
    </w:p>
    <w:p w14:paraId="7ED62236" w14:textId="77777777" w:rsidR="00D21B43" w:rsidRPr="00F13073" w:rsidRDefault="00D21B43" w:rsidP="008B4C50">
      <w:pPr>
        <w:rPr>
          <w:u w:val="single"/>
        </w:rPr>
      </w:pPr>
    </w:p>
    <w:p w14:paraId="77EB6467" w14:textId="77777777" w:rsidR="001E0975" w:rsidRPr="00F13073" w:rsidRDefault="00622406" w:rsidP="008B4C50">
      <w:pPr>
        <w:keepNext/>
        <w:rPr>
          <w:b/>
          <w:bCs/>
        </w:rPr>
      </w:pPr>
      <w:r w:rsidRPr="00F13073">
        <w:rPr>
          <w:rStyle w:val="Char"/>
          <w:rFonts w:eastAsia="DengXian"/>
          <w:b/>
          <w:bCs/>
        </w:rPr>
        <w:lastRenderedPageBreak/>
        <w:t xml:space="preserve">Badanie RECOVERY (ang. </w:t>
      </w:r>
      <w:r w:rsidRPr="00F13073">
        <w:rPr>
          <w:rStyle w:val="Char"/>
          <w:rFonts w:eastAsia="DengXian"/>
          <w:b/>
          <w:bCs/>
          <w:i/>
          <w:iCs/>
        </w:rPr>
        <w:t>Randomised Evaluation of COVID-19 Therapy,</w:t>
      </w:r>
      <w:r w:rsidRPr="00F13073">
        <w:rPr>
          <w:rStyle w:val="Char"/>
          <w:rFonts w:eastAsia="DengXian"/>
          <w:b/>
          <w:bCs/>
        </w:rPr>
        <w:t xml:space="preserve"> randomizowana ocena leczenia COVID-19) z udziałem hospitalizowanych osób dorosłych z rozpoznaniem COVID-19, prowadzone w ramach grupy współpracującej</w:t>
      </w:r>
    </w:p>
    <w:p w14:paraId="1C77CE1D" w14:textId="77777777" w:rsidR="00D21B43" w:rsidRPr="00F13073" w:rsidRDefault="00D21B43" w:rsidP="008B4C50">
      <w:pPr>
        <w:keepNext/>
        <w:rPr>
          <w:b/>
          <w:bCs/>
        </w:rPr>
      </w:pPr>
    </w:p>
    <w:p w14:paraId="3B2AEA67" w14:textId="77777777" w:rsidR="008501D9" w:rsidRPr="00F13073" w:rsidRDefault="008501D9" w:rsidP="008B4C50">
      <w:pPr>
        <w:pStyle w:val="a4"/>
        <w:widowControl/>
        <w:spacing w:after="0"/>
        <w:rPr>
          <w:rStyle w:val="Char"/>
        </w:rPr>
      </w:pPr>
      <w:r w:rsidRPr="00F13073">
        <w:rPr>
          <w:rStyle w:val="Char"/>
        </w:rPr>
        <w:t xml:space="preserve">Badanie RECOVERY było dużym, randomizowanym, otwartym, wieloośrodkowym badaniem z grupą kontrolną, prowadzonym w Wielkiej Brytanii w celu oceny skuteczności i bezpieczeństwa stosowania potencjalnych terapii u hospitalizowanych dorosłych pacjentów z COVID-19 o ciężkim przebiegu. Wszyscy pacjenci spełniający kryteria włączenia otrzymywali zwykle stosowane leczenie i zostali poddani wstępnej (głównej) randomizacji. U pacjentów kwalifikujących się do badania występowało kliniczne podejrzenie lub potwierdzone w badaniach laboratoryjnych zakażenie SARS- CoV oraz brak przeciwwskazań medycznych do stosowania którejkolwiek terapii. Pacjenci z dowodami klinicznymi wskazującymi na progresję COVID-19 (definiowanymi jako nasycenie tlenem &lt;92% przy oddychaniu powietrzem atmosferycznym lub otrzymywanie tlenoterapii i CRP </w:t>
      </w:r>
      <w:r w:rsidRPr="00F13073">
        <w:rPr>
          <w:rStyle w:val="Char"/>
          <w:sz w:val="24"/>
          <w:szCs w:val="24"/>
        </w:rPr>
        <w:t>&gt;</w:t>
      </w:r>
      <w:r w:rsidRPr="00F13073">
        <w:rPr>
          <w:rStyle w:val="Char"/>
        </w:rPr>
        <w:t>75 mg/l) kwalifikowali się do drugiej randomizacji w celu przydziału do grupy otrzymującej tocilizumab podawany dożylnie lub do grupy otrzymującej wyłącznie zwykle stosowane leczenie.</w:t>
      </w:r>
    </w:p>
    <w:p w14:paraId="786F5046" w14:textId="77777777" w:rsidR="008501D9" w:rsidRPr="00F13073" w:rsidRDefault="008501D9" w:rsidP="008B4C50">
      <w:pPr>
        <w:pStyle w:val="a4"/>
        <w:widowControl/>
        <w:spacing w:after="0"/>
      </w:pPr>
    </w:p>
    <w:p w14:paraId="61678BFB" w14:textId="77777777" w:rsidR="008501D9" w:rsidRPr="00F13073" w:rsidRDefault="008501D9" w:rsidP="008B4C50">
      <w:pPr>
        <w:pStyle w:val="a4"/>
        <w:widowControl/>
        <w:spacing w:after="0"/>
        <w:rPr>
          <w:rStyle w:val="Char"/>
        </w:rPr>
      </w:pPr>
      <w:r w:rsidRPr="00F13073">
        <w:rPr>
          <w:rStyle w:val="Char"/>
        </w:rPr>
        <w:t xml:space="preserve">Analizy skuteczności przeprowadzono w populacji zgodnej z zamiarem leczenia (ang. </w:t>
      </w:r>
      <w:r w:rsidRPr="00F13073">
        <w:rPr>
          <w:rStyle w:val="Char"/>
          <w:i/>
          <w:iCs/>
        </w:rPr>
        <w:t>intent-to-treat</w:t>
      </w:r>
      <w:r w:rsidRPr="00F13073">
        <w:rPr>
          <w:rStyle w:val="Char"/>
        </w:rPr>
        <w:t>, ITT) obejmującej 4116 pacjentów poddanych randomizacji, z których 2022 zostało przydzielonych do grupy otrzymującej tocilizumab + zwykle stosowane leczenie, a 2094 pacjentów zostało przydzielonych do grupy otrzymującej wyłącznie zwykle stosowane leczenie. Wyjściowe dane demograficzne i charakterystyka choroby w populacji ITT były dobrze zrównoważone pomiędzy grupami terapeutycznymi. Średni wiek uczestników wynosił 63,6 roku (odchylenie standardowe [ SD] 13,6 roku). Większość pacjentów stanowili mężczyźni (67%) i osoby rasy białej (76%). Mediana (zakres) stężenia CRP wyniosła 143 mg/l (75-982).</w:t>
      </w:r>
    </w:p>
    <w:p w14:paraId="5C721471" w14:textId="77777777" w:rsidR="008501D9" w:rsidRPr="00F13073" w:rsidRDefault="008501D9" w:rsidP="008B4C50">
      <w:pPr>
        <w:pStyle w:val="a4"/>
        <w:widowControl/>
        <w:spacing w:after="0"/>
      </w:pPr>
    </w:p>
    <w:p w14:paraId="1F872159" w14:textId="77777777" w:rsidR="008501D9" w:rsidRPr="00F13073" w:rsidRDefault="008501D9" w:rsidP="008B4C50">
      <w:pPr>
        <w:pStyle w:val="a4"/>
        <w:widowControl/>
        <w:spacing w:after="0"/>
        <w:rPr>
          <w:rStyle w:val="Char"/>
        </w:rPr>
      </w:pPr>
      <w:r w:rsidRPr="00F13073">
        <w:rPr>
          <w:rStyle w:val="Char"/>
        </w:rPr>
        <w:t>W punkcie początkowym badania 0,2% (n=9) pacjentów nie otrzymywało uzupełniającej tlenoterapii, 45% pacjentów wymagało niskoprzepływowej tlenoterapii, 41% pacjentów wymagało wentylacji nieinwazyjnej lub wysokoprzepływowej tlenoterapii, a 14% pacjentów wymagało inwazyjnej wentylacji mechanicznej; u 82% pacjentów zgłoszono stosowanie kortykosteroidów o działaniu układowym (zdefiniowani jako pacjenci, którzy rozpoczęli leczenie kortykosteroidami o działaniu układowym przed lub w czasie randomizacji). Najczęstszymi chorobami współistniejącymi były cukrzyca (28,4%), choroba serca (22,6%) i przewlekła choroba płuc (23,3%).</w:t>
      </w:r>
    </w:p>
    <w:p w14:paraId="1E171532" w14:textId="77777777" w:rsidR="008501D9" w:rsidRPr="00F13073" w:rsidRDefault="008501D9" w:rsidP="008B4C50">
      <w:pPr>
        <w:pStyle w:val="a4"/>
        <w:widowControl/>
        <w:spacing w:after="0"/>
      </w:pPr>
    </w:p>
    <w:p w14:paraId="7694EC0A" w14:textId="77777777" w:rsidR="008501D9" w:rsidRPr="00F13073" w:rsidRDefault="008501D9" w:rsidP="008B4C50">
      <w:pPr>
        <w:pStyle w:val="a4"/>
        <w:widowControl/>
        <w:spacing w:after="0"/>
        <w:rPr>
          <w:rStyle w:val="Char"/>
        </w:rPr>
      </w:pPr>
      <w:r w:rsidRPr="00F13073">
        <w:rPr>
          <w:rStyle w:val="Char"/>
        </w:rPr>
        <w:t>Pierwszorzędowym punktem końcowym był czas do zgonu w okresie do 28. dnia włącznie. Współczynnik ryzyka dla porównania grupy otrzymującej tocilizumab + zwykle stosowane leczenie z grupą otrzymującą wyłącznie zwykle stosowane leczenie wyniósł 0,85 (95% CI: 0,76 do 0,94), co było wynikiem istotnym statystycznie (p</w:t>
      </w:r>
      <w:r w:rsidRPr="00F13073">
        <w:rPr>
          <w:rStyle w:val="Char"/>
          <w:sz w:val="24"/>
          <w:szCs w:val="24"/>
        </w:rPr>
        <w:t>=</w:t>
      </w:r>
      <w:r w:rsidRPr="00F13073">
        <w:rPr>
          <w:rStyle w:val="Char"/>
        </w:rPr>
        <w:t>0,0028). Oszacowano, że prawdopodobieństwo zgonu do dnia 28. wyniosło 30,7% i 34,9% odpowiednio w grupie otrzymującej tocilizumab i w grupie otrzymującej zwykle stosowane leczenie. Różnica dotycząca ryzyka została oszacowana na -4,1% (95% CI: -7,0% do -1,3%), co było zgodne z analizą pierwotną. Współczynnik ryzyka w uprzednio określonej podgrupie pacjentów otrzymujących w punkcie początkowym kortykosteroidy o działaniu układowym wyniósł 0,79 (95% CI: 0,70 do 0,89), a w uprzednio określonej podgrupie nieotrzymującej wyjściowo kortykosteroidów o działaniu układowym współczynnik ryzyka wyniósł 1,16 (95% CI: 0,91 do 1,48).</w:t>
      </w:r>
    </w:p>
    <w:p w14:paraId="4A302369" w14:textId="77777777" w:rsidR="008501D9" w:rsidRPr="00F13073" w:rsidRDefault="008501D9" w:rsidP="008B4C50">
      <w:pPr>
        <w:pStyle w:val="a4"/>
        <w:widowControl/>
        <w:spacing w:after="0"/>
      </w:pPr>
    </w:p>
    <w:p w14:paraId="33CB3CA6" w14:textId="77777777" w:rsidR="008501D9" w:rsidRPr="00F13073" w:rsidRDefault="008501D9" w:rsidP="008B4C50">
      <w:pPr>
        <w:pStyle w:val="a4"/>
        <w:widowControl/>
        <w:spacing w:after="0"/>
        <w:rPr>
          <w:rStyle w:val="Char"/>
        </w:rPr>
      </w:pPr>
      <w:r w:rsidRPr="00F13073">
        <w:rPr>
          <w:rStyle w:val="Char"/>
        </w:rPr>
        <w:t>Mediana czasu do wypisania ze szpitala wyniosła 19 dni w grupie otrzymującej tocilizumab + zwykle stosowane leczenie i &gt;28 dni w grupie otrzymującej zwykle stosowane leczenie (współczynnik ryzyka [95% CI] = 1,22 [1,12 do 1,33]).</w:t>
      </w:r>
    </w:p>
    <w:p w14:paraId="16E28D6A" w14:textId="77777777" w:rsidR="008501D9" w:rsidRPr="00F13073" w:rsidRDefault="008501D9" w:rsidP="008B4C50">
      <w:pPr>
        <w:pStyle w:val="a4"/>
        <w:widowControl/>
        <w:spacing w:after="0"/>
      </w:pPr>
    </w:p>
    <w:p w14:paraId="0C57DE92" w14:textId="77777777" w:rsidR="008501D9" w:rsidRPr="00F13073" w:rsidRDefault="008501D9" w:rsidP="008B4C50">
      <w:pPr>
        <w:pStyle w:val="a4"/>
        <w:widowControl/>
        <w:spacing w:after="0"/>
        <w:rPr>
          <w:rStyle w:val="Char"/>
        </w:rPr>
      </w:pPr>
      <w:r w:rsidRPr="00F13073">
        <w:rPr>
          <w:rStyle w:val="Char"/>
        </w:rPr>
        <w:t>Wśród pacjentów niewymagających wyjściowo inwazyjnej wentylacji mechanicznej odsetek pacjentów, którzy wymagali wentylacji mechanicznej lub zmarli do dnia 28. wyniósł 35% (619/1754) w grupie otrzymującej tocilizumab + zwykle stosowane leczenie i 42% (754/1800) w grupie otrzymującej wyłącznie zwykle stosowane leczenie (stosunek ryzyka [95% CI] = 0,84, [0,77 do 0,92] p&lt;0,0001).</w:t>
      </w:r>
    </w:p>
    <w:p w14:paraId="22025052" w14:textId="77777777" w:rsidR="008501D9" w:rsidRPr="00F13073" w:rsidRDefault="008501D9" w:rsidP="008B4C50">
      <w:pPr>
        <w:pStyle w:val="a4"/>
        <w:widowControl/>
        <w:spacing w:after="0"/>
      </w:pPr>
    </w:p>
    <w:p w14:paraId="4DD025FE" w14:textId="77777777" w:rsidR="008501D9" w:rsidRPr="00F13073" w:rsidRDefault="008501D9" w:rsidP="008B4C50">
      <w:pPr>
        <w:pStyle w:val="a4"/>
        <w:widowControl/>
        <w:spacing w:after="0"/>
        <w:rPr>
          <w:rStyle w:val="Char"/>
          <w:u w:val="single"/>
        </w:rPr>
      </w:pPr>
      <w:r w:rsidRPr="00F13073">
        <w:rPr>
          <w:rStyle w:val="Char"/>
          <w:u w:val="single"/>
        </w:rPr>
        <w:t>Dzieci i młodzież</w:t>
      </w:r>
    </w:p>
    <w:p w14:paraId="454E50B3" w14:textId="77777777" w:rsidR="008501D9" w:rsidRPr="00F13073" w:rsidRDefault="008501D9" w:rsidP="008B4C50">
      <w:pPr>
        <w:pStyle w:val="a4"/>
        <w:widowControl/>
        <w:spacing w:after="0"/>
        <w:rPr>
          <w:rStyle w:val="Char"/>
          <w:i/>
          <w:iCs/>
        </w:rPr>
      </w:pPr>
      <w:r w:rsidRPr="00F13073">
        <w:rPr>
          <w:rStyle w:val="Char"/>
          <w:i/>
          <w:iCs/>
        </w:rPr>
        <w:t>Chorzy na uMIZS</w:t>
      </w:r>
    </w:p>
    <w:p w14:paraId="687AAB2E" w14:textId="77777777" w:rsidR="008501D9" w:rsidRPr="00F13073" w:rsidRDefault="008501D9" w:rsidP="008B4C50">
      <w:pPr>
        <w:pStyle w:val="a4"/>
        <w:widowControl/>
        <w:spacing w:after="0"/>
        <w:rPr>
          <w:rStyle w:val="Char"/>
          <w:i/>
          <w:iCs/>
        </w:rPr>
      </w:pPr>
      <w:r w:rsidRPr="00F13073">
        <w:rPr>
          <w:rStyle w:val="Char"/>
          <w:i/>
          <w:iCs/>
        </w:rPr>
        <w:lastRenderedPageBreak/>
        <w:t>Skuteczność kliniczna</w:t>
      </w:r>
    </w:p>
    <w:p w14:paraId="450600D7" w14:textId="77777777" w:rsidR="008501D9" w:rsidRPr="00F13073" w:rsidRDefault="008501D9" w:rsidP="008B4C50">
      <w:pPr>
        <w:pStyle w:val="a4"/>
        <w:widowControl/>
        <w:spacing w:after="0"/>
        <w:rPr>
          <w:rStyle w:val="Char"/>
        </w:rPr>
      </w:pPr>
      <w:r w:rsidRPr="00F13073">
        <w:rPr>
          <w:rStyle w:val="Char"/>
        </w:rPr>
        <w:t>Skuteczność tocilizumabu w leczeniu czynnego uMIZS była oceniana w trwającym 12 tygodni randomizowanym badaniu z podwójnie ślepą próbą, kontrolowanym placebo, prowadzonym metodą grup równoległych, z dwoma schematami badawczymi. Okres trwania choroby u pacjentów włączonych do badania wynosił co najmniej 6 miesięcy, mieli oni aktywną postać choroby, bez zaostrzeń wymagających zastosowania kortykosteroidów w dawce większej niż równoważnik dawki 0,5 mg/kg mc. prednizonu. Skuteczność leczenia zespołu aktywacji makrofagów nie była badana.</w:t>
      </w:r>
    </w:p>
    <w:p w14:paraId="125B1EFC" w14:textId="77777777" w:rsidR="008501D9" w:rsidRPr="00F13073" w:rsidRDefault="008501D9" w:rsidP="008B4C50">
      <w:pPr>
        <w:pStyle w:val="a4"/>
        <w:widowControl/>
        <w:spacing w:after="0"/>
      </w:pPr>
    </w:p>
    <w:p w14:paraId="4CC06C15" w14:textId="77777777" w:rsidR="008501D9" w:rsidRPr="00F13073" w:rsidRDefault="008501D9" w:rsidP="008B4C50">
      <w:pPr>
        <w:pStyle w:val="a4"/>
        <w:widowControl/>
        <w:spacing w:after="0"/>
        <w:rPr>
          <w:rStyle w:val="Char"/>
        </w:rPr>
      </w:pPr>
      <w:r w:rsidRPr="00F13073">
        <w:rPr>
          <w:rStyle w:val="Char"/>
        </w:rPr>
        <w:t>Pacjenci (leczeni MTX lub nie) zostali losowo przydzieleni do jednej z dwóch grup (tocilizumab: placebo = 2:1). 75 pacjentów otrzymywało wlewy tocilizumabu raz na dwa tygodnie, w dawce 8 mg/kg mc. w przypadku pacjentów o masie ciała ≥ 30 kg lub w dawce 12 mg/kg mc. w przypadku pacjentów o masie ciała &lt; 30 kg, a 37 pacjentów zostało przypisanych do grupy otrzymującej placebo we wlewach raz na dwa tygodnie. Stopniowe zmniejszanie dawki kortykosteroidów było dozwolone od 6. tygodnia u pacjentów, u których wystąpiła odpowiedź ACR70 dla MIZS. Po 12 tygodniach lub w czasie zamiany placebo na lek ze względu na zaostrzenie choroby, pacjenci byli leczeni w ramach fazy otwartej przy dawkowaniu dostosowanym do masy ciała.</w:t>
      </w:r>
    </w:p>
    <w:p w14:paraId="0CFF46DC" w14:textId="77777777" w:rsidR="008501D9" w:rsidRPr="00F13073" w:rsidRDefault="008501D9" w:rsidP="008B4C50">
      <w:pPr>
        <w:pStyle w:val="a4"/>
        <w:widowControl/>
        <w:spacing w:after="0"/>
      </w:pPr>
    </w:p>
    <w:p w14:paraId="384E289C" w14:textId="77777777" w:rsidR="008501D9" w:rsidRPr="00F13073" w:rsidRDefault="008501D9" w:rsidP="006B07A0">
      <w:pPr>
        <w:pStyle w:val="a4"/>
        <w:keepNext/>
        <w:keepLines/>
        <w:widowControl/>
        <w:spacing w:after="0"/>
      </w:pPr>
      <w:r w:rsidRPr="00F13073">
        <w:rPr>
          <w:rStyle w:val="Char"/>
          <w:i/>
          <w:iCs/>
        </w:rPr>
        <w:t>Odpowiedź kliniczna</w:t>
      </w:r>
    </w:p>
    <w:p w14:paraId="2978B57A" w14:textId="77777777" w:rsidR="008501D9" w:rsidRPr="00F13073" w:rsidRDefault="008501D9" w:rsidP="008B4C50">
      <w:pPr>
        <w:pStyle w:val="a4"/>
        <w:widowControl/>
        <w:spacing w:after="0"/>
        <w:rPr>
          <w:rStyle w:val="Char"/>
        </w:rPr>
      </w:pPr>
      <w:r w:rsidRPr="00F13073">
        <w:rPr>
          <w:rStyle w:val="Char"/>
        </w:rPr>
        <w:t>Pierwszorzędowym punktem końcowym był odsetek pacjentów, u których w 12. tygodniu wystąpiła poprawa zestawu kluczowych kryteriów ACR dla MIZS o co najmniej 30% (odpowiedź ACR30 dla MIZS) przy braku gorączki (niezarejestrowanie temperatury ≥ 37.5°C przez poprzedzające 7 dni). Ten punkt końcowy osiągnęło 85% (64/75) pacjentów leczonych tocilizumabem i 24,3% (9/37) pacjentów leczonych placebo. Różnice te były wysoce istotne statystycznie (p&lt; 0.0001).</w:t>
      </w:r>
    </w:p>
    <w:p w14:paraId="16D6C3C4" w14:textId="77777777" w:rsidR="008501D9" w:rsidRPr="00F13073" w:rsidRDefault="008501D9" w:rsidP="008B4C50">
      <w:pPr>
        <w:pStyle w:val="a4"/>
        <w:widowControl/>
        <w:spacing w:after="0"/>
      </w:pPr>
    </w:p>
    <w:p w14:paraId="482103C1" w14:textId="77777777" w:rsidR="008501D9" w:rsidRPr="00F13073" w:rsidRDefault="008501D9" w:rsidP="008B4C50">
      <w:pPr>
        <w:pStyle w:val="a4"/>
        <w:widowControl/>
        <w:spacing w:after="0"/>
      </w:pPr>
      <w:r w:rsidRPr="00F13073">
        <w:rPr>
          <w:rStyle w:val="Char"/>
        </w:rPr>
        <w:t>Odsetek pacjentów, którzy uzyskali odpowiedź ACR 30, 50, 70 i 90 dla MIZS przedstawiono w tabeli 8.</w:t>
      </w:r>
    </w:p>
    <w:p w14:paraId="3599DCE1" w14:textId="77777777" w:rsidR="00C9034C" w:rsidRPr="00F13073" w:rsidRDefault="00C9034C" w:rsidP="008B4C50"/>
    <w:p w14:paraId="6ABB6E71" w14:textId="77777777" w:rsidR="001E0975" w:rsidRPr="00F13073" w:rsidRDefault="00611033" w:rsidP="008B4C50">
      <w:pPr>
        <w:keepNext/>
        <w:ind w:left="1134" w:hanging="1134"/>
        <w:rPr>
          <w:i/>
          <w:iCs/>
        </w:rPr>
      </w:pPr>
      <w:r w:rsidRPr="00F13073">
        <w:rPr>
          <w:i/>
          <w:iCs/>
        </w:rPr>
        <w:t>Tab</w:t>
      </w:r>
      <w:r w:rsidR="006B567D" w:rsidRPr="00F13073">
        <w:rPr>
          <w:i/>
          <w:iCs/>
        </w:rPr>
        <w:t>e</w:t>
      </w:r>
      <w:r w:rsidRPr="00F13073">
        <w:rPr>
          <w:i/>
          <w:iCs/>
        </w:rPr>
        <w:t>l</w:t>
      </w:r>
      <w:r w:rsidR="00BA77EA" w:rsidRPr="00F13073">
        <w:rPr>
          <w:i/>
          <w:iCs/>
        </w:rPr>
        <w:t>a</w:t>
      </w:r>
      <w:r w:rsidRPr="00F13073">
        <w:rPr>
          <w:i/>
          <w:iCs/>
        </w:rPr>
        <w:t xml:space="preserve"> 8.</w:t>
      </w:r>
      <w:r w:rsidR="00C9034C" w:rsidRPr="00F13073">
        <w:rPr>
          <w:i/>
          <w:iCs/>
        </w:rPr>
        <w:tab/>
      </w:r>
      <w:r w:rsidR="00BA77EA" w:rsidRPr="00F13073">
        <w:rPr>
          <w:rStyle w:val="Char"/>
          <w:rFonts w:eastAsia="DengXian"/>
          <w:i/>
          <w:iCs/>
        </w:rPr>
        <w:t>Częstości odpowiedzi ACR dla MIZS w 12. tygodniu (%pacjentów)</w:t>
      </w:r>
    </w:p>
    <w:p w14:paraId="3388C290" w14:textId="77777777" w:rsidR="00C9034C" w:rsidRPr="00F13073" w:rsidRDefault="00C9034C"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242"/>
        <w:gridCol w:w="2410"/>
        <w:gridCol w:w="3269"/>
      </w:tblGrid>
      <w:tr w:rsidR="001E0975" w:rsidRPr="00F13073" w14:paraId="3AB3B415" w14:textId="77777777" w:rsidTr="00485B16">
        <w:trPr>
          <w:cantSplit/>
          <w:tblHeader/>
        </w:trPr>
        <w:tc>
          <w:tcPr>
            <w:tcW w:w="2242" w:type="dxa"/>
            <w:tcBorders>
              <w:top w:val="single" w:sz="4" w:space="0" w:color="auto"/>
              <w:left w:val="single" w:sz="4" w:space="0" w:color="auto"/>
            </w:tcBorders>
          </w:tcPr>
          <w:p w14:paraId="209CDC2A" w14:textId="77777777" w:rsidR="001E0975" w:rsidRPr="00F13073" w:rsidRDefault="008C5F75" w:rsidP="008B4C50">
            <w:pPr>
              <w:keepNext/>
              <w:suppressAutoHyphens/>
              <w:rPr>
                <w:b/>
                <w:bCs/>
              </w:rPr>
            </w:pPr>
            <w:r w:rsidRPr="00F13073">
              <w:rPr>
                <w:b/>
                <w:bCs/>
              </w:rPr>
              <w:t>Odpowiedź</w:t>
            </w:r>
          </w:p>
        </w:tc>
        <w:tc>
          <w:tcPr>
            <w:tcW w:w="2410" w:type="dxa"/>
            <w:tcBorders>
              <w:top w:val="single" w:sz="4" w:space="0" w:color="auto"/>
              <w:left w:val="single" w:sz="4" w:space="0" w:color="auto"/>
            </w:tcBorders>
          </w:tcPr>
          <w:p w14:paraId="3CB70688" w14:textId="77777777" w:rsidR="00C9034C" w:rsidRPr="00F13073" w:rsidRDefault="00611033" w:rsidP="00742D20">
            <w:pPr>
              <w:keepNext/>
              <w:suppressAutoHyphens/>
              <w:jc w:val="center"/>
              <w:rPr>
                <w:b/>
                <w:bCs/>
              </w:rPr>
            </w:pPr>
            <w:r w:rsidRPr="00F13073">
              <w:rPr>
                <w:b/>
                <w:bCs/>
              </w:rPr>
              <w:t>Tocilizumab</w:t>
            </w:r>
          </w:p>
          <w:p w14:paraId="54826FFD" w14:textId="77777777" w:rsidR="001E0975" w:rsidRPr="00F13073" w:rsidRDefault="00611033" w:rsidP="00742D20">
            <w:pPr>
              <w:keepNext/>
              <w:suppressAutoHyphens/>
              <w:jc w:val="center"/>
              <w:rPr>
                <w:b/>
                <w:bCs/>
              </w:rPr>
            </w:pPr>
            <w:r w:rsidRPr="00F13073">
              <w:rPr>
                <w:b/>
                <w:bCs/>
              </w:rPr>
              <w:t>N = 75</w:t>
            </w:r>
          </w:p>
        </w:tc>
        <w:tc>
          <w:tcPr>
            <w:tcW w:w="3269" w:type="dxa"/>
            <w:tcBorders>
              <w:top w:val="single" w:sz="4" w:space="0" w:color="auto"/>
              <w:left w:val="single" w:sz="4" w:space="0" w:color="auto"/>
              <w:right w:val="single" w:sz="4" w:space="0" w:color="auto"/>
            </w:tcBorders>
          </w:tcPr>
          <w:p w14:paraId="2B0F1BEC" w14:textId="77777777" w:rsidR="00C9034C" w:rsidRPr="00F13073" w:rsidRDefault="00611033" w:rsidP="00742D20">
            <w:pPr>
              <w:keepNext/>
              <w:suppressAutoHyphens/>
              <w:jc w:val="center"/>
              <w:rPr>
                <w:b/>
                <w:bCs/>
              </w:rPr>
            </w:pPr>
            <w:r w:rsidRPr="00F13073">
              <w:rPr>
                <w:b/>
                <w:bCs/>
              </w:rPr>
              <w:t>Placebo</w:t>
            </w:r>
          </w:p>
          <w:p w14:paraId="7DAEEC7F" w14:textId="77777777" w:rsidR="001E0975" w:rsidRPr="00F13073" w:rsidRDefault="00611033" w:rsidP="00742D20">
            <w:pPr>
              <w:keepNext/>
              <w:suppressAutoHyphens/>
              <w:jc w:val="center"/>
              <w:rPr>
                <w:b/>
                <w:bCs/>
              </w:rPr>
            </w:pPr>
            <w:r w:rsidRPr="00F13073">
              <w:rPr>
                <w:b/>
                <w:bCs/>
              </w:rPr>
              <w:t>N = 37</w:t>
            </w:r>
          </w:p>
        </w:tc>
      </w:tr>
      <w:tr w:rsidR="001E0975" w:rsidRPr="00F13073" w14:paraId="27B8AC0F" w14:textId="77777777" w:rsidTr="00485B16">
        <w:trPr>
          <w:cantSplit/>
          <w:tblHeader/>
        </w:trPr>
        <w:tc>
          <w:tcPr>
            <w:tcW w:w="2242" w:type="dxa"/>
            <w:tcBorders>
              <w:top w:val="single" w:sz="4" w:space="0" w:color="auto"/>
              <w:left w:val="single" w:sz="4" w:space="0" w:color="auto"/>
            </w:tcBorders>
          </w:tcPr>
          <w:p w14:paraId="1B104B7E" w14:textId="77777777" w:rsidR="001E0975" w:rsidRPr="00F13073" w:rsidRDefault="00611033" w:rsidP="008B4C50">
            <w:pPr>
              <w:suppressAutoHyphens/>
            </w:pPr>
            <w:r w:rsidRPr="00F13073">
              <w:t>ACR 30</w:t>
            </w:r>
            <w:r w:rsidR="008C5F75" w:rsidRPr="00F13073">
              <w:t xml:space="preserve"> dla MIZS</w:t>
            </w:r>
          </w:p>
        </w:tc>
        <w:tc>
          <w:tcPr>
            <w:tcW w:w="2410" w:type="dxa"/>
            <w:tcBorders>
              <w:top w:val="single" w:sz="4" w:space="0" w:color="auto"/>
              <w:left w:val="single" w:sz="4" w:space="0" w:color="auto"/>
            </w:tcBorders>
          </w:tcPr>
          <w:p w14:paraId="5B2CEDA6" w14:textId="77777777" w:rsidR="001E0975" w:rsidRPr="00F13073" w:rsidRDefault="00611033" w:rsidP="00742D20">
            <w:pPr>
              <w:suppressAutoHyphens/>
              <w:jc w:val="center"/>
            </w:pPr>
            <w:r w:rsidRPr="00F13073">
              <w:t>90</w:t>
            </w:r>
            <w:r w:rsidR="00FB3ED7" w:rsidRPr="00F13073">
              <w:t>,</w:t>
            </w:r>
            <w:r w:rsidRPr="00F13073">
              <w:t>7%</w:t>
            </w:r>
            <w:r w:rsidRPr="00F13073">
              <w:rPr>
                <w:vertAlign w:val="superscript"/>
              </w:rPr>
              <w:t>1</w:t>
            </w:r>
          </w:p>
        </w:tc>
        <w:tc>
          <w:tcPr>
            <w:tcW w:w="3269" w:type="dxa"/>
            <w:tcBorders>
              <w:top w:val="single" w:sz="4" w:space="0" w:color="auto"/>
              <w:left w:val="single" w:sz="4" w:space="0" w:color="auto"/>
              <w:right w:val="single" w:sz="4" w:space="0" w:color="auto"/>
            </w:tcBorders>
          </w:tcPr>
          <w:p w14:paraId="65A5E114" w14:textId="77777777" w:rsidR="001E0975" w:rsidRPr="00F13073" w:rsidRDefault="00611033" w:rsidP="00742D20">
            <w:pPr>
              <w:suppressAutoHyphens/>
              <w:jc w:val="center"/>
            </w:pPr>
            <w:r w:rsidRPr="00F13073">
              <w:t>24</w:t>
            </w:r>
            <w:r w:rsidR="00FB3ED7" w:rsidRPr="00F13073">
              <w:t>,</w:t>
            </w:r>
            <w:r w:rsidRPr="00F13073">
              <w:t>3%</w:t>
            </w:r>
          </w:p>
        </w:tc>
      </w:tr>
      <w:tr w:rsidR="001E0975" w:rsidRPr="00F13073" w14:paraId="4167F699" w14:textId="77777777" w:rsidTr="00485B16">
        <w:trPr>
          <w:cantSplit/>
          <w:tblHeader/>
        </w:trPr>
        <w:tc>
          <w:tcPr>
            <w:tcW w:w="2242" w:type="dxa"/>
            <w:tcBorders>
              <w:top w:val="single" w:sz="4" w:space="0" w:color="auto"/>
              <w:left w:val="single" w:sz="4" w:space="0" w:color="auto"/>
            </w:tcBorders>
          </w:tcPr>
          <w:p w14:paraId="72AD9596" w14:textId="77777777" w:rsidR="001E0975" w:rsidRPr="00F13073" w:rsidRDefault="00611033" w:rsidP="008B4C50">
            <w:pPr>
              <w:suppressAutoHyphens/>
            </w:pPr>
            <w:r w:rsidRPr="00F13073">
              <w:t>ACR 50</w:t>
            </w:r>
            <w:r w:rsidR="008C5F75" w:rsidRPr="00F13073">
              <w:t xml:space="preserve"> dla MIZS</w:t>
            </w:r>
          </w:p>
        </w:tc>
        <w:tc>
          <w:tcPr>
            <w:tcW w:w="2410" w:type="dxa"/>
            <w:tcBorders>
              <w:top w:val="single" w:sz="4" w:space="0" w:color="auto"/>
              <w:left w:val="single" w:sz="4" w:space="0" w:color="auto"/>
            </w:tcBorders>
          </w:tcPr>
          <w:p w14:paraId="0850890B" w14:textId="77777777" w:rsidR="001E0975" w:rsidRPr="00F13073" w:rsidRDefault="00611033" w:rsidP="00742D20">
            <w:pPr>
              <w:suppressAutoHyphens/>
              <w:jc w:val="center"/>
            </w:pPr>
            <w:r w:rsidRPr="00F13073">
              <w:t>85</w:t>
            </w:r>
            <w:r w:rsidR="00FB3ED7" w:rsidRPr="00F13073">
              <w:t>,</w:t>
            </w:r>
            <w:r w:rsidRPr="00F13073">
              <w:t>3%</w:t>
            </w:r>
            <w:r w:rsidRPr="00F13073">
              <w:rPr>
                <w:vertAlign w:val="superscript"/>
              </w:rPr>
              <w:t>1</w:t>
            </w:r>
          </w:p>
        </w:tc>
        <w:tc>
          <w:tcPr>
            <w:tcW w:w="3269" w:type="dxa"/>
            <w:tcBorders>
              <w:top w:val="single" w:sz="4" w:space="0" w:color="auto"/>
              <w:left w:val="single" w:sz="4" w:space="0" w:color="auto"/>
              <w:right w:val="single" w:sz="4" w:space="0" w:color="auto"/>
            </w:tcBorders>
          </w:tcPr>
          <w:p w14:paraId="14A60DB1" w14:textId="77777777" w:rsidR="001E0975" w:rsidRPr="00F13073" w:rsidRDefault="00611033" w:rsidP="00742D20">
            <w:pPr>
              <w:suppressAutoHyphens/>
              <w:jc w:val="center"/>
            </w:pPr>
            <w:r w:rsidRPr="00F13073">
              <w:t>10</w:t>
            </w:r>
            <w:r w:rsidR="00FB3ED7" w:rsidRPr="00F13073">
              <w:t>,</w:t>
            </w:r>
            <w:r w:rsidRPr="00F13073">
              <w:t>8%</w:t>
            </w:r>
          </w:p>
        </w:tc>
      </w:tr>
      <w:tr w:rsidR="001E0975" w:rsidRPr="00F13073" w14:paraId="0F4A7C0F" w14:textId="77777777" w:rsidTr="00485B16">
        <w:trPr>
          <w:cantSplit/>
          <w:tblHeader/>
        </w:trPr>
        <w:tc>
          <w:tcPr>
            <w:tcW w:w="2242" w:type="dxa"/>
            <w:tcBorders>
              <w:top w:val="single" w:sz="4" w:space="0" w:color="auto"/>
              <w:left w:val="single" w:sz="4" w:space="0" w:color="auto"/>
            </w:tcBorders>
          </w:tcPr>
          <w:p w14:paraId="4C6C275E" w14:textId="77777777" w:rsidR="001E0975" w:rsidRPr="00F13073" w:rsidRDefault="00611033" w:rsidP="008B4C50">
            <w:pPr>
              <w:suppressAutoHyphens/>
            </w:pPr>
            <w:r w:rsidRPr="00F13073">
              <w:t>ACR 70</w:t>
            </w:r>
            <w:r w:rsidR="008C5F75" w:rsidRPr="00F13073">
              <w:t xml:space="preserve"> dla MIZS</w:t>
            </w:r>
          </w:p>
        </w:tc>
        <w:tc>
          <w:tcPr>
            <w:tcW w:w="2410" w:type="dxa"/>
            <w:tcBorders>
              <w:top w:val="single" w:sz="4" w:space="0" w:color="auto"/>
              <w:left w:val="single" w:sz="4" w:space="0" w:color="auto"/>
            </w:tcBorders>
          </w:tcPr>
          <w:p w14:paraId="6C2F2E8B" w14:textId="77777777" w:rsidR="001E0975" w:rsidRPr="00F13073" w:rsidRDefault="00611033" w:rsidP="00742D20">
            <w:pPr>
              <w:suppressAutoHyphens/>
              <w:jc w:val="center"/>
            </w:pPr>
            <w:r w:rsidRPr="00F13073">
              <w:t>70</w:t>
            </w:r>
            <w:r w:rsidR="00FB3ED7" w:rsidRPr="00F13073">
              <w:t>,</w:t>
            </w:r>
            <w:r w:rsidRPr="00F13073">
              <w:t>7%</w:t>
            </w:r>
            <w:r w:rsidR="00C9034C" w:rsidRPr="00F13073">
              <w:rPr>
                <w:vertAlign w:val="superscript"/>
              </w:rPr>
              <w:t>1</w:t>
            </w:r>
          </w:p>
        </w:tc>
        <w:tc>
          <w:tcPr>
            <w:tcW w:w="3269" w:type="dxa"/>
            <w:tcBorders>
              <w:top w:val="single" w:sz="4" w:space="0" w:color="auto"/>
              <w:left w:val="single" w:sz="4" w:space="0" w:color="auto"/>
              <w:right w:val="single" w:sz="4" w:space="0" w:color="auto"/>
            </w:tcBorders>
          </w:tcPr>
          <w:p w14:paraId="69196BD3" w14:textId="77777777" w:rsidR="001E0975" w:rsidRPr="00F13073" w:rsidRDefault="00611033" w:rsidP="00742D20">
            <w:pPr>
              <w:suppressAutoHyphens/>
              <w:jc w:val="center"/>
            </w:pPr>
            <w:r w:rsidRPr="00F13073">
              <w:t>8</w:t>
            </w:r>
            <w:r w:rsidR="00FB3ED7" w:rsidRPr="00F13073">
              <w:t>,</w:t>
            </w:r>
            <w:r w:rsidRPr="00F13073">
              <w:t>1%</w:t>
            </w:r>
          </w:p>
        </w:tc>
      </w:tr>
      <w:tr w:rsidR="001E0975" w:rsidRPr="00F13073" w14:paraId="2693FAA3" w14:textId="77777777" w:rsidTr="00485B16">
        <w:trPr>
          <w:cantSplit/>
          <w:tblHeader/>
        </w:trPr>
        <w:tc>
          <w:tcPr>
            <w:tcW w:w="2242" w:type="dxa"/>
            <w:tcBorders>
              <w:top w:val="single" w:sz="4" w:space="0" w:color="auto"/>
              <w:left w:val="single" w:sz="4" w:space="0" w:color="auto"/>
              <w:bottom w:val="single" w:sz="4" w:space="0" w:color="auto"/>
            </w:tcBorders>
          </w:tcPr>
          <w:p w14:paraId="37860F56" w14:textId="77777777" w:rsidR="001E0975" w:rsidRPr="00F13073" w:rsidRDefault="00611033" w:rsidP="008B4C50">
            <w:pPr>
              <w:keepNext/>
              <w:suppressAutoHyphens/>
            </w:pPr>
            <w:r w:rsidRPr="00F13073">
              <w:t>ACR 90</w:t>
            </w:r>
            <w:r w:rsidR="008C5F75" w:rsidRPr="00F13073">
              <w:t xml:space="preserve"> dla MIZS</w:t>
            </w:r>
          </w:p>
        </w:tc>
        <w:tc>
          <w:tcPr>
            <w:tcW w:w="2410" w:type="dxa"/>
            <w:tcBorders>
              <w:top w:val="single" w:sz="4" w:space="0" w:color="auto"/>
              <w:left w:val="single" w:sz="4" w:space="0" w:color="auto"/>
              <w:bottom w:val="single" w:sz="4" w:space="0" w:color="auto"/>
            </w:tcBorders>
          </w:tcPr>
          <w:p w14:paraId="2D071F73" w14:textId="77777777" w:rsidR="001E0975" w:rsidRPr="00F13073" w:rsidRDefault="00611033" w:rsidP="00742D20">
            <w:pPr>
              <w:keepNext/>
              <w:suppressAutoHyphens/>
              <w:jc w:val="center"/>
            </w:pPr>
            <w:r w:rsidRPr="00F13073">
              <w:t>37</w:t>
            </w:r>
            <w:r w:rsidR="00FB3ED7" w:rsidRPr="00F13073">
              <w:t>,</w:t>
            </w:r>
            <w:r w:rsidRPr="00F13073">
              <w:t>3%</w:t>
            </w:r>
            <w:r w:rsidR="00C9034C" w:rsidRPr="00F13073">
              <w:rPr>
                <w:vertAlign w:val="superscript"/>
              </w:rPr>
              <w:t>1</w:t>
            </w:r>
          </w:p>
        </w:tc>
        <w:tc>
          <w:tcPr>
            <w:tcW w:w="3269" w:type="dxa"/>
            <w:tcBorders>
              <w:top w:val="single" w:sz="4" w:space="0" w:color="auto"/>
              <w:left w:val="single" w:sz="4" w:space="0" w:color="auto"/>
              <w:bottom w:val="single" w:sz="4" w:space="0" w:color="auto"/>
              <w:right w:val="single" w:sz="4" w:space="0" w:color="auto"/>
            </w:tcBorders>
          </w:tcPr>
          <w:p w14:paraId="054E4404" w14:textId="77777777" w:rsidR="001E0975" w:rsidRPr="00F13073" w:rsidRDefault="00611033" w:rsidP="00742D20">
            <w:pPr>
              <w:keepNext/>
              <w:suppressAutoHyphens/>
              <w:jc w:val="center"/>
            </w:pPr>
            <w:r w:rsidRPr="00F13073">
              <w:t>5</w:t>
            </w:r>
            <w:r w:rsidR="00FB3ED7" w:rsidRPr="00F13073">
              <w:t>,</w:t>
            </w:r>
            <w:r w:rsidRPr="00F13073">
              <w:t>4%</w:t>
            </w:r>
          </w:p>
        </w:tc>
      </w:tr>
    </w:tbl>
    <w:p w14:paraId="16030700" w14:textId="77777777" w:rsidR="001E0975" w:rsidRPr="00F13073" w:rsidRDefault="00611033" w:rsidP="008B4C50">
      <w:pPr>
        <w:rPr>
          <w:i/>
          <w:iCs/>
          <w:sz w:val="18"/>
          <w:szCs w:val="18"/>
        </w:rPr>
      </w:pPr>
      <w:r w:rsidRPr="00F13073">
        <w:rPr>
          <w:i/>
          <w:iCs/>
          <w:sz w:val="18"/>
          <w:szCs w:val="18"/>
          <w:vertAlign w:val="superscript"/>
        </w:rPr>
        <w:t>1</w:t>
      </w:r>
      <w:r w:rsidRPr="00F13073">
        <w:rPr>
          <w:i/>
          <w:iCs/>
          <w:sz w:val="18"/>
          <w:szCs w:val="18"/>
        </w:rPr>
        <w:t>p&lt;0</w:t>
      </w:r>
      <w:r w:rsidR="00FB3ED7" w:rsidRPr="00F13073">
        <w:rPr>
          <w:i/>
          <w:iCs/>
          <w:sz w:val="18"/>
          <w:szCs w:val="18"/>
        </w:rPr>
        <w:t>,</w:t>
      </w:r>
      <w:r w:rsidRPr="00F13073">
        <w:rPr>
          <w:i/>
          <w:iCs/>
          <w:sz w:val="18"/>
          <w:szCs w:val="18"/>
        </w:rPr>
        <w:t>0001, tocilizumab vs. placebo</w:t>
      </w:r>
    </w:p>
    <w:p w14:paraId="0D303EEE" w14:textId="77777777" w:rsidR="001E0975" w:rsidRPr="00F13073" w:rsidRDefault="001E0975" w:rsidP="008B4C50"/>
    <w:p w14:paraId="0EEADF38" w14:textId="77777777" w:rsidR="00FB3ED7" w:rsidRPr="00F13073" w:rsidRDefault="00FB3ED7" w:rsidP="008B4C50">
      <w:pPr>
        <w:pStyle w:val="a4"/>
        <w:widowControl/>
        <w:spacing w:after="0"/>
      </w:pPr>
      <w:r w:rsidRPr="00F13073">
        <w:rPr>
          <w:rStyle w:val="Char"/>
          <w:i/>
          <w:iCs/>
        </w:rPr>
        <w:t>Działania ogólnoustrojowe</w:t>
      </w:r>
    </w:p>
    <w:p w14:paraId="63822801" w14:textId="77777777" w:rsidR="00FB3ED7" w:rsidRPr="00F13073" w:rsidRDefault="00FB3ED7" w:rsidP="008B4C50">
      <w:pPr>
        <w:pStyle w:val="a4"/>
        <w:widowControl/>
        <w:spacing w:after="0"/>
        <w:rPr>
          <w:rStyle w:val="Char"/>
        </w:rPr>
      </w:pPr>
      <w:r w:rsidRPr="00F13073">
        <w:rPr>
          <w:rStyle w:val="Char"/>
        </w:rPr>
        <w:t>W grupie pacjentów otrzymujących tocilizumab, 85% osób, które na początku badania miały gorączkę z powodu uMIZS, w 12. tygodniu nie miało już gorączki (niezarejestrowanie temperatury ≥ 37,5°C w ciągu poprzedzających 14 dni) w porównaniu z grupą placebo 21% (p&lt; 0,0001).</w:t>
      </w:r>
    </w:p>
    <w:p w14:paraId="1345A534" w14:textId="77777777" w:rsidR="00FB3ED7" w:rsidRPr="00F13073" w:rsidRDefault="00FB3ED7" w:rsidP="008B4C50">
      <w:pPr>
        <w:pStyle w:val="a4"/>
        <w:widowControl/>
        <w:spacing w:after="0"/>
      </w:pPr>
    </w:p>
    <w:p w14:paraId="71DF7283" w14:textId="77777777" w:rsidR="00FB3ED7" w:rsidRPr="00F13073" w:rsidRDefault="00FB3ED7" w:rsidP="008B4C50">
      <w:pPr>
        <w:pStyle w:val="a4"/>
        <w:widowControl/>
        <w:spacing w:after="0"/>
        <w:rPr>
          <w:rStyle w:val="Char"/>
        </w:rPr>
      </w:pPr>
      <w:r w:rsidRPr="00F13073">
        <w:rPr>
          <w:rStyle w:val="Char"/>
        </w:rPr>
        <w:t>W zakresie skorygowanej średniej zmiany w wizualnej skali analogowej (VAS) bólu po 12 tygodniach leczenia tocilizumabem uzyskano spadek o 41 punktów (w skali od 0 do 100), natomiast w grupie placebo spadek o 1 punkt (p&lt; 0,0001).</w:t>
      </w:r>
    </w:p>
    <w:p w14:paraId="2438F564" w14:textId="77777777" w:rsidR="00FB3ED7" w:rsidRPr="00F13073" w:rsidRDefault="00FB3ED7" w:rsidP="008B4C50">
      <w:pPr>
        <w:pStyle w:val="a4"/>
        <w:widowControl/>
        <w:spacing w:after="0"/>
      </w:pPr>
    </w:p>
    <w:p w14:paraId="382AC316" w14:textId="77777777" w:rsidR="00FB3ED7" w:rsidRPr="00F13073" w:rsidRDefault="00FB3ED7" w:rsidP="008B4C50">
      <w:pPr>
        <w:pStyle w:val="a4"/>
        <w:widowControl/>
        <w:spacing w:after="0"/>
      </w:pPr>
      <w:r w:rsidRPr="00F13073">
        <w:rPr>
          <w:rStyle w:val="Char"/>
          <w:i/>
          <w:iCs/>
        </w:rPr>
        <w:t>Stopniowe zmniejszanie dawki kortykosteroidu</w:t>
      </w:r>
    </w:p>
    <w:p w14:paraId="5B8B00F3" w14:textId="77777777" w:rsidR="00FB3ED7" w:rsidRPr="00F13073" w:rsidRDefault="00FB3ED7" w:rsidP="008B4C50">
      <w:pPr>
        <w:pStyle w:val="a4"/>
        <w:widowControl/>
        <w:spacing w:after="0"/>
        <w:rPr>
          <w:rStyle w:val="Char"/>
        </w:rPr>
      </w:pPr>
      <w:r w:rsidRPr="00F13073">
        <w:rPr>
          <w:rStyle w:val="Char"/>
        </w:rPr>
        <w:t xml:space="preserve">U pacjentów, którzy osiągnęli odpowiedź ACR70 dla MIZS, możliwe było zmniejszenie dawki kortykosteroidów. U 17 (24%) pacjentów leczonych tocilizumabem i 1 (3%) pacjenta leczonego placebo możliwe było zmniejszenie dawki kortykosteroidów o co najmniej 20% bez ponownego zaostrzenia choroby, określonego jako brak poprawy ACR30 dla MIZS oraz bez wystąpienia objawów ogólnoustrojowych do 12. tygodnia (p = 0,028). W wyniku zmniejszania dawki kortykosteroidów w </w:t>
      </w:r>
      <w:r w:rsidRPr="00F13073">
        <w:rPr>
          <w:rStyle w:val="Char"/>
          <w:lang w:eastAsia="el-GR"/>
        </w:rPr>
        <w:t xml:space="preserve">44. </w:t>
      </w:r>
      <w:r w:rsidRPr="00F13073">
        <w:rPr>
          <w:rStyle w:val="Char"/>
        </w:rPr>
        <w:t>tygodniu, 44 pacjentów nie przyjmowało już doustnych kortykosteroidów, utrzymując jednocześnie ten sam poziom odpowiedzi ACR dla MIZS.</w:t>
      </w:r>
    </w:p>
    <w:p w14:paraId="7EB061EF" w14:textId="77777777" w:rsidR="00FB3ED7" w:rsidRPr="00F13073" w:rsidRDefault="00FB3ED7" w:rsidP="008B4C50">
      <w:pPr>
        <w:pStyle w:val="a4"/>
        <w:widowControl/>
        <w:spacing w:after="0"/>
      </w:pPr>
    </w:p>
    <w:p w14:paraId="4FAA1119" w14:textId="77777777" w:rsidR="00FB3ED7" w:rsidRPr="00F13073" w:rsidRDefault="00FB3ED7" w:rsidP="008B4C50">
      <w:pPr>
        <w:pStyle w:val="a4"/>
        <w:widowControl/>
        <w:spacing w:after="0"/>
      </w:pPr>
      <w:r w:rsidRPr="00F13073">
        <w:rPr>
          <w:rStyle w:val="Char"/>
          <w:i/>
          <w:iCs/>
        </w:rPr>
        <w:t>Wyniki związane ze stanem zdrowia oraz dotyczące jakości życia</w:t>
      </w:r>
    </w:p>
    <w:p w14:paraId="4A5ECEEA" w14:textId="77777777" w:rsidR="00FB3ED7" w:rsidRPr="00F13073" w:rsidRDefault="00FB3ED7" w:rsidP="008B4C50">
      <w:pPr>
        <w:pStyle w:val="a4"/>
        <w:widowControl/>
        <w:spacing w:after="0"/>
        <w:rPr>
          <w:rStyle w:val="Char"/>
        </w:rPr>
      </w:pPr>
      <w:r w:rsidRPr="00F13073">
        <w:rPr>
          <w:rStyle w:val="Char"/>
        </w:rPr>
        <w:lastRenderedPageBreak/>
        <w:t>W 12. tygodniu odsetek pacjentów leczonych tocilizumabem, którzy wykazywali minimalną klinicznie istotną poprawę w kwestionariuszu oceny stanu zdrowia dla dzieci - wskaźnik niepełnosprawności (definiowany jako spadek łącznej oceny dla danej osoby o ≥ 0,13), wyniósł 77% i był istotnie wyższy niż u pacjentów leczonych placebo (19%; p &lt; 0,0001).</w:t>
      </w:r>
    </w:p>
    <w:p w14:paraId="3234B0E3" w14:textId="77777777" w:rsidR="00FB3ED7" w:rsidRPr="00F13073" w:rsidRDefault="00FB3ED7" w:rsidP="008B4C50">
      <w:pPr>
        <w:pStyle w:val="a4"/>
        <w:widowControl/>
        <w:spacing w:after="0"/>
      </w:pPr>
    </w:p>
    <w:p w14:paraId="2A72D20D" w14:textId="77777777" w:rsidR="00FB3ED7" w:rsidRPr="00F13073" w:rsidRDefault="00FB3ED7" w:rsidP="008B4C50">
      <w:pPr>
        <w:pStyle w:val="a4"/>
        <w:widowControl/>
        <w:spacing w:after="0"/>
      </w:pPr>
      <w:r w:rsidRPr="00F13073">
        <w:rPr>
          <w:rStyle w:val="Char"/>
          <w:i/>
          <w:iCs/>
        </w:rPr>
        <w:t>Parametry laboratoryjne</w:t>
      </w:r>
    </w:p>
    <w:p w14:paraId="11F1118B" w14:textId="77777777" w:rsidR="00FB3ED7" w:rsidRPr="00F13073" w:rsidRDefault="00FB3ED7" w:rsidP="008B4C50">
      <w:pPr>
        <w:pStyle w:val="a4"/>
        <w:widowControl/>
        <w:spacing w:after="0"/>
        <w:rPr>
          <w:rStyle w:val="Char"/>
        </w:rPr>
      </w:pPr>
      <w:r w:rsidRPr="00F13073">
        <w:rPr>
          <w:rStyle w:val="Char"/>
        </w:rPr>
        <w:t>Na początku badania 50 spośród 75 (67%) pacjentów leczonych tocilizumabem miało stężenie hemoglobiny &lt; DGN. U 40 (80%) spośród tych pacjentów wystąpiło zwiększenie stężenia hemoglobiny do wartości prawidłowych w 12. tygodniu; w grupie pacjentów otrzymujących placebo zwiększenie to wystąpiło u 2 z 29 (7%) pacjentów z wyjściowym stężeniem hemoglobiny &lt; DGN (p &lt; 0,0001).</w:t>
      </w:r>
    </w:p>
    <w:p w14:paraId="683ACCA6" w14:textId="77777777" w:rsidR="00FB3ED7" w:rsidRPr="00F13073" w:rsidRDefault="00FB3ED7" w:rsidP="008B4C50">
      <w:pPr>
        <w:pStyle w:val="a4"/>
        <w:widowControl/>
        <w:spacing w:after="0"/>
      </w:pPr>
    </w:p>
    <w:p w14:paraId="32C9DD43" w14:textId="77777777" w:rsidR="00FB3ED7" w:rsidRPr="00F13073" w:rsidRDefault="00FB3ED7" w:rsidP="006B567D">
      <w:pPr>
        <w:pStyle w:val="a4"/>
        <w:keepNext/>
        <w:widowControl/>
        <w:spacing w:after="0"/>
      </w:pPr>
      <w:r w:rsidRPr="00F13073">
        <w:rPr>
          <w:rStyle w:val="Char"/>
          <w:i/>
          <w:iCs/>
        </w:rPr>
        <w:t>Chorzy na wMIZS</w:t>
      </w:r>
    </w:p>
    <w:p w14:paraId="053A2ED5" w14:textId="77777777" w:rsidR="00FB3ED7" w:rsidRPr="00F13073" w:rsidRDefault="00FB3ED7" w:rsidP="006B567D">
      <w:pPr>
        <w:pStyle w:val="a4"/>
        <w:keepNext/>
        <w:widowControl/>
        <w:spacing w:after="0"/>
        <w:rPr>
          <w:i/>
          <w:iCs/>
        </w:rPr>
      </w:pPr>
      <w:r w:rsidRPr="00F13073">
        <w:rPr>
          <w:rStyle w:val="Char"/>
          <w:i/>
          <w:iCs/>
        </w:rPr>
        <w:t>Skuteczność kliniczna</w:t>
      </w:r>
    </w:p>
    <w:p w14:paraId="24234C8A" w14:textId="77777777" w:rsidR="00FB3ED7" w:rsidRPr="00F13073" w:rsidRDefault="00FB3ED7" w:rsidP="008B4C50">
      <w:pPr>
        <w:pStyle w:val="a4"/>
        <w:widowControl/>
        <w:spacing w:after="0"/>
        <w:rPr>
          <w:rStyle w:val="Char"/>
        </w:rPr>
      </w:pPr>
      <w:r w:rsidRPr="00F13073">
        <w:rPr>
          <w:rStyle w:val="Char"/>
        </w:rPr>
        <w:t>Skuteczność tocilizumabu była oceniana w trzyczęściowym badaniu WA19977 obejmującym otwartą fazę kontynuacji z udziałem dzieci z czynnym wMIZS. Część I składała się z trwającej 16 tygodni fazy wstępnej leczenia tocilizumabem (n=188). Część II stanowiła 24-tygodniowa randomizowana, podwójnie zaślepiona, kontrolowana placebo faza odstawienia leku (n=163). Część III była trwającą 64 tygodnie fazą otwartą badania. W części I pacjenci o masie ciała ≥ 30 kg spełniający wymogi kwalifikacji do badania przyjmowali tocilizumab w dawce 8 mg/kg mc. podawanej dożylnie co 4 tygodnie (4 dawki). Pacjenci o masie ciała &lt; 30 kg zostali zrandomizowani w stosunku 1:1 do grupy przyjmującej tocilizumab w dawce 8 mg/kg mc. lub 10 mg/kg mc. dożylnie co 4 tygodnie (4 dawki). Pacjenci, którzy ukończyli Część I badania i u których po 16 tygodniach wystąpiła odpowiedź na poziomie przynajmniej ACR30 dla MIZS względem stanu początkowego byli kwalifikowani do włączenia do zaślepionej fazy odstawienia leku (Część II). W Części II, pacjentów zrandomizowano do grupy przyjmującej tocilizumab (taka sama dawka jak w Części I) lub placebo w stosunku 1:1 i podzielono wg jednoczesnego stosowania MTX i kortykosteroidu. Każdy pacjent kontynuował udział w Części II badania aż do 40. tygodnia lub do czasu spełnienia kryteriów zaostrzenia ACR30 dla MIZS (względem 16. tygodnia) i zakwalifikowania się do zakończenia leczenia tocilizumabem (taka sama dawka jak w Części I).</w:t>
      </w:r>
    </w:p>
    <w:p w14:paraId="793C1595" w14:textId="77777777" w:rsidR="00FB3ED7" w:rsidRPr="00F13073" w:rsidRDefault="00FB3ED7" w:rsidP="008B4C50">
      <w:pPr>
        <w:pStyle w:val="a4"/>
        <w:widowControl/>
        <w:spacing w:after="0"/>
      </w:pPr>
    </w:p>
    <w:p w14:paraId="1114F1F6" w14:textId="77777777" w:rsidR="00FB3ED7" w:rsidRPr="00F13073" w:rsidRDefault="00FB3ED7" w:rsidP="008B4C50">
      <w:pPr>
        <w:pStyle w:val="a4"/>
        <w:widowControl/>
        <w:spacing w:after="0"/>
      </w:pPr>
      <w:r w:rsidRPr="00F13073">
        <w:rPr>
          <w:rStyle w:val="Char"/>
          <w:i/>
          <w:iCs/>
        </w:rPr>
        <w:t>Odpowiedź kliniczna</w:t>
      </w:r>
    </w:p>
    <w:p w14:paraId="6B933585" w14:textId="77777777" w:rsidR="00FB3ED7" w:rsidRPr="00F13073" w:rsidRDefault="00FB3ED7" w:rsidP="008B4C50">
      <w:pPr>
        <w:pStyle w:val="a4"/>
        <w:widowControl/>
        <w:spacing w:after="0"/>
        <w:rPr>
          <w:rStyle w:val="Char"/>
        </w:rPr>
      </w:pPr>
      <w:r w:rsidRPr="00F13073">
        <w:rPr>
          <w:rStyle w:val="Char"/>
        </w:rPr>
        <w:t>Pierwszorzędowym punktem końcowym był odsetek pacjentów spełniających kryteria zaostrzenia ACR30 dla MIZS w 40. tygodniu względem 16. tygodnia. Wystąpiło ono u 48,1% (39/81) pacjentów przyjmujących placebo w porównaniu do 25,6% (21/82) pacjentów przyjmujących tocilizumab. Różnica między tymi odsetkami była statystycznie istotna (p=0,0024).</w:t>
      </w:r>
    </w:p>
    <w:p w14:paraId="09791047" w14:textId="77777777" w:rsidR="00FB3ED7" w:rsidRPr="00F13073" w:rsidRDefault="00FB3ED7" w:rsidP="008B4C50">
      <w:pPr>
        <w:pStyle w:val="a4"/>
        <w:widowControl/>
        <w:spacing w:after="0"/>
      </w:pPr>
    </w:p>
    <w:p w14:paraId="04722912" w14:textId="77777777" w:rsidR="00FB3ED7" w:rsidRPr="00F13073" w:rsidRDefault="00FB3ED7" w:rsidP="008B4C50">
      <w:pPr>
        <w:pStyle w:val="a4"/>
        <w:widowControl/>
        <w:spacing w:after="0"/>
        <w:rPr>
          <w:rStyle w:val="Char"/>
        </w:rPr>
      </w:pPr>
      <w:r w:rsidRPr="00F13073">
        <w:rPr>
          <w:rStyle w:val="Char"/>
        </w:rPr>
        <w:t>Po zakończeniu Części I, odsetek pacjentów spełniających kryteria odpowiedzi ACR 30/50/70/90 dla MIZS wynosił odpowiednio 89,4%, 83,0%, 62,2% i 26,1%.</w:t>
      </w:r>
    </w:p>
    <w:p w14:paraId="2A9E50A3" w14:textId="77777777" w:rsidR="00FB3ED7" w:rsidRPr="00F13073" w:rsidRDefault="00FB3ED7" w:rsidP="008B4C50">
      <w:pPr>
        <w:pStyle w:val="a4"/>
        <w:widowControl/>
        <w:spacing w:after="0"/>
      </w:pPr>
    </w:p>
    <w:p w14:paraId="1688406E" w14:textId="77777777" w:rsidR="00FB3ED7" w:rsidRPr="00F13073" w:rsidRDefault="00FB3ED7" w:rsidP="008B4C50">
      <w:pPr>
        <w:pStyle w:val="a4"/>
        <w:widowControl/>
        <w:spacing w:after="0"/>
        <w:rPr>
          <w:rStyle w:val="Char"/>
        </w:rPr>
      </w:pPr>
      <w:r w:rsidRPr="00F13073">
        <w:rPr>
          <w:rStyle w:val="Char"/>
        </w:rPr>
        <w:t>W tabeli 9 przedstawiono odsetki pacjentów uzyskujących odpowiedzi ACR 30/50/70 dla MIZS w tygodniu 40, podczas fazy odstawienia leku (Część II), względem stanu początkowego. W analizie statystycznej, pacjentów u których doszło do zaostrzenia choroby podczas Części II badania (którzy otrzymali leczenie tocilizumabem) lub pacjentów wyłączonych z badania, zdefiniowano jako nieodpowiadających na leczenie. W dodatkowych analizach obejmujących odpowiedzi na leczenie ACR dla MIZS, uwzględniających dane z tygodnia 40, niezależnie od stanu zaostrzenia choroby, wykazały, że do 40 tygodnia 95,1% pacjentów, którzy otrzymali stałe leczenie tocilizumabem uzyskali odpowiedź ACR30 dla MIZS lub wyższą.</w:t>
      </w:r>
    </w:p>
    <w:p w14:paraId="041C6CD1" w14:textId="77777777" w:rsidR="00FB3ED7" w:rsidRPr="00F13073" w:rsidRDefault="00FB3ED7" w:rsidP="008B4C50">
      <w:pPr>
        <w:pStyle w:val="a4"/>
        <w:widowControl/>
        <w:spacing w:after="0"/>
      </w:pPr>
    </w:p>
    <w:p w14:paraId="518751E3" w14:textId="77777777" w:rsidR="001E0975" w:rsidRPr="00F13073" w:rsidRDefault="00611033" w:rsidP="008B4C50">
      <w:pPr>
        <w:keepNext/>
        <w:ind w:left="1134" w:hanging="1134"/>
        <w:rPr>
          <w:i/>
          <w:iCs/>
        </w:rPr>
      </w:pPr>
      <w:r w:rsidRPr="00F13073">
        <w:rPr>
          <w:i/>
          <w:iCs/>
        </w:rPr>
        <w:lastRenderedPageBreak/>
        <w:t>Tab</w:t>
      </w:r>
      <w:r w:rsidR="006B567D" w:rsidRPr="00F13073">
        <w:rPr>
          <w:i/>
          <w:iCs/>
        </w:rPr>
        <w:t>e</w:t>
      </w:r>
      <w:r w:rsidRPr="00F13073">
        <w:rPr>
          <w:i/>
          <w:iCs/>
        </w:rPr>
        <w:t>l</w:t>
      </w:r>
      <w:r w:rsidR="00FB3ED7" w:rsidRPr="00F13073">
        <w:rPr>
          <w:i/>
          <w:iCs/>
        </w:rPr>
        <w:t>a</w:t>
      </w:r>
      <w:r w:rsidRPr="00F13073">
        <w:rPr>
          <w:i/>
          <w:iCs/>
        </w:rPr>
        <w:t xml:space="preserve"> 9.</w:t>
      </w:r>
      <w:r w:rsidR="00C9034C" w:rsidRPr="00F13073">
        <w:rPr>
          <w:i/>
          <w:iCs/>
        </w:rPr>
        <w:tab/>
      </w:r>
      <w:r w:rsidR="00FB3ED7" w:rsidRPr="00F13073">
        <w:rPr>
          <w:rStyle w:val="Char"/>
          <w:rFonts w:eastAsia="DengXian"/>
          <w:i/>
          <w:iCs/>
        </w:rPr>
        <w:t>Wskaźniki odpowiedzi ACR dla MIZS w 40. tygodniu względem stanu początkowego (odsetek pacjentów)</w:t>
      </w:r>
    </w:p>
    <w:p w14:paraId="4F5D41A3" w14:textId="77777777" w:rsidR="00C9034C" w:rsidRPr="00F13073" w:rsidRDefault="00C9034C"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808"/>
        <w:gridCol w:w="2410"/>
        <w:gridCol w:w="2702"/>
      </w:tblGrid>
      <w:tr w:rsidR="001E0975" w:rsidRPr="00F13073" w14:paraId="7B2FEF02" w14:textId="77777777" w:rsidTr="00485B16">
        <w:trPr>
          <w:cantSplit/>
          <w:tblHeader/>
        </w:trPr>
        <w:tc>
          <w:tcPr>
            <w:tcW w:w="2808" w:type="dxa"/>
            <w:tcBorders>
              <w:top w:val="single" w:sz="4" w:space="0" w:color="auto"/>
              <w:left w:val="single" w:sz="4" w:space="0" w:color="auto"/>
            </w:tcBorders>
          </w:tcPr>
          <w:p w14:paraId="47ABF1B1" w14:textId="77777777" w:rsidR="001E0975" w:rsidRPr="00F13073" w:rsidRDefault="00A5519D" w:rsidP="00142053">
            <w:pPr>
              <w:keepNext/>
              <w:suppressAutoHyphens/>
              <w:rPr>
                <w:b/>
                <w:bCs/>
              </w:rPr>
            </w:pPr>
            <w:r w:rsidRPr="00F13073">
              <w:rPr>
                <w:b/>
                <w:bCs/>
              </w:rPr>
              <w:t>Odpowiedź</w:t>
            </w:r>
          </w:p>
        </w:tc>
        <w:tc>
          <w:tcPr>
            <w:tcW w:w="2410" w:type="dxa"/>
            <w:tcBorders>
              <w:top w:val="single" w:sz="4" w:space="0" w:color="auto"/>
              <w:left w:val="single" w:sz="4" w:space="0" w:color="auto"/>
            </w:tcBorders>
          </w:tcPr>
          <w:p w14:paraId="2A63E739" w14:textId="77777777" w:rsidR="001E0975" w:rsidRPr="00F13073" w:rsidRDefault="00611033" w:rsidP="00142053">
            <w:pPr>
              <w:keepNext/>
              <w:suppressAutoHyphens/>
            </w:pPr>
            <w:r w:rsidRPr="00F13073">
              <w:t>Tocilizumab</w:t>
            </w:r>
          </w:p>
          <w:p w14:paraId="55AA39F7" w14:textId="77777777" w:rsidR="001E0975" w:rsidRPr="00F13073" w:rsidRDefault="00611033" w:rsidP="00142053">
            <w:pPr>
              <w:keepNext/>
              <w:suppressAutoHyphens/>
            </w:pPr>
            <w:r w:rsidRPr="00F13073">
              <w:t>N=82</w:t>
            </w:r>
          </w:p>
        </w:tc>
        <w:tc>
          <w:tcPr>
            <w:tcW w:w="2702" w:type="dxa"/>
            <w:tcBorders>
              <w:top w:val="single" w:sz="4" w:space="0" w:color="auto"/>
              <w:left w:val="single" w:sz="4" w:space="0" w:color="auto"/>
              <w:right w:val="single" w:sz="4" w:space="0" w:color="auto"/>
            </w:tcBorders>
          </w:tcPr>
          <w:p w14:paraId="7E7EA4C6" w14:textId="77777777" w:rsidR="001E0975" w:rsidRPr="00F13073" w:rsidRDefault="00611033" w:rsidP="00142053">
            <w:pPr>
              <w:keepNext/>
              <w:suppressAutoHyphens/>
            </w:pPr>
            <w:r w:rsidRPr="00F13073">
              <w:t>Placebo</w:t>
            </w:r>
          </w:p>
          <w:p w14:paraId="5B843D49" w14:textId="77777777" w:rsidR="001E0975" w:rsidRPr="00F13073" w:rsidRDefault="00611033" w:rsidP="00142053">
            <w:pPr>
              <w:keepNext/>
              <w:suppressAutoHyphens/>
            </w:pPr>
            <w:r w:rsidRPr="00F13073">
              <w:t>N=81</w:t>
            </w:r>
          </w:p>
        </w:tc>
      </w:tr>
      <w:tr w:rsidR="001E0975" w:rsidRPr="00F13073" w14:paraId="36761547" w14:textId="77777777" w:rsidTr="00485B16">
        <w:trPr>
          <w:cantSplit/>
          <w:tblHeader/>
        </w:trPr>
        <w:tc>
          <w:tcPr>
            <w:tcW w:w="2808" w:type="dxa"/>
            <w:tcBorders>
              <w:top w:val="single" w:sz="4" w:space="0" w:color="auto"/>
              <w:left w:val="single" w:sz="4" w:space="0" w:color="auto"/>
            </w:tcBorders>
          </w:tcPr>
          <w:p w14:paraId="78F12997" w14:textId="77777777" w:rsidR="001E0975" w:rsidRPr="00F13073" w:rsidRDefault="00611033" w:rsidP="00142053">
            <w:pPr>
              <w:suppressAutoHyphens/>
            </w:pPr>
            <w:r w:rsidRPr="00F13073">
              <w:t>ACR 30</w:t>
            </w:r>
          </w:p>
        </w:tc>
        <w:tc>
          <w:tcPr>
            <w:tcW w:w="2410" w:type="dxa"/>
            <w:tcBorders>
              <w:top w:val="single" w:sz="4" w:space="0" w:color="auto"/>
              <w:left w:val="single" w:sz="4" w:space="0" w:color="auto"/>
            </w:tcBorders>
          </w:tcPr>
          <w:p w14:paraId="56D58E73" w14:textId="77777777" w:rsidR="001E0975" w:rsidRPr="00F13073" w:rsidRDefault="00611033" w:rsidP="00142053">
            <w:pPr>
              <w:suppressAutoHyphens/>
            </w:pPr>
            <w:r w:rsidRPr="00F13073">
              <w:t>74</w:t>
            </w:r>
            <w:r w:rsidR="00A5519D" w:rsidRPr="00F13073">
              <w:t>,</w:t>
            </w:r>
            <w:r w:rsidRPr="00F13073">
              <w:t>4%*</w:t>
            </w:r>
          </w:p>
        </w:tc>
        <w:tc>
          <w:tcPr>
            <w:tcW w:w="2702" w:type="dxa"/>
            <w:tcBorders>
              <w:top w:val="single" w:sz="4" w:space="0" w:color="auto"/>
              <w:left w:val="single" w:sz="4" w:space="0" w:color="auto"/>
              <w:right w:val="single" w:sz="4" w:space="0" w:color="auto"/>
            </w:tcBorders>
          </w:tcPr>
          <w:p w14:paraId="59C6B0B6" w14:textId="77777777" w:rsidR="001E0975" w:rsidRPr="00F13073" w:rsidRDefault="00611033" w:rsidP="00142053">
            <w:pPr>
              <w:suppressAutoHyphens/>
            </w:pPr>
            <w:r w:rsidRPr="00F13073">
              <w:t>54</w:t>
            </w:r>
            <w:r w:rsidR="00A5519D" w:rsidRPr="00F13073">
              <w:t>,</w:t>
            </w:r>
            <w:r w:rsidRPr="00F13073">
              <w:t>3%*</w:t>
            </w:r>
          </w:p>
        </w:tc>
      </w:tr>
      <w:tr w:rsidR="001E0975" w:rsidRPr="00F13073" w14:paraId="5EDEA3EA" w14:textId="77777777" w:rsidTr="00485B16">
        <w:trPr>
          <w:cantSplit/>
          <w:tblHeader/>
        </w:trPr>
        <w:tc>
          <w:tcPr>
            <w:tcW w:w="2808" w:type="dxa"/>
            <w:tcBorders>
              <w:top w:val="single" w:sz="4" w:space="0" w:color="auto"/>
              <w:left w:val="single" w:sz="4" w:space="0" w:color="auto"/>
            </w:tcBorders>
          </w:tcPr>
          <w:p w14:paraId="6B1B127E" w14:textId="77777777" w:rsidR="001E0975" w:rsidRPr="00F13073" w:rsidRDefault="00611033" w:rsidP="00142053">
            <w:pPr>
              <w:suppressAutoHyphens/>
            </w:pPr>
            <w:r w:rsidRPr="00F13073">
              <w:t>ACR 50</w:t>
            </w:r>
          </w:p>
        </w:tc>
        <w:tc>
          <w:tcPr>
            <w:tcW w:w="2410" w:type="dxa"/>
            <w:tcBorders>
              <w:top w:val="single" w:sz="4" w:space="0" w:color="auto"/>
              <w:left w:val="single" w:sz="4" w:space="0" w:color="auto"/>
            </w:tcBorders>
          </w:tcPr>
          <w:p w14:paraId="08A1537A" w14:textId="77777777" w:rsidR="001E0975" w:rsidRPr="00F13073" w:rsidRDefault="00611033" w:rsidP="00142053">
            <w:pPr>
              <w:suppressAutoHyphens/>
            </w:pPr>
            <w:r w:rsidRPr="00F13073">
              <w:t>73</w:t>
            </w:r>
            <w:r w:rsidR="00A5519D" w:rsidRPr="00F13073">
              <w:t>,</w:t>
            </w:r>
            <w:r w:rsidRPr="00F13073">
              <w:t>2%*</w:t>
            </w:r>
          </w:p>
        </w:tc>
        <w:tc>
          <w:tcPr>
            <w:tcW w:w="2702" w:type="dxa"/>
            <w:tcBorders>
              <w:top w:val="single" w:sz="4" w:space="0" w:color="auto"/>
              <w:left w:val="single" w:sz="4" w:space="0" w:color="auto"/>
              <w:right w:val="single" w:sz="4" w:space="0" w:color="auto"/>
            </w:tcBorders>
          </w:tcPr>
          <w:p w14:paraId="300C31C8" w14:textId="77777777" w:rsidR="001E0975" w:rsidRPr="00F13073" w:rsidRDefault="00611033" w:rsidP="00142053">
            <w:pPr>
              <w:suppressAutoHyphens/>
            </w:pPr>
            <w:r w:rsidRPr="00F13073">
              <w:t>51</w:t>
            </w:r>
            <w:r w:rsidR="00A5519D" w:rsidRPr="00F13073">
              <w:t>,</w:t>
            </w:r>
            <w:r w:rsidRPr="00F13073">
              <w:t>9%*</w:t>
            </w:r>
          </w:p>
        </w:tc>
      </w:tr>
      <w:tr w:rsidR="001E0975" w:rsidRPr="00F13073" w14:paraId="44B24127" w14:textId="77777777" w:rsidTr="00485B16">
        <w:trPr>
          <w:cantSplit/>
          <w:tblHeader/>
        </w:trPr>
        <w:tc>
          <w:tcPr>
            <w:tcW w:w="2808" w:type="dxa"/>
            <w:tcBorders>
              <w:top w:val="single" w:sz="4" w:space="0" w:color="auto"/>
              <w:left w:val="single" w:sz="4" w:space="0" w:color="auto"/>
              <w:bottom w:val="single" w:sz="4" w:space="0" w:color="auto"/>
            </w:tcBorders>
          </w:tcPr>
          <w:p w14:paraId="1E43352E" w14:textId="77777777" w:rsidR="001E0975" w:rsidRPr="00F13073" w:rsidRDefault="00611033" w:rsidP="00142053">
            <w:pPr>
              <w:keepNext/>
              <w:suppressAutoHyphens/>
            </w:pPr>
            <w:r w:rsidRPr="00F13073">
              <w:t>ACR 70</w:t>
            </w:r>
          </w:p>
        </w:tc>
        <w:tc>
          <w:tcPr>
            <w:tcW w:w="2410" w:type="dxa"/>
            <w:tcBorders>
              <w:top w:val="single" w:sz="4" w:space="0" w:color="auto"/>
              <w:left w:val="single" w:sz="4" w:space="0" w:color="auto"/>
              <w:bottom w:val="single" w:sz="4" w:space="0" w:color="auto"/>
            </w:tcBorders>
          </w:tcPr>
          <w:p w14:paraId="135BF224" w14:textId="77777777" w:rsidR="001E0975" w:rsidRPr="00F13073" w:rsidRDefault="00611033" w:rsidP="00142053">
            <w:pPr>
              <w:keepNext/>
              <w:suppressAutoHyphens/>
            </w:pPr>
            <w:r w:rsidRPr="00F13073">
              <w:t>64</w:t>
            </w:r>
            <w:r w:rsidR="00A5519D" w:rsidRPr="00F13073">
              <w:t>,</w:t>
            </w:r>
            <w:r w:rsidRPr="00F13073">
              <w:t>6%*</w:t>
            </w:r>
          </w:p>
        </w:tc>
        <w:tc>
          <w:tcPr>
            <w:tcW w:w="2702" w:type="dxa"/>
            <w:tcBorders>
              <w:top w:val="single" w:sz="4" w:space="0" w:color="auto"/>
              <w:left w:val="single" w:sz="4" w:space="0" w:color="auto"/>
              <w:bottom w:val="single" w:sz="4" w:space="0" w:color="auto"/>
              <w:right w:val="single" w:sz="4" w:space="0" w:color="auto"/>
            </w:tcBorders>
          </w:tcPr>
          <w:p w14:paraId="49650D0B" w14:textId="77777777" w:rsidR="001E0975" w:rsidRPr="00F13073" w:rsidRDefault="00611033" w:rsidP="00142053">
            <w:pPr>
              <w:keepNext/>
              <w:suppressAutoHyphens/>
            </w:pPr>
            <w:r w:rsidRPr="00F13073">
              <w:t>42</w:t>
            </w:r>
            <w:r w:rsidR="00A5519D" w:rsidRPr="00F13073">
              <w:t>,</w:t>
            </w:r>
            <w:r w:rsidRPr="00F13073">
              <w:t>0%*</w:t>
            </w:r>
          </w:p>
        </w:tc>
      </w:tr>
    </w:tbl>
    <w:p w14:paraId="057A4D10" w14:textId="77777777" w:rsidR="001E0975" w:rsidRPr="00F13073" w:rsidRDefault="00611033" w:rsidP="008B4C50">
      <w:pPr>
        <w:rPr>
          <w:i/>
          <w:iCs/>
          <w:sz w:val="18"/>
          <w:szCs w:val="18"/>
        </w:rPr>
      </w:pPr>
      <w:r w:rsidRPr="00F13073">
        <w:rPr>
          <w:i/>
          <w:iCs/>
          <w:sz w:val="18"/>
          <w:szCs w:val="18"/>
        </w:rPr>
        <w:t>* p&lt;0</w:t>
      </w:r>
      <w:r w:rsidR="00742D20" w:rsidRPr="00F13073">
        <w:rPr>
          <w:i/>
          <w:iCs/>
          <w:sz w:val="18"/>
          <w:szCs w:val="18"/>
        </w:rPr>
        <w:t>,</w:t>
      </w:r>
      <w:r w:rsidRPr="00F13073">
        <w:rPr>
          <w:i/>
          <w:iCs/>
          <w:sz w:val="18"/>
          <w:szCs w:val="18"/>
        </w:rPr>
        <w:t>01, tocilizumab vs. placebo</w:t>
      </w:r>
    </w:p>
    <w:p w14:paraId="3FEB14C3" w14:textId="77777777" w:rsidR="001E0975" w:rsidRPr="00F13073" w:rsidRDefault="001E0975" w:rsidP="008B4C50"/>
    <w:p w14:paraId="38884E4A" w14:textId="77777777" w:rsidR="00514758" w:rsidRPr="00F13073" w:rsidRDefault="00514758" w:rsidP="008B4C50">
      <w:pPr>
        <w:pStyle w:val="a4"/>
        <w:widowControl/>
        <w:spacing w:after="0"/>
        <w:rPr>
          <w:rStyle w:val="Char"/>
        </w:rPr>
      </w:pPr>
      <w:r w:rsidRPr="00F13073">
        <w:rPr>
          <w:rStyle w:val="Char"/>
        </w:rPr>
        <w:t>U pacjentów przyjmujących tocilizumab liczba stawów z czynnym procesem chorobowym istotnie zmniejszyła się względem stanu początkowego w porównaniu do placebo (skorygowana średnia zmiana -14,3 vs. -11,4, p=0,0435). Ogólna ocena aktywności choroby wg oceny lekarza, mierzona w skali 0-100 mm, wykazała większe zmniejszenie aktywności choroby u leczonych tocilizumabem w porównaniu do placebo (skorygowana średnia zmiana -45,2 mm vs. -35,2 mm, p=0,0031) Skorygowana średnia zmiana nasilenia bólu wg VAS po 40 tygodniach leczenia tocilizumabem wynosiła 32,4 mm w skali 0-100 mm, względem spadku wynoszącego 22,3 mm w grupie placebo (różnica wysoce istotna statystycznie; p=0,0076).</w:t>
      </w:r>
    </w:p>
    <w:p w14:paraId="6030315E" w14:textId="77777777" w:rsidR="00514758" w:rsidRPr="00F13073" w:rsidRDefault="00514758" w:rsidP="008B4C50">
      <w:pPr>
        <w:pStyle w:val="a4"/>
        <w:widowControl/>
        <w:spacing w:after="0"/>
      </w:pPr>
    </w:p>
    <w:p w14:paraId="33E2BDBD" w14:textId="77777777" w:rsidR="001E0975" w:rsidRPr="00F13073" w:rsidRDefault="00514758" w:rsidP="008B4C50">
      <w:pPr>
        <w:pStyle w:val="a4"/>
        <w:widowControl/>
        <w:spacing w:after="0"/>
      </w:pPr>
      <w:r w:rsidRPr="00F13073">
        <w:rPr>
          <w:rStyle w:val="Char"/>
        </w:rPr>
        <w:t>Jak przedstawiono w Tabeli 10, częstość odpowiedzi ACR była liczbowo mniejsza u chorych wcześniej leczonych lekami biologicznymi.</w:t>
      </w:r>
    </w:p>
    <w:p w14:paraId="1C95C64B" w14:textId="77777777" w:rsidR="00C9034C" w:rsidRPr="00F13073" w:rsidRDefault="00C9034C" w:rsidP="008B4C50"/>
    <w:p w14:paraId="38E4DB6D" w14:textId="77777777" w:rsidR="001E0975" w:rsidRPr="00F13073" w:rsidRDefault="00611033" w:rsidP="00362EA0">
      <w:pPr>
        <w:keepNext/>
        <w:keepLines/>
        <w:ind w:left="1134" w:hanging="1134"/>
        <w:rPr>
          <w:i/>
          <w:iCs/>
        </w:rPr>
      </w:pPr>
      <w:r w:rsidRPr="00F13073">
        <w:rPr>
          <w:i/>
          <w:iCs/>
        </w:rPr>
        <w:t>Tab</w:t>
      </w:r>
      <w:r w:rsidR="006B567D" w:rsidRPr="00F13073">
        <w:rPr>
          <w:i/>
          <w:iCs/>
        </w:rPr>
        <w:t>e</w:t>
      </w:r>
      <w:r w:rsidRPr="00F13073">
        <w:rPr>
          <w:i/>
          <w:iCs/>
        </w:rPr>
        <w:t>l</w:t>
      </w:r>
      <w:r w:rsidR="00514758" w:rsidRPr="00F13073">
        <w:rPr>
          <w:i/>
          <w:iCs/>
        </w:rPr>
        <w:t>a</w:t>
      </w:r>
      <w:r w:rsidRPr="00F13073">
        <w:rPr>
          <w:i/>
          <w:iCs/>
        </w:rPr>
        <w:t xml:space="preserve"> 10.</w:t>
      </w:r>
      <w:r w:rsidR="00C9034C" w:rsidRPr="00F13073">
        <w:rPr>
          <w:i/>
          <w:iCs/>
        </w:rPr>
        <w:tab/>
      </w:r>
      <w:r w:rsidR="00514758" w:rsidRPr="00F13073">
        <w:rPr>
          <w:rStyle w:val="Char"/>
          <w:rFonts w:eastAsia="DengXian"/>
          <w:i/>
          <w:iCs/>
        </w:rPr>
        <w:t>Liczba i odsetek pacjentów spełniających kryteria zaostrzenia ACR30 dla MIZS w 40. tygodniu oraz liczba i odsetek pacjentów spełniających kryteria odpowiedzi ACR 30/50/70/90 w 40. tygodniu, z podziałem według wcześniejszego stosowania leków biologicznych (populacja ITT - II część badania)</w:t>
      </w:r>
    </w:p>
    <w:p w14:paraId="3EC2B692" w14:textId="77777777" w:rsidR="00C9034C" w:rsidRPr="00F13073" w:rsidRDefault="00C9034C"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304"/>
        <w:gridCol w:w="1613"/>
        <w:gridCol w:w="1613"/>
        <w:gridCol w:w="1613"/>
        <w:gridCol w:w="1627"/>
      </w:tblGrid>
      <w:tr w:rsidR="001E0975" w:rsidRPr="00F13073" w14:paraId="05F88278" w14:textId="77777777" w:rsidTr="00485B16">
        <w:trPr>
          <w:cantSplit/>
          <w:tblHeader/>
        </w:trPr>
        <w:tc>
          <w:tcPr>
            <w:tcW w:w="2304" w:type="dxa"/>
            <w:tcBorders>
              <w:top w:val="single" w:sz="4" w:space="0" w:color="auto"/>
              <w:left w:val="single" w:sz="4" w:space="0" w:color="auto"/>
            </w:tcBorders>
          </w:tcPr>
          <w:p w14:paraId="4EE2CDF0" w14:textId="77777777" w:rsidR="001E0975" w:rsidRPr="00F13073" w:rsidRDefault="001E0975" w:rsidP="008B4C50">
            <w:pPr>
              <w:keepNext/>
              <w:suppressAutoHyphens/>
              <w:rPr>
                <w:b/>
                <w:bCs/>
                <w:sz w:val="20"/>
                <w:szCs w:val="20"/>
              </w:rPr>
            </w:pPr>
          </w:p>
        </w:tc>
        <w:tc>
          <w:tcPr>
            <w:tcW w:w="3226" w:type="dxa"/>
            <w:gridSpan w:val="2"/>
            <w:tcBorders>
              <w:top w:val="single" w:sz="4" w:space="0" w:color="auto"/>
              <w:left w:val="single" w:sz="4" w:space="0" w:color="auto"/>
            </w:tcBorders>
          </w:tcPr>
          <w:p w14:paraId="6E03544A" w14:textId="77777777" w:rsidR="001E0975" w:rsidRPr="00F13073" w:rsidRDefault="00611033" w:rsidP="006F4320">
            <w:pPr>
              <w:keepNext/>
              <w:suppressAutoHyphens/>
              <w:jc w:val="center"/>
              <w:rPr>
                <w:b/>
                <w:bCs/>
                <w:sz w:val="20"/>
                <w:szCs w:val="20"/>
              </w:rPr>
            </w:pPr>
            <w:r w:rsidRPr="00F13073">
              <w:rPr>
                <w:b/>
                <w:bCs/>
                <w:sz w:val="20"/>
                <w:szCs w:val="20"/>
              </w:rPr>
              <w:t>Placebo</w:t>
            </w:r>
          </w:p>
        </w:tc>
        <w:tc>
          <w:tcPr>
            <w:tcW w:w="3240" w:type="dxa"/>
            <w:gridSpan w:val="2"/>
            <w:tcBorders>
              <w:top w:val="single" w:sz="4" w:space="0" w:color="auto"/>
              <w:left w:val="single" w:sz="4" w:space="0" w:color="auto"/>
              <w:right w:val="single" w:sz="4" w:space="0" w:color="auto"/>
            </w:tcBorders>
          </w:tcPr>
          <w:p w14:paraId="10C58E80" w14:textId="77777777" w:rsidR="001E0975" w:rsidRPr="00F13073" w:rsidRDefault="006C3FB1" w:rsidP="006F4320">
            <w:pPr>
              <w:keepNext/>
              <w:suppressAutoHyphens/>
              <w:jc w:val="center"/>
              <w:rPr>
                <w:b/>
                <w:bCs/>
                <w:sz w:val="20"/>
                <w:szCs w:val="20"/>
              </w:rPr>
            </w:pPr>
            <w:r w:rsidRPr="00F13073">
              <w:rPr>
                <w:b/>
                <w:bCs/>
                <w:sz w:val="20"/>
                <w:szCs w:val="20"/>
              </w:rPr>
              <w:t>Tocilizumab</w:t>
            </w:r>
          </w:p>
        </w:tc>
      </w:tr>
      <w:tr w:rsidR="006C3FB1" w:rsidRPr="00F13073" w14:paraId="7ECFD527" w14:textId="77777777" w:rsidTr="00485B16">
        <w:trPr>
          <w:cantSplit/>
          <w:tblHeader/>
        </w:trPr>
        <w:tc>
          <w:tcPr>
            <w:tcW w:w="2304" w:type="dxa"/>
            <w:tcBorders>
              <w:top w:val="single" w:sz="4" w:space="0" w:color="auto"/>
              <w:left w:val="single" w:sz="4" w:space="0" w:color="auto"/>
            </w:tcBorders>
          </w:tcPr>
          <w:p w14:paraId="29B1F163" w14:textId="77777777" w:rsidR="006C3FB1" w:rsidRPr="00F13073" w:rsidRDefault="006C3FB1" w:rsidP="008B4C50">
            <w:pPr>
              <w:keepNext/>
              <w:suppressAutoHyphens/>
              <w:rPr>
                <w:b/>
                <w:bCs/>
                <w:sz w:val="20"/>
                <w:szCs w:val="20"/>
              </w:rPr>
            </w:pPr>
            <w:r w:rsidRPr="00F13073">
              <w:rPr>
                <w:b/>
                <w:bCs/>
                <w:sz w:val="20"/>
                <w:szCs w:val="20"/>
              </w:rPr>
              <w:t>Stosowanie leków biologicznych</w:t>
            </w:r>
          </w:p>
        </w:tc>
        <w:tc>
          <w:tcPr>
            <w:tcW w:w="1613" w:type="dxa"/>
            <w:tcBorders>
              <w:top w:val="single" w:sz="4" w:space="0" w:color="auto"/>
              <w:left w:val="single" w:sz="4" w:space="0" w:color="auto"/>
            </w:tcBorders>
          </w:tcPr>
          <w:p w14:paraId="2A863ADB" w14:textId="77777777" w:rsidR="006C3FB1" w:rsidRPr="00F13073" w:rsidRDefault="006C3FB1" w:rsidP="006F4320">
            <w:pPr>
              <w:keepNext/>
              <w:suppressAutoHyphens/>
              <w:jc w:val="center"/>
              <w:rPr>
                <w:b/>
                <w:bCs/>
                <w:sz w:val="20"/>
                <w:szCs w:val="20"/>
              </w:rPr>
            </w:pPr>
            <w:r w:rsidRPr="00F13073">
              <w:rPr>
                <w:rStyle w:val="Other"/>
                <w:rFonts w:eastAsia="DengXian"/>
                <w:b/>
                <w:bCs/>
                <w:sz w:val="20"/>
                <w:szCs w:val="20"/>
              </w:rPr>
              <w:t xml:space="preserve">Tak (N </w:t>
            </w:r>
            <w:r w:rsidRPr="00F13073">
              <w:rPr>
                <w:rStyle w:val="Other"/>
                <w:rFonts w:eastAsia="DengXian"/>
                <w:sz w:val="20"/>
                <w:szCs w:val="20"/>
              </w:rPr>
              <w:t xml:space="preserve">= </w:t>
            </w:r>
            <w:r w:rsidRPr="00F13073">
              <w:rPr>
                <w:rStyle w:val="Other"/>
                <w:rFonts w:eastAsia="DengXian"/>
                <w:b/>
                <w:bCs/>
                <w:sz w:val="20"/>
                <w:szCs w:val="20"/>
              </w:rPr>
              <w:t>23)</w:t>
            </w:r>
          </w:p>
        </w:tc>
        <w:tc>
          <w:tcPr>
            <w:tcW w:w="1613" w:type="dxa"/>
            <w:tcBorders>
              <w:top w:val="single" w:sz="4" w:space="0" w:color="auto"/>
              <w:left w:val="single" w:sz="4" w:space="0" w:color="auto"/>
            </w:tcBorders>
          </w:tcPr>
          <w:p w14:paraId="7A8CBFDE" w14:textId="77777777" w:rsidR="006C3FB1" w:rsidRPr="00F13073" w:rsidRDefault="006C3FB1" w:rsidP="006F4320">
            <w:pPr>
              <w:keepNext/>
              <w:suppressAutoHyphens/>
              <w:jc w:val="center"/>
              <w:rPr>
                <w:b/>
                <w:bCs/>
                <w:sz w:val="20"/>
                <w:szCs w:val="20"/>
              </w:rPr>
            </w:pPr>
            <w:r w:rsidRPr="00F13073">
              <w:rPr>
                <w:rStyle w:val="Other"/>
                <w:rFonts w:eastAsia="DengXian"/>
                <w:b/>
                <w:bCs/>
                <w:sz w:val="20"/>
                <w:szCs w:val="20"/>
              </w:rPr>
              <w:t xml:space="preserve">Nie (N </w:t>
            </w:r>
            <w:r w:rsidRPr="00F13073">
              <w:rPr>
                <w:rStyle w:val="Other"/>
                <w:rFonts w:eastAsia="DengXian"/>
                <w:sz w:val="20"/>
                <w:szCs w:val="20"/>
              </w:rPr>
              <w:t xml:space="preserve">= </w:t>
            </w:r>
            <w:r w:rsidRPr="00F13073">
              <w:rPr>
                <w:rStyle w:val="Other"/>
                <w:rFonts w:eastAsia="DengXian"/>
                <w:b/>
                <w:bCs/>
                <w:sz w:val="20"/>
                <w:szCs w:val="20"/>
              </w:rPr>
              <w:t>58)</w:t>
            </w:r>
          </w:p>
        </w:tc>
        <w:tc>
          <w:tcPr>
            <w:tcW w:w="1613" w:type="dxa"/>
            <w:tcBorders>
              <w:top w:val="single" w:sz="4" w:space="0" w:color="auto"/>
              <w:left w:val="single" w:sz="4" w:space="0" w:color="auto"/>
            </w:tcBorders>
          </w:tcPr>
          <w:p w14:paraId="04A99F76" w14:textId="77777777" w:rsidR="006C3FB1" w:rsidRPr="00F13073" w:rsidRDefault="006C3FB1" w:rsidP="006F4320">
            <w:pPr>
              <w:keepNext/>
              <w:suppressAutoHyphens/>
              <w:jc w:val="center"/>
              <w:rPr>
                <w:b/>
                <w:bCs/>
                <w:sz w:val="20"/>
                <w:szCs w:val="20"/>
              </w:rPr>
            </w:pPr>
            <w:r w:rsidRPr="00F13073">
              <w:rPr>
                <w:rStyle w:val="Other"/>
                <w:rFonts w:eastAsia="DengXian"/>
                <w:b/>
                <w:bCs/>
                <w:sz w:val="20"/>
                <w:szCs w:val="20"/>
              </w:rPr>
              <w:t xml:space="preserve">Tak (N </w:t>
            </w:r>
            <w:r w:rsidRPr="00F13073">
              <w:rPr>
                <w:rStyle w:val="Other"/>
                <w:rFonts w:eastAsia="DengXian"/>
                <w:sz w:val="20"/>
                <w:szCs w:val="20"/>
              </w:rPr>
              <w:t xml:space="preserve">= </w:t>
            </w:r>
            <w:r w:rsidRPr="00F13073">
              <w:rPr>
                <w:rStyle w:val="Other"/>
                <w:rFonts w:eastAsia="DengXian"/>
                <w:b/>
                <w:bCs/>
                <w:sz w:val="20"/>
                <w:szCs w:val="20"/>
              </w:rPr>
              <w:t>27)</w:t>
            </w:r>
          </w:p>
        </w:tc>
        <w:tc>
          <w:tcPr>
            <w:tcW w:w="1627" w:type="dxa"/>
            <w:tcBorders>
              <w:top w:val="single" w:sz="4" w:space="0" w:color="auto"/>
              <w:left w:val="single" w:sz="4" w:space="0" w:color="auto"/>
              <w:right w:val="single" w:sz="4" w:space="0" w:color="auto"/>
            </w:tcBorders>
          </w:tcPr>
          <w:p w14:paraId="7A57366C" w14:textId="77777777" w:rsidR="006C3FB1" w:rsidRPr="00F13073" w:rsidRDefault="006C3FB1" w:rsidP="006F4320">
            <w:pPr>
              <w:keepNext/>
              <w:suppressAutoHyphens/>
              <w:jc w:val="center"/>
              <w:rPr>
                <w:b/>
                <w:bCs/>
                <w:sz w:val="20"/>
                <w:szCs w:val="20"/>
              </w:rPr>
            </w:pPr>
            <w:r w:rsidRPr="00F13073">
              <w:rPr>
                <w:rStyle w:val="Other"/>
                <w:rFonts w:eastAsia="DengXian"/>
                <w:b/>
                <w:bCs/>
                <w:sz w:val="20"/>
                <w:szCs w:val="20"/>
              </w:rPr>
              <w:t xml:space="preserve">Nie (N </w:t>
            </w:r>
            <w:r w:rsidRPr="00F13073">
              <w:rPr>
                <w:rStyle w:val="Other"/>
                <w:rFonts w:eastAsia="DengXian"/>
                <w:sz w:val="20"/>
                <w:szCs w:val="20"/>
              </w:rPr>
              <w:t xml:space="preserve">= </w:t>
            </w:r>
            <w:r w:rsidRPr="00F13073">
              <w:rPr>
                <w:rStyle w:val="Other"/>
                <w:rFonts w:eastAsia="DengXian"/>
                <w:b/>
                <w:bCs/>
                <w:sz w:val="20"/>
                <w:szCs w:val="20"/>
              </w:rPr>
              <w:t>55)</w:t>
            </w:r>
          </w:p>
        </w:tc>
      </w:tr>
      <w:tr w:rsidR="006C3FB1" w:rsidRPr="00F13073" w14:paraId="7D02A524" w14:textId="77777777" w:rsidTr="00485B16">
        <w:trPr>
          <w:cantSplit/>
          <w:tblHeader/>
        </w:trPr>
        <w:tc>
          <w:tcPr>
            <w:tcW w:w="2304" w:type="dxa"/>
            <w:tcBorders>
              <w:top w:val="single" w:sz="4" w:space="0" w:color="auto"/>
              <w:left w:val="single" w:sz="4" w:space="0" w:color="auto"/>
            </w:tcBorders>
          </w:tcPr>
          <w:p w14:paraId="06312631" w14:textId="77777777" w:rsidR="006C3FB1" w:rsidRPr="00F13073" w:rsidRDefault="006C3FB1" w:rsidP="008B4C50">
            <w:pPr>
              <w:suppressAutoHyphens/>
              <w:rPr>
                <w:sz w:val="20"/>
                <w:szCs w:val="20"/>
              </w:rPr>
            </w:pPr>
            <w:r w:rsidRPr="00F13073">
              <w:rPr>
                <w:rStyle w:val="Other"/>
                <w:rFonts w:eastAsia="DengXian"/>
                <w:sz w:val="20"/>
                <w:szCs w:val="20"/>
              </w:rPr>
              <w:t>Zaostrzenie wg ACR30 dla MIZS</w:t>
            </w:r>
          </w:p>
        </w:tc>
        <w:tc>
          <w:tcPr>
            <w:tcW w:w="1613" w:type="dxa"/>
            <w:tcBorders>
              <w:top w:val="single" w:sz="4" w:space="0" w:color="auto"/>
              <w:left w:val="single" w:sz="4" w:space="0" w:color="auto"/>
            </w:tcBorders>
          </w:tcPr>
          <w:p w14:paraId="2692E45E" w14:textId="77777777" w:rsidR="006C3FB1" w:rsidRPr="00F13073" w:rsidRDefault="006C3FB1" w:rsidP="006F4320">
            <w:pPr>
              <w:suppressAutoHyphens/>
              <w:jc w:val="center"/>
              <w:rPr>
                <w:sz w:val="20"/>
                <w:szCs w:val="20"/>
              </w:rPr>
            </w:pPr>
            <w:r w:rsidRPr="00F13073">
              <w:rPr>
                <w:sz w:val="20"/>
                <w:szCs w:val="20"/>
              </w:rPr>
              <w:t>18 (78,3)</w:t>
            </w:r>
          </w:p>
        </w:tc>
        <w:tc>
          <w:tcPr>
            <w:tcW w:w="1613" w:type="dxa"/>
            <w:tcBorders>
              <w:top w:val="single" w:sz="4" w:space="0" w:color="auto"/>
              <w:left w:val="single" w:sz="4" w:space="0" w:color="auto"/>
            </w:tcBorders>
          </w:tcPr>
          <w:p w14:paraId="6C4FB752" w14:textId="77777777" w:rsidR="006C3FB1" w:rsidRPr="00F13073" w:rsidRDefault="006C3FB1" w:rsidP="006F4320">
            <w:pPr>
              <w:suppressAutoHyphens/>
              <w:jc w:val="center"/>
              <w:rPr>
                <w:sz w:val="20"/>
                <w:szCs w:val="20"/>
              </w:rPr>
            </w:pPr>
            <w:r w:rsidRPr="00F13073">
              <w:rPr>
                <w:sz w:val="20"/>
                <w:szCs w:val="20"/>
              </w:rPr>
              <w:t>21 (36,2)</w:t>
            </w:r>
          </w:p>
        </w:tc>
        <w:tc>
          <w:tcPr>
            <w:tcW w:w="1613" w:type="dxa"/>
            <w:tcBorders>
              <w:top w:val="single" w:sz="4" w:space="0" w:color="auto"/>
              <w:left w:val="single" w:sz="4" w:space="0" w:color="auto"/>
            </w:tcBorders>
          </w:tcPr>
          <w:p w14:paraId="4938C870" w14:textId="77777777" w:rsidR="006C3FB1" w:rsidRPr="00F13073" w:rsidRDefault="006C3FB1" w:rsidP="006F4320">
            <w:pPr>
              <w:suppressAutoHyphens/>
              <w:jc w:val="center"/>
              <w:rPr>
                <w:sz w:val="20"/>
                <w:szCs w:val="20"/>
              </w:rPr>
            </w:pPr>
            <w:r w:rsidRPr="00F13073">
              <w:rPr>
                <w:sz w:val="20"/>
                <w:szCs w:val="20"/>
              </w:rPr>
              <w:t>12 (44,4)</w:t>
            </w:r>
          </w:p>
        </w:tc>
        <w:tc>
          <w:tcPr>
            <w:tcW w:w="1627" w:type="dxa"/>
            <w:tcBorders>
              <w:top w:val="single" w:sz="4" w:space="0" w:color="auto"/>
              <w:left w:val="single" w:sz="4" w:space="0" w:color="auto"/>
              <w:right w:val="single" w:sz="4" w:space="0" w:color="auto"/>
            </w:tcBorders>
          </w:tcPr>
          <w:p w14:paraId="226E5013" w14:textId="77777777" w:rsidR="006C3FB1" w:rsidRPr="00F13073" w:rsidRDefault="006C3FB1" w:rsidP="006F4320">
            <w:pPr>
              <w:suppressAutoHyphens/>
              <w:jc w:val="center"/>
              <w:rPr>
                <w:sz w:val="20"/>
                <w:szCs w:val="20"/>
              </w:rPr>
            </w:pPr>
            <w:r w:rsidRPr="00F13073">
              <w:rPr>
                <w:sz w:val="20"/>
                <w:szCs w:val="20"/>
              </w:rPr>
              <w:t>9 (16,4)</w:t>
            </w:r>
          </w:p>
        </w:tc>
      </w:tr>
      <w:tr w:rsidR="006C3FB1" w:rsidRPr="00F13073" w14:paraId="51A4C728" w14:textId="77777777" w:rsidTr="00485B16">
        <w:trPr>
          <w:cantSplit/>
          <w:tblHeader/>
        </w:trPr>
        <w:tc>
          <w:tcPr>
            <w:tcW w:w="2304" w:type="dxa"/>
            <w:tcBorders>
              <w:top w:val="single" w:sz="4" w:space="0" w:color="auto"/>
              <w:left w:val="single" w:sz="4" w:space="0" w:color="auto"/>
            </w:tcBorders>
          </w:tcPr>
          <w:p w14:paraId="698657C7" w14:textId="77777777" w:rsidR="006C3FB1" w:rsidRPr="00F13073" w:rsidRDefault="006C3FB1" w:rsidP="008B4C50">
            <w:pPr>
              <w:suppressAutoHyphens/>
              <w:rPr>
                <w:sz w:val="20"/>
                <w:szCs w:val="20"/>
              </w:rPr>
            </w:pPr>
            <w:r w:rsidRPr="00F13073">
              <w:rPr>
                <w:rStyle w:val="Other"/>
                <w:rFonts w:eastAsia="DengXian"/>
                <w:sz w:val="20"/>
                <w:szCs w:val="20"/>
              </w:rPr>
              <w:t>Odpowiedź ACR30 dla MIZS</w:t>
            </w:r>
          </w:p>
        </w:tc>
        <w:tc>
          <w:tcPr>
            <w:tcW w:w="1613" w:type="dxa"/>
            <w:tcBorders>
              <w:top w:val="single" w:sz="4" w:space="0" w:color="auto"/>
              <w:left w:val="single" w:sz="4" w:space="0" w:color="auto"/>
            </w:tcBorders>
          </w:tcPr>
          <w:p w14:paraId="61E25751" w14:textId="77777777" w:rsidR="006C3FB1" w:rsidRPr="00F13073" w:rsidRDefault="006C3FB1" w:rsidP="006F4320">
            <w:pPr>
              <w:suppressAutoHyphens/>
              <w:jc w:val="center"/>
              <w:rPr>
                <w:sz w:val="20"/>
                <w:szCs w:val="20"/>
              </w:rPr>
            </w:pPr>
            <w:r w:rsidRPr="00F13073">
              <w:rPr>
                <w:sz w:val="20"/>
                <w:szCs w:val="20"/>
              </w:rPr>
              <w:t>6 (26,1)</w:t>
            </w:r>
          </w:p>
        </w:tc>
        <w:tc>
          <w:tcPr>
            <w:tcW w:w="1613" w:type="dxa"/>
            <w:tcBorders>
              <w:top w:val="single" w:sz="4" w:space="0" w:color="auto"/>
              <w:left w:val="single" w:sz="4" w:space="0" w:color="auto"/>
            </w:tcBorders>
          </w:tcPr>
          <w:p w14:paraId="433C9917" w14:textId="77777777" w:rsidR="006C3FB1" w:rsidRPr="00F13073" w:rsidRDefault="006C3FB1" w:rsidP="006F4320">
            <w:pPr>
              <w:suppressAutoHyphens/>
              <w:jc w:val="center"/>
              <w:rPr>
                <w:sz w:val="20"/>
                <w:szCs w:val="20"/>
              </w:rPr>
            </w:pPr>
            <w:r w:rsidRPr="00F13073">
              <w:rPr>
                <w:sz w:val="20"/>
                <w:szCs w:val="20"/>
              </w:rPr>
              <w:t>38 (65,5)</w:t>
            </w:r>
          </w:p>
        </w:tc>
        <w:tc>
          <w:tcPr>
            <w:tcW w:w="1613" w:type="dxa"/>
            <w:tcBorders>
              <w:top w:val="single" w:sz="4" w:space="0" w:color="auto"/>
              <w:left w:val="single" w:sz="4" w:space="0" w:color="auto"/>
            </w:tcBorders>
          </w:tcPr>
          <w:p w14:paraId="06C9D8F5" w14:textId="77777777" w:rsidR="006C3FB1" w:rsidRPr="00F13073" w:rsidRDefault="006C3FB1" w:rsidP="006F4320">
            <w:pPr>
              <w:suppressAutoHyphens/>
              <w:jc w:val="center"/>
              <w:rPr>
                <w:sz w:val="20"/>
                <w:szCs w:val="20"/>
              </w:rPr>
            </w:pPr>
            <w:r w:rsidRPr="00F13073">
              <w:rPr>
                <w:sz w:val="20"/>
                <w:szCs w:val="20"/>
              </w:rPr>
              <w:t>15 (55,6)</w:t>
            </w:r>
          </w:p>
        </w:tc>
        <w:tc>
          <w:tcPr>
            <w:tcW w:w="1627" w:type="dxa"/>
            <w:tcBorders>
              <w:top w:val="single" w:sz="4" w:space="0" w:color="auto"/>
              <w:left w:val="single" w:sz="4" w:space="0" w:color="auto"/>
              <w:right w:val="single" w:sz="4" w:space="0" w:color="auto"/>
            </w:tcBorders>
          </w:tcPr>
          <w:p w14:paraId="0894DB11" w14:textId="77777777" w:rsidR="006C3FB1" w:rsidRPr="00F13073" w:rsidRDefault="006C3FB1" w:rsidP="006F4320">
            <w:pPr>
              <w:suppressAutoHyphens/>
              <w:jc w:val="center"/>
              <w:rPr>
                <w:sz w:val="20"/>
                <w:szCs w:val="20"/>
              </w:rPr>
            </w:pPr>
            <w:r w:rsidRPr="00F13073">
              <w:rPr>
                <w:sz w:val="20"/>
                <w:szCs w:val="20"/>
              </w:rPr>
              <w:t>46 (83,6)</w:t>
            </w:r>
          </w:p>
        </w:tc>
      </w:tr>
      <w:tr w:rsidR="006C3FB1" w:rsidRPr="00F13073" w14:paraId="697AD71B" w14:textId="77777777" w:rsidTr="00485B16">
        <w:trPr>
          <w:cantSplit/>
          <w:tblHeader/>
        </w:trPr>
        <w:tc>
          <w:tcPr>
            <w:tcW w:w="2304" w:type="dxa"/>
            <w:tcBorders>
              <w:top w:val="single" w:sz="4" w:space="0" w:color="auto"/>
              <w:left w:val="single" w:sz="4" w:space="0" w:color="auto"/>
            </w:tcBorders>
          </w:tcPr>
          <w:p w14:paraId="39793B46" w14:textId="77777777" w:rsidR="006C3FB1" w:rsidRPr="00F13073" w:rsidRDefault="006C3FB1" w:rsidP="008B4C50">
            <w:pPr>
              <w:suppressAutoHyphens/>
              <w:rPr>
                <w:sz w:val="20"/>
                <w:szCs w:val="20"/>
              </w:rPr>
            </w:pPr>
            <w:r w:rsidRPr="00F13073">
              <w:rPr>
                <w:rStyle w:val="Other"/>
                <w:rFonts w:eastAsia="DengXian"/>
                <w:sz w:val="20"/>
                <w:szCs w:val="20"/>
              </w:rPr>
              <w:t>Odpowiedź ACR50 dla MIZS</w:t>
            </w:r>
          </w:p>
        </w:tc>
        <w:tc>
          <w:tcPr>
            <w:tcW w:w="1613" w:type="dxa"/>
            <w:tcBorders>
              <w:top w:val="single" w:sz="4" w:space="0" w:color="auto"/>
              <w:left w:val="single" w:sz="4" w:space="0" w:color="auto"/>
            </w:tcBorders>
          </w:tcPr>
          <w:p w14:paraId="7AE3BBED" w14:textId="77777777" w:rsidR="006C3FB1" w:rsidRPr="00F13073" w:rsidRDefault="006C3FB1" w:rsidP="006F4320">
            <w:pPr>
              <w:suppressAutoHyphens/>
              <w:jc w:val="center"/>
              <w:rPr>
                <w:sz w:val="20"/>
                <w:szCs w:val="20"/>
              </w:rPr>
            </w:pPr>
            <w:r w:rsidRPr="00F13073">
              <w:rPr>
                <w:sz w:val="20"/>
                <w:szCs w:val="20"/>
              </w:rPr>
              <w:t>5 (21,7)</w:t>
            </w:r>
          </w:p>
        </w:tc>
        <w:tc>
          <w:tcPr>
            <w:tcW w:w="1613" w:type="dxa"/>
            <w:tcBorders>
              <w:top w:val="single" w:sz="4" w:space="0" w:color="auto"/>
              <w:left w:val="single" w:sz="4" w:space="0" w:color="auto"/>
            </w:tcBorders>
          </w:tcPr>
          <w:p w14:paraId="0DAD6897" w14:textId="77777777" w:rsidR="006C3FB1" w:rsidRPr="00F13073" w:rsidRDefault="006C3FB1" w:rsidP="006F4320">
            <w:pPr>
              <w:suppressAutoHyphens/>
              <w:jc w:val="center"/>
              <w:rPr>
                <w:sz w:val="20"/>
                <w:szCs w:val="20"/>
              </w:rPr>
            </w:pPr>
            <w:r w:rsidRPr="00F13073">
              <w:rPr>
                <w:sz w:val="20"/>
                <w:szCs w:val="20"/>
              </w:rPr>
              <w:t>37 (63,8)</w:t>
            </w:r>
          </w:p>
        </w:tc>
        <w:tc>
          <w:tcPr>
            <w:tcW w:w="1613" w:type="dxa"/>
            <w:tcBorders>
              <w:top w:val="single" w:sz="4" w:space="0" w:color="auto"/>
              <w:left w:val="single" w:sz="4" w:space="0" w:color="auto"/>
            </w:tcBorders>
          </w:tcPr>
          <w:p w14:paraId="50921523" w14:textId="77777777" w:rsidR="006C3FB1" w:rsidRPr="00F13073" w:rsidRDefault="006C3FB1" w:rsidP="006F4320">
            <w:pPr>
              <w:suppressAutoHyphens/>
              <w:jc w:val="center"/>
              <w:rPr>
                <w:sz w:val="20"/>
                <w:szCs w:val="20"/>
              </w:rPr>
            </w:pPr>
            <w:r w:rsidRPr="00F13073">
              <w:rPr>
                <w:sz w:val="20"/>
                <w:szCs w:val="20"/>
              </w:rPr>
              <w:t>14 (51,9)</w:t>
            </w:r>
          </w:p>
        </w:tc>
        <w:tc>
          <w:tcPr>
            <w:tcW w:w="1627" w:type="dxa"/>
            <w:tcBorders>
              <w:top w:val="single" w:sz="4" w:space="0" w:color="auto"/>
              <w:left w:val="single" w:sz="4" w:space="0" w:color="auto"/>
              <w:right w:val="single" w:sz="4" w:space="0" w:color="auto"/>
            </w:tcBorders>
          </w:tcPr>
          <w:p w14:paraId="0F41C6F8" w14:textId="77777777" w:rsidR="006C3FB1" w:rsidRPr="00F13073" w:rsidRDefault="006C3FB1" w:rsidP="006F4320">
            <w:pPr>
              <w:suppressAutoHyphens/>
              <w:jc w:val="center"/>
              <w:rPr>
                <w:sz w:val="20"/>
                <w:szCs w:val="20"/>
              </w:rPr>
            </w:pPr>
            <w:r w:rsidRPr="00F13073">
              <w:rPr>
                <w:sz w:val="20"/>
                <w:szCs w:val="20"/>
              </w:rPr>
              <w:t>46 (83,6)</w:t>
            </w:r>
          </w:p>
        </w:tc>
      </w:tr>
      <w:tr w:rsidR="006C3FB1" w:rsidRPr="00F13073" w14:paraId="63900129" w14:textId="77777777" w:rsidTr="00485B16">
        <w:trPr>
          <w:cantSplit/>
          <w:tblHeader/>
        </w:trPr>
        <w:tc>
          <w:tcPr>
            <w:tcW w:w="2304" w:type="dxa"/>
            <w:tcBorders>
              <w:top w:val="single" w:sz="4" w:space="0" w:color="auto"/>
              <w:left w:val="single" w:sz="4" w:space="0" w:color="auto"/>
            </w:tcBorders>
          </w:tcPr>
          <w:p w14:paraId="289B1DCC" w14:textId="77777777" w:rsidR="006C3FB1" w:rsidRPr="00F13073" w:rsidRDefault="006C3FB1" w:rsidP="008B4C50">
            <w:pPr>
              <w:suppressAutoHyphens/>
              <w:rPr>
                <w:sz w:val="20"/>
                <w:szCs w:val="20"/>
              </w:rPr>
            </w:pPr>
            <w:r w:rsidRPr="00F13073">
              <w:rPr>
                <w:rStyle w:val="Other"/>
                <w:rFonts w:eastAsia="DengXian"/>
                <w:sz w:val="20"/>
                <w:szCs w:val="20"/>
              </w:rPr>
              <w:t>Odpowiedź ACR70 dla MIZS</w:t>
            </w:r>
          </w:p>
        </w:tc>
        <w:tc>
          <w:tcPr>
            <w:tcW w:w="1613" w:type="dxa"/>
            <w:tcBorders>
              <w:top w:val="single" w:sz="4" w:space="0" w:color="auto"/>
              <w:left w:val="single" w:sz="4" w:space="0" w:color="auto"/>
            </w:tcBorders>
          </w:tcPr>
          <w:p w14:paraId="61D2DFAB" w14:textId="77777777" w:rsidR="006C3FB1" w:rsidRPr="00F13073" w:rsidRDefault="006C3FB1" w:rsidP="006F4320">
            <w:pPr>
              <w:suppressAutoHyphens/>
              <w:jc w:val="center"/>
              <w:rPr>
                <w:sz w:val="20"/>
                <w:szCs w:val="20"/>
              </w:rPr>
            </w:pPr>
            <w:r w:rsidRPr="00F13073">
              <w:rPr>
                <w:sz w:val="20"/>
                <w:szCs w:val="20"/>
              </w:rPr>
              <w:t>2 (8,7)</w:t>
            </w:r>
          </w:p>
        </w:tc>
        <w:tc>
          <w:tcPr>
            <w:tcW w:w="1613" w:type="dxa"/>
            <w:tcBorders>
              <w:top w:val="single" w:sz="4" w:space="0" w:color="auto"/>
              <w:left w:val="single" w:sz="4" w:space="0" w:color="auto"/>
            </w:tcBorders>
          </w:tcPr>
          <w:p w14:paraId="71DB84AD" w14:textId="77777777" w:rsidR="006C3FB1" w:rsidRPr="00F13073" w:rsidRDefault="006C3FB1" w:rsidP="006F4320">
            <w:pPr>
              <w:suppressAutoHyphens/>
              <w:jc w:val="center"/>
              <w:rPr>
                <w:sz w:val="20"/>
                <w:szCs w:val="20"/>
              </w:rPr>
            </w:pPr>
            <w:r w:rsidRPr="00F13073">
              <w:rPr>
                <w:sz w:val="20"/>
                <w:szCs w:val="20"/>
              </w:rPr>
              <w:t>32 (55,2)</w:t>
            </w:r>
          </w:p>
        </w:tc>
        <w:tc>
          <w:tcPr>
            <w:tcW w:w="1613" w:type="dxa"/>
            <w:tcBorders>
              <w:top w:val="single" w:sz="4" w:space="0" w:color="auto"/>
              <w:left w:val="single" w:sz="4" w:space="0" w:color="auto"/>
            </w:tcBorders>
          </w:tcPr>
          <w:p w14:paraId="0D7DCDB9" w14:textId="77777777" w:rsidR="006C3FB1" w:rsidRPr="00F13073" w:rsidRDefault="006C3FB1" w:rsidP="006F4320">
            <w:pPr>
              <w:suppressAutoHyphens/>
              <w:jc w:val="center"/>
              <w:rPr>
                <w:sz w:val="20"/>
                <w:szCs w:val="20"/>
              </w:rPr>
            </w:pPr>
            <w:r w:rsidRPr="00F13073">
              <w:rPr>
                <w:sz w:val="20"/>
                <w:szCs w:val="20"/>
              </w:rPr>
              <w:t>13 (48,1)</w:t>
            </w:r>
          </w:p>
        </w:tc>
        <w:tc>
          <w:tcPr>
            <w:tcW w:w="1627" w:type="dxa"/>
            <w:tcBorders>
              <w:top w:val="single" w:sz="4" w:space="0" w:color="auto"/>
              <w:left w:val="single" w:sz="4" w:space="0" w:color="auto"/>
              <w:right w:val="single" w:sz="4" w:space="0" w:color="auto"/>
            </w:tcBorders>
          </w:tcPr>
          <w:p w14:paraId="2E49E2D6" w14:textId="77777777" w:rsidR="006C3FB1" w:rsidRPr="00F13073" w:rsidRDefault="006C3FB1" w:rsidP="006F4320">
            <w:pPr>
              <w:suppressAutoHyphens/>
              <w:jc w:val="center"/>
              <w:rPr>
                <w:sz w:val="20"/>
                <w:szCs w:val="20"/>
              </w:rPr>
            </w:pPr>
            <w:r w:rsidRPr="00F13073">
              <w:rPr>
                <w:sz w:val="20"/>
                <w:szCs w:val="20"/>
              </w:rPr>
              <w:t>40 (72,7)</w:t>
            </w:r>
          </w:p>
        </w:tc>
      </w:tr>
      <w:tr w:rsidR="006C3FB1" w:rsidRPr="00F13073" w14:paraId="1C53C494" w14:textId="77777777" w:rsidTr="00485B16">
        <w:trPr>
          <w:cantSplit/>
          <w:tblHeader/>
        </w:trPr>
        <w:tc>
          <w:tcPr>
            <w:tcW w:w="2304" w:type="dxa"/>
            <w:tcBorders>
              <w:top w:val="single" w:sz="4" w:space="0" w:color="auto"/>
              <w:left w:val="single" w:sz="4" w:space="0" w:color="auto"/>
              <w:bottom w:val="single" w:sz="4" w:space="0" w:color="auto"/>
            </w:tcBorders>
          </w:tcPr>
          <w:p w14:paraId="26895E6F" w14:textId="77777777" w:rsidR="006C3FB1" w:rsidRPr="00F13073" w:rsidRDefault="006C3FB1" w:rsidP="008B4C50">
            <w:pPr>
              <w:suppressAutoHyphens/>
              <w:rPr>
                <w:sz w:val="20"/>
                <w:szCs w:val="20"/>
              </w:rPr>
            </w:pPr>
            <w:r w:rsidRPr="00F13073">
              <w:rPr>
                <w:rStyle w:val="Other"/>
                <w:rFonts w:eastAsia="DengXian"/>
                <w:sz w:val="20"/>
                <w:szCs w:val="20"/>
              </w:rPr>
              <w:t>Odpowiedź ACR90 dla MIZS</w:t>
            </w:r>
          </w:p>
        </w:tc>
        <w:tc>
          <w:tcPr>
            <w:tcW w:w="1613" w:type="dxa"/>
            <w:tcBorders>
              <w:top w:val="single" w:sz="4" w:space="0" w:color="auto"/>
              <w:left w:val="single" w:sz="4" w:space="0" w:color="auto"/>
              <w:bottom w:val="single" w:sz="4" w:space="0" w:color="auto"/>
            </w:tcBorders>
          </w:tcPr>
          <w:p w14:paraId="7EF8884F" w14:textId="77777777" w:rsidR="006C3FB1" w:rsidRPr="00F13073" w:rsidRDefault="006C3FB1" w:rsidP="006F4320">
            <w:pPr>
              <w:suppressAutoHyphens/>
              <w:jc w:val="center"/>
              <w:rPr>
                <w:sz w:val="20"/>
                <w:szCs w:val="20"/>
              </w:rPr>
            </w:pPr>
            <w:r w:rsidRPr="00F13073">
              <w:rPr>
                <w:sz w:val="20"/>
                <w:szCs w:val="20"/>
              </w:rPr>
              <w:t>2 (8,7)</w:t>
            </w:r>
          </w:p>
        </w:tc>
        <w:tc>
          <w:tcPr>
            <w:tcW w:w="1613" w:type="dxa"/>
            <w:tcBorders>
              <w:top w:val="single" w:sz="4" w:space="0" w:color="auto"/>
              <w:left w:val="single" w:sz="4" w:space="0" w:color="auto"/>
              <w:bottom w:val="single" w:sz="4" w:space="0" w:color="auto"/>
            </w:tcBorders>
          </w:tcPr>
          <w:p w14:paraId="1F92438D" w14:textId="77777777" w:rsidR="006C3FB1" w:rsidRPr="00F13073" w:rsidRDefault="006C3FB1" w:rsidP="006F4320">
            <w:pPr>
              <w:suppressAutoHyphens/>
              <w:jc w:val="center"/>
              <w:rPr>
                <w:sz w:val="20"/>
                <w:szCs w:val="20"/>
              </w:rPr>
            </w:pPr>
            <w:r w:rsidRPr="00F13073">
              <w:rPr>
                <w:sz w:val="20"/>
                <w:szCs w:val="20"/>
              </w:rPr>
              <w:t>17 (29,3)</w:t>
            </w:r>
          </w:p>
        </w:tc>
        <w:tc>
          <w:tcPr>
            <w:tcW w:w="1613" w:type="dxa"/>
            <w:tcBorders>
              <w:top w:val="single" w:sz="4" w:space="0" w:color="auto"/>
              <w:left w:val="single" w:sz="4" w:space="0" w:color="auto"/>
              <w:bottom w:val="single" w:sz="4" w:space="0" w:color="auto"/>
            </w:tcBorders>
          </w:tcPr>
          <w:p w14:paraId="49362DA5" w14:textId="77777777" w:rsidR="006C3FB1" w:rsidRPr="00F13073" w:rsidRDefault="006C3FB1" w:rsidP="006F4320">
            <w:pPr>
              <w:suppressAutoHyphens/>
              <w:jc w:val="center"/>
              <w:rPr>
                <w:sz w:val="20"/>
                <w:szCs w:val="20"/>
              </w:rPr>
            </w:pPr>
            <w:r w:rsidRPr="00F13073">
              <w:rPr>
                <w:sz w:val="20"/>
                <w:szCs w:val="20"/>
              </w:rPr>
              <w:t>5 (18,5)</w:t>
            </w:r>
          </w:p>
        </w:tc>
        <w:tc>
          <w:tcPr>
            <w:tcW w:w="1627" w:type="dxa"/>
            <w:tcBorders>
              <w:top w:val="single" w:sz="4" w:space="0" w:color="auto"/>
              <w:left w:val="single" w:sz="4" w:space="0" w:color="auto"/>
              <w:bottom w:val="single" w:sz="4" w:space="0" w:color="auto"/>
              <w:right w:val="single" w:sz="4" w:space="0" w:color="auto"/>
            </w:tcBorders>
          </w:tcPr>
          <w:p w14:paraId="3E820056" w14:textId="77777777" w:rsidR="006C3FB1" w:rsidRPr="00F13073" w:rsidRDefault="006C3FB1" w:rsidP="006F4320">
            <w:pPr>
              <w:suppressAutoHyphens/>
              <w:jc w:val="center"/>
              <w:rPr>
                <w:sz w:val="20"/>
                <w:szCs w:val="20"/>
              </w:rPr>
            </w:pPr>
            <w:r w:rsidRPr="00F13073">
              <w:rPr>
                <w:sz w:val="20"/>
                <w:szCs w:val="20"/>
              </w:rPr>
              <w:t>32 (58,2)</w:t>
            </w:r>
          </w:p>
        </w:tc>
      </w:tr>
    </w:tbl>
    <w:p w14:paraId="54A9135E" w14:textId="77777777" w:rsidR="001E0975" w:rsidRPr="00F13073" w:rsidRDefault="001E0975" w:rsidP="008B4C50"/>
    <w:p w14:paraId="7558E06D" w14:textId="77777777" w:rsidR="00CD08DF" w:rsidRPr="00F13073" w:rsidRDefault="00CD08DF" w:rsidP="008B4C50">
      <w:pPr>
        <w:pStyle w:val="a4"/>
        <w:widowControl/>
        <w:spacing w:after="0"/>
        <w:rPr>
          <w:rStyle w:val="Char"/>
        </w:rPr>
      </w:pPr>
      <w:r w:rsidRPr="00F13073">
        <w:rPr>
          <w:rStyle w:val="Char"/>
        </w:rPr>
        <w:t>W grupie pacjentów leczonych tocilizumabem stwierdzono mniej zaostrzeń według kryteriów ACR30 dla MIZS oraz większe odsetki odpowiedzi w porównaniu do placebo, niezależnie od wcześniejszego stosowania leków biologicznych.</w:t>
      </w:r>
    </w:p>
    <w:p w14:paraId="6DA6A949" w14:textId="77777777" w:rsidR="00CD08DF" w:rsidRPr="00F13073" w:rsidRDefault="00CD08DF" w:rsidP="008B4C50">
      <w:pPr>
        <w:pStyle w:val="a4"/>
        <w:widowControl/>
        <w:spacing w:after="0"/>
      </w:pPr>
    </w:p>
    <w:p w14:paraId="2DB940BE" w14:textId="77777777" w:rsidR="00CD08DF" w:rsidRPr="00F13073" w:rsidRDefault="00CD08DF" w:rsidP="008B4C50">
      <w:pPr>
        <w:pStyle w:val="a4"/>
        <w:widowControl/>
        <w:spacing w:after="0"/>
      </w:pPr>
      <w:r w:rsidRPr="00F13073">
        <w:rPr>
          <w:rStyle w:val="Char"/>
          <w:u w:val="single"/>
        </w:rPr>
        <w:t>CRS</w:t>
      </w:r>
    </w:p>
    <w:p w14:paraId="36F5902A" w14:textId="3E62FA65" w:rsidR="00CD08DF" w:rsidRPr="00F13073" w:rsidRDefault="00CD08DF" w:rsidP="008B4C50">
      <w:pPr>
        <w:pStyle w:val="a4"/>
        <w:widowControl/>
        <w:spacing w:after="0"/>
        <w:rPr>
          <w:rStyle w:val="Char"/>
        </w:rPr>
      </w:pPr>
      <w:r w:rsidRPr="00F13073">
        <w:rPr>
          <w:rStyle w:val="Char"/>
        </w:rPr>
        <w:t xml:space="preserve">Skuteczność </w:t>
      </w:r>
      <w:r w:rsidR="00D6366E" w:rsidRPr="00F13073">
        <w:rPr>
          <w:rStyle w:val="Char"/>
        </w:rPr>
        <w:t xml:space="preserve">tocilizumabu </w:t>
      </w:r>
      <w:r w:rsidRPr="00F13073">
        <w:rPr>
          <w:rStyle w:val="Char"/>
        </w:rPr>
        <w:t>w leczeniu CRS była oceniana w retrospektywnej analizie danych z badań klinicznych dotyczących terapii komórkami T CAR (tisagenlecleucel i axicabtagene ciloleucel) w leczeniu złośliwych nowotworów krwi. Pacjentów, których można było poddać ocenie leczono tocilizumabem w dawce 8 mg/kg (12 mg/kg w przypadku pacjentów o masie ciała &lt; 30 kg) z dodatkową wysoką dawką kortykosteroidów lub bez wysokiej dawki kortykosteroidów ,z powodu ciężkiego lub zgrażającego życiu CRS; w analizie uwzględniono tylko pierwszy epizod CRS. Populacja włączona do oceny skuteczności w kohorcie otrzymującej tisagenlecleucel obejmowała 28 mężczyzn i 23 kobiety (łącznie 51 pacjentów), których mediana wieku wynosiła 17 lat (zakres: 3</w:t>
      </w:r>
      <w:r w:rsidR="000A4B61" w:rsidRPr="00F13073">
        <w:rPr>
          <w:rStyle w:val="Char"/>
        </w:rPr>
        <w:t>–</w:t>
      </w:r>
      <w:r w:rsidRPr="00F13073">
        <w:rPr>
          <w:rStyle w:val="Char"/>
        </w:rPr>
        <w:t>68 lat). Mediana czasu od wystąpienia CRS do pierwszej dawki tocilizumabu wynosiła 3 dni (zakres: 0</w:t>
      </w:r>
      <w:r w:rsidR="000A4B61" w:rsidRPr="00F13073">
        <w:rPr>
          <w:rStyle w:val="Char"/>
        </w:rPr>
        <w:t>–</w:t>
      </w:r>
      <w:r w:rsidRPr="00F13073">
        <w:rPr>
          <w:rStyle w:val="Char"/>
        </w:rPr>
        <w:t xml:space="preserve">18 dni). Ustąpienie CRS zdefiniowano jako brak gorączki i konieczności stosowania wazopresorów </w:t>
      </w:r>
      <w:r w:rsidRPr="00F13073">
        <w:rPr>
          <w:rStyle w:val="Char"/>
        </w:rPr>
        <w:lastRenderedPageBreak/>
        <w:t xml:space="preserve">(leków zwężających naczynia krwionośne) przez co najmniej 24 godziny. Pacjentów uznawano za osoby odpowiadające na leczenie, jeśli CRS ustąpił w ciągu 14 dni od podania pierwszej dawki tocilizumabu, jeśli potrzebne były nie więcej niż 2 dawki </w:t>
      </w:r>
      <w:r w:rsidR="00484310" w:rsidRPr="00F13073">
        <w:rPr>
          <w:rStyle w:val="Char"/>
        </w:rPr>
        <w:t>tocilizumabu</w:t>
      </w:r>
      <w:r w:rsidRPr="00F13073">
        <w:rPr>
          <w:rStyle w:val="Char"/>
        </w:rPr>
        <w:t xml:space="preserve"> oraz jeśli w leczeniu nie stosowano leków innych niż </w:t>
      </w:r>
      <w:r w:rsidR="00484310" w:rsidRPr="00F13073">
        <w:rPr>
          <w:rStyle w:val="Char"/>
        </w:rPr>
        <w:t>tocilizumab</w:t>
      </w:r>
      <w:r w:rsidRPr="00F13073">
        <w:rPr>
          <w:rStyle w:val="Char"/>
        </w:rPr>
        <w:t xml:space="preserve"> i kortykosteroidy. Trzydziestu dziewięciu pacjentów (76,5%; 95% CI: 62,5%</w:t>
      </w:r>
      <w:r w:rsidR="000A4B61" w:rsidRPr="00F13073">
        <w:rPr>
          <w:rStyle w:val="Char"/>
        </w:rPr>
        <w:t>–</w:t>
      </w:r>
      <w:r w:rsidRPr="00F13073">
        <w:rPr>
          <w:rStyle w:val="Char"/>
        </w:rPr>
        <w:t>87,2%) uzyskało odpowiedź. W niezależnej kohorcie liczącej 15 pacjentów (zakres: 9</w:t>
      </w:r>
      <w:r w:rsidR="000A4B61" w:rsidRPr="00F13073">
        <w:rPr>
          <w:rStyle w:val="Char"/>
        </w:rPr>
        <w:t>–</w:t>
      </w:r>
      <w:r w:rsidRPr="00F13073">
        <w:rPr>
          <w:rStyle w:val="Char"/>
        </w:rPr>
        <w:t>75 lat) z CRS indukowanym przez axicabtagene ciloleucel odpowiedź wystąpiła u 53% chorych.</w:t>
      </w:r>
    </w:p>
    <w:p w14:paraId="05A87E9E" w14:textId="77777777" w:rsidR="00CD08DF" w:rsidRPr="00F13073" w:rsidRDefault="00CD08DF" w:rsidP="008B4C50">
      <w:pPr>
        <w:pStyle w:val="a4"/>
        <w:widowControl/>
        <w:spacing w:after="0"/>
      </w:pPr>
    </w:p>
    <w:p w14:paraId="2C0E2155" w14:textId="30D95F1F" w:rsidR="00CD08DF" w:rsidRPr="00F13073" w:rsidRDefault="00CD08DF" w:rsidP="008B4C50">
      <w:pPr>
        <w:pStyle w:val="a4"/>
        <w:widowControl/>
        <w:spacing w:after="0"/>
        <w:rPr>
          <w:rStyle w:val="Char"/>
        </w:rPr>
      </w:pPr>
      <w:r w:rsidRPr="00F13073">
        <w:rPr>
          <w:rStyle w:val="Char"/>
        </w:rPr>
        <w:t xml:space="preserve">Europejska Agencja Leków uchyliła obowiązek składania wyników badań </w:t>
      </w:r>
      <w:r w:rsidR="006C5DAA" w:rsidRPr="00F13073">
        <w:rPr>
          <w:rStyle w:val="Char"/>
        </w:rPr>
        <w:t>tocilizumabu</w:t>
      </w:r>
      <w:r w:rsidRPr="00F13073">
        <w:rPr>
          <w:rStyle w:val="Char"/>
        </w:rPr>
        <w:t xml:space="preserve"> we wszystkich podgrupach populacji dzieci i młodzieży w leczeniu zespołu uwalniania cytokin indukowanego terapią komórkami T zawierającymi chimeryczny receptor antygenowy (ang. chimeric antigen receptor, CAR).</w:t>
      </w:r>
    </w:p>
    <w:p w14:paraId="35217A9E" w14:textId="77777777" w:rsidR="00CD08DF" w:rsidRPr="00F13073" w:rsidRDefault="00CD08DF" w:rsidP="008B4C50">
      <w:pPr>
        <w:pStyle w:val="a4"/>
        <w:widowControl/>
        <w:spacing w:after="0"/>
      </w:pPr>
    </w:p>
    <w:p w14:paraId="6069D6D7" w14:textId="77777777" w:rsidR="00CD08DF" w:rsidRPr="00F13073" w:rsidRDefault="00CD08DF" w:rsidP="008B4C50">
      <w:pPr>
        <w:pStyle w:val="a4"/>
        <w:widowControl/>
        <w:spacing w:after="0"/>
      </w:pPr>
      <w:r w:rsidRPr="00F13073">
        <w:rPr>
          <w:rStyle w:val="Char"/>
          <w:u w:val="single"/>
        </w:rPr>
        <w:t>CO</w:t>
      </w:r>
      <w:r w:rsidR="003052CE" w:rsidRPr="00F13073">
        <w:rPr>
          <w:rStyle w:val="Char"/>
          <w:u w:val="single"/>
        </w:rPr>
        <w:t>V</w:t>
      </w:r>
      <w:r w:rsidRPr="00F13073">
        <w:rPr>
          <w:rStyle w:val="Char"/>
          <w:u w:val="single"/>
        </w:rPr>
        <w:t>ID-19</w:t>
      </w:r>
    </w:p>
    <w:p w14:paraId="5763CEF8" w14:textId="3E7683BE" w:rsidR="001E0975" w:rsidRPr="00F13073" w:rsidRDefault="00CD08DF" w:rsidP="008B4C50">
      <w:r w:rsidRPr="00F13073">
        <w:rPr>
          <w:rStyle w:val="Char"/>
          <w:rFonts w:eastAsia="DengXian"/>
        </w:rPr>
        <w:t xml:space="preserve">Europejska Agencja Leków wstrzymała obowiązek dołączania wyników badań </w:t>
      </w:r>
      <w:r w:rsidR="006C5DAA" w:rsidRPr="00F13073">
        <w:rPr>
          <w:rStyle w:val="Char"/>
          <w:rFonts w:eastAsia="DengXian"/>
        </w:rPr>
        <w:t>tocilizumabu</w:t>
      </w:r>
      <w:r w:rsidRPr="00F13073">
        <w:rPr>
          <w:rStyle w:val="Char"/>
          <w:rFonts w:eastAsia="DengXian"/>
        </w:rPr>
        <w:t xml:space="preserve"> w jednej lub kilku podgrupach populacji dzieci i młodzieży w leczeniu CO</w:t>
      </w:r>
      <w:r w:rsidR="003052CE" w:rsidRPr="00F13073">
        <w:rPr>
          <w:rStyle w:val="Char"/>
          <w:rFonts w:eastAsia="DengXian"/>
        </w:rPr>
        <w:t>V</w:t>
      </w:r>
      <w:r w:rsidRPr="00F13073">
        <w:rPr>
          <w:rStyle w:val="Char"/>
          <w:rFonts w:eastAsia="DengXian"/>
        </w:rPr>
        <w:t>ID-19.</w:t>
      </w:r>
    </w:p>
    <w:p w14:paraId="2B07EA45" w14:textId="77777777" w:rsidR="00C9034C" w:rsidRPr="00F13073" w:rsidRDefault="00C9034C" w:rsidP="008B4C50"/>
    <w:p w14:paraId="69B31B4D" w14:textId="77777777" w:rsidR="001E0975" w:rsidRPr="00F13073" w:rsidRDefault="001721B1" w:rsidP="008B4C50">
      <w:pPr>
        <w:keepNext/>
        <w:ind w:left="567" w:hanging="567"/>
        <w:rPr>
          <w:b/>
          <w:bCs/>
        </w:rPr>
      </w:pPr>
      <w:r w:rsidRPr="00F13073">
        <w:rPr>
          <w:b/>
          <w:bCs/>
        </w:rPr>
        <w:t>5.2</w:t>
      </w:r>
      <w:r w:rsidRPr="00F13073">
        <w:rPr>
          <w:b/>
          <w:bCs/>
        </w:rPr>
        <w:tab/>
      </w:r>
      <w:r w:rsidR="00CD08DF" w:rsidRPr="00F13073">
        <w:rPr>
          <w:rStyle w:val="Char"/>
          <w:rFonts w:eastAsia="DengXian"/>
          <w:b/>
          <w:bCs/>
        </w:rPr>
        <w:t>Właściwości farmakokinetyczne</w:t>
      </w:r>
    </w:p>
    <w:p w14:paraId="172B48B2" w14:textId="77777777" w:rsidR="00C9034C" w:rsidRPr="00F13073" w:rsidRDefault="00C9034C" w:rsidP="00362EA0">
      <w:pPr>
        <w:keepNext/>
        <w:ind w:left="567" w:hanging="567"/>
        <w:rPr>
          <w:b/>
          <w:bCs/>
        </w:rPr>
      </w:pPr>
    </w:p>
    <w:p w14:paraId="72908178" w14:textId="77777777" w:rsidR="00CD08DF" w:rsidRPr="00F13073" w:rsidRDefault="00CD08DF" w:rsidP="00362EA0">
      <w:pPr>
        <w:pStyle w:val="a4"/>
        <w:keepNext/>
        <w:widowControl/>
        <w:spacing w:after="0"/>
        <w:rPr>
          <w:rStyle w:val="Char"/>
          <w:u w:val="single"/>
        </w:rPr>
      </w:pPr>
      <w:r w:rsidRPr="00F13073">
        <w:rPr>
          <w:rStyle w:val="Char"/>
          <w:u w:val="single"/>
        </w:rPr>
        <w:t>Podanie dożylne</w:t>
      </w:r>
    </w:p>
    <w:p w14:paraId="2CC3CA43" w14:textId="77777777" w:rsidR="00CD08DF" w:rsidRPr="00F13073" w:rsidRDefault="00CD08DF" w:rsidP="00362EA0">
      <w:pPr>
        <w:pStyle w:val="a4"/>
        <w:keepNext/>
        <w:widowControl/>
        <w:spacing w:after="0"/>
      </w:pPr>
    </w:p>
    <w:p w14:paraId="6E3334F1" w14:textId="77777777" w:rsidR="00CD08DF" w:rsidRPr="00F13073" w:rsidRDefault="00CD08DF" w:rsidP="00362EA0">
      <w:pPr>
        <w:pStyle w:val="a4"/>
        <w:keepNext/>
        <w:widowControl/>
        <w:spacing w:after="0"/>
      </w:pPr>
      <w:r w:rsidRPr="00F13073">
        <w:rPr>
          <w:rStyle w:val="Char"/>
          <w:u w:val="single"/>
        </w:rPr>
        <w:t>Chorzy na RZS</w:t>
      </w:r>
    </w:p>
    <w:p w14:paraId="3D830221" w14:textId="77777777" w:rsidR="00CD08DF" w:rsidRPr="00F13073" w:rsidRDefault="00CD08DF" w:rsidP="008B4C50">
      <w:pPr>
        <w:pStyle w:val="a4"/>
        <w:widowControl/>
        <w:spacing w:after="0"/>
        <w:rPr>
          <w:rStyle w:val="Char"/>
        </w:rPr>
      </w:pPr>
      <w:r w:rsidRPr="00F13073">
        <w:rPr>
          <w:rStyle w:val="Char"/>
        </w:rPr>
        <w:t>Właściwości farmakokinetyczne tocilizumabu określono, stosując metody analizy farmakokinetyki populacyjnej na podstawie zgromadzonych w bazie danych 3552 pacjentów z RZS, którzy otrzymywali tocilizumab w dawce 4 lub 8 mg/kg mc. w postaci trwającego godzinę wlewu dożylnego podawanego co 4 tygodnie w okresie 24 tygodni, lub w dawce 162 mg podawanej podskórnie raz na tydzień lub co drugi tydzień przez 24 tygodnie.</w:t>
      </w:r>
    </w:p>
    <w:p w14:paraId="65F57A23" w14:textId="77777777" w:rsidR="00CD08DF" w:rsidRPr="00F13073" w:rsidRDefault="00CD08DF" w:rsidP="008B4C50">
      <w:pPr>
        <w:pStyle w:val="a4"/>
        <w:widowControl/>
        <w:spacing w:after="0"/>
      </w:pPr>
    </w:p>
    <w:p w14:paraId="155B7BDD" w14:textId="41DE5133" w:rsidR="00CD08DF" w:rsidRPr="00F13073" w:rsidRDefault="00CD08DF" w:rsidP="008B4C50">
      <w:pPr>
        <w:pStyle w:val="a4"/>
        <w:widowControl/>
        <w:spacing w:after="0"/>
        <w:rPr>
          <w:rStyle w:val="Char"/>
        </w:rPr>
      </w:pPr>
      <w:r w:rsidRPr="00F13073">
        <w:rPr>
          <w:rStyle w:val="Char"/>
        </w:rPr>
        <w:t>Następujące parametry (przewidywane średnie ± odchylenie standardowe) zostały oszacowane dla dawki 8 mg/kg mc. tocilizumabu podawanego co 4 tygodnie: powierzchnia pola pod krzywą w stanie równowagi (AUC) = 38</w:t>
      </w:r>
      <w:r w:rsidR="00005C1B" w:rsidRPr="00F13073">
        <w:rPr>
          <w:rStyle w:val="Char"/>
        </w:rPr>
        <w:t> </w:t>
      </w:r>
      <w:r w:rsidRPr="00F13073">
        <w:rPr>
          <w:rStyle w:val="Char"/>
        </w:rPr>
        <w:t>000 ± 13</w:t>
      </w:r>
      <w:r w:rsidR="00005C1B" w:rsidRPr="00F13073">
        <w:rPr>
          <w:rStyle w:val="Char"/>
        </w:rPr>
        <w:t> </w:t>
      </w:r>
      <w:r w:rsidRPr="00F13073">
        <w:rPr>
          <w:rStyle w:val="Char"/>
        </w:rPr>
        <w:t>000 h μg/mL, stężenie minimalne C</w:t>
      </w:r>
      <w:r w:rsidRPr="00F13073">
        <w:rPr>
          <w:rStyle w:val="Char"/>
          <w:vertAlign w:val="subscript"/>
        </w:rPr>
        <w:t>min</w:t>
      </w:r>
      <w:r w:rsidRPr="00F13073">
        <w:rPr>
          <w:rStyle w:val="Char"/>
        </w:rPr>
        <w:t>= 15,9 ± 13,1 μg/mL i stężenie maksymalne (C</w:t>
      </w:r>
      <w:r w:rsidRPr="00F13073">
        <w:rPr>
          <w:rStyle w:val="Char"/>
          <w:vertAlign w:val="subscript"/>
        </w:rPr>
        <w:t>max</w:t>
      </w:r>
      <w:r w:rsidRPr="00F13073">
        <w:rPr>
          <w:rStyle w:val="Char"/>
        </w:rPr>
        <w:t>) = 182 ± 50,4 μg/mL, zaś współczynniki akumulacji dla AUC i C</w:t>
      </w:r>
      <w:r w:rsidRPr="00F13073">
        <w:rPr>
          <w:rStyle w:val="Char"/>
          <w:vertAlign w:val="subscript"/>
        </w:rPr>
        <w:t>max</w:t>
      </w:r>
      <w:r w:rsidRPr="00F13073">
        <w:rPr>
          <w:rStyle w:val="Char"/>
        </w:rPr>
        <w:t xml:space="preserve"> były niskie i wynosiły odpowiednio 1,32 oraz 1,09. Zgodnie z przewidywaniami opartymi na nieliniowym klirensie niższych stężeń, współczynnik akumulacji był wyższy dla C</w:t>
      </w:r>
      <w:r w:rsidRPr="00F13073">
        <w:rPr>
          <w:rStyle w:val="Char"/>
          <w:vertAlign w:val="subscript"/>
        </w:rPr>
        <w:t>min</w:t>
      </w:r>
      <w:r w:rsidRPr="00F13073">
        <w:rPr>
          <w:rStyle w:val="Char"/>
        </w:rPr>
        <w:t xml:space="preserve"> (2,49). Stan równowagi został osiągnięty po pierwszym podaniu leku dla C</w:t>
      </w:r>
      <w:r w:rsidRPr="00F13073">
        <w:rPr>
          <w:rStyle w:val="Char"/>
          <w:vertAlign w:val="subscript"/>
        </w:rPr>
        <w:t>max</w:t>
      </w:r>
      <w:r w:rsidRPr="00F13073">
        <w:rPr>
          <w:rStyle w:val="Char"/>
        </w:rPr>
        <w:t>, oraz odpowiednio po 8 i 20 tygodniach dla AUC i C</w:t>
      </w:r>
      <w:r w:rsidRPr="00F13073">
        <w:rPr>
          <w:rStyle w:val="Char"/>
          <w:vertAlign w:val="subscript"/>
        </w:rPr>
        <w:t>min</w:t>
      </w:r>
      <w:r w:rsidRPr="00F13073">
        <w:rPr>
          <w:rStyle w:val="Char"/>
        </w:rPr>
        <w:t>. Wartości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tocilizumabu zwiększały się wraz ze zwiększeniem masy ciała. Przy masie ciała ≥ 100 kg przewidywane średnie (± SD) powierzchni pola pod krzywą w stanie równowagi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dla tocilizumabu wynosiły odpowiednio: 50</w:t>
      </w:r>
      <w:r w:rsidR="00005C1B" w:rsidRPr="00F13073">
        <w:rPr>
          <w:rStyle w:val="Char"/>
        </w:rPr>
        <w:t> </w:t>
      </w:r>
      <w:r w:rsidRPr="00F13073">
        <w:rPr>
          <w:rStyle w:val="Char"/>
        </w:rPr>
        <w:t>000 ± 16</w:t>
      </w:r>
      <w:r w:rsidR="00005C1B" w:rsidRPr="00F13073">
        <w:rPr>
          <w:rStyle w:val="Char"/>
        </w:rPr>
        <w:t> </w:t>
      </w:r>
      <w:r w:rsidRPr="00F13073">
        <w:rPr>
          <w:rStyle w:val="Char"/>
        </w:rPr>
        <w:t xml:space="preserve">800 </w:t>
      </w:r>
      <w:r w:rsidR="003A4FE9" w:rsidRPr="00F13073">
        <w:t>μg•h</w:t>
      </w:r>
      <w:r w:rsidRPr="00F13073">
        <w:rPr>
          <w:rStyle w:val="Char"/>
        </w:rPr>
        <w:t>/mL, 24,4 ± 17,5</w:t>
      </w:r>
      <w:r w:rsidR="007B532A" w:rsidRPr="00F13073">
        <w:rPr>
          <w:rStyle w:val="Char"/>
        </w:rPr>
        <w:t> </w:t>
      </w:r>
      <w:r w:rsidRPr="00F13073">
        <w:rPr>
          <w:rStyle w:val="Char"/>
        </w:rPr>
        <w:t>μg/mL i 226 ± 50,3 μg/mL; były one większe od średnich wartości dla całej populacji pacjentów (tzn. każdej masy ciała) wymienionych powyżej. Krzywa odpowiedzi na leczenie w zależności od dawki tocilizumabu spłaszcza się przy większej ekspozycji. Skutkuje to mniejszym przyrostem efektywności leczenia wraz zwiększaniem się stężenia tocilizumabu. U pacjentów otrzymujących tocilizumab w dawce &gt; 800 mg nie wykazano istotnej klinicznie poprawy skuteczności leczenia. Dlatego nie zaleca się podawania tocilizumabu w dawce przekraczającej 800 mg na infuzję (patrz punkt 4.2).</w:t>
      </w:r>
    </w:p>
    <w:p w14:paraId="71AB9D61" w14:textId="77777777" w:rsidR="00CD08DF" w:rsidRPr="00F13073" w:rsidRDefault="00CD08DF" w:rsidP="008B4C50">
      <w:pPr>
        <w:pStyle w:val="a4"/>
        <w:widowControl/>
        <w:spacing w:after="0"/>
      </w:pPr>
    </w:p>
    <w:p w14:paraId="5FC1991C" w14:textId="77777777" w:rsidR="00CD08DF" w:rsidRPr="00F13073" w:rsidRDefault="00CD08DF" w:rsidP="008B4C50">
      <w:pPr>
        <w:pStyle w:val="a4"/>
        <w:widowControl/>
        <w:spacing w:after="0"/>
      </w:pPr>
      <w:r w:rsidRPr="00F13073">
        <w:rPr>
          <w:rStyle w:val="Char"/>
          <w:u w:val="single"/>
        </w:rPr>
        <w:t>Pacjenci z CO</w:t>
      </w:r>
      <w:r w:rsidR="00F21853" w:rsidRPr="00F13073">
        <w:rPr>
          <w:rStyle w:val="Char"/>
          <w:u w:val="single"/>
        </w:rPr>
        <w:t>V</w:t>
      </w:r>
      <w:r w:rsidRPr="00F13073">
        <w:rPr>
          <w:rStyle w:val="Char"/>
          <w:u w:val="single"/>
        </w:rPr>
        <w:t>ID-19</w:t>
      </w:r>
    </w:p>
    <w:p w14:paraId="211B9F37" w14:textId="636B9793" w:rsidR="00CD08DF" w:rsidRPr="00F13073" w:rsidRDefault="00CD08DF" w:rsidP="008B4C50">
      <w:pPr>
        <w:pStyle w:val="a4"/>
        <w:widowControl/>
        <w:spacing w:after="0"/>
        <w:rPr>
          <w:rStyle w:val="Char"/>
        </w:rPr>
      </w:pPr>
      <w:r w:rsidRPr="00F13073">
        <w:rPr>
          <w:rStyle w:val="Char"/>
        </w:rPr>
        <w:t>Farmakokinetykę tocilizumabu scharakteryzowano na podstawie analizy farmakokinetyki populacyjnej obejmującej bazę danych pochodzących od 380 dorosłych pacjentów z COVID-19 uczestniczących w badaniu WA42380 (COVACTA) i w badaniu CA42481 (MARIPOSA), których leczono pojedynczym wlewem tocilizumabu w dawce 8 mg/kg mc. lub dwoma wlewami podawanymi w odstępie co najmniej 8 godzin. Dla tocilizumabu w dawce 8 mg/kg mc. oszacowano następujące parametry (przewidywana średnia±SD): pole powierzchni pod krzywą w okresie 28 dni (AUC</w:t>
      </w:r>
      <w:r w:rsidRPr="00F13073">
        <w:rPr>
          <w:rStyle w:val="Char"/>
          <w:vertAlign w:val="subscript"/>
        </w:rPr>
        <w:t>0-28</w:t>
      </w:r>
      <w:r w:rsidRPr="00F13073">
        <w:rPr>
          <w:rStyle w:val="Char"/>
        </w:rPr>
        <w:t>) = 18</w:t>
      </w:r>
      <w:r w:rsidR="00005C1B" w:rsidRPr="00F13073">
        <w:rPr>
          <w:rStyle w:val="Char"/>
        </w:rPr>
        <w:t> </w:t>
      </w:r>
      <w:r w:rsidRPr="00F13073">
        <w:rPr>
          <w:rStyle w:val="Char"/>
        </w:rPr>
        <w:t>312 (5184) godzin</w:t>
      </w:r>
      <w:r w:rsidR="00541978" w:rsidRPr="00F13073">
        <w:t>•</w:t>
      </w:r>
      <w:r w:rsidRPr="00F13073">
        <w:rPr>
          <w:rStyle w:val="Char"/>
        </w:rPr>
        <w:t>μg/ml, stężenie w dniu 28. (C</w:t>
      </w:r>
      <w:r w:rsidRPr="00F13073">
        <w:rPr>
          <w:rStyle w:val="Char"/>
          <w:vertAlign w:val="subscript"/>
        </w:rPr>
        <w:t>dzień28</w:t>
      </w:r>
      <w:r w:rsidRPr="00F13073">
        <w:rPr>
          <w:rStyle w:val="Char"/>
        </w:rPr>
        <w:t>) = 0,934 (1,93) μg/ml i stężenie maksymalne (C</w:t>
      </w:r>
      <w:r w:rsidRPr="00F13073">
        <w:rPr>
          <w:rStyle w:val="Char"/>
          <w:vertAlign w:val="subscript"/>
        </w:rPr>
        <w:t>max</w:t>
      </w:r>
      <w:r w:rsidRPr="00F13073">
        <w:rPr>
          <w:rStyle w:val="Char"/>
        </w:rPr>
        <w:t>) = 154 (34,9) μg/ml. Oszacowano również AUC</w:t>
      </w:r>
      <w:r w:rsidRPr="00F13073">
        <w:rPr>
          <w:rStyle w:val="Char"/>
          <w:vertAlign w:val="subscript"/>
        </w:rPr>
        <w:t>0</w:t>
      </w:r>
      <w:r w:rsidR="00541978" w:rsidRPr="00F13073">
        <w:rPr>
          <w:rStyle w:val="Char"/>
          <w:vertAlign w:val="subscript"/>
        </w:rPr>
        <w:t>-</w:t>
      </w:r>
      <w:r w:rsidRPr="00F13073">
        <w:rPr>
          <w:rStyle w:val="Char"/>
          <w:vertAlign w:val="subscript"/>
        </w:rPr>
        <w:t>28</w:t>
      </w:r>
      <w:r w:rsidRPr="00F13073">
        <w:rPr>
          <w:rStyle w:val="Char"/>
        </w:rPr>
        <w:t>,C</w:t>
      </w:r>
      <w:r w:rsidRPr="00F13073">
        <w:rPr>
          <w:rStyle w:val="Char"/>
          <w:vertAlign w:val="subscript"/>
        </w:rPr>
        <w:t>dzień28</w:t>
      </w:r>
      <w:r w:rsidRPr="00F13073">
        <w:rPr>
          <w:rStyle w:val="Char"/>
        </w:rPr>
        <w:t xml:space="preserve"> i C</w:t>
      </w:r>
      <w:r w:rsidRPr="00F13073">
        <w:rPr>
          <w:rStyle w:val="Char"/>
          <w:vertAlign w:val="subscript"/>
        </w:rPr>
        <w:t>max</w:t>
      </w:r>
      <w:r w:rsidRPr="00F13073">
        <w:rPr>
          <w:rStyle w:val="Char"/>
        </w:rPr>
        <w:t>, po podaniu tocilizumabu w dwóch dawkach 8 mg/kg mc. w odstępach co najmniej 8 godzin (przewidywana średnia±SD): odpowiednio 42</w:t>
      </w:r>
      <w:r w:rsidR="00005C1B" w:rsidRPr="00F13073">
        <w:rPr>
          <w:rStyle w:val="Char"/>
        </w:rPr>
        <w:t> </w:t>
      </w:r>
      <w:r w:rsidRPr="00F13073">
        <w:rPr>
          <w:rStyle w:val="Char"/>
        </w:rPr>
        <w:t>240 (11</w:t>
      </w:r>
      <w:r w:rsidR="00005C1B" w:rsidRPr="00F13073">
        <w:rPr>
          <w:rStyle w:val="Char"/>
        </w:rPr>
        <w:t> </w:t>
      </w:r>
      <w:r w:rsidRPr="00F13073">
        <w:rPr>
          <w:rStyle w:val="Char"/>
        </w:rPr>
        <w:t>520) godzin</w:t>
      </w:r>
      <w:r w:rsidR="00541978" w:rsidRPr="00F13073">
        <w:t>•</w:t>
      </w:r>
      <w:r w:rsidRPr="00F13073">
        <w:rPr>
          <w:rStyle w:val="Char"/>
        </w:rPr>
        <w:t>μg/ml i 8,94 (8,5) μg/ml i 296 (64,7) μg/ml.</w:t>
      </w:r>
    </w:p>
    <w:p w14:paraId="3BB7C4DE" w14:textId="77777777" w:rsidR="00CD08DF" w:rsidRPr="00F13073" w:rsidRDefault="00CD08DF" w:rsidP="008B4C50">
      <w:pPr>
        <w:pStyle w:val="a4"/>
        <w:widowControl/>
        <w:spacing w:after="0"/>
      </w:pPr>
    </w:p>
    <w:p w14:paraId="140841DB" w14:textId="77777777" w:rsidR="00CD08DF" w:rsidRPr="00F13073" w:rsidRDefault="00CD08DF" w:rsidP="008B4C50">
      <w:pPr>
        <w:pStyle w:val="a4"/>
        <w:widowControl/>
        <w:spacing w:after="0"/>
      </w:pPr>
      <w:r w:rsidRPr="00F13073">
        <w:rPr>
          <w:rStyle w:val="Char"/>
          <w:u w:val="single"/>
        </w:rPr>
        <w:lastRenderedPageBreak/>
        <w:t>Dystrybucja</w:t>
      </w:r>
    </w:p>
    <w:p w14:paraId="1BD333CB" w14:textId="77777777" w:rsidR="00CD08DF" w:rsidRPr="00F13073" w:rsidRDefault="00CD08DF" w:rsidP="008B4C50">
      <w:pPr>
        <w:pStyle w:val="a4"/>
        <w:widowControl/>
        <w:spacing w:after="0"/>
        <w:rPr>
          <w:rStyle w:val="Char"/>
        </w:rPr>
      </w:pPr>
      <w:r w:rsidRPr="00F13073">
        <w:rPr>
          <w:rStyle w:val="Char"/>
        </w:rPr>
        <w:t>U chorych na RZS centralna objętość dystrybucji wynosiła 3,72 l, obwodowa objętość dystrybucji wynosiła 3,35 l, co w efekcie oznaczało objętość dystrybucji w stanie równowagi wynoszącą 7,07 l.</w:t>
      </w:r>
    </w:p>
    <w:p w14:paraId="1076C64B" w14:textId="77777777" w:rsidR="00CD08DF" w:rsidRPr="00F13073" w:rsidRDefault="00CD08DF" w:rsidP="008B4C50">
      <w:pPr>
        <w:pStyle w:val="a4"/>
        <w:widowControl/>
        <w:spacing w:after="0"/>
      </w:pPr>
    </w:p>
    <w:p w14:paraId="37A1F307" w14:textId="77777777" w:rsidR="00CD08DF" w:rsidRPr="00F13073" w:rsidRDefault="00CD08DF" w:rsidP="008B4C50">
      <w:pPr>
        <w:pStyle w:val="a4"/>
        <w:widowControl/>
        <w:spacing w:after="0"/>
        <w:rPr>
          <w:rStyle w:val="Char"/>
        </w:rPr>
      </w:pPr>
      <w:r w:rsidRPr="00F13073">
        <w:rPr>
          <w:rStyle w:val="Char"/>
        </w:rPr>
        <w:t>U dorosłych pacjentów z COVID-19 objętość dystrybucji w kompartmencie centralnym wyniosła 4,52</w:t>
      </w:r>
      <w:r w:rsidR="00B42CA4" w:rsidRPr="00F13073">
        <w:rPr>
          <w:rStyle w:val="Char"/>
        </w:rPr>
        <w:t> </w:t>
      </w:r>
      <w:r w:rsidRPr="00F13073">
        <w:rPr>
          <w:rStyle w:val="Char"/>
        </w:rPr>
        <w:t>l, objętość dystrybucji w kompartmencie obwodowym wyniosła 4,23 l, co spowodowało, że objętość dystrybucji wyniosła 8,75 l.</w:t>
      </w:r>
    </w:p>
    <w:p w14:paraId="5AF52DD5" w14:textId="77777777" w:rsidR="00CD08DF" w:rsidRPr="00F13073" w:rsidRDefault="00CD08DF" w:rsidP="008B4C50">
      <w:pPr>
        <w:pStyle w:val="a4"/>
        <w:widowControl/>
        <w:spacing w:after="0"/>
      </w:pPr>
    </w:p>
    <w:p w14:paraId="0AEC1980" w14:textId="77777777" w:rsidR="00CD08DF" w:rsidRPr="00F13073" w:rsidRDefault="00CD08DF" w:rsidP="008B4C50">
      <w:pPr>
        <w:pStyle w:val="a4"/>
        <w:widowControl/>
        <w:spacing w:after="0"/>
      </w:pPr>
      <w:r w:rsidRPr="00F13073">
        <w:rPr>
          <w:rStyle w:val="Char"/>
          <w:u w:val="single"/>
        </w:rPr>
        <w:t>Eliminacja</w:t>
      </w:r>
    </w:p>
    <w:p w14:paraId="1E9B042A" w14:textId="1170C8A4" w:rsidR="00CD08DF" w:rsidRPr="00F13073" w:rsidRDefault="00CD08DF" w:rsidP="00C34B9A">
      <w:pPr>
        <w:pStyle w:val="a4"/>
        <w:widowControl/>
        <w:spacing w:after="0"/>
        <w:rPr>
          <w:rStyle w:val="Char"/>
        </w:rPr>
      </w:pPr>
      <w:r w:rsidRPr="00F13073">
        <w:rPr>
          <w:rStyle w:val="Char"/>
        </w:rPr>
        <w:t>Po podaniu dożylnym tocilizumab podlega dwufazowej eliminacji z krążenia, w jednej fazie z klirensem liniowym i w jednej według zależnego od stężenia klirensu nieliniowego. U pacjentów z RZS klirens liniowy wyniósł 9,5 ml/h. U dorosłych pacjentów z COVID-19 klirens liniowy wyniósł 17,6</w:t>
      </w:r>
      <w:r w:rsidR="00C34B9A" w:rsidRPr="00F13073">
        <w:rPr>
          <w:rStyle w:val="Char"/>
        </w:rPr>
        <w:t> </w:t>
      </w:r>
      <w:r w:rsidRPr="00F13073">
        <w:rPr>
          <w:rStyle w:val="Char"/>
        </w:rPr>
        <w:t xml:space="preserve">ml/h u chorych z kategorią 3 w skali porządkowej w chwili przystąpienia do badania (3 w skali porządkowej: pacjenci wymagający tlenoterapii uzupełniającej), 22,5 ml/h u pacjentów wyjściowo z kategorią 4 w skali porządkowej (pacjenci wymagający wysokoprzepływowej tlenoterapii lub wentylacji nieinwazyjnej), 29 ml/h u pacjentów wyjściowo z kategorią 5 w skali porządkowej (pacjenci wymagający wentylacji mechanicznej) oraz 35,4 ml/h u pacjentów wyjściowo z kategorią 6 w skali porządkowej (pacjenci wymagający pozaustrojowej oksygenacji membranowej (ang. </w:t>
      </w:r>
      <w:r w:rsidRPr="00F13073">
        <w:rPr>
          <w:rStyle w:val="Char"/>
          <w:i/>
          <w:iCs/>
        </w:rPr>
        <w:t>extracorporeal membrane oxygenation</w:t>
      </w:r>
      <w:r w:rsidRPr="00F13073">
        <w:rPr>
          <w:rStyle w:val="Char"/>
        </w:rPr>
        <w:t>, ECMO) lub wentylacji mechanicznej i dodatkowego leczenia podtrzymującego pracę narządów). W przypadku niskich stężeń tocilizumabu główną rolę odgrywa zależny od stężenia klirens nieliniowy. Z chwilą, gdy dojdzie do wysycenia szlaku klirensu nieliniowego (co ma miejsce przy wyższych stężeniach tocilizumabu), klirens staje się liniowy.</w:t>
      </w:r>
    </w:p>
    <w:p w14:paraId="3BFB8FBB" w14:textId="77777777" w:rsidR="00CD08DF" w:rsidRPr="00F13073" w:rsidRDefault="00CD08DF" w:rsidP="008B4C50">
      <w:pPr>
        <w:pStyle w:val="a4"/>
        <w:widowControl/>
        <w:spacing w:after="0"/>
      </w:pPr>
    </w:p>
    <w:p w14:paraId="3CC5D5EC" w14:textId="77777777" w:rsidR="00CD08DF" w:rsidRPr="00F13073" w:rsidRDefault="00CD08DF" w:rsidP="008B4C50">
      <w:pPr>
        <w:pStyle w:val="a4"/>
        <w:widowControl/>
        <w:spacing w:after="0"/>
        <w:rPr>
          <w:rStyle w:val="Char"/>
        </w:rPr>
      </w:pPr>
      <w:r w:rsidRPr="00F13073">
        <w:rPr>
          <w:rStyle w:val="Char"/>
        </w:rPr>
        <w:t>U pacjentów z RZS okres półtrwania (t</w:t>
      </w:r>
      <w:r w:rsidRPr="00F13073">
        <w:rPr>
          <w:rStyle w:val="Char"/>
          <w:vertAlign w:val="subscript"/>
        </w:rPr>
        <w:t>1/2</w:t>
      </w:r>
      <w:r w:rsidRPr="00F13073">
        <w:rPr>
          <w:rStyle w:val="Char"/>
        </w:rPr>
        <w:t>) tocilizumabu jest zależny od stężenia. W stanie równowagi w przypadku dawki 8 mg/kg mc. podawanej co 4 tygodnie efektywny t</w:t>
      </w:r>
      <w:r w:rsidRPr="00F13073">
        <w:rPr>
          <w:rStyle w:val="Char"/>
          <w:vertAlign w:val="subscript"/>
        </w:rPr>
        <w:t>1/2</w:t>
      </w:r>
      <w:r w:rsidRPr="00F13073">
        <w:rPr>
          <w:rStyle w:val="Char"/>
          <w:sz w:val="14"/>
          <w:szCs w:val="14"/>
        </w:rPr>
        <w:t xml:space="preserve"> </w:t>
      </w:r>
      <w:r w:rsidRPr="00F13073">
        <w:rPr>
          <w:rStyle w:val="Char"/>
        </w:rPr>
        <w:t>ulega zmniejszeniu wraz z malejącymi stężeniami podczas przerwy pomiędzy kolejnymi podaniami leku i wynosi od 18 do 6 dni.</w:t>
      </w:r>
    </w:p>
    <w:p w14:paraId="0CAC822C" w14:textId="77777777" w:rsidR="00CD08DF" w:rsidRPr="00F13073" w:rsidRDefault="00CD08DF" w:rsidP="008B4C50">
      <w:pPr>
        <w:pStyle w:val="a4"/>
        <w:widowControl/>
        <w:spacing w:after="0"/>
      </w:pPr>
    </w:p>
    <w:p w14:paraId="510A97BE" w14:textId="77777777" w:rsidR="00CD08DF" w:rsidRPr="00F13073" w:rsidRDefault="00CD08DF" w:rsidP="008B4C50">
      <w:pPr>
        <w:pStyle w:val="a4"/>
        <w:widowControl/>
        <w:spacing w:after="0"/>
        <w:rPr>
          <w:rStyle w:val="Char"/>
        </w:rPr>
      </w:pPr>
      <w:r w:rsidRPr="00F13073">
        <w:rPr>
          <w:rStyle w:val="Char"/>
        </w:rPr>
        <w:t>U pacjentów z COVID-19 stężenia w surowicy mieściły się poniżej granicy oznaczalności średnio po 35 dniach od podania jednego dożylnego wlewu tocilizumabu w dawce 8 mg/kg mc.</w:t>
      </w:r>
    </w:p>
    <w:p w14:paraId="1E6C31FC" w14:textId="77777777" w:rsidR="00CD08DF" w:rsidRPr="00F13073" w:rsidRDefault="00CD08DF" w:rsidP="008B4C50">
      <w:pPr>
        <w:pStyle w:val="a4"/>
        <w:widowControl/>
        <w:spacing w:after="0"/>
      </w:pPr>
    </w:p>
    <w:p w14:paraId="37C661D8" w14:textId="77777777" w:rsidR="00CD08DF" w:rsidRPr="00F13073" w:rsidRDefault="00CD08DF" w:rsidP="008B4C50">
      <w:pPr>
        <w:pStyle w:val="a4"/>
        <w:widowControl/>
        <w:spacing w:after="0"/>
      </w:pPr>
      <w:r w:rsidRPr="00F13073">
        <w:rPr>
          <w:rStyle w:val="Char"/>
          <w:u w:val="single"/>
        </w:rPr>
        <w:t>Liniowość</w:t>
      </w:r>
    </w:p>
    <w:p w14:paraId="50A47861" w14:textId="77777777" w:rsidR="00CD08DF" w:rsidRPr="00F13073" w:rsidRDefault="00CD08DF" w:rsidP="008B4C50">
      <w:pPr>
        <w:pStyle w:val="a4"/>
        <w:widowControl/>
        <w:spacing w:after="0"/>
        <w:rPr>
          <w:rStyle w:val="Char"/>
        </w:rPr>
      </w:pPr>
      <w:r w:rsidRPr="00F13073">
        <w:rPr>
          <w:rStyle w:val="Char"/>
        </w:rPr>
        <w:t>Parametry farmakokinetyczne tocilizumabu nie zmieniały się w czasie. W przypadku dawek 4 i 8</w:t>
      </w:r>
      <w:r w:rsidR="00111C48" w:rsidRPr="00F13073">
        <w:rPr>
          <w:rStyle w:val="Char"/>
        </w:rPr>
        <w:t> </w:t>
      </w:r>
      <w:r w:rsidRPr="00F13073">
        <w:rPr>
          <w:rStyle w:val="Char"/>
        </w:rPr>
        <w:t>mg/kg mc. podawanych raz na cztery tygodnie obserwowano większe niż proporcjonalne do dawki zwiększenie powierzchni pola pod krzywą (AUC) i stężenia C</w:t>
      </w:r>
      <w:r w:rsidRPr="00F13073">
        <w:rPr>
          <w:rStyle w:val="Char"/>
          <w:vertAlign w:val="subscript"/>
        </w:rPr>
        <w:t>min</w:t>
      </w:r>
      <w:r w:rsidRPr="00F13073">
        <w:rPr>
          <w:rStyle w:val="Char"/>
        </w:rPr>
        <w:t>. Stężenie maksymalne (C</w:t>
      </w:r>
      <w:r w:rsidRPr="00F13073">
        <w:rPr>
          <w:rStyle w:val="Char"/>
          <w:vertAlign w:val="subscript"/>
        </w:rPr>
        <w:t>max</w:t>
      </w:r>
      <w:r w:rsidRPr="00F13073">
        <w:rPr>
          <w:rStyle w:val="Char"/>
        </w:rPr>
        <w:t>) rosło proporcjonalnie do dawki. W stanie równowagi przewidywane wartości AUC i C</w:t>
      </w:r>
      <w:r w:rsidRPr="00F13073">
        <w:rPr>
          <w:rStyle w:val="Char"/>
          <w:vertAlign w:val="subscript"/>
        </w:rPr>
        <w:t>min</w:t>
      </w:r>
      <w:r w:rsidRPr="00F13073">
        <w:rPr>
          <w:rStyle w:val="Char"/>
        </w:rPr>
        <w:t xml:space="preserve"> były odpowiednio 3,2 raza i 30 razy wyższe dla dawki 8 mg/kg mc. w porównaniu do dawki 4 mg/kg mc.</w:t>
      </w:r>
    </w:p>
    <w:p w14:paraId="50AB0411" w14:textId="77777777" w:rsidR="00CD08DF" w:rsidRPr="00F13073" w:rsidRDefault="00CD08DF" w:rsidP="008B4C50">
      <w:pPr>
        <w:pStyle w:val="a4"/>
        <w:widowControl/>
        <w:spacing w:after="0"/>
      </w:pPr>
    </w:p>
    <w:p w14:paraId="4BC7F06B" w14:textId="77777777" w:rsidR="00CD08DF" w:rsidRPr="00F13073" w:rsidRDefault="00CD08DF" w:rsidP="008B4C50">
      <w:pPr>
        <w:pStyle w:val="a4"/>
        <w:widowControl/>
        <w:spacing w:after="0"/>
      </w:pPr>
      <w:r w:rsidRPr="00F13073">
        <w:rPr>
          <w:rStyle w:val="Char"/>
          <w:u w:val="single"/>
        </w:rPr>
        <w:t>Szczególne grupy pacjentów</w:t>
      </w:r>
    </w:p>
    <w:p w14:paraId="505F1675" w14:textId="77777777" w:rsidR="00CD08DF" w:rsidRPr="00F13073" w:rsidRDefault="00CD08DF" w:rsidP="008B4C50">
      <w:pPr>
        <w:pStyle w:val="a4"/>
        <w:widowControl/>
        <w:spacing w:after="0"/>
        <w:rPr>
          <w:rStyle w:val="Char"/>
        </w:rPr>
      </w:pPr>
      <w:r w:rsidRPr="00F13073">
        <w:rPr>
          <w:rStyle w:val="Char"/>
          <w:i/>
          <w:iCs/>
        </w:rPr>
        <w:t>Osoby z niewydolnością nerek</w:t>
      </w:r>
      <w:r w:rsidRPr="00F13073">
        <w:rPr>
          <w:rStyle w:val="Char"/>
        </w:rPr>
        <w:t>: Nie przeprowadzono żadnych formalnych badań nad wpływem zaburzonej czynności nerek na farmakokinetykę tocilizumabu. U większości pacjentów objętych analizą farmakokinetyki populacyjnej czynność nerek była prawidłowa lub nieznacznie zaburzona. Łagodne zaburzenia czynności nerek (klirens kreatyniny wyliczony z równania Cockrofta-Gaulta &lt;80</w:t>
      </w:r>
      <w:r w:rsidR="002F71B2" w:rsidRPr="00F13073">
        <w:rPr>
          <w:rStyle w:val="Char"/>
        </w:rPr>
        <w:t> </w:t>
      </w:r>
      <w:r w:rsidRPr="00F13073">
        <w:rPr>
          <w:rStyle w:val="Char"/>
        </w:rPr>
        <w:t>mL/min i ≥ 50 mL/min) nie powodowały zmian w farmakokinetyce tocilizumabu.</w:t>
      </w:r>
    </w:p>
    <w:p w14:paraId="6AED5B52" w14:textId="77777777" w:rsidR="00CD08DF" w:rsidRPr="00F13073" w:rsidRDefault="00CD08DF" w:rsidP="008B4C50">
      <w:pPr>
        <w:pStyle w:val="a4"/>
        <w:widowControl/>
        <w:spacing w:after="0"/>
      </w:pPr>
    </w:p>
    <w:p w14:paraId="2ED54A4F" w14:textId="77777777" w:rsidR="00CD08DF" w:rsidRPr="00F13073" w:rsidRDefault="00CD08DF" w:rsidP="008B4C50">
      <w:pPr>
        <w:pStyle w:val="a4"/>
        <w:widowControl/>
        <w:spacing w:after="0"/>
        <w:rPr>
          <w:rStyle w:val="Char"/>
        </w:rPr>
      </w:pPr>
      <w:r w:rsidRPr="00F13073">
        <w:rPr>
          <w:rStyle w:val="Char"/>
          <w:i/>
          <w:iCs/>
        </w:rPr>
        <w:t>Osoby z niewydolnością wątroby</w:t>
      </w:r>
      <w:r w:rsidRPr="00F13073">
        <w:rPr>
          <w:rStyle w:val="Char"/>
        </w:rPr>
        <w:t>: Nie przeprowadzono żadnych formalnych badań nad wpływem zaburzonej czynności wątroby na farmakokinetykę tocilizumabu.</w:t>
      </w:r>
    </w:p>
    <w:p w14:paraId="4790735E" w14:textId="77777777" w:rsidR="00CD08DF" w:rsidRPr="00F13073" w:rsidRDefault="00CD08DF" w:rsidP="008B4C50">
      <w:pPr>
        <w:pStyle w:val="a4"/>
        <w:widowControl/>
        <w:spacing w:after="0"/>
      </w:pPr>
    </w:p>
    <w:p w14:paraId="0BA6BF9C" w14:textId="77777777" w:rsidR="00CD08DF" w:rsidRPr="00F13073" w:rsidRDefault="00CD08DF" w:rsidP="008B4C50">
      <w:pPr>
        <w:pStyle w:val="a4"/>
        <w:widowControl/>
        <w:spacing w:after="0"/>
        <w:rPr>
          <w:rStyle w:val="Char"/>
        </w:rPr>
      </w:pPr>
      <w:r w:rsidRPr="00F13073">
        <w:rPr>
          <w:rStyle w:val="Char"/>
          <w:i/>
          <w:iCs/>
        </w:rPr>
        <w:t>Wiek, płeć i rasa:</w:t>
      </w:r>
      <w:r w:rsidRPr="00F13073">
        <w:rPr>
          <w:rStyle w:val="Char"/>
        </w:rPr>
        <w:t xml:space="preserve"> Analiza farmakokinetyki populacyjnej wykazała, że u dorosłych chorych na RZS i COVID-19 czynniki takie jak wiek, płeć i rasa nie miały wpływu na farmakokinetykę tocilizumabu.</w:t>
      </w:r>
    </w:p>
    <w:p w14:paraId="17116AB6" w14:textId="77777777" w:rsidR="00CD08DF" w:rsidRPr="00F13073" w:rsidRDefault="00CD08DF" w:rsidP="008B4C50">
      <w:pPr>
        <w:pStyle w:val="a4"/>
        <w:widowControl/>
        <w:spacing w:after="0"/>
      </w:pPr>
    </w:p>
    <w:p w14:paraId="123793F3" w14:textId="77777777" w:rsidR="00CD08DF" w:rsidRPr="00F13073" w:rsidRDefault="00CD08DF" w:rsidP="008B4C50">
      <w:pPr>
        <w:pStyle w:val="a4"/>
        <w:widowControl/>
        <w:spacing w:after="0"/>
        <w:rPr>
          <w:rStyle w:val="Char"/>
        </w:rPr>
      </w:pPr>
      <w:r w:rsidRPr="00F13073">
        <w:rPr>
          <w:rStyle w:val="Char"/>
        </w:rPr>
        <w:t>Wyniki analizy farmakokinetyki populacyjnej przeprowadzonej u pacjentów z COVID-19 potwierdziły, że zarówno masa ciała, jak i nasilenie choroby są zmiennymi towarzyszącymi wywierającymi znaczny wpływ na liniowy klirens tocilizumabu.</w:t>
      </w:r>
    </w:p>
    <w:p w14:paraId="79337DDB" w14:textId="77777777" w:rsidR="00CD08DF" w:rsidRPr="00F13073" w:rsidRDefault="00CD08DF" w:rsidP="008B4C50">
      <w:pPr>
        <w:pStyle w:val="a4"/>
        <w:widowControl/>
        <w:spacing w:after="0"/>
      </w:pPr>
    </w:p>
    <w:p w14:paraId="47703DAF" w14:textId="77777777" w:rsidR="00CD08DF" w:rsidRPr="00F13073" w:rsidRDefault="00CD08DF" w:rsidP="008B4C50">
      <w:pPr>
        <w:pStyle w:val="a4"/>
        <w:widowControl/>
        <w:spacing w:after="0"/>
      </w:pPr>
      <w:r w:rsidRPr="00F13073">
        <w:rPr>
          <w:rStyle w:val="Char"/>
          <w:i/>
          <w:iCs/>
        </w:rPr>
        <w:t>Chorzy na uMIZS</w:t>
      </w:r>
    </w:p>
    <w:p w14:paraId="37FB379E" w14:textId="77777777" w:rsidR="00CD08DF" w:rsidRPr="00F13073" w:rsidRDefault="00CD08DF" w:rsidP="008B4C50">
      <w:pPr>
        <w:pStyle w:val="a4"/>
        <w:widowControl/>
        <w:spacing w:after="0"/>
      </w:pPr>
      <w:r w:rsidRPr="00F13073">
        <w:rPr>
          <w:rStyle w:val="Char"/>
        </w:rPr>
        <w:t xml:space="preserve">Farmakokinetyka tocilizumabu była określana na podstawie populacyjnej analizy farmakokinetyki z wykorzystaniem bazy danych od 140 chorych na uMIZS leczonych dawką 8 mg/kg mc. podawaną </w:t>
      </w:r>
      <w:r w:rsidRPr="00F13073">
        <w:rPr>
          <w:rStyle w:val="Char"/>
        </w:rPr>
        <w:lastRenderedPageBreak/>
        <w:t>dożylnie co 2 tygodnie (pacjenci o masie ciała ≥ 30 kg), dawką 12 mg/kg mc. dożylnie podawaną co 2 tygodnie (pacjenci o masie ciała &lt; 30 kg), dawką 162 mg podawaną podskórnie co tydzień (pacjenci o masie ciała ≥ 30 kg), dawką 162 mg podawaną podskórnie co 10 dni lub co 2 tygodnie (pacjenci o masie ciała poniżej 30 kg).</w:t>
      </w:r>
    </w:p>
    <w:p w14:paraId="3B918875" w14:textId="77777777" w:rsidR="00C9034C" w:rsidRPr="00F13073" w:rsidRDefault="00C9034C" w:rsidP="008B4C50"/>
    <w:p w14:paraId="592CC519" w14:textId="77777777" w:rsidR="001E0975" w:rsidRPr="00F13073" w:rsidRDefault="00611033" w:rsidP="008B4C50">
      <w:pPr>
        <w:keepNext/>
        <w:ind w:left="1134" w:hanging="1134"/>
        <w:rPr>
          <w:i/>
          <w:iCs/>
        </w:rPr>
      </w:pPr>
      <w:r w:rsidRPr="00F13073">
        <w:rPr>
          <w:i/>
          <w:iCs/>
        </w:rPr>
        <w:t>Tab</w:t>
      </w:r>
      <w:r w:rsidR="002012EB" w:rsidRPr="00F13073">
        <w:rPr>
          <w:i/>
          <w:iCs/>
        </w:rPr>
        <w:t>e</w:t>
      </w:r>
      <w:r w:rsidRPr="00F13073">
        <w:rPr>
          <w:i/>
          <w:iCs/>
        </w:rPr>
        <w:t>l</w:t>
      </w:r>
      <w:r w:rsidR="00CD08DF" w:rsidRPr="00F13073">
        <w:rPr>
          <w:i/>
          <w:iCs/>
        </w:rPr>
        <w:t>a</w:t>
      </w:r>
      <w:r w:rsidRPr="00F13073">
        <w:rPr>
          <w:i/>
          <w:iCs/>
        </w:rPr>
        <w:t xml:space="preserve"> 11.</w:t>
      </w:r>
      <w:r w:rsidR="00F70B5D" w:rsidRPr="00F13073">
        <w:rPr>
          <w:i/>
          <w:iCs/>
        </w:rPr>
        <w:tab/>
      </w:r>
      <w:r w:rsidR="00CD08DF" w:rsidRPr="00F13073">
        <w:rPr>
          <w:rStyle w:val="Char"/>
          <w:rFonts w:eastAsia="DengXian"/>
          <w:i/>
          <w:iCs/>
        </w:rPr>
        <w:t>Przewidywana średnia wartość ± SD parametrów farmakokinetycznych w stanie stacjonarnym po dożylnym podaniu leku pacjentom z uMIZS</w:t>
      </w:r>
    </w:p>
    <w:p w14:paraId="25922CB2" w14:textId="77777777" w:rsidR="00F70B5D" w:rsidRPr="00F13073" w:rsidRDefault="00F70B5D"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835"/>
        <w:gridCol w:w="2899"/>
        <w:gridCol w:w="3070"/>
      </w:tblGrid>
      <w:tr w:rsidR="007D1E3C" w:rsidRPr="00F13073" w14:paraId="644B5CC3" w14:textId="77777777" w:rsidTr="00660704">
        <w:trPr>
          <w:cantSplit/>
          <w:tblHeader/>
        </w:trPr>
        <w:tc>
          <w:tcPr>
            <w:tcW w:w="2835" w:type="dxa"/>
            <w:tcBorders>
              <w:top w:val="single" w:sz="4" w:space="0" w:color="auto"/>
              <w:left w:val="single" w:sz="4" w:space="0" w:color="auto"/>
              <w:bottom w:val="single" w:sz="4" w:space="0" w:color="auto"/>
            </w:tcBorders>
          </w:tcPr>
          <w:p w14:paraId="73C96F9E" w14:textId="5F0178E8" w:rsidR="007D1E3C" w:rsidRPr="00F13073" w:rsidRDefault="007D1E3C" w:rsidP="008B4C50">
            <w:pPr>
              <w:keepNext/>
              <w:suppressAutoHyphens/>
              <w:rPr>
                <w:b/>
                <w:bCs/>
                <w:sz w:val="20"/>
                <w:szCs w:val="20"/>
              </w:rPr>
            </w:pPr>
            <w:r w:rsidRPr="00F13073">
              <w:rPr>
                <w:rStyle w:val="Other"/>
                <w:rFonts w:eastAsia="DengXian"/>
                <w:b/>
                <w:bCs/>
                <w:sz w:val="20"/>
                <w:szCs w:val="20"/>
              </w:rPr>
              <w:t xml:space="preserve">Parametr farmakokinetyczny </w:t>
            </w:r>
            <w:r w:rsidR="00005C1B" w:rsidRPr="00F13073">
              <w:rPr>
                <w:rStyle w:val="Other"/>
                <w:rFonts w:eastAsia="DengXian"/>
                <w:b/>
                <w:bCs/>
                <w:sz w:val="20"/>
                <w:szCs w:val="20"/>
              </w:rPr>
              <w:t>tocilizumabu</w:t>
            </w:r>
          </w:p>
        </w:tc>
        <w:tc>
          <w:tcPr>
            <w:tcW w:w="2899" w:type="dxa"/>
            <w:tcBorders>
              <w:top w:val="single" w:sz="4" w:space="0" w:color="auto"/>
              <w:left w:val="single" w:sz="4" w:space="0" w:color="auto"/>
              <w:bottom w:val="single" w:sz="4" w:space="0" w:color="auto"/>
            </w:tcBorders>
          </w:tcPr>
          <w:p w14:paraId="11CC0121" w14:textId="77777777" w:rsidR="007D1E3C" w:rsidRPr="00F13073" w:rsidRDefault="007D1E3C" w:rsidP="00567109">
            <w:pPr>
              <w:keepNext/>
              <w:suppressAutoHyphens/>
              <w:jc w:val="center"/>
              <w:rPr>
                <w:b/>
                <w:bCs/>
                <w:sz w:val="20"/>
                <w:szCs w:val="20"/>
              </w:rPr>
            </w:pPr>
            <w:r w:rsidRPr="00F13073">
              <w:rPr>
                <w:rStyle w:val="Other"/>
                <w:rFonts w:eastAsia="DengXian"/>
                <w:b/>
                <w:bCs/>
                <w:sz w:val="20"/>
                <w:szCs w:val="20"/>
              </w:rPr>
              <w:t>8 mg/kg mc. Q2W ≥ 30 kg</w:t>
            </w:r>
          </w:p>
        </w:tc>
        <w:tc>
          <w:tcPr>
            <w:tcW w:w="3070" w:type="dxa"/>
            <w:tcBorders>
              <w:top w:val="single" w:sz="4" w:space="0" w:color="auto"/>
              <w:left w:val="single" w:sz="4" w:space="0" w:color="auto"/>
              <w:bottom w:val="single" w:sz="4" w:space="0" w:color="auto"/>
              <w:right w:val="single" w:sz="4" w:space="0" w:color="auto"/>
            </w:tcBorders>
          </w:tcPr>
          <w:p w14:paraId="5A5404DC" w14:textId="77777777" w:rsidR="007D1E3C" w:rsidRPr="00F13073" w:rsidRDefault="007D1E3C" w:rsidP="00567109">
            <w:pPr>
              <w:keepNext/>
              <w:suppressAutoHyphens/>
              <w:jc w:val="center"/>
              <w:rPr>
                <w:b/>
                <w:bCs/>
                <w:sz w:val="20"/>
                <w:szCs w:val="20"/>
              </w:rPr>
            </w:pPr>
            <w:r w:rsidRPr="00F13073">
              <w:rPr>
                <w:rStyle w:val="Other"/>
                <w:rFonts w:eastAsia="DengXian"/>
                <w:b/>
                <w:bCs/>
                <w:sz w:val="20"/>
                <w:szCs w:val="20"/>
              </w:rPr>
              <w:t>12 mg/kg mc. Q2W poniżej 30 kg</w:t>
            </w:r>
          </w:p>
        </w:tc>
      </w:tr>
      <w:tr w:rsidR="001E0975" w:rsidRPr="00F13073" w14:paraId="1F9BFE2E" w14:textId="77777777" w:rsidTr="00660704">
        <w:trPr>
          <w:cantSplit/>
          <w:tblHeader/>
        </w:trPr>
        <w:tc>
          <w:tcPr>
            <w:tcW w:w="2835" w:type="dxa"/>
            <w:tcBorders>
              <w:top w:val="single" w:sz="4" w:space="0" w:color="auto"/>
              <w:left w:val="single" w:sz="4" w:space="0" w:color="auto"/>
              <w:bottom w:val="single" w:sz="4" w:space="0" w:color="auto"/>
            </w:tcBorders>
          </w:tcPr>
          <w:p w14:paraId="3A3293CF" w14:textId="77777777" w:rsidR="001E0975" w:rsidRPr="00F13073" w:rsidRDefault="00611033"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899" w:type="dxa"/>
            <w:tcBorders>
              <w:top w:val="single" w:sz="4" w:space="0" w:color="auto"/>
              <w:left w:val="single" w:sz="4" w:space="0" w:color="auto"/>
              <w:bottom w:val="single" w:sz="4" w:space="0" w:color="auto"/>
            </w:tcBorders>
          </w:tcPr>
          <w:p w14:paraId="415D466A" w14:textId="77777777" w:rsidR="001E0975" w:rsidRPr="00F13073" w:rsidRDefault="00611033" w:rsidP="00567109">
            <w:pPr>
              <w:suppressAutoHyphens/>
              <w:jc w:val="center"/>
              <w:rPr>
                <w:sz w:val="20"/>
                <w:szCs w:val="20"/>
              </w:rPr>
            </w:pPr>
            <w:r w:rsidRPr="00F13073">
              <w:rPr>
                <w:sz w:val="20"/>
                <w:szCs w:val="20"/>
              </w:rPr>
              <w:t>256 ± 60</w:t>
            </w:r>
            <w:r w:rsidR="007D1E3C" w:rsidRPr="00F13073">
              <w:rPr>
                <w:sz w:val="20"/>
                <w:szCs w:val="20"/>
              </w:rPr>
              <w:t>,</w:t>
            </w:r>
            <w:r w:rsidRPr="00F13073">
              <w:rPr>
                <w:sz w:val="20"/>
                <w:szCs w:val="20"/>
              </w:rPr>
              <w:t>8</w:t>
            </w:r>
          </w:p>
        </w:tc>
        <w:tc>
          <w:tcPr>
            <w:tcW w:w="3070" w:type="dxa"/>
            <w:tcBorders>
              <w:top w:val="single" w:sz="4" w:space="0" w:color="auto"/>
              <w:left w:val="single" w:sz="4" w:space="0" w:color="auto"/>
              <w:bottom w:val="single" w:sz="4" w:space="0" w:color="auto"/>
              <w:right w:val="single" w:sz="4" w:space="0" w:color="auto"/>
            </w:tcBorders>
          </w:tcPr>
          <w:p w14:paraId="32631EA9" w14:textId="77777777" w:rsidR="001E0975" w:rsidRPr="00F13073" w:rsidRDefault="00611033" w:rsidP="00567109">
            <w:pPr>
              <w:suppressAutoHyphens/>
              <w:jc w:val="center"/>
              <w:rPr>
                <w:sz w:val="20"/>
                <w:szCs w:val="20"/>
              </w:rPr>
            </w:pPr>
            <w:r w:rsidRPr="00F13073">
              <w:rPr>
                <w:sz w:val="20"/>
                <w:szCs w:val="20"/>
              </w:rPr>
              <w:t>274 ± 63</w:t>
            </w:r>
            <w:r w:rsidR="00EA2BC0" w:rsidRPr="00F13073">
              <w:rPr>
                <w:sz w:val="20"/>
                <w:szCs w:val="20"/>
              </w:rPr>
              <w:t>,</w:t>
            </w:r>
            <w:r w:rsidRPr="00F13073">
              <w:rPr>
                <w:sz w:val="20"/>
                <w:szCs w:val="20"/>
              </w:rPr>
              <w:t>8</w:t>
            </w:r>
          </w:p>
        </w:tc>
      </w:tr>
      <w:tr w:rsidR="001E0975" w:rsidRPr="00F13073" w14:paraId="1970BFFF" w14:textId="77777777" w:rsidTr="00660704">
        <w:trPr>
          <w:cantSplit/>
          <w:tblHeader/>
        </w:trPr>
        <w:tc>
          <w:tcPr>
            <w:tcW w:w="2835" w:type="dxa"/>
            <w:tcBorders>
              <w:top w:val="single" w:sz="4" w:space="0" w:color="auto"/>
              <w:left w:val="single" w:sz="4" w:space="0" w:color="auto"/>
              <w:bottom w:val="single" w:sz="4" w:space="0" w:color="auto"/>
            </w:tcBorders>
          </w:tcPr>
          <w:p w14:paraId="3E72FACF" w14:textId="77777777" w:rsidR="001E0975" w:rsidRPr="00F13073" w:rsidRDefault="00611033" w:rsidP="008B4C50">
            <w:pPr>
              <w:suppressAutoHyphens/>
              <w:rPr>
                <w:sz w:val="20"/>
                <w:szCs w:val="20"/>
              </w:rPr>
            </w:pPr>
            <w:r w:rsidRPr="00F13073">
              <w:rPr>
                <w:sz w:val="20"/>
                <w:szCs w:val="20"/>
              </w:rPr>
              <w:t>C</w:t>
            </w:r>
            <w:r w:rsidR="007D1E3C" w:rsidRPr="00F13073">
              <w:rPr>
                <w:sz w:val="20"/>
                <w:szCs w:val="20"/>
                <w:vertAlign w:val="subscript"/>
              </w:rPr>
              <w:t>min</w:t>
            </w:r>
            <w:r w:rsidRPr="00F13073">
              <w:rPr>
                <w:sz w:val="20"/>
                <w:szCs w:val="20"/>
              </w:rPr>
              <w:t xml:space="preserve"> (µg/mL)</w:t>
            </w:r>
          </w:p>
        </w:tc>
        <w:tc>
          <w:tcPr>
            <w:tcW w:w="2899" w:type="dxa"/>
            <w:tcBorders>
              <w:top w:val="single" w:sz="4" w:space="0" w:color="auto"/>
              <w:left w:val="single" w:sz="4" w:space="0" w:color="auto"/>
              <w:bottom w:val="single" w:sz="4" w:space="0" w:color="auto"/>
            </w:tcBorders>
          </w:tcPr>
          <w:p w14:paraId="5C0CB7B5" w14:textId="77777777" w:rsidR="001E0975" w:rsidRPr="00F13073" w:rsidRDefault="00611033" w:rsidP="00567109">
            <w:pPr>
              <w:suppressAutoHyphens/>
              <w:jc w:val="center"/>
              <w:rPr>
                <w:sz w:val="20"/>
                <w:szCs w:val="20"/>
              </w:rPr>
            </w:pPr>
            <w:r w:rsidRPr="00F13073">
              <w:rPr>
                <w:sz w:val="20"/>
                <w:szCs w:val="20"/>
              </w:rPr>
              <w:t>69</w:t>
            </w:r>
            <w:r w:rsidR="007D1E3C" w:rsidRPr="00F13073">
              <w:rPr>
                <w:sz w:val="20"/>
                <w:szCs w:val="20"/>
              </w:rPr>
              <w:t>,</w:t>
            </w:r>
            <w:r w:rsidRPr="00F13073">
              <w:rPr>
                <w:sz w:val="20"/>
                <w:szCs w:val="20"/>
              </w:rPr>
              <w:t>7 ± 29</w:t>
            </w:r>
            <w:r w:rsidR="007D1E3C" w:rsidRPr="00F13073">
              <w:rPr>
                <w:sz w:val="20"/>
                <w:szCs w:val="20"/>
              </w:rPr>
              <w:t>,</w:t>
            </w:r>
            <w:r w:rsidRPr="00F13073">
              <w:rPr>
                <w:sz w:val="20"/>
                <w:szCs w:val="20"/>
              </w:rPr>
              <w:t>1</w:t>
            </w:r>
          </w:p>
        </w:tc>
        <w:tc>
          <w:tcPr>
            <w:tcW w:w="3070" w:type="dxa"/>
            <w:tcBorders>
              <w:top w:val="single" w:sz="4" w:space="0" w:color="auto"/>
              <w:left w:val="single" w:sz="4" w:space="0" w:color="auto"/>
              <w:bottom w:val="single" w:sz="4" w:space="0" w:color="auto"/>
              <w:right w:val="single" w:sz="4" w:space="0" w:color="auto"/>
            </w:tcBorders>
          </w:tcPr>
          <w:p w14:paraId="6EF072CB" w14:textId="77777777" w:rsidR="001E0975" w:rsidRPr="00F13073" w:rsidRDefault="00611033" w:rsidP="00567109">
            <w:pPr>
              <w:suppressAutoHyphens/>
              <w:jc w:val="center"/>
              <w:rPr>
                <w:sz w:val="20"/>
                <w:szCs w:val="20"/>
              </w:rPr>
            </w:pPr>
            <w:r w:rsidRPr="00F13073">
              <w:rPr>
                <w:sz w:val="20"/>
                <w:szCs w:val="20"/>
              </w:rPr>
              <w:t>68</w:t>
            </w:r>
            <w:r w:rsidR="00EA2BC0" w:rsidRPr="00F13073">
              <w:rPr>
                <w:sz w:val="20"/>
                <w:szCs w:val="20"/>
              </w:rPr>
              <w:t>,</w:t>
            </w:r>
            <w:r w:rsidRPr="00F13073">
              <w:rPr>
                <w:sz w:val="20"/>
                <w:szCs w:val="20"/>
              </w:rPr>
              <w:t>4 ± 30</w:t>
            </w:r>
            <w:r w:rsidR="00EA2BC0" w:rsidRPr="00F13073">
              <w:rPr>
                <w:sz w:val="20"/>
                <w:szCs w:val="20"/>
              </w:rPr>
              <w:t>,</w:t>
            </w:r>
            <w:r w:rsidRPr="00F13073">
              <w:rPr>
                <w:sz w:val="20"/>
                <w:szCs w:val="20"/>
              </w:rPr>
              <w:t>0</w:t>
            </w:r>
          </w:p>
        </w:tc>
      </w:tr>
      <w:tr w:rsidR="001E0975" w:rsidRPr="00F13073" w14:paraId="3BE9E060" w14:textId="77777777" w:rsidTr="00660704">
        <w:trPr>
          <w:cantSplit/>
          <w:tblHeader/>
        </w:trPr>
        <w:tc>
          <w:tcPr>
            <w:tcW w:w="2835" w:type="dxa"/>
            <w:tcBorders>
              <w:top w:val="single" w:sz="4" w:space="0" w:color="auto"/>
              <w:left w:val="single" w:sz="4" w:space="0" w:color="auto"/>
              <w:bottom w:val="single" w:sz="4" w:space="0" w:color="auto"/>
            </w:tcBorders>
          </w:tcPr>
          <w:p w14:paraId="158262FF" w14:textId="77777777" w:rsidR="001E0975" w:rsidRPr="00F13073" w:rsidRDefault="00611033" w:rsidP="008B4C50">
            <w:pPr>
              <w:suppressAutoHyphens/>
              <w:rPr>
                <w:sz w:val="20"/>
                <w:szCs w:val="20"/>
              </w:rPr>
            </w:pPr>
            <w:r w:rsidRPr="00F13073">
              <w:rPr>
                <w:sz w:val="20"/>
                <w:szCs w:val="20"/>
              </w:rPr>
              <w:t>C</w:t>
            </w:r>
            <w:r w:rsidR="007D1E3C" w:rsidRPr="00F13073">
              <w:rPr>
                <w:sz w:val="20"/>
                <w:szCs w:val="20"/>
                <w:vertAlign w:val="subscript"/>
              </w:rPr>
              <w:t>średnie</w:t>
            </w:r>
            <w:r w:rsidRPr="00F13073">
              <w:rPr>
                <w:sz w:val="20"/>
                <w:szCs w:val="20"/>
              </w:rPr>
              <w:t xml:space="preserve"> (µg/mL)</w:t>
            </w:r>
          </w:p>
        </w:tc>
        <w:tc>
          <w:tcPr>
            <w:tcW w:w="2899" w:type="dxa"/>
            <w:tcBorders>
              <w:top w:val="single" w:sz="4" w:space="0" w:color="auto"/>
              <w:left w:val="single" w:sz="4" w:space="0" w:color="auto"/>
              <w:bottom w:val="single" w:sz="4" w:space="0" w:color="auto"/>
            </w:tcBorders>
          </w:tcPr>
          <w:p w14:paraId="461C7D72" w14:textId="77777777" w:rsidR="001E0975" w:rsidRPr="00F13073" w:rsidRDefault="00611033" w:rsidP="00567109">
            <w:pPr>
              <w:suppressAutoHyphens/>
              <w:jc w:val="center"/>
              <w:rPr>
                <w:sz w:val="20"/>
                <w:szCs w:val="20"/>
              </w:rPr>
            </w:pPr>
            <w:r w:rsidRPr="00F13073">
              <w:rPr>
                <w:sz w:val="20"/>
                <w:szCs w:val="20"/>
              </w:rPr>
              <w:t>119 ± 36</w:t>
            </w:r>
            <w:r w:rsidR="007D1E3C" w:rsidRPr="00F13073">
              <w:rPr>
                <w:sz w:val="20"/>
                <w:szCs w:val="20"/>
              </w:rPr>
              <w:t>,</w:t>
            </w:r>
            <w:r w:rsidRPr="00F13073">
              <w:rPr>
                <w:sz w:val="20"/>
                <w:szCs w:val="20"/>
              </w:rPr>
              <w:t>0</w:t>
            </w:r>
          </w:p>
        </w:tc>
        <w:tc>
          <w:tcPr>
            <w:tcW w:w="3070" w:type="dxa"/>
            <w:tcBorders>
              <w:top w:val="single" w:sz="4" w:space="0" w:color="auto"/>
              <w:left w:val="single" w:sz="4" w:space="0" w:color="auto"/>
              <w:bottom w:val="single" w:sz="4" w:space="0" w:color="auto"/>
              <w:right w:val="single" w:sz="4" w:space="0" w:color="auto"/>
            </w:tcBorders>
          </w:tcPr>
          <w:p w14:paraId="4E0549B7" w14:textId="77777777" w:rsidR="001E0975" w:rsidRPr="00F13073" w:rsidRDefault="00611033" w:rsidP="00567109">
            <w:pPr>
              <w:suppressAutoHyphens/>
              <w:jc w:val="center"/>
              <w:rPr>
                <w:sz w:val="20"/>
                <w:szCs w:val="20"/>
              </w:rPr>
            </w:pPr>
            <w:r w:rsidRPr="00F13073">
              <w:rPr>
                <w:sz w:val="20"/>
                <w:szCs w:val="20"/>
              </w:rPr>
              <w:t>123 ± 36</w:t>
            </w:r>
            <w:r w:rsidR="00EA2BC0" w:rsidRPr="00F13073">
              <w:rPr>
                <w:sz w:val="20"/>
                <w:szCs w:val="20"/>
              </w:rPr>
              <w:t>,</w:t>
            </w:r>
            <w:r w:rsidRPr="00F13073">
              <w:rPr>
                <w:sz w:val="20"/>
                <w:szCs w:val="20"/>
              </w:rPr>
              <w:t>0</w:t>
            </w:r>
          </w:p>
        </w:tc>
      </w:tr>
      <w:tr w:rsidR="001E0975" w:rsidRPr="00F13073" w14:paraId="24CDB155" w14:textId="77777777" w:rsidTr="00660704">
        <w:trPr>
          <w:cantSplit/>
          <w:tblHeader/>
        </w:trPr>
        <w:tc>
          <w:tcPr>
            <w:tcW w:w="2835" w:type="dxa"/>
            <w:tcBorders>
              <w:top w:val="single" w:sz="4" w:space="0" w:color="auto"/>
              <w:left w:val="single" w:sz="4" w:space="0" w:color="auto"/>
              <w:bottom w:val="single" w:sz="4" w:space="0" w:color="auto"/>
            </w:tcBorders>
          </w:tcPr>
          <w:p w14:paraId="16519620" w14:textId="77777777" w:rsidR="001E0975" w:rsidRPr="00F13073" w:rsidRDefault="007D1E3C" w:rsidP="008B4C50">
            <w:pPr>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00611033" w:rsidRPr="00F13073">
              <w:rPr>
                <w:sz w:val="20"/>
                <w:szCs w:val="20"/>
                <w:vertAlign w:val="subscript"/>
              </w:rPr>
              <w:t>max</w:t>
            </w:r>
          </w:p>
        </w:tc>
        <w:tc>
          <w:tcPr>
            <w:tcW w:w="2899" w:type="dxa"/>
            <w:tcBorders>
              <w:top w:val="single" w:sz="4" w:space="0" w:color="auto"/>
              <w:left w:val="single" w:sz="4" w:space="0" w:color="auto"/>
              <w:bottom w:val="single" w:sz="4" w:space="0" w:color="auto"/>
            </w:tcBorders>
          </w:tcPr>
          <w:p w14:paraId="52F8F588" w14:textId="77777777" w:rsidR="001E0975" w:rsidRPr="00F13073" w:rsidRDefault="00611033" w:rsidP="00567109">
            <w:pPr>
              <w:suppressAutoHyphens/>
              <w:jc w:val="center"/>
              <w:rPr>
                <w:sz w:val="20"/>
                <w:szCs w:val="20"/>
              </w:rPr>
            </w:pPr>
            <w:r w:rsidRPr="00F13073">
              <w:rPr>
                <w:sz w:val="20"/>
                <w:szCs w:val="20"/>
              </w:rPr>
              <w:t>1</w:t>
            </w:r>
            <w:r w:rsidR="007D1E3C" w:rsidRPr="00F13073">
              <w:rPr>
                <w:sz w:val="20"/>
                <w:szCs w:val="20"/>
              </w:rPr>
              <w:t>,</w:t>
            </w:r>
            <w:r w:rsidRPr="00F13073">
              <w:rPr>
                <w:sz w:val="20"/>
                <w:szCs w:val="20"/>
              </w:rPr>
              <w:t>42</w:t>
            </w:r>
          </w:p>
        </w:tc>
        <w:tc>
          <w:tcPr>
            <w:tcW w:w="3070" w:type="dxa"/>
            <w:tcBorders>
              <w:top w:val="single" w:sz="4" w:space="0" w:color="auto"/>
              <w:left w:val="single" w:sz="4" w:space="0" w:color="auto"/>
              <w:bottom w:val="single" w:sz="4" w:space="0" w:color="auto"/>
              <w:right w:val="single" w:sz="4" w:space="0" w:color="auto"/>
            </w:tcBorders>
          </w:tcPr>
          <w:p w14:paraId="33F04D2E" w14:textId="77777777" w:rsidR="001E0975" w:rsidRPr="00F13073" w:rsidRDefault="00611033" w:rsidP="00567109">
            <w:pPr>
              <w:suppressAutoHyphens/>
              <w:jc w:val="center"/>
              <w:rPr>
                <w:sz w:val="20"/>
                <w:szCs w:val="20"/>
              </w:rPr>
            </w:pPr>
            <w:r w:rsidRPr="00F13073">
              <w:rPr>
                <w:sz w:val="20"/>
                <w:szCs w:val="20"/>
              </w:rPr>
              <w:t>1</w:t>
            </w:r>
            <w:r w:rsidR="00EA2BC0" w:rsidRPr="00F13073">
              <w:rPr>
                <w:sz w:val="20"/>
                <w:szCs w:val="20"/>
              </w:rPr>
              <w:t>,</w:t>
            </w:r>
            <w:r w:rsidRPr="00F13073">
              <w:rPr>
                <w:sz w:val="20"/>
                <w:szCs w:val="20"/>
              </w:rPr>
              <w:t>37</w:t>
            </w:r>
          </w:p>
        </w:tc>
      </w:tr>
      <w:tr w:rsidR="001E0975" w:rsidRPr="00F13073" w14:paraId="3B1B2730" w14:textId="77777777" w:rsidTr="00660704">
        <w:trPr>
          <w:cantSplit/>
          <w:tblHeader/>
        </w:trPr>
        <w:tc>
          <w:tcPr>
            <w:tcW w:w="2835" w:type="dxa"/>
            <w:tcBorders>
              <w:top w:val="single" w:sz="4" w:space="0" w:color="auto"/>
              <w:left w:val="single" w:sz="4" w:space="0" w:color="auto"/>
              <w:bottom w:val="single" w:sz="4" w:space="0" w:color="auto"/>
            </w:tcBorders>
          </w:tcPr>
          <w:p w14:paraId="0218D8A2" w14:textId="77777777" w:rsidR="001E0975" w:rsidRPr="00F13073" w:rsidRDefault="007D1E3C" w:rsidP="008B4C50">
            <w:pPr>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Pr="00F13073">
              <w:rPr>
                <w:sz w:val="20"/>
                <w:szCs w:val="20"/>
                <w:vertAlign w:val="subscript"/>
              </w:rPr>
              <w:t>min</w:t>
            </w:r>
          </w:p>
        </w:tc>
        <w:tc>
          <w:tcPr>
            <w:tcW w:w="2899" w:type="dxa"/>
            <w:tcBorders>
              <w:top w:val="single" w:sz="4" w:space="0" w:color="auto"/>
              <w:left w:val="single" w:sz="4" w:space="0" w:color="auto"/>
              <w:bottom w:val="single" w:sz="4" w:space="0" w:color="auto"/>
            </w:tcBorders>
          </w:tcPr>
          <w:p w14:paraId="0E3B6EA9" w14:textId="77777777" w:rsidR="001E0975" w:rsidRPr="00F13073" w:rsidRDefault="00611033" w:rsidP="00567109">
            <w:pPr>
              <w:suppressAutoHyphens/>
              <w:jc w:val="center"/>
              <w:rPr>
                <w:sz w:val="20"/>
                <w:szCs w:val="20"/>
              </w:rPr>
            </w:pPr>
            <w:r w:rsidRPr="00F13073">
              <w:rPr>
                <w:sz w:val="20"/>
                <w:szCs w:val="20"/>
              </w:rPr>
              <w:t>3</w:t>
            </w:r>
            <w:r w:rsidR="007D1E3C" w:rsidRPr="00F13073">
              <w:rPr>
                <w:sz w:val="20"/>
                <w:szCs w:val="20"/>
              </w:rPr>
              <w:t>,</w:t>
            </w:r>
            <w:r w:rsidRPr="00F13073">
              <w:rPr>
                <w:sz w:val="20"/>
                <w:szCs w:val="20"/>
              </w:rPr>
              <w:t>20</w:t>
            </w:r>
          </w:p>
        </w:tc>
        <w:tc>
          <w:tcPr>
            <w:tcW w:w="3070" w:type="dxa"/>
            <w:tcBorders>
              <w:top w:val="single" w:sz="4" w:space="0" w:color="auto"/>
              <w:left w:val="single" w:sz="4" w:space="0" w:color="auto"/>
              <w:bottom w:val="single" w:sz="4" w:space="0" w:color="auto"/>
              <w:right w:val="single" w:sz="4" w:space="0" w:color="auto"/>
            </w:tcBorders>
          </w:tcPr>
          <w:p w14:paraId="1910F888" w14:textId="77777777" w:rsidR="001E0975" w:rsidRPr="00F13073" w:rsidRDefault="00611033" w:rsidP="00567109">
            <w:pPr>
              <w:suppressAutoHyphens/>
              <w:jc w:val="center"/>
              <w:rPr>
                <w:sz w:val="20"/>
                <w:szCs w:val="20"/>
              </w:rPr>
            </w:pPr>
            <w:r w:rsidRPr="00F13073">
              <w:rPr>
                <w:sz w:val="20"/>
                <w:szCs w:val="20"/>
              </w:rPr>
              <w:t>3</w:t>
            </w:r>
            <w:r w:rsidR="00EA2BC0" w:rsidRPr="00F13073">
              <w:rPr>
                <w:sz w:val="20"/>
                <w:szCs w:val="20"/>
              </w:rPr>
              <w:t>,</w:t>
            </w:r>
            <w:r w:rsidRPr="00F13073">
              <w:rPr>
                <w:sz w:val="20"/>
                <w:szCs w:val="20"/>
              </w:rPr>
              <w:t>41</w:t>
            </w:r>
          </w:p>
        </w:tc>
      </w:tr>
      <w:tr w:rsidR="001E0975" w:rsidRPr="00F13073" w14:paraId="1612F12A" w14:textId="77777777" w:rsidTr="00660704">
        <w:trPr>
          <w:cantSplit/>
          <w:tblHeader/>
        </w:trPr>
        <w:tc>
          <w:tcPr>
            <w:tcW w:w="2835" w:type="dxa"/>
            <w:tcBorders>
              <w:top w:val="single" w:sz="4" w:space="0" w:color="auto"/>
              <w:left w:val="single" w:sz="4" w:space="0" w:color="auto"/>
              <w:bottom w:val="single" w:sz="4" w:space="0" w:color="auto"/>
            </w:tcBorders>
          </w:tcPr>
          <w:p w14:paraId="1BBB359B" w14:textId="77777777" w:rsidR="001E0975" w:rsidRPr="00F13073" w:rsidRDefault="007D1E3C" w:rsidP="008B4C50">
            <w:pPr>
              <w:keepNext/>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Pr="00F13073">
              <w:rPr>
                <w:sz w:val="20"/>
                <w:szCs w:val="20"/>
                <w:vertAlign w:val="subscript"/>
              </w:rPr>
              <w:t>średnie</w:t>
            </w:r>
            <w:r w:rsidR="00611033" w:rsidRPr="00F13073">
              <w:rPr>
                <w:sz w:val="20"/>
                <w:szCs w:val="20"/>
              </w:rPr>
              <w:t xml:space="preserve"> </w:t>
            </w:r>
            <w:r w:rsidRPr="00F13073">
              <w:rPr>
                <w:sz w:val="20"/>
                <w:szCs w:val="20"/>
              </w:rPr>
              <w:t>lub</w:t>
            </w:r>
            <w:r w:rsidR="00611033" w:rsidRPr="00F13073">
              <w:rPr>
                <w:sz w:val="20"/>
                <w:szCs w:val="20"/>
              </w:rPr>
              <w:t xml:space="preserve"> AUC</w:t>
            </w:r>
            <w:r w:rsidR="00611033" w:rsidRPr="00F13073">
              <w:rPr>
                <w:sz w:val="20"/>
                <w:szCs w:val="20"/>
                <w:vertAlign w:val="subscript"/>
              </w:rPr>
              <w:t>τ</w:t>
            </w:r>
            <w:r w:rsidR="00611033" w:rsidRPr="00F13073">
              <w:rPr>
                <w:sz w:val="20"/>
                <w:szCs w:val="20"/>
              </w:rPr>
              <w:t>*</w:t>
            </w:r>
          </w:p>
        </w:tc>
        <w:tc>
          <w:tcPr>
            <w:tcW w:w="2899" w:type="dxa"/>
            <w:tcBorders>
              <w:top w:val="single" w:sz="4" w:space="0" w:color="auto"/>
              <w:left w:val="single" w:sz="4" w:space="0" w:color="auto"/>
              <w:bottom w:val="single" w:sz="4" w:space="0" w:color="auto"/>
            </w:tcBorders>
          </w:tcPr>
          <w:p w14:paraId="780434A0" w14:textId="77777777" w:rsidR="001E0975" w:rsidRPr="00F13073" w:rsidRDefault="00611033" w:rsidP="00567109">
            <w:pPr>
              <w:keepNext/>
              <w:suppressAutoHyphens/>
              <w:jc w:val="center"/>
              <w:rPr>
                <w:sz w:val="20"/>
                <w:szCs w:val="20"/>
              </w:rPr>
            </w:pPr>
            <w:r w:rsidRPr="00F13073">
              <w:rPr>
                <w:sz w:val="20"/>
                <w:szCs w:val="20"/>
              </w:rPr>
              <w:t>2</w:t>
            </w:r>
            <w:r w:rsidR="007D1E3C" w:rsidRPr="00F13073">
              <w:rPr>
                <w:sz w:val="20"/>
                <w:szCs w:val="20"/>
              </w:rPr>
              <w:t>,</w:t>
            </w:r>
            <w:r w:rsidRPr="00F13073">
              <w:rPr>
                <w:sz w:val="20"/>
                <w:szCs w:val="20"/>
              </w:rPr>
              <w:t>01</w:t>
            </w:r>
          </w:p>
        </w:tc>
        <w:tc>
          <w:tcPr>
            <w:tcW w:w="3070" w:type="dxa"/>
            <w:tcBorders>
              <w:top w:val="single" w:sz="4" w:space="0" w:color="auto"/>
              <w:left w:val="single" w:sz="4" w:space="0" w:color="auto"/>
              <w:bottom w:val="single" w:sz="4" w:space="0" w:color="auto"/>
              <w:right w:val="single" w:sz="4" w:space="0" w:color="auto"/>
            </w:tcBorders>
          </w:tcPr>
          <w:p w14:paraId="5463DC9A" w14:textId="77777777" w:rsidR="001E0975" w:rsidRPr="00F13073" w:rsidRDefault="00611033" w:rsidP="00567109">
            <w:pPr>
              <w:keepNext/>
              <w:suppressAutoHyphens/>
              <w:jc w:val="center"/>
              <w:rPr>
                <w:sz w:val="20"/>
                <w:szCs w:val="20"/>
              </w:rPr>
            </w:pPr>
            <w:r w:rsidRPr="00F13073">
              <w:rPr>
                <w:sz w:val="20"/>
                <w:szCs w:val="20"/>
              </w:rPr>
              <w:t>1</w:t>
            </w:r>
            <w:r w:rsidR="00EA2BC0" w:rsidRPr="00F13073">
              <w:rPr>
                <w:sz w:val="20"/>
                <w:szCs w:val="20"/>
              </w:rPr>
              <w:t>,</w:t>
            </w:r>
            <w:r w:rsidRPr="00F13073">
              <w:rPr>
                <w:sz w:val="20"/>
                <w:szCs w:val="20"/>
              </w:rPr>
              <w:t>95</w:t>
            </w:r>
          </w:p>
        </w:tc>
      </w:tr>
    </w:tbl>
    <w:p w14:paraId="6FBA9D57" w14:textId="77777777" w:rsidR="001E0975" w:rsidRPr="00F13073" w:rsidRDefault="00611033" w:rsidP="008B4C50">
      <w:pPr>
        <w:rPr>
          <w:sz w:val="18"/>
          <w:szCs w:val="18"/>
        </w:rPr>
      </w:pPr>
      <w:r w:rsidRPr="00F13073">
        <w:rPr>
          <w:sz w:val="18"/>
          <w:szCs w:val="18"/>
        </w:rPr>
        <w:t xml:space="preserve">*τ = </w:t>
      </w:r>
      <w:r w:rsidR="00046E1F" w:rsidRPr="00F13073">
        <w:rPr>
          <w:sz w:val="18"/>
          <w:szCs w:val="18"/>
        </w:rPr>
        <w:t>2 tygodnie dla schematów podawania dożylnego</w:t>
      </w:r>
    </w:p>
    <w:p w14:paraId="6532FE93" w14:textId="77777777" w:rsidR="001E0975" w:rsidRPr="00F13073" w:rsidRDefault="001E0975" w:rsidP="008B4C50"/>
    <w:p w14:paraId="705D43DD" w14:textId="77777777" w:rsidR="00046E1F" w:rsidRPr="00F13073" w:rsidRDefault="00046E1F" w:rsidP="008B4C50">
      <w:pPr>
        <w:pStyle w:val="a4"/>
        <w:widowControl/>
        <w:spacing w:after="0"/>
        <w:rPr>
          <w:rStyle w:val="Char"/>
        </w:rPr>
      </w:pPr>
      <w:r w:rsidRPr="00F13073">
        <w:rPr>
          <w:rStyle w:val="Char"/>
        </w:rPr>
        <w:t>Po podaniu dożylnym około 90% stanu równowagi dynamicznej osiągano do tygodnia 8., zarówno w schemacie dawkowania 12 mg/kg mc. (masa ciała &lt; 30 kg), jak i 8 mg/kg mc. (masa ciała &gt; 30 kg) w Q2W.</w:t>
      </w:r>
    </w:p>
    <w:p w14:paraId="450155CB" w14:textId="77777777" w:rsidR="00046E1F" w:rsidRPr="00F13073" w:rsidRDefault="00046E1F" w:rsidP="008B4C50">
      <w:pPr>
        <w:pStyle w:val="a4"/>
        <w:widowControl/>
        <w:spacing w:after="0"/>
      </w:pPr>
    </w:p>
    <w:p w14:paraId="5F4524C9" w14:textId="77777777" w:rsidR="00046E1F" w:rsidRPr="00F13073" w:rsidRDefault="00046E1F" w:rsidP="008B4C50">
      <w:pPr>
        <w:pStyle w:val="a4"/>
        <w:widowControl/>
        <w:spacing w:after="0"/>
        <w:rPr>
          <w:rStyle w:val="Char"/>
        </w:rPr>
      </w:pPr>
      <w:r w:rsidRPr="00F13073">
        <w:rPr>
          <w:rStyle w:val="Char"/>
        </w:rPr>
        <w:t>U pacjentów z uMIZS centralna objętość dystrybucji wynosiła 1,87 l, a obwodowa objętość dystrybucji wynosiła 2,14 l, w związku z czym objętość dystrybucji w stanie równowagi wynosiła 4,01 l. Liniowy klirens leku oceniany jako parametr w farmakokinetycznej analizie populacji wynosił 5,7 mL/h.</w:t>
      </w:r>
    </w:p>
    <w:p w14:paraId="7AA11D44" w14:textId="77777777" w:rsidR="00046E1F" w:rsidRPr="00F13073" w:rsidRDefault="00046E1F" w:rsidP="008B4C50">
      <w:pPr>
        <w:pStyle w:val="a4"/>
        <w:widowControl/>
        <w:spacing w:after="0"/>
      </w:pPr>
    </w:p>
    <w:p w14:paraId="11ECA946" w14:textId="6E5058C4" w:rsidR="00046E1F" w:rsidRPr="00F13073" w:rsidRDefault="00046E1F" w:rsidP="00660704">
      <w:pPr>
        <w:pStyle w:val="a4"/>
        <w:widowControl/>
        <w:spacing w:after="0"/>
        <w:rPr>
          <w:rStyle w:val="Char"/>
          <w:i/>
          <w:iCs/>
        </w:rPr>
      </w:pPr>
      <w:r w:rsidRPr="00F13073">
        <w:rPr>
          <w:rStyle w:val="Char"/>
        </w:rPr>
        <w:t xml:space="preserve">Okres </w:t>
      </w:r>
      <w:r w:rsidR="004046BD" w:rsidRPr="00F13073">
        <w:rPr>
          <w:rStyle w:val="Char"/>
        </w:rPr>
        <w:t>półtrwania</w:t>
      </w:r>
      <w:r w:rsidRPr="00F13073">
        <w:rPr>
          <w:rStyle w:val="Char"/>
        </w:rPr>
        <w:t xml:space="preserve"> tocilizumabu u chorych na uMIZS wynosi do 16 dni dla obu kategorii masy ciała (8</w:t>
      </w:r>
      <w:r w:rsidR="00660704" w:rsidRPr="00F13073">
        <w:rPr>
          <w:rStyle w:val="Char"/>
        </w:rPr>
        <w:t> </w:t>
      </w:r>
      <w:r w:rsidRPr="00F13073">
        <w:rPr>
          <w:rStyle w:val="Char"/>
        </w:rPr>
        <w:t>mg/kg mc. dla masy ciała ≥ 30 kg lub 12 mg/kg mc. dla masy ciała &lt; 30 kg) w 12. tygodniu</w:t>
      </w:r>
      <w:r w:rsidRPr="00F13073">
        <w:rPr>
          <w:rStyle w:val="Char"/>
          <w:i/>
          <w:iCs/>
        </w:rPr>
        <w:t>.</w:t>
      </w:r>
    </w:p>
    <w:p w14:paraId="3F26A7BD" w14:textId="77777777" w:rsidR="00046E1F" w:rsidRPr="00F13073" w:rsidRDefault="00046E1F" w:rsidP="008B4C50">
      <w:pPr>
        <w:pStyle w:val="a4"/>
        <w:widowControl/>
        <w:spacing w:after="0"/>
      </w:pPr>
    </w:p>
    <w:p w14:paraId="48FDD82C" w14:textId="77777777" w:rsidR="00046E1F" w:rsidRPr="00F13073" w:rsidRDefault="00046E1F" w:rsidP="008B4C50">
      <w:pPr>
        <w:pStyle w:val="a4"/>
        <w:widowControl/>
        <w:spacing w:after="0"/>
      </w:pPr>
      <w:r w:rsidRPr="00F13073">
        <w:rPr>
          <w:rStyle w:val="Char"/>
          <w:i/>
          <w:iCs/>
        </w:rPr>
        <w:t>Chorzy na wMIZS</w:t>
      </w:r>
    </w:p>
    <w:p w14:paraId="4D5AFA02" w14:textId="77777777" w:rsidR="00046E1F" w:rsidRPr="00F13073" w:rsidRDefault="00046E1F" w:rsidP="008B4C50">
      <w:pPr>
        <w:pStyle w:val="a4"/>
        <w:widowControl/>
        <w:spacing w:after="0"/>
        <w:rPr>
          <w:rStyle w:val="Char"/>
        </w:rPr>
      </w:pPr>
      <w:r w:rsidRPr="00F13073">
        <w:rPr>
          <w:rStyle w:val="Char"/>
        </w:rPr>
        <w:t>Farmakokinetyka tocilizumabu u pacjentów z wMIZS była opisywana na podstawie populacyjnej analizy farmakokinetyki, obejmującej 237 pacjentów leczonych dawką 8 mg/kg mc. podawaną dożylnie co 4 tygodnie (pacjenci o masie ciała ≥ 30 kg), dawką 10 mg/kg mc. podawaną dożylnie co 4 tygodnie (pacjenci o masie ciała poniżej 30 kg), dawką 162 mg podawaną podskórnie co 2 tygodnie (pacjenci o masie ciała ≥ 30 kg) lub dawką 162 mg podawaną podskórnie co 3 tygodnie (pacjenci o masie ciała poniżej 30 kg).</w:t>
      </w:r>
    </w:p>
    <w:p w14:paraId="3635F964" w14:textId="77777777" w:rsidR="00046E1F" w:rsidRPr="00F13073" w:rsidRDefault="00046E1F" w:rsidP="008B4C50">
      <w:pPr>
        <w:pStyle w:val="a4"/>
        <w:widowControl/>
        <w:spacing w:after="0"/>
      </w:pPr>
    </w:p>
    <w:p w14:paraId="4FAD42ED" w14:textId="77777777" w:rsidR="001E0975" w:rsidRPr="00F13073" w:rsidRDefault="00611033" w:rsidP="008B4C50">
      <w:pPr>
        <w:keepNext/>
        <w:ind w:left="1134" w:hanging="1134"/>
        <w:rPr>
          <w:i/>
          <w:iCs/>
        </w:rPr>
      </w:pPr>
      <w:r w:rsidRPr="00F13073">
        <w:rPr>
          <w:i/>
          <w:iCs/>
        </w:rPr>
        <w:t>Tab</w:t>
      </w:r>
      <w:r w:rsidR="002012EB" w:rsidRPr="00F13073">
        <w:rPr>
          <w:i/>
          <w:iCs/>
        </w:rPr>
        <w:t>e</w:t>
      </w:r>
      <w:r w:rsidRPr="00F13073">
        <w:rPr>
          <w:i/>
          <w:iCs/>
        </w:rPr>
        <w:t>l</w:t>
      </w:r>
      <w:r w:rsidR="001E00BC" w:rsidRPr="00F13073">
        <w:rPr>
          <w:i/>
          <w:iCs/>
        </w:rPr>
        <w:t>a</w:t>
      </w:r>
      <w:r w:rsidRPr="00F13073">
        <w:rPr>
          <w:i/>
          <w:iCs/>
        </w:rPr>
        <w:t xml:space="preserve"> 12.</w:t>
      </w:r>
      <w:r w:rsidR="001E00BC" w:rsidRPr="00F13073">
        <w:rPr>
          <w:i/>
          <w:iCs/>
        </w:rPr>
        <w:tab/>
      </w:r>
      <w:r w:rsidR="001E00BC" w:rsidRPr="00F13073">
        <w:rPr>
          <w:rStyle w:val="Char"/>
          <w:rFonts w:eastAsia="DengXian"/>
          <w:i/>
          <w:iCs/>
        </w:rPr>
        <w:t>Przewidywana średnia wartość ± SD parametrów farmakokinetycznych w stanie stacjonarnym po dożylnym podaniu leku pacjentom z wMIZS</w:t>
      </w:r>
    </w:p>
    <w:p w14:paraId="44ED5085" w14:textId="77777777" w:rsidR="00F70B5D" w:rsidRPr="00F13073" w:rsidRDefault="00F70B5D"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835"/>
        <w:gridCol w:w="2897"/>
        <w:gridCol w:w="3073"/>
      </w:tblGrid>
      <w:tr w:rsidR="00D55473" w:rsidRPr="00F13073" w14:paraId="4A47601B" w14:textId="77777777" w:rsidTr="00A33BC0">
        <w:trPr>
          <w:cantSplit/>
          <w:tblHeader/>
        </w:trPr>
        <w:tc>
          <w:tcPr>
            <w:tcW w:w="2835" w:type="dxa"/>
            <w:tcBorders>
              <w:top w:val="single" w:sz="4" w:space="0" w:color="auto"/>
              <w:left w:val="single" w:sz="4" w:space="0" w:color="auto"/>
            </w:tcBorders>
          </w:tcPr>
          <w:p w14:paraId="5F36D0A9" w14:textId="47765C8C" w:rsidR="00D55473" w:rsidRPr="00F13073" w:rsidRDefault="00D55473" w:rsidP="008B4C50">
            <w:pPr>
              <w:keepNext/>
              <w:suppressAutoHyphens/>
              <w:rPr>
                <w:b/>
                <w:bCs/>
                <w:sz w:val="20"/>
                <w:szCs w:val="20"/>
              </w:rPr>
            </w:pPr>
            <w:r w:rsidRPr="00F13073">
              <w:rPr>
                <w:rStyle w:val="Other"/>
                <w:rFonts w:eastAsia="DengXian"/>
                <w:b/>
                <w:bCs/>
                <w:sz w:val="20"/>
                <w:szCs w:val="20"/>
              </w:rPr>
              <w:t xml:space="preserve">Parametr farmakokinetyczny </w:t>
            </w:r>
            <w:r w:rsidR="00782D1D" w:rsidRPr="00F13073">
              <w:rPr>
                <w:rStyle w:val="Other"/>
                <w:rFonts w:eastAsia="DengXian"/>
                <w:b/>
                <w:bCs/>
                <w:sz w:val="20"/>
                <w:szCs w:val="20"/>
              </w:rPr>
              <w:t>tocilizumabu</w:t>
            </w:r>
          </w:p>
        </w:tc>
        <w:tc>
          <w:tcPr>
            <w:tcW w:w="2897" w:type="dxa"/>
            <w:tcBorders>
              <w:top w:val="single" w:sz="4" w:space="0" w:color="auto"/>
              <w:left w:val="single" w:sz="4" w:space="0" w:color="auto"/>
            </w:tcBorders>
          </w:tcPr>
          <w:p w14:paraId="54EFD522" w14:textId="77777777" w:rsidR="00D55473" w:rsidRPr="00F13073" w:rsidRDefault="00D55473" w:rsidP="00A33626">
            <w:pPr>
              <w:keepNext/>
              <w:suppressAutoHyphens/>
              <w:jc w:val="center"/>
              <w:rPr>
                <w:b/>
                <w:bCs/>
                <w:sz w:val="20"/>
                <w:szCs w:val="20"/>
              </w:rPr>
            </w:pPr>
            <w:r w:rsidRPr="00F13073">
              <w:rPr>
                <w:rStyle w:val="Other"/>
                <w:rFonts w:eastAsia="DengXian"/>
                <w:b/>
                <w:bCs/>
                <w:sz w:val="20"/>
                <w:szCs w:val="20"/>
              </w:rPr>
              <w:t>8 mg/kg mc. Q2W ≥ 30 kg</w:t>
            </w:r>
          </w:p>
        </w:tc>
        <w:tc>
          <w:tcPr>
            <w:tcW w:w="3073" w:type="dxa"/>
            <w:tcBorders>
              <w:top w:val="single" w:sz="4" w:space="0" w:color="auto"/>
              <w:left w:val="single" w:sz="4" w:space="0" w:color="auto"/>
              <w:right w:val="single" w:sz="4" w:space="0" w:color="auto"/>
            </w:tcBorders>
          </w:tcPr>
          <w:p w14:paraId="0FD06F38" w14:textId="77777777" w:rsidR="00D55473" w:rsidRPr="00F13073" w:rsidRDefault="00D55473" w:rsidP="00A33626">
            <w:pPr>
              <w:keepNext/>
              <w:suppressAutoHyphens/>
              <w:jc w:val="center"/>
              <w:rPr>
                <w:b/>
                <w:bCs/>
                <w:sz w:val="20"/>
                <w:szCs w:val="20"/>
              </w:rPr>
            </w:pPr>
            <w:r w:rsidRPr="00F13073">
              <w:rPr>
                <w:rStyle w:val="Other"/>
                <w:rFonts w:eastAsia="DengXian"/>
                <w:b/>
                <w:bCs/>
                <w:sz w:val="20"/>
                <w:szCs w:val="20"/>
              </w:rPr>
              <w:t>12 mg/kg mc. Q2W poniżej 30 kg</w:t>
            </w:r>
          </w:p>
        </w:tc>
      </w:tr>
      <w:tr w:rsidR="00034B61" w:rsidRPr="00F13073" w14:paraId="4004B461" w14:textId="77777777" w:rsidTr="00A33BC0">
        <w:trPr>
          <w:cantSplit/>
          <w:tblHeader/>
        </w:trPr>
        <w:tc>
          <w:tcPr>
            <w:tcW w:w="2835" w:type="dxa"/>
            <w:tcBorders>
              <w:top w:val="single" w:sz="4" w:space="0" w:color="auto"/>
              <w:left w:val="single" w:sz="4" w:space="0" w:color="auto"/>
            </w:tcBorders>
          </w:tcPr>
          <w:p w14:paraId="2F3EBE75" w14:textId="77777777" w:rsidR="00034B61" w:rsidRPr="00F13073" w:rsidRDefault="00034B61"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897" w:type="dxa"/>
            <w:tcBorders>
              <w:top w:val="single" w:sz="4" w:space="0" w:color="auto"/>
              <w:left w:val="single" w:sz="4" w:space="0" w:color="auto"/>
            </w:tcBorders>
          </w:tcPr>
          <w:p w14:paraId="151D4F65" w14:textId="77777777" w:rsidR="00034B61" w:rsidRPr="00F13073" w:rsidRDefault="00034B61" w:rsidP="00A33626">
            <w:pPr>
              <w:suppressAutoHyphens/>
              <w:jc w:val="center"/>
              <w:rPr>
                <w:sz w:val="20"/>
                <w:szCs w:val="20"/>
                <w:u w:val="single"/>
              </w:rPr>
            </w:pPr>
            <w:r w:rsidRPr="00F13073">
              <w:rPr>
                <w:sz w:val="20"/>
                <w:szCs w:val="20"/>
                <w:u w:val="single"/>
              </w:rPr>
              <w:t>183 ± 42</w:t>
            </w:r>
            <w:r w:rsidR="00456F2D" w:rsidRPr="00F13073">
              <w:rPr>
                <w:sz w:val="20"/>
                <w:szCs w:val="20"/>
                <w:u w:val="single"/>
              </w:rPr>
              <w:t>,</w:t>
            </w:r>
            <w:r w:rsidRPr="00F13073">
              <w:rPr>
                <w:sz w:val="20"/>
                <w:szCs w:val="20"/>
                <w:u w:val="single"/>
              </w:rPr>
              <w:t>3</w:t>
            </w:r>
          </w:p>
        </w:tc>
        <w:tc>
          <w:tcPr>
            <w:tcW w:w="3073" w:type="dxa"/>
            <w:tcBorders>
              <w:top w:val="single" w:sz="4" w:space="0" w:color="auto"/>
              <w:left w:val="single" w:sz="4" w:space="0" w:color="auto"/>
              <w:right w:val="single" w:sz="4" w:space="0" w:color="auto"/>
            </w:tcBorders>
          </w:tcPr>
          <w:p w14:paraId="207B94B5" w14:textId="77777777" w:rsidR="00034B61" w:rsidRPr="00F13073" w:rsidRDefault="00034B61" w:rsidP="00A33626">
            <w:pPr>
              <w:suppressAutoHyphens/>
              <w:jc w:val="center"/>
              <w:rPr>
                <w:sz w:val="20"/>
                <w:szCs w:val="20"/>
                <w:u w:val="single"/>
              </w:rPr>
            </w:pPr>
            <w:r w:rsidRPr="00F13073">
              <w:rPr>
                <w:sz w:val="20"/>
                <w:szCs w:val="20"/>
                <w:u w:val="single"/>
              </w:rPr>
              <w:t>168 ± 24</w:t>
            </w:r>
            <w:r w:rsidR="00456F2D" w:rsidRPr="00F13073">
              <w:rPr>
                <w:sz w:val="20"/>
                <w:szCs w:val="20"/>
                <w:u w:val="single"/>
              </w:rPr>
              <w:t>,</w:t>
            </w:r>
            <w:r w:rsidRPr="00F13073">
              <w:rPr>
                <w:sz w:val="20"/>
                <w:szCs w:val="20"/>
                <w:u w:val="single"/>
              </w:rPr>
              <w:t>8</w:t>
            </w:r>
          </w:p>
        </w:tc>
      </w:tr>
      <w:tr w:rsidR="00034B61" w:rsidRPr="00F13073" w14:paraId="5C33C567" w14:textId="77777777" w:rsidTr="00A33BC0">
        <w:trPr>
          <w:cantSplit/>
          <w:tblHeader/>
        </w:trPr>
        <w:tc>
          <w:tcPr>
            <w:tcW w:w="2835" w:type="dxa"/>
            <w:tcBorders>
              <w:top w:val="single" w:sz="4" w:space="0" w:color="auto"/>
              <w:left w:val="single" w:sz="4" w:space="0" w:color="auto"/>
            </w:tcBorders>
          </w:tcPr>
          <w:p w14:paraId="0F88B1CD" w14:textId="77777777" w:rsidR="00034B61" w:rsidRPr="00F13073" w:rsidRDefault="00034B61" w:rsidP="008B4C50">
            <w:pPr>
              <w:suppressAutoHyphens/>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897" w:type="dxa"/>
            <w:tcBorders>
              <w:top w:val="single" w:sz="4" w:space="0" w:color="auto"/>
              <w:left w:val="single" w:sz="4" w:space="0" w:color="auto"/>
            </w:tcBorders>
          </w:tcPr>
          <w:p w14:paraId="0A19C0AB" w14:textId="77777777" w:rsidR="00034B61" w:rsidRPr="00F13073" w:rsidRDefault="00034B61" w:rsidP="00A33626">
            <w:pPr>
              <w:suppressAutoHyphens/>
              <w:jc w:val="center"/>
              <w:rPr>
                <w:sz w:val="20"/>
                <w:szCs w:val="20"/>
                <w:u w:val="single"/>
              </w:rPr>
            </w:pPr>
            <w:r w:rsidRPr="00F13073">
              <w:rPr>
                <w:sz w:val="20"/>
                <w:szCs w:val="20"/>
                <w:u w:val="single"/>
              </w:rPr>
              <w:t>6</w:t>
            </w:r>
            <w:r w:rsidR="00456F2D" w:rsidRPr="00F13073">
              <w:rPr>
                <w:sz w:val="20"/>
                <w:szCs w:val="20"/>
                <w:u w:val="single"/>
              </w:rPr>
              <w:t>,</w:t>
            </w:r>
            <w:r w:rsidRPr="00F13073">
              <w:rPr>
                <w:sz w:val="20"/>
                <w:szCs w:val="20"/>
                <w:u w:val="single"/>
              </w:rPr>
              <w:t>55 ± 7</w:t>
            </w:r>
            <w:r w:rsidR="00456F2D" w:rsidRPr="00F13073">
              <w:rPr>
                <w:sz w:val="20"/>
                <w:szCs w:val="20"/>
                <w:u w:val="single"/>
              </w:rPr>
              <w:t>,</w:t>
            </w:r>
            <w:r w:rsidRPr="00F13073">
              <w:rPr>
                <w:sz w:val="20"/>
                <w:szCs w:val="20"/>
                <w:u w:val="single"/>
              </w:rPr>
              <w:t>93</w:t>
            </w:r>
          </w:p>
        </w:tc>
        <w:tc>
          <w:tcPr>
            <w:tcW w:w="3073" w:type="dxa"/>
            <w:tcBorders>
              <w:top w:val="single" w:sz="4" w:space="0" w:color="auto"/>
              <w:left w:val="single" w:sz="4" w:space="0" w:color="auto"/>
              <w:right w:val="single" w:sz="4" w:space="0" w:color="auto"/>
            </w:tcBorders>
          </w:tcPr>
          <w:p w14:paraId="190126A2" w14:textId="77777777" w:rsidR="00034B61" w:rsidRPr="00F13073" w:rsidRDefault="00034B61" w:rsidP="00A33626">
            <w:pPr>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47 ± 2</w:t>
            </w:r>
            <w:r w:rsidR="00456F2D" w:rsidRPr="00F13073">
              <w:rPr>
                <w:sz w:val="20"/>
                <w:szCs w:val="20"/>
                <w:u w:val="single"/>
              </w:rPr>
              <w:t>,</w:t>
            </w:r>
            <w:r w:rsidRPr="00F13073">
              <w:rPr>
                <w:sz w:val="20"/>
                <w:szCs w:val="20"/>
                <w:u w:val="single"/>
              </w:rPr>
              <w:t>44</w:t>
            </w:r>
          </w:p>
        </w:tc>
      </w:tr>
      <w:tr w:rsidR="00034B61" w:rsidRPr="00F13073" w14:paraId="4E33D7E2" w14:textId="77777777" w:rsidTr="00A33BC0">
        <w:trPr>
          <w:cantSplit/>
          <w:tblHeader/>
        </w:trPr>
        <w:tc>
          <w:tcPr>
            <w:tcW w:w="2835" w:type="dxa"/>
            <w:tcBorders>
              <w:top w:val="single" w:sz="4" w:space="0" w:color="auto"/>
              <w:left w:val="single" w:sz="4" w:space="0" w:color="auto"/>
            </w:tcBorders>
          </w:tcPr>
          <w:p w14:paraId="4928F53B" w14:textId="77777777" w:rsidR="00034B61" w:rsidRPr="00F13073" w:rsidRDefault="00034B61" w:rsidP="008B4C50">
            <w:pPr>
              <w:suppressAutoHyphens/>
              <w:rPr>
                <w:sz w:val="20"/>
                <w:szCs w:val="20"/>
              </w:rPr>
            </w:pPr>
            <w:r w:rsidRPr="00F13073">
              <w:rPr>
                <w:sz w:val="20"/>
                <w:szCs w:val="20"/>
              </w:rPr>
              <w:t>C</w:t>
            </w:r>
            <w:r w:rsidRPr="00F13073">
              <w:rPr>
                <w:sz w:val="20"/>
                <w:szCs w:val="20"/>
                <w:vertAlign w:val="subscript"/>
              </w:rPr>
              <w:t>średnie</w:t>
            </w:r>
            <w:r w:rsidRPr="00F13073">
              <w:rPr>
                <w:sz w:val="20"/>
                <w:szCs w:val="20"/>
              </w:rPr>
              <w:t xml:space="preserve"> (µg/mL)</w:t>
            </w:r>
          </w:p>
        </w:tc>
        <w:tc>
          <w:tcPr>
            <w:tcW w:w="2897" w:type="dxa"/>
            <w:tcBorders>
              <w:top w:val="single" w:sz="4" w:space="0" w:color="auto"/>
              <w:left w:val="single" w:sz="4" w:space="0" w:color="auto"/>
            </w:tcBorders>
          </w:tcPr>
          <w:p w14:paraId="4354B917" w14:textId="77777777" w:rsidR="00034B61" w:rsidRPr="00F13073" w:rsidRDefault="00034B61" w:rsidP="00A33626">
            <w:pPr>
              <w:suppressAutoHyphens/>
              <w:jc w:val="center"/>
              <w:rPr>
                <w:sz w:val="20"/>
                <w:szCs w:val="20"/>
                <w:u w:val="single"/>
              </w:rPr>
            </w:pPr>
            <w:r w:rsidRPr="00F13073">
              <w:rPr>
                <w:sz w:val="20"/>
                <w:szCs w:val="20"/>
                <w:u w:val="single"/>
              </w:rPr>
              <w:t>42</w:t>
            </w:r>
            <w:r w:rsidR="00456F2D" w:rsidRPr="00F13073">
              <w:rPr>
                <w:sz w:val="20"/>
                <w:szCs w:val="20"/>
                <w:u w:val="single"/>
              </w:rPr>
              <w:t>,</w:t>
            </w:r>
            <w:r w:rsidRPr="00F13073">
              <w:rPr>
                <w:sz w:val="20"/>
                <w:szCs w:val="20"/>
                <w:u w:val="single"/>
              </w:rPr>
              <w:t>2 ± 13</w:t>
            </w:r>
            <w:r w:rsidR="00456F2D" w:rsidRPr="00F13073">
              <w:rPr>
                <w:sz w:val="20"/>
                <w:szCs w:val="20"/>
                <w:u w:val="single"/>
              </w:rPr>
              <w:t>,</w:t>
            </w:r>
            <w:r w:rsidRPr="00F13073">
              <w:rPr>
                <w:sz w:val="20"/>
                <w:szCs w:val="20"/>
                <w:u w:val="single"/>
              </w:rPr>
              <w:t>4</w:t>
            </w:r>
          </w:p>
        </w:tc>
        <w:tc>
          <w:tcPr>
            <w:tcW w:w="3073" w:type="dxa"/>
            <w:tcBorders>
              <w:top w:val="single" w:sz="4" w:space="0" w:color="auto"/>
              <w:left w:val="single" w:sz="4" w:space="0" w:color="auto"/>
              <w:right w:val="single" w:sz="4" w:space="0" w:color="auto"/>
            </w:tcBorders>
          </w:tcPr>
          <w:p w14:paraId="244D8D56" w14:textId="77777777" w:rsidR="00034B61" w:rsidRPr="00F13073" w:rsidRDefault="00034B61" w:rsidP="00A33626">
            <w:pPr>
              <w:suppressAutoHyphens/>
              <w:jc w:val="center"/>
              <w:rPr>
                <w:sz w:val="20"/>
                <w:szCs w:val="20"/>
                <w:u w:val="single"/>
              </w:rPr>
            </w:pPr>
            <w:r w:rsidRPr="00F13073">
              <w:rPr>
                <w:sz w:val="20"/>
                <w:szCs w:val="20"/>
                <w:u w:val="single"/>
              </w:rPr>
              <w:t>31</w:t>
            </w:r>
            <w:r w:rsidR="00456F2D" w:rsidRPr="00F13073">
              <w:rPr>
                <w:sz w:val="20"/>
                <w:szCs w:val="20"/>
                <w:u w:val="single"/>
              </w:rPr>
              <w:t>,</w:t>
            </w:r>
            <w:r w:rsidRPr="00F13073">
              <w:rPr>
                <w:sz w:val="20"/>
                <w:szCs w:val="20"/>
                <w:u w:val="single"/>
              </w:rPr>
              <w:t>6 ± 7</w:t>
            </w:r>
            <w:r w:rsidR="00456F2D" w:rsidRPr="00F13073">
              <w:rPr>
                <w:sz w:val="20"/>
                <w:szCs w:val="20"/>
                <w:u w:val="single"/>
              </w:rPr>
              <w:t>,</w:t>
            </w:r>
            <w:r w:rsidRPr="00F13073">
              <w:rPr>
                <w:sz w:val="20"/>
                <w:szCs w:val="20"/>
                <w:u w:val="single"/>
              </w:rPr>
              <w:t>84</w:t>
            </w:r>
          </w:p>
        </w:tc>
      </w:tr>
      <w:tr w:rsidR="00034B61" w:rsidRPr="00F13073" w14:paraId="36AF9F24" w14:textId="77777777" w:rsidTr="00A33BC0">
        <w:trPr>
          <w:cantSplit/>
          <w:tblHeader/>
        </w:trPr>
        <w:tc>
          <w:tcPr>
            <w:tcW w:w="2835" w:type="dxa"/>
            <w:tcBorders>
              <w:top w:val="single" w:sz="4" w:space="0" w:color="auto"/>
              <w:left w:val="single" w:sz="4" w:space="0" w:color="auto"/>
            </w:tcBorders>
          </w:tcPr>
          <w:p w14:paraId="35EDE96C" w14:textId="77777777" w:rsidR="00034B61" w:rsidRPr="00F13073" w:rsidRDefault="00034B61"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max</w:t>
            </w:r>
          </w:p>
        </w:tc>
        <w:tc>
          <w:tcPr>
            <w:tcW w:w="2897" w:type="dxa"/>
            <w:tcBorders>
              <w:top w:val="single" w:sz="4" w:space="0" w:color="auto"/>
              <w:left w:val="single" w:sz="4" w:space="0" w:color="auto"/>
            </w:tcBorders>
          </w:tcPr>
          <w:p w14:paraId="0320926E" w14:textId="77777777" w:rsidR="00034B61" w:rsidRPr="00F13073" w:rsidRDefault="00034B61" w:rsidP="00A33626">
            <w:pPr>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04</w:t>
            </w:r>
          </w:p>
        </w:tc>
        <w:tc>
          <w:tcPr>
            <w:tcW w:w="3073" w:type="dxa"/>
            <w:tcBorders>
              <w:top w:val="single" w:sz="4" w:space="0" w:color="auto"/>
              <w:left w:val="single" w:sz="4" w:space="0" w:color="auto"/>
              <w:right w:val="single" w:sz="4" w:space="0" w:color="auto"/>
            </w:tcBorders>
          </w:tcPr>
          <w:p w14:paraId="139E304C" w14:textId="77777777" w:rsidR="00034B61" w:rsidRPr="00F13073" w:rsidRDefault="00034B61" w:rsidP="00A33626">
            <w:pPr>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01</w:t>
            </w:r>
          </w:p>
        </w:tc>
      </w:tr>
      <w:tr w:rsidR="00034B61" w:rsidRPr="00F13073" w14:paraId="26EDAD5C" w14:textId="77777777" w:rsidTr="00A33BC0">
        <w:trPr>
          <w:cantSplit/>
          <w:tblHeader/>
        </w:trPr>
        <w:tc>
          <w:tcPr>
            <w:tcW w:w="2835" w:type="dxa"/>
            <w:tcBorders>
              <w:top w:val="single" w:sz="4" w:space="0" w:color="auto"/>
              <w:left w:val="single" w:sz="4" w:space="0" w:color="auto"/>
            </w:tcBorders>
          </w:tcPr>
          <w:p w14:paraId="0A78F628" w14:textId="77777777" w:rsidR="00034B61" w:rsidRPr="00F13073" w:rsidRDefault="00034B61"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min</w:t>
            </w:r>
          </w:p>
        </w:tc>
        <w:tc>
          <w:tcPr>
            <w:tcW w:w="2897" w:type="dxa"/>
            <w:tcBorders>
              <w:top w:val="single" w:sz="4" w:space="0" w:color="auto"/>
              <w:left w:val="single" w:sz="4" w:space="0" w:color="auto"/>
            </w:tcBorders>
          </w:tcPr>
          <w:p w14:paraId="5D881A58" w14:textId="77777777" w:rsidR="00034B61" w:rsidRPr="00F13073" w:rsidRDefault="00034B61" w:rsidP="00A33626">
            <w:pPr>
              <w:suppressAutoHyphens/>
              <w:jc w:val="center"/>
              <w:rPr>
                <w:sz w:val="20"/>
                <w:szCs w:val="20"/>
                <w:u w:val="single"/>
              </w:rPr>
            </w:pPr>
            <w:r w:rsidRPr="00F13073">
              <w:rPr>
                <w:sz w:val="20"/>
                <w:szCs w:val="20"/>
                <w:u w:val="single"/>
              </w:rPr>
              <w:t>2</w:t>
            </w:r>
            <w:r w:rsidR="00456F2D" w:rsidRPr="00F13073">
              <w:rPr>
                <w:sz w:val="20"/>
                <w:szCs w:val="20"/>
                <w:u w:val="single"/>
              </w:rPr>
              <w:t>,</w:t>
            </w:r>
            <w:r w:rsidRPr="00F13073">
              <w:rPr>
                <w:sz w:val="20"/>
                <w:szCs w:val="20"/>
                <w:u w:val="single"/>
              </w:rPr>
              <w:t>22</w:t>
            </w:r>
          </w:p>
        </w:tc>
        <w:tc>
          <w:tcPr>
            <w:tcW w:w="3073" w:type="dxa"/>
            <w:tcBorders>
              <w:top w:val="single" w:sz="4" w:space="0" w:color="auto"/>
              <w:left w:val="single" w:sz="4" w:space="0" w:color="auto"/>
              <w:right w:val="single" w:sz="4" w:space="0" w:color="auto"/>
            </w:tcBorders>
          </w:tcPr>
          <w:p w14:paraId="49679C8D" w14:textId="77777777" w:rsidR="00034B61" w:rsidRPr="00F13073" w:rsidRDefault="00034B61" w:rsidP="00A33626">
            <w:pPr>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43</w:t>
            </w:r>
          </w:p>
        </w:tc>
      </w:tr>
      <w:tr w:rsidR="001E0975" w:rsidRPr="00F13073" w14:paraId="1D57CDC2" w14:textId="77777777" w:rsidTr="00A33BC0">
        <w:trPr>
          <w:cantSplit/>
          <w:tblHeader/>
        </w:trPr>
        <w:tc>
          <w:tcPr>
            <w:tcW w:w="2835" w:type="dxa"/>
            <w:tcBorders>
              <w:top w:val="single" w:sz="4" w:space="0" w:color="auto"/>
              <w:left w:val="single" w:sz="4" w:space="0" w:color="auto"/>
              <w:bottom w:val="single" w:sz="4" w:space="0" w:color="auto"/>
            </w:tcBorders>
          </w:tcPr>
          <w:p w14:paraId="072057A0" w14:textId="77777777" w:rsidR="001E0975" w:rsidRPr="00F13073" w:rsidRDefault="00034B61" w:rsidP="008B4C50">
            <w:pPr>
              <w:keepNext/>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w:t>
            </w:r>
            <w:r w:rsidR="00611033" w:rsidRPr="00F13073">
              <w:rPr>
                <w:sz w:val="20"/>
                <w:szCs w:val="20"/>
              </w:rPr>
              <w:t>AUC</w:t>
            </w:r>
            <w:r w:rsidR="00611033" w:rsidRPr="00F13073">
              <w:rPr>
                <w:sz w:val="20"/>
                <w:szCs w:val="20"/>
                <w:vertAlign w:val="subscript"/>
              </w:rPr>
              <w:t>τ</w:t>
            </w:r>
            <w:r w:rsidR="00611033" w:rsidRPr="00F13073">
              <w:rPr>
                <w:sz w:val="20"/>
                <w:szCs w:val="20"/>
              </w:rPr>
              <w:t>*</w:t>
            </w:r>
          </w:p>
        </w:tc>
        <w:tc>
          <w:tcPr>
            <w:tcW w:w="2897" w:type="dxa"/>
            <w:tcBorders>
              <w:top w:val="single" w:sz="4" w:space="0" w:color="auto"/>
              <w:left w:val="single" w:sz="4" w:space="0" w:color="auto"/>
              <w:bottom w:val="single" w:sz="4" w:space="0" w:color="auto"/>
            </w:tcBorders>
          </w:tcPr>
          <w:p w14:paraId="7ECE4740" w14:textId="77777777" w:rsidR="001E0975" w:rsidRPr="00F13073" w:rsidRDefault="00611033" w:rsidP="00A33626">
            <w:pPr>
              <w:keepNext/>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16</w:t>
            </w:r>
          </w:p>
        </w:tc>
        <w:tc>
          <w:tcPr>
            <w:tcW w:w="3073" w:type="dxa"/>
            <w:tcBorders>
              <w:top w:val="single" w:sz="4" w:space="0" w:color="auto"/>
              <w:left w:val="single" w:sz="4" w:space="0" w:color="auto"/>
              <w:bottom w:val="single" w:sz="4" w:space="0" w:color="auto"/>
              <w:right w:val="single" w:sz="4" w:space="0" w:color="auto"/>
            </w:tcBorders>
          </w:tcPr>
          <w:p w14:paraId="4A904FF2" w14:textId="77777777" w:rsidR="001E0975" w:rsidRPr="00F13073" w:rsidRDefault="00611033" w:rsidP="00A33626">
            <w:pPr>
              <w:keepNext/>
              <w:suppressAutoHyphens/>
              <w:jc w:val="center"/>
              <w:rPr>
                <w:sz w:val="20"/>
                <w:szCs w:val="20"/>
                <w:u w:val="single"/>
              </w:rPr>
            </w:pPr>
            <w:r w:rsidRPr="00F13073">
              <w:rPr>
                <w:sz w:val="20"/>
                <w:szCs w:val="20"/>
                <w:u w:val="single"/>
              </w:rPr>
              <w:t>1</w:t>
            </w:r>
            <w:r w:rsidR="00456F2D" w:rsidRPr="00F13073">
              <w:rPr>
                <w:sz w:val="20"/>
                <w:szCs w:val="20"/>
                <w:u w:val="single"/>
              </w:rPr>
              <w:t>,</w:t>
            </w:r>
            <w:r w:rsidRPr="00F13073">
              <w:rPr>
                <w:sz w:val="20"/>
                <w:szCs w:val="20"/>
                <w:u w:val="single"/>
              </w:rPr>
              <w:t>05</w:t>
            </w:r>
          </w:p>
        </w:tc>
      </w:tr>
    </w:tbl>
    <w:p w14:paraId="4C7D52F5" w14:textId="77777777" w:rsidR="001E0975" w:rsidRPr="00F13073" w:rsidRDefault="00611033" w:rsidP="008B4C50">
      <w:pPr>
        <w:rPr>
          <w:sz w:val="18"/>
          <w:szCs w:val="18"/>
        </w:rPr>
      </w:pPr>
      <w:r w:rsidRPr="00F13073">
        <w:rPr>
          <w:sz w:val="18"/>
          <w:szCs w:val="18"/>
        </w:rPr>
        <w:t xml:space="preserve">*τ = </w:t>
      </w:r>
      <w:r w:rsidR="00A759A5" w:rsidRPr="00F13073">
        <w:rPr>
          <w:sz w:val="18"/>
          <w:szCs w:val="18"/>
        </w:rPr>
        <w:t>4 tygodnie dla schematów podawania dożylnego, odpowiednio 2 tygodnie lub 3 tygodnie dla dwóch schematów podawania podskórnego</w:t>
      </w:r>
    </w:p>
    <w:p w14:paraId="7EE465C7" w14:textId="77777777" w:rsidR="001E0975" w:rsidRPr="00F13073" w:rsidRDefault="001E0975" w:rsidP="008B4C50"/>
    <w:p w14:paraId="1B218F43" w14:textId="77777777" w:rsidR="00A759A5" w:rsidRPr="00F13073" w:rsidRDefault="00A759A5" w:rsidP="008B4C50">
      <w:pPr>
        <w:pStyle w:val="a4"/>
        <w:widowControl/>
        <w:spacing w:after="0"/>
        <w:rPr>
          <w:rStyle w:val="Char"/>
        </w:rPr>
      </w:pPr>
      <w:r w:rsidRPr="00F13073">
        <w:rPr>
          <w:rStyle w:val="Char"/>
        </w:rPr>
        <w:lastRenderedPageBreak/>
        <w:t>Po podaniu dożylnym około 90% stanu równowagi dynamicznej osiągano do tygodnia 12. w przypadku dawki 10 mg/kg mc. (masa ciała &lt; 30 kg) i do tygodnia 16. w przypadku dawki 8 mg/kg mc. (masa ciała ≥ 30 kg).</w:t>
      </w:r>
    </w:p>
    <w:p w14:paraId="7181BC80" w14:textId="77777777" w:rsidR="00A759A5" w:rsidRPr="00F13073" w:rsidRDefault="00A759A5" w:rsidP="008B4C50">
      <w:pPr>
        <w:pStyle w:val="a4"/>
        <w:widowControl/>
        <w:spacing w:after="0"/>
      </w:pPr>
    </w:p>
    <w:p w14:paraId="19297F6D" w14:textId="65711C55" w:rsidR="00A759A5" w:rsidRPr="00F13073" w:rsidRDefault="00A759A5" w:rsidP="00A31743">
      <w:pPr>
        <w:pStyle w:val="a4"/>
        <w:widowControl/>
        <w:spacing w:after="0"/>
        <w:rPr>
          <w:rStyle w:val="Char"/>
        </w:rPr>
      </w:pPr>
      <w:r w:rsidRPr="00F13073">
        <w:rPr>
          <w:rStyle w:val="Char"/>
        </w:rPr>
        <w:t>Okres półtrwania tocilizumabu u chorych na wMIZS wynosi do 16 dni dla obu kategorii masy ciała (8</w:t>
      </w:r>
      <w:r w:rsidR="00A31743" w:rsidRPr="00F13073">
        <w:rPr>
          <w:rStyle w:val="Char"/>
        </w:rPr>
        <w:t> </w:t>
      </w:r>
      <w:r w:rsidRPr="00F13073">
        <w:rPr>
          <w:rStyle w:val="Char"/>
        </w:rPr>
        <w:t>mg/kg mc. dla masy ciała ≥ 30 kg lb 10 mg/kg mc. dla masy ciała &lt; 30 kg) w stanie równowagi podczas przerwy w dawkowaniu.</w:t>
      </w:r>
    </w:p>
    <w:p w14:paraId="680A3510" w14:textId="77777777" w:rsidR="00A759A5" w:rsidRPr="00F13073" w:rsidRDefault="00A759A5" w:rsidP="008B4C50">
      <w:pPr>
        <w:pStyle w:val="a4"/>
        <w:widowControl/>
        <w:spacing w:after="0"/>
      </w:pPr>
    </w:p>
    <w:p w14:paraId="6AA2970E" w14:textId="77777777" w:rsidR="001E0975" w:rsidRPr="00F13073" w:rsidRDefault="001721B1" w:rsidP="008B4C50">
      <w:pPr>
        <w:keepNext/>
        <w:ind w:left="567" w:hanging="567"/>
        <w:rPr>
          <w:b/>
          <w:bCs/>
        </w:rPr>
      </w:pPr>
      <w:r w:rsidRPr="00F13073">
        <w:rPr>
          <w:b/>
          <w:bCs/>
        </w:rPr>
        <w:t>5.3</w:t>
      </w:r>
      <w:r w:rsidRPr="00F13073">
        <w:rPr>
          <w:b/>
          <w:bCs/>
        </w:rPr>
        <w:tab/>
      </w:r>
      <w:r w:rsidR="00A759A5" w:rsidRPr="00F13073">
        <w:rPr>
          <w:rStyle w:val="Char"/>
          <w:rFonts w:eastAsia="DengXian"/>
          <w:b/>
          <w:bCs/>
        </w:rPr>
        <w:t>Przedkliniczne dane o bezpieczeństwie</w:t>
      </w:r>
    </w:p>
    <w:p w14:paraId="7A89D1AB" w14:textId="77777777" w:rsidR="00F70B5D" w:rsidRPr="00F13073" w:rsidRDefault="00F70B5D" w:rsidP="008B4C50">
      <w:pPr>
        <w:keepNext/>
        <w:ind w:left="567" w:hanging="567"/>
        <w:rPr>
          <w:b/>
          <w:bCs/>
        </w:rPr>
      </w:pPr>
    </w:p>
    <w:p w14:paraId="143D884E" w14:textId="77777777" w:rsidR="00A759A5" w:rsidRPr="00F13073" w:rsidRDefault="00A759A5" w:rsidP="008B4C50">
      <w:pPr>
        <w:pStyle w:val="a4"/>
        <w:widowControl/>
        <w:spacing w:after="0"/>
        <w:rPr>
          <w:rStyle w:val="Char"/>
        </w:rPr>
      </w:pPr>
      <w:r w:rsidRPr="00F13073">
        <w:rPr>
          <w:rStyle w:val="Char"/>
        </w:rPr>
        <w:t>Dane przedkliniczne, uzyskane na podstawie konwencjonalnych badań farmakologicznych dotyczących bezpieczeństwa stosowania, toksyczności po podaniu wielokrotnym, genotoksyczności, nie ujawniają występowania szczególnego zagrożenia dla człowieka.</w:t>
      </w:r>
    </w:p>
    <w:p w14:paraId="17A2E37E" w14:textId="77777777" w:rsidR="00A759A5" w:rsidRPr="00F13073" w:rsidRDefault="00A759A5" w:rsidP="008B4C50">
      <w:pPr>
        <w:pStyle w:val="a4"/>
        <w:widowControl/>
        <w:spacing w:after="0"/>
      </w:pPr>
    </w:p>
    <w:p w14:paraId="5EFE135E" w14:textId="77777777" w:rsidR="00A759A5" w:rsidRPr="00F13073" w:rsidRDefault="00A759A5" w:rsidP="008B4C50">
      <w:pPr>
        <w:pStyle w:val="a4"/>
        <w:widowControl/>
        <w:spacing w:after="0"/>
        <w:rPr>
          <w:rStyle w:val="Char"/>
        </w:rPr>
      </w:pPr>
      <w:r w:rsidRPr="00F13073">
        <w:rPr>
          <w:rStyle w:val="Char"/>
        </w:rPr>
        <w:t>Nie przeprowadzono badań nad potencjalnym działaniem rakotwórczym ponieważ przeciwciała monoklonalne IgG1 nie są uważane za wykazujące działanie karcynogenne.</w:t>
      </w:r>
    </w:p>
    <w:p w14:paraId="5439D8A3" w14:textId="77777777" w:rsidR="00A759A5" w:rsidRPr="00F13073" w:rsidRDefault="00A759A5" w:rsidP="008B4C50">
      <w:pPr>
        <w:pStyle w:val="a4"/>
        <w:widowControl/>
        <w:spacing w:after="0"/>
      </w:pPr>
    </w:p>
    <w:p w14:paraId="4A38B6BD" w14:textId="77777777" w:rsidR="00A759A5" w:rsidRPr="00F13073" w:rsidRDefault="00A759A5" w:rsidP="008B4C50">
      <w:pPr>
        <w:pStyle w:val="a4"/>
        <w:widowControl/>
        <w:spacing w:after="0"/>
        <w:rPr>
          <w:rStyle w:val="Char"/>
        </w:rPr>
      </w:pPr>
      <w:r w:rsidRPr="00F13073">
        <w:rPr>
          <w:rStyle w:val="Char"/>
        </w:rPr>
        <w:t>Dostępne dane przedkliniczne wykazały wpływ IL-6 na progresję złośliwego procesu nowotworowego i oporność na apoptozę różnych rodzajów raka. Wyniki te nie wskazują na względne ryzyko inicjacji i progresji zmian nowotworowych podczas leczenia tocilizumabem. Ponadto, nie zaobserwowano wystąpienia zmian o charakterze rozrostowym w 6-miesięcznych badaniach nad przewlekłą toksycznością przeprowadzonych na małpach Cynomolgus, ani u myszy pozbawionych IL-6.</w:t>
      </w:r>
    </w:p>
    <w:p w14:paraId="7CC73C1C" w14:textId="77777777" w:rsidR="00A759A5" w:rsidRPr="00F13073" w:rsidRDefault="00A759A5" w:rsidP="008B4C50">
      <w:pPr>
        <w:pStyle w:val="a4"/>
        <w:widowControl/>
        <w:spacing w:after="0"/>
      </w:pPr>
    </w:p>
    <w:p w14:paraId="0259FB02" w14:textId="764FC5CE" w:rsidR="00A759A5" w:rsidRPr="00F13073" w:rsidRDefault="00A759A5" w:rsidP="00A31743">
      <w:pPr>
        <w:pStyle w:val="a4"/>
        <w:widowControl/>
        <w:spacing w:after="0"/>
        <w:rPr>
          <w:rStyle w:val="Char"/>
        </w:rPr>
      </w:pPr>
      <w:r w:rsidRPr="00F13073">
        <w:rPr>
          <w:rStyle w:val="Char"/>
        </w:rPr>
        <w:t>Dostępne dane przedkliniczne nie wskazują na istnienie wpływu leczenia tocilizumabem na płodność. Nie zaobserwowano wpływu na narządy hormonalnie czynne i wchodzące w skład układu rozrodczego w przeprowadzonych na małpach badaniach nad toksycznością przewlekłą, jak również nie stwierdzono zaburzeń zdolności reprodukcyjnych u myszy pozbawionych IL-6. Podawanie tocilizumabu małpom Cynomolgus w okresie wczesnej ciąży nie wiązało się z bezpośrednim lub pośrednim działaniem szkodliwym na przebieg ciąży lub rozwój zarodka. Jednakże, odnotowano nieznaczne zwiększenie częstości poronień (śmierci embrionalno-płodowej) przy ekspozycji ustrojowej na wysokie dawki (&gt;</w:t>
      </w:r>
      <w:r w:rsidR="00A31743" w:rsidRPr="00F13073">
        <w:rPr>
          <w:rStyle w:val="Char"/>
        </w:rPr>
        <w:t> </w:t>
      </w:r>
      <w:r w:rsidRPr="00F13073">
        <w:rPr>
          <w:rStyle w:val="Char"/>
        </w:rPr>
        <w:t xml:space="preserve">100 x narażenie u ludzi) w grupie, której podawano dawkę w wysokości 50 mg/kg mc./dobę w porównaniu do placebo lub do innych - otrzymujących niższe dawki </w:t>
      </w:r>
      <w:r w:rsidR="006157FC" w:rsidRPr="00F13073">
        <w:rPr>
          <w:rStyle w:val="Char"/>
        </w:rPr>
        <w:t>–</w:t>
      </w:r>
      <w:r w:rsidRPr="00F13073">
        <w:rPr>
          <w:rStyle w:val="Char"/>
        </w:rPr>
        <w:t xml:space="preserve"> grup badanych. Pomimo iż IL-6 nie wydaje się być cytokiną o decydującym znaczeniu dla wzrostu płodu lub dla immunologicznej kontroli matka-płód, to jednak nie można wykluczyć związku obserwowanych zdarzeń z podawaniem tocilizumabu.</w:t>
      </w:r>
    </w:p>
    <w:p w14:paraId="50FF2084" w14:textId="77777777" w:rsidR="00A759A5" w:rsidRPr="00F13073" w:rsidRDefault="00A759A5" w:rsidP="008B4C50">
      <w:pPr>
        <w:pStyle w:val="a4"/>
        <w:widowControl/>
        <w:spacing w:after="0"/>
      </w:pPr>
    </w:p>
    <w:p w14:paraId="668F48E9" w14:textId="77777777" w:rsidR="00A759A5" w:rsidRPr="00F13073" w:rsidRDefault="00A759A5" w:rsidP="008B4C50">
      <w:r w:rsidRPr="00F13073">
        <w:rPr>
          <w:rStyle w:val="Char"/>
          <w:rFonts w:eastAsia="DengXian"/>
        </w:rPr>
        <w:t>Leczenie mysim analogiem nie wywoływało toksyczności u młodych myszy. W szczególności nie zaobserwowano zaburzeń dotyczących wzrostu szkieletu, funkcjonowania układu odpornościowego i dojrzewania płciowego.</w:t>
      </w:r>
    </w:p>
    <w:p w14:paraId="21ED0523" w14:textId="77777777" w:rsidR="00A759A5" w:rsidRPr="00F13073" w:rsidRDefault="00A759A5" w:rsidP="008B4C50"/>
    <w:p w14:paraId="1CEAD82C" w14:textId="77777777" w:rsidR="0022773E" w:rsidRPr="00F13073" w:rsidRDefault="0022773E" w:rsidP="008B4C50"/>
    <w:p w14:paraId="7873DC42" w14:textId="77777777" w:rsidR="001E0975" w:rsidRPr="00F13073" w:rsidRDefault="001721B1" w:rsidP="008B4C50">
      <w:pPr>
        <w:keepNext/>
        <w:ind w:left="567" w:hanging="567"/>
        <w:rPr>
          <w:b/>
          <w:bCs/>
        </w:rPr>
      </w:pPr>
      <w:r w:rsidRPr="00F13073">
        <w:rPr>
          <w:b/>
          <w:bCs/>
        </w:rPr>
        <w:t>6.</w:t>
      </w:r>
      <w:r w:rsidRPr="00F13073">
        <w:rPr>
          <w:b/>
          <w:bCs/>
        </w:rPr>
        <w:tab/>
      </w:r>
      <w:r w:rsidR="001C4B85" w:rsidRPr="00F13073">
        <w:rPr>
          <w:rStyle w:val="Char"/>
          <w:rFonts w:eastAsia="DengXian"/>
          <w:b/>
          <w:bCs/>
        </w:rPr>
        <w:t>DANE FARMACEUTYCZNE</w:t>
      </w:r>
    </w:p>
    <w:p w14:paraId="0FD5CCBC" w14:textId="77777777" w:rsidR="0022773E" w:rsidRPr="00F13073" w:rsidRDefault="0022773E" w:rsidP="008B4C50">
      <w:pPr>
        <w:keepNext/>
        <w:ind w:left="567" w:hanging="567"/>
        <w:rPr>
          <w:b/>
          <w:bCs/>
        </w:rPr>
      </w:pPr>
    </w:p>
    <w:p w14:paraId="181C0C69" w14:textId="77777777" w:rsidR="001E0975" w:rsidRPr="00F13073" w:rsidRDefault="001721B1" w:rsidP="008B4C50">
      <w:pPr>
        <w:keepNext/>
        <w:ind w:left="567" w:hanging="567"/>
        <w:rPr>
          <w:b/>
          <w:bCs/>
        </w:rPr>
      </w:pPr>
      <w:r w:rsidRPr="00F13073">
        <w:rPr>
          <w:b/>
          <w:bCs/>
        </w:rPr>
        <w:t>6.1</w:t>
      </w:r>
      <w:r w:rsidRPr="00F13073">
        <w:rPr>
          <w:b/>
          <w:bCs/>
        </w:rPr>
        <w:tab/>
      </w:r>
      <w:r w:rsidR="001C4B85" w:rsidRPr="00F13073">
        <w:rPr>
          <w:rStyle w:val="Char"/>
          <w:rFonts w:eastAsia="DengXian"/>
          <w:b/>
          <w:bCs/>
        </w:rPr>
        <w:t>Wykaz substancji pomocniczych</w:t>
      </w:r>
    </w:p>
    <w:p w14:paraId="0714CFE5" w14:textId="77777777" w:rsidR="0022773E" w:rsidRPr="00F13073" w:rsidRDefault="0022773E" w:rsidP="008B4C50">
      <w:pPr>
        <w:keepNext/>
        <w:ind w:left="567" w:hanging="567"/>
        <w:rPr>
          <w:b/>
          <w:bCs/>
        </w:rPr>
      </w:pPr>
    </w:p>
    <w:p w14:paraId="63905595" w14:textId="77777777" w:rsidR="00DF78AD" w:rsidRDefault="00DF78AD" w:rsidP="008B4C50">
      <w:pPr>
        <w:pStyle w:val="a4"/>
        <w:widowControl/>
        <w:spacing w:after="0"/>
        <w:rPr>
          <w:rStyle w:val="Char"/>
          <w:rFonts w:eastAsia="맑은 고딕"/>
          <w:lang w:eastAsia="ko-KR"/>
        </w:rPr>
      </w:pPr>
      <w:r w:rsidRPr="00F13073">
        <w:rPr>
          <w:rStyle w:val="Char"/>
        </w:rPr>
        <w:t>L-histydyna</w:t>
      </w:r>
    </w:p>
    <w:p w14:paraId="49664469" w14:textId="42F54A30" w:rsidR="00904F12" w:rsidRPr="005F0664" w:rsidRDefault="00017E9D" w:rsidP="008B4C50">
      <w:pPr>
        <w:pStyle w:val="a4"/>
        <w:widowControl/>
        <w:spacing w:after="0"/>
        <w:rPr>
          <w:rStyle w:val="Char"/>
          <w:rFonts w:eastAsia="맑은 고딕"/>
          <w:lang w:eastAsia="ko-KR"/>
        </w:rPr>
      </w:pPr>
      <w:r w:rsidRPr="00017E9D">
        <w:rPr>
          <w:rFonts w:eastAsia="맑은 고딕" w:hint="eastAsia"/>
          <w:lang w:eastAsia="ko-KR"/>
        </w:rPr>
        <w:t>L-histydyny monochlorowodorek, monohydrat</w:t>
      </w:r>
    </w:p>
    <w:p w14:paraId="7D6104CC" w14:textId="77777777" w:rsidR="00C1192A" w:rsidRPr="00127FBE" w:rsidRDefault="00C1192A" w:rsidP="008B4C50">
      <w:pPr>
        <w:pStyle w:val="a4"/>
        <w:widowControl/>
        <w:spacing w:after="0"/>
        <w:rPr>
          <w:rStyle w:val="Char"/>
          <w:lang w:val="en-GB"/>
        </w:rPr>
      </w:pPr>
      <w:r w:rsidRPr="00127FBE">
        <w:rPr>
          <w:rStyle w:val="Char"/>
          <w:lang w:val="en-GB"/>
        </w:rPr>
        <w:t>L-</w:t>
      </w:r>
      <w:proofErr w:type="spellStart"/>
      <w:r w:rsidRPr="00127FBE">
        <w:rPr>
          <w:rStyle w:val="Char"/>
          <w:lang w:val="en-GB"/>
        </w:rPr>
        <w:t>treonina</w:t>
      </w:r>
      <w:proofErr w:type="spellEnd"/>
    </w:p>
    <w:p w14:paraId="5C3DE739" w14:textId="77777777" w:rsidR="0098095D" w:rsidRPr="00127FBE" w:rsidRDefault="0098095D" w:rsidP="008B4C50">
      <w:pPr>
        <w:pStyle w:val="a4"/>
        <w:widowControl/>
        <w:spacing w:after="0"/>
        <w:rPr>
          <w:rStyle w:val="Char"/>
          <w:lang w:val="en-GB"/>
        </w:rPr>
      </w:pPr>
      <w:r w:rsidRPr="00127FBE">
        <w:rPr>
          <w:rStyle w:val="Char"/>
          <w:lang w:val="en-GB"/>
        </w:rPr>
        <w:t>L-</w:t>
      </w:r>
      <w:proofErr w:type="spellStart"/>
      <w:r w:rsidRPr="00127FBE">
        <w:rPr>
          <w:rStyle w:val="Char"/>
          <w:lang w:val="en-GB"/>
        </w:rPr>
        <w:t>metionina</w:t>
      </w:r>
      <w:proofErr w:type="spellEnd"/>
    </w:p>
    <w:p w14:paraId="53CB637B" w14:textId="6005DEB6" w:rsidR="001C4B85" w:rsidRPr="00127FBE" w:rsidRDefault="001C4B85" w:rsidP="008B4C50">
      <w:pPr>
        <w:pStyle w:val="a4"/>
        <w:widowControl/>
        <w:spacing w:after="0"/>
        <w:rPr>
          <w:lang w:val="en-GB"/>
        </w:rPr>
      </w:pPr>
      <w:proofErr w:type="spellStart"/>
      <w:r w:rsidRPr="00127FBE">
        <w:rPr>
          <w:rStyle w:val="Char"/>
          <w:lang w:val="en-GB"/>
        </w:rPr>
        <w:t>Polisorbat</w:t>
      </w:r>
      <w:proofErr w:type="spellEnd"/>
      <w:r w:rsidRPr="00127FBE">
        <w:rPr>
          <w:rStyle w:val="Char"/>
          <w:lang w:val="en-GB"/>
        </w:rPr>
        <w:t xml:space="preserve"> 80</w:t>
      </w:r>
    </w:p>
    <w:p w14:paraId="14FC20E0" w14:textId="77777777" w:rsidR="001C4B85" w:rsidRPr="00F13073" w:rsidRDefault="001C4B85" w:rsidP="008B4C50">
      <w:pPr>
        <w:pStyle w:val="a4"/>
        <w:widowControl/>
        <w:spacing w:after="0"/>
        <w:rPr>
          <w:rStyle w:val="Char"/>
        </w:rPr>
      </w:pPr>
      <w:r w:rsidRPr="00F13073">
        <w:rPr>
          <w:rStyle w:val="Char"/>
        </w:rPr>
        <w:t>Woda do wstrzykiwań</w:t>
      </w:r>
    </w:p>
    <w:p w14:paraId="2785E3A7" w14:textId="77777777" w:rsidR="001C4B85" w:rsidRPr="00F13073" w:rsidRDefault="001C4B85" w:rsidP="008B4C50">
      <w:pPr>
        <w:pStyle w:val="a4"/>
        <w:widowControl/>
        <w:spacing w:after="0"/>
      </w:pPr>
    </w:p>
    <w:p w14:paraId="567B52EF" w14:textId="77777777" w:rsidR="001C4B85" w:rsidRPr="00F13073" w:rsidRDefault="001C4B85" w:rsidP="008B4C50">
      <w:pPr>
        <w:keepNext/>
        <w:ind w:left="567" w:hanging="567"/>
        <w:rPr>
          <w:b/>
          <w:bCs/>
        </w:rPr>
      </w:pPr>
      <w:r w:rsidRPr="00F13073">
        <w:rPr>
          <w:b/>
          <w:bCs/>
        </w:rPr>
        <w:t>6.2</w:t>
      </w:r>
      <w:r w:rsidRPr="00F13073">
        <w:rPr>
          <w:b/>
          <w:bCs/>
        </w:rPr>
        <w:tab/>
        <w:t>Niezgodności farmaceutyczne</w:t>
      </w:r>
    </w:p>
    <w:p w14:paraId="54298FC9" w14:textId="77777777" w:rsidR="001C4B85" w:rsidRPr="00F13073" w:rsidRDefault="001C4B85" w:rsidP="008B4C50">
      <w:pPr>
        <w:pStyle w:val="a4"/>
        <w:widowControl/>
        <w:spacing w:after="0"/>
        <w:rPr>
          <w:rStyle w:val="Char"/>
        </w:rPr>
      </w:pPr>
    </w:p>
    <w:p w14:paraId="597E009D" w14:textId="77777777" w:rsidR="001C4B85" w:rsidRPr="00F13073" w:rsidRDefault="001C4B85" w:rsidP="008B4C50">
      <w:pPr>
        <w:pStyle w:val="a4"/>
        <w:widowControl/>
        <w:spacing w:after="0"/>
        <w:rPr>
          <w:rStyle w:val="Char"/>
        </w:rPr>
      </w:pPr>
      <w:r w:rsidRPr="00F13073">
        <w:rPr>
          <w:rStyle w:val="Char"/>
        </w:rPr>
        <w:t>Produktu leczniczego nie wolno mieszać z innymi produktami leczniczymi poza wymienionymi w punkcie 6.6.</w:t>
      </w:r>
    </w:p>
    <w:p w14:paraId="51EA64C5" w14:textId="77777777" w:rsidR="001C4B85" w:rsidRPr="00F13073" w:rsidRDefault="001C4B85" w:rsidP="008B4C50">
      <w:pPr>
        <w:pStyle w:val="a4"/>
        <w:widowControl/>
        <w:spacing w:after="0"/>
      </w:pPr>
    </w:p>
    <w:p w14:paraId="2828BC53" w14:textId="77777777" w:rsidR="001C4B85" w:rsidRPr="00F13073" w:rsidRDefault="001C4B85" w:rsidP="008B4C50">
      <w:pPr>
        <w:keepNext/>
        <w:ind w:left="567" w:hanging="567"/>
        <w:rPr>
          <w:b/>
          <w:bCs/>
        </w:rPr>
      </w:pPr>
      <w:r w:rsidRPr="00F13073">
        <w:rPr>
          <w:b/>
          <w:bCs/>
        </w:rPr>
        <w:lastRenderedPageBreak/>
        <w:t>6.3</w:t>
      </w:r>
      <w:r w:rsidRPr="00F13073">
        <w:rPr>
          <w:b/>
          <w:bCs/>
        </w:rPr>
        <w:tab/>
        <w:t>Okres ważności</w:t>
      </w:r>
    </w:p>
    <w:p w14:paraId="3DCD7F10" w14:textId="77777777" w:rsidR="001C4B85" w:rsidRPr="00F13073" w:rsidRDefault="001C4B85" w:rsidP="008B4C50">
      <w:pPr>
        <w:pStyle w:val="a4"/>
        <w:widowControl/>
        <w:spacing w:after="0"/>
        <w:rPr>
          <w:rStyle w:val="Char"/>
          <w:i/>
          <w:iCs/>
        </w:rPr>
      </w:pPr>
    </w:p>
    <w:p w14:paraId="0F906A86" w14:textId="1283CBC3" w:rsidR="001C4B85" w:rsidRPr="00F13073" w:rsidRDefault="001C4B85" w:rsidP="008B4C50">
      <w:pPr>
        <w:pStyle w:val="a4"/>
        <w:widowControl/>
        <w:spacing w:after="0"/>
        <w:rPr>
          <w:rStyle w:val="Char"/>
        </w:rPr>
      </w:pPr>
      <w:r w:rsidRPr="00F13073">
        <w:rPr>
          <w:rStyle w:val="Char"/>
          <w:i/>
          <w:iCs/>
        </w:rPr>
        <w:t>Fiolka nieotwierana:</w:t>
      </w:r>
      <w:r w:rsidRPr="00F13073">
        <w:rPr>
          <w:rStyle w:val="Char"/>
        </w:rPr>
        <w:t xml:space="preserve"> </w:t>
      </w:r>
      <w:ins w:id="8" w:author="만든 이">
        <w:r w:rsidR="006A6B0C" w:rsidRPr="006A6B0C">
          <w:rPr>
            <w:rStyle w:val="Char"/>
            <w:rFonts w:eastAsia="맑은 고딕"/>
            <w:lang w:eastAsia="ko-KR"/>
          </w:rPr>
          <w:t>3 lata</w:t>
        </w:r>
      </w:ins>
      <w:del w:id="9" w:author="만든 이">
        <w:r w:rsidR="005975E3" w:rsidDel="006A6B0C">
          <w:rPr>
            <w:rStyle w:val="Char"/>
            <w:rFonts w:eastAsia="맑은 고딕" w:hint="eastAsia"/>
            <w:lang w:eastAsia="ko-KR"/>
          </w:rPr>
          <w:delText>36</w:delText>
        </w:r>
        <w:r w:rsidR="005975E3" w:rsidRPr="00F13073" w:rsidDel="006A6B0C">
          <w:rPr>
            <w:rStyle w:val="Char"/>
          </w:rPr>
          <w:delText> </w:delText>
        </w:r>
        <w:r w:rsidR="00151F2F" w:rsidRPr="00F13073" w:rsidDel="006A6B0C">
          <w:rPr>
            <w:rStyle w:val="Char"/>
          </w:rPr>
          <w:delText>miesiące</w:delText>
        </w:r>
      </w:del>
    </w:p>
    <w:p w14:paraId="325344C3" w14:textId="77777777" w:rsidR="00DA6620" w:rsidRPr="00F13073" w:rsidRDefault="00DA6620" w:rsidP="008B4C50">
      <w:pPr>
        <w:pStyle w:val="a4"/>
        <w:widowControl/>
        <w:spacing w:after="0"/>
      </w:pPr>
    </w:p>
    <w:p w14:paraId="3F81BB84" w14:textId="42EC1EA4" w:rsidR="001C4B85" w:rsidRPr="00F13073" w:rsidRDefault="001C4B85" w:rsidP="0081094B">
      <w:pPr>
        <w:rPr>
          <w:rStyle w:val="Char"/>
          <w:rFonts w:eastAsia="DengXian"/>
        </w:rPr>
      </w:pPr>
      <w:r w:rsidRPr="00F13073">
        <w:rPr>
          <w:rStyle w:val="Char"/>
          <w:rFonts w:eastAsia="DengXian"/>
          <w:i/>
          <w:iCs/>
        </w:rPr>
        <w:t>Produkt rozcieńczony:</w:t>
      </w:r>
      <w:r w:rsidRPr="00F13073">
        <w:rPr>
          <w:rStyle w:val="Char"/>
          <w:rFonts w:eastAsia="DengXian"/>
        </w:rPr>
        <w:t xml:space="preserve"> Sporządzony roztwór do infuzji po rozcieńczeniu w roztworze chlorku sodu do wstrzykiwań o stężeniu 9 mg/mL (0,9 %) </w:t>
      </w:r>
      <w:r w:rsidR="0098095D" w:rsidRPr="00F13073">
        <w:rPr>
          <w:rStyle w:val="Char"/>
          <w:rFonts w:eastAsia="DengXian"/>
        </w:rPr>
        <w:t xml:space="preserve">lub 4,5 mg/ml (0,45%) </w:t>
      </w:r>
      <w:r w:rsidRPr="00F13073">
        <w:rPr>
          <w:rStyle w:val="Char"/>
          <w:rFonts w:eastAsia="DengXian"/>
        </w:rPr>
        <w:t xml:space="preserve">zachowuje stabilność fizyko-chemiczną. Może być przechowywany przez </w:t>
      </w:r>
      <w:r w:rsidR="00B27F7E" w:rsidRPr="00F13073">
        <w:rPr>
          <w:rStyle w:val="Char"/>
          <w:rFonts w:eastAsia="DengXian"/>
        </w:rPr>
        <w:t>48</w:t>
      </w:r>
      <w:r w:rsidR="00151F2F" w:rsidRPr="00F13073">
        <w:rPr>
          <w:rStyle w:val="Char"/>
          <w:rFonts w:eastAsia="DengXian"/>
        </w:rPr>
        <w:t> </w:t>
      </w:r>
      <w:r w:rsidRPr="00F13073">
        <w:rPr>
          <w:rStyle w:val="Char"/>
          <w:rFonts w:eastAsia="DengXian"/>
        </w:rPr>
        <w:t xml:space="preserve">godzin w temperaturze 30°C i do </w:t>
      </w:r>
      <w:r w:rsidR="00B27F7E" w:rsidRPr="00F13073">
        <w:rPr>
          <w:rStyle w:val="Char"/>
          <w:rFonts w:eastAsia="DengXian"/>
        </w:rPr>
        <w:t>1 miesiąca</w:t>
      </w:r>
      <w:r w:rsidRPr="00F13073">
        <w:rPr>
          <w:rStyle w:val="Char"/>
          <w:rFonts w:eastAsia="DengXian"/>
        </w:rPr>
        <w:t xml:space="preserve"> w lodówce w temperaturze 2°C do 8°C.</w:t>
      </w:r>
    </w:p>
    <w:p w14:paraId="6F038626" w14:textId="77777777" w:rsidR="00DA6620" w:rsidRPr="00F13073" w:rsidRDefault="00DA6620" w:rsidP="008B4C50">
      <w:pPr>
        <w:pStyle w:val="a4"/>
        <w:widowControl/>
        <w:spacing w:after="0"/>
      </w:pPr>
    </w:p>
    <w:p w14:paraId="753E5FC7" w14:textId="77777777" w:rsidR="001C4B85" w:rsidRPr="00F13073" w:rsidRDefault="001C4B85" w:rsidP="008B4C50">
      <w:pPr>
        <w:pStyle w:val="a4"/>
        <w:widowControl/>
        <w:spacing w:after="0"/>
        <w:rPr>
          <w:rStyle w:val="Char"/>
        </w:rPr>
      </w:pPr>
      <w:r w:rsidRPr="00F13073">
        <w:rPr>
          <w:rStyle w:val="Char"/>
        </w:rPr>
        <w:t>Z mikrobiologicznego punktu widzenia przygotowany roztwór do infuzji powinien być użyty bezpośrednio po pierwszym otwarciu i sporządzeniu roztworu. Jeśli produkt nie został użyty natychmiast, za czas i warunki przechowywania przed zastosowaniem odpowiedzialny jest użytkownik, przy czym przechowywanie nie powinno trwać dłużej niż 24 godziny w temperaturze 2°C do 8°C, chyba że roztwór został sporządzony w kontrolowanych i zwalidowanych warunkach z zachowaniem zasad aseptyki.</w:t>
      </w:r>
    </w:p>
    <w:p w14:paraId="74ED5EC9" w14:textId="77777777" w:rsidR="00DA6620" w:rsidRPr="00F13073" w:rsidRDefault="00DA6620" w:rsidP="008B4C50">
      <w:pPr>
        <w:pStyle w:val="a4"/>
        <w:widowControl/>
        <w:spacing w:after="0"/>
      </w:pPr>
    </w:p>
    <w:p w14:paraId="515A2AD9" w14:textId="77777777" w:rsidR="001C4B85" w:rsidRPr="00F13073" w:rsidRDefault="001C4B85" w:rsidP="008B4C50">
      <w:pPr>
        <w:keepNext/>
        <w:ind w:left="567" w:hanging="567"/>
      </w:pPr>
      <w:r w:rsidRPr="00F13073">
        <w:rPr>
          <w:rStyle w:val="Char"/>
          <w:rFonts w:eastAsia="DengXian"/>
          <w:b/>
          <w:bCs/>
        </w:rPr>
        <w:t>6.4</w:t>
      </w:r>
      <w:r w:rsidR="00DA6620" w:rsidRPr="00F13073">
        <w:rPr>
          <w:rStyle w:val="Char"/>
          <w:rFonts w:eastAsia="DengXian"/>
          <w:b/>
          <w:bCs/>
        </w:rPr>
        <w:tab/>
      </w:r>
      <w:r w:rsidRPr="00F13073">
        <w:rPr>
          <w:rStyle w:val="Char"/>
          <w:rFonts w:eastAsia="DengXian"/>
          <w:b/>
          <w:bCs/>
        </w:rPr>
        <w:t>Specjalne środki ostrożności podczas przechowywania</w:t>
      </w:r>
    </w:p>
    <w:p w14:paraId="0B2A9AFB" w14:textId="77777777" w:rsidR="00DA6620" w:rsidRPr="00F13073" w:rsidRDefault="00DA6620" w:rsidP="008B4C50">
      <w:pPr>
        <w:pStyle w:val="a4"/>
        <w:widowControl/>
        <w:spacing w:after="0"/>
        <w:rPr>
          <w:rStyle w:val="Char"/>
        </w:rPr>
      </w:pPr>
    </w:p>
    <w:p w14:paraId="7C8841FB" w14:textId="77777777" w:rsidR="001C4B85" w:rsidRPr="00F13073" w:rsidRDefault="001C4B85" w:rsidP="008B4C50">
      <w:pPr>
        <w:pStyle w:val="a4"/>
        <w:widowControl/>
        <w:spacing w:after="0"/>
        <w:rPr>
          <w:rStyle w:val="Char"/>
        </w:rPr>
      </w:pPr>
      <w:r w:rsidRPr="00F13073">
        <w:rPr>
          <w:rStyle w:val="Char"/>
        </w:rPr>
        <w:t>Fiolki przechowywać w lodówce (2°C</w:t>
      </w:r>
      <w:r w:rsidR="006157FC" w:rsidRPr="00F13073">
        <w:rPr>
          <w:rStyle w:val="Char"/>
        </w:rPr>
        <w:t>–</w:t>
      </w:r>
      <w:r w:rsidRPr="00F13073">
        <w:rPr>
          <w:rStyle w:val="Char"/>
        </w:rPr>
        <w:t>8°C). Nie zamrażać.</w:t>
      </w:r>
    </w:p>
    <w:p w14:paraId="1258403C" w14:textId="77777777" w:rsidR="00DA6620" w:rsidRPr="00F13073" w:rsidRDefault="00DA6620" w:rsidP="008B4C50">
      <w:pPr>
        <w:pStyle w:val="a4"/>
        <w:widowControl/>
        <w:spacing w:after="0"/>
      </w:pPr>
    </w:p>
    <w:p w14:paraId="5EA4EF9F" w14:textId="77777777" w:rsidR="001C4B85" w:rsidRPr="00F13073" w:rsidRDefault="001C4B85" w:rsidP="008B4C50">
      <w:pPr>
        <w:pStyle w:val="a4"/>
        <w:widowControl/>
        <w:spacing w:after="0"/>
        <w:rPr>
          <w:rStyle w:val="Char"/>
        </w:rPr>
      </w:pPr>
      <w:r w:rsidRPr="00F13073">
        <w:rPr>
          <w:rStyle w:val="Char"/>
        </w:rPr>
        <w:t>Fiolkę(i) należy przechowywać w opakowaniu zewnętrznym w celu ochrony przed światłem.</w:t>
      </w:r>
    </w:p>
    <w:p w14:paraId="78899EF2" w14:textId="77777777" w:rsidR="00DA6620" w:rsidRPr="00F13073" w:rsidRDefault="00DA6620" w:rsidP="008B4C50">
      <w:pPr>
        <w:pStyle w:val="a4"/>
        <w:widowControl/>
        <w:spacing w:after="0"/>
      </w:pPr>
    </w:p>
    <w:p w14:paraId="52A3913D" w14:textId="77777777" w:rsidR="001C4B85" w:rsidRPr="00F13073" w:rsidRDefault="001C4B85" w:rsidP="008B4C50">
      <w:pPr>
        <w:pStyle w:val="a4"/>
        <w:widowControl/>
        <w:spacing w:after="0"/>
        <w:rPr>
          <w:rStyle w:val="Char"/>
        </w:rPr>
      </w:pPr>
      <w:r w:rsidRPr="00F13073">
        <w:rPr>
          <w:rStyle w:val="Char"/>
        </w:rPr>
        <w:t>W celu zapoznania się z warunkami przechowywania produktu leczniczego po rozcieńczeniu, patrz punkt 6.3.</w:t>
      </w:r>
    </w:p>
    <w:p w14:paraId="6807BD94" w14:textId="77777777" w:rsidR="00DA6620" w:rsidRPr="00F13073" w:rsidRDefault="00DA6620" w:rsidP="008B4C50">
      <w:pPr>
        <w:pStyle w:val="a4"/>
        <w:widowControl/>
        <w:spacing w:after="0"/>
      </w:pPr>
    </w:p>
    <w:p w14:paraId="0C00D09A" w14:textId="77777777" w:rsidR="001C4B85" w:rsidRPr="00F13073" w:rsidRDefault="001C4B85" w:rsidP="008B4C50">
      <w:pPr>
        <w:keepNext/>
        <w:ind w:left="567" w:hanging="567"/>
      </w:pPr>
      <w:r w:rsidRPr="00F13073">
        <w:rPr>
          <w:rStyle w:val="Char"/>
          <w:rFonts w:eastAsia="DengXian"/>
          <w:b/>
          <w:bCs/>
        </w:rPr>
        <w:t>6.5</w:t>
      </w:r>
      <w:r w:rsidR="00DA6620" w:rsidRPr="00F13073">
        <w:rPr>
          <w:rStyle w:val="Char"/>
          <w:rFonts w:eastAsia="DengXian"/>
          <w:b/>
          <w:bCs/>
        </w:rPr>
        <w:tab/>
      </w:r>
      <w:r w:rsidRPr="00F13073">
        <w:rPr>
          <w:rStyle w:val="Char"/>
          <w:rFonts w:eastAsia="DengXian"/>
          <w:b/>
          <w:bCs/>
        </w:rPr>
        <w:t>Rodzaj i zawartość opakowania</w:t>
      </w:r>
    </w:p>
    <w:p w14:paraId="164F64C3" w14:textId="77777777" w:rsidR="00DA6620" w:rsidRPr="00F13073" w:rsidRDefault="00DA6620" w:rsidP="008B4C50">
      <w:pPr>
        <w:pStyle w:val="a4"/>
        <w:widowControl/>
        <w:spacing w:after="0"/>
        <w:rPr>
          <w:rStyle w:val="Char"/>
        </w:rPr>
      </w:pPr>
    </w:p>
    <w:p w14:paraId="7ED944E2" w14:textId="77604D1F" w:rsidR="001C4B85" w:rsidRPr="00F13073" w:rsidRDefault="001C4B85"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jest dostarczany w fiolkach (szkło typu I) z korkiem (z gumy butylowej) zawierających 4 mL, 10 mL lub 20 mL koncentratu. Opakowania zawierają 1 lub 4 fiolki.</w:t>
      </w:r>
    </w:p>
    <w:p w14:paraId="70348D35" w14:textId="77777777" w:rsidR="00DA6620" w:rsidRPr="00F13073" w:rsidRDefault="00DA6620" w:rsidP="008B4C50">
      <w:pPr>
        <w:pStyle w:val="a4"/>
        <w:widowControl/>
        <w:spacing w:after="0"/>
      </w:pPr>
    </w:p>
    <w:p w14:paraId="2B1A14E1" w14:textId="77777777" w:rsidR="001C4B85" w:rsidRPr="00F13073" w:rsidRDefault="001C4B85" w:rsidP="008B4C50">
      <w:pPr>
        <w:pStyle w:val="a4"/>
        <w:widowControl/>
        <w:spacing w:after="0"/>
      </w:pPr>
      <w:r w:rsidRPr="00F13073">
        <w:rPr>
          <w:rStyle w:val="Char"/>
        </w:rPr>
        <w:t>Nie wszystkie wielkości opakowań muszą znajdować się w obrocie.</w:t>
      </w:r>
    </w:p>
    <w:p w14:paraId="229FC180" w14:textId="77777777" w:rsidR="00DA6620" w:rsidRPr="00F13073" w:rsidRDefault="00DA6620" w:rsidP="008B4C50">
      <w:pPr>
        <w:pStyle w:val="a4"/>
        <w:widowControl/>
        <w:spacing w:after="0"/>
        <w:ind w:left="680" w:hanging="680"/>
        <w:rPr>
          <w:rStyle w:val="Char"/>
          <w:b/>
          <w:bCs/>
        </w:rPr>
      </w:pPr>
    </w:p>
    <w:p w14:paraId="65CF0318" w14:textId="77777777" w:rsidR="001C4B85" w:rsidRPr="00F13073" w:rsidRDefault="001C4B85" w:rsidP="008B4C50">
      <w:pPr>
        <w:keepNext/>
        <w:ind w:left="567" w:hanging="567"/>
      </w:pPr>
      <w:r w:rsidRPr="00F13073">
        <w:rPr>
          <w:rStyle w:val="Char"/>
          <w:rFonts w:eastAsia="DengXian"/>
          <w:b/>
          <w:bCs/>
        </w:rPr>
        <w:t>6.6</w:t>
      </w:r>
      <w:r w:rsidR="00DA6620" w:rsidRPr="00F13073">
        <w:rPr>
          <w:rStyle w:val="Char"/>
          <w:rFonts w:eastAsia="DengXian"/>
          <w:b/>
          <w:bCs/>
        </w:rPr>
        <w:tab/>
      </w:r>
      <w:r w:rsidRPr="00F13073">
        <w:rPr>
          <w:rStyle w:val="Char"/>
          <w:rFonts w:eastAsia="DengXian"/>
          <w:b/>
          <w:bCs/>
        </w:rPr>
        <w:t>Specjalne środki ostrożności dotyczące usuwania i przygotowania produktu leczniczego do stosowania</w:t>
      </w:r>
    </w:p>
    <w:p w14:paraId="51B6A761" w14:textId="77777777" w:rsidR="00DA6620" w:rsidRPr="00F13073" w:rsidRDefault="00DA6620" w:rsidP="008B4C50">
      <w:pPr>
        <w:pStyle w:val="a4"/>
        <w:widowControl/>
        <w:spacing w:after="0"/>
        <w:rPr>
          <w:rStyle w:val="Char"/>
          <w:u w:val="single"/>
        </w:rPr>
      </w:pPr>
    </w:p>
    <w:p w14:paraId="67401126" w14:textId="77777777" w:rsidR="001C4B85" w:rsidRPr="00F13073" w:rsidRDefault="001C4B85" w:rsidP="008B4C50">
      <w:pPr>
        <w:pStyle w:val="a4"/>
        <w:widowControl/>
        <w:spacing w:after="0"/>
      </w:pPr>
      <w:r w:rsidRPr="00F13073">
        <w:rPr>
          <w:rStyle w:val="Char"/>
          <w:u w:val="single"/>
        </w:rPr>
        <w:t>Zalecenia dotyczące rozcieńczenia przed podaniem</w:t>
      </w:r>
    </w:p>
    <w:p w14:paraId="1FDEC1A3" w14:textId="447B8C68" w:rsidR="001C4B85" w:rsidRPr="00F13073" w:rsidRDefault="001C4B85" w:rsidP="0081094B">
      <w:pPr>
        <w:rPr>
          <w:rStyle w:val="Char"/>
          <w:rFonts w:eastAsia="DengXian"/>
        </w:rPr>
      </w:pPr>
      <w:r w:rsidRPr="00F13073">
        <w:rPr>
          <w:rStyle w:val="Char"/>
          <w:rFonts w:eastAsia="DengXian"/>
        </w:rPr>
        <w:t xml:space="preserve">Leki przeznaczone do podawania drogą pozajelitową powinny zostać ocenione wzrokowo przed podaniem pod kątem występowania cząstek stałych lub przebarwień. Do rozcieńczenia nadaje się wyłącznie roztwór przezroczysty do </w:t>
      </w:r>
      <w:r w:rsidR="000F2F06" w:rsidRPr="00F13073">
        <w:rPr>
          <w:rStyle w:val="Char"/>
          <w:rFonts w:eastAsia="DengXian"/>
        </w:rPr>
        <w:t xml:space="preserve">lekko </w:t>
      </w:r>
      <w:r w:rsidRPr="00F13073">
        <w:rPr>
          <w:rStyle w:val="Char"/>
          <w:rFonts w:eastAsia="DengXian"/>
        </w:rPr>
        <w:t>opalizującego, o kolorze od bezbarwnego do bladożółtego</w:t>
      </w:r>
      <w:r w:rsidR="00DA6620" w:rsidRPr="00F13073">
        <w:rPr>
          <w:rStyle w:val="Char"/>
          <w:rFonts w:eastAsia="DengXian"/>
        </w:rPr>
        <w:t xml:space="preserve"> </w:t>
      </w:r>
      <w:r w:rsidRPr="00F13073">
        <w:rPr>
          <w:rStyle w:val="Char"/>
          <w:rFonts w:eastAsia="DengXian"/>
        </w:rPr>
        <w:t xml:space="preserve">i pozbawiony widocznych cząstek. Do przygotowania produktu leczniczego </w:t>
      </w:r>
      <w:r w:rsidR="00026375" w:rsidRPr="00F13073">
        <w:rPr>
          <w:rStyle w:val="Char"/>
          <w:rFonts w:eastAsia="DengXian"/>
        </w:rPr>
        <w:t>Avtozma</w:t>
      </w:r>
      <w:r w:rsidRPr="00F13073">
        <w:rPr>
          <w:rStyle w:val="Char"/>
          <w:rFonts w:eastAsia="DengXian"/>
        </w:rPr>
        <w:t xml:space="preserve"> należy użyć sterylnej igły i strzykawki.</w:t>
      </w:r>
      <w:r w:rsidR="000F2F06" w:rsidRPr="00F13073">
        <w:rPr>
          <w:rStyle w:val="Char"/>
          <w:rFonts w:eastAsia="DengXian"/>
        </w:rPr>
        <w:t xml:space="preserve"> </w:t>
      </w:r>
      <w:r w:rsidR="000F2F06" w:rsidRPr="00F13073">
        <w:t>W przypadku worków infuzyjnych wykonanych z polichlorku winylu (PVC) należy stosować worki infuzyjne niezawierające ftalanu di-(2-etyloheksylu)</w:t>
      </w:r>
      <w:r w:rsidR="000F2F06" w:rsidRPr="00F13073">
        <w:rPr>
          <w:b/>
          <w:bCs/>
        </w:rPr>
        <w:t xml:space="preserve"> </w:t>
      </w:r>
      <w:r w:rsidR="000F2F06" w:rsidRPr="00F13073">
        <w:t>(DEHP).</w:t>
      </w:r>
    </w:p>
    <w:p w14:paraId="3FB75418" w14:textId="77777777" w:rsidR="00DA6620" w:rsidRPr="00F13073" w:rsidRDefault="00DA6620" w:rsidP="008B4C50">
      <w:pPr>
        <w:pStyle w:val="a4"/>
        <w:widowControl/>
        <w:spacing w:after="0"/>
      </w:pPr>
    </w:p>
    <w:p w14:paraId="7721FA4D" w14:textId="77777777" w:rsidR="001C4B85" w:rsidRPr="00F13073" w:rsidRDefault="001C4B85" w:rsidP="008B4C50">
      <w:pPr>
        <w:pStyle w:val="a4"/>
        <w:widowControl/>
        <w:spacing w:after="0"/>
      </w:pPr>
      <w:r w:rsidRPr="00F13073">
        <w:rPr>
          <w:rStyle w:val="Char"/>
          <w:u w:val="single"/>
        </w:rPr>
        <w:t>Chorzy na RZS, CRS (</w:t>
      </w:r>
      <w:r w:rsidR="002F71B2" w:rsidRPr="00F13073">
        <w:rPr>
          <w:rStyle w:val="Char"/>
          <w:u w:val="single"/>
        </w:rPr>
        <w:t>≥</w:t>
      </w:r>
      <w:r w:rsidRPr="00F13073">
        <w:rPr>
          <w:rStyle w:val="Char"/>
          <w:u w:val="single"/>
        </w:rPr>
        <w:t xml:space="preserve"> 30 kg) i COVID-19</w:t>
      </w:r>
    </w:p>
    <w:p w14:paraId="6D8C5727" w14:textId="1C66E367" w:rsidR="001C4B85" w:rsidRPr="00F13073" w:rsidRDefault="001C4B85" w:rsidP="008B4C50">
      <w:pPr>
        <w:pStyle w:val="a4"/>
        <w:widowControl/>
        <w:spacing w:after="0"/>
        <w:rPr>
          <w:rStyle w:val="Char"/>
        </w:rPr>
      </w:pPr>
      <w:r w:rsidRPr="00F13073">
        <w:rPr>
          <w:rStyle w:val="Char"/>
        </w:rPr>
        <w:t xml:space="preserve">Z worka do infuzji pojemności 100 mL należy, z zachowaniem zasad aseptyki usunąć ilość jałowego, apirogennego roztworu do wstrzykiwań chlorku sodu 9 mg/mL (0,9%) </w:t>
      </w:r>
      <w:r w:rsidR="000F2F06" w:rsidRPr="00F13073">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potrzebnej na dawkę dla pacjenta. Potrzebną ilość koncentratu </w:t>
      </w:r>
      <w:r w:rsidR="00026375" w:rsidRPr="00F13073">
        <w:rPr>
          <w:rStyle w:val="Char"/>
        </w:rPr>
        <w:t>Avtozma</w:t>
      </w:r>
      <w:r w:rsidRPr="00F13073">
        <w:rPr>
          <w:rStyle w:val="Char"/>
        </w:rPr>
        <w:t xml:space="preserve"> (0,4 mL/kg mc.) należy pobrać z fiolki i wstrzyknąć do tego worka do infuzji o pojemności 100 mL. Końcowa objętość powinna wynosić 100 mL. W celu wymieszania roztworu należy delikatnie obrócić worek do infuzji, unikając spienienia.</w:t>
      </w:r>
    </w:p>
    <w:p w14:paraId="3BF864AF" w14:textId="77777777" w:rsidR="00EF11D9" w:rsidRPr="00F13073" w:rsidRDefault="00EF11D9" w:rsidP="008B4C50">
      <w:pPr>
        <w:pStyle w:val="a4"/>
        <w:widowControl/>
        <w:spacing w:after="0"/>
      </w:pPr>
    </w:p>
    <w:p w14:paraId="433B6E9B" w14:textId="77777777" w:rsidR="001C4B85" w:rsidRPr="00F13073" w:rsidRDefault="001C4B85" w:rsidP="008B4C50">
      <w:pPr>
        <w:pStyle w:val="a4"/>
        <w:widowControl/>
        <w:spacing w:after="0"/>
        <w:rPr>
          <w:rStyle w:val="Char"/>
          <w:u w:val="single"/>
        </w:rPr>
      </w:pPr>
      <w:r w:rsidRPr="00F13073">
        <w:rPr>
          <w:rStyle w:val="Char"/>
          <w:u w:val="single"/>
        </w:rPr>
        <w:t>Dzieci i młodzież</w:t>
      </w:r>
    </w:p>
    <w:p w14:paraId="5A0F12C3" w14:textId="77777777" w:rsidR="00EF11D9" w:rsidRPr="00F13073" w:rsidRDefault="00EF11D9" w:rsidP="008B4C50">
      <w:pPr>
        <w:pStyle w:val="a4"/>
        <w:widowControl/>
        <w:spacing w:after="0"/>
      </w:pPr>
    </w:p>
    <w:p w14:paraId="0F4FB69B" w14:textId="77777777" w:rsidR="001C4B85" w:rsidRPr="00F13073" w:rsidRDefault="001C4B85" w:rsidP="008B4C50">
      <w:pPr>
        <w:pStyle w:val="a4"/>
        <w:widowControl/>
        <w:spacing w:after="0"/>
      </w:pPr>
      <w:r w:rsidRPr="00F13073">
        <w:rPr>
          <w:rStyle w:val="Char"/>
          <w:u w:val="single"/>
        </w:rPr>
        <w:t>Chorzy na uMIZS, wMIZS i CRS ≥ 30 kg</w:t>
      </w:r>
    </w:p>
    <w:p w14:paraId="001D2424" w14:textId="41906F54" w:rsidR="001C4B85" w:rsidRPr="00F13073" w:rsidRDefault="001C4B85" w:rsidP="008B4C50">
      <w:pPr>
        <w:pStyle w:val="a4"/>
        <w:widowControl/>
        <w:spacing w:after="0"/>
        <w:rPr>
          <w:rStyle w:val="Char"/>
        </w:rPr>
      </w:pPr>
      <w:r w:rsidRPr="00F13073">
        <w:rPr>
          <w:rStyle w:val="Char"/>
        </w:rPr>
        <w:t xml:space="preserve">Z worka do infuzji o pojemności 100 mL należy z zachowaniem zasad aseptyki usunąć ilość jałowego, apirogennego roztworu do wstrzykiwań chlorku sodu 9 mg/mL (0,9 %) </w:t>
      </w:r>
      <w:r w:rsidR="000F2F06" w:rsidRPr="00F13073">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wymaganej do uzyskania dawki dla pacjenta. Potrzebną ilość </w:t>
      </w:r>
      <w:r w:rsidRPr="00F13073">
        <w:rPr>
          <w:rStyle w:val="Char"/>
        </w:rPr>
        <w:lastRenderedPageBreak/>
        <w:t xml:space="preserve">koncentratu </w:t>
      </w:r>
      <w:r w:rsidR="00026375" w:rsidRPr="00F13073">
        <w:rPr>
          <w:rStyle w:val="Char"/>
        </w:rPr>
        <w:t>Avtozma</w:t>
      </w:r>
      <w:r w:rsidRPr="00F13073">
        <w:rPr>
          <w:rStyle w:val="Char"/>
        </w:rPr>
        <w:t xml:space="preserve"> (</w:t>
      </w:r>
      <w:r w:rsidRPr="00F13073">
        <w:rPr>
          <w:rStyle w:val="Char"/>
          <w:b/>
          <w:bCs/>
        </w:rPr>
        <w:t>0,4</w:t>
      </w:r>
      <w:r w:rsidR="00EF11D9" w:rsidRPr="00F13073">
        <w:rPr>
          <w:rStyle w:val="Char"/>
          <w:b/>
          <w:bCs/>
        </w:rPr>
        <w:t> </w:t>
      </w:r>
      <w:r w:rsidRPr="00F13073">
        <w:rPr>
          <w:rStyle w:val="Char"/>
          <w:b/>
          <w:bCs/>
        </w:rPr>
        <w:t>mL/kg</w:t>
      </w:r>
      <w:r w:rsidRPr="00F13073">
        <w:rPr>
          <w:rStyle w:val="Char"/>
        </w:rPr>
        <w:t>) należy pobrać z fiolki i wstrzyknąć do worka do infuzji o pojemności 100 mL. Końcowa objętość powinna wynosić 100 mL. W celu wymieszania roztworu należy delikatnie obrócić worek do infuzji, unikając spienienia.</w:t>
      </w:r>
    </w:p>
    <w:p w14:paraId="790025A8" w14:textId="77777777" w:rsidR="00EF11D9" w:rsidRPr="00F13073" w:rsidRDefault="00EF11D9" w:rsidP="008B4C50">
      <w:pPr>
        <w:pStyle w:val="a4"/>
        <w:widowControl/>
        <w:spacing w:after="0"/>
      </w:pPr>
    </w:p>
    <w:p w14:paraId="15B1A129" w14:textId="77777777" w:rsidR="001C4B85" w:rsidRPr="00F13073" w:rsidRDefault="001C4B85" w:rsidP="008B4C50">
      <w:pPr>
        <w:pStyle w:val="a4"/>
        <w:widowControl/>
        <w:spacing w:after="0"/>
      </w:pPr>
      <w:r w:rsidRPr="00F13073">
        <w:rPr>
          <w:rStyle w:val="Char"/>
          <w:u w:val="single"/>
        </w:rPr>
        <w:t>Chorzy na uMIZS i CRS &lt; 30 kg</w:t>
      </w:r>
    </w:p>
    <w:p w14:paraId="5A805ECF" w14:textId="4D4CF5E7" w:rsidR="001C4B85" w:rsidRPr="00F13073" w:rsidRDefault="001C4B85" w:rsidP="008B4C50">
      <w:pPr>
        <w:pStyle w:val="a4"/>
        <w:widowControl/>
        <w:spacing w:after="0"/>
      </w:pPr>
      <w:r w:rsidRPr="00F13073">
        <w:rPr>
          <w:rStyle w:val="Char"/>
        </w:rPr>
        <w:t xml:space="preserve">Z worka do infuzji o pojemności 50 mL należy z zachowaniem zasad aseptyki usunąć ilość jałowego, apirogennego roztworu do wstrzykiwań chlorku sodu 9 mg/mL (0,9 %) </w:t>
      </w:r>
      <w:r w:rsidR="000F2F06" w:rsidRPr="00F13073">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wymaganej do uzyskania dawki dla pacjenta. Potrzebną ilość koncentratu </w:t>
      </w:r>
      <w:r w:rsidR="00026375" w:rsidRPr="00F13073">
        <w:rPr>
          <w:rStyle w:val="Char"/>
        </w:rPr>
        <w:t>Avtozma</w:t>
      </w:r>
      <w:r w:rsidRPr="00F13073">
        <w:rPr>
          <w:rStyle w:val="Char"/>
        </w:rPr>
        <w:t xml:space="preserve"> (</w:t>
      </w:r>
      <w:r w:rsidRPr="00F13073">
        <w:rPr>
          <w:rStyle w:val="Char"/>
          <w:b/>
          <w:bCs/>
        </w:rPr>
        <w:t>0,6</w:t>
      </w:r>
      <w:r w:rsidR="00EF11D9" w:rsidRPr="00F13073">
        <w:rPr>
          <w:rStyle w:val="Char"/>
          <w:b/>
          <w:bCs/>
        </w:rPr>
        <w:t> </w:t>
      </w:r>
      <w:r w:rsidRPr="00F13073">
        <w:rPr>
          <w:rStyle w:val="Char"/>
          <w:b/>
          <w:bCs/>
        </w:rPr>
        <w:t>mL/kg</w:t>
      </w:r>
      <w:r w:rsidRPr="00F13073">
        <w:rPr>
          <w:rStyle w:val="Char"/>
        </w:rPr>
        <w:t>) należy pobrać z fiolki i wstrzyknąć do tego worka do infuzji o pojemności 50 mL.</w:t>
      </w:r>
    </w:p>
    <w:p w14:paraId="09C21EE4" w14:textId="77777777" w:rsidR="001C4B85" w:rsidRPr="00F13073" w:rsidRDefault="001C4B85" w:rsidP="008B4C50">
      <w:pPr>
        <w:pStyle w:val="a4"/>
        <w:widowControl/>
        <w:spacing w:after="0"/>
        <w:rPr>
          <w:rStyle w:val="Char"/>
        </w:rPr>
      </w:pPr>
      <w:r w:rsidRPr="00F13073">
        <w:rPr>
          <w:rStyle w:val="Char"/>
        </w:rPr>
        <w:t>Końcowa objętość powinna wynosić 50 mL. W celu wymieszania roztworu należy delikatnie obrócić worek do infuzji, unikając spienienia.</w:t>
      </w:r>
    </w:p>
    <w:p w14:paraId="7727D5AF" w14:textId="77777777" w:rsidR="00EF11D9" w:rsidRPr="00F13073" w:rsidRDefault="00EF11D9" w:rsidP="008B4C50">
      <w:pPr>
        <w:pStyle w:val="a4"/>
        <w:widowControl/>
        <w:spacing w:after="0"/>
      </w:pPr>
    </w:p>
    <w:p w14:paraId="4E3D9801" w14:textId="77777777" w:rsidR="001C4B85" w:rsidRPr="00F13073" w:rsidRDefault="001C4B85" w:rsidP="002012EB">
      <w:pPr>
        <w:pStyle w:val="a4"/>
        <w:keepNext/>
        <w:widowControl/>
        <w:spacing w:after="0"/>
      </w:pPr>
      <w:r w:rsidRPr="00F13073">
        <w:rPr>
          <w:rStyle w:val="Char"/>
          <w:u w:val="single"/>
        </w:rPr>
        <w:t>Chorzy na wMIZS &lt; 30 kg</w:t>
      </w:r>
    </w:p>
    <w:p w14:paraId="2BFD3AE7" w14:textId="2F04F29F" w:rsidR="001C4B85" w:rsidRPr="00F13073" w:rsidRDefault="001C4B85" w:rsidP="008B4C50">
      <w:pPr>
        <w:pStyle w:val="a4"/>
        <w:widowControl/>
        <w:spacing w:after="0"/>
        <w:rPr>
          <w:rStyle w:val="Char"/>
        </w:rPr>
      </w:pPr>
      <w:r w:rsidRPr="00F13073">
        <w:rPr>
          <w:rStyle w:val="Char"/>
        </w:rPr>
        <w:t>Z worka do infuzji o pojemności 50 mL należy z zachowaniem zasad aseptyki usunąć ilość jałowego, apirogennego roztworu do wstrzykiwań chlorku sodu 9 mg/mL (0,9 %)</w:t>
      </w:r>
      <w:r w:rsidR="00FE79BF" w:rsidRPr="00F13073">
        <w:rPr>
          <w:rStyle w:val="Char"/>
        </w:rPr>
        <w:t xml:space="preserve"> lub 4,5 mg/ml (0,45%)</w:t>
      </w:r>
      <w:r w:rsidRPr="00F13073">
        <w:rPr>
          <w:rStyle w:val="Char"/>
        </w:rPr>
        <w:t xml:space="preserve"> równą objętości koncentratu </w:t>
      </w:r>
      <w:r w:rsidR="00026375" w:rsidRPr="00F13073">
        <w:rPr>
          <w:rStyle w:val="Char"/>
        </w:rPr>
        <w:t>Avtozma</w:t>
      </w:r>
      <w:r w:rsidRPr="00F13073">
        <w:rPr>
          <w:rStyle w:val="Char"/>
        </w:rPr>
        <w:t xml:space="preserve"> wymaganej do uzyskania dawki dla pacjenta. Potrzebną ilość koncentratu </w:t>
      </w:r>
      <w:r w:rsidR="00026375" w:rsidRPr="00F13073">
        <w:rPr>
          <w:rStyle w:val="Char"/>
        </w:rPr>
        <w:t>Avtozma</w:t>
      </w:r>
      <w:r w:rsidRPr="00F13073">
        <w:rPr>
          <w:rStyle w:val="Char"/>
        </w:rPr>
        <w:t xml:space="preserve"> (</w:t>
      </w:r>
      <w:r w:rsidRPr="00F13073">
        <w:rPr>
          <w:rStyle w:val="Char"/>
          <w:b/>
          <w:bCs/>
        </w:rPr>
        <w:t>0,5</w:t>
      </w:r>
      <w:r w:rsidR="00EF11D9" w:rsidRPr="00F13073">
        <w:rPr>
          <w:rStyle w:val="Char"/>
          <w:b/>
          <w:bCs/>
        </w:rPr>
        <w:t> </w:t>
      </w:r>
      <w:r w:rsidRPr="00F13073">
        <w:rPr>
          <w:rStyle w:val="Char"/>
          <w:b/>
          <w:bCs/>
        </w:rPr>
        <w:t>mL/kg</w:t>
      </w:r>
      <w:r w:rsidRPr="00F13073">
        <w:rPr>
          <w:rStyle w:val="Char"/>
        </w:rPr>
        <w:t>) należy pobrać z fiolki i wstrzyknąć do worka do infuzji o pojemności 50 mL. Końcowa objętość powinna wynosić 50 mL. W celu wymieszania roztworu należy delikatnie obrócić worek do infuzji, unikając spienienia.</w:t>
      </w:r>
    </w:p>
    <w:p w14:paraId="2CC96FE9" w14:textId="77777777" w:rsidR="00EF11D9" w:rsidRPr="00F13073" w:rsidRDefault="00EF11D9" w:rsidP="008B4C50">
      <w:pPr>
        <w:pStyle w:val="a4"/>
        <w:widowControl/>
        <w:spacing w:after="0"/>
      </w:pPr>
    </w:p>
    <w:p w14:paraId="46D6F5C4" w14:textId="1ABCA9CE" w:rsidR="001C4B85" w:rsidRPr="00F13073" w:rsidRDefault="001C4B85" w:rsidP="008B4C50">
      <w:pPr>
        <w:pStyle w:val="a4"/>
        <w:widowControl/>
        <w:spacing w:after="0"/>
      </w:pPr>
      <w:r w:rsidRPr="00F13073">
        <w:rPr>
          <w:rStyle w:val="Char"/>
        </w:rPr>
        <w:t xml:space="preserve">Produkt leczniczy </w:t>
      </w:r>
      <w:r w:rsidR="00026375" w:rsidRPr="00F13073">
        <w:rPr>
          <w:rStyle w:val="Char"/>
        </w:rPr>
        <w:t>Avtozma</w:t>
      </w:r>
      <w:r w:rsidRPr="00F13073">
        <w:rPr>
          <w:rStyle w:val="Char"/>
        </w:rPr>
        <w:t xml:space="preserve"> jest przeznaczony tylko do jednorazowego użytku.</w:t>
      </w:r>
    </w:p>
    <w:p w14:paraId="3F9F3BEA" w14:textId="77777777" w:rsidR="001C4B85" w:rsidRPr="00F13073" w:rsidRDefault="001C4B85" w:rsidP="008B4C50">
      <w:pPr>
        <w:pStyle w:val="a4"/>
        <w:widowControl/>
        <w:spacing w:after="0"/>
        <w:rPr>
          <w:rStyle w:val="Char"/>
        </w:rPr>
      </w:pPr>
      <w:r w:rsidRPr="00F13073">
        <w:rPr>
          <w:rStyle w:val="Char"/>
        </w:rPr>
        <w:t>Wszelkie niewykorzystane resztki produktu lub jego odpady należy usunąć zgodnie z lokalnymi przepisami.</w:t>
      </w:r>
    </w:p>
    <w:p w14:paraId="5ACA666F" w14:textId="77777777" w:rsidR="00EF11D9" w:rsidRPr="00F13073" w:rsidRDefault="00EF11D9" w:rsidP="008B4C50">
      <w:pPr>
        <w:pStyle w:val="a4"/>
        <w:widowControl/>
        <w:spacing w:after="0"/>
        <w:rPr>
          <w:rStyle w:val="Char"/>
        </w:rPr>
      </w:pPr>
    </w:p>
    <w:p w14:paraId="21C895C7" w14:textId="77777777" w:rsidR="00EF11D9" w:rsidRPr="00F13073" w:rsidRDefault="00EF11D9" w:rsidP="008B4C50">
      <w:pPr>
        <w:pStyle w:val="a4"/>
        <w:widowControl/>
        <w:spacing w:after="0"/>
      </w:pPr>
    </w:p>
    <w:p w14:paraId="2726CAE3" w14:textId="77777777" w:rsidR="001C4B85" w:rsidRPr="00F13073" w:rsidRDefault="001C4B85" w:rsidP="008B4C50">
      <w:pPr>
        <w:keepNext/>
        <w:ind w:left="567" w:hanging="567"/>
        <w:rPr>
          <w:b/>
          <w:bCs/>
        </w:rPr>
      </w:pPr>
      <w:r w:rsidRPr="00F13073">
        <w:rPr>
          <w:b/>
          <w:bCs/>
        </w:rPr>
        <w:t>7.</w:t>
      </w:r>
      <w:r w:rsidR="00EF11D9" w:rsidRPr="00F13073">
        <w:rPr>
          <w:b/>
          <w:bCs/>
        </w:rPr>
        <w:tab/>
      </w:r>
      <w:r w:rsidRPr="00F13073">
        <w:rPr>
          <w:b/>
          <w:bCs/>
        </w:rPr>
        <w:t>PODMIOT ODPOWIEDZIALNY POSIADAJĄCY POZWOLENIE NA DOPUSZCZENIE DO OBROTU</w:t>
      </w:r>
    </w:p>
    <w:p w14:paraId="164226E8" w14:textId="77777777" w:rsidR="00EF11D9" w:rsidRPr="00F13073" w:rsidRDefault="00EF11D9" w:rsidP="008B4C50">
      <w:pPr>
        <w:pStyle w:val="a4"/>
        <w:widowControl/>
        <w:spacing w:after="0"/>
        <w:rPr>
          <w:rStyle w:val="Char"/>
        </w:rPr>
      </w:pPr>
    </w:p>
    <w:p w14:paraId="2C87C74B" w14:textId="77777777" w:rsidR="00296F89" w:rsidRPr="00127FBE" w:rsidRDefault="00296F89" w:rsidP="00296F89">
      <w:pPr>
        <w:keepNext/>
        <w:rPr>
          <w:lang w:val="en-GB"/>
        </w:rPr>
      </w:pPr>
      <w:r w:rsidRPr="00127FBE">
        <w:rPr>
          <w:lang w:val="en-GB"/>
        </w:rPr>
        <w:t xml:space="preserve">Celltrion Healthcare Hungary Kft. </w:t>
      </w:r>
    </w:p>
    <w:p w14:paraId="6FF55FC2" w14:textId="77777777" w:rsidR="00296F89" w:rsidRPr="00127FBE" w:rsidRDefault="00296F89" w:rsidP="00296F89">
      <w:pPr>
        <w:keepNext/>
        <w:rPr>
          <w:lang w:val="en-GB"/>
        </w:rPr>
      </w:pPr>
      <w:r w:rsidRPr="00127FBE">
        <w:rPr>
          <w:lang w:val="en-GB"/>
        </w:rPr>
        <w:t>1062 Budapest</w:t>
      </w:r>
    </w:p>
    <w:p w14:paraId="33679BAD" w14:textId="77777777" w:rsidR="00296F89" w:rsidRPr="00127FBE" w:rsidRDefault="00296F89" w:rsidP="00296F89">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28CBFB9D" w14:textId="6054DA7B" w:rsidR="00296F89" w:rsidRPr="00127FBE" w:rsidRDefault="00296F89" w:rsidP="00296F89">
      <w:pPr>
        <w:rPr>
          <w:lang w:val="en-GB"/>
        </w:rPr>
      </w:pPr>
      <w:proofErr w:type="spellStart"/>
      <w:r w:rsidRPr="00127FBE">
        <w:rPr>
          <w:lang w:val="en-GB"/>
        </w:rPr>
        <w:t>Węgry</w:t>
      </w:r>
      <w:proofErr w:type="spellEnd"/>
    </w:p>
    <w:p w14:paraId="46F6A43B" w14:textId="77777777" w:rsidR="001C4B85" w:rsidRPr="00127FBE" w:rsidRDefault="001C4B85" w:rsidP="008B4C50">
      <w:pPr>
        <w:rPr>
          <w:lang w:val="en-GB"/>
        </w:rPr>
      </w:pPr>
    </w:p>
    <w:p w14:paraId="7F0737EF" w14:textId="77777777" w:rsidR="00EF11D9" w:rsidRPr="00127FBE" w:rsidRDefault="00EF11D9" w:rsidP="008B4C50">
      <w:pPr>
        <w:rPr>
          <w:lang w:val="en-GB"/>
        </w:rPr>
      </w:pPr>
    </w:p>
    <w:p w14:paraId="52F9B71F" w14:textId="77777777" w:rsidR="00EF11D9" w:rsidRPr="00F13073" w:rsidRDefault="00EF11D9" w:rsidP="008B4C50">
      <w:pPr>
        <w:keepNext/>
        <w:ind w:left="567" w:hanging="567"/>
      </w:pPr>
      <w:r w:rsidRPr="00F13073">
        <w:rPr>
          <w:rStyle w:val="Char"/>
          <w:rFonts w:eastAsia="DengXian"/>
          <w:b/>
          <w:bCs/>
          <w:lang w:eastAsia="el-GR"/>
        </w:rPr>
        <w:t>8.</w:t>
      </w:r>
      <w:r w:rsidRPr="00F13073">
        <w:rPr>
          <w:rStyle w:val="Char"/>
          <w:rFonts w:eastAsia="DengXian"/>
          <w:b/>
          <w:bCs/>
          <w:lang w:eastAsia="el-GR"/>
        </w:rPr>
        <w:tab/>
      </w:r>
      <w:r w:rsidRPr="00F13073">
        <w:rPr>
          <w:rStyle w:val="Char"/>
          <w:rFonts w:eastAsia="DengXian"/>
          <w:b/>
          <w:bCs/>
        </w:rPr>
        <w:t>NUMER(-Y) POZWOLENIA(Ń) NA DOPUSZCZENIE DO OBROTU</w:t>
      </w:r>
    </w:p>
    <w:p w14:paraId="50F2FE4C" w14:textId="77777777" w:rsidR="00EF11D9" w:rsidRPr="00F13073" w:rsidRDefault="00EF11D9" w:rsidP="008B4C50">
      <w:pPr>
        <w:pStyle w:val="a4"/>
        <w:widowControl/>
        <w:spacing w:after="0"/>
        <w:rPr>
          <w:rStyle w:val="Char"/>
        </w:rPr>
      </w:pPr>
    </w:p>
    <w:p w14:paraId="151281E1" w14:textId="17FDDD73" w:rsidR="00EF11D9" w:rsidRPr="00F13073" w:rsidRDefault="00EF11D9" w:rsidP="008B4C50">
      <w:pPr>
        <w:pStyle w:val="a4"/>
        <w:widowControl/>
        <w:spacing w:after="0"/>
      </w:pPr>
      <w:r w:rsidRPr="00F13073">
        <w:rPr>
          <w:rStyle w:val="Char"/>
        </w:rPr>
        <w:t>EU/</w:t>
      </w:r>
      <w:r w:rsidR="00E949CA" w:rsidRPr="00701978">
        <w:rPr>
          <w:spacing w:val="-1"/>
        </w:rPr>
        <w:t>1/24/1896/001</w:t>
      </w:r>
    </w:p>
    <w:p w14:paraId="020D472B" w14:textId="0125314A" w:rsidR="00EF11D9" w:rsidRPr="00F13073" w:rsidRDefault="00EF11D9" w:rsidP="008B4C50">
      <w:pPr>
        <w:pStyle w:val="a4"/>
        <w:widowControl/>
        <w:spacing w:after="0"/>
      </w:pPr>
      <w:r w:rsidRPr="00F13073">
        <w:rPr>
          <w:rStyle w:val="Char"/>
        </w:rPr>
        <w:t>EU</w:t>
      </w:r>
      <w:r w:rsidR="00AE5569" w:rsidRPr="00F13073">
        <w:rPr>
          <w:rStyle w:val="Char"/>
        </w:rPr>
        <w:t>/</w:t>
      </w:r>
      <w:r w:rsidR="00E949CA" w:rsidRPr="00701978">
        <w:rPr>
          <w:spacing w:val="-1"/>
        </w:rPr>
        <w:t>1/24/1896/00</w:t>
      </w:r>
      <w:r w:rsidR="00E949CA">
        <w:rPr>
          <w:spacing w:val="-1"/>
        </w:rPr>
        <w:t>2</w:t>
      </w:r>
    </w:p>
    <w:p w14:paraId="526FF976" w14:textId="0AE09351" w:rsidR="00EF11D9" w:rsidRPr="00F13073" w:rsidRDefault="00EF11D9" w:rsidP="008B4C50">
      <w:pPr>
        <w:pStyle w:val="a4"/>
        <w:widowControl/>
        <w:spacing w:after="0"/>
      </w:pPr>
      <w:r w:rsidRPr="00F13073">
        <w:rPr>
          <w:rStyle w:val="Char"/>
        </w:rPr>
        <w:t>EU</w:t>
      </w:r>
      <w:r w:rsidR="00AE5569" w:rsidRPr="00F13073">
        <w:rPr>
          <w:rStyle w:val="Char"/>
        </w:rPr>
        <w:t>/</w:t>
      </w:r>
      <w:r w:rsidR="00E949CA" w:rsidRPr="00701978">
        <w:rPr>
          <w:spacing w:val="-1"/>
        </w:rPr>
        <w:t>1/24/1896/00</w:t>
      </w:r>
      <w:r w:rsidR="00E949CA">
        <w:rPr>
          <w:spacing w:val="-1"/>
        </w:rPr>
        <w:t>3</w:t>
      </w:r>
    </w:p>
    <w:p w14:paraId="2CC21098" w14:textId="64803D14" w:rsidR="00EF11D9" w:rsidRPr="00F13073" w:rsidRDefault="00EF11D9" w:rsidP="008B4C50">
      <w:pPr>
        <w:pStyle w:val="a4"/>
        <w:widowControl/>
        <w:spacing w:after="0"/>
      </w:pPr>
      <w:r w:rsidRPr="00F13073">
        <w:rPr>
          <w:rStyle w:val="Char"/>
        </w:rPr>
        <w:t>EU</w:t>
      </w:r>
      <w:r w:rsidR="00AE5569" w:rsidRPr="00F13073">
        <w:rPr>
          <w:rStyle w:val="Char"/>
        </w:rPr>
        <w:t>/</w:t>
      </w:r>
      <w:r w:rsidR="00E949CA" w:rsidRPr="00701978">
        <w:rPr>
          <w:spacing w:val="-1"/>
        </w:rPr>
        <w:t>1/24/1896/00</w:t>
      </w:r>
      <w:r w:rsidR="00E949CA">
        <w:rPr>
          <w:spacing w:val="-1"/>
        </w:rPr>
        <w:t>4</w:t>
      </w:r>
    </w:p>
    <w:p w14:paraId="2C0350D7" w14:textId="26B40584" w:rsidR="00EF11D9" w:rsidRPr="00F13073" w:rsidRDefault="00EF11D9" w:rsidP="008B4C50">
      <w:pPr>
        <w:pStyle w:val="a4"/>
        <w:widowControl/>
        <w:spacing w:after="0"/>
      </w:pPr>
      <w:r w:rsidRPr="00F13073">
        <w:rPr>
          <w:rStyle w:val="Char"/>
        </w:rPr>
        <w:t>EU</w:t>
      </w:r>
      <w:r w:rsidR="00AE5569" w:rsidRPr="00F13073">
        <w:rPr>
          <w:rStyle w:val="Char"/>
        </w:rPr>
        <w:t>/</w:t>
      </w:r>
      <w:r w:rsidR="00E949CA" w:rsidRPr="00701978">
        <w:rPr>
          <w:spacing w:val="-1"/>
        </w:rPr>
        <w:t>1/24/1896/00</w:t>
      </w:r>
      <w:r w:rsidR="00E949CA">
        <w:rPr>
          <w:spacing w:val="-1"/>
        </w:rPr>
        <w:t>5</w:t>
      </w:r>
    </w:p>
    <w:p w14:paraId="164115BC" w14:textId="634461A2" w:rsidR="00EF11D9" w:rsidRPr="00F13073" w:rsidRDefault="00EF11D9" w:rsidP="008B4C50">
      <w:pPr>
        <w:pStyle w:val="a4"/>
        <w:widowControl/>
        <w:spacing w:after="0"/>
      </w:pPr>
      <w:r w:rsidRPr="00F13073">
        <w:rPr>
          <w:rStyle w:val="Char"/>
        </w:rPr>
        <w:t>EU</w:t>
      </w:r>
      <w:r w:rsidR="00AE5569" w:rsidRPr="00F13073">
        <w:rPr>
          <w:rStyle w:val="Char"/>
        </w:rPr>
        <w:t>/</w:t>
      </w:r>
      <w:r w:rsidR="00E949CA" w:rsidRPr="00701978">
        <w:rPr>
          <w:spacing w:val="-1"/>
        </w:rPr>
        <w:t>1/24/1896/00</w:t>
      </w:r>
      <w:r w:rsidR="00E949CA">
        <w:rPr>
          <w:spacing w:val="-1"/>
        </w:rPr>
        <w:t>6</w:t>
      </w:r>
    </w:p>
    <w:p w14:paraId="59EB87AA" w14:textId="77777777" w:rsidR="00EF11D9" w:rsidRPr="00F13073" w:rsidRDefault="00EF11D9" w:rsidP="008B4C50">
      <w:pPr>
        <w:pStyle w:val="a4"/>
        <w:widowControl/>
        <w:spacing w:after="0"/>
        <w:ind w:left="660" w:hanging="660"/>
        <w:rPr>
          <w:rStyle w:val="Char"/>
          <w:b/>
          <w:bCs/>
        </w:rPr>
      </w:pPr>
    </w:p>
    <w:p w14:paraId="3BC071B4" w14:textId="77777777" w:rsidR="00EF11D9" w:rsidRPr="00F13073" w:rsidRDefault="00EF11D9" w:rsidP="008B4C50">
      <w:pPr>
        <w:pStyle w:val="a4"/>
        <w:widowControl/>
        <w:spacing w:after="0"/>
        <w:ind w:left="660" w:hanging="660"/>
        <w:rPr>
          <w:rStyle w:val="Char"/>
          <w:b/>
          <w:bCs/>
        </w:rPr>
      </w:pPr>
    </w:p>
    <w:p w14:paraId="60D6E446" w14:textId="77777777" w:rsidR="00EF11D9" w:rsidRPr="00F13073" w:rsidRDefault="00EF11D9" w:rsidP="008B4C50">
      <w:pPr>
        <w:keepNext/>
        <w:ind w:left="567" w:hanging="567"/>
      </w:pPr>
      <w:r w:rsidRPr="00F13073">
        <w:rPr>
          <w:rStyle w:val="Char"/>
          <w:rFonts w:eastAsia="DengXian"/>
          <w:b/>
          <w:bCs/>
        </w:rPr>
        <w:t>9.</w:t>
      </w:r>
      <w:r w:rsidRPr="00F13073">
        <w:rPr>
          <w:rStyle w:val="Char"/>
          <w:rFonts w:eastAsia="DengXian"/>
          <w:b/>
          <w:bCs/>
        </w:rPr>
        <w:tab/>
        <w:t>DATA WYDANIA PIERWSZEGO POZWOLENIA NA DOPUSZCZENIE DO OBROTU/DATA PRZEDŁUŻENIA POZWOLENIA</w:t>
      </w:r>
    </w:p>
    <w:p w14:paraId="2F004220" w14:textId="77777777" w:rsidR="00EF11D9" w:rsidRPr="00F13073" w:rsidRDefault="00EF11D9" w:rsidP="008B4C50">
      <w:pPr>
        <w:pStyle w:val="a4"/>
        <w:widowControl/>
        <w:spacing w:after="0"/>
        <w:rPr>
          <w:rStyle w:val="Char"/>
        </w:rPr>
      </w:pPr>
    </w:p>
    <w:p w14:paraId="37F5804B" w14:textId="4B6F00E0" w:rsidR="00EF11D9" w:rsidRPr="00F13073" w:rsidRDefault="00EF11D9" w:rsidP="008B4C50">
      <w:pPr>
        <w:pStyle w:val="a4"/>
        <w:widowControl/>
        <w:spacing w:after="0"/>
      </w:pPr>
      <w:r w:rsidRPr="00F13073">
        <w:rPr>
          <w:rStyle w:val="Char"/>
        </w:rPr>
        <w:t xml:space="preserve">Data wydania pierwszego pozwolenia na dopuszczenie do obrotu: </w:t>
      </w:r>
      <w:r w:rsidR="00E12771">
        <w:rPr>
          <w:rStyle w:val="Char"/>
          <w:rFonts w:eastAsia="맑은 고딕" w:hint="eastAsia"/>
          <w:lang w:eastAsia="ko-KR"/>
        </w:rPr>
        <w:t xml:space="preserve">14 </w:t>
      </w:r>
      <w:r w:rsidR="00673F44" w:rsidRPr="004C41FF">
        <w:t>luty</w:t>
      </w:r>
      <w:r w:rsidR="00673F44">
        <w:rPr>
          <w:rFonts w:eastAsia="맑은 고딕" w:hint="eastAsia"/>
          <w:lang w:eastAsia="ko-KR"/>
        </w:rPr>
        <w:t xml:space="preserve"> 2025</w:t>
      </w:r>
    </w:p>
    <w:p w14:paraId="36C689CB" w14:textId="77777777" w:rsidR="00EF11D9" w:rsidRPr="00F13073" w:rsidRDefault="00EF11D9" w:rsidP="008B4C50">
      <w:pPr>
        <w:pStyle w:val="a4"/>
        <w:widowControl/>
        <w:spacing w:after="0"/>
        <w:rPr>
          <w:rStyle w:val="Char"/>
        </w:rPr>
      </w:pPr>
    </w:p>
    <w:p w14:paraId="79A0FC92" w14:textId="77777777" w:rsidR="00EF11D9" w:rsidRPr="00F13073" w:rsidRDefault="00EF11D9" w:rsidP="008B4C50">
      <w:pPr>
        <w:pStyle w:val="a4"/>
        <w:widowControl/>
        <w:spacing w:after="0"/>
      </w:pPr>
    </w:p>
    <w:p w14:paraId="30066659" w14:textId="77777777" w:rsidR="00EF11D9" w:rsidRPr="00F13073" w:rsidRDefault="00EF11D9" w:rsidP="008B4C50">
      <w:pPr>
        <w:keepNext/>
        <w:ind w:left="567" w:hanging="567"/>
      </w:pPr>
      <w:r w:rsidRPr="00F13073">
        <w:rPr>
          <w:rStyle w:val="Char"/>
          <w:rFonts w:eastAsia="DengXian"/>
          <w:b/>
          <w:bCs/>
        </w:rPr>
        <w:t>10.</w:t>
      </w:r>
      <w:r w:rsidRPr="00F13073">
        <w:rPr>
          <w:rStyle w:val="Char"/>
          <w:rFonts w:eastAsia="DengXian"/>
          <w:b/>
          <w:bCs/>
        </w:rPr>
        <w:tab/>
        <w:t>DATA ZATWIERDZENIA LUB CZĘŚCIOWEJ ZMIANY TEKSTU CHARAKTERYSTYKI PRODUKTU LECZNICZEGO</w:t>
      </w:r>
    </w:p>
    <w:p w14:paraId="0091412C" w14:textId="77777777" w:rsidR="00EF11D9" w:rsidRPr="00F13073" w:rsidRDefault="00EF11D9" w:rsidP="008B4C50">
      <w:pPr>
        <w:pStyle w:val="a4"/>
        <w:widowControl/>
        <w:spacing w:after="0"/>
        <w:rPr>
          <w:rStyle w:val="Char"/>
        </w:rPr>
      </w:pPr>
    </w:p>
    <w:p w14:paraId="7C99650C" w14:textId="64B44F4B" w:rsidR="0022773E" w:rsidRPr="00F13073" w:rsidRDefault="00EF11D9" w:rsidP="00442587">
      <w:pPr>
        <w:pStyle w:val="a4"/>
        <w:widowControl/>
        <w:spacing w:after="0"/>
      </w:pPr>
      <w:r w:rsidRPr="00F13073">
        <w:rPr>
          <w:rStyle w:val="Char"/>
        </w:rPr>
        <w:t xml:space="preserve">Szczegółowa informacja o tym produkcie jest dostępna na stronie internetowej Europejskiej Agencji Leków </w:t>
      </w:r>
      <w:r w:rsidR="00D37AF0">
        <w:fldChar w:fldCharType="begin"/>
      </w:r>
      <w:r w:rsidR="00D37AF0">
        <w:instrText>HYPERLINK "https://www.ema.europa.eu/"</w:instrText>
      </w:r>
      <w:r w:rsidR="00D37AF0">
        <w:fldChar w:fldCharType="separate"/>
      </w:r>
      <w:r w:rsidR="00D37AF0" w:rsidRPr="00D37AF0">
        <w:rPr>
          <w:rStyle w:val="a7"/>
        </w:rPr>
        <w:t>http</w:t>
      </w:r>
      <w:r w:rsidR="00D37AF0" w:rsidRPr="00D37AF0">
        <w:rPr>
          <w:rStyle w:val="a7"/>
          <w:rFonts w:eastAsia="맑은 고딕" w:hint="eastAsia"/>
          <w:lang w:eastAsia="ko-KR"/>
        </w:rPr>
        <w:t>s</w:t>
      </w:r>
      <w:r w:rsidR="00D37AF0" w:rsidRPr="00D37AF0">
        <w:rPr>
          <w:rStyle w:val="a7"/>
        </w:rPr>
        <w:t>://www.ema.europa.eu/</w:t>
      </w:r>
      <w:r w:rsidR="00D37AF0">
        <w:fldChar w:fldCharType="end"/>
      </w:r>
      <w:r w:rsidR="0022773E" w:rsidRPr="00F13073">
        <w:t>.</w:t>
      </w:r>
    </w:p>
    <w:p w14:paraId="79DA059E" w14:textId="28F3B7E0" w:rsidR="00E24B15" w:rsidRPr="00F13073" w:rsidRDefault="0022773E" w:rsidP="003674FE">
      <w:pPr>
        <w:rPr>
          <w:color w:val="00B050"/>
        </w:rPr>
      </w:pPr>
      <w:r w:rsidRPr="00F13073">
        <w:br w:type="page"/>
      </w:r>
      <w:r w:rsidR="004929A7">
        <w:rPr>
          <w:noProof/>
          <w:lang w:val="en-US" w:eastAsia="ko-KR"/>
        </w:rPr>
        <w:lastRenderedPageBreak/>
        <w:drawing>
          <wp:inline distT="0" distB="0" distL="0" distR="0" wp14:anchorId="2B4BF608" wp14:editId="0D87AC90">
            <wp:extent cx="190500" cy="180975"/>
            <wp:effectExtent l="0" t="0" r="0" b="0"/>
            <wp:docPr id="3" name="그림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E24B15" w:rsidRPr="00F13073">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r w:rsidR="00E24B15" w:rsidRPr="00F13073">
        <w:rPr>
          <w:color w:val="00B050"/>
        </w:rPr>
        <w:t xml:space="preserve"> </w:t>
      </w:r>
    </w:p>
    <w:p w14:paraId="30ABCD6D" w14:textId="77777777" w:rsidR="00E24B15" w:rsidRPr="00F13073" w:rsidRDefault="00E24B15" w:rsidP="003674FE">
      <w:pPr>
        <w:rPr>
          <w:b/>
          <w:bCs/>
        </w:rPr>
      </w:pPr>
    </w:p>
    <w:p w14:paraId="2E45E292" w14:textId="77777777" w:rsidR="00A31743" w:rsidRPr="00F13073" w:rsidRDefault="00A31743" w:rsidP="003674FE">
      <w:pPr>
        <w:rPr>
          <w:b/>
          <w:bCs/>
        </w:rPr>
      </w:pPr>
    </w:p>
    <w:p w14:paraId="23C66609" w14:textId="57C160CF" w:rsidR="001E0975" w:rsidRPr="00F13073" w:rsidRDefault="001721B1" w:rsidP="00A31743">
      <w:pPr>
        <w:ind w:left="567" w:hanging="567"/>
        <w:rPr>
          <w:b/>
          <w:bCs/>
        </w:rPr>
      </w:pPr>
      <w:r w:rsidRPr="00F13073">
        <w:rPr>
          <w:b/>
          <w:bCs/>
        </w:rPr>
        <w:t>1.</w:t>
      </w:r>
      <w:r w:rsidRPr="00F13073">
        <w:rPr>
          <w:b/>
          <w:bCs/>
        </w:rPr>
        <w:tab/>
      </w:r>
      <w:r w:rsidR="00A121D7" w:rsidRPr="00F13073">
        <w:rPr>
          <w:rStyle w:val="Char"/>
          <w:rFonts w:eastAsia="DengXian"/>
          <w:b/>
          <w:bCs/>
        </w:rPr>
        <w:t>NAZWA PRODUKTU LECZNICZEGO</w:t>
      </w:r>
    </w:p>
    <w:p w14:paraId="0D4537AC" w14:textId="77777777" w:rsidR="0022773E" w:rsidRPr="00F13073" w:rsidRDefault="0022773E" w:rsidP="008B4C50">
      <w:pPr>
        <w:keepNext/>
        <w:ind w:left="567" w:hanging="567"/>
        <w:rPr>
          <w:b/>
          <w:bCs/>
        </w:rPr>
      </w:pPr>
    </w:p>
    <w:p w14:paraId="33757124" w14:textId="6B6A975F" w:rsidR="00A121D7" w:rsidRPr="006A6B0C" w:rsidRDefault="00E24B15" w:rsidP="008B4C50">
      <w:pPr>
        <w:pStyle w:val="a4"/>
        <w:widowControl/>
        <w:spacing w:after="0"/>
        <w:rPr>
          <w:rFonts w:eastAsia="맑은 고딕" w:hint="eastAsia"/>
          <w:lang w:eastAsia="ko-KR"/>
          <w:rPrChange w:id="10" w:author="만든 이">
            <w:rPr/>
          </w:rPrChange>
        </w:rPr>
      </w:pPr>
      <w:r w:rsidRPr="00F13073">
        <w:rPr>
          <w:rStyle w:val="Char"/>
        </w:rPr>
        <w:t>Avtozma</w:t>
      </w:r>
      <w:r w:rsidR="00A121D7" w:rsidRPr="00F13073">
        <w:rPr>
          <w:rStyle w:val="Char"/>
        </w:rPr>
        <w:t xml:space="preserve"> 162 mg roztwór do wstrzykiwań w ampułko-strzykawce</w:t>
      </w:r>
      <w:del w:id="11" w:author="만든 이">
        <w:r w:rsidR="00A121D7" w:rsidRPr="00F13073" w:rsidDel="006A6B0C">
          <w:rPr>
            <w:rStyle w:val="Char"/>
          </w:rPr>
          <w:delText>.</w:delText>
        </w:r>
      </w:del>
    </w:p>
    <w:p w14:paraId="3B8239A3" w14:textId="77777777" w:rsidR="00A121D7" w:rsidRPr="00F13073" w:rsidRDefault="00A121D7" w:rsidP="008B4C50">
      <w:pPr>
        <w:pStyle w:val="a4"/>
        <w:widowControl/>
        <w:tabs>
          <w:tab w:val="left" w:pos="509"/>
        </w:tabs>
        <w:spacing w:after="0"/>
        <w:rPr>
          <w:rStyle w:val="Char"/>
          <w:b/>
          <w:bCs/>
        </w:rPr>
      </w:pPr>
    </w:p>
    <w:p w14:paraId="0DE9E79A" w14:textId="77777777" w:rsidR="00A121D7" w:rsidRPr="00F13073" w:rsidRDefault="00A121D7" w:rsidP="008B4C50">
      <w:pPr>
        <w:pStyle w:val="a4"/>
        <w:widowControl/>
        <w:tabs>
          <w:tab w:val="left" w:pos="509"/>
        </w:tabs>
        <w:spacing w:after="0"/>
        <w:rPr>
          <w:rStyle w:val="Char"/>
          <w:b/>
          <w:bCs/>
        </w:rPr>
      </w:pPr>
    </w:p>
    <w:p w14:paraId="6166BA10" w14:textId="77777777" w:rsidR="00A121D7" w:rsidRPr="00F13073" w:rsidRDefault="00A121D7" w:rsidP="00A31743">
      <w:pPr>
        <w:keepNext/>
        <w:ind w:left="567" w:hanging="567"/>
      </w:pPr>
      <w:r w:rsidRPr="00F13073">
        <w:rPr>
          <w:rStyle w:val="Char"/>
          <w:rFonts w:eastAsia="DengXian"/>
          <w:b/>
          <w:bCs/>
        </w:rPr>
        <w:t>2.</w:t>
      </w:r>
      <w:r w:rsidRPr="00F13073">
        <w:rPr>
          <w:rStyle w:val="Char"/>
          <w:rFonts w:eastAsia="DengXian"/>
          <w:b/>
          <w:bCs/>
        </w:rPr>
        <w:tab/>
        <w:t>SKŁAD JAKOŚCIOWY I ILOŚCIOWY</w:t>
      </w:r>
    </w:p>
    <w:p w14:paraId="3CFCDDB7" w14:textId="77777777" w:rsidR="00A121D7" w:rsidRPr="00F13073" w:rsidRDefault="00A121D7" w:rsidP="008B4C50">
      <w:pPr>
        <w:pStyle w:val="a4"/>
        <w:widowControl/>
        <w:spacing w:after="0"/>
        <w:rPr>
          <w:rStyle w:val="Char"/>
        </w:rPr>
      </w:pPr>
    </w:p>
    <w:p w14:paraId="4BD29085" w14:textId="77777777" w:rsidR="00A121D7" w:rsidRPr="00F13073" w:rsidRDefault="00A121D7" w:rsidP="008B4C50">
      <w:pPr>
        <w:pStyle w:val="a4"/>
        <w:widowControl/>
        <w:spacing w:after="0"/>
        <w:rPr>
          <w:rStyle w:val="Char"/>
        </w:rPr>
      </w:pPr>
      <w:r w:rsidRPr="00F13073">
        <w:rPr>
          <w:rStyle w:val="Char"/>
        </w:rPr>
        <w:t>Każda ampułko-strzykawka zawiera 162 mg tocilizumabu w 0,9 mL.</w:t>
      </w:r>
    </w:p>
    <w:p w14:paraId="67FF0C64" w14:textId="77777777" w:rsidR="00A121D7" w:rsidRPr="00F13073" w:rsidRDefault="00A121D7" w:rsidP="008B4C50">
      <w:pPr>
        <w:pStyle w:val="a4"/>
        <w:widowControl/>
        <w:spacing w:after="0"/>
      </w:pPr>
    </w:p>
    <w:p w14:paraId="3E8B3C82" w14:textId="77777777" w:rsidR="00A121D7" w:rsidRPr="00F13073" w:rsidRDefault="00A121D7" w:rsidP="008B4C50">
      <w:pPr>
        <w:pStyle w:val="a4"/>
        <w:widowControl/>
        <w:spacing w:after="0"/>
        <w:rPr>
          <w:rStyle w:val="Char"/>
        </w:rPr>
      </w:pPr>
      <w:r w:rsidRPr="00F13073">
        <w:rPr>
          <w:rStyle w:val="Char"/>
        </w:rPr>
        <w:t>Tocilizumab jest rekombinowanym humanizowanym przeciwciałem monoklonalnym podklasy immunoglobuliny G1 (IgG1), skierowanym przeciwko ludzkim rozpuszczalnym, jak i związanym z błonami komórkowymi receptorom interleukiny 6.</w:t>
      </w:r>
    </w:p>
    <w:p w14:paraId="7E9D1B71" w14:textId="77777777" w:rsidR="00A121D7" w:rsidRDefault="00A121D7" w:rsidP="008B4C50">
      <w:pPr>
        <w:pStyle w:val="a4"/>
        <w:widowControl/>
        <w:spacing w:after="0"/>
      </w:pPr>
    </w:p>
    <w:p w14:paraId="1D7F3BD8" w14:textId="77777777" w:rsidR="00E07086" w:rsidRPr="00E07086" w:rsidRDefault="00E07086" w:rsidP="00E07086">
      <w:pPr>
        <w:pStyle w:val="a4"/>
        <w:spacing w:after="0"/>
        <w:rPr>
          <w:u w:val="single"/>
        </w:rPr>
      </w:pPr>
      <w:r w:rsidRPr="00E07086">
        <w:rPr>
          <w:u w:val="single"/>
        </w:rPr>
        <w:t>Substancje pomocnicze o znanym działaniu:</w:t>
      </w:r>
    </w:p>
    <w:p w14:paraId="48EF9E2C" w14:textId="77777777" w:rsidR="00E07086" w:rsidRPr="00E07086" w:rsidRDefault="00E07086" w:rsidP="00E07086">
      <w:pPr>
        <w:pStyle w:val="a4"/>
        <w:spacing w:after="0"/>
        <w:rPr>
          <w:i/>
          <w:iCs/>
        </w:rPr>
      </w:pPr>
      <w:r w:rsidRPr="00E07086">
        <w:rPr>
          <w:i/>
          <w:iCs/>
        </w:rPr>
        <w:t>Polisorbat</w:t>
      </w:r>
    </w:p>
    <w:p w14:paraId="5982CE6B" w14:textId="45817034" w:rsidR="00E07086" w:rsidRDefault="00E07086" w:rsidP="00E07086">
      <w:pPr>
        <w:pStyle w:val="a4"/>
        <w:spacing w:after="0"/>
      </w:pPr>
      <w:r>
        <w:t>Każda ampułko-strzykawka 162 mg zawiera 0,2 mg polisorbatu</w:t>
      </w:r>
      <w:r w:rsidR="00E265AD">
        <w:rPr>
          <w:rFonts w:eastAsia="맑은 고딕" w:hint="eastAsia"/>
          <w:lang w:eastAsia="ko-KR"/>
        </w:rPr>
        <w:t xml:space="preserve"> 80</w:t>
      </w:r>
      <w:r>
        <w:t>.</w:t>
      </w:r>
    </w:p>
    <w:p w14:paraId="32F1F42D" w14:textId="77777777" w:rsidR="00E07086" w:rsidRPr="00F13073" w:rsidRDefault="00E07086" w:rsidP="00E07086">
      <w:pPr>
        <w:pStyle w:val="a4"/>
        <w:widowControl/>
        <w:spacing w:after="0"/>
      </w:pPr>
    </w:p>
    <w:p w14:paraId="6C32C48B" w14:textId="77777777" w:rsidR="00A121D7" w:rsidRPr="00F13073" w:rsidRDefault="00A121D7" w:rsidP="008B4C50">
      <w:pPr>
        <w:pStyle w:val="a4"/>
        <w:widowControl/>
        <w:spacing w:after="0"/>
        <w:rPr>
          <w:rStyle w:val="Char"/>
        </w:rPr>
      </w:pPr>
      <w:r w:rsidRPr="00F13073">
        <w:rPr>
          <w:rStyle w:val="Char"/>
        </w:rPr>
        <w:t>Pełny wykaz substancji pomocniczych, patrz punkt 6.1.</w:t>
      </w:r>
    </w:p>
    <w:p w14:paraId="72AB0A7E" w14:textId="77777777" w:rsidR="00A121D7" w:rsidRPr="00F13073" w:rsidRDefault="00A121D7" w:rsidP="008B4C50">
      <w:pPr>
        <w:pStyle w:val="a4"/>
        <w:widowControl/>
        <w:spacing w:after="0"/>
        <w:rPr>
          <w:rStyle w:val="Char"/>
        </w:rPr>
      </w:pPr>
    </w:p>
    <w:p w14:paraId="26BE89AC" w14:textId="77777777" w:rsidR="00A121D7" w:rsidRPr="00F13073" w:rsidRDefault="00A121D7" w:rsidP="008B4C50">
      <w:pPr>
        <w:pStyle w:val="a4"/>
        <w:widowControl/>
        <w:spacing w:after="0"/>
      </w:pPr>
    </w:p>
    <w:p w14:paraId="76B455BC" w14:textId="77777777" w:rsidR="00A121D7" w:rsidRPr="00F13073" w:rsidRDefault="00A121D7" w:rsidP="00A31743">
      <w:pPr>
        <w:keepNext/>
        <w:ind w:left="567" w:hanging="567"/>
      </w:pPr>
      <w:r w:rsidRPr="00F13073">
        <w:rPr>
          <w:rStyle w:val="Char"/>
          <w:rFonts w:eastAsia="DengXian"/>
          <w:b/>
          <w:bCs/>
        </w:rPr>
        <w:t>3.</w:t>
      </w:r>
      <w:r w:rsidRPr="00F13073">
        <w:rPr>
          <w:rStyle w:val="Char"/>
          <w:rFonts w:eastAsia="DengXian"/>
          <w:b/>
          <w:bCs/>
        </w:rPr>
        <w:tab/>
        <w:t>POSTAĆ FARMACEUTYCZNA</w:t>
      </w:r>
    </w:p>
    <w:p w14:paraId="7F4A0DB8" w14:textId="77777777" w:rsidR="00A121D7" w:rsidRPr="00F13073" w:rsidRDefault="00A121D7" w:rsidP="008B4C50">
      <w:pPr>
        <w:pStyle w:val="a4"/>
        <w:widowControl/>
        <w:spacing w:after="0"/>
        <w:rPr>
          <w:rStyle w:val="Char"/>
        </w:rPr>
      </w:pPr>
    </w:p>
    <w:p w14:paraId="56FD58EF" w14:textId="77777777" w:rsidR="00A121D7" w:rsidRPr="00F13073" w:rsidRDefault="00A121D7" w:rsidP="008B4C50">
      <w:pPr>
        <w:pStyle w:val="a4"/>
        <w:widowControl/>
        <w:spacing w:after="0"/>
      </w:pPr>
      <w:r w:rsidRPr="00F13073">
        <w:rPr>
          <w:rStyle w:val="Char"/>
        </w:rPr>
        <w:t>Roztwór do wstrzykiwań w ampułko-strzykawce.</w:t>
      </w:r>
    </w:p>
    <w:p w14:paraId="5049A3DD" w14:textId="77777777" w:rsidR="00A121D7" w:rsidRPr="00F13073" w:rsidRDefault="00A121D7" w:rsidP="008B4C50">
      <w:pPr>
        <w:pStyle w:val="a4"/>
        <w:widowControl/>
        <w:spacing w:after="0"/>
        <w:rPr>
          <w:rStyle w:val="Char"/>
        </w:rPr>
      </w:pPr>
    </w:p>
    <w:p w14:paraId="3420235D" w14:textId="733DFCF6" w:rsidR="00A121D7" w:rsidRPr="00F13073" w:rsidRDefault="005C6AD5" w:rsidP="008B4C50">
      <w:pPr>
        <w:pStyle w:val="a4"/>
        <w:widowControl/>
        <w:spacing w:after="0"/>
      </w:pPr>
      <w:r w:rsidRPr="00F13073">
        <w:rPr>
          <w:rStyle w:val="Char"/>
        </w:rPr>
        <w:t>Przezroczysty do lekko opalizującego, bezbarwny do żółtego roztwór o pH 5,7</w:t>
      </w:r>
      <w:r w:rsidR="00345544" w:rsidRPr="00F13073">
        <w:rPr>
          <w:rStyle w:val="Char"/>
        </w:rPr>
        <w:t> </w:t>
      </w:r>
      <w:r w:rsidRPr="00F13073">
        <w:rPr>
          <w:rStyle w:val="Char"/>
        </w:rPr>
        <w:t>–</w:t>
      </w:r>
      <w:r w:rsidR="00345544" w:rsidRPr="00F13073">
        <w:rPr>
          <w:rStyle w:val="Char"/>
        </w:rPr>
        <w:t> </w:t>
      </w:r>
      <w:r w:rsidRPr="00F13073">
        <w:rPr>
          <w:rStyle w:val="Char"/>
        </w:rPr>
        <w:t>6,3 i osmolalności 280</w:t>
      </w:r>
      <w:r w:rsidR="00345544" w:rsidRPr="00F13073">
        <w:rPr>
          <w:rStyle w:val="Char"/>
        </w:rPr>
        <w:t> </w:t>
      </w:r>
      <w:r w:rsidRPr="00F13073">
        <w:rPr>
          <w:rStyle w:val="Char"/>
        </w:rPr>
        <w:t>–</w:t>
      </w:r>
      <w:r w:rsidR="00345544" w:rsidRPr="00F13073">
        <w:rPr>
          <w:rStyle w:val="Char"/>
        </w:rPr>
        <w:t> </w:t>
      </w:r>
      <w:r w:rsidRPr="00F13073">
        <w:rPr>
          <w:rStyle w:val="Char"/>
        </w:rPr>
        <w:t>340</w:t>
      </w:r>
      <w:r w:rsidR="00345544" w:rsidRPr="00F13073">
        <w:rPr>
          <w:rStyle w:val="Char"/>
        </w:rPr>
        <w:t> </w:t>
      </w:r>
      <w:r w:rsidRPr="00F13073">
        <w:rPr>
          <w:rStyle w:val="Char"/>
        </w:rPr>
        <w:t>mmol/kg.</w:t>
      </w:r>
    </w:p>
    <w:p w14:paraId="4FF9649A" w14:textId="77777777" w:rsidR="00A121D7" w:rsidRPr="00F13073" w:rsidRDefault="00A121D7" w:rsidP="008B4C50">
      <w:pPr>
        <w:pStyle w:val="a4"/>
        <w:widowControl/>
        <w:tabs>
          <w:tab w:val="left" w:pos="509"/>
        </w:tabs>
        <w:spacing w:after="0"/>
        <w:rPr>
          <w:rStyle w:val="Char"/>
          <w:b/>
          <w:bCs/>
        </w:rPr>
      </w:pPr>
    </w:p>
    <w:p w14:paraId="2D953C2B" w14:textId="77777777" w:rsidR="00A121D7" w:rsidRPr="00F13073" w:rsidRDefault="00A121D7" w:rsidP="008B4C50">
      <w:pPr>
        <w:pStyle w:val="a4"/>
        <w:widowControl/>
        <w:tabs>
          <w:tab w:val="left" w:pos="509"/>
        </w:tabs>
        <w:spacing w:after="0"/>
        <w:rPr>
          <w:rStyle w:val="Char"/>
          <w:b/>
          <w:bCs/>
        </w:rPr>
      </w:pPr>
    </w:p>
    <w:p w14:paraId="5131F764" w14:textId="77777777" w:rsidR="00A121D7" w:rsidRPr="00F13073" w:rsidRDefault="00A121D7" w:rsidP="00A31743">
      <w:pPr>
        <w:keepNext/>
        <w:ind w:left="567" w:hanging="567"/>
      </w:pPr>
      <w:r w:rsidRPr="00F13073">
        <w:rPr>
          <w:rStyle w:val="Char"/>
          <w:rFonts w:eastAsia="DengXian"/>
          <w:b/>
          <w:bCs/>
        </w:rPr>
        <w:t>4.</w:t>
      </w:r>
      <w:r w:rsidRPr="00F13073">
        <w:rPr>
          <w:rStyle w:val="Char"/>
          <w:rFonts w:eastAsia="DengXian"/>
          <w:b/>
          <w:bCs/>
        </w:rPr>
        <w:tab/>
        <w:t>SZCZEGÓŁOWE DANE KLINICZNE</w:t>
      </w:r>
    </w:p>
    <w:p w14:paraId="04EC92E5" w14:textId="77777777" w:rsidR="00A121D7" w:rsidRPr="00F13073" w:rsidRDefault="00A121D7" w:rsidP="008B4C50">
      <w:pPr>
        <w:pStyle w:val="a4"/>
        <w:widowControl/>
        <w:tabs>
          <w:tab w:val="left" w:pos="509"/>
        </w:tabs>
        <w:spacing w:after="0"/>
        <w:rPr>
          <w:rStyle w:val="Char"/>
          <w:b/>
          <w:bCs/>
        </w:rPr>
      </w:pPr>
    </w:p>
    <w:p w14:paraId="02CC0D53" w14:textId="77777777" w:rsidR="00A121D7" w:rsidRPr="00F13073" w:rsidRDefault="00A121D7" w:rsidP="00A31743">
      <w:pPr>
        <w:keepNext/>
        <w:ind w:left="567" w:hanging="567"/>
        <w:rPr>
          <w:b/>
          <w:bCs/>
        </w:rPr>
      </w:pPr>
      <w:r w:rsidRPr="00F13073">
        <w:rPr>
          <w:b/>
          <w:bCs/>
        </w:rPr>
        <w:t>4.1</w:t>
      </w:r>
      <w:r w:rsidRPr="00F13073">
        <w:rPr>
          <w:b/>
          <w:bCs/>
        </w:rPr>
        <w:tab/>
        <w:t>Wskazania do stosowania</w:t>
      </w:r>
    </w:p>
    <w:p w14:paraId="6927CA1E" w14:textId="77777777" w:rsidR="00A121D7" w:rsidRPr="00F13073" w:rsidRDefault="00A121D7" w:rsidP="008B4C50">
      <w:pPr>
        <w:pStyle w:val="a4"/>
        <w:widowControl/>
        <w:spacing w:after="0"/>
        <w:rPr>
          <w:rStyle w:val="Char"/>
        </w:rPr>
      </w:pPr>
    </w:p>
    <w:p w14:paraId="3681DE1B" w14:textId="2C1E6779" w:rsidR="00A121D7" w:rsidRPr="00F13073" w:rsidRDefault="00A121D7"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w skojarzeniu z metotreksatem (MTX), jest wskazany:</w:t>
      </w:r>
    </w:p>
    <w:p w14:paraId="2F32904B" w14:textId="77777777" w:rsidR="00A121D7" w:rsidRPr="00F13073" w:rsidRDefault="00A121D7" w:rsidP="008B4C50">
      <w:pPr>
        <w:pStyle w:val="a4"/>
        <w:widowControl/>
        <w:spacing w:after="0"/>
        <w:rPr>
          <w:rStyle w:val="Char"/>
        </w:rPr>
      </w:pPr>
    </w:p>
    <w:p w14:paraId="41D668F5" w14:textId="77777777" w:rsidR="00A121D7" w:rsidRPr="00F13073" w:rsidRDefault="00A121D7" w:rsidP="008B4C50">
      <w:pPr>
        <w:pStyle w:val="a0"/>
        <w:numPr>
          <w:ilvl w:val="0"/>
          <w:numId w:val="5"/>
        </w:numPr>
        <w:ind w:left="567" w:hanging="567"/>
        <w:contextualSpacing w:val="0"/>
      </w:pPr>
      <w:r w:rsidRPr="00F13073">
        <w:rPr>
          <w:rStyle w:val="Char"/>
          <w:rFonts w:eastAsia="DengXian"/>
        </w:rPr>
        <w:t>w leczeniu dorosłych pacjentów z czynnym, postępującym reumatoidalnym zapaleniem stawów (RZS) o ciężkim nasileniu, nieleczonych dotychczas za pomocą MTX.</w:t>
      </w:r>
    </w:p>
    <w:p w14:paraId="5985656E" w14:textId="77777777" w:rsidR="00A121D7" w:rsidRPr="00F13073" w:rsidRDefault="00A121D7" w:rsidP="002012EB">
      <w:pPr>
        <w:pStyle w:val="a0"/>
        <w:numPr>
          <w:ilvl w:val="0"/>
          <w:numId w:val="5"/>
        </w:numPr>
        <w:ind w:left="567" w:hanging="567"/>
        <w:contextualSpacing w:val="0"/>
      </w:pPr>
      <w:r w:rsidRPr="00F13073">
        <w:rPr>
          <w:rStyle w:val="Char"/>
          <w:rFonts w:eastAsia="DengXian"/>
        </w:rPr>
        <w:t>w leczeniu dorosłych pacjentów z czynnym reumatoidalnym zapaleniem stawów (RZS) o nasileniu umiarkowanym do ciężkiego, u których stwierdzono niewystarczającą odpowiedź na leczenie lub nietolerancję dotychczasowego leczenia jednym lub kilkoma lekami przeciwreumatycznymi modyfikującymi przebieg choroby (ang. DMARDs) lub inhibitorami czynnika martwicy nowotworu (ang. anti-TNF).</w:t>
      </w:r>
    </w:p>
    <w:p w14:paraId="6D911269" w14:textId="77777777" w:rsidR="00A121D7" w:rsidRPr="00F13073" w:rsidRDefault="00A121D7" w:rsidP="008B4C50">
      <w:pPr>
        <w:pStyle w:val="a4"/>
        <w:widowControl/>
        <w:spacing w:after="0"/>
      </w:pPr>
    </w:p>
    <w:p w14:paraId="717C4419" w14:textId="25745B69" w:rsidR="00A121D7" w:rsidRPr="00F13073" w:rsidRDefault="00A121D7" w:rsidP="008B4C50">
      <w:pPr>
        <w:pStyle w:val="a4"/>
        <w:widowControl/>
        <w:spacing w:after="0"/>
        <w:rPr>
          <w:rStyle w:val="Char"/>
        </w:rPr>
      </w:pPr>
      <w:r w:rsidRPr="00F13073">
        <w:rPr>
          <w:rStyle w:val="Char"/>
        </w:rPr>
        <w:t xml:space="preserve">U tych pacjentów produkt leczniczy </w:t>
      </w:r>
      <w:r w:rsidR="00026375" w:rsidRPr="00F13073">
        <w:rPr>
          <w:rStyle w:val="Char"/>
        </w:rPr>
        <w:t>Avtozma</w:t>
      </w:r>
      <w:r w:rsidRPr="00F13073">
        <w:rPr>
          <w:rStyle w:val="Char"/>
        </w:rPr>
        <w:t xml:space="preserve"> może być podawany w monoterapii w przypadku nietolerancji metotreksatu lub w przypadku gdy kontynuacja leczenia metotreksatem nie jest wskazana.</w:t>
      </w:r>
    </w:p>
    <w:p w14:paraId="474D59F5" w14:textId="77777777" w:rsidR="00F17B82" w:rsidRPr="00F13073" w:rsidRDefault="00F17B82" w:rsidP="008B4C50">
      <w:pPr>
        <w:pStyle w:val="a4"/>
        <w:widowControl/>
        <w:spacing w:after="0"/>
      </w:pPr>
    </w:p>
    <w:p w14:paraId="7D80F4FA" w14:textId="7BE3856F" w:rsidR="00A121D7" w:rsidRPr="00F13073" w:rsidRDefault="00A121D7" w:rsidP="008B4C50">
      <w:pPr>
        <w:pStyle w:val="a4"/>
        <w:widowControl/>
        <w:spacing w:after="0"/>
        <w:rPr>
          <w:rStyle w:val="Char"/>
        </w:rPr>
      </w:pPr>
      <w:r w:rsidRPr="00F13073">
        <w:rPr>
          <w:rStyle w:val="Char"/>
        </w:rPr>
        <w:t xml:space="preserve">Wykazano, że produkt leczniczy </w:t>
      </w:r>
      <w:r w:rsidR="00026375" w:rsidRPr="00F13073">
        <w:rPr>
          <w:rStyle w:val="Char"/>
        </w:rPr>
        <w:t>Avtozma</w:t>
      </w:r>
      <w:r w:rsidRPr="00F13073">
        <w:rPr>
          <w:rStyle w:val="Char"/>
        </w:rPr>
        <w:t xml:space="preserve"> zmniejsza szybkość postępu uszkodzenia stawów mierzonego radiologicznie oraz powoduje poprawę sprawności fizycznej przy podawaniu łącznym z metotreksatem.</w:t>
      </w:r>
    </w:p>
    <w:p w14:paraId="57430704" w14:textId="77777777" w:rsidR="00A121D7" w:rsidRPr="00F13073" w:rsidRDefault="00A121D7" w:rsidP="008B4C50">
      <w:pPr>
        <w:pStyle w:val="a4"/>
        <w:widowControl/>
        <w:spacing w:after="0"/>
      </w:pPr>
    </w:p>
    <w:p w14:paraId="41710962" w14:textId="5696FED7" w:rsidR="00A121D7" w:rsidRPr="00F13073" w:rsidRDefault="00A121D7" w:rsidP="008B4C50">
      <w:pPr>
        <w:pStyle w:val="a4"/>
        <w:widowControl/>
        <w:spacing w:after="0"/>
        <w:rPr>
          <w:rStyle w:val="Char"/>
        </w:rPr>
      </w:pPr>
      <w:r w:rsidRPr="00F13073">
        <w:rPr>
          <w:rStyle w:val="Char"/>
        </w:rPr>
        <w:lastRenderedPageBreak/>
        <w:t xml:space="preserve">Produkt leczniczy </w:t>
      </w:r>
      <w:r w:rsidR="00026375" w:rsidRPr="00F13073">
        <w:rPr>
          <w:rStyle w:val="Char"/>
        </w:rPr>
        <w:t>Avtozma</w:t>
      </w:r>
      <w:r w:rsidRPr="00F13073">
        <w:rPr>
          <w:rStyle w:val="Char"/>
        </w:rPr>
        <w:t xml:space="preserve"> jest wskazany w leczeniu czynnego młodzieńczego idiopatycznego zapalenia stawów o początku uogólnionym (uMIZS) u pacjentów w wieku 1 rok i starszych, u których stwierdzono niewystarczającą odpowiedź na wcześniejsze leczenie niesteroidowymi lekami przeciwzapalnymi (NLPZ) i kortykosteroidami systemowymi. Produkt leczniczy </w:t>
      </w:r>
      <w:r w:rsidR="00026375" w:rsidRPr="00F13073">
        <w:rPr>
          <w:rStyle w:val="Char"/>
        </w:rPr>
        <w:t>Avtozma</w:t>
      </w:r>
      <w:r w:rsidRPr="00F13073">
        <w:rPr>
          <w:rStyle w:val="Char"/>
        </w:rPr>
        <w:t xml:space="preserve"> może być podawany w monoterapii (w przypadku nietolerancji MTX oraz u pacjentów, u których leczenie MTX nie jest wskazane) lub w skojarzeniu z MTX.</w:t>
      </w:r>
    </w:p>
    <w:p w14:paraId="2881C1C8" w14:textId="77777777" w:rsidR="00E73BE3" w:rsidRPr="00F13073" w:rsidRDefault="00E73BE3" w:rsidP="008B4C50">
      <w:pPr>
        <w:pStyle w:val="a4"/>
        <w:widowControl/>
        <w:spacing w:after="0"/>
      </w:pPr>
    </w:p>
    <w:p w14:paraId="14F3CC95" w14:textId="79BB4F06" w:rsidR="00A121D7" w:rsidRPr="00F13073" w:rsidRDefault="00A121D7"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skojarzeniu z metotreksatem (MTX) jest wskazany w leczeniu wielostawowego młodzieńczego idiopatycznego zapalenia stawów (wMIZS; czynnik reumatoidalny pozytywny lub negatywny oraz postać nielicznostawowa, rozszerzająca) u pacjentów w wieku co najmniej 2 lat, u których stwierdzono niewystarczającą odpowiedź na wcześniejsze leczenie MTX.</w:t>
      </w:r>
    </w:p>
    <w:p w14:paraId="67FC2913" w14:textId="77777777" w:rsidR="00E73BE3" w:rsidRPr="00F13073" w:rsidRDefault="00E73BE3" w:rsidP="008B4C50">
      <w:pPr>
        <w:pStyle w:val="a4"/>
        <w:widowControl/>
        <w:spacing w:after="0"/>
      </w:pPr>
    </w:p>
    <w:p w14:paraId="4FC0998A" w14:textId="21D39FFA" w:rsidR="00A121D7" w:rsidRPr="00F13073" w:rsidRDefault="00A121D7"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może być podawany w monoterapii w przypadku nietolerancji metotreksatu lub u pacjentów, u których kontynuacja leczenia metotreksatem nie jest wskazana.</w:t>
      </w:r>
    </w:p>
    <w:p w14:paraId="2ACF2298" w14:textId="77777777" w:rsidR="00E73BE3" w:rsidRPr="00F13073" w:rsidRDefault="00E73BE3" w:rsidP="008B4C50">
      <w:pPr>
        <w:pStyle w:val="a4"/>
        <w:widowControl/>
        <w:spacing w:after="0"/>
      </w:pPr>
    </w:p>
    <w:p w14:paraId="676EE46D" w14:textId="4EAD0AF8" w:rsidR="00A121D7" w:rsidRPr="00F13073" w:rsidRDefault="00A121D7"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jest wskazany w leczeniu olbrzymiokomórkowego zapalenia tętnic (ang. GCA) u dorosłych pacjentów.</w:t>
      </w:r>
    </w:p>
    <w:p w14:paraId="243E272E" w14:textId="77777777" w:rsidR="00E73BE3" w:rsidRPr="00F13073" w:rsidRDefault="00E73BE3" w:rsidP="008B4C50">
      <w:pPr>
        <w:pStyle w:val="a4"/>
        <w:widowControl/>
        <w:spacing w:after="0"/>
      </w:pPr>
    </w:p>
    <w:p w14:paraId="7F71D3AB" w14:textId="77777777" w:rsidR="00A121D7" w:rsidRPr="00F13073" w:rsidRDefault="00A121D7" w:rsidP="008B4C50">
      <w:pPr>
        <w:keepNext/>
        <w:ind w:left="567" w:hanging="567"/>
      </w:pPr>
      <w:r w:rsidRPr="00F13073">
        <w:rPr>
          <w:rStyle w:val="Char"/>
          <w:rFonts w:eastAsia="DengXian"/>
          <w:b/>
          <w:bCs/>
        </w:rPr>
        <w:t>4.2</w:t>
      </w:r>
      <w:r w:rsidR="00E73BE3" w:rsidRPr="00F13073">
        <w:rPr>
          <w:rStyle w:val="Char"/>
          <w:rFonts w:eastAsia="DengXian"/>
          <w:b/>
          <w:bCs/>
        </w:rPr>
        <w:tab/>
      </w:r>
      <w:r w:rsidRPr="00F13073">
        <w:rPr>
          <w:rStyle w:val="Char"/>
          <w:rFonts w:eastAsia="DengXian"/>
          <w:b/>
          <w:bCs/>
        </w:rPr>
        <w:t>Dawkowanie i sposób podawania</w:t>
      </w:r>
    </w:p>
    <w:p w14:paraId="4CD23DA8" w14:textId="77777777" w:rsidR="00E73BE3" w:rsidRPr="00F13073" w:rsidRDefault="00E73BE3" w:rsidP="008B4C50">
      <w:pPr>
        <w:pStyle w:val="a4"/>
        <w:widowControl/>
        <w:spacing w:after="0"/>
        <w:rPr>
          <w:rStyle w:val="Char"/>
        </w:rPr>
      </w:pPr>
    </w:p>
    <w:p w14:paraId="0F61DB84" w14:textId="5F8A9B11" w:rsidR="00FC16A3" w:rsidRPr="00F13073" w:rsidRDefault="00A121D7" w:rsidP="008B4C50">
      <w:pPr>
        <w:pStyle w:val="a4"/>
        <w:widowControl/>
        <w:spacing w:after="0"/>
        <w:rPr>
          <w:rStyle w:val="Char"/>
        </w:rPr>
      </w:pPr>
      <w:r w:rsidRPr="00F13073">
        <w:rPr>
          <w:rStyle w:val="Char"/>
        </w:rPr>
        <w:t xml:space="preserve">Tocilizumab w postaci podskórnej (s.c.) jest podawany za pomocą jednorazowej ampułko-strzykawki </w:t>
      </w:r>
      <w:r w:rsidR="00FC16A3" w:rsidRPr="00F13073">
        <w:rPr>
          <w:rStyle w:val="Char"/>
        </w:rPr>
        <w:t>z zabezpieczeniem igły</w:t>
      </w:r>
      <w:r w:rsidRPr="00F13073">
        <w:rPr>
          <w:rStyle w:val="Char"/>
        </w:rPr>
        <w:t xml:space="preserve">. Leczenie powinno być rozpoczynane przez lekarza doświadczonego w rozpoznawaniu i leczeniu RZS, uMIZS, wMIZS i (lub) GCA. </w:t>
      </w:r>
    </w:p>
    <w:p w14:paraId="5BF1BC71" w14:textId="77777777" w:rsidR="00FC16A3" w:rsidRPr="00F13073" w:rsidRDefault="00FC16A3" w:rsidP="008B4C50">
      <w:pPr>
        <w:pStyle w:val="a4"/>
        <w:widowControl/>
        <w:spacing w:after="0"/>
        <w:rPr>
          <w:rStyle w:val="Char"/>
        </w:rPr>
      </w:pPr>
    </w:p>
    <w:p w14:paraId="38943DA8" w14:textId="636BC63F" w:rsidR="00A121D7" w:rsidRPr="00F13073" w:rsidRDefault="00A121D7" w:rsidP="008B4C50">
      <w:pPr>
        <w:pStyle w:val="a4"/>
        <w:widowControl/>
        <w:spacing w:after="0"/>
        <w:rPr>
          <w:rStyle w:val="Char"/>
        </w:rPr>
      </w:pPr>
      <w:r w:rsidRPr="00F13073">
        <w:rPr>
          <w:rStyle w:val="Char"/>
        </w:rPr>
        <w:t xml:space="preserve">Pierwsze wstrzyknięcie należy wykonać pod nadzorem wykwalifikowanego personelu medycznego. Pacjent może samodzielnie wstrzykiwać sobie produkt leczniczy </w:t>
      </w:r>
      <w:r w:rsidR="00026375" w:rsidRPr="00F13073">
        <w:rPr>
          <w:rStyle w:val="Char"/>
        </w:rPr>
        <w:t>Avtozma</w:t>
      </w:r>
      <w:r w:rsidRPr="00F13073">
        <w:rPr>
          <w:rStyle w:val="Char"/>
        </w:rPr>
        <w:t xml:space="preserve"> lub może to zrobić rodzic/opiekun pacjenta tylko gdy lekarz stwierdzi, że jest to właściwe, a w razie konieczności pacjent lub rodzic/opiekun wyrazi zgodę na obserwację medyczną i zostanie przeszkolony w zakresie właściwej techniki wykonania wstrzyknięcia.</w:t>
      </w:r>
    </w:p>
    <w:p w14:paraId="2A0E37E4" w14:textId="77777777" w:rsidR="00E73BE3" w:rsidRPr="00F13073" w:rsidRDefault="00E73BE3" w:rsidP="008B4C50">
      <w:pPr>
        <w:pStyle w:val="a4"/>
        <w:widowControl/>
        <w:spacing w:after="0"/>
      </w:pPr>
    </w:p>
    <w:p w14:paraId="7E82E1D8" w14:textId="77777777" w:rsidR="00A121D7" w:rsidRPr="00F13073" w:rsidRDefault="00A121D7" w:rsidP="008B4C50">
      <w:pPr>
        <w:pStyle w:val="a4"/>
        <w:widowControl/>
        <w:spacing w:after="0"/>
        <w:rPr>
          <w:rStyle w:val="Char"/>
        </w:rPr>
      </w:pPr>
      <w:r w:rsidRPr="00F13073">
        <w:rPr>
          <w:rStyle w:val="Char"/>
        </w:rPr>
        <w:t>Pacjenci, którzy zmieniają leczenie z tocilizumabu w postaci dożylnej na formę podskórną powinni podać pierwszą dawkę podskórną w terminie planowanej kolejnej dawki dożylnej, pod nadzorem wykwalifikowanego fachowego personelu medycznego.</w:t>
      </w:r>
    </w:p>
    <w:p w14:paraId="7E1F0843" w14:textId="77777777" w:rsidR="00E73BE3" w:rsidRPr="00F13073" w:rsidRDefault="00E73BE3" w:rsidP="008B4C50">
      <w:pPr>
        <w:pStyle w:val="a4"/>
        <w:widowControl/>
        <w:spacing w:after="0"/>
      </w:pPr>
    </w:p>
    <w:p w14:paraId="078CE8A8" w14:textId="38A14E61" w:rsidR="00A121D7" w:rsidRPr="00F13073" w:rsidRDefault="00A121D7" w:rsidP="008B4C50">
      <w:pPr>
        <w:pStyle w:val="a4"/>
        <w:widowControl/>
        <w:spacing w:after="0"/>
        <w:rPr>
          <w:rStyle w:val="Char"/>
        </w:rPr>
      </w:pPr>
      <w:r w:rsidRPr="00F13073">
        <w:rPr>
          <w:rStyle w:val="Char"/>
        </w:rPr>
        <w:t xml:space="preserve">Wszyscy pacjenci leczeni produktem leczniczym </w:t>
      </w:r>
      <w:r w:rsidR="00026375" w:rsidRPr="00F13073">
        <w:rPr>
          <w:rStyle w:val="Char"/>
        </w:rPr>
        <w:t>Avtozma</w:t>
      </w:r>
      <w:r w:rsidRPr="00F13073">
        <w:rPr>
          <w:rStyle w:val="Char"/>
        </w:rPr>
        <w:t xml:space="preserve"> powinni otrzymać Kartę Ostrzegawczą dla Pacjenta.</w:t>
      </w:r>
    </w:p>
    <w:p w14:paraId="43C62150" w14:textId="77777777" w:rsidR="00E73BE3" w:rsidRPr="00F13073" w:rsidRDefault="00E73BE3" w:rsidP="008B4C50">
      <w:pPr>
        <w:pStyle w:val="a4"/>
        <w:widowControl/>
        <w:spacing w:after="0"/>
      </w:pPr>
    </w:p>
    <w:p w14:paraId="22F8E151" w14:textId="77777777" w:rsidR="00A121D7" w:rsidRPr="00F13073" w:rsidRDefault="00A121D7" w:rsidP="008B4C50">
      <w:pPr>
        <w:pStyle w:val="a4"/>
        <w:widowControl/>
        <w:spacing w:after="0"/>
        <w:rPr>
          <w:rStyle w:val="Char"/>
        </w:rPr>
      </w:pPr>
      <w:r w:rsidRPr="00F13073">
        <w:rPr>
          <w:rStyle w:val="Char"/>
        </w:rPr>
        <w:t>Powinna zostać oceniona możliwość samodzielnego, podskórnego podawania leku przez pacjenta lub rodzica/opiekuna w domu oraz należy poinstruować pacjenta lub rodzica/opiekuna o konieczności poinformowania lekarza przed podaniem kolejnej dawki, jeśli u pacjenta wystąpią objawy reakcji alergicznej. Jeśli u pacjenta wystąpią objawy ciężkiej reakcji alergicznej, powinien bezzwłocznie skorzystać z pomocy lekarza (patrz punkt 4.4).</w:t>
      </w:r>
    </w:p>
    <w:p w14:paraId="40E89F71" w14:textId="77777777" w:rsidR="00E73BE3" w:rsidRPr="00F13073" w:rsidRDefault="00E73BE3" w:rsidP="008B4C50">
      <w:pPr>
        <w:pStyle w:val="a4"/>
        <w:widowControl/>
        <w:spacing w:after="0"/>
      </w:pPr>
    </w:p>
    <w:p w14:paraId="373982AD" w14:textId="77777777" w:rsidR="00A121D7" w:rsidRPr="00F13073" w:rsidRDefault="00A121D7" w:rsidP="008B4C50">
      <w:pPr>
        <w:pStyle w:val="a4"/>
        <w:widowControl/>
        <w:spacing w:after="0"/>
        <w:rPr>
          <w:rStyle w:val="Char"/>
          <w:u w:val="single"/>
        </w:rPr>
      </w:pPr>
      <w:r w:rsidRPr="00F13073">
        <w:rPr>
          <w:rStyle w:val="Char"/>
          <w:u w:val="single"/>
        </w:rPr>
        <w:t>Dawkowanie</w:t>
      </w:r>
    </w:p>
    <w:p w14:paraId="3456EB68" w14:textId="77777777" w:rsidR="00E73BE3" w:rsidRPr="00F13073" w:rsidRDefault="00E73BE3" w:rsidP="008B4C50">
      <w:pPr>
        <w:pStyle w:val="a4"/>
        <w:widowControl/>
        <w:spacing w:after="0"/>
      </w:pPr>
    </w:p>
    <w:p w14:paraId="0591D657" w14:textId="77777777" w:rsidR="00A121D7" w:rsidRPr="00F13073" w:rsidRDefault="00A121D7" w:rsidP="008B4C50">
      <w:pPr>
        <w:pStyle w:val="a4"/>
        <w:widowControl/>
        <w:spacing w:after="0"/>
      </w:pPr>
      <w:r w:rsidRPr="00F13073">
        <w:rPr>
          <w:rStyle w:val="Char"/>
          <w:u w:val="single"/>
        </w:rPr>
        <w:t>RZS</w:t>
      </w:r>
    </w:p>
    <w:p w14:paraId="46D88E1D" w14:textId="77777777" w:rsidR="00A121D7" w:rsidRPr="00F13073" w:rsidRDefault="00A121D7" w:rsidP="008B4C50">
      <w:pPr>
        <w:pStyle w:val="a4"/>
        <w:widowControl/>
        <w:spacing w:after="0"/>
        <w:rPr>
          <w:rStyle w:val="Char"/>
        </w:rPr>
      </w:pPr>
      <w:r w:rsidRPr="00F13073">
        <w:rPr>
          <w:rStyle w:val="Char"/>
        </w:rPr>
        <w:t>Zalecana dawka wynosi 162 mg, podawane podskórnie raz w tygodniu.</w:t>
      </w:r>
    </w:p>
    <w:p w14:paraId="7CD0C573" w14:textId="77777777" w:rsidR="00E73BE3" w:rsidRPr="00F13073" w:rsidRDefault="00E73BE3" w:rsidP="008B4C50">
      <w:pPr>
        <w:pStyle w:val="a4"/>
        <w:widowControl/>
        <w:spacing w:after="0"/>
      </w:pPr>
    </w:p>
    <w:p w14:paraId="7033C197" w14:textId="1F48C3DF" w:rsidR="00A121D7" w:rsidRPr="00F13073" w:rsidRDefault="00A121D7" w:rsidP="008B4C50">
      <w:pPr>
        <w:pStyle w:val="a4"/>
        <w:widowControl/>
        <w:spacing w:after="0"/>
        <w:rPr>
          <w:rStyle w:val="Char"/>
        </w:rPr>
      </w:pPr>
      <w:r w:rsidRPr="00F13073">
        <w:rPr>
          <w:rStyle w:val="Char"/>
        </w:rPr>
        <w:t xml:space="preserve">Istnieją ograniczone dane dotyczące zmiany podawania produktu leczniczego </w:t>
      </w:r>
      <w:r w:rsidR="00026375" w:rsidRPr="00F13073">
        <w:rPr>
          <w:rStyle w:val="Char"/>
        </w:rPr>
        <w:t>Avtozma</w:t>
      </w:r>
      <w:r w:rsidRPr="00F13073">
        <w:rPr>
          <w:rStyle w:val="Char"/>
        </w:rPr>
        <w:t xml:space="preserve"> z formy dożylnej na podskórną w stałej dawce. Podawanie leku należy kontynuować w odstępach cotygodniowych.</w:t>
      </w:r>
    </w:p>
    <w:p w14:paraId="0C969E97" w14:textId="77777777" w:rsidR="00E73BE3" w:rsidRPr="00F13073" w:rsidRDefault="00E73BE3" w:rsidP="008B4C50">
      <w:pPr>
        <w:pStyle w:val="a4"/>
        <w:widowControl/>
        <w:spacing w:after="0"/>
      </w:pPr>
    </w:p>
    <w:p w14:paraId="094ECD84" w14:textId="77777777" w:rsidR="00A121D7" w:rsidRPr="00F13073" w:rsidRDefault="00A121D7" w:rsidP="008B4C50">
      <w:pPr>
        <w:pStyle w:val="a4"/>
        <w:widowControl/>
        <w:spacing w:after="0"/>
        <w:rPr>
          <w:rStyle w:val="Char"/>
        </w:rPr>
      </w:pPr>
      <w:r w:rsidRPr="00F13073">
        <w:rPr>
          <w:rStyle w:val="Char"/>
        </w:rPr>
        <w:t>Pacjenci, u których zmieniono sposób podawania z dożylnego na podskórny, muszą przyjąć pierwszą, podawaną podskórnie dawkę zamiast zaplanowanej dawki dożylnej pod nadzorem wykwalifikowanego fachowego personelu medycznego.</w:t>
      </w:r>
    </w:p>
    <w:p w14:paraId="2F2EFF72" w14:textId="77777777" w:rsidR="00E73BE3" w:rsidRPr="00F13073" w:rsidRDefault="00E73BE3" w:rsidP="008B4C50">
      <w:pPr>
        <w:pStyle w:val="a4"/>
        <w:widowControl/>
        <w:spacing w:after="0"/>
      </w:pPr>
    </w:p>
    <w:p w14:paraId="390A7E9F" w14:textId="77777777" w:rsidR="00A121D7" w:rsidRPr="00F13073" w:rsidRDefault="00A121D7" w:rsidP="008B4C50">
      <w:pPr>
        <w:pStyle w:val="a4"/>
        <w:widowControl/>
        <w:spacing w:after="0"/>
      </w:pPr>
      <w:r w:rsidRPr="00F13073">
        <w:rPr>
          <w:rStyle w:val="Char"/>
          <w:u w:val="single"/>
        </w:rPr>
        <w:t>GCA</w:t>
      </w:r>
    </w:p>
    <w:p w14:paraId="62A87B2B" w14:textId="458EF351" w:rsidR="00A121D7" w:rsidRPr="00F13073" w:rsidRDefault="00A121D7" w:rsidP="008B4C50">
      <w:pPr>
        <w:pStyle w:val="a4"/>
        <w:widowControl/>
        <w:spacing w:after="0"/>
      </w:pPr>
      <w:r w:rsidRPr="00F13073">
        <w:rPr>
          <w:rStyle w:val="Char"/>
        </w:rPr>
        <w:lastRenderedPageBreak/>
        <w:t xml:space="preserve">Zalecana dawka wynosi 162 mg podawane podskórnie raz w tygodniu w skojarzeniu z leczeniem glikokortykosteroidami w malejących dawkach. Produkt leczniczy </w:t>
      </w:r>
      <w:r w:rsidR="00026375" w:rsidRPr="00F13073">
        <w:rPr>
          <w:rStyle w:val="Char"/>
        </w:rPr>
        <w:t>Avtozma</w:t>
      </w:r>
      <w:r w:rsidRPr="00F13073">
        <w:rPr>
          <w:rStyle w:val="Char"/>
        </w:rPr>
        <w:t xml:space="preserve"> może być stosowany w monoterapii po zakończeniu stosowania glikokortykosteroidów.</w:t>
      </w:r>
    </w:p>
    <w:p w14:paraId="7489FF8D" w14:textId="181931D6" w:rsidR="00A121D7" w:rsidRPr="00F13073" w:rsidRDefault="00A121D7"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monoterapii nie powinien być stosowany w leczeniu ostrych nawrotów choroby (patrz punkt 4.4).</w:t>
      </w:r>
    </w:p>
    <w:p w14:paraId="6D1DC9BE" w14:textId="77777777" w:rsidR="00E73BE3" w:rsidRPr="00F13073" w:rsidRDefault="00E73BE3" w:rsidP="008B4C50">
      <w:pPr>
        <w:pStyle w:val="a4"/>
        <w:widowControl/>
        <w:spacing w:after="0"/>
      </w:pPr>
    </w:p>
    <w:p w14:paraId="2AD1723D" w14:textId="77777777" w:rsidR="001E0975" w:rsidRPr="00F13073" w:rsidRDefault="00A121D7" w:rsidP="008B4C50">
      <w:r w:rsidRPr="00F13073">
        <w:rPr>
          <w:rStyle w:val="Char"/>
          <w:rFonts w:eastAsia="DengXian"/>
        </w:rPr>
        <w:t>W związku z przewlekłym charakterem GCA, leczenie trwające powyżej 52 tygodni powinno być prowadzone w oparciu o aktywność choroby, ocenę lekarza i wybór pacjenta.</w:t>
      </w:r>
    </w:p>
    <w:p w14:paraId="40185D82" w14:textId="77777777" w:rsidR="0022773E" w:rsidRPr="00F13073" w:rsidRDefault="0022773E" w:rsidP="008B4C50"/>
    <w:p w14:paraId="01C82BC8" w14:textId="77777777" w:rsidR="007F2C83" w:rsidRPr="00F13073" w:rsidRDefault="007F2C83" w:rsidP="001827C4">
      <w:pPr>
        <w:pStyle w:val="a4"/>
        <w:keepNext/>
        <w:widowControl/>
        <w:spacing w:after="0"/>
        <w:rPr>
          <w:u w:val="single"/>
        </w:rPr>
      </w:pPr>
      <w:r w:rsidRPr="00F13073">
        <w:rPr>
          <w:rStyle w:val="Char"/>
          <w:u w:val="single"/>
        </w:rPr>
        <w:t>RZS i GCA</w:t>
      </w:r>
    </w:p>
    <w:p w14:paraId="77444C2E" w14:textId="77777777" w:rsidR="007F2C83" w:rsidRPr="00F13073" w:rsidRDefault="007F2C83" w:rsidP="001827C4">
      <w:pPr>
        <w:pStyle w:val="a4"/>
        <w:keepNext/>
        <w:widowControl/>
        <w:spacing w:after="0"/>
      </w:pPr>
      <w:r w:rsidRPr="00F13073">
        <w:rPr>
          <w:rStyle w:val="Char"/>
          <w:u w:val="single"/>
        </w:rPr>
        <w:t>Dostosowanie dawki z powodu nieprawidłowości wyników badań laboratoryjnych (patrz punkt 4.4).</w:t>
      </w:r>
    </w:p>
    <w:p w14:paraId="122B6738" w14:textId="77777777" w:rsidR="00047089" w:rsidRPr="00F13073" w:rsidRDefault="00047089" w:rsidP="001827C4">
      <w:pPr>
        <w:pStyle w:val="a4"/>
        <w:keepNext/>
        <w:widowControl/>
        <w:spacing w:after="0"/>
        <w:rPr>
          <w:u w:val="single"/>
        </w:rPr>
      </w:pPr>
    </w:p>
    <w:p w14:paraId="2623861E" w14:textId="77777777" w:rsidR="001E0975" w:rsidRPr="00F13073" w:rsidRDefault="007F2C83" w:rsidP="008B4C50">
      <w:pPr>
        <w:pStyle w:val="a0"/>
        <w:keepNext/>
        <w:numPr>
          <w:ilvl w:val="0"/>
          <w:numId w:val="5"/>
        </w:numPr>
        <w:ind w:left="567" w:hanging="567"/>
        <w:contextualSpacing w:val="0"/>
      </w:pPr>
      <w:r w:rsidRPr="00F13073">
        <w:rPr>
          <w:rStyle w:val="Char"/>
          <w:rFonts w:eastAsia="DengXian"/>
        </w:rPr>
        <w:t>Nieprawidłowa aktywność enzymów wątrobowych</w:t>
      </w:r>
    </w:p>
    <w:p w14:paraId="3BDCFE45" w14:textId="77777777" w:rsidR="00047089" w:rsidRPr="00F13073" w:rsidRDefault="00047089" w:rsidP="008B4C50">
      <w:pPr>
        <w:keepNext/>
      </w:pPr>
    </w:p>
    <w:tbl>
      <w:tblPr>
        <w:tblOverlap w:val="neve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074"/>
        <w:gridCol w:w="6998"/>
      </w:tblGrid>
      <w:tr w:rsidR="008369F2" w:rsidRPr="00F13073" w14:paraId="23D99E62" w14:textId="77777777" w:rsidTr="00A31743">
        <w:trPr>
          <w:cantSplit/>
          <w:tblHeader/>
        </w:trPr>
        <w:tc>
          <w:tcPr>
            <w:tcW w:w="2074" w:type="dxa"/>
          </w:tcPr>
          <w:p w14:paraId="281380F3" w14:textId="77777777" w:rsidR="008369F2" w:rsidRPr="00F13073" w:rsidRDefault="008369F2" w:rsidP="003674FE">
            <w:pPr>
              <w:keepNext/>
              <w:suppressAutoHyphens/>
              <w:jc w:val="center"/>
            </w:pPr>
            <w:r w:rsidRPr="00F13073">
              <w:rPr>
                <w:rStyle w:val="Other"/>
                <w:rFonts w:eastAsia="DengXian"/>
              </w:rPr>
              <w:t>Wartość laboratoryjna</w:t>
            </w:r>
          </w:p>
        </w:tc>
        <w:tc>
          <w:tcPr>
            <w:tcW w:w="6998" w:type="dxa"/>
          </w:tcPr>
          <w:p w14:paraId="0F46A2A0" w14:textId="77777777" w:rsidR="008369F2" w:rsidRPr="00F13073" w:rsidRDefault="008369F2" w:rsidP="003674FE">
            <w:pPr>
              <w:keepNext/>
              <w:suppressAutoHyphens/>
              <w:jc w:val="center"/>
            </w:pPr>
            <w:r w:rsidRPr="00F13073">
              <w:rPr>
                <w:rStyle w:val="Other"/>
                <w:rFonts w:eastAsia="DengXian"/>
              </w:rPr>
              <w:t>Zalecane postępowanie</w:t>
            </w:r>
          </w:p>
        </w:tc>
      </w:tr>
      <w:tr w:rsidR="008369F2" w:rsidRPr="00F13073" w14:paraId="0BE1E2FB" w14:textId="77777777" w:rsidTr="00A31743">
        <w:trPr>
          <w:cantSplit/>
          <w:trHeight w:val="2212"/>
          <w:tblHeader/>
        </w:trPr>
        <w:tc>
          <w:tcPr>
            <w:tcW w:w="2074" w:type="dxa"/>
          </w:tcPr>
          <w:p w14:paraId="6E9DC94D" w14:textId="77777777" w:rsidR="008369F2" w:rsidRPr="00F13073" w:rsidRDefault="008369F2" w:rsidP="008B4C50">
            <w:pPr>
              <w:suppressAutoHyphens/>
            </w:pPr>
            <w:r w:rsidRPr="00F13073">
              <w:rPr>
                <w:rStyle w:val="Other"/>
                <w:rFonts w:eastAsia="DengXian"/>
              </w:rPr>
              <w:t>&gt; 1 do 3 x górna granica normy (GGN)</w:t>
            </w:r>
          </w:p>
        </w:tc>
        <w:tc>
          <w:tcPr>
            <w:tcW w:w="6998" w:type="dxa"/>
          </w:tcPr>
          <w:p w14:paraId="3640758D" w14:textId="77777777" w:rsidR="008369F2" w:rsidRPr="00F13073" w:rsidRDefault="008369F2" w:rsidP="008B4C50">
            <w:pPr>
              <w:pStyle w:val="Other0"/>
              <w:widowControl/>
              <w:spacing w:after="0"/>
              <w:rPr>
                <w:rStyle w:val="Other"/>
              </w:rPr>
            </w:pPr>
            <w:r w:rsidRPr="00F13073">
              <w:rPr>
                <w:rStyle w:val="Other"/>
              </w:rPr>
              <w:t>Należy zmodyfikować dawki podawanych równocześnie leków z grupy DMARD (RZS) lub leków immunomodulujących (GCA) w przypadkach, gdy jest to właściwe.</w:t>
            </w:r>
          </w:p>
          <w:p w14:paraId="61EA6F52" w14:textId="77777777" w:rsidR="008369F2" w:rsidRPr="00F13073" w:rsidRDefault="008369F2" w:rsidP="008B4C50">
            <w:pPr>
              <w:pStyle w:val="Other0"/>
              <w:widowControl/>
              <w:spacing w:after="0"/>
            </w:pPr>
          </w:p>
          <w:p w14:paraId="79BD9977" w14:textId="19999631" w:rsidR="008369F2" w:rsidRPr="00F13073" w:rsidRDefault="008369F2" w:rsidP="008B4C50">
            <w:pPr>
              <w:pStyle w:val="Other0"/>
              <w:widowControl/>
              <w:spacing w:after="0"/>
              <w:rPr>
                <w:rStyle w:val="Other"/>
              </w:rPr>
            </w:pPr>
            <w:r w:rsidRPr="00F13073">
              <w:rPr>
                <w:rStyle w:val="Other"/>
              </w:rPr>
              <w:t xml:space="preserve">W przypadku utrzymywania się zwiększonych wartości w tym zakresie należy zmniejszyć częstość podawania produktu leczniczego </w:t>
            </w:r>
            <w:r w:rsidR="00026375" w:rsidRPr="00F13073">
              <w:rPr>
                <w:rStyle w:val="Other"/>
              </w:rPr>
              <w:t>Avtozma</w:t>
            </w:r>
            <w:r w:rsidRPr="00F13073">
              <w:rPr>
                <w:rStyle w:val="Other"/>
              </w:rPr>
              <w:t xml:space="preserve"> do jednej dawki co drugi tydzień lub przerwać jego podawanie do czasu powrotu do prawidłowych wartości aktywności aminotransferazy alaninowej (AlAT) lub aminotransferazy asparaginianowej (AspAT).</w:t>
            </w:r>
          </w:p>
          <w:p w14:paraId="79B57405" w14:textId="77777777" w:rsidR="008369F2" w:rsidRPr="00F13073" w:rsidRDefault="008369F2" w:rsidP="008B4C50">
            <w:pPr>
              <w:pStyle w:val="Other0"/>
              <w:widowControl/>
              <w:spacing w:after="0"/>
            </w:pPr>
          </w:p>
          <w:p w14:paraId="4130E584" w14:textId="77777777" w:rsidR="008369F2" w:rsidRPr="00F13073" w:rsidRDefault="008369F2" w:rsidP="008B4C50">
            <w:pPr>
              <w:suppressAutoHyphens/>
            </w:pPr>
            <w:r w:rsidRPr="00F13073">
              <w:rPr>
                <w:rStyle w:val="Other"/>
                <w:rFonts w:eastAsia="DengXian"/>
              </w:rPr>
              <w:t>Należy wrócić do wykonywania iniekcji co tydzień lub co drugi tydzień, jeśli jest to klinicznie uzasadnione.</w:t>
            </w:r>
          </w:p>
        </w:tc>
      </w:tr>
      <w:tr w:rsidR="008369F2" w:rsidRPr="00F13073" w14:paraId="09C20CA0" w14:textId="77777777" w:rsidTr="00A31743">
        <w:trPr>
          <w:cantSplit/>
          <w:tblHeader/>
        </w:trPr>
        <w:tc>
          <w:tcPr>
            <w:tcW w:w="2074" w:type="dxa"/>
          </w:tcPr>
          <w:p w14:paraId="73CD6B7B" w14:textId="77777777" w:rsidR="008369F2" w:rsidRPr="00F13073" w:rsidRDefault="008369F2" w:rsidP="008B4C50">
            <w:pPr>
              <w:suppressAutoHyphens/>
            </w:pPr>
            <w:r w:rsidRPr="00F13073">
              <w:rPr>
                <w:rStyle w:val="Other"/>
                <w:rFonts w:eastAsia="DengXian"/>
              </w:rPr>
              <w:t>&gt; 3 do 5 x GGN</w:t>
            </w:r>
          </w:p>
        </w:tc>
        <w:tc>
          <w:tcPr>
            <w:tcW w:w="6998" w:type="dxa"/>
          </w:tcPr>
          <w:p w14:paraId="2AA145A5" w14:textId="3423992A" w:rsidR="008369F2" w:rsidRPr="00F13073" w:rsidRDefault="008369F2" w:rsidP="008B4C50">
            <w:pPr>
              <w:pStyle w:val="Other0"/>
              <w:widowControl/>
              <w:spacing w:after="0"/>
              <w:rPr>
                <w:rStyle w:val="Other"/>
              </w:rPr>
            </w:pPr>
            <w:r w:rsidRPr="00F13073">
              <w:rPr>
                <w:rStyle w:val="Other"/>
              </w:rPr>
              <w:t xml:space="preserve">Należy przerwać podawanie produktu leczniczego </w:t>
            </w:r>
            <w:r w:rsidR="00026375" w:rsidRPr="00F13073">
              <w:rPr>
                <w:rStyle w:val="Other"/>
              </w:rPr>
              <w:t>Avtozma</w:t>
            </w:r>
            <w:r w:rsidRPr="00F13073">
              <w:rPr>
                <w:rStyle w:val="Other"/>
              </w:rPr>
              <w:t xml:space="preserve"> do czasu, gdy wartości aminotransferaz osiągną poziom &lt; 3 x GGN i postępować zgodnie z zaleceniami podanymi powyżej dla &gt; 1 do 3 x GGN.</w:t>
            </w:r>
          </w:p>
          <w:p w14:paraId="07F99D71" w14:textId="77777777" w:rsidR="008369F2" w:rsidRPr="00F13073" w:rsidRDefault="008369F2" w:rsidP="008B4C50">
            <w:pPr>
              <w:pStyle w:val="Other0"/>
              <w:widowControl/>
              <w:spacing w:after="0"/>
            </w:pPr>
          </w:p>
          <w:p w14:paraId="0E19AB01" w14:textId="54B79F0C" w:rsidR="008369F2" w:rsidRPr="00F13073" w:rsidRDefault="008369F2" w:rsidP="008B4C50">
            <w:pPr>
              <w:suppressAutoHyphens/>
            </w:pPr>
            <w:r w:rsidRPr="00F13073">
              <w:rPr>
                <w:rStyle w:val="Other"/>
                <w:rFonts w:eastAsia="DengXian"/>
              </w:rPr>
              <w:t xml:space="preserve">W przypadku utrzymywania się podwyższonych wartości &gt; 3 x GGN (potwierdzonych w powtórzonym badaniu, patrz punkt 4.4) należy przerwać podawanie produktu leczniczego </w:t>
            </w:r>
            <w:r w:rsidR="00026375" w:rsidRPr="00F13073">
              <w:rPr>
                <w:rStyle w:val="Other"/>
                <w:rFonts w:eastAsia="DengXian"/>
              </w:rPr>
              <w:t>Avtozma</w:t>
            </w:r>
            <w:r w:rsidRPr="00F13073">
              <w:rPr>
                <w:rStyle w:val="Other"/>
                <w:rFonts w:eastAsia="DengXian"/>
              </w:rPr>
              <w:t>.</w:t>
            </w:r>
          </w:p>
        </w:tc>
      </w:tr>
      <w:tr w:rsidR="008369F2" w:rsidRPr="00F13073" w14:paraId="2546C568" w14:textId="77777777" w:rsidTr="00A31743">
        <w:trPr>
          <w:cantSplit/>
          <w:tblHeader/>
        </w:trPr>
        <w:tc>
          <w:tcPr>
            <w:tcW w:w="2074" w:type="dxa"/>
          </w:tcPr>
          <w:p w14:paraId="746AFFA2" w14:textId="77777777" w:rsidR="008369F2" w:rsidRPr="00F13073" w:rsidRDefault="008369F2" w:rsidP="008B4C50">
            <w:pPr>
              <w:suppressAutoHyphens/>
            </w:pPr>
            <w:r w:rsidRPr="00F13073">
              <w:rPr>
                <w:rStyle w:val="Other"/>
                <w:rFonts w:eastAsia="DengXian"/>
              </w:rPr>
              <w:t>&gt; 5 x GGN</w:t>
            </w:r>
          </w:p>
        </w:tc>
        <w:tc>
          <w:tcPr>
            <w:tcW w:w="6998" w:type="dxa"/>
          </w:tcPr>
          <w:p w14:paraId="47DDDBD1" w14:textId="235D7171" w:rsidR="008369F2" w:rsidRPr="00F13073" w:rsidRDefault="008369F2"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270FF083" w14:textId="77777777" w:rsidR="001E0975" w:rsidRPr="00F13073" w:rsidRDefault="001E0975" w:rsidP="008B4C50"/>
    <w:p w14:paraId="298AA13E" w14:textId="77777777" w:rsidR="001E0975" w:rsidRPr="00F13073" w:rsidRDefault="009C28EF" w:rsidP="008B4C50">
      <w:pPr>
        <w:pStyle w:val="a0"/>
        <w:keepNext/>
        <w:numPr>
          <w:ilvl w:val="0"/>
          <w:numId w:val="5"/>
        </w:numPr>
        <w:ind w:left="567" w:hanging="567"/>
        <w:contextualSpacing w:val="0"/>
      </w:pPr>
      <w:r w:rsidRPr="00F13073">
        <w:t>Mała bezwzględna liczba granulocytów obojętnochłonnych (ANC)</w:t>
      </w:r>
    </w:p>
    <w:p w14:paraId="46587E39" w14:textId="77777777" w:rsidR="00047089" w:rsidRPr="00F13073" w:rsidRDefault="00047089" w:rsidP="008B4C50">
      <w:pPr>
        <w:keepNext/>
      </w:pPr>
    </w:p>
    <w:p w14:paraId="4BEF1B1C" w14:textId="050397E8" w:rsidR="001E0975" w:rsidRPr="00F13073" w:rsidRDefault="009C28EF" w:rsidP="00A31743">
      <w:r w:rsidRPr="00F13073">
        <w:rPr>
          <w:rStyle w:val="Char"/>
          <w:rFonts w:eastAsia="DengXian"/>
        </w:rPr>
        <w:t xml:space="preserve">Nie zaleca się rozpoczynać leczenia u pacjentów nieleczonych wcześniej </w:t>
      </w:r>
      <w:r w:rsidR="005042FC" w:rsidRPr="00F13073">
        <w:rPr>
          <w:rStyle w:val="Char"/>
          <w:rFonts w:eastAsia="DengXian"/>
        </w:rPr>
        <w:t xml:space="preserve">tocilizumabem </w:t>
      </w:r>
      <w:r w:rsidRPr="00F13073">
        <w:rPr>
          <w:rStyle w:val="Char"/>
          <w:rFonts w:eastAsia="DengXian"/>
        </w:rPr>
        <w:t>z bezwzględną liczbą granulocytów obojętnochłonnych (ANC) poniżej 2</w:t>
      </w:r>
      <w:r w:rsidR="00A31743" w:rsidRPr="00F13073">
        <w:rPr>
          <w:rStyle w:val="Char"/>
          <w:rFonts w:eastAsia="DengXian"/>
        </w:rPr>
        <w:t> </w:t>
      </w:r>
      <w:r w:rsidRPr="00F13073">
        <w:rPr>
          <w:rStyle w:val="Char"/>
          <w:rFonts w:eastAsia="DengXian"/>
        </w:rPr>
        <w:t>x</w:t>
      </w:r>
      <w:r w:rsidR="00A31743" w:rsidRPr="00F13073">
        <w:rPr>
          <w:rStyle w:val="Char"/>
          <w:rFonts w:eastAsia="DengXian"/>
        </w:rPr>
        <w:t> </w:t>
      </w:r>
      <w:r w:rsidR="00611033" w:rsidRPr="00F13073">
        <w:t>10</w:t>
      </w:r>
      <w:r w:rsidR="00611033" w:rsidRPr="00F13073">
        <w:rPr>
          <w:vertAlign w:val="superscript"/>
        </w:rPr>
        <w:t>9</w:t>
      </w:r>
      <w:r w:rsidR="00611033" w:rsidRPr="00F13073">
        <w:t>/</w:t>
      </w:r>
      <w:r w:rsidRPr="00F13073">
        <w:t>l.</w:t>
      </w:r>
    </w:p>
    <w:p w14:paraId="2EEFE92C" w14:textId="77777777" w:rsidR="00047089" w:rsidRPr="00F13073" w:rsidRDefault="00047089" w:rsidP="008B4C50"/>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2074"/>
        <w:gridCol w:w="6998"/>
      </w:tblGrid>
      <w:tr w:rsidR="00260139" w:rsidRPr="00F13073" w14:paraId="3AC710FB" w14:textId="77777777" w:rsidTr="00A31743">
        <w:trPr>
          <w:cantSplit/>
          <w:tblHeader/>
        </w:trPr>
        <w:tc>
          <w:tcPr>
            <w:tcW w:w="2074" w:type="dxa"/>
            <w:tcBorders>
              <w:top w:val="single" w:sz="4" w:space="0" w:color="auto"/>
              <w:left w:val="single" w:sz="4" w:space="0" w:color="auto"/>
            </w:tcBorders>
          </w:tcPr>
          <w:p w14:paraId="44D11B52" w14:textId="77777777" w:rsidR="00260139" w:rsidRPr="00F13073" w:rsidRDefault="00260139" w:rsidP="003674FE">
            <w:pPr>
              <w:keepNext/>
              <w:suppressAutoHyphens/>
              <w:jc w:val="center"/>
            </w:pPr>
            <w:r w:rsidRPr="00F13073">
              <w:rPr>
                <w:rStyle w:val="Other"/>
                <w:rFonts w:eastAsia="DengXian"/>
              </w:rPr>
              <w:t>Wartość laboratoryjna (liczba komórek x 10</w:t>
            </w:r>
            <w:r w:rsidRPr="00F13073">
              <w:rPr>
                <w:rStyle w:val="Other"/>
                <w:rFonts w:eastAsia="DengXian"/>
                <w:vertAlign w:val="superscript"/>
              </w:rPr>
              <w:t>9</w:t>
            </w:r>
            <w:r w:rsidRPr="00F13073">
              <w:rPr>
                <w:rStyle w:val="Other"/>
                <w:rFonts w:eastAsia="DengXian"/>
              </w:rPr>
              <w:t>/l)</w:t>
            </w:r>
          </w:p>
        </w:tc>
        <w:tc>
          <w:tcPr>
            <w:tcW w:w="6998" w:type="dxa"/>
            <w:tcBorders>
              <w:top w:val="single" w:sz="4" w:space="0" w:color="auto"/>
              <w:left w:val="single" w:sz="4" w:space="0" w:color="auto"/>
              <w:bottom w:val="single" w:sz="4" w:space="0" w:color="auto"/>
              <w:right w:val="single" w:sz="4" w:space="0" w:color="auto"/>
            </w:tcBorders>
          </w:tcPr>
          <w:p w14:paraId="2511E691" w14:textId="77777777" w:rsidR="00260139" w:rsidRPr="00F13073" w:rsidRDefault="00260139" w:rsidP="003674FE">
            <w:pPr>
              <w:keepNext/>
              <w:suppressAutoHyphens/>
              <w:jc w:val="center"/>
            </w:pPr>
            <w:r w:rsidRPr="00F13073">
              <w:rPr>
                <w:rStyle w:val="Other"/>
                <w:rFonts w:eastAsia="DengXian"/>
              </w:rPr>
              <w:t>Zalecane postępowanie</w:t>
            </w:r>
          </w:p>
        </w:tc>
      </w:tr>
      <w:tr w:rsidR="00260139" w:rsidRPr="00F13073" w14:paraId="2E12B8BC" w14:textId="77777777" w:rsidTr="00A31743">
        <w:trPr>
          <w:cantSplit/>
          <w:tblHeader/>
        </w:trPr>
        <w:tc>
          <w:tcPr>
            <w:tcW w:w="2074" w:type="dxa"/>
            <w:tcBorders>
              <w:top w:val="single" w:sz="4" w:space="0" w:color="auto"/>
              <w:left w:val="single" w:sz="4" w:space="0" w:color="auto"/>
            </w:tcBorders>
          </w:tcPr>
          <w:p w14:paraId="01E351E4" w14:textId="77777777" w:rsidR="00260139" w:rsidRPr="00F13073" w:rsidRDefault="00260139" w:rsidP="008B4C50">
            <w:pPr>
              <w:suppressAutoHyphens/>
            </w:pPr>
            <w:r w:rsidRPr="00F13073">
              <w:rPr>
                <w:rStyle w:val="Other"/>
                <w:rFonts w:eastAsia="DengXian"/>
              </w:rPr>
              <w:t>ANC &gt; 1</w:t>
            </w:r>
          </w:p>
        </w:tc>
        <w:tc>
          <w:tcPr>
            <w:tcW w:w="6998" w:type="dxa"/>
            <w:tcBorders>
              <w:top w:val="single" w:sz="4" w:space="0" w:color="auto"/>
              <w:left w:val="single" w:sz="4" w:space="0" w:color="auto"/>
              <w:bottom w:val="single" w:sz="4" w:space="0" w:color="auto"/>
              <w:right w:val="single" w:sz="4" w:space="0" w:color="auto"/>
            </w:tcBorders>
          </w:tcPr>
          <w:p w14:paraId="08C9501A" w14:textId="77777777" w:rsidR="00260139" w:rsidRPr="00F13073" w:rsidRDefault="00260139" w:rsidP="008B4C50">
            <w:pPr>
              <w:suppressAutoHyphens/>
            </w:pPr>
            <w:r w:rsidRPr="00F13073">
              <w:rPr>
                <w:rStyle w:val="Other"/>
                <w:rFonts w:eastAsia="DengXian"/>
              </w:rPr>
              <w:t>Utrzymanie dotychczasowej dawki</w:t>
            </w:r>
          </w:p>
        </w:tc>
      </w:tr>
      <w:tr w:rsidR="00260139" w:rsidRPr="00F13073" w14:paraId="03D9F213" w14:textId="77777777" w:rsidTr="00A31743">
        <w:trPr>
          <w:cantSplit/>
          <w:tblHeader/>
        </w:trPr>
        <w:tc>
          <w:tcPr>
            <w:tcW w:w="2074" w:type="dxa"/>
            <w:tcBorders>
              <w:top w:val="single" w:sz="4" w:space="0" w:color="auto"/>
              <w:left w:val="single" w:sz="4" w:space="0" w:color="auto"/>
            </w:tcBorders>
          </w:tcPr>
          <w:p w14:paraId="1F45D31D" w14:textId="77777777" w:rsidR="00260139" w:rsidRPr="00F13073" w:rsidRDefault="00260139" w:rsidP="008B4C50">
            <w:pPr>
              <w:suppressAutoHyphens/>
            </w:pPr>
            <w:r w:rsidRPr="00F13073">
              <w:rPr>
                <w:rStyle w:val="Other"/>
                <w:rFonts w:eastAsia="DengXian"/>
                <w:sz w:val="24"/>
                <w:szCs w:val="24"/>
              </w:rPr>
              <w:t>ANC od 0,5 do 1</w:t>
            </w:r>
          </w:p>
        </w:tc>
        <w:tc>
          <w:tcPr>
            <w:tcW w:w="6998" w:type="dxa"/>
            <w:tcBorders>
              <w:top w:val="single" w:sz="4" w:space="0" w:color="auto"/>
              <w:left w:val="single" w:sz="4" w:space="0" w:color="auto"/>
              <w:bottom w:val="single" w:sz="4" w:space="0" w:color="auto"/>
              <w:right w:val="single" w:sz="4" w:space="0" w:color="auto"/>
            </w:tcBorders>
          </w:tcPr>
          <w:p w14:paraId="54C0CD6C" w14:textId="75E74112" w:rsidR="00260139" w:rsidRPr="00F13073" w:rsidRDefault="00260139" w:rsidP="008B4C50">
            <w:pPr>
              <w:pStyle w:val="Other0"/>
              <w:widowControl/>
              <w:spacing w:after="0"/>
              <w:rPr>
                <w:rStyle w:val="Other"/>
              </w:rPr>
            </w:pPr>
            <w:r w:rsidRPr="00F13073">
              <w:rPr>
                <w:rStyle w:val="Other"/>
              </w:rPr>
              <w:t xml:space="preserve">Przerwanie podawania produktu leczniczego </w:t>
            </w:r>
            <w:r w:rsidR="00026375" w:rsidRPr="00F13073">
              <w:rPr>
                <w:rStyle w:val="Other"/>
              </w:rPr>
              <w:t>Avtozma</w:t>
            </w:r>
          </w:p>
          <w:p w14:paraId="03958E2E" w14:textId="77777777" w:rsidR="00260139" w:rsidRPr="00F13073" w:rsidRDefault="00260139" w:rsidP="008B4C50">
            <w:pPr>
              <w:pStyle w:val="Other0"/>
              <w:widowControl/>
              <w:spacing w:after="0"/>
            </w:pPr>
          </w:p>
          <w:p w14:paraId="1B7C1FBA" w14:textId="43B84CAB" w:rsidR="00260139" w:rsidRPr="00F13073" w:rsidRDefault="00260139" w:rsidP="008B4C50">
            <w:pPr>
              <w:suppressAutoHyphens/>
            </w:pPr>
            <w:r w:rsidRPr="00F13073">
              <w:rPr>
                <w:rStyle w:val="Other"/>
                <w:rFonts w:eastAsia="DengXian"/>
              </w:rPr>
              <w:t>Gdy wartość ANC wzrośnie 1 x 10</w:t>
            </w:r>
            <w:r w:rsidRPr="00F13073">
              <w:rPr>
                <w:rStyle w:val="Other"/>
                <w:rFonts w:eastAsia="DengXian"/>
                <w:vertAlign w:val="superscript"/>
              </w:rPr>
              <w:t>9</w:t>
            </w:r>
            <w:r w:rsidRPr="00F13073">
              <w:rPr>
                <w:rStyle w:val="Other"/>
                <w:rFonts w:eastAsia="DengXian"/>
              </w:rPr>
              <w:t xml:space="preserve">/l, należy wznowić podawanie produktu leczniczego </w:t>
            </w:r>
            <w:r w:rsidR="00026375" w:rsidRPr="00F13073">
              <w:rPr>
                <w:rStyle w:val="Other"/>
                <w:rFonts w:eastAsia="DengXian"/>
              </w:rPr>
              <w:t>Avtozma</w:t>
            </w:r>
            <w:r w:rsidRPr="00F13073">
              <w:rPr>
                <w:rStyle w:val="Other"/>
                <w:rFonts w:eastAsia="DengXian"/>
              </w:rPr>
              <w:t xml:space="preserve"> co drugi tydzień i przejść do podawania cotygodniowego, gdy stan kliniczny pacjenta na to pozwala.</w:t>
            </w:r>
          </w:p>
        </w:tc>
      </w:tr>
      <w:tr w:rsidR="00260139" w:rsidRPr="00F13073" w14:paraId="6608F5AB" w14:textId="77777777" w:rsidTr="00A31743">
        <w:trPr>
          <w:cantSplit/>
          <w:tblHeader/>
        </w:trPr>
        <w:tc>
          <w:tcPr>
            <w:tcW w:w="2074" w:type="dxa"/>
            <w:tcBorders>
              <w:top w:val="single" w:sz="4" w:space="0" w:color="auto"/>
              <w:left w:val="single" w:sz="4" w:space="0" w:color="auto"/>
              <w:bottom w:val="single" w:sz="4" w:space="0" w:color="auto"/>
            </w:tcBorders>
          </w:tcPr>
          <w:p w14:paraId="5B286BA9" w14:textId="77777777" w:rsidR="00260139" w:rsidRPr="00F13073" w:rsidRDefault="00260139" w:rsidP="008B4C50">
            <w:pPr>
              <w:suppressAutoHyphens/>
            </w:pPr>
            <w:r w:rsidRPr="00F13073">
              <w:rPr>
                <w:rStyle w:val="Other"/>
                <w:rFonts w:eastAsia="DengXian"/>
              </w:rPr>
              <w:t>ANC &lt; 0,5</w:t>
            </w:r>
          </w:p>
        </w:tc>
        <w:tc>
          <w:tcPr>
            <w:tcW w:w="6998" w:type="dxa"/>
            <w:tcBorders>
              <w:top w:val="single" w:sz="4" w:space="0" w:color="auto"/>
              <w:left w:val="single" w:sz="4" w:space="0" w:color="auto"/>
              <w:bottom w:val="single" w:sz="4" w:space="0" w:color="auto"/>
              <w:right w:val="single" w:sz="4" w:space="0" w:color="auto"/>
            </w:tcBorders>
          </w:tcPr>
          <w:p w14:paraId="38B72B68" w14:textId="10622327" w:rsidR="00260139" w:rsidRPr="00F13073" w:rsidRDefault="00260139"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00C58681" w14:textId="77777777" w:rsidR="001E0975" w:rsidRPr="00F13073" w:rsidRDefault="001E0975" w:rsidP="008B4C50"/>
    <w:p w14:paraId="34C5AD20" w14:textId="77777777" w:rsidR="001E0975" w:rsidRPr="00F13073" w:rsidRDefault="00D64C3B" w:rsidP="008B4C50">
      <w:pPr>
        <w:pStyle w:val="a0"/>
        <w:keepNext/>
        <w:numPr>
          <w:ilvl w:val="0"/>
          <w:numId w:val="5"/>
        </w:numPr>
        <w:ind w:left="567" w:hanging="567"/>
        <w:contextualSpacing w:val="0"/>
      </w:pPr>
      <w:r w:rsidRPr="00F13073">
        <w:lastRenderedPageBreak/>
        <w:t>Mała liczba płytek krwi</w:t>
      </w:r>
    </w:p>
    <w:p w14:paraId="1E8F6930" w14:textId="77777777" w:rsidR="00047089" w:rsidRPr="00F13073" w:rsidRDefault="00047089" w:rsidP="008B4C50">
      <w:pPr>
        <w:keepNext/>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2074"/>
        <w:gridCol w:w="6998"/>
      </w:tblGrid>
      <w:tr w:rsidR="00D64C3B" w:rsidRPr="00F13073" w14:paraId="506C30AB" w14:textId="77777777" w:rsidTr="00A31743">
        <w:trPr>
          <w:cantSplit/>
          <w:tblHeader/>
        </w:trPr>
        <w:tc>
          <w:tcPr>
            <w:tcW w:w="2074" w:type="dxa"/>
            <w:tcBorders>
              <w:top w:val="single" w:sz="4" w:space="0" w:color="auto"/>
              <w:left w:val="single" w:sz="4" w:space="0" w:color="auto"/>
              <w:bottom w:val="single" w:sz="4" w:space="0" w:color="auto"/>
            </w:tcBorders>
          </w:tcPr>
          <w:p w14:paraId="7EC31D21" w14:textId="77777777" w:rsidR="00D64C3B" w:rsidRPr="00F13073" w:rsidRDefault="00D64C3B" w:rsidP="003674FE">
            <w:pPr>
              <w:keepNext/>
              <w:suppressAutoHyphens/>
              <w:jc w:val="center"/>
            </w:pPr>
            <w:r w:rsidRPr="00F13073">
              <w:t>Wartość laboratoryjna (liczba komórek x 10</w:t>
            </w:r>
            <w:r w:rsidRPr="00F13073">
              <w:rPr>
                <w:vertAlign w:val="superscript"/>
              </w:rPr>
              <w:t>3</w:t>
            </w:r>
            <w:r w:rsidRPr="00F13073">
              <w:t>/μL)</w:t>
            </w:r>
          </w:p>
        </w:tc>
        <w:tc>
          <w:tcPr>
            <w:tcW w:w="6998" w:type="dxa"/>
            <w:tcBorders>
              <w:top w:val="single" w:sz="4" w:space="0" w:color="auto"/>
              <w:left w:val="single" w:sz="4" w:space="0" w:color="auto"/>
              <w:bottom w:val="single" w:sz="4" w:space="0" w:color="auto"/>
              <w:right w:val="single" w:sz="4" w:space="0" w:color="auto"/>
            </w:tcBorders>
          </w:tcPr>
          <w:p w14:paraId="1E417683" w14:textId="77777777" w:rsidR="00D64C3B" w:rsidRPr="00F13073" w:rsidRDefault="00D64C3B" w:rsidP="003674FE">
            <w:pPr>
              <w:keepNext/>
              <w:suppressAutoHyphens/>
              <w:jc w:val="center"/>
            </w:pPr>
            <w:r w:rsidRPr="00F13073">
              <w:rPr>
                <w:rStyle w:val="Other"/>
                <w:rFonts w:eastAsia="DengXian"/>
              </w:rPr>
              <w:t>Zalecane postępowanie</w:t>
            </w:r>
          </w:p>
        </w:tc>
      </w:tr>
      <w:tr w:rsidR="00D64C3B" w:rsidRPr="00F13073" w14:paraId="40CD71BD" w14:textId="77777777" w:rsidTr="00A31743">
        <w:trPr>
          <w:cantSplit/>
          <w:tblHeader/>
        </w:trPr>
        <w:tc>
          <w:tcPr>
            <w:tcW w:w="2074" w:type="dxa"/>
            <w:tcBorders>
              <w:top w:val="single" w:sz="4" w:space="0" w:color="auto"/>
              <w:left w:val="single" w:sz="4" w:space="0" w:color="auto"/>
              <w:bottom w:val="single" w:sz="4" w:space="0" w:color="auto"/>
            </w:tcBorders>
          </w:tcPr>
          <w:p w14:paraId="6193E8FC" w14:textId="77777777" w:rsidR="00D64C3B" w:rsidRPr="00F13073" w:rsidRDefault="00D64C3B" w:rsidP="008B4C50">
            <w:pPr>
              <w:suppressAutoHyphens/>
            </w:pPr>
            <w:r w:rsidRPr="00F13073">
              <w:t>od 50 do 100</w:t>
            </w:r>
          </w:p>
        </w:tc>
        <w:tc>
          <w:tcPr>
            <w:tcW w:w="6998" w:type="dxa"/>
            <w:tcBorders>
              <w:top w:val="single" w:sz="4" w:space="0" w:color="auto"/>
              <w:left w:val="single" w:sz="4" w:space="0" w:color="auto"/>
              <w:bottom w:val="single" w:sz="4" w:space="0" w:color="auto"/>
              <w:right w:val="single" w:sz="4" w:space="0" w:color="auto"/>
            </w:tcBorders>
          </w:tcPr>
          <w:p w14:paraId="025DF5B9" w14:textId="1FEB3948" w:rsidR="00D64C3B" w:rsidRPr="00F13073" w:rsidRDefault="00D64C3B" w:rsidP="008B4C50">
            <w:pPr>
              <w:pStyle w:val="Other0"/>
              <w:widowControl/>
              <w:spacing w:after="0"/>
              <w:rPr>
                <w:rStyle w:val="Other"/>
              </w:rPr>
            </w:pPr>
            <w:r w:rsidRPr="00F13073">
              <w:rPr>
                <w:rStyle w:val="Other"/>
              </w:rPr>
              <w:t xml:space="preserve">Przerwanie podawania produktu leczniczego </w:t>
            </w:r>
            <w:r w:rsidR="00026375" w:rsidRPr="00F13073">
              <w:rPr>
                <w:rStyle w:val="Other"/>
              </w:rPr>
              <w:t>Avtozma</w:t>
            </w:r>
          </w:p>
          <w:p w14:paraId="69A87C71" w14:textId="77777777" w:rsidR="00792B13" w:rsidRPr="00F13073" w:rsidRDefault="00792B13" w:rsidP="008B4C50">
            <w:pPr>
              <w:pStyle w:val="Other0"/>
              <w:widowControl/>
              <w:spacing w:after="0"/>
            </w:pPr>
          </w:p>
          <w:p w14:paraId="7FBAEAC5" w14:textId="1E0135C8" w:rsidR="00D64C3B" w:rsidRPr="00F13073" w:rsidRDefault="00D64C3B" w:rsidP="008B4C50">
            <w:pPr>
              <w:suppressAutoHyphens/>
            </w:pPr>
            <w:r w:rsidRPr="00F13073">
              <w:rPr>
                <w:rStyle w:val="Other"/>
                <w:rFonts w:eastAsia="DengXian"/>
              </w:rPr>
              <w:t>Gdy liczba płytek krwi wzrośnie powyżej &gt; 100 x 10</w:t>
            </w:r>
            <w:r w:rsidRPr="00F13073">
              <w:rPr>
                <w:rStyle w:val="Other"/>
                <w:rFonts w:eastAsia="DengXian"/>
                <w:vertAlign w:val="superscript"/>
              </w:rPr>
              <w:t>3</w:t>
            </w:r>
            <w:r w:rsidRPr="00F13073">
              <w:rPr>
                <w:rStyle w:val="Other"/>
                <w:rFonts w:eastAsia="DengXian"/>
              </w:rPr>
              <w:t xml:space="preserve">/μL, należy wznowić podawanie produktu leczniczego </w:t>
            </w:r>
            <w:r w:rsidR="00026375" w:rsidRPr="00F13073">
              <w:rPr>
                <w:rStyle w:val="Other"/>
                <w:rFonts w:eastAsia="DengXian"/>
              </w:rPr>
              <w:t>Avtozma</w:t>
            </w:r>
            <w:r w:rsidRPr="00F13073">
              <w:rPr>
                <w:rStyle w:val="Other"/>
                <w:rFonts w:eastAsia="DengXian"/>
              </w:rPr>
              <w:t xml:space="preserve"> co drugi tydzień i przejść do podawania cotygodniowego, gdy stan kliniczny pacjenta na to pozwala.</w:t>
            </w:r>
          </w:p>
        </w:tc>
      </w:tr>
      <w:tr w:rsidR="00D64C3B" w:rsidRPr="00F13073" w14:paraId="744418B9" w14:textId="77777777" w:rsidTr="00A31743">
        <w:trPr>
          <w:cantSplit/>
          <w:tblHeader/>
        </w:trPr>
        <w:tc>
          <w:tcPr>
            <w:tcW w:w="2074" w:type="dxa"/>
            <w:tcBorders>
              <w:top w:val="single" w:sz="4" w:space="0" w:color="auto"/>
              <w:left w:val="single" w:sz="4" w:space="0" w:color="auto"/>
              <w:bottom w:val="single" w:sz="4" w:space="0" w:color="auto"/>
            </w:tcBorders>
          </w:tcPr>
          <w:p w14:paraId="24914856" w14:textId="77777777" w:rsidR="00D64C3B" w:rsidRPr="00F13073" w:rsidRDefault="00D64C3B" w:rsidP="008B4C50">
            <w:pPr>
              <w:suppressAutoHyphens/>
            </w:pPr>
            <w:r w:rsidRPr="00F13073">
              <w:t>&lt; 50</w:t>
            </w:r>
          </w:p>
        </w:tc>
        <w:tc>
          <w:tcPr>
            <w:tcW w:w="6998" w:type="dxa"/>
            <w:tcBorders>
              <w:top w:val="single" w:sz="4" w:space="0" w:color="auto"/>
              <w:left w:val="single" w:sz="4" w:space="0" w:color="auto"/>
              <w:bottom w:val="single" w:sz="4" w:space="0" w:color="auto"/>
              <w:right w:val="single" w:sz="4" w:space="0" w:color="auto"/>
            </w:tcBorders>
          </w:tcPr>
          <w:p w14:paraId="7490DB90" w14:textId="2F78FD18" w:rsidR="00D64C3B" w:rsidRPr="00F13073" w:rsidRDefault="00D64C3B"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73756352" w14:textId="77777777" w:rsidR="00047089" w:rsidRPr="00F13073" w:rsidRDefault="00047089" w:rsidP="008B4C50"/>
    <w:p w14:paraId="79703334" w14:textId="77777777" w:rsidR="00B50AF4" w:rsidRPr="00F13073" w:rsidRDefault="00B50AF4" w:rsidP="008B4C50">
      <w:pPr>
        <w:pStyle w:val="a4"/>
        <w:widowControl/>
        <w:spacing w:after="0"/>
      </w:pPr>
      <w:r w:rsidRPr="00F13073">
        <w:rPr>
          <w:rStyle w:val="Char"/>
          <w:u w:val="single"/>
        </w:rPr>
        <w:t>RZS i GCA</w:t>
      </w:r>
    </w:p>
    <w:p w14:paraId="606939D1" w14:textId="77777777" w:rsidR="00B50AF4" w:rsidRPr="00F13073" w:rsidRDefault="00B50AF4" w:rsidP="008B4C50">
      <w:pPr>
        <w:pStyle w:val="a4"/>
        <w:widowControl/>
        <w:spacing w:after="0"/>
        <w:rPr>
          <w:i/>
          <w:iCs/>
        </w:rPr>
      </w:pPr>
      <w:r w:rsidRPr="00F13073">
        <w:rPr>
          <w:rStyle w:val="Char"/>
          <w:i/>
          <w:iCs/>
          <w:u w:val="single"/>
        </w:rPr>
        <w:t>Pominięta dawka</w:t>
      </w:r>
    </w:p>
    <w:p w14:paraId="3FDBDE5E" w14:textId="39CCF148" w:rsidR="00B50AF4" w:rsidRPr="00F13073" w:rsidRDefault="00B50AF4" w:rsidP="008B4C50">
      <w:pPr>
        <w:pStyle w:val="a4"/>
        <w:widowControl/>
        <w:spacing w:after="0"/>
        <w:rPr>
          <w:rStyle w:val="Char"/>
        </w:rPr>
      </w:pPr>
      <w:r w:rsidRPr="00F13073">
        <w:rPr>
          <w:rStyle w:val="Char"/>
        </w:rPr>
        <w:t xml:space="preserve">Jeśli pacjent pominie dawkę produktu leczniczego </w:t>
      </w:r>
      <w:r w:rsidR="00026375" w:rsidRPr="00F13073">
        <w:rPr>
          <w:rStyle w:val="Char"/>
        </w:rPr>
        <w:t>Avtozma</w:t>
      </w:r>
      <w:r w:rsidRPr="00F13073">
        <w:rPr>
          <w:rStyle w:val="Char"/>
        </w:rPr>
        <w:t xml:space="preserve"> podawanego cotygodniowo podskórnie w ciągu 7 dni od zaplanowanego dnia podania dawki, należy go pouczyć o konieczności przyjęcia leku w kolejnym zaplanowanym dniu. Jeśli pacjent pominie dawkę produktu leczniczego </w:t>
      </w:r>
      <w:r w:rsidR="00026375" w:rsidRPr="00F13073">
        <w:rPr>
          <w:rStyle w:val="Char"/>
        </w:rPr>
        <w:t>Avtozma</w:t>
      </w:r>
      <w:r w:rsidRPr="00F13073">
        <w:rPr>
          <w:rStyle w:val="Char"/>
        </w:rPr>
        <w:t xml:space="preserve"> podawanego podskórnie co drugi tydzień w ciągu 7 dni od dnia zaplanowanej dawki, należy go pouczyć o konieczności natychmiastowego przyjęcia pominiętej dawki i przyjęcia kolejnej dawki leku w kolejnym planowanym dniu.</w:t>
      </w:r>
    </w:p>
    <w:p w14:paraId="70EE9503" w14:textId="77777777" w:rsidR="0098032D" w:rsidRPr="00F13073" w:rsidRDefault="0098032D" w:rsidP="008B4C50">
      <w:pPr>
        <w:pStyle w:val="a4"/>
        <w:widowControl/>
        <w:spacing w:after="0"/>
      </w:pPr>
    </w:p>
    <w:p w14:paraId="0BD77E44" w14:textId="77777777" w:rsidR="00B50AF4" w:rsidRPr="00F13073" w:rsidRDefault="00B50AF4" w:rsidP="008B4C50">
      <w:pPr>
        <w:pStyle w:val="a4"/>
        <w:widowControl/>
        <w:spacing w:after="0"/>
        <w:rPr>
          <w:rStyle w:val="Char"/>
          <w:u w:val="single"/>
        </w:rPr>
      </w:pPr>
      <w:r w:rsidRPr="00F13073">
        <w:rPr>
          <w:rStyle w:val="Char"/>
          <w:u w:val="single"/>
        </w:rPr>
        <w:t>Szczególne grupy pacjentów</w:t>
      </w:r>
    </w:p>
    <w:p w14:paraId="6513B903" w14:textId="77777777" w:rsidR="0098032D" w:rsidRPr="00F13073" w:rsidRDefault="0098032D" w:rsidP="008B4C50">
      <w:pPr>
        <w:pStyle w:val="a4"/>
        <w:widowControl/>
        <w:spacing w:after="0"/>
      </w:pPr>
    </w:p>
    <w:p w14:paraId="40AD9EC7" w14:textId="77777777" w:rsidR="00B50AF4" w:rsidRPr="00F13073" w:rsidRDefault="00B50AF4" w:rsidP="008B4C50">
      <w:pPr>
        <w:pStyle w:val="a4"/>
        <w:widowControl/>
        <w:spacing w:after="0"/>
      </w:pPr>
      <w:r w:rsidRPr="00F13073">
        <w:rPr>
          <w:rStyle w:val="Char"/>
          <w:i/>
          <w:iCs/>
        </w:rPr>
        <w:t>U starszych pacjentów</w:t>
      </w:r>
    </w:p>
    <w:p w14:paraId="5FB10757" w14:textId="77777777" w:rsidR="00B50AF4" w:rsidRPr="00F13073" w:rsidRDefault="00B50AF4" w:rsidP="008B4C50">
      <w:pPr>
        <w:pStyle w:val="a4"/>
        <w:widowControl/>
        <w:spacing w:after="0"/>
        <w:rPr>
          <w:rStyle w:val="Char"/>
        </w:rPr>
      </w:pPr>
      <w:r w:rsidRPr="00F13073">
        <w:rPr>
          <w:rStyle w:val="Char"/>
        </w:rPr>
        <w:t>Nie jest wymagane dostosowanie dawki u starszych pacjentów &gt; 65 lat.</w:t>
      </w:r>
    </w:p>
    <w:p w14:paraId="257386A6" w14:textId="77777777" w:rsidR="0098032D" w:rsidRPr="00F13073" w:rsidRDefault="0098032D" w:rsidP="008B4C50">
      <w:pPr>
        <w:pStyle w:val="a4"/>
        <w:widowControl/>
        <w:spacing w:after="0"/>
      </w:pPr>
    </w:p>
    <w:p w14:paraId="5C015350" w14:textId="77777777" w:rsidR="00B50AF4" w:rsidRPr="00F13073" w:rsidRDefault="00B50AF4" w:rsidP="008B4C50">
      <w:pPr>
        <w:pStyle w:val="a4"/>
        <w:widowControl/>
        <w:spacing w:after="0"/>
      </w:pPr>
      <w:r w:rsidRPr="00F13073">
        <w:rPr>
          <w:rStyle w:val="Char"/>
          <w:i/>
          <w:iCs/>
        </w:rPr>
        <w:t>Osoby z niewydolnością nerek</w:t>
      </w:r>
    </w:p>
    <w:p w14:paraId="39E60911" w14:textId="06512875" w:rsidR="00B50AF4" w:rsidRPr="00F13073" w:rsidRDefault="00B50AF4" w:rsidP="008B4C50">
      <w:pPr>
        <w:pStyle w:val="a4"/>
        <w:widowControl/>
        <w:spacing w:after="0"/>
        <w:rPr>
          <w:rStyle w:val="Char"/>
        </w:rPr>
      </w:pPr>
      <w:r w:rsidRPr="00F13073">
        <w:rPr>
          <w:rStyle w:val="Char"/>
        </w:rPr>
        <w:t xml:space="preserve">Nie jest wymagane dostosowanie dawki u pacjentów z łagodnym lub umiarkowanym zaburzeniem czynności nerek. Stosowanie produktu leczniczego </w:t>
      </w:r>
      <w:r w:rsidR="00026375" w:rsidRPr="00F13073">
        <w:rPr>
          <w:rStyle w:val="Char"/>
        </w:rPr>
        <w:t>Avtozma</w:t>
      </w:r>
      <w:r w:rsidRPr="00F13073">
        <w:rPr>
          <w:rStyle w:val="Char"/>
        </w:rPr>
        <w:t xml:space="preserve"> nie było badane u pacjentów z zaburzeniem czynności nerek o nasileniu ciężkim (patrz punkt 5.2). U tych pacjentów należy ściśle kontrolować czynność nerek.</w:t>
      </w:r>
    </w:p>
    <w:p w14:paraId="48F6A552" w14:textId="77777777" w:rsidR="0098032D" w:rsidRPr="00F13073" w:rsidRDefault="0098032D" w:rsidP="008B4C50">
      <w:pPr>
        <w:pStyle w:val="a4"/>
        <w:widowControl/>
        <w:spacing w:after="0"/>
      </w:pPr>
    </w:p>
    <w:p w14:paraId="393113F4" w14:textId="77777777" w:rsidR="00B50AF4" w:rsidRPr="00F13073" w:rsidRDefault="00B50AF4" w:rsidP="008B4C50">
      <w:pPr>
        <w:pStyle w:val="a4"/>
        <w:widowControl/>
        <w:spacing w:after="0"/>
      </w:pPr>
      <w:r w:rsidRPr="00F13073">
        <w:rPr>
          <w:rStyle w:val="Char"/>
          <w:i/>
          <w:iCs/>
        </w:rPr>
        <w:t>Osoby z niewydolnością wątroby</w:t>
      </w:r>
    </w:p>
    <w:p w14:paraId="2AD75753" w14:textId="7289C70D" w:rsidR="00B50AF4" w:rsidRPr="00F13073" w:rsidRDefault="00B50AF4"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nie został przebadany w grupie pacjentów z zaburzoną czynnością wątroby. Z tego względu podanie zaleceń dotyczących dawkowania jest niemożliwe.</w:t>
      </w:r>
    </w:p>
    <w:p w14:paraId="223DE345" w14:textId="77777777" w:rsidR="0098032D" w:rsidRPr="00F13073" w:rsidRDefault="0098032D" w:rsidP="008B4C50">
      <w:pPr>
        <w:pStyle w:val="a4"/>
        <w:widowControl/>
        <w:spacing w:after="0"/>
      </w:pPr>
    </w:p>
    <w:p w14:paraId="3B4498EC" w14:textId="77777777" w:rsidR="00B50AF4" w:rsidRPr="00F13073" w:rsidRDefault="00B50AF4" w:rsidP="008B4C50">
      <w:pPr>
        <w:pStyle w:val="a4"/>
        <w:widowControl/>
        <w:spacing w:after="0"/>
      </w:pPr>
      <w:r w:rsidRPr="00F13073">
        <w:rPr>
          <w:rStyle w:val="Char"/>
          <w:i/>
          <w:iCs/>
        </w:rPr>
        <w:t>Dzieci</w:t>
      </w:r>
    </w:p>
    <w:p w14:paraId="51AB5AD1" w14:textId="2AA6208E" w:rsidR="00B50AF4" w:rsidRPr="00F13073" w:rsidRDefault="00B50AF4" w:rsidP="008B4C50">
      <w:pPr>
        <w:pStyle w:val="a4"/>
        <w:widowControl/>
        <w:spacing w:after="0"/>
        <w:rPr>
          <w:rStyle w:val="Char"/>
        </w:rPr>
      </w:pPr>
      <w:r w:rsidRPr="00F13073">
        <w:rPr>
          <w:rStyle w:val="Char"/>
        </w:rPr>
        <w:t xml:space="preserve">Nie określono bezpieczeństwa stosowania ani skuteczności produktu leczniczego </w:t>
      </w:r>
      <w:r w:rsidR="00026375" w:rsidRPr="00F13073">
        <w:rPr>
          <w:rStyle w:val="Char"/>
        </w:rPr>
        <w:t>Avtozma</w:t>
      </w:r>
      <w:r w:rsidRPr="00F13073">
        <w:rPr>
          <w:rStyle w:val="Char"/>
        </w:rPr>
        <w:t xml:space="preserve"> w postaci podskórnej u dzieci w wieku od urodzenia do mniej niż 1 rok. Dane nie są dostępne.</w:t>
      </w:r>
    </w:p>
    <w:p w14:paraId="35C7EFE6" w14:textId="77777777" w:rsidR="0098032D" w:rsidRPr="00F13073" w:rsidRDefault="0098032D" w:rsidP="008B4C50">
      <w:pPr>
        <w:pStyle w:val="a4"/>
        <w:widowControl/>
        <w:spacing w:after="0"/>
      </w:pPr>
    </w:p>
    <w:p w14:paraId="524B1A94" w14:textId="423BB18A" w:rsidR="00B50AF4" w:rsidRPr="00F13073" w:rsidRDefault="00B50AF4" w:rsidP="008B4C50">
      <w:pPr>
        <w:pStyle w:val="a4"/>
        <w:widowControl/>
        <w:spacing w:after="0"/>
        <w:rPr>
          <w:rStyle w:val="Char"/>
        </w:rPr>
      </w:pPr>
      <w:r w:rsidRPr="00F13073">
        <w:rPr>
          <w:rStyle w:val="Char"/>
        </w:rPr>
        <w:t xml:space="preserve">Dawka może być zmieniana wyłącznie w oparciu o konsekwentne zmiany masy ciała pacjenta wraz z upływem czasu. Produkt leczniczy </w:t>
      </w:r>
      <w:r w:rsidR="00026375" w:rsidRPr="00F13073">
        <w:rPr>
          <w:rStyle w:val="Char"/>
        </w:rPr>
        <w:t>Avtozma</w:t>
      </w:r>
      <w:r w:rsidRPr="00F13073">
        <w:rPr>
          <w:rStyle w:val="Char"/>
        </w:rPr>
        <w:t xml:space="preserve"> może być stosowany w monoterapii lub w skojarzeniu z MTX.</w:t>
      </w:r>
    </w:p>
    <w:p w14:paraId="2647794F" w14:textId="77777777" w:rsidR="0098032D" w:rsidRPr="00F13073" w:rsidRDefault="0098032D" w:rsidP="008B4C50">
      <w:pPr>
        <w:pStyle w:val="a4"/>
        <w:widowControl/>
        <w:spacing w:after="0"/>
      </w:pPr>
    </w:p>
    <w:p w14:paraId="1F058180" w14:textId="77777777" w:rsidR="00B50AF4" w:rsidRPr="00F13073" w:rsidRDefault="00B50AF4" w:rsidP="008B4C50">
      <w:pPr>
        <w:pStyle w:val="a4"/>
        <w:widowControl/>
        <w:spacing w:after="0"/>
      </w:pPr>
      <w:r w:rsidRPr="00F13073">
        <w:rPr>
          <w:rStyle w:val="Char"/>
          <w:i/>
          <w:iCs/>
        </w:rPr>
        <w:t>Chorzy na uMIZS</w:t>
      </w:r>
    </w:p>
    <w:p w14:paraId="3145CF03" w14:textId="77777777" w:rsidR="00B50AF4" w:rsidRPr="00F13073" w:rsidRDefault="00B50AF4" w:rsidP="008B4C50">
      <w:pPr>
        <w:pStyle w:val="a4"/>
        <w:widowControl/>
        <w:spacing w:after="0"/>
      </w:pPr>
      <w:r w:rsidRPr="00F13073">
        <w:rPr>
          <w:rStyle w:val="Char"/>
        </w:rPr>
        <w:t>Zalecana dawka u pacjentów w wieku powyżej 1 roku życia wynosi 162 mg podawana podskórnie raz na tydzień u pacjentów o masie ciała większej lub równej 30 kg, lub 162 mg podawana podskórnie raz na 2 tygodnie u pacjentów o masie ciała poniżej 30 kg.</w:t>
      </w:r>
    </w:p>
    <w:p w14:paraId="5E2372D1" w14:textId="0716DFB1" w:rsidR="00B50AF4" w:rsidRPr="00F13073" w:rsidRDefault="00B50AF4" w:rsidP="008B4C50">
      <w:pPr>
        <w:pStyle w:val="a4"/>
        <w:widowControl/>
        <w:spacing w:after="0"/>
        <w:rPr>
          <w:rStyle w:val="Char"/>
        </w:rPr>
      </w:pPr>
      <w:r w:rsidRPr="00F13073">
        <w:rPr>
          <w:rStyle w:val="Char"/>
        </w:rPr>
        <w:t xml:space="preserve">Masa ciała pacjentów musi wynosić minimum 10 kg w chwili otrzymania produktu leczniczego </w:t>
      </w:r>
      <w:r w:rsidR="00026375" w:rsidRPr="00F13073">
        <w:rPr>
          <w:rStyle w:val="Char"/>
        </w:rPr>
        <w:t>Avtozma</w:t>
      </w:r>
      <w:r w:rsidRPr="00F13073">
        <w:rPr>
          <w:rStyle w:val="Char"/>
        </w:rPr>
        <w:t xml:space="preserve"> w postaci podwanej podskórnie.</w:t>
      </w:r>
    </w:p>
    <w:p w14:paraId="10F895C5" w14:textId="77777777" w:rsidR="0098032D" w:rsidRPr="00F13073" w:rsidRDefault="0098032D" w:rsidP="008B4C50">
      <w:pPr>
        <w:pStyle w:val="a4"/>
        <w:widowControl/>
        <w:spacing w:after="0"/>
      </w:pPr>
    </w:p>
    <w:p w14:paraId="2B9651E0" w14:textId="77777777" w:rsidR="00B50AF4" w:rsidRPr="00F13073" w:rsidRDefault="00B50AF4" w:rsidP="008B4C50">
      <w:pPr>
        <w:pStyle w:val="a4"/>
        <w:widowControl/>
        <w:spacing w:after="0"/>
      </w:pPr>
      <w:r w:rsidRPr="00F13073">
        <w:rPr>
          <w:rStyle w:val="Char"/>
          <w:i/>
          <w:iCs/>
        </w:rPr>
        <w:t>Pacjenci z wMIZS:</w:t>
      </w:r>
    </w:p>
    <w:p w14:paraId="40CFD7C4" w14:textId="77777777" w:rsidR="00B50AF4" w:rsidRPr="00F13073" w:rsidRDefault="00B50AF4" w:rsidP="008B4C50">
      <w:pPr>
        <w:pStyle w:val="a4"/>
        <w:widowControl/>
        <w:spacing w:after="0"/>
        <w:rPr>
          <w:rStyle w:val="Char"/>
        </w:rPr>
      </w:pPr>
      <w:r w:rsidRPr="00F13073">
        <w:rPr>
          <w:rStyle w:val="Char"/>
        </w:rPr>
        <w:t>Zalecanym dawkowaniem u pacjentów w wieku powyżej 2 lat jest podskórne podanie dawki 162 mg raz na 2 tygodnie pacjentom o masie ciała większej lub równej 30 kg lub podskórne podanie dawki 162 mg raz na 3 tygodnie pacjentom o masie ciała mniejszej niż 30 kg.</w:t>
      </w:r>
    </w:p>
    <w:p w14:paraId="0095486F" w14:textId="77777777" w:rsidR="0098032D" w:rsidRPr="00F13073" w:rsidRDefault="0098032D" w:rsidP="008B4C50">
      <w:pPr>
        <w:pStyle w:val="a4"/>
        <w:widowControl/>
        <w:spacing w:after="0"/>
      </w:pPr>
    </w:p>
    <w:p w14:paraId="7A086FB6" w14:textId="77777777" w:rsidR="00B50AF4" w:rsidRPr="00F13073" w:rsidRDefault="00B50AF4" w:rsidP="008B4C50">
      <w:pPr>
        <w:pStyle w:val="a4"/>
        <w:widowControl/>
        <w:spacing w:after="0"/>
        <w:rPr>
          <w:rStyle w:val="Char"/>
          <w:u w:val="single"/>
        </w:rPr>
      </w:pPr>
      <w:r w:rsidRPr="00F13073">
        <w:rPr>
          <w:rStyle w:val="Char"/>
          <w:u w:val="single"/>
        </w:rPr>
        <w:lastRenderedPageBreak/>
        <w:t>Dostosowanie dawki z powodu nieprawidłowych wyników badań laboratoryjnych (uMIZS i wMIZS)</w:t>
      </w:r>
    </w:p>
    <w:p w14:paraId="30B28B76" w14:textId="77777777" w:rsidR="0098032D" w:rsidRPr="00F13073" w:rsidRDefault="0098032D" w:rsidP="008B4C50">
      <w:pPr>
        <w:pStyle w:val="a4"/>
        <w:widowControl/>
        <w:spacing w:after="0"/>
      </w:pPr>
    </w:p>
    <w:p w14:paraId="4C9CF3ED" w14:textId="77777777" w:rsidR="00B50AF4" w:rsidRPr="00F13073" w:rsidRDefault="00B50AF4" w:rsidP="008B4C50">
      <w:pPr>
        <w:pStyle w:val="a4"/>
        <w:widowControl/>
        <w:spacing w:after="0"/>
        <w:rPr>
          <w:rStyle w:val="Char"/>
        </w:rPr>
      </w:pPr>
      <w:r w:rsidRPr="00F13073">
        <w:rPr>
          <w:rStyle w:val="Char"/>
        </w:rPr>
        <w:t>Gdy jest to właściwe, dawka przyjmowanego równolegle MTX i (lub) innych leków powinna zostać zmodyfikowana lub należy zaprzestać ich podawania oraz należy przerwać podawanie tocilizumabu do czasu uzyskania oceny sytuacji klinicznej. Ponieważ wiele współistniejących chorób może wpływać na wyniki badań laboratoryjnych u pacjentów z uMIZS lub wMIZS, decyzja o przerwaniu podawania tocilizumabu w związku z nieprawidłowymi wynikami badań laboratoryjnych powinna opierać się na ocenie lekarskiej danego pacjenta.</w:t>
      </w:r>
    </w:p>
    <w:p w14:paraId="3C469E91" w14:textId="77777777" w:rsidR="0098032D" w:rsidRPr="00F13073" w:rsidRDefault="0098032D" w:rsidP="008B4C50">
      <w:pPr>
        <w:pStyle w:val="a4"/>
        <w:widowControl/>
        <w:spacing w:after="0"/>
      </w:pPr>
    </w:p>
    <w:p w14:paraId="7C3E07D9" w14:textId="77777777" w:rsidR="001E0975" w:rsidRPr="00F13073" w:rsidRDefault="0098032D" w:rsidP="008B4C50">
      <w:pPr>
        <w:pStyle w:val="a0"/>
        <w:keepNext/>
        <w:numPr>
          <w:ilvl w:val="0"/>
          <w:numId w:val="5"/>
        </w:numPr>
        <w:ind w:left="567" w:hanging="567"/>
        <w:contextualSpacing w:val="0"/>
      </w:pPr>
      <w:r w:rsidRPr="00F13073">
        <w:rPr>
          <w:rStyle w:val="Char"/>
          <w:rFonts w:eastAsia="DengXian"/>
        </w:rPr>
        <w:t>Nieprawidłowe wyniki badań laboratoryjnych dotyczących enzymów wątrobowych</w:t>
      </w:r>
    </w:p>
    <w:p w14:paraId="72C0149A" w14:textId="77777777" w:rsidR="00047089" w:rsidRPr="00F13073" w:rsidRDefault="00047089" w:rsidP="008B4C50">
      <w:pPr>
        <w:keepNext/>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2078"/>
        <w:gridCol w:w="6994"/>
      </w:tblGrid>
      <w:tr w:rsidR="0098032D" w:rsidRPr="00F13073" w14:paraId="0D119005" w14:textId="77777777" w:rsidTr="00C27A53">
        <w:trPr>
          <w:cantSplit/>
          <w:tblHeader/>
        </w:trPr>
        <w:tc>
          <w:tcPr>
            <w:tcW w:w="2078" w:type="dxa"/>
            <w:tcBorders>
              <w:top w:val="single" w:sz="4" w:space="0" w:color="auto"/>
              <w:left w:val="single" w:sz="4" w:space="0" w:color="auto"/>
            </w:tcBorders>
          </w:tcPr>
          <w:p w14:paraId="4DE3530D" w14:textId="77777777" w:rsidR="0098032D" w:rsidRPr="00F13073" w:rsidRDefault="0098032D" w:rsidP="0091086F">
            <w:pPr>
              <w:suppressAutoHyphens/>
              <w:jc w:val="center"/>
            </w:pPr>
            <w:r w:rsidRPr="00F13073">
              <w:t>Wartość laboratoryjna</w:t>
            </w:r>
          </w:p>
        </w:tc>
        <w:tc>
          <w:tcPr>
            <w:tcW w:w="6994" w:type="dxa"/>
            <w:tcBorders>
              <w:top w:val="single" w:sz="4" w:space="0" w:color="auto"/>
              <w:left w:val="single" w:sz="4" w:space="0" w:color="auto"/>
              <w:right w:val="single" w:sz="4" w:space="0" w:color="auto"/>
            </w:tcBorders>
          </w:tcPr>
          <w:p w14:paraId="24F60459" w14:textId="77777777" w:rsidR="0098032D" w:rsidRPr="00F13073" w:rsidRDefault="0098032D" w:rsidP="0091086F">
            <w:pPr>
              <w:suppressAutoHyphens/>
              <w:jc w:val="center"/>
            </w:pPr>
            <w:r w:rsidRPr="00F13073">
              <w:t>Zalecane postępowanie</w:t>
            </w:r>
          </w:p>
        </w:tc>
      </w:tr>
      <w:tr w:rsidR="0098032D" w:rsidRPr="00F13073" w14:paraId="2946BC5D" w14:textId="77777777" w:rsidTr="00C27A53">
        <w:trPr>
          <w:cantSplit/>
          <w:tblHeader/>
        </w:trPr>
        <w:tc>
          <w:tcPr>
            <w:tcW w:w="2078" w:type="dxa"/>
            <w:tcBorders>
              <w:top w:val="single" w:sz="4" w:space="0" w:color="auto"/>
              <w:left w:val="single" w:sz="4" w:space="0" w:color="auto"/>
            </w:tcBorders>
          </w:tcPr>
          <w:p w14:paraId="75CEC071" w14:textId="77777777" w:rsidR="0098032D" w:rsidRPr="00F13073" w:rsidRDefault="0098032D" w:rsidP="008B4C50">
            <w:pPr>
              <w:suppressAutoHyphens/>
            </w:pPr>
            <w:r w:rsidRPr="00F13073">
              <w:rPr>
                <w:rStyle w:val="Other"/>
                <w:rFonts w:eastAsia="DengXian"/>
              </w:rPr>
              <w:t>&gt; 1 do 3 x GGN</w:t>
            </w:r>
          </w:p>
        </w:tc>
        <w:tc>
          <w:tcPr>
            <w:tcW w:w="6994" w:type="dxa"/>
            <w:tcBorders>
              <w:top w:val="single" w:sz="4" w:space="0" w:color="auto"/>
              <w:left w:val="single" w:sz="4" w:space="0" w:color="auto"/>
              <w:right w:val="single" w:sz="4" w:space="0" w:color="auto"/>
            </w:tcBorders>
          </w:tcPr>
          <w:p w14:paraId="17B9AAD6" w14:textId="77777777" w:rsidR="0098032D" w:rsidRPr="00F13073" w:rsidRDefault="0098032D" w:rsidP="008B4C50">
            <w:pPr>
              <w:pStyle w:val="Other0"/>
              <w:widowControl/>
              <w:spacing w:after="0"/>
              <w:rPr>
                <w:rStyle w:val="Other"/>
              </w:rPr>
            </w:pPr>
            <w:r w:rsidRPr="00F13073">
              <w:rPr>
                <w:rStyle w:val="Other"/>
              </w:rPr>
              <w:t>Należy zmodyfikować dawkę podawanego równolegle MTX, w przypadkach, gdy jest to właściwe.</w:t>
            </w:r>
          </w:p>
          <w:p w14:paraId="72995C29" w14:textId="77777777" w:rsidR="0091086F" w:rsidRPr="00F13073" w:rsidRDefault="0091086F" w:rsidP="008B4C50">
            <w:pPr>
              <w:pStyle w:val="Other0"/>
              <w:widowControl/>
              <w:spacing w:after="0"/>
            </w:pPr>
          </w:p>
          <w:p w14:paraId="48DB89EA" w14:textId="139033A3" w:rsidR="0098032D" w:rsidRPr="00F13073" w:rsidRDefault="0098032D" w:rsidP="008B4C50">
            <w:pPr>
              <w:suppressAutoHyphens/>
            </w:pPr>
            <w:r w:rsidRPr="00F13073">
              <w:rPr>
                <w:rStyle w:val="Other"/>
                <w:rFonts w:eastAsia="DengXian"/>
              </w:rPr>
              <w:t xml:space="preserve">W przypadku utrzymywania się zwiększonych wartości w tym zakresie należy przerwać podawanie produktu leczniczego </w:t>
            </w:r>
            <w:r w:rsidR="00026375" w:rsidRPr="00F13073">
              <w:rPr>
                <w:rStyle w:val="Other"/>
                <w:rFonts w:eastAsia="DengXian"/>
              </w:rPr>
              <w:t>Avtozma</w:t>
            </w:r>
            <w:r w:rsidRPr="00F13073">
              <w:rPr>
                <w:rStyle w:val="Other"/>
                <w:rFonts w:eastAsia="DengXian"/>
              </w:rPr>
              <w:t xml:space="preserve"> do czasu powrotu do prawidłowych wartości aktywności AlAT lub AspAT.</w:t>
            </w:r>
          </w:p>
        </w:tc>
      </w:tr>
      <w:tr w:rsidR="0098032D" w:rsidRPr="00F13073" w14:paraId="5656AC7B" w14:textId="77777777" w:rsidTr="00C27A53">
        <w:trPr>
          <w:cantSplit/>
          <w:tblHeader/>
        </w:trPr>
        <w:tc>
          <w:tcPr>
            <w:tcW w:w="2078" w:type="dxa"/>
            <w:tcBorders>
              <w:top w:val="single" w:sz="4" w:space="0" w:color="auto"/>
              <w:left w:val="single" w:sz="4" w:space="0" w:color="auto"/>
            </w:tcBorders>
          </w:tcPr>
          <w:p w14:paraId="19B4F3E9" w14:textId="77777777" w:rsidR="0098032D" w:rsidRPr="00F13073" w:rsidRDefault="0098032D" w:rsidP="008B4C50">
            <w:pPr>
              <w:suppressAutoHyphens/>
            </w:pPr>
            <w:r w:rsidRPr="00F13073">
              <w:rPr>
                <w:rStyle w:val="Other"/>
                <w:rFonts w:eastAsia="DengXian"/>
              </w:rPr>
              <w:t>&gt; 3 x GGN do 5x GGN</w:t>
            </w:r>
          </w:p>
        </w:tc>
        <w:tc>
          <w:tcPr>
            <w:tcW w:w="6994" w:type="dxa"/>
            <w:tcBorders>
              <w:top w:val="single" w:sz="4" w:space="0" w:color="auto"/>
              <w:left w:val="single" w:sz="4" w:space="0" w:color="auto"/>
              <w:right w:val="single" w:sz="4" w:space="0" w:color="auto"/>
            </w:tcBorders>
          </w:tcPr>
          <w:p w14:paraId="4DFDE6FE" w14:textId="77777777" w:rsidR="0098032D" w:rsidRPr="00F13073" w:rsidRDefault="0098032D" w:rsidP="008B4C50">
            <w:pPr>
              <w:pStyle w:val="Other0"/>
              <w:widowControl/>
              <w:spacing w:after="0"/>
              <w:rPr>
                <w:rStyle w:val="Other"/>
              </w:rPr>
            </w:pPr>
            <w:r w:rsidRPr="00F13073">
              <w:rPr>
                <w:rStyle w:val="Other"/>
              </w:rPr>
              <w:t>Należy zmodyfikować dawkę podawanego równolegle MTX, w przypadkach, gdy jest to właściwe.</w:t>
            </w:r>
          </w:p>
          <w:p w14:paraId="1D7F78EF" w14:textId="77777777" w:rsidR="0091086F" w:rsidRPr="00F13073" w:rsidRDefault="0091086F" w:rsidP="008B4C50">
            <w:pPr>
              <w:pStyle w:val="Other0"/>
              <w:widowControl/>
              <w:spacing w:after="0"/>
            </w:pPr>
          </w:p>
          <w:p w14:paraId="209384B4" w14:textId="1E19BFBF" w:rsidR="0098032D" w:rsidRPr="00F13073" w:rsidRDefault="0098032D" w:rsidP="008B4C50">
            <w:pPr>
              <w:suppressAutoHyphens/>
            </w:pPr>
            <w:r w:rsidRPr="00F13073">
              <w:rPr>
                <w:rStyle w:val="Other"/>
                <w:rFonts w:eastAsia="DengXian"/>
              </w:rPr>
              <w:t xml:space="preserve">Należy przejściowo przerwać podawanie produktu leczniczego </w:t>
            </w:r>
            <w:r w:rsidR="00026375" w:rsidRPr="00F13073">
              <w:rPr>
                <w:rStyle w:val="Other"/>
                <w:rFonts w:eastAsia="DengXian"/>
              </w:rPr>
              <w:t>Avtozma</w:t>
            </w:r>
            <w:r w:rsidRPr="00F13073">
              <w:rPr>
                <w:rStyle w:val="Other"/>
                <w:rFonts w:eastAsia="DengXian"/>
              </w:rPr>
              <w:t xml:space="preserve"> do czasu, gdy wartości osiągną poziom &lt; 3x GGN i postępować zgodnie z zaleceniami podanymi powyżej dla &gt;1 do 3x GGN.</w:t>
            </w:r>
          </w:p>
        </w:tc>
      </w:tr>
      <w:tr w:rsidR="0098032D" w:rsidRPr="00F13073" w14:paraId="55E95C22" w14:textId="77777777" w:rsidTr="00C27A53">
        <w:trPr>
          <w:cantSplit/>
          <w:tblHeader/>
        </w:trPr>
        <w:tc>
          <w:tcPr>
            <w:tcW w:w="2078" w:type="dxa"/>
            <w:tcBorders>
              <w:top w:val="single" w:sz="4" w:space="0" w:color="auto"/>
              <w:left w:val="single" w:sz="4" w:space="0" w:color="auto"/>
              <w:bottom w:val="single" w:sz="4" w:space="0" w:color="auto"/>
            </w:tcBorders>
          </w:tcPr>
          <w:p w14:paraId="5623C246" w14:textId="77777777" w:rsidR="0098032D" w:rsidRPr="00F13073" w:rsidRDefault="0098032D" w:rsidP="008B4C50">
            <w:pPr>
              <w:suppressAutoHyphens/>
            </w:pPr>
            <w:r w:rsidRPr="00F13073">
              <w:rPr>
                <w:rStyle w:val="Other"/>
                <w:rFonts w:eastAsia="DengXian"/>
              </w:rPr>
              <w:t>&gt; 5x GGN</w:t>
            </w:r>
          </w:p>
        </w:tc>
        <w:tc>
          <w:tcPr>
            <w:tcW w:w="6994" w:type="dxa"/>
            <w:tcBorders>
              <w:top w:val="single" w:sz="4" w:space="0" w:color="auto"/>
              <w:left w:val="single" w:sz="4" w:space="0" w:color="auto"/>
              <w:bottom w:val="single" w:sz="4" w:space="0" w:color="auto"/>
              <w:right w:val="single" w:sz="4" w:space="0" w:color="auto"/>
            </w:tcBorders>
          </w:tcPr>
          <w:p w14:paraId="34E0DE3B" w14:textId="5CDDB975" w:rsidR="0098032D" w:rsidRPr="00F13073" w:rsidRDefault="0098032D" w:rsidP="008B4C50">
            <w:pPr>
              <w:pStyle w:val="Other0"/>
              <w:widowControl/>
              <w:spacing w:after="0"/>
              <w:rPr>
                <w:rStyle w:val="Other"/>
              </w:rPr>
            </w:pPr>
            <w:r w:rsidRPr="00F13073">
              <w:rPr>
                <w:rStyle w:val="Other"/>
              </w:rPr>
              <w:t xml:space="preserve">Przerwanie podawania produktu leczniczego </w:t>
            </w:r>
            <w:r w:rsidR="00026375" w:rsidRPr="00F13073">
              <w:rPr>
                <w:rStyle w:val="Other"/>
              </w:rPr>
              <w:t>Avtozma</w:t>
            </w:r>
            <w:r w:rsidRPr="00F13073">
              <w:rPr>
                <w:rStyle w:val="Other"/>
              </w:rPr>
              <w:t>.</w:t>
            </w:r>
          </w:p>
          <w:p w14:paraId="009AFDFF" w14:textId="77777777" w:rsidR="0091086F" w:rsidRPr="00F13073" w:rsidRDefault="0091086F" w:rsidP="008B4C50">
            <w:pPr>
              <w:pStyle w:val="Other0"/>
              <w:widowControl/>
              <w:spacing w:after="0"/>
            </w:pPr>
          </w:p>
          <w:p w14:paraId="31BA5F5E" w14:textId="4120AAC0" w:rsidR="0098032D" w:rsidRPr="00F13073" w:rsidRDefault="0098032D" w:rsidP="008B4C50">
            <w:pPr>
              <w:suppressAutoHyphens/>
            </w:pPr>
            <w:r w:rsidRPr="00F13073">
              <w:rPr>
                <w:rStyle w:val="Other"/>
                <w:rFonts w:eastAsia="DengXian"/>
              </w:rPr>
              <w:t xml:space="preserve">Decyzja o przerwaniu podawania produktu leczncizego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ocenie medycznej danego pacjenta.</w:t>
            </w:r>
          </w:p>
        </w:tc>
      </w:tr>
    </w:tbl>
    <w:p w14:paraId="74806D06" w14:textId="77777777" w:rsidR="001E0975" w:rsidRPr="00F13073" w:rsidRDefault="001E0975" w:rsidP="008B4C50"/>
    <w:p w14:paraId="7DE375DD" w14:textId="77777777" w:rsidR="001E0975" w:rsidRPr="00F13073" w:rsidRDefault="00D36D7D" w:rsidP="008B4C50">
      <w:pPr>
        <w:pStyle w:val="a0"/>
        <w:keepNext/>
        <w:numPr>
          <w:ilvl w:val="0"/>
          <w:numId w:val="5"/>
        </w:numPr>
        <w:ind w:left="567" w:hanging="567"/>
        <w:contextualSpacing w:val="0"/>
        <w:rPr>
          <w:i/>
          <w:iCs/>
        </w:rPr>
      </w:pPr>
      <w:r w:rsidRPr="00F13073">
        <w:rPr>
          <w:rStyle w:val="Tablecaption"/>
          <w:rFonts w:eastAsia="DengXian"/>
          <w:i w:val="0"/>
          <w:iCs w:val="0"/>
        </w:rPr>
        <w:t>Mała bezwzględna liczba granulocytów obojętnochłonnych (</w:t>
      </w:r>
      <w:r w:rsidRPr="00F13073">
        <w:rPr>
          <w:rStyle w:val="Tablecaption"/>
          <w:rFonts w:eastAsia="DengXian"/>
        </w:rPr>
        <w:t>ang</w:t>
      </w:r>
      <w:r w:rsidRPr="00F13073">
        <w:rPr>
          <w:rStyle w:val="Tablecaption"/>
          <w:rFonts w:eastAsia="DengXian"/>
          <w:i w:val="0"/>
          <w:iCs w:val="0"/>
        </w:rPr>
        <w:t>. ANC)</w:t>
      </w:r>
    </w:p>
    <w:p w14:paraId="1A2D94B3" w14:textId="77777777" w:rsidR="00047089" w:rsidRPr="00F13073" w:rsidRDefault="00047089" w:rsidP="008B4C50">
      <w:pPr>
        <w:keepNext/>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2078"/>
        <w:gridCol w:w="6994"/>
      </w:tblGrid>
      <w:tr w:rsidR="00D36D7D" w:rsidRPr="00F13073" w14:paraId="610B4DBB" w14:textId="77777777" w:rsidTr="00C27A53">
        <w:trPr>
          <w:cantSplit/>
          <w:tblHeader/>
        </w:trPr>
        <w:tc>
          <w:tcPr>
            <w:tcW w:w="2078" w:type="dxa"/>
            <w:tcBorders>
              <w:top w:val="single" w:sz="4" w:space="0" w:color="auto"/>
              <w:left w:val="single" w:sz="4" w:space="0" w:color="auto"/>
            </w:tcBorders>
          </w:tcPr>
          <w:p w14:paraId="61AE62C7" w14:textId="77777777" w:rsidR="00D36D7D" w:rsidRPr="00F13073" w:rsidRDefault="00D36D7D" w:rsidP="0091086F">
            <w:pPr>
              <w:keepNext/>
              <w:suppressAutoHyphens/>
              <w:jc w:val="center"/>
            </w:pPr>
            <w:r w:rsidRPr="00F13073">
              <w:t>Wartość laboratoryjna (liczba komórek x 10</w:t>
            </w:r>
            <w:r w:rsidRPr="00F13073">
              <w:rPr>
                <w:vertAlign w:val="superscript"/>
              </w:rPr>
              <w:t>9</w:t>
            </w:r>
            <w:r w:rsidRPr="00F13073">
              <w:t>/l)</w:t>
            </w:r>
          </w:p>
        </w:tc>
        <w:tc>
          <w:tcPr>
            <w:tcW w:w="6994" w:type="dxa"/>
            <w:tcBorders>
              <w:top w:val="single" w:sz="4" w:space="0" w:color="auto"/>
              <w:left w:val="single" w:sz="4" w:space="0" w:color="auto"/>
              <w:right w:val="single" w:sz="4" w:space="0" w:color="auto"/>
            </w:tcBorders>
          </w:tcPr>
          <w:p w14:paraId="7A105EA1" w14:textId="77777777" w:rsidR="00D36D7D" w:rsidRPr="00F13073" w:rsidRDefault="00D36D7D" w:rsidP="0091086F">
            <w:pPr>
              <w:keepNext/>
              <w:suppressAutoHyphens/>
              <w:jc w:val="center"/>
            </w:pPr>
            <w:r w:rsidRPr="00F13073">
              <w:t>Zalecane postępowanie</w:t>
            </w:r>
          </w:p>
        </w:tc>
      </w:tr>
      <w:tr w:rsidR="00D36D7D" w:rsidRPr="00F13073" w14:paraId="3ECEC202" w14:textId="77777777" w:rsidTr="00C27A53">
        <w:trPr>
          <w:cantSplit/>
          <w:tblHeader/>
        </w:trPr>
        <w:tc>
          <w:tcPr>
            <w:tcW w:w="2078" w:type="dxa"/>
            <w:tcBorders>
              <w:top w:val="single" w:sz="4" w:space="0" w:color="auto"/>
              <w:left w:val="single" w:sz="4" w:space="0" w:color="auto"/>
            </w:tcBorders>
          </w:tcPr>
          <w:p w14:paraId="09B1F9E5" w14:textId="77777777" w:rsidR="00D36D7D" w:rsidRPr="00F13073" w:rsidRDefault="00D36D7D" w:rsidP="008B4C50">
            <w:pPr>
              <w:suppressAutoHyphens/>
            </w:pPr>
            <w:r w:rsidRPr="00F13073">
              <w:rPr>
                <w:rStyle w:val="Other"/>
                <w:rFonts w:eastAsia="DengXian"/>
              </w:rPr>
              <w:t>ANC &gt; 1</w:t>
            </w:r>
          </w:p>
        </w:tc>
        <w:tc>
          <w:tcPr>
            <w:tcW w:w="6994" w:type="dxa"/>
            <w:tcBorders>
              <w:top w:val="single" w:sz="4" w:space="0" w:color="auto"/>
              <w:left w:val="single" w:sz="4" w:space="0" w:color="auto"/>
              <w:right w:val="single" w:sz="4" w:space="0" w:color="auto"/>
            </w:tcBorders>
          </w:tcPr>
          <w:p w14:paraId="0BCC7C71" w14:textId="77777777" w:rsidR="00D36D7D" w:rsidRPr="00F13073" w:rsidRDefault="00D36D7D" w:rsidP="008B4C50">
            <w:pPr>
              <w:suppressAutoHyphens/>
            </w:pPr>
            <w:r w:rsidRPr="00F13073">
              <w:rPr>
                <w:rStyle w:val="Other"/>
                <w:rFonts w:eastAsia="DengXian"/>
              </w:rPr>
              <w:t>Utrzymanie dotychczasowej dawki</w:t>
            </w:r>
          </w:p>
        </w:tc>
      </w:tr>
      <w:tr w:rsidR="00D36D7D" w:rsidRPr="00F13073" w14:paraId="0703D7DB" w14:textId="77777777" w:rsidTr="00C27A53">
        <w:trPr>
          <w:cantSplit/>
          <w:tblHeader/>
        </w:trPr>
        <w:tc>
          <w:tcPr>
            <w:tcW w:w="2078" w:type="dxa"/>
            <w:tcBorders>
              <w:top w:val="single" w:sz="4" w:space="0" w:color="auto"/>
              <w:left w:val="single" w:sz="4" w:space="0" w:color="auto"/>
            </w:tcBorders>
          </w:tcPr>
          <w:p w14:paraId="1CF5A118" w14:textId="77777777" w:rsidR="00D36D7D" w:rsidRPr="00F13073" w:rsidRDefault="00D36D7D" w:rsidP="008B4C50">
            <w:pPr>
              <w:suppressAutoHyphens/>
            </w:pPr>
            <w:r w:rsidRPr="00F13073">
              <w:rPr>
                <w:rStyle w:val="Other"/>
                <w:rFonts w:eastAsia="DengXian"/>
              </w:rPr>
              <w:t>ANC 0,5 do 1</w:t>
            </w:r>
          </w:p>
        </w:tc>
        <w:tc>
          <w:tcPr>
            <w:tcW w:w="6994" w:type="dxa"/>
            <w:tcBorders>
              <w:top w:val="single" w:sz="4" w:space="0" w:color="auto"/>
              <w:left w:val="single" w:sz="4" w:space="0" w:color="auto"/>
              <w:right w:val="single" w:sz="4" w:space="0" w:color="auto"/>
            </w:tcBorders>
          </w:tcPr>
          <w:p w14:paraId="1631CB72" w14:textId="1D435B26" w:rsidR="00D36D7D" w:rsidRPr="00F13073" w:rsidRDefault="00D36D7D" w:rsidP="008B4C50">
            <w:pPr>
              <w:pStyle w:val="Other0"/>
              <w:widowControl/>
              <w:spacing w:after="0"/>
            </w:pPr>
            <w:r w:rsidRPr="00F13073">
              <w:rPr>
                <w:rStyle w:val="Other"/>
              </w:rPr>
              <w:t xml:space="preserve">Przejściowe przerwanie podawania produktu leczniczego </w:t>
            </w:r>
            <w:r w:rsidR="00026375" w:rsidRPr="00F13073">
              <w:rPr>
                <w:rStyle w:val="Other"/>
              </w:rPr>
              <w:t>Avtozma</w:t>
            </w:r>
          </w:p>
          <w:p w14:paraId="0F5690F6" w14:textId="3C0C7AA6" w:rsidR="00D36D7D" w:rsidRPr="00F13073" w:rsidRDefault="00D36D7D" w:rsidP="008B4C50">
            <w:pPr>
              <w:suppressAutoHyphens/>
            </w:pPr>
            <w:r w:rsidRPr="00F13073">
              <w:rPr>
                <w:rStyle w:val="Other"/>
                <w:rFonts w:eastAsia="DengXian"/>
              </w:rPr>
              <w:t>Gdy wartość ANC wzrośnie do &gt; 1 x 10</w:t>
            </w:r>
            <w:r w:rsidRPr="00F13073">
              <w:rPr>
                <w:rStyle w:val="Other"/>
                <w:rFonts w:eastAsia="DengXian"/>
                <w:vertAlign w:val="superscript"/>
              </w:rPr>
              <w:t>9</w:t>
            </w:r>
            <w:r w:rsidRPr="00F13073">
              <w:rPr>
                <w:rStyle w:val="Other"/>
                <w:rFonts w:eastAsia="DengXian"/>
              </w:rPr>
              <w:t xml:space="preserve">/l należy wznowić podawanie produktu leczniczego </w:t>
            </w:r>
            <w:r w:rsidR="00026375" w:rsidRPr="00F13073">
              <w:rPr>
                <w:rStyle w:val="Other"/>
                <w:rFonts w:eastAsia="DengXian"/>
              </w:rPr>
              <w:t>Avtozma</w:t>
            </w:r>
          </w:p>
        </w:tc>
      </w:tr>
      <w:tr w:rsidR="00D36D7D" w:rsidRPr="00F13073" w14:paraId="1590D2C4" w14:textId="77777777" w:rsidTr="00C27A53">
        <w:trPr>
          <w:cantSplit/>
          <w:tblHeader/>
        </w:trPr>
        <w:tc>
          <w:tcPr>
            <w:tcW w:w="2078" w:type="dxa"/>
            <w:tcBorders>
              <w:top w:val="single" w:sz="4" w:space="0" w:color="auto"/>
              <w:left w:val="single" w:sz="4" w:space="0" w:color="auto"/>
              <w:bottom w:val="single" w:sz="4" w:space="0" w:color="auto"/>
            </w:tcBorders>
          </w:tcPr>
          <w:p w14:paraId="397C9FA9" w14:textId="77777777" w:rsidR="00D36D7D" w:rsidRPr="00F13073" w:rsidRDefault="00D36D7D" w:rsidP="008B4C50">
            <w:pPr>
              <w:suppressAutoHyphens/>
            </w:pPr>
            <w:r w:rsidRPr="00F13073">
              <w:rPr>
                <w:rStyle w:val="Other"/>
                <w:rFonts w:eastAsia="DengXian"/>
              </w:rPr>
              <w:t>ANC &lt; 0,5</w:t>
            </w:r>
          </w:p>
        </w:tc>
        <w:tc>
          <w:tcPr>
            <w:tcW w:w="6994" w:type="dxa"/>
            <w:tcBorders>
              <w:top w:val="single" w:sz="4" w:space="0" w:color="auto"/>
              <w:left w:val="single" w:sz="4" w:space="0" w:color="auto"/>
              <w:bottom w:val="single" w:sz="4" w:space="0" w:color="auto"/>
              <w:right w:val="single" w:sz="4" w:space="0" w:color="auto"/>
            </w:tcBorders>
          </w:tcPr>
          <w:p w14:paraId="7D05EB96" w14:textId="45CA14D6" w:rsidR="00D36D7D" w:rsidRPr="00F13073" w:rsidRDefault="00D36D7D" w:rsidP="008B4C50">
            <w:pPr>
              <w:pStyle w:val="Other0"/>
              <w:widowControl/>
              <w:spacing w:after="0"/>
            </w:pPr>
            <w:r w:rsidRPr="00F13073">
              <w:rPr>
                <w:rStyle w:val="Other"/>
              </w:rPr>
              <w:t xml:space="preserve">Przerwanie podawania produktu leczniczego </w:t>
            </w:r>
            <w:r w:rsidR="00026375" w:rsidRPr="00F13073">
              <w:rPr>
                <w:rStyle w:val="Other"/>
              </w:rPr>
              <w:t>Avtozma</w:t>
            </w:r>
          </w:p>
          <w:p w14:paraId="672BC77C" w14:textId="748E2A1C" w:rsidR="00D36D7D" w:rsidRPr="00F13073" w:rsidRDefault="00D36D7D" w:rsidP="008B4C50">
            <w:pPr>
              <w:suppressAutoHyphens/>
            </w:pPr>
            <w:r w:rsidRPr="00F13073">
              <w:rPr>
                <w:rStyle w:val="Other"/>
                <w:rFonts w:eastAsia="DengXian"/>
              </w:rPr>
              <w:t xml:space="preserve">Decyzja o przerwaniu podawania produktu leczniczego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ocenie medycznej danego pacjenta.</w:t>
            </w:r>
          </w:p>
        </w:tc>
      </w:tr>
    </w:tbl>
    <w:p w14:paraId="6FF26033" w14:textId="77777777" w:rsidR="001E0975" w:rsidRPr="00F13073" w:rsidRDefault="001E0975" w:rsidP="008B4C50"/>
    <w:p w14:paraId="40616ACE" w14:textId="77777777" w:rsidR="001E0975" w:rsidRPr="00F13073" w:rsidRDefault="00187B72" w:rsidP="008B4C50">
      <w:pPr>
        <w:pStyle w:val="a0"/>
        <w:keepNext/>
        <w:numPr>
          <w:ilvl w:val="0"/>
          <w:numId w:val="5"/>
        </w:numPr>
        <w:ind w:left="567" w:hanging="567"/>
        <w:contextualSpacing w:val="0"/>
      </w:pPr>
      <w:r w:rsidRPr="00F13073">
        <w:rPr>
          <w:rStyle w:val="Char"/>
          <w:rFonts w:eastAsia="DengXian"/>
        </w:rPr>
        <w:lastRenderedPageBreak/>
        <w:t>Mała liczba płytek krwi</w:t>
      </w:r>
    </w:p>
    <w:p w14:paraId="744B386D" w14:textId="77777777" w:rsidR="00047089" w:rsidRPr="00F13073" w:rsidRDefault="00047089" w:rsidP="008B4C50">
      <w:pPr>
        <w:keepNext/>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2127"/>
        <w:gridCol w:w="6945"/>
      </w:tblGrid>
      <w:tr w:rsidR="00187B72" w:rsidRPr="00F13073" w14:paraId="772222E5" w14:textId="77777777" w:rsidTr="00C27A53">
        <w:trPr>
          <w:cantSplit/>
          <w:tblHeader/>
        </w:trPr>
        <w:tc>
          <w:tcPr>
            <w:tcW w:w="2127" w:type="dxa"/>
            <w:tcBorders>
              <w:top w:val="single" w:sz="4" w:space="0" w:color="auto"/>
              <w:left w:val="single" w:sz="4" w:space="0" w:color="auto"/>
            </w:tcBorders>
          </w:tcPr>
          <w:p w14:paraId="04C09467" w14:textId="77777777" w:rsidR="00187B72" w:rsidRPr="00F13073" w:rsidRDefault="00187B72" w:rsidP="0091086F">
            <w:pPr>
              <w:keepNext/>
              <w:suppressAutoHyphens/>
              <w:jc w:val="center"/>
            </w:pPr>
            <w:r w:rsidRPr="00F13073">
              <w:t>Wartość laboratoryjna (liczba komórek x 10</w:t>
            </w:r>
            <w:r w:rsidRPr="00F13073">
              <w:rPr>
                <w:vertAlign w:val="superscript"/>
              </w:rPr>
              <w:t>3</w:t>
            </w:r>
            <w:r w:rsidRPr="00F13073">
              <w:t>/μL)</w:t>
            </w:r>
          </w:p>
        </w:tc>
        <w:tc>
          <w:tcPr>
            <w:tcW w:w="6945" w:type="dxa"/>
            <w:tcBorders>
              <w:top w:val="single" w:sz="4" w:space="0" w:color="auto"/>
              <w:left w:val="single" w:sz="4" w:space="0" w:color="auto"/>
              <w:right w:val="single" w:sz="4" w:space="0" w:color="auto"/>
            </w:tcBorders>
          </w:tcPr>
          <w:p w14:paraId="6B09EEFC" w14:textId="77777777" w:rsidR="00187B72" w:rsidRPr="00F13073" w:rsidRDefault="00187B72" w:rsidP="0091086F">
            <w:pPr>
              <w:keepNext/>
              <w:suppressAutoHyphens/>
              <w:jc w:val="center"/>
            </w:pPr>
            <w:r w:rsidRPr="00F13073">
              <w:t>Zalecane postępowanie</w:t>
            </w:r>
          </w:p>
        </w:tc>
      </w:tr>
      <w:tr w:rsidR="00187B72" w:rsidRPr="00F13073" w14:paraId="07F31E46" w14:textId="77777777" w:rsidTr="00C27A53">
        <w:trPr>
          <w:cantSplit/>
          <w:tblHeader/>
        </w:trPr>
        <w:tc>
          <w:tcPr>
            <w:tcW w:w="2127" w:type="dxa"/>
            <w:tcBorders>
              <w:top w:val="single" w:sz="4" w:space="0" w:color="auto"/>
              <w:left w:val="single" w:sz="4" w:space="0" w:color="auto"/>
            </w:tcBorders>
          </w:tcPr>
          <w:p w14:paraId="73A19403" w14:textId="77777777" w:rsidR="00187B72" w:rsidRPr="00F13073" w:rsidRDefault="00187B72" w:rsidP="008B4C50">
            <w:pPr>
              <w:suppressAutoHyphens/>
            </w:pPr>
            <w:r w:rsidRPr="00F13073">
              <w:t>50 do 100</w:t>
            </w:r>
          </w:p>
        </w:tc>
        <w:tc>
          <w:tcPr>
            <w:tcW w:w="6945" w:type="dxa"/>
            <w:tcBorders>
              <w:top w:val="single" w:sz="4" w:space="0" w:color="auto"/>
              <w:left w:val="single" w:sz="4" w:space="0" w:color="auto"/>
              <w:right w:val="single" w:sz="4" w:space="0" w:color="auto"/>
            </w:tcBorders>
          </w:tcPr>
          <w:p w14:paraId="18B83BCA" w14:textId="77777777" w:rsidR="00187B72" w:rsidRPr="00F13073" w:rsidRDefault="00187B72" w:rsidP="008B4C50">
            <w:pPr>
              <w:pStyle w:val="Other0"/>
              <w:widowControl/>
              <w:spacing w:after="0"/>
            </w:pPr>
            <w:r w:rsidRPr="00F13073">
              <w:rPr>
                <w:rStyle w:val="Other"/>
              </w:rPr>
              <w:t>Należy zmodyfikować dawkę podawanego równolegle MTX w przypadkach, gdy jest to właściwe.</w:t>
            </w:r>
          </w:p>
          <w:p w14:paraId="6EDA823B" w14:textId="0CF2623F" w:rsidR="00187B72" w:rsidRPr="00F13073" w:rsidRDefault="00187B72" w:rsidP="008B4C50">
            <w:pPr>
              <w:pStyle w:val="Other0"/>
              <w:widowControl/>
              <w:spacing w:after="0"/>
            </w:pPr>
            <w:r w:rsidRPr="00F13073">
              <w:rPr>
                <w:rStyle w:val="Other"/>
              </w:rPr>
              <w:t xml:space="preserve">Przejściowe przerwanie podawania produktu leczniczego </w:t>
            </w:r>
            <w:r w:rsidR="00026375" w:rsidRPr="00F13073">
              <w:rPr>
                <w:rStyle w:val="Other"/>
              </w:rPr>
              <w:t>Avtozma</w:t>
            </w:r>
            <w:r w:rsidRPr="00F13073">
              <w:rPr>
                <w:rStyle w:val="Other"/>
              </w:rPr>
              <w:t>.</w:t>
            </w:r>
          </w:p>
          <w:p w14:paraId="4FC30712" w14:textId="51626508" w:rsidR="00187B72" w:rsidRPr="00F13073" w:rsidRDefault="00187B72" w:rsidP="008B4C50">
            <w:pPr>
              <w:suppressAutoHyphens/>
            </w:pPr>
            <w:r w:rsidRPr="00F13073">
              <w:rPr>
                <w:rStyle w:val="Other"/>
                <w:rFonts w:eastAsia="DengXian"/>
              </w:rPr>
              <w:t>Gdy liczba płytek krwi wzrośnie do &gt; 100 x 10</w:t>
            </w:r>
            <w:r w:rsidRPr="00F13073">
              <w:rPr>
                <w:rStyle w:val="Other"/>
                <w:rFonts w:eastAsia="DengXian"/>
                <w:vertAlign w:val="superscript"/>
              </w:rPr>
              <w:t>3</w:t>
            </w:r>
            <w:r w:rsidRPr="00F13073">
              <w:rPr>
                <w:rStyle w:val="Other"/>
                <w:rFonts w:eastAsia="DengXian"/>
              </w:rPr>
              <w:t>μ</w:t>
            </w:r>
            <w:r w:rsidR="00E7405A">
              <w:rPr>
                <w:rStyle w:val="Other"/>
                <w:rFonts w:eastAsia="DengXian"/>
              </w:rPr>
              <w:t>l</w:t>
            </w:r>
            <w:r w:rsidRPr="00F13073">
              <w:rPr>
                <w:rStyle w:val="Other"/>
                <w:rFonts w:eastAsia="DengXian"/>
              </w:rPr>
              <w:t xml:space="preserve">, należy wznowić podawanie produktu leczniczego </w:t>
            </w:r>
            <w:r w:rsidR="00026375" w:rsidRPr="00F13073">
              <w:rPr>
                <w:rStyle w:val="Other"/>
                <w:rFonts w:eastAsia="DengXian"/>
              </w:rPr>
              <w:t>Avtozma</w:t>
            </w:r>
            <w:r w:rsidRPr="00F13073">
              <w:rPr>
                <w:rStyle w:val="Other"/>
                <w:rFonts w:eastAsia="DengXian"/>
              </w:rPr>
              <w:t>.</w:t>
            </w:r>
          </w:p>
        </w:tc>
      </w:tr>
      <w:tr w:rsidR="00187B72" w:rsidRPr="00F13073" w14:paraId="029FD1D7" w14:textId="77777777" w:rsidTr="00C27A53">
        <w:trPr>
          <w:cantSplit/>
          <w:tblHeader/>
        </w:trPr>
        <w:tc>
          <w:tcPr>
            <w:tcW w:w="2127" w:type="dxa"/>
            <w:tcBorders>
              <w:top w:val="single" w:sz="4" w:space="0" w:color="auto"/>
              <w:left w:val="single" w:sz="4" w:space="0" w:color="auto"/>
              <w:bottom w:val="single" w:sz="4" w:space="0" w:color="auto"/>
            </w:tcBorders>
          </w:tcPr>
          <w:p w14:paraId="14DD2A04" w14:textId="77777777" w:rsidR="00187B72" w:rsidRPr="00F13073" w:rsidRDefault="00187B72" w:rsidP="008B4C50">
            <w:pPr>
              <w:suppressAutoHyphens/>
            </w:pPr>
            <w:r w:rsidRPr="00F13073">
              <w:t>&lt; 50</w:t>
            </w:r>
          </w:p>
        </w:tc>
        <w:tc>
          <w:tcPr>
            <w:tcW w:w="6945" w:type="dxa"/>
            <w:tcBorders>
              <w:top w:val="single" w:sz="4" w:space="0" w:color="auto"/>
              <w:left w:val="single" w:sz="4" w:space="0" w:color="auto"/>
              <w:bottom w:val="single" w:sz="4" w:space="0" w:color="auto"/>
              <w:right w:val="single" w:sz="4" w:space="0" w:color="auto"/>
            </w:tcBorders>
          </w:tcPr>
          <w:p w14:paraId="03A192FB" w14:textId="752F9293" w:rsidR="00187B72" w:rsidRPr="00F13073" w:rsidRDefault="00187B72" w:rsidP="008B4C50">
            <w:pPr>
              <w:pStyle w:val="Other0"/>
              <w:widowControl/>
              <w:spacing w:after="0"/>
            </w:pPr>
            <w:r w:rsidRPr="00F13073">
              <w:rPr>
                <w:rStyle w:val="Other"/>
              </w:rPr>
              <w:t xml:space="preserve">Przerwanie podawania produktu leczniczego </w:t>
            </w:r>
            <w:r w:rsidR="00026375" w:rsidRPr="00F13073">
              <w:rPr>
                <w:rStyle w:val="Other"/>
              </w:rPr>
              <w:t>Avtozma</w:t>
            </w:r>
            <w:r w:rsidRPr="00F13073">
              <w:rPr>
                <w:rStyle w:val="Other"/>
              </w:rPr>
              <w:t>.</w:t>
            </w:r>
          </w:p>
          <w:p w14:paraId="68904B26" w14:textId="3D171A4C" w:rsidR="00187B72" w:rsidRPr="00F13073" w:rsidRDefault="00187B72" w:rsidP="008B4C50">
            <w:pPr>
              <w:suppressAutoHyphens/>
            </w:pPr>
            <w:r w:rsidRPr="00F13073">
              <w:rPr>
                <w:rStyle w:val="Other"/>
                <w:rFonts w:eastAsia="DengXian"/>
              </w:rPr>
              <w:t xml:space="preserve">Decyzja o przerwaniu podawania produktu leczniczego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ocenie medycznej danego pacjenta.</w:t>
            </w:r>
          </w:p>
        </w:tc>
      </w:tr>
    </w:tbl>
    <w:p w14:paraId="4841E133" w14:textId="77777777" w:rsidR="001E0975" w:rsidRPr="00F13073" w:rsidRDefault="001E0975" w:rsidP="008B4C50"/>
    <w:p w14:paraId="22692EEF" w14:textId="77777777" w:rsidR="000113DC" w:rsidRPr="00F13073" w:rsidRDefault="000113DC" w:rsidP="008B4C50">
      <w:pPr>
        <w:pStyle w:val="a4"/>
        <w:widowControl/>
        <w:spacing w:after="0"/>
        <w:rPr>
          <w:rStyle w:val="Char"/>
        </w:rPr>
      </w:pPr>
      <w:r w:rsidRPr="00F13073">
        <w:rPr>
          <w:rStyle w:val="Char"/>
        </w:rPr>
        <w:t>Nie przeprowadzono badań nad zmniejszeniem częstości podawania dawki tocilizumabu w związku z nieprawidłowymi wynikami badań laboratoryjnych u pacjentów z uMIZS lub wMIZS.</w:t>
      </w:r>
    </w:p>
    <w:p w14:paraId="383A434B" w14:textId="77777777" w:rsidR="000113DC" w:rsidRPr="00F13073" w:rsidRDefault="000113DC" w:rsidP="008B4C50">
      <w:pPr>
        <w:pStyle w:val="a4"/>
        <w:widowControl/>
        <w:spacing w:after="0"/>
      </w:pPr>
    </w:p>
    <w:p w14:paraId="2E345E20" w14:textId="3A58AA0E" w:rsidR="000113DC" w:rsidRPr="00F13073" w:rsidRDefault="000113DC" w:rsidP="008B4C50">
      <w:pPr>
        <w:pStyle w:val="a4"/>
        <w:widowControl/>
        <w:spacing w:after="0"/>
        <w:rPr>
          <w:rStyle w:val="Char"/>
        </w:rPr>
      </w:pPr>
      <w:r w:rsidRPr="00F13073">
        <w:rPr>
          <w:rStyle w:val="Char"/>
        </w:rPr>
        <w:t xml:space="preserve">Bezpieczeństwo stosowania i skuteczność podskórnej postaci produktu leczniczego </w:t>
      </w:r>
      <w:r w:rsidR="00026375" w:rsidRPr="00F13073">
        <w:rPr>
          <w:rStyle w:val="Char"/>
        </w:rPr>
        <w:t>Avtozma</w:t>
      </w:r>
      <w:r w:rsidRPr="00F13073">
        <w:rPr>
          <w:rStyle w:val="Char"/>
        </w:rPr>
        <w:t xml:space="preserve"> u dzieci z innymi chorobami niż uMIZS lub wMIZS nie zostały ustalone.</w:t>
      </w:r>
    </w:p>
    <w:p w14:paraId="2A0BCF36" w14:textId="77777777" w:rsidR="000113DC" w:rsidRPr="00F13073" w:rsidRDefault="000113DC" w:rsidP="008B4C50">
      <w:pPr>
        <w:pStyle w:val="a4"/>
        <w:widowControl/>
        <w:spacing w:after="0"/>
      </w:pPr>
    </w:p>
    <w:p w14:paraId="22191F70" w14:textId="6E3F5321" w:rsidR="000113DC" w:rsidRPr="00F13073" w:rsidRDefault="000113DC" w:rsidP="008B4C50">
      <w:pPr>
        <w:pStyle w:val="a4"/>
        <w:widowControl/>
        <w:spacing w:after="0"/>
        <w:rPr>
          <w:rStyle w:val="Char"/>
        </w:rPr>
      </w:pPr>
      <w:r w:rsidRPr="00F13073">
        <w:rPr>
          <w:rStyle w:val="Char"/>
        </w:rPr>
        <w:t xml:space="preserve">Dostępne dane dotyczące postaci dożylnej sugerują, że poprawę kliniczną obserwuje się w czasie 12 tygodni od rozpoczęcia leczenia </w:t>
      </w:r>
      <w:r w:rsidR="00C24BDF" w:rsidRPr="00F13073">
        <w:rPr>
          <w:rStyle w:val="Char"/>
        </w:rPr>
        <w:t>tocilizumab</w:t>
      </w:r>
      <w:r w:rsidR="00C24BDF">
        <w:rPr>
          <w:rStyle w:val="Char"/>
        </w:rPr>
        <w:t>em</w:t>
      </w:r>
      <w:r w:rsidRPr="00F13073">
        <w:rPr>
          <w:rStyle w:val="Char"/>
        </w:rPr>
        <w:t>. W przypadku pacjentów niewykazujących w tym okresie żadnej poprawy należy jeszcze raz dokładnie rozważyć kontynuację terapii.</w:t>
      </w:r>
    </w:p>
    <w:p w14:paraId="38D7D6D7" w14:textId="77777777" w:rsidR="000113DC" w:rsidRPr="00F13073" w:rsidRDefault="000113DC" w:rsidP="008B4C50">
      <w:pPr>
        <w:pStyle w:val="a4"/>
        <w:widowControl/>
        <w:spacing w:after="0"/>
      </w:pPr>
    </w:p>
    <w:p w14:paraId="4B59D710" w14:textId="77777777" w:rsidR="000113DC" w:rsidRPr="00F13073" w:rsidRDefault="000113DC" w:rsidP="008B4C50">
      <w:pPr>
        <w:pStyle w:val="a4"/>
        <w:widowControl/>
        <w:spacing w:after="0"/>
      </w:pPr>
      <w:r w:rsidRPr="00F13073">
        <w:rPr>
          <w:rStyle w:val="Char"/>
          <w:u w:val="single"/>
        </w:rPr>
        <w:t>Pominięta dawka</w:t>
      </w:r>
    </w:p>
    <w:p w14:paraId="509C5C4D" w14:textId="554CF252" w:rsidR="000113DC" w:rsidRPr="00F13073" w:rsidRDefault="000113DC" w:rsidP="008B4C50">
      <w:pPr>
        <w:pStyle w:val="a4"/>
        <w:widowControl/>
        <w:spacing w:after="0"/>
        <w:rPr>
          <w:rStyle w:val="Char"/>
        </w:rPr>
      </w:pPr>
      <w:r w:rsidRPr="00F13073">
        <w:rPr>
          <w:rStyle w:val="Char"/>
        </w:rPr>
        <w:t xml:space="preserve">Jeśli pacjent z uMIZS pominie dawkę produktu leczniczego </w:t>
      </w:r>
      <w:r w:rsidR="00026375" w:rsidRPr="00F13073">
        <w:rPr>
          <w:rStyle w:val="Char"/>
        </w:rPr>
        <w:t>Avtozma</w:t>
      </w:r>
      <w:r w:rsidRPr="00F13073">
        <w:rPr>
          <w:rStyle w:val="Char"/>
        </w:rPr>
        <w:t xml:space="preserve"> podawanego podskórnie raz w tygodniu i upłynie nie więcej niż 7 dni od zaplanowanego dnia podania dawki, powinien zostać poinstruowany by przyjąć pominiętą dawkę w kolejnym zaplanowanym terminie. Jeśli pacjent pominie dawkę produktu leczniczego </w:t>
      </w:r>
      <w:r w:rsidR="00026375" w:rsidRPr="00F13073">
        <w:rPr>
          <w:rStyle w:val="Char"/>
        </w:rPr>
        <w:t>Avtozma</w:t>
      </w:r>
      <w:r w:rsidRPr="00F13073">
        <w:rPr>
          <w:rStyle w:val="Char"/>
        </w:rPr>
        <w:t xml:space="preserve"> podawanego podskórnie raz na 2 tygodnie i upłynie nie więcej niż 7 dni od dnia zaplanowanej dawki, powinien zostać poinstruowany by jak najszybciej przyjąć pominiętą dawkę, a kolejną dawkę w następnym zaplanowanym terminie.</w:t>
      </w:r>
    </w:p>
    <w:p w14:paraId="198DC77F" w14:textId="77777777" w:rsidR="000113DC" w:rsidRPr="00F13073" w:rsidRDefault="000113DC" w:rsidP="008B4C50">
      <w:pPr>
        <w:pStyle w:val="a4"/>
        <w:widowControl/>
        <w:spacing w:after="0"/>
      </w:pPr>
    </w:p>
    <w:p w14:paraId="6F2B1E96" w14:textId="1D3EDF8F" w:rsidR="000113DC" w:rsidRPr="00F13073" w:rsidRDefault="000113DC" w:rsidP="008B4C50">
      <w:pPr>
        <w:pStyle w:val="a4"/>
        <w:widowControl/>
        <w:spacing w:after="0"/>
        <w:rPr>
          <w:rStyle w:val="Char"/>
        </w:rPr>
      </w:pPr>
      <w:r w:rsidRPr="00F13073">
        <w:rPr>
          <w:rStyle w:val="Char"/>
        </w:rPr>
        <w:t xml:space="preserve">Jeśli pacjent z wMIZS pominie dawkę produktu leczniczego </w:t>
      </w:r>
      <w:r w:rsidR="00026375" w:rsidRPr="00F13073">
        <w:rPr>
          <w:rStyle w:val="Char"/>
        </w:rPr>
        <w:t>Avtozma</w:t>
      </w:r>
      <w:r w:rsidRPr="00F13073">
        <w:rPr>
          <w:rStyle w:val="Char"/>
        </w:rPr>
        <w:t xml:space="preserve"> podawanego podskórnie i upłynie nie więcej niż 7 dni od zaplanowanego dnia podania dawki, powinien jak najszybciej przyjąć pominiętą dawkę, a następnie przyjąć kolejną dawkę w pierwotnie planowanym terminie. Jeśli pacjent pominie dawkę produktu leczniczego </w:t>
      </w:r>
      <w:r w:rsidR="00026375" w:rsidRPr="00F13073">
        <w:rPr>
          <w:rStyle w:val="Char"/>
        </w:rPr>
        <w:t>Avtozma</w:t>
      </w:r>
      <w:r w:rsidRPr="00F13073">
        <w:rPr>
          <w:rStyle w:val="Char"/>
        </w:rPr>
        <w:t xml:space="preserve"> podawanego podskórnie i upłynie więcej niż 7 dni od dnia zaplanowanej dawki lub pacjent nie jest pewien, kiedy należy wstrzyknąć produkt leczniczy </w:t>
      </w:r>
      <w:r w:rsidR="00026375" w:rsidRPr="00F13073">
        <w:rPr>
          <w:rStyle w:val="Char"/>
        </w:rPr>
        <w:t>Avtozma</w:t>
      </w:r>
      <w:r w:rsidRPr="00F13073">
        <w:rPr>
          <w:rStyle w:val="Char"/>
        </w:rPr>
        <w:t>, powinien skontaktować się z lekarzem lub farmaceutą.</w:t>
      </w:r>
    </w:p>
    <w:p w14:paraId="64415D52" w14:textId="77777777" w:rsidR="000113DC" w:rsidRPr="00F13073" w:rsidRDefault="000113DC" w:rsidP="008B4C50">
      <w:pPr>
        <w:pStyle w:val="a4"/>
        <w:widowControl/>
        <w:spacing w:after="0"/>
      </w:pPr>
    </w:p>
    <w:p w14:paraId="3AA6044E" w14:textId="77777777" w:rsidR="000113DC" w:rsidRPr="00F13073" w:rsidRDefault="000113DC" w:rsidP="008B4C50">
      <w:pPr>
        <w:pStyle w:val="a4"/>
        <w:widowControl/>
        <w:spacing w:after="0"/>
      </w:pPr>
      <w:r w:rsidRPr="00F13073">
        <w:rPr>
          <w:rStyle w:val="Char"/>
          <w:u w:val="single"/>
        </w:rPr>
        <w:t>Sposób podawania</w:t>
      </w:r>
    </w:p>
    <w:p w14:paraId="0E00054C" w14:textId="101343C0" w:rsidR="000113DC" w:rsidRPr="00F13073" w:rsidRDefault="000113DC" w:rsidP="008B4C50">
      <w:pPr>
        <w:pStyle w:val="a4"/>
        <w:widowControl/>
        <w:spacing w:after="0"/>
      </w:pPr>
      <w:r w:rsidRPr="00F13073">
        <w:rPr>
          <w:rStyle w:val="Char"/>
        </w:rPr>
        <w:t xml:space="preserve">Produkt leczniczy </w:t>
      </w:r>
      <w:r w:rsidR="00026375" w:rsidRPr="00F13073">
        <w:rPr>
          <w:rStyle w:val="Char"/>
        </w:rPr>
        <w:t>Avtozma</w:t>
      </w:r>
      <w:r w:rsidRPr="00F13073">
        <w:rPr>
          <w:rStyle w:val="Char"/>
        </w:rPr>
        <w:t xml:space="preserve"> jest przeznaczony do stosowania podskórnego.</w:t>
      </w:r>
    </w:p>
    <w:p w14:paraId="31D7E9BC" w14:textId="4E1AC536" w:rsidR="000113DC" w:rsidRPr="00F13073" w:rsidRDefault="000113DC" w:rsidP="008B4C50">
      <w:pPr>
        <w:pStyle w:val="a4"/>
        <w:widowControl/>
        <w:spacing w:after="0"/>
        <w:rPr>
          <w:rStyle w:val="Char"/>
        </w:rPr>
      </w:pPr>
      <w:r w:rsidRPr="00F13073">
        <w:rPr>
          <w:rStyle w:val="Char"/>
        </w:rPr>
        <w:t xml:space="preserve">Po właściwym przeszkoleniu z zakresu techniki wstrzyknięć pacjenci mogą samodzielnie wstrzykiwać sobie produkt leczniczy </w:t>
      </w:r>
      <w:r w:rsidR="00026375" w:rsidRPr="00F13073">
        <w:rPr>
          <w:rStyle w:val="Char"/>
        </w:rPr>
        <w:t>Avtozma</w:t>
      </w:r>
      <w:r w:rsidRPr="00F13073">
        <w:rPr>
          <w:rStyle w:val="Char"/>
        </w:rPr>
        <w:t>, jeśli ich lekarz uzna to za właściwe. Cała zawartość (0,9 mL) ampułko-strzykawki musi być podana w iniekcji podskórnej. Zalecane obszary wstrzykiwania (brzuch, udo i górna część ramienia) należy zmieniać, a zastrzyku nigdy nie należy wykonywać w znamiona, blizny lub obszary, gdzie skóra jest wrażliwa, zasiniona, zaczerwieniona, twarda lub uszkodzona.</w:t>
      </w:r>
    </w:p>
    <w:p w14:paraId="432EA2D2" w14:textId="77777777" w:rsidR="000113DC" w:rsidRPr="00F13073" w:rsidRDefault="000113DC" w:rsidP="008B4C50">
      <w:pPr>
        <w:pStyle w:val="a4"/>
        <w:widowControl/>
        <w:spacing w:after="0"/>
      </w:pPr>
    </w:p>
    <w:p w14:paraId="6F291DBD" w14:textId="77777777" w:rsidR="000113DC" w:rsidRPr="00F13073" w:rsidRDefault="000113DC" w:rsidP="008B4C50">
      <w:pPr>
        <w:pStyle w:val="a4"/>
        <w:widowControl/>
        <w:spacing w:after="0"/>
        <w:rPr>
          <w:rStyle w:val="Char"/>
        </w:rPr>
      </w:pPr>
      <w:r w:rsidRPr="00F13073">
        <w:rPr>
          <w:rStyle w:val="Char"/>
        </w:rPr>
        <w:t>Nie należy wstrząsać ampułko-strzykawką.</w:t>
      </w:r>
    </w:p>
    <w:p w14:paraId="1766D87E" w14:textId="77777777" w:rsidR="000113DC" w:rsidRPr="00F13073" w:rsidRDefault="000113DC" w:rsidP="008B4C50">
      <w:pPr>
        <w:pStyle w:val="a4"/>
        <w:widowControl/>
        <w:spacing w:after="0"/>
      </w:pPr>
    </w:p>
    <w:p w14:paraId="5F8C24ED" w14:textId="740C85C0" w:rsidR="000113DC" w:rsidRPr="00F13073" w:rsidRDefault="000113DC" w:rsidP="008B4C50">
      <w:pPr>
        <w:pStyle w:val="a4"/>
        <w:widowControl/>
        <w:spacing w:after="0"/>
        <w:rPr>
          <w:rStyle w:val="Char"/>
        </w:rPr>
      </w:pPr>
      <w:r w:rsidRPr="00F13073">
        <w:rPr>
          <w:rStyle w:val="Char"/>
        </w:rPr>
        <w:t xml:space="preserve">Dokładne instrukcje dotyczące podawania produktu leczniczego </w:t>
      </w:r>
      <w:r w:rsidR="00026375" w:rsidRPr="00F13073">
        <w:rPr>
          <w:rStyle w:val="Char"/>
        </w:rPr>
        <w:t>Avtozma</w:t>
      </w:r>
      <w:r w:rsidRPr="00F13073">
        <w:rPr>
          <w:rStyle w:val="Char"/>
        </w:rPr>
        <w:t xml:space="preserve"> w ampułko-strzykawce podano w ulotce dołączonej do opakowania, patrz punkt 6.6.</w:t>
      </w:r>
    </w:p>
    <w:p w14:paraId="1E71790F" w14:textId="77777777" w:rsidR="000113DC" w:rsidRPr="00F13073" w:rsidRDefault="000113DC" w:rsidP="008B4C50">
      <w:pPr>
        <w:pStyle w:val="a4"/>
        <w:widowControl/>
        <w:spacing w:after="0"/>
      </w:pPr>
    </w:p>
    <w:p w14:paraId="023DE994" w14:textId="77777777" w:rsidR="000113DC" w:rsidRPr="00F13073" w:rsidRDefault="000113DC" w:rsidP="008B4C50">
      <w:pPr>
        <w:keepNext/>
        <w:ind w:left="567" w:hanging="567"/>
      </w:pPr>
      <w:r w:rsidRPr="00F13073">
        <w:rPr>
          <w:rStyle w:val="Char"/>
          <w:rFonts w:eastAsia="DengXian"/>
          <w:b/>
          <w:bCs/>
        </w:rPr>
        <w:t>4.3</w:t>
      </w:r>
      <w:r w:rsidRPr="00F13073">
        <w:rPr>
          <w:rStyle w:val="Char"/>
          <w:rFonts w:eastAsia="DengXian"/>
          <w:b/>
          <w:bCs/>
        </w:rPr>
        <w:tab/>
        <w:t>Przeciwwskazania</w:t>
      </w:r>
    </w:p>
    <w:p w14:paraId="1C367DED" w14:textId="77777777" w:rsidR="000113DC" w:rsidRPr="00F13073" w:rsidRDefault="000113DC" w:rsidP="008B4C50">
      <w:pPr>
        <w:pStyle w:val="a4"/>
        <w:widowControl/>
        <w:spacing w:after="0"/>
        <w:rPr>
          <w:rStyle w:val="Char"/>
        </w:rPr>
      </w:pPr>
    </w:p>
    <w:p w14:paraId="7189B88D" w14:textId="77777777" w:rsidR="000113DC" w:rsidRPr="00F13073" w:rsidRDefault="000113DC" w:rsidP="008B4C50">
      <w:pPr>
        <w:pStyle w:val="a4"/>
        <w:widowControl/>
        <w:spacing w:after="0"/>
      </w:pPr>
      <w:r w:rsidRPr="00F13073">
        <w:rPr>
          <w:rStyle w:val="Char"/>
        </w:rPr>
        <w:lastRenderedPageBreak/>
        <w:t>Nadwrażliwość na substancję czynną lub na którąkolwiek substancję pomocniczą wymienioną w punkcie 6.1.</w:t>
      </w:r>
    </w:p>
    <w:p w14:paraId="4B79E6B1" w14:textId="77777777" w:rsidR="000113DC" w:rsidRPr="00F13073" w:rsidRDefault="000113DC" w:rsidP="008B4C50">
      <w:pPr>
        <w:pStyle w:val="a4"/>
        <w:widowControl/>
        <w:spacing w:after="0"/>
        <w:rPr>
          <w:rStyle w:val="Char"/>
        </w:rPr>
      </w:pPr>
    </w:p>
    <w:p w14:paraId="1E93FCAE" w14:textId="77777777" w:rsidR="000113DC" w:rsidRPr="00F13073" w:rsidRDefault="000113DC" w:rsidP="008B4C50">
      <w:pPr>
        <w:pStyle w:val="a4"/>
        <w:widowControl/>
        <w:spacing w:after="0"/>
      </w:pPr>
      <w:r w:rsidRPr="00F13073">
        <w:rPr>
          <w:rStyle w:val="Char"/>
        </w:rPr>
        <w:t>Czynne, ciężkie zakażenia (patrz punkt 4.4).</w:t>
      </w:r>
    </w:p>
    <w:p w14:paraId="2E5153AA" w14:textId="77777777" w:rsidR="000113DC" w:rsidRPr="00F13073" w:rsidRDefault="000113DC" w:rsidP="008B4C50">
      <w:pPr>
        <w:pStyle w:val="a4"/>
        <w:widowControl/>
        <w:spacing w:after="0"/>
        <w:rPr>
          <w:rStyle w:val="Char"/>
          <w:b/>
          <w:bCs/>
        </w:rPr>
      </w:pPr>
    </w:p>
    <w:p w14:paraId="010359EF" w14:textId="77777777" w:rsidR="000113DC" w:rsidRPr="00F13073" w:rsidRDefault="000113DC" w:rsidP="008B4C50">
      <w:pPr>
        <w:keepNext/>
        <w:ind w:left="567" w:hanging="567"/>
      </w:pPr>
      <w:r w:rsidRPr="00F13073">
        <w:rPr>
          <w:rStyle w:val="Char"/>
          <w:rFonts w:eastAsia="DengXian"/>
          <w:b/>
          <w:bCs/>
        </w:rPr>
        <w:t>4.4</w:t>
      </w:r>
      <w:r w:rsidRPr="00F13073">
        <w:rPr>
          <w:rStyle w:val="Char"/>
          <w:rFonts w:eastAsia="DengXian"/>
          <w:b/>
          <w:bCs/>
        </w:rPr>
        <w:tab/>
        <w:t>Specjalne ostrzeżenia i środki ostrożności dotyczące stosowania</w:t>
      </w:r>
    </w:p>
    <w:p w14:paraId="789DC9A3" w14:textId="77777777" w:rsidR="000113DC" w:rsidRPr="00F13073" w:rsidRDefault="000113DC" w:rsidP="008B4C50">
      <w:pPr>
        <w:pStyle w:val="a4"/>
        <w:widowControl/>
        <w:spacing w:after="0"/>
        <w:rPr>
          <w:rStyle w:val="Char"/>
        </w:rPr>
      </w:pPr>
    </w:p>
    <w:p w14:paraId="584D6BAC" w14:textId="1F740E7D" w:rsidR="000113DC" w:rsidRPr="00F13073" w:rsidRDefault="000113DC"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postaci do podawania podskórnego nie jest przeznaczony do podawania dożylnego.</w:t>
      </w:r>
    </w:p>
    <w:p w14:paraId="2D289BCC" w14:textId="77777777" w:rsidR="000113DC" w:rsidRPr="00F13073" w:rsidRDefault="000113DC" w:rsidP="008B4C50">
      <w:pPr>
        <w:pStyle w:val="a4"/>
        <w:widowControl/>
        <w:spacing w:after="0"/>
      </w:pPr>
    </w:p>
    <w:p w14:paraId="09EDB3AF" w14:textId="425C8F14" w:rsidR="000113DC" w:rsidRPr="00F13073" w:rsidRDefault="000113DC"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postaci do podwania podskórnego nie jest przeznaczony do podawania dzieciom z uMIZS, których masa ciała wynosi mniej niż 10 kg.</w:t>
      </w:r>
    </w:p>
    <w:p w14:paraId="7F12FA7E" w14:textId="77777777" w:rsidR="000113DC" w:rsidRPr="00F13073" w:rsidRDefault="000113DC" w:rsidP="008B4C50">
      <w:pPr>
        <w:pStyle w:val="a4"/>
        <w:widowControl/>
        <w:spacing w:after="0"/>
      </w:pPr>
    </w:p>
    <w:p w14:paraId="16209D46" w14:textId="77777777" w:rsidR="000113DC" w:rsidRPr="00F13073" w:rsidRDefault="000113DC" w:rsidP="009B4EB1">
      <w:pPr>
        <w:pStyle w:val="a4"/>
        <w:keepNext/>
        <w:keepLines/>
        <w:widowControl/>
        <w:spacing w:after="0"/>
      </w:pPr>
      <w:r w:rsidRPr="00F13073">
        <w:rPr>
          <w:rStyle w:val="Char"/>
          <w:i/>
          <w:iCs/>
        </w:rPr>
        <w:t>Identyfikowalność</w:t>
      </w:r>
    </w:p>
    <w:p w14:paraId="7C3E56AD" w14:textId="77777777" w:rsidR="000113DC" w:rsidRPr="00F13073" w:rsidRDefault="000113DC" w:rsidP="008B4C50">
      <w:pPr>
        <w:pStyle w:val="a4"/>
        <w:widowControl/>
        <w:spacing w:after="0"/>
        <w:rPr>
          <w:rStyle w:val="Char"/>
        </w:rPr>
      </w:pPr>
      <w:r w:rsidRPr="00F13073">
        <w:rPr>
          <w:rStyle w:val="Char"/>
        </w:rPr>
        <w:t>W celu poprawy identyfikowalności biologicznych produktów leczniczych nazwa handlowa i numer serii podawanego produktu powinny zostać jasno zapisane (lub odnotowane) w dokumentacji pacjenta.</w:t>
      </w:r>
    </w:p>
    <w:p w14:paraId="7E90194A" w14:textId="77777777" w:rsidR="000113DC" w:rsidRPr="00F13073" w:rsidRDefault="000113DC" w:rsidP="008B4C50">
      <w:pPr>
        <w:pStyle w:val="a4"/>
        <w:widowControl/>
        <w:spacing w:after="0"/>
      </w:pPr>
    </w:p>
    <w:p w14:paraId="79272231" w14:textId="77777777" w:rsidR="000113DC" w:rsidRPr="00F13073" w:rsidRDefault="000113DC" w:rsidP="008245A4">
      <w:pPr>
        <w:pStyle w:val="a4"/>
        <w:keepNext/>
        <w:widowControl/>
        <w:spacing w:after="0"/>
      </w:pPr>
      <w:r w:rsidRPr="00F13073">
        <w:rPr>
          <w:rStyle w:val="Char"/>
          <w:i/>
          <w:iCs/>
        </w:rPr>
        <w:t>Zakażenia</w:t>
      </w:r>
    </w:p>
    <w:p w14:paraId="6D57AACF" w14:textId="0BFDD5F1" w:rsidR="000113DC" w:rsidRPr="00F13073" w:rsidRDefault="000113DC" w:rsidP="008B4C50">
      <w:pPr>
        <w:pStyle w:val="a4"/>
        <w:widowControl/>
        <w:spacing w:after="0"/>
        <w:rPr>
          <w:rStyle w:val="Char"/>
        </w:rPr>
      </w:pPr>
      <w:r w:rsidRPr="00F13073">
        <w:rPr>
          <w:rStyle w:val="Char"/>
        </w:rPr>
        <w:t xml:space="preserve">U pacjentów otrzymujących leki immunosupresyjne, w tym </w:t>
      </w:r>
      <w:r w:rsidR="005042FC" w:rsidRPr="00F13073">
        <w:rPr>
          <w:rStyle w:val="Char"/>
        </w:rPr>
        <w:t>tocilizumab</w:t>
      </w:r>
      <w:r w:rsidRPr="00F13073">
        <w:rPr>
          <w:rStyle w:val="Char"/>
        </w:rPr>
        <w:t xml:space="preserve">, zgłaszano ciężkie zakażenia, niekiedy zakończone zgonem (patrz punkt 4.8 Działania niepożądane). Nie należy rozpoczynać leczenia produktem leczniczym </w:t>
      </w:r>
      <w:r w:rsidR="00026375" w:rsidRPr="00F13073">
        <w:rPr>
          <w:rStyle w:val="Char"/>
        </w:rPr>
        <w:t>Avtozma</w:t>
      </w:r>
      <w:r w:rsidRPr="00F13073">
        <w:rPr>
          <w:rStyle w:val="Char"/>
        </w:rPr>
        <w:t xml:space="preserve"> u chorych z czynnym zakażeniem (patrz punkt 4.3). Jeśli w trakcie leczenia rozwinie się u pacjenta ciężkie zakażenie, podawanie </w:t>
      </w:r>
      <w:r w:rsidR="005042FC" w:rsidRPr="00F13073">
        <w:rPr>
          <w:rStyle w:val="Char"/>
        </w:rPr>
        <w:t>tocilizumabu</w:t>
      </w:r>
      <w:r w:rsidR="00151F2F" w:rsidRPr="00F13073">
        <w:rPr>
          <w:rStyle w:val="Char"/>
        </w:rPr>
        <w:t xml:space="preserve"> </w:t>
      </w:r>
      <w:r w:rsidRPr="00F13073">
        <w:rPr>
          <w:rStyle w:val="Char"/>
        </w:rPr>
        <w:t xml:space="preserve">należy przerwać do czasu opanowania zakażenia (patrz punkt 4.8). Zaleca się zachowanie szczególnej ostrożności przy podejmowaniu decyzji o zastosowaniu leczenia produktem leczniczym </w:t>
      </w:r>
      <w:r w:rsidR="00026375" w:rsidRPr="00F13073">
        <w:rPr>
          <w:rStyle w:val="Char"/>
        </w:rPr>
        <w:t>Avtozma</w:t>
      </w:r>
      <w:r w:rsidRPr="00F13073">
        <w:rPr>
          <w:rStyle w:val="Char"/>
        </w:rPr>
        <w:t xml:space="preserve"> u pacjentów z nawracającymi zakażeniami w wywiadzie lub przewlekłymi zakażeniami bądź z chorobami współistniejącymi tj. zapalenie uchyłków jelita, cukrzyca oraz choroba śródmiąższowa płuc, które mogą predysponować do zakażeń.</w:t>
      </w:r>
    </w:p>
    <w:p w14:paraId="5740AE86" w14:textId="77777777" w:rsidR="000113DC" w:rsidRPr="00F13073" w:rsidRDefault="000113DC" w:rsidP="008B4C50">
      <w:pPr>
        <w:pStyle w:val="a4"/>
        <w:widowControl/>
        <w:spacing w:after="0"/>
      </w:pPr>
    </w:p>
    <w:p w14:paraId="67743719" w14:textId="24053699" w:rsidR="000113DC" w:rsidRPr="00F13073" w:rsidRDefault="000113DC" w:rsidP="008B4C50">
      <w:pPr>
        <w:pStyle w:val="a4"/>
        <w:widowControl/>
        <w:spacing w:after="0"/>
        <w:rPr>
          <w:rStyle w:val="Char"/>
        </w:rPr>
      </w:pPr>
      <w:r w:rsidRPr="00F13073">
        <w:rPr>
          <w:rStyle w:val="Char"/>
        </w:rPr>
        <w:t xml:space="preserve">Zalecane jest zachowanie szczególnej czujności w celu odpowiednio wczesnego wykrycia ciężkiego zakażenia u pacjentów otrzymujących leki immunosupresyjne takie jak produkt leczniczy </w:t>
      </w:r>
      <w:r w:rsidR="00026375" w:rsidRPr="00F13073">
        <w:rPr>
          <w:rStyle w:val="Char"/>
        </w:rPr>
        <w:t>Avtozma</w:t>
      </w:r>
      <w:r w:rsidRPr="00F13073">
        <w:rPr>
          <w:rStyle w:val="Char"/>
        </w:rPr>
        <w:t>, gdyż objawy i symptomy kliniczne ostrego zapalenia mogą być słabiej wyrażone z powodu stłumienia reakcji ostrej fazy. Oceniając pacjenta pod względem możliwości wystąpienia zakażenia, należy rozważyć działanie tocilizumabu na białko C-reaktywne (CRP), granulocyty obojętnochłonne oraz przedmiotowe i podmiotowe objawy zakażenia. Pacjentów (w tym młodsze dzieci z uMIZS lub wMIZS, które mogą mieć mniejszą zdolność komunikowania swoich objawów) oraz rodziców/opiekunów pacjentów z uMIZS lub wMIZS należy poinstruować, aby w razie wystąpienia jakichkolwiek objawów wskazujących na zakażenie niezwłocznie zgłosili się do lekarza w celu szybkiej oceny stanu klinicznego i zastosowania właściwego leczenia.</w:t>
      </w:r>
    </w:p>
    <w:p w14:paraId="7072B3EA" w14:textId="77777777" w:rsidR="000113DC" w:rsidRPr="00F13073" w:rsidRDefault="000113DC" w:rsidP="008B4C50">
      <w:pPr>
        <w:pStyle w:val="a4"/>
        <w:widowControl/>
        <w:spacing w:after="0"/>
      </w:pPr>
    </w:p>
    <w:p w14:paraId="7B6CFF2E" w14:textId="77777777" w:rsidR="000113DC" w:rsidRPr="00F13073" w:rsidRDefault="000113DC" w:rsidP="008B4C50">
      <w:pPr>
        <w:pStyle w:val="a4"/>
        <w:widowControl/>
        <w:spacing w:after="0"/>
      </w:pPr>
      <w:r w:rsidRPr="00F13073">
        <w:rPr>
          <w:rStyle w:val="Char"/>
          <w:i/>
          <w:iCs/>
        </w:rPr>
        <w:t>Gruźlica</w:t>
      </w:r>
    </w:p>
    <w:p w14:paraId="1F868C90" w14:textId="30D83AB4" w:rsidR="000113DC" w:rsidRPr="00F13073" w:rsidRDefault="000113DC" w:rsidP="008B4C50">
      <w:pPr>
        <w:pStyle w:val="a4"/>
        <w:widowControl/>
        <w:spacing w:after="0"/>
        <w:rPr>
          <w:rStyle w:val="Char"/>
        </w:rPr>
      </w:pPr>
      <w:r w:rsidRPr="00F13073">
        <w:rPr>
          <w:rStyle w:val="Char"/>
        </w:rPr>
        <w:t xml:space="preserve">Podobnie jak w przypadku innych terapii biologicznych, wszyscy pacjenci przed rozpoczęciem podawania produktu leczniczego </w:t>
      </w:r>
      <w:r w:rsidR="00026375" w:rsidRPr="00F13073">
        <w:rPr>
          <w:rStyle w:val="Char"/>
        </w:rPr>
        <w:t>Avtozma</w:t>
      </w:r>
      <w:r w:rsidRPr="00F13073">
        <w:rPr>
          <w:rStyle w:val="Char"/>
        </w:rPr>
        <w:t xml:space="preserve"> powinni zostać poddani badaniom przesiewowym w kierunku występowania utajonej gruźlicy (TB). U pacjentów z utajoną gruźlicą należy przed rozpoczęciem leczenia produktem leczniczym </w:t>
      </w:r>
      <w:r w:rsidR="00026375" w:rsidRPr="00F13073">
        <w:rPr>
          <w:rStyle w:val="Char"/>
        </w:rPr>
        <w:t>Avtozma</w:t>
      </w:r>
      <w:r w:rsidRPr="00F13073">
        <w:rPr>
          <w:rStyle w:val="Char"/>
        </w:rPr>
        <w:t xml:space="preserve"> zastosować standardowe leczenie przeciwprątkowe. Lekarze powinni pamiętać o ryzyku fałszywie ujemnych wyników tuberkulinowego testu skórnego oraz testu gamma interferonowego wykonywanego na podstawie badania krwi, zwłaszcza u pacjentów ciężko chorych lub u pacjentów o obniżonej odporności.</w:t>
      </w:r>
    </w:p>
    <w:p w14:paraId="07CB25BD" w14:textId="77777777" w:rsidR="000113DC" w:rsidRPr="00F13073" w:rsidRDefault="000113DC" w:rsidP="008B4C50">
      <w:pPr>
        <w:pStyle w:val="a4"/>
        <w:widowControl/>
        <w:spacing w:after="0"/>
      </w:pPr>
    </w:p>
    <w:p w14:paraId="17738AB2" w14:textId="7250CA41" w:rsidR="000113DC" w:rsidRPr="00F13073" w:rsidRDefault="000113DC" w:rsidP="008B4C50">
      <w:pPr>
        <w:pStyle w:val="a4"/>
        <w:widowControl/>
        <w:spacing w:after="0"/>
        <w:rPr>
          <w:rStyle w:val="Char"/>
        </w:rPr>
      </w:pPr>
      <w:r w:rsidRPr="00F13073">
        <w:rPr>
          <w:rStyle w:val="Char"/>
        </w:rPr>
        <w:t xml:space="preserve">Pacjentów oraz rodziców/opiekunów pacjentów z UMIZS lub wMIZS należy poinstruować, aby zwrócili się do lekarza, jeśli w trakcie lub po terapii produktem leczniczym </w:t>
      </w:r>
      <w:r w:rsidR="00026375" w:rsidRPr="00F13073">
        <w:rPr>
          <w:rStyle w:val="Char"/>
        </w:rPr>
        <w:t>Avtozma</w:t>
      </w:r>
      <w:r w:rsidRPr="00F13073">
        <w:rPr>
          <w:rStyle w:val="Char"/>
        </w:rPr>
        <w:t xml:space="preserve"> wystąpią objawy wskazujące na zakażenie gruźlicą (np. uporczywy kaszel, wyniszczenie/zmniejszenie masy ciała, niewielka gorączka).</w:t>
      </w:r>
    </w:p>
    <w:p w14:paraId="469C89A2" w14:textId="77777777" w:rsidR="000113DC" w:rsidRPr="00F13073" w:rsidRDefault="000113DC" w:rsidP="008B4C50">
      <w:pPr>
        <w:pStyle w:val="a4"/>
        <w:widowControl/>
        <w:spacing w:after="0"/>
      </w:pPr>
    </w:p>
    <w:p w14:paraId="7E58E3D0" w14:textId="77777777" w:rsidR="000113DC" w:rsidRPr="00F13073" w:rsidRDefault="000113DC" w:rsidP="008B4C50">
      <w:pPr>
        <w:pStyle w:val="a4"/>
        <w:widowControl/>
        <w:spacing w:after="0"/>
      </w:pPr>
      <w:r w:rsidRPr="00F13073">
        <w:rPr>
          <w:rStyle w:val="Char"/>
          <w:i/>
          <w:iCs/>
        </w:rPr>
        <w:t>Reaktywacja zakażenia wirusowego</w:t>
      </w:r>
    </w:p>
    <w:p w14:paraId="3328AC35" w14:textId="552DC47F" w:rsidR="000113DC" w:rsidRPr="00F13073" w:rsidRDefault="000113DC" w:rsidP="008B4C50">
      <w:pPr>
        <w:pStyle w:val="a4"/>
        <w:widowControl/>
        <w:spacing w:after="0"/>
        <w:rPr>
          <w:rStyle w:val="Char"/>
        </w:rPr>
      </w:pPr>
      <w:r w:rsidRPr="00F13073">
        <w:rPr>
          <w:rStyle w:val="Char"/>
        </w:rPr>
        <w:t xml:space="preserve">W trakcie leczenia biologicznego chorych na RZS zgłaszano przypadki reaktywacji zakażenia wirusowego (np. wirusem zapalenia wątroby typu B). Do badań klinicznych z </w:t>
      </w:r>
      <w:r w:rsidR="00CC2A67" w:rsidRPr="00F13073">
        <w:rPr>
          <w:rStyle w:val="Char"/>
        </w:rPr>
        <w:t xml:space="preserve">tocilizumabem </w:t>
      </w:r>
      <w:r w:rsidRPr="00F13073">
        <w:rPr>
          <w:rStyle w:val="Char"/>
        </w:rPr>
        <w:t xml:space="preserve">nie </w:t>
      </w:r>
      <w:r w:rsidRPr="00F13073">
        <w:rPr>
          <w:rStyle w:val="Char"/>
        </w:rPr>
        <w:lastRenderedPageBreak/>
        <w:t>włączano pacjentów, którzy w badaniach przesiewowych mieli dodatni wynik testu w kierunku wirusowego zapalenia wątroby.</w:t>
      </w:r>
    </w:p>
    <w:p w14:paraId="3A633AA8" w14:textId="77777777" w:rsidR="000113DC" w:rsidRPr="00F13073" w:rsidRDefault="000113DC" w:rsidP="008B4C50">
      <w:pPr>
        <w:pStyle w:val="a4"/>
        <w:widowControl/>
        <w:spacing w:after="0"/>
      </w:pPr>
    </w:p>
    <w:p w14:paraId="0BCE0ADD" w14:textId="77777777" w:rsidR="000113DC" w:rsidRPr="00F13073" w:rsidRDefault="000113DC" w:rsidP="008B4C50">
      <w:pPr>
        <w:pStyle w:val="a4"/>
        <w:widowControl/>
        <w:spacing w:after="0"/>
      </w:pPr>
      <w:r w:rsidRPr="00F13073">
        <w:rPr>
          <w:rStyle w:val="Char"/>
          <w:i/>
          <w:iCs/>
        </w:rPr>
        <w:t>Powikłania zapalenia uchyłków jelita</w:t>
      </w:r>
    </w:p>
    <w:p w14:paraId="7A836CDD" w14:textId="4B2A2A26" w:rsidR="000113DC" w:rsidRPr="00F13073" w:rsidRDefault="000113DC" w:rsidP="008B4C50">
      <w:pPr>
        <w:pStyle w:val="a4"/>
        <w:widowControl/>
        <w:spacing w:after="0"/>
        <w:rPr>
          <w:rStyle w:val="Char"/>
        </w:rPr>
      </w:pPr>
      <w:r w:rsidRPr="00F13073">
        <w:rPr>
          <w:rStyle w:val="Char"/>
        </w:rPr>
        <w:t xml:space="preserve">Niezbyt często zgłaszano przypadki perforacji uchyłków jako powikłanie zapalenia uchyłków u chorych leczonych </w:t>
      </w:r>
      <w:r w:rsidR="002C1D90" w:rsidRPr="00F13073">
        <w:rPr>
          <w:rStyle w:val="Char"/>
        </w:rPr>
        <w:t xml:space="preserve">tocilizumabem </w:t>
      </w:r>
      <w:r w:rsidRPr="00F13073">
        <w:rPr>
          <w:rStyle w:val="Char"/>
        </w:rPr>
        <w:t xml:space="preserve">(patrz punkt 4.8). Należy zachować szczególną ostrożność przy stosowaniu produktu leczniczego </w:t>
      </w:r>
      <w:r w:rsidR="00026375" w:rsidRPr="00F13073">
        <w:rPr>
          <w:rStyle w:val="Char"/>
        </w:rPr>
        <w:t>Avtozma</w:t>
      </w:r>
      <w:r w:rsidRPr="00F13073">
        <w:rPr>
          <w:rStyle w:val="Char"/>
        </w:rPr>
        <w:t xml:space="preserve"> u pacjentów z owrzodzeniem jelita lub zapaleniem uchyłków w wywiadzie. Pacjenci zgłaszający się z objawami klinicznymi wskazującymi na powikłane zapalenie uchyłków, takimi jak: ból brzucha, krwotok i (lub) niewyjaśniona zmiana w rytmie wypróżnień z towarzyszącą gorączką powinni zostać poddani natychmiastowej ocenie klinicznej pod kątem wczesnego wykrycia zapalenia uchyłków, które może prowadzić do perforacji przewodu pokarmowego.</w:t>
      </w:r>
    </w:p>
    <w:p w14:paraId="1EF45D69" w14:textId="77777777" w:rsidR="000113DC" w:rsidRPr="00F13073" w:rsidRDefault="000113DC" w:rsidP="008B4C50">
      <w:pPr>
        <w:pStyle w:val="a4"/>
        <w:widowControl/>
        <w:spacing w:after="0"/>
      </w:pPr>
    </w:p>
    <w:p w14:paraId="1FB05A31" w14:textId="77777777" w:rsidR="000113DC" w:rsidRPr="00F13073" w:rsidRDefault="000113DC" w:rsidP="009B4EB1">
      <w:pPr>
        <w:pStyle w:val="a4"/>
        <w:keepNext/>
        <w:keepLines/>
        <w:widowControl/>
        <w:spacing w:after="0"/>
      </w:pPr>
      <w:r w:rsidRPr="00F13073">
        <w:rPr>
          <w:rStyle w:val="Char"/>
          <w:i/>
          <w:iCs/>
        </w:rPr>
        <w:t>Reakcje nadwrażliwości</w:t>
      </w:r>
    </w:p>
    <w:p w14:paraId="4B80C37F" w14:textId="0D9CB8B2" w:rsidR="000113DC" w:rsidRPr="00F13073" w:rsidRDefault="000113DC" w:rsidP="008B4C50">
      <w:pPr>
        <w:pStyle w:val="a4"/>
        <w:widowControl/>
        <w:spacing w:after="0"/>
        <w:rPr>
          <w:rStyle w:val="Char"/>
        </w:rPr>
      </w:pPr>
      <w:r w:rsidRPr="00F13073">
        <w:rPr>
          <w:rStyle w:val="Char"/>
        </w:rPr>
        <w:t xml:space="preserve">Zgłaszano występowanie ciężkich reakcji alergicznych, w tym anafilaksji, w związku ze stosowaniem </w:t>
      </w:r>
      <w:r w:rsidR="002C1D90" w:rsidRPr="00F13073">
        <w:rPr>
          <w:rStyle w:val="Char"/>
        </w:rPr>
        <w:t xml:space="preserve">tocilizumabu </w:t>
      </w:r>
      <w:r w:rsidRPr="00F13073">
        <w:rPr>
          <w:rStyle w:val="Char"/>
        </w:rPr>
        <w:t xml:space="preserve">(patrz punkt 4.8). Takie reakcje mogą mieć cięższy przebieg i potencjalnie kończyć się zgonem w przypadku pacjentów, u których wystąpiły reakcje nadwrażliwości podczas wcześniejszego leczenia produktem leczniczym </w:t>
      </w:r>
      <w:r w:rsidR="00026375" w:rsidRPr="00F13073">
        <w:rPr>
          <w:rStyle w:val="Char"/>
        </w:rPr>
        <w:t>Avtozma</w:t>
      </w:r>
      <w:r w:rsidRPr="00F13073">
        <w:rPr>
          <w:rStyle w:val="Char"/>
        </w:rPr>
        <w:t xml:space="preserve">, nawet w przypadku zastosowania premedykacji z użyciem leków steroidowych i przeciwhistaminowych. W przypadku wystąpienia reakcji anafilaktycznej lub innej ciężkiej reakcji nadwrażliwości należy natychmiast przerwać podawanie produktu leczniczego </w:t>
      </w:r>
      <w:r w:rsidR="00026375" w:rsidRPr="00F13073">
        <w:rPr>
          <w:rStyle w:val="Char"/>
        </w:rPr>
        <w:t>Avtozma</w:t>
      </w:r>
      <w:r w:rsidRPr="00F13073">
        <w:rPr>
          <w:rStyle w:val="Char"/>
        </w:rPr>
        <w:t xml:space="preserve">, rozpocząć odpowiednie leczenie i na stałe zrezygnować ze stosowania </w:t>
      </w:r>
      <w:r w:rsidR="002C1D90" w:rsidRPr="00F13073">
        <w:rPr>
          <w:rStyle w:val="Char"/>
        </w:rPr>
        <w:t>produktu leczniczego Avtozma</w:t>
      </w:r>
      <w:r w:rsidRPr="00F13073">
        <w:rPr>
          <w:rStyle w:val="Char"/>
        </w:rPr>
        <w:t>.</w:t>
      </w:r>
    </w:p>
    <w:p w14:paraId="25D8B3BC" w14:textId="77777777" w:rsidR="000113DC" w:rsidRPr="00F13073" w:rsidRDefault="000113DC" w:rsidP="008B4C50">
      <w:pPr>
        <w:pStyle w:val="a4"/>
        <w:widowControl/>
        <w:spacing w:after="0"/>
      </w:pPr>
    </w:p>
    <w:p w14:paraId="0573E98D" w14:textId="77777777" w:rsidR="000113DC" w:rsidRPr="00F13073" w:rsidRDefault="000113DC" w:rsidP="008B4C50">
      <w:pPr>
        <w:pStyle w:val="a4"/>
        <w:widowControl/>
        <w:spacing w:after="0"/>
      </w:pPr>
      <w:r w:rsidRPr="00F13073">
        <w:rPr>
          <w:rStyle w:val="Char"/>
          <w:i/>
          <w:iCs/>
        </w:rPr>
        <w:t>Czynna choroba wątroby i upośledzenie czynności wątroby</w:t>
      </w:r>
    </w:p>
    <w:p w14:paraId="4AD366D1" w14:textId="7D144848" w:rsidR="000113DC" w:rsidRPr="00F13073" w:rsidRDefault="000113DC" w:rsidP="008B4C50">
      <w:pPr>
        <w:pStyle w:val="a4"/>
        <w:widowControl/>
        <w:spacing w:after="0"/>
        <w:rPr>
          <w:rStyle w:val="Char"/>
        </w:rPr>
      </w:pPr>
      <w:r w:rsidRPr="00F13073">
        <w:rPr>
          <w:rStyle w:val="Char"/>
        </w:rPr>
        <w:t xml:space="preserve">W trakcie leczenia </w:t>
      </w:r>
      <w:r w:rsidR="0047663A" w:rsidRPr="00F13073">
        <w:rPr>
          <w:rStyle w:val="Char"/>
        </w:rPr>
        <w:t>tocilizumabem</w:t>
      </w:r>
      <w:r w:rsidRPr="00F13073">
        <w:rPr>
          <w:rStyle w:val="Char"/>
        </w:rPr>
        <w:t>, zwłaszcza gdy jest on podawany równocześnie z metotreksatem, może dojść do zwiększenia aktywności aminotransferaz wątrobowych. Dlatego też należy zachować szczególną ostrożność, rozważając leczenie u pacjentów z czynną chorobą wątroby lub zaburzoną czynnością wątroby (patrz punkty 4.2 i 4.8).</w:t>
      </w:r>
    </w:p>
    <w:p w14:paraId="2B1C3A4A" w14:textId="77777777" w:rsidR="000113DC" w:rsidRPr="00F13073" w:rsidRDefault="000113DC" w:rsidP="008B4C50">
      <w:pPr>
        <w:pStyle w:val="a4"/>
        <w:widowControl/>
        <w:spacing w:after="0"/>
      </w:pPr>
    </w:p>
    <w:p w14:paraId="74F504F7" w14:textId="77777777" w:rsidR="000113DC" w:rsidRPr="00F13073" w:rsidRDefault="000113DC" w:rsidP="008B4C50">
      <w:pPr>
        <w:pStyle w:val="a4"/>
        <w:widowControl/>
        <w:spacing w:after="0"/>
      </w:pPr>
      <w:r w:rsidRPr="00F13073">
        <w:rPr>
          <w:rStyle w:val="Char"/>
          <w:i/>
          <w:iCs/>
        </w:rPr>
        <w:t>Hepatotoksyczność</w:t>
      </w:r>
    </w:p>
    <w:p w14:paraId="76CC80FF" w14:textId="035681E3" w:rsidR="000113DC" w:rsidRPr="00F13073" w:rsidRDefault="000113DC" w:rsidP="008B4C50">
      <w:pPr>
        <w:pStyle w:val="a4"/>
        <w:widowControl/>
        <w:spacing w:after="0"/>
        <w:rPr>
          <w:rStyle w:val="Char"/>
        </w:rPr>
      </w:pPr>
      <w:r w:rsidRPr="00F13073">
        <w:rPr>
          <w:rStyle w:val="Char"/>
        </w:rPr>
        <w:t xml:space="preserve">W trakcie leczenia </w:t>
      </w:r>
      <w:r w:rsidR="0047663A" w:rsidRPr="00F13073">
        <w:rPr>
          <w:rStyle w:val="Char"/>
        </w:rPr>
        <w:t>tocilizumabem</w:t>
      </w:r>
      <w:r w:rsidR="00151F2F" w:rsidRPr="00F13073">
        <w:rPr>
          <w:rStyle w:val="Char"/>
        </w:rPr>
        <w:t xml:space="preserve"> </w:t>
      </w:r>
      <w:r w:rsidRPr="00F13073">
        <w:rPr>
          <w:rStyle w:val="Char"/>
        </w:rPr>
        <w:t xml:space="preserve">zgłaszano często przejściowe lub okresowe zwiększenia aktywności aminotransferaz wątrobowych o nasileniu łagodnym i umiarkowanym (patrz punkt 4.8). Obserwowano częstsze przypadki zwiększenia aktywności enzymów, gdy równocześnie z </w:t>
      </w:r>
      <w:r w:rsidR="0047663A" w:rsidRPr="00F13073">
        <w:rPr>
          <w:rStyle w:val="Char"/>
        </w:rPr>
        <w:t xml:space="preserve">tocilizumabem </w:t>
      </w:r>
      <w:r w:rsidRPr="00F13073">
        <w:rPr>
          <w:rStyle w:val="Char"/>
        </w:rPr>
        <w:t>podawano leki potencjalnie hepatotoksyczne (np. MTX). W przypadku wskazań klinicznych należy rozważyć wykonanie dodatkowych badań oceniających czynność wątroby, w tym oznaczenie stężenia bilirubiny.</w:t>
      </w:r>
    </w:p>
    <w:p w14:paraId="1E7DADDA" w14:textId="77777777" w:rsidR="000113DC" w:rsidRPr="00F13073" w:rsidRDefault="000113DC" w:rsidP="008B4C50">
      <w:pPr>
        <w:pStyle w:val="a4"/>
        <w:widowControl/>
        <w:spacing w:after="0"/>
      </w:pPr>
    </w:p>
    <w:p w14:paraId="5683375F" w14:textId="010D8537" w:rsidR="000113DC" w:rsidRPr="00F13073" w:rsidRDefault="000113DC" w:rsidP="008B4C50">
      <w:pPr>
        <w:pStyle w:val="a4"/>
        <w:widowControl/>
        <w:spacing w:after="0"/>
        <w:rPr>
          <w:rStyle w:val="Char"/>
        </w:rPr>
      </w:pPr>
      <w:r w:rsidRPr="00F13073">
        <w:rPr>
          <w:rStyle w:val="Char"/>
        </w:rPr>
        <w:t xml:space="preserve">U pacjentów przyjmujących </w:t>
      </w:r>
      <w:r w:rsidR="0047663A" w:rsidRPr="00F13073">
        <w:rPr>
          <w:rStyle w:val="Char"/>
        </w:rPr>
        <w:t xml:space="preserve">tocilizumab </w:t>
      </w:r>
      <w:r w:rsidRPr="00F13073">
        <w:rPr>
          <w:rStyle w:val="Char"/>
        </w:rPr>
        <w:t xml:space="preserve">obserwowano przypadki ciężkiego uszkodzenia wątroby wywołanego przez lek, w tym ostrą niewydolność wątroby, zapalenie wątroby i żółtaczkę (patrz punkt 4.8). Ciężkie uszkodzenie wątroby występowało w okresie od 2 tygodni do ponad 5 lat po rozpoczęciu przyjmowania </w:t>
      </w:r>
      <w:r w:rsidR="0047663A" w:rsidRPr="00F13073">
        <w:rPr>
          <w:rStyle w:val="Char"/>
        </w:rPr>
        <w:t>tocilizumabu</w:t>
      </w:r>
      <w:r w:rsidRPr="00F13073">
        <w:rPr>
          <w:rStyle w:val="Char"/>
        </w:rPr>
        <w:t>. Opisywano przypadki niewydolności wątroby prowadzącej do przeszczepu wątroby. Należy poinformować pacjentów o konieczności natychmiastowego zgłoszenia się do lekarza w przypadku wystąpienia objawów przedmiotowych i podmiotowych uszkodzenia wątroby.</w:t>
      </w:r>
    </w:p>
    <w:p w14:paraId="02F013AD" w14:textId="77777777" w:rsidR="000113DC" w:rsidRPr="00F13073" w:rsidRDefault="000113DC" w:rsidP="008B4C50">
      <w:pPr>
        <w:pStyle w:val="a4"/>
        <w:widowControl/>
        <w:spacing w:after="0"/>
      </w:pPr>
    </w:p>
    <w:p w14:paraId="4F2F975C" w14:textId="183449D5" w:rsidR="000113DC" w:rsidRPr="00F13073" w:rsidRDefault="000113DC" w:rsidP="008B4C50">
      <w:pPr>
        <w:pStyle w:val="a4"/>
        <w:widowControl/>
        <w:spacing w:after="0"/>
        <w:rPr>
          <w:rStyle w:val="Char"/>
        </w:rPr>
      </w:pPr>
      <w:r w:rsidRPr="00F13073">
        <w:rPr>
          <w:rStyle w:val="Char"/>
        </w:rPr>
        <w:t xml:space="preserve">Należy zachować szczególną ostrożność, rozważając rozpoczęcie leczenia produktem leczncizym </w:t>
      </w:r>
      <w:r w:rsidR="00026375" w:rsidRPr="00F13073">
        <w:rPr>
          <w:rStyle w:val="Char"/>
        </w:rPr>
        <w:t>Avtozma</w:t>
      </w:r>
      <w:r w:rsidRPr="00F13073">
        <w:rPr>
          <w:rStyle w:val="Char"/>
        </w:rPr>
        <w:t xml:space="preserve"> u pacjentów ze zwiększoną aktywnością aminotransferazy alaninowej (AlAT) lub asparaginianowej (AspAT) &gt; 1,5 x GGN (górna granica normy). Nie zaleca się leczenia produktem leczniczym </w:t>
      </w:r>
      <w:r w:rsidR="00026375" w:rsidRPr="00F13073">
        <w:rPr>
          <w:rStyle w:val="Char"/>
        </w:rPr>
        <w:t>Avtozma</w:t>
      </w:r>
      <w:r w:rsidRPr="00F13073">
        <w:rPr>
          <w:rStyle w:val="Char"/>
        </w:rPr>
        <w:t xml:space="preserve"> pacjentów z aktywnością AlAT lub AspAT przekraczającą &gt; 5 x GGN.</w:t>
      </w:r>
    </w:p>
    <w:p w14:paraId="6FCE7126" w14:textId="77777777" w:rsidR="000113DC" w:rsidRPr="00F13073" w:rsidRDefault="000113DC" w:rsidP="008B4C50">
      <w:pPr>
        <w:pStyle w:val="a4"/>
        <w:widowControl/>
        <w:spacing w:after="0"/>
      </w:pPr>
    </w:p>
    <w:p w14:paraId="5DD7AFA5" w14:textId="2FC8AC31" w:rsidR="000113DC" w:rsidRPr="00F13073" w:rsidRDefault="000113DC" w:rsidP="008B4C50">
      <w:pPr>
        <w:pStyle w:val="a4"/>
        <w:widowControl/>
        <w:spacing w:after="0"/>
        <w:rPr>
          <w:rStyle w:val="Char"/>
        </w:rPr>
      </w:pPr>
      <w:r w:rsidRPr="00F13073">
        <w:rPr>
          <w:rStyle w:val="Char"/>
        </w:rPr>
        <w:t xml:space="preserve">U chorych na RZS, GCA, uMIZS i wMIZS, AlAT/AspAT należy kontrolować co 4 do 8 tygodni przez pierwsze 6 miesięcy leczenia, a następnie co 12 tygodni. Zalecenia dotyczące modyfikacji dawki, w tym przerwania podawania produktu leczniczego </w:t>
      </w:r>
      <w:r w:rsidR="00026375" w:rsidRPr="00F13073">
        <w:rPr>
          <w:rStyle w:val="Char"/>
        </w:rPr>
        <w:t>Avtozma</w:t>
      </w:r>
      <w:r w:rsidRPr="00F13073">
        <w:rPr>
          <w:rStyle w:val="Char"/>
        </w:rPr>
        <w:t xml:space="preserve">, w oparciu o aktywności aminotransferaz </w:t>
      </w:r>
      <w:r w:rsidR="008F5F84" w:rsidRPr="00F13073">
        <w:rPr>
          <w:rStyle w:val="Char"/>
        </w:rPr>
        <w:t>–</w:t>
      </w:r>
      <w:r w:rsidRPr="00F13073">
        <w:rPr>
          <w:rStyle w:val="Char"/>
        </w:rPr>
        <w:t xml:space="preserve"> patrz punkt 4.2. W przypadkach zwiększenia aktywności AlAT lub AspAT &gt; 3</w:t>
      </w:r>
      <w:r w:rsidR="008F5F84" w:rsidRPr="00F13073">
        <w:rPr>
          <w:rStyle w:val="Char"/>
        </w:rPr>
        <w:t>–</w:t>
      </w:r>
      <w:r w:rsidRPr="00F13073">
        <w:rPr>
          <w:rStyle w:val="Char"/>
        </w:rPr>
        <w:t xml:space="preserve">5 x GGN należy przerwać terapię produktem leczniczym </w:t>
      </w:r>
      <w:r w:rsidR="00026375" w:rsidRPr="00F13073">
        <w:rPr>
          <w:rStyle w:val="Char"/>
        </w:rPr>
        <w:t>Avtozma</w:t>
      </w:r>
      <w:r w:rsidRPr="00F13073">
        <w:rPr>
          <w:rStyle w:val="Char"/>
        </w:rPr>
        <w:t>.</w:t>
      </w:r>
    </w:p>
    <w:p w14:paraId="367A3C10" w14:textId="77777777" w:rsidR="000113DC" w:rsidRPr="00F13073" w:rsidRDefault="000113DC" w:rsidP="008B4C50">
      <w:pPr>
        <w:pStyle w:val="a4"/>
        <w:widowControl/>
        <w:spacing w:after="0"/>
      </w:pPr>
    </w:p>
    <w:p w14:paraId="0A5EF39A" w14:textId="77777777" w:rsidR="000113DC" w:rsidRPr="00F13073" w:rsidRDefault="000113DC" w:rsidP="008B4C50">
      <w:pPr>
        <w:pStyle w:val="a4"/>
        <w:widowControl/>
        <w:spacing w:after="0"/>
      </w:pPr>
      <w:r w:rsidRPr="00F13073">
        <w:rPr>
          <w:rStyle w:val="Char"/>
          <w:i/>
          <w:iCs/>
        </w:rPr>
        <w:t>Zaburzenia hematologiczne</w:t>
      </w:r>
    </w:p>
    <w:p w14:paraId="77B420DA" w14:textId="77777777" w:rsidR="000113DC" w:rsidRPr="00F13073" w:rsidRDefault="000113DC" w:rsidP="008B4C50">
      <w:pPr>
        <w:pStyle w:val="a4"/>
        <w:widowControl/>
        <w:spacing w:after="0"/>
        <w:rPr>
          <w:rStyle w:val="Char"/>
        </w:rPr>
      </w:pPr>
      <w:r w:rsidRPr="00F13073">
        <w:rPr>
          <w:rStyle w:val="Char"/>
        </w:rPr>
        <w:lastRenderedPageBreak/>
        <w:t>W trakcie stosowania leczenia skojarzonego tocilizumabem w dawce 8 mg/kg mc. z metotreksatem odnotowano obniżenie liczby granulocytów obojętnochłonnych i płytek krwi (patrz punkt 4.8). Istnieje zwiększone ryzyko wystąpienia neutropenii u pacjentów uprzednio leczonych inhibitorem TNF.</w:t>
      </w:r>
    </w:p>
    <w:p w14:paraId="545D3717" w14:textId="77777777" w:rsidR="000113DC" w:rsidRPr="00F13073" w:rsidRDefault="000113DC" w:rsidP="008B4C50">
      <w:pPr>
        <w:pStyle w:val="a4"/>
        <w:widowControl/>
        <w:spacing w:after="0"/>
      </w:pPr>
    </w:p>
    <w:p w14:paraId="17175CC7" w14:textId="383B30DB" w:rsidR="000113DC" w:rsidRPr="00F13073" w:rsidRDefault="000113DC" w:rsidP="008B4C50">
      <w:pPr>
        <w:pStyle w:val="a4"/>
        <w:widowControl/>
        <w:spacing w:after="0"/>
        <w:rPr>
          <w:rStyle w:val="Char"/>
        </w:rPr>
      </w:pPr>
      <w:r w:rsidRPr="00F13073">
        <w:rPr>
          <w:rStyle w:val="Char"/>
        </w:rPr>
        <w:t xml:space="preserve">U pacjentów, którzy nie otrzymywali wcześniej </w:t>
      </w:r>
      <w:r w:rsidR="007D1E20" w:rsidRPr="00F13073">
        <w:rPr>
          <w:rStyle w:val="Char"/>
        </w:rPr>
        <w:t>tocilizumabu</w:t>
      </w:r>
      <w:r w:rsidRPr="00F13073">
        <w:rPr>
          <w:rStyle w:val="Char"/>
        </w:rPr>
        <w:t>, nie zaleca się rozpoczynania leczenia, jeśli wartość ANC jest niższa od 2 x 10</w:t>
      </w:r>
      <w:r w:rsidRPr="00F13073">
        <w:rPr>
          <w:rStyle w:val="Char"/>
          <w:vertAlign w:val="superscript"/>
        </w:rPr>
        <w:t>9</w:t>
      </w:r>
      <w:r w:rsidRPr="00F13073">
        <w:rPr>
          <w:rStyle w:val="Char"/>
        </w:rPr>
        <w:t xml:space="preserve">/l. Należy zachować ostrożność, rozważając rozpoczęcie leczenia produktem leczniczym </w:t>
      </w:r>
      <w:r w:rsidR="00026375" w:rsidRPr="00F13073">
        <w:rPr>
          <w:rStyle w:val="Char"/>
        </w:rPr>
        <w:t>Avtozma</w:t>
      </w:r>
      <w:r w:rsidRPr="00F13073">
        <w:rPr>
          <w:rStyle w:val="Char"/>
        </w:rPr>
        <w:t xml:space="preserve"> u pacjentów z niską liczbą płytek krwi (tj. liczba płytek krwi poniżej 100 x 10</w:t>
      </w:r>
      <w:r w:rsidRPr="00F13073">
        <w:rPr>
          <w:rStyle w:val="Char"/>
          <w:vertAlign w:val="superscript"/>
        </w:rPr>
        <w:t>3</w:t>
      </w:r>
      <w:r w:rsidRPr="00F13073">
        <w:rPr>
          <w:rStyle w:val="Char"/>
        </w:rPr>
        <w:t>/μL). Nie zaleca się kontynuowania leczenia u pacjentów z ANC &lt;0,5 x 10</w:t>
      </w:r>
      <w:r w:rsidRPr="00F13073">
        <w:rPr>
          <w:rStyle w:val="Char"/>
          <w:vertAlign w:val="superscript"/>
        </w:rPr>
        <w:t>9</w:t>
      </w:r>
      <w:r w:rsidRPr="00F13073">
        <w:rPr>
          <w:rStyle w:val="Char"/>
        </w:rPr>
        <w:t>/l lub liczbą płytek krwi &lt; 50 x 10</w:t>
      </w:r>
      <w:r w:rsidRPr="00F13073">
        <w:rPr>
          <w:rStyle w:val="Char"/>
          <w:vertAlign w:val="superscript"/>
        </w:rPr>
        <w:t>3</w:t>
      </w:r>
      <w:r w:rsidRPr="00F13073">
        <w:rPr>
          <w:rStyle w:val="Char"/>
        </w:rPr>
        <w:t>/μL.</w:t>
      </w:r>
    </w:p>
    <w:p w14:paraId="764EF596" w14:textId="77777777" w:rsidR="000113DC" w:rsidRPr="00F13073" w:rsidRDefault="000113DC" w:rsidP="008B4C50">
      <w:pPr>
        <w:pStyle w:val="a4"/>
        <w:widowControl/>
        <w:spacing w:after="0"/>
      </w:pPr>
    </w:p>
    <w:p w14:paraId="4E307DA4" w14:textId="61AB95E2" w:rsidR="000113DC" w:rsidRPr="00F13073" w:rsidRDefault="000113DC" w:rsidP="009B4EB1">
      <w:pPr>
        <w:pStyle w:val="a4"/>
        <w:keepNext/>
        <w:keepLines/>
        <w:widowControl/>
        <w:spacing w:after="0"/>
        <w:rPr>
          <w:rStyle w:val="Char"/>
        </w:rPr>
      </w:pPr>
      <w:r w:rsidRPr="00F13073">
        <w:rPr>
          <w:rStyle w:val="Char"/>
        </w:rPr>
        <w:t xml:space="preserve">Ciężka neutropenia może wiązać się ze zwiększonym ryzykiem wystąpienia ciężkich zakażeń, chociaż w badaniach klinicznych </w:t>
      </w:r>
      <w:r w:rsidR="007D1E20" w:rsidRPr="00F13073">
        <w:rPr>
          <w:rStyle w:val="Char"/>
        </w:rPr>
        <w:t xml:space="preserve">tocilizumabu </w:t>
      </w:r>
      <w:r w:rsidRPr="00F13073">
        <w:rPr>
          <w:rStyle w:val="Char"/>
        </w:rPr>
        <w:t>dotychczas nie stwierdzono jasnego związku pomiędzy zmniejszeniem liczby granulocytów obojętnochłonnych a występowaniem ciężkich zakażeń.</w:t>
      </w:r>
    </w:p>
    <w:p w14:paraId="3550EA0D" w14:textId="77777777" w:rsidR="000113DC" w:rsidRPr="00F13073" w:rsidRDefault="000113DC" w:rsidP="008B4C50">
      <w:pPr>
        <w:pStyle w:val="a4"/>
        <w:widowControl/>
        <w:spacing w:after="0"/>
      </w:pPr>
    </w:p>
    <w:p w14:paraId="7C2FB6A8" w14:textId="77777777" w:rsidR="000113DC" w:rsidRPr="00F13073" w:rsidRDefault="000113DC" w:rsidP="008B4C50">
      <w:pPr>
        <w:pStyle w:val="a4"/>
        <w:widowControl/>
        <w:spacing w:after="0"/>
        <w:rPr>
          <w:rStyle w:val="Char"/>
        </w:rPr>
      </w:pPr>
      <w:r w:rsidRPr="00F13073">
        <w:rPr>
          <w:rStyle w:val="Char"/>
        </w:rPr>
        <w:t xml:space="preserve">U chorych na RZS i GCA liczbę granulocytów obojętnochłonnych i płytek krwi należy kontrolować 4 do 8 tygodni po rozpoczęciu leczenia, a następnie zgodnie z zasadami praktyki klinicznej. Zalecenia dotyczące zmiany dawkowania w oparciu o bezwzględną liczbę granulocytów obojętnochłonnych (ANC) i liczbę płytek krwi </w:t>
      </w:r>
      <w:r w:rsidR="008F5F84" w:rsidRPr="00F13073">
        <w:rPr>
          <w:rStyle w:val="Char"/>
        </w:rPr>
        <w:t>–</w:t>
      </w:r>
      <w:r w:rsidRPr="00F13073">
        <w:rPr>
          <w:rStyle w:val="Char"/>
        </w:rPr>
        <w:t xml:space="preserve"> patrz punkt 4.2.</w:t>
      </w:r>
    </w:p>
    <w:p w14:paraId="4D7F453D" w14:textId="77777777" w:rsidR="000113DC" w:rsidRPr="00F13073" w:rsidRDefault="000113DC" w:rsidP="008B4C50">
      <w:pPr>
        <w:pStyle w:val="a4"/>
        <w:widowControl/>
        <w:spacing w:after="0"/>
      </w:pPr>
    </w:p>
    <w:p w14:paraId="269018E4" w14:textId="77777777" w:rsidR="000113DC" w:rsidRPr="00F13073" w:rsidRDefault="000113DC" w:rsidP="008B4C50">
      <w:pPr>
        <w:pStyle w:val="a4"/>
        <w:widowControl/>
        <w:spacing w:after="0"/>
        <w:rPr>
          <w:rStyle w:val="Char"/>
        </w:rPr>
      </w:pPr>
      <w:r w:rsidRPr="00F13073">
        <w:rPr>
          <w:rStyle w:val="Char"/>
        </w:rPr>
        <w:t>U pacjentów z uMIZS lub wMIZS liczbę granulocytów obojętnochłonnych i płytek krwi należy kontrolować podczas drugiego podania leku a następnie zgodnie z zasadami dobrej praktyki klinicznej (patrz punkt 4.2).</w:t>
      </w:r>
    </w:p>
    <w:p w14:paraId="0117B39B" w14:textId="77777777" w:rsidR="000113DC" w:rsidRPr="00F13073" w:rsidRDefault="000113DC" w:rsidP="008B4C50">
      <w:pPr>
        <w:pStyle w:val="a4"/>
        <w:widowControl/>
        <w:spacing w:after="0"/>
      </w:pPr>
    </w:p>
    <w:p w14:paraId="0551ED72" w14:textId="77777777" w:rsidR="000113DC" w:rsidRPr="00F13073" w:rsidRDefault="000113DC" w:rsidP="008B4C50">
      <w:pPr>
        <w:pStyle w:val="a4"/>
        <w:widowControl/>
        <w:spacing w:after="0"/>
      </w:pPr>
      <w:r w:rsidRPr="00F13073">
        <w:rPr>
          <w:rStyle w:val="Char"/>
          <w:i/>
          <w:iCs/>
        </w:rPr>
        <w:t>Parametry gospodarki lipidowej</w:t>
      </w:r>
    </w:p>
    <w:p w14:paraId="330EE15E" w14:textId="65F9E9C0" w:rsidR="000113DC" w:rsidRPr="00F13073" w:rsidRDefault="000113DC" w:rsidP="008B4C50">
      <w:pPr>
        <w:pStyle w:val="a4"/>
        <w:widowControl/>
        <w:spacing w:after="0"/>
        <w:rPr>
          <w:rStyle w:val="Char"/>
        </w:rPr>
      </w:pPr>
      <w:r w:rsidRPr="00F13073">
        <w:rPr>
          <w:rStyle w:val="Char"/>
        </w:rPr>
        <w:t xml:space="preserve">U chorych leczonych </w:t>
      </w:r>
      <w:r w:rsidR="007D1E20" w:rsidRPr="00F13073">
        <w:rPr>
          <w:rStyle w:val="Char"/>
        </w:rPr>
        <w:t>tocilizumabem</w:t>
      </w:r>
      <w:r w:rsidR="00151F2F" w:rsidRPr="00F13073">
        <w:rPr>
          <w:rStyle w:val="Char"/>
        </w:rPr>
        <w:t xml:space="preserve"> </w:t>
      </w:r>
      <w:r w:rsidRPr="00F13073">
        <w:rPr>
          <w:rStyle w:val="Char"/>
        </w:rPr>
        <w:t>obserwowano zwiększone wartości parametrów gospodarki lipidowej, takich jak stężenie cholesterolu całkowitego, frakcji lipoprotein o niskiej gęstości (LDL), frakcji lipoprotein o wysokiej gęstości (HDL) oraz trójglicerydów (patrz punkt 4.8). U większości pacjentów nie stwierdzono zwiększenia wskaźników aterogennych, a podwyższone stężenia cholesterolu całkowitego odpowiadały na leczenie lekami obniżającymi stężenie lipidów.</w:t>
      </w:r>
    </w:p>
    <w:p w14:paraId="5CE8A5E7" w14:textId="77777777" w:rsidR="000113DC" w:rsidRPr="00F13073" w:rsidRDefault="000113DC" w:rsidP="008B4C50">
      <w:pPr>
        <w:pStyle w:val="a4"/>
        <w:widowControl/>
        <w:spacing w:after="0"/>
      </w:pPr>
    </w:p>
    <w:p w14:paraId="643165CC" w14:textId="3F896841" w:rsidR="000113DC" w:rsidRPr="00F13073" w:rsidRDefault="000113DC" w:rsidP="008B4C50">
      <w:pPr>
        <w:pStyle w:val="a4"/>
        <w:widowControl/>
        <w:spacing w:after="0"/>
        <w:rPr>
          <w:rStyle w:val="Char"/>
        </w:rPr>
      </w:pPr>
      <w:r w:rsidRPr="00F13073">
        <w:rPr>
          <w:rStyle w:val="Char"/>
        </w:rPr>
        <w:t xml:space="preserve">U wszystkich pacjentów ocenę parametrów lipidowych należy wykonać 4-8 tygodni po rozpoczęciu leczenia produktem leczniczym </w:t>
      </w:r>
      <w:r w:rsidR="00026375" w:rsidRPr="00F13073">
        <w:rPr>
          <w:rStyle w:val="Char"/>
        </w:rPr>
        <w:t>Avtozma</w:t>
      </w:r>
      <w:r w:rsidRPr="00F13073">
        <w:rPr>
          <w:rStyle w:val="Char"/>
        </w:rPr>
        <w:t>. W dalszym postępowaniu z pacjentami należy kierować się przyjętymi lokalnie wytycznymi klinicznymi dotyczącymi leczenia hiperlipidemii.</w:t>
      </w:r>
    </w:p>
    <w:p w14:paraId="561B2138" w14:textId="77777777" w:rsidR="000113DC" w:rsidRPr="00F13073" w:rsidRDefault="000113DC" w:rsidP="008B4C50">
      <w:pPr>
        <w:pStyle w:val="a4"/>
        <w:widowControl/>
        <w:spacing w:after="0"/>
      </w:pPr>
    </w:p>
    <w:p w14:paraId="69D64093" w14:textId="77777777" w:rsidR="000113DC" w:rsidRPr="00F13073" w:rsidRDefault="000113DC" w:rsidP="008B4C50">
      <w:pPr>
        <w:pStyle w:val="a4"/>
        <w:widowControl/>
        <w:spacing w:after="0"/>
      </w:pPr>
      <w:r w:rsidRPr="00F13073">
        <w:rPr>
          <w:rStyle w:val="Char"/>
          <w:i/>
          <w:iCs/>
        </w:rPr>
        <w:t>Zaburzenia neurologiczne</w:t>
      </w:r>
    </w:p>
    <w:p w14:paraId="5B78426F" w14:textId="157168F9" w:rsidR="000113DC" w:rsidRPr="00F13073" w:rsidRDefault="000113DC" w:rsidP="008B4C50">
      <w:pPr>
        <w:pStyle w:val="a4"/>
        <w:widowControl/>
        <w:spacing w:after="0"/>
        <w:rPr>
          <w:rStyle w:val="Char"/>
        </w:rPr>
      </w:pPr>
      <w:r w:rsidRPr="00F13073">
        <w:rPr>
          <w:rStyle w:val="Char"/>
        </w:rPr>
        <w:t xml:space="preserve">Lekarze powinni być szczególnie wyczuleni na objawy mogące wskazywać na nowopowstałe ośrodkowe zaburzenia demielinizacyjne. W chwili obecnej nie jest znana zdolność produktu leczniczego </w:t>
      </w:r>
      <w:r w:rsidR="00026375" w:rsidRPr="00F13073">
        <w:rPr>
          <w:rStyle w:val="Char"/>
        </w:rPr>
        <w:t>Avtozma</w:t>
      </w:r>
      <w:r w:rsidRPr="00F13073">
        <w:rPr>
          <w:rStyle w:val="Char"/>
        </w:rPr>
        <w:t xml:space="preserve"> do powodowania ośrodkowej demielinizacji.</w:t>
      </w:r>
    </w:p>
    <w:p w14:paraId="2F997FE8" w14:textId="77777777" w:rsidR="000113DC" w:rsidRPr="00F13073" w:rsidRDefault="000113DC" w:rsidP="008B4C50">
      <w:pPr>
        <w:pStyle w:val="a4"/>
        <w:widowControl/>
        <w:spacing w:after="0"/>
      </w:pPr>
    </w:p>
    <w:p w14:paraId="2ECCAA1E" w14:textId="77777777" w:rsidR="000113DC" w:rsidRPr="00F13073" w:rsidRDefault="000113DC" w:rsidP="008B4C50">
      <w:pPr>
        <w:pStyle w:val="a4"/>
        <w:widowControl/>
        <w:spacing w:after="0"/>
      </w:pPr>
      <w:r w:rsidRPr="00F13073">
        <w:rPr>
          <w:rStyle w:val="Char"/>
          <w:i/>
          <w:iCs/>
        </w:rPr>
        <w:t>Nowotwór złośliwy</w:t>
      </w:r>
    </w:p>
    <w:p w14:paraId="7CA71BA2" w14:textId="77777777" w:rsidR="000113DC" w:rsidRPr="00F13073" w:rsidRDefault="000113DC" w:rsidP="008B4C50">
      <w:pPr>
        <w:pStyle w:val="a4"/>
        <w:widowControl/>
        <w:spacing w:after="0"/>
      </w:pPr>
      <w:r w:rsidRPr="00F13073">
        <w:rPr>
          <w:rStyle w:val="Char"/>
        </w:rPr>
        <w:t>U chorych na RZS istnieje zwiększone ryzyko wystąpienia nowotworów złośliwych.</w:t>
      </w:r>
    </w:p>
    <w:p w14:paraId="31DC14C8" w14:textId="77777777" w:rsidR="000113DC" w:rsidRPr="00F13073" w:rsidRDefault="000113DC" w:rsidP="008B4C50">
      <w:pPr>
        <w:pStyle w:val="a4"/>
        <w:widowControl/>
        <w:spacing w:after="0"/>
        <w:rPr>
          <w:rStyle w:val="Char"/>
        </w:rPr>
      </w:pPr>
      <w:r w:rsidRPr="00F13073">
        <w:rPr>
          <w:rStyle w:val="Char"/>
        </w:rPr>
        <w:t>Immunomodulujące produkty lecznicze mogą zwiększać ryzyko rozwinięcia się złośliwego procesu nowotworowego.</w:t>
      </w:r>
    </w:p>
    <w:p w14:paraId="63160B1B" w14:textId="77777777" w:rsidR="000113DC" w:rsidRPr="00F13073" w:rsidRDefault="000113DC" w:rsidP="008B4C50">
      <w:pPr>
        <w:pStyle w:val="a4"/>
        <w:widowControl/>
        <w:spacing w:after="0"/>
      </w:pPr>
    </w:p>
    <w:p w14:paraId="5FB4EB77" w14:textId="77777777" w:rsidR="000113DC" w:rsidRPr="00F13073" w:rsidRDefault="000113DC" w:rsidP="008B4C50">
      <w:pPr>
        <w:pStyle w:val="a4"/>
        <w:widowControl/>
        <w:spacing w:after="0"/>
      </w:pPr>
      <w:r w:rsidRPr="00F13073">
        <w:rPr>
          <w:rStyle w:val="Char"/>
          <w:i/>
          <w:iCs/>
        </w:rPr>
        <w:t>Szczepienia</w:t>
      </w:r>
    </w:p>
    <w:p w14:paraId="3ABA1A35" w14:textId="7802EE30" w:rsidR="000113DC" w:rsidRPr="00F13073" w:rsidRDefault="000113DC" w:rsidP="008B4C50">
      <w:pPr>
        <w:pStyle w:val="a4"/>
        <w:widowControl/>
        <w:spacing w:after="0"/>
        <w:rPr>
          <w:rStyle w:val="Char"/>
        </w:rPr>
      </w:pPr>
      <w:r w:rsidRPr="00F13073">
        <w:rPr>
          <w:rStyle w:val="Char"/>
        </w:rPr>
        <w:t xml:space="preserve">Z uwagi na brak danych klinicznych dotyczących bezpieczeństwa nie należy podawać szczepionek żywych i żywych o osłabionej zjadliwości (atenuowanych) podczas leczenia produktem leczniczym </w:t>
      </w:r>
      <w:r w:rsidR="00026375" w:rsidRPr="00F13073">
        <w:rPr>
          <w:rStyle w:val="Char"/>
        </w:rPr>
        <w:t>Avtozma</w:t>
      </w:r>
      <w:r w:rsidRPr="00F13073">
        <w:rPr>
          <w:rStyle w:val="Char"/>
        </w:rPr>
        <w:t xml:space="preserve">. W randomizowanym badaniu otwartym, dorośli chorzy na RZS leczeni </w:t>
      </w:r>
      <w:r w:rsidR="007D1E20" w:rsidRPr="00F13073">
        <w:rPr>
          <w:rStyle w:val="Char"/>
        </w:rPr>
        <w:t xml:space="preserve">tocilizumabem </w:t>
      </w:r>
      <w:r w:rsidRPr="00F13073">
        <w:rPr>
          <w:rStyle w:val="Char"/>
        </w:rPr>
        <w:t xml:space="preserve">i metotreksatem (MTX) uzyskali skuteczną odpowiedź na szczepienie 23- walentną polisacharydową szczepionką przeciw pneumokokom oraz szczepionką tężca, co było porównywalne do odpowiedzi obserwowanej u pacjentów leczonych tylko MTX. Zaleca się, aby przed rozpoczęciem leczenia produktem leczniczym </w:t>
      </w:r>
      <w:r w:rsidR="00026375" w:rsidRPr="00F13073">
        <w:rPr>
          <w:rStyle w:val="Char"/>
        </w:rPr>
        <w:t>Avtozma</w:t>
      </w:r>
      <w:r w:rsidRPr="00F13073">
        <w:rPr>
          <w:rStyle w:val="Char"/>
        </w:rPr>
        <w:t xml:space="preserve"> u wszystkich pacjentów, a szczególnie u pacjentów należących do populacji dzieci i młodzieży oraz w podeszłym wieku, uzupełnić wszystkie ewentualne braki w realizacji programu szczepień, zgodnie z aktualnymi wytycznymi. Przerwa między podaniem żywych szczepionek a rozpoczęciem leczenia produktem leczniczym </w:t>
      </w:r>
      <w:r w:rsidR="00026375" w:rsidRPr="00F13073">
        <w:rPr>
          <w:rStyle w:val="Char"/>
        </w:rPr>
        <w:t>Avtozma</w:t>
      </w:r>
      <w:r w:rsidRPr="00F13073">
        <w:rPr>
          <w:rStyle w:val="Char"/>
        </w:rPr>
        <w:t xml:space="preserve"> powinna być zgodna z aktualnymi wytycznymi dotyczącymi szczepień w odniesieniu do stosowania środków immunosupresyjnych.</w:t>
      </w:r>
    </w:p>
    <w:p w14:paraId="108C4543" w14:textId="77777777" w:rsidR="000113DC" w:rsidRPr="00F13073" w:rsidRDefault="000113DC" w:rsidP="008B4C50">
      <w:pPr>
        <w:pStyle w:val="a4"/>
        <w:widowControl/>
        <w:spacing w:after="0"/>
      </w:pPr>
    </w:p>
    <w:p w14:paraId="7049E54B" w14:textId="77777777" w:rsidR="000113DC" w:rsidRPr="00F13073" w:rsidRDefault="000113DC" w:rsidP="008B4C50">
      <w:pPr>
        <w:pStyle w:val="a4"/>
        <w:widowControl/>
        <w:spacing w:after="0"/>
      </w:pPr>
      <w:r w:rsidRPr="00F13073">
        <w:rPr>
          <w:rStyle w:val="Char"/>
          <w:i/>
          <w:iCs/>
        </w:rPr>
        <w:t>Ryzyko sercowo-naczyniowe</w:t>
      </w:r>
    </w:p>
    <w:p w14:paraId="5DEE52CC" w14:textId="77777777" w:rsidR="000113DC" w:rsidRPr="00F13073" w:rsidRDefault="000113DC" w:rsidP="008B4C50">
      <w:pPr>
        <w:pStyle w:val="a4"/>
        <w:widowControl/>
        <w:spacing w:after="0"/>
        <w:rPr>
          <w:rStyle w:val="Char"/>
        </w:rPr>
      </w:pPr>
      <w:r w:rsidRPr="00F13073">
        <w:rPr>
          <w:rStyle w:val="Char"/>
        </w:rPr>
        <w:t>U chorych na RZS istnieje zwiększone ryzyko chorób sercowo-naczyniowych i w ramach standardowej opieki medycznej należy u nich opanować czynniki ryzyka (np. nadciśnienie tętnicze, hiperlipidemię).</w:t>
      </w:r>
    </w:p>
    <w:p w14:paraId="1AEB5353" w14:textId="77777777" w:rsidR="000113DC" w:rsidRPr="00F13073" w:rsidRDefault="000113DC" w:rsidP="008B4C50">
      <w:pPr>
        <w:pStyle w:val="a4"/>
        <w:widowControl/>
        <w:spacing w:after="0"/>
      </w:pPr>
    </w:p>
    <w:p w14:paraId="50E84A41" w14:textId="77777777" w:rsidR="000113DC" w:rsidRPr="00F13073" w:rsidRDefault="000113DC" w:rsidP="008B4C50">
      <w:pPr>
        <w:pStyle w:val="a4"/>
        <w:widowControl/>
        <w:spacing w:after="0"/>
      </w:pPr>
      <w:r w:rsidRPr="00F13073">
        <w:rPr>
          <w:rStyle w:val="Char"/>
          <w:i/>
          <w:iCs/>
        </w:rPr>
        <w:t>Leczenie skojarzone z inhibitorami TNF</w:t>
      </w:r>
    </w:p>
    <w:p w14:paraId="7A7574CE" w14:textId="644BACC6" w:rsidR="000113DC" w:rsidRPr="00F13073" w:rsidRDefault="000113DC" w:rsidP="008B4C50">
      <w:pPr>
        <w:pStyle w:val="a4"/>
        <w:widowControl/>
        <w:spacing w:after="0"/>
        <w:rPr>
          <w:rStyle w:val="Char"/>
        </w:rPr>
      </w:pPr>
      <w:r w:rsidRPr="00F13073">
        <w:rPr>
          <w:rStyle w:val="Char"/>
        </w:rPr>
        <w:t xml:space="preserve">Brak doświadczenia klinicznego dotyczącego stosowania produktu leczniczego </w:t>
      </w:r>
      <w:r w:rsidR="00026375" w:rsidRPr="00F13073">
        <w:rPr>
          <w:rStyle w:val="Char"/>
        </w:rPr>
        <w:t>Avtozma</w:t>
      </w:r>
      <w:r w:rsidRPr="00F13073">
        <w:rPr>
          <w:rStyle w:val="Char"/>
        </w:rPr>
        <w:t xml:space="preserve"> w skojarzeniu z inhibitorami TNF lub innymi lekami biologicznymi u chorych na RZS. Nie zaleca się podawania produktu leczniczego </w:t>
      </w:r>
      <w:r w:rsidR="00026375" w:rsidRPr="00F13073">
        <w:rPr>
          <w:rStyle w:val="Char"/>
        </w:rPr>
        <w:t>Avtozma</w:t>
      </w:r>
      <w:r w:rsidRPr="00F13073">
        <w:rPr>
          <w:rStyle w:val="Char"/>
        </w:rPr>
        <w:t xml:space="preserve"> w skojarzeniu z innymi lekami biologicznymi.</w:t>
      </w:r>
    </w:p>
    <w:p w14:paraId="070EF0D6" w14:textId="77777777" w:rsidR="000113DC" w:rsidRPr="00F13073" w:rsidRDefault="000113DC" w:rsidP="008B4C50">
      <w:pPr>
        <w:pStyle w:val="a4"/>
        <w:widowControl/>
        <w:spacing w:after="0"/>
      </w:pPr>
    </w:p>
    <w:p w14:paraId="6339E7BB" w14:textId="77777777" w:rsidR="000113DC" w:rsidRPr="00F13073" w:rsidRDefault="000113DC" w:rsidP="008B4C50">
      <w:pPr>
        <w:pStyle w:val="a4"/>
        <w:widowControl/>
        <w:spacing w:after="0"/>
      </w:pPr>
      <w:r w:rsidRPr="00F13073">
        <w:rPr>
          <w:rStyle w:val="Char"/>
          <w:i/>
          <w:iCs/>
        </w:rPr>
        <w:t>GCA</w:t>
      </w:r>
    </w:p>
    <w:p w14:paraId="3F7BCE4B" w14:textId="46302090" w:rsidR="000113DC" w:rsidRPr="00F13073" w:rsidRDefault="000113DC"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monoterapii nie powinien być stosowany w leczeniu ostrych nawrotów choroby, ponieważ skuteczność w takich przypadkach nie została określona. Glikokortykosteroidy powinny być stosowane zgodnie z oceną medyczną i zaleceniami dotyczącymi praktyki klinicznej.</w:t>
      </w:r>
    </w:p>
    <w:p w14:paraId="0BA5F987" w14:textId="77777777" w:rsidR="000113DC" w:rsidRPr="00F13073" w:rsidRDefault="000113DC" w:rsidP="008B4C50">
      <w:pPr>
        <w:pStyle w:val="a4"/>
        <w:widowControl/>
        <w:spacing w:after="0"/>
      </w:pPr>
    </w:p>
    <w:p w14:paraId="79626131" w14:textId="77777777" w:rsidR="000113DC" w:rsidRPr="00F13073" w:rsidRDefault="000113DC" w:rsidP="002012EB">
      <w:pPr>
        <w:pStyle w:val="a4"/>
        <w:keepNext/>
        <w:widowControl/>
        <w:spacing w:after="0"/>
      </w:pPr>
      <w:r w:rsidRPr="00F13073">
        <w:rPr>
          <w:rStyle w:val="Char"/>
          <w:i/>
          <w:iCs/>
        </w:rPr>
        <w:t>uMIZS</w:t>
      </w:r>
    </w:p>
    <w:p w14:paraId="4E379AFF" w14:textId="18DB629D" w:rsidR="000113DC" w:rsidRPr="00F13073" w:rsidRDefault="000113DC" w:rsidP="008B4C50">
      <w:pPr>
        <w:pStyle w:val="a4"/>
        <w:widowControl/>
        <w:spacing w:after="0"/>
        <w:rPr>
          <w:rStyle w:val="Char"/>
        </w:rPr>
      </w:pPr>
      <w:r w:rsidRPr="00F13073">
        <w:rPr>
          <w:rStyle w:val="Char"/>
        </w:rPr>
        <w:t xml:space="preserve">Zespół aktywacji makrofagów (ZAM) jest ciężkim schorzeniem zagrażającym życiu, które może wystąpić u chorych na uMIZS. W badaniach klinicznych nie oceniano stosowania </w:t>
      </w:r>
      <w:r w:rsidR="007D1E20" w:rsidRPr="00F13073">
        <w:rPr>
          <w:rStyle w:val="Char"/>
        </w:rPr>
        <w:t>tocilizumabu</w:t>
      </w:r>
      <w:r w:rsidRPr="00F13073">
        <w:rPr>
          <w:rStyle w:val="Char"/>
        </w:rPr>
        <w:t xml:space="preserve"> u pacjentów w czasie epizodu czynnego ZAM.</w:t>
      </w:r>
    </w:p>
    <w:p w14:paraId="46420EC4" w14:textId="77777777" w:rsidR="000113DC" w:rsidRPr="00F13073" w:rsidRDefault="000113DC" w:rsidP="008B4C50">
      <w:pPr>
        <w:pStyle w:val="a4"/>
        <w:widowControl/>
        <w:spacing w:after="0"/>
      </w:pPr>
    </w:p>
    <w:p w14:paraId="7922A29C" w14:textId="77777777" w:rsidR="003F05F7" w:rsidRPr="00F13073" w:rsidRDefault="003F05F7" w:rsidP="003F05F7">
      <w:pPr>
        <w:rPr>
          <w:u w:val="single"/>
        </w:rPr>
      </w:pPr>
      <w:r w:rsidRPr="00F13073">
        <w:rPr>
          <w:u w:val="single"/>
        </w:rPr>
        <w:t>Substancje pomocnicze o znanym działaniu</w:t>
      </w:r>
    </w:p>
    <w:p w14:paraId="69F93636" w14:textId="77777777" w:rsidR="003F05F7" w:rsidRPr="00F13073" w:rsidRDefault="003F05F7" w:rsidP="003F05F7">
      <w:pPr>
        <w:rPr>
          <w:u w:val="single"/>
        </w:rPr>
      </w:pPr>
    </w:p>
    <w:p w14:paraId="40C533E8" w14:textId="77777777" w:rsidR="003F05F7" w:rsidRPr="00F13073" w:rsidRDefault="003F05F7" w:rsidP="003F05F7">
      <w:pPr>
        <w:rPr>
          <w:i/>
          <w:iCs/>
        </w:rPr>
      </w:pPr>
      <w:r w:rsidRPr="00F13073">
        <w:rPr>
          <w:i/>
          <w:iCs/>
        </w:rPr>
        <w:t>Polisorbat</w:t>
      </w:r>
    </w:p>
    <w:p w14:paraId="68652139" w14:textId="08D3BF17" w:rsidR="003F05F7" w:rsidRPr="00F13073" w:rsidRDefault="003F05F7" w:rsidP="003F05F7">
      <w:r w:rsidRPr="00F13073">
        <w:t>Każda ampułko-strzykawka 162 mg zawiera 2,0 mg polisorbatu</w:t>
      </w:r>
      <w:r w:rsidR="00E265AD">
        <w:rPr>
          <w:rFonts w:eastAsia="맑은 고딕" w:hint="eastAsia"/>
          <w:lang w:eastAsia="ko-KR"/>
        </w:rPr>
        <w:t xml:space="preserve"> 80</w:t>
      </w:r>
      <w:r w:rsidRPr="00F13073">
        <w:t>.</w:t>
      </w:r>
    </w:p>
    <w:p w14:paraId="4633E2A9" w14:textId="6D14B613" w:rsidR="003F05F7" w:rsidRPr="00F13073" w:rsidRDefault="003F05F7" w:rsidP="003F05F7">
      <w:r w:rsidRPr="00F13073">
        <w:t xml:space="preserve">Polisorbaty mogą powodować reakcje alergiczne. </w:t>
      </w:r>
      <w:r w:rsidR="00151F2F" w:rsidRPr="00F13073">
        <w:t>Pacjenci z uczuleniem na polisorbaty nie powinni otrzymywać</w:t>
      </w:r>
      <w:r w:rsidRPr="00F13073">
        <w:t xml:space="preserve"> tego produktu leczniczego.</w:t>
      </w:r>
    </w:p>
    <w:p w14:paraId="0C93E4DD" w14:textId="77777777" w:rsidR="003F05F7" w:rsidRPr="00F13073" w:rsidRDefault="003F05F7" w:rsidP="008B4C50">
      <w:pPr>
        <w:pStyle w:val="a4"/>
        <w:widowControl/>
        <w:spacing w:after="0"/>
      </w:pPr>
    </w:p>
    <w:p w14:paraId="6F3D3EC8" w14:textId="77777777" w:rsidR="000113DC" w:rsidRPr="00F13073" w:rsidRDefault="000113DC" w:rsidP="008B4C50">
      <w:pPr>
        <w:keepNext/>
        <w:ind w:left="567" w:hanging="567"/>
      </w:pPr>
      <w:r w:rsidRPr="00F13073">
        <w:rPr>
          <w:rStyle w:val="Char"/>
          <w:rFonts w:eastAsia="DengXian"/>
          <w:b/>
          <w:bCs/>
          <w:lang w:eastAsia="el-GR"/>
        </w:rPr>
        <w:t>4.5</w:t>
      </w:r>
      <w:r w:rsidRPr="00F13073">
        <w:rPr>
          <w:rStyle w:val="Char"/>
          <w:rFonts w:eastAsia="DengXian"/>
          <w:b/>
          <w:bCs/>
          <w:lang w:eastAsia="el-GR"/>
        </w:rPr>
        <w:tab/>
      </w:r>
      <w:r w:rsidRPr="00F13073">
        <w:rPr>
          <w:rStyle w:val="Char"/>
          <w:rFonts w:eastAsia="DengXian"/>
          <w:b/>
          <w:bCs/>
        </w:rPr>
        <w:t>Interakcje z innymi produktami leczniczymi i inne rodzaje interakcji</w:t>
      </w:r>
    </w:p>
    <w:p w14:paraId="1B9E66BC" w14:textId="77777777" w:rsidR="000113DC" w:rsidRPr="00F13073" w:rsidRDefault="000113DC" w:rsidP="008B4C50">
      <w:pPr>
        <w:pStyle w:val="a4"/>
        <w:widowControl/>
        <w:spacing w:after="0"/>
        <w:rPr>
          <w:rStyle w:val="Char"/>
        </w:rPr>
      </w:pPr>
    </w:p>
    <w:p w14:paraId="26D7F950" w14:textId="77777777" w:rsidR="000113DC" w:rsidRPr="00F13073" w:rsidRDefault="000113DC" w:rsidP="008B4C50">
      <w:pPr>
        <w:pStyle w:val="a4"/>
        <w:widowControl/>
        <w:spacing w:after="0"/>
        <w:rPr>
          <w:rStyle w:val="Char"/>
        </w:rPr>
      </w:pPr>
      <w:r w:rsidRPr="00F13073">
        <w:rPr>
          <w:rStyle w:val="Char"/>
        </w:rPr>
        <w:t>Badania dotyczące interakcji przeprowadzono wyłącznie u dorosłych pacjentów.</w:t>
      </w:r>
    </w:p>
    <w:p w14:paraId="468442AF" w14:textId="77777777" w:rsidR="00727459" w:rsidRPr="00F13073" w:rsidRDefault="00727459" w:rsidP="008B4C50">
      <w:pPr>
        <w:pStyle w:val="a4"/>
        <w:widowControl/>
        <w:spacing w:after="0"/>
      </w:pPr>
    </w:p>
    <w:p w14:paraId="5AFF1E7F" w14:textId="3362EFC9" w:rsidR="000113DC" w:rsidRPr="00F13073" w:rsidRDefault="000113DC" w:rsidP="008B4C50">
      <w:pPr>
        <w:pStyle w:val="a4"/>
        <w:widowControl/>
        <w:spacing w:after="0"/>
        <w:rPr>
          <w:rStyle w:val="Char"/>
        </w:rPr>
      </w:pPr>
      <w:r w:rsidRPr="00F13073">
        <w:rPr>
          <w:rStyle w:val="Char"/>
        </w:rPr>
        <w:t xml:space="preserve">Równoczesne podanie pojedynczej produktu leczniczego </w:t>
      </w:r>
      <w:r w:rsidR="00026375" w:rsidRPr="00F13073">
        <w:rPr>
          <w:rStyle w:val="Char"/>
        </w:rPr>
        <w:t>Avtozma</w:t>
      </w:r>
      <w:r w:rsidRPr="00F13073">
        <w:rPr>
          <w:rStyle w:val="Char"/>
        </w:rPr>
        <w:t xml:space="preserve"> w dawce 10 mg/kg mc. razem z metotreksatem (MTX) w dawce 10</w:t>
      </w:r>
      <w:r w:rsidR="0091324B" w:rsidRPr="00F13073">
        <w:rPr>
          <w:rStyle w:val="Char"/>
        </w:rPr>
        <w:t>–</w:t>
      </w:r>
      <w:r w:rsidRPr="00F13073">
        <w:rPr>
          <w:rStyle w:val="Char"/>
        </w:rPr>
        <w:t>25 mg raz na tydzień nie miało klinicznie istotnego wpływu na ekspozycję na MTX.</w:t>
      </w:r>
    </w:p>
    <w:p w14:paraId="0841CFB2" w14:textId="77777777" w:rsidR="00727459" w:rsidRPr="00F13073" w:rsidRDefault="00727459" w:rsidP="008B4C50">
      <w:pPr>
        <w:pStyle w:val="a4"/>
        <w:widowControl/>
        <w:spacing w:after="0"/>
      </w:pPr>
    </w:p>
    <w:p w14:paraId="5FC9A62C" w14:textId="17A2721F" w:rsidR="000113DC" w:rsidRPr="00F13073" w:rsidRDefault="000113DC" w:rsidP="008B4C50">
      <w:pPr>
        <w:pStyle w:val="a4"/>
        <w:widowControl/>
        <w:spacing w:after="0"/>
        <w:rPr>
          <w:rStyle w:val="Char"/>
        </w:rPr>
      </w:pPr>
      <w:r w:rsidRPr="00F13073">
        <w:rPr>
          <w:rStyle w:val="Char"/>
        </w:rPr>
        <w:t xml:space="preserve">Analizy farmakokinetyki populacyjnej nie wykazały wpływu metotreksatu (MTX), niesteroidowych leków przeciwzapalnych (NLPZ) lub glikokortykosteroidów na klirens </w:t>
      </w:r>
      <w:r w:rsidR="00EF6D3C" w:rsidRPr="00F13073">
        <w:rPr>
          <w:rStyle w:val="Char"/>
        </w:rPr>
        <w:t>tocilizumabu</w:t>
      </w:r>
      <w:r w:rsidRPr="00F13073">
        <w:rPr>
          <w:rStyle w:val="Char"/>
        </w:rPr>
        <w:t xml:space="preserve"> u pacjentów z RZS. U pacjentów z GCA nie obserwowano wpływu skumulowanej dawki kortykosteroidów na ekspozycję na </w:t>
      </w:r>
      <w:r w:rsidR="00EF6D3C" w:rsidRPr="00F13073">
        <w:rPr>
          <w:rStyle w:val="Char"/>
        </w:rPr>
        <w:t>tocilizumab</w:t>
      </w:r>
      <w:r w:rsidRPr="00F13073">
        <w:rPr>
          <w:rStyle w:val="Char"/>
        </w:rPr>
        <w:t>.</w:t>
      </w:r>
    </w:p>
    <w:p w14:paraId="55F8BCE6" w14:textId="77777777" w:rsidR="00727459" w:rsidRPr="00F13073" w:rsidRDefault="00727459" w:rsidP="008B4C50">
      <w:pPr>
        <w:pStyle w:val="a4"/>
        <w:widowControl/>
        <w:spacing w:after="0"/>
      </w:pPr>
    </w:p>
    <w:p w14:paraId="4273B85E" w14:textId="4E00C177" w:rsidR="000113DC" w:rsidRPr="00F13073" w:rsidRDefault="000113DC" w:rsidP="008B4C50">
      <w:pPr>
        <w:pStyle w:val="a4"/>
        <w:widowControl/>
        <w:spacing w:after="0"/>
        <w:rPr>
          <w:rStyle w:val="Char"/>
        </w:rPr>
      </w:pPr>
      <w:r w:rsidRPr="00F13073">
        <w:rPr>
          <w:rStyle w:val="Char"/>
        </w:rPr>
        <w:t xml:space="preserve">Ekspresja wątrobowych enzymów kompleksu CYP450 jest hamowana przez cytokiny, takie jak IL-6, które stymulują przewlekły proces zapalny. Dlatego też leczenie silnym inhibitorem cytokin, takim jak produkt leczniczy </w:t>
      </w:r>
      <w:r w:rsidR="00026375" w:rsidRPr="00F13073">
        <w:rPr>
          <w:rStyle w:val="Char"/>
        </w:rPr>
        <w:t>Avtozma</w:t>
      </w:r>
      <w:r w:rsidRPr="00F13073">
        <w:rPr>
          <w:rStyle w:val="Char"/>
        </w:rPr>
        <w:t>, może spowodować odwrócenie tej tendencji z następczym zwiększeniem aktywności CYP450.</w:t>
      </w:r>
    </w:p>
    <w:p w14:paraId="6C74CECE" w14:textId="77777777" w:rsidR="00727459" w:rsidRPr="00F13073" w:rsidRDefault="00727459" w:rsidP="008B4C50">
      <w:pPr>
        <w:pStyle w:val="a4"/>
        <w:widowControl/>
        <w:spacing w:after="0"/>
      </w:pPr>
    </w:p>
    <w:p w14:paraId="582E9AD0" w14:textId="1A0A5DD9" w:rsidR="000113DC" w:rsidRPr="00F13073" w:rsidRDefault="000113DC" w:rsidP="008B4C50">
      <w:pPr>
        <w:pStyle w:val="a4"/>
        <w:widowControl/>
        <w:spacing w:after="0"/>
        <w:rPr>
          <w:rStyle w:val="Char"/>
        </w:rPr>
      </w:pPr>
      <w:r w:rsidRPr="00F13073">
        <w:rPr>
          <w:rStyle w:val="Char"/>
        </w:rPr>
        <w:t xml:space="preserve">Badania </w:t>
      </w:r>
      <w:r w:rsidRPr="00F13073">
        <w:rPr>
          <w:rStyle w:val="Char"/>
          <w:i/>
          <w:iCs/>
        </w:rPr>
        <w:t>in vitro</w:t>
      </w:r>
      <w:r w:rsidRPr="00F13073">
        <w:rPr>
          <w:rStyle w:val="Char"/>
        </w:rPr>
        <w:t xml:space="preserve"> na hodowli ludzkich hepatocytów wykazały, że IL-6 powoduje zmniejszenie ekspresji enzymów CYP1A2, CYP2C9, CYP2C19 oraz CYP3A4. </w:t>
      </w:r>
      <w:r w:rsidR="00E94B78" w:rsidRPr="00F13073">
        <w:rPr>
          <w:rStyle w:val="Char"/>
        </w:rPr>
        <w:t>Tocilizumab</w:t>
      </w:r>
      <w:r w:rsidR="00151F2F" w:rsidRPr="00F13073">
        <w:rPr>
          <w:rStyle w:val="Char"/>
        </w:rPr>
        <w:t xml:space="preserve"> </w:t>
      </w:r>
      <w:r w:rsidRPr="00F13073">
        <w:rPr>
          <w:rStyle w:val="Char"/>
        </w:rPr>
        <w:t>normalizuje ekspresję tych enzymów.</w:t>
      </w:r>
    </w:p>
    <w:p w14:paraId="0EF5FFA6" w14:textId="77777777" w:rsidR="00727459" w:rsidRPr="00F13073" w:rsidRDefault="00727459" w:rsidP="008B4C50">
      <w:pPr>
        <w:pStyle w:val="a4"/>
        <w:widowControl/>
        <w:spacing w:after="0"/>
      </w:pPr>
    </w:p>
    <w:p w14:paraId="0E5D2DDE" w14:textId="77777777" w:rsidR="000113DC" w:rsidRPr="00F13073" w:rsidRDefault="000113DC" w:rsidP="008B4C50">
      <w:pPr>
        <w:pStyle w:val="a4"/>
        <w:widowControl/>
        <w:spacing w:after="0"/>
        <w:rPr>
          <w:rStyle w:val="Char"/>
        </w:rPr>
      </w:pPr>
      <w:r w:rsidRPr="00F13073">
        <w:rPr>
          <w:rStyle w:val="Char"/>
        </w:rPr>
        <w:t>W badaniu u chorych na RZS po tygodniu od podania pojedynczej dawki tocilizumabu poziomy symwastatyny (CYP3A4) zmniejszyły się o 57%, do poziomu porównywalnego lub nieznacznie wyższego, jaki obserwowano u zdrowych ochotników.</w:t>
      </w:r>
    </w:p>
    <w:p w14:paraId="27B557B8" w14:textId="77777777" w:rsidR="00727459" w:rsidRPr="00F13073" w:rsidRDefault="00727459" w:rsidP="008B4C50">
      <w:pPr>
        <w:pStyle w:val="a4"/>
        <w:widowControl/>
        <w:spacing w:after="0"/>
      </w:pPr>
    </w:p>
    <w:p w14:paraId="72F2FEEA" w14:textId="77777777" w:rsidR="000113DC" w:rsidRPr="00F13073" w:rsidRDefault="000113DC" w:rsidP="008B4C50">
      <w:pPr>
        <w:pStyle w:val="a4"/>
        <w:widowControl/>
        <w:spacing w:after="0"/>
        <w:rPr>
          <w:rStyle w:val="Char"/>
        </w:rPr>
      </w:pPr>
      <w:r w:rsidRPr="00F13073">
        <w:rPr>
          <w:rStyle w:val="Char"/>
        </w:rPr>
        <w:t>Rozpoczynając lub kończąc leczenie tocilizumabem, należy monitorować chorych przyjmujących leki, których dawki dobiera się indywidualnie, a które są metabolizowane przez enzymy CYP450 3A4, 1A2 lub 2C9 (np. metyloprednizolon, deksametazon, (z możliwością wyst</w:t>
      </w:r>
      <w:r w:rsidR="0091324B" w:rsidRPr="00F13073">
        <w:rPr>
          <w:rStyle w:val="Char"/>
        </w:rPr>
        <w:t>ąp</w:t>
      </w:r>
      <w:r w:rsidRPr="00F13073">
        <w:rPr>
          <w:rStyle w:val="Char"/>
        </w:rPr>
        <w:t xml:space="preserve">ienia zespołu odstawienia </w:t>
      </w:r>
      <w:r w:rsidRPr="00F13073">
        <w:rPr>
          <w:rStyle w:val="Char"/>
        </w:rPr>
        <w:lastRenderedPageBreak/>
        <w:t>sterydów), atorwastatyna, blokery kanału wapniowego, teofilina, fenprokumon, warfaryna, fenytoina, cyklosporyna lub benzodiazepiny), gdyż może być konieczne zwiększenie dawek poszczególnych leków w celu utrzymania właściwego działania leczniczego. Ze względu na długi okres półtrwania (t</w:t>
      </w:r>
      <w:r w:rsidRPr="00F13073">
        <w:rPr>
          <w:rStyle w:val="Char"/>
          <w:vertAlign w:val="subscript"/>
        </w:rPr>
        <w:t>1/2</w:t>
      </w:r>
      <w:r w:rsidRPr="00F13073">
        <w:rPr>
          <w:rStyle w:val="Char"/>
        </w:rPr>
        <w:t>) wpływ tocilizumabu na aktywność enzymów CYP450 może utrzymywać się kilka tygodni po zaprzestaniu podawania leku.</w:t>
      </w:r>
    </w:p>
    <w:p w14:paraId="6F2A4560" w14:textId="77777777" w:rsidR="00727459" w:rsidRPr="00F13073" w:rsidRDefault="00727459" w:rsidP="008B4C50">
      <w:pPr>
        <w:pStyle w:val="a4"/>
        <w:widowControl/>
        <w:spacing w:after="0"/>
      </w:pPr>
    </w:p>
    <w:p w14:paraId="43B46325" w14:textId="77777777" w:rsidR="000113DC" w:rsidRPr="00F13073" w:rsidRDefault="000113DC" w:rsidP="008B4C50">
      <w:pPr>
        <w:keepNext/>
        <w:ind w:left="567" w:hanging="567"/>
      </w:pPr>
      <w:r w:rsidRPr="00F13073">
        <w:rPr>
          <w:rStyle w:val="Char"/>
          <w:rFonts w:eastAsia="DengXian"/>
          <w:b/>
          <w:bCs/>
        </w:rPr>
        <w:t>4.6</w:t>
      </w:r>
      <w:r w:rsidR="00727459" w:rsidRPr="00F13073">
        <w:rPr>
          <w:rStyle w:val="Char"/>
          <w:rFonts w:eastAsia="DengXian"/>
          <w:b/>
          <w:bCs/>
        </w:rPr>
        <w:tab/>
      </w:r>
      <w:r w:rsidRPr="00F13073">
        <w:rPr>
          <w:rStyle w:val="Char"/>
          <w:rFonts w:eastAsia="DengXian"/>
          <w:b/>
          <w:bCs/>
        </w:rPr>
        <w:t>Wpływ na płodność, ciążę i laktację</w:t>
      </w:r>
    </w:p>
    <w:p w14:paraId="7A4C523D" w14:textId="77777777" w:rsidR="00727459" w:rsidRPr="00F13073" w:rsidRDefault="00727459" w:rsidP="008B4C50">
      <w:pPr>
        <w:pStyle w:val="a4"/>
        <w:widowControl/>
        <w:spacing w:after="0"/>
        <w:rPr>
          <w:rStyle w:val="Char"/>
          <w:u w:val="single"/>
        </w:rPr>
      </w:pPr>
    </w:p>
    <w:p w14:paraId="5CFBD928" w14:textId="77777777" w:rsidR="000113DC" w:rsidRPr="00F13073" w:rsidRDefault="000113DC" w:rsidP="008B4C50">
      <w:pPr>
        <w:pStyle w:val="a4"/>
        <w:widowControl/>
        <w:spacing w:after="0"/>
        <w:rPr>
          <w:rStyle w:val="Char"/>
          <w:u w:val="single"/>
        </w:rPr>
      </w:pPr>
      <w:r w:rsidRPr="00F13073">
        <w:rPr>
          <w:rStyle w:val="Char"/>
          <w:u w:val="single"/>
        </w:rPr>
        <w:t>Kobiety w wieku rozrodczym</w:t>
      </w:r>
    </w:p>
    <w:p w14:paraId="4C52B294" w14:textId="77777777" w:rsidR="00766528" w:rsidRPr="00F13073" w:rsidRDefault="00766528" w:rsidP="008B4C50">
      <w:pPr>
        <w:pStyle w:val="a4"/>
        <w:widowControl/>
        <w:spacing w:after="0"/>
      </w:pPr>
    </w:p>
    <w:p w14:paraId="44C6BC0E" w14:textId="03EFDA15" w:rsidR="000113DC" w:rsidRPr="00F13073" w:rsidRDefault="000113DC" w:rsidP="008B4C50">
      <w:pPr>
        <w:pStyle w:val="a4"/>
        <w:widowControl/>
        <w:spacing w:after="0"/>
        <w:rPr>
          <w:rStyle w:val="Char"/>
        </w:rPr>
      </w:pPr>
      <w:r w:rsidRPr="00F13073">
        <w:rPr>
          <w:rStyle w:val="Char"/>
        </w:rPr>
        <w:t>Kobiety w wieku rozrodczym muszą stosować skuteczną antykoncepcję w trakcie leczenia i do 3 miesięcy po zakończeniu leczenia.</w:t>
      </w:r>
    </w:p>
    <w:p w14:paraId="17294DD7" w14:textId="77777777" w:rsidR="00727459" w:rsidRPr="00F13073" w:rsidRDefault="00727459" w:rsidP="008B4C50">
      <w:pPr>
        <w:pStyle w:val="a4"/>
        <w:widowControl/>
        <w:spacing w:after="0"/>
      </w:pPr>
    </w:p>
    <w:p w14:paraId="269BE209" w14:textId="77777777" w:rsidR="000113DC" w:rsidRPr="00F13073" w:rsidRDefault="000113DC" w:rsidP="008B4C50">
      <w:pPr>
        <w:pStyle w:val="a4"/>
        <w:widowControl/>
        <w:spacing w:after="0"/>
        <w:rPr>
          <w:rStyle w:val="Char"/>
          <w:u w:val="single"/>
        </w:rPr>
      </w:pPr>
      <w:r w:rsidRPr="00F13073">
        <w:rPr>
          <w:rStyle w:val="Char"/>
          <w:u w:val="single"/>
        </w:rPr>
        <w:t>Ciąża</w:t>
      </w:r>
    </w:p>
    <w:p w14:paraId="5B0D6B97" w14:textId="77777777" w:rsidR="00766528" w:rsidRPr="00F13073" w:rsidRDefault="00766528" w:rsidP="008B4C50">
      <w:pPr>
        <w:pStyle w:val="a4"/>
        <w:widowControl/>
        <w:spacing w:after="0"/>
      </w:pPr>
    </w:p>
    <w:p w14:paraId="453B3E33" w14:textId="238DFE38" w:rsidR="000113DC" w:rsidRPr="00F13073" w:rsidRDefault="000113DC" w:rsidP="008B4C50">
      <w:pPr>
        <w:pStyle w:val="a4"/>
        <w:widowControl/>
        <w:spacing w:after="0"/>
        <w:rPr>
          <w:rStyle w:val="Char"/>
        </w:rPr>
      </w:pPr>
      <w:r w:rsidRPr="00F13073">
        <w:rPr>
          <w:rStyle w:val="Char"/>
        </w:rPr>
        <w:t xml:space="preserve">Brak wystarczających danych klinicznych dotyczących stosowania produktu leczniczego </w:t>
      </w:r>
      <w:r w:rsidR="00026375" w:rsidRPr="00F13073">
        <w:rPr>
          <w:rStyle w:val="Char"/>
        </w:rPr>
        <w:t>Avtozma</w:t>
      </w:r>
      <w:r w:rsidRPr="00F13073">
        <w:rPr>
          <w:rStyle w:val="Char"/>
        </w:rPr>
        <w:t xml:space="preserve"> u kobiet w ciąży. Badania na zwierzętach wykazały zwiększone ryzyko spontanicznego wystąpienia poronienia, śmierci zarodka lub płodu przy podawaniu dużych dawek (patrz punkt 5.3). Potencjalne ryzyko dla człowieka nie jest znane.</w:t>
      </w:r>
    </w:p>
    <w:p w14:paraId="0CCDF695" w14:textId="77777777" w:rsidR="00727459" w:rsidRPr="00F13073" w:rsidRDefault="00727459" w:rsidP="008B4C50">
      <w:pPr>
        <w:pStyle w:val="a4"/>
        <w:widowControl/>
        <w:spacing w:after="0"/>
      </w:pPr>
    </w:p>
    <w:p w14:paraId="5479739E" w14:textId="195E72BA" w:rsidR="000113DC" w:rsidRPr="00F13073" w:rsidRDefault="000113DC" w:rsidP="008B4C50">
      <w:pPr>
        <w:pStyle w:val="a4"/>
        <w:widowControl/>
        <w:spacing w:after="0"/>
        <w:rPr>
          <w:rStyle w:val="Char"/>
        </w:rPr>
      </w:pPr>
      <w:r w:rsidRPr="00F13073">
        <w:rPr>
          <w:rStyle w:val="Char"/>
        </w:rPr>
        <w:t xml:space="preserve">Nie należy stosować produktu leczniczego </w:t>
      </w:r>
      <w:r w:rsidR="00026375" w:rsidRPr="00F13073">
        <w:rPr>
          <w:rStyle w:val="Char"/>
        </w:rPr>
        <w:t>Avtozma</w:t>
      </w:r>
      <w:r w:rsidRPr="00F13073">
        <w:rPr>
          <w:rStyle w:val="Char"/>
        </w:rPr>
        <w:t xml:space="preserve"> u kobiet w ciąży, chyba że jest to bezwzględnie konieczne.</w:t>
      </w:r>
    </w:p>
    <w:p w14:paraId="525544CC" w14:textId="77777777" w:rsidR="00727459" w:rsidRPr="00F13073" w:rsidRDefault="00727459" w:rsidP="008B4C50">
      <w:pPr>
        <w:pStyle w:val="a4"/>
        <w:widowControl/>
        <w:spacing w:after="0"/>
      </w:pPr>
    </w:p>
    <w:p w14:paraId="2C3D1C21" w14:textId="77777777" w:rsidR="000113DC" w:rsidRPr="00F13073" w:rsidRDefault="000113DC" w:rsidP="002012EB">
      <w:pPr>
        <w:pStyle w:val="a4"/>
        <w:keepNext/>
        <w:widowControl/>
        <w:spacing w:after="0"/>
      </w:pPr>
      <w:r w:rsidRPr="00F13073">
        <w:rPr>
          <w:rStyle w:val="Char"/>
          <w:u w:val="single"/>
        </w:rPr>
        <w:t>Karmienie piersią</w:t>
      </w:r>
    </w:p>
    <w:p w14:paraId="3F6CE58C" w14:textId="77777777" w:rsidR="008245A4" w:rsidRPr="00F13073" w:rsidRDefault="008245A4" w:rsidP="008B4C50">
      <w:pPr>
        <w:pStyle w:val="a4"/>
        <w:widowControl/>
        <w:spacing w:after="0"/>
        <w:rPr>
          <w:rStyle w:val="Char"/>
        </w:rPr>
      </w:pPr>
    </w:p>
    <w:p w14:paraId="4FAEF13E" w14:textId="52928946" w:rsidR="000113DC" w:rsidRPr="00F13073" w:rsidRDefault="000113DC" w:rsidP="008B4C50">
      <w:pPr>
        <w:pStyle w:val="a4"/>
        <w:widowControl/>
        <w:spacing w:after="0"/>
        <w:rPr>
          <w:rStyle w:val="Char"/>
        </w:rPr>
      </w:pPr>
      <w:r w:rsidRPr="00F13073">
        <w:rPr>
          <w:rStyle w:val="Char"/>
        </w:rPr>
        <w:t xml:space="preserve">Nie wiadomo, czy tocilizumab przenika do mleka kobiecego. Nie badano przenikania produktu leczniczego </w:t>
      </w:r>
      <w:r w:rsidR="00026375" w:rsidRPr="00F13073">
        <w:rPr>
          <w:rStyle w:val="Char"/>
        </w:rPr>
        <w:t>Avtozma</w:t>
      </w:r>
      <w:r w:rsidRPr="00F13073">
        <w:rPr>
          <w:rStyle w:val="Char"/>
        </w:rPr>
        <w:t xml:space="preserve"> do mleka u zwierząt. Decyzję o kontynuacji lub przerwaniu karmienia piersią bądź kontynuacji lub przerwaniu podawania produktu leczniczego </w:t>
      </w:r>
      <w:r w:rsidR="00026375" w:rsidRPr="00F13073">
        <w:rPr>
          <w:rStyle w:val="Char"/>
        </w:rPr>
        <w:t>Avtozma</w:t>
      </w:r>
      <w:r w:rsidRPr="00F13073">
        <w:rPr>
          <w:rStyle w:val="Char"/>
        </w:rPr>
        <w:t xml:space="preserve"> należy podejmować, mając na uwadze korzyści dla dziecka karmionego piersią oraz korzyści leczenia produktem leczniczym </w:t>
      </w:r>
      <w:r w:rsidR="00026375" w:rsidRPr="00F13073">
        <w:rPr>
          <w:rStyle w:val="Char"/>
        </w:rPr>
        <w:t>Avtozma</w:t>
      </w:r>
      <w:r w:rsidRPr="00F13073">
        <w:rPr>
          <w:rStyle w:val="Char"/>
        </w:rPr>
        <w:t xml:space="preserve"> dla pacjentki.</w:t>
      </w:r>
    </w:p>
    <w:p w14:paraId="0569B902" w14:textId="77777777" w:rsidR="00727459" w:rsidRPr="00F13073" w:rsidRDefault="00727459" w:rsidP="008B4C50">
      <w:pPr>
        <w:pStyle w:val="a4"/>
        <w:widowControl/>
        <w:spacing w:after="0"/>
      </w:pPr>
    </w:p>
    <w:p w14:paraId="43EB4144" w14:textId="77777777" w:rsidR="000113DC" w:rsidRPr="00F13073" w:rsidRDefault="000113DC" w:rsidP="008B4C50">
      <w:pPr>
        <w:pStyle w:val="a4"/>
        <w:widowControl/>
        <w:spacing w:after="0"/>
      </w:pPr>
      <w:r w:rsidRPr="00F13073">
        <w:rPr>
          <w:rStyle w:val="Char"/>
          <w:u w:val="single"/>
        </w:rPr>
        <w:t>Płodność</w:t>
      </w:r>
    </w:p>
    <w:p w14:paraId="3333A8BE" w14:textId="77777777" w:rsidR="008245A4" w:rsidRPr="00F13073" w:rsidRDefault="008245A4" w:rsidP="008B4C50">
      <w:pPr>
        <w:pStyle w:val="a4"/>
        <w:widowControl/>
        <w:spacing w:after="0"/>
        <w:rPr>
          <w:rStyle w:val="Char"/>
        </w:rPr>
      </w:pPr>
    </w:p>
    <w:p w14:paraId="5FDD4F19" w14:textId="5AA91D17" w:rsidR="000113DC" w:rsidRPr="00F13073" w:rsidRDefault="000113DC" w:rsidP="008B4C50">
      <w:pPr>
        <w:pStyle w:val="a4"/>
        <w:widowControl/>
        <w:spacing w:after="0"/>
        <w:rPr>
          <w:rStyle w:val="Char"/>
        </w:rPr>
      </w:pPr>
      <w:r w:rsidRPr="00F13073">
        <w:rPr>
          <w:rStyle w:val="Char"/>
        </w:rPr>
        <w:t xml:space="preserve">Dostępne dane niekliniczne nie wskazują na istnienie wpływu leczenia produktem leczniczym </w:t>
      </w:r>
      <w:r w:rsidR="00026375" w:rsidRPr="00F13073">
        <w:rPr>
          <w:rStyle w:val="Char"/>
        </w:rPr>
        <w:t>Avtozma</w:t>
      </w:r>
      <w:r w:rsidRPr="00F13073">
        <w:rPr>
          <w:rStyle w:val="Char"/>
        </w:rPr>
        <w:t xml:space="preserve"> na płodność.</w:t>
      </w:r>
    </w:p>
    <w:p w14:paraId="48305643" w14:textId="77777777" w:rsidR="00727459" w:rsidRPr="00F13073" w:rsidRDefault="00727459" w:rsidP="008B4C50">
      <w:pPr>
        <w:pStyle w:val="a4"/>
        <w:widowControl/>
        <w:spacing w:after="0"/>
      </w:pPr>
    </w:p>
    <w:p w14:paraId="016A1C90" w14:textId="77777777" w:rsidR="000113DC" w:rsidRPr="00F13073" w:rsidRDefault="000113DC" w:rsidP="008B4C50">
      <w:pPr>
        <w:keepNext/>
        <w:ind w:left="567" w:hanging="567"/>
      </w:pPr>
      <w:r w:rsidRPr="00F13073">
        <w:rPr>
          <w:rStyle w:val="Char"/>
          <w:rFonts w:eastAsia="DengXian"/>
          <w:b/>
          <w:bCs/>
        </w:rPr>
        <w:t>4.7</w:t>
      </w:r>
      <w:r w:rsidR="00727459" w:rsidRPr="00F13073">
        <w:rPr>
          <w:rStyle w:val="Char"/>
          <w:rFonts w:eastAsia="DengXian"/>
          <w:b/>
          <w:bCs/>
        </w:rPr>
        <w:tab/>
      </w:r>
      <w:r w:rsidRPr="00F13073">
        <w:rPr>
          <w:rStyle w:val="Char"/>
          <w:rFonts w:eastAsia="DengXian"/>
          <w:b/>
          <w:bCs/>
        </w:rPr>
        <w:t>Wpływ na zdolność prowadzenia pojazdów i obsługiwania maszyn</w:t>
      </w:r>
    </w:p>
    <w:p w14:paraId="5ED67A15" w14:textId="77777777" w:rsidR="00727459" w:rsidRPr="00F13073" w:rsidRDefault="00727459" w:rsidP="008B4C50">
      <w:pPr>
        <w:pStyle w:val="a4"/>
        <w:widowControl/>
        <w:spacing w:after="0"/>
        <w:rPr>
          <w:rStyle w:val="Char"/>
        </w:rPr>
      </w:pPr>
    </w:p>
    <w:p w14:paraId="65165331" w14:textId="66B7232D" w:rsidR="000113DC" w:rsidRPr="00F13073" w:rsidRDefault="00766528" w:rsidP="008B4C50">
      <w:pPr>
        <w:pStyle w:val="a4"/>
        <w:widowControl/>
        <w:spacing w:after="0"/>
      </w:pPr>
      <w:r w:rsidRPr="00F13073">
        <w:rPr>
          <w:rStyle w:val="Char"/>
        </w:rPr>
        <w:t xml:space="preserve">Tocilizumab </w:t>
      </w:r>
      <w:r w:rsidR="000113DC" w:rsidRPr="00F13073">
        <w:rPr>
          <w:rStyle w:val="Char"/>
        </w:rPr>
        <w:t>ma niewielki wpływ na zdolność prowadzenia pojazdów mechanicznych i obsługiwania maszyn (patrz punkt 4.8, zawroty głowy).</w:t>
      </w:r>
    </w:p>
    <w:p w14:paraId="248262C2" w14:textId="77777777" w:rsidR="00727459" w:rsidRPr="00F13073" w:rsidRDefault="00727459" w:rsidP="008B4C50">
      <w:pPr>
        <w:pStyle w:val="a4"/>
        <w:widowControl/>
        <w:spacing w:after="0"/>
        <w:rPr>
          <w:rStyle w:val="Char"/>
          <w:b/>
          <w:bCs/>
        </w:rPr>
      </w:pPr>
    </w:p>
    <w:p w14:paraId="39136BCB" w14:textId="77777777" w:rsidR="000113DC" w:rsidRPr="00F13073" w:rsidRDefault="000113DC" w:rsidP="008B4C50">
      <w:pPr>
        <w:keepNext/>
        <w:ind w:left="567" w:hanging="567"/>
      </w:pPr>
      <w:r w:rsidRPr="00F13073">
        <w:rPr>
          <w:rStyle w:val="Char"/>
          <w:rFonts w:eastAsia="DengXian"/>
          <w:b/>
          <w:bCs/>
        </w:rPr>
        <w:t>4.8</w:t>
      </w:r>
      <w:r w:rsidR="00727459" w:rsidRPr="00F13073">
        <w:rPr>
          <w:rStyle w:val="Char"/>
          <w:rFonts w:eastAsia="DengXian"/>
          <w:b/>
          <w:bCs/>
        </w:rPr>
        <w:tab/>
      </w:r>
      <w:r w:rsidRPr="00F13073">
        <w:rPr>
          <w:rStyle w:val="Char"/>
          <w:rFonts w:eastAsia="DengXian"/>
          <w:b/>
          <w:bCs/>
        </w:rPr>
        <w:t>Działania niepożądane</w:t>
      </w:r>
    </w:p>
    <w:p w14:paraId="391B10E1" w14:textId="77777777" w:rsidR="00727459" w:rsidRPr="00F13073" w:rsidRDefault="00727459" w:rsidP="008B4C50">
      <w:pPr>
        <w:pStyle w:val="a4"/>
        <w:widowControl/>
        <w:spacing w:after="0"/>
        <w:rPr>
          <w:rStyle w:val="Char"/>
          <w:u w:val="single"/>
        </w:rPr>
      </w:pPr>
    </w:p>
    <w:p w14:paraId="5E63622D" w14:textId="77777777" w:rsidR="000113DC" w:rsidRPr="00F13073" w:rsidRDefault="000113DC" w:rsidP="008B4C50">
      <w:pPr>
        <w:pStyle w:val="a4"/>
        <w:widowControl/>
        <w:spacing w:after="0"/>
      </w:pPr>
      <w:r w:rsidRPr="00F13073">
        <w:rPr>
          <w:rStyle w:val="Char"/>
          <w:u w:val="single"/>
        </w:rPr>
        <w:t>Podsumowanie profilu bezpieczeństwa</w:t>
      </w:r>
    </w:p>
    <w:p w14:paraId="25BA3B68" w14:textId="77777777" w:rsidR="008245A4" w:rsidRPr="00F13073" w:rsidRDefault="008245A4" w:rsidP="008B4C50">
      <w:pPr>
        <w:pStyle w:val="a4"/>
        <w:widowControl/>
        <w:spacing w:after="0"/>
        <w:rPr>
          <w:rStyle w:val="Char"/>
        </w:rPr>
      </w:pPr>
    </w:p>
    <w:p w14:paraId="7485BD33" w14:textId="2DA2E399" w:rsidR="000113DC" w:rsidRPr="00F13073" w:rsidRDefault="000113DC" w:rsidP="008B4C50">
      <w:pPr>
        <w:pStyle w:val="a4"/>
        <w:widowControl/>
        <w:spacing w:after="0"/>
        <w:rPr>
          <w:rStyle w:val="Char"/>
        </w:rPr>
      </w:pPr>
      <w:r w:rsidRPr="00F13073">
        <w:rPr>
          <w:rStyle w:val="Char"/>
        </w:rPr>
        <w:t xml:space="preserve">Profil bezpieczeństwa opiera się na danych pochodzących od 4510 pacjentów eksponowanych na </w:t>
      </w:r>
      <w:r w:rsidR="005439CE" w:rsidRPr="00F13073">
        <w:rPr>
          <w:rStyle w:val="Char"/>
        </w:rPr>
        <w:t xml:space="preserve">tocilizumab </w:t>
      </w:r>
      <w:r w:rsidRPr="00F13073">
        <w:rPr>
          <w:rStyle w:val="Char"/>
        </w:rPr>
        <w:t xml:space="preserve">w badaniach klinicznych; większość z tych pacjentów uczestniczyła w badaniach w RZS u dorosłych pacjentów (n=4009), natomiast pozostałe doświadczenia pochodzą z badań w GCA (n=149), wMIZS (n=240) i uMIZS (n=112). Profil bezpieczeństwa </w:t>
      </w:r>
      <w:r w:rsidR="005439CE" w:rsidRPr="00F13073">
        <w:rPr>
          <w:rStyle w:val="Char"/>
        </w:rPr>
        <w:t xml:space="preserve">tocilizumabu </w:t>
      </w:r>
      <w:r w:rsidRPr="00F13073">
        <w:rPr>
          <w:rStyle w:val="Char"/>
        </w:rPr>
        <w:t>w tych wskazaniach pozostaje podobny i niezróżnicowany.</w:t>
      </w:r>
    </w:p>
    <w:p w14:paraId="49B8451D" w14:textId="77777777" w:rsidR="00727459" w:rsidRPr="00F13073" w:rsidRDefault="00727459" w:rsidP="008B4C50">
      <w:pPr>
        <w:pStyle w:val="a4"/>
        <w:widowControl/>
        <w:spacing w:after="0"/>
      </w:pPr>
    </w:p>
    <w:p w14:paraId="3D403F7A" w14:textId="77777777" w:rsidR="000113DC" w:rsidRPr="00F13073" w:rsidRDefault="000113DC" w:rsidP="008B4C50">
      <w:pPr>
        <w:pStyle w:val="a4"/>
        <w:widowControl/>
        <w:spacing w:after="0"/>
        <w:rPr>
          <w:rStyle w:val="Char"/>
        </w:rPr>
      </w:pPr>
      <w:r w:rsidRPr="00F13073">
        <w:rPr>
          <w:rStyle w:val="Char"/>
        </w:rPr>
        <w:t>Do najczęściej zgłaszanych działań niepożądanych należały: zakażenia górnych dróg oddechowych, zapalenie jamy nosowej i gardła, ból głowy, nadciśnienie tętnicze i zwiększenie aktywności AlAT.</w:t>
      </w:r>
    </w:p>
    <w:p w14:paraId="64D01245" w14:textId="77777777" w:rsidR="00727459" w:rsidRPr="00F13073" w:rsidRDefault="00727459" w:rsidP="008B4C50">
      <w:pPr>
        <w:pStyle w:val="a4"/>
        <w:widowControl/>
        <w:spacing w:after="0"/>
      </w:pPr>
    </w:p>
    <w:p w14:paraId="1D59D0F0" w14:textId="77777777" w:rsidR="000113DC" w:rsidRPr="00F13073" w:rsidRDefault="000113DC" w:rsidP="008B4C50">
      <w:pPr>
        <w:pStyle w:val="a4"/>
        <w:widowControl/>
        <w:spacing w:after="0"/>
        <w:rPr>
          <w:rStyle w:val="Char"/>
        </w:rPr>
      </w:pPr>
      <w:r w:rsidRPr="00F13073">
        <w:rPr>
          <w:rStyle w:val="Char"/>
        </w:rPr>
        <w:t>Do najcięższych działań niepożądanych należały ciężkie zakażenia, powikłania zapalenia uchyłków jelita oraz reakcje nadwrażliwości.</w:t>
      </w:r>
    </w:p>
    <w:p w14:paraId="19B141EF" w14:textId="77777777" w:rsidR="00727459" w:rsidRPr="00F13073" w:rsidRDefault="00727459" w:rsidP="008B4C50">
      <w:pPr>
        <w:pStyle w:val="a4"/>
        <w:widowControl/>
        <w:spacing w:after="0"/>
      </w:pPr>
    </w:p>
    <w:p w14:paraId="403B30E3" w14:textId="77777777" w:rsidR="000113DC" w:rsidRPr="00F13073" w:rsidRDefault="000113DC" w:rsidP="008B4C50">
      <w:pPr>
        <w:pStyle w:val="a4"/>
        <w:widowControl/>
        <w:spacing w:after="0"/>
      </w:pPr>
      <w:r w:rsidRPr="00F13073">
        <w:rPr>
          <w:rStyle w:val="Char"/>
          <w:u w:val="single"/>
        </w:rPr>
        <w:lastRenderedPageBreak/>
        <w:t>Lista działań niepożądanych zebranych w tabelach</w:t>
      </w:r>
    </w:p>
    <w:p w14:paraId="39CF3DBF" w14:textId="0E650BEF" w:rsidR="000113DC" w:rsidRPr="00F13073" w:rsidRDefault="000113DC" w:rsidP="00B16D0C">
      <w:pPr>
        <w:pStyle w:val="a4"/>
        <w:widowControl/>
        <w:spacing w:after="0"/>
        <w:rPr>
          <w:rStyle w:val="Char"/>
        </w:rPr>
      </w:pPr>
      <w:r w:rsidRPr="00F13073">
        <w:rPr>
          <w:rStyle w:val="Char"/>
        </w:rPr>
        <w:t xml:space="preserve">Działania niepożądane występujące w badaniach klinicznych i (lub) w okresie po wprowadzeniu </w:t>
      </w:r>
      <w:r w:rsidR="003D04EA" w:rsidRPr="00F13073">
        <w:rPr>
          <w:rStyle w:val="Char"/>
        </w:rPr>
        <w:t xml:space="preserve">tocilizumabu </w:t>
      </w:r>
      <w:r w:rsidRPr="00F13073">
        <w:rPr>
          <w:rStyle w:val="Char"/>
        </w:rPr>
        <w:t>do obrotu, oparte na zgłoszeniach spontanicznych, przypadkach opisanych w piśmiennictwie oraz przypadkach występujących w programach badań nieinterwencyjnych zostały wymienione w Tabeli 1 i przedstawiono je według klasyfikacji układów i narządów MedDRA. Każde działanie niepożądane zostało przyporządkowane do odpowiedniej kategorii częstości występowania zgodnie z następującą konwencją: bardzo często (≥ 1/10); często (≥</w:t>
      </w:r>
      <w:r w:rsidR="00B16D0C" w:rsidRPr="00F13073">
        <w:rPr>
          <w:rStyle w:val="Char"/>
        </w:rPr>
        <w:t> </w:t>
      </w:r>
      <w:r w:rsidRPr="00F13073">
        <w:rPr>
          <w:rStyle w:val="Char"/>
        </w:rPr>
        <w:t>1/100 do &lt; 1/10) lub niezbyt często (≥ 1/1000 do &lt; 1/100), rzadko (≥ 1/10 000 do &lt; 1/1000), bardzo rzadko (&lt; 1/10 000). W obrębie każdej grupy o określonej częstości występowania działania niepożądane są wymienione zgodnie ze zmniejszającym się nasileniem.</w:t>
      </w:r>
    </w:p>
    <w:p w14:paraId="5E809496" w14:textId="77777777" w:rsidR="00047089" w:rsidRPr="00F13073" w:rsidRDefault="00047089" w:rsidP="008B4C50"/>
    <w:p w14:paraId="05D13449" w14:textId="2E8CE980" w:rsidR="001E0975" w:rsidRPr="00F13073" w:rsidRDefault="00611033" w:rsidP="008B4C50">
      <w:pPr>
        <w:keepNext/>
        <w:ind w:left="1134" w:hanging="1134"/>
        <w:rPr>
          <w:i/>
          <w:iCs/>
        </w:rPr>
      </w:pPr>
      <w:r w:rsidRPr="00F13073">
        <w:rPr>
          <w:i/>
          <w:iCs/>
        </w:rPr>
        <w:lastRenderedPageBreak/>
        <w:t>Tab</w:t>
      </w:r>
      <w:r w:rsidR="00090F14" w:rsidRPr="00F13073">
        <w:rPr>
          <w:i/>
          <w:iCs/>
        </w:rPr>
        <w:t>e</w:t>
      </w:r>
      <w:r w:rsidRPr="00F13073">
        <w:rPr>
          <w:i/>
          <w:iCs/>
        </w:rPr>
        <w:t>l</w:t>
      </w:r>
      <w:r w:rsidR="00727459" w:rsidRPr="00F13073">
        <w:rPr>
          <w:i/>
          <w:iCs/>
        </w:rPr>
        <w:t>a</w:t>
      </w:r>
      <w:r w:rsidRPr="00F13073">
        <w:rPr>
          <w:i/>
          <w:iCs/>
        </w:rPr>
        <w:t xml:space="preserve"> 1.</w:t>
      </w:r>
      <w:r w:rsidR="008459C2" w:rsidRPr="00F13073">
        <w:rPr>
          <w:i/>
          <w:iCs/>
        </w:rPr>
        <w:tab/>
      </w:r>
      <w:r w:rsidR="00727459" w:rsidRPr="00F13073">
        <w:rPr>
          <w:rStyle w:val="Char"/>
          <w:rFonts w:eastAsia="DengXian"/>
          <w:i/>
          <w:iCs/>
        </w:rPr>
        <w:t xml:space="preserve">Lista działań niepożądanych występujących u chorych leczonych </w:t>
      </w:r>
      <w:r w:rsidR="003D04EA" w:rsidRPr="00F13073">
        <w:rPr>
          <w:rStyle w:val="Char"/>
          <w:rFonts w:eastAsia="DengXian"/>
          <w:i/>
          <w:iCs/>
        </w:rPr>
        <w:t>tocilizumabem</w:t>
      </w:r>
      <w:r w:rsidR="00727459" w:rsidRPr="00F13073">
        <w:rPr>
          <w:rStyle w:val="Char"/>
          <w:rFonts w:eastAsia="DengXian"/>
          <w:i/>
          <w:iCs/>
        </w:rPr>
        <w:t>.</w:t>
      </w:r>
    </w:p>
    <w:p w14:paraId="45CF7650" w14:textId="77777777" w:rsidR="008459C2" w:rsidRPr="00F13073" w:rsidRDefault="008459C2" w:rsidP="008B4C50">
      <w:pPr>
        <w:keepNext/>
        <w:ind w:left="1134" w:hanging="1134"/>
        <w:rPr>
          <w:i/>
          <w:iCs/>
        </w:rPr>
      </w:pPr>
    </w:p>
    <w:tbl>
      <w:tblPr>
        <w:tblOverlap w:val="neve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19"/>
        <w:gridCol w:w="2057"/>
        <w:gridCol w:w="1973"/>
        <w:gridCol w:w="1779"/>
        <w:gridCol w:w="1423"/>
      </w:tblGrid>
      <w:tr w:rsidR="00983445" w:rsidRPr="00F13073" w14:paraId="564D2BBA" w14:textId="77777777" w:rsidTr="00B16D0C">
        <w:trPr>
          <w:cantSplit/>
          <w:tblHeader/>
        </w:trPr>
        <w:tc>
          <w:tcPr>
            <w:tcW w:w="1660" w:type="dxa"/>
            <w:vMerge w:val="restart"/>
            <w:vAlign w:val="bottom"/>
          </w:tcPr>
          <w:p w14:paraId="42FAB1D4" w14:textId="77777777" w:rsidR="00983445" w:rsidRPr="00F13073" w:rsidRDefault="00983445" w:rsidP="00B570CF">
            <w:pPr>
              <w:keepNext/>
              <w:suppressAutoHyphens/>
              <w:jc w:val="center"/>
              <w:rPr>
                <w:b/>
                <w:bCs/>
                <w:sz w:val="18"/>
                <w:szCs w:val="18"/>
              </w:rPr>
            </w:pPr>
            <w:r w:rsidRPr="00F13073">
              <w:rPr>
                <w:rStyle w:val="Other"/>
                <w:rFonts w:eastAsia="DengXian"/>
                <w:b/>
                <w:bCs/>
                <w:sz w:val="18"/>
                <w:szCs w:val="18"/>
              </w:rPr>
              <w:t>MedDRA Klasyfikacja układów i narządów</w:t>
            </w:r>
          </w:p>
        </w:tc>
        <w:tc>
          <w:tcPr>
            <w:tcW w:w="7412" w:type="dxa"/>
            <w:gridSpan w:val="4"/>
          </w:tcPr>
          <w:p w14:paraId="2684F8E5" w14:textId="77777777" w:rsidR="00983445" w:rsidRPr="00F13073" w:rsidRDefault="00983445" w:rsidP="00B570CF">
            <w:pPr>
              <w:keepNext/>
              <w:suppressAutoHyphens/>
              <w:jc w:val="center"/>
              <w:rPr>
                <w:b/>
                <w:bCs/>
                <w:sz w:val="18"/>
                <w:szCs w:val="18"/>
              </w:rPr>
            </w:pPr>
            <w:r w:rsidRPr="00F13073">
              <w:rPr>
                <w:b/>
                <w:bCs/>
                <w:sz w:val="18"/>
                <w:szCs w:val="18"/>
              </w:rPr>
              <w:t>Kategorie częstości z zastosowaniem zalecanej terminologii</w:t>
            </w:r>
          </w:p>
        </w:tc>
      </w:tr>
      <w:tr w:rsidR="00983445" w:rsidRPr="00F13073" w14:paraId="0CC7A3FE" w14:textId="77777777" w:rsidTr="00B16D0C">
        <w:trPr>
          <w:cantSplit/>
          <w:tblHeader/>
        </w:trPr>
        <w:tc>
          <w:tcPr>
            <w:tcW w:w="1660" w:type="dxa"/>
            <w:vMerge/>
            <w:vAlign w:val="bottom"/>
          </w:tcPr>
          <w:p w14:paraId="699363CC" w14:textId="77777777" w:rsidR="00983445" w:rsidRPr="00F13073" w:rsidRDefault="00983445" w:rsidP="00B570CF">
            <w:pPr>
              <w:keepNext/>
              <w:suppressAutoHyphens/>
              <w:jc w:val="center"/>
              <w:rPr>
                <w:b/>
                <w:bCs/>
                <w:sz w:val="18"/>
                <w:szCs w:val="18"/>
              </w:rPr>
            </w:pPr>
          </w:p>
        </w:tc>
        <w:tc>
          <w:tcPr>
            <w:tcW w:w="2109" w:type="dxa"/>
          </w:tcPr>
          <w:p w14:paraId="56687228" w14:textId="77777777" w:rsidR="00983445" w:rsidRPr="00F13073" w:rsidRDefault="00983445" w:rsidP="00B570CF">
            <w:pPr>
              <w:keepNext/>
              <w:suppressAutoHyphens/>
              <w:jc w:val="center"/>
              <w:rPr>
                <w:b/>
                <w:bCs/>
                <w:sz w:val="18"/>
                <w:szCs w:val="18"/>
              </w:rPr>
            </w:pPr>
            <w:r w:rsidRPr="00F13073">
              <w:rPr>
                <w:rStyle w:val="Other"/>
                <w:rFonts w:eastAsia="DengXian"/>
                <w:b/>
                <w:bCs/>
                <w:sz w:val="18"/>
                <w:szCs w:val="18"/>
              </w:rPr>
              <w:t>Bardzo często</w:t>
            </w:r>
          </w:p>
        </w:tc>
        <w:tc>
          <w:tcPr>
            <w:tcW w:w="2023" w:type="dxa"/>
          </w:tcPr>
          <w:p w14:paraId="7FF05BB1" w14:textId="77777777" w:rsidR="00983445" w:rsidRPr="00F13073" w:rsidRDefault="00983445" w:rsidP="00B570CF">
            <w:pPr>
              <w:keepNext/>
              <w:suppressAutoHyphens/>
              <w:jc w:val="center"/>
              <w:rPr>
                <w:b/>
                <w:bCs/>
                <w:sz w:val="18"/>
                <w:szCs w:val="18"/>
              </w:rPr>
            </w:pPr>
            <w:r w:rsidRPr="00F13073">
              <w:rPr>
                <w:rStyle w:val="Other"/>
                <w:rFonts w:eastAsia="DengXian"/>
                <w:b/>
                <w:bCs/>
                <w:sz w:val="18"/>
                <w:szCs w:val="18"/>
              </w:rPr>
              <w:t>Często</w:t>
            </w:r>
          </w:p>
        </w:tc>
        <w:tc>
          <w:tcPr>
            <w:tcW w:w="1823" w:type="dxa"/>
          </w:tcPr>
          <w:p w14:paraId="42FA9C79" w14:textId="77777777" w:rsidR="00983445" w:rsidRPr="00F13073" w:rsidRDefault="00983445" w:rsidP="00B570CF">
            <w:pPr>
              <w:keepNext/>
              <w:suppressAutoHyphens/>
              <w:jc w:val="center"/>
              <w:rPr>
                <w:b/>
                <w:bCs/>
                <w:sz w:val="18"/>
                <w:szCs w:val="18"/>
              </w:rPr>
            </w:pPr>
            <w:r w:rsidRPr="00F13073">
              <w:rPr>
                <w:rStyle w:val="Other"/>
                <w:rFonts w:eastAsia="DengXian"/>
                <w:b/>
                <w:bCs/>
                <w:sz w:val="18"/>
                <w:szCs w:val="18"/>
              </w:rPr>
              <w:t>Niezbyt często</w:t>
            </w:r>
          </w:p>
        </w:tc>
        <w:tc>
          <w:tcPr>
            <w:tcW w:w="1457" w:type="dxa"/>
          </w:tcPr>
          <w:p w14:paraId="23519B83" w14:textId="77777777" w:rsidR="00983445" w:rsidRPr="00F13073" w:rsidRDefault="00983445" w:rsidP="00B570CF">
            <w:pPr>
              <w:keepNext/>
              <w:suppressAutoHyphens/>
              <w:jc w:val="center"/>
              <w:rPr>
                <w:b/>
                <w:bCs/>
                <w:sz w:val="18"/>
                <w:szCs w:val="18"/>
              </w:rPr>
            </w:pPr>
            <w:r w:rsidRPr="00F13073">
              <w:rPr>
                <w:rStyle w:val="Other"/>
                <w:rFonts w:eastAsia="DengXian"/>
                <w:b/>
                <w:bCs/>
                <w:sz w:val="18"/>
                <w:szCs w:val="18"/>
              </w:rPr>
              <w:t>Rzadko</w:t>
            </w:r>
          </w:p>
        </w:tc>
      </w:tr>
      <w:tr w:rsidR="00983445" w:rsidRPr="00F13073" w14:paraId="6E601DD3" w14:textId="77777777" w:rsidTr="00B16D0C">
        <w:trPr>
          <w:cantSplit/>
          <w:tblHeader/>
        </w:trPr>
        <w:tc>
          <w:tcPr>
            <w:tcW w:w="1660" w:type="dxa"/>
          </w:tcPr>
          <w:p w14:paraId="61EB11FA" w14:textId="77777777" w:rsidR="00983445" w:rsidRPr="00F13073" w:rsidRDefault="00983445" w:rsidP="008B4C50">
            <w:pPr>
              <w:suppressAutoHyphens/>
              <w:rPr>
                <w:sz w:val="18"/>
                <w:szCs w:val="18"/>
              </w:rPr>
            </w:pPr>
            <w:r w:rsidRPr="00F13073">
              <w:rPr>
                <w:rStyle w:val="Other"/>
                <w:rFonts w:eastAsia="DengXian"/>
                <w:sz w:val="18"/>
                <w:szCs w:val="18"/>
              </w:rPr>
              <w:t>Zakażenia i zarażenia pasożytnicze</w:t>
            </w:r>
          </w:p>
        </w:tc>
        <w:tc>
          <w:tcPr>
            <w:tcW w:w="2109" w:type="dxa"/>
          </w:tcPr>
          <w:p w14:paraId="121D8155" w14:textId="77777777" w:rsidR="00983445" w:rsidRPr="00F13073" w:rsidRDefault="00983445" w:rsidP="008B4C50">
            <w:pPr>
              <w:suppressAutoHyphens/>
              <w:rPr>
                <w:sz w:val="18"/>
                <w:szCs w:val="18"/>
              </w:rPr>
            </w:pPr>
            <w:r w:rsidRPr="00F13073">
              <w:rPr>
                <w:rStyle w:val="Other"/>
                <w:rFonts w:eastAsia="DengXian"/>
                <w:sz w:val="18"/>
                <w:szCs w:val="18"/>
              </w:rPr>
              <w:t>Zakażenie górnych dróg oddechowych</w:t>
            </w:r>
          </w:p>
        </w:tc>
        <w:tc>
          <w:tcPr>
            <w:tcW w:w="2023" w:type="dxa"/>
            <w:vAlign w:val="bottom"/>
          </w:tcPr>
          <w:p w14:paraId="10F767BC" w14:textId="77777777" w:rsidR="00983445" w:rsidRPr="00F13073" w:rsidRDefault="00983445" w:rsidP="008B4C50">
            <w:pPr>
              <w:suppressAutoHyphens/>
              <w:rPr>
                <w:sz w:val="18"/>
                <w:szCs w:val="18"/>
              </w:rPr>
            </w:pPr>
            <w:r w:rsidRPr="00F13073">
              <w:rPr>
                <w:rStyle w:val="Other"/>
                <w:rFonts w:eastAsia="DengXian"/>
                <w:sz w:val="18"/>
                <w:szCs w:val="18"/>
              </w:rPr>
              <w:t>Zapalenie podskórnej tkanki łącznej, zapalenie płuc, opryszczka wargowa, półpasiec</w:t>
            </w:r>
          </w:p>
        </w:tc>
        <w:tc>
          <w:tcPr>
            <w:tcW w:w="1823" w:type="dxa"/>
          </w:tcPr>
          <w:p w14:paraId="7E534034" w14:textId="77777777" w:rsidR="00983445" w:rsidRPr="00F13073" w:rsidRDefault="00983445" w:rsidP="008B4C50">
            <w:pPr>
              <w:suppressAutoHyphens/>
              <w:rPr>
                <w:sz w:val="18"/>
                <w:szCs w:val="18"/>
              </w:rPr>
            </w:pPr>
            <w:r w:rsidRPr="00F13073">
              <w:rPr>
                <w:rStyle w:val="Other"/>
                <w:rFonts w:eastAsia="DengXian"/>
                <w:sz w:val="18"/>
                <w:szCs w:val="18"/>
              </w:rPr>
              <w:t>Zapalenie uchyłków jelita</w:t>
            </w:r>
          </w:p>
        </w:tc>
        <w:tc>
          <w:tcPr>
            <w:tcW w:w="1457" w:type="dxa"/>
          </w:tcPr>
          <w:p w14:paraId="5AD311D6" w14:textId="77777777" w:rsidR="00983445" w:rsidRPr="00F13073" w:rsidRDefault="00983445" w:rsidP="008B4C50">
            <w:pPr>
              <w:suppressAutoHyphens/>
              <w:rPr>
                <w:sz w:val="18"/>
                <w:szCs w:val="18"/>
              </w:rPr>
            </w:pPr>
          </w:p>
        </w:tc>
      </w:tr>
      <w:tr w:rsidR="00983445" w:rsidRPr="00F13073" w14:paraId="339059D0" w14:textId="77777777" w:rsidTr="00B16D0C">
        <w:trPr>
          <w:cantSplit/>
          <w:tblHeader/>
        </w:trPr>
        <w:tc>
          <w:tcPr>
            <w:tcW w:w="1660" w:type="dxa"/>
          </w:tcPr>
          <w:p w14:paraId="786514BF" w14:textId="77777777" w:rsidR="00983445" w:rsidRPr="00F13073" w:rsidRDefault="00983445" w:rsidP="008B4C50">
            <w:pPr>
              <w:suppressAutoHyphens/>
              <w:rPr>
                <w:sz w:val="18"/>
                <w:szCs w:val="18"/>
              </w:rPr>
            </w:pPr>
            <w:r w:rsidRPr="00F13073">
              <w:rPr>
                <w:rStyle w:val="Other"/>
                <w:rFonts w:eastAsia="DengXian"/>
                <w:sz w:val="18"/>
                <w:szCs w:val="18"/>
              </w:rPr>
              <w:t>Zaburzenia krwi i układu chłonnego</w:t>
            </w:r>
          </w:p>
        </w:tc>
        <w:tc>
          <w:tcPr>
            <w:tcW w:w="2109" w:type="dxa"/>
          </w:tcPr>
          <w:p w14:paraId="58D9CF35" w14:textId="77777777" w:rsidR="00983445" w:rsidRPr="00F13073" w:rsidRDefault="00090F14" w:rsidP="008B4C50">
            <w:pPr>
              <w:suppressAutoHyphens/>
              <w:rPr>
                <w:sz w:val="18"/>
                <w:szCs w:val="18"/>
              </w:rPr>
            </w:pPr>
            <w:r w:rsidRPr="00F13073">
              <w:rPr>
                <w:sz w:val="18"/>
                <w:szCs w:val="18"/>
              </w:rPr>
              <w:t>-</w:t>
            </w:r>
          </w:p>
        </w:tc>
        <w:tc>
          <w:tcPr>
            <w:tcW w:w="2023" w:type="dxa"/>
            <w:vAlign w:val="bottom"/>
          </w:tcPr>
          <w:p w14:paraId="36EF0CC8" w14:textId="77777777" w:rsidR="00983445" w:rsidRPr="00F13073" w:rsidRDefault="00983445" w:rsidP="008B4C50">
            <w:pPr>
              <w:suppressAutoHyphens/>
              <w:rPr>
                <w:sz w:val="18"/>
                <w:szCs w:val="18"/>
              </w:rPr>
            </w:pPr>
            <w:r w:rsidRPr="00F13073">
              <w:rPr>
                <w:rStyle w:val="Other"/>
                <w:rFonts w:eastAsia="DengXian"/>
                <w:sz w:val="18"/>
                <w:szCs w:val="18"/>
              </w:rPr>
              <w:t>Leukopenia, Neutropenia, Hipofibrynogenemia</w:t>
            </w:r>
          </w:p>
        </w:tc>
        <w:tc>
          <w:tcPr>
            <w:tcW w:w="1823" w:type="dxa"/>
          </w:tcPr>
          <w:p w14:paraId="0BCA170C"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62E2D849" w14:textId="77777777" w:rsidR="00983445" w:rsidRPr="00F13073" w:rsidRDefault="00983445" w:rsidP="008B4C50">
            <w:pPr>
              <w:suppressAutoHyphens/>
              <w:rPr>
                <w:sz w:val="18"/>
                <w:szCs w:val="18"/>
              </w:rPr>
            </w:pPr>
          </w:p>
        </w:tc>
      </w:tr>
      <w:tr w:rsidR="00983445" w:rsidRPr="00F13073" w14:paraId="1F459D78" w14:textId="77777777" w:rsidTr="00B16D0C">
        <w:trPr>
          <w:cantSplit/>
          <w:tblHeader/>
        </w:trPr>
        <w:tc>
          <w:tcPr>
            <w:tcW w:w="1660" w:type="dxa"/>
          </w:tcPr>
          <w:p w14:paraId="43D24C9D" w14:textId="77777777" w:rsidR="00983445" w:rsidRPr="00F13073" w:rsidRDefault="00983445" w:rsidP="008B4C50">
            <w:pPr>
              <w:suppressAutoHyphens/>
              <w:ind w:right="-66"/>
              <w:rPr>
                <w:sz w:val="18"/>
                <w:szCs w:val="18"/>
              </w:rPr>
            </w:pPr>
            <w:r w:rsidRPr="00F13073">
              <w:rPr>
                <w:rStyle w:val="Other"/>
                <w:rFonts w:eastAsia="DengXian"/>
                <w:sz w:val="18"/>
                <w:szCs w:val="18"/>
              </w:rPr>
              <w:t>Zaburzenia układu immunologicznego</w:t>
            </w:r>
          </w:p>
        </w:tc>
        <w:tc>
          <w:tcPr>
            <w:tcW w:w="2109" w:type="dxa"/>
          </w:tcPr>
          <w:p w14:paraId="75D20AE2" w14:textId="77777777" w:rsidR="00983445" w:rsidRPr="00F13073" w:rsidRDefault="00983445" w:rsidP="008B4C50">
            <w:pPr>
              <w:suppressAutoHyphens/>
              <w:rPr>
                <w:sz w:val="18"/>
                <w:szCs w:val="18"/>
              </w:rPr>
            </w:pPr>
          </w:p>
        </w:tc>
        <w:tc>
          <w:tcPr>
            <w:tcW w:w="2023" w:type="dxa"/>
          </w:tcPr>
          <w:p w14:paraId="15F876DE" w14:textId="77777777" w:rsidR="00983445" w:rsidRPr="00F13073" w:rsidRDefault="00983445" w:rsidP="008B4C50">
            <w:pPr>
              <w:suppressAutoHyphens/>
              <w:rPr>
                <w:sz w:val="18"/>
                <w:szCs w:val="18"/>
              </w:rPr>
            </w:pPr>
          </w:p>
        </w:tc>
        <w:tc>
          <w:tcPr>
            <w:tcW w:w="1823" w:type="dxa"/>
          </w:tcPr>
          <w:p w14:paraId="77F4D260" w14:textId="77777777" w:rsidR="00983445" w:rsidRPr="00F13073" w:rsidRDefault="00983445" w:rsidP="008B4C50">
            <w:pPr>
              <w:suppressAutoHyphens/>
              <w:rPr>
                <w:sz w:val="18"/>
                <w:szCs w:val="18"/>
              </w:rPr>
            </w:pPr>
          </w:p>
        </w:tc>
        <w:tc>
          <w:tcPr>
            <w:tcW w:w="1457" w:type="dxa"/>
          </w:tcPr>
          <w:p w14:paraId="0637A1C4" w14:textId="77777777" w:rsidR="00983445" w:rsidRPr="00F13073" w:rsidRDefault="00983445" w:rsidP="008B4C50">
            <w:pPr>
              <w:suppressAutoHyphens/>
              <w:ind w:right="-65"/>
              <w:rPr>
                <w:sz w:val="18"/>
                <w:szCs w:val="18"/>
              </w:rPr>
            </w:pPr>
            <w:r w:rsidRPr="00F13073">
              <w:rPr>
                <w:rStyle w:val="Other"/>
                <w:rFonts w:eastAsia="DengXian"/>
                <w:sz w:val="18"/>
                <w:szCs w:val="18"/>
              </w:rPr>
              <w:t>Anafilaksja (ze skutkiem śmiertelnym)</w:t>
            </w:r>
            <w:r w:rsidRPr="00F13073">
              <w:rPr>
                <w:rStyle w:val="Other"/>
                <w:rFonts w:eastAsia="DengXian"/>
                <w:sz w:val="18"/>
                <w:szCs w:val="18"/>
                <w:vertAlign w:val="superscript"/>
              </w:rPr>
              <w:t>1, 2, 3</w:t>
            </w:r>
          </w:p>
        </w:tc>
      </w:tr>
      <w:tr w:rsidR="00983445" w:rsidRPr="00F13073" w14:paraId="02AB8CA9" w14:textId="77777777" w:rsidTr="00B16D0C">
        <w:trPr>
          <w:cantSplit/>
          <w:tblHeader/>
        </w:trPr>
        <w:tc>
          <w:tcPr>
            <w:tcW w:w="1660" w:type="dxa"/>
            <w:vAlign w:val="bottom"/>
          </w:tcPr>
          <w:p w14:paraId="4CB6C016" w14:textId="77777777" w:rsidR="00983445" w:rsidRPr="00F13073" w:rsidRDefault="00983445" w:rsidP="008B4C50">
            <w:pPr>
              <w:suppressAutoHyphens/>
              <w:rPr>
                <w:sz w:val="18"/>
                <w:szCs w:val="18"/>
              </w:rPr>
            </w:pPr>
            <w:r w:rsidRPr="00F13073">
              <w:rPr>
                <w:rStyle w:val="Other"/>
                <w:rFonts w:eastAsia="DengXian"/>
                <w:sz w:val="18"/>
                <w:szCs w:val="18"/>
              </w:rPr>
              <w:t>Zaburzenia endokrynologiczne</w:t>
            </w:r>
          </w:p>
        </w:tc>
        <w:tc>
          <w:tcPr>
            <w:tcW w:w="2109" w:type="dxa"/>
          </w:tcPr>
          <w:p w14:paraId="19F3EE60" w14:textId="77777777" w:rsidR="00983445" w:rsidRPr="00F13073" w:rsidRDefault="00090F14" w:rsidP="008B4C50">
            <w:pPr>
              <w:suppressAutoHyphens/>
              <w:rPr>
                <w:sz w:val="18"/>
                <w:szCs w:val="18"/>
              </w:rPr>
            </w:pPr>
            <w:r w:rsidRPr="00F13073">
              <w:rPr>
                <w:sz w:val="18"/>
                <w:szCs w:val="18"/>
              </w:rPr>
              <w:t>-</w:t>
            </w:r>
          </w:p>
        </w:tc>
        <w:tc>
          <w:tcPr>
            <w:tcW w:w="2023" w:type="dxa"/>
          </w:tcPr>
          <w:p w14:paraId="3E0C9F4F"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823" w:type="dxa"/>
            <w:vAlign w:val="center"/>
          </w:tcPr>
          <w:p w14:paraId="054869A7" w14:textId="77777777" w:rsidR="00983445" w:rsidRPr="00F13073" w:rsidRDefault="00983445" w:rsidP="008B4C50">
            <w:pPr>
              <w:suppressAutoHyphens/>
              <w:rPr>
                <w:sz w:val="18"/>
                <w:szCs w:val="18"/>
              </w:rPr>
            </w:pPr>
            <w:r w:rsidRPr="00F13073">
              <w:rPr>
                <w:rStyle w:val="Other"/>
                <w:rFonts w:eastAsia="DengXian"/>
                <w:sz w:val="18"/>
                <w:szCs w:val="18"/>
              </w:rPr>
              <w:t>Niedoczynność tarczycy</w:t>
            </w:r>
          </w:p>
        </w:tc>
        <w:tc>
          <w:tcPr>
            <w:tcW w:w="1457" w:type="dxa"/>
          </w:tcPr>
          <w:p w14:paraId="4609D7E0" w14:textId="77777777" w:rsidR="00983445" w:rsidRPr="00F13073" w:rsidRDefault="00983445" w:rsidP="008B4C50">
            <w:pPr>
              <w:suppressAutoHyphens/>
              <w:rPr>
                <w:sz w:val="18"/>
                <w:szCs w:val="18"/>
              </w:rPr>
            </w:pPr>
          </w:p>
        </w:tc>
      </w:tr>
      <w:tr w:rsidR="00983445" w:rsidRPr="00F13073" w14:paraId="2DEB9D6B" w14:textId="77777777" w:rsidTr="00B16D0C">
        <w:trPr>
          <w:cantSplit/>
          <w:tblHeader/>
        </w:trPr>
        <w:tc>
          <w:tcPr>
            <w:tcW w:w="1660" w:type="dxa"/>
            <w:vAlign w:val="bottom"/>
          </w:tcPr>
          <w:p w14:paraId="0A3FF289" w14:textId="77777777" w:rsidR="00983445" w:rsidRPr="00F13073" w:rsidRDefault="00983445" w:rsidP="008B4C50">
            <w:pPr>
              <w:suppressAutoHyphens/>
              <w:rPr>
                <w:sz w:val="18"/>
                <w:szCs w:val="18"/>
              </w:rPr>
            </w:pPr>
            <w:r w:rsidRPr="00F13073">
              <w:rPr>
                <w:rStyle w:val="Other"/>
                <w:rFonts w:eastAsia="DengXian"/>
                <w:sz w:val="18"/>
                <w:szCs w:val="18"/>
              </w:rPr>
              <w:t>Zaburzenia metabolizmu i odżywiania</w:t>
            </w:r>
          </w:p>
        </w:tc>
        <w:tc>
          <w:tcPr>
            <w:tcW w:w="2109" w:type="dxa"/>
          </w:tcPr>
          <w:p w14:paraId="52481BA8" w14:textId="77777777" w:rsidR="00983445" w:rsidRPr="00F13073" w:rsidRDefault="00983445" w:rsidP="008B4C50">
            <w:pPr>
              <w:suppressAutoHyphens/>
              <w:rPr>
                <w:sz w:val="18"/>
                <w:szCs w:val="18"/>
              </w:rPr>
            </w:pPr>
            <w:r w:rsidRPr="00F13073">
              <w:rPr>
                <w:rStyle w:val="Other"/>
                <w:rFonts w:eastAsia="DengXian"/>
                <w:sz w:val="18"/>
                <w:szCs w:val="18"/>
              </w:rPr>
              <w:t>Hipercholesterolemia*</w:t>
            </w:r>
          </w:p>
        </w:tc>
        <w:tc>
          <w:tcPr>
            <w:tcW w:w="2023" w:type="dxa"/>
          </w:tcPr>
          <w:p w14:paraId="3359DB1B"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823" w:type="dxa"/>
          </w:tcPr>
          <w:p w14:paraId="1937789F" w14:textId="77777777" w:rsidR="00983445" w:rsidRPr="00F13073" w:rsidRDefault="00983445" w:rsidP="008B4C50">
            <w:pPr>
              <w:suppressAutoHyphens/>
              <w:rPr>
                <w:sz w:val="18"/>
                <w:szCs w:val="18"/>
              </w:rPr>
            </w:pPr>
            <w:r w:rsidRPr="00F13073">
              <w:rPr>
                <w:rStyle w:val="Other"/>
                <w:rFonts w:eastAsia="DengXian"/>
                <w:sz w:val="18"/>
                <w:szCs w:val="18"/>
              </w:rPr>
              <w:t>Hipertrójglicerydemia</w:t>
            </w:r>
          </w:p>
        </w:tc>
        <w:tc>
          <w:tcPr>
            <w:tcW w:w="1457" w:type="dxa"/>
          </w:tcPr>
          <w:p w14:paraId="001B2F20" w14:textId="77777777" w:rsidR="00983445" w:rsidRPr="00F13073" w:rsidRDefault="00983445" w:rsidP="008B4C50">
            <w:pPr>
              <w:suppressAutoHyphens/>
              <w:rPr>
                <w:sz w:val="18"/>
                <w:szCs w:val="18"/>
              </w:rPr>
            </w:pPr>
          </w:p>
        </w:tc>
      </w:tr>
      <w:tr w:rsidR="00983445" w:rsidRPr="00F13073" w14:paraId="3FEA4AF5" w14:textId="77777777" w:rsidTr="00B16D0C">
        <w:trPr>
          <w:cantSplit/>
          <w:tblHeader/>
        </w:trPr>
        <w:tc>
          <w:tcPr>
            <w:tcW w:w="1660" w:type="dxa"/>
            <w:vAlign w:val="bottom"/>
          </w:tcPr>
          <w:p w14:paraId="4302CD97" w14:textId="77777777" w:rsidR="00983445" w:rsidRPr="00F13073" w:rsidRDefault="00983445" w:rsidP="008B4C50">
            <w:pPr>
              <w:suppressAutoHyphens/>
              <w:rPr>
                <w:sz w:val="18"/>
                <w:szCs w:val="18"/>
              </w:rPr>
            </w:pPr>
            <w:r w:rsidRPr="00F13073">
              <w:rPr>
                <w:rStyle w:val="Other"/>
                <w:rFonts w:eastAsia="DengXian"/>
                <w:sz w:val="18"/>
                <w:szCs w:val="18"/>
              </w:rPr>
              <w:t>Zaburzenia układu nerwowego</w:t>
            </w:r>
          </w:p>
        </w:tc>
        <w:tc>
          <w:tcPr>
            <w:tcW w:w="2109" w:type="dxa"/>
          </w:tcPr>
          <w:p w14:paraId="5D95F92A"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5D849BE5" w14:textId="77777777" w:rsidR="00983445" w:rsidRPr="00F13073" w:rsidRDefault="00983445" w:rsidP="008B4C50">
            <w:pPr>
              <w:suppressAutoHyphens/>
              <w:rPr>
                <w:sz w:val="18"/>
                <w:szCs w:val="18"/>
              </w:rPr>
            </w:pPr>
            <w:r w:rsidRPr="00F13073">
              <w:rPr>
                <w:rStyle w:val="Other"/>
                <w:rFonts w:eastAsia="DengXian"/>
                <w:sz w:val="18"/>
                <w:szCs w:val="18"/>
              </w:rPr>
              <w:t>Ból głowy, zawroty głowy</w:t>
            </w:r>
          </w:p>
        </w:tc>
        <w:tc>
          <w:tcPr>
            <w:tcW w:w="1823" w:type="dxa"/>
          </w:tcPr>
          <w:p w14:paraId="435D7FA6"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74F6ECE0" w14:textId="77777777" w:rsidR="00983445" w:rsidRPr="00F13073" w:rsidRDefault="00983445" w:rsidP="008B4C50">
            <w:pPr>
              <w:suppressAutoHyphens/>
              <w:rPr>
                <w:sz w:val="18"/>
                <w:szCs w:val="18"/>
              </w:rPr>
            </w:pPr>
          </w:p>
        </w:tc>
      </w:tr>
      <w:tr w:rsidR="00983445" w:rsidRPr="00F13073" w14:paraId="32CA964B" w14:textId="77777777" w:rsidTr="00B16D0C">
        <w:trPr>
          <w:cantSplit/>
          <w:tblHeader/>
        </w:trPr>
        <w:tc>
          <w:tcPr>
            <w:tcW w:w="1660" w:type="dxa"/>
            <w:vAlign w:val="bottom"/>
          </w:tcPr>
          <w:p w14:paraId="1A4A5CF7" w14:textId="77777777" w:rsidR="00983445" w:rsidRPr="00F13073" w:rsidRDefault="00983445" w:rsidP="008B4C50">
            <w:pPr>
              <w:suppressAutoHyphens/>
              <w:rPr>
                <w:sz w:val="18"/>
                <w:szCs w:val="18"/>
              </w:rPr>
            </w:pPr>
            <w:r w:rsidRPr="00F13073">
              <w:rPr>
                <w:rStyle w:val="Other"/>
                <w:rFonts w:eastAsia="DengXian"/>
                <w:sz w:val="18"/>
                <w:szCs w:val="18"/>
              </w:rPr>
              <w:t>Zaburzenia narządu wzroku</w:t>
            </w:r>
          </w:p>
        </w:tc>
        <w:tc>
          <w:tcPr>
            <w:tcW w:w="2109" w:type="dxa"/>
          </w:tcPr>
          <w:p w14:paraId="31DD3FE8"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0FE96866" w14:textId="77777777" w:rsidR="00983445" w:rsidRPr="00F13073" w:rsidRDefault="00983445" w:rsidP="008B4C50">
            <w:pPr>
              <w:suppressAutoHyphens/>
              <w:rPr>
                <w:sz w:val="18"/>
                <w:szCs w:val="18"/>
              </w:rPr>
            </w:pPr>
            <w:r w:rsidRPr="00F13073">
              <w:rPr>
                <w:rStyle w:val="Other"/>
                <w:rFonts w:eastAsia="DengXian"/>
                <w:sz w:val="18"/>
                <w:szCs w:val="18"/>
              </w:rPr>
              <w:t>Zapalenie spojówek</w:t>
            </w:r>
          </w:p>
        </w:tc>
        <w:tc>
          <w:tcPr>
            <w:tcW w:w="1823" w:type="dxa"/>
          </w:tcPr>
          <w:p w14:paraId="0856BE9D"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02DB514D" w14:textId="77777777" w:rsidR="00983445" w:rsidRPr="00F13073" w:rsidRDefault="00983445" w:rsidP="008B4C50">
            <w:pPr>
              <w:suppressAutoHyphens/>
              <w:rPr>
                <w:sz w:val="18"/>
                <w:szCs w:val="18"/>
              </w:rPr>
            </w:pPr>
          </w:p>
        </w:tc>
      </w:tr>
      <w:tr w:rsidR="00983445" w:rsidRPr="00F13073" w14:paraId="1BEE7A36" w14:textId="77777777" w:rsidTr="00B16D0C">
        <w:trPr>
          <w:cantSplit/>
          <w:tblHeader/>
        </w:trPr>
        <w:tc>
          <w:tcPr>
            <w:tcW w:w="1660" w:type="dxa"/>
            <w:vAlign w:val="bottom"/>
          </w:tcPr>
          <w:p w14:paraId="20F4923E" w14:textId="77777777" w:rsidR="00983445" w:rsidRPr="00F13073" w:rsidRDefault="00983445" w:rsidP="008B4C50">
            <w:pPr>
              <w:suppressAutoHyphens/>
              <w:rPr>
                <w:sz w:val="18"/>
                <w:szCs w:val="18"/>
              </w:rPr>
            </w:pPr>
            <w:r w:rsidRPr="00F13073">
              <w:rPr>
                <w:rStyle w:val="Other"/>
                <w:rFonts w:eastAsia="DengXian"/>
                <w:sz w:val="18"/>
                <w:szCs w:val="18"/>
              </w:rPr>
              <w:t>Zaburzenia naczyniowe</w:t>
            </w:r>
          </w:p>
        </w:tc>
        <w:tc>
          <w:tcPr>
            <w:tcW w:w="2109" w:type="dxa"/>
          </w:tcPr>
          <w:p w14:paraId="619B1A94"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1657999A" w14:textId="77777777" w:rsidR="00983445" w:rsidRPr="00F13073" w:rsidRDefault="00983445" w:rsidP="008B4C50">
            <w:pPr>
              <w:suppressAutoHyphens/>
              <w:rPr>
                <w:sz w:val="18"/>
                <w:szCs w:val="18"/>
              </w:rPr>
            </w:pPr>
            <w:r w:rsidRPr="00F13073">
              <w:rPr>
                <w:rStyle w:val="Other"/>
                <w:rFonts w:eastAsia="DengXian"/>
                <w:sz w:val="18"/>
                <w:szCs w:val="18"/>
              </w:rPr>
              <w:t>Nadciśnienie</w:t>
            </w:r>
          </w:p>
        </w:tc>
        <w:tc>
          <w:tcPr>
            <w:tcW w:w="1823" w:type="dxa"/>
          </w:tcPr>
          <w:p w14:paraId="39AC69C2"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266215E3" w14:textId="77777777" w:rsidR="00983445" w:rsidRPr="00F13073" w:rsidRDefault="00983445" w:rsidP="008B4C50">
            <w:pPr>
              <w:suppressAutoHyphens/>
              <w:rPr>
                <w:sz w:val="18"/>
                <w:szCs w:val="18"/>
              </w:rPr>
            </w:pPr>
          </w:p>
        </w:tc>
      </w:tr>
      <w:tr w:rsidR="00983445" w:rsidRPr="00F13073" w14:paraId="478FCC5C" w14:textId="77777777" w:rsidTr="00B16D0C">
        <w:trPr>
          <w:cantSplit/>
          <w:tblHeader/>
        </w:trPr>
        <w:tc>
          <w:tcPr>
            <w:tcW w:w="1660" w:type="dxa"/>
            <w:vAlign w:val="bottom"/>
          </w:tcPr>
          <w:p w14:paraId="26D32DCE" w14:textId="77777777" w:rsidR="00983445" w:rsidRPr="00F13073" w:rsidRDefault="00983445" w:rsidP="008B4C50">
            <w:pPr>
              <w:suppressAutoHyphens/>
              <w:rPr>
                <w:sz w:val="18"/>
                <w:szCs w:val="18"/>
              </w:rPr>
            </w:pPr>
            <w:r w:rsidRPr="00F13073">
              <w:rPr>
                <w:rStyle w:val="Other"/>
                <w:rFonts w:eastAsia="DengXian"/>
                <w:sz w:val="18"/>
                <w:szCs w:val="18"/>
              </w:rPr>
              <w:t>Zaburzenia układu oddechowego, klatki piersiowej i śródpiersia</w:t>
            </w:r>
          </w:p>
        </w:tc>
        <w:tc>
          <w:tcPr>
            <w:tcW w:w="2109" w:type="dxa"/>
          </w:tcPr>
          <w:p w14:paraId="0E90F68E"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6A4F5A55" w14:textId="77777777" w:rsidR="00983445" w:rsidRPr="00F13073" w:rsidRDefault="00983445" w:rsidP="008B4C50">
            <w:pPr>
              <w:suppressAutoHyphens/>
              <w:rPr>
                <w:sz w:val="18"/>
                <w:szCs w:val="18"/>
              </w:rPr>
            </w:pPr>
            <w:r w:rsidRPr="00F13073">
              <w:rPr>
                <w:rStyle w:val="Other"/>
                <w:rFonts w:eastAsia="DengXian"/>
                <w:sz w:val="18"/>
                <w:szCs w:val="18"/>
              </w:rPr>
              <w:t>Kaszel, duszność</w:t>
            </w:r>
          </w:p>
        </w:tc>
        <w:tc>
          <w:tcPr>
            <w:tcW w:w="1823" w:type="dxa"/>
          </w:tcPr>
          <w:p w14:paraId="01496A4A"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787F5293" w14:textId="77777777" w:rsidR="00983445" w:rsidRPr="00F13073" w:rsidRDefault="00983445" w:rsidP="008B4C50">
            <w:pPr>
              <w:suppressAutoHyphens/>
              <w:rPr>
                <w:sz w:val="18"/>
                <w:szCs w:val="18"/>
              </w:rPr>
            </w:pPr>
          </w:p>
        </w:tc>
      </w:tr>
      <w:tr w:rsidR="00983445" w:rsidRPr="00F13073" w14:paraId="0FD3523D" w14:textId="77777777" w:rsidTr="00B16D0C">
        <w:trPr>
          <w:cantSplit/>
          <w:tblHeader/>
        </w:trPr>
        <w:tc>
          <w:tcPr>
            <w:tcW w:w="1660" w:type="dxa"/>
          </w:tcPr>
          <w:p w14:paraId="729FCDA5" w14:textId="77777777" w:rsidR="00983445" w:rsidRPr="00F13073" w:rsidRDefault="00983445" w:rsidP="008B4C50">
            <w:pPr>
              <w:suppressAutoHyphens/>
              <w:rPr>
                <w:sz w:val="18"/>
                <w:szCs w:val="18"/>
              </w:rPr>
            </w:pPr>
            <w:r w:rsidRPr="00F13073">
              <w:rPr>
                <w:rStyle w:val="Other"/>
                <w:rFonts w:eastAsia="DengXian"/>
                <w:sz w:val="18"/>
                <w:szCs w:val="18"/>
              </w:rPr>
              <w:t>Zaburzenia żołądka i jelit</w:t>
            </w:r>
          </w:p>
        </w:tc>
        <w:tc>
          <w:tcPr>
            <w:tcW w:w="2109" w:type="dxa"/>
          </w:tcPr>
          <w:p w14:paraId="77A1262E"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7C429AA2" w14:textId="77777777" w:rsidR="00983445" w:rsidRPr="00F13073" w:rsidRDefault="00983445" w:rsidP="008B4C50">
            <w:pPr>
              <w:suppressAutoHyphens/>
              <w:rPr>
                <w:sz w:val="18"/>
                <w:szCs w:val="18"/>
              </w:rPr>
            </w:pPr>
            <w:r w:rsidRPr="00F13073">
              <w:rPr>
                <w:rStyle w:val="Other"/>
                <w:rFonts w:eastAsia="DengXian"/>
                <w:sz w:val="18"/>
                <w:szCs w:val="18"/>
              </w:rPr>
              <w:t>Ból brzucha, owrzodzenie jamy ustnej, zapalenie błony śluzowej żołądka</w:t>
            </w:r>
          </w:p>
        </w:tc>
        <w:tc>
          <w:tcPr>
            <w:tcW w:w="1823" w:type="dxa"/>
          </w:tcPr>
          <w:p w14:paraId="223336A9" w14:textId="77777777" w:rsidR="00983445" w:rsidRPr="00F13073" w:rsidRDefault="00983445" w:rsidP="008B4C50">
            <w:pPr>
              <w:suppressAutoHyphens/>
              <w:rPr>
                <w:sz w:val="18"/>
                <w:szCs w:val="18"/>
              </w:rPr>
            </w:pPr>
            <w:r w:rsidRPr="00F13073">
              <w:rPr>
                <w:rStyle w:val="Other"/>
                <w:rFonts w:eastAsia="DengXian"/>
                <w:sz w:val="18"/>
                <w:szCs w:val="18"/>
              </w:rPr>
              <w:t>Zapalenie błony śluzowej jamy ustnej, wrzód żołądka</w:t>
            </w:r>
          </w:p>
        </w:tc>
        <w:tc>
          <w:tcPr>
            <w:tcW w:w="1457" w:type="dxa"/>
          </w:tcPr>
          <w:p w14:paraId="21C4A3F9" w14:textId="77777777" w:rsidR="00983445" w:rsidRPr="00F13073" w:rsidRDefault="00983445" w:rsidP="008B4C50">
            <w:pPr>
              <w:suppressAutoHyphens/>
              <w:rPr>
                <w:sz w:val="18"/>
                <w:szCs w:val="18"/>
              </w:rPr>
            </w:pPr>
          </w:p>
        </w:tc>
      </w:tr>
      <w:tr w:rsidR="00983445" w:rsidRPr="00F13073" w14:paraId="6FBC295C" w14:textId="77777777" w:rsidTr="00B16D0C">
        <w:trPr>
          <w:cantSplit/>
          <w:tblHeader/>
        </w:trPr>
        <w:tc>
          <w:tcPr>
            <w:tcW w:w="1660" w:type="dxa"/>
          </w:tcPr>
          <w:p w14:paraId="3906AC47" w14:textId="77777777" w:rsidR="00983445" w:rsidRPr="00F13073" w:rsidRDefault="00983445" w:rsidP="008B4C50">
            <w:pPr>
              <w:suppressAutoHyphens/>
              <w:rPr>
                <w:sz w:val="18"/>
                <w:szCs w:val="18"/>
              </w:rPr>
            </w:pPr>
            <w:r w:rsidRPr="00F13073">
              <w:rPr>
                <w:rStyle w:val="Other"/>
                <w:rFonts w:eastAsia="DengXian"/>
                <w:sz w:val="18"/>
                <w:szCs w:val="18"/>
              </w:rPr>
              <w:t>Zaburzenia wątroby i dróg żółciowych</w:t>
            </w:r>
          </w:p>
        </w:tc>
        <w:tc>
          <w:tcPr>
            <w:tcW w:w="2109" w:type="dxa"/>
          </w:tcPr>
          <w:p w14:paraId="500BE986" w14:textId="77777777" w:rsidR="00983445" w:rsidRPr="00F13073" w:rsidRDefault="00983445" w:rsidP="008B4C50">
            <w:pPr>
              <w:suppressAutoHyphens/>
              <w:rPr>
                <w:sz w:val="18"/>
                <w:szCs w:val="18"/>
              </w:rPr>
            </w:pPr>
          </w:p>
        </w:tc>
        <w:tc>
          <w:tcPr>
            <w:tcW w:w="2023" w:type="dxa"/>
          </w:tcPr>
          <w:p w14:paraId="740A8953" w14:textId="77777777" w:rsidR="00983445" w:rsidRPr="00F13073" w:rsidRDefault="00983445" w:rsidP="008B4C50">
            <w:pPr>
              <w:suppressAutoHyphens/>
              <w:rPr>
                <w:sz w:val="18"/>
                <w:szCs w:val="18"/>
              </w:rPr>
            </w:pPr>
          </w:p>
        </w:tc>
        <w:tc>
          <w:tcPr>
            <w:tcW w:w="1823" w:type="dxa"/>
          </w:tcPr>
          <w:p w14:paraId="53433893" w14:textId="77777777" w:rsidR="00983445" w:rsidRPr="00F13073" w:rsidRDefault="00983445" w:rsidP="008B4C50">
            <w:pPr>
              <w:suppressAutoHyphens/>
              <w:rPr>
                <w:sz w:val="18"/>
                <w:szCs w:val="18"/>
              </w:rPr>
            </w:pPr>
          </w:p>
        </w:tc>
        <w:tc>
          <w:tcPr>
            <w:tcW w:w="1457" w:type="dxa"/>
          </w:tcPr>
          <w:p w14:paraId="54DE5051" w14:textId="77777777" w:rsidR="00983445" w:rsidRPr="00F13073" w:rsidRDefault="00983445" w:rsidP="008B4C50">
            <w:pPr>
              <w:suppressAutoHyphens/>
              <w:rPr>
                <w:sz w:val="18"/>
                <w:szCs w:val="18"/>
              </w:rPr>
            </w:pPr>
            <w:r w:rsidRPr="00F13073">
              <w:rPr>
                <w:sz w:val="18"/>
                <w:szCs w:val="18"/>
              </w:rPr>
              <w:t>Polekowe uszkodzenie wątroby, zapalenie wątroby, żółtaczka, Bardzo rzadko: niewydolność wątroby</w:t>
            </w:r>
          </w:p>
        </w:tc>
      </w:tr>
      <w:tr w:rsidR="00983445" w:rsidRPr="00F13073" w14:paraId="4651E52D" w14:textId="77777777" w:rsidTr="00B16D0C">
        <w:trPr>
          <w:cantSplit/>
          <w:tblHeader/>
        </w:trPr>
        <w:tc>
          <w:tcPr>
            <w:tcW w:w="1660" w:type="dxa"/>
          </w:tcPr>
          <w:p w14:paraId="208BAAE1" w14:textId="77777777" w:rsidR="00983445" w:rsidRPr="00F13073" w:rsidRDefault="00983445" w:rsidP="008B4C50">
            <w:pPr>
              <w:suppressAutoHyphens/>
              <w:rPr>
                <w:sz w:val="18"/>
                <w:szCs w:val="18"/>
              </w:rPr>
            </w:pPr>
            <w:r w:rsidRPr="00F13073">
              <w:rPr>
                <w:rStyle w:val="Other"/>
                <w:rFonts w:eastAsia="DengXian"/>
                <w:sz w:val="18"/>
                <w:szCs w:val="18"/>
              </w:rPr>
              <w:t>Zaburzenia skóry i tkanki podskórnej</w:t>
            </w:r>
          </w:p>
        </w:tc>
        <w:tc>
          <w:tcPr>
            <w:tcW w:w="2109" w:type="dxa"/>
          </w:tcPr>
          <w:p w14:paraId="29274857"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630EF9D6" w14:textId="77777777" w:rsidR="00983445" w:rsidRPr="00F13073" w:rsidRDefault="00983445" w:rsidP="008B4C50">
            <w:pPr>
              <w:suppressAutoHyphens/>
              <w:rPr>
                <w:sz w:val="18"/>
                <w:szCs w:val="18"/>
              </w:rPr>
            </w:pPr>
            <w:r w:rsidRPr="00F13073">
              <w:rPr>
                <w:rStyle w:val="Other"/>
                <w:rFonts w:eastAsia="DengXian"/>
                <w:sz w:val="18"/>
                <w:szCs w:val="18"/>
              </w:rPr>
              <w:t>Wysypka, świąd, pokrzywka</w:t>
            </w:r>
          </w:p>
        </w:tc>
        <w:tc>
          <w:tcPr>
            <w:tcW w:w="1823" w:type="dxa"/>
          </w:tcPr>
          <w:p w14:paraId="5093647A"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vAlign w:val="bottom"/>
          </w:tcPr>
          <w:p w14:paraId="41827F13" w14:textId="77777777" w:rsidR="00983445" w:rsidRPr="00F13073" w:rsidRDefault="00983445" w:rsidP="008B4C50">
            <w:pPr>
              <w:suppressAutoHyphens/>
              <w:rPr>
                <w:sz w:val="18"/>
                <w:szCs w:val="18"/>
              </w:rPr>
            </w:pPr>
            <w:r w:rsidRPr="00F13073">
              <w:rPr>
                <w:rStyle w:val="Other"/>
                <w:rFonts w:eastAsia="DengXian"/>
                <w:sz w:val="18"/>
                <w:szCs w:val="18"/>
              </w:rPr>
              <w:t>Zespół Stevensa- Johnsona</w:t>
            </w:r>
            <w:r w:rsidRPr="00F13073">
              <w:rPr>
                <w:rStyle w:val="Other"/>
                <w:rFonts w:eastAsia="DengXian"/>
                <w:sz w:val="18"/>
                <w:szCs w:val="18"/>
                <w:vertAlign w:val="superscript"/>
              </w:rPr>
              <w:t>3</w:t>
            </w:r>
          </w:p>
        </w:tc>
      </w:tr>
      <w:tr w:rsidR="00983445" w:rsidRPr="00F13073" w14:paraId="05E3E79F" w14:textId="77777777" w:rsidTr="00B16D0C">
        <w:trPr>
          <w:cantSplit/>
          <w:tblHeader/>
        </w:trPr>
        <w:tc>
          <w:tcPr>
            <w:tcW w:w="1660" w:type="dxa"/>
            <w:vAlign w:val="bottom"/>
          </w:tcPr>
          <w:p w14:paraId="4ED1D10E" w14:textId="77777777" w:rsidR="00983445" w:rsidRPr="00F13073" w:rsidRDefault="00983445" w:rsidP="008B4C50">
            <w:pPr>
              <w:suppressAutoHyphens/>
              <w:rPr>
                <w:sz w:val="18"/>
                <w:szCs w:val="18"/>
              </w:rPr>
            </w:pPr>
            <w:r w:rsidRPr="00F13073">
              <w:rPr>
                <w:rStyle w:val="Other"/>
                <w:rFonts w:eastAsia="DengXian"/>
                <w:sz w:val="18"/>
                <w:szCs w:val="18"/>
              </w:rPr>
              <w:t>Zaburzenia nerek i dróg moczowych</w:t>
            </w:r>
          </w:p>
        </w:tc>
        <w:tc>
          <w:tcPr>
            <w:tcW w:w="2109" w:type="dxa"/>
          </w:tcPr>
          <w:p w14:paraId="624DDA87"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tcPr>
          <w:p w14:paraId="5FC56214"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823" w:type="dxa"/>
          </w:tcPr>
          <w:p w14:paraId="32508ED4" w14:textId="77777777" w:rsidR="00983445" w:rsidRPr="00F13073" w:rsidRDefault="00983445" w:rsidP="008B4C50">
            <w:pPr>
              <w:suppressAutoHyphens/>
              <w:rPr>
                <w:sz w:val="18"/>
                <w:szCs w:val="18"/>
              </w:rPr>
            </w:pPr>
            <w:r w:rsidRPr="00F13073">
              <w:rPr>
                <w:rStyle w:val="Other"/>
                <w:rFonts w:eastAsia="DengXian"/>
                <w:sz w:val="18"/>
                <w:szCs w:val="18"/>
              </w:rPr>
              <w:t>Kamica nerkowa</w:t>
            </w:r>
          </w:p>
        </w:tc>
        <w:tc>
          <w:tcPr>
            <w:tcW w:w="1457" w:type="dxa"/>
          </w:tcPr>
          <w:p w14:paraId="578434A1" w14:textId="77777777" w:rsidR="00983445" w:rsidRPr="00F13073" w:rsidRDefault="00983445" w:rsidP="008B4C50">
            <w:pPr>
              <w:suppressAutoHyphens/>
              <w:rPr>
                <w:sz w:val="18"/>
                <w:szCs w:val="18"/>
              </w:rPr>
            </w:pPr>
          </w:p>
        </w:tc>
      </w:tr>
      <w:tr w:rsidR="00983445" w:rsidRPr="00F13073" w14:paraId="73691199" w14:textId="77777777" w:rsidTr="00B16D0C">
        <w:trPr>
          <w:cantSplit/>
          <w:tblHeader/>
        </w:trPr>
        <w:tc>
          <w:tcPr>
            <w:tcW w:w="1660" w:type="dxa"/>
            <w:vAlign w:val="bottom"/>
          </w:tcPr>
          <w:p w14:paraId="13397E27" w14:textId="77777777" w:rsidR="00983445" w:rsidRPr="00F13073" w:rsidRDefault="00983445" w:rsidP="008B4C50">
            <w:pPr>
              <w:suppressAutoHyphens/>
              <w:rPr>
                <w:sz w:val="18"/>
                <w:szCs w:val="18"/>
              </w:rPr>
            </w:pPr>
            <w:r w:rsidRPr="00F13073">
              <w:rPr>
                <w:rStyle w:val="Other"/>
                <w:rFonts w:eastAsia="DengXian"/>
                <w:sz w:val="18"/>
                <w:szCs w:val="18"/>
              </w:rPr>
              <w:t>Zaburzenia ogólnoustrojowe i odczyny w miejscu podania leku</w:t>
            </w:r>
          </w:p>
        </w:tc>
        <w:tc>
          <w:tcPr>
            <w:tcW w:w="2109" w:type="dxa"/>
          </w:tcPr>
          <w:p w14:paraId="1FA96B45" w14:textId="77777777" w:rsidR="00983445" w:rsidRPr="00F13073" w:rsidRDefault="00983445" w:rsidP="008B4C50">
            <w:pPr>
              <w:suppressAutoHyphens/>
              <w:rPr>
                <w:sz w:val="18"/>
                <w:szCs w:val="18"/>
              </w:rPr>
            </w:pPr>
            <w:r w:rsidRPr="00F13073">
              <w:rPr>
                <w:rStyle w:val="Other"/>
                <w:rFonts w:eastAsia="DengXian"/>
                <w:sz w:val="18"/>
                <w:szCs w:val="18"/>
              </w:rPr>
              <w:t>Reakcja w miejscu wstrzyknięcia</w:t>
            </w:r>
          </w:p>
        </w:tc>
        <w:tc>
          <w:tcPr>
            <w:tcW w:w="2023" w:type="dxa"/>
          </w:tcPr>
          <w:p w14:paraId="41850C62" w14:textId="77777777" w:rsidR="00983445" w:rsidRPr="00F13073" w:rsidRDefault="00983445" w:rsidP="008B4C50">
            <w:pPr>
              <w:suppressAutoHyphens/>
              <w:rPr>
                <w:sz w:val="18"/>
                <w:szCs w:val="18"/>
              </w:rPr>
            </w:pPr>
            <w:r w:rsidRPr="00F13073">
              <w:rPr>
                <w:rStyle w:val="Other"/>
                <w:rFonts w:eastAsia="DengXian"/>
                <w:sz w:val="18"/>
                <w:szCs w:val="18"/>
              </w:rPr>
              <w:t>Obrzęki obwodowe, reakcje nadwrażliwości</w:t>
            </w:r>
          </w:p>
        </w:tc>
        <w:tc>
          <w:tcPr>
            <w:tcW w:w="1823" w:type="dxa"/>
          </w:tcPr>
          <w:p w14:paraId="2838EF08"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2B36E12C" w14:textId="77777777" w:rsidR="00983445" w:rsidRPr="00F13073" w:rsidRDefault="00983445" w:rsidP="008B4C50">
            <w:pPr>
              <w:suppressAutoHyphens/>
              <w:rPr>
                <w:sz w:val="18"/>
                <w:szCs w:val="18"/>
              </w:rPr>
            </w:pPr>
          </w:p>
        </w:tc>
      </w:tr>
      <w:tr w:rsidR="00983445" w:rsidRPr="00F13073" w14:paraId="5D264E9C" w14:textId="77777777" w:rsidTr="00B16D0C">
        <w:trPr>
          <w:cantSplit/>
          <w:tblHeader/>
        </w:trPr>
        <w:tc>
          <w:tcPr>
            <w:tcW w:w="1660" w:type="dxa"/>
          </w:tcPr>
          <w:p w14:paraId="20D518C3" w14:textId="77777777" w:rsidR="00983445" w:rsidRPr="00F13073" w:rsidRDefault="00983445" w:rsidP="008B4C50">
            <w:pPr>
              <w:suppressAutoHyphens/>
              <w:rPr>
                <w:sz w:val="18"/>
                <w:szCs w:val="18"/>
              </w:rPr>
            </w:pPr>
            <w:r w:rsidRPr="00F13073">
              <w:rPr>
                <w:rStyle w:val="Other"/>
                <w:rFonts w:eastAsia="DengXian"/>
                <w:sz w:val="18"/>
                <w:szCs w:val="18"/>
              </w:rPr>
              <w:t>Badania diagnostyczne</w:t>
            </w:r>
          </w:p>
        </w:tc>
        <w:tc>
          <w:tcPr>
            <w:tcW w:w="2109" w:type="dxa"/>
          </w:tcPr>
          <w:p w14:paraId="2A23C62F"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2023" w:type="dxa"/>
            <w:vAlign w:val="bottom"/>
          </w:tcPr>
          <w:p w14:paraId="3976CEA5" w14:textId="77777777" w:rsidR="00983445" w:rsidRPr="00F13073" w:rsidRDefault="00983445" w:rsidP="008B4C50">
            <w:pPr>
              <w:suppressAutoHyphens/>
              <w:rPr>
                <w:sz w:val="18"/>
                <w:szCs w:val="18"/>
              </w:rPr>
            </w:pPr>
            <w:r w:rsidRPr="00F13073">
              <w:rPr>
                <w:rStyle w:val="Other"/>
                <w:rFonts w:eastAsia="DengXian"/>
                <w:sz w:val="18"/>
                <w:szCs w:val="18"/>
              </w:rPr>
              <w:t>Zwiększenie aktywności aminotransferaz wątrobowych, zwiększenie masy ciała, zwiększenie bilirubiny całkowitej*</w:t>
            </w:r>
          </w:p>
        </w:tc>
        <w:tc>
          <w:tcPr>
            <w:tcW w:w="1823" w:type="dxa"/>
          </w:tcPr>
          <w:p w14:paraId="1DE2540E" w14:textId="77777777" w:rsidR="00983445" w:rsidRPr="00F13073" w:rsidRDefault="00983445" w:rsidP="008B4C50">
            <w:pPr>
              <w:suppressAutoHyphens/>
              <w:rPr>
                <w:sz w:val="18"/>
                <w:szCs w:val="18"/>
              </w:rPr>
            </w:pPr>
            <w:r w:rsidRPr="00F13073">
              <w:rPr>
                <w:rStyle w:val="Other"/>
                <w:rFonts w:eastAsia="DengXian"/>
                <w:sz w:val="18"/>
                <w:szCs w:val="18"/>
              </w:rPr>
              <w:t>-</w:t>
            </w:r>
          </w:p>
        </w:tc>
        <w:tc>
          <w:tcPr>
            <w:tcW w:w="1457" w:type="dxa"/>
          </w:tcPr>
          <w:p w14:paraId="0EBF54D6" w14:textId="77777777" w:rsidR="00983445" w:rsidRPr="00F13073" w:rsidRDefault="00983445" w:rsidP="008B4C50">
            <w:pPr>
              <w:suppressAutoHyphens/>
              <w:rPr>
                <w:sz w:val="18"/>
                <w:szCs w:val="18"/>
              </w:rPr>
            </w:pPr>
          </w:p>
        </w:tc>
      </w:tr>
    </w:tbl>
    <w:p w14:paraId="21A2B1B5" w14:textId="77777777" w:rsidR="001E0975" w:rsidRPr="00F13073" w:rsidRDefault="00611033" w:rsidP="008B4C50">
      <w:pPr>
        <w:rPr>
          <w:sz w:val="18"/>
          <w:szCs w:val="18"/>
        </w:rPr>
      </w:pPr>
      <w:r w:rsidRPr="00F13073">
        <w:rPr>
          <w:sz w:val="18"/>
          <w:szCs w:val="18"/>
        </w:rPr>
        <w:t xml:space="preserve">* </w:t>
      </w:r>
      <w:r w:rsidR="00B646E2" w:rsidRPr="00F13073">
        <w:rPr>
          <w:sz w:val="18"/>
          <w:szCs w:val="18"/>
        </w:rPr>
        <w:t>Obejmuje wzrost wykryty w czasie rutynowego monitorowania laboratoryjnego (patrz poniższy opis)</w:t>
      </w:r>
    </w:p>
    <w:p w14:paraId="798829F8" w14:textId="77777777" w:rsidR="00B646E2" w:rsidRPr="00F13073" w:rsidRDefault="00B646E2" w:rsidP="008B4C50">
      <w:pPr>
        <w:rPr>
          <w:sz w:val="18"/>
          <w:szCs w:val="18"/>
        </w:rPr>
      </w:pPr>
      <w:r w:rsidRPr="00F13073">
        <w:rPr>
          <w:sz w:val="18"/>
          <w:szCs w:val="18"/>
          <w:vertAlign w:val="superscript"/>
        </w:rPr>
        <w:t>1</w:t>
      </w:r>
      <w:r w:rsidRPr="00F13073">
        <w:rPr>
          <w:sz w:val="18"/>
          <w:szCs w:val="18"/>
        </w:rPr>
        <w:t xml:space="preserve"> Patrz punkt 4.3</w:t>
      </w:r>
    </w:p>
    <w:p w14:paraId="77BEF84A" w14:textId="77777777" w:rsidR="001E0975" w:rsidRPr="00F13073" w:rsidRDefault="00611033" w:rsidP="008B4C50">
      <w:pPr>
        <w:rPr>
          <w:sz w:val="18"/>
          <w:szCs w:val="18"/>
        </w:rPr>
      </w:pPr>
      <w:r w:rsidRPr="00F13073">
        <w:rPr>
          <w:sz w:val="18"/>
          <w:szCs w:val="18"/>
          <w:vertAlign w:val="superscript"/>
        </w:rPr>
        <w:t>2</w:t>
      </w:r>
      <w:r w:rsidRPr="00F13073">
        <w:rPr>
          <w:sz w:val="18"/>
          <w:szCs w:val="18"/>
        </w:rPr>
        <w:t xml:space="preserve"> </w:t>
      </w:r>
      <w:r w:rsidR="00B646E2" w:rsidRPr="00F13073">
        <w:rPr>
          <w:sz w:val="18"/>
          <w:szCs w:val="18"/>
        </w:rPr>
        <w:t xml:space="preserve">Patrz punkt </w:t>
      </w:r>
      <w:r w:rsidRPr="00F13073">
        <w:rPr>
          <w:sz w:val="18"/>
          <w:szCs w:val="18"/>
        </w:rPr>
        <w:t>4.4</w:t>
      </w:r>
    </w:p>
    <w:p w14:paraId="74482FFB" w14:textId="77777777" w:rsidR="001E0975" w:rsidRPr="00F13073" w:rsidRDefault="00611033" w:rsidP="008B4C50">
      <w:pPr>
        <w:rPr>
          <w:sz w:val="18"/>
          <w:szCs w:val="18"/>
        </w:rPr>
      </w:pPr>
      <w:r w:rsidRPr="00F13073">
        <w:rPr>
          <w:sz w:val="18"/>
          <w:szCs w:val="18"/>
          <w:vertAlign w:val="superscript"/>
        </w:rPr>
        <w:lastRenderedPageBreak/>
        <w:t>3</w:t>
      </w:r>
      <w:r w:rsidRPr="00F13073">
        <w:rPr>
          <w:sz w:val="18"/>
          <w:szCs w:val="18"/>
        </w:rPr>
        <w:t xml:space="preserve"> </w:t>
      </w:r>
      <w:r w:rsidR="00B646E2" w:rsidRPr="00F13073">
        <w:rPr>
          <w:sz w:val="18"/>
          <w:szCs w:val="18"/>
        </w:rPr>
        <w:t>To działanie niepożądane zostało zidentyfikowane podczas monitorowania bezpieczeństwa stosowania leku po jego wprowadzeniu do obrotu, ale nie było obserwowane w kontrolowanych badaniach klinicznych. Kategorię częstotliwości oszacowano jako górną granicę przedziału ufności 95%, obliczonego na podstawie łącznej liczby pacjentów poddanych działaniu TCZ podczas badań klinicznych.</w:t>
      </w:r>
    </w:p>
    <w:p w14:paraId="1065AF31" w14:textId="77777777" w:rsidR="001E0975" w:rsidRPr="00F13073" w:rsidRDefault="001E0975" w:rsidP="008B4C50"/>
    <w:p w14:paraId="27FE99C8" w14:textId="77777777" w:rsidR="001E0975" w:rsidRPr="00F13073" w:rsidRDefault="00B646E2" w:rsidP="008B4C50">
      <w:pPr>
        <w:keepNext/>
        <w:rPr>
          <w:u w:val="single"/>
        </w:rPr>
      </w:pPr>
      <w:r w:rsidRPr="00F13073">
        <w:rPr>
          <w:u w:val="single"/>
        </w:rPr>
        <w:t>Stosowanie podskórne</w:t>
      </w:r>
    </w:p>
    <w:p w14:paraId="6D5E6339" w14:textId="77777777" w:rsidR="001E0975" w:rsidRPr="00F13073" w:rsidRDefault="00611033" w:rsidP="008B4C50">
      <w:pPr>
        <w:keepNext/>
        <w:rPr>
          <w:b/>
          <w:bCs/>
        </w:rPr>
      </w:pPr>
      <w:r w:rsidRPr="00F13073">
        <w:rPr>
          <w:b/>
          <w:bCs/>
        </w:rPr>
        <w:t>R</w:t>
      </w:r>
      <w:r w:rsidR="00B646E2" w:rsidRPr="00F13073">
        <w:rPr>
          <w:b/>
          <w:bCs/>
        </w:rPr>
        <w:t>ZS</w:t>
      </w:r>
    </w:p>
    <w:p w14:paraId="59116C2E" w14:textId="743FD7A5" w:rsidR="00B646E2" w:rsidRPr="00F13073" w:rsidRDefault="00B646E2" w:rsidP="008B4C50">
      <w:pPr>
        <w:pStyle w:val="a4"/>
        <w:widowControl/>
        <w:spacing w:after="0"/>
        <w:rPr>
          <w:rStyle w:val="Char"/>
        </w:rPr>
      </w:pPr>
      <w:r w:rsidRPr="00F13073">
        <w:rPr>
          <w:rStyle w:val="Char"/>
        </w:rPr>
        <w:t xml:space="preserve">Bezpieczeństwo podskórnie podawanego </w:t>
      </w:r>
      <w:r w:rsidR="00B21A20" w:rsidRPr="00F13073">
        <w:rPr>
          <w:rStyle w:val="Char"/>
        </w:rPr>
        <w:t xml:space="preserve">tocilizumabu </w:t>
      </w:r>
      <w:r w:rsidRPr="00F13073">
        <w:rPr>
          <w:rStyle w:val="Char"/>
        </w:rPr>
        <w:t xml:space="preserve">u chorych na RZS oceniano w prowadzonym metodą podwójnie ślepej próby, kontrolowanym, wieloośrodkowym badaniu SC-I. SC-I było badaniem równoważności (non-inferiority) obejmującym 1262 chorych na RZS, służącym ocenie skuteczności i bezpieczeństwa </w:t>
      </w:r>
      <w:r w:rsidR="00B21A20" w:rsidRPr="00F13073">
        <w:rPr>
          <w:rStyle w:val="Char"/>
        </w:rPr>
        <w:t>tocilizumabu</w:t>
      </w:r>
      <w:r w:rsidR="00151F2F" w:rsidRPr="00F13073">
        <w:rPr>
          <w:rStyle w:val="Char"/>
        </w:rPr>
        <w:t xml:space="preserve"> </w:t>
      </w:r>
      <w:r w:rsidRPr="00F13073">
        <w:rPr>
          <w:rStyle w:val="Char"/>
        </w:rPr>
        <w:t xml:space="preserve">podawanego w dawce 162 mg co tydzień w porównaniu do dawki 8 mg/kg mc. podawanej dożylnie. Wszyscy pacjenci otrzymywali wcześniej leczenie niebiologicznymi lekami DMARD. Bezpieczeństwo i immunogenność określone dla </w:t>
      </w:r>
      <w:r w:rsidR="00B21A20" w:rsidRPr="00F13073">
        <w:rPr>
          <w:rStyle w:val="Char"/>
        </w:rPr>
        <w:t xml:space="preserve">tocilizumabu </w:t>
      </w:r>
      <w:r w:rsidRPr="00F13073">
        <w:rPr>
          <w:rStyle w:val="Char"/>
        </w:rPr>
        <w:t xml:space="preserve">podawanego podskórnie były spójne ze znanym profilem bezpieczeństwa dla </w:t>
      </w:r>
      <w:r w:rsidR="00B21A20" w:rsidRPr="00F13073">
        <w:rPr>
          <w:rStyle w:val="Char"/>
        </w:rPr>
        <w:t>tocilizumabu</w:t>
      </w:r>
      <w:r w:rsidRPr="00F13073">
        <w:rPr>
          <w:rStyle w:val="Char"/>
        </w:rPr>
        <w:t xml:space="preserve"> podawanego dożylnie. Nie zaobserwowano nowych ani nieoczekiwanych niepożądanych działań leku (patrz Tabela 1). Reakcje w miejscu wstrzyknięcia były częstsze w grupie otrzymującej lek podskórnie w porównaniu z częstością reakcji w grupie otrzymującej lek dożylnie, w której podawano podskórnie placebo.</w:t>
      </w:r>
    </w:p>
    <w:p w14:paraId="0C6FFEE6" w14:textId="77777777" w:rsidR="00B646E2" w:rsidRPr="00F13073" w:rsidRDefault="00B646E2" w:rsidP="008B4C50">
      <w:pPr>
        <w:pStyle w:val="a4"/>
        <w:widowControl/>
        <w:spacing w:after="0"/>
      </w:pPr>
    </w:p>
    <w:p w14:paraId="3F927D65" w14:textId="77777777" w:rsidR="00B646E2" w:rsidRPr="00F13073" w:rsidRDefault="00B646E2" w:rsidP="008B4C50">
      <w:pPr>
        <w:pStyle w:val="a4"/>
        <w:widowControl/>
        <w:spacing w:after="0"/>
      </w:pPr>
      <w:r w:rsidRPr="00F13073">
        <w:rPr>
          <w:rStyle w:val="Char"/>
          <w:i/>
          <w:iCs/>
        </w:rPr>
        <w:t>Reakcje w miejscu wstrzyknięcia</w:t>
      </w:r>
    </w:p>
    <w:p w14:paraId="71E15C3D" w14:textId="5EFF03A3" w:rsidR="00B646E2" w:rsidRPr="00F13073" w:rsidRDefault="00B646E2" w:rsidP="008B4C50">
      <w:pPr>
        <w:pStyle w:val="a4"/>
        <w:widowControl/>
        <w:spacing w:after="0"/>
        <w:rPr>
          <w:rStyle w:val="Char"/>
        </w:rPr>
      </w:pPr>
      <w:r w:rsidRPr="00F13073">
        <w:rPr>
          <w:rStyle w:val="Char"/>
        </w:rPr>
        <w:t xml:space="preserve">W trakcie 6-miesięcznego okresu kontrolowanego badania SC-I częstość występowania reakcji w miejscu wstrzyknięcia wynosiła dla podawanego podskórnie, cotygodniowo </w:t>
      </w:r>
      <w:r w:rsidR="00B21A20" w:rsidRPr="00F13073">
        <w:rPr>
          <w:rStyle w:val="Char"/>
        </w:rPr>
        <w:t>tocilizumabu</w:t>
      </w:r>
      <w:r w:rsidRPr="00F13073">
        <w:rPr>
          <w:rStyle w:val="Char"/>
        </w:rPr>
        <w:t xml:space="preserve"> 10,1% (64/631) i placebo (grupa leczona lekiem podawanym dożylnie) 2,4% (15/631). Reakcje w miejscu wstrzyknięcia (jak rumień, świąd, ból i krwiak) miały nasilenie od łagodnego do umiarkowanego. Większość z nich ustępowała bez leczenia i bez konieczności odstawienia leku.</w:t>
      </w:r>
    </w:p>
    <w:p w14:paraId="704ED350" w14:textId="77777777" w:rsidR="00B646E2" w:rsidRPr="00F13073" w:rsidRDefault="00B646E2" w:rsidP="008B4C50">
      <w:pPr>
        <w:pStyle w:val="a4"/>
        <w:widowControl/>
        <w:spacing w:after="0"/>
      </w:pPr>
    </w:p>
    <w:p w14:paraId="1B0D9701" w14:textId="77777777" w:rsidR="00B646E2" w:rsidRPr="00F13073" w:rsidRDefault="00B646E2" w:rsidP="008B4C50">
      <w:pPr>
        <w:pStyle w:val="a4"/>
        <w:widowControl/>
        <w:spacing w:after="0"/>
      </w:pPr>
      <w:r w:rsidRPr="00F13073">
        <w:rPr>
          <w:rStyle w:val="Char"/>
          <w:i/>
          <w:iCs/>
        </w:rPr>
        <w:t>Nieprawidłowości hematologiczne:</w:t>
      </w:r>
    </w:p>
    <w:p w14:paraId="7366CD6A" w14:textId="77777777" w:rsidR="00B646E2" w:rsidRPr="00F13073" w:rsidRDefault="00B646E2" w:rsidP="008B4C50">
      <w:pPr>
        <w:pStyle w:val="a4"/>
        <w:widowControl/>
        <w:spacing w:after="0"/>
      </w:pPr>
      <w:r w:rsidRPr="00F13073">
        <w:rPr>
          <w:rStyle w:val="Char"/>
          <w:i/>
          <w:iCs/>
        </w:rPr>
        <w:t>Granulocyty obojętnochłonne</w:t>
      </w:r>
    </w:p>
    <w:p w14:paraId="49E3435C" w14:textId="4AC170AB" w:rsidR="00B646E2" w:rsidRPr="00F13073" w:rsidRDefault="00B646E2" w:rsidP="008B4C50">
      <w:pPr>
        <w:pStyle w:val="a4"/>
        <w:widowControl/>
        <w:spacing w:after="0"/>
        <w:rPr>
          <w:rStyle w:val="Char"/>
        </w:rPr>
      </w:pPr>
      <w:r w:rsidRPr="00F13073">
        <w:rPr>
          <w:rStyle w:val="Char"/>
        </w:rPr>
        <w:t xml:space="preserve">W czasie rutynowego monitorowania laboratoryjnego w okresie 6-miesięcznej fazy kontrolowanej badania klinicznego </w:t>
      </w:r>
      <w:r w:rsidR="005E2CD4" w:rsidRPr="00F13073">
        <w:rPr>
          <w:rStyle w:val="Char"/>
        </w:rPr>
        <w:t>tocilizumabu</w:t>
      </w:r>
      <w:r w:rsidR="00151F2F" w:rsidRPr="00F13073">
        <w:rPr>
          <w:rStyle w:val="Char"/>
        </w:rPr>
        <w:t xml:space="preserve"> </w:t>
      </w:r>
      <w:r w:rsidRPr="00F13073">
        <w:rPr>
          <w:rStyle w:val="Char"/>
        </w:rPr>
        <w:t>SC-I u 2,9% pacjentów w przypadku cotygodniowego przyjmowania dawki podskórnej wystąpiło zmniejszenie liczby granulocytów obojętnochłonnych poniżej 1 x 10</w:t>
      </w:r>
      <w:r w:rsidRPr="00F13073">
        <w:rPr>
          <w:rStyle w:val="Char"/>
          <w:vertAlign w:val="superscript"/>
        </w:rPr>
        <w:t>9</w:t>
      </w:r>
      <w:r w:rsidRPr="00F13073">
        <w:rPr>
          <w:rStyle w:val="Char"/>
        </w:rPr>
        <w:t>/L.</w:t>
      </w:r>
    </w:p>
    <w:p w14:paraId="2E9BF0F9" w14:textId="77777777" w:rsidR="00613CE8" w:rsidRPr="00F13073" w:rsidRDefault="00613CE8" w:rsidP="008B4C50">
      <w:pPr>
        <w:pStyle w:val="a4"/>
        <w:widowControl/>
        <w:spacing w:after="0"/>
      </w:pPr>
    </w:p>
    <w:p w14:paraId="2F783E0D" w14:textId="77777777" w:rsidR="00B646E2" w:rsidRPr="00F13073" w:rsidRDefault="00B646E2" w:rsidP="008B4C50">
      <w:pPr>
        <w:pStyle w:val="a4"/>
        <w:widowControl/>
        <w:spacing w:after="0"/>
        <w:rPr>
          <w:rStyle w:val="Char"/>
        </w:rPr>
      </w:pPr>
      <w:r w:rsidRPr="00F13073">
        <w:rPr>
          <w:rStyle w:val="Char"/>
        </w:rPr>
        <w:t>Nie stwierdzono jednoznacznego powiązania pomiędzy zmniejszeniem liczby granulocytów obojętnochłonnych poniżej 1 x 10</w:t>
      </w:r>
      <w:r w:rsidRPr="00F13073">
        <w:rPr>
          <w:rStyle w:val="Char"/>
          <w:vertAlign w:val="superscript"/>
        </w:rPr>
        <w:t>9</w:t>
      </w:r>
      <w:r w:rsidRPr="00F13073">
        <w:rPr>
          <w:rStyle w:val="Char"/>
        </w:rPr>
        <w:t>/L a występowaniem ciężkich zakażeń.</w:t>
      </w:r>
    </w:p>
    <w:p w14:paraId="32F1380A" w14:textId="77777777" w:rsidR="00613CE8" w:rsidRPr="00F13073" w:rsidRDefault="00613CE8" w:rsidP="008B4C50">
      <w:pPr>
        <w:pStyle w:val="a4"/>
        <w:widowControl/>
        <w:spacing w:after="0"/>
      </w:pPr>
    </w:p>
    <w:p w14:paraId="6AFF9DC3" w14:textId="77777777" w:rsidR="00B646E2" w:rsidRPr="00F13073" w:rsidRDefault="00B646E2" w:rsidP="008B4C50">
      <w:pPr>
        <w:pStyle w:val="a4"/>
        <w:widowControl/>
        <w:spacing w:after="0"/>
      </w:pPr>
      <w:r w:rsidRPr="00F13073">
        <w:rPr>
          <w:rStyle w:val="Char"/>
          <w:i/>
          <w:iCs/>
        </w:rPr>
        <w:t>Płytki krwi</w:t>
      </w:r>
    </w:p>
    <w:p w14:paraId="6B5442A4" w14:textId="3AD41996" w:rsidR="00B646E2" w:rsidRPr="00F13073" w:rsidRDefault="00B646E2" w:rsidP="00B16D0C">
      <w:pPr>
        <w:pStyle w:val="a4"/>
        <w:widowControl/>
        <w:spacing w:after="0"/>
        <w:rPr>
          <w:rStyle w:val="Char"/>
        </w:rPr>
      </w:pPr>
      <w:r w:rsidRPr="00F13073">
        <w:rPr>
          <w:rStyle w:val="Char"/>
        </w:rPr>
        <w:t xml:space="preserve">W czasie rutynowego monitorowania laboratoryjnego w okresie 6-miesięcznej fazy kontrolowanej badania klinicznego </w:t>
      </w:r>
      <w:r w:rsidR="005E2CD4" w:rsidRPr="00F13073">
        <w:rPr>
          <w:rStyle w:val="Char"/>
        </w:rPr>
        <w:t xml:space="preserve">tocilizumabu </w:t>
      </w:r>
      <w:r w:rsidRPr="00F13073">
        <w:rPr>
          <w:rStyle w:val="Char"/>
        </w:rPr>
        <w:t>SC-I u żadnego z pacjentów, w przypadku cotygodniowego przyjmowania dawki podskórnie, nie wystąpił spadek liczby płytek krwi ≤</w:t>
      </w:r>
      <w:r w:rsidR="00B16D0C" w:rsidRPr="00F13073">
        <w:rPr>
          <w:rStyle w:val="Char"/>
        </w:rPr>
        <w:t> </w:t>
      </w:r>
      <w:r w:rsidRPr="00F13073">
        <w:rPr>
          <w:rStyle w:val="Char"/>
        </w:rPr>
        <w:t>50 x 10</w:t>
      </w:r>
      <w:r w:rsidRPr="00F13073">
        <w:rPr>
          <w:rStyle w:val="Char"/>
          <w:vertAlign w:val="superscript"/>
        </w:rPr>
        <w:t>3</w:t>
      </w:r>
      <w:r w:rsidRPr="00F13073">
        <w:rPr>
          <w:rStyle w:val="Char"/>
        </w:rPr>
        <w:t>/μL.</w:t>
      </w:r>
    </w:p>
    <w:p w14:paraId="1A8D70B6" w14:textId="77777777" w:rsidR="00613CE8" w:rsidRPr="00F13073" w:rsidRDefault="00613CE8" w:rsidP="008B4C50">
      <w:pPr>
        <w:pStyle w:val="a4"/>
        <w:widowControl/>
        <w:spacing w:after="0"/>
      </w:pPr>
    </w:p>
    <w:p w14:paraId="3F29B595" w14:textId="77777777" w:rsidR="00B646E2" w:rsidRPr="00F13073" w:rsidRDefault="00B646E2" w:rsidP="008245A4">
      <w:pPr>
        <w:pStyle w:val="a4"/>
        <w:keepNext/>
        <w:widowControl/>
        <w:spacing w:after="0"/>
      </w:pPr>
      <w:r w:rsidRPr="00F13073">
        <w:rPr>
          <w:rStyle w:val="Char"/>
          <w:i/>
          <w:iCs/>
        </w:rPr>
        <w:t>Zwiększenie aktywności aminotransferaz wątrobowych</w:t>
      </w:r>
    </w:p>
    <w:p w14:paraId="3E27E933" w14:textId="62B082E2" w:rsidR="00B646E2" w:rsidRPr="00F13073" w:rsidRDefault="00B646E2" w:rsidP="008B4C50">
      <w:pPr>
        <w:pStyle w:val="a4"/>
        <w:widowControl/>
        <w:spacing w:after="0"/>
        <w:rPr>
          <w:rStyle w:val="Char"/>
        </w:rPr>
      </w:pPr>
      <w:r w:rsidRPr="00F13073">
        <w:rPr>
          <w:rStyle w:val="Char"/>
        </w:rPr>
        <w:t xml:space="preserve">W czasie monitorowania laboratoryjnego w okresie 6-miesięcznej fazy kontrolowanej badania klinicznego </w:t>
      </w:r>
      <w:r w:rsidR="005E2CD4" w:rsidRPr="00F13073">
        <w:rPr>
          <w:rStyle w:val="Char"/>
        </w:rPr>
        <w:t>tocilizumabu</w:t>
      </w:r>
      <w:r w:rsidR="00151F2F" w:rsidRPr="00F13073">
        <w:rPr>
          <w:rStyle w:val="Char"/>
        </w:rPr>
        <w:t xml:space="preserve"> </w:t>
      </w:r>
      <w:r w:rsidRPr="00F13073">
        <w:rPr>
          <w:rStyle w:val="Char"/>
        </w:rPr>
        <w:t>SC-I w przypadku cotygodniowego przyjmowania dawki podskórnie, u odpowiednio 6,5% i 1,4% pacjentów wystąpił wzrost aktywności AlAT lub AspAT ≥ 3 x GGN.</w:t>
      </w:r>
    </w:p>
    <w:p w14:paraId="1C2A1BBA" w14:textId="77777777" w:rsidR="00613CE8" w:rsidRPr="00F13073" w:rsidRDefault="00613CE8" w:rsidP="008B4C50">
      <w:pPr>
        <w:pStyle w:val="a4"/>
        <w:widowControl/>
        <w:spacing w:after="0"/>
      </w:pPr>
    </w:p>
    <w:p w14:paraId="16766C04" w14:textId="77777777" w:rsidR="00B646E2" w:rsidRPr="00F13073" w:rsidRDefault="00B646E2" w:rsidP="008B4C50">
      <w:pPr>
        <w:pStyle w:val="a4"/>
        <w:widowControl/>
        <w:spacing w:after="0"/>
      </w:pPr>
      <w:r w:rsidRPr="00F13073">
        <w:rPr>
          <w:rStyle w:val="Char"/>
          <w:i/>
          <w:iCs/>
        </w:rPr>
        <w:t>Parametry gospodarki lipidowej</w:t>
      </w:r>
    </w:p>
    <w:p w14:paraId="581A86D4" w14:textId="1991E0E8" w:rsidR="00B646E2" w:rsidRPr="00F13073" w:rsidRDefault="00B646E2" w:rsidP="008B4C50">
      <w:pPr>
        <w:pStyle w:val="a4"/>
        <w:widowControl/>
        <w:spacing w:after="0"/>
        <w:rPr>
          <w:rStyle w:val="Char"/>
        </w:rPr>
      </w:pPr>
      <w:r w:rsidRPr="00F13073">
        <w:rPr>
          <w:rStyle w:val="Char"/>
        </w:rPr>
        <w:t xml:space="preserve">W czasie monitorowania laboratoryjnego w okresie 6-miesięcznej fazy kontrolowanej badania klinicznego SC-I z </w:t>
      </w:r>
      <w:r w:rsidR="005E2CD4" w:rsidRPr="00F13073">
        <w:rPr>
          <w:rStyle w:val="Char"/>
        </w:rPr>
        <w:t xml:space="preserve">tocilizumabem </w:t>
      </w:r>
      <w:r w:rsidRPr="00F13073">
        <w:rPr>
          <w:rStyle w:val="Char"/>
        </w:rPr>
        <w:t>u 19% pacjentów w przypadku cotygodniowego przyjmowania dawki podskórnie zarejestrowano trwałe podwyższenie stężenia cholesterolu całkowitego &gt; 6,2 mmol/l (240 mg/dl), z czego u 9% pacjentów zarejestrowano trwałe podwyższenie LDL do ≥</w:t>
      </w:r>
      <w:r w:rsidRPr="00F13073">
        <w:rPr>
          <w:rStyle w:val="Char"/>
          <w:sz w:val="24"/>
          <w:szCs w:val="24"/>
        </w:rPr>
        <w:t xml:space="preserve"> </w:t>
      </w:r>
      <w:r w:rsidRPr="00F13073">
        <w:rPr>
          <w:rStyle w:val="Char"/>
        </w:rPr>
        <w:t>4,1 mmol/l (160 mg/dl).</w:t>
      </w:r>
    </w:p>
    <w:p w14:paraId="0CB367C2" w14:textId="77777777" w:rsidR="00613CE8" w:rsidRPr="00F13073" w:rsidRDefault="00613CE8" w:rsidP="008B4C50">
      <w:pPr>
        <w:pStyle w:val="a4"/>
        <w:widowControl/>
        <w:spacing w:after="0"/>
      </w:pPr>
    </w:p>
    <w:p w14:paraId="59A030CD" w14:textId="77777777" w:rsidR="00B646E2" w:rsidRPr="00F13073" w:rsidRDefault="00B646E2" w:rsidP="008B4C50">
      <w:pPr>
        <w:pStyle w:val="a4"/>
        <w:widowControl/>
        <w:spacing w:after="0"/>
      </w:pPr>
      <w:r w:rsidRPr="00F13073">
        <w:rPr>
          <w:rStyle w:val="Char"/>
          <w:b/>
          <w:bCs/>
        </w:rPr>
        <w:t>uMIZS (SC)</w:t>
      </w:r>
    </w:p>
    <w:p w14:paraId="717D1292" w14:textId="2703B524" w:rsidR="00B646E2" w:rsidRPr="00F13073" w:rsidRDefault="00B646E2" w:rsidP="008B4C50">
      <w:pPr>
        <w:pStyle w:val="a4"/>
        <w:widowControl/>
        <w:spacing w:after="0"/>
        <w:rPr>
          <w:rStyle w:val="Char"/>
        </w:rPr>
      </w:pPr>
      <w:r w:rsidRPr="00F13073">
        <w:rPr>
          <w:rStyle w:val="Char"/>
        </w:rPr>
        <w:t xml:space="preserve">Profil bezpieczeństwa stosowania </w:t>
      </w:r>
      <w:r w:rsidR="00DA07E7" w:rsidRPr="00F13073">
        <w:rPr>
          <w:rStyle w:val="Char"/>
        </w:rPr>
        <w:t xml:space="preserve">tocilizumabu </w:t>
      </w:r>
      <w:r w:rsidRPr="00F13073">
        <w:rPr>
          <w:rStyle w:val="Char"/>
        </w:rPr>
        <w:t>w postaci podskórnej oceniano u 51 pacjentów należących do populacji dzieci i młodzieży (w wieku od 1 do 17 lat) chorych na uMIZS. Działania niepożądane obserwowane u pacjentów z uMIZS były na ogół podobne pod względem rodzaju do działań obserwowanych u pacjentów z RZS (patrz punkt Działania niepożądane powyżej).</w:t>
      </w:r>
    </w:p>
    <w:p w14:paraId="663E4CAB" w14:textId="77777777" w:rsidR="00613CE8" w:rsidRPr="00F13073" w:rsidRDefault="00613CE8" w:rsidP="008B4C50">
      <w:pPr>
        <w:pStyle w:val="a4"/>
        <w:widowControl/>
        <w:spacing w:after="0"/>
      </w:pPr>
    </w:p>
    <w:p w14:paraId="7F103008" w14:textId="77777777" w:rsidR="00B646E2" w:rsidRPr="00F13073" w:rsidRDefault="00B646E2" w:rsidP="008B4C50">
      <w:pPr>
        <w:pStyle w:val="a4"/>
        <w:widowControl/>
        <w:spacing w:after="0"/>
      </w:pPr>
      <w:r w:rsidRPr="00F13073">
        <w:rPr>
          <w:rStyle w:val="Char"/>
          <w:i/>
          <w:iCs/>
        </w:rPr>
        <w:t>Zakażenia</w:t>
      </w:r>
    </w:p>
    <w:p w14:paraId="2B0FA309" w14:textId="5596227D" w:rsidR="00B646E2" w:rsidRPr="00F13073" w:rsidRDefault="00B646E2" w:rsidP="008B4C50">
      <w:pPr>
        <w:pStyle w:val="a4"/>
        <w:widowControl/>
        <w:spacing w:after="0"/>
        <w:rPr>
          <w:rStyle w:val="Char"/>
        </w:rPr>
      </w:pPr>
      <w:r w:rsidRPr="00F13073">
        <w:rPr>
          <w:rStyle w:val="Char"/>
        </w:rPr>
        <w:t xml:space="preserve">Częstość występowania zakażeń u pacjentów z uMIZS leczonych </w:t>
      </w:r>
      <w:r w:rsidR="00DA07E7" w:rsidRPr="00F13073">
        <w:rPr>
          <w:rStyle w:val="Char"/>
        </w:rPr>
        <w:t>tocilizumabem</w:t>
      </w:r>
      <w:r w:rsidRPr="00F13073">
        <w:rPr>
          <w:rStyle w:val="Char"/>
        </w:rPr>
        <w:t xml:space="preserve"> w postaci podskórnej była porównywalna, jak u pacjentów z uMIZS leczonych </w:t>
      </w:r>
      <w:r w:rsidR="00DA07E7" w:rsidRPr="00F13073">
        <w:rPr>
          <w:rStyle w:val="Char"/>
        </w:rPr>
        <w:t>tocilizumabem</w:t>
      </w:r>
      <w:r w:rsidRPr="00F13073">
        <w:rPr>
          <w:rStyle w:val="Char"/>
        </w:rPr>
        <w:t xml:space="preserve"> w postaci dożylnej.</w:t>
      </w:r>
    </w:p>
    <w:p w14:paraId="11EE5B20" w14:textId="77777777" w:rsidR="00613CE8" w:rsidRPr="00F13073" w:rsidRDefault="00613CE8" w:rsidP="008B4C50">
      <w:pPr>
        <w:pStyle w:val="a4"/>
        <w:widowControl/>
        <w:spacing w:after="0"/>
      </w:pPr>
    </w:p>
    <w:p w14:paraId="002A9FB7" w14:textId="77777777" w:rsidR="00B646E2" w:rsidRPr="00F13073" w:rsidRDefault="00B646E2" w:rsidP="008B4C50">
      <w:pPr>
        <w:pStyle w:val="a4"/>
        <w:widowControl/>
        <w:spacing w:after="0"/>
      </w:pPr>
      <w:r w:rsidRPr="00F13073">
        <w:rPr>
          <w:rStyle w:val="Char"/>
          <w:i/>
          <w:iCs/>
        </w:rPr>
        <w:t>Reakcje w miejscu wstrzyknięcia</w:t>
      </w:r>
    </w:p>
    <w:p w14:paraId="7E3DCEB9" w14:textId="0EA5308B" w:rsidR="00B646E2" w:rsidRPr="00F13073" w:rsidRDefault="00B646E2" w:rsidP="008B4C50">
      <w:pPr>
        <w:pStyle w:val="a4"/>
        <w:widowControl/>
        <w:spacing w:after="0"/>
        <w:rPr>
          <w:rStyle w:val="Char"/>
        </w:rPr>
      </w:pPr>
      <w:r w:rsidRPr="00F13073">
        <w:rPr>
          <w:rStyle w:val="Char"/>
        </w:rPr>
        <w:t xml:space="preserve">W badaniu z podskórnym podaniem leku (badanie WA28118) łącznie u 41,2% (21/51) pacjentów z uMIZS wystąpiły reakcje w miejscu wstrzyknięcia po podskórnym podaniu </w:t>
      </w:r>
      <w:r w:rsidR="00DA07E7" w:rsidRPr="00F13073">
        <w:rPr>
          <w:rStyle w:val="Char"/>
        </w:rPr>
        <w:t>tocilizumabu</w:t>
      </w:r>
      <w:r w:rsidRPr="00F13073">
        <w:rPr>
          <w:rStyle w:val="Char"/>
        </w:rPr>
        <w:t>. Najczęstszymi reakcjami w miejscu wstrzyknięcia był rumień, świąd, ból i obrzęk w miejscu wstrzyknięcia. Większość zgłaszanych reakcji w miejscu wstrzyknięcia miała nasilenie stopnia 1.i wszystkie reakcje w miejscu wstrzyknięcia były zgłaszane jako zdarzenia nieciężkie i żadna reakcja w miejscu wstrzyknięcia nie wymagała zakończenia lub przerwania podawania leku.</w:t>
      </w:r>
    </w:p>
    <w:p w14:paraId="1F77713F" w14:textId="77777777" w:rsidR="00613CE8" w:rsidRPr="00F13073" w:rsidRDefault="00613CE8" w:rsidP="008B4C50">
      <w:pPr>
        <w:pStyle w:val="a4"/>
        <w:widowControl/>
        <w:spacing w:after="0"/>
      </w:pPr>
    </w:p>
    <w:p w14:paraId="444053C1" w14:textId="77777777" w:rsidR="00B646E2" w:rsidRPr="00F13073" w:rsidRDefault="00B646E2" w:rsidP="008B4C50">
      <w:pPr>
        <w:pStyle w:val="a4"/>
        <w:widowControl/>
        <w:spacing w:after="0"/>
      </w:pPr>
      <w:r w:rsidRPr="00F13073">
        <w:rPr>
          <w:rStyle w:val="Char"/>
          <w:i/>
          <w:iCs/>
        </w:rPr>
        <w:t>Odchylenia w wynikach badań laboratoryjnych</w:t>
      </w:r>
    </w:p>
    <w:p w14:paraId="72D9F318" w14:textId="37E19422" w:rsidR="00B646E2" w:rsidRPr="00F13073" w:rsidRDefault="00B646E2" w:rsidP="008B4C50">
      <w:pPr>
        <w:pStyle w:val="a4"/>
        <w:widowControl/>
        <w:spacing w:after="0"/>
        <w:rPr>
          <w:rStyle w:val="Char"/>
        </w:rPr>
      </w:pPr>
      <w:r w:rsidRPr="00F13073">
        <w:rPr>
          <w:rStyle w:val="Char"/>
        </w:rPr>
        <w:t>W 52-tygodniowym otwartym badaniu z postacią podskórną (WA28118) zmniejszenie liczby granulocytów obojętnochłonnych do wartości poniżej 1_× 10</w:t>
      </w:r>
      <w:r w:rsidRPr="00F13073">
        <w:rPr>
          <w:rStyle w:val="Char"/>
          <w:vertAlign w:val="superscript"/>
        </w:rPr>
        <w:t>9</w:t>
      </w:r>
      <w:r w:rsidRPr="00F13073">
        <w:rPr>
          <w:rStyle w:val="Char"/>
        </w:rPr>
        <w:t xml:space="preserve">/l wystąpiło u 23,5% pacjentów leczonych </w:t>
      </w:r>
      <w:r w:rsidR="00937F5E" w:rsidRPr="00F13073">
        <w:rPr>
          <w:rStyle w:val="Char"/>
        </w:rPr>
        <w:t xml:space="preserve">tocilizumabem </w:t>
      </w:r>
      <w:r w:rsidRPr="00F13073">
        <w:rPr>
          <w:rStyle w:val="Char"/>
        </w:rPr>
        <w:t>w postaci podskórnej. Zmniejszenie liczby płytek krwi do wartości poniżej 100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 xml:space="preserve">/μL wystąpiło u 2% pacjentów leczonych </w:t>
      </w:r>
      <w:r w:rsidR="00937F5E" w:rsidRPr="00F13073">
        <w:rPr>
          <w:rStyle w:val="Char"/>
        </w:rPr>
        <w:t xml:space="preserve">tocilizumabem </w:t>
      </w:r>
      <w:r w:rsidRPr="00F13073">
        <w:rPr>
          <w:rStyle w:val="Char"/>
        </w:rPr>
        <w:t xml:space="preserve">w postaci podskórnej. Zwiększenie aktywności AlAT lub AspAT </w:t>
      </w:r>
      <w:r w:rsidR="00907C2D" w:rsidRPr="00F13073">
        <w:rPr>
          <w:rStyle w:val="Char"/>
        </w:rPr>
        <w:t>≥</w:t>
      </w:r>
      <w:r w:rsidRPr="00F13073">
        <w:rPr>
          <w:rStyle w:val="Char"/>
        </w:rPr>
        <w:t xml:space="preserve"> 3 x GGN wystąpiło odpowiednio u 9,8% i 4,0% pacjentów leczonych podskórną postacią </w:t>
      </w:r>
      <w:r w:rsidR="00937F5E" w:rsidRPr="00F13073">
        <w:rPr>
          <w:rStyle w:val="Char"/>
        </w:rPr>
        <w:t>tocilizumabem</w:t>
      </w:r>
      <w:r w:rsidRPr="00F13073">
        <w:rPr>
          <w:rStyle w:val="Char"/>
        </w:rPr>
        <w:t>.</w:t>
      </w:r>
    </w:p>
    <w:p w14:paraId="2E4FD3B6" w14:textId="77777777" w:rsidR="00613CE8" w:rsidRPr="00F13073" w:rsidRDefault="00613CE8" w:rsidP="008B4C50">
      <w:pPr>
        <w:pStyle w:val="a4"/>
        <w:widowControl/>
        <w:spacing w:after="0"/>
      </w:pPr>
    </w:p>
    <w:p w14:paraId="4779A77C" w14:textId="77777777" w:rsidR="00B646E2" w:rsidRPr="00F13073" w:rsidRDefault="00B646E2" w:rsidP="008B4C50">
      <w:pPr>
        <w:pStyle w:val="a4"/>
        <w:widowControl/>
        <w:spacing w:after="0"/>
      </w:pPr>
      <w:r w:rsidRPr="00F13073">
        <w:rPr>
          <w:rStyle w:val="Char"/>
          <w:i/>
          <w:iCs/>
        </w:rPr>
        <w:t>Parametry gospodarki lipidowej</w:t>
      </w:r>
    </w:p>
    <w:p w14:paraId="211B2CFF" w14:textId="77777777" w:rsidR="00B646E2" w:rsidRPr="00F13073" w:rsidRDefault="00B646E2" w:rsidP="008B4C50">
      <w:pPr>
        <w:pStyle w:val="a4"/>
        <w:widowControl/>
        <w:spacing w:after="0"/>
        <w:rPr>
          <w:rStyle w:val="Char"/>
        </w:rPr>
      </w:pPr>
      <w:r w:rsidRPr="00F13073">
        <w:rPr>
          <w:rStyle w:val="Char"/>
        </w:rPr>
        <w:t>W 52-tygodniowym otwartym badaniu z postacią podskórną (WA28118) u 23,4% i 35,4% pacjentów wystąpiło zwiększenie odpowiednio frakcji LDL cholesterolu do wartości ≥</w:t>
      </w:r>
      <w:r w:rsidRPr="00F13073">
        <w:rPr>
          <w:rStyle w:val="Char"/>
          <w:sz w:val="24"/>
          <w:szCs w:val="24"/>
        </w:rPr>
        <w:t xml:space="preserve"> </w:t>
      </w:r>
      <w:r w:rsidRPr="00F13073">
        <w:rPr>
          <w:rStyle w:val="Char"/>
        </w:rPr>
        <w:t>130 mg/dL oraz cholesterolu całkowitego do wartości ≥</w:t>
      </w:r>
      <w:r w:rsidRPr="00F13073">
        <w:rPr>
          <w:rStyle w:val="Char"/>
          <w:sz w:val="24"/>
          <w:szCs w:val="24"/>
        </w:rPr>
        <w:t xml:space="preserve"> </w:t>
      </w:r>
      <w:r w:rsidRPr="00F13073">
        <w:rPr>
          <w:rStyle w:val="Char"/>
        </w:rPr>
        <w:t>200 mg/dL w pewnym momencie trwania badania w stosunku do pomiaru początkowego.</w:t>
      </w:r>
    </w:p>
    <w:p w14:paraId="2A99EA29" w14:textId="77777777" w:rsidR="00613CE8" w:rsidRPr="00F13073" w:rsidRDefault="00613CE8" w:rsidP="008B4C50">
      <w:pPr>
        <w:pStyle w:val="a4"/>
        <w:widowControl/>
        <w:spacing w:after="0"/>
      </w:pPr>
    </w:p>
    <w:p w14:paraId="6DB8F139" w14:textId="77777777" w:rsidR="00B646E2" w:rsidRPr="00F13073" w:rsidRDefault="00B646E2" w:rsidP="008B4C50">
      <w:pPr>
        <w:pStyle w:val="a4"/>
        <w:widowControl/>
        <w:spacing w:after="0"/>
      </w:pPr>
      <w:r w:rsidRPr="00F13073">
        <w:rPr>
          <w:rStyle w:val="Char"/>
          <w:b/>
          <w:bCs/>
        </w:rPr>
        <w:t>wMIZS (SC)</w:t>
      </w:r>
    </w:p>
    <w:p w14:paraId="6B0AF8BD" w14:textId="4F7BD0F5" w:rsidR="00B646E2" w:rsidRPr="00F13073" w:rsidRDefault="00B646E2" w:rsidP="008B4C50">
      <w:pPr>
        <w:pStyle w:val="a4"/>
        <w:widowControl/>
        <w:spacing w:after="0"/>
        <w:rPr>
          <w:rStyle w:val="Char"/>
        </w:rPr>
      </w:pPr>
      <w:r w:rsidRPr="00F13073">
        <w:rPr>
          <w:rStyle w:val="Char"/>
        </w:rPr>
        <w:t xml:space="preserve">Profil bezpieczeństwa stosowania </w:t>
      </w:r>
      <w:r w:rsidR="00937F5E" w:rsidRPr="00F13073">
        <w:rPr>
          <w:rStyle w:val="Char"/>
        </w:rPr>
        <w:t xml:space="preserve">tocilizumabu </w:t>
      </w:r>
      <w:r w:rsidRPr="00F13073">
        <w:rPr>
          <w:rStyle w:val="Char"/>
        </w:rPr>
        <w:t xml:space="preserve">w postaci podskórnej oceniano także u 52 pacjentów należących do populacji dzieci i młodzieży chorych na wMIZS. Całkowita ekspozycja na </w:t>
      </w:r>
      <w:r w:rsidR="00937F5E" w:rsidRPr="00F13073">
        <w:rPr>
          <w:rStyle w:val="Char"/>
        </w:rPr>
        <w:t xml:space="preserve">tocilizumab </w:t>
      </w:r>
      <w:r w:rsidRPr="00F13073">
        <w:rPr>
          <w:rStyle w:val="Char"/>
        </w:rPr>
        <w:t>w populacji z wMIZS przyjmującej lek wynosiła 184,4</w:t>
      </w:r>
      <w:r w:rsidR="00613CE8" w:rsidRPr="00F13073">
        <w:rPr>
          <w:rStyle w:val="Char"/>
        </w:rPr>
        <w:t xml:space="preserve"> </w:t>
      </w:r>
      <w:r w:rsidRPr="00F13073">
        <w:rPr>
          <w:rStyle w:val="Char"/>
        </w:rPr>
        <w:t xml:space="preserve">pacjentolat w przypadku postaci dożylnej i 50,4 pacjentolat w przypadku postaci podskórnej tocilizumabu. Ogólnie, profil bezpieczeństwa obserwowany u pacjentów z wMIZS był zgodny ze znanym profilem bezpieczeństwa </w:t>
      </w:r>
      <w:r w:rsidR="00937F5E" w:rsidRPr="00F13073">
        <w:rPr>
          <w:rStyle w:val="Char"/>
        </w:rPr>
        <w:t xml:space="preserve">tocilizumabu </w:t>
      </w:r>
      <w:r w:rsidRPr="00F13073">
        <w:rPr>
          <w:rStyle w:val="Char"/>
        </w:rPr>
        <w:t xml:space="preserve">z wyjątkiem reakcji w miejscu wstrzyknięcia (patrz Tabela 1). Reakcje w miejscu wstrzyknięcia występowały częściej u pacjentów z wMIZS po otrzymaniu </w:t>
      </w:r>
      <w:r w:rsidR="00937F5E" w:rsidRPr="00F13073">
        <w:rPr>
          <w:rStyle w:val="Char"/>
        </w:rPr>
        <w:t xml:space="preserve">tocilizumabu </w:t>
      </w:r>
      <w:r w:rsidRPr="00F13073">
        <w:rPr>
          <w:rStyle w:val="Char"/>
        </w:rPr>
        <w:t>we wstrzyknięciu podskórnym w porównaniu z dorosłymi pacjentami z RZS.</w:t>
      </w:r>
    </w:p>
    <w:p w14:paraId="1EF54D31" w14:textId="77777777" w:rsidR="00613CE8" w:rsidRPr="00F13073" w:rsidRDefault="00613CE8" w:rsidP="008B4C50">
      <w:pPr>
        <w:pStyle w:val="a4"/>
        <w:widowControl/>
        <w:spacing w:after="0"/>
      </w:pPr>
    </w:p>
    <w:p w14:paraId="439F253F" w14:textId="77777777" w:rsidR="00B646E2" w:rsidRPr="00F13073" w:rsidRDefault="00B646E2" w:rsidP="008B4C50">
      <w:pPr>
        <w:pStyle w:val="a4"/>
        <w:widowControl/>
        <w:spacing w:after="0"/>
      </w:pPr>
      <w:r w:rsidRPr="00F13073">
        <w:rPr>
          <w:rStyle w:val="Char"/>
          <w:i/>
          <w:iCs/>
        </w:rPr>
        <w:t>Zakażenia</w:t>
      </w:r>
    </w:p>
    <w:p w14:paraId="4B64B090" w14:textId="393A982F" w:rsidR="00B646E2" w:rsidRPr="00F13073" w:rsidRDefault="00B646E2" w:rsidP="008B4C50">
      <w:pPr>
        <w:pStyle w:val="a4"/>
        <w:widowControl/>
        <w:spacing w:after="0"/>
        <w:rPr>
          <w:rStyle w:val="Char"/>
        </w:rPr>
      </w:pPr>
      <w:r w:rsidRPr="00F13073">
        <w:rPr>
          <w:rStyle w:val="Char"/>
        </w:rPr>
        <w:t xml:space="preserve">W badaniu z podskórnym podawaniem </w:t>
      </w:r>
      <w:r w:rsidR="00937F5E" w:rsidRPr="00F13073">
        <w:rPr>
          <w:rStyle w:val="Char"/>
        </w:rPr>
        <w:t xml:space="preserve">tocilizumabu </w:t>
      </w:r>
      <w:r w:rsidRPr="00F13073">
        <w:rPr>
          <w:rStyle w:val="Char"/>
        </w:rPr>
        <w:t xml:space="preserve">częstość występowania zakażeń u pacjentów z wMIZS leczonych </w:t>
      </w:r>
      <w:r w:rsidR="00937F5E" w:rsidRPr="00F13073">
        <w:rPr>
          <w:rStyle w:val="Char"/>
        </w:rPr>
        <w:t xml:space="preserve">tocilizumabem </w:t>
      </w:r>
      <w:r w:rsidRPr="00F13073">
        <w:rPr>
          <w:rStyle w:val="Char"/>
        </w:rPr>
        <w:t xml:space="preserve">w postaci podskórnej była porównywalna, jak u pacjentów z wMIZS leczonych </w:t>
      </w:r>
      <w:r w:rsidR="00937F5E" w:rsidRPr="00F13073">
        <w:rPr>
          <w:rStyle w:val="Char"/>
        </w:rPr>
        <w:t xml:space="preserve">tocilizumabem </w:t>
      </w:r>
      <w:r w:rsidRPr="00F13073">
        <w:rPr>
          <w:rStyle w:val="Char"/>
        </w:rPr>
        <w:t>w postaci dożylnej.</w:t>
      </w:r>
    </w:p>
    <w:p w14:paraId="70D65382" w14:textId="77777777" w:rsidR="00617848" w:rsidRPr="00F13073" w:rsidRDefault="00617848" w:rsidP="008B4C50">
      <w:pPr>
        <w:pStyle w:val="a4"/>
        <w:widowControl/>
        <w:spacing w:after="0"/>
      </w:pPr>
    </w:p>
    <w:p w14:paraId="694EA234" w14:textId="77777777" w:rsidR="00B646E2" w:rsidRPr="00F13073" w:rsidRDefault="00B646E2" w:rsidP="008B4C50">
      <w:pPr>
        <w:pStyle w:val="a4"/>
        <w:widowControl/>
        <w:spacing w:after="0"/>
      </w:pPr>
      <w:r w:rsidRPr="00F13073">
        <w:rPr>
          <w:rStyle w:val="Char"/>
          <w:i/>
          <w:iCs/>
        </w:rPr>
        <w:t>Reakcje w miejscu wstrzyknięcia</w:t>
      </w:r>
    </w:p>
    <w:p w14:paraId="08B18806" w14:textId="7C532782" w:rsidR="00B646E2" w:rsidRPr="00F13073" w:rsidRDefault="00B646E2" w:rsidP="00B16D0C">
      <w:pPr>
        <w:pStyle w:val="a4"/>
        <w:widowControl/>
        <w:spacing w:after="0"/>
        <w:rPr>
          <w:rStyle w:val="Char"/>
        </w:rPr>
      </w:pPr>
      <w:r w:rsidRPr="00F13073">
        <w:rPr>
          <w:rStyle w:val="Char"/>
        </w:rPr>
        <w:t xml:space="preserve">Łącznie u 28,8% (15/52) pacjentów z wMIZS wystąpiły reakcje w miejscu wstrzyknięcia po podskórnym podaniu </w:t>
      </w:r>
      <w:r w:rsidR="006D2A9D" w:rsidRPr="00F13073">
        <w:rPr>
          <w:rStyle w:val="Char"/>
        </w:rPr>
        <w:t>tocilizumabu</w:t>
      </w:r>
      <w:r w:rsidRPr="00F13073">
        <w:rPr>
          <w:rStyle w:val="Char"/>
        </w:rPr>
        <w:t xml:space="preserve">. Reakcje w miejscu wstrzyknięcia wystąpiły u 44% pacjentów o masie ciała </w:t>
      </w:r>
      <w:r w:rsidR="00DD3858" w:rsidRPr="00F13073">
        <w:rPr>
          <w:rStyle w:val="Char"/>
        </w:rPr>
        <w:t>≥</w:t>
      </w:r>
      <w:r w:rsidRPr="00F13073">
        <w:rPr>
          <w:rStyle w:val="Char"/>
        </w:rPr>
        <w:t>30 kg w porównaniu z 14,8% pacjentów o masie ciała poniżej 30 kg. Najczęstszymi reakcjami w miejscu wstrzyknięcia był rumień, obrzęk, krwiak, ból i świąd. Wszystkie reakcje w miejscu wstrzyknięcia były zgłaszane jako nieciężkie zdarzenia stopnia 1. i</w:t>
      </w:r>
      <w:r w:rsidR="00B16D0C" w:rsidRPr="00F13073">
        <w:rPr>
          <w:rStyle w:val="Char"/>
        </w:rPr>
        <w:t> </w:t>
      </w:r>
      <w:r w:rsidRPr="00F13073">
        <w:rPr>
          <w:rStyle w:val="Char"/>
        </w:rPr>
        <w:t>żadna reakcja w miejscu wstrzyknięcia nie wymagała zakończenia lub przerwania podawania leku.</w:t>
      </w:r>
    </w:p>
    <w:p w14:paraId="16025420" w14:textId="77777777" w:rsidR="00617848" w:rsidRPr="00F13073" w:rsidRDefault="00617848" w:rsidP="008B4C50">
      <w:pPr>
        <w:pStyle w:val="a4"/>
        <w:widowControl/>
        <w:spacing w:after="0"/>
      </w:pPr>
    </w:p>
    <w:p w14:paraId="72620499" w14:textId="77777777" w:rsidR="00B646E2" w:rsidRPr="00F13073" w:rsidRDefault="00B646E2" w:rsidP="00B16D0C">
      <w:pPr>
        <w:pStyle w:val="a4"/>
        <w:keepNext/>
        <w:keepLines/>
        <w:widowControl/>
        <w:spacing w:after="0"/>
      </w:pPr>
      <w:r w:rsidRPr="00F13073">
        <w:rPr>
          <w:rStyle w:val="Char"/>
          <w:i/>
          <w:iCs/>
        </w:rPr>
        <w:t>Odchylenia w wynikach badań laboratoryjnych</w:t>
      </w:r>
    </w:p>
    <w:p w14:paraId="35574B88" w14:textId="0D54571B" w:rsidR="00B646E2" w:rsidRPr="00F13073" w:rsidRDefault="00B646E2" w:rsidP="008B4C50">
      <w:pPr>
        <w:pStyle w:val="a4"/>
        <w:widowControl/>
        <w:spacing w:after="0"/>
        <w:rPr>
          <w:rStyle w:val="Char"/>
          <w:lang w:eastAsia="el-GR"/>
        </w:rPr>
      </w:pPr>
      <w:r w:rsidRPr="00F13073">
        <w:rPr>
          <w:rStyle w:val="Char"/>
        </w:rPr>
        <w:t xml:space="preserve">Podczas rutynowego monitorowania wartości laboratoryjnych w populacji przyjmującej </w:t>
      </w:r>
      <w:r w:rsidR="00165614" w:rsidRPr="00F13073">
        <w:rPr>
          <w:rStyle w:val="Char"/>
        </w:rPr>
        <w:t>tocilizumab</w:t>
      </w:r>
      <w:r w:rsidRPr="00F13073">
        <w:rPr>
          <w:rStyle w:val="Char"/>
        </w:rPr>
        <w:t xml:space="preserve"> zmniejszenie liczby granulocytów obojętnochłonnych do wartości poniżej 1_×10</w:t>
      </w:r>
      <w:r w:rsidRPr="00F13073">
        <w:rPr>
          <w:rStyle w:val="Char"/>
          <w:vertAlign w:val="superscript"/>
        </w:rPr>
        <w:t>9</w:t>
      </w:r>
      <w:r w:rsidRPr="00F13073">
        <w:rPr>
          <w:rStyle w:val="Char"/>
        </w:rPr>
        <w:t xml:space="preserve">/l wystąpiło u 15,4% pacjentów leczonych </w:t>
      </w:r>
      <w:r w:rsidR="00165614" w:rsidRPr="00F13073">
        <w:rPr>
          <w:rStyle w:val="Char"/>
        </w:rPr>
        <w:t>tocilizumabem</w:t>
      </w:r>
      <w:r w:rsidRPr="00F13073">
        <w:rPr>
          <w:rStyle w:val="Char"/>
        </w:rPr>
        <w:t xml:space="preserve"> w postaci podskórnej. Zwiększenie aktywności AlAT lub AspAT </w:t>
      </w:r>
      <w:r w:rsidR="00DD3858" w:rsidRPr="00F13073">
        <w:rPr>
          <w:rStyle w:val="Char"/>
        </w:rPr>
        <w:t>≥</w:t>
      </w:r>
      <w:r w:rsidRPr="00F13073">
        <w:rPr>
          <w:rStyle w:val="Char"/>
        </w:rPr>
        <w:t xml:space="preserve"> 3 x GGN wystąpiło odpowiednio u 9,6% i 3,8% pacjentów leczonych podskórną postacią </w:t>
      </w:r>
      <w:r w:rsidR="00165614" w:rsidRPr="00F13073">
        <w:rPr>
          <w:rStyle w:val="Char"/>
        </w:rPr>
        <w:t>tocilizumabu</w:t>
      </w:r>
      <w:r w:rsidRPr="00F13073">
        <w:rPr>
          <w:rStyle w:val="Char"/>
        </w:rPr>
        <w:t xml:space="preserve">. U żadnego z pacjentów leczonych </w:t>
      </w:r>
      <w:r w:rsidR="00165614" w:rsidRPr="00F13073">
        <w:rPr>
          <w:rStyle w:val="Char"/>
        </w:rPr>
        <w:t>tocilizumabem</w:t>
      </w:r>
      <w:r w:rsidR="00151F2F" w:rsidRPr="00F13073">
        <w:rPr>
          <w:rStyle w:val="Char"/>
        </w:rPr>
        <w:t xml:space="preserve"> </w:t>
      </w:r>
      <w:r w:rsidRPr="00F13073">
        <w:rPr>
          <w:rStyle w:val="Char"/>
        </w:rPr>
        <w:t xml:space="preserve">nie doszło do zmniejszenia liczby płytek krwi do wartości ≤50 × </w:t>
      </w:r>
      <w:r w:rsidRPr="00F13073">
        <w:rPr>
          <w:rStyle w:val="Char"/>
          <w:lang w:eastAsia="el-GR"/>
        </w:rPr>
        <w:t>10</w:t>
      </w:r>
      <w:r w:rsidRPr="00F13073">
        <w:rPr>
          <w:rStyle w:val="Char"/>
          <w:vertAlign w:val="superscript"/>
          <w:lang w:eastAsia="el-GR"/>
        </w:rPr>
        <w:t>3</w:t>
      </w:r>
      <w:r w:rsidRPr="00F13073">
        <w:rPr>
          <w:rStyle w:val="Char"/>
          <w:lang w:eastAsia="el-GR"/>
        </w:rPr>
        <w:t>/μ</w:t>
      </w:r>
      <w:r w:rsidRPr="00F13073">
        <w:rPr>
          <w:rStyle w:val="Char"/>
        </w:rPr>
        <w:t>L</w:t>
      </w:r>
      <w:r w:rsidRPr="00F13073">
        <w:rPr>
          <w:rStyle w:val="Char"/>
          <w:lang w:eastAsia="el-GR"/>
        </w:rPr>
        <w:t>.</w:t>
      </w:r>
    </w:p>
    <w:p w14:paraId="70F97440" w14:textId="77777777" w:rsidR="00617848" w:rsidRPr="00F13073" w:rsidRDefault="00617848" w:rsidP="008B4C50">
      <w:pPr>
        <w:pStyle w:val="a4"/>
        <w:widowControl/>
        <w:spacing w:after="0"/>
      </w:pPr>
    </w:p>
    <w:p w14:paraId="2CED9EE8" w14:textId="77777777" w:rsidR="00B646E2" w:rsidRPr="00F13073" w:rsidRDefault="00B646E2" w:rsidP="008B4C50">
      <w:pPr>
        <w:pStyle w:val="a4"/>
        <w:widowControl/>
        <w:spacing w:after="0"/>
      </w:pPr>
      <w:r w:rsidRPr="00F13073">
        <w:rPr>
          <w:rStyle w:val="Char"/>
          <w:i/>
          <w:iCs/>
        </w:rPr>
        <w:t>Parametry gospodarki lipidowej</w:t>
      </w:r>
    </w:p>
    <w:p w14:paraId="32F5F43D" w14:textId="77777777" w:rsidR="00B646E2" w:rsidRPr="00F13073" w:rsidRDefault="00B646E2" w:rsidP="008B4C50">
      <w:pPr>
        <w:pStyle w:val="a4"/>
        <w:widowControl/>
        <w:spacing w:after="0"/>
        <w:rPr>
          <w:rStyle w:val="Char"/>
        </w:rPr>
      </w:pPr>
      <w:r w:rsidRPr="00F13073">
        <w:rPr>
          <w:rStyle w:val="Char"/>
        </w:rPr>
        <w:t xml:space="preserve">W badaniu z postacią podskórną u 14,3% i 12,8% pacjentów wystąpiło zwiększenie odpowiednio frakcji LDL cholesterolu do wartości </w:t>
      </w:r>
      <w:r w:rsidR="00DD3858" w:rsidRPr="00F13073">
        <w:rPr>
          <w:rStyle w:val="Char"/>
        </w:rPr>
        <w:t xml:space="preserve">≥ </w:t>
      </w:r>
      <w:r w:rsidRPr="00F13073">
        <w:rPr>
          <w:rStyle w:val="Char"/>
        </w:rPr>
        <w:t xml:space="preserve">130 mg/dL oraz cholesterolu całkowitego do wartości </w:t>
      </w:r>
      <w:r w:rsidR="00DD3858" w:rsidRPr="00F13073">
        <w:rPr>
          <w:rStyle w:val="Char"/>
        </w:rPr>
        <w:t>≥ </w:t>
      </w:r>
      <w:r w:rsidRPr="00F13073">
        <w:rPr>
          <w:rStyle w:val="Char"/>
        </w:rPr>
        <w:t>200</w:t>
      </w:r>
      <w:r w:rsidR="00DD3858" w:rsidRPr="00F13073">
        <w:rPr>
          <w:rStyle w:val="Char"/>
        </w:rPr>
        <w:t> </w:t>
      </w:r>
      <w:r w:rsidRPr="00F13073">
        <w:rPr>
          <w:rStyle w:val="Char"/>
        </w:rPr>
        <w:t>mg/dL w pewnym momencie trwania badania w stosunku do pomiaru początkowego.</w:t>
      </w:r>
    </w:p>
    <w:p w14:paraId="20A7865A" w14:textId="77777777" w:rsidR="00617848" w:rsidRPr="00F13073" w:rsidRDefault="00617848" w:rsidP="008B4C50">
      <w:pPr>
        <w:pStyle w:val="a4"/>
        <w:widowControl/>
        <w:spacing w:after="0"/>
      </w:pPr>
    </w:p>
    <w:p w14:paraId="55D9FB64" w14:textId="77777777" w:rsidR="00B646E2" w:rsidRPr="00F13073" w:rsidRDefault="00B646E2" w:rsidP="008B4C50">
      <w:pPr>
        <w:pStyle w:val="a4"/>
        <w:widowControl/>
        <w:spacing w:after="0"/>
      </w:pPr>
      <w:r w:rsidRPr="00F13073">
        <w:rPr>
          <w:rStyle w:val="Char"/>
          <w:b/>
          <w:bCs/>
        </w:rPr>
        <w:t>GCA (SC)</w:t>
      </w:r>
    </w:p>
    <w:p w14:paraId="268E1D39" w14:textId="43289A54" w:rsidR="00B646E2" w:rsidRPr="00F13073" w:rsidRDefault="00B646E2" w:rsidP="008B4C50">
      <w:pPr>
        <w:pStyle w:val="a4"/>
        <w:widowControl/>
        <w:spacing w:after="0"/>
        <w:rPr>
          <w:rStyle w:val="Char"/>
        </w:rPr>
      </w:pPr>
      <w:r w:rsidRPr="00F13073">
        <w:rPr>
          <w:rStyle w:val="Char"/>
        </w:rPr>
        <w:t xml:space="preserve">Bezpieczeństwo podskórnego stosowania </w:t>
      </w:r>
      <w:r w:rsidR="004F6C8A" w:rsidRPr="00F13073">
        <w:rPr>
          <w:rStyle w:val="Char"/>
        </w:rPr>
        <w:t>tocilizumabu</w:t>
      </w:r>
      <w:r w:rsidR="00151F2F" w:rsidRPr="00F13073">
        <w:rPr>
          <w:rStyle w:val="Char"/>
        </w:rPr>
        <w:t xml:space="preserve"> </w:t>
      </w:r>
      <w:r w:rsidRPr="00F13073">
        <w:rPr>
          <w:rStyle w:val="Char"/>
        </w:rPr>
        <w:t xml:space="preserve">oceniano w jednym badaniu III fazy (WA28119) z udziałem 251 pacjentów z GCA. Całkowity czas trwania wyrażony w liczbie pacjentolat w populacji leczonej </w:t>
      </w:r>
      <w:r w:rsidR="004F6C8A" w:rsidRPr="00F13073">
        <w:rPr>
          <w:rStyle w:val="Char"/>
        </w:rPr>
        <w:t>tocilizumabem</w:t>
      </w:r>
      <w:r w:rsidR="00151F2F" w:rsidRPr="00F13073">
        <w:rPr>
          <w:rStyle w:val="Char"/>
        </w:rPr>
        <w:t xml:space="preserve"> </w:t>
      </w:r>
      <w:r w:rsidRPr="00F13073">
        <w:rPr>
          <w:rStyle w:val="Char"/>
        </w:rPr>
        <w:t xml:space="preserve">wyniósł 138,5 pacjentolat w 12-miesięcznej fazie badania kontrolowanej placebo z podwójnie ślepą próbą. Ogólny profil bezpieczeństwa obserwowany w grupach przyjmujących </w:t>
      </w:r>
      <w:r w:rsidR="004F6C8A" w:rsidRPr="00F13073">
        <w:rPr>
          <w:rStyle w:val="Char"/>
        </w:rPr>
        <w:t xml:space="preserve">tocilizumab </w:t>
      </w:r>
      <w:r w:rsidRPr="00F13073">
        <w:rPr>
          <w:rStyle w:val="Char"/>
        </w:rPr>
        <w:t xml:space="preserve">był spójny ze znanym profilem bezpieczeństwa </w:t>
      </w:r>
      <w:r w:rsidR="004F6C8A" w:rsidRPr="00F13073">
        <w:rPr>
          <w:rStyle w:val="Char"/>
        </w:rPr>
        <w:t>tocilizumabu</w:t>
      </w:r>
      <w:r w:rsidRPr="00F13073">
        <w:rPr>
          <w:rStyle w:val="Char"/>
        </w:rPr>
        <w:t xml:space="preserve"> (patrz Tabela 1).</w:t>
      </w:r>
    </w:p>
    <w:p w14:paraId="3503CAC8" w14:textId="77777777" w:rsidR="00617848" w:rsidRPr="00F13073" w:rsidRDefault="00617848" w:rsidP="008B4C50">
      <w:pPr>
        <w:pStyle w:val="a4"/>
        <w:widowControl/>
        <w:spacing w:after="0"/>
      </w:pPr>
    </w:p>
    <w:p w14:paraId="6D872189" w14:textId="77777777" w:rsidR="00B646E2" w:rsidRPr="00F13073" w:rsidRDefault="00B646E2" w:rsidP="008B4C50">
      <w:pPr>
        <w:pStyle w:val="a4"/>
        <w:widowControl/>
        <w:spacing w:after="0"/>
      </w:pPr>
      <w:r w:rsidRPr="00F13073">
        <w:rPr>
          <w:rStyle w:val="Char"/>
          <w:i/>
          <w:iCs/>
        </w:rPr>
        <w:t>Zakażenia</w:t>
      </w:r>
    </w:p>
    <w:p w14:paraId="741E7E86" w14:textId="07F6FFDD" w:rsidR="00B646E2" w:rsidRPr="00F13073" w:rsidRDefault="00B646E2" w:rsidP="008B4C50">
      <w:pPr>
        <w:pStyle w:val="a4"/>
        <w:widowControl/>
        <w:spacing w:after="0"/>
        <w:rPr>
          <w:rStyle w:val="Char"/>
        </w:rPr>
      </w:pPr>
      <w:r w:rsidRPr="00F13073">
        <w:rPr>
          <w:rStyle w:val="Char"/>
        </w:rPr>
        <w:t xml:space="preserve">Częstość występowania zakażeń/ciężkich zakażeń była wyważona pomiędzy grupą otrzymującą </w:t>
      </w:r>
      <w:r w:rsidR="004F6C8A" w:rsidRPr="00F13073">
        <w:rPr>
          <w:rStyle w:val="Char"/>
        </w:rPr>
        <w:t>tocilizumab</w:t>
      </w:r>
      <w:r w:rsidR="00151F2F" w:rsidRPr="00F13073">
        <w:rPr>
          <w:rStyle w:val="Char"/>
        </w:rPr>
        <w:t xml:space="preserve"> </w:t>
      </w:r>
      <w:r w:rsidRPr="00F13073">
        <w:rPr>
          <w:rStyle w:val="Char"/>
        </w:rPr>
        <w:t>raz na tydzień (200,2/ 9,7 zdarzeń na 100 pacjentolat), a grupą otrzymującą placebo w skojarzeniu z 26-tygodniowym leczeniem prednizonem w malejących dawkach (156,0/ 4,2 zdarzenia na 100 pacjentolat) i grupą otrzymującą placebo w skojarzeniu z 52- tygodniowym leczeniem prednizonem w malejących dawkach (210,2/ 12,5 zdarzeń na 100 pacjentolat).</w:t>
      </w:r>
    </w:p>
    <w:p w14:paraId="50E8E153" w14:textId="77777777" w:rsidR="00617848" w:rsidRPr="00F13073" w:rsidRDefault="00617848" w:rsidP="008B4C50">
      <w:pPr>
        <w:pStyle w:val="a4"/>
        <w:widowControl/>
        <w:spacing w:after="0"/>
      </w:pPr>
    </w:p>
    <w:p w14:paraId="111916BB" w14:textId="77777777" w:rsidR="00B646E2" w:rsidRPr="00F13073" w:rsidRDefault="00B646E2" w:rsidP="00F65804">
      <w:pPr>
        <w:pStyle w:val="a4"/>
        <w:keepNext/>
        <w:keepLines/>
        <w:widowControl/>
        <w:spacing w:after="0"/>
      </w:pPr>
      <w:r w:rsidRPr="00F13073">
        <w:rPr>
          <w:rStyle w:val="Char"/>
          <w:i/>
          <w:iCs/>
        </w:rPr>
        <w:t>Reakcje w miejscu wstrzyknięcia</w:t>
      </w:r>
    </w:p>
    <w:p w14:paraId="0A89B4CA" w14:textId="591AA0AB" w:rsidR="00B646E2" w:rsidRPr="00F13073" w:rsidRDefault="00B646E2" w:rsidP="008B4C50">
      <w:pPr>
        <w:pStyle w:val="a4"/>
        <w:widowControl/>
        <w:spacing w:after="0"/>
        <w:rPr>
          <w:rStyle w:val="Char"/>
        </w:rPr>
      </w:pPr>
      <w:r w:rsidRPr="00F13073">
        <w:rPr>
          <w:rStyle w:val="Char"/>
        </w:rPr>
        <w:t xml:space="preserve">W grupie otrzymującej </w:t>
      </w:r>
      <w:r w:rsidR="004F6C8A" w:rsidRPr="00F13073">
        <w:rPr>
          <w:rStyle w:val="Char"/>
        </w:rPr>
        <w:t xml:space="preserve">tocilizumab </w:t>
      </w:r>
      <w:r w:rsidRPr="00F13073">
        <w:rPr>
          <w:rStyle w:val="Char"/>
        </w:rPr>
        <w:t>podskórnie raz w tygodniu, łącznie 6% (6/100) pacjentów zgłaszało występowanie działania niepożądanego w miejscu podskórnego wstrzyknięcia leku. Żadna z reakcji w miejscu wstrzyknięcia nie była zgłaszana jako ciężkie zdarzenie niepożądane lub zdarzenie wymagające zakończenia leczenia.</w:t>
      </w:r>
    </w:p>
    <w:p w14:paraId="3530D882" w14:textId="77777777" w:rsidR="00617848" w:rsidRPr="00F13073" w:rsidRDefault="00617848" w:rsidP="008B4C50">
      <w:pPr>
        <w:pStyle w:val="a4"/>
        <w:widowControl/>
        <w:spacing w:after="0"/>
      </w:pPr>
    </w:p>
    <w:p w14:paraId="2DEEB77D" w14:textId="77777777" w:rsidR="00B646E2" w:rsidRPr="00F13073" w:rsidRDefault="00B646E2" w:rsidP="008B4C50">
      <w:pPr>
        <w:pStyle w:val="a4"/>
        <w:widowControl/>
        <w:spacing w:after="0"/>
      </w:pPr>
      <w:r w:rsidRPr="00F13073">
        <w:rPr>
          <w:rStyle w:val="Char"/>
          <w:i/>
          <w:iCs/>
        </w:rPr>
        <w:t>Nieprawidłowości hematologiczne:</w:t>
      </w:r>
    </w:p>
    <w:p w14:paraId="3A01FC18" w14:textId="77777777" w:rsidR="00B646E2" w:rsidRPr="00F13073" w:rsidRDefault="00B646E2" w:rsidP="008B4C50">
      <w:pPr>
        <w:pStyle w:val="a4"/>
        <w:widowControl/>
        <w:spacing w:after="0"/>
      </w:pPr>
      <w:r w:rsidRPr="00F13073">
        <w:rPr>
          <w:rStyle w:val="Char"/>
          <w:i/>
          <w:iCs/>
        </w:rPr>
        <w:t>Granulocyty obojętnochłonne</w:t>
      </w:r>
    </w:p>
    <w:p w14:paraId="7930FBB5" w14:textId="611D7AC4" w:rsidR="00B646E2" w:rsidRPr="00F13073" w:rsidRDefault="00B646E2"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4F6C8A" w:rsidRPr="00F13073">
        <w:rPr>
          <w:rStyle w:val="Char"/>
        </w:rPr>
        <w:t xml:space="preserve">tocilizumabem </w:t>
      </w:r>
      <w:r w:rsidRPr="00F13073">
        <w:rPr>
          <w:rStyle w:val="Char"/>
        </w:rPr>
        <w:t>nastąpiło zmniejszenie liczby granulocytów obojętnochłonnych do wartości poniżej 1 ×</w:t>
      </w:r>
      <w:r w:rsidRPr="00F13073">
        <w:rPr>
          <w:rStyle w:val="Char"/>
          <w:lang w:eastAsia="el-GR"/>
        </w:rPr>
        <w:t xml:space="preserve"> </w:t>
      </w:r>
      <w:r w:rsidRPr="00F13073">
        <w:rPr>
          <w:rStyle w:val="Char"/>
        </w:rPr>
        <w:t>10</w:t>
      </w:r>
      <w:r w:rsidRPr="00F13073">
        <w:rPr>
          <w:rStyle w:val="Char"/>
          <w:vertAlign w:val="superscript"/>
        </w:rPr>
        <w:t>9</w:t>
      </w:r>
      <w:r w:rsidRPr="00F13073">
        <w:rPr>
          <w:rStyle w:val="Char"/>
        </w:rPr>
        <w:t xml:space="preserve">/l u 4% pacjentów z grupy otrzymującej podskórnie </w:t>
      </w:r>
      <w:r w:rsidR="00E469F3" w:rsidRPr="00F13073">
        <w:rPr>
          <w:rStyle w:val="Char"/>
        </w:rPr>
        <w:t xml:space="preserve">tocilizumab </w:t>
      </w:r>
      <w:r w:rsidRPr="00F13073">
        <w:rPr>
          <w:rStyle w:val="Char"/>
        </w:rPr>
        <w:t>raz w tygodniu. Takie zmniejszenie nie było obserwowane w żadnej z grup otrzymujących placebo w skojarzeniu z malejącymi dawkami prednizonu.</w:t>
      </w:r>
    </w:p>
    <w:p w14:paraId="67354A89" w14:textId="77777777" w:rsidR="00617848" w:rsidRPr="00F13073" w:rsidRDefault="00617848" w:rsidP="008B4C50">
      <w:pPr>
        <w:pStyle w:val="a4"/>
        <w:widowControl/>
        <w:spacing w:after="0"/>
      </w:pPr>
    </w:p>
    <w:p w14:paraId="0279464F" w14:textId="77777777" w:rsidR="00B646E2" w:rsidRPr="00F13073" w:rsidRDefault="00B646E2" w:rsidP="008B4C50">
      <w:pPr>
        <w:pStyle w:val="a4"/>
        <w:widowControl/>
        <w:spacing w:after="0"/>
      </w:pPr>
      <w:r w:rsidRPr="00F13073">
        <w:rPr>
          <w:rStyle w:val="Char"/>
          <w:i/>
          <w:iCs/>
        </w:rPr>
        <w:t>Płytki krwi</w:t>
      </w:r>
    </w:p>
    <w:p w14:paraId="018B04B1" w14:textId="32C80DA4" w:rsidR="00B646E2" w:rsidRPr="00F13073" w:rsidRDefault="00B646E2"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E469F3" w:rsidRPr="00F13073">
        <w:rPr>
          <w:rStyle w:val="Char"/>
        </w:rPr>
        <w:t xml:space="preserve">tocilizumabem </w:t>
      </w:r>
      <w:r w:rsidRPr="00F13073">
        <w:rPr>
          <w:rStyle w:val="Char"/>
        </w:rPr>
        <w:t xml:space="preserve">u jednego pacjenta (1%, 1/100) z grupy otrzymującej podskórnie </w:t>
      </w:r>
      <w:r w:rsidR="00E469F3" w:rsidRPr="00F13073">
        <w:rPr>
          <w:rStyle w:val="Char"/>
        </w:rPr>
        <w:t xml:space="preserve">tocilizumab </w:t>
      </w:r>
      <w:r w:rsidRPr="00F13073">
        <w:rPr>
          <w:rStyle w:val="Char"/>
        </w:rPr>
        <w:t>raz w tygodniu wystąpiło pojedyncze przejściowe zmniejszenie liczby płytek krwi do &lt;100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/μL bez powiązanych z nim zdarzeń krwawienia. Zmniejszenie liczby płytek krwi do wartości poniżej 100 × 10</w:t>
      </w:r>
      <w:r w:rsidRPr="00F13073">
        <w:rPr>
          <w:rStyle w:val="Char"/>
          <w:vertAlign w:val="superscript"/>
        </w:rPr>
        <w:t>3</w:t>
      </w:r>
      <w:r w:rsidRPr="00F13073">
        <w:rPr>
          <w:rStyle w:val="Char"/>
        </w:rPr>
        <w:t>/μL nie było obserwowane w żadnej z grup otrzymujących placebo w skojarzeniu z malejącymi dawkami prednizonu.</w:t>
      </w:r>
    </w:p>
    <w:p w14:paraId="4D3FB26D" w14:textId="77777777" w:rsidR="00617848" w:rsidRPr="00F13073" w:rsidRDefault="00617848" w:rsidP="008B4C50">
      <w:pPr>
        <w:pStyle w:val="a4"/>
        <w:widowControl/>
        <w:spacing w:after="0"/>
      </w:pPr>
    </w:p>
    <w:p w14:paraId="1FACCBF2" w14:textId="77777777" w:rsidR="00B646E2" w:rsidRPr="00F13073" w:rsidRDefault="00B646E2" w:rsidP="008B4C50">
      <w:pPr>
        <w:pStyle w:val="a4"/>
        <w:widowControl/>
        <w:spacing w:after="0"/>
      </w:pPr>
      <w:r w:rsidRPr="00F13073">
        <w:rPr>
          <w:rStyle w:val="Char"/>
          <w:i/>
          <w:iCs/>
        </w:rPr>
        <w:t>Zwiększenie aktywności aminotransferaz wątrobowych</w:t>
      </w:r>
    </w:p>
    <w:p w14:paraId="4318CD2B" w14:textId="29DB9930" w:rsidR="00B646E2" w:rsidRPr="00F13073" w:rsidRDefault="00B646E2"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E469F3" w:rsidRPr="00F13073">
        <w:rPr>
          <w:rStyle w:val="Char"/>
        </w:rPr>
        <w:t xml:space="preserve">tocilizumabem </w:t>
      </w:r>
      <w:r w:rsidRPr="00F13073">
        <w:rPr>
          <w:rStyle w:val="Char"/>
        </w:rPr>
        <w:t xml:space="preserve">zwiększenie aktywności AlAT </w:t>
      </w:r>
      <w:r w:rsidR="00733299" w:rsidRPr="00F13073">
        <w:rPr>
          <w:rStyle w:val="Char"/>
        </w:rPr>
        <w:t>≥</w:t>
      </w:r>
      <w:r w:rsidRPr="00F13073">
        <w:rPr>
          <w:rStyle w:val="Char"/>
        </w:rPr>
        <w:t xml:space="preserve">3 x GGN wystąpiło u 3% pacjentów z grupy otrzymującej podskórnie </w:t>
      </w:r>
      <w:r w:rsidR="00E469F3" w:rsidRPr="00F13073">
        <w:rPr>
          <w:rStyle w:val="Char"/>
        </w:rPr>
        <w:t>tocilizumab</w:t>
      </w:r>
      <w:r w:rsidRPr="00F13073">
        <w:rPr>
          <w:rStyle w:val="Char"/>
        </w:rPr>
        <w:t xml:space="preserve"> raz w tygodniu w porównaniu z 2% pacjentów z grupy otrzymującej placebo w skojarzeniu z 52-tygodniową terapią malejącymi dawkami prednizonu oraz u żadnego pacjenta z grupy otrzymującej placebo w skojarzeniu z 26-tygodniową terapią malejącymi dawkami prednizonu. Zwiększenie aktywności AspAT &gt; 3 GGN wystąpiło u 1% pacjentów z grupy otrzymującej podskórnie </w:t>
      </w:r>
      <w:r w:rsidR="00E469F3" w:rsidRPr="00F13073">
        <w:rPr>
          <w:rStyle w:val="Char"/>
        </w:rPr>
        <w:t>tocilizumab</w:t>
      </w:r>
      <w:r w:rsidRPr="00F13073">
        <w:rPr>
          <w:rStyle w:val="Char"/>
        </w:rPr>
        <w:t xml:space="preserve"> raz w tygodniu w porównaniu z żadnym pacjentem z grup otrzymujących placebo w skojarzeniu z malejącymi dawkami prednizonu.</w:t>
      </w:r>
    </w:p>
    <w:p w14:paraId="2983C4B0" w14:textId="77777777" w:rsidR="00617848" w:rsidRPr="00F13073" w:rsidRDefault="00617848" w:rsidP="008B4C50">
      <w:pPr>
        <w:pStyle w:val="a4"/>
        <w:widowControl/>
        <w:spacing w:after="0"/>
      </w:pPr>
    </w:p>
    <w:p w14:paraId="3F1D5427" w14:textId="77777777" w:rsidR="00B646E2" w:rsidRPr="00F13073" w:rsidRDefault="00B646E2" w:rsidP="008B4C50">
      <w:pPr>
        <w:pStyle w:val="a4"/>
        <w:widowControl/>
        <w:spacing w:after="0"/>
      </w:pPr>
      <w:r w:rsidRPr="00F13073">
        <w:rPr>
          <w:rStyle w:val="Char"/>
          <w:i/>
          <w:iCs/>
        </w:rPr>
        <w:t>Parametry gospodarki lipidowej</w:t>
      </w:r>
    </w:p>
    <w:p w14:paraId="63322931" w14:textId="4E89D518" w:rsidR="00B646E2" w:rsidRPr="00F13073" w:rsidRDefault="00B646E2"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E469F3" w:rsidRPr="00F13073">
        <w:rPr>
          <w:rStyle w:val="Char"/>
        </w:rPr>
        <w:t>tocilizumabem</w:t>
      </w:r>
      <w:r w:rsidRPr="00F13073">
        <w:rPr>
          <w:rStyle w:val="Char"/>
        </w:rPr>
        <w:t xml:space="preserve">, u 34% pacjentów z grupy otrzymującej podskórnie </w:t>
      </w:r>
      <w:r w:rsidR="00E469F3" w:rsidRPr="00F13073">
        <w:rPr>
          <w:rStyle w:val="Char"/>
        </w:rPr>
        <w:t xml:space="preserve">tocilizumab </w:t>
      </w:r>
      <w:r w:rsidRPr="00F13073">
        <w:rPr>
          <w:rStyle w:val="Char"/>
        </w:rPr>
        <w:t xml:space="preserve">raz w </w:t>
      </w:r>
      <w:r w:rsidRPr="00F13073">
        <w:rPr>
          <w:rStyle w:val="Char"/>
        </w:rPr>
        <w:lastRenderedPageBreak/>
        <w:t>tygodniu wystąpiło trwałe zwiększenie stężenia cholesterolu całkowitego &gt; 6,2 mmol/l (240 mg/dl), przy czym u 15% pacjentów wystąpiło trwałe zwiększenie frakcji LDL do ≥</w:t>
      </w:r>
      <w:r w:rsidRPr="00F13073">
        <w:rPr>
          <w:rStyle w:val="Char"/>
          <w:sz w:val="24"/>
          <w:szCs w:val="24"/>
        </w:rPr>
        <w:t xml:space="preserve"> </w:t>
      </w:r>
      <w:r w:rsidRPr="00F13073">
        <w:rPr>
          <w:rStyle w:val="Char"/>
        </w:rPr>
        <w:t>4,1 mmol/l (160 mg/dl).</w:t>
      </w:r>
    </w:p>
    <w:p w14:paraId="16633284" w14:textId="77777777" w:rsidR="00617848" w:rsidRPr="00F13073" w:rsidRDefault="00617848" w:rsidP="008B4C50">
      <w:pPr>
        <w:pStyle w:val="a4"/>
        <w:widowControl/>
        <w:spacing w:after="0"/>
      </w:pPr>
    </w:p>
    <w:p w14:paraId="7695B323" w14:textId="77777777" w:rsidR="00B646E2" w:rsidRPr="00F13073" w:rsidRDefault="00B646E2" w:rsidP="008B4C50">
      <w:pPr>
        <w:pStyle w:val="a4"/>
        <w:widowControl/>
        <w:spacing w:after="0"/>
        <w:rPr>
          <w:u w:val="single"/>
        </w:rPr>
      </w:pPr>
      <w:r w:rsidRPr="00F13073">
        <w:rPr>
          <w:rStyle w:val="Char"/>
          <w:u w:val="single"/>
        </w:rPr>
        <w:t>Podanie dożylne</w:t>
      </w:r>
    </w:p>
    <w:p w14:paraId="680646F7" w14:textId="77777777" w:rsidR="00617848" w:rsidRPr="00F13073" w:rsidRDefault="00617848" w:rsidP="008B4C50">
      <w:pPr>
        <w:rPr>
          <w:b/>
          <w:bCs/>
        </w:rPr>
      </w:pPr>
      <w:r w:rsidRPr="00F13073">
        <w:rPr>
          <w:b/>
          <w:bCs/>
        </w:rPr>
        <w:t>RZS</w:t>
      </w:r>
    </w:p>
    <w:p w14:paraId="53DD584E" w14:textId="20E74926" w:rsidR="00617848" w:rsidRPr="00F13073" w:rsidRDefault="00617848" w:rsidP="008B4C50">
      <w:r w:rsidRPr="00F13073">
        <w:t xml:space="preserve">Bezpieczeństwo stosowania </w:t>
      </w:r>
      <w:r w:rsidR="00444F43" w:rsidRPr="00F13073">
        <w:t xml:space="preserve">tocilizumabu </w:t>
      </w:r>
      <w:r w:rsidRPr="00F13073">
        <w:t>oceniano w 5 kontrolowanych badaniach III fazy prowadzonych metodą podwójnie ślepej próby i fazach przedłużonych tych badań.</w:t>
      </w:r>
    </w:p>
    <w:p w14:paraId="6D919BB9" w14:textId="77777777" w:rsidR="00E1370F" w:rsidRPr="00F13073" w:rsidRDefault="00E1370F" w:rsidP="008B4C50"/>
    <w:p w14:paraId="060FFDEC" w14:textId="1576CD71" w:rsidR="00617848" w:rsidRPr="00F13073" w:rsidRDefault="00617848" w:rsidP="00B16D0C">
      <w:r w:rsidRPr="00F13073">
        <w:rPr>
          <w:i/>
          <w:iCs/>
        </w:rPr>
        <w:t>Cała populacja kontrolna</w:t>
      </w:r>
      <w:r w:rsidRPr="00F13073">
        <w:t xml:space="preserve"> obejmuje wszystkich pacjentów uczestniczących w fazach leczenia prowadzono metodą podwójnie ślepej próby każdego badania głównego od randomizacji do pierwszej zmiany w schemacie leczenia lub do upływu dwóch lat. Okres leczenia kontrolowanego w 4 badaniach wynosił 6 miesięcy, a w 1 badaniu wynosił on do 2 lat. W kontrolowanych badaniach prowadzonych metodą podwójnie ślepej próby 774 pacjentów otrzymywało </w:t>
      </w:r>
      <w:r w:rsidR="00444F43" w:rsidRPr="00F13073">
        <w:t xml:space="preserve">tocilizumab </w:t>
      </w:r>
      <w:r w:rsidRPr="00F13073">
        <w:t>w dawce 4 mg/kg mc. w skojarzeniu z MTX, 1870 pacjentów otrzymywało tocilizumab w dawce 8</w:t>
      </w:r>
      <w:r w:rsidR="00B16D0C" w:rsidRPr="00F13073">
        <w:t> </w:t>
      </w:r>
      <w:r w:rsidRPr="00F13073">
        <w:t>mg/kg mc. w skojarzeniu z MTX/innymi lekami z grupy DMARD, a 288 pacjentów otrzymywało tocilizumab w dawce 8 mg/kg mc. w monoterapii.</w:t>
      </w:r>
    </w:p>
    <w:p w14:paraId="2E8D0800" w14:textId="77777777" w:rsidR="00E1370F" w:rsidRPr="00F13073" w:rsidRDefault="00E1370F" w:rsidP="008B4C50"/>
    <w:p w14:paraId="7378A37E" w14:textId="6D614CA5" w:rsidR="00617848" w:rsidRPr="00F13073" w:rsidRDefault="00617848" w:rsidP="008B4C50">
      <w:r w:rsidRPr="00F13073">
        <w:rPr>
          <w:i/>
          <w:iCs/>
        </w:rPr>
        <w:t>Cała populacja z ekspozycją na lek</w:t>
      </w:r>
      <w:r w:rsidRPr="00F13073">
        <w:t xml:space="preserve"> obejmowała wszystkich pacjentów, którzy otrzymali przynajmniej jedną dawkę </w:t>
      </w:r>
      <w:r w:rsidR="00444F43" w:rsidRPr="00F13073">
        <w:t>tocilizumabu</w:t>
      </w:r>
      <w:r w:rsidR="00151F2F" w:rsidRPr="00F13073">
        <w:t xml:space="preserve"> </w:t>
      </w:r>
      <w:r w:rsidRPr="00F13073">
        <w:t>w okresie leczenia kontrolowanego, prowadzonego metodą podwójnie ślepej próby lub w otwartej fazie przedłużonej badań. Spośród 4009 pacjentów stanowiących tę populację, 3577 otrzymywało leczenie przez co najmniej 6 miesięcy, 3296 otrzymywało leczenie przez co najmniej jeden rok; 2806 otrzymywało leczenie przez co najmniej 2 lata, a 1222 otrzymywało leczenie przez 3 lata.</w:t>
      </w:r>
    </w:p>
    <w:p w14:paraId="7624FB27" w14:textId="77777777" w:rsidR="00E1370F" w:rsidRPr="00F13073" w:rsidRDefault="00E1370F" w:rsidP="008B4C50"/>
    <w:p w14:paraId="03C3F40B" w14:textId="77777777" w:rsidR="00617848" w:rsidRPr="00F13073" w:rsidRDefault="00617848" w:rsidP="008B4C50">
      <w:r w:rsidRPr="00F13073">
        <w:t>Opis wybranych działań niepożądanych</w:t>
      </w:r>
    </w:p>
    <w:p w14:paraId="0F75FAA1" w14:textId="77777777" w:rsidR="00BE2FF0" w:rsidRPr="00F13073" w:rsidRDefault="00BE2FF0" w:rsidP="008B4C50">
      <w:pPr>
        <w:rPr>
          <w:i/>
          <w:iCs/>
        </w:rPr>
      </w:pPr>
    </w:p>
    <w:p w14:paraId="3C1CA18B" w14:textId="77777777" w:rsidR="00617848" w:rsidRPr="00F13073" w:rsidRDefault="00617848" w:rsidP="008B4C50">
      <w:pPr>
        <w:rPr>
          <w:i/>
          <w:iCs/>
        </w:rPr>
      </w:pPr>
      <w:r w:rsidRPr="00F13073">
        <w:rPr>
          <w:i/>
          <w:iCs/>
        </w:rPr>
        <w:t>Zakażenia</w:t>
      </w:r>
    </w:p>
    <w:p w14:paraId="316E2E09" w14:textId="3AAECA6B" w:rsidR="00617848" w:rsidRPr="00F13073" w:rsidRDefault="00617848" w:rsidP="00B16D0C">
      <w:r w:rsidRPr="00F13073">
        <w:t xml:space="preserve">W 6-miesięcznych kontrolowanych badaniach klinicznych częstość wszystkich zgłoszonych przypadków zakażeń podczas stosowania </w:t>
      </w:r>
      <w:r w:rsidR="00D215CA" w:rsidRPr="00F13073">
        <w:t xml:space="preserve">tocilizumabu </w:t>
      </w:r>
      <w:r w:rsidRPr="00F13073">
        <w:t>w dawce 8</w:t>
      </w:r>
      <w:r w:rsidR="00B16D0C" w:rsidRPr="00F13073">
        <w:t> </w:t>
      </w:r>
      <w:r w:rsidRPr="00F13073">
        <w:t xml:space="preserve">mg/kg mc. w skojarzeniu z lekami z grupy DMARD wynosiła 127 zdarzeń na 100 pacjentolat w porównaniu do 112 zdarzeń na 100 pacjentolat w przypadku podawania placebo w skojarzeniu z lekami z grupy DMARD. W populacji z długookresową ekspozycją na tocilizumab całkowita częstość zakażeń podczas leczenia </w:t>
      </w:r>
      <w:r w:rsidR="00D215CA" w:rsidRPr="00F13073">
        <w:t xml:space="preserve">tocilizumabem </w:t>
      </w:r>
      <w:r w:rsidRPr="00F13073">
        <w:t>wynosiła 108 zdarzeń na 100 pacjentolat ekspozycji.</w:t>
      </w:r>
    </w:p>
    <w:p w14:paraId="6AE8CF42" w14:textId="77777777" w:rsidR="00E1370F" w:rsidRPr="00F13073" w:rsidRDefault="00E1370F" w:rsidP="008B4C50"/>
    <w:p w14:paraId="0063F577" w14:textId="6D0788BA" w:rsidR="00617848" w:rsidRPr="00F13073" w:rsidRDefault="00617848" w:rsidP="008B4C50">
      <w:r w:rsidRPr="00F13073">
        <w:t xml:space="preserve">W 6-miesięcznych kontrolowanych badaniach klinicznych częstość ciężkich zakażeń podczas stosowania </w:t>
      </w:r>
      <w:r w:rsidR="00C5630E" w:rsidRPr="00F13073">
        <w:t xml:space="preserve">tocilizumabu </w:t>
      </w:r>
      <w:r w:rsidRPr="00F13073">
        <w:t xml:space="preserve">w dawce 8 mg/kg mc. razem z lekami z grupy DMARD wynosiła 5,3 zdarzeń na 100 pacjentolat ekspozycji w porównaniu do 3,9 zdarzeń na 100 pacjentolat ekspozycji w przypadku podawania placebo w skojarzeniu z lekami z grupy DMARD. W badaniu, w trakcie którego podawano leki w monoterapii, częstość ciężkich zakażeń wynosiła 3,6 zdarzeń na 100 pacjentolat ekspozycji w grupie przyjmującej </w:t>
      </w:r>
      <w:r w:rsidR="00C5630E" w:rsidRPr="00F13073">
        <w:t>tocilizumab</w:t>
      </w:r>
      <w:r w:rsidR="00151F2F" w:rsidRPr="00F13073">
        <w:t xml:space="preserve"> </w:t>
      </w:r>
      <w:r w:rsidRPr="00F13073">
        <w:t>i 1,5 zdarzeń na 100 pacjentolat ekspozycji w grupie otrzymującej metotreksat.</w:t>
      </w:r>
    </w:p>
    <w:p w14:paraId="15CC8BA8" w14:textId="77777777" w:rsidR="00E1370F" w:rsidRPr="00F13073" w:rsidRDefault="00E1370F" w:rsidP="008B4C50"/>
    <w:p w14:paraId="63167310" w14:textId="77777777" w:rsidR="00617848" w:rsidRPr="00F13073" w:rsidRDefault="00617848" w:rsidP="008B4C50">
      <w:r w:rsidRPr="00F13073">
        <w:t>W całej populacji z ekspozycją na lek całkowita częstość ciężkich zakażeń wyniosła 4,7 zdarzeń na 100 pacjentolat. Zgłoszone ciężkie zakażenia, niektóre zakończone zgonem, obejmowały zapalenie płuc, zapalenie podskórnej tkanki łącznej, półpasiec, zapalenie błony śluzowej żołądka i jelit, zapalenie uchyłków jelita, sepsę i bakteryjne zapalenie stawów. Zgłaszano również przypadki zakażeń oportunistycznych.</w:t>
      </w:r>
    </w:p>
    <w:p w14:paraId="6F491C82" w14:textId="77777777" w:rsidR="00E1370F" w:rsidRPr="00F13073" w:rsidRDefault="00E1370F" w:rsidP="008B4C50"/>
    <w:p w14:paraId="62D7A8A0" w14:textId="77777777" w:rsidR="00617848" w:rsidRPr="00F13073" w:rsidRDefault="00617848" w:rsidP="008B4C50">
      <w:pPr>
        <w:rPr>
          <w:i/>
          <w:iCs/>
        </w:rPr>
      </w:pPr>
      <w:r w:rsidRPr="00F13073">
        <w:rPr>
          <w:i/>
          <w:iCs/>
        </w:rPr>
        <w:t>Choroba śródmiąższowa płuc</w:t>
      </w:r>
    </w:p>
    <w:p w14:paraId="066CF6A4" w14:textId="77777777" w:rsidR="00617848" w:rsidRPr="00F13073" w:rsidRDefault="00617848" w:rsidP="008B4C50">
      <w:r w:rsidRPr="00F13073">
        <w:t>Zaburzona czynność płuc może zwiększać ryzyko rozwoju zakażeń. Po wprowadzeniu leku do obrotu zgłaszano przypadki śródmiąższowej choroby płuc (w tym zapalenie płuc i zwłóknienie płuc), które w niektórych przypadkach zakończyły się zgonem.</w:t>
      </w:r>
    </w:p>
    <w:p w14:paraId="1D3EB65D" w14:textId="77777777" w:rsidR="00E1370F" w:rsidRPr="00F13073" w:rsidRDefault="00E1370F" w:rsidP="008B4C50"/>
    <w:p w14:paraId="09E6DDE3" w14:textId="77777777" w:rsidR="00617848" w:rsidRPr="00F13073" w:rsidRDefault="00617848" w:rsidP="008B4C50">
      <w:pPr>
        <w:rPr>
          <w:i/>
          <w:iCs/>
        </w:rPr>
      </w:pPr>
      <w:r w:rsidRPr="00F13073">
        <w:rPr>
          <w:i/>
          <w:iCs/>
        </w:rPr>
        <w:t>Perforacja przewodu pokarmowego</w:t>
      </w:r>
    </w:p>
    <w:p w14:paraId="78DB079B" w14:textId="19B3F8C3" w:rsidR="00617848" w:rsidRPr="00F13073" w:rsidRDefault="00617848" w:rsidP="008B4C50">
      <w:r w:rsidRPr="00F13073">
        <w:t xml:space="preserve">W trakcie 6-miesięcznych kontrolowanych badań klinicznych całkowita częstość perforacji przewodu pokarmowego u pacjentów leczonych </w:t>
      </w:r>
      <w:r w:rsidR="00C51710" w:rsidRPr="00F13073">
        <w:t xml:space="preserve">tocilizumabem </w:t>
      </w:r>
      <w:r w:rsidRPr="00F13073">
        <w:t xml:space="preserve">wynosiła 0,26 na 100 pacjentolat. W populacji z długookresową ekspozycją na tocilizumab całkowita częstość perforacji przewodu pokarmowego </w:t>
      </w:r>
      <w:r w:rsidRPr="00F13073">
        <w:lastRenderedPageBreak/>
        <w:t xml:space="preserve">wynosiła 0,28 na 100 pacjentolat. Przypadki perforacji przewodu pokarmowego u pacjentów leczonych </w:t>
      </w:r>
      <w:r w:rsidR="00C51710" w:rsidRPr="00F13073">
        <w:t xml:space="preserve">tocilizumabem </w:t>
      </w:r>
      <w:r w:rsidRPr="00F13073">
        <w:t>pierwotnie zgłaszano jako powikłania zapalenia uchyłków jelita, włączając uogólnione ropne zapalenie otrzewnej, perforację w obrębie dolnego odcinka przewodu pokarmowego, przetokę i ropień.</w:t>
      </w:r>
    </w:p>
    <w:p w14:paraId="05BFC3B7" w14:textId="77777777" w:rsidR="00E1370F" w:rsidRPr="00F13073" w:rsidRDefault="00E1370F" w:rsidP="008B4C50"/>
    <w:p w14:paraId="28C40771" w14:textId="77777777" w:rsidR="00617848" w:rsidRPr="00F13073" w:rsidRDefault="00617848" w:rsidP="008B4C50">
      <w:pPr>
        <w:rPr>
          <w:i/>
          <w:iCs/>
        </w:rPr>
      </w:pPr>
      <w:r w:rsidRPr="00F13073">
        <w:rPr>
          <w:i/>
          <w:iCs/>
        </w:rPr>
        <w:t>Reakcje związane z infuzją</w:t>
      </w:r>
    </w:p>
    <w:p w14:paraId="035E4A3A" w14:textId="77777777" w:rsidR="00617848" w:rsidRPr="00F13073" w:rsidRDefault="00617848" w:rsidP="008B4C50">
      <w:r w:rsidRPr="00F13073">
        <w:t>W 6-miesięcznych kontrolowanych badaniach klinicznych zdarzenia niepożądane związane z infuzją (wybrane zdarzenia występujące w ciągu 24 godzin od wlewu produktu) zgłoszono u 6,9% pacjentów przyjmujących tocilizumab w dawce 8 mg/kg mc. w skojarzeniu z lekami z grupy DMARD i u 5,1% pacjentów otrzymujących placebo w skojarzeniu z lekiem z grupy DMARD. Zdarzenia zgłaszane w trakcie podawania wlewu dożylnego obejmowały głównie epizody nadciśnienia; zdarzenia zgłaszane w ciągu 24 godzin od zakończenia podawania wlewu obejmowały ból głowy i reakcje skórne (wysypka, pokrzywka). Zdarzenia te nie wymagały zmiany leczenia.</w:t>
      </w:r>
    </w:p>
    <w:p w14:paraId="5352542F" w14:textId="77777777" w:rsidR="00E1370F" w:rsidRPr="00F13073" w:rsidRDefault="00E1370F" w:rsidP="008B4C50"/>
    <w:p w14:paraId="187462FF" w14:textId="014F466E" w:rsidR="00617848" w:rsidRPr="00F13073" w:rsidRDefault="00617848" w:rsidP="008B4C50">
      <w:r w:rsidRPr="00F13073">
        <w:t xml:space="preserve">Częstość reakcji anafilaktycznych (które wystąpiły ogółem u 6 na 3778 (0,2%)) była kilkakrotnie wyższa w przypadku dawki 4 mg/kg mc. w porównaniu do dawki 8 mg/kg mc. Klinicznie istotne reakcje nadwrażliwości związane z podawaniem </w:t>
      </w:r>
      <w:r w:rsidR="00C51710" w:rsidRPr="00F13073">
        <w:t xml:space="preserve">tocilizumabu </w:t>
      </w:r>
      <w:r w:rsidRPr="00F13073">
        <w:t xml:space="preserve">i wymagające przerwania podawania leku zgłoszono ogółem u 13 na 3778 pacjentów (0,3%) leczonych </w:t>
      </w:r>
      <w:r w:rsidR="00C51710" w:rsidRPr="00F13073">
        <w:t xml:space="preserve">tocilizumabem </w:t>
      </w:r>
      <w:r w:rsidRPr="00F13073">
        <w:t xml:space="preserve">w ramach badań klinicznych kontrolowanych i otwartych. Reakcje te zazwyczaj obserwowano podczas drugiego do piątego wlewu dożylnego tocilizumabu (patrz punkt 4.4). Po uzyskaniu pozwolenia na dopuszczenie do obrotu zgłaszano występowanie śmiertelnych przypadków anafilaksji w czasie leczenia z dożylnym podawaniem </w:t>
      </w:r>
      <w:r w:rsidR="00C51710" w:rsidRPr="00F13073">
        <w:t xml:space="preserve">tocilizumabu </w:t>
      </w:r>
      <w:r w:rsidRPr="00F13073">
        <w:t>(patrz punkt 4.4).</w:t>
      </w:r>
    </w:p>
    <w:p w14:paraId="6431A596" w14:textId="77777777" w:rsidR="00E1370F" w:rsidRPr="00F13073" w:rsidRDefault="00E1370F" w:rsidP="008B4C50"/>
    <w:p w14:paraId="5FAA4807" w14:textId="77777777" w:rsidR="00617848" w:rsidRPr="00F13073" w:rsidRDefault="00617848" w:rsidP="008B4C50">
      <w:pPr>
        <w:rPr>
          <w:i/>
          <w:iCs/>
        </w:rPr>
      </w:pPr>
      <w:r w:rsidRPr="00F13073">
        <w:rPr>
          <w:i/>
          <w:iCs/>
        </w:rPr>
        <w:t>Nieprawidłowości hematologiczne:</w:t>
      </w:r>
    </w:p>
    <w:p w14:paraId="229A1AE6" w14:textId="77777777" w:rsidR="00617848" w:rsidRPr="00F13073" w:rsidRDefault="00617848" w:rsidP="008B4C50">
      <w:pPr>
        <w:rPr>
          <w:i/>
          <w:iCs/>
        </w:rPr>
      </w:pPr>
      <w:r w:rsidRPr="00F13073">
        <w:rPr>
          <w:i/>
          <w:iCs/>
        </w:rPr>
        <w:t>Granulocyty obojętnochłonne</w:t>
      </w:r>
    </w:p>
    <w:p w14:paraId="0D06A1AE" w14:textId="199B489A" w:rsidR="00617848" w:rsidRPr="00F13073" w:rsidRDefault="00617848" w:rsidP="008B4C50">
      <w:r w:rsidRPr="00F13073">
        <w:t>W 6-miesięcznych kontrolowanych badaniach klinicznych zmniejszenie liczby granulocytów obojętnochłonnych poniżej 1 x 10</w:t>
      </w:r>
      <w:r w:rsidRPr="00F13073">
        <w:rPr>
          <w:vertAlign w:val="superscript"/>
        </w:rPr>
        <w:t>9</w:t>
      </w:r>
      <w:r w:rsidRPr="00F13073">
        <w:t xml:space="preserve">/l wystąpiło u 3,4% pacjentów otrzymujących </w:t>
      </w:r>
      <w:r w:rsidR="0053151D" w:rsidRPr="00F13073">
        <w:t>tocilizumab</w:t>
      </w:r>
      <w:r w:rsidRPr="00F13073">
        <w:t xml:space="preserve"> w dawce 8 mg/kg mc. w skojarzeniu z lekami z grupy DMARD w porównaniu do &lt; 0,1% chorych przyjmujących placebo razem z lekami z grupy DMARD. U około połowy pacjentów, u których ANC wynosiła &lt; 1 x 10</w:t>
      </w:r>
      <w:r w:rsidRPr="00F13073">
        <w:rPr>
          <w:vertAlign w:val="superscript"/>
        </w:rPr>
        <w:t>9</w:t>
      </w:r>
      <w:r w:rsidRPr="00F13073">
        <w:t>/l, zaburzenie to wystąpiło w ciągu 8 tygodni od rozpoczęcia leczenia. Zmniejszenie liczby granulocytów obojętnochłonnych poniżej 0,5 x 10</w:t>
      </w:r>
      <w:r w:rsidRPr="00F13073">
        <w:rPr>
          <w:vertAlign w:val="superscript"/>
        </w:rPr>
        <w:t>9</w:t>
      </w:r>
      <w:r w:rsidRPr="00F13073">
        <w:t xml:space="preserve">/l zgłoszono u 0,3% chorych otrzymujących </w:t>
      </w:r>
      <w:r w:rsidR="0053151D" w:rsidRPr="00F13073">
        <w:t xml:space="preserve">tocilizumab </w:t>
      </w:r>
      <w:r w:rsidRPr="00F13073">
        <w:t>w dawce 8 mg/kg mc. w skojarzeniu z lekiem z grupy DMARD. Zgłaszano przypadki zakażeń z neutropenią.</w:t>
      </w:r>
    </w:p>
    <w:p w14:paraId="5275458F" w14:textId="77777777" w:rsidR="00E1370F" w:rsidRPr="00F13073" w:rsidRDefault="00E1370F" w:rsidP="008B4C50"/>
    <w:p w14:paraId="77FA6560" w14:textId="77777777" w:rsidR="00617848" w:rsidRPr="00F13073" w:rsidRDefault="00617848" w:rsidP="008B4C50">
      <w:r w:rsidRPr="00F13073">
        <w:t>W trakcie kontrolowanych badań klinicznych z podwójnie ślepą próbą i w trakcie długookresowego leczenia, sposób oraz częstość występowania zmniejszenia liczby granulocytów obojętnochłonnych była zgodna z danymi, które zgłoszono w 6-miesięcznych kontrolowanych badaniach klinicznych.</w:t>
      </w:r>
    </w:p>
    <w:p w14:paraId="5C0FF954" w14:textId="77777777" w:rsidR="00E1370F" w:rsidRPr="00F13073" w:rsidRDefault="00E1370F" w:rsidP="008B4C50"/>
    <w:p w14:paraId="6BDCE341" w14:textId="77777777" w:rsidR="00617848" w:rsidRPr="00F13073" w:rsidRDefault="00617848" w:rsidP="008B4C50">
      <w:pPr>
        <w:rPr>
          <w:i/>
          <w:iCs/>
        </w:rPr>
      </w:pPr>
      <w:r w:rsidRPr="00F13073">
        <w:rPr>
          <w:i/>
          <w:iCs/>
        </w:rPr>
        <w:t>Płytki krwi</w:t>
      </w:r>
    </w:p>
    <w:p w14:paraId="1407295B" w14:textId="6BE284C2" w:rsidR="00617848" w:rsidRPr="00F13073" w:rsidRDefault="00617848" w:rsidP="00B16D0C">
      <w:r w:rsidRPr="00F13073">
        <w:t>W 6-miesięcznych kontrolowanych badaniach klinicznych zmniejszenie liczby płytek krwi poniżej 100</w:t>
      </w:r>
      <w:r w:rsidR="00B16D0C" w:rsidRPr="00F13073">
        <w:t> </w:t>
      </w:r>
      <w:r w:rsidRPr="00F13073">
        <w:t>x 10</w:t>
      </w:r>
      <w:r w:rsidRPr="00F13073">
        <w:rPr>
          <w:vertAlign w:val="superscript"/>
        </w:rPr>
        <w:t>3</w:t>
      </w:r>
      <w:r w:rsidRPr="00F13073">
        <w:t xml:space="preserve">/μL wystąpiło u 1,7% pacjentów otrzymujących </w:t>
      </w:r>
      <w:r w:rsidR="00C8019D" w:rsidRPr="00F13073">
        <w:t xml:space="preserve">tocilizumab </w:t>
      </w:r>
      <w:r w:rsidRPr="00F13073">
        <w:t>w dawce 8</w:t>
      </w:r>
      <w:r w:rsidR="003A523E" w:rsidRPr="00F13073">
        <w:t> </w:t>
      </w:r>
      <w:r w:rsidRPr="00F13073">
        <w:t>mg/kg mc. w skojarzeniu z lekiem z grupy DMARD w porównaniu do &lt; 1% chorych przyjmujących placebo razem z lekiem z grupy DMARD. Zmniejszeniom liczby płytek krwi nie towarzyszyły krwawienia.</w:t>
      </w:r>
    </w:p>
    <w:p w14:paraId="71CA3B88" w14:textId="77777777" w:rsidR="00E1370F" w:rsidRPr="00F13073" w:rsidRDefault="00E1370F" w:rsidP="008B4C50"/>
    <w:p w14:paraId="765AC870" w14:textId="77777777" w:rsidR="00617848" w:rsidRPr="00F13073" w:rsidRDefault="00617848" w:rsidP="008B4C50">
      <w:r w:rsidRPr="00F13073">
        <w:t>W trakcie kontrolowanych badań klinicznych z podwójnie ślepą próbą i w trakcie długookresowego leczenia sposób oraz częstość występowania zmniejszenia liczby płytek krwi były zgodne z danymi, które zgłoszono w 6-miesięcznych kontrolowanych badaniach klinicznych.</w:t>
      </w:r>
    </w:p>
    <w:p w14:paraId="13C87098" w14:textId="77777777" w:rsidR="00E1370F" w:rsidRPr="00F13073" w:rsidRDefault="00E1370F" w:rsidP="008B4C50"/>
    <w:p w14:paraId="0B942D19" w14:textId="77777777" w:rsidR="00617848" w:rsidRPr="00F13073" w:rsidRDefault="00617848" w:rsidP="008B4C50">
      <w:r w:rsidRPr="00F13073">
        <w:t>Zgłaszano bardzo rzadkie przypadki pancytopenii po dopuszczeniu leku do obrotu.</w:t>
      </w:r>
    </w:p>
    <w:p w14:paraId="4E92BC32" w14:textId="77777777" w:rsidR="00E1370F" w:rsidRPr="00F13073" w:rsidRDefault="00E1370F" w:rsidP="008B4C50"/>
    <w:p w14:paraId="6E4AB921" w14:textId="77777777" w:rsidR="00617848" w:rsidRPr="00F13073" w:rsidRDefault="00617848" w:rsidP="008B4C50">
      <w:pPr>
        <w:rPr>
          <w:i/>
          <w:iCs/>
        </w:rPr>
      </w:pPr>
      <w:r w:rsidRPr="00F13073">
        <w:rPr>
          <w:i/>
          <w:iCs/>
        </w:rPr>
        <w:t>Zwiększenie aktywności aminotransferaz wątrobowych</w:t>
      </w:r>
    </w:p>
    <w:p w14:paraId="43AD2791" w14:textId="3399D790" w:rsidR="00617848" w:rsidRPr="00F13073" w:rsidRDefault="00617848" w:rsidP="008B4C50">
      <w:r w:rsidRPr="00F13073">
        <w:t xml:space="preserve">W 6-miesięcznych kontrolowanych badaniach klinicznych przejściowe zwiększenie aktywności AlAT/AspAT &gt; 3 x górnej granicy normy (GGN) obserwowano u 2,1% pacjentów otrzymujących </w:t>
      </w:r>
      <w:r w:rsidR="00C8019D" w:rsidRPr="00F13073">
        <w:t xml:space="preserve">tocilizumab </w:t>
      </w:r>
      <w:r w:rsidRPr="00F13073">
        <w:t xml:space="preserve">w dawce 8 mg/kg mc. w porównaniu do 4,9% chorych przyjmujących metotreksat i u 6,5% pacjentów otrzymujących </w:t>
      </w:r>
      <w:r w:rsidR="00C8019D" w:rsidRPr="00F13073">
        <w:t xml:space="preserve">tocilizumab </w:t>
      </w:r>
      <w:r w:rsidRPr="00F13073">
        <w:t>w dawce 8 mg/kg mc. w skojarzeniu</w:t>
      </w:r>
      <w:r w:rsidR="00E1370F" w:rsidRPr="00F13073">
        <w:t xml:space="preserve"> </w:t>
      </w:r>
      <w:r w:rsidRPr="00F13073">
        <w:t>z DMARD w porównaniu do 1,5% u chorych przyjmujących placebo w skojarzeniu z DMARD.</w:t>
      </w:r>
    </w:p>
    <w:p w14:paraId="64D3B3D3" w14:textId="77777777" w:rsidR="00E1370F" w:rsidRPr="00F13073" w:rsidRDefault="00E1370F" w:rsidP="008B4C50"/>
    <w:p w14:paraId="28A690CD" w14:textId="58B227E7" w:rsidR="00617848" w:rsidRPr="00F13073" w:rsidRDefault="00617848" w:rsidP="008B4C50">
      <w:r w:rsidRPr="00F13073">
        <w:lastRenderedPageBreak/>
        <w:t xml:space="preserve">Dołączenie leków potencjalnie hepatotoksycznych (np. metotreksatu) do </w:t>
      </w:r>
      <w:r w:rsidR="00006687" w:rsidRPr="00F13073">
        <w:t xml:space="preserve">tocilizumabu </w:t>
      </w:r>
      <w:r w:rsidRPr="00F13073">
        <w:t xml:space="preserve"> podawanego w monoterapii powodowało zwiększenie częstości występowania wzrostów</w:t>
      </w:r>
      <w:r w:rsidR="00E1370F" w:rsidRPr="00F13073">
        <w:t xml:space="preserve"> </w:t>
      </w:r>
      <w:r w:rsidRPr="00F13073">
        <w:t xml:space="preserve">aktywności enzymów wątrobowych. Zwiększenie aktywności AlAT/AspAT &gt; 5 x GGN stwierdzono u 0,7% pacjentów otrzymujących </w:t>
      </w:r>
      <w:r w:rsidR="00006687" w:rsidRPr="00F13073">
        <w:t xml:space="preserve">tocilizumab </w:t>
      </w:r>
      <w:r w:rsidRPr="00F13073">
        <w:t xml:space="preserve">w monoterapii oraz u 1,4% pacjentów przyjmujących </w:t>
      </w:r>
      <w:r w:rsidR="00006687" w:rsidRPr="00F13073">
        <w:t xml:space="preserve">tocilizumab </w:t>
      </w:r>
      <w:r w:rsidRPr="00F13073">
        <w:t>w skojarzeniu z DMARD, przy czym u większości z tych chorych na stałe przerwano leczenie tocilizumabem. W okresie kontrolowanego badania z podwójnie ślepą próbą, częstość występowania zwiększonego stężenia bilirubiny pośredniej powyżej górnej granicy normy, ocenionej podczas rutynowego monitorowania parametrów laboratoryjnych wynosiła 6,2% u pacjentów otrzymujących tocilizumab w dawce 8 mg/kg mc w skojarzeniu z DMARD. Całkowita częstość występowania zwiększenia stężenia bilirubiny pośredniej &gt; 1 do 2 x GGN wynosiła 5,8%, natomiast u 0,4% pacjentów odnotowano zwiększenie stężenia bilirubiny pośredniej &gt; 2 x GGN.</w:t>
      </w:r>
    </w:p>
    <w:p w14:paraId="190DD893" w14:textId="77777777" w:rsidR="00E1370F" w:rsidRPr="00F13073" w:rsidRDefault="00E1370F" w:rsidP="008B4C50"/>
    <w:p w14:paraId="433A398C" w14:textId="77777777" w:rsidR="00617848" w:rsidRPr="00F13073" w:rsidRDefault="00617848" w:rsidP="008B4C50">
      <w:r w:rsidRPr="00F13073">
        <w:t>W trakcie kontrolowanych badań klinicznych z podwójnie ślepą próbą i w trakcie długookresowego leczenia sposób oraz częstość występowania zwiększonej aktywności AlAT/AspAT były zgodne z danymi, które zgłoszono w 6-miesięcznych kontrolowanych badaniach klinicznych.</w:t>
      </w:r>
    </w:p>
    <w:p w14:paraId="2BBE87E7" w14:textId="77777777" w:rsidR="00E1370F" w:rsidRPr="00F13073" w:rsidRDefault="00E1370F" w:rsidP="008B4C50"/>
    <w:p w14:paraId="47706CCE" w14:textId="77777777" w:rsidR="00617848" w:rsidRPr="00F13073" w:rsidRDefault="00617848" w:rsidP="008B4C50">
      <w:pPr>
        <w:rPr>
          <w:i/>
          <w:iCs/>
        </w:rPr>
      </w:pPr>
      <w:r w:rsidRPr="00F13073">
        <w:rPr>
          <w:i/>
          <w:iCs/>
        </w:rPr>
        <w:t>Parametry gospodarki lipidowej</w:t>
      </w:r>
    </w:p>
    <w:p w14:paraId="3F0AE40B" w14:textId="6B98FFA8" w:rsidR="00617848" w:rsidRPr="00F13073" w:rsidRDefault="00617848" w:rsidP="008B4C50">
      <w:r w:rsidRPr="00F13073">
        <w:t xml:space="preserve">W trakcie 6-miesięcznych kontrolowanych badań klinicznych często zgłaszano zwiększenie wartości parametrów gospodarki lipidowej obejmujące: stężenie cholesterolu całkowitego, trójglicerydów, cholesterolu LDL i (lub) cholesterolu HDL. Na podstawie rutynowego monitorowania laboratoryjnego u około 24% pacjentów przyjmujących </w:t>
      </w:r>
      <w:r w:rsidR="009C672F" w:rsidRPr="00F13073">
        <w:t xml:space="preserve">tocilizumab </w:t>
      </w:r>
      <w:r w:rsidRPr="00F13073">
        <w:t xml:space="preserve">w badaniach klinicznych obserwowano utrzymujące się zwiększenie wartości cholesterolu całkowitego </w:t>
      </w:r>
      <w:r w:rsidR="00AC65F7" w:rsidRPr="00F13073">
        <w:t>≥</w:t>
      </w:r>
      <w:r w:rsidRPr="00F13073">
        <w:t xml:space="preserve"> 6,2 mmol/l, a u 15% chorych obserwowano utrzymujące się zwiększenie wartości LDL </w:t>
      </w:r>
      <w:r w:rsidR="00AC65F7" w:rsidRPr="00F13073">
        <w:t>≥</w:t>
      </w:r>
      <w:r w:rsidRPr="00F13073">
        <w:t xml:space="preserve"> 4,1 mmol/l. Zwiększone stężenia parametrów lipidowych ulegały normalizacji po wdrożeniu leczenia obniżającego stężenia lipidów.</w:t>
      </w:r>
    </w:p>
    <w:p w14:paraId="1FDB3F3B" w14:textId="77777777" w:rsidR="008507DB" w:rsidRPr="00F13073" w:rsidRDefault="008507DB" w:rsidP="008B4C50"/>
    <w:p w14:paraId="39158DFB" w14:textId="77777777" w:rsidR="00617848" w:rsidRPr="00F13073" w:rsidRDefault="00617848" w:rsidP="008B4C50">
      <w:r w:rsidRPr="00F13073">
        <w:t>W trakcie kontrolowanych badań klinicznych z podwójnie ślepą próbą i w trakcie długookresowego leczenia, sposób oraz częstość występowania zwiększonych wartości parametrów lipidowych była zgodna z danymi uzyskanymi w 6-miesięcznych kontrolowanych badaniach klinicznych.</w:t>
      </w:r>
    </w:p>
    <w:p w14:paraId="0AF49DF8" w14:textId="77777777" w:rsidR="008507DB" w:rsidRPr="00F13073" w:rsidRDefault="008507DB" w:rsidP="008B4C50"/>
    <w:p w14:paraId="655CE704" w14:textId="77777777" w:rsidR="00617848" w:rsidRPr="00F13073" w:rsidRDefault="00617848" w:rsidP="008B4C50">
      <w:pPr>
        <w:rPr>
          <w:i/>
          <w:iCs/>
        </w:rPr>
      </w:pPr>
      <w:r w:rsidRPr="00F13073">
        <w:rPr>
          <w:i/>
          <w:iCs/>
        </w:rPr>
        <w:t>Złośliwe procesy nowotworowe</w:t>
      </w:r>
    </w:p>
    <w:p w14:paraId="38177FF0" w14:textId="5247A814" w:rsidR="00617848" w:rsidRPr="00F13073" w:rsidRDefault="00617848" w:rsidP="008B4C50">
      <w:r w:rsidRPr="00F13073">
        <w:t xml:space="preserve">Dane kliniczne są niewystarczające do oceny potencjalnej częstości występowania nowotworów złośliwych w następstwie ekspozycji na </w:t>
      </w:r>
      <w:r w:rsidR="00692AF6" w:rsidRPr="00F13073">
        <w:t>tocilizumab</w:t>
      </w:r>
      <w:r w:rsidRPr="00F13073">
        <w:t>. Trwają długoterminowe badania oceniające bezpieczeństwo tocilizumabu.</w:t>
      </w:r>
    </w:p>
    <w:p w14:paraId="7893DAD9" w14:textId="77777777" w:rsidR="008507DB" w:rsidRPr="00F13073" w:rsidRDefault="008507DB" w:rsidP="008B4C50"/>
    <w:p w14:paraId="5B3FADAB" w14:textId="77777777" w:rsidR="00617848" w:rsidRPr="00F13073" w:rsidRDefault="00617848" w:rsidP="008B4C50">
      <w:pPr>
        <w:rPr>
          <w:i/>
          <w:iCs/>
        </w:rPr>
      </w:pPr>
      <w:r w:rsidRPr="00F13073">
        <w:rPr>
          <w:i/>
          <w:iCs/>
        </w:rPr>
        <w:t>Reakcje skórne</w:t>
      </w:r>
    </w:p>
    <w:p w14:paraId="34F65642" w14:textId="77777777" w:rsidR="007345C7" w:rsidRPr="00F13073" w:rsidRDefault="00617848" w:rsidP="008B4C50">
      <w:r w:rsidRPr="00F13073">
        <w:t>Rzadko zgłaszano przypadki występowania zespołu Stevensa-Johnsona po dopuszczeniu produktu leczniczego do obrotu.</w:t>
      </w:r>
    </w:p>
    <w:p w14:paraId="6957F359" w14:textId="77777777" w:rsidR="008507DB" w:rsidRPr="00F13073" w:rsidRDefault="008507DB" w:rsidP="008B4C50"/>
    <w:p w14:paraId="6956902D" w14:textId="77777777" w:rsidR="007558A3" w:rsidRPr="00F13073" w:rsidRDefault="007558A3" w:rsidP="007558A3">
      <w:pPr>
        <w:pStyle w:val="a4"/>
        <w:widowControl/>
        <w:spacing w:after="0"/>
        <w:rPr>
          <w:rStyle w:val="Char"/>
          <w:u w:val="single"/>
        </w:rPr>
      </w:pPr>
      <w:r w:rsidRPr="00F13073">
        <w:rPr>
          <w:rStyle w:val="Char"/>
          <w:u w:val="single"/>
        </w:rPr>
        <w:t>Immunogenność</w:t>
      </w:r>
    </w:p>
    <w:p w14:paraId="38E5F3A7" w14:textId="2A6F3874" w:rsidR="007558A3" w:rsidRPr="00F13073" w:rsidRDefault="007558A3" w:rsidP="007558A3">
      <w:pPr>
        <w:pStyle w:val="a4"/>
        <w:widowControl/>
        <w:spacing w:after="0"/>
        <w:rPr>
          <w:rStyle w:val="Char"/>
        </w:rPr>
      </w:pPr>
      <w:r w:rsidRPr="00F13073">
        <w:rPr>
          <w:rStyle w:val="Char"/>
        </w:rPr>
        <w:t xml:space="preserve">Podczas leczenia tocilizumabem mogą wytworzyć się przeciwciała przeciwko tocilizumabowi. Można zaobserwować </w:t>
      </w:r>
      <w:r w:rsidR="00485C8C" w:rsidRPr="00F13073">
        <w:rPr>
          <w:rStyle w:val="Char"/>
        </w:rPr>
        <w:t>zależność</w:t>
      </w:r>
      <w:r w:rsidRPr="00F13073">
        <w:rPr>
          <w:rStyle w:val="Char"/>
        </w:rPr>
        <w:t xml:space="preserve"> między wytwarzaniem przeciwciał a odpowiedzią kliniczną lub zdarzeniami niepożądanymi.</w:t>
      </w:r>
    </w:p>
    <w:p w14:paraId="5174BD45" w14:textId="77777777" w:rsidR="007558A3" w:rsidRPr="00F13073" w:rsidRDefault="007558A3" w:rsidP="008B4C50"/>
    <w:p w14:paraId="6E1F8135" w14:textId="77777777" w:rsidR="001E0975" w:rsidRPr="00F13073" w:rsidRDefault="0008792D" w:rsidP="008B4C50">
      <w:pPr>
        <w:keepNext/>
        <w:rPr>
          <w:u w:val="single"/>
        </w:rPr>
      </w:pPr>
      <w:r w:rsidRPr="00F13073">
        <w:rPr>
          <w:u w:val="single"/>
        </w:rPr>
        <w:t>Zgłaszanie podejrzewanych działań niepożądanych</w:t>
      </w:r>
    </w:p>
    <w:p w14:paraId="49ACD354" w14:textId="77777777" w:rsidR="001E0975" w:rsidRPr="00F13073" w:rsidRDefault="0008792D" w:rsidP="008B4C50">
      <w:r w:rsidRPr="00F13073">
        <w:rPr>
          <w:rStyle w:val="Char"/>
          <w:rFonts w:eastAsia="DengXi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rStyle w:val="Char"/>
          <w:rFonts w:eastAsia="DengXian"/>
          <w:highlight w:val="lightGray"/>
        </w:rPr>
        <w:t>krajowego systemu zgłaszania wymienionego w</w:t>
      </w:r>
      <w:r w:rsidR="007345C7">
        <w:rPr>
          <w:highlight w:val="lightGray"/>
        </w:rPr>
        <w:t xml:space="preserve"> </w:t>
      </w:r>
      <w:hyperlink r:id="rId13" w:history="1">
        <w:r>
          <w:rPr>
            <w:rStyle w:val="a7"/>
            <w:highlight w:val="lightGray"/>
          </w:rPr>
          <w:t>załączniku V</w:t>
        </w:r>
      </w:hyperlink>
      <w:r w:rsidR="007345C7" w:rsidRPr="00F13073">
        <w:t>.</w:t>
      </w:r>
    </w:p>
    <w:p w14:paraId="063407C6" w14:textId="77777777" w:rsidR="007345C7" w:rsidRPr="00F13073" w:rsidRDefault="007345C7" w:rsidP="008B4C50"/>
    <w:p w14:paraId="151AEAA2" w14:textId="77777777" w:rsidR="001E0975" w:rsidRPr="00F13073" w:rsidRDefault="001721B1" w:rsidP="008B4C50">
      <w:pPr>
        <w:keepNext/>
        <w:ind w:left="567" w:hanging="567"/>
        <w:rPr>
          <w:b/>
          <w:bCs/>
        </w:rPr>
      </w:pPr>
      <w:r w:rsidRPr="00F13073">
        <w:rPr>
          <w:b/>
          <w:bCs/>
        </w:rPr>
        <w:t>4.9</w:t>
      </w:r>
      <w:r w:rsidRPr="00F13073">
        <w:rPr>
          <w:b/>
          <w:bCs/>
        </w:rPr>
        <w:tab/>
      </w:r>
      <w:r w:rsidR="00E342A6" w:rsidRPr="00F13073">
        <w:rPr>
          <w:rStyle w:val="Char"/>
          <w:rFonts w:eastAsia="DengXian"/>
          <w:b/>
          <w:bCs/>
        </w:rPr>
        <w:t>Przedawkowanie</w:t>
      </w:r>
    </w:p>
    <w:p w14:paraId="44A80911" w14:textId="77777777" w:rsidR="007345C7" w:rsidRPr="00F13073" w:rsidRDefault="007345C7" w:rsidP="008B4C50">
      <w:pPr>
        <w:keepNext/>
        <w:ind w:left="567" w:hanging="567"/>
        <w:rPr>
          <w:b/>
          <w:bCs/>
        </w:rPr>
      </w:pPr>
    </w:p>
    <w:p w14:paraId="7D709E33" w14:textId="23EF3D89" w:rsidR="00E342A6" w:rsidRPr="00F13073" w:rsidRDefault="00E342A6" w:rsidP="008B4C50">
      <w:pPr>
        <w:pStyle w:val="a4"/>
        <w:widowControl/>
        <w:spacing w:after="0"/>
        <w:rPr>
          <w:rStyle w:val="Char"/>
        </w:rPr>
      </w:pPr>
      <w:r w:rsidRPr="00F13073">
        <w:rPr>
          <w:rStyle w:val="Char"/>
        </w:rPr>
        <w:t xml:space="preserve">Dostępne dane dotyczące przedawkowania </w:t>
      </w:r>
      <w:r w:rsidR="0028671F" w:rsidRPr="00F13073">
        <w:rPr>
          <w:rStyle w:val="Char"/>
        </w:rPr>
        <w:t xml:space="preserve">tocilizumabu </w:t>
      </w:r>
      <w:r w:rsidRPr="00F13073">
        <w:rPr>
          <w:rStyle w:val="Char"/>
        </w:rPr>
        <w:t>są ograniczone. Zgłoszono jedno zdarzenie przypadkowego przedawkowania, w którym chory ze szpiczakiem mnogim otrzymał dożylnie pojedynczą dawkę w wysokości 40 mg/kg mc. Nie zaobserwowano żadnych działań niepożądanych.</w:t>
      </w:r>
    </w:p>
    <w:p w14:paraId="6472003D" w14:textId="77777777" w:rsidR="00E342A6" w:rsidRPr="00F13073" w:rsidRDefault="00E342A6" w:rsidP="008B4C50">
      <w:pPr>
        <w:pStyle w:val="a4"/>
        <w:widowControl/>
        <w:spacing w:after="0"/>
      </w:pPr>
    </w:p>
    <w:p w14:paraId="04800BCA" w14:textId="77777777" w:rsidR="00E342A6" w:rsidRPr="00F13073" w:rsidRDefault="00E342A6" w:rsidP="008B4C50">
      <w:pPr>
        <w:pStyle w:val="a4"/>
        <w:widowControl/>
        <w:spacing w:after="0"/>
        <w:rPr>
          <w:rStyle w:val="Char"/>
        </w:rPr>
      </w:pPr>
      <w:r w:rsidRPr="00F13073">
        <w:rPr>
          <w:rStyle w:val="Char"/>
        </w:rPr>
        <w:lastRenderedPageBreak/>
        <w:t>U zdrowych ochotników, którzy otrzymali pojedynczą dawkę w wysokości do 28 mg/kg mc. nie zaobserwowano ciężkich działań niepożądanych, aczkolwiek wystąpiła neutropenia wymagająca zmniejszenia dawki leczniczej.</w:t>
      </w:r>
    </w:p>
    <w:p w14:paraId="3F50FFE0" w14:textId="77777777" w:rsidR="00E342A6" w:rsidRPr="00F13073" w:rsidRDefault="00E342A6" w:rsidP="008B4C50">
      <w:pPr>
        <w:pStyle w:val="a4"/>
        <w:widowControl/>
        <w:spacing w:after="0"/>
        <w:rPr>
          <w:rStyle w:val="Char"/>
        </w:rPr>
      </w:pPr>
    </w:p>
    <w:p w14:paraId="217516C2" w14:textId="77777777" w:rsidR="00E342A6" w:rsidRPr="00F13073" w:rsidRDefault="00E342A6" w:rsidP="008B4C50">
      <w:pPr>
        <w:pStyle w:val="a4"/>
        <w:widowControl/>
        <w:spacing w:after="0"/>
      </w:pPr>
    </w:p>
    <w:p w14:paraId="23F6D6E9" w14:textId="77777777" w:rsidR="00E342A6" w:rsidRPr="00F13073" w:rsidRDefault="00E342A6" w:rsidP="00F65804">
      <w:pPr>
        <w:keepNext/>
        <w:keepLines/>
        <w:ind w:left="567" w:hanging="567"/>
      </w:pPr>
      <w:r w:rsidRPr="00F13073">
        <w:rPr>
          <w:rStyle w:val="Char"/>
          <w:rFonts w:eastAsia="DengXian"/>
          <w:b/>
          <w:bCs/>
          <w:lang w:eastAsia="el-GR"/>
        </w:rPr>
        <w:t>5.</w:t>
      </w:r>
      <w:r w:rsidRPr="00F13073">
        <w:rPr>
          <w:rStyle w:val="Char"/>
          <w:rFonts w:eastAsia="DengXian"/>
          <w:b/>
          <w:bCs/>
          <w:lang w:eastAsia="el-GR"/>
        </w:rPr>
        <w:tab/>
      </w:r>
      <w:r w:rsidRPr="00F13073">
        <w:rPr>
          <w:rStyle w:val="Char"/>
          <w:rFonts w:eastAsia="DengXian"/>
          <w:b/>
          <w:bCs/>
        </w:rPr>
        <w:t>WŁAŚCIWOŚCI FARMAKOLOGICZNE</w:t>
      </w:r>
    </w:p>
    <w:p w14:paraId="4F9F7898" w14:textId="77777777" w:rsidR="00E342A6" w:rsidRPr="00F13073" w:rsidRDefault="00E342A6" w:rsidP="00F65804">
      <w:pPr>
        <w:pStyle w:val="a4"/>
        <w:keepNext/>
        <w:keepLines/>
        <w:widowControl/>
        <w:spacing w:after="0"/>
        <w:rPr>
          <w:rStyle w:val="Char"/>
          <w:b/>
          <w:bCs/>
        </w:rPr>
      </w:pPr>
    </w:p>
    <w:p w14:paraId="33E231CA" w14:textId="77777777" w:rsidR="00E342A6" w:rsidRPr="00F13073" w:rsidRDefault="00E342A6" w:rsidP="00F65804">
      <w:pPr>
        <w:keepNext/>
        <w:keepLines/>
        <w:ind w:left="567" w:hanging="567"/>
      </w:pPr>
      <w:r w:rsidRPr="00F13073">
        <w:rPr>
          <w:rStyle w:val="Char"/>
          <w:rFonts w:eastAsia="DengXian"/>
          <w:b/>
          <w:bCs/>
        </w:rPr>
        <w:t>5.1</w:t>
      </w:r>
      <w:r w:rsidRPr="00F13073">
        <w:rPr>
          <w:rStyle w:val="Char"/>
          <w:rFonts w:eastAsia="DengXian"/>
          <w:b/>
          <w:bCs/>
        </w:rPr>
        <w:tab/>
        <w:t>Właściwości farmakodynamiczne</w:t>
      </w:r>
    </w:p>
    <w:p w14:paraId="079CF2AB" w14:textId="77777777" w:rsidR="00E342A6" w:rsidRPr="00F13073" w:rsidRDefault="00E342A6" w:rsidP="00F65804">
      <w:pPr>
        <w:pStyle w:val="a4"/>
        <w:keepNext/>
        <w:keepLines/>
        <w:widowControl/>
        <w:spacing w:after="0"/>
        <w:rPr>
          <w:rStyle w:val="Char"/>
        </w:rPr>
      </w:pPr>
    </w:p>
    <w:p w14:paraId="2B164D42" w14:textId="77777777" w:rsidR="00E342A6" w:rsidRPr="00F13073" w:rsidRDefault="00E342A6" w:rsidP="008B4C50">
      <w:pPr>
        <w:pStyle w:val="a4"/>
        <w:widowControl/>
        <w:spacing w:after="0"/>
        <w:rPr>
          <w:rStyle w:val="Char"/>
        </w:rPr>
      </w:pPr>
      <w:r w:rsidRPr="00F13073">
        <w:rPr>
          <w:rStyle w:val="Char"/>
        </w:rPr>
        <w:t>Grupa farmakoterapeutyczna: Leki immunosupresyjne, inhibitory interleukin; kod ATC: L04AC07.</w:t>
      </w:r>
    </w:p>
    <w:p w14:paraId="119EAD3A" w14:textId="77777777" w:rsidR="00E342A6" w:rsidRPr="00F13073" w:rsidRDefault="00E342A6" w:rsidP="008B4C50">
      <w:pPr>
        <w:pStyle w:val="a4"/>
        <w:widowControl/>
        <w:spacing w:after="0"/>
      </w:pPr>
    </w:p>
    <w:p w14:paraId="0F865D14" w14:textId="77777777" w:rsidR="001A297D" w:rsidRPr="00F13073" w:rsidRDefault="001A297D" w:rsidP="001A297D">
      <w:r w:rsidRPr="00F13073">
        <w:t xml:space="preserve">Avtozma jest produktem leczniczym biopodobnym. Szczegółowe informacje są dostępne na stronie internetowej Europejskiej Agencji Leków </w:t>
      </w:r>
      <w:r>
        <w:fldChar w:fldCharType="begin"/>
      </w:r>
      <w:r>
        <w:instrText>HYPERLINK "https://www.ema.europa.eu"</w:instrText>
      </w:r>
      <w:r>
        <w:fldChar w:fldCharType="separate"/>
      </w:r>
      <w:r w:rsidRPr="00F13073">
        <w:rPr>
          <w:rStyle w:val="a7"/>
        </w:rPr>
        <w:t>https://www.ema.europa.eu</w:t>
      </w:r>
      <w:r>
        <w:fldChar w:fldCharType="end"/>
      </w:r>
      <w:r w:rsidRPr="00F13073">
        <w:rPr>
          <w:color w:val="0000FF"/>
        </w:rPr>
        <w:t>.</w:t>
      </w:r>
    </w:p>
    <w:p w14:paraId="2063EF29" w14:textId="77777777" w:rsidR="001A297D" w:rsidRPr="00F13073" w:rsidRDefault="001A297D" w:rsidP="008B4C50">
      <w:pPr>
        <w:pStyle w:val="a4"/>
        <w:widowControl/>
        <w:spacing w:after="0"/>
      </w:pPr>
    </w:p>
    <w:p w14:paraId="0F685228" w14:textId="77777777" w:rsidR="00E342A6" w:rsidRPr="00F13073" w:rsidRDefault="00E342A6" w:rsidP="008B4C50">
      <w:pPr>
        <w:pStyle w:val="a4"/>
        <w:widowControl/>
        <w:spacing w:after="0"/>
      </w:pPr>
      <w:r w:rsidRPr="00F13073">
        <w:rPr>
          <w:rStyle w:val="Char"/>
          <w:u w:val="single"/>
        </w:rPr>
        <w:t>Mechanizm działania</w:t>
      </w:r>
    </w:p>
    <w:p w14:paraId="302471F8" w14:textId="77777777" w:rsidR="00E342A6" w:rsidRPr="00F13073" w:rsidRDefault="00E342A6" w:rsidP="008B4C50">
      <w:pPr>
        <w:pStyle w:val="a4"/>
        <w:widowControl/>
        <w:spacing w:after="0"/>
        <w:rPr>
          <w:rStyle w:val="Char"/>
        </w:rPr>
      </w:pPr>
      <w:r w:rsidRPr="00F13073">
        <w:rPr>
          <w:rStyle w:val="Char"/>
        </w:rPr>
        <w:t>Tocilizumab wiąże się swoiście z receptorami IL-6, zarówno rozpuszczalnymi, jak i związanymi z błonami komórkowymi (sIL-6R i mIL-6R). Wykazano, że tocilizumab hamuje przekazywanie sygnału szlakiem pośredniczonym przez sIL-6R i mIL-6R. IL-6 jest plejotropową cytokiną prozapalną produkowaną przez wiele różnych komórek, w tym limfocyty T i B, monocyty i fibroblasty. IL-6 bierze udział w różnorodnych procesach fizjologicznych, takich jak aktywacja limfocytów T, indukcja wydzielania immunoglobulin, indukcja wytwarzania białek ostrej fazy w wątrobie i stymulacja hematopoezy. IL-6 odgrywa również rolę w patogenezie chorób, w tym chorób zapalnych, osteoporozy i chorób nowotworowych.</w:t>
      </w:r>
    </w:p>
    <w:p w14:paraId="0134FBBB" w14:textId="77777777" w:rsidR="00E342A6" w:rsidRPr="00F13073" w:rsidRDefault="00E342A6" w:rsidP="008B4C50">
      <w:pPr>
        <w:pStyle w:val="a4"/>
        <w:widowControl/>
        <w:spacing w:after="0"/>
      </w:pPr>
    </w:p>
    <w:p w14:paraId="68A9F718" w14:textId="77777777" w:rsidR="00E342A6" w:rsidRPr="00F13073" w:rsidRDefault="00E342A6" w:rsidP="008B4C50">
      <w:pPr>
        <w:pStyle w:val="a4"/>
        <w:widowControl/>
        <w:spacing w:after="0"/>
      </w:pPr>
      <w:r w:rsidRPr="00F13073">
        <w:rPr>
          <w:rStyle w:val="Char"/>
          <w:u w:val="single"/>
        </w:rPr>
        <w:t>Właściwości farmakodynamiczne</w:t>
      </w:r>
    </w:p>
    <w:p w14:paraId="5B793C78" w14:textId="59CD83AA" w:rsidR="00E342A6" w:rsidRPr="00F13073" w:rsidRDefault="00E342A6" w:rsidP="008B4C50">
      <w:pPr>
        <w:pStyle w:val="a4"/>
        <w:widowControl/>
        <w:spacing w:after="0"/>
        <w:rPr>
          <w:rStyle w:val="Char"/>
        </w:rPr>
      </w:pPr>
      <w:r w:rsidRPr="00F13073">
        <w:rPr>
          <w:rStyle w:val="Char"/>
        </w:rPr>
        <w:t xml:space="preserve">W badaniach klinicznych nad stosowaniem </w:t>
      </w:r>
      <w:r w:rsidR="0028671F" w:rsidRPr="00F13073">
        <w:rPr>
          <w:rStyle w:val="Char"/>
        </w:rPr>
        <w:t xml:space="preserve">tocilizumabu </w:t>
      </w:r>
      <w:r w:rsidRPr="00F13073">
        <w:rPr>
          <w:rStyle w:val="Char"/>
        </w:rPr>
        <w:t xml:space="preserve">obserwowano szybkie zmniejszenie stężenia białka C-reaktywnego (CRP), szybkości opadania krwinek czerwonych (OB), stężenia surowiczego amyloidu A (SAA) i fibrynogenu. Zgodnie z działaniem na białka ostrej fazy, podawanie </w:t>
      </w:r>
      <w:r w:rsidR="0028671F" w:rsidRPr="00F13073">
        <w:rPr>
          <w:rStyle w:val="Char"/>
        </w:rPr>
        <w:t xml:space="preserve">tocilizumabu </w:t>
      </w:r>
      <w:r w:rsidRPr="00F13073">
        <w:rPr>
          <w:rStyle w:val="Char"/>
        </w:rPr>
        <w:t xml:space="preserve">wiązało się ze zmniejszeniem liczby płytek krwi, przy czym zmniejszenie wartości tego parametru nie przekraczało granic normy. Obserwowano zwiększenie stężenia hemoglobiny, co jest spowodowane osłabieniem przez </w:t>
      </w:r>
      <w:r w:rsidR="00BD3E7B" w:rsidRPr="00F13073">
        <w:rPr>
          <w:rStyle w:val="Char"/>
        </w:rPr>
        <w:t xml:space="preserve">tocilizumab </w:t>
      </w:r>
      <w:r w:rsidRPr="00F13073">
        <w:rPr>
          <w:rStyle w:val="Char"/>
        </w:rPr>
        <w:t xml:space="preserve">działania IL-6, stymulującej wytwarzanie hepcydyny, w wyniku czego dochodzi do zwiększenia dostępności żelaza. U chorych leczonych </w:t>
      </w:r>
      <w:r w:rsidR="00BD3E7B" w:rsidRPr="00F13073">
        <w:rPr>
          <w:rStyle w:val="Char"/>
        </w:rPr>
        <w:t xml:space="preserve">tocilizumabem </w:t>
      </w:r>
      <w:r w:rsidRPr="00F13073">
        <w:rPr>
          <w:rStyle w:val="Char"/>
        </w:rPr>
        <w:t xml:space="preserve"> stężenie CRP ulegało zmniejszeniu do wartości mieszczących się w granicach normy już w drugim tygodniu leczenia i utrzymywało się na tym samym poziomie do końca trwania leczenia.</w:t>
      </w:r>
    </w:p>
    <w:p w14:paraId="5511AA59" w14:textId="77777777" w:rsidR="00E342A6" w:rsidRPr="00F13073" w:rsidRDefault="00E342A6" w:rsidP="008B4C50">
      <w:pPr>
        <w:pStyle w:val="a4"/>
        <w:widowControl/>
        <w:spacing w:after="0"/>
      </w:pPr>
    </w:p>
    <w:p w14:paraId="21C1019C" w14:textId="50405B91" w:rsidR="00E342A6" w:rsidRPr="00F13073" w:rsidRDefault="00E342A6" w:rsidP="008B4C50">
      <w:pPr>
        <w:pStyle w:val="a4"/>
        <w:widowControl/>
        <w:spacing w:after="0"/>
        <w:rPr>
          <w:rStyle w:val="Char"/>
        </w:rPr>
      </w:pPr>
      <w:r w:rsidRPr="00F13073">
        <w:rPr>
          <w:rStyle w:val="Char"/>
        </w:rPr>
        <w:t xml:space="preserve">W badaniu klinicznym WA28119 w GCA obserwowano podobne szybkie zmniejszenie stężenia CRP i OB, wraz z niewielkim zwiększeniem średniego stężenia hemoglobiny w erytrocytach. U zdrowych ochotników, którym podano </w:t>
      </w:r>
      <w:r w:rsidR="00BD3E7B" w:rsidRPr="00F13073">
        <w:rPr>
          <w:rStyle w:val="Char"/>
        </w:rPr>
        <w:t xml:space="preserve">tocilizumab </w:t>
      </w:r>
      <w:r w:rsidRPr="00F13073">
        <w:rPr>
          <w:rStyle w:val="Char"/>
        </w:rPr>
        <w:t>w dawce od 2 do 28 mg/kg mc. dożylnie i 81 do 162 mg podskórnie, 2 do 5 dni po podaniu bezwzględna liczba granulocytów obojętnochłonnych zmniejszyła się do najniższych wartości. Następnie liczba granulocytów obojętnochłonnych zwiększyła się do wartości wyjściowych w sposób zależny od dawki.</w:t>
      </w:r>
    </w:p>
    <w:p w14:paraId="04677905" w14:textId="77777777" w:rsidR="00E342A6" w:rsidRPr="00F13073" w:rsidRDefault="00E342A6" w:rsidP="008B4C50">
      <w:pPr>
        <w:pStyle w:val="a4"/>
        <w:widowControl/>
        <w:spacing w:after="0"/>
      </w:pPr>
    </w:p>
    <w:p w14:paraId="109A62E7" w14:textId="40548C46" w:rsidR="00E342A6" w:rsidRPr="00F13073" w:rsidRDefault="00E342A6" w:rsidP="008B4C50">
      <w:pPr>
        <w:pStyle w:val="a4"/>
        <w:widowControl/>
        <w:spacing w:after="0"/>
        <w:rPr>
          <w:rStyle w:val="Char"/>
        </w:rPr>
      </w:pPr>
      <w:r w:rsidRPr="00F13073">
        <w:rPr>
          <w:rStyle w:val="Char"/>
        </w:rPr>
        <w:t xml:space="preserve">U pacjentów zaobserwowano podobny (jak u zdrowych badanych) spadek całkowitej liczby granulocytów obojętnochłonnych po podaniu </w:t>
      </w:r>
      <w:r w:rsidR="00BD3E7B" w:rsidRPr="00F13073">
        <w:rPr>
          <w:rStyle w:val="Char"/>
        </w:rPr>
        <w:t xml:space="preserve">tocilizumabu </w:t>
      </w:r>
      <w:r w:rsidRPr="00F13073">
        <w:rPr>
          <w:rStyle w:val="Char"/>
        </w:rPr>
        <w:t>(patrz punkt 4.8).</w:t>
      </w:r>
    </w:p>
    <w:p w14:paraId="0DD0E03C" w14:textId="77777777" w:rsidR="00E342A6" w:rsidRPr="00F13073" w:rsidRDefault="00E342A6" w:rsidP="008B4C50">
      <w:pPr>
        <w:pStyle w:val="a4"/>
        <w:widowControl/>
        <w:spacing w:after="0"/>
      </w:pPr>
    </w:p>
    <w:p w14:paraId="213706A3" w14:textId="77777777" w:rsidR="00E342A6" w:rsidRPr="00F13073" w:rsidRDefault="00E342A6" w:rsidP="008B4C50">
      <w:pPr>
        <w:pStyle w:val="a4"/>
        <w:widowControl/>
        <w:spacing w:after="0"/>
      </w:pPr>
      <w:r w:rsidRPr="00F13073">
        <w:rPr>
          <w:rStyle w:val="Char"/>
          <w:u w:val="single"/>
        </w:rPr>
        <w:t>Stosowanie podskórne</w:t>
      </w:r>
    </w:p>
    <w:p w14:paraId="57064E77" w14:textId="77777777" w:rsidR="00E342A6" w:rsidRPr="00F13073" w:rsidRDefault="00E342A6" w:rsidP="008B4C50">
      <w:pPr>
        <w:pStyle w:val="a4"/>
        <w:widowControl/>
        <w:spacing w:after="0"/>
      </w:pPr>
      <w:r w:rsidRPr="00F13073">
        <w:rPr>
          <w:rStyle w:val="Char"/>
          <w:b/>
          <w:bCs/>
          <w:u w:val="single"/>
        </w:rPr>
        <w:t>RZS</w:t>
      </w:r>
    </w:p>
    <w:p w14:paraId="27FD0E5D" w14:textId="77777777" w:rsidR="00E342A6" w:rsidRPr="00F13073" w:rsidRDefault="00E342A6" w:rsidP="008B4C50">
      <w:pPr>
        <w:pStyle w:val="a4"/>
        <w:widowControl/>
        <w:spacing w:after="0"/>
      </w:pPr>
      <w:r w:rsidRPr="00F13073">
        <w:rPr>
          <w:rStyle w:val="Char"/>
          <w:u w:val="single"/>
        </w:rPr>
        <w:t>Skuteczność kliniczna</w:t>
      </w:r>
    </w:p>
    <w:p w14:paraId="321CC52D" w14:textId="13E67623" w:rsidR="00E342A6" w:rsidRPr="00F13073" w:rsidRDefault="00E342A6" w:rsidP="008B4C50">
      <w:pPr>
        <w:pStyle w:val="a4"/>
        <w:widowControl/>
        <w:spacing w:after="0"/>
        <w:rPr>
          <w:rStyle w:val="Char"/>
        </w:rPr>
      </w:pPr>
      <w:r w:rsidRPr="00F13073">
        <w:rPr>
          <w:rStyle w:val="Char"/>
        </w:rPr>
        <w:t xml:space="preserve">Skuteczność kliniczną </w:t>
      </w:r>
      <w:r w:rsidR="00257EF5" w:rsidRPr="00F13073">
        <w:rPr>
          <w:rStyle w:val="Char"/>
        </w:rPr>
        <w:t xml:space="preserve">tocilizumabu </w:t>
      </w:r>
      <w:r w:rsidRPr="00F13073">
        <w:rPr>
          <w:rStyle w:val="Char"/>
        </w:rPr>
        <w:t xml:space="preserve">podawanego podskórnie w zakresie łagodzenia objawów przedmiotowych i podmiotowych RZS oraz odpowiedzi radiologicznej oceniano w dwóch wieloośrodkowych, randomizowanych badaniach kontrolowanych prowadzonych metodą podwójnie ślepej próby. Do udziału w badaniu I (SC-I) kwalifikowani byli pacjenci w wieku powyżej 18 lat z czynnym umiarkowanym lub ciężkim RZS rozpoznanym na podstawie kryteriów ACR i u których wyjściowo stwierdzono co najmniej 4 bolesne i 4 obrzęknięte stawy. Wszyscy pacjenci otrzymali wcześniejsze leczenie z zastosowaniem niebiologicznych leków DMARD. Do udziału w badaniu II (SC-II) kwalifikowani byli pacjenci w wieku powyżej 18 lat z czynnym umiarkowanym lub ciężkim </w:t>
      </w:r>
      <w:r w:rsidRPr="00F13073">
        <w:rPr>
          <w:rStyle w:val="Char"/>
        </w:rPr>
        <w:lastRenderedPageBreak/>
        <w:t>RZS rozpoznanym na podstawie kryteriów ACR i u których wyjściowo stwierdzono co najmniej 8 bolesnych i 6 obrzękniętych stawów.</w:t>
      </w:r>
    </w:p>
    <w:p w14:paraId="14C51C74" w14:textId="77777777" w:rsidR="00E342A6" w:rsidRPr="00F13073" w:rsidRDefault="00E342A6" w:rsidP="008B4C50">
      <w:pPr>
        <w:pStyle w:val="a4"/>
        <w:widowControl/>
        <w:spacing w:after="0"/>
      </w:pPr>
    </w:p>
    <w:p w14:paraId="68E13E18" w14:textId="77777777" w:rsidR="00E342A6" w:rsidRPr="00F13073" w:rsidRDefault="00E342A6" w:rsidP="008B4C50">
      <w:pPr>
        <w:pStyle w:val="a4"/>
        <w:widowControl/>
        <w:spacing w:after="0"/>
        <w:rPr>
          <w:rStyle w:val="Char"/>
        </w:rPr>
      </w:pPr>
      <w:r w:rsidRPr="00F13073">
        <w:rPr>
          <w:rStyle w:val="Char"/>
        </w:rPr>
        <w:t>Przejście z postaci dożylnej, podawanej co 4 tygodnie w dawce 8 mg/kg mc. do podawanej podskórnie raz w tygodniu dawki 162 mg zmienia ekspozycję pacjenta na lek. Zakres ekspozycji zmienia się wraz z masą ciała pacjenta (wzrost u pacjentów o niskiej masie ciała i spadek u pacjentów o dużej masie ciała), ale wynik kliniczny jest spójny z wynikiem obserwowanym u pacjentów leczonych lekiem podawanym dożylnie.</w:t>
      </w:r>
    </w:p>
    <w:p w14:paraId="24180227" w14:textId="77777777" w:rsidR="00E342A6" w:rsidRPr="00F13073" w:rsidRDefault="00E342A6" w:rsidP="008B4C50">
      <w:pPr>
        <w:pStyle w:val="a4"/>
        <w:widowControl/>
        <w:spacing w:after="0"/>
      </w:pPr>
    </w:p>
    <w:p w14:paraId="48174711" w14:textId="77777777" w:rsidR="00E342A6" w:rsidRPr="00F13073" w:rsidRDefault="00E342A6" w:rsidP="008B4C50">
      <w:pPr>
        <w:pStyle w:val="a4"/>
        <w:widowControl/>
        <w:spacing w:after="0"/>
      </w:pPr>
      <w:r w:rsidRPr="00F13073">
        <w:rPr>
          <w:rStyle w:val="Char"/>
          <w:u w:val="single"/>
        </w:rPr>
        <w:t>Odpowiedź kliniczna</w:t>
      </w:r>
    </w:p>
    <w:p w14:paraId="400E3A28" w14:textId="695B0783" w:rsidR="00E342A6" w:rsidRPr="00F13073" w:rsidRDefault="00E342A6" w:rsidP="008B4C50">
      <w:pPr>
        <w:pStyle w:val="a4"/>
        <w:widowControl/>
        <w:spacing w:after="0"/>
        <w:rPr>
          <w:rStyle w:val="Char"/>
        </w:rPr>
      </w:pPr>
      <w:r w:rsidRPr="00F13073">
        <w:rPr>
          <w:rStyle w:val="Char"/>
        </w:rPr>
        <w:t xml:space="preserve">Badanie SC-I oceniało pacjentów z umiarkowanym lub ciężkim RZS, u których stwierdzono niewystarczającą odpowiedź kliniczną na stosowane dotychczas leczenie przeciwreumatyczne, jednym lub więcej lekami z grupy DMARD, gdzie u około 20% pacjentów w wywiadzie stwierdzono niewystarczającą odpowiedź na leczenie przynajmniej jednym inhibitorem TNF. W badaniu SC-I 1262 pacjentów zostało losowo przydzielonych w stosunku 1:1 do grup otrzymujących </w:t>
      </w:r>
      <w:r w:rsidR="00CA59A4" w:rsidRPr="00F13073">
        <w:rPr>
          <w:rStyle w:val="Char"/>
        </w:rPr>
        <w:t>tocilizumab</w:t>
      </w:r>
      <w:r w:rsidRPr="00F13073">
        <w:rPr>
          <w:rStyle w:val="Char"/>
        </w:rPr>
        <w:t xml:space="preserve"> w dawce 162 mg podskórnie raz w tygodniu lub </w:t>
      </w:r>
      <w:r w:rsidR="00CA59A4" w:rsidRPr="00F13073">
        <w:rPr>
          <w:rStyle w:val="Char"/>
        </w:rPr>
        <w:t xml:space="preserve">tocilizumab </w:t>
      </w:r>
      <w:r w:rsidRPr="00F13073">
        <w:rPr>
          <w:rStyle w:val="Char"/>
        </w:rPr>
        <w:t>w dawce 8 mg/kg mc. dożylnie podawany co cztery tygodnie w skojarzeniu z niebiologicznymi lekami z grupy DMARD. Pierwszorzędowym punktem końcowym w badaniu była różnica odsetka pacjentów, u których uzyskano odpowiedź na leczenie według kryterium ACR20 po 24 tygodniach. Wyniki z badania SC-I pokazano w Tabeli 2.</w:t>
      </w:r>
    </w:p>
    <w:p w14:paraId="7CD9E858" w14:textId="77777777" w:rsidR="002012EB" w:rsidRPr="00F13073" w:rsidRDefault="002012EB" w:rsidP="008B4C50">
      <w:pPr>
        <w:pStyle w:val="a4"/>
        <w:widowControl/>
        <w:spacing w:after="0"/>
      </w:pPr>
    </w:p>
    <w:p w14:paraId="4EB373AD" w14:textId="77777777" w:rsidR="001E0975" w:rsidRPr="00F13073" w:rsidRDefault="00611033" w:rsidP="008B4C50">
      <w:pPr>
        <w:keepNext/>
        <w:ind w:left="1134" w:hanging="1134"/>
        <w:rPr>
          <w:i/>
          <w:iCs/>
        </w:rPr>
      </w:pPr>
      <w:r w:rsidRPr="00F13073">
        <w:rPr>
          <w:i/>
          <w:iCs/>
        </w:rPr>
        <w:t>Tab</w:t>
      </w:r>
      <w:r w:rsidR="00FE2B44" w:rsidRPr="00F13073">
        <w:rPr>
          <w:i/>
          <w:iCs/>
        </w:rPr>
        <w:t>e</w:t>
      </w:r>
      <w:r w:rsidRPr="00F13073">
        <w:rPr>
          <w:i/>
          <w:iCs/>
        </w:rPr>
        <w:t>l</w:t>
      </w:r>
      <w:r w:rsidR="00E342A6" w:rsidRPr="00F13073">
        <w:rPr>
          <w:i/>
          <w:iCs/>
        </w:rPr>
        <w:t>a</w:t>
      </w:r>
      <w:r w:rsidRPr="00F13073">
        <w:rPr>
          <w:i/>
          <w:iCs/>
        </w:rPr>
        <w:t xml:space="preserve"> 2.</w:t>
      </w:r>
      <w:r w:rsidR="001C67F0" w:rsidRPr="00F13073">
        <w:rPr>
          <w:i/>
          <w:iCs/>
        </w:rPr>
        <w:tab/>
      </w:r>
      <w:r w:rsidR="00E342A6" w:rsidRPr="00F13073">
        <w:rPr>
          <w:rStyle w:val="Char"/>
          <w:rFonts w:eastAsia="DengXian"/>
          <w:i/>
          <w:iCs/>
        </w:rPr>
        <w:t>Odpowiedzi ACR w badaniu SC-I w 24. tygodniu (%pacjentów)</w:t>
      </w:r>
    </w:p>
    <w:p w14:paraId="5569897D" w14:textId="77777777" w:rsidR="001C67F0" w:rsidRPr="00F13073" w:rsidRDefault="001C67F0" w:rsidP="008B4C50">
      <w:pPr>
        <w:keepNext/>
        <w:ind w:left="1134" w:hanging="1134"/>
        <w:rPr>
          <w:i/>
          <w:iCs/>
        </w:rPr>
      </w:pPr>
    </w:p>
    <w:tbl>
      <w:tblPr>
        <w:tblOverlap w:val="never"/>
        <w:tblW w:w="9100" w:type="dxa"/>
        <w:tblInd w:w="108" w:type="dxa"/>
        <w:tblLayout w:type="fixed"/>
        <w:tblCellMar>
          <w:top w:w="28" w:type="dxa"/>
          <w:bottom w:w="28" w:type="dxa"/>
        </w:tblCellMar>
        <w:tblLook w:val="04A0" w:firstRow="1" w:lastRow="0" w:firstColumn="1" w:lastColumn="0" w:noHBand="0" w:noVBand="1"/>
      </w:tblPr>
      <w:tblGrid>
        <w:gridCol w:w="3062"/>
        <w:gridCol w:w="2846"/>
        <w:gridCol w:w="3192"/>
      </w:tblGrid>
      <w:tr w:rsidR="001E0975" w:rsidRPr="00F13073" w14:paraId="474CF4AF" w14:textId="77777777" w:rsidTr="00E02C34">
        <w:trPr>
          <w:cantSplit/>
          <w:tblHeader/>
        </w:trPr>
        <w:tc>
          <w:tcPr>
            <w:tcW w:w="3062" w:type="dxa"/>
            <w:tcBorders>
              <w:top w:val="single" w:sz="4" w:space="0" w:color="auto"/>
              <w:left w:val="single" w:sz="4" w:space="0" w:color="auto"/>
            </w:tcBorders>
          </w:tcPr>
          <w:p w14:paraId="4CCC71DA" w14:textId="77777777" w:rsidR="001E0975" w:rsidRPr="00F13073" w:rsidRDefault="001E0975" w:rsidP="008B4C50">
            <w:pPr>
              <w:keepNext/>
              <w:suppressAutoHyphens/>
            </w:pPr>
          </w:p>
        </w:tc>
        <w:tc>
          <w:tcPr>
            <w:tcW w:w="6038" w:type="dxa"/>
            <w:gridSpan w:val="2"/>
            <w:tcBorders>
              <w:top w:val="single" w:sz="4" w:space="0" w:color="auto"/>
              <w:left w:val="single" w:sz="4" w:space="0" w:color="auto"/>
              <w:right w:val="single" w:sz="4" w:space="0" w:color="auto"/>
            </w:tcBorders>
          </w:tcPr>
          <w:p w14:paraId="5A38922F" w14:textId="77777777" w:rsidR="001E0975" w:rsidRPr="00F13073" w:rsidRDefault="00611033" w:rsidP="00D57601">
            <w:pPr>
              <w:keepNext/>
              <w:suppressAutoHyphens/>
              <w:jc w:val="center"/>
            </w:pPr>
            <w:r w:rsidRPr="00F13073">
              <w:t>SC-I</w:t>
            </w:r>
            <w:r w:rsidRPr="00F13073">
              <w:rPr>
                <w:vertAlign w:val="superscript"/>
              </w:rPr>
              <w:t>a</w:t>
            </w:r>
          </w:p>
        </w:tc>
      </w:tr>
      <w:tr w:rsidR="001E0975" w:rsidRPr="00F13073" w14:paraId="47DCE965" w14:textId="77777777" w:rsidTr="00E02C34">
        <w:trPr>
          <w:cantSplit/>
          <w:tblHeader/>
        </w:trPr>
        <w:tc>
          <w:tcPr>
            <w:tcW w:w="3062" w:type="dxa"/>
            <w:tcBorders>
              <w:top w:val="single" w:sz="4" w:space="0" w:color="auto"/>
              <w:left w:val="single" w:sz="4" w:space="0" w:color="auto"/>
            </w:tcBorders>
          </w:tcPr>
          <w:p w14:paraId="6E53AEB8" w14:textId="77777777" w:rsidR="001E0975" w:rsidRPr="00F13073" w:rsidRDefault="001E0975" w:rsidP="008B4C50">
            <w:pPr>
              <w:keepNext/>
              <w:suppressAutoHyphens/>
            </w:pPr>
          </w:p>
        </w:tc>
        <w:tc>
          <w:tcPr>
            <w:tcW w:w="2846" w:type="dxa"/>
            <w:tcBorders>
              <w:top w:val="single" w:sz="4" w:space="0" w:color="auto"/>
              <w:left w:val="single" w:sz="4" w:space="0" w:color="auto"/>
            </w:tcBorders>
          </w:tcPr>
          <w:p w14:paraId="1B62BE2F" w14:textId="7D0D2417" w:rsidR="001E0975" w:rsidRPr="00F13073" w:rsidRDefault="00611033" w:rsidP="00E02C34">
            <w:pPr>
              <w:keepNext/>
              <w:suppressAutoHyphens/>
              <w:jc w:val="center"/>
            </w:pPr>
            <w:r w:rsidRPr="00F13073">
              <w:t xml:space="preserve">TCZ SC 162 mg </w:t>
            </w:r>
            <w:r w:rsidR="001237AA" w:rsidRPr="00F13073">
              <w:rPr>
                <w:rStyle w:val="Other"/>
                <w:rFonts w:eastAsia="DengXian"/>
              </w:rPr>
              <w:t>co tydzień</w:t>
            </w:r>
            <w:r w:rsidRPr="00F13073">
              <w:t xml:space="preserve"> +</w:t>
            </w:r>
            <w:r w:rsidR="00E02C34" w:rsidRPr="00F13073">
              <w:t> </w:t>
            </w:r>
            <w:r w:rsidRPr="00F13073">
              <w:t>DMARD</w:t>
            </w:r>
          </w:p>
          <w:p w14:paraId="3626D5EF" w14:textId="77777777" w:rsidR="001E0975" w:rsidRPr="00F13073" w:rsidRDefault="00611033" w:rsidP="00D57601">
            <w:pPr>
              <w:keepNext/>
              <w:suppressAutoHyphens/>
              <w:jc w:val="center"/>
            </w:pPr>
            <w:r w:rsidRPr="00F13073">
              <w:t>N</w:t>
            </w:r>
            <w:r w:rsidR="001237AA" w:rsidRPr="00F13073">
              <w:t xml:space="preserve"> </w:t>
            </w:r>
            <w:r w:rsidRPr="00F13073">
              <w:t>=</w:t>
            </w:r>
            <w:r w:rsidR="001237AA" w:rsidRPr="00F13073">
              <w:t xml:space="preserve"> </w:t>
            </w:r>
            <w:r w:rsidRPr="00F13073">
              <w:t>558</w:t>
            </w:r>
          </w:p>
        </w:tc>
        <w:tc>
          <w:tcPr>
            <w:tcW w:w="3192" w:type="dxa"/>
            <w:tcBorders>
              <w:top w:val="single" w:sz="4" w:space="0" w:color="auto"/>
              <w:left w:val="single" w:sz="4" w:space="0" w:color="auto"/>
              <w:right w:val="single" w:sz="4" w:space="0" w:color="auto"/>
            </w:tcBorders>
          </w:tcPr>
          <w:p w14:paraId="2CBD595E" w14:textId="77777777" w:rsidR="00E02C34" w:rsidRPr="00F13073" w:rsidRDefault="00611033" w:rsidP="00E02C34">
            <w:pPr>
              <w:keepNext/>
              <w:suppressAutoHyphens/>
              <w:jc w:val="center"/>
            </w:pPr>
            <w:r w:rsidRPr="00F13073">
              <w:t xml:space="preserve">TCZ IV 8 mg/kg </w:t>
            </w:r>
            <w:r w:rsidR="001237AA" w:rsidRPr="00F13073">
              <w:rPr>
                <w:rStyle w:val="Other"/>
                <w:rFonts w:eastAsia="DengXian"/>
              </w:rPr>
              <w:t>mc.</w:t>
            </w:r>
          </w:p>
          <w:p w14:paraId="0AEA08E5" w14:textId="771A4429" w:rsidR="001E0975" w:rsidRPr="00F13073" w:rsidRDefault="00E02C34" w:rsidP="00E02C34">
            <w:pPr>
              <w:keepNext/>
              <w:suppressAutoHyphens/>
              <w:jc w:val="center"/>
            </w:pPr>
            <w:r w:rsidRPr="00F13073">
              <w:t xml:space="preserve"> </w:t>
            </w:r>
            <w:r w:rsidR="00611033" w:rsidRPr="00F13073">
              <w:t>+ DMARD</w:t>
            </w:r>
          </w:p>
          <w:p w14:paraId="4F63EF37" w14:textId="77777777" w:rsidR="001E0975" w:rsidRPr="00F13073" w:rsidRDefault="00611033" w:rsidP="00D57601">
            <w:pPr>
              <w:keepNext/>
              <w:suppressAutoHyphens/>
              <w:jc w:val="center"/>
            </w:pPr>
            <w:r w:rsidRPr="00F13073">
              <w:t>N</w:t>
            </w:r>
            <w:r w:rsidR="001237AA" w:rsidRPr="00F13073">
              <w:t xml:space="preserve"> </w:t>
            </w:r>
            <w:r w:rsidRPr="00F13073">
              <w:t>=</w:t>
            </w:r>
            <w:r w:rsidR="001237AA" w:rsidRPr="00F13073">
              <w:t xml:space="preserve"> </w:t>
            </w:r>
            <w:r w:rsidRPr="00F13073">
              <w:t>537</w:t>
            </w:r>
          </w:p>
        </w:tc>
      </w:tr>
      <w:tr w:rsidR="001237AA" w:rsidRPr="00F13073" w14:paraId="237A91C0" w14:textId="77777777" w:rsidTr="00E02C34">
        <w:trPr>
          <w:cantSplit/>
          <w:tblHeader/>
        </w:trPr>
        <w:tc>
          <w:tcPr>
            <w:tcW w:w="3062" w:type="dxa"/>
            <w:tcBorders>
              <w:top w:val="single" w:sz="4" w:space="0" w:color="auto"/>
              <w:left w:val="single" w:sz="4" w:space="0" w:color="auto"/>
            </w:tcBorders>
          </w:tcPr>
          <w:p w14:paraId="00F2AE6C" w14:textId="77777777" w:rsidR="001237AA" w:rsidRPr="00F13073" w:rsidRDefault="001237AA" w:rsidP="00D57601">
            <w:pPr>
              <w:suppressAutoHyphens/>
              <w:jc w:val="right"/>
            </w:pPr>
            <w:r w:rsidRPr="00F13073">
              <w:rPr>
                <w:rStyle w:val="Other"/>
                <w:rFonts w:eastAsia="DengXian"/>
              </w:rPr>
              <w:t>ACR20 w 24. tygodniu</w:t>
            </w:r>
          </w:p>
        </w:tc>
        <w:tc>
          <w:tcPr>
            <w:tcW w:w="2846" w:type="dxa"/>
            <w:tcBorders>
              <w:top w:val="single" w:sz="4" w:space="0" w:color="auto"/>
              <w:left w:val="single" w:sz="4" w:space="0" w:color="auto"/>
            </w:tcBorders>
          </w:tcPr>
          <w:p w14:paraId="791A19D5" w14:textId="77777777" w:rsidR="001237AA" w:rsidRPr="00F13073" w:rsidRDefault="001237AA" w:rsidP="00D57601">
            <w:pPr>
              <w:suppressAutoHyphens/>
              <w:jc w:val="center"/>
            </w:pPr>
            <w:r w:rsidRPr="00F13073">
              <w:t>69,4%</w:t>
            </w:r>
          </w:p>
        </w:tc>
        <w:tc>
          <w:tcPr>
            <w:tcW w:w="3192" w:type="dxa"/>
            <w:tcBorders>
              <w:top w:val="single" w:sz="4" w:space="0" w:color="auto"/>
              <w:left w:val="single" w:sz="4" w:space="0" w:color="auto"/>
              <w:right w:val="single" w:sz="4" w:space="0" w:color="auto"/>
            </w:tcBorders>
          </w:tcPr>
          <w:p w14:paraId="795DEDD9" w14:textId="77777777" w:rsidR="001237AA" w:rsidRPr="00F13073" w:rsidRDefault="001237AA" w:rsidP="00D57601">
            <w:pPr>
              <w:suppressAutoHyphens/>
              <w:jc w:val="center"/>
            </w:pPr>
            <w:r w:rsidRPr="00F13073">
              <w:t>73,4%</w:t>
            </w:r>
          </w:p>
        </w:tc>
      </w:tr>
      <w:tr w:rsidR="001237AA" w:rsidRPr="00F13073" w14:paraId="51D7626A" w14:textId="77777777" w:rsidTr="00E02C34">
        <w:trPr>
          <w:cantSplit/>
          <w:tblHeader/>
        </w:trPr>
        <w:tc>
          <w:tcPr>
            <w:tcW w:w="3062" w:type="dxa"/>
            <w:tcBorders>
              <w:top w:val="single" w:sz="4" w:space="0" w:color="auto"/>
              <w:left w:val="single" w:sz="4" w:space="0" w:color="auto"/>
            </w:tcBorders>
          </w:tcPr>
          <w:p w14:paraId="3036263A" w14:textId="77777777" w:rsidR="001237AA" w:rsidRPr="00F13073" w:rsidRDefault="001237AA" w:rsidP="00D57601">
            <w:pPr>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right w:val="single" w:sz="4" w:space="0" w:color="auto"/>
            </w:tcBorders>
          </w:tcPr>
          <w:p w14:paraId="286550BE" w14:textId="77777777" w:rsidR="001237AA" w:rsidRPr="00F13073" w:rsidRDefault="001237AA" w:rsidP="00D57601">
            <w:pPr>
              <w:suppressAutoHyphens/>
              <w:jc w:val="center"/>
            </w:pPr>
            <w:r w:rsidRPr="00F13073">
              <w:t>-4,0 (-9,2; 1,2)</w:t>
            </w:r>
          </w:p>
        </w:tc>
      </w:tr>
      <w:tr w:rsidR="001237AA" w:rsidRPr="00F13073" w14:paraId="744DE3E8" w14:textId="77777777" w:rsidTr="00E02C34">
        <w:trPr>
          <w:cantSplit/>
          <w:tblHeader/>
        </w:trPr>
        <w:tc>
          <w:tcPr>
            <w:tcW w:w="3062" w:type="dxa"/>
            <w:tcBorders>
              <w:top w:val="single" w:sz="4" w:space="0" w:color="auto"/>
              <w:left w:val="single" w:sz="4" w:space="0" w:color="auto"/>
            </w:tcBorders>
          </w:tcPr>
          <w:p w14:paraId="4EE74ABB" w14:textId="77777777" w:rsidR="001237AA" w:rsidRPr="00F13073" w:rsidRDefault="001237AA" w:rsidP="00D57601">
            <w:pPr>
              <w:suppressAutoHyphens/>
              <w:jc w:val="right"/>
            </w:pPr>
            <w:r w:rsidRPr="00F13073">
              <w:rPr>
                <w:rStyle w:val="Other"/>
                <w:rFonts w:eastAsia="DengXian"/>
              </w:rPr>
              <w:t>ACR50 w 24. tygodniu</w:t>
            </w:r>
          </w:p>
        </w:tc>
        <w:tc>
          <w:tcPr>
            <w:tcW w:w="2846" w:type="dxa"/>
            <w:tcBorders>
              <w:top w:val="single" w:sz="4" w:space="0" w:color="auto"/>
              <w:left w:val="single" w:sz="4" w:space="0" w:color="auto"/>
            </w:tcBorders>
          </w:tcPr>
          <w:p w14:paraId="1A2ADA0D" w14:textId="77777777" w:rsidR="001237AA" w:rsidRPr="00F13073" w:rsidRDefault="001237AA" w:rsidP="00D57601">
            <w:pPr>
              <w:suppressAutoHyphens/>
              <w:jc w:val="center"/>
            </w:pPr>
            <w:r w:rsidRPr="00F13073">
              <w:t>47,0%</w:t>
            </w:r>
          </w:p>
        </w:tc>
        <w:tc>
          <w:tcPr>
            <w:tcW w:w="3192" w:type="dxa"/>
            <w:tcBorders>
              <w:top w:val="single" w:sz="4" w:space="0" w:color="auto"/>
              <w:left w:val="single" w:sz="4" w:space="0" w:color="auto"/>
              <w:right w:val="single" w:sz="4" w:space="0" w:color="auto"/>
            </w:tcBorders>
          </w:tcPr>
          <w:p w14:paraId="78FBF0B2" w14:textId="77777777" w:rsidR="001237AA" w:rsidRPr="00F13073" w:rsidRDefault="001237AA" w:rsidP="00D57601">
            <w:pPr>
              <w:suppressAutoHyphens/>
              <w:jc w:val="center"/>
            </w:pPr>
            <w:r w:rsidRPr="00F13073">
              <w:t>48,6%</w:t>
            </w:r>
          </w:p>
        </w:tc>
      </w:tr>
      <w:tr w:rsidR="001237AA" w:rsidRPr="00F13073" w14:paraId="0788B8D6" w14:textId="77777777" w:rsidTr="00E02C34">
        <w:trPr>
          <w:cantSplit/>
          <w:tblHeader/>
        </w:trPr>
        <w:tc>
          <w:tcPr>
            <w:tcW w:w="3062" w:type="dxa"/>
            <w:tcBorders>
              <w:top w:val="single" w:sz="4" w:space="0" w:color="auto"/>
              <w:left w:val="single" w:sz="4" w:space="0" w:color="auto"/>
            </w:tcBorders>
          </w:tcPr>
          <w:p w14:paraId="6B2D363C" w14:textId="77777777" w:rsidR="001237AA" w:rsidRPr="00F13073" w:rsidRDefault="001237AA" w:rsidP="00D57601">
            <w:pPr>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right w:val="single" w:sz="4" w:space="0" w:color="auto"/>
            </w:tcBorders>
          </w:tcPr>
          <w:p w14:paraId="40869ED9" w14:textId="77777777" w:rsidR="001237AA" w:rsidRPr="00F13073" w:rsidRDefault="001237AA" w:rsidP="00D57601">
            <w:pPr>
              <w:suppressAutoHyphens/>
              <w:jc w:val="center"/>
            </w:pPr>
            <w:r w:rsidRPr="00F13073">
              <w:t>-1,8 (-7,5; 4,0)</w:t>
            </w:r>
          </w:p>
        </w:tc>
      </w:tr>
      <w:tr w:rsidR="001237AA" w:rsidRPr="00F13073" w14:paraId="425926D2" w14:textId="77777777" w:rsidTr="00E02C34">
        <w:trPr>
          <w:cantSplit/>
          <w:tblHeader/>
        </w:trPr>
        <w:tc>
          <w:tcPr>
            <w:tcW w:w="3062" w:type="dxa"/>
            <w:tcBorders>
              <w:top w:val="single" w:sz="4" w:space="0" w:color="auto"/>
              <w:left w:val="single" w:sz="4" w:space="0" w:color="auto"/>
            </w:tcBorders>
          </w:tcPr>
          <w:p w14:paraId="2327A097" w14:textId="77777777" w:rsidR="001237AA" w:rsidRPr="00F13073" w:rsidRDefault="001237AA" w:rsidP="00D57601">
            <w:pPr>
              <w:suppressAutoHyphens/>
              <w:jc w:val="right"/>
            </w:pPr>
            <w:r w:rsidRPr="00F13073">
              <w:rPr>
                <w:rStyle w:val="Other"/>
                <w:rFonts w:eastAsia="DengXian"/>
              </w:rPr>
              <w:t>ACR70 w 24. tygodniu</w:t>
            </w:r>
          </w:p>
        </w:tc>
        <w:tc>
          <w:tcPr>
            <w:tcW w:w="2846" w:type="dxa"/>
            <w:tcBorders>
              <w:top w:val="single" w:sz="4" w:space="0" w:color="auto"/>
              <w:left w:val="single" w:sz="4" w:space="0" w:color="auto"/>
            </w:tcBorders>
          </w:tcPr>
          <w:p w14:paraId="42489932" w14:textId="77777777" w:rsidR="001237AA" w:rsidRPr="00F13073" w:rsidRDefault="001237AA" w:rsidP="00D57601">
            <w:pPr>
              <w:suppressAutoHyphens/>
              <w:jc w:val="center"/>
            </w:pPr>
            <w:r w:rsidRPr="00F13073">
              <w:t>24,0%</w:t>
            </w:r>
          </w:p>
        </w:tc>
        <w:tc>
          <w:tcPr>
            <w:tcW w:w="3192" w:type="dxa"/>
            <w:tcBorders>
              <w:top w:val="single" w:sz="4" w:space="0" w:color="auto"/>
              <w:left w:val="single" w:sz="4" w:space="0" w:color="auto"/>
              <w:right w:val="single" w:sz="4" w:space="0" w:color="auto"/>
            </w:tcBorders>
          </w:tcPr>
          <w:p w14:paraId="7629F2EB" w14:textId="77777777" w:rsidR="001237AA" w:rsidRPr="00F13073" w:rsidRDefault="001237AA" w:rsidP="00D57601">
            <w:pPr>
              <w:suppressAutoHyphens/>
              <w:jc w:val="center"/>
            </w:pPr>
            <w:r w:rsidRPr="00F13073">
              <w:t>27,9%</w:t>
            </w:r>
          </w:p>
        </w:tc>
      </w:tr>
      <w:tr w:rsidR="001237AA" w:rsidRPr="00F13073" w14:paraId="2973138F" w14:textId="77777777" w:rsidTr="00E02C34">
        <w:trPr>
          <w:cantSplit/>
          <w:tblHeader/>
        </w:trPr>
        <w:tc>
          <w:tcPr>
            <w:tcW w:w="3062" w:type="dxa"/>
            <w:tcBorders>
              <w:top w:val="single" w:sz="4" w:space="0" w:color="auto"/>
              <w:left w:val="single" w:sz="4" w:space="0" w:color="auto"/>
              <w:bottom w:val="single" w:sz="4" w:space="0" w:color="auto"/>
            </w:tcBorders>
          </w:tcPr>
          <w:p w14:paraId="71330D18" w14:textId="77777777" w:rsidR="001237AA" w:rsidRPr="00F13073" w:rsidRDefault="001237AA" w:rsidP="00D57601">
            <w:pPr>
              <w:keepNext/>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bottom w:val="single" w:sz="4" w:space="0" w:color="auto"/>
              <w:right w:val="single" w:sz="4" w:space="0" w:color="auto"/>
            </w:tcBorders>
          </w:tcPr>
          <w:p w14:paraId="4E8A4482" w14:textId="77777777" w:rsidR="001237AA" w:rsidRPr="00F13073" w:rsidRDefault="001237AA" w:rsidP="00D57601">
            <w:pPr>
              <w:keepNext/>
              <w:suppressAutoHyphens/>
              <w:jc w:val="center"/>
            </w:pPr>
            <w:r w:rsidRPr="00F13073">
              <w:t>-3,8 (-9,0; 1,3)</w:t>
            </w:r>
          </w:p>
        </w:tc>
      </w:tr>
    </w:tbl>
    <w:p w14:paraId="3EC210BE" w14:textId="77777777" w:rsidR="001E0975" w:rsidRPr="00F13073" w:rsidRDefault="00611033" w:rsidP="008B4C50">
      <w:pPr>
        <w:rPr>
          <w:sz w:val="18"/>
          <w:szCs w:val="18"/>
        </w:rPr>
      </w:pPr>
      <w:r w:rsidRPr="00F13073">
        <w:rPr>
          <w:sz w:val="18"/>
          <w:szCs w:val="18"/>
        </w:rPr>
        <w:t xml:space="preserve">TCZ </w:t>
      </w:r>
      <w:r w:rsidR="00E22CE8" w:rsidRPr="00F13073">
        <w:rPr>
          <w:sz w:val="18"/>
          <w:szCs w:val="18"/>
        </w:rPr>
        <w:t>–</w:t>
      </w:r>
      <w:r w:rsidRPr="00F13073">
        <w:rPr>
          <w:sz w:val="18"/>
          <w:szCs w:val="18"/>
        </w:rPr>
        <w:t xml:space="preserve"> tocilizumab</w:t>
      </w:r>
    </w:p>
    <w:p w14:paraId="360920EA" w14:textId="77777777" w:rsidR="001E0975" w:rsidRPr="00F13073" w:rsidRDefault="00611033" w:rsidP="008B4C50">
      <w:pPr>
        <w:rPr>
          <w:sz w:val="18"/>
          <w:szCs w:val="18"/>
        </w:rPr>
      </w:pPr>
      <w:r w:rsidRPr="00F13073">
        <w:rPr>
          <w:sz w:val="18"/>
          <w:szCs w:val="18"/>
        </w:rPr>
        <w:t xml:space="preserve">a </w:t>
      </w:r>
      <w:r w:rsidR="00E22CE8" w:rsidRPr="00F13073">
        <w:rPr>
          <w:sz w:val="18"/>
          <w:szCs w:val="18"/>
        </w:rPr>
        <w:t>– populacja zgodnie z protokołem</w:t>
      </w:r>
    </w:p>
    <w:p w14:paraId="17408D53" w14:textId="77777777" w:rsidR="001E0975" w:rsidRPr="00F13073" w:rsidRDefault="001E0975" w:rsidP="008B4C50"/>
    <w:p w14:paraId="227A543D" w14:textId="77777777" w:rsidR="00D236F0" w:rsidRPr="00F13073" w:rsidRDefault="00D236F0" w:rsidP="008B4C50">
      <w:pPr>
        <w:pStyle w:val="a4"/>
        <w:widowControl/>
        <w:spacing w:after="0"/>
        <w:rPr>
          <w:rStyle w:val="Char"/>
        </w:rPr>
      </w:pPr>
      <w:r w:rsidRPr="00F13073">
        <w:rPr>
          <w:rStyle w:val="Char"/>
        </w:rPr>
        <w:t>U pacjentów w badaniu SC-I wartości wyjściowe średniego wskaźnika aktywności choroby (DAS28) wynosiły 6,6 oraz 6,7, odpowiednio dla grup otrzymujących lek podskórnie i dożylnie. W 24. tygodniu badania obserwowano znaczący spadek wskaźnika DAS28 od wartości początkowej (średnia poprawa) do 3,5 w obu badanych grupach; podobny odsetek pacjentów w grupach otrzymujących lek podskórnie (38,4%) i dożylnie (36,9%) osiągnął kliniczną remisję określoną na podstawie wskaźnika DAS28 (DAS28 &lt; 2,6).</w:t>
      </w:r>
    </w:p>
    <w:p w14:paraId="49FE6CA5" w14:textId="77777777" w:rsidR="00D236F0" w:rsidRPr="00F13073" w:rsidRDefault="00D236F0" w:rsidP="008B4C50">
      <w:pPr>
        <w:pStyle w:val="a4"/>
        <w:widowControl/>
        <w:spacing w:after="0"/>
      </w:pPr>
    </w:p>
    <w:p w14:paraId="409AD088" w14:textId="77777777" w:rsidR="00D236F0" w:rsidRPr="00F13073" w:rsidRDefault="00D236F0" w:rsidP="008B4C50">
      <w:pPr>
        <w:pStyle w:val="a4"/>
        <w:widowControl/>
        <w:spacing w:after="0"/>
      </w:pPr>
      <w:r w:rsidRPr="00F13073">
        <w:rPr>
          <w:rStyle w:val="Char"/>
          <w:i/>
          <w:iCs/>
        </w:rPr>
        <w:t>Odpowiedź radiologiczna</w:t>
      </w:r>
    </w:p>
    <w:p w14:paraId="0E3EBC0A" w14:textId="4ECCCAF1" w:rsidR="00D236F0" w:rsidRPr="00F13073" w:rsidRDefault="00D236F0" w:rsidP="008B4C50">
      <w:pPr>
        <w:pStyle w:val="a4"/>
        <w:widowControl/>
        <w:spacing w:after="0"/>
        <w:rPr>
          <w:rStyle w:val="Char"/>
        </w:rPr>
      </w:pPr>
      <w:r w:rsidRPr="00F13073">
        <w:rPr>
          <w:rStyle w:val="Char"/>
        </w:rPr>
        <w:t xml:space="preserve">Odpowiedź radiologiczną po podawanym podskórnie </w:t>
      </w:r>
      <w:r w:rsidR="002014B7" w:rsidRPr="00F13073">
        <w:rPr>
          <w:rStyle w:val="Char"/>
        </w:rPr>
        <w:t>tocilizumab</w:t>
      </w:r>
      <w:r w:rsidR="008E0D67" w:rsidRPr="00F13073">
        <w:rPr>
          <w:rStyle w:val="Char"/>
        </w:rPr>
        <w:t>ie</w:t>
      </w:r>
      <w:r w:rsidR="00151F2F" w:rsidRPr="00F13073">
        <w:rPr>
          <w:rStyle w:val="Char"/>
        </w:rPr>
        <w:t xml:space="preserve"> </w:t>
      </w:r>
      <w:r w:rsidRPr="00F13073">
        <w:rPr>
          <w:rStyle w:val="Char"/>
        </w:rPr>
        <w:t xml:space="preserve">oceniano w wieloośrodkowym, kontrolowanym badaniu prowadzonym metodą podwójnie ślepej próby z udziałem pacjentów z czynnym RZS (SC-II).W badaniu SC-II oceniano pacjentów z umiarkowanym lub ciężkim RZS, u których stwierdzono niewystarczającą odpowiedź kliniczną na stosowane dotychczas leczenie przeciwreumatyczne, obejmujące jeden lub więcej leków z grupy DMARD, gdzie u około 20% pacjentów w wywiadzie stwierdzono niewystarczającą odpowiedź na leczenie przynajmniej jednym inhibitorem TNF. Do udziału w badaniu kwalifikowani byli pacjenci w wieku powyżej 18 lat z czynnym RZS rozpoznanym na podstawie kryteriów ACR, u których wyjściowo stwierdzono co najmniej 8 bolesnych i 6 obrzękniętych stawów. W badaniu SC-II 656 pacjentów zostało losowo przydzielonych w stosunku 2:1 do grup otrzymujących </w:t>
      </w:r>
      <w:r w:rsidR="008E0D67" w:rsidRPr="00F13073">
        <w:rPr>
          <w:rStyle w:val="Char"/>
        </w:rPr>
        <w:t xml:space="preserve">tocilizumab </w:t>
      </w:r>
      <w:r w:rsidRPr="00F13073">
        <w:rPr>
          <w:rStyle w:val="Char"/>
        </w:rPr>
        <w:t>w dawce 162 mg podskórnie co drugi tydzień oraz placebo, w skojarzeniu z niebiologicznymi lekami z grupy DMARD.</w:t>
      </w:r>
    </w:p>
    <w:p w14:paraId="17C07BD1" w14:textId="77777777" w:rsidR="00D236F0" w:rsidRPr="00F13073" w:rsidRDefault="00D236F0" w:rsidP="008B4C50">
      <w:pPr>
        <w:pStyle w:val="a4"/>
        <w:widowControl/>
        <w:spacing w:after="0"/>
      </w:pPr>
    </w:p>
    <w:p w14:paraId="436FA577" w14:textId="7722AB11" w:rsidR="00E67ABC" w:rsidRPr="00F13073" w:rsidRDefault="00D236F0" w:rsidP="008B4C50">
      <w:pPr>
        <w:pStyle w:val="a4"/>
        <w:widowControl/>
        <w:spacing w:after="0"/>
        <w:rPr>
          <w:rStyle w:val="Char"/>
        </w:rPr>
      </w:pPr>
      <w:r w:rsidRPr="00F13073">
        <w:rPr>
          <w:rStyle w:val="Char"/>
        </w:rPr>
        <w:lastRenderedPageBreak/>
        <w:t xml:space="preserve">W badaniu SC-II zahamowanie uszkodzeń strukturalnych stawów oceniano radiologicznie i wyrażano jako zmianę średniej wartości wskaźnika Sharpa w modyfikacji van der Heijde (mTSS) od wartości wyjściowej. Zahamowanie niszczenia struktury stawu wykazano w 24. tygodniu. przy istotnym zmniejszeniu progresji radiologicznej u chorych otrzymujących podskórnie </w:t>
      </w:r>
      <w:r w:rsidR="008E0D67" w:rsidRPr="00F13073">
        <w:rPr>
          <w:rStyle w:val="Char"/>
        </w:rPr>
        <w:t xml:space="preserve">tocilizumab </w:t>
      </w:r>
      <w:r w:rsidRPr="00F13073">
        <w:rPr>
          <w:rStyle w:val="Char"/>
        </w:rPr>
        <w:t>w porównaniu do placebo (wartość średnia mTSS 0,62 vs. 1,23, p = 0,0149; van Elteren).</w:t>
      </w:r>
      <w:r w:rsidR="00E67ABC" w:rsidRPr="00F13073">
        <w:rPr>
          <w:rStyle w:val="Char"/>
        </w:rPr>
        <w:t xml:space="preserve"> </w:t>
      </w:r>
      <w:r w:rsidRPr="00F13073">
        <w:rPr>
          <w:rStyle w:val="Char"/>
        </w:rPr>
        <w:t xml:space="preserve">Wyniki te są spójne z wynikami obserwowanymi w przypadku pacjentów leczonych </w:t>
      </w:r>
      <w:r w:rsidR="00E67ABC" w:rsidRPr="00F13073">
        <w:rPr>
          <w:rStyle w:val="Char"/>
        </w:rPr>
        <w:t xml:space="preserve">tocilizumabem </w:t>
      </w:r>
      <w:r w:rsidRPr="00F13073">
        <w:rPr>
          <w:rStyle w:val="Char"/>
        </w:rPr>
        <w:t xml:space="preserve"> podawanym dożylnie.</w:t>
      </w:r>
      <w:r w:rsidR="004F50A9" w:rsidRPr="00F13073">
        <w:rPr>
          <w:rStyle w:val="Char"/>
        </w:rPr>
        <w:t xml:space="preserve"> </w:t>
      </w:r>
    </w:p>
    <w:p w14:paraId="3272BD86" w14:textId="77777777" w:rsidR="00E67ABC" w:rsidRPr="00F13073" w:rsidRDefault="00E67ABC" w:rsidP="008B4C50">
      <w:pPr>
        <w:pStyle w:val="a4"/>
        <w:widowControl/>
        <w:spacing w:after="0"/>
        <w:rPr>
          <w:rStyle w:val="Char"/>
        </w:rPr>
      </w:pPr>
    </w:p>
    <w:p w14:paraId="3333CE3A" w14:textId="760639B9" w:rsidR="00D236F0" w:rsidRPr="00F13073" w:rsidRDefault="00D236F0" w:rsidP="008B4C50">
      <w:pPr>
        <w:pStyle w:val="a4"/>
        <w:widowControl/>
        <w:spacing w:after="0"/>
        <w:rPr>
          <w:rStyle w:val="Char"/>
        </w:rPr>
      </w:pPr>
      <w:r w:rsidRPr="00F13073">
        <w:rPr>
          <w:rStyle w:val="Char"/>
        </w:rPr>
        <w:t xml:space="preserve">W 24. tygodniu badania SC-II osiągnięto odsetki odpowiedzi ACR20 wynoszące 60,9%, ACR50 wynoszące 39,8% i ACR70 wynoszące 19,7% dla pacjentów leczonych </w:t>
      </w:r>
      <w:r w:rsidR="00A05F75" w:rsidRPr="00F13073">
        <w:rPr>
          <w:rStyle w:val="Char"/>
        </w:rPr>
        <w:t>tocilizumabem</w:t>
      </w:r>
      <w:r w:rsidRPr="00F13073">
        <w:rPr>
          <w:rStyle w:val="Char"/>
        </w:rPr>
        <w:t xml:space="preserve"> podawanym podskórnie co drugi tydzień, w porównaniu z grupa otrzymującą placebo, gdzie odsetki odpowiedzi wynosiły: ACR20: 31,5%, ACR50: 12,3% i ACR70: 5,0%. Średnia wartość początkowa wskaźnika DAS28 wynosiła 6,7 w grupie pacjentów otrzymujących lek podskórnie i 6,6 w grupie otrzymującej placebo. W 24. tygodniu badania obserwowano znaczący spadek wskaźnika DAS28 od wartości początkowej do 3,1 w grupie otrzymującej lek podskórnie i do 1,7 w grupie otrzymującej placebo; odsetek pacjentów ze wskaźnikiem DAS28 &lt; 2,6 wynosił 32,0% w grupie otrzymującej lek podskórnie i 4,0% w grupie otrzymującej placebo.</w:t>
      </w:r>
    </w:p>
    <w:p w14:paraId="657B5452" w14:textId="77777777" w:rsidR="00D236F0" w:rsidRPr="00F13073" w:rsidRDefault="00D236F0" w:rsidP="008B4C50">
      <w:pPr>
        <w:pStyle w:val="a4"/>
        <w:widowControl/>
        <w:spacing w:after="0"/>
      </w:pPr>
    </w:p>
    <w:p w14:paraId="475EB20B" w14:textId="77777777" w:rsidR="00D236F0" w:rsidRPr="00F13073" w:rsidRDefault="00D236F0" w:rsidP="008B4C50">
      <w:pPr>
        <w:pStyle w:val="a4"/>
        <w:widowControl/>
        <w:spacing w:after="0"/>
      </w:pPr>
      <w:r w:rsidRPr="00F13073">
        <w:rPr>
          <w:rStyle w:val="Char"/>
          <w:i/>
          <w:iCs/>
        </w:rPr>
        <w:t>Wyniki związane ze stanem zdrowia oraz dotyczące jakości życia</w:t>
      </w:r>
    </w:p>
    <w:p w14:paraId="16E12B30" w14:textId="4ACC444E" w:rsidR="00D236F0" w:rsidRPr="00F13073" w:rsidRDefault="00D236F0" w:rsidP="008B4C50">
      <w:pPr>
        <w:pStyle w:val="a4"/>
        <w:widowControl/>
        <w:spacing w:after="0"/>
        <w:rPr>
          <w:rStyle w:val="Char"/>
        </w:rPr>
      </w:pPr>
      <w:r w:rsidRPr="00F13073">
        <w:rPr>
          <w:rStyle w:val="Char"/>
        </w:rPr>
        <w:t xml:space="preserve">W badaniu SC-I po 24. tygodniu średni spadek HAQ-DI od wartości początkowej wynosił 0,6 w obu grupach </w:t>
      </w:r>
      <w:r w:rsidR="003613BB" w:rsidRPr="00F13073">
        <w:rPr>
          <w:rStyle w:val="Char"/>
        </w:rPr>
        <w:t>–</w:t>
      </w:r>
      <w:r w:rsidRPr="00F13073">
        <w:rPr>
          <w:rStyle w:val="Char"/>
        </w:rPr>
        <w:t xml:space="preserve"> otrzymującej lek podskórnie i dożylnie. Odsetek pacjentów osiągających istotną kliniczne poprawę wskaźnika HAQ-DI w 24. tygodniu badania (zmiana względem wartości początkowej o ≥0,3 jednostki) był porównywalny dla grupy otrzymującej lek podskórnie (65,2%) i dożylnie (67,4%), z ważoną różnicą w proporcjach wynoszącą - 2,3% (95% CI - 8,1; 3,4). Dla SF-36 średnia zmiana poziomu aktywności umysłowej od wartości początkowej w 24. tygodniu badania wyniosła 6,22 dla grupy otrzymującej lek podskórnie i 6,54 dla grupy otrzymującej lek dożylnie; wynik dla zmiany poziomu aktywności fizycznej był podobny i wyniósł odpowiednio 9,49 oraz 9,65.</w:t>
      </w:r>
    </w:p>
    <w:p w14:paraId="57428616" w14:textId="77777777" w:rsidR="00D236F0" w:rsidRPr="00F13073" w:rsidRDefault="00D236F0" w:rsidP="008B4C50">
      <w:pPr>
        <w:pStyle w:val="a4"/>
        <w:widowControl/>
        <w:spacing w:after="0"/>
      </w:pPr>
    </w:p>
    <w:p w14:paraId="2E1ED5EE" w14:textId="6122272F" w:rsidR="00D236F0" w:rsidRPr="00F13073" w:rsidRDefault="00D236F0" w:rsidP="008B4C50">
      <w:pPr>
        <w:pStyle w:val="a4"/>
        <w:widowControl/>
        <w:spacing w:after="0"/>
        <w:rPr>
          <w:rStyle w:val="Char"/>
        </w:rPr>
      </w:pPr>
      <w:r w:rsidRPr="00F13073">
        <w:rPr>
          <w:rStyle w:val="Char"/>
        </w:rPr>
        <w:t xml:space="preserve">W badaniu SC-II po 24. tygodniu średni spadek HAQ-DI od wartości początkowej był znacząco wyższy dla pacjentów otrzymujących </w:t>
      </w:r>
      <w:r w:rsidR="006A0677" w:rsidRPr="00F13073">
        <w:rPr>
          <w:rStyle w:val="Char"/>
        </w:rPr>
        <w:t xml:space="preserve">tocilizumab </w:t>
      </w:r>
      <w:r w:rsidRPr="00F13073">
        <w:rPr>
          <w:rStyle w:val="Char"/>
        </w:rPr>
        <w:t xml:space="preserve">co drugi tydzień podskórnie (0,4) w porównaniu z grupą placebo (0,3). Odsetek pacjentów osiągających istotną kliniczne poprawę wskaźnika HAQ-DI w 24. tygodniu badania (zmiana względem wartości początkowej o </w:t>
      </w:r>
      <w:r w:rsidR="00F43985" w:rsidRPr="00F13073">
        <w:rPr>
          <w:rStyle w:val="Char"/>
        </w:rPr>
        <w:t>≥</w:t>
      </w:r>
      <w:r w:rsidRPr="00F13073">
        <w:rPr>
          <w:rStyle w:val="Char"/>
        </w:rPr>
        <w:t xml:space="preserve">0,3 jednostki) był wyższy dla grupy otrzymującej </w:t>
      </w:r>
      <w:r w:rsidR="006A0677" w:rsidRPr="00F13073">
        <w:rPr>
          <w:rStyle w:val="Char"/>
        </w:rPr>
        <w:t xml:space="preserve">tocilizumab </w:t>
      </w:r>
      <w:r w:rsidRPr="00F13073">
        <w:rPr>
          <w:rStyle w:val="Char"/>
        </w:rPr>
        <w:t xml:space="preserve">podskórnie co drugi tydzień (58%) w porównaniu z grupą placebo (46,8%). Wskaźnik SF-36 (średnia zmiana w poziomach aktywności umysłowej i fizycznej) był znacząco wyższy dla grupy otrzymującej </w:t>
      </w:r>
      <w:r w:rsidR="006A0677" w:rsidRPr="00F13073">
        <w:rPr>
          <w:rStyle w:val="Char"/>
        </w:rPr>
        <w:t xml:space="preserve">tocilizumab </w:t>
      </w:r>
      <w:r w:rsidRPr="00F13073">
        <w:rPr>
          <w:rStyle w:val="Char"/>
        </w:rPr>
        <w:t>podskórnie (6,5 i 5,3) w porównaniu z grupą placebo (3,8 i 2,9).</w:t>
      </w:r>
    </w:p>
    <w:p w14:paraId="7001E06D" w14:textId="77777777" w:rsidR="00D236F0" w:rsidRPr="00F13073" w:rsidRDefault="00D236F0" w:rsidP="008B4C50">
      <w:pPr>
        <w:pStyle w:val="a4"/>
        <w:widowControl/>
        <w:spacing w:after="0"/>
      </w:pPr>
    </w:p>
    <w:p w14:paraId="130BB50E" w14:textId="77777777" w:rsidR="00D236F0" w:rsidRPr="00F13073" w:rsidRDefault="00D236F0" w:rsidP="008B4C50">
      <w:pPr>
        <w:pStyle w:val="a4"/>
        <w:widowControl/>
        <w:spacing w:after="0"/>
      </w:pPr>
      <w:r w:rsidRPr="00F13073">
        <w:rPr>
          <w:rStyle w:val="Char"/>
          <w:b/>
          <w:bCs/>
          <w:u w:val="single"/>
        </w:rPr>
        <w:t>uMIZS (SC)</w:t>
      </w:r>
    </w:p>
    <w:p w14:paraId="432D8C83" w14:textId="77777777" w:rsidR="00D236F0" w:rsidRPr="00F13073" w:rsidRDefault="00D236F0" w:rsidP="008B4C50">
      <w:pPr>
        <w:pStyle w:val="a4"/>
        <w:widowControl/>
        <w:spacing w:after="0"/>
      </w:pPr>
      <w:r w:rsidRPr="00F13073">
        <w:rPr>
          <w:rStyle w:val="Char"/>
          <w:u w:val="single"/>
        </w:rPr>
        <w:t>Skuteczność kliniczna</w:t>
      </w:r>
    </w:p>
    <w:p w14:paraId="457460CB" w14:textId="6DC14581" w:rsidR="00D236F0" w:rsidRPr="00F13073" w:rsidRDefault="00D236F0" w:rsidP="008B4C50">
      <w:pPr>
        <w:pStyle w:val="a4"/>
        <w:widowControl/>
        <w:spacing w:after="0"/>
        <w:rPr>
          <w:rStyle w:val="Char"/>
        </w:rPr>
      </w:pPr>
      <w:r w:rsidRPr="00F13073">
        <w:rPr>
          <w:rStyle w:val="Char"/>
        </w:rPr>
        <w:t xml:space="preserve">Przeprowadzono 52-tygodniowe, otwarte, wieloośrodkowe badanie właściwości farmakokinetycznych i farmakodynamicznych oraz bezpieczeństwa stosowania (WA28118) z udziałem populacji dzieci i młodzieży chorych na uMIZS w wieku od 1 do 17 lat, w celu określenia odpowiedniej podskórnej dawki </w:t>
      </w:r>
      <w:r w:rsidR="00EE1C05" w:rsidRPr="00F13073">
        <w:rPr>
          <w:rStyle w:val="Char"/>
        </w:rPr>
        <w:t xml:space="preserve">tocilizumabu </w:t>
      </w:r>
      <w:r w:rsidRPr="00F13073">
        <w:rPr>
          <w:rStyle w:val="Char"/>
        </w:rPr>
        <w:t>umożliwiającej osiągnięcie porównywalnych parametrów farmakokinetycznych i farmakodynamicznych oraz profilu bezpieczeństwa stosowania, co schemat leczenia dożylnego.</w:t>
      </w:r>
    </w:p>
    <w:p w14:paraId="1CB23878" w14:textId="77777777" w:rsidR="00D236F0" w:rsidRPr="00F13073" w:rsidRDefault="00D236F0" w:rsidP="008B4C50">
      <w:pPr>
        <w:pStyle w:val="a4"/>
        <w:widowControl/>
        <w:spacing w:after="0"/>
      </w:pPr>
    </w:p>
    <w:p w14:paraId="7C2D1C92" w14:textId="79BE431D" w:rsidR="00D236F0" w:rsidRPr="00F13073" w:rsidRDefault="00D236F0" w:rsidP="008B4C50">
      <w:pPr>
        <w:pStyle w:val="a4"/>
        <w:widowControl/>
        <w:spacing w:after="0"/>
        <w:rPr>
          <w:rStyle w:val="Char"/>
        </w:rPr>
      </w:pPr>
      <w:r w:rsidRPr="00F13073">
        <w:rPr>
          <w:rStyle w:val="Char"/>
        </w:rPr>
        <w:t xml:space="preserve">Pacjenci kwalifikujący się do badania otrzymywali </w:t>
      </w:r>
      <w:r w:rsidR="00EE1C05" w:rsidRPr="00F13073">
        <w:rPr>
          <w:rStyle w:val="Char"/>
        </w:rPr>
        <w:t xml:space="preserve">tocilizumab </w:t>
      </w:r>
      <w:r w:rsidRPr="00F13073">
        <w:rPr>
          <w:rStyle w:val="Char"/>
        </w:rPr>
        <w:t xml:space="preserve">w dawkach ustalanych na podstawie masy ciała (mc.), zgodnie z którymi pacjenci ważący </w:t>
      </w:r>
      <w:r w:rsidR="00411D14" w:rsidRPr="00F13073">
        <w:rPr>
          <w:rStyle w:val="Char"/>
        </w:rPr>
        <w:t>≥</w:t>
      </w:r>
      <w:r w:rsidRPr="00F13073">
        <w:rPr>
          <w:rStyle w:val="Char"/>
        </w:rPr>
        <w:t xml:space="preserve">30 kg (n=26) otrzymywali dawkę 162 mg </w:t>
      </w:r>
      <w:r w:rsidR="00EE1C05" w:rsidRPr="00F13073">
        <w:rPr>
          <w:rStyle w:val="Char"/>
        </w:rPr>
        <w:t xml:space="preserve">tocilizumabu </w:t>
      </w:r>
      <w:r w:rsidRPr="00F13073">
        <w:rPr>
          <w:rStyle w:val="Char"/>
        </w:rPr>
        <w:t xml:space="preserve">podawaną co tydzień (QW), a pacjenci ważący mniej niż 30 kg (n=25) otrzymywali dawkę 162 mg </w:t>
      </w:r>
      <w:r w:rsidR="00E71424" w:rsidRPr="00F13073">
        <w:rPr>
          <w:rStyle w:val="Char"/>
        </w:rPr>
        <w:t xml:space="preserve">tocilizumabu </w:t>
      </w:r>
      <w:r w:rsidRPr="00F13073">
        <w:rPr>
          <w:rStyle w:val="Char"/>
        </w:rPr>
        <w:t xml:space="preserve">co 10 dni (Q10D; n=8) lub co 2 tygodnie (Q2W; n=17) przez 52 tygodnie. Spośród tych 51 pacjentów 26 (51%) nie było wcześniej leczonych </w:t>
      </w:r>
      <w:r w:rsidR="00E71424" w:rsidRPr="00F13073">
        <w:rPr>
          <w:rStyle w:val="Char"/>
        </w:rPr>
        <w:t>tocilizumabem</w:t>
      </w:r>
      <w:r w:rsidRPr="00F13073">
        <w:rPr>
          <w:rStyle w:val="Char"/>
        </w:rPr>
        <w:t xml:space="preserve">, a 25 (49%) otrzymywało wcześniej </w:t>
      </w:r>
      <w:r w:rsidR="00E71424" w:rsidRPr="00F13073">
        <w:rPr>
          <w:rStyle w:val="Char"/>
        </w:rPr>
        <w:t xml:space="preserve">tocilizumab </w:t>
      </w:r>
      <w:r w:rsidRPr="00F13073">
        <w:rPr>
          <w:rStyle w:val="Char"/>
        </w:rPr>
        <w:t xml:space="preserve">dożylnie, po czym zmienili oni leczenie na </w:t>
      </w:r>
      <w:r w:rsidR="00E71424" w:rsidRPr="00F13073">
        <w:rPr>
          <w:rStyle w:val="Char"/>
        </w:rPr>
        <w:t xml:space="preserve">tocilizumab </w:t>
      </w:r>
      <w:r w:rsidRPr="00F13073">
        <w:rPr>
          <w:rStyle w:val="Char"/>
        </w:rPr>
        <w:t>w postaci podskórnej w chwili rozpoczynania udziału w badaniu.</w:t>
      </w:r>
    </w:p>
    <w:p w14:paraId="69AE0A18" w14:textId="77777777" w:rsidR="00D236F0" w:rsidRPr="00F13073" w:rsidRDefault="00D236F0" w:rsidP="008B4C50">
      <w:pPr>
        <w:pStyle w:val="a4"/>
        <w:widowControl/>
        <w:spacing w:after="0"/>
      </w:pPr>
    </w:p>
    <w:p w14:paraId="54C61AB3" w14:textId="4D76034A" w:rsidR="00D236F0" w:rsidRPr="00F13073" w:rsidRDefault="00D236F0" w:rsidP="008B4C50">
      <w:pPr>
        <w:pStyle w:val="a4"/>
        <w:widowControl/>
        <w:spacing w:after="0"/>
        <w:rPr>
          <w:rStyle w:val="Char"/>
        </w:rPr>
      </w:pPr>
      <w:r w:rsidRPr="00F13073">
        <w:rPr>
          <w:rStyle w:val="Char"/>
        </w:rPr>
        <w:t xml:space="preserve">Wyniki eksploracyjnej analizy skuteczności wykazały, że </w:t>
      </w:r>
      <w:r w:rsidR="00E71424" w:rsidRPr="00F13073">
        <w:rPr>
          <w:rStyle w:val="Char"/>
        </w:rPr>
        <w:t xml:space="preserve">tocilizumab </w:t>
      </w:r>
      <w:r w:rsidRPr="00F13073">
        <w:rPr>
          <w:rStyle w:val="Char"/>
        </w:rPr>
        <w:t xml:space="preserve">w postaci podskórnej powodował poprawę wszystkich eksploracyjnych parametrów skuteczności, w tym wskaźnika aktywności młodzieńczego zapalenia stawów (JADAS)-71 u pacjentów nieleczonych wcześniej tocilizumabem oraz utrzymywał wartość wszystkich eksploracyjnych parametrów skuteczności u </w:t>
      </w:r>
      <w:r w:rsidRPr="00F13073">
        <w:rPr>
          <w:rStyle w:val="Char"/>
        </w:rPr>
        <w:lastRenderedPageBreak/>
        <w:t xml:space="preserve">pacjentów, którzy zmienili leczenie z postaci dożylnej na postać podskórną </w:t>
      </w:r>
      <w:r w:rsidR="00205308" w:rsidRPr="00F13073">
        <w:rPr>
          <w:rStyle w:val="Char"/>
        </w:rPr>
        <w:t>tocilizumabu</w:t>
      </w:r>
      <w:r w:rsidRPr="00F13073">
        <w:rPr>
          <w:rStyle w:val="Char"/>
        </w:rPr>
        <w:t xml:space="preserve">, przez cały czas trwania badania w obu grupach względem masy ciała (poniżej 30 kg i </w:t>
      </w:r>
      <w:r w:rsidR="00F43985" w:rsidRPr="00F13073">
        <w:rPr>
          <w:rStyle w:val="Char"/>
        </w:rPr>
        <w:t>≥</w:t>
      </w:r>
      <w:r w:rsidRPr="00F13073">
        <w:rPr>
          <w:rStyle w:val="Char"/>
        </w:rPr>
        <w:t>30 kg).</w:t>
      </w:r>
    </w:p>
    <w:p w14:paraId="4EFB3904" w14:textId="77777777" w:rsidR="00D236F0" w:rsidRPr="00F13073" w:rsidRDefault="00D236F0" w:rsidP="008B4C50">
      <w:pPr>
        <w:pStyle w:val="a4"/>
        <w:widowControl/>
        <w:spacing w:after="0"/>
      </w:pPr>
    </w:p>
    <w:p w14:paraId="16C72F30" w14:textId="77777777" w:rsidR="00D236F0" w:rsidRPr="00F13073" w:rsidRDefault="00D236F0" w:rsidP="008B4C50">
      <w:pPr>
        <w:pStyle w:val="a4"/>
        <w:widowControl/>
        <w:spacing w:after="0"/>
      </w:pPr>
      <w:r w:rsidRPr="00F13073">
        <w:rPr>
          <w:rStyle w:val="Char"/>
          <w:b/>
          <w:bCs/>
          <w:u w:val="single"/>
        </w:rPr>
        <w:t>wMIZS (SC)</w:t>
      </w:r>
    </w:p>
    <w:p w14:paraId="726A0B04" w14:textId="32429462" w:rsidR="00D236F0" w:rsidRPr="00F13073" w:rsidRDefault="00D236F0" w:rsidP="008B4C50">
      <w:pPr>
        <w:pStyle w:val="a4"/>
        <w:widowControl/>
        <w:spacing w:after="0"/>
        <w:rPr>
          <w:rStyle w:val="Char"/>
        </w:rPr>
      </w:pPr>
      <w:r w:rsidRPr="00F13073">
        <w:rPr>
          <w:rStyle w:val="Char"/>
        </w:rPr>
        <w:t xml:space="preserve">Przeprowadzono 52-tygodniowe, otwarte, wieloośrodkowe badanie właściwości farmakokinetycznych i farmakodynamicznych oraz bezpieczeństwa stosowania z udziałem populacji dzieci i młodzieży chorych na wMIZS w wieku od 1 do 17 lat, aby określić odpowiednią podskórną dawkę </w:t>
      </w:r>
      <w:r w:rsidR="00205308" w:rsidRPr="00F13073">
        <w:rPr>
          <w:rStyle w:val="Char"/>
        </w:rPr>
        <w:t xml:space="preserve">tocilizumabu </w:t>
      </w:r>
      <w:r w:rsidRPr="00F13073">
        <w:rPr>
          <w:rStyle w:val="Char"/>
        </w:rPr>
        <w:t xml:space="preserve"> umożliwiającą osiągnięcie porównywalnych parametrów farmakokinetycznych i farmakodynamicznych oraz bezpieczeństwa stosowania, co schemat leczenia dożylnego.</w:t>
      </w:r>
    </w:p>
    <w:p w14:paraId="69359CB3" w14:textId="77777777" w:rsidR="00D236F0" w:rsidRPr="00F13073" w:rsidRDefault="00D236F0" w:rsidP="008B4C50">
      <w:pPr>
        <w:pStyle w:val="a4"/>
        <w:widowControl/>
        <w:spacing w:after="0"/>
      </w:pPr>
    </w:p>
    <w:p w14:paraId="48C96FCB" w14:textId="224097A7" w:rsidR="00D236F0" w:rsidRPr="00F13073" w:rsidRDefault="00D236F0" w:rsidP="008B4C50">
      <w:pPr>
        <w:pStyle w:val="a4"/>
        <w:widowControl/>
        <w:spacing w:after="0"/>
        <w:rPr>
          <w:rStyle w:val="Char"/>
        </w:rPr>
      </w:pPr>
      <w:r w:rsidRPr="00F13073">
        <w:rPr>
          <w:rStyle w:val="Char"/>
        </w:rPr>
        <w:t xml:space="preserve">Pacjenci kwalifikujący się do badania otrzymywali tocilizumab w dawkach ustalanych na podstawie masy ciała (mc.), zgodnie z którymi pacjenci ważący </w:t>
      </w:r>
      <w:r w:rsidR="00D2013C" w:rsidRPr="00F13073">
        <w:rPr>
          <w:rStyle w:val="Char"/>
        </w:rPr>
        <w:t>≥</w:t>
      </w:r>
      <w:r w:rsidRPr="00F13073">
        <w:rPr>
          <w:rStyle w:val="Char"/>
        </w:rPr>
        <w:t xml:space="preserve">30 kg (n=25) otrzymywali dawkę 162 mg </w:t>
      </w:r>
      <w:r w:rsidR="00205308" w:rsidRPr="00F13073">
        <w:rPr>
          <w:rStyle w:val="Char"/>
        </w:rPr>
        <w:t xml:space="preserve">tocilizumabu </w:t>
      </w:r>
      <w:r w:rsidRPr="00F13073">
        <w:rPr>
          <w:rStyle w:val="Char"/>
        </w:rPr>
        <w:t xml:space="preserve">podawaną co 2 tygodnie (Q2W), a pacjenci ważący mniej niż 30 kg (n=27) otrzymywali dawkę 162 mg </w:t>
      </w:r>
      <w:r w:rsidR="00205308" w:rsidRPr="00F13073">
        <w:rPr>
          <w:rStyle w:val="Char"/>
        </w:rPr>
        <w:t xml:space="preserve">tocilizumabu </w:t>
      </w:r>
      <w:r w:rsidRPr="00F13073">
        <w:rPr>
          <w:rStyle w:val="Char"/>
        </w:rPr>
        <w:t xml:space="preserve">co 3 tygodnie (Q3W) przez 52 tygodnie. Spośród tych 52 pacjentów 37 (71%) nie było wcześniej leczonych </w:t>
      </w:r>
      <w:r w:rsidR="00205308" w:rsidRPr="00F13073">
        <w:rPr>
          <w:rStyle w:val="Char"/>
        </w:rPr>
        <w:t>tocilizumabem</w:t>
      </w:r>
      <w:r w:rsidRPr="00F13073">
        <w:rPr>
          <w:rStyle w:val="Char"/>
        </w:rPr>
        <w:t xml:space="preserve">, a 15 (29%) otrzymywało wcześniej </w:t>
      </w:r>
      <w:r w:rsidR="00205308" w:rsidRPr="00F13073">
        <w:rPr>
          <w:rStyle w:val="Char"/>
        </w:rPr>
        <w:t xml:space="preserve">tocilizumab </w:t>
      </w:r>
      <w:r w:rsidRPr="00F13073">
        <w:rPr>
          <w:rStyle w:val="Char"/>
        </w:rPr>
        <w:t xml:space="preserve"> dożylnie, po czym zmienili oni leczenie na </w:t>
      </w:r>
      <w:r w:rsidR="00A25426" w:rsidRPr="00F13073">
        <w:rPr>
          <w:rStyle w:val="Char"/>
        </w:rPr>
        <w:t>tocilizumab</w:t>
      </w:r>
      <w:r w:rsidRPr="00F13073">
        <w:rPr>
          <w:rStyle w:val="Char"/>
        </w:rPr>
        <w:t xml:space="preserve"> w postaci podskórnej w chwili rozpoczynania udziału w badaniu.</w:t>
      </w:r>
    </w:p>
    <w:p w14:paraId="72D2A6BE" w14:textId="77777777" w:rsidR="00D236F0" w:rsidRPr="00F13073" w:rsidRDefault="00D236F0" w:rsidP="008B4C50">
      <w:pPr>
        <w:pStyle w:val="a4"/>
        <w:widowControl/>
        <w:spacing w:after="0"/>
      </w:pPr>
    </w:p>
    <w:p w14:paraId="1653CBB9" w14:textId="6F191036" w:rsidR="00D236F0" w:rsidRPr="00F13073" w:rsidRDefault="00D236F0" w:rsidP="008B4C50">
      <w:pPr>
        <w:pStyle w:val="a4"/>
        <w:widowControl/>
        <w:spacing w:after="0"/>
        <w:rPr>
          <w:rStyle w:val="Char"/>
        </w:rPr>
      </w:pPr>
      <w:r w:rsidRPr="00F13073">
        <w:rPr>
          <w:rStyle w:val="Char"/>
        </w:rPr>
        <w:t xml:space="preserve">Schematy dawkowania </w:t>
      </w:r>
      <w:r w:rsidR="00A25426" w:rsidRPr="00F13073">
        <w:rPr>
          <w:rStyle w:val="Char"/>
        </w:rPr>
        <w:t xml:space="preserve">tocilizumabu </w:t>
      </w:r>
      <w:r w:rsidRPr="00F13073">
        <w:rPr>
          <w:rStyle w:val="Char"/>
        </w:rPr>
        <w:t xml:space="preserve">w postaci podskórnej podawania dawki 162 mg Q3W u pacjentów ważących mniej niż 30 kg oraz dawki 162 mg Q2W u pacjentów ważących </w:t>
      </w:r>
      <w:r w:rsidR="0013068A" w:rsidRPr="00F13073">
        <w:rPr>
          <w:rStyle w:val="Char"/>
        </w:rPr>
        <w:t>≥</w:t>
      </w:r>
      <w:r w:rsidRPr="00F13073">
        <w:rPr>
          <w:rStyle w:val="Char"/>
        </w:rPr>
        <w:t xml:space="preserve">30 kg skutkują ekspozycją farmakokinetyczną oraz odpowiedziami farmakodynamicznymi podobnymi do tych wyników uzyskanych w zaakceptownej postaci dożylnej </w:t>
      </w:r>
      <w:r w:rsidR="00A722A9" w:rsidRPr="00F13073">
        <w:rPr>
          <w:rStyle w:val="Char"/>
        </w:rPr>
        <w:t xml:space="preserve">tocilizumabu </w:t>
      </w:r>
      <w:r w:rsidRPr="00F13073">
        <w:rPr>
          <w:rStyle w:val="Char"/>
        </w:rPr>
        <w:t>w leczeniu wMIZS.</w:t>
      </w:r>
    </w:p>
    <w:p w14:paraId="27BB460F" w14:textId="77777777" w:rsidR="00D236F0" w:rsidRPr="00F13073" w:rsidRDefault="00D236F0" w:rsidP="008B4C50">
      <w:pPr>
        <w:pStyle w:val="a4"/>
        <w:widowControl/>
        <w:spacing w:after="0"/>
      </w:pPr>
    </w:p>
    <w:p w14:paraId="567B7CB9" w14:textId="7FEF1E8E" w:rsidR="00D236F0" w:rsidRPr="00F13073" w:rsidRDefault="00D236F0" w:rsidP="008B4C50">
      <w:pPr>
        <w:pStyle w:val="a4"/>
        <w:widowControl/>
        <w:spacing w:after="0"/>
        <w:rPr>
          <w:rStyle w:val="Char"/>
        </w:rPr>
      </w:pPr>
      <w:r w:rsidRPr="00F13073">
        <w:rPr>
          <w:rStyle w:val="Char"/>
        </w:rPr>
        <w:t xml:space="preserve">Wyniki eksploracyjnej analizy skuteczności wykazały, że </w:t>
      </w:r>
      <w:r w:rsidR="00CB1639" w:rsidRPr="00F13073">
        <w:rPr>
          <w:rStyle w:val="Char"/>
        </w:rPr>
        <w:t xml:space="preserve">tocilizumab </w:t>
      </w:r>
      <w:r w:rsidRPr="00F13073">
        <w:rPr>
          <w:rStyle w:val="Char"/>
        </w:rPr>
        <w:t xml:space="preserve">w postaci podskórnej powodował poprawę mediany wskaźnika aktywności młodzieńczego zapalenia stawów (JADAS)-71 u pacjentów nieleczonych wcześniej </w:t>
      </w:r>
      <w:r w:rsidR="00CB1639" w:rsidRPr="00F13073">
        <w:rPr>
          <w:rStyle w:val="Char"/>
        </w:rPr>
        <w:t xml:space="preserve">tocilizumabem </w:t>
      </w:r>
      <w:r w:rsidRPr="00F13073">
        <w:rPr>
          <w:rStyle w:val="Char"/>
        </w:rPr>
        <w:t xml:space="preserve">oraz utrzymywał medianę wartości JADAS-71 u pacjentów, którzy zmienili leczenie z postaci dożylnej na postać podskórną </w:t>
      </w:r>
      <w:r w:rsidR="00CB1639" w:rsidRPr="00F13073">
        <w:rPr>
          <w:rStyle w:val="Char"/>
        </w:rPr>
        <w:t>tocilizumabu</w:t>
      </w:r>
      <w:r w:rsidRPr="00F13073">
        <w:rPr>
          <w:rStyle w:val="Char"/>
        </w:rPr>
        <w:t xml:space="preserve">, przez cały czas trwania badania w obu grupach wyznaczonych ze względu na masę ciała (poniżej 30 kg i </w:t>
      </w:r>
      <w:r w:rsidR="00D2013C" w:rsidRPr="00F13073">
        <w:rPr>
          <w:rStyle w:val="Char"/>
        </w:rPr>
        <w:t>≥</w:t>
      </w:r>
      <w:r w:rsidRPr="00F13073">
        <w:rPr>
          <w:rStyle w:val="Char"/>
        </w:rPr>
        <w:t>30 kg).</w:t>
      </w:r>
    </w:p>
    <w:p w14:paraId="5A6CA5CA" w14:textId="77777777" w:rsidR="00D236F0" w:rsidRPr="00F13073" w:rsidRDefault="00D236F0" w:rsidP="008B4C50">
      <w:pPr>
        <w:pStyle w:val="a4"/>
        <w:widowControl/>
        <w:spacing w:after="0"/>
      </w:pPr>
    </w:p>
    <w:p w14:paraId="15211565" w14:textId="77777777" w:rsidR="00D236F0" w:rsidRPr="00F13073" w:rsidRDefault="00D236F0" w:rsidP="008B4C50">
      <w:pPr>
        <w:pStyle w:val="a4"/>
        <w:widowControl/>
        <w:spacing w:after="0"/>
      </w:pPr>
      <w:r w:rsidRPr="00F13073">
        <w:rPr>
          <w:rStyle w:val="Char"/>
          <w:b/>
          <w:bCs/>
          <w:u w:val="single"/>
        </w:rPr>
        <w:t>GCA (SC)</w:t>
      </w:r>
    </w:p>
    <w:p w14:paraId="313E8375" w14:textId="77777777" w:rsidR="00D236F0" w:rsidRPr="00F13073" w:rsidRDefault="00D236F0" w:rsidP="008B4C50">
      <w:pPr>
        <w:pStyle w:val="a4"/>
        <w:widowControl/>
        <w:spacing w:after="0"/>
      </w:pPr>
      <w:r w:rsidRPr="00F13073">
        <w:rPr>
          <w:rStyle w:val="Char"/>
          <w:u w:val="single"/>
        </w:rPr>
        <w:t>Skuteczność kliniczna</w:t>
      </w:r>
    </w:p>
    <w:p w14:paraId="4645E915" w14:textId="3AF76677" w:rsidR="00D236F0" w:rsidRPr="00F13073" w:rsidRDefault="00D236F0" w:rsidP="008B4C50">
      <w:pPr>
        <w:pStyle w:val="a4"/>
        <w:widowControl/>
        <w:spacing w:after="0"/>
        <w:rPr>
          <w:rStyle w:val="Char"/>
        </w:rPr>
      </w:pPr>
      <w:r w:rsidRPr="00F13073">
        <w:rPr>
          <w:rStyle w:val="Char"/>
        </w:rPr>
        <w:t xml:space="preserve">Badanie WA28119 było randomizowanym, wieloośrodkowym, kontrolowanym placebo badaniem III fazy z podwójnie ślepą próbą oceniającym lepszą skuteczność (superiority), przeprowadzonym w celu oceny skuteczności i bezpieczeństwa stosowania </w:t>
      </w:r>
      <w:r w:rsidR="00892DA3" w:rsidRPr="00F13073">
        <w:rPr>
          <w:rStyle w:val="Char"/>
        </w:rPr>
        <w:t xml:space="preserve">tocilizumabu </w:t>
      </w:r>
      <w:r w:rsidRPr="00F13073">
        <w:rPr>
          <w:rStyle w:val="Char"/>
        </w:rPr>
        <w:t>u pacjentów z GCA.</w:t>
      </w:r>
    </w:p>
    <w:p w14:paraId="030BB2B5" w14:textId="77777777" w:rsidR="00D236F0" w:rsidRPr="00F13073" w:rsidRDefault="00D236F0" w:rsidP="008B4C50">
      <w:pPr>
        <w:pStyle w:val="a4"/>
        <w:widowControl/>
        <w:spacing w:after="0"/>
      </w:pPr>
    </w:p>
    <w:p w14:paraId="72D388B1" w14:textId="5A428296" w:rsidR="00D236F0" w:rsidRPr="00F13073" w:rsidRDefault="00D236F0" w:rsidP="008B4C50">
      <w:pPr>
        <w:pStyle w:val="a4"/>
        <w:widowControl/>
        <w:spacing w:after="0"/>
        <w:rPr>
          <w:rStyle w:val="Char"/>
        </w:rPr>
      </w:pPr>
      <w:r w:rsidRPr="00F13073">
        <w:rPr>
          <w:rStyle w:val="Char"/>
        </w:rPr>
        <w:t xml:space="preserve">Dwustu pięćdziesięciu jeden (251) pacjentów z pierwszym wystąpieniem lub nawrotem GCA zostało włączonych do badania i przydzielonych do jednego z czterech ramion leczenia. Badanie składało się z 52-tygodniowego okresu leczenia zaślepionego (Część 1), po którym następowała 104-tygodniowa otwarta faza przedłużenia badania (Część 2). Celem Części 2 była ocena długoterminowego bezpieczeństwa i utrzymania skuteczności po 52 tygodniach leczenia </w:t>
      </w:r>
      <w:r w:rsidR="00892DA3" w:rsidRPr="00F13073">
        <w:rPr>
          <w:rStyle w:val="Char"/>
        </w:rPr>
        <w:t>tocilizumabem</w:t>
      </w:r>
      <w:r w:rsidRPr="00F13073">
        <w:rPr>
          <w:rStyle w:val="Char"/>
        </w:rPr>
        <w:t xml:space="preserve">, zbadanie odsetka nawrotów i stopnia kontynuacji leczenia </w:t>
      </w:r>
      <w:r w:rsidR="00892DA3" w:rsidRPr="00F13073">
        <w:rPr>
          <w:rStyle w:val="Char"/>
        </w:rPr>
        <w:t xml:space="preserve">tocilizumabem </w:t>
      </w:r>
      <w:r w:rsidRPr="00F13073">
        <w:rPr>
          <w:rStyle w:val="Char"/>
        </w:rPr>
        <w:t xml:space="preserve"> po upływie 52 tygodni oraz sprawdzenie potencjalnego mniejszego zużycia steroidów w dłuższej perspektywie dzięki terapii </w:t>
      </w:r>
      <w:r w:rsidR="00892DA3" w:rsidRPr="00F13073">
        <w:rPr>
          <w:rStyle w:val="Char"/>
        </w:rPr>
        <w:t>tocilizumabem</w:t>
      </w:r>
      <w:r w:rsidRPr="00F13073">
        <w:rPr>
          <w:rStyle w:val="Char"/>
        </w:rPr>
        <w:t>.</w:t>
      </w:r>
    </w:p>
    <w:p w14:paraId="382FDE52" w14:textId="77777777" w:rsidR="00D236F0" w:rsidRPr="00F13073" w:rsidRDefault="00D236F0" w:rsidP="008B4C50">
      <w:pPr>
        <w:pStyle w:val="a4"/>
        <w:widowControl/>
        <w:spacing w:after="0"/>
      </w:pPr>
    </w:p>
    <w:p w14:paraId="1F70CF7A" w14:textId="6635B62C" w:rsidR="00D236F0" w:rsidRPr="00F13073" w:rsidRDefault="00D236F0" w:rsidP="008B4C50">
      <w:pPr>
        <w:pStyle w:val="a4"/>
        <w:widowControl/>
        <w:spacing w:after="0"/>
        <w:rPr>
          <w:rStyle w:val="Char"/>
        </w:rPr>
      </w:pPr>
      <w:r w:rsidRPr="00F13073">
        <w:rPr>
          <w:rStyle w:val="Char"/>
        </w:rPr>
        <w:t xml:space="preserve">Dwie podskórne dawki </w:t>
      </w:r>
      <w:r w:rsidR="0027174E" w:rsidRPr="00F13073">
        <w:rPr>
          <w:rStyle w:val="Char"/>
        </w:rPr>
        <w:t xml:space="preserve">tocilizumabu </w:t>
      </w:r>
      <w:r w:rsidRPr="00F13073">
        <w:rPr>
          <w:rStyle w:val="Char"/>
        </w:rPr>
        <w:t>(dawka 162 mg podawana co tydzień i dawka 162 mg podawana co dwa tygodnie) były porównywane z dwiema różnymi grupami kontrolnymi stosującymi placebo z randomizacją przeprowadzoną w stosunku 2:1:1:1.</w:t>
      </w:r>
    </w:p>
    <w:p w14:paraId="45D42D13" w14:textId="77777777" w:rsidR="00D236F0" w:rsidRPr="00F13073" w:rsidRDefault="00D236F0" w:rsidP="008B4C50">
      <w:pPr>
        <w:pStyle w:val="a4"/>
        <w:widowControl/>
        <w:spacing w:after="0"/>
      </w:pPr>
    </w:p>
    <w:p w14:paraId="77D1FCC1" w14:textId="5B7D3152" w:rsidR="001E0975" w:rsidRPr="00F13073" w:rsidRDefault="00D236F0" w:rsidP="008B4C50">
      <w:r w:rsidRPr="00F13073">
        <w:rPr>
          <w:rStyle w:val="Char"/>
          <w:rFonts w:eastAsia="DengXian"/>
        </w:rPr>
        <w:t xml:space="preserve">Wszyscy pacjenci otrzymywali jako podstawowe leczenie glikokortykosteroidy (prednizon). Każda z grup leczonych </w:t>
      </w:r>
      <w:r w:rsidR="0091390C" w:rsidRPr="00F13073">
        <w:rPr>
          <w:rStyle w:val="Char"/>
          <w:rFonts w:eastAsia="DengXian"/>
        </w:rPr>
        <w:t xml:space="preserve">tocilizumabem </w:t>
      </w:r>
      <w:r w:rsidRPr="00F13073">
        <w:rPr>
          <w:rStyle w:val="Char"/>
          <w:rFonts w:eastAsia="DengXian"/>
        </w:rPr>
        <w:t>i jedna z grup otrzymujących placebo stosowała określony wcześniej schemat stopniowego zmniejszania dawki prednizonu w okresie 26 tygodni, natomiast druga grupa otrzymująca placebo stosowała określony wcześniej schemat stopniowego zmniejszania dawki prednizonu w okresie 52 tygodni, co miało w większym stopniu odpowiadać standardowej praktyce.</w:t>
      </w:r>
    </w:p>
    <w:p w14:paraId="4DDA638F" w14:textId="77777777" w:rsidR="001C67F0" w:rsidRPr="00F13073" w:rsidRDefault="001C67F0" w:rsidP="008B4C50"/>
    <w:p w14:paraId="4E2A5112" w14:textId="021EC913" w:rsidR="001A37BC" w:rsidRPr="00F13073" w:rsidRDefault="001A37BC" w:rsidP="008B4C50">
      <w:pPr>
        <w:rPr>
          <w:rStyle w:val="Char"/>
          <w:rFonts w:eastAsia="DengXian"/>
        </w:rPr>
      </w:pPr>
      <w:r w:rsidRPr="00F13073">
        <w:rPr>
          <w:rStyle w:val="Char"/>
          <w:rFonts w:eastAsia="DengXian"/>
        </w:rPr>
        <w:t xml:space="preserve">Okres przyjmowania glikokortykosteroidów podczas screeningu i przed włączeniem </w:t>
      </w:r>
      <w:r w:rsidR="0091390C" w:rsidRPr="00F13073">
        <w:rPr>
          <w:rStyle w:val="Char"/>
          <w:rFonts w:eastAsia="DengXian"/>
        </w:rPr>
        <w:t xml:space="preserve">tocilizumabu </w:t>
      </w:r>
      <w:r w:rsidRPr="00F13073">
        <w:rPr>
          <w:rStyle w:val="Char"/>
          <w:rFonts w:eastAsia="DengXian"/>
        </w:rPr>
        <w:t xml:space="preserve"> (lub placebo) był porównywalny we wszystkich 4 grupach (patrz Tabela 3).</w:t>
      </w:r>
    </w:p>
    <w:p w14:paraId="4874FD80" w14:textId="77777777" w:rsidR="001A37BC" w:rsidRPr="00F13073" w:rsidRDefault="001A37BC" w:rsidP="008B4C50"/>
    <w:p w14:paraId="4B2DE8CC" w14:textId="77777777" w:rsidR="001E0975" w:rsidRPr="00F13073" w:rsidRDefault="00611033" w:rsidP="008B4C50">
      <w:pPr>
        <w:keepNext/>
        <w:ind w:left="1134" w:hanging="1134"/>
        <w:rPr>
          <w:i/>
          <w:iCs/>
        </w:rPr>
      </w:pPr>
      <w:r w:rsidRPr="00F13073">
        <w:rPr>
          <w:i/>
          <w:iCs/>
        </w:rPr>
        <w:lastRenderedPageBreak/>
        <w:t>Tab</w:t>
      </w:r>
      <w:r w:rsidR="00BC77DF" w:rsidRPr="00F13073">
        <w:rPr>
          <w:i/>
          <w:iCs/>
        </w:rPr>
        <w:t>e</w:t>
      </w:r>
      <w:r w:rsidRPr="00F13073">
        <w:rPr>
          <w:i/>
          <w:iCs/>
        </w:rPr>
        <w:t>l</w:t>
      </w:r>
      <w:r w:rsidR="001A37BC" w:rsidRPr="00F13073">
        <w:rPr>
          <w:i/>
          <w:iCs/>
        </w:rPr>
        <w:t>a</w:t>
      </w:r>
      <w:r w:rsidRPr="00F13073">
        <w:rPr>
          <w:i/>
          <w:iCs/>
        </w:rPr>
        <w:t xml:space="preserve"> 3.</w:t>
      </w:r>
      <w:r w:rsidR="005D521A" w:rsidRPr="00F13073">
        <w:rPr>
          <w:i/>
          <w:iCs/>
        </w:rPr>
        <w:tab/>
      </w:r>
      <w:r w:rsidR="001A37BC" w:rsidRPr="00F13073">
        <w:rPr>
          <w:rStyle w:val="Char"/>
          <w:rFonts w:eastAsia="DengXian"/>
          <w:i/>
          <w:iCs/>
        </w:rPr>
        <w:t>Czas trwania leczenia kortykosteroidami podczas screeningu w badaniu WA28119</w:t>
      </w:r>
    </w:p>
    <w:p w14:paraId="3B48B705" w14:textId="77777777" w:rsidR="005D521A" w:rsidRPr="00F13073" w:rsidRDefault="005D521A" w:rsidP="008B4C50">
      <w:pPr>
        <w:keepNext/>
        <w:ind w:left="1134" w:hanging="1134"/>
        <w:rPr>
          <w:i/>
          <w:iCs/>
        </w:rPr>
      </w:pPr>
    </w:p>
    <w:tbl>
      <w:tblPr>
        <w:tblOverlap w:val="never"/>
        <w:tblW w:w="8931" w:type="dxa"/>
        <w:tblInd w:w="108" w:type="dxa"/>
        <w:tblLayout w:type="fixed"/>
        <w:tblCellMar>
          <w:top w:w="28" w:type="dxa"/>
          <w:bottom w:w="28" w:type="dxa"/>
        </w:tblCellMar>
        <w:tblLook w:val="04A0" w:firstRow="1" w:lastRow="0" w:firstColumn="1" w:lastColumn="0" w:noHBand="0" w:noVBand="1"/>
      </w:tblPr>
      <w:tblGrid>
        <w:gridCol w:w="1484"/>
        <w:gridCol w:w="1764"/>
        <w:gridCol w:w="1764"/>
        <w:gridCol w:w="1973"/>
        <w:gridCol w:w="1946"/>
      </w:tblGrid>
      <w:tr w:rsidR="001E0975" w:rsidRPr="00F13073" w14:paraId="1AE55D9C" w14:textId="77777777" w:rsidTr="00E02C34">
        <w:trPr>
          <w:cantSplit/>
          <w:tblHeader/>
        </w:trPr>
        <w:tc>
          <w:tcPr>
            <w:tcW w:w="1484" w:type="dxa"/>
            <w:tcBorders>
              <w:top w:val="single" w:sz="4" w:space="0" w:color="auto"/>
              <w:left w:val="single" w:sz="4" w:space="0" w:color="auto"/>
            </w:tcBorders>
          </w:tcPr>
          <w:p w14:paraId="6FA21DA5" w14:textId="77777777" w:rsidR="001E0975" w:rsidRPr="00F13073" w:rsidRDefault="001E0975" w:rsidP="008B4C50">
            <w:pPr>
              <w:keepNext/>
              <w:suppressAutoHyphens/>
              <w:rPr>
                <w:b/>
                <w:bCs/>
                <w:sz w:val="20"/>
                <w:szCs w:val="20"/>
              </w:rPr>
            </w:pPr>
          </w:p>
        </w:tc>
        <w:tc>
          <w:tcPr>
            <w:tcW w:w="1764" w:type="dxa"/>
            <w:tcBorders>
              <w:top w:val="single" w:sz="4" w:space="0" w:color="auto"/>
              <w:left w:val="single" w:sz="4" w:space="0" w:color="auto"/>
            </w:tcBorders>
          </w:tcPr>
          <w:p w14:paraId="3958332F" w14:textId="77777777" w:rsidR="005D521A" w:rsidRPr="00F13073" w:rsidRDefault="00611033" w:rsidP="004F50A9">
            <w:pPr>
              <w:keepNext/>
              <w:suppressAutoHyphens/>
              <w:jc w:val="center"/>
              <w:rPr>
                <w:b/>
                <w:bCs/>
                <w:sz w:val="20"/>
                <w:szCs w:val="20"/>
              </w:rPr>
            </w:pPr>
            <w:r w:rsidRPr="00F13073">
              <w:rPr>
                <w:b/>
                <w:bCs/>
                <w:sz w:val="20"/>
                <w:szCs w:val="20"/>
              </w:rPr>
              <w:t xml:space="preserve">Placebo </w:t>
            </w:r>
            <w:r w:rsidR="005D521A" w:rsidRPr="00F13073">
              <w:rPr>
                <w:b/>
                <w:bCs/>
                <w:sz w:val="20"/>
                <w:szCs w:val="20"/>
              </w:rPr>
              <w:br/>
            </w:r>
            <w:r w:rsidRPr="00F13073">
              <w:rPr>
                <w:b/>
                <w:bCs/>
                <w:sz w:val="20"/>
                <w:szCs w:val="20"/>
              </w:rPr>
              <w:t>+ 26</w:t>
            </w:r>
            <w:r w:rsidR="003410B0" w:rsidRPr="00F13073">
              <w:rPr>
                <w:b/>
                <w:bCs/>
                <w:sz w:val="20"/>
                <w:szCs w:val="20"/>
              </w:rPr>
              <w:t>-tygodniowa terapia malejącymi dawkami prednizonu</w:t>
            </w:r>
          </w:p>
          <w:p w14:paraId="07B06FD0" w14:textId="77777777" w:rsidR="001E0975" w:rsidRPr="00F13073" w:rsidRDefault="00611033" w:rsidP="004F50A9">
            <w:pPr>
              <w:keepNext/>
              <w:suppressAutoHyphens/>
              <w:jc w:val="center"/>
              <w:rPr>
                <w:b/>
                <w:bCs/>
                <w:sz w:val="20"/>
                <w:szCs w:val="20"/>
              </w:rPr>
            </w:pPr>
            <w:r w:rsidRPr="00F13073">
              <w:rPr>
                <w:b/>
                <w:bCs/>
                <w:sz w:val="20"/>
                <w:szCs w:val="20"/>
              </w:rPr>
              <w:t>N=50</w:t>
            </w:r>
          </w:p>
        </w:tc>
        <w:tc>
          <w:tcPr>
            <w:tcW w:w="1764" w:type="dxa"/>
            <w:tcBorders>
              <w:top w:val="single" w:sz="4" w:space="0" w:color="auto"/>
              <w:left w:val="single" w:sz="4" w:space="0" w:color="auto"/>
            </w:tcBorders>
          </w:tcPr>
          <w:p w14:paraId="16BE3AF5" w14:textId="77777777" w:rsidR="005D521A" w:rsidRPr="00F13073" w:rsidRDefault="00611033" w:rsidP="004F50A9">
            <w:pPr>
              <w:keepNext/>
              <w:suppressAutoHyphens/>
              <w:jc w:val="center"/>
              <w:rPr>
                <w:b/>
                <w:bCs/>
                <w:sz w:val="20"/>
                <w:szCs w:val="20"/>
              </w:rPr>
            </w:pPr>
            <w:r w:rsidRPr="00F13073">
              <w:rPr>
                <w:b/>
                <w:bCs/>
                <w:sz w:val="20"/>
                <w:szCs w:val="20"/>
              </w:rPr>
              <w:t xml:space="preserve">Placebo </w:t>
            </w:r>
            <w:r w:rsidR="005D521A" w:rsidRPr="00F13073">
              <w:rPr>
                <w:b/>
                <w:bCs/>
                <w:sz w:val="20"/>
                <w:szCs w:val="20"/>
              </w:rPr>
              <w:br/>
            </w:r>
            <w:r w:rsidRPr="00F13073">
              <w:rPr>
                <w:b/>
                <w:bCs/>
                <w:sz w:val="20"/>
                <w:szCs w:val="20"/>
              </w:rPr>
              <w:t>+ 52</w:t>
            </w:r>
            <w:r w:rsidR="00D2013C" w:rsidRPr="00F13073">
              <w:rPr>
                <w:b/>
                <w:bCs/>
                <w:sz w:val="20"/>
                <w:szCs w:val="20"/>
              </w:rPr>
              <w:t>-</w:t>
            </w:r>
            <w:r w:rsidR="003410B0" w:rsidRPr="00F13073">
              <w:rPr>
                <w:b/>
                <w:bCs/>
                <w:sz w:val="20"/>
                <w:szCs w:val="20"/>
              </w:rPr>
              <w:t>tygodniowa terapia malejącymi dawkami prednizonu</w:t>
            </w:r>
          </w:p>
          <w:p w14:paraId="1AE88BEB" w14:textId="77777777" w:rsidR="001E0975" w:rsidRPr="00F13073" w:rsidRDefault="00611033" w:rsidP="004F50A9">
            <w:pPr>
              <w:keepNext/>
              <w:suppressAutoHyphens/>
              <w:jc w:val="center"/>
              <w:rPr>
                <w:b/>
                <w:bCs/>
                <w:sz w:val="20"/>
                <w:szCs w:val="20"/>
              </w:rPr>
            </w:pPr>
            <w:r w:rsidRPr="00F13073">
              <w:rPr>
                <w:b/>
                <w:bCs/>
                <w:sz w:val="20"/>
                <w:szCs w:val="20"/>
              </w:rPr>
              <w:t>N=51</w:t>
            </w:r>
          </w:p>
        </w:tc>
        <w:tc>
          <w:tcPr>
            <w:tcW w:w="1973" w:type="dxa"/>
            <w:tcBorders>
              <w:top w:val="single" w:sz="4" w:space="0" w:color="auto"/>
              <w:left w:val="single" w:sz="4" w:space="0" w:color="auto"/>
            </w:tcBorders>
          </w:tcPr>
          <w:p w14:paraId="664C71B6" w14:textId="72149712" w:rsidR="005D521A" w:rsidRPr="00F13073" w:rsidRDefault="00FE5EEA" w:rsidP="004F50A9">
            <w:pPr>
              <w:keepNext/>
              <w:suppressAutoHyphens/>
              <w:jc w:val="center"/>
              <w:rPr>
                <w:b/>
                <w:bCs/>
                <w:sz w:val="20"/>
                <w:szCs w:val="20"/>
              </w:rPr>
            </w:pPr>
            <w:r w:rsidRPr="00F13073">
              <w:rPr>
                <w:b/>
                <w:bCs/>
                <w:sz w:val="20"/>
                <w:szCs w:val="20"/>
              </w:rPr>
              <w:t>Tocilizumab</w:t>
            </w:r>
            <w:r w:rsidR="00611033" w:rsidRPr="00F13073">
              <w:rPr>
                <w:b/>
                <w:bCs/>
                <w:sz w:val="20"/>
                <w:szCs w:val="20"/>
              </w:rPr>
              <w:t xml:space="preserve"> 162</w:t>
            </w:r>
            <w:r w:rsidR="003410B0" w:rsidRPr="00F13073">
              <w:rPr>
                <w:b/>
                <w:bCs/>
                <w:sz w:val="20"/>
                <w:szCs w:val="20"/>
              </w:rPr>
              <w:t xml:space="preserve"> </w:t>
            </w:r>
            <w:r w:rsidR="00611033" w:rsidRPr="00F13073">
              <w:rPr>
                <w:b/>
                <w:bCs/>
                <w:sz w:val="20"/>
                <w:szCs w:val="20"/>
              </w:rPr>
              <w:t xml:space="preserve">mg SC </w:t>
            </w:r>
            <w:r w:rsidR="003410B0" w:rsidRPr="00F13073">
              <w:rPr>
                <w:b/>
                <w:bCs/>
                <w:sz w:val="20"/>
                <w:szCs w:val="20"/>
              </w:rPr>
              <w:t xml:space="preserve">co tydzień </w:t>
            </w:r>
            <w:r w:rsidR="003410B0" w:rsidRPr="00F13073">
              <w:rPr>
                <w:b/>
                <w:bCs/>
                <w:sz w:val="20"/>
                <w:szCs w:val="20"/>
              </w:rPr>
              <w:br/>
              <w:t>+ 26-tygodniowa terapia malejącymi dawkami prednizonu</w:t>
            </w:r>
          </w:p>
          <w:p w14:paraId="1DB34DED" w14:textId="77777777" w:rsidR="001E0975" w:rsidRPr="00F13073" w:rsidRDefault="00611033" w:rsidP="004F50A9">
            <w:pPr>
              <w:keepNext/>
              <w:suppressAutoHyphens/>
              <w:jc w:val="center"/>
              <w:rPr>
                <w:b/>
                <w:bCs/>
                <w:sz w:val="20"/>
                <w:szCs w:val="20"/>
              </w:rPr>
            </w:pPr>
            <w:r w:rsidRPr="00F13073">
              <w:rPr>
                <w:b/>
                <w:bCs/>
                <w:sz w:val="20"/>
                <w:szCs w:val="20"/>
              </w:rPr>
              <w:t>N=100</w:t>
            </w:r>
          </w:p>
        </w:tc>
        <w:tc>
          <w:tcPr>
            <w:tcW w:w="1946" w:type="dxa"/>
            <w:tcBorders>
              <w:top w:val="single" w:sz="4" w:space="0" w:color="auto"/>
              <w:left w:val="single" w:sz="4" w:space="0" w:color="auto"/>
              <w:right w:val="single" w:sz="4" w:space="0" w:color="auto"/>
            </w:tcBorders>
          </w:tcPr>
          <w:p w14:paraId="02C14BC7" w14:textId="1AF47E16" w:rsidR="005D521A" w:rsidRPr="00F13073" w:rsidRDefault="00FE5EEA" w:rsidP="004F50A9">
            <w:pPr>
              <w:keepNext/>
              <w:suppressAutoHyphens/>
              <w:jc w:val="center"/>
              <w:rPr>
                <w:b/>
                <w:bCs/>
                <w:sz w:val="20"/>
                <w:szCs w:val="20"/>
              </w:rPr>
            </w:pPr>
            <w:r w:rsidRPr="00F13073">
              <w:rPr>
                <w:b/>
                <w:bCs/>
                <w:sz w:val="20"/>
                <w:szCs w:val="20"/>
              </w:rPr>
              <w:t>Tocilizumab</w:t>
            </w:r>
            <w:r w:rsidR="00611033" w:rsidRPr="00F13073">
              <w:rPr>
                <w:b/>
                <w:bCs/>
                <w:sz w:val="20"/>
                <w:szCs w:val="20"/>
              </w:rPr>
              <w:t xml:space="preserve"> 162 mg SC </w:t>
            </w:r>
            <w:r w:rsidR="003410B0" w:rsidRPr="00F13073">
              <w:rPr>
                <w:b/>
                <w:bCs/>
                <w:sz w:val="20"/>
                <w:szCs w:val="20"/>
              </w:rPr>
              <w:t>co dwa tygodnie + 26- tygodniowa terapia malejącymi dawkami prednizonu</w:t>
            </w:r>
          </w:p>
          <w:p w14:paraId="4C84BA21" w14:textId="77777777" w:rsidR="001E0975" w:rsidRPr="00F13073" w:rsidRDefault="00611033" w:rsidP="004F50A9">
            <w:pPr>
              <w:keepNext/>
              <w:suppressAutoHyphens/>
              <w:jc w:val="center"/>
              <w:rPr>
                <w:b/>
                <w:bCs/>
                <w:sz w:val="20"/>
                <w:szCs w:val="20"/>
              </w:rPr>
            </w:pPr>
            <w:r w:rsidRPr="00F13073">
              <w:rPr>
                <w:b/>
                <w:bCs/>
                <w:sz w:val="20"/>
                <w:szCs w:val="20"/>
              </w:rPr>
              <w:t>N=49</w:t>
            </w:r>
          </w:p>
        </w:tc>
      </w:tr>
      <w:tr w:rsidR="001E0975" w:rsidRPr="00F13073" w14:paraId="27FBF6F4" w14:textId="77777777" w:rsidTr="00E02C34">
        <w:trPr>
          <w:cantSplit/>
          <w:tblHeader/>
        </w:trPr>
        <w:tc>
          <w:tcPr>
            <w:tcW w:w="8931" w:type="dxa"/>
            <w:gridSpan w:val="5"/>
            <w:tcBorders>
              <w:top w:val="single" w:sz="4" w:space="0" w:color="auto"/>
              <w:left w:val="single" w:sz="4" w:space="0" w:color="auto"/>
              <w:right w:val="single" w:sz="4" w:space="0" w:color="auto"/>
            </w:tcBorders>
          </w:tcPr>
          <w:p w14:paraId="6C44D713" w14:textId="77777777" w:rsidR="001E0975" w:rsidRPr="00F13073" w:rsidRDefault="003410B0" w:rsidP="008B4C50">
            <w:pPr>
              <w:keepNext/>
              <w:suppressAutoHyphens/>
              <w:rPr>
                <w:b/>
                <w:bCs/>
                <w:sz w:val="20"/>
                <w:szCs w:val="20"/>
              </w:rPr>
            </w:pPr>
            <w:r w:rsidRPr="00F13073">
              <w:rPr>
                <w:b/>
                <w:bCs/>
                <w:sz w:val="20"/>
                <w:szCs w:val="20"/>
              </w:rPr>
              <w:t xml:space="preserve">Czas trwania (dni) </w:t>
            </w:r>
          </w:p>
        </w:tc>
      </w:tr>
      <w:tr w:rsidR="003410B0" w:rsidRPr="00F13073" w14:paraId="2D4597A9" w14:textId="77777777" w:rsidTr="00E02C34">
        <w:trPr>
          <w:cantSplit/>
          <w:tblHeader/>
        </w:trPr>
        <w:tc>
          <w:tcPr>
            <w:tcW w:w="1484" w:type="dxa"/>
            <w:tcBorders>
              <w:top w:val="single" w:sz="4" w:space="0" w:color="auto"/>
              <w:left w:val="single" w:sz="4" w:space="0" w:color="auto"/>
            </w:tcBorders>
          </w:tcPr>
          <w:p w14:paraId="083DBCA5" w14:textId="77777777" w:rsidR="003410B0" w:rsidRPr="00F13073" w:rsidRDefault="003410B0" w:rsidP="008B4C50">
            <w:pPr>
              <w:keepNext/>
              <w:suppressAutoHyphens/>
              <w:ind w:left="283" w:right="-80"/>
              <w:rPr>
                <w:sz w:val="20"/>
                <w:szCs w:val="20"/>
              </w:rPr>
            </w:pPr>
            <w:r w:rsidRPr="00F13073">
              <w:rPr>
                <w:rStyle w:val="Other"/>
                <w:rFonts w:eastAsia="DengXian"/>
                <w:sz w:val="20"/>
                <w:szCs w:val="20"/>
              </w:rPr>
              <w:t>Średnia (SD)</w:t>
            </w:r>
          </w:p>
        </w:tc>
        <w:tc>
          <w:tcPr>
            <w:tcW w:w="1764" w:type="dxa"/>
            <w:tcBorders>
              <w:top w:val="single" w:sz="4" w:space="0" w:color="auto"/>
              <w:left w:val="single" w:sz="4" w:space="0" w:color="auto"/>
            </w:tcBorders>
          </w:tcPr>
          <w:p w14:paraId="437ABCCA" w14:textId="77777777" w:rsidR="003410B0" w:rsidRPr="00F13073" w:rsidRDefault="003410B0" w:rsidP="004F50A9">
            <w:pPr>
              <w:keepNext/>
              <w:suppressAutoHyphens/>
              <w:jc w:val="center"/>
              <w:rPr>
                <w:sz w:val="20"/>
                <w:szCs w:val="20"/>
              </w:rPr>
            </w:pPr>
            <w:r w:rsidRPr="00F13073">
              <w:rPr>
                <w:sz w:val="20"/>
                <w:szCs w:val="20"/>
              </w:rPr>
              <w:t>35</w:t>
            </w:r>
            <w:r w:rsidR="00A4578A" w:rsidRPr="00F13073">
              <w:rPr>
                <w:sz w:val="20"/>
                <w:szCs w:val="20"/>
              </w:rPr>
              <w:t>,</w:t>
            </w:r>
            <w:r w:rsidRPr="00F13073">
              <w:rPr>
                <w:sz w:val="20"/>
                <w:szCs w:val="20"/>
              </w:rPr>
              <w:t>7 (11</w:t>
            </w:r>
            <w:r w:rsidR="00A4578A" w:rsidRPr="00F13073">
              <w:rPr>
                <w:sz w:val="20"/>
                <w:szCs w:val="20"/>
              </w:rPr>
              <w:t>,</w:t>
            </w:r>
            <w:r w:rsidRPr="00F13073">
              <w:rPr>
                <w:sz w:val="20"/>
                <w:szCs w:val="20"/>
              </w:rPr>
              <w:t>5)</w:t>
            </w:r>
          </w:p>
        </w:tc>
        <w:tc>
          <w:tcPr>
            <w:tcW w:w="1764" w:type="dxa"/>
            <w:tcBorders>
              <w:top w:val="single" w:sz="4" w:space="0" w:color="auto"/>
              <w:left w:val="single" w:sz="4" w:space="0" w:color="auto"/>
            </w:tcBorders>
          </w:tcPr>
          <w:p w14:paraId="56A969B9" w14:textId="77777777" w:rsidR="003410B0" w:rsidRPr="00F13073" w:rsidRDefault="003410B0" w:rsidP="004F50A9">
            <w:pPr>
              <w:keepNext/>
              <w:suppressAutoHyphens/>
              <w:jc w:val="center"/>
              <w:rPr>
                <w:sz w:val="20"/>
                <w:szCs w:val="20"/>
              </w:rPr>
            </w:pPr>
            <w:r w:rsidRPr="00F13073">
              <w:rPr>
                <w:sz w:val="20"/>
                <w:szCs w:val="20"/>
              </w:rPr>
              <w:t>36</w:t>
            </w:r>
            <w:r w:rsidR="00A4578A" w:rsidRPr="00F13073">
              <w:rPr>
                <w:sz w:val="20"/>
                <w:szCs w:val="20"/>
              </w:rPr>
              <w:t>,</w:t>
            </w:r>
            <w:r w:rsidRPr="00F13073">
              <w:rPr>
                <w:sz w:val="20"/>
                <w:szCs w:val="20"/>
              </w:rPr>
              <w:t>3 (12</w:t>
            </w:r>
            <w:r w:rsidR="00A4578A" w:rsidRPr="00F13073">
              <w:rPr>
                <w:sz w:val="20"/>
                <w:szCs w:val="20"/>
              </w:rPr>
              <w:t>,</w:t>
            </w:r>
            <w:r w:rsidRPr="00F13073">
              <w:rPr>
                <w:sz w:val="20"/>
                <w:szCs w:val="20"/>
              </w:rPr>
              <w:t>5)</w:t>
            </w:r>
          </w:p>
        </w:tc>
        <w:tc>
          <w:tcPr>
            <w:tcW w:w="1973" w:type="dxa"/>
            <w:tcBorders>
              <w:top w:val="single" w:sz="4" w:space="0" w:color="auto"/>
              <w:left w:val="single" w:sz="4" w:space="0" w:color="auto"/>
            </w:tcBorders>
          </w:tcPr>
          <w:p w14:paraId="3C49BDF7" w14:textId="77777777" w:rsidR="003410B0" w:rsidRPr="00F13073" w:rsidRDefault="003410B0" w:rsidP="004F50A9">
            <w:pPr>
              <w:keepNext/>
              <w:suppressAutoHyphens/>
              <w:jc w:val="center"/>
              <w:rPr>
                <w:sz w:val="20"/>
                <w:szCs w:val="20"/>
              </w:rPr>
            </w:pPr>
            <w:r w:rsidRPr="00F13073">
              <w:rPr>
                <w:sz w:val="20"/>
                <w:szCs w:val="20"/>
              </w:rPr>
              <w:t>35</w:t>
            </w:r>
            <w:r w:rsidR="00A4578A" w:rsidRPr="00F13073">
              <w:rPr>
                <w:sz w:val="20"/>
                <w:szCs w:val="20"/>
              </w:rPr>
              <w:t>,</w:t>
            </w:r>
            <w:r w:rsidRPr="00F13073">
              <w:rPr>
                <w:sz w:val="20"/>
                <w:szCs w:val="20"/>
              </w:rPr>
              <w:t>6 (13</w:t>
            </w:r>
            <w:r w:rsidR="00A4578A" w:rsidRPr="00F13073">
              <w:rPr>
                <w:sz w:val="20"/>
                <w:szCs w:val="20"/>
              </w:rPr>
              <w:t>,</w:t>
            </w:r>
            <w:r w:rsidRPr="00F13073">
              <w:rPr>
                <w:sz w:val="20"/>
                <w:szCs w:val="20"/>
              </w:rPr>
              <w:t>2)</w:t>
            </w:r>
          </w:p>
        </w:tc>
        <w:tc>
          <w:tcPr>
            <w:tcW w:w="1946" w:type="dxa"/>
            <w:tcBorders>
              <w:top w:val="single" w:sz="4" w:space="0" w:color="auto"/>
              <w:left w:val="single" w:sz="4" w:space="0" w:color="auto"/>
              <w:right w:val="single" w:sz="4" w:space="0" w:color="auto"/>
            </w:tcBorders>
          </w:tcPr>
          <w:p w14:paraId="74098BD0" w14:textId="77777777" w:rsidR="003410B0" w:rsidRPr="00F13073" w:rsidRDefault="003410B0" w:rsidP="004F50A9">
            <w:pPr>
              <w:keepNext/>
              <w:suppressAutoHyphens/>
              <w:jc w:val="center"/>
              <w:rPr>
                <w:sz w:val="20"/>
                <w:szCs w:val="20"/>
              </w:rPr>
            </w:pPr>
            <w:r w:rsidRPr="00F13073">
              <w:rPr>
                <w:sz w:val="20"/>
                <w:szCs w:val="20"/>
              </w:rPr>
              <w:t>37</w:t>
            </w:r>
            <w:r w:rsidR="00A4578A" w:rsidRPr="00F13073">
              <w:rPr>
                <w:sz w:val="20"/>
                <w:szCs w:val="20"/>
              </w:rPr>
              <w:t>,</w:t>
            </w:r>
            <w:r w:rsidRPr="00F13073">
              <w:rPr>
                <w:sz w:val="20"/>
                <w:szCs w:val="20"/>
              </w:rPr>
              <w:t>4 (14</w:t>
            </w:r>
            <w:r w:rsidR="00A4578A" w:rsidRPr="00F13073">
              <w:rPr>
                <w:sz w:val="20"/>
                <w:szCs w:val="20"/>
              </w:rPr>
              <w:t>,</w:t>
            </w:r>
            <w:r w:rsidRPr="00F13073">
              <w:rPr>
                <w:sz w:val="20"/>
                <w:szCs w:val="20"/>
              </w:rPr>
              <w:t>4)</w:t>
            </w:r>
          </w:p>
        </w:tc>
      </w:tr>
      <w:tr w:rsidR="003410B0" w:rsidRPr="00F13073" w14:paraId="00888E01" w14:textId="77777777" w:rsidTr="00E02C34">
        <w:trPr>
          <w:cantSplit/>
          <w:tblHeader/>
        </w:trPr>
        <w:tc>
          <w:tcPr>
            <w:tcW w:w="1484" w:type="dxa"/>
            <w:tcBorders>
              <w:top w:val="single" w:sz="4" w:space="0" w:color="auto"/>
              <w:left w:val="single" w:sz="4" w:space="0" w:color="auto"/>
            </w:tcBorders>
          </w:tcPr>
          <w:p w14:paraId="61D7F3DA" w14:textId="77777777" w:rsidR="003410B0" w:rsidRPr="00F13073" w:rsidRDefault="003410B0" w:rsidP="008B4C50">
            <w:pPr>
              <w:keepNext/>
              <w:suppressAutoHyphens/>
              <w:ind w:left="283"/>
              <w:rPr>
                <w:sz w:val="20"/>
                <w:szCs w:val="20"/>
              </w:rPr>
            </w:pPr>
            <w:r w:rsidRPr="00F13073">
              <w:rPr>
                <w:rStyle w:val="Other"/>
                <w:rFonts w:eastAsia="DengXian"/>
                <w:sz w:val="20"/>
                <w:szCs w:val="20"/>
              </w:rPr>
              <w:t>Mediana</w:t>
            </w:r>
          </w:p>
        </w:tc>
        <w:tc>
          <w:tcPr>
            <w:tcW w:w="1764" w:type="dxa"/>
            <w:tcBorders>
              <w:top w:val="single" w:sz="4" w:space="0" w:color="auto"/>
              <w:left w:val="single" w:sz="4" w:space="0" w:color="auto"/>
            </w:tcBorders>
          </w:tcPr>
          <w:p w14:paraId="34B2DAA5" w14:textId="77777777" w:rsidR="003410B0" w:rsidRPr="00F13073" w:rsidRDefault="003410B0" w:rsidP="004F50A9">
            <w:pPr>
              <w:keepNext/>
              <w:suppressAutoHyphens/>
              <w:jc w:val="center"/>
              <w:rPr>
                <w:sz w:val="20"/>
                <w:szCs w:val="20"/>
              </w:rPr>
            </w:pPr>
            <w:r w:rsidRPr="00F13073">
              <w:rPr>
                <w:sz w:val="20"/>
                <w:szCs w:val="20"/>
              </w:rPr>
              <w:t>42</w:t>
            </w:r>
            <w:r w:rsidR="00A4578A" w:rsidRPr="00F13073">
              <w:rPr>
                <w:sz w:val="20"/>
                <w:szCs w:val="20"/>
              </w:rPr>
              <w:t>,</w:t>
            </w:r>
            <w:r w:rsidRPr="00F13073">
              <w:rPr>
                <w:sz w:val="20"/>
                <w:szCs w:val="20"/>
              </w:rPr>
              <w:t>0</w:t>
            </w:r>
          </w:p>
        </w:tc>
        <w:tc>
          <w:tcPr>
            <w:tcW w:w="1764" w:type="dxa"/>
            <w:tcBorders>
              <w:top w:val="single" w:sz="4" w:space="0" w:color="auto"/>
              <w:left w:val="single" w:sz="4" w:space="0" w:color="auto"/>
            </w:tcBorders>
          </w:tcPr>
          <w:p w14:paraId="4C7ACDB9" w14:textId="77777777" w:rsidR="003410B0" w:rsidRPr="00F13073" w:rsidRDefault="003410B0" w:rsidP="004F50A9">
            <w:pPr>
              <w:keepNext/>
              <w:suppressAutoHyphens/>
              <w:jc w:val="center"/>
              <w:rPr>
                <w:sz w:val="20"/>
                <w:szCs w:val="20"/>
              </w:rPr>
            </w:pPr>
            <w:r w:rsidRPr="00F13073">
              <w:rPr>
                <w:sz w:val="20"/>
                <w:szCs w:val="20"/>
              </w:rPr>
              <w:t>41</w:t>
            </w:r>
            <w:r w:rsidR="00A4578A" w:rsidRPr="00F13073">
              <w:rPr>
                <w:sz w:val="20"/>
                <w:szCs w:val="20"/>
              </w:rPr>
              <w:t>,</w:t>
            </w:r>
            <w:r w:rsidRPr="00F13073">
              <w:rPr>
                <w:sz w:val="20"/>
                <w:szCs w:val="20"/>
              </w:rPr>
              <w:t>0</w:t>
            </w:r>
          </w:p>
        </w:tc>
        <w:tc>
          <w:tcPr>
            <w:tcW w:w="1973" w:type="dxa"/>
            <w:tcBorders>
              <w:top w:val="single" w:sz="4" w:space="0" w:color="auto"/>
              <w:left w:val="single" w:sz="4" w:space="0" w:color="auto"/>
            </w:tcBorders>
          </w:tcPr>
          <w:p w14:paraId="1E330D9F" w14:textId="77777777" w:rsidR="003410B0" w:rsidRPr="00F13073" w:rsidRDefault="003410B0" w:rsidP="004F50A9">
            <w:pPr>
              <w:keepNext/>
              <w:suppressAutoHyphens/>
              <w:jc w:val="center"/>
              <w:rPr>
                <w:sz w:val="20"/>
                <w:szCs w:val="20"/>
              </w:rPr>
            </w:pPr>
            <w:r w:rsidRPr="00F13073">
              <w:rPr>
                <w:sz w:val="20"/>
                <w:szCs w:val="20"/>
              </w:rPr>
              <w:t>41</w:t>
            </w:r>
            <w:r w:rsidR="00A4578A" w:rsidRPr="00F13073">
              <w:rPr>
                <w:sz w:val="20"/>
                <w:szCs w:val="20"/>
              </w:rPr>
              <w:t>,</w:t>
            </w:r>
            <w:r w:rsidRPr="00F13073">
              <w:rPr>
                <w:sz w:val="20"/>
                <w:szCs w:val="20"/>
              </w:rPr>
              <w:t>0</w:t>
            </w:r>
          </w:p>
        </w:tc>
        <w:tc>
          <w:tcPr>
            <w:tcW w:w="1946" w:type="dxa"/>
            <w:tcBorders>
              <w:top w:val="single" w:sz="4" w:space="0" w:color="auto"/>
              <w:left w:val="single" w:sz="4" w:space="0" w:color="auto"/>
              <w:right w:val="single" w:sz="4" w:space="0" w:color="auto"/>
            </w:tcBorders>
          </w:tcPr>
          <w:p w14:paraId="279E5751" w14:textId="77777777" w:rsidR="003410B0" w:rsidRPr="00F13073" w:rsidRDefault="003410B0" w:rsidP="004F50A9">
            <w:pPr>
              <w:keepNext/>
              <w:suppressAutoHyphens/>
              <w:jc w:val="center"/>
              <w:rPr>
                <w:sz w:val="20"/>
                <w:szCs w:val="20"/>
              </w:rPr>
            </w:pPr>
            <w:r w:rsidRPr="00F13073">
              <w:rPr>
                <w:sz w:val="20"/>
                <w:szCs w:val="20"/>
              </w:rPr>
              <w:t>42</w:t>
            </w:r>
            <w:r w:rsidR="00A4578A" w:rsidRPr="00F13073">
              <w:rPr>
                <w:sz w:val="20"/>
                <w:szCs w:val="20"/>
              </w:rPr>
              <w:t>,</w:t>
            </w:r>
            <w:r w:rsidRPr="00F13073">
              <w:rPr>
                <w:sz w:val="20"/>
                <w:szCs w:val="20"/>
              </w:rPr>
              <w:t>0</w:t>
            </w:r>
          </w:p>
        </w:tc>
      </w:tr>
      <w:tr w:rsidR="003410B0" w:rsidRPr="00F13073" w14:paraId="5C5DD8C9" w14:textId="77777777" w:rsidTr="00E02C34">
        <w:trPr>
          <w:cantSplit/>
          <w:tblHeader/>
        </w:trPr>
        <w:tc>
          <w:tcPr>
            <w:tcW w:w="1484" w:type="dxa"/>
            <w:tcBorders>
              <w:top w:val="single" w:sz="4" w:space="0" w:color="auto"/>
              <w:left w:val="single" w:sz="4" w:space="0" w:color="auto"/>
              <w:bottom w:val="single" w:sz="4" w:space="0" w:color="auto"/>
            </w:tcBorders>
          </w:tcPr>
          <w:p w14:paraId="11BC6C19" w14:textId="77777777" w:rsidR="003410B0" w:rsidRPr="00F13073" w:rsidRDefault="003410B0" w:rsidP="008B4C50">
            <w:pPr>
              <w:suppressAutoHyphens/>
              <w:ind w:left="283"/>
              <w:rPr>
                <w:sz w:val="20"/>
                <w:szCs w:val="20"/>
              </w:rPr>
            </w:pPr>
            <w:r w:rsidRPr="00F13073">
              <w:rPr>
                <w:rStyle w:val="Other"/>
                <w:rFonts w:eastAsia="DengXian"/>
                <w:sz w:val="20"/>
                <w:szCs w:val="20"/>
              </w:rPr>
              <w:t>Min - Max</w:t>
            </w:r>
          </w:p>
        </w:tc>
        <w:tc>
          <w:tcPr>
            <w:tcW w:w="1764" w:type="dxa"/>
            <w:tcBorders>
              <w:top w:val="single" w:sz="4" w:space="0" w:color="auto"/>
              <w:left w:val="single" w:sz="4" w:space="0" w:color="auto"/>
              <w:bottom w:val="single" w:sz="4" w:space="0" w:color="auto"/>
            </w:tcBorders>
          </w:tcPr>
          <w:p w14:paraId="048BA340" w14:textId="77777777" w:rsidR="003410B0" w:rsidRPr="00F13073" w:rsidRDefault="003410B0" w:rsidP="004F50A9">
            <w:pPr>
              <w:suppressAutoHyphens/>
              <w:jc w:val="center"/>
              <w:rPr>
                <w:sz w:val="20"/>
                <w:szCs w:val="20"/>
              </w:rPr>
            </w:pPr>
            <w:r w:rsidRPr="00F13073">
              <w:rPr>
                <w:sz w:val="20"/>
                <w:szCs w:val="20"/>
              </w:rPr>
              <w:t>6 - 63</w:t>
            </w:r>
          </w:p>
        </w:tc>
        <w:tc>
          <w:tcPr>
            <w:tcW w:w="1764" w:type="dxa"/>
            <w:tcBorders>
              <w:top w:val="single" w:sz="4" w:space="0" w:color="auto"/>
              <w:left w:val="single" w:sz="4" w:space="0" w:color="auto"/>
              <w:bottom w:val="single" w:sz="4" w:space="0" w:color="auto"/>
            </w:tcBorders>
          </w:tcPr>
          <w:p w14:paraId="7C0274A6" w14:textId="77777777" w:rsidR="003410B0" w:rsidRPr="00F13073" w:rsidRDefault="003410B0" w:rsidP="004F50A9">
            <w:pPr>
              <w:suppressAutoHyphens/>
              <w:jc w:val="center"/>
              <w:rPr>
                <w:sz w:val="20"/>
                <w:szCs w:val="20"/>
              </w:rPr>
            </w:pPr>
            <w:r w:rsidRPr="00F13073">
              <w:rPr>
                <w:sz w:val="20"/>
                <w:szCs w:val="20"/>
              </w:rPr>
              <w:t>12 – 82</w:t>
            </w:r>
          </w:p>
        </w:tc>
        <w:tc>
          <w:tcPr>
            <w:tcW w:w="1973" w:type="dxa"/>
            <w:tcBorders>
              <w:top w:val="single" w:sz="4" w:space="0" w:color="auto"/>
              <w:left w:val="single" w:sz="4" w:space="0" w:color="auto"/>
              <w:bottom w:val="single" w:sz="4" w:space="0" w:color="auto"/>
            </w:tcBorders>
          </w:tcPr>
          <w:p w14:paraId="0541F4D0" w14:textId="77777777" w:rsidR="003410B0" w:rsidRPr="00F13073" w:rsidRDefault="003410B0" w:rsidP="004F50A9">
            <w:pPr>
              <w:suppressAutoHyphens/>
              <w:jc w:val="center"/>
              <w:rPr>
                <w:sz w:val="20"/>
                <w:szCs w:val="20"/>
              </w:rPr>
            </w:pPr>
            <w:r w:rsidRPr="00F13073">
              <w:rPr>
                <w:sz w:val="20"/>
                <w:szCs w:val="20"/>
              </w:rPr>
              <w:t>1 - 87</w:t>
            </w:r>
          </w:p>
        </w:tc>
        <w:tc>
          <w:tcPr>
            <w:tcW w:w="1946" w:type="dxa"/>
            <w:tcBorders>
              <w:top w:val="single" w:sz="4" w:space="0" w:color="auto"/>
              <w:left w:val="single" w:sz="4" w:space="0" w:color="auto"/>
              <w:bottom w:val="single" w:sz="4" w:space="0" w:color="auto"/>
              <w:right w:val="single" w:sz="4" w:space="0" w:color="auto"/>
            </w:tcBorders>
          </w:tcPr>
          <w:p w14:paraId="4E598C07" w14:textId="77777777" w:rsidR="003410B0" w:rsidRPr="00F13073" w:rsidRDefault="003410B0" w:rsidP="004F50A9">
            <w:pPr>
              <w:suppressAutoHyphens/>
              <w:jc w:val="center"/>
              <w:rPr>
                <w:sz w:val="20"/>
                <w:szCs w:val="20"/>
              </w:rPr>
            </w:pPr>
            <w:r w:rsidRPr="00F13073">
              <w:rPr>
                <w:sz w:val="20"/>
                <w:szCs w:val="20"/>
              </w:rPr>
              <w:t>9 - 87</w:t>
            </w:r>
          </w:p>
        </w:tc>
      </w:tr>
    </w:tbl>
    <w:p w14:paraId="1752749C" w14:textId="77777777" w:rsidR="001E0975" w:rsidRPr="00F13073" w:rsidRDefault="001E0975" w:rsidP="008B4C50"/>
    <w:p w14:paraId="51503320" w14:textId="22B45C42" w:rsidR="00DB4FD6" w:rsidRPr="00F13073" w:rsidRDefault="00DB4FD6" w:rsidP="008B4C50">
      <w:pPr>
        <w:rPr>
          <w:rStyle w:val="Char"/>
          <w:rFonts w:eastAsia="DengXian"/>
        </w:rPr>
      </w:pPr>
      <w:r w:rsidRPr="00F13073">
        <w:rPr>
          <w:rStyle w:val="Char"/>
          <w:rFonts w:eastAsia="DengXian"/>
        </w:rPr>
        <w:t xml:space="preserve">W badaniu został osiągnięty pierwszorzędowy punkt końcowy oceny skuteczności, oceniany na podstawie odsetka pacjentów, którzy osiągnęli trwałą remisję w tygodniu 52. przy braku stosowania steroidów, przyjmując </w:t>
      </w:r>
      <w:r w:rsidR="00CF7321" w:rsidRPr="00F13073">
        <w:rPr>
          <w:rStyle w:val="Char"/>
          <w:rFonts w:eastAsia="DengXian"/>
        </w:rPr>
        <w:t xml:space="preserve">tocilizumab </w:t>
      </w:r>
      <w:r w:rsidRPr="00F13073">
        <w:rPr>
          <w:rStyle w:val="Char"/>
          <w:rFonts w:eastAsia="DengXian"/>
        </w:rPr>
        <w:t>w skojarzeniu z 26-tygodniową terapią malejącymi dawkami prednizonu, w porównaniu z placebo w skojarzeniu z 26-tygodniową terapią malejącymi dawkami prednizonu (Tabela 4).</w:t>
      </w:r>
    </w:p>
    <w:p w14:paraId="0CC64425" w14:textId="77777777" w:rsidR="00DB4FD6" w:rsidRPr="00F13073" w:rsidRDefault="00DB4FD6" w:rsidP="008B4C50"/>
    <w:p w14:paraId="2D30FA09" w14:textId="77777777" w:rsidR="00DB4FD6" w:rsidRPr="00F13073" w:rsidRDefault="00DB4FD6" w:rsidP="008B4C50">
      <w:pPr>
        <w:rPr>
          <w:rStyle w:val="Char"/>
          <w:rFonts w:eastAsia="DengXian"/>
        </w:rPr>
      </w:pPr>
      <w:r w:rsidRPr="00F13073">
        <w:rPr>
          <w:rStyle w:val="Char"/>
          <w:rFonts w:eastAsia="DengXian"/>
        </w:rPr>
        <w:t>Osiągnięty został także najważniejszy drugorzędowy punkt końcowy, również oparty na odsetku pacjentów, którzy uzyskali trwałą remisję w tygodniu 52., porównujący tocilizumab w skojarzeniu z 26-tygodniową terapią malejącymi dawkami prednizonu z placebo w skojarzeniu z 52-tygodniową terapią malejącymi dawkami prednizonu (Tabela 4).</w:t>
      </w:r>
    </w:p>
    <w:p w14:paraId="4AF506C2" w14:textId="77777777" w:rsidR="00DB4FD6" w:rsidRPr="00F13073" w:rsidRDefault="00DB4FD6" w:rsidP="008B4C50"/>
    <w:p w14:paraId="35111200" w14:textId="17ABC822" w:rsidR="00DB4FD6" w:rsidRPr="00F13073" w:rsidRDefault="00DB4FD6" w:rsidP="008B4C50">
      <w:pPr>
        <w:rPr>
          <w:rStyle w:val="Char"/>
          <w:rFonts w:eastAsia="DengXian"/>
        </w:rPr>
      </w:pPr>
      <w:r w:rsidRPr="00F13073">
        <w:rPr>
          <w:rStyle w:val="Char"/>
          <w:rFonts w:eastAsia="DengXian"/>
        </w:rPr>
        <w:t xml:space="preserve">Statystycznie istotnie lepszy efekt leczenia na korzyść </w:t>
      </w:r>
      <w:r w:rsidR="00CF7321" w:rsidRPr="00F13073">
        <w:rPr>
          <w:rStyle w:val="Char"/>
          <w:rFonts w:eastAsia="DengXian"/>
        </w:rPr>
        <w:t xml:space="preserve">tocilizumabu </w:t>
      </w:r>
      <w:r w:rsidRPr="00F13073">
        <w:rPr>
          <w:rStyle w:val="Char"/>
          <w:rFonts w:eastAsia="DengXian"/>
        </w:rPr>
        <w:t xml:space="preserve">względem placebo w osiągnięciu trwałej remisji bez stosowania steroidów w 52. tygodniu badania obserwowano podczas leczenia </w:t>
      </w:r>
      <w:r w:rsidR="00CF7321" w:rsidRPr="00F13073">
        <w:rPr>
          <w:rStyle w:val="Char"/>
          <w:rFonts w:eastAsia="DengXian"/>
        </w:rPr>
        <w:t xml:space="preserve">tocilizumabem </w:t>
      </w:r>
      <w:r w:rsidRPr="00F13073">
        <w:rPr>
          <w:rStyle w:val="Char"/>
          <w:rFonts w:eastAsia="DengXian"/>
        </w:rPr>
        <w:t>w skojarzeniu z 26-tygodniową terapią malejącymi dawkami prednizonu, w porównaniu z placebo w skojarzeniu z 26-tygodniową terapią malejącymi dawkami prednizonu, a także w porównaniu z placebo w skojarzeniu z 52-tygodniową terapią malejącymi dawkami prednizonu.</w:t>
      </w:r>
    </w:p>
    <w:p w14:paraId="6AEC5573" w14:textId="77777777" w:rsidR="00DB4FD6" w:rsidRPr="00F13073" w:rsidRDefault="00DB4FD6" w:rsidP="008B4C50"/>
    <w:p w14:paraId="0797199D" w14:textId="77777777" w:rsidR="00DB4FD6" w:rsidRPr="00F13073" w:rsidRDefault="00DB4FD6" w:rsidP="008B4C50">
      <w:pPr>
        <w:rPr>
          <w:rStyle w:val="Char"/>
          <w:rFonts w:eastAsia="DengXian"/>
        </w:rPr>
      </w:pPr>
      <w:r w:rsidRPr="00F13073">
        <w:rPr>
          <w:rStyle w:val="Char"/>
          <w:rFonts w:eastAsia="DengXian"/>
        </w:rPr>
        <w:t>Odsetek pacjentów, którzy uzyskali trwałą remisję w tygodniu 52. został przedstawiony w Tabeli 4.</w:t>
      </w:r>
    </w:p>
    <w:p w14:paraId="4ABE40D3" w14:textId="77777777" w:rsidR="00DB4FD6" w:rsidRPr="00F13073" w:rsidRDefault="00DB4FD6" w:rsidP="008B4C50"/>
    <w:p w14:paraId="7FC9BF9B" w14:textId="77777777" w:rsidR="00DB4FD6" w:rsidRPr="00F13073" w:rsidRDefault="00DB4FD6" w:rsidP="008B4C50">
      <w:pPr>
        <w:keepNext/>
        <w:rPr>
          <w:i/>
          <w:iCs/>
        </w:rPr>
      </w:pPr>
      <w:r w:rsidRPr="00F13073">
        <w:rPr>
          <w:i/>
          <w:iCs/>
        </w:rPr>
        <w:t>Drugorzędowe punkty końcowe</w:t>
      </w:r>
    </w:p>
    <w:p w14:paraId="79C89F28" w14:textId="45BE579F" w:rsidR="00DB4FD6" w:rsidRPr="00F13073" w:rsidRDefault="00DB4FD6" w:rsidP="008B4C50">
      <w:pPr>
        <w:rPr>
          <w:rStyle w:val="Char"/>
          <w:rFonts w:eastAsia="DengXian"/>
        </w:rPr>
      </w:pPr>
      <w:r w:rsidRPr="00F13073">
        <w:rPr>
          <w:rStyle w:val="Char"/>
          <w:rFonts w:eastAsia="DengXian"/>
        </w:rPr>
        <w:t xml:space="preserve">Ocena czasu do wystąpienia pierwszego zaostrzenia GCA wykazała istotnie mniejsze ryzyko wystąpienia zaostrzenia w grupie otrzymującej podskórnie </w:t>
      </w:r>
      <w:r w:rsidR="00C626CF" w:rsidRPr="00F13073">
        <w:rPr>
          <w:rStyle w:val="Char"/>
          <w:rFonts w:eastAsia="DengXian"/>
        </w:rPr>
        <w:t xml:space="preserve">tocilizumab </w:t>
      </w:r>
      <w:r w:rsidRPr="00F13073">
        <w:rPr>
          <w:rStyle w:val="Char"/>
          <w:rFonts w:eastAsia="DengXian"/>
        </w:rPr>
        <w:t xml:space="preserve">raz na tydzień w porównaniu z grupą placebo w skojarzeniu z 26-tygodniową terapią malejącymi dawkami prednizonu oraz z grupą placebo w skojarzeniu z 52-tygodniową terapią malejącymi dawkami prednizonu, a także wykazała istotnie mniejsze ryzyko zaostrzenia w grupie otrzymującej podskórnie </w:t>
      </w:r>
      <w:r w:rsidR="00C626CF" w:rsidRPr="00F13073">
        <w:rPr>
          <w:rStyle w:val="Char"/>
          <w:rFonts w:eastAsia="DengXian"/>
        </w:rPr>
        <w:t xml:space="preserve">tocilizumab </w:t>
      </w:r>
      <w:r w:rsidRPr="00F13073">
        <w:rPr>
          <w:rStyle w:val="Char"/>
          <w:rFonts w:eastAsia="DengXian"/>
        </w:rPr>
        <w:t xml:space="preserve">co dwa tygodnie w porównaniu z grupą placebo w skojarzeniu z 26- tygodniową terapią prednizonem (przy porównaniu na poziomie istotności 0,01). </w:t>
      </w:r>
      <w:r w:rsidR="00C626CF" w:rsidRPr="00F13073">
        <w:rPr>
          <w:rStyle w:val="Char"/>
          <w:rFonts w:eastAsia="DengXian"/>
        </w:rPr>
        <w:t xml:space="preserve">Tocilizumab </w:t>
      </w:r>
      <w:r w:rsidRPr="00F13073">
        <w:rPr>
          <w:rStyle w:val="Char"/>
          <w:rFonts w:eastAsia="DengXian"/>
        </w:rPr>
        <w:t>podawany podskórnie raz w tygodniu powodował również klinicznie znaczące zmniejszenie ryzyka wystąpienia zaostrzenia u pacjentów, którzy weszli do badania z nawracającym GCA, jak również u pacjentów z pierwszym wystąpieniem choroby, w porównaniu z grupą otrzymującą placebo w skojarzeniu z 26-tygodniową terapią prednizonem (Tabela 4).</w:t>
      </w:r>
    </w:p>
    <w:p w14:paraId="208EB97E" w14:textId="77777777" w:rsidR="00DB4FD6" w:rsidRPr="00F13073" w:rsidRDefault="00DB4FD6" w:rsidP="008B4C50"/>
    <w:p w14:paraId="1E6EE946" w14:textId="77777777" w:rsidR="00DB4FD6" w:rsidRPr="00F13073" w:rsidRDefault="00DB4FD6" w:rsidP="008B4C50">
      <w:pPr>
        <w:keepNext/>
        <w:rPr>
          <w:i/>
          <w:iCs/>
        </w:rPr>
      </w:pPr>
      <w:r w:rsidRPr="00F13073">
        <w:rPr>
          <w:i/>
          <w:iCs/>
        </w:rPr>
        <w:t>Skumulowana dawka glikokortykosteroidów</w:t>
      </w:r>
    </w:p>
    <w:p w14:paraId="1FF7D562" w14:textId="00ED9365" w:rsidR="00DB4FD6" w:rsidRPr="00F13073" w:rsidRDefault="00DB4FD6" w:rsidP="008B4C50">
      <w:r w:rsidRPr="00F13073">
        <w:rPr>
          <w:rStyle w:val="Char"/>
          <w:rFonts w:eastAsia="DengXian"/>
        </w:rPr>
        <w:t xml:space="preserve">Skumulowana dawka prednizonu w tygodniu 52. była istotnie niższa w obydwu grupach otrzymujących </w:t>
      </w:r>
      <w:r w:rsidR="00C626CF" w:rsidRPr="00F13073">
        <w:rPr>
          <w:rStyle w:val="Char"/>
          <w:rFonts w:eastAsia="DengXian"/>
        </w:rPr>
        <w:t>tocilizumab</w:t>
      </w:r>
      <w:r w:rsidRPr="00F13073">
        <w:rPr>
          <w:rStyle w:val="Char"/>
          <w:rFonts w:eastAsia="DengXian"/>
        </w:rPr>
        <w:t xml:space="preserve">, w porównaniu z dwiema grupami placebo (Tabela 4). W oddzielnej analizie pacjentów, którzy otrzymali doraźnie prednizon w leczeniu zaostrzenia GCA w pierwszych 52 tygodniach, skumulowana dawka prednizonu była bardzo zróżnicowana. Mediana dawek stosowanych doraźnie u pacjentów z grupy otrzymującej </w:t>
      </w:r>
      <w:r w:rsidR="00C626CF" w:rsidRPr="00F13073">
        <w:rPr>
          <w:rStyle w:val="Char"/>
          <w:rFonts w:eastAsia="DengXian"/>
        </w:rPr>
        <w:t xml:space="preserve">tocilizumab </w:t>
      </w:r>
      <w:r w:rsidRPr="00F13073">
        <w:rPr>
          <w:rStyle w:val="Char"/>
          <w:rFonts w:eastAsia="DengXian"/>
        </w:rPr>
        <w:t xml:space="preserve">raz w tygodniu i raz na dwa tygodnie wyniosła odpowiednio 3129,75 mg i 3847 mg. Obie te wartości były znacząco niższe niż w grupie otrzymującej placebo w skojarzeniu z 26-tygodniową terapią malejącymi dawkami prednizonu </w:t>
      </w:r>
      <w:r w:rsidRPr="00F13073">
        <w:rPr>
          <w:rStyle w:val="Char"/>
          <w:rFonts w:eastAsia="DengXian"/>
        </w:rPr>
        <w:lastRenderedPageBreak/>
        <w:t>i placebo w skojarzeniu z 52-tygodniową terapią malejącymi dawkami prednizonu, które wynosiły odpowiednio 4023,5 mg i 5389,5 mg.</w:t>
      </w:r>
    </w:p>
    <w:p w14:paraId="01C1D7DD" w14:textId="77777777" w:rsidR="005D521A" w:rsidRPr="00F13073" w:rsidRDefault="005D521A" w:rsidP="008B4C50"/>
    <w:p w14:paraId="0482E2CD" w14:textId="77777777" w:rsidR="001E0975" w:rsidRPr="00F13073" w:rsidRDefault="00611033" w:rsidP="008B4C50">
      <w:pPr>
        <w:keepNext/>
        <w:ind w:left="1134" w:hanging="1134"/>
        <w:rPr>
          <w:i/>
          <w:iCs/>
        </w:rPr>
      </w:pPr>
      <w:r w:rsidRPr="00F13073">
        <w:rPr>
          <w:i/>
          <w:iCs/>
        </w:rPr>
        <w:t>Tab</w:t>
      </w:r>
      <w:r w:rsidR="00791B6F" w:rsidRPr="00F13073">
        <w:rPr>
          <w:i/>
          <w:iCs/>
        </w:rPr>
        <w:t>e</w:t>
      </w:r>
      <w:r w:rsidRPr="00F13073">
        <w:rPr>
          <w:i/>
          <w:iCs/>
        </w:rPr>
        <w:t>l</w:t>
      </w:r>
      <w:r w:rsidR="00DB4FD6" w:rsidRPr="00F13073">
        <w:rPr>
          <w:i/>
          <w:iCs/>
        </w:rPr>
        <w:t>a</w:t>
      </w:r>
      <w:r w:rsidRPr="00F13073">
        <w:rPr>
          <w:i/>
          <w:iCs/>
        </w:rPr>
        <w:t xml:space="preserve"> 4.</w:t>
      </w:r>
      <w:r w:rsidR="005D521A" w:rsidRPr="00F13073">
        <w:rPr>
          <w:i/>
          <w:iCs/>
        </w:rPr>
        <w:tab/>
      </w:r>
      <w:r w:rsidR="00DB4FD6" w:rsidRPr="00F13073">
        <w:rPr>
          <w:rStyle w:val="Char"/>
          <w:rFonts w:eastAsia="DengXian"/>
          <w:i/>
          <w:iCs/>
        </w:rPr>
        <w:t xml:space="preserve">Wyniki dotyczące skuteczności w badaniu </w:t>
      </w:r>
      <w:r w:rsidRPr="00F13073">
        <w:rPr>
          <w:i/>
          <w:iCs/>
        </w:rPr>
        <w:t>WA28119</w:t>
      </w:r>
    </w:p>
    <w:p w14:paraId="2C4377B7" w14:textId="77777777" w:rsidR="005D521A" w:rsidRPr="00F13073" w:rsidRDefault="005D521A" w:rsidP="008B4C50">
      <w:pPr>
        <w:keepNext/>
        <w:ind w:left="1134" w:hanging="1134"/>
        <w:rPr>
          <w:i/>
          <w:iCs/>
        </w:rPr>
      </w:pPr>
    </w:p>
    <w:tbl>
      <w:tblPr>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4390"/>
        <w:gridCol w:w="1093"/>
        <w:gridCol w:w="1033"/>
        <w:gridCol w:w="1248"/>
        <w:gridCol w:w="1292"/>
      </w:tblGrid>
      <w:tr w:rsidR="009E4A29" w:rsidRPr="00F13073" w14:paraId="105F4986" w14:textId="77777777" w:rsidTr="00E02C34">
        <w:trPr>
          <w:cantSplit/>
          <w:tblHeader/>
        </w:trPr>
        <w:tc>
          <w:tcPr>
            <w:tcW w:w="4390" w:type="dxa"/>
            <w:tcBorders>
              <w:top w:val="single" w:sz="4" w:space="0" w:color="auto"/>
              <w:left w:val="single" w:sz="4" w:space="0" w:color="auto"/>
            </w:tcBorders>
          </w:tcPr>
          <w:p w14:paraId="33547C84" w14:textId="77777777" w:rsidR="009E4A29" w:rsidRPr="00F13073" w:rsidRDefault="009E4A29" w:rsidP="008B4C50">
            <w:pPr>
              <w:keepNext/>
              <w:suppressAutoHyphens/>
              <w:rPr>
                <w:sz w:val="20"/>
                <w:szCs w:val="20"/>
              </w:rPr>
            </w:pPr>
          </w:p>
        </w:tc>
        <w:tc>
          <w:tcPr>
            <w:tcW w:w="1093" w:type="dxa"/>
            <w:tcBorders>
              <w:top w:val="single" w:sz="4" w:space="0" w:color="auto"/>
              <w:left w:val="single" w:sz="4" w:space="0" w:color="auto"/>
            </w:tcBorders>
          </w:tcPr>
          <w:p w14:paraId="4B39A4C3" w14:textId="77777777" w:rsidR="009E4A29" w:rsidRPr="00F13073" w:rsidRDefault="009E4A29" w:rsidP="00D023C2">
            <w:pPr>
              <w:keepNext/>
              <w:suppressAutoHyphens/>
              <w:jc w:val="center"/>
              <w:rPr>
                <w:b/>
                <w:bCs/>
                <w:sz w:val="20"/>
                <w:szCs w:val="20"/>
              </w:rPr>
            </w:pPr>
            <w:r w:rsidRPr="00F13073">
              <w:rPr>
                <w:rStyle w:val="Other"/>
                <w:rFonts w:eastAsia="DengXian"/>
                <w:b/>
                <w:bCs/>
                <w:sz w:val="18"/>
                <w:szCs w:val="18"/>
              </w:rPr>
              <w:t>Placebo + 26-tygodniowa terapia malejącymi dawkami prednizonu n=50</w:t>
            </w:r>
          </w:p>
        </w:tc>
        <w:tc>
          <w:tcPr>
            <w:tcW w:w="1033" w:type="dxa"/>
            <w:tcBorders>
              <w:top w:val="single" w:sz="4" w:space="0" w:color="auto"/>
              <w:left w:val="single" w:sz="4" w:space="0" w:color="auto"/>
            </w:tcBorders>
          </w:tcPr>
          <w:p w14:paraId="7D72B600" w14:textId="77777777" w:rsidR="009E4A29" w:rsidRPr="00F13073" w:rsidRDefault="009E4A29" w:rsidP="00D023C2">
            <w:pPr>
              <w:keepNext/>
              <w:suppressAutoHyphens/>
              <w:jc w:val="center"/>
              <w:rPr>
                <w:b/>
                <w:bCs/>
                <w:sz w:val="20"/>
                <w:szCs w:val="20"/>
              </w:rPr>
            </w:pPr>
            <w:r w:rsidRPr="00F13073">
              <w:rPr>
                <w:rStyle w:val="Other"/>
                <w:rFonts w:eastAsia="DengXian"/>
                <w:b/>
                <w:bCs/>
                <w:sz w:val="18"/>
                <w:szCs w:val="18"/>
              </w:rPr>
              <w:t>Placebo + 52-tygodniowa terapia malejącymi dawkami prednizonu n=51</w:t>
            </w:r>
          </w:p>
        </w:tc>
        <w:tc>
          <w:tcPr>
            <w:tcW w:w="1248" w:type="dxa"/>
            <w:tcBorders>
              <w:top w:val="single" w:sz="4" w:space="0" w:color="auto"/>
              <w:left w:val="single" w:sz="4" w:space="0" w:color="auto"/>
            </w:tcBorders>
          </w:tcPr>
          <w:p w14:paraId="34BD0866" w14:textId="353C31A1" w:rsidR="009E4A29" w:rsidRPr="00F13073" w:rsidRDefault="001F01D3" w:rsidP="00D023C2">
            <w:pPr>
              <w:keepNext/>
              <w:suppressAutoHyphens/>
              <w:jc w:val="center"/>
              <w:rPr>
                <w:b/>
                <w:bCs/>
                <w:sz w:val="20"/>
                <w:szCs w:val="20"/>
              </w:rPr>
            </w:pPr>
            <w:r w:rsidRPr="00F13073">
              <w:rPr>
                <w:rStyle w:val="Other"/>
                <w:rFonts w:eastAsia="DengXian"/>
                <w:b/>
                <w:bCs/>
                <w:sz w:val="18"/>
                <w:szCs w:val="18"/>
              </w:rPr>
              <w:t>Tocilizumab</w:t>
            </w:r>
            <w:r w:rsidR="009E4A29" w:rsidRPr="00F13073">
              <w:rPr>
                <w:rStyle w:val="Other"/>
                <w:rFonts w:eastAsia="DengXian"/>
                <w:b/>
                <w:bCs/>
                <w:sz w:val="18"/>
                <w:szCs w:val="18"/>
              </w:rPr>
              <w:t xml:space="preserve"> 162 mg SC raz w tygodniu + 26-tygodniowa terapia malejącymi dawkami prednizonu n=100</w:t>
            </w:r>
          </w:p>
        </w:tc>
        <w:tc>
          <w:tcPr>
            <w:tcW w:w="1292" w:type="dxa"/>
            <w:tcBorders>
              <w:top w:val="single" w:sz="4" w:space="0" w:color="auto"/>
              <w:left w:val="single" w:sz="4" w:space="0" w:color="auto"/>
              <w:right w:val="single" w:sz="4" w:space="0" w:color="auto"/>
            </w:tcBorders>
          </w:tcPr>
          <w:p w14:paraId="52F80832" w14:textId="6148C035" w:rsidR="009E4A29" w:rsidRPr="00F13073" w:rsidRDefault="001F01D3" w:rsidP="00D023C2">
            <w:pPr>
              <w:keepNext/>
              <w:suppressAutoHyphens/>
              <w:jc w:val="center"/>
              <w:rPr>
                <w:b/>
                <w:bCs/>
                <w:sz w:val="20"/>
                <w:szCs w:val="20"/>
              </w:rPr>
            </w:pPr>
            <w:r w:rsidRPr="00F13073">
              <w:rPr>
                <w:rStyle w:val="Other"/>
                <w:rFonts w:eastAsia="DengXian"/>
                <w:b/>
                <w:bCs/>
                <w:sz w:val="18"/>
                <w:szCs w:val="18"/>
              </w:rPr>
              <w:t>Tocilizumab</w:t>
            </w:r>
            <w:r w:rsidR="009E4A29" w:rsidRPr="00F13073">
              <w:rPr>
                <w:rStyle w:val="Other"/>
                <w:rFonts w:eastAsia="DengXian"/>
                <w:b/>
                <w:bCs/>
                <w:sz w:val="18"/>
                <w:szCs w:val="18"/>
              </w:rPr>
              <w:t xml:space="preserve"> 162 mg SC co dwa tygodnie + 26-tygodniowa terapia malejącymi dawkami prednizonu n=49</w:t>
            </w:r>
          </w:p>
        </w:tc>
      </w:tr>
      <w:tr w:rsidR="001E0975" w:rsidRPr="00F13073" w14:paraId="7D8C12C5" w14:textId="77777777" w:rsidTr="00E02C34">
        <w:trPr>
          <w:cantSplit/>
          <w:tblHeader/>
        </w:trPr>
        <w:tc>
          <w:tcPr>
            <w:tcW w:w="9056" w:type="dxa"/>
            <w:gridSpan w:val="5"/>
            <w:tcBorders>
              <w:top w:val="single" w:sz="4" w:space="0" w:color="auto"/>
              <w:left w:val="single" w:sz="4" w:space="0" w:color="auto"/>
              <w:right w:val="single" w:sz="4" w:space="0" w:color="auto"/>
            </w:tcBorders>
          </w:tcPr>
          <w:p w14:paraId="3294479D" w14:textId="77777777" w:rsidR="001E0975" w:rsidRPr="00F13073" w:rsidRDefault="00AC0A0F" w:rsidP="008B4C50">
            <w:pPr>
              <w:keepNext/>
              <w:suppressAutoHyphens/>
              <w:rPr>
                <w:b/>
                <w:bCs/>
                <w:sz w:val="20"/>
                <w:szCs w:val="20"/>
              </w:rPr>
            </w:pPr>
            <w:r w:rsidRPr="00F13073">
              <w:rPr>
                <w:b/>
                <w:bCs/>
                <w:sz w:val="20"/>
                <w:szCs w:val="20"/>
              </w:rPr>
              <w:t>Pierwszorzędowy punkt końcowy</w:t>
            </w:r>
          </w:p>
        </w:tc>
      </w:tr>
      <w:tr w:rsidR="001E0975" w:rsidRPr="00F13073" w14:paraId="3342CE74" w14:textId="77777777" w:rsidTr="00E02C34">
        <w:trPr>
          <w:cantSplit/>
          <w:tblHeader/>
        </w:trPr>
        <w:tc>
          <w:tcPr>
            <w:tcW w:w="9056" w:type="dxa"/>
            <w:gridSpan w:val="5"/>
            <w:tcBorders>
              <w:top w:val="single" w:sz="4" w:space="0" w:color="auto"/>
              <w:left w:val="single" w:sz="4" w:space="0" w:color="auto"/>
              <w:right w:val="single" w:sz="4" w:space="0" w:color="auto"/>
            </w:tcBorders>
          </w:tcPr>
          <w:p w14:paraId="01B90D60" w14:textId="77777777" w:rsidR="001E0975" w:rsidRPr="00F13073" w:rsidRDefault="00AC0A0F" w:rsidP="008B4C50">
            <w:pPr>
              <w:keepNext/>
              <w:suppressAutoHyphens/>
              <w:rPr>
                <w:sz w:val="20"/>
                <w:szCs w:val="20"/>
              </w:rPr>
            </w:pPr>
            <w:r w:rsidRPr="00F13073">
              <w:rPr>
                <w:sz w:val="20"/>
                <w:szCs w:val="20"/>
              </w:rPr>
              <w:t xml:space="preserve">Trwała remisja (grupy przyjmujące tocilizumab w por. z placebo+26) </w:t>
            </w:r>
          </w:p>
        </w:tc>
      </w:tr>
      <w:tr w:rsidR="003D7C7E" w:rsidRPr="00F13073" w14:paraId="157DAC77" w14:textId="77777777" w:rsidTr="00E02C34">
        <w:trPr>
          <w:cantSplit/>
          <w:tblHeader/>
        </w:trPr>
        <w:tc>
          <w:tcPr>
            <w:tcW w:w="4390" w:type="dxa"/>
            <w:tcBorders>
              <w:top w:val="single" w:sz="4" w:space="0" w:color="auto"/>
              <w:left w:val="single" w:sz="4" w:space="0" w:color="auto"/>
            </w:tcBorders>
          </w:tcPr>
          <w:p w14:paraId="24F702EC" w14:textId="77777777" w:rsidR="001E0975" w:rsidRPr="00F13073" w:rsidRDefault="00AC0A0F" w:rsidP="008B4C50">
            <w:pPr>
              <w:suppressAutoHyphens/>
              <w:ind w:left="283"/>
              <w:rPr>
                <w:sz w:val="20"/>
                <w:szCs w:val="20"/>
              </w:rPr>
            </w:pPr>
            <w:r w:rsidRPr="00F13073">
              <w:rPr>
                <w:sz w:val="20"/>
                <w:szCs w:val="20"/>
              </w:rPr>
              <w:t>Pacjenci z odpowiedzią w tygodniu 52., n (%)</w:t>
            </w:r>
          </w:p>
        </w:tc>
        <w:tc>
          <w:tcPr>
            <w:tcW w:w="1093" w:type="dxa"/>
            <w:tcBorders>
              <w:top w:val="single" w:sz="4" w:space="0" w:color="auto"/>
              <w:left w:val="single" w:sz="4" w:space="0" w:color="auto"/>
            </w:tcBorders>
          </w:tcPr>
          <w:p w14:paraId="3337ECDB" w14:textId="77777777" w:rsidR="001E0975" w:rsidRPr="00F13073" w:rsidRDefault="00611033" w:rsidP="00D023C2">
            <w:pPr>
              <w:suppressAutoHyphens/>
              <w:jc w:val="center"/>
              <w:rPr>
                <w:sz w:val="20"/>
                <w:szCs w:val="20"/>
              </w:rPr>
            </w:pPr>
            <w:r w:rsidRPr="00F13073">
              <w:rPr>
                <w:sz w:val="20"/>
                <w:szCs w:val="20"/>
              </w:rPr>
              <w:t>7 (14%)</w:t>
            </w:r>
          </w:p>
        </w:tc>
        <w:tc>
          <w:tcPr>
            <w:tcW w:w="1033" w:type="dxa"/>
            <w:tcBorders>
              <w:top w:val="single" w:sz="4" w:space="0" w:color="auto"/>
              <w:left w:val="single" w:sz="4" w:space="0" w:color="auto"/>
            </w:tcBorders>
          </w:tcPr>
          <w:p w14:paraId="03864E3A" w14:textId="77777777" w:rsidR="001E0975" w:rsidRPr="00F13073" w:rsidRDefault="00611033" w:rsidP="00D023C2">
            <w:pPr>
              <w:suppressAutoHyphens/>
              <w:jc w:val="center"/>
              <w:rPr>
                <w:sz w:val="20"/>
                <w:szCs w:val="20"/>
              </w:rPr>
            </w:pPr>
            <w:r w:rsidRPr="00F13073">
              <w:rPr>
                <w:sz w:val="20"/>
                <w:szCs w:val="20"/>
              </w:rPr>
              <w:t>9 (17</w:t>
            </w:r>
            <w:r w:rsidR="00AC0A0F" w:rsidRPr="00F13073">
              <w:rPr>
                <w:sz w:val="20"/>
                <w:szCs w:val="20"/>
              </w:rPr>
              <w:t>,</w:t>
            </w:r>
            <w:r w:rsidRPr="00F13073">
              <w:rPr>
                <w:sz w:val="20"/>
                <w:szCs w:val="20"/>
              </w:rPr>
              <w:t>6%)</w:t>
            </w:r>
          </w:p>
        </w:tc>
        <w:tc>
          <w:tcPr>
            <w:tcW w:w="1248" w:type="dxa"/>
            <w:tcBorders>
              <w:top w:val="single" w:sz="4" w:space="0" w:color="auto"/>
              <w:left w:val="single" w:sz="4" w:space="0" w:color="auto"/>
            </w:tcBorders>
          </w:tcPr>
          <w:p w14:paraId="5273B12E" w14:textId="77777777" w:rsidR="001E0975" w:rsidRPr="00F13073" w:rsidRDefault="00611033" w:rsidP="00D023C2">
            <w:pPr>
              <w:suppressAutoHyphens/>
              <w:jc w:val="center"/>
              <w:rPr>
                <w:sz w:val="20"/>
                <w:szCs w:val="20"/>
              </w:rPr>
            </w:pPr>
            <w:r w:rsidRPr="00F13073">
              <w:rPr>
                <w:sz w:val="20"/>
                <w:szCs w:val="20"/>
              </w:rPr>
              <w:t>56 (56%)</w:t>
            </w:r>
          </w:p>
        </w:tc>
        <w:tc>
          <w:tcPr>
            <w:tcW w:w="1292" w:type="dxa"/>
            <w:tcBorders>
              <w:top w:val="single" w:sz="4" w:space="0" w:color="auto"/>
              <w:left w:val="single" w:sz="4" w:space="0" w:color="auto"/>
              <w:right w:val="single" w:sz="4" w:space="0" w:color="auto"/>
            </w:tcBorders>
          </w:tcPr>
          <w:p w14:paraId="3B610EB3" w14:textId="77777777" w:rsidR="001E0975" w:rsidRPr="00F13073" w:rsidRDefault="00611033" w:rsidP="00D023C2">
            <w:pPr>
              <w:suppressAutoHyphens/>
              <w:jc w:val="center"/>
              <w:rPr>
                <w:sz w:val="20"/>
                <w:szCs w:val="20"/>
              </w:rPr>
            </w:pPr>
            <w:r w:rsidRPr="00F13073">
              <w:rPr>
                <w:sz w:val="20"/>
                <w:szCs w:val="20"/>
              </w:rPr>
              <w:t>26 (53</w:t>
            </w:r>
            <w:r w:rsidR="00AC0A0F" w:rsidRPr="00F13073">
              <w:rPr>
                <w:sz w:val="20"/>
                <w:szCs w:val="20"/>
              </w:rPr>
              <w:t>,</w:t>
            </w:r>
            <w:r w:rsidRPr="00F13073">
              <w:rPr>
                <w:sz w:val="20"/>
                <w:szCs w:val="20"/>
              </w:rPr>
              <w:t>1%)</w:t>
            </w:r>
          </w:p>
        </w:tc>
      </w:tr>
      <w:tr w:rsidR="003D7C7E" w:rsidRPr="00F13073" w14:paraId="416103D0" w14:textId="77777777" w:rsidTr="00E02C34">
        <w:trPr>
          <w:cantSplit/>
          <w:tblHeader/>
        </w:trPr>
        <w:tc>
          <w:tcPr>
            <w:tcW w:w="4390" w:type="dxa"/>
            <w:tcBorders>
              <w:top w:val="single" w:sz="4" w:space="0" w:color="auto"/>
              <w:left w:val="single" w:sz="4" w:space="0" w:color="auto"/>
            </w:tcBorders>
          </w:tcPr>
          <w:p w14:paraId="114E16FE" w14:textId="77777777" w:rsidR="001E0975" w:rsidRPr="00F13073" w:rsidRDefault="00AC0A0F" w:rsidP="008B4C50">
            <w:pPr>
              <w:suppressAutoHyphens/>
              <w:ind w:left="283"/>
              <w:rPr>
                <w:sz w:val="20"/>
                <w:szCs w:val="20"/>
              </w:rPr>
            </w:pPr>
            <w:r w:rsidRPr="00F13073">
              <w:rPr>
                <w:sz w:val="20"/>
                <w:szCs w:val="20"/>
              </w:rPr>
              <w:t>Nieskorygowana różnica w odsetkach</w:t>
            </w:r>
            <w:r w:rsidR="00611033" w:rsidRPr="00F13073">
              <w:rPr>
                <w:sz w:val="20"/>
                <w:szCs w:val="20"/>
              </w:rPr>
              <w:t xml:space="preserve"> </w:t>
            </w:r>
            <w:r w:rsidR="00791B6F" w:rsidRPr="00F13073">
              <w:rPr>
                <w:sz w:val="20"/>
                <w:szCs w:val="20"/>
              </w:rPr>
              <w:br/>
            </w:r>
            <w:r w:rsidR="00611033" w:rsidRPr="00F13073">
              <w:rPr>
                <w:sz w:val="20"/>
                <w:szCs w:val="20"/>
              </w:rPr>
              <w:t>(99</w:t>
            </w:r>
            <w:r w:rsidRPr="00F13073">
              <w:rPr>
                <w:sz w:val="20"/>
                <w:szCs w:val="20"/>
              </w:rPr>
              <w:t>,</w:t>
            </w:r>
            <w:r w:rsidR="00611033" w:rsidRPr="00F13073">
              <w:rPr>
                <w:sz w:val="20"/>
                <w:szCs w:val="20"/>
              </w:rPr>
              <w:t>5% CI)</w:t>
            </w:r>
          </w:p>
        </w:tc>
        <w:tc>
          <w:tcPr>
            <w:tcW w:w="1093" w:type="dxa"/>
            <w:tcBorders>
              <w:top w:val="single" w:sz="4" w:space="0" w:color="auto"/>
              <w:left w:val="single" w:sz="4" w:space="0" w:color="auto"/>
            </w:tcBorders>
          </w:tcPr>
          <w:p w14:paraId="7BD4C5DE" w14:textId="77777777" w:rsidR="001E0975" w:rsidRPr="00F13073" w:rsidRDefault="00611033" w:rsidP="00D023C2">
            <w:pPr>
              <w:suppressAutoHyphens/>
              <w:jc w:val="center"/>
              <w:rPr>
                <w:sz w:val="20"/>
                <w:szCs w:val="20"/>
              </w:rPr>
            </w:pPr>
            <w:r w:rsidRPr="00F13073">
              <w:rPr>
                <w:sz w:val="20"/>
                <w:szCs w:val="20"/>
              </w:rPr>
              <w:t>N/A</w:t>
            </w:r>
          </w:p>
        </w:tc>
        <w:tc>
          <w:tcPr>
            <w:tcW w:w="1033" w:type="dxa"/>
            <w:tcBorders>
              <w:top w:val="single" w:sz="4" w:space="0" w:color="auto"/>
              <w:left w:val="single" w:sz="4" w:space="0" w:color="auto"/>
            </w:tcBorders>
          </w:tcPr>
          <w:p w14:paraId="2CB7CD4F" w14:textId="77777777" w:rsidR="001E0975" w:rsidRPr="00F13073" w:rsidRDefault="00611033" w:rsidP="00D023C2">
            <w:pPr>
              <w:suppressAutoHyphens/>
              <w:jc w:val="center"/>
              <w:rPr>
                <w:sz w:val="20"/>
                <w:szCs w:val="20"/>
              </w:rPr>
            </w:pPr>
            <w:r w:rsidRPr="00F13073">
              <w:rPr>
                <w:sz w:val="20"/>
                <w:szCs w:val="20"/>
              </w:rPr>
              <w:t>N/A</w:t>
            </w:r>
          </w:p>
        </w:tc>
        <w:tc>
          <w:tcPr>
            <w:tcW w:w="1248" w:type="dxa"/>
            <w:tcBorders>
              <w:top w:val="single" w:sz="4" w:space="0" w:color="auto"/>
              <w:left w:val="single" w:sz="4" w:space="0" w:color="auto"/>
            </w:tcBorders>
          </w:tcPr>
          <w:p w14:paraId="224C2CB0" w14:textId="77777777" w:rsidR="005D521A" w:rsidRPr="00F13073" w:rsidRDefault="00611033" w:rsidP="00D023C2">
            <w:pPr>
              <w:suppressAutoHyphens/>
              <w:jc w:val="center"/>
              <w:rPr>
                <w:sz w:val="20"/>
                <w:szCs w:val="20"/>
              </w:rPr>
            </w:pPr>
            <w:r w:rsidRPr="00F13073">
              <w:rPr>
                <w:sz w:val="20"/>
                <w:szCs w:val="20"/>
              </w:rPr>
              <w:t>42%*</w:t>
            </w:r>
          </w:p>
          <w:p w14:paraId="5F5B1F5F" w14:textId="77777777" w:rsidR="001E0975" w:rsidRPr="00F13073" w:rsidRDefault="00611033" w:rsidP="00D023C2">
            <w:pPr>
              <w:suppressAutoHyphens/>
              <w:jc w:val="center"/>
              <w:rPr>
                <w:sz w:val="20"/>
                <w:szCs w:val="20"/>
              </w:rPr>
            </w:pPr>
            <w:r w:rsidRPr="00F13073">
              <w:rPr>
                <w:sz w:val="20"/>
                <w:szCs w:val="20"/>
              </w:rPr>
              <w:t>(18</w:t>
            </w:r>
            <w:r w:rsidR="00AC0A0F" w:rsidRPr="00F13073">
              <w:rPr>
                <w:sz w:val="20"/>
                <w:szCs w:val="20"/>
              </w:rPr>
              <w:t>,</w:t>
            </w:r>
            <w:r w:rsidRPr="00F13073">
              <w:rPr>
                <w:sz w:val="20"/>
                <w:szCs w:val="20"/>
              </w:rPr>
              <w:t>00</w:t>
            </w:r>
            <w:r w:rsidR="00AC0A0F" w:rsidRPr="00F13073">
              <w:rPr>
                <w:sz w:val="20"/>
                <w:szCs w:val="20"/>
              </w:rPr>
              <w:t>;</w:t>
            </w:r>
            <w:r w:rsidRPr="00F13073">
              <w:rPr>
                <w:sz w:val="20"/>
                <w:szCs w:val="20"/>
              </w:rPr>
              <w:t xml:space="preserve"> 66</w:t>
            </w:r>
            <w:r w:rsidR="00AC0A0F" w:rsidRPr="00F13073">
              <w:rPr>
                <w:sz w:val="20"/>
                <w:szCs w:val="20"/>
              </w:rPr>
              <w:t>,</w:t>
            </w:r>
            <w:r w:rsidRPr="00F13073">
              <w:rPr>
                <w:sz w:val="20"/>
                <w:szCs w:val="20"/>
              </w:rPr>
              <w:t>00)</w:t>
            </w:r>
          </w:p>
        </w:tc>
        <w:tc>
          <w:tcPr>
            <w:tcW w:w="1292" w:type="dxa"/>
            <w:tcBorders>
              <w:top w:val="single" w:sz="4" w:space="0" w:color="auto"/>
              <w:left w:val="single" w:sz="4" w:space="0" w:color="auto"/>
              <w:right w:val="single" w:sz="4" w:space="0" w:color="auto"/>
            </w:tcBorders>
          </w:tcPr>
          <w:p w14:paraId="45CF6BA2" w14:textId="77777777" w:rsidR="001E0975" w:rsidRPr="00F13073" w:rsidRDefault="00611033" w:rsidP="00D023C2">
            <w:pPr>
              <w:suppressAutoHyphens/>
              <w:jc w:val="center"/>
              <w:rPr>
                <w:sz w:val="20"/>
                <w:szCs w:val="20"/>
              </w:rPr>
            </w:pPr>
            <w:r w:rsidRPr="00F13073">
              <w:rPr>
                <w:sz w:val="20"/>
                <w:szCs w:val="20"/>
              </w:rPr>
              <w:t>39</w:t>
            </w:r>
            <w:r w:rsidR="00AC0A0F" w:rsidRPr="00F13073">
              <w:rPr>
                <w:sz w:val="20"/>
                <w:szCs w:val="20"/>
              </w:rPr>
              <w:t>,</w:t>
            </w:r>
            <w:r w:rsidRPr="00F13073">
              <w:rPr>
                <w:sz w:val="20"/>
                <w:szCs w:val="20"/>
              </w:rPr>
              <w:t xml:space="preserve">06%* </w:t>
            </w:r>
            <w:r w:rsidR="005D521A" w:rsidRPr="00F13073">
              <w:rPr>
                <w:sz w:val="20"/>
                <w:szCs w:val="20"/>
              </w:rPr>
              <w:br/>
            </w:r>
            <w:r w:rsidRPr="00F13073">
              <w:rPr>
                <w:sz w:val="20"/>
                <w:szCs w:val="20"/>
              </w:rPr>
              <w:t>(12</w:t>
            </w:r>
            <w:r w:rsidR="00AC0A0F" w:rsidRPr="00F13073">
              <w:rPr>
                <w:sz w:val="20"/>
                <w:szCs w:val="20"/>
              </w:rPr>
              <w:t>,</w:t>
            </w:r>
            <w:r w:rsidRPr="00F13073">
              <w:rPr>
                <w:sz w:val="20"/>
                <w:szCs w:val="20"/>
              </w:rPr>
              <w:t>46</w:t>
            </w:r>
            <w:r w:rsidR="00AC0A0F" w:rsidRPr="00F13073">
              <w:rPr>
                <w:sz w:val="20"/>
                <w:szCs w:val="20"/>
              </w:rPr>
              <w:t>;</w:t>
            </w:r>
            <w:r w:rsidRPr="00F13073">
              <w:rPr>
                <w:sz w:val="20"/>
                <w:szCs w:val="20"/>
              </w:rPr>
              <w:t xml:space="preserve"> 65</w:t>
            </w:r>
            <w:r w:rsidR="00AC0A0F" w:rsidRPr="00F13073">
              <w:rPr>
                <w:sz w:val="20"/>
                <w:szCs w:val="20"/>
              </w:rPr>
              <w:t>,</w:t>
            </w:r>
            <w:r w:rsidRPr="00F13073">
              <w:rPr>
                <w:sz w:val="20"/>
                <w:szCs w:val="20"/>
              </w:rPr>
              <w:t>66)</w:t>
            </w:r>
          </w:p>
        </w:tc>
      </w:tr>
      <w:tr w:rsidR="001E0975" w:rsidRPr="00F13073" w14:paraId="32F2BBD6" w14:textId="77777777" w:rsidTr="00E02C34">
        <w:trPr>
          <w:cantSplit/>
          <w:tblHeader/>
        </w:trPr>
        <w:tc>
          <w:tcPr>
            <w:tcW w:w="9056" w:type="dxa"/>
            <w:gridSpan w:val="5"/>
            <w:tcBorders>
              <w:top w:val="single" w:sz="4" w:space="0" w:color="auto"/>
              <w:left w:val="single" w:sz="4" w:space="0" w:color="auto"/>
              <w:right w:val="single" w:sz="4" w:space="0" w:color="auto"/>
            </w:tcBorders>
          </w:tcPr>
          <w:p w14:paraId="41DC13DC" w14:textId="77777777" w:rsidR="001E0975" w:rsidRPr="00F13073" w:rsidRDefault="00012901" w:rsidP="008B4C50">
            <w:pPr>
              <w:keepNext/>
              <w:suppressAutoHyphens/>
              <w:rPr>
                <w:b/>
                <w:bCs/>
                <w:sz w:val="20"/>
                <w:szCs w:val="20"/>
              </w:rPr>
            </w:pPr>
            <w:r w:rsidRPr="00F13073">
              <w:rPr>
                <w:b/>
                <w:bCs/>
                <w:sz w:val="20"/>
                <w:szCs w:val="20"/>
              </w:rPr>
              <w:t>Nieskorygowana różnica w odsetkach</w:t>
            </w:r>
          </w:p>
        </w:tc>
      </w:tr>
      <w:tr w:rsidR="001E0975" w:rsidRPr="00F13073" w14:paraId="5A938A7F" w14:textId="77777777" w:rsidTr="00E02C34">
        <w:trPr>
          <w:cantSplit/>
          <w:tblHeader/>
        </w:trPr>
        <w:tc>
          <w:tcPr>
            <w:tcW w:w="9056" w:type="dxa"/>
            <w:gridSpan w:val="5"/>
            <w:tcBorders>
              <w:top w:val="single" w:sz="4" w:space="0" w:color="auto"/>
              <w:left w:val="single" w:sz="4" w:space="0" w:color="auto"/>
              <w:right w:val="single" w:sz="4" w:space="0" w:color="auto"/>
            </w:tcBorders>
          </w:tcPr>
          <w:p w14:paraId="251CBD36" w14:textId="77777777" w:rsidR="001E0975" w:rsidRPr="00F13073" w:rsidRDefault="00012901" w:rsidP="008B4C50">
            <w:pPr>
              <w:keepNext/>
              <w:suppressAutoHyphens/>
              <w:rPr>
                <w:sz w:val="20"/>
                <w:szCs w:val="20"/>
              </w:rPr>
            </w:pPr>
            <w:r w:rsidRPr="00F13073">
              <w:rPr>
                <w:sz w:val="20"/>
                <w:szCs w:val="20"/>
              </w:rPr>
              <w:t>Trwała remisja (grupy przyjmujące tocilizumab w por. z placebo+52)</w:t>
            </w:r>
          </w:p>
        </w:tc>
      </w:tr>
      <w:tr w:rsidR="003D7C7E" w:rsidRPr="00F13073" w14:paraId="04470C98" w14:textId="77777777" w:rsidTr="00E02C34">
        <w:trPr>
          <w:cantSplit/>
          <w:tblHeader/>
        </w:trPr>
        <w:tc>
          <w:tcPr>
            <w:tcW w:w="4390" w:type="dxa"/>
            <w:tcBorders>
              <w:top w:val="single" w:sz="4" w:space="0" w:color="auto"/>
              <w:left w:val="single" w:sz="4" w:space="0" w:color="auto"/>
            </w:tcBorders>
          </w:tcPr>
          <w:p w14:paraId="693507B8" w14:textId="77777777" w:rsidR="001E0975" w:rsidRPr="00F13073" w:rsidRDefault="00012901" w:rsidP="008B4C50">
            <w:pPr>
              <w:suppressAutoHyphens/>
              <w:ind w:left="283"/>
              <w:rPr>
                <w:sz w:val="20"/>
                <w:szCs w:val="20"/>
              </w:rPr>
            </w:pPr>
            <w:r w:rsidRPr="00F13073">
              <w:rPr>
                <w:sz w:val="20"/>
                <w:szCs w:val="20"/>
              </w:rPr>
              <w:t xml:space="preserve">Pacjenci z odpowiedzią w tygodniu </w:t>
            </w:r>
            <w:r w:rsidR="00611033" w:rsidRPr="00F13073">
              <w:rPr>
                <w:sz w:val="20"/>
                <w:szCs w:val="20"/>
              </w:rPr>
              <w:t>52, n (%)</w:t>
            </w:r>
          </w:p>
        </w:tc>
        <w:tc>
          <w:tcPr>
            <w:tcW w:w="1093" w:type="dxa"/>
            <w:tcBorders>
              <w:top w:val="single" w:sz="4" w:space="0" w:color="auto"/>
              <w:left w:val="single" w:sz="4" w:space="0" w:color="auto"/>
            </w:tcBorders>
          </w:tcPr>
          <w:p w14:paraId="32761907" w14:textId="77777777" w:rsidR="001E0975" w:rsidRPr="00F13073" w:rsidRDefault="00611033" w:rsidP="00D023C2">
            <w:pPr>
              <w:suppressAutoHyphens/>
              <w:jc w:val="center"/>
              <w:rPr>
                <w:sz w:val="20"/>
                <w:szCs w:val="20"/>
              </w:rPr>
            </w:pPr>
            <w:r w:rsidRPr="00F13073">
              <w:rPr>
                <w:sz w:val="20"/>
                <w:szCs w:val="20"/>
              </w:rPr>
              <w:t>7 (14%)</w:t>
            </w:r>
          </w:p>
        </w:tc>
        <w:tc>
          <w:tcPr>
            <w:tcW w:w="1033" w:type="dxa"/>
            <w:tcBorders>
              <w:top w:val="single" w:sz="4" w:space="0" w:color="auto"/>
              <w:left w:val="single" w:sz="4" w:space="0" w:color="auto"/>
            </w:tcBorders>
          </w:tcPr>
          <w:p w14:paraId="77AAECB1" w14:textId="77777777" w:rsidR="001E0975" w:rsidRPr="00F13073" w:rsidRDefault="00611033" w:rsidP="00D023C2">
            <w:pPr>
              <w:suppressAutoHyphens/>
              <w:jc w:val="center"/>
              <w:rPr>
                <w:sz w:val="20"/>
                <w:szCs w:val="20"/>
              </w:rPr>
            </w:pPr>
            <w:r w:rsidRPr="00F13073">
              <w:rPr>
                <w:sz w:val="20"/>
                <w:szCs w:val="20"/>
              </w:rPr>
              <w:t>9 (17</w:t>
            </w:r>
            <w:r w:rsidR="00012901" w:rsidRPr="00F13073">
              <w:rPr>
                <w:sz w:val="20"/>
                <w:szCs w:val="20"/>
              </w:rPr>
              <w:t>,</w:t>
            </w:r>
            <w:r w:rsidRPr="00F13073">
              <w:rPr>
                <w:sz w:val="20"/>
                <w:szCs w:val="20"/>
              </w:rPr>
              <w:t>6%)</w:t>
            </w:r>
          </w:p>
        </w:tc>
        <w:tc>
          <w:tcPr>
            <w:tcW w:w="1248" w:type="dxa"/>
            <w:tcBorders>
              <w:top w:val="single" w:sz="4" w:space="0" w:color="auto"/>
              <w:left w:val="single" w:sz="4" w:space="0" w:color="auto"/>
            </w:tcBorders>
          </w:tcPr>
          <w:p w14:paraId="7347499E" w14:textId="77777777" w:rsidR="001E0975" w:rsidRPr="00F13073" w:rsidRDefault="00611033" w:rsidP="00D023C2">
            <w:pPr>
              <w:suppressAutoHyphens/>
              <w:jc w:val="center"/>
              <w:rPr>
                <w:sz w:val="20"/>
                <w:szCs w:val="20"/>
              </w:rPr>
            </w:pPr>
            <w:r w:rsidRPr="00F13073">
              <w:rPr>
                <w:sz w:val="20"/>
                <w:szCs w:val="20"/>
              </w:rPr>
              <w:t>56 (56%)</w:t>
            </w:r>
          </w:p>
        </w:tc>
        <w:tc>
          <w:tcPr>
            <w:tcW w:w="1292" w:type="dxa"/>
            <w:tcBorders>
              <w:top w:val="single" w:sz="4" w:space="0" w:color="auto"/>
              <w:left w:val="single" w:sz="4" w:space="0" w:color="auto"/>
              <w:right w:val="single" w:sz="4" w:space="0" w:color="auto"/>
            </w:tcBorders>
          </w:tcPr>
          <w:p w14:paraId="10E03467" w14:textId="77777777" w:rsidR="001E0975" w:rsidRPr="00F13073" w:rsidRDefault="00611033" w:rsidP="00D023C2">
            <w:pPr>
              <w:suppressAutoHyphens/>
              <w:jc w:val="center"/>
              <w:rPr>
                <w:sz w:val="20"/>
                <w:szCs w:val="20"/>
              </w:rPr>
            </w:pPr>
            <w:r w:rsidRPr="00F13073">
              <w:rPr>
                <w:sz w:val="20"/>
                <w:szCs w:val="20"/>
              </w:rPr>
              <w:t>26 (53</w:t>
            </w:r>
            <w:r w:rsidR="00012901" w:rsidRPr="00F13073">
              <w:rPr>
                <w:sz w:val="20"/>
                <w:szCs w:val="20"/>
              </w:rPr>
              <w:t>,</w:t>
            </w:r>
            <w:r w:rsidRPr="00F13073">
              <w:rPr>
                <w:sz w:val="20"/>
                <w:szCs w:val="20"/>
              </w:rPr>
              <w:t>1%)</w:t>
            </w:r>
          </w:p>
        </w:tc>
      </w:tr>
      <w:tr w:rsidR="003D7C7E" w:rsidRPr="00F13073" w14:paraId="07117F18" w14:textId="77777777" w:rsidTr="00E02C34">
        <w:trPr>
          <w:cantSplit/>
          <w:tblHeader/>
        </w:trPr>
        <w:tc>
          <w:tcPr>
            <w:tcW w:w="4390" w:type="dxa"/>
            <w:tcBorders>
              <w:top w:val="single" w:sz="4" w:space="0" w:color="auto"/>
              <w:left w:val="single" w:sz="4" w:space="0" w:color="auto"/>
            </w:tcBorders>
          </w:tcPr>
          <w:p w14:paraId="34BAC709" w14:textId="77777777" w:rsidR="001E0975" w:rsidRPr="00F13073" w:rsidRDefault="00012901" w:rsidP="008B4C50">
            <w:pPr>
              <w:suppressAutoHyphens/>
              <w:ind w:left="283"/>
              <w:rPr>
                <w:sz w:val="20"/>
                <w:szCs w:val="20"/>
              </w:rPr>
            </w:pPr>
            <w:r w:rsidRPr="00F13073">
              <w:rPr>
                <w:sz w:val="20"/>
                <w:szCs w:val="20"/>
              </w:rPr>
              <w:t xml:space="preserve">Nieskorygowana różnica w odsetkach </w:t>
            </w:r>
            <w:r w:rsidR="00791B6F" w:rsidRPr="00F13073">
              <w:rPr>
                <w:sz w:val="20"/>
                <w:szCs w:val="20"/>
              </w:rPr>
              <w:br/>
            </w:r>
            <w:r w:rsidR="00611033" w:rsidRPr="00F13073">
              <w:rPr>
                <w:sz w:val="20"/>
                <w:szCs w:val="20"/>
              </w:rPr>
              <w:t>(99</w:t>
            </w:r>
            <w:r w:rsidRPr="00F13073">
              <w:rPr>
                <w:sz w:val="20"/>
                <w:szCs w:val="20"/>
              </w:rPr>
              <w:t>,</w:t>
            </w:r>
            <w:r w:rsidR="00611033" w:rsidRPr="00F13073">
              <w:rPr>
                <w:sz w:val="20"/>
                <w:szCs w:val="20"/>
              </w:rPr>
              <w:t>5% CI)</w:t>
            </w:r>
          </w:p>
        </w:tc>
        <w:tc>
          <w:tcPr>
            <w:tcW w:w="1093" w:type="dxa"/>
            <w:tcBorders>
              <w:top w:val="single" w:sz="4" w:space="0" w:color="auto"/>
              <w:left w:val="single" w:sz="4" w:space="0" w:color="auto"/>
            </w:tcBorders>
          </w:tcPr>
          <w:p w14:paraId="7C72775D" w14:textId="77777777" w:rsidR="001E0975" w:rsidRPr="00F13073" w:rsidRDefault="00611033" w:rsidP="00D023C2">
            <w:pPr>
              <w:suppressAutoHyphens/>
              <w:jc w:val="center"/>
              <w:rPr>
                <w:sz w:val="20"/>
                <w:szCs w:val="20"/>
              </w:rPr>
            </w:pPr>
            <w:r w:rsidRPr="00F13073">
              <w:rPr>
                <w:sz w:val="20"/>
                <w:szCs w:val="20"/>
              </w:rPr>
              <w:t>N/A</w:t>
            </w:r>
          </w:p>
        </w:tc>
        <w:tc>
          <w:tcPr>
            <w:tcW w:w="1033" w:type="dxa"/>
            <w:tcBorders>
              <w:top w:val="single" w:sz="4" w:space="0" w:color="auto"/>
              <w:left w:val="single" w:sz="4" w:space="0" w:color="auto"/>
            </w:tcBorders>
          </w:tcPr>
          <w:p w14:paraId="4E5A157C" w14:textId="77777777" w:rsidR="001E0975" w:rsidRPr="00F13073" w:rsidRDefault="00611033" w:rsidP="00D023C2">
            <w:pPr>
              <w:suppressAutoHyphens/>
              <w:jc w:val="center"/>
              <w:rPr>
                <w:sz w:val="20"/>
                <w:szCs w:val="20"/>
              </w:rPr>
            </w:pPr>
            <w:r w:rsidRPr="00F13073">
              <w:rPr>
                <w:sz w:val="20"/>
                <w:szCs w:val="20"/>
              </w:rPr>
              <w:t>N/A</w:t>
            </w:r>
          </w:p>
        </w:tc>
        <w:tc>
          <w:tcPr>
            <w:tcW w:w="1248" w:type="dxa"/>
            <w:tcBorders>
              <w:top w:val="single" w:sz="4" w:space="0" w:color="auto"/>
              <w:left w:val="single" w:sz="4" w:space="0" w:color="auto"/>
            </w:tcBorders>
          </w:tcPr>
          <w:p w14:paraId="70F702B2" w14:textId="77777777" w:rsidR="005D521A" w:rsidRPr="00F13073" w:rsidRDefault="00611033" w:rsidP="00D023C2">
            <w:pPr>
              <w:suppressAutoHyphens/>
              <w:jc w:val="center"/>
              <w:rPr>
                <w:sz w:val="20"/>
                <w:szCs w:val="20"/>
              </w:rPr>
            </w:pPr>
            <w:r w:rsidRPr="00F13073">
              <w:rPr>
                <w:sz w:val="20"/>
                <w:szCs w:val="20"/>
              </w:rPr>
              <w:t>38</w:t>
            </w:r>
            <w:r w:rsidR="00012901" w:rsidRPr="00F13073">
              <w:rPr>
                <w:sz w:val="20"/>
                <w:szCs w:val="20"/>
              </w:rPr>
              <w:t>,</w:t>
            </w:r>
            <w:r w:rsidRPr="00F13073">
              <w:rPr>
                <w:sz w:val="20"/>
                <w:szCs w:val="20"/>
              </w:rPr>
              <w:t>35%*</w:t>
            </w:r>
          </w:p>
          <w:p w14:paraId="4F2F5FE6" w14:textId="77777777" w:rsidR="001E0975" w:rsidRPr="00F13073" w:rsidRDefault="00611033" w:rsidP="00D023C2">
            <w:pPr>
              <w:suppressAutoHyphens/>
              <w:jc w:val="center"/>
              <w:rPr>
                <w:sz w:val="20"/>
                <w:szCs w:val="20"/>
              </w:rPr>
            </w:pPr>
            <w:r w:rsidRPr="00F13073">
              <w:rPr>
                <w:sz w:val="20"/>
                <w:szCs w:val="20"/>
              </w:rPr>
              <w:t>(17</w:t>
            </w:r>
            <w:r w:rsidR="00012901" w:rsidRPr="00F13073">
              <w:rPr>
                <w:sz w:val="20"/>
                <w:szCs w:val="20"/>
              </w:rPr>
              <w:t>,</w:t>
            </w:r>
            <w:r w:rsidRPr="00F13073">
              <w:rPr>
                <w:sz w:val="20"/>
                <w:szCs w:val="20"/>
              </w:rPr>
              <w:t>89</w:t>
            </w:r>
            <w:r w:rsidR="00012901" w:rsidRPr="00F13073">
              <w:rPr>
                <w:sz w:val="20"/>
                <w:szCs w:val="20"/>
              </w:rPr>
              <w:t>;</w:t>
            </w:r>
            <w:r w:rsidRPr="00F13073">
              <w:rPr>
                <w:sz w:val="20"/>
                <w:szCs w:val="20"/>
              </w:rPr>
              <w:t xml:space="preserve"> 58</w:t>
            </w:r>
            <w:r w:rsidR="00012901" w:rsidRPr="00F13073">
              <w:rPr>
                <w:sz w:val="20"/>
                <w:szCs w:val="20"/>
              </w:rPr>
              <w:t>,</w:t>
            </w:r>
            <w:r w:rsidRPr="00F13073">
              <w:rPr>
                <w:sz w:val="20"/>
                <w:szCs w:val="20"/>
              </w:rPr>
              <w:t>81)</w:t>
            </w:r>
          </w:p>
        </w:tc>
        <w:tc>
          <w:tcPr>
            <w:tcW w:w="1292" w:type="dxa"/>
            <w:tcBorders>
              <w:top w:val="single" w:sz="4" w:space="0" w:color="auto"/>
              <w:left w:val="single" w:sz="4" w:space="0" w:color="auto"/>
              <w:right w:val="single" w:sz="4" w:space="0" w:color="auto"/>
            </w:tcBorders>
          </w:tcPr>
          <w:p w14:paraId="677ED07F" w14:textId="77777777" w:rsidR="001E0975" w:rsidRPr="00F13073" w:rsidRDefault="00611033" w:rsidP="00D023C2">
            <w:pPr>
              <w:suppressAutoHyphens/>
              <w:jc w:val="center"/>
              <w:rPr>
                <w:sz w:val="20"/>
                <w:szCs w:val="20"/>
              </w:rPr>
            </w:pPr>
            <w:r w:rsidRPr="00F13073">
              <w:rPr>
                <w:sz w:val="20"/>
                <w:szCs w:val="20"/>
              </w:rPr>
              <w:t>35</w:t>
            </w:r>
            <w:r w:rsidR="00012901" w:rsidRPr="00F13073">
              <w:rPr>
                <w:sz w:val="20"/>
                <w:szCs w:val="20"/>
              </w:rPr>
              <w:t>,</w:t>
            </w:r>
            <w:r w:rsidRPr="00F13073">
              <w:rPr>
                <w:sz w:val="20"/>
                <w:szCs w:val="20"/>
              </w:rPr>
              <w:t xml:space="preserve">41%** </w:t>
            </w:r>
            <w:r w:rsidR="005D521A" w:rsidRPr="00F13073">
              <w:rPr>
                <w:sz w:val="20"/>
                <w:szCs w:val="20"/>
              </w:rPr>
              <w:br/>
            </w:r>
            <w:r w:rsidRPr="00F13073">
              <w:rPr>
                <w:sz w:val="20"/>
                <w:szCs w:val="20"/>
              </w:rPr>
              <w:t>(10</w:t>
            </w:r>
            <w:r w:rsidR="00012901" w:rsidRPr="00F13073">
              <w:rPr>
                <w:sz w:val="20"/>
                <w:szCs w:val="20"/>
              </w:rPr>
              <w:t>,</w:t>
            </w:r>
            <w:r w:rsidRPr="00F13073">
              <w:rPr>
                <w:sz w:val="20"/>
                <w:szCs w:val="20"/>
              </w:rPr>
              <w:t>41</w:t>
            </w:r>
            <w:r w:rsidR="00012901" w:rsidRPr="00F13073">
              <w:rPr>
                <w:sz w:val="20"/>
                <w:szCs w:val="20"/>
              </w:rPr>
              <w:t xml:space="preserve">; </w:t>
            </w:r>
            <w:r w:rsidRPr="00F13073">
              <w:rPr>
                <w:sz w:val="20"/>
                <w:szCs w:val="20"/>
              </w:rPr>
              <w:t>60</w:t>
            </w:r>
            <w:r w:rsidR="00012901" w:rsidRPr="00F13073">
              <w:rPr>
                <w:sz w:val="20"/>
                <w:szCs w:val="20"/>
              </w:rPr>
              <w:t>,</w:t>
            </w:r>
            <w:r w:rsidRPr="00F13073">
              <w:rPr>
                <w:sz w:val="20"/>
                <w:szCs w:val="20"/>
              </w:rPr>
              <w:t>41)</w:t>
            </w:r>
          </w:p>
        </w:tc>
      </w:tr>
      <w:tr w:rsidR="001E0975" w:rsidRPr="00F13073" w14:paraId="1154FF08" w14:textId="77777777" w:rsidTr="00E02C34">
        <w:trPr>
          <w:cantSplit/>
          <w:tblHeader/>
        </w:trPr>
        <w:tc>
          <w:tcPr>
            <w:tcW w:w="9056" w:type="dxa"/>
            <w:gridSpan w:val="5"/>
            <w:tcBorders>
              <w:top w:val="single" w:sz="4" w:space="0" w:color="auto"/>
              <w:left w:val="single" w:sz="4" w:space="0" w:color="auto"/>
              <w:right w:val="single" w:sz="4" w:space="0" w:color="auto"/>
            </w:tcBorders>
          </w:tcPr>
          <w:p w14:paraId="45455EDC" w14:textId="77777777" w:rsidR="001E0975" w:rsidRPr="00F13073" w:rsidRDefault="000C499C" w:rsidP="008B4C50">
            <w:pPr>
              <w:keepNext/>
              <w:suppressAutoHyphens/>
              <w:rPr>
                <w:b/>
                <w:bCs/>
                <w:sz w:val="20"/>
                <w:szCs w:val="20"/>
              </w:rPr>
            </w:pPr>
            <w:r w:rsidRPr="00F13073">
              <w:rPr>
                <w:b/>
                <w:bCs/>
                <w:sz w:val="20"/>
                <w:szCs w:val="20"/>
              </w:rPr>
              <w:t>Inne drugorzędowe punkty końcowe</w:t>
            </w:r>
          </w:p>
        </w:tc>
      </w:tr>
      <w:tr w:rsidR="003D7C7E" w:rsidRPr="00F13073" w14:paraId="50B75904" w14:textId="77777777" w:rsidTr="00E02C34">
        <w:trPr>
          <w:cantSplit/>
          <w:tblHeader/>
        </w:trPr>
        <w:tc>
          <w:tcPr>
            <w:tcW w:w="4390" w:type="dxa"/>
            <w:tcBorders>
              <w:top w:val="single" w:sz="4" w:space="0" w:color="auto"/>
              <w:left w:val="single" w:sz="4" w:space="0" w:color="auto"/>
            </w:tcBorders>
          </w:tcPr>
          <w:p w14:paraId="04C898F9" w14:textId="77777777" w:rsidR="001E0975"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grupy tocilizumabu</w:t>
            </w:r>
            <w:r w:rsidR="00611033" w:rsidRPr="00F13073">
              <w:rPr>
                <w:sz w:val="20"/>
                <w:szCs w:val="20"/>
              </w:rPr>
              <w:t xml:space="preserve"> </w:t>
            </w:r>
            <w:r w:rsidRPr="00F13073">
              <w:rPr>
                <w:sz w:val="20"/>
                <w:szCs w:val="20"/>
              </w:rPr>
              <w:t>w por. z placebo</w:t>
            </w:r>
            <w:r w:rsidR="00611033" w:rsidRPr="00F13073">
              <w:rPr>
                <w:sz w:val="20"/>
                <w:szCs w:val="20"/>
              </w:rPr>
              <w:t>+26)</w:t>
            </w:r>
          </w:p>
          <w:p w14:paraId="1EA12B60" w14:textId="77777777" w:rsidR="001E0975" w:rsidRPr="00F13073" w:rsidRDefault="00611033" w:rsidP="00215F9A">
            <w:pPr>
              <w:suppressAutoHyphens/>
              <w:jc w:val="center"/>
              <w:rPr>
                <w:sz w:val="20"/>
                <w:szCs w:val="20"/>
              </w:rPr>
            </w:pPr>
            <w:r w:rsidRPr="00F13073">
              <w:rPr>
                <w:sz w:val="20"/>
                <w:szCs w:val="20"/>
              </w:rPr>
              <w:t>HR (99% CI)</w:t>
            </w:r>
          </w:p>
          <w:p w14:paraId="2809CE14" w14:textId="77777777" w:rsidR="001E0975"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grupy tocilizumabu w por. z placebo</w:t>
            </w:r>
            <w:r w:rsidR="00611033" w:rsidRPr="00F13073">
              <w:rPr>
                <w:sz w:val="20"/>
                <w:szCs w:val="20"/>
              </w:rPr>
              <w:t>+52)</w:t>
            </w:r>
          </w:p>
          <w:p w14:paraId="1B33A4B1" w14:textId="77777777" w:rsidR="001E0975" w:rsidRPr="00F13073" w:rsidRDefault="00611033" w:rsidP="00215F9A">
            <w:pPr>
              <w:suppressAutoHyphens/>
              <w:jc w:val="center"/>
              <w:rPr>
                <w:sz w:val="20"/>
                <w:szCs w:val="20"/>
              </w:rPr>
            </w:pPr>
            <w:r w:rsidRPr="00F13073">
              <w:rPr>
                <w:sz w:val="20"/>
                <w:szCs w:val="20"/>
              </w:rPr>
              <w:t>HR (99% CI)</w:t>
            </w:r>
          </w:p>
          <w:p w14:paraId="2741E275" w14:textId="77777777" w:rsidR="003D7C7E"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pacjenci z nawrotem;</w:t>
            </w:r>
            <w:r w:rsidR="00611033" w:rsidRPr="00F13073">
              <w:rPr>
                <w:sz w:val="20"/>
                <w:szCs w:val="20"/>
              </w:rPr>
              <w:t xml:space="preserve"> </w:t>
            </w:r>
            <w:r w:rsidRPr="00F13073">
              <w:rPr>
                <w:sz w:val="20"/>
                <w:szCs w:val="20"/>
              </w:rPr>
              <w:t>grupy przyjmujące tocilizumab w por. z placebo</w:t>
            </w:r>
            <w:r w:rsidR="00611033" w:rsidRPr="00F13073">
              <w:rPr>
                <w:sz w:val="20"/>
                <w:szCs w:val="20"/>
              </w:rPr>
              <w:t xml:space="preserve">+26) HR (99% CI) </w:t>
            </w:r>
          </w:p>
          <w:p w14:paraId="25997946" w14:textId="77777777" w:rsidR="003D7C7E"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pacjenci z</w:t>
            </w:r>
            <w:r w:rsidR="00611033" w:rsidRPr="00F13073">
              <w:rPr>
                <w:sz w:val="20"/>
                <w:szCs w:val="20"/>
              </w:rPr>
              <w:t xml:space="preserve"> </w:t>
            </w:r>
            <w:r w:rsidRPr="00F13073">
              <w:rPr>
                <w:sz w:val="20"/>
                <w:szCs w:val="20"/>
              </w:rPr>
              <w:t xml:space="preserve">pierwszym wystąpieniem GCA; grupy przyjmujące tocilizumab w por. z placebo </w:t>
            </w:r>
            <w:r w:rsidR="00611033" w:rsidRPr="00F13073">
              <w:rPr>
                <w:sz w:val="20"/>
                <w:szCs w:val="20"/>
              </w:rPr>
              <w:t xml:space="preserve">+ 52) HR (99% CI) </w:t>
            </w:r>
          </w:p>
          <w:p w14:paraId="0BCE32F2" w14:textId="77777777" w:rsidR="003D7C7E"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pacjenci z pierwszym wystąpieniem GCA; grupy przyjmujące tocilizumab w por. z placebo</w:t>
            </w:r>
            <w:r w:rsidR="00611033" w:rsidRPr="00F13073">
              <w:rPr>
                <w:sz w:val="20"/>
                <w:szCs w:val="20"/>
              </w:rPr>
              <w:t xml:space="preserve"> +26) HR (99% CI) </w:t>
            </w:r>
          </w:p>
          <w:p w14:paraId="00853074" w14:textId="77777777" w:rsidR="001E0975" w:rsidRPr="00F13073" w:rsidRDefault="000C499C" w:rsidP="008B4C50">
            <w:pPr>
              <w:suppressAutoHyphens/>
              <w:rPr>
                <w:sz w:val="20"/>
                <w:szCs w:val="20"/>
              </w:rPr>
            </w:pPr>
            <w:r w:rsidRPr="00F13073">
              <w:rPr>
                <w:sz w:val="20"/>
                <w:szCs w:val="20"/>
              </w:rPr>
              <w:t xml:space="preserve">Czas do pierwszego zaostrzenia </w:t>
            </w:r>
            <w:r w:rsidR="00611033" w:rsidRPr="00F13073">
              <w:rPr>
                <w:sz w:val="20"/>
                <w:szCs w:val="20"/>
              </w:rPr>
              <w:t>GCA</w:t>
            </w:r>
            <w:r w:rsidR="003D7C7E" w:rsidRPr="00F13073">
              <w:rPr>
                <w:sz w:val="20"/>
                <w:szCs w:val="20"/>
                <w:vertAlign w:val="superscript"/>
              </w:rPr>
              <w:t>1</w:t>
            </w:r>
            <w:r w:rsidR="00611033" w:rsidRPr="00F13073">
              <w:rPr>
                <w:sz w:val="20"/>
                <w:szCs w:val="20"/>
              </w:rPr>
              <w:t xml:space="preserve"> (</w:t>
            </w:r>
            <w:r w:rsidRPr="00F13073">
              <w:rPr>
                <w:sz w:val="20"/>
                <w:szCs w:val="20"/>
              </w:rPr>
              <w:t>pacjenci z pierwszym wystąpieniem GCA; grupy przyjmujące tocilizumab w por. z placebo</w:t>
            </w:r>
            <w:r w:rsidR="00611033" w:rsidRPr="00F13073">
              <w:rPr>
                <w:sz w:val="20"/>
                <w:szCs w:val="20"/>
              </w:rPr>
              <w:t xml:space="preserve"> +</w:t>
            </w:r>
            <w:r w:rsidR="003D7C7E" w:rsidRPr="00F13073">
              <w:rPr>
                <w:sz w:val="20"/>
                <w:szCs w:val="20"/>
              </w:rPr>
              <w:t> </w:t>
            </w:r>
            <w:r w:rsidR="00611033" w:rsidRPr="00F13073">
              <w:rPr>
                <w:sz w:val="20"/>
                <w:szCs w:val="20"/>
              </w:rPr>
              <w:t>52) HR (99% CI)</w:t>
            </w:r>
          </w:p>
        </w:tc>
        <w:tc>
          <w:tcPr>
            <w:tcW w:w="1093" w:type="dxa"/>
            <w:tcBorders>
              <w:top w:val="single" w:sz="4" w:space="0" w:color="auto"/>
              <w:left w:val="single" w:sz="4" w:space="0" w:color="auto"/>
            </w:tcBorders>
          </w:tcPr>
          <w:p w14:paraId="10A09102" w14:textId="77777777" w:rsidR="001E0975" w:rsidRPr="00127FBE" w:rsidRDefault="00611033" w:rsidP="00D023C2">
            <w:pPr>
              <w:suppressAutoHyphens/>
              <w:jc w:val="center"/>
              <w:rPr>
                <w:sz w:val="20"/>
                <w:szCs w:val="20"/>
                <w:lang w:val="en-GB"/>
              </w:rPr>
            </w:pPr>
            <w:r w:rsidRPr="00127FBE">
              <w:rPr>
                <w:sz w:val="20"/>
                <w:szCs w:val="20"/>
                <w:lang w:val="en-GB"/>
              </w:rPr>
              <w:t>N/A</w:t>
            </w:r>
          </w:p>
          <w:p w14:paraId="7AE7BC69" w14:textId="77777777" w:rsidR="003D7C7E" w:rsidRPr="00127FBE" w:rsidRDefault="003D7C7E" w:rsidP="00D023C2">
            <w:pPr>
              <w:suppressAutoHyphens/>
              <w:jc w:val="center"/>
              <w:rPr>
                <w:sz w:val="20"/>
                <w:szCs w:val="20"/>
                <w:lang w:val="en-GB"/>
              </w:rPr>
            </w:pPr>
          </w:p>
          <w:p w14:paraId="273406D0" w14:textId="77777777" w:rsidR="003D7C7E" w:rsidRPr="00127FBE" w:rsidRDefault="003D7C7E" w:rsidP="00D023C2">
            <w:pPr>
              <w:suppressAutoHyphens/>
              <w:jc w:val="center"/>
              <w:rPr>
                <w:sz w:val="20"/>
                <w:szCs w:val="20"/>
                <w:lang w:val="en-GB"/>
              </w:rPr>
            </w:pPr>
          </w:p>
          <w:p w14:paraId="11F622C5" w14:textId="77777777" w:rsidR="001E0975" w:rsidRPr="00127FBE" w:rsidRDefault="00611033" w:rsidP="00D023C2">
            <w:pPr>
              <w:suppressAutoHyphens/>
              <w:jc w:val="center"/>
              <w:rPr>
                <w:sz w:val="20"/>
                <w:szCs w:val="20"/>
                <w:lang w:val="en-GB"/>
              </w:rPr>
            </w:pPr>
            <w:r w:rsidRPr="00127FBE">
              <w:rPr>
                <w:sz w:val="20"/>
                <w:szCs w:val="20"/>
                <w:lang w:val="en-GB"/>
              </w:rPr>
              <w:t>N/A</w:t>
            </w:r>
          </w:p>
          <w:p w14:paraId="2AA0A4CD" w14:textId="77777777" w:rsidR="003D7C7E" w:rsidRPr="00127FBE" w:rsidRDefault="003D7C7E" w:rsidP="00D023C2">
            <w:pPr>
              <w:suppressAutoHyphens/>
              <w:jc w:val="center"/>
              <w:rPr>
                <w:sz w:val="20"/>
                <w:szCs w:val="20"/>
                <w:lang w:val="en-GB"/>
              </w:rPr>
            </w:pPr>
          </w:p>
          <w:p w14:paraId="6FDF2004" w14:textId="77777777" w:rsidR="003D7C7E" w:rsidRPr="00127FBE" w:rsidRDefault="003D7C7E" w:rsidP="00D023C2">
            <w:pPr>
              <w:suppressAutoHyphens/>
              <w:jc w:val="center"/>
              <w:rPr>
                <w:sz w:val="20"/>
                <w:szCs w:val="20"/>
                <w:lang w:val="en-GB"/>
              </w:rPr>
            </w:pPr>
          </w:p>
          <w:p w14:paraId="5DDC2799" w14:textId="77777777" w:rsidR="001E0975" w:rsidRPr="00127FBE" w:rsidRDefault="00611033" w:rsidP="00D023C2">
            <w:pPr>
              <w:suppressAutoHyphens/>
              <w:jc w:val="center"/>
              <w:rPr>
                <w:sz w:val="20"/>
                <w:szCs w:val="20"/>
                <w:lang w:val="en-GB"/>
              </w:rPr>
            </w:pPr>
            <w:r w:rsidRPr="00127FBE">
              <w:rPr>
                <w:sz w:val="20"/>
                <w:szCs w:val="20"/>
                <w:lang w:val="en-GB"/>
              </w:rPr>
              <w:t>N/A</w:t>
            </w:r>
          </w:p>
          <w:p w14:paraId="61E7F305" w14:textId="77777777" w:rsidR="003D7C7E" w:rsidRPr="00127FBE" w:rsidRDefault="003D7C7E" w:rsidP="00D023C2">
            <w:pPr>
              <w:suppressAutoHyphens/>
              <w:jc w:val="center"/>
              <w:rPr>
                <w:sz w:val="20"/>
                <w:szCs w:val="20"/>
                <w:lang w:val="en-GB"/>
              </w:rPr>
            </w:pPr>
          </w:p>
          <w:p w14:paraId="1A62E9E0" w14:textId="77777777" w:rsidR="005C7C07" w:rsidRPr="00127FBE" w:rsidRDefault="005C7C07" w:rsidP="00D023C2">
            <w:pPr>
              <w:suppressAutoHyphens/>
              <w:jc w:val="center"/>
              <w:rPr>
                <w:sz w:val="20"/>
                <w:szCs w:val="20"/>
                <w:lang w:val="en-GB"/>
              </w:rPr>
            </w:pPr>
          </w:p>
          <w:p w14:paraId="5FB2EECB" w14:textId="77777777" w:rsidR="001E0975" w:rsidRPr="00127FBE" w:rsidRDefault="00611033" w:rsidP="00D023C2">
            <w:pPr>
              <w:suppressAutoHyphens/>
              <w:jc w:val="center"/>
              <w:rPr>
                <w:sz w:val="20"/>
                <w:szCs w:val="20"/>
                <w:lang w:val="en-GB"/>
              </w:rPr>
            </w:pPr>
            <w:r w:rsidRPr="00127FBE">
              <w:rPr>
                <w:sz w:val="20"/>
                <w:szCs w:val="20"/>
                <w:lang w:val="en-GB"/>
              </w:rPr>
              <w:t>N/A</w:t>
            </w:r>
          </w:p>
          <w:p w14:paraId="6E7FD954" w14:textId="77777777" w:rsidR="003D7C7E" w:rsidRPr="00127FBE" w:rsidRDefault="003D7C7E" w:rsidP="00D023C2">
            <w:pPr>
              <w:suppressAutoHyphens/>
              <w:jc w:val="center"/>
              <w:rPr>
                <w:sz w:val="20"/>
                <w:szCs w:val="20"/>
                <w:lang w:val="en-GB"/>
              </w:rPr>
            </w:pPr>
          </w:p>
          <w:p w14:paraId="39C167D3" w14:textId="77777777" w:rsidR="005C7C07" w:rsidRPr="00127FBE" w:rsidRDefault="005C7C07" w:rsidP="00D023C2">
            <w:pPr>
              <w:suppressAutoHyphens/>
              <w:jc w:val="center"/>
              <w:rPr>
                <w:sz w:val="20"/>
                <w:szCs w:val="20"/>
                <w:lang w:val="en-GB"/>
              </w:rPr>
            </w:pPr>
          </w:p>
          <w:p w14:paraId="4BB8CA51" w14:textId="77777777" w:rsidR="001E0975" w:rsidRPr="00127FBE" w:rsidRDefault="00611033" w:rsidP="00D023C2">
            <w:pPr>
              <w:suppressAutoHyphens/>
              <w:jc w:val="center"/>
              <w:rPr>
                <w:sz w:val="20"/>
                <w:szCs w:val="20"/>
                <w:lang w:val="en-GB"/>
              </w:rPr>
            </w:pPr>
            <w:r w:rsidRPr="00127FBE">
              <w:rPr>
                <w:sz w:val="20"/>
                <w:szCs w:val="20"/>
                <w:lang w:val="en-GB"/>
              </w:rPr>
              <w:t>N/A</w:t>
            </w:r>
          </w:p>
          <w:p w14:paraId="0B3655E7" w14:textId="77777777" w:rsidR="003D7C7E" w:rsidRPr="00127FBE" w:rsidRDefault="003D7C7E" w:rsidP="00D023C2">
            <w:pPr>
              <w:suppressAutoHyphens/>
              <w:jc w:val="center"/>
              <w:rPr>
                <w:sz w:val="20"/>
                <w:szCs w:val="20"/>
                <w:lang w:val="en-GB"/>
              </w:rPr>
            </w:pPr>
          </w:p>
          <w:p w14:paraId="3E8A358B" w14:textId="77777777" w:rsidR="00CB5188" w:rsidRPr="00127FBE" w:rsidRDefault="00CB5188" w:rsidP="00D023C2">
            <w:pPr>
              <w:suppressAutoHyphens/>
              <w:jc w:val="center"/>
              <w:rPr>
                <w:sz w:val="20"/>
                <w:szCs w:val="20"/>
                <w:lang w:val="en-GB"/>
              </w:rPr>
            </w:pPr>
          </w:p>
          <w:p w14:paraId="5734D8EE" w14:textId="77777777" w:rsidR="001E0975" w:rsidRPr="00127FBE" w:rsidRDefault="00611033" w:rsidP="00D023C2">
            <w:pPr>
              <w:suppressAutoHyphens/>
              <w:jc w:val="center"/>
              <w:rPr>
                <w:sz w:val="20"/>
                <w:szCs w:val="20"/>
                <w:lang w:val="en-GB"/>
              </w:rPr>
            </w:pPr>
            <w:r w:rsidRPr="00127FBE">
              <w:rPr>
                <w:sz w:val="20"/>
                <w:szCs w:val="20"/>
                <w:lang w:val="en-GB"/>
              </w:rPr>
              <w:t>N/A</w:t>
            </w:r>
          </w:p>
        </w:tc>
        <w:tc>
          <w:tcPr>
            <w:tcW w:w="1033" w:type="dxa"/>
            <w:tcBorders>
              <w:top w:val="single" w:sz="4" w:space="0" w:color="auto"/>
              <w:left w:val="single" w:sz="4" w:space="0" w:color="auto"/>
            </w:tcBorders>
          </w:tcPr>
          <w:p w14:paraId="21730E96" w14:textId="77777777" w:rsidR="001E0975" w:rsidRPr="00127FBE" w:rsidRDefault="00611033" w:rsidP="00D023C2">
            <w:pPr>
              <w:suppressAutoHyphens/>
              <w:jc w:val="center"/>
              <w:rPr>
                <w:sz w:val="20"/>
                <w:szCs w:val="20"/>
                <w:lang w:val="en-GB"/>
              </w:rPr>
            </w:pPr>
            <w:r w:rsidRPr="00127FBE">
              <w:rPr>
                <w:sz w:val="20"/>
                <w:szCs w:val="20"/>
                <w:lang w:val="en-GB"/>
              </w:rPr>
              <w:t>N/A</w:t>
            </w:r>
          </w:p>
          <w:p w14:paraId="56034817" w14:textId="77777777" w:rsidR="003D7C7E" w:rsidRPr="00127FBE" w:rsidRDefault="003D7C7E" w:rsidP="00D023C2">
            <w:pPr>
              <w:suppressAutoHyphens/>
              <w:jc w:val="center"/>
              <w:rPr>
                <w:sz w:val="20"/>
                <w:szCs w:val="20"/>
                <w:lang w:val="en-GB"/>
              </w:rPr>
            </w:pPr>
          </w:p>
          <w:p w14:paraId="56F16BA7" w14:textId="77777777" w:rsidR="003D7C7E" w:rsidRPr="00127FBE" w:rsidRDefault="003D7C7E" w:rsidP="00D023C2">
            <w:pPr>
              <w:suppressAutoHyphens/>
              <w:jc w:val="center"/>
              <w:rPr>
                <w:sz w:val="20"/>
                <w:szCs w:val="20"/>
                <w:lang w:val="en-GB"/>
              </w:rPr>
            </w:pPr>
          </w:p>
          <w:p w14:paraId="06BBC295" w14:textId="77777777" w:rsidR="001E0975" w:rsidRPr="00127FBE" w:rsidRDefault="00611033" w:rsidP="00D023C2">
            <w:pPr>
              <w:suppressAutoHyphens/>
              <w:jc w:val="center"/>
              <w:rPr>
                <w:sz w:val="20"/>
                <w:szCs w:val="20"/>
                <w:lang w:val="en-GB"/>
              </w:rPr>
            </w:pPr>
            <w:r w:rsidRPr="00127FBE">
              <w:rPr>
                <w:sz w:val="20"/>
                <w:szCs w:val="20"/>
                <w:lang w:val="en-GB"/>
              </w:rPr>
              <w:t>N/A</w:t>
            </w:r>
          </w:p>
          <w:p w14:paraId="6C248A98" w14:textId="77777777" w:rsidR="003D7C7E" w:rsidRPr="00127FBE" w:rsidRDefault="003D7C7E" w:rsidP="00D023C2">
            <w:pPr>
              <w:suppressAutoHyphens/>
              <w:jc w:val="center"/>
              <w:rPr>
                <w:sz w:val="20"/>
                <w:szCs w:val="20"/>
                <w:lang w:val="en-GB"/>
              </w:rPr>
            </w:pPr>
          </w:p>
          <w:p w14:paraId="50E5D976" w14:textId="77777777" w:rsidR="003D7C7E" w:rsidRPr="00127FBE" w:rsidRDefault="003D7C7E" w:rsidP="00D023C2">
            <w:pPr>
              <w:suppressAutoHyphens/>
              <w:jc w:val="center"/>
              <w:rPr>
                <w:sz w:val="20"/>
                <w:szCs w:val="20"/>
                <w:lang w:val="en-GB"/>
              </w:rPr>
            </w:pPr>
          </w:p>
          <w:p w14:paraId="1CD4619B" w14:textId="77777777" w:rsidR="001E0975" w:rsidRPr="00127FBE" w:rsidRDefault="00611033" w:rsidP="00D023C2">
            <w:pPr>
              <w:suppressAutoHyphens/>
              <w:jc w:val="center"/>
              <w:rPr>
                <w:sz w:val="20"/>
                <w:szCs w:val="20"/>
                <w:lang w:val="en-GB"/>
              </w:rPr>
            </w:pPr>
            <w:r w:rsidRPr="00127FBE">
              <w:rPr>
                <w:sz w:val="20"/>
                <w:szCs w:val="20"/>
                <w:lang w:val="en-GB"/>
              </w:rPr>
              <w:t>N/A</w:t>
            </w:r>
          </w:p>
          <w:p w14:paraId="1AB133B4" w14:textId="77777777" w:rsidR="003D7C7E" w:rsidRPr="00127FBE" w:rsidRDefault="003D7C7E" w:rsidP="00D023C2">
            <w:pPr>
              <w:suppressAutoHyphens/>
              <w:jc w:val="center"/>
              <w:rPr>
                <w:sz w:val="20"/>
                <w:szCs w:val="20"/>
                <w:lang w:val="en-GB"/>
              </w:rPr>
            </w:pPr>
          </w:p>
          <w:p w14:paraId="1B19434E" w14:textId="77777777" w:rsidR="005C7C07" w:rsidRPr="00127FBE" w:rsidRDefault="005C7C07" w:rsidP="00D023C2">
            <w:pPr>
              <w:suppressAutoHyphens/>
              <w:jc w:val="center"/>
              <w:rPr>
                <w:sz w:val="20"/>
                <w:szCs w:val="20"/>
                <w:lang w:val="en-GB"/>
              </w:rPr>
            </w:pPr>
          </w:p>
          <w:p w14:paraId="3337C2AE" w14:textId="77777777" w:rsidR="001E0975" w:rsidRPr="00127FBE" w:rsidRDefault="00611033" w:rsidP="00D023C2">
            <w:pPr>
              <w:suppressAutoHyphens/>
              <w:jc w:val="center"/>
              <w:rPr>
                <w:sz w:val="20"/>
                <w:szCs w:val="20"/>
                <w:lang w:val="en-GB"/>
              </w:rPr>
            </w:pPr>
            <w:r w:rsidRPr="00127FBE">
              <w:rPr>
                <w:sz w:val="20"/>
                <w:szCs w:val="20"/>
                <w:lang w:val="en-GB"/>
              </w:rPr>
              <w:t>N/A</w:t>
            </w:r>
          </w:p>
          <w:p w14:paraId="7D3461A7" w14:textId="77777777" w:rsidR="003D7C7E" w:rsidRPr="00127FBE" w:rsidRDefault="003D7C7E" w:rsidP="00D023C2">
            <w:pPr>
              <w:suppressAutoHyphens/>
              <w:jc w:val="center"/>
              <w:rPr>
                <w:sz w:val="20"/>
                <w:szCs w:val="20"/>
                <w:lang w:val="en-GB"/>
              </w:rPr>
            </w:pPr>
          </w:p>
          <w:p w14:paraId="5D9338B4" w14:textId="77777777" w:rsidR="005C7C07" w:rsidRPr="00127FBE" w:rsidRDefault="005C7C07" w:rsidP="00D023C2">
            <w:pPr>
              <w:suppressAutoHyphens/>
              <w:jc w:val="center"/>
              <w:rPr>
                <w:sz w:val="20"/>
                <w:szCs w:val="20"/>
                <w:lang w:val="en-GB"/>
              </w:rPr>
            </w:pPr>
          </w:p>
          <w:p w14:paraId="73F3471A" w14:textId="77777777" w:rsidR="001E0975" w:rsidRPr="00127FBE" w:rsidRDefault="00611033" w:rsidP="00D023C2">
            <w:pPr>
              <w:suppressAutoHyphens/>
              <w:jc w:val="center"/>
              <w:rPr>
                <w:sz w:val="20"/>
                <w:szCs w:val="20"/>
                <w:lang w:val="en-GB"/>
              </w:rPr>
            </w:pPr>
            <w:r w:rsidRPr="00127FBE">
              <w:rPr>
                <w:sz w:val="20"/>
                <w:szCs w:val="20"/>
                <w:lang w:val="en-GB"/>
              </w:rPr>
              <w:t>N/A</w:t>
            </w:r>
          </w:p>
          <w:p w14:paraId="56FB97FF" w14:textId="77777777" w:rsidR="003D7C7E" w:rsidRPr="00127FBE" w:rsidRDefault="003D7C7E" w:rsidP="00D023C2">
            <w:pPr>
              <w:suppressAutoHyphens/>
              <w:jc w:val="center"/>
              <w:rPr>
                <w:sz w:val="20"/>
                <w:szCs w:val="20"/>
                <w:lang w:val="en-GB"/>
              </w:rPr>
            </w:pPr>
          </w:p>
          <w:p w14:paraId="0D02ECAE" w14:textId="77777777" w:rsidR="00CB5188" w:rsidRPr="00127FBE" w:rsidRDefault="00CB5188" w:rsidP="00D023C2">
            <w:pPr>
              <w:suppressAutoHyphens/>
              <w:jc w:val="center"/>
              <w:rPr>
                <w:sz w:val="20"/>
                <w:szCs w:val="20"/>
                <w:lang w:val="en-GB"/>
              </w:rPr>
            </w:pPr>
          </w:p>
          <w:p w14:paraId="443E76EC" w14:textId="77777777" w:rsidR="001E0975" w:rsidRPr="00127FBE" w:rsidRDefault="00611033" w:rsidP="00D023C2">
            <w:pPr>
              <w:suppressAutoHyphens/>
              <w:jc w:val="center"/>
              <w:rPr>
                <w:sz w:val="20"/>
                <w:szCs w:val="20"/>
                <w:lang w:val="en-GB"/>
              </w:rPr>
            </w:pPr>
            <w:r w:rsidRPr="00127FBE">
              <w:rPr>
                <w:sz w:val="20"/>
                <w:szCs w:val="20"/>
                <w:lang w:val="en-GB"/>
              </w:rPr>
              <w:t>N/A</w:t>
            </w:r>
          </w:p>
        </w:tc>
        <w:tc>
          <w:tcPr>
            <w:tcW w:w="1248" w:type="dxa"/>
            <w:tcBorders>
              <w:top w:val="single" w:sz="4" w:space="0" w:color="auto"/>
              <w:left w:val="single" w:sz="4" w:space="0" w:color="auto"/>
            </w:tcBorders>
          </w:tcPr>
          <w:p w14:paraId="2B651FEA"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23* </w:t>
            </w:r>
            <w:r w:rsidR="003D7C7E" w:rsidRPr="00F13073">
              <w:rPr>
                <w:sz w:val="20"/>
                <w:szCs w:val="20"/>
              </w:rPr>
              <w:br/>
            </w:r>
            <w:r w:rsidRPr="00F13073">
              <w:rPr>
                <w:sz w:val="20"/>
                <w:szCs w:val="20"/>
              </w:rPr>
              <w:t>(0</w:t>
            </w:r>
            <w:r w:rsidR="005C7C07" w:rsidRPr="00F13073">
              <w:rPr>
                <w:sz w:val="20"/>
                <w:szCs w:val="20"/>
              </w:rPr>
              <w:t>,</w:t>
            </w:r>
            <w:r w:rsidRPr="00F13073">
              <w:rPr>
                <w:sz w:val="20"/>
                <w:szCs w:val="20"/>
              </w:rPr>
              <w:t>11</w:t>
            </w:r>
            <w:r w:rsidR="005C7C07" w:rsidRPr="00F13073">
              <w:rPr>
                <w:sz w:val="20"/>
                <w:szCs w:val="20"/>
              </w:rPr>
              <w:t>;</w:t>
            </w:r>
            <w:r w:rsidRPr="00F13073">
              <w:rPr>
                <w:sz w:val="20"/>
                <w:szCs w:val="20"/>
              </w:rPr>
              <w:t xml:space="preserve"> 0</w:t>
            </w:r>
            <w:r w:rsidR="005C7C07" w:rsidRPr="00F13073">
              <w:rPr>
                <w:sz w:val="20"/>
                <w:szCs w:val="20"/>
              </w:rPr>
              <w:t>,</w:t>
            </w:r>
            <w:r w:rsidRPr="00F13073">
              <w:rPr>
                <w:sz w:val="20"/>
                <w:szCs w:val="20"/>
              </w:rPr>
              <w:t>46)</w:t>
            </w:r>
          </w:p>
          <w:p w14:paraId="6186283A" w14:textId="77777777" w:rsidR="003D7C7E" w:rsidRPr="00F13073" w:rsidRDefault="003D7C7E" w:rsidP="00D023C2">
            <w:pPr>
              <w:suppressAutoHyphens/>
              <w:jc w:val="center"/>
              <w:rPr>
                <w:sz w:val="20"/>
                <w:szCs w:val="20"/>
              </w:rPr>
            </w:pPr>
          </w:p>
          <w:p w14:paraId="72C21933"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39** </w:t>
            </w:r>
            <w:r w:rsidR="005D521A" w:rsidRPr="00F13073">
              <w:rPr>
                <w:sz w:val="20"/>
                <w:szCs w:val="20"/>
              </w:rPr>
              <w:br/>
            </w:r>
            <w:r w:rsidRPr="00F13073">
              <w:rPr>
                <w:sz w:val="20"/>
                <w:szCs w:val="20"/>
              </w:rPr>
              <w:t>(0</w:t>
            </w:r>
            <w:r w:rsidR="005C7C07" w:rsidRPr="00F13073">
              <w:rPr>
                <w:sz w:val="20"/>
                <w:szCs w:val="20"/>
              </w:rPr>
              <w:t>,</w:t>
            </w:r>
            <w:r w:rsidRPr="00F13073">
              <w:rPr>
                <w:sz w:val="20"/>
                <w:szCs w:val="20"/>
              </w:rPr>
              <w:t>18</w:t>
            </w:r>
            <w:r w:rsidR="005C7C07" w:rsidRPr="00F13073">
              <w:rPr>
                <w:sz w:val="20"/>
                <w:szCs w:val="20"/>
              </w:rPr>
              <w:t>;</w:t>
            </w:r>
            <w:r w:rsidRPr="00F13073">
              <w:rPr>
                <w:sz w:val="20"/>
                <w:szCs w:val="20"/>
              </w:rPr>
              <w:t xml:space="preserve"> 0</w:t>
            </w:r>
            <w:r w:rsidR="005C7C07" w:rsidRPr="00F13073">
              <w:rPr>
                <w:sz w:val="20"/>
                <w:szCs w:val="20"/>
              </w:rPr>
              <w:t>,</w:t>
            </w:r>
            <w:r w:rsidRPr="00F13073">
              <w:rPr>
                <w:sz w:val="20"/>
                <w:szCs w:val="20"/>
              </w:rPr>
              <w:t>82)</w:t>
            </w:r>
          </w:p>
          <w:p w14:paraId="1B4DBB75" w14:textId="77777777" w:rsidR="003D7C7E" w:rsidRPr="00F13073" w:rsidRDefault="003D7C7E" w:rsidP="00D023C2">
            <w:pPr>
              <w:suppressAutoHyphens/>
              <w:jc w:val="center"/>
              <w:rPr>
                <w:sz w:val="20"/>
                <w:szCs w:val="20"/>
              </w:rPr>
            </w:pPr>
          </w:p>
          <w:p w14:paraId="101D29C9" w14:textId="77777777" w:rsidR="005D521A"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23*** </w:t>
            </w:r>
            <w:r w:rsidR="005D521A" w:rsidRPr="00F13073">
              <w:rPr>
                <w:sz w:val="20"/>
                <w:szCs w:val="20"/>
              </w:rPr>
              <w:br/>
            </w:r>
            <w:r w:rsidRPr="00F13073">
              <w:rPr>
                <w:sz w:val="20"/>
                <w:szCs w:val="20"/>
              </w:rPr>
              <w:t>(0</w:t>
            </w:r>
            <w:r w:rsidR="005C7C07" w:rsidRPr="00F13073">
              <w:rPr>
                <w:sz w:val="20"/>
                <w:szCs w:val="20"/>
              </w:rPr>
              <w:t>,</w:t>
            </w:r>
            <w:r w:rsidRPr="00F13073">
              <w:rPr>
                <w:sz w:val="20"/>
                <w:szCs w:val="20"/>
              </w:rPr>
              <w:t>09</w:t>
            </w:r>
            <w:r w:rsidR="005C7C07" w:rsidRPr="00F13073">
              <w:rPr>
                <w:sz w:val="20"/>
                <w:szCs w:val="20"/>
              </w:rPr>
              <w:t xml:space="preserve">; </w:t>
            </w:r>
            <w:r w:rsidRPr="00F13073">
              <w:rPr>
                <w:sz w:val="20"/>
                <w:szCs w:val="20"/>
              </w:rPr>
              <w:t>0</w:t>
            </w:r>
            <w:r w:rsidR="005C7C07" w:rsidRPr="00F13073">
              <w:rPr>
                <w:sz w:val="20"/>
                <w:szCs w:val="20"/>
              </w:rPr>
              <w:t>,</w:t>
            </w:r>
            <w:r w:rsidRPr="00F13073">
              <w:rPr>
                <w:sz w:val="20"/>
                <w:szCs w:val="20"/>
              </w:rPr>
              <w:t>61)</w:t>
            </w:r>
          </w:p>
          <w:p w14:paraId="49D8B2ED" w14:textId="77777777" w:rsidR="00D023C2" w:rsidRPr="00F13073" w:rsidRDefault="00D023C2" w:rsidP="00D023C2">
            <w:pPr>
              <w:suppressAutoHyphens/>
              <w:jc w:val="center"/>
              <w:rPr>
                <w:sz w:val="20"/>
                <w:szCs w:val="20"/>
              </w:rPr>
            </w:pPr>
          </w:p>
          <w:p w14:paraId="1954FCB3"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36 </w:t>
            </w:r>
            <w:r w:rsidR="005D521A" w:rsidRPr="00F13073">
              <w:rPr>
                <w:sz w:val="20"/>
                <w:szCs w:val="20"/>
              </w:rPr>
              <w:br/>
            </w:r>
            <w:r w:rsidRPr="00F13073">
              <w:rPr>
                <w:sz w:val="20"/>
                <w:szCs w:val="20"/>
              </w:rPr>
              <w:t>(0</w:t>
            </w:r>
            <w:r w:rsidR="005C7C07" w:rsidRPr="00F13073">
              <w:rPr>
                <w:sz w:val="20"/>
                <w:szCs w:val="20"/>
              </w:rPr>
              <w:t>,</w:t>
            </w:r>
            <w:r w:rsidRPr="00F13073">
              <w:rPr>
                <w:sz w:val="20"/>
                <w:szCs w:val="20"/>
              </w:rPr>
              <w:t>13</w:t>
            </w:r>
            <w:r w:rsidR="005C7C07" w:rsidRPr="00F13073">
              <w:rPr>
                <w:sz w:val="20"/>
                <w:szCs w:val="20"/>
              </w:rPr>
              <w:t>;</w:t>
            </w:r>
            <w:r w:rsidRPr="00F13073">
              <w:rPr>
                <w:sz w:val="20"/>
                <w:szCs w:val="20"/>
              </w:rPr>
              <w:t xml:space="preserve"> 1</w:t>
            </w:r>
            <w:r w:rsidR="005C7C07" w:rsidRPr="00F13073">
              <w:rPr>
                <w:sz w:val="20"/>
                <w:szCs w:val="20"/>
              </w:rPr>
              <w:t>,</w:t>
            </w:r>
            <w:r w:rsidRPr="00F13073">
              <w:rPr>
                <w:sz w:val="20"/>
                <w:szCs w:val="20"/>
              </w:rPr>
              <w:t>00)</w:t>
            </w:r>
          </w:p>
          <w:p w14:paraId="6C6F2741" w14:textId="77777777" w:rsidR="00CB5188" w:rsidRPr="00F13073" w:rsidRDefault="00CB5188" w:rsidP="00D023C2">
            <w:pPr>
              <w:suppressAutoHyphens/>
              <w:jc w:val="center"/>
              <w:rPr>
                <w:sz w:val="20"/>
                <w:szCs w:val="20"/>
              </w:rPr>
            </w:pPr>
          </w:p>
          <w:p w14:paraId="7F41ECB5" w14:textId="77777777" w:rsidR="005D521A"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25*** </w:t>
            </w:r>
            <w:r w:rsidR="005D521A" w:rsidRPr="00F13073">
              <w:rPr>
                <w:sz w:val="20"/>
                <w:szCs w:val="20"/>
              </w:rPr>
              <w:br/>
            </w:r>
            <w:r w:rsidRPr="00F13073">
              <w:rPr>
                <w:sz w:val="20"/>
                <w:szCs w:val="20"/>
              </w:rPr>
              <w:t>(0</w:t>
            </w:r>
            <w:r w:rsidR="005C7C07" w:rsidRPr="00F13073">
              <w:rPr>
                <w:sz w:val="20"/>
                <w:szCs w:val="20"/>
              </w:rPr>
              <w:t>,</w:t>
            </w:r>
            <w:r w:rsidRPr="00F13073">
              <w:rPr>
                <w:sz w:val="20"/>
                <w:szCs w:val="20"/>
              </w:rPr>
              <w:t>09</w:t>
            </w:r>
            <w:r w:rsidR="005C7C07" w:rsidRPr="00F13073">
              <w:rPr>
                <w:sz w:val="20"/>
                <w:szCs w:val="20"/>
              </w:rPr>
              <w:t>;</w:t>
            </w:r>
            <w:r w:rsidRPr="00F13073">
              <w:rPr>
                <w:sz w:val="20"/>
                <w:szCs w:val="20"/>
              </w:rPr>
              <w:t xml:space="preserve"> 0</w:t>
            </w:r>
            <w:r w:rsidR="005C7C07" w:rsidRPr="00F13073">
              <w:rPr>
                <w:sz w:val="20"/>
                <w:szCs w:val="20"/>
              </w:rPr>
              <w:t>,</w:t>
            </w:r>
            <w:r w:rsidRPr="00F13073">
              <w:rPr>
                <w:sz w:val="20"/>
                <w:szCs w:val="20"/>
              </w:rPr>
              <w:t>70)</w:t>
            </w:r>
          </w:p>
          <w:p w14:paraId="1F22E4F3" w14:textId="77777777" w:rsidR="00CB5188" w:rsidRPr="00F13073" w:rsidRDefault="00CB5188" w:rsidP="00D023C2">
            <w:pPr>
              <w:suppressAutoHyphens/>
              <w:jc w:val="center"/>
              <w:rPr>
                <w:sz w:val="20"/>
                <w:szCs w:val="20"/>
              </w:rPr>
            </w:pPr>
          </w:p>
          <w:p w14:paraId="18B6083C"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44 </w:t>
            </w:r>
            <w:r w:rsidR="005D521A" w:rsidRPr="00F13073">
              <w:rPr>
                <w:sz w:val="20"/>
                <w:szCs w:val="20"/>
              </w:rPr>
              <w:br/>
            </w:r>
            <w:r w:rsidRPr="00F13073">
              <w:rPr>
                <w:sz w:val="20"/>
                <w:szCs w:val="20"/>
              </w:rPr>
              <w:t>(0</w:t>
            </w:r>
            <w:r w:rsidR="005C7C07" w:rsidRPr="00F13073">
              <w:rPr>
                <w:sz w:val="20"/>
                <w:szCs w:val="20"/>
              </w:rPr>
              <w:t>,</w:t>
            </w:r>
            <w:r w:rsidRPr="00F13073">
              <w:rPr>
                <w:sz w:val="20"/>
                <w:szCs w:val="20"/>
              </w:rPr>
              <w:t>14</w:t>
            </w:r>
            <w:r w:rsidR="005C7C07" w:rsidRPr="00F13073">
              <w:rPr>
                <w:sz w:val="20"/>
                <w:szCs w:val="20"/>
              </w:rPr>
              <w:t>;</w:t>
            </w:r>
            <w:r w:rsidRPr="00F13073">
              <w:rPr>
                <w:sz w:val="20"/>
                <w:szCs w:val="20"/>
              </w:rPr>
              <w:t xml:space="preserve"> 1</w:t>
            </w:r>
            <w:r w:rsidR="005C7C07" w:rsidRPr="00F13073">
              <w:rPr>
                <w:sz w:val="20"/>
                <w:szCs w:val="20"/>
              </w:rPr>
              <w:t>,</w:t>
            </w:r>
            <w:r w:rsidRPr="00F13073">
              <w:rPr>
                <w:sz w:val="20"/>
                <w:szCs w:val="20"/>
              </w:rPr>
              <w:t>32)</w:t>
            </w:r>
          </w:p>
        </w:tc>
        <w:tc>
          <w:tcPr>
            <w:tcW w:w="1292" w:type="dxa"/>
            <w:tcBorders>
              <w:top w:val="single" w:sz="4" w:space="0" w:color="auto"/>
              <w:left w:val="single" w:sz="4" w:space="0" w:color="auto"/>
              <w:right w:val="single" w:sz="4" w:space="0" w:color="auto"/>
            </w:tcBorders>
          </w:tcPr>
          <w:p w14:paraId="1A66A3FD"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28** </w:t>
            </w:r>
            <w:r w:rsidR="005D521A" w:rsidRPr="00F13073">
              <w:rPr>
                <w:sz w:val="20"/>
                <w:szCs w:val="20"/>
              </w:rPr>
              <w:br/>
            </w:r>
            <w:r w:rsidRPr="00F13073">
              <w:rPr>
                <w:sz w:val="20"/>
                <w:szCs w:val="20"/>
              </w:rPr>
              <w:t>(0</w:t>
            </w:r>
            <w:r w:rsidR="005C7C07" w:rsidRPr="00F13073">
              <w:rPr>
                <w:sz w:val="20"/>
                <w:szCs w:val="20"/>
              </w:rPr>
              <w:t>,</w:t>
            </w:r>
            <w:r w:rsidRPr="00F13073">
              <w:rPr>
                <w:sz w:val="20"/>
                <w:szCs w:val="20"/>
              </w:rPr>
              <w:t>12</w:t>
            </w:r>
            <w:r w:rsidR="005C7C07" w:rsidRPr="00F13073">
              <w:rPr>
                <w:sz w:val="20"/>
                <w:szCs w:val="20"/>
              </w:rPr>
              <w:t>;</w:t>
            </w:r>
            <w:r w:rsidRPr="00F13073">
              <w:rPr>
                <w:sz w:val="20"/>
                <w:szCs w:val="20"/>
              </w:rPr>
              <w:t xml:space="preserve"> 0</w:t>
            </w:r>
            <w:r w:rsidR="005C7C07" w:rsidRPr="00F13073">
              <w:rPr>
                <w:sz w:val="20"/>
                <w:szCs w:val="20"/>
              </w:rPr>
              <w:t>,</w:t>
            </w:r>
            <w:r w:rsidRPr="00F13073">
              <w:rPr>
                <w:sz w:val="20"/>
                <w:szCs w:val="20"/>
              </w:rPr>
              <w:t>66)</w:t>
            </w:r>
          </w:p>
          <w:p w14:paraId="6EADF19B" w14:textId="77777777" w:rsidR="003D7C7E" w:rsidRPr="00F13073" w:rsidRDefault="003D7C7E" w:rsidP="00D023C2">
            <w:pPr>
              <w:suppressAutoHyphens/>
              <w:jc w:val="center"/>
              <w:rPr>
                <w:sz w:val="20"/>
                <w:szCs w:val="20"/>
              </w:rPr>
            </w:pPr>
          </w:p>
          <w:p w14:paraId="221AB934"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48 </w:t>
            </w:r>
            <w:r w:rsidR="005D521A" w:rsidRPr="00F13073">
              <w:rPr>
                <w:sz w:val="20"/>
                <w:szCs w:val="20"/>
              </w:rPr>
              <w:br/>
            </w:r>
            <w:r w:rsidRPr="00F13073">
              <w:rPr>
                <w:sz w:val="20"/>
                <w:szCs w:val="20"/>
              </w:rPr>
              <w:t>(0</w:t>
            </w:r>
            <w:r w:rsidR="005C7C07" w:rsidRPr="00F13073">
              <w:rPr>
                <w:sz w:val="20"/>
                <w:szCs w:val="20"/>
              </w:rPr>
              <w:t>,</w:t>
            </w:r>
            <w:r w:rsidRPr="00F13073">
              <w:rPr>
                <w:sz w:val="20"/>
                <w:szCs w:val="20"/>
              </w:rPr>
              <w:t>20</w:t>
            </w:r>
            <w:r w:rsidR="005C7C07" w:rsidRPr="00F13073">
              <w:rPr>
                <w:sz w:val="20"/>
                <w:szCs w:val="20"/>
              </w:rPr>
              <w:t>;</w:t>
            </w:r>
            <w:r w:rsidRPr="00F13073">
              <w:rPr>
                <w:sz w:val="20"/>
                <w:szCs w:val="20"/>
              </w:rPr>
              <w:t xml:space="preserve"> 1</w:t>
            </w:r>
            <w:r w:rsidR="005C7C07" w:rsidRPr="00F13073">
              <w:rPr>
                <w:sz w:val="20"/>
                <w:szCs w:val="20"/>
              </w:rPr>
              <w:t>,</w:t>
            </w:r>
            <w:r w:rsidRPr="00F13073">
              <w:rPr>
                <w:sz w:val="20"/>
                <w:szCs w:val="20"/>
              </w:rPr>
              <w:t>16)</w:t>
            </w:r>
          </w:p>
          <w:p w14:paraId="763FB6F6" w14:textId="77777777" w:rsidR="003D7C7E" w:rsidRPr="00F13073" w:rsidRDefault="003D7C7E" w:rsidP="00D023C2">
            <w:pPr>
              <w:suppressAutoHyphens/>
              <w:jc w:val="center"/>
              <w:rPr>
                <w:sz w:val="20"/>
                <w:szCs w:val="20"/>
              </w:rPr>
            </w:pPr>
          </w:p>
          <w:p w14:paraId="055AE89E" w14:textId="77777777" w:rsidR="005D521A"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42 </w:t>
            </w:r>
            <w:r w:rsidR="005D521A" w:rsidRPr="00F13073">
              <w:rPr>
                <w:sz w:val="20"/>
                <w:szCs w:val="20"/>
              </w:rPr>
              <w:br/>
            </w:r>
            <w:r w:rsidRPr="00F13073">
              <w:rPr>
                <w:sz w:val="20"/>
                <w:szCs w:val="20"/>
              </w:rPr>
              <w:t>(0</w:t>
            </w:r>
            <w:r w:rsidR="005C7C07" w:rsidRPr="00F13073">
              <w:rPr>
                <w:sz w:val="20"/>
                <w:szCs w:val="20"/>
              </w:rPr>
              <w:t>,</w:t>
            </w:r>
            <w:r w:rsidRPr="00F13073">
              <w:rPr>
                <w:sz w:val="20"/>
                <w:szCs w:val="20"/>
              </w:rPr>
              <w:t>14</w:t>
            </w:r>
            <w:r w:rsidR="005C7C07" w:rsidRPr="00F13073">
              <w:rPr>
                <w:sz w:val="20"/>
                <w:szCs w:val="20"/>
              </w:rPr>
              <w:t>;</w:t>
            </w:r>
            <w:r w:rsidRPr="00F13073">
              <w:rPr>
                <w:sz w:val="20"/>
                <w:szCs w:val="20"/>
              </w:rPr>
              <w:t xml:space="preserve"> 1</w:t>
            </w:r>
            <w:r w:rsidR="005C7C07" w:rsidRPr="00F13073">
              <w:rPr>
                <w:sz w:val="20"/>
                <w:szCs w:val="20"/>
              </w:rPr>
              <w:t>,</w:t>
            </w:r>
            <w:r w:rsidRPr="00F13073">
              <w:rPr>
                <w:sz w:val="20"/>
                <w:szCs w:val="20"/>
              </w:rPr>
              <w:t>28)</w:t>
            </w:r>
          </w:p>
          <w:p w14:paraId="0B9AA295" w14:textId="77777777" w:rsidR="00CB5188" w:rsidRPr="00F13073" w:rsidRDefault="00CB5188" w:rsidP="00D023C2">
            <w:pPr>
              <w:suppressAutoHyphens/>
              <w:jc w:val="center"/>
              <w:rPr>
                <w:sz w:val="20"/>
                <w:szCs w:val="20"/>
              </w:rPr>
            </w:pPr>
          </w:p>
          <w:p w14:paraId="465BF5E9" w14:textId="77777777" w:rsidR="00CB5188"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67 </w:t>
            </w:r>
            <w:r w:rsidR="005D521A" w:rsidRPr="00F13073">
              <w:rPr>
                <w:sz w:val="20"/>
                <w:szCs w:val="20"/>
              </w:rPr>
              <w:br/>
            </w:r>
            <w:r w:rsidRPr="00F13073">
              <w:rPr>
                <w:sz w:val="20"/>
                <w:szCs w:val="20"/>
              </w:rPr>
              <w:t>(0</w:t>
            </w:r>
            <w:r w:rsidR="005C7C07" w:rsidRPr="00F13073">
              <w:rPr>
                <w:sz w:val="20"/>
                <w:szCs w:val="20"/>
              </w:rPr>
              <w:t>,</w:t>
            </w:r>
            <w:r w:rsidRPr="00F13073">
              <w:rPr>
                <w:sz w:val="20"/>
                <w:szCs w:val="20"/>
              </w:rPr>
              <w:t>21</w:t>
            </w:r>
            <w:r w:rsidR="005C7C07" w:rsidRPr="00F13073">
              <w:rPr>
                <w:sz w:val="20"/>
                <w:szCs w:val="20"/>
              </w:rPr>
              <w:t xml:space="preserve">; </w:t>
            </w:r>
            <w:r w:rsidRPr="00F13073">
              <w:rPr>
                <w:sz w:val="20"/>
                <w:szCs w:val="20"/>
              </w:rPr>
              <w:t>2</w:t>
            </w:r>
            <w:r w:rsidR="005C7C07" w:rsidRPr="00F13073">
              <w:rPr>
                <w:sz w:val="20"/>
                <w:szCs w:val="20"/>
              </w:rPr>
              <w:t>,</w:t>
            </w:r>
            <w:r w:rsidRPr="00F13073">
              <w:rPr>
                <w:sz w:val="20"/>
                <w:szCs w:val="20"/>
              </w:rPr>
              <w:t>10)</w:t>
            </w:r>
          </w:p>
          <w:p w14:paraId="50F5C5EF" w14:textId="77777777" w:rsidR="00CB5188" w:rsidRPr="00F13073" w:rsidRDefault="00CB5188" w:rsidP="00D023C2">
            <w:pPr>
              <w:suppressAutoHyphens/>
              <w:jc w:val="center"/>
              <w:rPr>
                <w:sz w:val="20"/>
                <w:szCs w:val="20"/>
              </w:rPr>
            </w:pPr>
          </w:p>
          <w:p w14:paraId="7FB736F0" w14:textId="77777777" w:rsidR="005D521A"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20*** </w:t>
            </w:r>
            <w:r w:rsidR="005D521A" w:rsidRPr="00F13073">
              <w:rPr>
                <w:sz w:val="20"/>
                <w:szCs w:val="20"/>
              </w:rPr>
              <w:br/>
            </w:r>
            <w:r w:rsidRPr="00F13073">
              <w:rPr>
                <w:sz w:val="20"/>
                <w:szCs w:val="20"/>
              </w:rPr>
              <w:t>(0</w:t>
            </w:r>
            <w:r w:rsidR="005C7C07" w:rsidRPr="00F13073">
              <w:rPr>
                <w:sz w:val="20"/>
                <w:szCs w:val="20"/>
              </w:rPr>
              <w:t>,</w:t>
            </w:r>
            <w:r w:rsidRPr="00F13073">
              <w:rPr>
                <w:sz w:val="20"/>
                <w:szCs w:val="20"/>
              </w:rPr>
              <w:t>05</w:t>
            </w:r>
            <w:r w:rsidR="005C7C07" w:rsidRPr="00F13073">
              <w:rPr>
                <w:sz w:val="20"/>
                <w:szCs w:val="20"/>
              </w:rPr>
              <w:t>;</w:t>
            </w:r>
            <w:r w:rsidRPr="00F13073">
              <w:rPr>
                <w:sz w:val="20"/>
                <w:szCs w:val="20"/>
              </w:rPr>
              <w:t xml:space="preserve"> 0</w:t>
            </w:r>
            <w:r w:rsidR="005C7C07" w:rsidRPr="00F13073">
              <w:rPr>
                <w:sz w:val="20"/>
                <w:szCs w:val="20"/>
              </w:rPr>
              <w:t>,</w:t>
            </w:r>
            <w:r w:rsidRPr="00F13073">
              <w:rPr>
                <w:sz w:val="20"/>
                <w:szCs w:val="20"/>
              </w:rPr>
              <w:t>76)</w:t>
            </w:r>
          </w:p>
          <w:p w14:paraId="32C3A294" w14:textId="77777777" w:rsidR="00CB5188" w:rsidRPr="00F13073" w:rsidRDefault="00CB5188" w:rsidP="00D023C2">
            <w:pPr>
              <w:suppressAutoHyphens/>
              <w:jc w:val="center"/>
              <w:rPr>
                <w:sz w:val="20"/>
                <w:szCs w:val="20"/>
              </w:rPr>
            </w:pPr>
          </w:p>
          <w:p w14:paraId="1640D851" w14:textId="77777777" w:rsidR="001E0975" w:rsidRPr="00F13073" w:rsidRDefault="00611033" w:rsidP="00D023C2">
            <w:pPr>
              <w:suppressAutoHyphens/>
              <w:jc w:val="center"/>
              <w:rPr>
                <w:sz w:val="20"/>
                <w:szCs w:val="20"/>
              </w:rPr>
            </w:pPr>
            <w:r w:rsidRPr="00F13073">
              <w:rPr>
                <w:sz w:val="20"/>
                <w:szCs w:val="20"/>
              </w:rPr>
              <w:t>0</w:t>
            </w:r>
            <w:r w:rsidR="005C7C07" w:rsidRPr="00F13073">
              <w:rPr>
                <w:sz w:val="20"/>
                <w:szCs w:val="20"/>
              </w:rPr>
              <w:t>,</w:t>
            </w:r>
            <w:r w:rsidRPr="00F13073">
              <w:rPr>
                <w:sz w:val="20"/>
                <w:szCs w:val="20"/>
              </w:rPr>
              <w:t xml:space="preserve">35 </w:t>
            </w:r>
            <w:r w:rsidR="005D521A" w:rsidRPr="00F13073">
              <w:rPr>
                <w:sz w:val="20"/>
                <w:szCs w:val="20"/>
              </w:rPr>
              <w:br/>
            </w:r>
            <w:r w:rsidRPr="00F13073">
              <w:rPr>
                <w:sz w:val="20"/>
                <w:szCs w:val="20"/>
              </w:rPr>
              <w:t>(0</w:t>
            </w:r>
            <w:r w:rsidR="005C7C07" w:rsidRPr="00F13073">
              <w:rPr>
                <w:sz w:val="20"/>
                <w:szCs w:val="20"/>
              </w:rPr>
              <w:t>,</w:t>
            </w:r>
            <w:r w:rsidRPr="00F13073">
              <w:rPr>
                <w:sz w:val="20"/>
                <w:szCs w:val="20"/>
              </w:rPr>
              <w:t>09</w:t>
            </w:r>
            <w:r w:rsidR="005C7C07" w:rsidRPr="00F13073">
              <w:rPr>
                <w:sz w:val="20"/>
                <w:szCs w:val="20"/>
              </w:rPr>
              <w:t>;</w:t>
            </w:r>
            <w:r w:rsidRPr="00F13073">
              <w:rPr>
                <w:sz w:val="20"/>
                <w:szCs w:val="20"/>
              </w:rPr>
              <w:t xml:space="preserve"> 1</w:t>
            </w:r>
            <w:r w:rsidR="005C7C07" w:rsidRPr="00F13073">
              <w:rPr>
                <w:sz w:val="20"/>
                <w:szCs w:val="20"/>
              </w:rPr>
              <w:t>,</w:t>
            </w:r>
            <w:r w:rsidRPr="00F13073">
              <w:rPr>
                <w:sz w:val="20"/>
                <w:szCs w:val="20"/>
              </w:rPr>
              <w:t>42)</w:t>
            </w:r>
          </w:p>
        </w:tc>
      </w:tr>
      <w:tr w:rsidR="003D7C7E" w:rsidRPr="00F13073" w14:paraId="0A9DE8D0" w14:textId="77777777" w:rsidTr="00E02C34">
        <w:trPr>
          <w:cantSplit/>
          <w:tblHeader/>
        </w:trPr>
        <w:tc>
          <w:tcPr>
            <w:tcW w:w="4390" w:type="dxa"/>
            <w:tcBorders>
              <w:top w:val="single" w:sz="4" w:space="0" w:color="auto"/>
              <w:left w:val="single" w:sz="4" w:space="0" w:color="auto"/>
            </w:tcBorders>
          </w:tcPr>
          <w:p w14:paraId="24DED422" w14:textId="77777777" w:rsidR="000F582D" w:rsidRPr="00F13073" w:rsidRDefault="000C499C" w:rsidP="008B4C50">
            <w:pPr>
              <w:suppressAutoHyphens/>
              <w:rPr>
                <w:i/>
                <w:iCs/>
                <w:sz w:val="20"/>
                <w:szCs w:val="20"/>
              </w:rPr>
            </w:pPr>
            <w:r w:rsidRPr="00F13073">
              <w:rPr>
                <w:i/>
                <w:iCs/>
                <w:sz w:val="20"/>
                <w:szCs w:val="20"/>
              </w:rPr>
              <w:t>Skumulowana dawka glikokortykosteroidów (mg)</w:t>
            </w:r>
          </w:p>
          <w:p w14:paraId="137CE27D" w14:textId="77777777" w:rsidR="001E0975" w:rsidRPr="00F13073" w:rsidRDefault="000F582D" w:rsidP="008B4C50">
            <w:pPr>
              <w:suppressAutoHyphens/>
              <w:ind w:left="283"/>
              <w:rPr>
                <w:i/>
                <w:iCs/>
                <w:sz w:val="20"/>
                <w:szCs w:val="20"/>
              </w:rPr>
            </w:pPr>
            <w:r w:rsidRPr="00F13073">
              <w:rPr>
                <w:i/>
                <w:iCs/>
                <w:sz w:val="20"/>
                <w:szCs w:val="20"/>
              </w:rPr>
              <w:t>mediana w tygodniu 52. (grupy tocilizumabu w por. z placebo</w:t>
            </w:r>
            <w:r w:rsidR="00611033" w:rsidRPr="00F13073">
              <w:rPr>
                <w:i/>
                <w:iCs/>
                <w:sz w:val="20"/>
                <w:szCs w:val="20"/>
              </w:rPr>
              <w:t>+26</w:t>
            </w:r>
            <w:r w:rsidR="00611033" w:rsidRPr="00F13073">
              <w:rPr>
                <w:i/>
                <w:iCs/>
                <w:sz w:val="20"/>
                <w:szCs w:val="20"/>
                <w:vertAlign w:val="superscript"/>
              </w:rPr>
              <w:t>2</w:t>
            </w:r>
            <w:r w:rsidR="00611033" w:rsidRPr="00F13073">
              <w:rPr>
                <w:i/>
                <w:iCs/>
                <w:sz w:val="20"/>
                <w:szCs w:val="20"/>
              </w:rPr>
              <w:t>)</w:t>
            </w:r>
          </w:p>
          <w:p w14:paraId="3909897C" w14:textId="77777777" w:rsidR="001E0975" w:rsidRPr="00F13073" w:rsidRDefault="000F582D" w:rsidP="008B4C50">
            <w:pPr>
              <w:suppressAutoHyphens/>
              <w:ind w:left="283"/>
              <w:rPr>
                <w:i/>
                <w:iCs/>
                <w:sz w:val="20"/>
                <w:szCs w:val="20"/>
              </w:rPr>
            </w:pPr>
            <w:r w:rsidRPr="00F13073">
              <w:rPr>
                <w:i/>
                <w:iCs/>
                <w:sz w:val="20"/>
                <w:szCs w:val="20"/>
              </w:rPr>
              <w:t>mediana w tygodniu 52. (grupy tocilizumabu w por. z placebo</w:t>
            </w:r>
            <w:r w:rsidR="00611033" w:rsidRPr="00F13073">
              <w:rPr>
                <w:i/>
                <w:iCs/>
                <w:sz w:val="20"/>
                <w:szCs w:val="20"/>
              </w:rPr>
              <w:t>+52</w:t>
            </w:r>
            <w:r w:rsidR="003D7C7E" w:rsidRPr="00F13073">
              <w:rPr>
                <w:i/>
                <w:iCs/>
                <w:sz w:val="20"/>
                <w:szCs w:val="20"/>
                <w:vertAlign w:val="superscript"/>
              </w:rPr>
              <w:t>2</w:t>
            </w:r>
            <w:r w:rsidR="00611033" w:rsidRPr="00F13073">
              <w:rPr>
                <w:i/>
                <w:iCs/>
                <w:sz w:val="20"/>
                <w:szCs w:val="20"/>
              </w:rPr>
              <w:t>)</w:t>
            </w:r>
          </w:p>
        </w:tc>
        <w:tc>
          <w:tcPr>
            <w:tcW w:w="1093" w:type="dxa"/>
            <w:tcBorders>
              <w:top w:val="single" w:sz="4" w:space="0" w:color="auto"/>
              <w:left w:val="single" w:sz="4" w:space="0" w:color="auto"/>
            </w:tcBorders>
          </w:tcPr>
          <w:p w14:paraId="3DEC3D1A" w14:textId="77777777" w:rsidR="003D7C7E" w:rsidRPr="00F13073" w:rsidRDefault="003D7C7E" w:rsidP="00D023C2">
            <w:pPr>
              <w:suppressAutoHyphens/>
              <w:jc w:val="center"/>
              <w:rPr>
                <w:sz w:val="20"/>
                <w:szCs w:val="20"/>
              </w:rPr>
            </w:pPr>
          </w:p>
          <w:p w14:paraId="2AF0ED3B" w14:textId="77777777" w:rsidR="001E0975" w:rsidRPr="00F13073" w:rsidRDefault="00611033" w:rsidP="00D023C2">
            <w:pPr>
              <w:suppressAutoHyphens/>
              <w:jc w:val="center"/>
              <w:rPr>
                <w:sz w:val="20"/>
                <w:szCs w:val="20"/>
              </w:rPr>
            </w:pPr>
            <w:r w:rsidRPr="00F13073">
              <w:rPr>
                <w:sz w:val="20"/>
                <w:szCs w:val="20"/>
              </w:rPr>
              <w:t>3296</w:t>
            </w:r>
            <w:r w:rsidR="00F73949" w:rsidRPr="00F13073">
              <w:rPr>
                <w:sz w:val="20"/>
                <w:szCs w:val="20"/>
              </w:rPr>
              <w:t>,</w:t>
            </w:r>
            <w:r w:rsidRPr="00F13073">
              <w:rPr>
                <w:sz w:val="20"/>
                <w:szCs w:val="20"/>
              </w:rPr>
              <w:t>00</w:t>
            </w:r>
          </w:p>
          <w:p w14:paraId="77C9C1A7" w14:textId="77777777" w:rsidR="003D7C7E" w:rsidRPr="00F13073" w:rsidRDefault="003D7C7E" w:rsidP="00D023C2">
            <w:pPr>
              <w:suppressAutoHyphens/>
              <w:jc w:val="center"/>
              <w:rPr>
                <w:sz w:val="20"/>
                <w:szCs w:val="20"/>
              </w:rPr>
            </w:pPr>
          </w:p>
          <w:p w14:paraId="12171FFA" w14:textId="77777777" w:rsidR="001E0975" w:rsidRPr="00F13073" w:rsidRDefault="00611033" w:rsidP="00D023C2">
            <w:pPr>
              <w:suppressAutoHyphens/>
              <w:jc w:val="center"/>
              <w:rPr>
                <w:sz w:val="20"/>
                <w:szCs w:val="20"/>
              </w:rPr>
            </w:pPr>
            <w:r w:rsidRPr="00F13073">
              <w:rPr>
                <w:sz w:val="20"/>
                <w:szCs w:val="20"/>
              </w:rPr>
              <w:t>N/A</w:t>
            </w:r>
          </w:p>
        </w:tc>
        <w:tc>
          <w:tcPr>
            <w:tcW w:w="1033" w:type="dxa"/>
            <w:tcBorders>
              <w:top w:val="single" w:sz="4" w:space="0" w:color="auto"/>
              <w:left w:val="single" w:sz="4" w:space="0" w:color="auto"/>
            </w:tcBorders>
          </w:tcPr>
          <w:p w14:paraId="1C327A7C" w14:textId="77777777" w:rsidR="003D7C7E" w:rsidRPr="00F13073" w:rsidRDefault="003D7C7E" w:rsidP="00D023C2">
            <w:pPr>
              <w:suppressAutoHyphens/>
              <w:jc w:val="center"/>
              <w:rPr>
                <w:sz w:val="20"/>
                <w:szCs w:val="20"/>
              </w:rPr>
            </w:pPr>
          </w:p>
          <w:p w14:paraId="5791B785" w14:textId="77777777" w:rsidR="001E0975" w:rsidRPr="00F13073" w:rsidRDefault="00611033" w:rsidP="00D023C2">
            <w:pPr>
              <w:suppressAutoHyphens/>
              <w:jc w:val="center"/>
              <w:rPr>
                <w:sz w:val="20"/>
                <w:szCs w:val="20"/>
              </w:rPr>
            </w:pPr>
            <w:r w:rsidRPr="00F13073">
              <w:rPr>
                <w:sz w:val="20"/>
                <w:szCs w:val="20"/>
              </w:rPr>
              <w:t>N/A</w:t>
            </w:r>
          </w:p>
          <w:p w14:paraId="0C3A464E" w14:textId="77777777" w:rsidR="003D7C7E" w:rsidRPr="00F13073" w:rsidRDefault="003D7C7E" w:rsidP="00D023C2">
            <w:pPr>
              <w:suppressAutoHyphens/>
              <w:jc w:val="center"/>
              <w:rPr>
                <w:sz w:val="20"/>
                <w:szCs w:val="20"/>
              </w:rPr>
            </w:pPr>
          </w:p>
          <w:p w14:paraId="32A7E1C6" w14:textId="77777777" w:rsidR="001E0975" w:rsidRPr="00F13073" w:rsidRDefault="00611033" w:rsidP="00D023C2">
            <w:pPr>
              <w:suppressAutoHyphens/>
              <w:jc w:val="center"/>
              <w:rPr>
                <w:sz w:val="20"/>
                <w:szCs w:val="20"/>
              </w:rPr>
            </w:pPr>
            <w:r w:rsidRPr="00F13073">
              <w:rPr>
                <w:sz w:val="20"/>
                <w:szCs w:val="20"/>
              </w:rPr>
              <w:t>3817</w:t>
            </w:r>
            <w:r w:rsidR="00F73949" w:rsidRPr="00F13073">
              <w:rPr>
                <w:sz w:val="20"/>
                <w:szCs w:val="20"/>
              </w:rPr>
              <w:t>,</w:t>
            </w:r>
            <w:r w:rsidRPr="00F13073">
              <w:rPr>
                <w:sz w:val="20"/>
                <w:szCs w:val="20"/>
              </w:rPr>
              <w:t>50</w:t>
            </w:r>
          </w:p>
        </w:tc>
        <w:tc>
          <w:tcPr>
            <w:tcW w:w="1248" w:type="dxa"/>
            <w:tcBorders>
              <w:top w:val="single" w:sz="4" w:space="0" w:color="auto"/>
              <w:left w:val="single" w:sz="4" w:space="0" w:color="auto"/>
            </w:tcBorders>
          </w:tcPr>
          <w:p w14:paraId="6D8D2EAF" w14:textId="77777777" w:rsidR="003D7C7E" w:rsidRPr="00F13073" w:rsidRDefault="003D7C7E" w:rsidP="00D023C2">
            <w:pPr>
              <w:suppressAutoHyphens/>
              <w:jc w:val="center"/>
              <w:rPr>
                <w:sz w:val="20"/>
                <w:szCs w:val="20"/>
              </w:rPr>
            </w:pPr>
          </w:p>
          <w:p w14:paraId="5C44F3E5" w14:textId="77777777" w:rsidR="001E0975" w:rsidRPr="00F13073" w:rsidRDefault="00611033" w:rsidP="00D023C2">
            <w:pPr>
              <w:suppressAutoHyphens/>
              <w:jc w:val="center"/>
              <w:rPr>
                <w:sz w:val="20"/>
                <w:szCs w:val="20"/>
              </w:rPr>
            </w:pPr>
            <w:r w:rsidRPr="00F13073">
              <w:rPr>
                <w:sz w:val="20"/>
                <w:szCs w:val="20"/>
              </w:rPr>
              <w:t>1862</w:t>
            </w:r>
            <w:r w:rsidR="00F73949" w:rsidRPr="00F13073">
              <w:rPr>
                <w:sz w:val="20"/>
                <w:szCs w:val="20"/>
              </w:rPr>
              <w:t>,</w:t>
            </w:r>
            <w:r w:rsidRPr="00F13073">
              <w:rPr>
                <w:sz w:val="20"/>
                <w:szCs w:val="20"/>
              </w:rPr>
              <w:t>00*</w:t>
            </w:r>
          </w:p>
          <w:p w14:paraId="5C4D9000" w14:textId="77777777" w:rsidR="003D7C7E" w:rsidRPr="00F13073" w:rsidRDefault="003D7C7E" w:rsidP="00D023C2">
            <w:pPr>
              <w:suppressAutoHyphens/>
              <w:jc w:val="center"/>
              <w:rPr>
                <w:sz w:val="20"/>
                <w:szCs w:val="20"/>
              </w:rPr>
            </w:pPr>
          </w:p>
          <w:p w14:paraId="269A3ADA" w14:textId="77777777" w:rsidR="001E0975" w:rsidRPr="00F13073" w:rsidRDefault="00611033" w:rsidP="00D023C2">
            <w:pPr>
              <w:suppressAutoHyphens/>
              <w:jc w:val="center"/>
              <w:rPr>
                <w:sz w:val="20"/>
                <w:szCs w:val="20"/>
              </w:rPr>
            </w:pPr>
            <w:r w:rsidRPr="00F13073">
              <w:rPr>
                <w:sz w:val="20"/>
                <w:szCs w:val="20"/>
              </w:rPr>
              <w:t>1862</w:t>
            </w:r>
            <w:r w:rsidR="00F73949" w:rsidRPr="00F13073">
              <w:rPr>
                <w:sz w:val="20"/>
                <w:szCs w:val="20"/>
              </w:rPr>
              <w:t>,</w:t>
            </w:r>
            <w:r w:rsidRPr="00F13073">
              <w:rPr>
                <w:sz w:val="20"/>
                <w:szCs w:val="20"/>
              </w:rPr>
              <w:t>00*</w:t>
            </w:r>
          </w:p>
        </w:tc>
        <w:tc>
          <w:tcPr>
            <w:tcW w:w="1292" w:type="dxa"/>
            <w:tcBorders>
              <w:top w:val="single" w:sz="4" w:space="0" w:color="auto"/>
              <w:left w:val="single" w:sz="4" w:space="0" w:color="auto"/>
              <w:right w:val="single" w:sz="4" w:space="0" w:color="auto"/>
            </w:tcBorders>
          </w:tcPr>
          <w:p w14:paraId="05D0716D" w14:textId="77777777" w:rsidR="003D7C7E" w:rsidRPr="00F13073" w:rsidRDefault="003D7C7E" w:rsidP="00D023C2">
            <w:pPr>
              <w:suppressAutoHyphens/>
              <w:jc w:val="center"/>
              <w:rPr>
                <w:sz w:val="20"/>
                <w:szCs w:val="20"/>
              </w:rPr>
            </w:pPr>
          </w:p>
          <w:p w14:paraId="289C06DD" w14:textId="77777777" w:rsidR="001E0975" w:rsidRPr="00F13073" w:rsidRDefault="00611033" w:rsidP="00D023C2">
            <w:pPr>
              <w:suppressAutoHyphens/>
              <w:jc w:val="center"/>
              <w:rPr>
                <w:sz w:val="20"/>
                <w:szCs w:val="20"/>
              </w:rPr>
            </w:pPr>
            <w:r w:rsidRPr="00F13073">
              <w:rPr>
                <w:sz w:val="20"/>
                <w:szCs w:val="20"/>
              </w:rPr>
              <w:t>1862</w:t>
            </w:r>
            <w:r w:rsidR="00F73949" w:rsidRPr="00F13073">
              <w:rPr>
                <w:sz w:val="20"/>
                <w:szCs w:val="20"/>
              </w:rPr>
              <w:t>,</w:t>
            </w:r>
            <w:r w:rsidRPr="00F13073">
              <w:rPr>
                <w:sz w:val="20"/>
                <w:szCs w:val="20"/>
              </w:rPr>
              <w:t>00*</w:t>
            </w:r>
          </w:p>
          <w:p w14:paraId="04C022D5" w14:textId="77777777" w:rsidR="003D7C7E" w:rsidRPr="00F13073" w:rsidRDefault="003D7C7E" w:rsidP="00D023C2">
            <w:pPr>
              <w:suppressAutoHyphens/>
              <w:jc w:val="center"/>
              <w:rPr>
                <w:sz w:val="20"/>
                <w:szCs w:val="20"/>
              </w:rPr>
            </w:pPr>
          </w:p>
          <w:p w14:paraId="5A04F0FC" w14:textId="77777777" w:rsidR="001E0975" w:rsidRPr="00F13073" w:rsidRDefault="00611033" w:rsidP="00D023C2">
            <w:pPr>
              <w:suppressAutoHyphens/>
              <w:jc w:val="center"/>
              <w:rPr>
                <w:sz w:val="20"/>
                <w:szCs w:val="20"/>
              </w:rPr>
            </w:pPr>
            <w:r w:rsidRPr="00F13073">
              <w:rPr>
                <w:sz w:val="20"/>
                <w:szCs w:val="20"/>
              </w:rPr>
              <w:t>1862</w:t>
            </w:r>
            <w:r w:rsidR="00F73949" w:rsidRPr="00F13073">
              <w:rPr>
                <w:sz w:val="20"/>
                <w:szCs w:val="20"/>
              </w:rPr>
              <w:t>,</w:t>
            </w:r>
            <w:r w:rsidRPr="00F13073">
              <w:rPr>
                <w:sz w:val="20"/>
                <w:szCs w:val="20"/>
              </w:rPr>
              <w:t>00*</w:t>
            </w:r>
          </w:p>
        </w:tc>
      </w:tr>
      <w:tr w:rsidR="001E0975" w:rsidRPr="00F13073" w14:paraId="00E54A97" w14:textId="77777777" w:rsidTr="00E02C34">
        <w:trPr>
          <w:cantSplit/>
          <w:tblHeader/>
        </w:trPr>
        <w:tc>
          <w:tcPr>
            <w:tcW w:w="9056" w:type="dxa"/>
            <w:gridSpan w:val="5"/>
            <w:tcBorders>
              <w:top w:val="single" w:sz="4" w:space="0" w:color="auto"/>
              <w:left w:val="single" w:sz="4" w:space="0" w:color="auto"/>
              <w:right w:val="single" w:sz="4" w:space="0" w:color="auto"/>
            </w:tcBorders>
          </w:tcPr>
          <w:p w14:paraId="66F9314D" w14:textId="77777777" w:rsidR="001E0975" w:rsidRPr="00F13073" w:rsidRDefault="00915839" w:rsidP="008B4C50">
            <w:pPr>
              <w:keepNext/>
              <w:suppressAutoHyphens/>
              <w:rPr>
                <w:b/>
                <w:bCs/>
                <w:sz w:val="20"/>
                <w:szCs w:val="20"/>
              </w:rPr>
            </w:pPr>
            <w:r w:rsidRPr="00F13073">
              <w:rPr>
                <w:b/>
                <w:bCs/>
                <w:sz w:val="20"/>
                <w:szCs w:val="20"/>
              </w:rPr>
              <w:t>Eksploracyjne punkty końcowe</w:t>
            </w:r>
          </w:p>
        </w:tc>
      </w:tr>
      <w:tr w:rsidR="003D7C7E" w:rsidRPr="00F13073" w14:paraId="703C974E" w14:textId="77777777" w:rsidTr="00E02C34">
        <w:trPr>
          <w:cantSplit/>
          <w:tblHeader/>
        </w:trPr>
        <w:tc>
          <w:tcPr>
            <w:tcW w:w="4390" w:type="dxa"/>
            <w:tcBorders>
              <w:top w:val="single" w:sz="4" w:space="0" w:color="auto"/>
              <w:left w:val="single" w:sz="4" w:space="0" w:color="auto"/>
              <w:bottom w:val="single" w:sz="4" w:space="0" w:color="auto"/>
            </w:tcBorders>
          </w:tcPr>
          <w:p w14:paraId="776B40BE" w14:textId="77777777" w:rsidR="003D7C7E" w:rsidRPr="00F13073" w:rsidRDefault="00915839" w:rsidP="008B4C50">
            <w:pPr>
              <w:suppressAutoHyphens/>
              <w:rPr>
                <w:sz w:val="20"/>
                <w:szCs w:val="20"/>
              </w:rPr>
            </w:pPr>
            <w:r w:rsidRPr="00F13073">
              <w:rPr>
                <w:sz w:val="20"/>
                <w:szCs w:val="20"/>
              </w:rPr>
              <w:t xml:space="preserve">Roczny wskaźnik nawrotów, tydzień </w:t>
            </w:r>
            <w:r w:rsidR="00611033" w:rsidRPr="00F13073">
              <w:rPr>
                <w:sz w:val="20"/>
                <w:szCs w:val="20"/>
              </w:rPr>
              <w:t>52</w:t>
            </w:r>
            <w:r w:rsidR="00611033" w:rsidRPr="00F13073">
              <w:rPr>
                <w:sz w:val="20"/>
                <w:szCs w:val="20"/>
                <w:vertAlign w:val="superscript"/>
              </w:rPr>
              <w:t>§</w:t>
            </w:r>
            <w:r w:rsidR="00611033" w:rsidRPr="00F13073">
              <w:rPr>
                <w:sz w:val="20"/>
                <w:szCs w:val="20"/>
              </w:rPr>
              <w:t xml:space="preserve"> </w:t>
            </w:r>
          </w:p>
          <w:p w14:paraId="689FBA93" w14:textId="77777777" w:rsidR="001E0975" w:rsidRPr="00F13073" w:rsidRDefault="005C7C07" w:rsidP="008B4C50">
            <w:pPr>
              <w:suppressAutoHyphens/>
              <w:ind w:left="283"/>
              <w:rPr>
                <w:sz w:val="20"/>
                <w:szCs w:val="20"/>
              </w:rPr>
            </w:pPr>
            <w:r w:rsidRPr="00F13073">
              <w:rPr>
                <w:sz w:val="20"/>
                <w:szCs w:val="20"/>
              </w:rPr>
              <w:t xml:space="preserve">Średnia </w:t>
            </w:r>
            <w:r w:rsidR="00611033" w:rsidRPr="00F13073">
              <w:rPr>
                <w:sz w:val="20"/>
                <w:szCs w:val="20"/>
              </w:rPr>
              <w:t>(SD)</w:t>
            </w:r>
          </w:p>
        </w:tc>
        <w:tc>
          <w:tcPr>
            <w:tcW w:w="1093" w:type="dxa"/>
            <w:tcBorders>
              <w:top w:val="single" w:sz="4" w:space="0" w:color="auto"/>
              <w:left w:val="single" w:sz="4" w:space="0" w:color="auto"/>
              <w:bottom w:val="single" w:sz="4" w:space="0" w:color="auto"/>
            </w:tcBorders>
          </w:tcPr>
          <w:p w14:paraId="52C58107" w14:textId="77777777" w:rsidR="003D7C7E" w:rsidRPr="00F13073" w:rsidRDefault="003D7C7E" w:rsidP="00D023C2">
            <w:pPr>
              <w:suppressAutoHyphens/>
              <w:jc w:val="center"/>
              <w:rPr>
                <w:sz w:val="20"/>
                <w:szCs w:val="20"/>
              </w:rPr>
            </w:pPr>
          </w:p>
          <w:p w14:paraId="7DF3CB65" w14:textId="77777777" w:rsidR="001E0975" w:rsidRPr="00F13073" w:rsidRDefault="00611033" w:rsidP="00D023C2">
            <w:pPr>
              <w:suppressAutoHyphens/>
              <w:jc w:val="center"/>
              <w:rPr>
                <w:sz w:val="20"/>
                <w:szCs w:val="20"/>
              </w:rPr>
            </w:pPr>
            <w:r w:rsidRPr="00F13073">
              <w:rPr>
                <w:sz w:val="20"/>
                <w:szCs w:val="20"/>
              </w:rPr>
              <w:t>1</w:t>
            </w:r>
            <w:r w:rsidR="00F73949" w:rsidRPr="00F13073">
              <w:rPr>
                <w:sz w:val="20"/>
                <w:szCs w:val="20"/>
              </w:rPr>
              <w:t>,</w:t>
            </w:r>
            <w:r w:rsidRPr="00F13073">
              <w:rPr>
                <w:sz w:val="20"/>
                <w:szCs w:val="20"/>
              </w:rPr>
              <w:t>74</w:t>
            </w:r>
          </w:p>
          <w:p w14:paraId="0CCEEA70" w14:textId="77777777" w:rsidR="001E0975" w:rsidRPr="00F13073" w:rsidRDefault="00611033" w:rsidP="00D023C2">
            <w:pPr>
              <w:suppressAutoHyphens/>
              <w:jc w:val="center"/>
              <w:rPr>
                <w:sz w:val="20"/>
                <w:szCs w:val="20"/>
              </w:rPr>
            </w:pPr>
            <w:r w:rsidRPr="00F13073">
              <w:rPr>
                <w:sz w:val="20"/>
                <w:szCs w:val="20"/>
              </w:rPr>
              <w:t>(2</w:t>
            </w:r>
            <w:r w:rsidR="00F73949" w:rsidRPr="00F13073">
              <w:rPr>
                <w:sz w:val="20"/>
                <w:szCs w:val="20"/>
              </w:rPr>
              <w:t>,</w:t>
            </w:r>
            <w:r w:rsidRPr="00F13073">
              <w:rPr>
                <w:sz w:val="20"/>
                <w:szCs w:val="20"/>
              </w:rPr>
              <w:t>18)</w:t>
            </w:r>
          </w:p>
        </w:tc>
        <w:tc>
          <w:tcPr>
            <w:tcW w:w="1033" w:type="dxa"/>
            <w:tcBorders>
              <w:top w:val="single" w:sz="4" w:space="0" w:color="auto"/>
              <w:left w:val="single" w:sz="4" w:space="0" w:color="auto"/>
              <w:bottom w:val="single" w:sz="4" w:space="0" w:color="auto"/>
            </w:tcBorders>
          </w:tcPr>
          <w:p w14:paraId="79049131" w14:textId="77777777" w:rsidR="003D7C7E" w:rsidRPr="00F13073" w:rsidRDefault="003D7C7E" w:rsidP="00D023C2">
            <w:pPr>
              <w:suppressAutoHyphens/>
              <w:jc w:val="center"/>
              <w:rPr>
                <w:sz w:val="20"/>
                <w:szCs w:val="20"/>
              </w:rPr>
            </w:pPr>
          </w:p>
          <w:p w14:paraId="3F430215" w14:textId="77777777" w:rsidR="005D521A" w:rsidRPr="00F13073" w:rsidRDefault="00611033" w:rsidP="00D023C2">
            <w:pPr>
              <w:suppressAutoHyphens/>
              <w:jc w:val="center"/>
              <w:rPr>
                <w:sz w:val="20"/>
                <w:szCs w:val="20"/>
              </w:rPr>
            </w:pPr>
            <w:r w:rsidRPr="00F13073">
              <w:rPr>
                <w:sz w:val="20"/>
                <w:szCs w:val="20"/>
              </w:rPr>
              <w:t>1</w:t>
            </w:r>
            <w:r w:rsidR="00F73949" w:rsidRPr="00F13073">
              <w:rPr>
                <w:sz w:val="20"/>
                <w:szCs w:val="20"/>
              </w:rPr>
              <w:t>,</w:t>
            </w:r>
            <w:r w:rsidRPr="00F13073">
              <w:rPr>
                <w:sz w:val="20"/>
                <w:szCs w:val="20"/>
              </w:rPr>
              <w:t>30</w:t>
            </w:r>
          </w:p>
          <w:p w14:paraId="08B3AE15" w14:textId="77777777" w:rsidR="001E0975" w:rsidRPr="00F13073" w:rsidRDefault="00611033" w:rsidP="00D023C2">
            <w:pPr>
              <w:suppressAutoHyphens/>
              <w:jc w:val="center"/>
              <w:rPr>
                <w:sz w:val="20"/>
                <w:szCs w:val="20"/>
              </w:rPr>
            </w:pPr>
            <w:r w:rsidRPr="00F13073">
              <w:rPr>
                <w:sz w:val="20"/>
                <w:szCs w:val="20"/>
              </w:rPr>
              <w:t>(1</w:t>
            </w:r>
            <w:r w:rsidR="00F73949" w:rsidRPr="00F13073">
              <w:rPr>
                <w:sz w:val="20"/>
                <w:szCs w:val="20"/>
              </w:rPr>
              <w:t>,</w:t>
            </w:r>
            <w:r w:rsidRPr="00F13073">
              <w:rPr>
                <w:sz w:val="20"/>
                <w:szCs w:val="20"/>
              </w:rPr>
              <w:t>84)</w:t>
            </w:r>
          </w:p>
        </w:tc>
        <w:tc>
          <w:tcPr>
            <w:tcW w:w="1248" w:type="dxa"/>
            <w:tcBorders>
              <w:top w:val="single" w:sz="4" w:space="0" w:color="auto"/>
              <w:left w:val="single" w:sz="4" w:space="0" w:color="auto"/>
              <w:bottom w:val="single" w:sz="4" w:space="0" w:color="auto"/>
            </w:tcBorders>
          </w:tcPr>
          <w:p w14:paraId="702A15EC" w14:textId="77777777" w:rsidR="003D7C7E" w:rsidRPr="00F13073" w:rsidRDefault="003D7C7E" w:rsidP="00D023C2">
            <w:pPr>
              <w:suppressAutoHyphens/>
              <w:jc w:val="center"/>
              <w:rPr>
                <w:sz w:val="20"/>
                <w:szCs w:val="20"/>
              </w:rPr>
            </w:pPr>
          </w:p>
          <w:p w14:paraId="1997E4B7" w14:textId="77777777" w:rsidR="005D521A" w:rsidRPr="00F13073" w:rsidRDefault="00611033" w:rsidP="00D023C2">
            <w:pPr>
              <w:suppressAutoHyphens/>
              <w:jc w:val="center"/>
              <w:rPr>
                <w:sz w:val="20"/>
                <w:szCs w:val="20"/>
              </w:rPr>
            </w:pPr>
            <w:r w:rsidRPr="00F13073">
              <w:rPr>
                <w:sz w:val="20"/>
                <w:szCs w:val="20"/>
              </w:rPr>
              <w:t>0</w:t>
            </w:r>
            <w:r w:rsidR="00F73949" w:rsidRPr="00F13073">
              <w:rPr>
                <w:sz w:val="20"/>
                <w:szCs w:val="20"/>
              </w:rPr>
              <w:t>,</w:t>
            </w:r>
            <w:r w:rsidRPr="00F13073">
              <w:rPr>
                <w:sz w:val="20"/>
                <w:szCs w:val="20"/>
              </w:rPr>
              <w:t>41</w:t>
            </w:r>
          </w:p>
          <w:p w14:paraId="732DFC32" w14:textId="77777777" w:rsidR="001E0975" w:rsidRPr="00F13073" w:rsidRDefault="00611033" w:rsidP="00D023C2">
            <w:pPr>
              <w:suppressAutoHyphens/>
              <w:jc w:val="center"/>
              <w:rPr>
                <w:sz w:val="20"/>
                <w:szCs w:val="20"/>
              </w:rPr>
            </w:pPr>
            <w:r w:rsidRPr="00F13073">
              <w:rPr>
                <w:sz w:val="20"/>
                <w:szCs w:val="20"/>
              </w:rPr>
              <w:t>(0</w:t>
            </w:r>
            <w:r w:rsidR="00F73949" w:rsidRPr="00F13073">
              <w:rPr>
                <w:sz w:val="20"/>
                <w:szCs w:val="20"/>
              </w:rPr>
              <w:t>,</w:t>
            </w:r>
            <w:r w:rsidRPr="00F13073">
              <w:rPr>
                <w:sz w:val="20"/>
                <w:szCs w:val="20"/>
              </w:rPr>
              <w:t>78)</w:t>
            </w:r>
          </w:p>
        </w:tc>
        <w:tc>
          <w:tcPr>
            <w:tcW w:w="1292" w:type="dxa"/>
            <w:tcBorders>
              <w:top w:val="single" w:sz="4" w:space="0" w:color="auto"/>
              <w:left w:val="single" w:sz="4" w:space="0" w:color="auto"/>
              <w:bottom w:val="single" w:sz="4" w:space="0" w:color="auto"/>
              <w:right w:val="single" w:sz="4" w:space="0" w:color="auto"/>
            </w:tcBorders>
          </w:tcPr>
          <w:p w14:paraId="46310173" w14:textId="77777777" w:rsidR="003D7C7E" w:rsidRPr="00F13073" w:rsidRDefault="003D7C7E" w:rsidP="00D023C2">
            <w:pPr>
              <w:suppressAutoHyphens/>
              <w:jc w:val="center"/>
              <w:rPr>
                <w:sz w:val="20"/>
                <w:szCs w:val="20"/>
              </w:rPr>
            </w:pPr>
          </w:p>
          <w:p w14:paraId="61117935" w14:textId="77777777" w:rsidR="001E0975" w:rsidRPr="00F13073" w:rsidRDefault="00611033" w:rsidP="00D023C2">
            <w:pPr>
              <w:suppressAutoHyphens/>
              <w:jc w:val="center"/>
              <w:rPr>
                <w:sz w:val="20"/>
                <w:szCs w:val="20"/>
              </w:rPr>
            </w:pPr>
            <w:r w:rsidRPr="00F13073">
              <w:rPr>
                <w:sz w:val="20"/>
                <w:szCs w:val="20"/>
              </w:rPr>
              <w:t>0</w:t>
            </w:r>
            <w:r w:rsidR="00F73949" w:rsidRPr="00F13073">
              <w:rPr>
                <w:sz w:val="20"/>
                <w:szCs w:val="20"/>
              </w:rPr>
              <w:t>,</w:t>
            </w:r>
            <w:r w:rsidRPr="00F13073">
              <w:rPr>
                <w:sz w:val="20"/>
                <w:szCs w:val="20"/>
              </w:rPr>
              <w:t>67</w:t>
            </w:r>
          </w:p>
          <w:p w14:paraId="7663DDB0" w14:textId="77777777" w:rsidR="001E0975" w:rsidRPr="00F13073" w:rsidRDefault="00611033" w:rsidP="00D023C2">
            <w:pPr>
              <w:suppressAutoHyphens/>
              <w:jc w:val="center"/>
              <w:rPr>
                <w:sz w:val="20"/>
                <w:szCs w:val="20"/>
              </w:rPr>
            </w:pPr>
            <w:r w:rsidRPr="00F13073">
              <w:rPr>
                <w:sz w:val="20"/>
                <w:szCs w:val="20"/>
              </w:rPr>
              <w:t>(1</w:t>
            </w:r>
            <w:r w:rsidR="00F73949" w:rsidRPr="00F13073">
              <w:rPr>
                <w:sz w:val="20"/>
                <w:szCs w:val="20"/>
              </w:rPr>
              <w:t>,</w:t>
            </w:r>
            <w:r w:rsidRPr="00F13073">
              <w:rPr>
                <w:sz w:val="20"/>
                <w:szCs w:val="20"/>
              </w:rPr>
              <w:t>10)</w:t>
            </w:r>
          </w:p>
        </w:tc>
      </w:tr>
    </w:tbl>
    <w:p w14:paraId="5F857A9A" w14:textId="77777777" w:rsidR="001E0975" w:rsidRPr="00F13073" w:rsidRDefault="00611033" w:rsidP="008B4C50">
      <w:pPr>
        <w:rPr>
          <w:sz w:val="18"/>
          <w:szCs w:val="18"/>
        </w:rPr>
      </w:pPr>
      <w:r w:rsidRPr="00F13073">
        <w:rPr>
          <w:sz w:val="18"/>
          <w:szCs w:val="18"/>
        </w:rPr>
        <w:t>* p&lt;0</w:t>
      </w:r>
      <w:r w:rsidR="00D06339" w:rsidRPr="00F13073">
        <w:rPr>
          <w:sz w:val="18"/>
          <w:szCs w:val="18"/>
        </w:rPr>
        <w:t>,</w:t>
      </w:r>
      <w:r w:rsidRPr="00F13073">
        <w:rPr>
          <w:sz w:val="18"/>
          <w:szCs w:val="18"/>
        </w:rPr>
        <w:t>0001</w:t>
      </w:r>
    </w:p>
    <w:p w14:paraId="1EBD5C1C" w14:textId="77777777" w:rsidR="001E0975" w:rsidRPr="00F13073" w:rsidRDefault="00611033" w:rsidP="008B4C50">
      <w:pPr>
        <w:rPr>
          <w:sz w:val="18"/>
          <w:szCs w:val="18"/>
        </w:rPr>
      </w:pPr>
      <w:r w:rsidRPr="00F13073">
        <w:rPr>
          <w:sz w:val="18"/>
          <w:szCs w:val="18"/>
        </w:rPr>
        <w:t>** p&lt;0</w:t>
      </w:r>
      <w:r w:rsidR="00D06339" w:rsidRPr="00F13073">
        <w:rPr>
          <w:sz w:val="18"/>
          <w:szCs w:val="18"/>
        </w:rPr>
        <w:t>,</w:t>
      </w:r>
      <w:r w:rsidRPr="00F13073">
        <w:rPr>
          <w:sz w:val="18"/>
          <w:szCs w:val="18"/>
        </w:rPr>
        <w:t xml:space="preserve">005 </w:t>
      </w:r>
      <w:r w:rsidR="00D06339" w:rsidRPr="00F13073">
        <w:rPr>
          <w:sz w:val="18"/>
          <w:szCs w:val="18"/>
        </w:rPr>
        <w:t>(próg istotności dla testów przewagi (superiority) w odniesieniu do pierwszorzędowego i najważniejszego drugorzędowego punktu końcowego</w:t>
      </w:r>
      <w:r w:rsidRPr="00F13073">
        <w:rPr>
          <w:sz w:val="18"/>
          <w:szCs w:val="18"/>
        </w:rPr>
        <w:t>)</w:t>
      </w:r>
    </w:p>
    <w:p w14:paraId="618362CE" w14:textId="77777777" w:rsidR="001E0975" w:rsidRPr="00F13073" w:rsidRDefault="00611033" w:rsidP="008B4C50">
      <w:pPr>
        <w:rPr>
          <w:sz w:val="18"/>
          <w:szCs w:val="18"/>
        </w:rPr>
      </w:pPr>
      <w:r w:rsidRPr="00F13073">
        <w:rPr>
          <w:sz w:val="18"/>
          <w:szCs w:val="18"/>
        </w:rPr>
        <w:t>***</w:t>
      </w:r>
      <w:r w:rsidR="00D06339" w:rsidRPr="00F13073">
        <w:rPr>
          <w:sz w:val="18"/>
          <w:szCs w:val="18"/>
        </w:rPr>
        <w:t xml:space="preserve">Opisowa wartość </w:t>
      </w:r>
      <w:r w:rsidRPr="00F13073">
        <w:rPr>
          <w:sz w:val="18"/>
          <w:szCs w:val="18"/>
        </w:rPr>
        <w:t>&lt;0</w:t>
      </w:r>
      <w:r w:rsidR="00D06339" w:rsidRPr="00F13073">
        <w:rPr>
          <w:sz w:val="18"/>
          <w:szCs w:val="18"/>
        </w:rPr>
        <w:t>,</w:t>
      </w:r>
      <w:r w:rsidRPr="00F13073">
        <w:rPr>
          <w:sz w:val="18"/>
          <w:szCs w:val="18"/>
        </w:rPr>
        <w:t>005</w:t>
      </w:r>
    </w:p>
    <w:p w14:paraId="0872615D" w14:textId="77777777" w:rsidR="001E0975" w:rsidRPr="00F13073" w:rsidRDefault="00611033" w:rsidP="008B4C50">
      <w:pPr>
        <w:rPr>
          <w:sz w:val="18"/>
          <w:szCs w:val="18"/>
        </w:rPr>
      </w:pPr>
      <w:r w:rsidRPr="00F13073">
        <w:rPr>
          <w:sz w:val="18"/>
          <w:szCs w:val="18"/>
        </w:rPr>
        <w:t>****</w:t>
      </w:r>
      <w:r w:rsidR="00D06339" w:rsidRPr="00F13073">
        <w:rPr>
          <w:sz w:val="18"/>
          <w:szCs w:val="18"/>
        </w:rPr>
        <w:t>Zaostrzenie: nawrót objawów lub symptomów GCA i (lub) OB ≥ 30 mm/h – wymagane zwiększenie dawki prednizonu</w:t>
      </w:r>
    </w:p>
    <w:p w14:paraId="270DEF2C" w14:textId="77777777" w:rsidR="001E0975" w:rsidRPr="00F13073" w:rsidRDefault="00D06339" w:rsidP="008B4C50">
      <w:pPr>
        <w:rPr>
          <w:sz w:val="18"/>
          <w:szCs w:val="18"/>
        </w:rPr>
      </w:pPr>
      <w:r w:rsidRPr="00F13073">
        <w:rPr>
          <w:sz w:val="18"/>
          <w:szCs w:val="18"/>
        </w:rPr>
        <w:t>Remisja: brak zaostrzenia choroby i normalizacja CRP</w:t>
      </w:r>
    </w:p>
    <w:p w14:paraId="5C9D4246" w14:textId="77777777" w:rsidR="003D7C7E" w:rsidRPr="00F13073" w:rsidRDefault="00D06339" w:rsidP="008B4C50">
      <w:pPr>
        <w:rPr>
          <w:sz w:val="18"/>
          <w:szCs w:val="18"/>
        </w:rPr>
      </w:pPr>
      <w:r w:rsidRPr="00F13073">
        <w:rPr>
          <w:sz w:val="18"/>
          <w:szCs w:val="18"/>
        </w:rPr>
        <w:t>Trwała remisja: remisja od 12 do 52 tygodnia – pacjenci muszą stosować się do określonego przez protokół schematu redukcji dawek prednizonu</w:t>
      </w:r>
    </w:p>
    <w:p w14:paraId="180468B9" w14:textId="77777777" w:rsidR="001E0975" w:rsidRPr="00F13073" w:rsidRDefault="003D7C7E" w:rsidP="008B4C50">
      <w:pPr>
        <w:rPr>
          <w:sz w:val="18"/>
          <w:szCs w:val="18"/>
        </w:rPr>
      </w:pPr>
      <w:r w:rsidRPr="00F13073">
        <w:rPr>
          <w:sz w:val="18"/>
          <w:szCs w:val="18"/>
          <w:vertAlign w:val="superscript"/>
        </w:rPr>
        <w:lastRenderedPageBreak/>
        <w:t>1</w:t>
      </w:r>
      <w:r w:rsidR="00611033" w:rsidRPr="00F13073">
        <w:rPr>
          <w:sz w:val="18"/>
          <w:szCs w:val="18"/>
        </w:rPr>
        <w:t xml:space="preserve"> </w:t>
      </w:r>
      <w:r w:rsidR="00D06339" w:rsidRPr="00F13073">
        <w:rPr>
          <w:sz w:val="18"/>
          <w:szCs w:val="18"/>
        </w:rPr>
        <w:t>analiza czasu (wyrażonego w dniach) pomiędzy remisją kliniczną a pierwszym zaostrzeniem choroby</w:t>
      </w:r>
    </w:p>
    <w:p w14:paraId="7C324D42" w14:textId="77777777" w:rsidR="001E0975" w:rsidRPr="00F13073" w:rsidRDefault="00611033" w:rsidP="008B4C50">
      <w:pPr>
        <w:rPr>
          <w:sz w:val="18"/>
          <w:szCs w:val="18"/>
        </w:rPr>
      </w:pPr>
      <w:r w:rsidRPr="00F13073">
        <w:rPr>
          <w:sz w:val="18"/>
          <w:szCs w:val="18"/>
          <w:vertAlign w:val="superscript"/>
        </w:rPr>
        <w:t>2</w:t>
      </w:r>
      <w:r w:rsidRPr="00F13073">
        <w:rPr>
          <w:sz w:val="18"/>
          <w:szCs w:val="18"/>
        </w:rPr>
        <w:t xml:space="preserve"> </w:t>
      </w:r>
      <w:r w:rsidR="00D06339" w:rsidRPr="00F13073">
        <w:rPr>
          <w:sz w:val="18"/>
          <w:szCs w:val="18"/>
        </w:rPr>
        <w:t>wartości p są określane przy użyciu analizy Van Elterena dla danych nieparametrycznych</w:t>
      </w:r>
    </w:p>
    <w:p w14:paraId="30CAC4D4" w14:textId="77777777" w:rsidR="001E0975" w:rsidRPr="00F13073" w:rsidRDefault="00611033" w:rsidP="008B4C50">
      <w:pPr>
        <w:rPr>
          <w:sz w:val="18"/>
          <w:szCs w:val="18"/>
        </w:rPr>
      </w:pPr>
      <w:r w:rsidRPr="00F13073">
        <w:rPr>
          <w:sz w:val="18"/>
          <w:szCs w:val="18"/>
          <w:vertAlign w:val="superscript"/>
        </w:rPr>
        <w:t>§</w:t>
      </w:r>
      <w:r w:rsidRPr="00F13073">
        <w:rPr>
          <w:sz w:val="18"/>
          <w:szCs w:val="18"/>
        </w:rPr>
        <w:t xml:space="preserve"> </w:t>
      </w:r>
      <w:r w:rsidR="00D06339" w:rsidRPr="00F13073">
        <w:rPr>
          <w:sz w:val="18"/>
          <w:szCs w:val="18"/>
        </w:rPr>
        <w:t>analizy statystyczne nie zostały przeprowadzone</w:t>
      </w:r>
    </w:p>
    <w:p w14:paraId="6DEDC990" w14:textId="77777777" w:rsidR="00D06339" w:rsidRPr="00F13073" w:rsidRDefault="00D06339" w:rsidP="008B4C50">
      <w:pPr>
        <w:rPr>
          <w:sz w:val="18"/>
          <w:szCs w:val="18"/>
        </w:rPr>
      </w:pPr>
      <w:r w:rsidRPr="00F13073">
        <w:rPr>
          <w:sz w:val="18"/>
          <w:szCs w:val="18"/>
        </w:rPr>
        <w:t>N/A= Nie dotyczy</w:t>
      </w:r>
    </w:p>
    <w:p w14:paraId="565A7D44" w14:textId="77777777" w:rsidR="00D06339" w:rsidRPr="00F13073" w:rsidRDefault="00D06339" w:rsidP="008B4C50">
      <w:pPr>
        <w:rPr>
          <w:sz w:val="18"/>
          <w:szCs w:val="18"/>
        </w:rPr>
      </w:pPr>
      <w:r w:rsidRPr="00F13073">
        <w:rPr>
          <w:sz w:val="18"/>
          <w:szCs w:val="18"/>
        </w:rPr>
        <w:t>HR = Współczynnik ryzyka</w:t>
      </w:r>
    </w:p>
    <w:p w14:paraId="68847F87" w14:textId="77777777" w:rsidR="003D7C7E" w:rsidRPr="00F13073" w:rsidRDefault="00D06339" w:rsidP="008B4C50">
      <w:r w:rsidRPr="00F13073">
        <w:rPr>
          <w:sz w:val="18"/>
          <w:szCs w:val="18"/>
        </w:rPr>
        <w:t>CI = Przedział ufności</w:t>
      </w:r>
    </w:p>
    <w:p w14:paraId="3E1D587A" w14:textId="77777777" w:rsidR="00D06339" w:rsidRPr="00F13073" w:rsidRDefault="00D06339" w:rsidP="008B4C50">
      <w:pPr>
        <w:rPr>
          <w:i/>
          <w:iCs/>
        </w:rPr>
      </w:pPr>
    </w:p>
    <w:p w14:paraId="06D81285" w14:textId="77777777" w:rsidR="00D23532" w:rsidRPr="00F13073" w:rsidRDefault="00D23532" w:rsidP="008B4C50">
      <w:pPr>
        <w:keepNext/>
        <w:rPr>
          <w:i/>
          <w:iCs/>
        </w:rPr>
      </w:pPr>
      <w:r w:rsidRPr="00F13073">
        <w:rPr>
          <w:i/>
          <w:iCs/>
        </w:rPr>
        <w:t>Wyniki w zakresie oceny jakości życia</w:t>
      </w:r>
    </w:p>
    <w:p w14:paraId="2A4B35C2" w14:textId="77777777" w:rsidR="00D23532" w:rsidRPr="00F13073" w:rsidRDefault="00D23532" w:rsidP="008B4C50">
      <w:pPr>
        <w:rPr>
          <w:rStyle w:val="Char"/>
          <w:rFonts w:eastAsia="DengXian"/>
        </w:rPr>
      </w:pPr>
    </w:p>
    <w:p w14:paraId="225A2B38" w14:textId="56BF55E7" w:rsidR="00D23532" w:rsidRPr="00F13073" w:rsidRDefault="00D23532" w:rsidP="008B4C50">
      <w:pPr>
        <w:pStyle w:val="a4"/>
        <w:widowControl/>
        <w:spacing w:after="0"/>
        <w:rPr>
          <w:rStyle w:val="Char"/>
        </w:rPr>
      </w:pPr>
      <w:r w:rsidRPr="00F13073">
        <w:rPr>
          <w:rStyle w:val="Char"/>
        </w:rPr>
        <w:t xml:space="preserve">W badaniu WA28119 wyniki kwestionariusza SF-36 zostały rozdzielone na sumaryczne wyniki dotyczące stanu fizycznego i psychicznego (odpowiednio PCS i MCS). Średnia zmiana w PCS do tygodnia 52. względem wartości wyjściowych była większa (wykazując większą poprawę) w grupach stosujących </w:t>
      </w:r>
      <w:r w:rsidR="001F01D3" w:rsidRPr="00F13073">
        <w:rPr>
          <w:rStyle w:val="Char"/>
        </w:rPr>
        <w:t xml:space="preserve">tocilizumab </w:t>
      </w:r>
      <w:r w:rsidRPr="00F13073">
        <w:rPr>
          <w:rStyle w:val="Char"/>
        </w:rPr>
        <w:t xml:space="preserve">raz w tygodniu i raz na dwa tygodnie (odpowiednio 4,10; 2,76) niż w dwóch grupach placebo (placebo plus 26 tygodni prednizonu; -0,28, placebo plus 52 tygodnie prednizonu; -1,49), chociaż tylko porównanie pomiędzy </w:t>
      </w:r>
      <w:r w:rsidR="001F01D3" w:rsidRPr="00F13073">
        <w:rPr>
          <w:rStyle w:val="Char"/>
        </w:rPr>
        <w:t xml:space="preserve">tocilizumabem </w:t>
      </w:r>
      <w:r w:rsidRPr="00F13073">
        <w:rPr>
          <w:rStyle w:val="Char"/>
        </w:rPr>
        <w:t xml:space="preserve"> podawanym raz w tygodniu w skojarzeniu z 26-tygodniową terapią malejącymi dawkami prednizonu, a grupą placebo w skojarzeniu z 52-tygodniową terapią malejącymi dawkami prednizonu (5,59; 99% CI: 8,6; 10,32) wykazało statystycznie istotną różnicę (p=0,0024). W przypadku MCS średnia zmiana do tygodnia 52. względem wartości wyjściowych zarówno w grupie otrzymującej </w:t>
      </w:r>
      <w:r w:rsidR="00B5745D" w:rsidRPr="00F13073">
        <w:rPr>
          <w:rStyle w:val="Char"/>
        </w:rPr>
        <w:t xml:space="preserve">tocilizumab </w:t>
      </w:r>
      <w:r w:rsidRPr="00F13073">
        <w:rPr>
          <w:rStyle w:val="Char"/>
        </w:rPr>
        <w:t xml:space="preserve">raz w tygodniu, jak i w grupie otrzymującej </w:t>
      </w:r>
      <w:r w:rsidR="00B5745D" w:rsidRPr="00F13073">
        <w:rPr>
          <w:rStyle w:val="Char"/>
        </w:rPr>
        <w:t xml:space="preserve">tocilizumab </w:t>
      </w:r>
      <w:r w:rsidRPr="00F13073">
        <w:rPr>
          <w:rStyle w:val="Char"/>
        </w:rPr>
        <w:t>raz na dwa tygodnie (odpowiednio 7,28; 6,12) była większa niż</w:t>
      </w:r>
      <w:r w:rsidRPr="00F13073">
        <w:rPr>
          <w:rStyle w:val="Char"/>
          <w:rFonts w:eastAsia="DengXian"/>
        </w:rPr>
        <w:t xml:space="preserve"> </w:t>
      </w:r>
      <w:r w:rsidRPr="00F13073">
        <w:rPr>
          <w:rStyle w:val="Char"/>
        </w:rPr>
        <w:t>w grupie placebo w skojarzeniu z 52-tygodniową terapią malejącymi dawkami prednizonu [2,84] (chociaż różnice nie były statystycznie istotne [p=0,0252 dla dawkowania raz w tygodniu, p=0,1468 dla dawkowania raz na dwa tygodnie]) i były podobne do wyników uzyskanych w grupie placebo plus 26-tygodniowa terapia malejącymi dawkami prednizonu [6,67].</w:t>
      </w:r>
    </w:p>
    <w:p w14:paraId="7838D1B7" w14:textId="77777777" w:rsidR="00D23532" w:rsidRPr="00F13073" w:rsidRDefault="00D23532" w:rsidP="008B4C50">
      <w:pPr>
        <w:pStyle w:val="a4"/>
        <w:widowControl/>
        <w:spacing w:after="0"/>
      </w:pPr>
    </w:p>
    <w:p w14:paraId="36D25989" w14:textId="336613E5" w:rsidR="00D23532" w:rsidRPr="00F13073" w:rsidRDefault="00D23532" w:rsidP="008B4C50">
      <w:pPr>
        <w:pStyle w:val="a4"/>
        <w:widowControl/>
        <w:spacing w:after="0"/>
        <w:rPr>
          <w:rStyle w:val="Char"/>
        </w:rPr>
      </w:pPr>
      <w:r w:rsidRPr="00F13073">
        <w:rPr>
          <w:rStyle w:val="Char"/>
        </w:rPr>
        <w:t xml:space="preserve">Globalna ocena aktywności choroby wg pacjenta była przeprowadzana w skali wzrokowo-analogowej (VAS) 0-100mm. Średnia zmiana w globalnej ocenie pacjenta w skali VAS od stanu początkowego do tygodnia 52. była mniejsza (wykazując większą poprawę) w grupach stosujących </w:t>
      </w:r>
      <w:r w:rsidR="00B5745D" w:rsidRPr="00F13073">
        <w:rPr>
          <w:rStyle w:val="Char"/>
        </w:rPr>
        <w:t>tocilizumab</w:t>
      </w:r>
      <w:r w:rsidRPr="00F13073">
        <w:rPr>
          <w:rStyle w:val="Char"/>
        </w:rPr>
        <w:t xml:space="preserve"> raz w tygodniu i raz na dwa tygodnie [odpowiednio -19,0; -25,3], niż w obu grupach placebo [placebo plus 26 tygodni -3,4, placebo plus 52 tygodnie -7,2], chociaż tylko grupa otrzymująca </w:t>
      </w:r>
      <w:r w:rsidR="00B5745D" w:rsidRPr="00F13073">
        <w:rPr>
          <w:rStyle w:val="Char"/>
        </w:rPr>
        <w:t xml:space="preserve">tocilizumab </w:t>
      </w:r>
      <w:r w:rsidRPr="00F13073">
        <w:rPr>
          <w:rStyle w:val="Char"/>
        </w:rPr>
        <w:t>co dwa tygodnie w skojarzeniu z 26-tygodniową terapią malejącymi dawkami prednizonu wykazywała statystycznie istotną różnicę w porównaniu z placebo [placebo plus 26-tygodniowa terapia malejącymi dawkami prednizonu p=0,0059 i placebo plus 52- tygodniowa terapia malejącymi dawkami prednizonu p=0,0081].</w:t>
      </w:r>
    </w:p>
    <w:p w14:paraId="3EC1A094" w14:textId="77777777" w:rsidR="00D23532" w:rsidRPr="00F13073" w:rsidRDefault="00D23532" w:rsidP="008B4C50">
      <w:pPr>
        <w:pStyle w:val="a4"/>
        <w:widowControl/>
        <w:spacing w:after="0"/>
      </w:pPr>
    </w:p>
    <w:p w14:paraId="253A365E" w14:textId="22448115" w:rsidR="00D23532" w:rsidRPr="00F13073" w:rsidRDefault="00D23532" w:rsidP="008B4C50">
      <w:pPr>
        <w:pStyle w:val="a4"/>
        <w:widowControl/>
        <w:spacing w:after="0"/>
        <w:rPr>
          <w:rStyle w:val="Char"/>
        </w:rPr>
      </w:pPr>
      <w:r w:rsidRPr="00F13073">
        <w:rPr>
          <w:rStyle w:val="Char"/>
        </w:rPr>
        <w:t xml:space="preserve">We wszystkich grupach obliczono zmiany w wyniku kwestionariusza FACIT-Fatigue od wartości początkowych do tygodnia 52. Średnie [SD] wyniki zmian były następujące: </w:t>
      </w:r>
      <w:r w:rsidR="00B5745D" w:rsidRPr="00F13073">
        <w:rPr>
          <w:rStyle w:val="Char"/>
        </w:rPr>
        <w:t xml:space="preserve">tocilizumab </w:t>
      </w:r>
      <w:r w:rsidRPr="00F13073">
        <w:rPr>
          <w:rStyle w:val="Char"/>
        </w:rPr>
        <w:t xml:space="preserve">raz w tygodniu plus 26 tygodni prednizonu 5,61 [10,115], </w:t>
      </w:r>
      <w:r w:rsidR="00B5745D" w:rsidRPr="00F13073">
        <w:rPr>
          <w:rStyle w:val="Char"/>
        </w:rPr>
        <w:t>tocilizumab</w:t>
      </w:r>
      <w:r w:rsidRPr="00F13073">
        <w:rPr>
          <w:rStyle w:val="Char"/>
        </w:rPr>
        <w:t xml:space="preserve"> raz na dwa tygodnie plus 26 tygodni prednizonu 1,81 [8,836], placebo plus 26 tygodni prednizonu 0,26 [10,702] i placebo plus 52 tygodnie prednizonu -1,63 [6,753].</w:t>
      </w:r>
    </w:p>
    <w:p w14:paraId="45447D81" w14:textId="77777777" w:rsidR="00D23532" w:rsidRPr="00F13073" w:rsidRDefault="00D23532" w:rsidP="008B4C50">
      <w:pPr>
        <w:pStyle w:val="a4"/>
        <w:widowControl/>
        <w:spacing w:after="0"/>
      </w:pPr>
    </w:p>
    <w:p w14:paraId="6F8F9108" w14:textId="71667743" w:rsidR="00D23532" w:rsidRPr="00F13073" w:rsidRDefault="00D23532" w:rsidP="008B4C50">
      <w:pPr>
        <w:pStyle w:val="a4"/>
        <w:widowControl/>
        <w:spacing w:after="0"/>
        <w:rPr>
          <w:rStyle w:val="Char"/>
        </w:rPr>
      </w:pPr>
      <w:r w:rsidRPr="00F13073">
        <w:rPr>
          <w:rStyle w:val="Char"/>
        </w:rPr>
        <w:t xml:space="preserve">Zmiana w wynikach EQ5D od wartości wyjściowych do tygodnia 52. wyniosła 0,10 [0,198] w grupie otrzymującej </w:t>
      </w:r>
      <w:r w:rsidR="003736B4" w:rsidRPr="00F13073">
        <w:rPr>
          <w:rStyle w:val="Char"/>
        </w:rPr>
        <w:t xml:space="preserve">tocilizumab </w:t>
      </w:r>
      <w:r w:rsidRPr="00F13073">
        <w:rPr>
          <w:rStyle w:val="Char"/>
        </w:rPr>
        <w:t xml:space="preserve">raz w tygodniu w skojarzeniu z 26-tygodniową terapią malejącymi dawkami prednizonu, 0,05 [0,215] w grupie otrzymującej </w:t>
      </w:r>
      <w:r w:rsidR="003736B4" w:rsidRPr="00F13073">
        <w:rPr>
          <w:rStyle w:val="Char"/>
        </w:rPr>
        <w:t>tocilizumab</w:t>
      </w:r>
      <w:r w:rsidRPr="00F13073">
        <w:rPr>
          <w:rStyle w:val="Char"/>
        </w:rPr>
        <w:t xml:space="preserve"> co dwa tygodnie w skojarzeniu z 26-tygodniową terapią malejącymi dawkami prednizonu, 0,07 [0,293] w grupie placebo plus 26-tygodniowa terapia malejącymi dawkami prednizonu i -0,02 [0,159] w grupie placebo plus 52-tygodniowa terapia malejącymi dawkami prednizonu.</w:t>
      </w:r>
    </w:p>
    <w:p w14:paraId="71BBD192" w14:textId="77777777" w:rsidR="00D23532" w:rsidRPr="00F13073" w:rsidRDefault="00D23532" w:rsidP="008B4C50">
      <w:pPr>
        <w:pStyle w:val="a4"/>
        <w:widowControl/>
        <w:spacing w:after="0"/>
      </w:pPr>
    </w:p>
    <w:p w14:paraId="4D63BD02" w14:textId="77777777" w:rsidR="00D23532" w:rsidRPr="00F13073" w:rsidRDefault="00D23532" w:rsidP="008B4C50">
      <w:pPr>
        <w:pStyle w:val="a4"/>
        <w:widowControl/>
        <w:spacing w:after="0"/>
        <w:rPr>
          <w:rStyle w:val="Char"/>
        </w:rPr>
      </w:pPr>
      <w:r w:rsidRPr="00F13073">
        <w:rPr>
          <w:rStyle w:val="Char"/>
        </w:rPr>
        <w:t>Wyższe wartości sygnalizują poprawę zarówno w kwestionariuszu FACIT-Fatigue, jak i EQ5D.</w:t>
      </w:r>
    </w:p>
    <w:p w14:paraId="0656D005" w14:textId="77777777" w:rsidR="00D23532" w:rsidRPr="00F13073" w:rsidRDefault="00D23532" w:rsidP="008B4C50">
      <w:pPr>
        <w:pStyle w:val="a4"/>
        <w:widowControl/>
        <w:spacing w:after="0"/>
      </w:pPr>
    </w:p>
    <w:p w14:paraId="4B76FE92" w14:textId="77777777" w:rsidR="00D23532" w:rsidRPr="00F13073" w:rsidRDefault="00D23532" w:rsidP="008B4C50">
      <w:pPr>
        <w:keepNext/>
        <w:rPr>
          <w:u w:val="single"/>
        </w:rPr>
      </w:pPr>
      <w:r w:rsidRPr="00F13073">
        <w:rPr>
          <w:u w:val="single"/>
        </w:rPr>
        <w:t>Podanie dożylne</w:t>
      </w:r>
    </w:p>
    <w:p w14:paraId="2F110E11" w14:textId="77777777" w:rsidR="00D23532" w:rsidRPr="00F13073" w:rsidRDefault="00D23532" w:rsidP="008B4C50">
      <w:pPr>
        <w:keepNext/>
      </w:pPr>
      <w:r w:rsidRPr="00F13073">
        <w:rPr>
          <w:rStyle w:val="Char"/>
          <w:rFonts w:eastAsia="DengXian"/>
          <w:b/>
          <w:bCs/>
          <w:u w:val="single"/>
        </w:rPr>
        <w:t>RZS</w:t>
      </w:r>
    </w:p>
    <w:p w14:paraId="3C5572A6" w14:textId="77777777" w:rsidR="00D23532" w:rsidRPr="00F13073" w:rsidRDefault="00D23532" w:rsidP="008B4C50">
      <w:pPr>
        <w:keepNext/>
        <w:rPr>
          <w:u w:val="single"/>
        </w:rPr>
      </w:pPr>
      <w:r w:rsidRPr="00F13073">
        <w:rPr>
          <w:u w:val="single"/>
        </w:rPr>
        <w:t>Skuteczność kliniczna</w:t>
      </w:r>
    </w:p>
    <w:p w14:paraId="351C274B" w14:textId="5305ACF6" w:rsidR="00D23532" w:rsidRPr="00F13073" w:rsidRDefault="00D23532" w:rsidP="008B4C50">
      <w:pPr>
        <w:pStyle w:val="a4"/>
        <w:widowControl/>
        <w:spacing w:after="0"/>
        <w:rPr>
          <w:rStyle w:val="Char"/>
        </w:rPr>
      </w:pPr>
      <w:r w:rsidRPr="00F13073">
        <w:rPr>
          <w:rStyle w:val="Char"/>
        </w:rPr>
        <w:t xml:space="preserve">Skuteczność kliniczną </w:t>
      </w:r>
      <w:r w:rsidR="005C100A" w:rsidRPr="00F13073">
        <w:rPr>
          <w:rStyle w:val="Char"/>
        </w:rPr>
        <w:t xml:space="preserve">tocilizumabu </w:t>
      </w:r>
      <w:r w:rsidRPr="00F13073">
        <w:rPr>
          <w:rStyle w:val="Char"/>
        </w:rPr>
        <w:t>w zakresie łagodzenia objawów przedmiotowych i podmiotowych RZS oceniano w pięciu wieloośrodkowych, randomizowanych badaniach prowadzonych metodą podwójnie ślepej próby. W badaniach I</w:t>
      </w:r>
      <w:r w:rsidR="001D2530" w:rsidRPr="00F13073">
        <w:rPr>
          <w:rStyle w:val="Char"/>
        </w:rPr>
        <w:t>–</w:t>
      </w:r>
      <w:r w:rsidRPr="00F13073">
        <w:rPr>
          <w:rStyle w:val="Char"/>
        </w:rPr>
        <w:t>V wzięli udział pacjenci w wieku ≥</w:t>
      </w:r>
      <w:r w:rsidRPr="00F13073">
        <w:rPr>
          <w:rStyle w:val="Char"/>
          <w:sz w:val="24"/>
          <w:szCs w:val="24"/>
        </w:rPr>
        <w:t xml:space="preserve"> </w:t>
      </w:r>
      <w:r w:rsidRPr="00F13073">
        <w:rPr>
          <w:rStyle w:val="Char"/>
        </w:rPr>
        <w:t>18 lat z czynnym RZS rozpoznanym na podstawie kryteriów American College of Rheumatology (ACR) i u których wyjściowo stwierdzono co najmniej 8 bolesnych i 6 obrzękniętych stawów.</w:t>
      </w:r>
    </w:p>
    <w:p w14:paraId="141C2BAF" w14:textId="77777777" w:rsidR="008E2940" w:rsidRPr="00F13073" w:rsidRDefault="008E2940" w:rsidP="008B4C50">
      <w:pPr>
        <w:pStyle w:val="a4"/>
        <w:widowControl/>
        <w:spacing w:after="0"/>
      </w:pPr>
    </w:p>
    <w:p w14:paraId="17C49E56" w14:textId="22E86998" w:rsidR="00D23532" w:rsidRPr="00F13073" w:rsidRDefault="00D23532" w:rsidP="008B4C50">
      <w:pPr>
        <w:pStyle w:val="a4"/>
        <w:widowControl/>
        <w:spacing w:after="0"/>
        <w:rPr>
          <w:rStyle w:val="Char"/>
        </w:rPr>
      </w:pPr>
      <w:r w:rsidRPr="00F13073">
        <w:rPr>
          <w:rStyle w:val="Char"/>
        </w:rPr>
        <w:t xml:space="preserve">W badaniu I </w:t>
      </w:r>
      <w:r w:rsidR="005C100A" w:rsidRPr="00F13073">
        <w:rPr>
          <w:rStyle w:val="Char"/>
        </w:rPr>
        <w:t xml:space="preserve">tocilizumab </w:t>
      </w:r>
      <w:r w:rsidRPr="00F13073">
        <w:rPr>
          <w:rStyle w:val="Char"/>
        </w:rPr>
        <w:t xml:space="preserve">podawano dożylnie co czwarty tydzień w </w:t>
      </w:r>
      <w:r w:rsidRPr="00F13073">
        <w:t>monoterapii</w:t>
      </w:r>
      <w:r w:rsidRPr="00F13073">
        <w:rPr>
          <w:rStyle w:val="Char"/>
        </w:rPr>
        <w:t xml:space="preserve">. W badaniach II, III i V porównywano </w:t>
      </w:r>
      <w:r w:rsidR="005C100A" w:rsidRPr="00F13073">
        <w:rPr>
          <w:rStyle w:val="Char"/>
        </w:rPr>
        <w:t xml:space="preserve">tocilizumab </w:t>
      </w:r>
      <w:r w:rsidRPr="00F13073">
        <w:rPr>
          <w:rStyle w:val="Char"/>
        </w:rPr>
        <w:t>podawany dożylnie raz na cztery tygodnie w skojarzeniu z metotreksatem do leczenia z placebo w skojarzeniu z metotreksatem. W</w:t>
      </w:r>
      <w:r w:rsidR="008E2940" w:rsidRPr="00F13073">
        <w:rPr>
          <w:rStyle w:val="Char"/>
        </w:rPr>
        <w:t xml:space="preserve"> </w:t>
      </w:r>
      <w:r w:rsidRPr="00F13073">
        <w:rPr>
          <w:rStyle w:val="Char"/>
        </w:rPr>
        <w:t xml:space="preserve">badaniu IV porównywano leczenie </w:t>
      </w:r>
      <w:r w:rsidR="005C100A" w:rsidRPr="00F13073">
        <w:rPr>
          <w:rStyle w:val="Char"/>
        </w:rPr>
        <w:t xml:space="preserve">tocilizumabem </w:t>
      </w:r>
      <w:r w:rsidRPr="00F13073">
        <w:rPr>
          <w:rStyle w:val="Char"/>
        </w:rPr>
        <w:t xml:space="preserve"> podawanym dożylnie co czwarty tydzień w skojarzeniu z innym lekiem z grupy DMARD do leczenia placebo w skojarzeniu z lekiem z grupy DMARD. Pierwszorzędowym punktem końcowym tych pięciu badań był odsetek pacjentów, którzy uzyskali odpowiedź na leczenie według kryteriów ACR 20 w 24. tygodniu.</w:t>
      </w:r>
    </w:p>
    <w:p w14:paraId="6CFB00D6" w14:textId="77777777" w:rsidR="008E2940" w:rsidRPr="00F13073" w:rsidRDefault="008E2940" w:rsidP="008B4C50">
      <w:pPr>
        <w:pStyle w:val="a4"/>
        <w:widowControl/>
        <w:spacing w:after="0"/>
      </w:pPr>
    </w:p>
    <w:p w14:paraId="745C0966" w14:textId="4738B8EE" w:rsidR="00D23532" w:rsidRPr="00F13073" w:rsidRDefault="00D23532" w:rsidP="008B4C50">
      <w:pPr>
        <w:pStyle w:val="a4"/>
        <w:widowControl/>
        <w:spacing w:after="0"/>
        <w:rPr>
          <w:rStyle w:val="Char"/>
        </w:rPr>
      </w:pPr>
      <w:r w:rsidRPr="00F13073">
        <w:rPr>
          <w:rStyle w:val="Char"/>
        </w:rPr>
        <w:t xml:space="preserve">W badaniu I wzięło udział 673 pacjentów, którzy nie byli leczeni metotreksatem w ciągu sześciu miesięcy poprzedzających randomizację i u których nie zachodziła konieczność przerwania </w:t>
      </w:r>
      <w:r w:rsidRPr="00F13073">
        <w:t>podawania</w:t>
      </w:r>
      <w:r w:rsidRPr="00F13073">
        <w:rPr>
          <w:rStyle w:val="Char"/>
        </w:rPr>
        <w:t xml:space="preserve"> metotreksatu z powodu istotnych klinicznie działań toksycznych lub braku odpowiedzi na leczenie. Większość (67%) pacjentów nigdy wcześniej nie przyjmowała metotreksatu. </w:t>
      </w:r>
      <w:r w:rsidR="00297AE2" w:rsidRPr="00F13073">
        <w:rPr>
          <w:rStyle w:val="Char"/>
        </w:rPr>
        <w:t xml:space="preserve">Tocilizumab </w:t>
      </w:r>
      <w:r w:rsidRPr="00F13073">
        <w:rPr>
          <w:rStyle w:val="Char"/>
        </w:rPr>
        <w:t>w dawce 8 mg/kg mc. podawano co czwarty tydzień w monoterapii. Grupa porównawcza otrzymywała metotreksat raz na tydzień (dawki dobierane indywidualnie od 7,5 mg do maksymalnie 20 mg na tydzień przez okres ośmiu tygodni).</w:t>
      </w:r>
    </w:p>
    <w:p w14:paraId="09E19168" w14:textId="77777777" w:rsidR="008E2940" w:rsidRPr="00F13073" w:rsidRDefault="008E2940" w:rsidP="008B4C50">
      <w:pPr>
        <w:pStyle w:val="a4"/>
        <w:widowControl/>
        <w:spacing w:after="0"/>
      </w:pPr>
    </w:p>
    <w:p w14:paraId="2D94064B" w14:textId="58D755CE" w:rsidR="00D23532" w:rsidRPr="00F13073" w:rsidRDefault="00D23532" w:rsidP="008B4C50">
      <w:pPr>
        <w:pStyle w:val="a4"/>
        <w:widowControl/>
        <w:spacing w:after="0"/>
        <w:rPr>
          <w:rStyle w:val="Char"/>
        </w:rPr>
      </w:pPr>
      <w:r w:rsidRPr="00F13073">
        <w:rPr>
          <w:rStyle w:val="Char"/>
        </w:rPr>
        <w:t xml:space="preserve">Badanie II, trwające dwa lata, z zaplanowaną analizą wyników w 24., 52. i w 104. tygodniu, objęło 1196 </w:t>
      </w:r>
      <w:r w:rsidRPr="00F13073">
        <w:t>pacjentów</w:t>
      </w:r>
      <w:r w:rsidRPr="00F13073">
        <w:rPr>
          <w:rStyle w:val="Char"/>
        </w:rPr>
        <w:t xml:space="preserve">, u których stwierdzono niedostateczną odpowiedź kliniczną na metotreksat. </w:t>
      </w:r>
      <w:r w:rsidR="00D20542" w:rsidRPr="00F13073">
        <w:rPr>
          <w:rStyle w:val="Char"/>
        </w:rPr>
        <w:t xml:space="preserve">Tocilizumab </w:t>
      </w:r>
      <w:r w:rsidRPr="00F13073">
        <w:rPr>
          <w:rStyle w:val="Char"/>
        </w:rPr>
        <w:t xml:space="preserve">w dawce 4 lub 8 mg/kg mc. lub placebo podawano z zachowaniem zasad zaślepienia raz na cztery tygodnie przez okres 52 tygodni w skojarzeniu ze stałą dawką metotreksatu (od 10 do 25 mg na tydzień). Po 52. tygodniu wszyscy pacjenci mieli możliwość leczenia </w:t>
      </w:r>
      <w:r w:rsidR="00D20542" w:rsidRPr="00F13073">
        <w:rPr>
          <w:rStyle w:val="Char"/>
        </w:rPr>
        <w:t xml:space="preserve">tocilizumabem </w:t>
      </w:r>
      <w:r w:rsidRPr="00F13073">
        <w:rPr>
          <w:rStyle w:val="Char"/>
        </w:rPr>
        <w:t xml:space="preserve"> w dawce 8 mg/kg mc. w ramach badania otwartego. Z grupy pacjentów, którzy zostali zrandomizowani do grupy placebo + metotreksat i ukończyli badanie, 86% otrzymało </w:t>
      </w:r>
      <w:r w:rsidR="00D20542" w:rsidRPr="00F13073">
        <w:rPr>
          <w:rStyle w:val="Char"/>
        </w:rPr>
        <w:t xml:space="preserve">tocilizumab </w:t>
      </w:r>
      <w:r w:rsidRPr="00F13073">
        <w:rPr>
          <w:rStyle w:val="Char"/>
        </w:rPr>
        <w:t>w dawce 8 mg/kg mc. w 2. roku. Pierwszorzędowym punktem końcowym w 24. tygodniu badania był odsetek chorych, którzy spełnili kryteria odpowiedzi na leczenie ACR 20. Oceniane w 52. i 104. tygodniu badania współistniejące pierwszorzędowe punkty końcowe obejmowały zapobieganie uszkodzeniu stawów i poprawę sprawności fizycznej.</w:t>
      </w:r>
    </w:p>
    <w:p w14:paraId="22C237FA" w14:textId="77777777" w:rsidR="008E2940" w:rsidRPr="00F13073" w:rsidRDefault="008E2940" w:rsidP="008B4C50">
      <w:pPr>
        <w:pStyle w:val="a4"/>
        <w:widowControl/>
        <w:spacing w:after="0"/>
      </w:pPr>
    </w:p>
    <w:p w14:paraId="0FEA254D" w14:textId="41B635B1" w:rsidR="00D23532" w:rsidRPr="00F13073" w:rsidRDefault="00D23532" w:rsidP="00D86A04">
      <w:pPr>
        <w:pStyle w:val="a4"/>
        <w:widowControl/>
        <w:spacing w:after="0"/>
        <w:rPr>
          <w:rStyle w:val="Char"/>
        </w:rPr>
      </w:pPr>
      <w:r w:rsidRPr="00F13073">
        <w:rPr>
          <w:rStyle w:val="Char"/>
        </w:rPr>
        <w:t xml:space="preserve">W badaniu III wzięło udział 623 pacjentów z niewystarczającą odpowiedzią kliniczną na metotreksat. Chorym podawano </w:t>
      </w:r>
      <w:r w:rsidR="00D20542" w:rsidRPr="00F13073">
        <w:rPr>
          <w:rStyle w:val="Char"/>
        </w:rPr>
        <w:t xml:space="preserve">tocilizumab </w:t>
      </w:r>
      <w:r w:rsidRPr="00F13073">
        <w:rPr>
          <w:rStyle w:val="Char"/>
        </w:rPr>
        <w:t>raz na cztery tygodnie w dawce 4 lub 8</w:t>
      </w:r>
      <w:r w:rsidR="00D86A04" w:rsidRPr="00F13073">
        <w:rPr>
          <w:rStyle w:val="Char"/>
        </w:rPr>
        <w:t> </w:t>
      </w:r>
      <w:r w:rsidRPr="00F13073">
        <w:rPr>
          <w:rStyle w:val="Char"/>
        </w:rPr>
        <w:t>mg/kg mc. lub placebo, w skojarzeniu z metotreksatem w stałej dawce (od 10 do 25 mg na tydzień).</w:t>
      </w:r>
    </w:p>
    <w:p w14:paraId="24A5A649" w14:textId="77777777" w:rsidR="008E2940" w:rsidRPr="00F13073" w:rsidRDefault="008E2940" w:rsidP="008B4C50">
      <w:pPr>
        <w:pStyle w:val="a4"/>
        <w:widowControl/>
        <w:spacing w:after="0"/>
      </w:pPr>
    </w:p>
    <w:p w14:paraId="01E8F18D" w14:textId="5289EC02" w:rsidR="00D23532" w:rsidRPr="00F13073" w:rsidRDefault="00D23532" w:rsidP="008B4C50">
      <w:pPr>
        <w:pStyle w:val="a4"/>
        <w:widowControl/>
        <w:spacing w:after="0"/>
        <w:rPr>
          <w:rStyle w:val="Char"/>
        </w:rPr>
      </w:pPr>
      <w:r w:rsidRPr="00F13073">
        <w:rPr>
          <w:rStyle w:val="Char"/>
        </w:rPr>
        <w:t xml:space="preserve">Badanie IV objęło 1220 pacjentów, u których stwierdzono niewystarczającą odpowiedź na stosowane dotychczas leczenie przeciwreumatyczne obejmujące jeden lub więcej leków z grupy DMARD. Chorym podawano </w:t>
      </w:r>
      <w:r w:rsidR="00D124E7" w:rsidRPr="00F13073">
        <w:rPr>
          <w:rStyle w:val="Char"/>
        </w:rPr>
        <w:t xml:space="preserve">tocilizumab </w:t>
      </w:r>
      <w:r w:rsidRPr="00F13073">
        <w:rPr>
          <w:rStyle w:val="Char"/>
        </w:rPr>
        <w:t>w dawce 8 mg/kg mc. lub placebo raz na cztery tygodnie w skojarzeniu z lekami z grupy DMARD w stałych dawkach.</w:t>
      </w:r>
    </w:p>
    <w:p w14:paraId="60875615" w14:textId="77777777" w:rsidR="008E2940" w:rsidRPr="00F13073" w:rsidRDefault="008E2940" w:rsidP="008B4C50">
      <w:pPr>
        <w:pStyle w:val="a4"/>
        <w:widowControl/>
        <w:spacing w:after="0"/>
      </w:pPr>
    </w:p>
    <w:p w14:paraId="42FE55BF" w14:textId="451FB7EF" w:rsidR="00D23532" w:rsidRPr="00F13073" w:rsidRDefault="00D23532" w:rsidP="008B4C50">
      <w:pPr>
        <w:pStyle w:val="a4"/>
        <w:widowControl/>
        <w:spacing w:after="0"/>
        <w:rPr>
          <w:rStyle w:val="Char"/>
        </w:rPr>
      </w:pPr>
      <w:r w:rsidRPr="00F13073">
        <w:rPr>
          <w:rStyle w:val="Char"/>
        </w:rPr>
        <w:t xml:space="preserve">W badaniu V wzięło udział 499 pacjentów z niedostateczną odpowiedzią kliniczną lub nietolerancją jednego lub więcej leków z grupy inhibitorów TNF. Leczenie inhibitorem TNF przerwano przed randomizacją. </w:t>
      </w:r>
      <w:r w:rsidR="00D124E7" w:rsidRPr="00F13073">
        <w:rPr>
          <w:rStyle w:val="Char"/>
        </w:rPr>
        <w:t xml:space="preserve">Tocilizumab </w:t>
      </w:r>
      <w:r w:rsidRPr="00F13073">
        <w:rPr>
          <w:rStyle w:val="Char"/>
        </w:rPr>
        <w:t>w dawce 4 lub 8 mg/kg mc. lub placebo podawano raz na cztery tygodnie w skojarzeniu ze stałymi dawkami metotreksatu (od 10 do 25 mg na tydzień).</w:t>
      </w:r>
    </w:p>
    <w:p w14:paraId="322C635E" w14:textId="77777777" w:rsidR="008E2940" w:rsidRPr="00F13073" w:rsidRDefault="008E2940" w:rsidP="008B4C50">
      <w:pPr>
        <w:pStyle w:val="a4"/>
        <w:widowControl/>
        <w:spacing w:after="0"/>
      </w:pPr>
    </w:p>
    <w:p w14:paraId="6BECE4F6" w14:textId="77777777" w:rsidR="00D23532" w:rsidRPr="00F13073" w:rsidRDefault="00D23532" w:rsidP="008B4C50">
      <w:pPr>
        <w:pStyle w:val="a4"/>
        <w:widowControl/>
        <w:spacing w:after="0"/>
        <w:rPr>
          <w:u w:val="single"/>
        </w:rPr>
      </w:pPr>
      <w:r w:rsidRPr="00F13073">
        <w:rPr>
          <w:rStyle w:val="Char"/>
          <w:u w:val="single"/>
        </w:rPr>
        <w:t>Odpowiedź kliniczna</w:t>
      </w:r>
    </w:p>
    <w:p w14:paraId="7A18AD12" w14:textId="6921A1FD" w:rsidR="00D23532" w:rsidRPr="00F13073" w:rsidRDefault="00D23532" w:rsidP="008B4C50">
      <w:pPr>
        <w:pStyle w:val="a4"/>
        <w:widowControl/>
        <w:spacing w:after="0"/>
        <w:rPr>
          <w:rStyle w:val="Char"/>
        </w:rPr>
      </w:pPr>
      <w:r w:rsidRPr="00F13073">
        <w:rPr>
          <w:rStyle w:val="Char"/>
        </w:rPr>
        <w:t xml:space="preserve">We wszystkich badaniach u chorych leczonych </w:t>
      </w:r>
      <w:r w:rsidR="003B0D48" w:rsidRPr="00F13073">
        <w:rPr>
          <w:rStyle w:val="Char"/>
        </w:rPr>
        <w:t xml:space="preserve">tocilizumabem </w:t>
      </w:r>
      <w:r w:rsidRPr="00F13073">
        <w:rPr>
          <w:rStyle w:val="Char"/>
        </w:rPr>
        <w:t xml:space="preserve">w dawce 8 mg/kg mc. stwierdzono po 6 miesiącach istotnie statystycznie większą częstość odpowiedzi na leczenie ACR 20, 50, 70 w porównaniu do grupy kontrolnej (Tabela 5). W badaniu I dowiedziono wyższości </w:t>
      </w:r>
      <w:r w:rsidR="003B0D48" w:rsidRPr="00F13073">
        <w:rPr>
          <w:rStyle w:val="Char"/>
        </w:rPr>
        <w:t xml:space="preserve">tocilizumabu </w:t>
      </w:r>
      <w:r w:rsidRPr="00F13073">
        <w:rPr>
          <w:rStyle w:val="Char"/>
        </w:rPr>
        <w:t xml:space="preserve">podawanego w dawce 8 mg/kg mc. nad czynnym produktem porównawczym </w:t>
      </w:r>
      <w:r w:rsidR="00BC44E9" w:rsidRPr="00F13073">
        <w:rPr>
          <w:rStyle w:val="Char"/>
        </w:rPr>
        <w:t>–</w:t>
      </w:r>
      <w:r w:rsidRPr="00F13073">
        <w:rPr>
          <w:rStyle w:val="Char"/>
        </w:rPr>
        <w:t xml:space="preserve"> metotreksatem.</w:t>
      </w:r>
    </w:p>
    <w:p w14:paraId="1FB4878C" w14:textId="77777777" w:rsidR="00D23532" w:rsidRPr="00F13073" w:rsidRDefault="00D23532" w:rsidP="008B4C50">
      <w:pPr>
        <w:pStyle w:val="a4"/>
        <w:widowControl/>
        <w:spacing w:after="0"/>
        <w:rPr>
          <w:rStyle w:val="Char"/>
        </w:rPr>
      </w:pPr>
      <w:r w:rsidRPr="00F13073">
        <w:rPr>
          <w:rStyle w:val="Char"/>
        </w:rPr>
        <w:t xml:space="preserve">Efekt leczenia u chorych był porównywalny niezależnie od obecności lub braku czynnika reumatoidalnego w surowicy krwi, wieku, płci, rasy, liczby stosowanych wcześniej terapii i stopnia </w:t>
      </w:r>
      <w:r w:rsidRPr="00F13073">
        <w:t>zaawansowania</w:t>
      </w:r>
      <w:r w:rsidRPr="00F13073">
        <w:rPr>
          <w:rStyle w:val="Char"/>
        </w:rPr>
        <w:t xml:space="preserve"> choroby. Poprawa następowała szybko (już od drugiego tygodnia od rozpoczęcia podawania), a odpowiedź na leczenie wzrastała wraz z czasem trwania terapii. W badaniach otwartych będących przedłużeniem badań I </w:t>
      </w:r>
      <w:r w:rsidR="00BC44E9" w:rsidRPr="00F13073">
        <w:rPr>
          <w:rStyle w:val="Char"/>
        </w:rPr>
        <w:t>–</w:t>
      </w:r>
      <w:r w:rsidRPr="00F13073">
        <w:rPr>
          <w:rStyle w:val="Char"/>
        </w:rPr>
        <w:t xml:space="preserve"> V obserwowano utrzymywanie się trwałej odpowiedzi na leczenie przez ponad 3 lata.</w:t>
      </w:r>
    </w:p>
    <w:p w14:paraId="6BC0D103" w14:textId="77777777" w:rsidR="008E2940" w:rsidRPr="00F13073" w:rsidRDefault="008E2940" w:rsidP="008B4C50">
      <w:pPr>
        <w:pStyle w:val="a4"/>
        <w:widowControl/>
        <w:spacing w:after="0"/>
      </w:pPr>
    </w:p>
    <w:p w14:paraId="5F1F410C" w14:textId="4FD77D20" w:rsidR="00D23532" w:rsidRPr="00F13073" w:rsidRDefault="00D23532" w:rsidP="008B4C50">
      <w:pPr>
        <w:pStyle w:val="a4"/>
        <w:widowControl/>
        <w:spacing w:after="0"/>
        <w:rPr>
          <w:rStyle w:val="Char"/>
        </w:rPr>
      </w:pPr>
      <w:r w:rsidRPr="00F13073">
        <w:rPr>
          <w:rStyle w:val="Char"/>
        </w:rPr>
        <w:t xml:space="preserve">We </w:t>
      </w:r>
      <w:r w:rsidRPr="00F13073">
        <w:t>wszystkich</w:t>
      </w:r>
      <w:r w:rsidRPr="00F13073">
        <w:rPr>
          <w:rStyle w:val="Char"/>
        </w:rPr>
        <w:t xml:space="preserve"> badaniach u chorych leczonych </w:t>
      </w:r>
      <w:r w:rsidR="004C7EA8" w:rsidRPr="00F13073">
        <w:rPr>
          <w:rStyle w:val="Char"/>
        </w:rPr>
        <w:t xml:space="preserve">tocilizumabem </w:t>
      </w:r>
      <w:r w:rsidRPr="00F13073">
        <w:rPr>
          <w:rStyle w:val="Char"/>
        </w:rPr>
        <w:t xml:space="preserve">w dawce 8 mg/kg mc. odnotowano istotną poprawę we wszystkich parametrach oceny odpowiedzi ACR: liczba bolesnych i obrzękniętych </w:t>
      </w:r>
      <w:r w:rsidRPr="00F13073">
        <w:rPr>
          <w:rStyle w:val="Char"/>
        </w:rPr>
        <w:lastRenderedPageBreak/>
        <w:t>stawów, ocena ogólna w opinii pacjenta i lekarza, wskaźnik niepełnosprawności, ocena bólu i stężenie CRP w porównaniu do pacjentów otrzymujących placebo i metotreksat lub inny lek z grupy DMARD.</w:t>
      </w:r>
    </w:p>
    <w:p w14:paraId="4D0F44FF" w14:textId="77777777" w:rsidR="008E2940" w:rsidRPr="00F13073" w:rsidRDefault="008E2940" w:rsidP="008B4C50">
      <w:pPr>
        <w:pStyle w:val="a4"/>
        <w:widowControl/>
        <w:spacing w:after="0"/>
      </w:pPr>
    </w:p>
    <w:p w14:paraId="5DD6CA18" w14:textId="5F96D4F7" w:rsidR="00D23532" w:rsidRPr="00F13073" w:rsidRDefault="00D23532" w:rsidP="008B4C50">
      <w:pPr>
        <w:pStyle w:val="a4"/>
        <w:widowControl/>
        <w:spacing w:after="0"/>
        <w:rPr>
          <w:rStyle w:val="Char"/>
        </w:rPr>
      </w:pPr>
      <w:r w:rsidRPr="00F13073">
        <w:rPr>
          <w:rStyle w:val="Char"/>
        </w:rPr>
        <w:t xml:space="preserve">U pacjentów biorących udział w badaniach od I do V średnia wartość wskaźnika aktywności </w:t>
      </w:r>
      <w:r w:rsidRPr="00F13073">
        <w:t>choroby</w:t>
      </w:r>
      <w:r w:rsidRPr="00F13073">
        <w:rPr>
          <w:rStyle w:val="Char"/>
        </w:rPr>
        <w:t xml:space="preserve"> dla 28 stawów (DAS28) wynosiła wyjściowo 6,5</w:t>
      </w:r>
      <w:r w:rsidR="00FC3902" w:rsidRPr="00F13073">
        <w:rPr>
          <w:rStyle w:val="Char"/>
        </w:rPr>
        <w:t>–</w:t>
      </w:r>
      <w:r w:rsidRPr="00F13073">
        <w:rPr>
          <w:rStyle w:val="Char"/>
        </w:rPr>
        <w:t xml:space="preserve">6,8. U chorych otrzymujących </w:t>
      </w:r>
      <w:r w:rsidR="004C7EA8" w:rsidRPr="00F13073">
        <w:rPr>
          <w:rStyle w:val="Char"/>
        </w:rPr>
        <w:t xml:space="preserve">tocilizumab </w:t>
      </w:r>
      <w:r w:rsidRPr="00F13073">
        <w:rPr>
          <w:rStyle w:val="Char"/>
        </w:rPr>
        <w:t>stwierdzono statystycznie istotne zmniejszenie wyjściowych wartości wskaźnika DAS28 (średnia poprawa) 3,1</w:t>
      </w:r>
      <w:r w:rsidR="00FC3902" w:rsidRPr="00F13073">
        <w:rPr>
          <w:rStyle w:val="Char"/>
        </w:rPr>
        <w:t>–</w:t>
      </w:r>
      <w:r w:rsidRPr="00F13073">
        <w:rPr>
          <w:rStyle w:val="Char"/>
        </w:rPr>
        <w:t xml:space="preserve">3,4 w porównaniu do pacjentów w grupie kontrolnej (1,3-2,1). Odsetek pacjentów, u których stwierdzono kliniczną remisję wg DAS28 (DAS28 &lt; 2,6) po 24 tygodniach leczenia, był istotnie wyższy wśród pacjentów otrzymujących </w:t>
      </w:r>
      <w:r w:rsidR="004C7EA8" w:rsidRPr="00F13073">
        <w:rPr>
          <w:rStyle w:val="Char"/>
        </w:rPr>
        <w:t xml:space="preserve">tocilizumab </w:t>
      </w:r>
      <w:r w:rsidRPr="00F13073">
        <w:rPr>
          <w:rStyle w:val="Char"/>
        </w:rPr>
        <w:t>(28%</w:t>
      </w:r>
      <w:r w:rsidR="00FC3902" w:rsidRPr="00F13073">
        <w:rPr>
          <w:rStyle w:val="Char"/>
        </w:rPr>
        <w:t>–</w:t>
      </w:r>
      <w:r w:rsidRPr="00F13073">
        <w:rPr>
          <w:rStyle w:val="Char"/>
        </w:rPr>
        <w:t>34%) w porównaniu do 1%</w:t>
      </w:r>
      <w:r w:rsidR="00FC3902" w:rsidRPr="00F13073">
        <w:rPr>
          <w:rStyle w:val="Char"/>
        </w:rPr>
        <w:t>–</w:t>
      </w:r>
      <w:r w:rsidRPr="00F13073">
        <w:rPr>
          <w:rStyle w:val="Char"/>
        </w:rPr>
        <w:t>12% wśród chorych z grup kontrolnych. W badaniu II, w 104. tygodniu leczenia 65% pacjentów osiągnęło wartość wskaźnika DAS28 &lt; 2,6 w porównaniu do 48% w 52. tygodniu i 33% w 24. tygodniu leczenia.</w:t>
      </w:r>
    </w:p>
    <w:p w14:paraId="1413E44C" w14:textId="77777777" w:rsidR="008E2940" w:rsidRPr="00F13073" w:rsidRDefault="008E2940" w:rsidP="008B4C50">
      <w:pPr>
        <w:pStyle w:val="a4"/>
        <w:widowControl/>
        <w:spacing w:after="0"/>
      </w:pPr>
    </w:p>
    <w:p w14:paraId="5A29E876" w14:textId="539BB267" w:rsidR="00D23532" w:rsidRPr="00F13073" w:rsidRDefault="00D23532" w:rsidP="008B4C50">
      <w:pPr>
        <w:pStyle w:val="a4"/>
        <w:widowControl/>
        <w:spacing w:after="0"/>
        <w:rPr>
          <w:rStyle w:val="Char"/>
        </w:rPr>
      </w:pPr>
      <w:r w:rsidRPr="00F13073">
        <w:rPr>
          <w:rStyle w:val="Char"/>
        </w:rPr>
        <w:t xml:space="preserve">W analizie zbiorczej badań II, III i IV odsetek pacjentów, którzy uzyskali odpowiedź ACR 20, 50, 70 był istotnie wyższy (odpowiednio 59% vs. 50%, 37% vs. 27%, 18% vs. 11%) w grupie otrzymującej tocilizumab w dawce 8 mg/kg mc. w skojarzeniu z lekiem z grupy DMARD, w porównaniu do grupy leczonej tocilizumabem w dawce 4 mg/kg mc. w skojarzeniu z lekiem z grupy DMARD (p &lt; 0,03). Podobnie odsetek pacjentów, u których stwierdzono remisję według wskaźnika aktywności choroby DAS28 (DAS28 &lt; 2,6), był istotnie wyższy (odpowiednio 31% vs. 16%) wśród chorych otrzymujących </w:t>
      </w:r>
      <w:r w:rsidR="00236261" w:rsidRPr="00F13073">
        <w:rPr>
          <w:rStyle w:val="Char"/>
        </w:rPr>
        <w:t xml:space="preserve">tocilizumab </w:t>
      </w:r>
      <w:r w:rsidRPr="00F13073">
        <w:rPr>
          <w:rStyle w:val="Char"/>
        </w:rPr>
        <w:t xml:space="preserve">w dawce 8 mg/kg mc. z lekiem z grupy DMARD niż u chorych leczonych </w:t>
      </w:r>
      <w:r w:rsidR="00236261" w:rsidRPr="00F13073">
        <w:rPr>
          <w:rStyle w:val="Char"/>
        </w:rPr>
        <w:t xml:space="preserve">tocilizumabem </w:t>
      </w:r>
      <w:r w:rsidRPr="00F13073">
        <w:rPr>
          <w:rStyle w:val="Char"/>
        </w:rPr>
        <w:t>w dawce 4 mg/kg mc. z lekiem z grupy DMARD (p &lt; 0,0001).</w:t>
      </w:r>
    </w:p>
    <w:p w14:paraId="14C7E132" w14:textId="77777777" w:rsidR="001E0975" w:rsidRPr="00F13073" w:rsidRDefault="001E0975" w:rsidP="008B4C50"/>
    <w:p w14:paraId="5316E4F9" w14:textId="77777777" w:rsidR="001E0975" w:rsidRPr="00F13073" w:rsidRDefault="00611033" w:rsidP="008B4C50">
      <w:pPr>
        <w:keepNext/>
        <w:ind w:left="1134" w:hanging="1134"/>
        <w:rPr>
          <w:i/>
          <w:iCs/>
        </w:rPr>
      </w:pPr>
      <w:r w:rsidRPr="00F13073">
        <w:rPr>
          <w:i/>
          <w:iCs/>
        </w:rPr>
        <w:t>Tab</w:t>
      </w:r>
      <w:r w:rsidR="00A32ABA" w:rsidRPr="00F13073">
        <w:rPr>
          <w:i/>
          <w:iCs/>
        </w:rPr>
        <w:t>e</w:t>
      </w:r>
      <w:r w:rsidRPr="00F13073">
        <w:rPr>
          <w:i/>
          <w:iCs/>
        </w:rPr>
        <w:t>l</w:t>
      </w:r>
      <w:r w:rsidR="008E2940" w:rsidRPr="00F13073">
        <w:rPr>
          <w:i/>
          <w:iCs/>
        </w:rPr>
        <w:t>a</w:t>
      </w:r>
      <w:r w:rsidRPr="00F13073">
        <w:rPr>
          <w:i/>
          <w:iCs/>
        </w:rPr>
        <w:t xml:space="preserve"> 5.</w:t>
      </w:r>
      <w:r w:rsidR="008B3956" w:rsidRPr="00F13073">
        <w:rPr>
          <w:i/>
          <w:iCs/>
        </w:rPr>
        <w:tab/>
      </w:r>
      <w:r w:rsidR="008E2940" w:rsidRPr="00F13073">
        <w:rPr>
          <w:rStyle w:val="Char"/>
          <w:rFonts w:eastAsia="DengXian"/>
          <w:i/>
          <w:iCs/>
        </w:rPr>
        <w:t>Odpowiedzi ACR w badaniach kontrolowanych z udziałem placebo/metotreksatu/leków DMARD (%pacjentów)</w:t>
      </w:r>
    </w:p>
    <w:p w14:paraId="305B0BEF" w14:textId="77777777" w:rsidR="008B3956" w:rsidRPr="00F13073" w:rsidRDefault="008B3956" w:rsidP="008B4C50">
      <w:pPr>
        <w:keepNext/>
        <w:ind w:left="1134" w:hanging="1134"/>
        <w:rPr>
          <w:i/>
          <w:iCs/>
        </w:rPr>
      </w:pPr>
    </w:p>
    <w:tbl>
      <w:tblPr>
        <w:tblOverlap w:val="never"/>
        <w:tblW w:w="4973"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52"/>
        <w:gridCol w:w="784"/>
        <w:gridCol w:w="728"/>
        <w:gridCol w:w="868"/>
        <w:gridCol w:w="784"/>
        <w:gridCol w:w="896"/>
        <w:gridCol w:w="723"/>
        <w:gridCol w:w="998"/>
        <w:gridCol w:w="924"/>
        <w:gridCol w:w="811"/>
        <w:gridCol w:w="739"/>
      </w:tblGrid>
      <w:tr w:rsidR="00B1042A" w:rsidRPr="00F13073" w14:paraId="62C105EA" w14:textId="77777777" w:rsidTr="003759BA">
        <w:trPr>
          <w:cantSplit/>
          <w:tblHeader/>
        </w:trPr>
        <w:tc>
          <w:tcPr>
            <w:tcW w:w="758" w:type="dxa"/>
          </w:tcPr>
          <w:p w14:paraId="2FE5A3BF" w14:textId="77777777" w:rsidR="00B1042A" w:rsidRPr="00F13073" w:rsidRDefault="00B1042A" w:rsidP="00183CFA">
            <w:pPr>
              <w:keepNext/>
              <w:suppressAutoHyphens/>
              <w:jc w:val="center"/>
              <w:rPr>
                <w:b/>
                <w:bCs/>
                <w:sz w:val="20"/>
                <w:szCs w:val="20"/>
              </w:rPr>
            </w:pPr>
          </w:p>
        </w:tc>
        <w:tc>
          <w:tcPr>
            <w:tcW w:w="1523" w:type="dxa"/>
            <w:gridSpan w:val="2"/>
          </w:tcPr>
          <w:p w14:paraId="17C79AA6" w14:textId="77777777" w:rsidR="00B1042A" w:rsidRPr="00F13073" w:rsidRDefault="00B1042A" w:rsidP="00183CFA">
            <w:pPr>
              <w:keepNext/>
              <w:suppressAutoHyphens/>
              <w:jc w:val="center"/>
              <w:rPr>
                <w:rStyle w:val="Other"/>
                <w:rFonts w:eastAsia="DengXian"/>
                <w:b/>
                <w:bCs/>
                <w:sz w:val="20"/>
                <w:szCs w:val="20"/>
              </w:rPr>
            </w:pPr>
            <w:r w:rsidRPr="00F13073">
              <w:rPr>
                <w:rStyle w:val="Other"/>
                <w:rFonts w:eastAsia="DengXian"/>
                <w:b/>
                <w:bCs/>
                <w:sz w:val="20"/>
                <w:szCs w:val="20"/>
              </w:rPr>
              <w:t>Badanie I</w:t>
            </w:r>
          </w:p>
          <w:p w14:paraId="5F8497FD" w14:textId="77777777" w:rsidR="00B1042A" w:rsidRPr="00F13073" w:rsidRDefault="00B1042A" w:rsidP="00183CFA">
            <w:pPr>
              <w:keepNext/>
              <w:suppressAutoHyphens/>
              <w:jc w:val="center"/>
              <w:rPr>
                <w:b/>
                <w:bCs/>
                <w:sz w:val="20"/>
                <w:szCs w:val="20"/>
              </w:rPr>
            </w:pPr>
            <w:r w:rsidRPr="00F13073">
              <w:rPr>
                <w:rStyle w:val="Other"/>
                <w:rFonts w:eastAsia="DengXian"/>
                <w:b/>
                <w:bCs/>
                <w:sz w:val="20"/>
                <w:szCs w:val="20"/>
              </w:rPr>
              <w:t>AMBITION</w:t>
            </w:r>
          </w:p>
        </w:tc>
        <w:tc>
          <w:tcPr>
            <w:tcW w:w="1664" w:type="dxa"/>
            <w:gridSpan w:val="2"/>
          </w:tcPr>
          <w:p w14:paraId="7CC79BE6" w14:textId="77777777" w:rsidR="00B1042A" w:rsidRPr="00F13073" w:rsidRDefault="00B1042A" w:rsidP="00183CFA">
            <w:pPr>
              <w:keepNext/>
              <w:suppressAutoHyphens/>
              <w:jc w:val="center"/>
              <w:rPr>
                <w:rStyle w:val="Other"/>
                <w:rFonts w:eastAsia="DengXian"/>
                <w:b/>
                <w:bCs/>
                <w:sz w:val="20"/>
                <w:szCs w:val="20"/>
              </w:rPr>
            </w:pPr>
            <w:r w:rsidRPr="00F13073">
              <w:rPr>
                <w:rStyle w:val="Other"/>
                <w:rFonts w:eastAsia="DengXian"/>
                <w:b/>
                <w:bCs/>
                <w:sz w:val="20"/>
                <w:szCs w:val="20"/>
              </w:rPr>
              <w:t>Badanie II</w:t>
            </w:r>
          </w:p>
          <w:p w14:paraId="10B4C257" w14:textId="77777777" w:rsidR="00B1042A" w:rsidRPr="00F13073" w:rsidRDefault="00B1042A" w:rsidP="00183CFA">
            <w:pPr>
              <w:keepNext/>
              <w:suppressAutoHyphens/>
              <w:jc w:val="center"/>
              <w:rPr>
                <w:b/>
                <w:bCs/>
                <w:sz w:val="20"/>
                <w:szCs w:val="20"/>
              </w:rPr>
            </w:pPr>
            <w:r w:rsidRPr="00F13073">
              <w:rPr>
                <w:rStyle w:val="Other"/>
                <w:rFonts w:eastAsia="DengXian"/>
                <w:b/>
                <w:bCs/>
                <w:sz w:val="20"/>
                <w:szCs w:val="20"/>
              </w:rPr>
              <w:t>LITHE</w:t>
            </w:r>
          </w:p>
        </w:tc>
        <w:tc>
          <w:tcPr>
            <w:tcW w:w="1631" w:type="dxa"/>
            <w:gridSpan w:val="2"/>
          </w:tcPr>
          <w:p w14:paraId="019039C8" w14:textId="77777777" w:rsidR="00B1042A" w:rsidRPr="00F13073" w:rsidRDefault="00B1042A" w:rsidP="00183CFA">
            <w:pPr>
              <w:keepNext/>
              <w:suppressAutoHyphens/>
              <w:jc w:val="center"/>
              <w:rPr>
                <w:rStyle w:val="Other"/>
                <w:rFonts w:eastAsia="DengXian"/>
                <w:b/>
                <w:bCs/>
                <w:sz w:val="20"/>
                <w:szCs w:val="20"/>
              </w:rPr>
            </w:pPr>
            <w:r w:rsidRPr="00F13073">
              <w:rPr>
                <w:rStyle w:val="Other"/>
                <w:rFonts w:eastAsia="DengXian"/>
                <w:b/>
                <w:bCs/>
                <w:sz w:val="20"/>
                <w:szCs w:val="20"/>
              </w:rPr>
              <w:t>Badanie III</w:t>
            </w:r>
          </w:p>
          <w:p w14:paraId="15056DA6" w14:textId="77777777" w:rsidR="00B1042A" w:rsidRPr="00F13073" w:rsidRDefault="00B1042A" w:rsidP="00183CFA">
            <w:pPr>
              <w:keepNext/>
              <w:suppressAutoHyphens/>
              <w:jc w:val="center"/>
              <w:rPr>
                <w:b/>
                <w:bCs/>
                <w:sz w:val="20"/>
                <w:szCs w:val="20"/>
              </w:rPr>
            </w:pPr>
            <w:r w:rsidRPr="00F13073">
              <w:rPr>
                <w:rStyle w:val="Other"/>
                <w:rFonts w:eastAsia="DengXian"/>
                <w:b/>
                <w:bCs/>
                <w:sz w:val="20"/>
                <w:szCs w:val="20"/>
              </w:rPr>
              <w:t>OPTION</w:t>
            </w:r>
          </w:p>
        </w:tc>
        <w:tc>
          <w:tcPr>
            <w:tcW w:w="1936" w:type="dxa"/>
            <w:gridSpan w:val="2"/>
          </w:tcPr>
          <w:p w14:paraId="0C4C316E" w14:textId="77777777" w:rsidR="00B1042A" w:rsidRPr="00F13073" w:rsidRDefault="00B1042A" w:rsidP="00183CFA">
            <w:pPr>
              <w:keepNext/>
              <w:suppressAutoHyphens/>
              <w:jc w:val="center"/>
              <w:rPr>
                <w:rStyle w:val="Other"/>
                <w:rFonts w:eastAsia="DengXian"/>
                <w:b/>
                <w:bCs/>
                <w:sz w:val="20"/>
                <w:szCs w:val="20"/>
              </w:rPr>
            </w:pPr>
            <w:r w:rsidRPr="00F13073">
              <w:rPr>
                <w:rStyle w:val="Other"/>
                <w:rFonts w:eastAsia="DengXian"/>
                <w:b/>
                <w:bCs/>
                <w:sz w:val="20"/>
                <w:szCs w:val="20"/>
              </w:rPr>
              <w:t>Badanie IV</w:t>
            </w:r>
          </w:p>
          <w:p w14:paraId="621109CF" w14:textId="77777777" w:rsidR="00B1042A" w:rsidRPr="00F13073" w:rsidRDefault="00B1042A" w:rsidP="00183CFA">
            <w:pPr>
              <w:keepNext/>
              <w:suppressAutoHyphens/>
              <w:jc w:val="center"/>
              <w:rPr>
                <w:b/>
                <w:bCs/>
                <w:sz w:val="20"/>
                <w:szCs w:val="20"/>
              </w:rPr>
            </w:pPr>
            <w:r w:rsidRPr="00F13073">
              <w:rPr>
                <w:rStyle w:val="Other"/>
                <w:rFonts w:eastAsia="DengXian"/>
                <w:b/>
                <w:bCs/>
                <w:sz w:val="20"/>
                <w:szCs w:val="20"/>
              </w:rPr>
              <w:t>TOWARD</w:t>
            </w:r>
          </w:p>
        </w:tc>
        <w:tc>
          <w:tcPr>
            <w:tcW w:w="1561" w:type="dxa"/>
            <w:gridSpan w:val="2"/>
          </w:tcPr>
          <w:p w14:paraId="42B23F46" w14:textId="77777777" w:rsidR="00B1042A" w:rsidRPr="00F13073" w:rsidRDefault="00B1042A" w:rsidP="00183CFA">
            <w:pPr>
              <w:keepNext/>
              <w:suppressAutoHyphens/>
              <w:jc w:val="center"/>
              <w:rPr>
                <w:rStyle w:val="Other"/>
                <w:rFonts w:eastAsia="DengXian"/>
                <w:b/>
                <w:bCs/>
                <w:sz w:val="20"/>
                <w:szCs w:val="20"/>
              </w:rPr>
            </w:pPr>
            <w:r w:rsidRPr="00F13073">
              <w:rPr>
                <w:rStyle w:val="Other"/>
                <w:rFonts w:eastAsia="DengXian"/>
                <w:b/>
                <w:bCs/>
                <w:sz w:val="20"/>
                <w:szCs w:val="20"/>
              </w:rPr>
              <w:t>Badanie V</w:t>
            </w:r>
          </w:p>
          <w:p w14:paraId="4B324655" w14:textId="77777777" w:rsidR="00B1042A" w:rsidRPr="00F13073" w:rsidRDefault="00B1042A" w:rsidP="00183CFA">
            <w:pPr>
              <w:keepNext/>
              <w:suppressAutoHyphens/>
              <w:jc w:val="center"/>
              <w:rPr>
                <w:b/>
                <w:bCs/>
                <w:sz w:val="20"/>
                <w:szCs w:val="20"/>
              </w:rPr>
            </w:pPr>
            <w:r w:rsidRPr="00F13073">
              <w:rPr>
                <w:rStyle w:val="Other"/>
                <w:rFonts w:eastAsia="DengXian"/>
                <w:b/>
                <w:bCs/>
                <w:sz w:val="20"/>
                <w:szCs w:val="20"/>
              </w:rPr>
              <w:t>RADIATE</w:t>
            </w:r>
          </w:p>
        </w:tc>
      </w:tr>
      <w:tr w:rsidR="008B3956" w:rsidRPr="00F13073" w14:paraId="2D4DDE24" w14:textId="77777777" w:rsidTr="003759BA">
        <w:trPr>
          <w:cantSplit/>
          <w:tblHeader/>
        </w:trPr>
        <w:tc>
          <w:tcPr>
            <w:tcW w:w="758" w:type="dxa"/>
          </w:tcPr>
          <w:p w14:paraId="220CD673" w14:textId="77777777" w:rsidR="001E0975" w:rsidRPr="00F13073" w:rsidRDefault="00B1042A" w:rsidP="00183CFA">
            <w:pPr>
              <w:keepNext/>
              <w:suppressAutoHyphens/>
              <w:jc w:val="center"/>
              <w:rPr>
                <w:sz w:val="20"/>
                <w:szCs w:val="20"/>
              </w:rPr>
            </w:pPr>
            <w:r w:rsidRPr="00F13073">
              <w:rPr>
                <w:rStyle w:val="Other"/>
                <w:rFonts w:eastAsia="DengXian"/>
                <w:sz w:val="20"/>
                <w:szCs w:val="20"/>
              </w:rPr>
              <w:t>Tydzień</w:t>
            </w:r>
          </w:p>
        </w:tc>
        <w:tc>
          <w:tcPr>
            <w:tcW w:w="790" w:type="dxa"/>
          </w:tcPr>
          <w:p w14:paraId="618BB797" w14:textId="77777777" w:rsidR="001E0975" w:rsidRPr="00F13073" w:rsidRDefault="00611033" w:rsidP="00183CFA">
            <w:pPr>
              <w:keepNext/>
              <w:suppressAutoHyphens/>
              <w:jc w:val="center"/>
              <w:rPr>
                <w:b/>
                <w:bCs/>
                <w:sz w:val="20"/>
                <w:szCs w:val="20"/>
              </w:rPr>
            </w:pPr>
            <w:r w:rsidRPr="00F13073">
              <w:rPr>
                <w:b/>
                <w:bCs/>
                <w:sz w:val="20"/>
                <w:szCs w:val="20"/>
              </w:rPr>
              <w:t>TCZ</w:t>
            </w:r>
          </w:p>
          <w:p w14:paraId="480F1670" w14:textId="77777777" w:rsidR="001E0975" w:rsidRPr="00F13073" w:rsidRDefault="00611033" w:rsidP="00183CFA">
            <w:pPr>
              <w:keepNext/>
              <w:suppressAutoHyphens/>
              <w:jc w:val="center"/>
              <w:rPr>
                <w:b/>
                <w:bCs/>
                <w:sz w:val="20"/>
                <w:szCs w:val="20"/>
              </w:rPr>
            </w:pPr>
            <w:r w:rsidRPr="00F13073">
              <w:rPr>
                <w:b/>
                <w:bCs/>
                <w:sz w:val="20"/>
                <w:szCs w:val="20"/>
              </w:rPr>
              <w:t>8 mg/kg</w:t>
            </w:r>
          </w:p>
        </w:tc>
        <w:tc>
          <w:tcPr>
            <w:tcW w:w="733" w:type="dxa"/>
          </w:tcPr>
          <w:p w14:paraId="05DCA6D3" w14:textId="77777777" w:rsidR="001E0975" w:rsidRPr="00F13073" w:rsidRDefault="00611033" w:rsidP="00183CFA">
            <w:pPr>
              <w:keepNext/>
              <w:suppressAutoHyphens/>
              <w:jc w:val="center"/>
              <w:rPr>
                <w:b/>
                <w:bCs/>
                <w:sz w:val="20"/>
                <w:szCs w:val="20"/>
              </w:rPr>
            </w:pPr>
            <w:r w:rsidRPr="00F13073">
              <w:rPr>
                <w:b/>
                <w:bCs/>
                <w:sz w:val="20"/>
                <w:szCs w:val="20"/>
              </w:rPr>
              <w:t>MTX</w:t>
            </w:r>
          </w:p>
        </w:tc>
        <w:tc>
          <w:tcPr>
            <w:tcW w:w="874" w:type="dxa"/>
          </w:tcPr>
          <w:p w14:paraId="7CF8A1D9" w14:textId="77777777" w:rsidR="001E0975" w:rsidRPr="00F13073" w:rsidRDefault="00611033" w:rsidP="00183CFA">
            <w:pPr>
              <w:keepNext/>
              <w:suppressAutoHyphens/>
              <w:jc w:val="center"/>
              <w:rPr>
                <w:b/>
                <w:bCs/>
                <w:sz w:val="20"/>
                <w:szCs w:val="20"/>
              </w:rPr>
            </w:pPr>
            <w:r w:rsidRPr="00F13073">
              <w:rPr>
                <w:b/>
                <w:bCs/>
                <w:sz w:val="20"/>
                <w:szCs w:val="20"/>
              </w:rPr>
              <w:t>TCZ</w:t>
            </w:r>
          </w:p>
          <w:p w14:paraId="696600AF" w14:textId="77777777" w:rsidR="001E0975" w:rsidRPr="00F13073" w:rsidRDefault="00611033" w:rsidP="00183CFA">
            <w:pPr>
              <w:keepNext/>
              <w:suppressAutoHyphens/>
              <w:jc w:val="center"/>
              <w:rPr>
                <w:b/>
                <w:bCs/>
                <w:sz w:val="20"/>
                <w:szCs w:val="20"/>
              </w:rPr>
            </w:pPr>
            <w:r w:rsidRPr="00F13073">
              <w:rPr>
                <w:b/>
                <w:bCs/>
                <w:sz w:val="20"/>
                <w:szCs w:val="20"/>
              </w:rPr>
              <w:t>8 mg/kg + MTX</w:t>
            </w:r>
          </w:p>
        </w:tc>
        <w:tc>
          <w:tcPr>
            <w:tcW w:w="790" w:type="dxa"/>
          </w:tcPr>
          <w:p w14:paraId="09352759" w14:textId="77777777" w:rsidR="001E0975" w:rsidRPr="00F13073" w:rsidRDefault="00611033" w:rsidP="00183CFA">
            <w:pPr>
              <w:keepNext/>
              <w:suppressAutoHyphens/>
              <w:jc w:val="center"/>
              <w:rPr>
                <w:b/>
                <w:bCs/>
                <w:sz w:val="20"/>
                <w:szCs w:val="20"/>
              </w:rPr>
            </w:pPr>
            <w:r w:rsidRPr="00F13073">
              <w:rPr>
                <w:b/>
                <w:bCs/>
                <w:sz w:val="20"/>
                <w:szCs w:val="20"/>
              </w:rPr>
              <w:t>PBO + MTX</w:t>
            </w:r>
          </w:p>
        </w:tc>
        <w:tc>
          <w:tcPr>
            <w:tcW w:w="903" w:type="dxa"/>
          </w:tcPr>
          <w:p w14:paraId="573338C7" w14:textId="77777777" w:rsidR="001E0975" w:rsidRPr="00F13073" w:rsidRDefault="00611033" w:rsidP="00183CFA">
            <w:pPr>
              <w:keepNext/>
              <w:suppressAutoHyphens/>
              <w:jc w:val="center"/>
              <w:rPr>
                <w:b/>
                <w:bCs/>
                <w:sz w:val="20"/>
                <w:szCs w:val="20"/>
              </w:rPr>
            </w:pPr>
            <w:r w:rsidRPr="00F13073">
              <w:rPr>
                <w:b/>
                <w:bCs/>
                <w:sz w:val="20"/>
                <w:szCs w:val="20"/>
              </w:rPr>
              <w:t>TCZ</w:t>
            </w:r>
          </w:p>
          <w:p w14:paraId="63161404" w14:textId="77777777" w:rsidR="001E0975" w:rsidRPr="00F13073" w:rsidRDefault="00611033" w:rsidP="00183CFA">
            <w:pPr>
              <w:keepNext/>
              <w:suppressAutoHyphens/>
              <w:jc w:val="center"/>
              <w:rPr>
                <w:b/>
                <w:bCs/>
                <w:sz w:val="20"/>
                <w:szCs w:val="20"/>
              </w:rPr>
            </w:pPr>
            <w:r w:rsidRPr="00F13073">
              <w:rPr>
                <w:b/>
                <w:bCs/>
                <w:sz w:val="20"/>
                <w:szCs w:val="20"/>
              </w:rPr>
              <w:t>8 mg/kg + MTX</w:t>
            </w:r>
          </w:p>
        </w:tc>
        <w:tc>
          <w:tcPr>
            <w:tcW w:w="728" w:type="dxa"/>
          </w:tcPr>
          <w:p w14:paraId="610AC29B" w14:textId="77777777" w:rsidR="001E0975" w:rsidRPr="00F13073" w:rsidRDefault="00611033" w:rsidP="00183CFA">
            <w:pPr>
              <w:keepNext/>
              <w:suppressAutoHyphens/>
              <w:jc w:val="center"/>
              <w:rPr>
                <w:b/>
                <w:bCs/>
                <w:sz w:val="20"/>
                <w:szCs w:val="20"/>
              </w:rPr>
            </w:pPr>
            <w:r w:rsidRPr="00F13073">
              <w:rPr>
                <w:b/>
                <w:bCs/>
                <w:sz w:val="20"/>
                <w:szCs w:val="20"/>
              </w:rPr>
              <w:t>PBO + MTX</w:t>
            </w:r>
          </w:p>
        </w:tc>
        <w:tc>
          <w:tcPr>
            <w:tcW w:w="1005" w:type="dxa"/>
          </w:tcPr>
          <w:p w14:paraId="74D89663" w14:textId="77777777" w:rsidR="001E0975" w:rsidRPr="00F13073" w:rsidRDefault="00611033" w:rsidP="00183CFA">
            <w:pPr>
              <w:keepNext/>
              <w:suppressAutoHyphens/>
              <w:jc w:val="center"/>
              <w:rPr>
                <w:b/>
                <w:bCs/>
                <w:sz w:val="20"/>
                <w:szCs w:val="20"/>
              </w:rPr>
            </w:pPr>
            <w:r w:rsidRPr="00F13073">
              <w:rPr>
                <w:b/>
                <w:bCs/>
                <w:sz w:val="20"/>
                <w:szCs w:val="20"/>
              </w:rPr>
              <w:t>TCZ</w:t>
            </w:r>
          </w:p>
          <w:p w14:paraId="340E4B40" w14:textId="77777777" w:rsidR="001E0975" w:rsidRPr="00F13073" w:rsidRDefault="00611033" w:rsidP="00183CFA">
            <w:pPr>
              <w:keepNext/>
              <w:suppressAutoHyphens/>
              <w:jc w:val="center"/>
              <w:rPr>
                <w:b/>
                <w:bCs/>
                <w:sz w:val="20"/>
                <w:szCs w:val="20"/>
              </w:rPr>
            </w:pPr>
            <w:r w:rsidRPr="00F13073">
              <w:rPr>
                <w:b/>
                <w:bCs/>
                <w:sz w:val="20"/>
                <w:szCs w:val="20"/>
              </w:rPr>
              <w:t>8 mg/kg+</w:t>
            </w:r>
          </w:p>
          <w:p w14:paraId="2369B6AF" w14:textId="77777777" w:rsidR="001E0975" w:rsidRPr="00F13073" w:rsidRDefault="00611033" w:rsidP="00183CFA">
            <w:pPr>
              <w:keepNext/>
              <w:suppressAutoHyphens/>
              <w:jc w:val="center"/>
              <w:rPr>
                <w:b/>
                <w:bCs/>
                <w:sz w:val="20"/>
                <w:szCs w:val="20"/>
              </w:rPr>
            </w:pPr>
            <w:r w:rsidRPr="00F13073">
              <w:rPr>
                <w:b/>
                <w:bCs/>
                <w:sz w:val="20"/>
                <w:szCs w:val="20"/>
              </w:rPr>
              <w:t>DMARD</w:t>
            </w:r>
          </w:p>
        </w:tc>
        <w:tc>
          <w:tcPr>
            <w:tcW w:w="931" w:type="dxa"/>
          </w:tcPr>
          <w:p w14:paraId="299228A6" w14:textId="77777777" w:rsidR="001E0975" w:rsidRPr="00F13073" w:rsidRDefault="00611033" w:rsidP="00183CFA">
            <w:pPr>
              <w:keepNext/>
              <w:suppressAutoHyphens/>
              <w:jc w:val="center"/>
              <w:rPr>
                <w:b/>
                <w:bCs/>
                <w:sz w:val="20"/>
                <w:szCs w:val="20"/>
              </w:rPr>
            </w:pPr>
            <w:r w:rsidRPr="00F13073">
              <w:rPr>
                <w:b/>
                <w:bCs/>
                <w:sz w:val="20"/>
                <w:szCs w:val="20"/>
              </w:rPr>
              <w:t>PBO + DMARD</w:t>
            </w:r>
          </w:p>
        </w:tc>
        <w:tc>
          <w:tcPr>
            <w:tcW w:w="817" w:type="dxa"/>
          </w:tcPr>
          <w:p w14:paraId="672E304F" w14:textId="77777777" w:rsidR="001E0975" w:rsidRPr="00F13073" w:rsidRDefault="00611033" w:rsidP="00183CFA">
            <w:pPr>
              <w:keepNext/>
              <w:suppressAutoHyphens/>
              <w:jc w:val="center"/>
              <w:rPr>
                <w:b/>
                <w:bCs/>
                <w:sz w:val="20"/>
                <w:szCs w:val="20"/>
              </w:rPr>
            </w:pPr>
            <w:r w:rsidRPr="00F13073">
              <w:rPr>
                <w:b/>
                <w:bCs/>
                <w:sz w:val="20"/>
                <w:szCs w:val="20"/>
              </w:rPr>
              <w:t>TCZ</w:t>
            </w:r>
          </w:p>
          <w:p w14:paraId="720035E4" w14:textId="77777777" w:rsidR="001E0975" w:rsidRPr="00F13073" w:rsidRDefault="00611033" w:rsidP="00183CFA">
            <w:pPr>
              <w:keepNext/>
              <w:suppressAutoHyphens/>
              <w:jc w:val="center"/>
              <w:rPr>
                <w:b/>
                <w:bCs/>
                <w:sz w:val="20"/>
                <w:szCs w:val="20"/>
              </w:rPr>
            </w:pPr>
            <w:r w:rsidRPr="00F13073">
              <w:rPr>
                <w:b/>
                <w:bCs/>
                <w:sz w:val="20"/>
                <w:szCs w:val="20"/>
              </w:rPr>
              <w:t>8 mg/kg + MTX</w:t>
            </w:r>
          </w:p>
        </w:tc>
        <w:tc>
          <w:tcPr>
            <w:tcW w:w="744" w:type="dxa"/>
          </w:tcPr>
          <w:p w14:paraId="0D205AF3" w14:textId="77777777" w:rsidR="001E0975" w:rsidRPr="00F13073" w:rsidRDefault="00611033" w:rsidP="00183CFA">
            <w:pPr>
              <w:keepNext/>
              <w:suppressAutoHyphens/>
              <w:jc w:val="center"/>
              <w:rPr>
                <w:b/>
                <w:bCs/>
                <w:sz w:val="20"/>
                <w:szCs w:val="20"/>
              </w:rPr>
            </w:pPr>
            <w:r w:rsidRPr="00F13073">
              <w:rPr>
                <w:b/>
                <w:bCs/>
                <w:sz w:val="20"/>
                <w:szCs w:val="20"/>
              </w:rPr>
              <w:t>PBO + MTX</w:t>
            </w:r>
          </w:p>
        </w:tc>
      </w:tr>
      <w:tr w:rsidR="008B3956" w:rsidRPr="00F13073" w14:paraId="380D233A" w14:textId="77777777" w:rsidTr="003759BA">
        <w:trPr>
          <w:cantSplit/>
          <w:tblHeader/>
        </w:trPr>
        <w:tc>
          <w:tcPr>
            <w:tcW w:w="758" w:type="dxa"/>
          </w:tcPr>
          <w:p w14:paraId="1F4FD7F5" w14:textId="77777777" w:rsidR="001E0975" w:rsidRPr="00F13073" w:rsidRDefault="001E0975" w:rsidP="00183CFA">
            <w:pPr>
              <w:keepNext/>
              <w:suppressAutoHyphens/>
              <w:jc w:val="center"/>
              <w:rPr>
                <w:b/>
                <w:bCs/>
                <w:sz w:val="20"/>
                <w:szCs w:val="20"/>
              </w:rPr>
            </w:pPr>
          </w:p>
        </w:tc>
        <w:tc>
          <w:tcPr>
            <w:tcW w:w="790" w:type="dxa"/>
          </w:tcPr>
          <w:p w14:paraId="551C936A" w14:textId="77777777" w:rsidR="001E0975" w:rsidRPr="00F13073" w:rsidRDefault="00611033" w:rsidP="00183CFA">
            <w:pPr>
              <w:keepNext/>
              <w:suppressAutoHyphens/>
              <w:jc w:val="center"/>
              <w:rPr>
                <w:b/>
                <w:bCs/>
                <w:sz w:val="20"/>
                <w:szCs w:val="20"/>
              </w:rPr>
            </w:pPr>
            <w:r w:rsidRPr="00F13073">
              <w:rPr>
                <w:b/>
                <w:bCs/>
                <w:sz w:val="20"/>
                <w:szCs w:val="20"/>
              </w:rPr>
              <w:t>N = 286</w:t>
            </w:r>
          </w:p>
        </w:tc>
        <w:tc>
          <w:tcPr>
            <w:tcW w:w="733" w:type="dxa"/>
          </w:tcPr>
          <w:p w14:paraId="4450394D" w14:textId="77777777" w:rsidR="001E0975" w:rsidRPr="00F13073" w:rsidRDefault="00611033" w:rsidP="00183CFA">
            <w:pPr>
              <w:keepNext/>
              <w:suppressAutoHyphens/>
              <w:jc w:val="center"/>
              <w:rPr>
                <w:b/>
                <w:bCs/>
                <w:sz w:val="20"/>
                <w:szCs w:val="20"/>
              </w:rPr>
            </w:pPr>
            <w:r w:rsidRPr="00F13073">
              <w:rPr>
                <w:b/>
                <w:bCs/>
                <w:sz w:val="20"/>
                <w:szCs w:val="20"/>
              </w:rPr>
              <w:t>N = 284</w:t>
            </w:r>
          </w:p>
        </w:tc>
        <w:tc>
          <w:tcPr>
            <w:tcW w:w="874" w:type="dxa"/>
          </w:tcPr>
          <w:p w14:paraId="54B3191C" w14:textId="77777777" w:rsidR="001E0975" w:rsidRPr="00F13073" w:rsidRDefault="00611033" w:rsidP="00183CFA">
            <w:pPr>
              <w:keepNext/>
              <w:suppressAutoHyphens/>
              <w:jc w:val="center"/>
              <w:rPr>
                <w:b/>
                <w:bCs/>
                <w:sz w:val="20"/>
                <w:szCs w:val="20"/>
              </w:rPr>
            </w:pPr>
            <w:r w:rsidRPr="00F13073">
              <w:rPr>
                <w:b/>
                <w:bCs/>
                <w:sz w:val="20"/>
                <w:szCs w:val="20"/>
              </w:rPr>
              <w:t>N = 398</w:t>
            </w:r>
          </w:p>
        </w:tc>
        <w:tc>
          <w:tcPr>
            <w:tcW w:w="790" w:type="dxa"/>
          </w:tcPr>
          <w:p w14:paraId="75D734B7" w14:textId="77777777" w:rsidR="001E0975" w:rsidRPr="00F13073" w:rsidRDefault="00611033" w:rsidP="00183CFA">
            <w:pPr>
              <w:keepNext/>
              <w:suppressAutoHyphens/>
              <w:jc w:val="center"/>
              <w:rPr>
                <w:b/>
                <w:bCs/>
                <w:sz w:val="20"/>
                <w:szCs w:val="20"/>
              </w:rPr>
            </w:pPr>
            <w:r w:rsidRPr="00F13073">
              <w:rPr>
                <w:b/>
                <w:bCs/>
                <w:sz w:val="20"/>
                <w:szCs w:val="20"/>
              </w:rPr>
              <w:t>N = 393</w:t>
            </w:r>
          </w:p>
        </w:tc>
        <w:tc>
          <w:tcPr>
            <w:tcW w:w="903" w:type="dxa"/>
          </w:tcPr>
          <w:p w14:paraId="5C0E3FBF" w14:textId="77777777" w:rsidR="001E0975" w:rsidRPr="00F13073" w:rsidRDefault="00611033" w:rsidP="00183CFA">
            <w:pPr>
              <w:keepNext/>
              <w:suppressAutoHyphens/>
              <w:jc w:val="center"/>
              <w:rPr>
                <w:b/>
                <w:bCs/>
                <w:sz w:val="20"/>
                <w:szCs w:val="20"/>
              </w:rPr>
            </w:pPr>
            <w:r w:rsidRPr="00F13073">
              <w:rPr>
                <w:b/>
                <w:bCs/>
                <w:sz w:val="20"/>
                <w:szCs w:val="20"/>
              </w:rPr>
              <w:t>N = 205</w:t>
            </w:r>
          </w:p>
        </w:tc>
        <w:tc>
          <w:tcPr>
            <w:tcW w:w="728" w:type="dxa"/>
          </w:tcPr>
          <w:p w14:paraId="29B0788D" w14:textId="77777777" w:rsidR="001E0975" w:rsidRPr="00F13073" w:rsidRDefault="00611033" w:rsidP="00183CFA">
            <w:pPr>
              <w:keepNext/>
              <w:suppressAutoHyphens/>
              <w:jc w:val="center"/>
              <w:rPr>
                <w:b/>
                <w:bCs/>
                <w:sz w:val="20"/>
                <w:szCs w:val="20"/>
              </w:rPr>
            </w:pPr>
            <w:r w:rsidRPr="00F13073">
              <w:rPr>
                <w:b/>
                <w:bCs/>
                <w:sz w:val="20"/>
                <w:szCs w:val="20"/>
              </w:rPr>
              <w:t>N = 204</w:t>
            </w:r>
          </w:p>
        </w:tc>
        <w:tc>
          <w:tcPr>
            <w:tcW w:w="1005" w:type="dxa"/>
          </w:tcPr>
          <w:p w14:paraId="720D7DDB" w14:textId="77777777" w:rsidR="001E0975" w:rsidRPr="00F13073" w:rsidRDefault="00611033" w:rsidP="00183CFA">
            <w:pPr>
              <w:keepNext/>
              <w:suppressAutoHyphens/>
              <w:jc w:val="center"/>
              <w:rPr>
                <w:b/>
                <w:bCs/>
                <w:sz w:val="20"/>
                <w:szCs w:val="20"/>
              </w:rPr>
            </w:pPr>
            <w:r w:rsidRPr="00F13073">
              <w:rPr>
                <w:b/>
                <w:bCs/>
                <w:sz w:val="20"/>
                <w:szCs w:val="20"/>
              </w:rPr>
              <w:t>N = 803</w:t>
            </w:r>
          </w:p>
        </w:tc>
        <w:tc>
          <w:tcPr>
            <w:tcW w:w="931" w:type="dxa"/>
          </w:tcPr>
          <w:p w14:paraId="0AA22316" w14:textId="77777777" w:rsidR="001E0975" w:rsidRPr="00F13073" w:rsidRDefault="00611033" w:rsidP="00183CFA">
            <w:pPr>
              <w:keepNext/>
              <w:suppressAutoHyphens/>
              <w:jc w:val="center"/>
              <w:rPr>
                <w:b/>
                <w:bCs/>
                <w:sz w:val="20"/>
                <w:szCs w:val="20"/>
              </w:rPr>
            </w:pPr>
            <w:r w:rsidRPr="00F13073">
              <w:rPr>
                <w:b/>
                <w:bCs/>
                <w:sz w:val="20"/>
                <w:szCs w:val="20"/>
              </w:rPr>
              <w:t>N = 413</w:t>
            </w:r>
          </w:p>
        </w:tc>
        <w:tc>
          <w:tcPr>
            <w:tcW w:w="817" w:type="dxa"/>
          </w:tcPr>
          <w:p w14:paraId="0928C575" w14:textId="77777777" w:rsidR="001E0975" w:rsidRPr="00F13073" w:rsidRDefault="00611033" w:rsidP="00183CFA">
            <w:pPr>
              <w:keepNext/>
              <w:suppressAutoHyphens/>
              <w:jc w:val="center"/>
              <w:rPr>
                <w:b/>
                <w:bCs/>
                <w:sz w:val="20"/>
                <w:szCs w:val="20"/>
              </w:rPr>
            </w:pPr>
            <w:r w:rsidRPr="00F13073">
              <w:rPr>
                <w:b/>
                <w:bCs/>
                <w:sz w:val="20"/>
                <w:szCs w:val="20"/>
              </w:rPr>
              <w:t>N = 170</w:t>
            </w:r>
          </w:p>
        </w:tc>
        <w:tc>
          <w:tcPr>
            <w:tcW w:w="744" w:type="dxa"/>
          </w:tcPr>
          <w:p w14:paraId="7C2BD166" w14:textId="77777777" w:rsidR="001E0975" w:rsidRPr="00F13073" w:rsidRDefault="00611033" w:rsidP="00183CFA">
            <w:pPr>
              <w:keepNext/>
              <w:suppressAutoHyphens/>
              <w:jc w:val="center"/>
              <w:rPr>
                <w:b/>
                <w:bCs/>
                <w:sz w:val="20"/>
                <w:szCs w:val="20"/>
              </w:rPr>
            </w:pPr>
            <w:r w:rsidRPr="00F13073">
              <w:rPr>
                <w:b/>
                <w:bCs/>
                <w:sz w:val="20"/>
                <w:szCs w:val="20"/>
              </w:rPr>
              <w:t>N = 158</w:t>
            </w:r>
          </w:p>
        </w:tc>
      </w:tr>
      <w:tr w:rsidR="001E0975" w:rsidRPr="00F13073" w14:paraId="74A6B055" w14:textId="77777777" w:rsidTr="003759BA">
        <w:trPr>
          <w:cantSplit/>
          <w:tblHeader/>
        </w:trPr>
        <w:tc>
          <w:tcPr>
            <w:tcW w:w="9073" w:type="dxa"/>
            <w:gridSpan w:val="11"/>
          </w:tcPr>
          <w:p w14:paraId="6B0D3492" w14:textId="77777777" w:rsidR="001E0975" w:rsidRPr="00F13073" w:rsidRDefault="00611033" w:rsidP="00183CFA">
            <w:pPr>
              <w:keepNext/>
              <w:suppressAutoHyphens/>
              <w:jc w:val="center"/>
              <w:rPr>
                <w:b/>
                <w:bCs/>
                <w:sz w:val="20"/>
                <w:szCs w:val="20"/>
              </w:rPr>
            </w:pPr>
            <w:r w:rsidRPr="00F13073">
              <w:rPr>
                <w:b/>
                <w:bCs/>
                <w:sz w:val="20"/>
                <w:szCs w:val="20"/>
              </w:rPr>
              <w:t>ACR 20</w:t>
            </w:r>
          </w:p>
        </w:tc>
      </w:tr>
      <w:tr w:rsidR="008B3956" w:rsidRPr="00F13073" w14:paraId="5EA33928" w14:textId="77777777" w:rsidTr="003759BA">
        <w:trPr>
          <w:cantSplit/>
          <w:tblHeader/>
        </w:trPr>
        <w:tc>
          <w:tcPr>
            <w:tcW w:w="758" w:type="dxa"/>
          </w:tcPr>
          <w:p w14:paraId="39C7B147" w14:textId="77777777" w:rsidR="001E0975" w:rsidRPr="00F13073" w:rsidRDefault="00611033" w:rsidP="00183CFA">
            <w:pPr>
              <w:keepNext/>
              <w:suppressAutoHyphens/>
              <w:jc w:val="center"/>
              <w:rPr>
                <w:sz w:val="20"/>
                <w:szCs w:val="20"/>
              </w:rPr>
            </w:pPr>
            <w:r w:rsidRPr="00F13073">
              <w:rPr>
                <w:sz w:val="20"/>
                <w:szCs w:val="20"/>
              </w:rPr>
              <w:t>24</w:t>
            </w:r>
          </w:p>
        </w:tc>
        <w:tc>
          <w:tcPr>
            <w:tcW w:w="790" w:type="dxa"/>
          </w:tcPr>
          <w:p w14:paraId="3CE8C922" w14:textId="77777777" w:rsidR="001E0975" w:rsidRPr="00F13073" w:rsidRDefault="00611033" w:rsidP="00183CFA">
            <w:pPr>
              <w:keepNext/>
              <w:suppressAutoHyphens/>
              <w:jc w:val="center"/>
              <w:rPr>
                <w:sz w:val="20"/>
                <w:szCs w:val="20"/>
              </w:rPr>
            </w:pPr>
            <w:r w:rsidRPr="00F13073">
              <w:rPr>
                <w:sz w:val="20"/>
                <w:szCs w:val="20"/>
              </w:rPr>
              <w:t>70%***</w:t>
            </w:r>
          </w:p>
        </w:tc>
        <w:tc>
          <w:tcPr>
            <w:tcW w:w="733" w:type="dxa"/>
          </w:tcPr>
          <w:p w14:paraId="4978FD1C" w14:textId="77777777" w:rsidR="001E0975" w:rsidRPr="00F13073" w:rsidRDefault="00611033" w:rsidP="00183CFA">
            <w:pPr>
              <w:keepNext/>
              <w:suppressAutoHyphens/>
              <w:jc w:val="center"/>
              <w:rPr>
                <w:sz w:val="20"/>
                <w:szCs w:val="20"/>
              </w:rPr>
            </w:pPr>
            <w:r w:rsidRPr="00F13073">
              <w:rPr>
                <w:sz w:val="20"/>
                <w:szCs w:val="20"/>
              </w:rPr>
              <w:t>52%</w:t>
            </w:r>
          </w:p>
        </w:tc>
        <w:tc>
          <w:tcPr>
            <w:tcW w:w="874" w:type="dxa"/>
          </w:tcPr>
          <w:p w14:paraId="4192FA42" w14:textId="77777777" w:rsidR="001E0975" w:rsidRPr="00F13073" w:rsidRDefault="00611033" w:rsidP="00183CFA">
            <w:pPr>
              <w:keepNext/>
              <w:suppressAutoHyphens/>
              <w:jc w:val="center"/>
              <w:rPr>
                <w:sz w:val="20"/>
                <w:szCs w:val="20"/>
              </w:rPr>
            </w:pPr>
            <w:r w:rsidRPr="00F13073">
              <w:rPr>
                <w:sz w:val="20"/>
                <w:szCs w:val="20"/>
              </w:rPr>
              <w:t>56%***</w:t>
            </w:r>
          </w:p>
        </w:tc>
        <w:tc>
          <w:tcPr>
            <w:tcW w:w="790" w:type="dxa"/>
          </w:tcPr>
          <w:p w14:paraId="3E977CB6" w14:textId="77777777" w:rsidR="001E0975" w:rsidRPr="00F13073" w:rsidRDefault="00611033" w:rsidP="00183CFA">
            <w:pPr>
              <w:keepNext/>
              <w:suppressAutoHyphens/>
              <w:jc w:val="center"/>
              <w:rPr>
                <w:sz w:val="20"/>
                <w:szCs w:val="20"/>
              </w:rPr>
            </w:pPr>
            <w:r w:rsidRPr="00F13073">
              <w:rPr>
                <w:sz w:val="20"/>
                <w:szCs w:val="20"/>
              </w:rPr>
              <w:t>27%</w:t>
            </w:r>
          </w:p>
        </w:tc>
        <w:tc>
          <w:tcPr>
            <w:tcW w:w="903" w:type="dxa"/>
          </w:tcPr>
          <w:p w14:paraId="54981793" w14:textId="77777777" w:rsidR="001E0975" w:rsidRPr="00F13073" w:rsidRDefault="00611033" w:rsidP="00183CFA">
            <w:pPr>
              <w:keepNext/>
              <w:suppressAutoHyphens/>
              <w:jc w:val="center"/>
              <w:rPr>
                <w:sz w:val="20"/>
                <w:szCs w:val="20"/>
              </w:rPr>
            </w:pPr>
            <w:r w:rsidRPr="00F13073">
              <w:rPr>
                <w:sz w:val="20"/>
                <w:szCs w:val="20"/>
              </w:rPr>
              <w:t>59%***</w:t>
            </w:r>
          </w:p>
        </w:tc>
        <w:tc>
          <w:tcPr>
            <w:tcW w:w="728" w:type="dxa"/>
          </w:tcPr>
          <w:p w14:paraId="69CD4ADA" w14:textId="77777777" w:rsidR="001E0975" w:rsidRPr="00F13073" w:rsidRDefault="00611033" w:rsidP="00183CFA">
            <w:pPr>
              <w:keepNext/>
              <w:suppressAutoHyphens/>
              <w:jc w:val="center"/>
              <w:rPr>
                <w:sz w:val="20"/>
                <w:szCs w:val="20"/>
              </w:rPr>
            </w:pPr>
            <w:r w:rsidRPr="00F13073">
              <w:rPr>
                <w:sz w:val="20"/>
                <w:szCs w:val="20"/>
              </w:rPr>
              <w:t>26%</w:t>
            </w:r>
          </w:p>
        </w:tc>
        <w:tc>
          <w:tcPr>
            <w:tcW w:w="1005" w:type="dxa"/>
          </w:tcPr>
          <w:p w14:paraId="03BD6EFB" w14:textId="77777777" w:rsidR="001E0975" w:rsidRPr="00F13073" w:rsidRDefault="00611033" w:rsidP="00183CFA">
            <w:pPr>
              <w:keepNext/>
              <w:suppressAutoHyphens/>
              <w:jc w:val="center"/>
              <w:rPr>
                <w:sz w:val="20"/>
                <w:szCs w:val="20"/>
              </w:rPr>
            </w:pPr>
            <w:r w:rsidRPr="00F13073">
              <w:rPr>
                <w:sz w:val="20"/>
                <w:szCs w:val="20"/>
              </w:rPr>
              <w:t>61%***</w:t>
            </w:r>
          </w:p>
        </w:tc>
        <w:tc>
          <w:tcPr>
            <w:tcW w:w="931" w:type="dxa"/>
          </w:tcPr>
          <w:p w14:paraId="1557483C" w14:textId="77777777" w:rsidR="001E0975" w:rsidRPr="00F13073" w:rsidRDefault="00611033" w:rsidP="00183CFA">
            <w:pPr>
              <w:keepNext/>
              <w:suppressAutoHyphens/>
              <w:jc w:val="center"/>
              <w:rPr>
                <w:sz w:val="20"/>
                <w:szCs w:val="20"/>
              </w:rPr>
            </w:pPr>
            <w:r w:rsidRPr="00F13073">
              <w:rPr>
                <w:sz w:val="20"/>
                <w:szCs w:val="20"/>
              </w:rPr>
              <w:t>24%</w:t>
            </w:r>
          </w:p>
        </w:tc>
        <w:tc>
          <w:tcPr>
            <w:tcW w:w="817" w:type="dxa"/>
          </w:tcPr>
          <w:p w14:paraId="507AF05A" w14:textId="77777777" w:rsidR="001E0975" w:rsidRPr="00F13073" w:rsidRDefault="00611033" w:rsidP="00183CFA">
            <w:pPr>
              <w:keepNext/>
              <w:suppressAutoHyphens/>
              <w:jc w:val="center"/>
              <w:rPr>
                <w:sz w:val="20"/>
                <w:szCs w:val="20"/>
              </w:rPr>
            </w:pPr>
            <w:r w:rsidRPr="00F13073">
              <w:rPr>
                <w:sz w:val="20"/>
                <w:szCs w:val="20"/>
              </w:rPr>
              <w:t>50%***</w:t>
            </w:r>
          </w:p>
        </w:tc>
        <w:tc>
          <w:tcPr>
            <w:tcW w:w="744" w:type="dxa"/>
          </w:tcPr>
          <w:p w14:paraId="17637C46" w14:textId="77777777" w:rsidR="001E0975" w:rsidRPr="00F13073" w:rsidRDefault="00611033" w:rsidP="00183CFA">
            <w:pPr>
              <w:keepNext/>
              <w:suppressAutoHyphens/>
              <w:jc w:val="center"/>
              <w:rPr>
                <w:sz w:val="20"/>
                <w:szCs w:val="20"/>
              </w:rPr>
            </w:pPr>
            <w:r w:rsidRPr="00F13073">
              <w:rPr>
                <w:sz w:val="20"/>
                <w:szCs w:val="20"/>
              </w:rPr>
              <w:t>10%</w:t>
            </w:r>
          </w:p>
        </w:tc>
      </w:tr>
      <w:tr w:rsidR="008B3956" w:rsidRPr="00F13073" w14:paraId="07A79AE6" w14:textId="77777777" w:rsidTr="003759BA">
        <w:trPr>
          <w:cantSplit/>
          <w:tblHeader/>
        </w:trPr>
        <w:tc>
          <w:tcPr>
            <w:tcW w:w="758" w:type="dxa"/>
          </w:tcPr>
          <w:p w14:paraId="36D4A86C" w14:textId="77777777" w:rsidR="001E0975" w:rsidRPr="00F13073" w:rsidRDefault="00611033" w:rsidP="00183CFA">
            <w:pPr>
              <w:suppressAutoHyphens/>
              <w:jc w:val="center"/>
              <w:rPr>
                <w:sz w:val="20"/>
                <w:szCs w:val="20"/>
              </w:rPr>
            </w:pPr>
            <w:r w:rsidRPr="00F13073">
              <w:rPr>
                <w:sz w:val="20"/>
                <w:szCs w:val="20"/>
              </w:rPr>
              <w:t>52</w:t>
            </w:r>
          </w:p>
        </w:tc>
        <w:tc>
          <w:tcPr>
            <w:tcW w:w="790" w:type="dxa"/>
          </w:tcPr>
          <w:p w14:paraId="174DF880" w14:textId="77777777" w:rsidR="001E0975" w:rsidRPr="00F13073" w:rsidRDefault="001E0975" w:rsidP="00183CFA">
            <w:pPr>
              <w:suppressAutoHyphens/>
              <w:jc w:val="center"/>
              <w:rPr>
                <w:sz w:val="20"/>
                <w:szCs w:val="20"/>
              </w:rPr>
            </w:pPr>
          </w:p>
        </w:tc>
        <w:tc>
          <w:tcPr>
            <w:tcW w:w="733" w:type="dxa"/>
          </w:tcPr>
          <w:p w14:paraId="254301FF" w14:textId="77777777" w:rsidR="001E0975" w:rsidRPr="00F13073" w:rsidRDefault="001E0975" w:rsidP="00183CFA">
            <w:pPr>
              <w:suppressAutoHyphens/>
              <w:jc w:val="center"/>
              <w:rPr>
                <w:sz w:val="20"/>
                <w:szCs w:val="20"/>
              </w:rPr>
            </w:pPr>
          </w:p>
        </w:tc>
        <w:tc>
          <w:tcPr>
            <w:tcW w:w="874" w:type="dxa"/>
          </w:tcPr>
          <w:p w14:paraId="16B04FA8" w14:textId="77777777" w:rsidR="001E0975" w:rsidRPr="00F13073" w:rsidRDefault="00611033" w:rsidP="00183CFA">
            <w:pPr>
              <w:suppressAutoHyphens/>
              <w:jc w:val="center"/>
              <w:rPr>
                <w:sz w:val="20"/>
                <w:szCs w:val="20"/>
              </w:rPr>
            </w:pPr>
            <w:r w:rsidRPr="00F13073">
              <w:rPr>
                <w:sz w:val="20"/>
                <w:szCs w:val="20"/>
              </w:rPr>
              <w:t>56%***</w:t>
            </w:r>
          </w:p>
        </w:tc>
        <w:tc>
          <w:tcPr>
            <w:tcW w:w="790" w:type="dxa"/>
          </w:tcPr>
          <w:p w14:paraId="04ECA678" w14:textId="77777777" w:rsidR="001E0975" w:rsidRPr="00F13073" w:rsidRDefault="00611033" w:rsidP="00183CFA">
            <w:pPr>
              <w:suppressAutoHyphens/>
              <w:jc w:val="center"/>
              <w:rPr>
                <w:sz w:val="20"/>
                <w:szCs w:val="20"/>
              </w:rPr>
            </w:pPr>
            <w:r w:rsidRPr="00F13073">
              <w:rPr>
                <w:sz w:val="20"/>
                <w:szCs w:val="20"/>
              </w:rPr>
              <w:t>25%</w:t>
            </w:r>
          </w:p>
        </w:tc>
        <w:tc>
          <w:tcPr>
            <w:tcW w:w="903" w:type="dxa"/>
          </w:tcPr>
          <w:p w14:paraId="05BAF32F" w14:textId="77777777" w:rsidR="001E0975" w:rsidRPr="00F13073" w:rsidRDefault="001E0975" w:rsidP="00183CFA">
            <w:pPr>
              <w:suppressAutoHyphens/>
              <w:jc w:val="center"/>
              <w:rPr>
                <w:sz w:val="20"/>
                <w:szCs w:val="20"/>
              </w:rPr>
            </w:pPr>
          </w:p>
        </w:tc>
        <w:tc>
          <w:tcPr>
            <w:tcW w:w="728" w:type="dxa"/>
          </w:tcPr>
          <w:p w14:paraId="700FFE48" w14:textId="77777777" w:rsidR="001E0975" w:rsidRPr="00F13073" w:rsidRDefault="001E0975" w:rsidP="00183CFA">
            <w:pPr>
              <w:suppressAutoHyphens/>
              <w:jc w:val="center"/>
              <w:rPr>
                <w:sz w:val="20"/>
                <w:szCs w:val="20"/>
              </w:rPr>
            </w:pPr>
          </w:p>
        </w:tc>
        <w:tc>
          <w:tcPr>
            <w:tcW w:w="1005" w:type="dxa"/>
          </w:tcPr>
          <w:p w14:paraId="309AF071" w14:textId="77777777" w:rsidR="001E0975" w:rsidRPr="00F13073" w:rsidRDefault="001E0975" w:rsidP="00183CFA">
            <w:pPr>
              <w:suppressAutoHyphens/>
              <w:jc w:val="center"/>
              <w:rPr>
                <w:sz w:val="20"/>
                <w:szCs w:val="20"/>
              </w:rPr>
            </w:pPr>
          </w:p>
        </w:tc>
        <w:tc>
          <w:tcPr>
            <w:tcW w:w="931" w:type="dxa"/>
          </w:tcPr>
          <w:p w14:paraId="4306E243" w14:textId="77777777" w:rsidR="001E0975" w:rsidRPr="00F13073" w:rsidRDefault="001E0975" w:rsidP="00183CFA">
            <w:pPr>
              <w:suppressAutoHyphens/>
              <w:jc w:val="center"/>
              <w:rPr>
                <w:sz w:val="20"/>
                <w:szCs w:val="20"/>
              </w:rPr>
            </w:pPr>
          </w:p>
        </w:tc>
        <w:tc>
          <w:tcPr>
            <w:tcW w:w="817" w:type="dxa"/>
          </w:tcPr>
          <w:p w14:paraId="7A22FB8E" w14:textId="77777777" w:rsidR="001E0975" w:rsidRPr="00F13073" w:rsidRDefault="001E0975" w:rsidP="00183CFA">
            <w:pPr>
              <w:suppressAutoHyphens/>
              <w:jc w:val="center"/>
              <w:rPr>
                <w:sz w:val="20"/>
                <w:szCs w:val="20"/>
              </w:rPr>
            </w:pPr>
          </w:p>
        </w:tc>
        <w:tc>
          <w:tcPr>
            <w:tcW w:w="744" w:type="dxa"/>
          </w:tcPr>
          <w:p w14:paraId="2B1960E9" w14:textId="77777777" w:rsidR="001E0975" w:rsidRPr="00F13073" w:rsidRDefault="001E0975" w:rsidP="00183CFA">
            <w:pPr>
              <w:suppressAutoHyphens/>
              <w:jc w:val="center"/>
              <w:rPr>
                <w:sz w:val="20"/>
                <w:szCs w:val="20"/>
              </w:rPr>
            </w:pPr>
          </w:p>
        </w:tc>
      </w:tr>
      <w:tr w:rsidR="001E0975" w:rsidRPr="00F13073" w14:paraId="1E334C3B" w14:textId="77777777" w:rsidTr="003759BA">
        <w:trPr>
          <w:cantSplit/>
          <w:tblHeader/>
        </w:trPr>
        <w:tc>
          <w:tcPr>
            <w:tcW w:w="9073" w:type="dxa"/>
            <w:gridSpan w:val="11"/>
          </w:tcPr>
          <w:p w14:paraId="43EE0B46" w14:textId="77777777" w:rsidR="001E0975" w:rsidRPr="00F13073" w:rsidRDefault="00611033" w:rsidP="00183CFA">
            <w:pPr>
              <w:keepNext/>
              <w:suppressAutoHyphens/>
              <w:jc w:val="center"/>
              <w:rPr>
                <w:b/>
                <w:bCs/>
                <w:sz w:val="20"/>
                <w:szCs w:val="20"/>
              </w:rPr>
            </w:pPr>
            <w:r w:rsidRPr="00F13073">
              <w:rPr>
                <w:b/>
                <w:bCs/>
                <w:sz w:val="20"/>
                <w:szCs w:val="20"/>
              </w:rPr>
              <w:t>ACR 50</w:t>
            </w:r>
          </w:p>
        </w:tc>
      </w:tr>
      <w:tr w:rsidR="008B3956" w:rsidRPr="00F13073" w14:paraId="3BE6D739" w14:textId="77777777" w:rsidTr="003759BA">
        <w:trPr>
          <w:cantSplit/>
          <w:tblHeader/>
        </w:trPr>
        <w:tc>
          <w:tcPr>
            <w:tcW w:w="758" w:type="dxa"/>
          </w:tcPr>
          <w:p w14:paraId="31003812" w14:textId="77777777" w:rsidR="001E0975" w:rsidRPr="00F13073" w:rsidRDefault="00611033" w:rsidP="00183CFA">
            <w:pPr>
              <w:keepNext/>
              <w:suppressAutoHyphens/>
              <w:jc w:val="center"/>
              <w:rPr>
                <w:sz w:val="20"/>
                <w:szCs w:val="20"/>
              </w:rPr>
            </w:pPr>
            <w:r w:rsidRPr="00F13073">
              <w:rPr>
                <w:sz w:val="20"/>
                <w:szCs w:val="20"/>
              </w:rPr>
              <w:t>24</w:t>
            </w:r>
          </w:p>
        </w:tc>
        <w:tc>
          <w:tcPr>
            <w:tcW w:w="790" w:type="dxa"/>
          </w:tcPr>
          <w:p w14:paraId="7073CCB3" w14:textId="77777777" w:rsidR="001E0975" w:rsidRPr="00F13073" w:rsidRDefault="00611033" w:rsidP="00183CFA">
            <w:pPr>
              <w:keepNext/>
              <w:suppressAutoHyphens/>
              <w:jc w:val="center"/>
              <w:rPr>
                <w:sz w:val="20"/>
                <w:szCs w:val="20"/>
              </w:rPr>
            </w:pPr>
            <w:r w:rsidRPr="00F13073">
              <w:rPr>
                <w:sz w:val="20"/>
                <w:szCs w:val="20"/>
              </w:rPr>
              <w:t>44%**</w:t>
            </w:r>
          </w:p>
        </w:tc>
        <w:tc>
          <w:tcPr>
            <w:tcW w:w="733" w:type="dxa"/>
          </w:tcPr>
          <w:p w14:paraId="2580D7C7" w14:textId="77777777" w:rsidR="001E0975" w:rsidRPr="00F13073" w:rsidRDefault="00611033" w:rsidP="00183CFA">
            <w:pPr>
              <w:keepNext/>
              <w:suppressAutoHyphens/>
              <w:jc w:val="center"/>
              <w:rPr>
                <w:sz w:val="20"/>
                <w:szCs w:val="20"/>
              </w:rPr>
            </w:pPr>
            <w:r w:rsidRPr="00F13073">
              <w:rPr>
                <w:sz w:val="20"/>
                <w:szCs w:val="20"/>
              </w:rPr>
              <w:t>33%</w:t>
            </w:r>
          </w:p>
        </w:tc>
        <w:tc>
          <w:tcPr>
            <w:tcW w:w="874" w:type="dxa"/>
          </w:tcPr>
          <w:p w14:paraId="5AE2C4BC" w14:textId="77777777" w:rsidR="001E0975" w:rsidRPr="00F13073" w:rsidRDefault="00611033" w:rsidP="00183CFA">
            <w:pPr>
              <w:keepNext/>
              <w:suppressAutoHyphens/>
              <w:jc w:val="center"/>
              <w:rPr>
                <w:sz w:val="20"/>
                <w:szCs w:val="20"/>
              </w:rPr>
            </w:pPr>
            <w:r w:rsidRPr="00F13073">
              <w:rPr>
                <w:sz w:val="20"/>
                <w:szCs w:val="20"/>
              </w:rPr>
              <w:t>32%***</w:t>
            </w:r>
          </w:p>
        </w:tc>
        <w:tc>
          <w:tcPr>
            <w:tcW w:w="790" w:type="dxa"/>
          </w:tcPr>
          <w:p w14:paraId="48A23929" w14:textId="77777777" w:rsidR="001E0975" w:rsidRPr="00F13073" w:rsidRDefault="00611033" w:rsidP="00183CFA">
            <w:pPr>
              <w:keepNext/>
              <w:suppressAutoHyphens/>
              <w:jc w:val="center"/>
              <w:rPr>
                <w:sz w:val="20"/>
                <w:szCs w:val="20"/>
              </w:rPr>
            </w:pPr>
            <w:r w:rsidRPr="00F13073">
              <w:rPr>
                <w:sz w:val="20"/>
                <w:szCs w:val="20"/>
              </w:rPr>
              <w:t>10%</w:t>
            </w:r>
          </w:p>
        </w:tc>
        <w:tc>
          <w:tcPr>
            <w:tcW w:w="903" w:type="dxa"/>
          </w:tcPr>
          <w:p w14:paraId="1277C412" w14:textId="77777777" w:rsidR="001E0975" w:rsidRPr="00F13073" w:rsidRDefault="00611033" w:rsidP="00183CFA">
            <w:pPr>
              <w:keepNext/>
              <w:suppressAutoHyphens/>
              <w:jc w:val="center"/>
              <w:rPr>
                <w:sz w:val="20"/>
                <w:szCs w:val="20"/>
              </w:rPr>
            </w:pPr>
            <w:r w:rsidRPr="00F13073">
              <w:rPr>
                <w:sz w:val="20"/>
                <w:szCs w:val="20"/>
              </w:rPr>
              <w:t>44%***</w:t>
            </w:r>
          </w:p>
        </w:tc>
        <w:tc>
          <w:tcPr>
            <w:tcW w:w="728" w:type="dxa"/>
          </w:tcPr>
          <w:p w14:paraId="17A9A8C7" w14:textId="77777777" w:rsidR="001E0975" w:rsidRPr="00F13073" w:rsidRDefault="00611033" w:rsidP="00183CFA">
            <w:pPr>
              <w:keepNext/>
              <w:suppressAutoHyphens/>
              <w:jc w:val="center"/>
              <w:rPr>
                <w:sz w:val="20"/>
                <w:szCs w:val="20"/>
              </w:rPr>
            </w:pPr>
            <w:r w:rsidRPr="00F13073">
              <w:rPr>
                <w:sz w:val="20"/>
                <w:szCs w:val="20"/>
              </w:rPr>
              <w:t>11%</w:t>
            </w:r>
          </w:p>
        </w:tc>
        <w:tc>
          <w:tcPr>
            <w:tcW w:w="1005" w:type="dxa"/>
          </w:tcPr>
          <w:p w14:paraId="62BCA3A5" w14:textId="77777777" w:rsidR="001E0975" w:rsidRPr="00F13073" w:rsidRDefault="00611033" w:rsidP="00183CFA">
            <w:pPr>
              <w:keepNext/>
              <w:suppressAutoHyphens/>
              <w:jc w:val="center"/>
              <w:rPr>
                <w:sz w:val="20"/>
                <w:szCs w:val="20"/>
              </w:rPr>
            </w:pPr>
            <w:r w:rsidRPr="00F13073">
              <w:rPr>
                <w:sz w:val="20"/>
                <w:szCs w:val="20"/>
              </w:rPr>
              <w:t>38%***</w:t>
            </w:r>
          </w:p>
        </w:tc>
        <w:tc>
          <w:tcPr>
            <w:tcW w:w="931" w:type="dxa"/>
          </w:tcPr>
          <w:p w14:paraId="79DEEA79" w14:textId="77777777" w:rsidR="001E0975" w:rsidRPr="00F13073" w:rsidRDefault="00611033" w:rsidP="00183CFA">
            <w:pPr>
              <w:keepNext/>
              <w:suppressAutoHyphens/>
              <w:jc w:val="center"/>
              <w:rPr>
                <w:sz w:val="20"/>
                <w:szCs w:val="20"/>
              </w:rPr>
            </w:pPr>
            <w:r w:rsidRPr="00F13073">
              <w:rPr>
                <w:sz w:val="20"/>
                <w:szCs w:val="20"/>
              </w:rPr>
              <w:t>9%</w:t>
            </w:r>
          </w:p>
        </w:tc>
        <w:tc>
          <w:tcPr>
            <w:tcW w:w="817" w:type="dxa"/>
          </w:tcPr>
          <w:p w14:paraId="77D6159F" w14:textId="77777777" w:rsidR="001E0975" w:rsidRPr="00F13073" w:rsidRDefault="00611033" w:rsidP="00183CFA">
            <w:pPr>
              <w:keepNext/>
              <w:suppressAutoHyphens/>
              <w:jc w:val="center"/>
              <w:rPr>
                <w:sz w:val="20"/>
                <w:szCs w:val="20"/>
              </w:rPr>
            </w:pPr>
            <w:r w:rsidRPr="00F13073">
              <w:rPr>
                <w:sz w:val="20"/>
                <w:szCs w:val="20"/>
              </w:rPr>
              <w:t>29%***</w:t>
            </w:r>
          </w:p>
        </w:tc>
        <w:tc>
          <w:tcPr>
            <w:tcW w:w="744" w:type="dxa"/>
          </w:tcPr>
          <w:p w14:paraId="6B0863BA" w14:textId="77777777" w:rsidR="001E0975" w:rsidRPr="00F13073" w:rsidRDefault="00611033" w:rsidP="00183CFA">
            <w:pPr>
              <w:keepNext/>
              <w:suppressAutoHyphens/>
              <w:jc w:val="center"/>
              <w:rPr>
                <w:sz w:val="20"/>
                <w:szCs w:val="20"/>
              </w:rPr>
            </w:pPr>
            <w:r w:rsidRPr="00F13073">
              <w:rPr>
                <w:sz w:val="20"/>
                <w:szCs w:val="20"/>
              </w:rPr>
              <w:t>4%</w:t>
            </w:r>
          </w:p>
        </w:tc>
      </w:tr>
      <w:tr w:rsidR="008B3956" w:rsidRPr="00F13073" w14:paraId="08BE9AB7" w14:textId="77777777" w:rsidTr="003759BA">
        <w:trPr>
          <w:cantSplit/>
          <w:tblHeader/>
        </w:trPr>
        <w:tc>
          <w:tcPr>
            <w:tcW w:w="758" w:type="dxa"/>
          </w:tcPr>
          <w:p w14:paraId="21DB7AE7" w14:textId="77777777" w:rsidR="001E0975" w:rsidRPr="00F13073" w:rsidRDefault="00611033" w:rsidP="00183CFA">
            <w:pPr>
              <w:suppressAutoHyphens/>
              <w:jc w:val="center"/>
              <w:rPr>
                <w:sz w:val="20"/>
                <w:szCs w:val="20"/>
              </w:rPr>
            </w:pPr>
            <w:r w:rsidRPr="00F13073">
              <w:rPr>
                <w:sz w:val="20"/>
                <w:szCs w:val="20"/>
              </w:rPr>
              <w:t>52</w:t>
            </w:r>
          </w:p>
        </w:tc>
        <w:tc>
          <w:tcPr>
            <w:tcW w:w="790" w:type="dxa"/>
          </w:tcPr>
          <w:p w14:paraId="7C06B78C" w14:textId="77777777" w:rsidR="001E0975" w:rsidRPr="00F13073" w:rsidRDefault="001E0975" w:rsidP="00183CFA">
            <w:pPr>
              <w:suppressAutoHyphens/>
              <w:jc w:val="center"/>
              <w:rPr>
                <w:sz w:val="20"/>
                <w:szCs w:val="20"/>
              </w:rPr>
            </w:pPr>
          </w:p>
        </w:tc>
        <w:tc>
          <w:tcPr>
            <w:tcW w:w="733" w:type="dxa"/>
          </w:tcPr>
          <w:p w14:paraId="28BC6894" w14:textId="77777777" w:rsidR="001E0975" w:rsidRPr="00F13073" w:rsidRDefault="001E0975" w:rsidP="00183CFA">
            <w:pPr>
              <w:suppressAutoHyphens/>
              <w:jc w:val="center"/>
              <w:rPr>
                <w:sz w:val="20"/>
                <w:szCs w:val="20"/>
              </w:rPr>
            </w:pPr>
          </w:p>
        </w:tc>
        <w:tc>
          <w:tcPr>
            <w:tcW w:w="874" w:type="dxa"/>
          </w:tcPr>
          <w:p w14:paraId="5F04ACD6" w14:textId="77777777" w:rsidR="001E0975" w:rsidRPr="00F13073" w:rsidRDefault="00611033" w:rsidP="00183CFA">
            <w:pPr>
              <w:suppressAutoHyphens/>
              <w:jc w:val="center"/>
              <w:rPr>
                <w:sz w:val="20"/>
                <w:szCs w:val="20"/>
              </w:rPr>
            </w:pPr>
            <w:r w:rsidRPr="00F13073">
              <w:rPr>
                <w:sz w:val="20"/>
                <w:szCs w:val="20"/>
              </w:rPr>
              <w:t>36%***</w:t>
            </w:r>
          </w:p>
        </w:tc>
        <w:tc>
          <w:tcPr>
            <w:tcW w:w="790" w:type="dxa"/>
          </w:tcPr>
          <w:p w14:paraId="51677AFD" w14:textId="77777777" w:rsidR="001E0975" w:rsidRPr="00F13073" w:rsidRDefault="00611033" w:rsidP="00183CFA">
            <w:pPr>
              <w:suppressAutoHyphens/>
              <w:jc w:val="center"/>
              <w:rPr>
                <w:sz w:val="20"/>
                <w:szCs w:val="20"/>
              </w:rPr>
            </w:pPr>
            <w:r w:rsidRPr="00F13073">
              <w:rPr>
                <w:sz w:val="20"/>
                <w:szCs w:val="20"/>
              </w:rPr>
              <w:t>10%</w:t>
            </w:r>
          </w:p>
        </w:tc>
        <w:tc>
          <w:tcPr>
            <w:tcW w:w="903" w:type="dxa"/>
          </w:tcPr>
          <w:p w14:paraId="09E60F4F" w14:textId="77777777" w:rsidR="001E0975" w:rsidRPr="00F13073" w:rsidRDefault="001E0975" w:rsidP="00183CFA">
            <w:pPr>
              <w:suppressAutoHyphens/>
              <w:jc w:val="center"/>
              <w:rPr>
                <w:sz w:val="20"/>
                <w:szCs w:val="20"/>
              </w:rPr>
            </w:pPr>
          </w:p>
        </w:tc>
        <w:tc>
          <w:tcPr>
            <w:tcW w:w="728" w:type="dxa"/>
          </w:tcPr>
          <w:p w14:paraId="59E6038B" w14:textId="77777777" w:rsidR="001E0975" w:rsidRPr="00F13073" w:rsidRDefault="001E0975" w:rsidP="00183CFA">
            <w:pPr>
              <w:suppressAutoHyphens/>
              <w:jc w:val="center"/>
              <w:rPr>
                <w:sz w:val="20"/>
                <w:szCs w:val="20"/>
              </w:rPr>
            </w:pPr>
          </w:p>
        </w:tc>
        <w:tc>
          <w:tcPr>
            <w:tcW w:w="1005" w:type="dxa"/>
          </w:tcPr>
          <w:p w14:paraId="6822CE06" w14:textId="77777777" w:rsidR="001E0975" w:rsidRPr="00F13073" w:rsidRDefault="001E0975" w:rsidP="00183CFA">
            <w:pPr>
              <w:suppressAutoHyphens/>
              <w:jc w:val="center"/>
              <w:rPr>
                <w:sz w:val="20"/>
                <w:szCs w:val="20"/>
              </w:rPr>
            </w:pPr>
          </w:p>
        </w:tc>
        <w:tc>
          <w:tcPr>
            <w:tcW w:w="931" w:type="dxa"/>
          </w:tcPr>
          <w:p w14:paraId="1A46B6EA" w14:textId="77777777" w:rsidR="001E0975" w:rsidRPr="00F13073" w:rsidRDefault="001E0975" w:rsidP="00183CFA">
            <w:pPr>
              <w:suppressAutoHyphens/>
              <w:jc w:val="center"/>
              <w:rPr>
                <w:sz w:val="20"/>
                <w:szCs w:val="20"/>
              </w:rPr>
            </w:pPr>
          </w:p>
        </w:tc>
        <w:tc>
          <w:tcPr>
            <w:tcW w:w="817" w:type="dxa"/>
          </w:tcPr>
          <w:p w14:paraId="25E3F6B7" w14:textId="77777777" w:rsidR="001E0975" w:rsidRPr="00F13073" w:rsidRDefault="001E0975" w:rsidP="00183CFA">
            <w:pPr>
              <w:suppressAutoHyphens/>
              <w:jc w:val="center"/>
              <w:rPr>
                <w:sz w:val="20"/>
                <w:szCs w:val="20"/>
              </w:rPr>
            </w:pPr>
          </w:p>
        </w:tc>
        <w:tc>
          <w:tcPr>
            <w:tcW w:w="744" w:type="dxa"/>
          </w:tcPr>
          <w:p w14:paraId="357C9DCD" w14:textId="77777777" w:rsidR="001E0975" w:rsidRPr="00F13073" w:rsidRDefault="001E0975" w:rsidP="00183CFA">
            <w:pPr>
              <w:suppressAutoHyphens/>
              <w:jc w:val="center"/>
              <w:rPr>
                <w:sz w:val="20"/>
                <w:szCs w:val="20"/>
              </w:rPr>
            </w:pPr>
          </w:p>
        </w:tc>
      </w:tr>
      <w:tr w:rsidR="001E0975" w:rsidRPr="00F13073" w14:paraId="6AA33F8F" w14:textId="77777777" w:rsidTr="003759BA">
        <w:trPr>
          <w:cantSplit/>
          <w:tblHeader/>
        </w:trPr>
        <w:tc>
          <w:tcPr>
            <w:tcW w:w="9073" w:type="dxa"/>
            <w:gridSpan w:val="11"/>
          </w:tcPr>
          <w:p w14:paraId="13421EC6" w14:textId="77777777" w:rsidR="001E0975" w:rsidRPr="00F13073" w:rsidRDefault="00611033" w:rsidP="00183CFA">
            <w:pPr>
              <w:keepNext/>
              <w:suppressAutoHyphens/>
              <w:jc w:val="center"/>
              <w:rPr>
                <w:b/>
                <w:bCs/>
                <w:sz w:val="20"/>
                <w:szCs w:val="20"/>
              </w:rPr>
            </w:pPr>
            <w:r w:rsidRPr="00F13073">
              <w:rPr>
                <w:b/>
                <w:bCs/>
                <w:sz w:val="20"/>
                <w:szCs w:val="20"/>
              </w:rPr>
              <w:t>ACR 70</w:t>
            </w:r>
          </w:p>
        </w:tc>
      </w:tr>
      <w:tr w:rsidR="008B3956" w:rsidRPr="00F13073" w14:paraId="67EC5837" w14:textId="77777777" w:rsidTr="003759BA">
        <w:trPr>
          <w:cantSplit/>
          <w:tblHeader/>
        </w:trPr>
        <w:tc>
          <w:tcPr>
            <w:tcW w:w="758" w:type="dxa"/>
          </w:tcPr>
          <w:p w14:paraId="13CA428B" w14:textId="77777777" w:rsidR="001E0975" w:rsidRPr="00F13073" w:rsidRDefault="00611033" w:rsidP="00183CFA">
            <w:pPr>
              <w:keepNext/>
              <w:suppressAutoHyphens/>
              <w:jc w:val="center"/>
              <w:rPr>
                <w:sz w:val="20"/>
                <w:szCs w:val="20"/>
              </w:rPr>
            </w:pPr>
            <w:r w:rsidRPr="00F13073">
              <w:rPr>
                <w:sz w:val="20"/>
                <w:szCs w:val="20"/>
              </w:rPr>
              <w:t>24</w:t>
            </w:r>
          </w:p>
        </w:tc>
        <w:tc>
          <w:tcPr>
            <w:tcW w:w="790" w:type="dxa"/>
          </w:tcPr>
          <w:p w14:paraId="5167900F" w14:textId="77777777" w:rsidR="001E0975" w:rsidRPr="00F13073" w:rsidRDefault="00611033" w:rsidP="00183CFA">
            <w:pPr>
              <w:keepNext/>
              <w:suppressAutoHyphens/>
              <w:jc w:val="center"/>
              <w:rPr>
                <w:sz w:val="20"/>
                <w:szCs w:val="20"/>
              </w:rPr>
            </w:pPr>
            <w:r w:rsidRPr="00F13073">
              <w:rPr>
                <w:sz w:val="20"/>
                <w:szCs w:val="20"/>
              </w:rPr>
              <w:t>28%**</w:t>
            </w:r>
          </w:p>
        </w:tc>
        <w:tc>
          <w:tcPr>
            <w:tcW w:w="733" w:type="dxa"/>
          </w:tcPr>
          <w:p w14:paraId="0D0E66D2" w14:textId="77777777" w:rsidR="001E0975" w:rsidRPr="00F13073" w:rsidRDefault="00611033" w:rsidP="00183CFA">
            <w:pPr>
              <w:keepNext/>
              <w:suppressAutoHyphens/>
              <w:jc w:val="center"/>
              <w:rPr>
                <w:sz w:val="20"/>
                <w:szCs w:val="20"/>
              </w:rPr>
            </w:pPr>
            <w:r w:rsidRPr="00F13073">
              <w:rPr>
                <w:sz w:val="20"/>
                <w:szCs w:val="20"/>
              </w:rPr>
              <w:t>15%</w:t>
            </w:r>
          </w:p>
        </w:tc>
        <w:tc>
          <w:tcPr>
            <w:tcW w:w="874" w:type="dxa"/>
          </w:tcPr>
          <w:p w14:paraId="7C8B31D2" w14:textId="77777777" w:rsidR="001E0975" w:rsidRPr="00F13073" w:rsidRDefault="00611033" w:rsidP="00183CFA">
            <w:pPr>
              <w:keepNext/>
              <w:suppressAutoHyphens/>
              <w:jc w:val="center"/>
              <w:rPr>
                <w:sz w:val="20"/>
                <w:szCs w:val="20"/>
              </w:rPr>
            </w:pPr>
            <w:r w:rsidRPr="00F13073">
              <w:rPr>
                <w:sz w:val="20"/>
                <w:szCs w:val="20"/>
              </w:rPr>
              <w:t>13%***</w:t>
            </w:r>
          </w:p>
        </w:tc>
        <w:tc>
          <w:tcPr>
            <w:tcW w:w="790" w:type="dxa"/>
          </w:tcPr>
          <w:p w14:paraId="03033396" w14:textId="77777777" w:rsidR="001E0975" w:rsidRPr="00F13073" w:rsidRDefault="00611033" w:rsidP="00183CFA">
            <w:pPr>
              <w:keepNext/>
              <w:suppressAutoHyphens/>
              <w:jc w:val="center"/>
              <w:rPr>
                <w:sz w:val="20"/>
                <w:szCs w:val="20"/>
              </w:rPr>
            </w:pPr>
            <w:r w:rsidRPr="00F13073">
              <w:rPr>
                <w:sz w:val="20"/>
                <w:szCs w:val="20"/>
              </w:rPr>
              <w:t>2%</w:t>
            </w:r>
          </w:p>
        </w:tc>
        <w:tc>
          <w:tcPr>
            <w:tcW w:w="903" w:type="dxa"/>
          </w:tcPr>
          <w:p w14:paraId="2CDEC35B" w14:textId="77777777" w:rsidR="001E0975" w:rsidRPr="00F13073" w:rsidRDefault="00611033" w:rsidP="00183CFA">
            <w:pPr>
              <w:keepNext/>
              <w:suppressAutoHyphens/>
              <w:jc w:val="center"/>
              <w:rPr>
                <w:sz w:val="20"/>
                <w:szCs w:val="20"/>
              </w:rPr>
            </w:pPr>
            <w:r w:rsidRPr="00F13073">
              <w:rPr>
                <w:sz w:val="20"/>
                <w:szCs w:val="20"/>
              </w:rPr>
              <w:t>22%***</w:t>
            </w:r>
          </w:p>
        </w:tc>
        <w:tc>
          <w:tcPr>
            <w:tcW w:w="728" w:type="dxa"/>
          </w:tcPr>
          <w:p w14:paraId="78F946EF" w14:textId="77777777" w:rsidR="001E0975" w:rsidRPr="00F13073" w:rsidRDefault="00611033" w:rsidP="00183CFA">
            <w:pPr>
              <w:keepNext/>
              <w:suppressAutoHyphens/>
              <w:jc w:val="center"/>
              <w:rPr>
                <w:sz w:val="20"/>
                <w:szCs w:val="20"/>
              </w:rPr>
            </w:pPr>
            <w:r w:rsidRPr="00F13073">
              <w:rPr>
                <w:sz w:val="20"/>
                <w:szCs w:val="20"/>
              </w:rPr>
              <w:t>2%</w:t>
            </w:r>
          </w:p>
        </w:tc>
        <w:tc>
          <w:tcPr>
            <w:tcW w:w="1005" w:type="dxa"/>
          </w:tcPr>
          <w:p w14:paraId="0E233D9B" w14:textId="77777777" w:rsidR="001E0975" w:rsidRPr="00F13073" w:rsidRDefault="00611033" w:rsidP="00183CFA">
            <w:pPr>
              <w:keepNext/>
              <w:suppressAutoHyphens/>
              <w:jc w:val="center"/>
              <w:rPr>
                <w:sz w:val="20"/>
                <w:szCs w:val="20"/>
              </w:rPr>
            </w:pPr>
            <w:r w:rsidRPr="00F13073">
              <w:rPr>
                <w:sz w:val="20"/>
                <w:szCs w:val="20"/>
              </w:rPr>
              <w:t>21%***</w:t>
            </w:r>
          </w:p>
        </w:tc>
        <w:tc>
          <w:tcPr>
            <w:tcW w:w="931" w:type="dxa"/>
          </w:tcPr>
          <w:p w14:paraId="78FF23AB" w14:textId="77777777" w:rsidR="001E0975" w:rsidRPr="00F13073" w:rsidRDefault="00611033" w:rsidP="00183CFA">
            <w:pPr>
              <w:keepNext/>
              <w:suppressAutoHyphens/>
              <w:jc w:val="center"/>
              <w:rPr>
                <w:sz w:val="20"/>
                <w:szCs w:val="20"/>
              </w:rPr>
            </w:pPr>
            <w:r w:rsidRPr="00F13073">
              <w:rPr>
                <w:sz w:val="20"/>
                <w:szCs w:val="20"/>
              </w:rPr>
              <w:t>3%</w:t>
            </w:r>
          </w:p>
        </w:tc>
        <w:tc>
          <w:tcPr>
            <w:tcW w:w="817" w:type="dxa"/>
          </w:tcPr>
          <w:p w14:paraId="6F085872" w14:textId="77777777" w:rsidR="001E0975" w:rsidRPr="00F13073" w:rsidRDefault="00611033" w:rsidP="00183CFA">
            <w:pPr>
              <w:keepNext/>
              <w:suppressAutoHyphens/>
              <w:jc w:val="center"/>
              <w:rPr>
                <w:sz w:val="20"/>
                <w:szCs w:val="20"/>
              </w:rPr>
            </w:pPr>
            <w:r w:rsidRPr="00F13073">
              <w:rPr>
                <w:sz w:val="20"/>
                <w:szCs w:val="20"/>
              </w:rPr>
              <w:t>12%**</w:t>
            </w:r>
          </w:p>
        </w:tc>
        <w:tc>
          <w:tcPr>
            <w:tcW w:w="744" w:type="dxa"/>
          </w:tcPr>
          <w:p w14:paraId="2E35FB09" w14:textId="77777777" w:rsidR="001E0975" w:rsidRPr="00F13073" w:rsidRDefault="00611033" w:rsidP="00183CFA">
            <w:pPr>
              <w:keepNext/>
              <w:suppressAutoHyphens/>
              <w:jc w:val="center"/>
              <w:rPr>
                <w:sz w:val="20"/>
                <w:szCs w:val="20"/>
              </w:rPr>
            </w:pPr>
            <w:r w:rsidRPr="00F13073">
              <w:rPr>
                <w:sz w:val="20"/>
                <w:szCs w:val="20"/>
              </w:rPr>
              <w:t>1%</w:t>
            </w:r>
          </w:p>
        </w:tc>
      </w:tr>
      <w:tr w:rsidR="008B3956" w:rsidRPr="00F13073" w14:paraId="21265BBD" w14:textId="77777777" w:rsidTr="003759BA">
        <w:trPr>
          <w:cantSplit/>
          <w:tblHeader/>
        </w:trPr>
        <w:tc>
          <w:tcPr>
            <w:tcW w:w="758" w:type="dxa"/>
          </w:tcPr>
          <w:p w14:paraId="71012EE9" w14:textId="77777777" w:rsidR="008B3956" w:rsidRPr="00F13073" w:rsidRDefault="008B3956" w:rsidP="00183CFA">
            <w:pPr>
              <w:keepNext/>
              <w:suppressAutoHyphens/>
              <w:jc w:val="center"/>
              <w:rPr>
                <w:sz w:val="20"/>
                <w:szCs w:val="20"/>
              </w:rPr>
            </w:pPr>
            <w:r w:rsidRPr="00F13073">
              <w:rPr>
                <w:sz w:val="20"/>
                <w:szCs w:val="20"/>
              </w:rPr>
              <w:t>52</w:t>
            </w:r>
          </w:p>
        </w:tc>
        <w:tc>
          <w:tcPr>
            <w:tcW w:w="790" w:type="dxa"/>
          </w:tcPr>
          <w:p w14:paraId="5571A74A" w14:textId="77777777" w:rsidR="008B3956" w:rsidRPr="00F13073" w:rsidRDefault="008B3956" w:rsidP="00183CFA">
            <w:pPr>
              <w:keepNext/>
              <w:suppressAutoHyphens/>
              <w:jc w:val="center"/>
              <w:rPr>
                <w:sz w:val="20"/>
                <w:szCs w:val="20"/>
              </w:rPr>
            </w:pPr>
          </w:p>
        </w:tc>
        <w:tc>
          <w:tcPr>
            <w:tcW w:w="733" w:type="dxa"/>
          </w:tcPr>
          <w:p w14:paraId="042BAB76" w14:textId="77777777" w:rsidR="008B3956" w:rsidRPr="00F13073" w:rsidRDefault="008B3956" w:rsidP="00183CFA">
            <w:pPr>
              <w:keepNext/>
              <w:suppressAutoHyphens/>
              <w:jc w:val="center"/>
              <w:rPr>
                <w:sz w:val="20"/>
                <w:szCs w:val="20"/>
              </w:rPr>
            </w:pPr>
          </w:p>
        </w:tc>
        <w:tc>
          <w:tcPr>
            <w:tcW w:w="874" w:type="dxa"/>
          </w:tcPr>
          <w:p w14:paraId="1A5D7EB9" w14:textId="77777777" w:rsidR="008B3956" w:rsidRPr="00F13073" w:rsidRDefault="008B3956" w:rsidP="00183CFA">
            <w:pPr>
              <w:keepNext/>
              <w:suppressAutoHyphens/>
              <w:jc w:val="center"/>
              <w:rPr>
                <w:sz w:val="20"/>
                <w:szCs w:val="20"/>
              </w:rPr>
            </w:pPr>
            <w:r w:rsidRPr="00F13073">
              <w:rPr>
                <w:sz w:val="20"/>
                <w:szCs w:val="20"/>
              </w:rPr>
              <w:t>20%***</w:t>
            </w:r>
          </w:p>
        </w:tc>
        <w:tc>
          <w:tcPr>
            <w:tcW w:w="790" w:type="dxa"/>
          </w:tcPr>
          <w:p w14:paraId="0FD3432C" w14:textId="77777777" w:rsidR="008B3956" w:rsidRPr="00F13073" w:rsidRDefault="008B3956" w:rsidP="00183CFA">
            <w:pPr>
              <w:keepNext/>
              <w:suppressAutoHyphens/>
              <w:jc w:val="center"/>
              <w:rPr>
                <w:sz w:val="20"/>
                <w:szCs w:val="20"/>
              </w:rPr>
            </w:pPr>
            <w:r w:rsidRPr="00F13073">
              <w:rPr>
                <w:sz w:val="20"/>
                <w:szCs w:val="20"/>
              </w:rPr>
              <w:t>4%</w:t>
            </w:r>
          </w:p>
        </w:tc>
        <w:tc>
          <w:tcPr>
            <w:tcW w:w="903" w:type="dxa"/>
          </w:tcPr>
          <w:p w14:paraId="36C498CC" w14:textId="77777777" w:rsidR="008B3956" w:rsidRPr="00F13073" w:rsidRDefault="008B3956" w:rsidP="00183CFA">
            <w:pPr>
              <w:keepNext/>
              <w:suppressAutoHyphens/>
              <w:jc w:val="center"/>
              <w:rPr>
                <w:sz w:val="20"/>
                <w:szCs w:val="20"/>
              </w:rPr>
            </w:pPr>
          </w:p>
        </w:tc>
        <w:tc>
          <w:tcPr>
            <w:tcW w:w="728" w:type="dxa"/>
          </w:tcPr>
          <w:p w14:paraId="2F268B39" w14:textId="77777777" w:rsidR="008B3956" w:rsidRPr="00F13073" w:rsidRDefault="008B3956" w:rsidP="00183CFA">
            <w:pPr>
              <w:keepNext/>
              <w:suppressAutoHyphens/>
              <w:jc w:val="center"/>
              <w:rPr>
                <w:sz w:val="20"/>
                <w:szCs w:val="20"/>
              </w:rPr>
            </w:pPr>
          </w:p>
        </w:tc>
        <w:tc>
          <w:tcPr>
            <w:tcW w:w="1005" w:type="dxa"/>
          </w:tcPr>
          <w:p w14:paraId="74B7DDA0" w14:textId="77777777" w:rsidR="008B3956" w:rsidRPr="00F13073" w:rsidRDefault="008B3956" w:rsidP="00183CFA">
            <w:pPr>
              <w:keepNext/>
              <w:suppressAutoHyphens/>
              <w:jc w:val="center"/>
              <w:rPr>
                <w:sz w:val="20"/>
                <w:szCs w:val="20"/>
              </w:rPr>
            </w:pPr>
          </w:p>
        </w:tc>
        <w:tc>
          <w:tcPr>
            <w:tcW w:w="931" w:type="dxa"/>
          </w:tcPr>
          <w:p w14:paraId="4CBE2DBF" w14:textId="77777777" w:rsidR="008B3956" w:rsidRPr="00F13073" w:rsidRDefault="008B3956" w:rsidP="00183CFA">
            <w:pPr>
              <w:keepNext/>
              <w:suppressAutoHyphens/>
              <w:jc w:val="center"/>
              <w:rPr>
                <w:sz w:val="20"/>
                <w:szCs w:val="20"/>
              </w:rPr>
            </w:pPr>
          </w:p>
        </w:tc>
        <w:tc>
          <w:tcPr>
            <w:tcW w:w="817" w:type="dxa"/>
          </w:tcPr>
          <w:p w14:paraId="36EDE482" w14:textId="77777777" w:rsidR="008B3956" w:rsidRPr="00F13073" w:rsidRDefault="008B3956" w:rsidP="00183CFA">
            <w:pPr>
              <w:keepNext/>
              <w:suppressAutoHyphens/>
              <w:jc w:val="center"/>
              <w:rPr>
                <w:sz w:val="20"/>
                <w:szCs w:val="20"/>
              </w:rPr>
            </w:pPr>
          </w:p>
        </w:tc>
        <w:tc>
          <w:tcPr>
            <w:tcW w:w="744" w:type="dxa"/>
          </w:tcPr>
          <w:p w14:paraId="5F642D2F" w14:textId="77777777" w:rsidR="008B3956" w:rsidRPr="00F13073" w:rsidRDefault="008B3956" w:rsidP="00183CFA">
            <w:pPr>
              <w:keepNext/>
              <w:suppressAutoHyphens/>
              <w:jc w:val="center"/>
              <w:rPr>
                <w:sz w:val="20"/>
                <w:szCs w:val="20"/>
              </w:rPr>
            </w:pPr>
          </w:p>
        </w:tc>
      </w:tr>
    </w:tbl>
    <w:p w14:paraId="579A1835" w14:textId="77777777" w:rsidR="001E0975" w:rsidRPr="00F13073" w:rsidRDefault="00611033" w:rsidP="008B4C50">
      <w:pPr>
        <w:tabs>
          <w:tab w:val="left" w:pos="851"/>
        </w:tabs>
        <w:rPr>
          <w:i/>
          <w:iCs/>
          <w:sz w:val="18"/>
          <w:szCs w:val="18"/>
        </w:rPr>
      </w:pPr>
      <w:r w:rsidRPr="00F13073">
        <w:rPr>
          <w:i/>
          <w:iCs/>
          <w:sz w:val="18"/>
          <w:szCs w:val="18"/>
        </w:rPr>
        <w:t>TCZ</w:t>
      </w:r>
      <w:r w:rsidRPr="00F13073">
        <w:rPr>
          <w:i/>
          <w:iCs/>
          <w:sz w:val="18"/>
          <w:szCs w:val="18"/>
        </w:rPr>
        <w:tab/>
        <w:t>-</w:t>
      </w:r>
      <w:r w:rsidR="008B3956" w:rsidRPr="00F13073">
        <w:rPr>
          <w:i/>
          <w:iCs/>
          <w:sz w:val="18"/>
          <w:szCs w:val="18"/>
        </w:rPr>
        <w:t xml:space="preserve"> </w:t>
      </w:r>
      <w:r w:rsidR="00394B5C" w:rsidRPr="00F13073">
        <w:rPr>
          <w:i/>
          <w:iCs/>
          <w:sz w:val="18"/>
          <w:szCs w:val="18"/>
        </w:rPr>
        <w:t>tocilizumab</w:t>
      </w:r>
    </w:p>
    <w:p w14:paraId="4D9F8C15" w14:textId="77777777" w:rsidR="001E0975" w:rsidRPr="00F13073" w:rsidRDefault="00611033" w:rsidP="008B4C50">
      <w:pPr>
        <w:tabs>
          <w:tab w:val="left" w:pos="851"/>
        </w:tabs>
        <w:rPr>
          <w:i/>
          <w:iCs/>
          <w:sz w:val="18"/>
          <w:szCs w:val="18"/>
        </w:rPr>
      </w:pPr>
      <w:r w:rsidRPr="00F13073">
        <w:rPr>
          <w:i/>
          <w:iCs/>
          <w:sz w:val="18"/>
          <w:szCs w:val="18"/>
        </w:rPr>
        <w:t>MTX</w:t>
      </w:r>
      <w:r w:rsidRPr="00F13073">
        <w:rPr>
          <w:i/>
          <w:iCs/>
          <w:sz w:val="18"/>
          <w:szCs w:val="18"/>
        </w:rPr>
        <w:tab/>
        <w:t>-</w:t>
      </w:r>
      <w:r w:rsidR="008B3956" w:rsidRPr="00F13073">
        <w:rPr>
          <w:i/>
          <w:iCs/>
          <w:sz w:val="18"/>
          <w:szCs w:val="18"/>
        </w:rPr>
        <w:t xml:space="preserve"> </w:t>
      </w:r>
      <w:r w:rsidR="00394B5C" w:rsidRPr="00F13073">
        <w:rPr>
          <w:i/>
          <w:iCs/>
          <w:sz w:val="18"/>
          <w:szCs w:val="18"/>
        </w:rPr>
        <w:t>metotreksat</w:t>
      </w:r>
    </w:p>
    <w:p w14:paraId="7CCDF1DE" w14:textId="77777777" w:rsidR="001E0975" w:rsidRPr="00F13073" w:rsidRDefault="00611033" w:rsidP="008B4C50">
      <w:pPr>
        <w:tabs>
          <w:tab w:val="left" w:pos="851"/>
        </w:tabs>
        <w:rPr>
          <w:i/>
          <w:iCs/>
          <w:sz w:val="18"/>
          <w:szCs w:val="18"/>
        </w:rPr>
      </w:pPr>
      <w:r w:rsidRPr="00F13073">
        <w:rPr>
          <w:i/>
          <w:iCs/>
          <w:sz w:val="18"/>
          <w:szCs w:val="18"/>
        </w:rPr>
        <w:t>PBO</w:t>
      </w:r>
      <w:r w:rsidRPr="00F13073">
        <w:rPr>
          <w:i/>
          <w:iCs/>
          <w:sz w:val="18"/>
          <w:szCs w:val="18"/>
        </w:rPr>
        <w:tab/>
        <w:t>-</w:t>
      </w:r>
      <w:r w:rsidR="008B3956" w:rsidRPr="00F13073">
        <w:rPr>
          <w:i/>
          <w:iCs/>
          <w:sz w:val="18"/>
          <w:szCs w:val="18"/>
        </w:rPr>
        <w:t xml:space="preserve"> </w:t>
      </w:r>
      <w:r w:rsidR="0024105C" w:rsidRPr="00F13073">
        <w:rPr>
          <w:i/>
          <w:iCs/>
          <w:sz w:val="18"/>
          <w:szCs w:val="18"/>
        </w:rPr>
        <w:t>placebo</w:t>
      </w:r>
    </w:p>
    <w:p w14:paraId="03C4D59A" w14:textId="77777777" w:rsidR="001E0975" w:rsidRPr="00F13073" w:rsidRDefault="008B3956" w:rsidP="008B4C50">
      <w:pPr>
        <w:tabs>
          <w:tab w:val="left" w:pos="851"/>
        </w:tabs>
        <w:rPr>
          <w:i/>
          <w:iCs/>
          <w:sz w:val="18"/>
          <w:szCs w:val="18"/>
        </w:rPr>
      </w:pPr>
      <w:r w:rsidRPr="00F13073">
        <w:rPr>
          <w:i/>
          <w:iCs/>
          <w:sz w:val="18"/>
          <w:szCs w:val="18"/>
        </w:rPr>
        <w:t>DMARD</w:t>
      </w:r>
      <w:r w:rsidRPr="00F13073">
        <w:rPr>
          <w:i/>
          <w:iCs/>
          <w:sz w:val="18"/>
          <w:szCs w:val="18"/>
        </w:rPr>
        <w:tab/>
      </w:r>
      <w:r w:rsidR="001721B1" w:rsidRPr="00F13073">
        <w:rPr>
          <w:i/>
          <w:iCs/>
          <w:sz w:val="18"/>
          <w:szCs w:val="18"/>
        </w:rPr>
        <w:t>-</w:t>
      </w:r>
      <w:r w:rsidRPr="00F13073">
        <w:rPr>
          <w:i/>
          <w:iCs/>
          <w:sz w:val="18"/>
          <w:szCs w:val="18"/>
        </w:rPr>
        <w:t xml:space="preserve"> </w:t>
      </w:r>
      <w:r w:rsidR="0024105C" w:rsidRPr="00F13073">
        <w:rPr>
          <w:i/>
          <w:iCs/>
          <w:sz w:val="18"/>
          <w:szCs w:val="18"/>
        </w:rPr>
        <w:t>lek przeciwreumatyczny modyfikujący przebieg choroby</w:t>
      </w:r>
    </w:p>
    <w:p w14:paraId="3143237A" w14:textId="77777777" w:rsidR="001E0975" w:rsidRPr="00F13073" w:rsidRDefault="008B3956" w:rsidP="008B4C50">
      <w:pPr>
        <w:tabs>
          <w:tab w:val="left" w:pos="851"/>
        </w:tabs>
        <w:rPr>
          <w:i/>
          <w:iCs/>
          <w:sz w:val="18"/>
          <w:szCs w:val="18"/>
        </w:rPr>
      </w:pPr>
      <w:r w:rsidRPr="00F13073">
        <w:rPr>
          <w:i/>
          <w:iCs/>
          <w:sz w:val="18"/>
          <w:szCs w:val="18"/>
        </w:rPr>
        <w:t>**</w:t>
      </w:r>
      <w:r w:rsidRPr="00F13073">
        <w:rPr>
          <w:i/>
          <w:iCs/>
          <w:sz w:val="18"/>
          <w:szCs w:val="18"/>
        </w:rPr>
        <w:tab/>
      </w:r>
      <w:r w:rsidR="001721B1" w:rsidRPr="00F13073">
        <w:rPr>
          <w:i/>
          <w:iCs/>
          <w:sz w:val="18"/>
          <w:szCs w:val="18"/>
        </w:rPr>
        <w:t>-</w:t>
      </w:r>
      <w:r w:rsidRPr="00F13073">
        <w:rPr>
          <w:i/>
          <w:iCs/>
          <w:sz w:val="18"/>
          <w:szCs w:val="18"/>
        </w:rPr>
        <w:t xml:space="preserve"> </w:t>
      </w:r>
      <w:r w:rsidR="00611033" w:rsidRPr="00F13073">
        <w:rPr>
          <w:i/>
          <w:iCs/>
          <w:sz w:val="18"/>
          <w:szCs w:val="18"/>
        </w:rPr>
        <w:t>p&lt; 0</w:t>
      </w:r>
      <w:r w:rsidR="0024105C" w:rsidRPr="00F13073">
        <w:rPr>
          <w:i/>
          <w:iCs/>
          <w:sz w:val="18"/>
          <w:szCs w:val="18"/>
        </w:rPr>
        <w:t>,</w:t>
      </w:r>
      <w:r w:rsidR="00611033" w:rsidRPr="00F13073">
        <w:rPr>
          <w:i/>
          <w:iCs/>
          <w:sz w:val="18"/>
          <w:szCs w:val="18"/>
        </w:rPr>
        <w:t>01, TCZ vs. PBO + MTX/DMARD</w:t>
      </w:r>
    </w:p>
    <w:p w14:paraId="77B4D170" w14:textId="77777777" w:rsidR="001E0975" w:rsidRPr="00F13073" w:rsidRDefault="008B3956" w:rsidP="008B4C50">
      <w:pPr>
        <w:tabs>
          <w:tab w:val="left" w:pos="851"/>
        </w:tabs>
        <w:rPr>
          <w:i/>
          <w:iCs/>
          <w:sz w:val="18"/>
          <w:szCs w:val="18"/>
        </w:rPr>
      </w:pPr>
      <w:r w:rsidRPr="00F13073">
        <w:rPr>
          <w:i/>
          <w:iCs/>
          <w:sz w:val="18"/>
          <w:szCs w:val="18"/>
        </w:rPr>
        <w:t>***</w:t>
      </w:r>
      <w:r w:rsidRPr="00F13073">
        <w:rPr>
          <w:i/>
          <w:iCs/>
          <w:sz w:val="18"/>
          <w:szCs w:val="18"/>
        </w:rPr>
        <w:tab/>
      </w:r>
      <w:r w:rsidR="001721B1" w:rsidRPr="00F13073">
        <w:rPr>
          <w:i/>
          <w:iCs/>
          <w:sz w:val="18"/>
          <w:szCs w:val="18"/>
        </w:rPr>
        <w:t>-</w:t>
      </w:r>
      <w:r w:rsidRPr="00F13073">
        <w:rPr>
          <w:i/>
          <w:iCs/>
          <w:sz w:val="18"/>
          <w:szCs w:val="18"/>
        </w:rPr>
        <w:t xml:space="preserve"> </w:t>
      </w:r>
      <w:r w:rsidR="00611033" w:rsidRPr="00F13073">
        <w:rPr>
          <w:i/>
          <w:iCs/>
          <w:sz w:val="18"/>
          <w:szCs w:val="18"/>
        </w:rPr>
        <w:t>p&lt; 0</w:t>
      </w:r>
      <w:r w:rsidR="0024105C" w:rsidRPr="00F13073">
        <w:rPr>
          <w:i/>
          <w:iCs/>
          <w:sz w:val="18"/>
          <w:szCs w:val="18"/>
        </w:rPr>
        <w:t>,</w:t>
      </w:r>
      <w:r w:rsidR="00611033" w:rsidRPr="00F13073">
        <w:rPr>
          <w:i/>
          <w:iCs/>
          <w:sz w:val="18"/>
          <w:szCs w:val="18"/>
        </w:rPr>
        <w:t>0001, TCZ vs. PBO + MTX/DMARD</w:t>
      </w:r>
    </w:p>
    <w:p w14:paraId="6ED3B8E2" w14:textId="77777777" w:rsidR="008B3956" w:rsidRPr="00F13073" w:rsidRDefault="008B3956" w:rsidP="008B4C50"/>
    <w:p w14:paraId="4B68B867" w14:textId="77777777" w:rsidR="0024105C" w:rsidRPr="00F13073" w:rsidRDefault="0024105C" w:rsidP="00A22877">
      <w:pPr>
        <w:pStyle w:val="a4"/>
        <w:keepNext/>
        <w:widowControl/>
        <w:spacing w:after="0"/>
      </w:pPr>
      <w:r w:rsidRPr="00F13073">
        <w:rPr>
          <w:rStyle w:val="Char"/>
          <w:i/>
          <w:iCs/>
        </w:rPr>
        <w:t>Duża odpowiedź kliniczna</w:t>
      </w:r>
    </w:p>
    <w:p w14:paraId="0B771C77" w14:textId="0DC05278" w:rsidR="0024105C" w:rsidRPr="00F13073" w:rsidRDefault="0024105C" w:rsidP="008B4C50">
      <w:pPr>
        <w:pStyle w:val="a4"/>
        <w:widowControl/>
        <w:spacing w:after="0"/>
        <w:rPr>
          <w:rStyle w:val="Char"/>
        </w:rPr>
      </w:pPr>
      <w:r w:rsidRPr="00F13073">
        <w:rPr>
          <w:rStyle w:val="Char"/>
        </w:rPr>
        <w:t xml:space="preserve">Po 2 latach leczenia </w:t>
      </w:r>
      <w:r w:rsidR="00FC1365" w:rsidRPr="00F13073">
        <w:rPr>
          <w:rStyle w:val="Char"/>
        </w:rPr>
        <w:t xml:space="preserve">tocilizumabem </w:t>
      </w:r>
      <w:r w:rsidRPr="00F13073">
        <w:rPr>
          <w:rStyle w:val="Char"/>
        </w:rPr>
        <w:t>w skojarzeniu z MTX 14% pacjentów osiągnęło dużą odpowiedź kliniczną (utrzymywanie się odpowiedzi na leczenie wg kryteriów ACR70 przez co najmniej 24 tygodnie).</w:t>
      </w:r>
    </w:p>
    <w:p w14:paraId="738BBAEC" w14:textId="77777777" w:rsidR="0024105C" w:rsidRPr="00F13073" w:rsidRDefault="0024105C" w:rsidP="008B4C50">
      <w:pPr>
        <w:pStyle w:val="a4"/>
        <w:widowControl/>
        <w:spacing w:after="0"/>
      </w:pPr>
    </w:p>
    <w:p w14:paraId="528EEAB1" w14:textId="77777777" w:rsidR="0024105C" w:rsidRPr="00F13073" w:rsidRDefault="0024105C" w:rsidP="008B4C50">
      <w:pPr>
        <w:pStyle w:val="a4"/>
        <w:widowControl/>
        <w:spacing w:after="0"/>
      </w:pPr>
      <w:r w:rsidRPr="00F13073">
        <w:rPr>
          <w:rStyle w:val="Char"/>
          <w:i/>
          <w:iCs/>
        </w:rPr>
        <w:t>Odpowiedź radiologiczna</w:t>
      </w:r>
    </w:p>
    <w:p w14:paraId="4FCE64FD" w14:textId="265E40CA" w:rsidR="0024105C" w:rsidRPr="00F13073" w:rsidRDefault="0024105C" w:rsidP="008B4C50">
      <w:pPr>
        <w:pStyle w:val="a4"/>
        <w:widowControl/>
        <w:spacing w:after="0"/>
        <w:rPr>
          <w:rStyle w:val="Char"/>
        </w:rPr>
      </w:pPr>
      <w:r w:rsidRPr="00F13073">
        <w:rPr>
          <w:rStyle w:val="Char"/>
        </w:rPr>
        <w:t xml:space="preserve">W badaniu II u pacjentów z niedostateczną odpowiedzią na leczenie metotreksatem oceniano radiologicznie stopień zahamowania zmian strukturalnych stawów i wyrażano jako zmianę w zmodyfikowanej skali Sharpa i jej składowych, liczby nadżerek i zwężeń szpar stawowych. </w:t>
      </w:r>
      <w:r w:rsidRPr="00F13073">
        <w:rPr>
          <w:rStyle w:val="Char"/>
        </w:rPr>
        <w:lastRenderedPageBreak/>
        <w:t xml:space="preserve">Zahamowanie niszczenia struktury stawu wykazano na podstawie istotnie mniejszej progresji radiologicznej u chorych otrzymujących </w:t>
      </w:r>
      <w:r w:rsidR="00FC1365" w:rsidRPr="00F13073">
        <w:rPr>
          <w:rStyle w:val="Char"/>
        </w:rPr>
        <w:t xml:space="preserve">tocilizumab </w:t>
      </w:r>
      <w:r w:rsidRPr="00F13073">
        <w:rPr>
          <w:rStyle w:val="Char"/>
        </w:rPr>
        <w:t>w porównaniu do grupy kontrolnej (Tabela 6).</w:t>
      </w:r>
    </w:p>
    <w:p w14:paraId="3C050BD6" w14:textId="77777777" w:rsidR="0024105C" w:rsidRPr="00F13073" w:rsidRDefault="0024105C" w:rsidP="008B4C50">
      <w:pPr>
        <w:pStyle w:val="a4"/>
        <w:widowControl/>
        <w:spacing w:after="0"/>
      </w:pPr>
    </w:p>
    <w:p w14:paraId="28A3E6FD" w14:textId="3ACEB430" w:rsidR="0024105C" w:rsidRPr="00F13073" w:rsidRDefault="0024105C" w:rsidP="008B4C50">
      <w:pPr>
        <w:pStyle w:val="a4"/>
        <w:widowControl/>
        <w:spacing w:after="0"/>
        <w:rPr>
          <w:rStyle w:val="Char"/>
        </w:rPr>
      </w:pPr>
      <w:r w:rsidRPr="00F13073">
        <w:rPr>
          <w:rStyle w:val="Char"/>
        </w:rPr>
        <w:t xml:space="preserve">W przedłużonej otwartej fazie badania II zahamowanie progresji strukturalnego uszkodzenia stawów u leczonych </w:t>
      </w:r>
      <w:r w:rsidR="0086197C" w:rsidRPr="00F13073">
        <w:rPr>
          <w:rStyle w:val="Char"/>
        </w:rPr>
        <w:t xml:space="preserve">tocilizumabem </w:t>
      </w:r>
      <w:r w:rsidRPr="00F13073">
        <w:rPr>
          <w:rStyle w:val="Char"/>
        </w:rPr>
        <w:t xml:space="preserve">w skojarzeniu z metotreksatem utrzymywało się w drugim roku leczenia. Średnia zmiana całkowitego wyniku w skali Sharpa w modyfikacji Genanta od wartości wyjściowej do 104. tygodnia leczenia była istotnie niższa u chorych leczonych </w:t>
      </w:r>
      <w:r w:rsidR="0086197C" w:rsidRPr="00F13073">
        <w:rPr>
          <w:rStyle w:val="Char"/>
        </w:rPr>
        <w:t xml:space="preserve">tocilizumabem </w:t>
      </w:r>
      <w:r w:rsidRPr="00F13073">
        <w:rPr>
          <w:rStyle w:val="Char"/>
        </w:rPr>
        <w:t>w dawce 8 mg/kg mc. + MTX (p &lt; 0,0001) w porównaniu do pacjentów otrzymujących placebo + MTX.</w:t>
      </w:r>
    </w:p>
    <w:p w14:paraId="32E12E02" w14:textId="77777777" w:rsidR="0024105C" w:rsidRPr="00F13073" w:rsidRDefault="0024105C" w:rsidP="008B4C50">
      <w:pPr>
        <w:pStyle w:val="a4"/>
        <w:widowControl/>
        <w:spacing w:after="0"/>
      </w:pPr>
    </w:p>
    <w:p w14:paraId="03AEE21D" w14:textId="77777777" w:rsidR="001E0975" w:rsidRPr="00F13073" w:rsidRDefault="00611033" w:rsidP="008B4C50">
      <w:pPr>
        <w:keepNext/>
        <w:ind w:left="1134" w:hanging="1134"/>
        <w:rPr>
          <w:i/>
          <w:iCs/>
        </w:rPr>
      </w:pPr>
      <w:r w:rsidRPr="00F13073">
        <w:rPr>
          <w:i/>
          <w:iCs/>
        </w:rPr>
        <w:t>Tab</w:t>
      </w:r>
      <w:r w:rsidR="00101F01" w:rsidRPr="00F13073">
        <w:rPr>
          <w:i/>
          <w:iCs/>
        </w:rPr>
        <w:t>e</w:t>
      </w:r>
      <w:r w:rsidRPr="00F13073">
        <w:rPr>
          <w:i/>
          <w:iCs/>
        </w:rPr>
        <w:t>l</w:t>
      </w:r>
      <w:r w:rsidR="0024105C" w:rsidRPr="00F13073">
        <w:rPr>
          <w:i/>
          <w:iCs/>
        </w:rPr>
        <w:t>a</w:t>
      </w:r>
      <w:r w:rsidRPr="00F13073">
        <w:rPr>
          <w:i/>
          <w:iCs/>
        </w:rPr>
        <w:t xml:space="preserve"> 6.</w:t>
      </w:r>
      <w:r w:rsidR="00EE72CC" w:rsidRPr="00F13073">
        <w:rPr>
          <w:i/>
          <w:iCs/>
        </w:rPr>
        <w:tab/>
      </w:r>
      <w:r w:rsidR="0024105C" w:rsidRPr="00F13073">
        <w:rPr>
          <w:rStyle w:val="Char"/>
          <w:rFonts w:eastAsia="DengXian"/>
          <w:i/>
          <w:iCs/>
        </w:rPr>
        <w:t xml:space="preserve">Średnia zmiana wyników radiologicznych w ciągu 52 tygodni w badaniu </w:t>
      </w:r>
      <w:r w:rsidRPr="00F13073">
        <w:rPr>
          <w:i/>
          <w:iCs/>
        </w:rPr>
        <w:t>II</w:t>
      </w:r>
    </w:p>
    <w:p w14:paraId="67252EC7" w14:textId="77777777" w:rsidR="00EE72CC" w:rsidRPr="00F13073" w:rsidRDefault="00EE72CC"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2383"/>
        <w:gridCol w:w="3278"/>
        <w:gridCol w:w="3190"/>
      </w:tblGrid>
      <w:tr w:rsidR="001E0975" w:rsidRPr="00F13073" w14:paraId="116140A8" w14:textId="77777777" w:rsidTr="003759BA">
        <w:trPr>
          <w:cantSplit/>
          <w:tblHeader/>
        </w:trPr>
        <w:tc>
          <w:tcPr>
            <w:tcW w:w="2441" w:type="dxa"/>
            <w:tcBorders>
              <w:top w:val="single" w:sz="4" w:space="0" w:color="auto"/>
              <w:left w:val="single" w:sz="4" w:space="0" w:color="auto"/>
            </w:tcBorders>
          </w:tcPr>
          <w:p w14:paraId="188063A2" w14:textId="77777777" w:rsidR="001E0975" w:rsidRPr="00F13073" w:rsidRDefault="001E0975" w:rsidP="008B4C50">
            <w:pPr>
              <w:keepNext/>
              <w:suppressAutoHyphens/>
              <w:rPr>
                <w:b/>
                <w:bCs/>
              </w:rPr>
            </w:pPr>
          </w:p>
        </w:tc>
        <w:tc>
          <w:tcPr>
            <w:tcW w:w="3361" w:type="dxa"/>
            <w:tcBorders>
              <w:top w:val="single" w:sz="4" w:space="0" w:color="auto"/>
              <w:left w:val="single" w:sz="4" w:space="0" w:color="auto"/>
            </w:tcBorders>
          </w:tcPr>
          <w:p w14:paraId="107B0171" w14:textId="77777777" w:rsidR="00EE72CC" w:rsidRPr="00F13073" w:rsidRDefault="00611033" w:rsidP="00A22877">
            <w:pPr>
              <w:keepNext/>
              <w:suppressAutoHyphens/>
              <w:jc w:val="center"/>
              <w:rPr>
                <w:b/>
                <w:bCs/>
              </w:rPr>
            </w:pPr>
            <w:r w:rsidRPr="00F13073">
              <w:rPr>
                <w:b/>
                <w:bCs/>
              </w:rPr>
              <w:t>PBO + MTX</w:t>
            </w:r>
          </w:p>
          <w:p w14:paraId="59F2F962" w14:textId="77777777" w:rsidR="00EE72CC" w:rsidRPr="00F13073" w:rsidRDefault="00611033" w:rsidP="00A22877">
            <w:pPr>
              <w:keepNext/>
              <w:suppressAutoHyphens/>
              <w:jc w:val="center"/>
              <w:rPr>
                <w:b/>
                <w:bCs/>
              </w:rPr>
            </w:pPr>
            <w:r w:rsidRPr="00F13073">
              <w:rPr>
                <w:b/>
                <w:bCs/>
              </w:rPr>
              <w:t xml:space="preserve">(+ TCZ </w:t>
            </w:r>
            <w:r w:rsidR="000747AE" w:rsidRPr="00F13073">
              <w:rPr>
                <w:b/>
                <w:bCs/>
              </w:rPr>
              <w:t>od 24. tygodnia</w:t>
            </w:r>
            <w:r w:rsidRPr="00F13073">
              <w:rPr>
                <w:b/>
                <w:bCs/>
              </w:rPr>
              <w:t>)</w:t>
            </w:r>
          </w:p>
          <w:p w14:paraId="5955FA51" w14:textId="77777777" w:rsidR="001E0975" w:rsidRPr="00F13073" w:rsidRDefault="00611033" w:rsidP="00A22877">
            <w:pPr>
              <w:keepNext/>
              <w:suppressAutoHyphens/>
              <w:jc w:val="center"/>
              <w:rPr>
                <w:b/>
                <w:bCs/>
              </w:rPr>
            </w:pPr>
            <w:r w:rsidRPr="00F13073">
              <w:rPr>
                <w:b/>
                <w:bCs/>
              </w:rPr>
              <w:t>N = 393</w:t>
            </w:r>
          </w:p>
        </w:tc>
        <w:tc>
          <w:tcPr>
            <w:tcW w:w="3270" w:type="dxa"/>
            <w:tcBorders>
              <w:top w:val="single" w:sz="4" w:space="0" w:color="auto"/>
              <w:left w:val="single" w:sz="4" w:space="0" w:color="auto"/>
              <w:right w:val="single" w:sz="4" w:space="0" w:color="auto"/>
            </w:tcBorders>
          </w:tcPr>
          <w:p w14:paraId="5270EDD6" w14:textId="77777777" w:rsidR="001E0975" w:rsidRPr="00F13073" w:rsidRDefault="00611033" w:rsidP="00A22877">
            <w:pPr>
              <w:keepNext/>
              <w:suppressAutoHyphens/>
              <w:jc w:val="center"/>
              <w:rPr>
                <w:b/>
                <w:bCs/>
              </w:rPr>
            </w:pPr>
            <w:r w:rsidRPr="00F13073">
              <w:rPr>
                <w:b/>
                <w:bCs/>
              </w:rPr>
              <w:t xml:space="preserve">TCZ 8 mg/kg </w:t>
            </w:r>
            <w:r w:rsidR="000747AE" w:rsidRPr="00F13073">
              <w:rPr>
                <w:b/>
                <w:bCs/>
              </w:rPr>
              <w:t>mc.</w:t>
            </w:r>
            <w:r w:rsidRPr="00F13073">
              <w:rPr>
                <w:b/>
                <w:bCs/>
              </w:rPr>
              <w:t>+ MTX</w:t>
            </w:r>
          </w:p>
          <w:p w14:paraId="5161009C" w14:textId="77777777" w:rsidR="001E0975" w:rsidRPr="00F13073" w:rsidRDefault="00611033" w:rsidP="00A22877">
            <w:pPr>
              <w:keepNext/>
              <w:suppressAutoHyphens/>
              <w:jc w:val="center"/>
              <w:rPr>
                <w:b/>
                <w:bCs/>
              </w:rPr>
            </w:pPr>
            <w:r w:rsidRPr="00F13073">
              <w:rPr>
                <w:b/>
                <w:bCs/>
              </w:rPr>
              <w:t>N = 398</w:t>
            </w:r>
          </w:p>
        </w:tc>
      </w:tr>
      <w:tr w:rsidR="000747AE" w:rsidRPr="00F13073" w14:paraId="68A4C4E7" w14:textId="77777777" w:rsidTr="003759BA">
        <w:trPr>
          <w:cantSplit/>
          <w:tblHeader/>
        </w:trPr>
        <w:tc>
          <w:tcPr>
            <w:tcW w:w="2441" w:type="dxa"/>
            <w:tcBorders>
              <w:top w:val="single" w:sz="4" w:space="0" w:color="auto"/>
              <w:left w:val="single" w:sz="4" w:space="0" w:color="auto"/>
            </w:tcBorders>
          </w:tcPr>
          <w:p w14:paraId="5AFA3AA8" w14:textId="77777777" w:rsidR="000747AE" w:rsidRPr="00F13073" w:rsidRDefault="000747AE" w:rsidP="008B4C50">
            <w:pPr>
              <w:suppressAutoHyphens/>
            </w:pPr>
            <w:r w:rsidRPr="00F13073">
              <w:rPr>
                <w:rStyle w:val="Other"/>
                <w:rFonts w:eastAsia="DengXian"/>
              </w:rPr>
              <w:t>Wartość wskaźnika Sharp-Genant</w:t>
            </w:r>
          </w:p>
        </w:tc>
        <w:tc>
          <w:tcPr>
            <w:tcW w:w="3361" w:type="dxa"/>
            <w:tcBorders>
              <w:top w:val="single" w:sz="4" w:space="0" w:color="auto"/>
              <w:left w:val="single" w:sz="4" w:space="0" w:color="auto"/>
            </w:tcBorders>
          </w:tcPr>
          <w:p w14:paraId="4CA91FC3" w14:textId="77777777" w:rsidR="000747AE" w:rsidRPr="00F13073" w:rsidRDefault="000747AE" w:rsidP="00A22877">
            <w:pPr>
              <w:suppressAutoHyphens/>
              <w:jc w:val="center"/>
            </w:pPr>
            <w:r w:rsidRPr="00F13073">
              <w:t>1</w:t>
            </w:r>
            <w:r w:rsidR="007B257B" w:rsidRPr="00F13073">
              <w:t>,</w:t>
            </w:r>
            <w:r w:rsidRPr="00F13073">
              <w:t>13</w:t>
            </w:r>
          </w:p>
        </w:tc>
        <w:tc>
          <w:tcPr>
            <w:tcW w:w="3270" w:type="dxa"/>
            <w:tcBorders>
              <w:top w:val="single" w:sz="4" w:space="0" w:color="auto"/>
              <w:left w:val="single" w:sz="4" w:space="0" w:color="auto"/>
              <w:right w:val="single" w:sz="4" w:space="0" w:color="auto"/>
            </w:tcBorders>
          </w:tcPr>
          <w:p w14:paraId="0F3468CA" w14:textId="77777777" w:rsidR="000747AE" w:rsidRPr="00F13073" w:rsidRDefault="000747AE" w:rsidP="00A22877">
            <w:pPr>
              <w:suppressAutoHyphens/>
              <w:jc w:val="center"/>
            </w:pPr>
            <w:r w:rsidRPr="00F13073">
              <w:t>0</w:t>
            </w:r>
            <w:r w:rsidR="007B257B" w:rsidRPr="00F13073">
              <w:t>,</w:t>
            </w:r>
            <w:r w:rsidRPr="00F13073">
              <w:t>29*</w:t>
            </w:r>
          </w:p>
        </w:tc>
      </w:tr>
      <w:tr w:rsidR="000747AE" w:rsidRPr="00F13073" w14:paraId="67DBB43B" w14:textId="77777777" w:rsidTr="003759BA">
        <w:trPr>
          <w:cantSplit/>
          <w:tblHeader/>
        </w:trPr>
        <w:tc>
          <w:tcPr>
            <w:tcW w:w="2441" w:type="dxa"/>
            <w:tcBorders>
              <w:top w:val="single" w:sz="4" w:space="0" w:color="auto"/>
              <w:left w:val="single" w:sz="4" w:space="0" w:color="auto"/>
            </w:tcBorders>
          </w:tcPr>
          <w:p w14:paraId="1422C29D" w14:textId="77777777" w:rsidR="000747AE" w:rsidRPr="00F13073" w:rsidRDefault="000747AE" w:rsidP="008B4C50">
            <w:pPr>
              <w:suppressAutoHyphens/>
            </w:pPr>
            <w:r w:rsidRPr="00F13073">
              <w:rPr>
                <w:rStyle w:val="Other"/>
                <w:rFonts w:eastAsia="DengXian"/>
              </w:rPr>
              <w:t>Wskaźnik nadżerek</w:t>
            </w:r>
          </w:p>
        </w:tc>
        <w:tc>
          <w:tcPr>
            <w:tcW w:w="3361" w:type="dxa"/>
            <w:tcBorders>
              <w:top w:val="single" w:sz="4" w:space="0" w:color="auto"/>
              <w:left w:val="single" w:sz="4" w:space="0" w:color="auto"/>
            </w:tcBorders>
          </w:tcPr>
          <w:p w14:paraId="1490BBB5" w14:textId="77777777" w:rsidR="000747AE" w:rsidRPr="00F13073" w:rsidRDefault="000747AE" w:rsidP="00A22877">
            <w:pPr>
              <w:suppressAutoHyphens/>
              <w:jc w:val="center"/>
            </w:pPr>
            <w:r w:rsidRPr="00F13073">
              <w:t>0</w:t>
            </w:r>
            <w:r w:rsidR="007B257B" w:rsidRPr="00F13073">
              <w:t>,</w:t>
            </w:r>
            <w:r w:rsidRPr="00F13073">
              <w:t>71</w:t>
            </w:r>
          </w:p>
        </w:tc>
        <w:tc>
          <w:tcPr>
            <w:tcW w:w="3270" w:type="dxa"/>
            <w:tcBorders>
              <w:top w:val="single" w:sz="4" w:space="0" w:color="auto"/>
              <w:left w:val="single" w:sz="4" w:space="0" w:color="auto"/>
              <w:right w:val="single" w:sz="4" w:space="0" w:color="auto"/>
            </w:tcBorders>
          </w:tcPr>
          <w:p w14:paraId="0F7DCADA" w14:textId="77777777" w:rsidR="000747AE" w:rsidRPr="00F13073" w:rsidRDefault="000747AE" w:rsidP="00A22877">
            <w:pPr>
              <w:suppressAutoHyphens/>
              <w:jc w:val="center"/>
            </w:pPr>
            <w:r w:rsidRPr="00F13073">
              <w:t>0</w:t>
            </w:r>
            <w:r w:rsidR="007B257B" w:rsidRPr="00F13073">
              <w:t>,</w:t>
            </w:r>
            <w:r w:rsidRPr="00F13073">
              <w:t>17*</w:t>
            </w:r>
          </w:p>
        </w:tc>
      </w:tr>
      <w:tr w:rsidR="000747AE" w:rsidRPr="00F13073" w14:paraId="147907BD" w14:textId="77777777" w:rsidTr="003759BA">
        <w:trPr>
          <w:cantSplit/>
          <w:tblHeader/>
        </w:trPr>
        <w:tc>
          <w:tcPr>
            <w:tcW w:w="2441" w:type="dxa"/>
            <w:tcBorders>
              <w:top w:val="single" w:sz="4" w:space="0" w:color="auto"/>
              <w:left w:val="single" w:sz="4" w:space="0" w:color="auto"/>
              <w:bottom w:val="single" w:sz="4" w:space="0" w:color="auto"/>
            </w:tcBorders>
          </w:tcPr>
          <w:p w14:paraId="729E2D9F" w14:textId="77777777" w:rsidR="000747AE" w:rsidRPr="00F13073" w:rsidRDefault="000747AE" w:rsidP="008B4C50">
            <w:pPr>
              <w:keepNext/>
              <w:suppressAutoHyphens/>
            </w:pPr>
            <w:r w:rsidRPr="00F13073">
              <w:rPr>
                <w:rStyle w:val="Other"/>
                <w:rFonts w:eastAsia="DengXian"/>
              </w:rPr>
              <w:t>Wskaźnik JSN</w:t>
            </w:r>
          </w:p>
        </w:tc>
        <w:tc>
          <w:tcPr>
            <w:tcW w:w="3361" w:type="dxa"/>
            <w:tcBorders>
              <w:top w:val="single" w:sz="4" w:space="0" w:color="auto"/>
              <w:left w:val="single" w:sz="4" w:space="0" w:color="auto"/>
              <w:bottom w:val="single" w:sz="4" w:space="0" w:color="auto"/>
            </w:tcBorders>
          </w:tcPr>
          <w:p w14:paraId="39492612" w14:textId="77777777" w:rsidR="000747AE" w:rsidRPr="00F13073" w:rsidRDefault="000747AE" w:rsidP="00A22877">
            <w:pPr>
              <w:keepNext/>
              <w:suppressAutoHyphens/>
              <w:jc w:val="center"/>
            </w:pPr>
            <w:r w:rsidRPr="00F13073">
              <w:t>0</w:t>
            </w:r>
            <w:r w:rsidR="007B257B" w:rsidRPr="00F13073">
              <w:t>,</w:t>
            </w:r>
            <w:r w:rsidRPr="00F13073">
              <w:t>42</w:t>
            </w:r>
          </w:p>
        </w:tc>
        <w:tc>
          <w:tcPr>
            <w:tcW w:w="3270" w:type="dxa"/>
            <w:tcBorders>
              <w:top w:val="single" w:sz="4" w:space="0" w:color="auto"/>
              <w:left w:val="single" w:sz="4" w:space="0" w:color="auto"/>
              <w:bottom w:val="single" w:sz="4" w:space="0" w:color="auto"/>
              <w:right w:val="single" w:sz="4" w:space="0" w:color="auto"/>
            </w:tcBorders>
          </w:tcPr>
          <w:p w14:paraId="46465D60" w14:textId="77777777" w:rsidR="000747AE" w:rsidRPr="00F13073" w:rsidRDefault="000747AE" w:rsidP="00A22877">
            <w:pPr>
              <w:keepNext/>
              <w:suppressAutoHyphens/>
              <w:jc w:val="center"/>
            </w:pPr>
            <w:r w:rsidRPr="00F13073">
              <w:t>0</w:t>
            </w:r>
            <w:r w:rsidR="007B257B" w:rsidRPr="00F13073">
              <w:t>,</w:t>
            </w:r>
            <w:r w:rsidRPr="00F13073">
              <w:t>12**</w:t>
            </w:r>
          </w:p>
        </w:tc>
      </w:tr>
    </w:tbl>
    <w:p w14:paraId="022AABAA" w14:textId="77777777" w:rsidR="00EE72CC" w:rsidRPr="00F13073" w:rsidRDefault="00EE72CC" w:rsidP="008B4C50">
      <w:pPr>
        <w:tabs>
          <w:tab w:val="left" w:pos="851"/>
        </w:tabs>
        <w:rPr>
          <w:i/>
          <w:iCs/>
          <w:sz w:val="18"/>
          <w:szCs w:val="18"/>
        </w:rPr>
      </w:pPr>
      <w:r w:rsidRPr="00F13073">
        <w:rPr>
          <w:i/>
          <w:iCs/>
          <w:sz w:val="18"/>
          <w:szCs w:val="18"/>
        </w:rPr>
        <w:t>PBO</w:t>
      </w:r>
      <w:r w:rsidRPr="00F13073">
        <w:rPr>
          <w:i/>
          <w:iCs/>
          <w:sz w:val="18"/>
          <w:szCs w:val="18"/>
        </w:rPr>
        <w:tab/>
        <w:t xml:space="preserve">- </w:t>
      </w:r>
      <w:r w:rsidR="007B257B" w:rsidRPr="00F13073">
        <w:rPr>
          <w:i/>
          <w:iCs/>
          <w:sz w:val="18"/>
          <w:szCs w:val="18"/>
        </w:rPr>
        <w:t>placebo</w:t>
      </w:r>
    </w:p>
    <w:p w14:paraId="3A084F9B" w14:textId="77777777" w:rsidR="00EE72CC" w:rsidRPr="00F13073" w:rsidRDefault="00EE72CC" w:rsidP="008B4C50">
      <w:pPr>
        <w:tabs>
          <w:tab w:val="left" w:pos="851"/>
        </w:tabs>
        <w:rPr>
          <w:i/>
          <w:iCs/>
          <w:sz w:val="18"/>
          <w:szCs w:val="18"/>
        </w:rPr>
      </w:pPr>
      <w:r w:rsidRPr="00F13073">
        <w:rPr>
          <w:i/>
          <w:iCs/>
          <w:sz w:val="18"/>
          <w:szCs w:val="18"/>
        </w:rPr>
        <w:t>MTX</w:t>
      </w:r>
      <w:r w:rsidRPr="00F13073">
        <w:rPr>
          <w:i/>
          <w:iCs/>
          <w:sz w:val="18"/>
          <w:szCs w:val="18"/>
        </w:rPr>
        <w:tab/>
        <w:t xml:space="preserve">- </w:t>
      </w:r>
      <w:r w:rsidR="007B257B" w:rsidRPr="00F13073">
        <w:rPr>
          <w:i/>
          <w:iCs/>
          <w:sz w:val="18"/>
          <w:szCs w:val="18"/>
        </w:rPr>
        <w:t>metotreksat</w:t>
      </w:r>
    </w:p>
    <w:p w14:paraId="6BE2C5A6" w14:textId="77777777" w:rsidR="00EE72CC" w:rsidRPr="00F13073" w:rsidRDefault="00EE72CC" w:rsidP="008B4C50">
      <w:pPr>
        <w:tabs>
          <w:tab w:val="left" w:pos="851"/>
        </w:tabs>
        <w:rPr>
          <w:i/>
          <w:iCs/>
          <w:sz w:val="18"/>
          <w:szCs w:val="18"/>
        </w:rPr>
      </w:pPr>
      <w:r w:rsidRPr="00F13073">
        <w:rPr>
          <w:i/>
          <w:iCs/>
          <w:sz w:val="18"/>
          <w:szCs w:val="18"/>
        </w:rPr>
        <w:t>TCZ</w:t>
      </w:r>
      <w:r w:rsidRPr="00F13073">
        <w:rPr>
          <w:i/>
          <w:iCs/>
          <w:sz w:val="18"/>
          <w:szCs w:val="18"/>
        </w:rPr>
        <w:tab/>
        <w:t xml:space="preserve">- </w:t>
      </w:r>
      <w:r w:rsidR="007B257B" w:rsidRPr="00F13073">
        <w:rPr>
          <w:i/>
          <w:iCs/>
          <w:sz w:val="18"/>
          <w:szCs w:val="18"/>
        </w:rPr>
        <w:t>tocilizumab</w:t>
      </w:r>
    </w:p>
    <w:p w14:paraId="75C56810" w14:textId="77777777" w:rsidR="00EE72CC" w:rsidRPr="00F13073" w:rsidRDefault="00EE72CC" w:rsidP="008B4C50">
      <w:pPr>
        <w:tabs>
          <w:tab w:val="left" w:pos="851"/>
        </w:tabs>
        <w:rPr>
          <w:i/>
          <w:iCs/>
          <w:sz w:val="18"/>
          <w:szCs w:val="18"/>
        </w:rPr>
      </w:pPr>
      <w:r w:rsidRPr="00F13073">
        <w:rPr>
          <w:i/>
          <w:iCs/>
          <w:sz w:val="18"/>
          <w:szCs w:val="18"/>
        </w:rPr>
        <w:t>JSN</w:t>
      </w:r>
      <w:r w:rsidRPr="00F13073">
        <w:rPr>
          <w:i/>
          <w:iCs/>
          <w:sz w:val="18"/>
          <w:szCs w:val="18"/>
        </w:rPr>
        <w:tab/>
        <w:t xml:space="preserve">- </w:t>
      </w:r>
      <w:r w:rsidR="007B257B" w:rsidRPr="00F13073">
        <w:rPr>
          <w:i/>
          <w:iCs/>
          <w:sz w:val="18"/>
          <w:szCs w:val="18"/>
        </w:rPr>
        <w:t>Zwężenie szpar stawowych</w:t>
      </w:r>
    </w:p>
    <w:p w14:paraId="31362A45" w14:textId="77777777" w:rsidR="00EE72CC" w:rsidRPr="00F13073" w:rsidRDefault="00EE72CC" w:rsidP="008B4C50">
      <w:pPr>
        <w:tabs>
          <w:tab w:val="left" w:pos="851"/>
        </w:tabs>
        <w:rPr>
          <w:i/>
          <w:iCs/>
          <w:sz w:val="18"/>
          <w:szCs w:val="18"/>
        </w:rPr>
      </w:pPr>
      <w:r w:rsidRPr="00F13073">
        <w:rPr>
          <w:i/>
          <w:iCs/>
          <w:sz w:val="18"/>
          <w:szCs w:val="18"/>
        </w:rPr>
        <w:t>*</w:t>
      </w:r>
      <w:r w:rsidRPr="00F13073">
        <w:rPr>
          <w:i/>
          <w:iCs/>
          <w:sz w:val="18"/>
          <w:szCs w:val="18"/>
        </w:rPr>
        <w:tab/>
        <w:t>- p≤ 0</w:t>
      </w:r>
      <w:r w:rsidR="007B257B" w:rsidRPr="00F13073">
        <w:rPr>
          <w:i/>
          <w:iCs/>
          <w:sz w:val="18"/>
          <w:szCs w:val="18"/>
        </w:rPr>
        <w:t>,</w:t>
      </w:r>
      <w:r w:rsidRPr="00F13073">
        <w:rPr>
          <w:i/>
          <w:iCs/>
          <w:sz w:val="18"/>
          <w:szCs w:val="18"/>
        </w:rPr>
        <w:t>0001, TCZ vs. PBO + MTX</w:t>
      </w:r>
    </w:p>
    <w:p w14:paraId="060067AC" w14:textId="77777777" w:rsidR="00EE72CC" w:rsidRPr="00F13073" w:rsidRDefault="00EE72CC" w:rsidP="008B4C50">
      <w:pPr>
        <w:tabs>
          <w:tab w:val="left" w:pos="851"/>
        </w:tabs>
        <w:rPr>
          <w:i/>
          <w:iCs/>
          <w:sz w:val="18"/>
          <w:szCs w:val="18"/>
        </w:rPr>
      </w:pPr>
      <w:r w:rsidRPr="00F13073">
        <w:rPr>
          <w:i/>
          <w:iCs/>
          <w:sz w:val="18"/>
          <w:szCs w:val="18"/>
        </w:rPr>
        <w:t>**</w:t>
      </w:r>
      <w:r w:rsidRPr="00F13073">
        <w:rPr>
          <w:i/>
          <w:iCs/>
          <w:sz w:val="18"/>
          <w:szCs w:val="18"/>
        </w:rPr>
        <w:tab/>
        <w:t>- p&lt; 0</w:t>
      </w:r>
      <w:r w:rsidR="007B257B" w:rsidRPr="00F13073">
        <w:rPr>
          <w:i/>
          <w:iCs/>
          <w:sz w:val="18"/>
          <w:szCs w:val="18"/>
        </w:rPr>
        <w:t>,</w:t>
      </w:r>
      <w:r w:rsidRPr="00F13073">
        <w:rPr>
          <w:i/>
          <w:iCs/>
          <w:sz w:val="18"/>
          <w:szCs w:val="18"/>
        </w:rPr>
        <w:t>005, TCZ vs. PBO + MTX</w:t>
      </w:r>
    </w:p>
    <w:p w14:paraId="5895D35A" w14:textId="77777777" w:rsidR="001E0975" w:rsidRPr="00F13073" w:rsidRDefault="001E0975" w:rsidP="008B4C50"/>
    <w:p w14:paraId="06DA016F" w14:textId="71F73D14" w:rsidR="007B257B" w:rsidRPr="00F13073" w:rsidRDefault="007B257B" w:rsidP="008B4C50">
      <w:pPr>
        <w:pStyle w:val="a4"/>
        <w:widowControl/>
        <w:spacing w:after="0"/>
        <w:rPr>
          <w:rStyle w:val="Char"/>
        </w:rPr>
      </w:pPr>
      <w:r w:rsidRPr="00F13073">
        <w:rPr>
          <w:rStyle w:val="Char"/>
        </w:rPr>
        <w:t xml:space="preserve">Po 1 roku leczenia </w:t>
      </w:r>
      <w:r w:rsidR="00F44F4F" w:rsidRPr="00F13073">
        <w:rPr>
          <w:rStyle w:val="Char"/>
        </w:rPr>
        <w:t xml:space="preserve">tocilizumabem </w:t>
      </w:r>
      <w:r w:rsidRPr="00F13073">
        <w:rPr>
          <w:rStyle w:val="Char"/>
        </w:rPr>
        <w:t>w skojarzeniu z MTX 85% pacjentów (n = 348) nie miało progresji strukturalnego uszkodzenia stawów, zdefiniowanej jako brak zmiany wyniku całkowitego w skali Sharpa lub zmiana poniżej zera, w porównaniu do 67% pacjentów otrzymujących placebo + MTX (n = 290) (p ≤</w:t>
      </w:r>
      <w:r w:rsidRPr="00F13073">
        <w:rPr>
          <w:rStyle w:val="Char"/>
          <w:sz w:val="24"/>
          <w:szCs w:val="24"/>
        </w:rPr>
        <w:t xml:space="preserve"> </w:t>
      </w:r>
      <w:r w:rsidRPr="00F13073">
        <w:rPr>
          <w:rStyle w:val="Char"/>
        </w:rPr>
        <w:t>0,001). Wyniki te były spójne z uzyskanymi po 2 roku leczenia (83%; n = 353). 93% (n = 271) pacjentów nie miało progresji między 52. a 104. tygodniem leczenia.</w:t>
      </w:r>
    </w:p>
    <w:p w14:paraId="7475BBB7" w14:textId="77777777" w:rsidR="007B257B" w:rsidRPr="00F13073" w:rsidRDefault="007B257B" w:rsidP="008B4C50">
      <w:pPr>
        <w:pStyle w:val="a4"/>
        <w:widowControl/>
        <w:spacing w:after="0"/>
      </w:pPr>
    </w:p>
    <w:p w14:paraId="63AF44C1" w14:textId="77777777" w:rsidR="007B257B" w:rsidRPr="00F13073" w:rsidRDefault="007B257B" w:rsidP="008B4C50">
      <w:pPr>
        <w:pStyle w:val="a4"/>
        <w:widowControl/>
        <w:spacing w:after="0"/>
      </w:pPr>
      <w:r w:rsidRPr="00F13073">
        <w:rPr>
          <w:rStyle w:val="Char"/>
        </w:rPr>
        <w:t>Wyniki związane ze stanem zdrowia oraz dotyczące jakości życia</w:t>
      </w:r>
    </w:p>
    <w:p w14:paraId="55ED81E5" w14:textId="37E36DD5" w:rsidR="007B257B" w:rsidRPr="00F13073" w:rsidRDefault="007B257B" w:rsidP="003759BA">
      <w:pPr>
        <w:pStyle w:val="a4"/>
        <w:widowControl/>
        <w:spacing w:after="0"/>
        <w:rPr>
          <w:rStyle w:val="Char"/>
        </w:rPr>
      </w:pPr>
      <w:r w:rsidRPr="00F13073">
        <w:rPr>
          <w:rStyle w:val="Char"/>
        </w:rPr>
        <w:t xml:space="preserve">U chorych otrzymujących </w:t>
      </w:r>
      <w:r w:rsidR="00F44F4F" w:rsidRPr="00F13073">
        <w:rPr>
          <w:rStyle w:val="Char"/>
        </w:rPr>
        <w:t xml:space="preserve">tocilizumab </w:t>
      </w:r>
      <w:r w:rsidRPr="00F13073">
        <w:rPr>
          <w:rStyle w:val="Char"/>
        </w:rPr>
        <w:t xml:space="preserve">odnotowano poprawę we wszystkich kwestionariuszach samooceny pacjentów (kwestionariusz oceny stanu zdrowia-wskaźnik niepełnosprawności </w:t>
      </w:r>
      <w:r w:rsidR="0088374F" w:rsidRPr="00F13073">
        <w:rPr>
          <w:rStyle w:val="Char"/>
        </w:rPr>
        <w:t>–</w:t>
      </w:r>
      <w:r w:rsidRPr="00F13073">
        <w:rPr>
          <w:rStyle w:val="Char"/>
        </w:rPr>
        <w:t xml:space="preserve"> HAQ-DI), krótki kwestionariusz SF-36 i kwestionariusz oceny funkcji w trakcie leczenia przewlekłej choroby (FACIT). Statystycznie istotną poprawę w wynikach HAQ-DI obserwowano u chorych leczonych </w:t>
      </w:r>
      <w:r w:rsidR="00F44F4F" w:rsidRPr="00F13073">
        <w:rPr>
          <w:rStyle w:val="Char"/>
        </w:rPr>
        <w:t xml:space="preserve">tocilizumabem </w:t>
      </w:r>
      <w:r w:rsidRPr="00F13073">
        <w:rPr>
          <w:rStyle w:val="Char"/>
        </w:rPr>
        <w:t xml:space="preserve">w porównaniu do chorych otrzymujących leki z grupy DMARD. W otwartej fazie badania II poprawa sprawności fizycznej utrzymywała się do 2 roku leczenia. W 52. tygodniu średnia zmiana wyniku HAQ-DI wynosiła -0,58 u leczonych </w:t>
      </w:r>
      <w:r w:rsidR="00F44F4F" w:rsidRPr="00F13073">
        <w:rPr>
          <w:rStyle w:val="Char"/>
        </w:rPr>
        <w:t xml:space="preserve">tocilizumabem </w:t>
      </w:r>
      <w:r w:rsidRPr="00F13073">
        <w:rPr>
          <w:rStyle w:val="Char"/>
        </w:rPr>
        <w:t xml:space="preserve">w dawce 8 mg/kg mc. + MTX w porównaniu do -0,39 w grupie placebo + MTX. Średnia zmiana wyniku HAQ-DI utrzymywała się do 104. tygodnia w grupie otrzymującej </w:t>
      </w:r>
      <w:r w:rsidR="00F44F4F" w:rsidRPr="00F13073">
        <w:rPr>
          <w:rStyle w:val="Char"/>
        </w:rPr>
        <w:t xml:space="preserve">tocilizumab </w:t>
      </w:r>
      <w:r w:rsidRPr="00F13073">
        <w:rPr>
          <w:rStyle w:val="Char"/>
        </w:rPr>
        <w:t>w dawce 8</w:t>
      </w:r>
      <w:r w:rsidR="003759BA" w:rsidRPr="00F13073">
        <w:rPr>
          <w:rStyle w:val="Char"/>
        </w:rPr>
        <w:t> </w:t>
      </w:r>
      <w:r w:rsidRPr="00F13073">
        <w:rPr>
          <w:rStyle w:val="Char"/>
        </w:rPr>
        <w:t>mg/kg mc. + MTX (-0,61).</w:t>
      </w:r>
    </w:p>
    <w:p w14:paraId="139D099B" w14:textId="77777777" w:rsidR="007B257B" w:rsidRPr="00F13073" w:rsidRDefault="007B257B" w:rsidP="008B4C50">
      <w:pPr>
        <w:pStyle w:val="a4"/>
        <w:widowControl/>
        <w:spacing w:after="0"/>
      </w:pPr>
    </w:p>
    <w:p w14:paraId="0A8649DE" w14:textId="77777777" w:rsidR="007B257B" w:rsidRPr="00F13073" w:rsidRDefault="007B257B" w:rsidP="008B4C50">
      <w:pPr>
        <w:pStyle w:val="a4"/>
        <w:widowControl/>
        <w:spacing w:after="0"/>
      </w:pPr>
      <w:r w:rsidRPr="00F13073">
        <w:rPr>
          <w:rStyle w:val="Char"/>
        </w:rPr>
        <w:t>Stężenie hemoglobiny</w:t>
      </w:r>
    </w:p>
    <w:p w14:paraId="5CCC72DC" w14:textId="1498718D" w:rsidR="007B257B" w:rsidRPr="00F13073" w:rsidRDefault="007B257B" w:rsidP="008B4C50">
      <w:pPr>
        <w:pStyle w:val="a4"/>
        <w:widowControl/>
        <w:spacing w:after="0"/>
        <w:rPr>
          <w:rStyle w:val="Char"/>
        </w:rPr>
      </w:pPr>
      <w:r w:rsidRPr="00F13073">
        <w:rPr>
          <w:rStyle w:val="Char"/>
        </w:rPr>
        <w:t xml:space="preserve">W 24. tygodniu stosowania </w:t>
      </w:r>
      <w:r w:rsidR="000F626D" w:rsidRPr="00F13073">
        <w:rPr>
          <w:rStyle w:val="Char"/>
        </w:rPr>
        <w:t xml:space="preserve">tocilizumabu </w:t>
      </w:r>
      <w:r w:rsidRPr="00F13073">
        <w:rPr>
          <w:rStyle w:val="Char"/>
        </w:rPr>
        <w:t>obserwowano statystycznie istotne zwiększenie stężenia hemoglobiny w porównaniu do pacjentów otrzymujących leki z grupy DMARD</w:t>
      </w:r>
      <w:r w:rsidRPr="00F13073">
        <w:rPr>
          <w:rStyle w:val="Char"/>
          <w:rFonts w:eastAsia="DengXian"/>
        </w:rPr>
        <w:t xml:space="preserve"> </w:t>
      </w:r>
      <w:r w:rsidRPr="00F13073">
        <w:rPr>
          <w:rStyle w:val="Char"/>
        </w:rPr>
        <w:t>(p &lt; 0,0001). Zwiększenie średniego stężenia hemoglobiny odnotowano w 2. tygodniu leczenia, przy czym wartości utrzymywały się w granicach normy przez cały okres 24 tygodni.</w:t>
      </w:r>
    </w:p>
    <w:p w14:paraId="2A5F3804" w14:textId="77777777" w:rsidR="007B257B" w:rsidRPr="00F13073" w:rsidRDefault="007B257B" w:rsidP="008B4C50">
      <w:pPr>
        <w:pStyle w:val="a4"/>
        <w:widowControl/>
        <w:spacing w:after="0"/>
      </w:pPr>
    </w:p>
    <w:p w14:paraId="21F4BFFB" w14:textId="6C10C9F7" w:rsidR="007B257B" w:rsidRPr="00F13073" w:rsidRDefault="000F626D" w:rsidP="00606798">
      <w:pPr>
        <w:pStyle w:val="a4"/>
        <w:keepNext/>
        <w:widowControl/>
        <w:spacing w:after="0"/>
      </w:pPr>
      <w:r w:rsidRPr="00F13073">
        <w:rPr>
          <w:rStyle w:val="Char"/>
        </w:rPr>
        <w:t xml:space="preserve">Tocilizumab </w:t>
      </w:r>
      <w:r w:rsidR="007B257B" w:rsidRPr="00F13073">
        <w:rPr>
          <w:rStyle w:val="Char"/>
        </w:rPr>
        <w:t>vs. adalimumab w monoterapii</w:t>
      </w:r>
    </w:p>
    <w:p w14:paraId="4575C172" w14:textId="7FD02A08" w:rsidR="007B257B" w:rsidRPr="00F13073" w:rsidRDefault="007B257B" w:rsidP="008B4C50">
      <w:pPr>
        <w:pStyle w:val="a4"/>
        <w:widowControl/>
        <w:spacing w:after="0"/>
        <w:rPr>
          <w:rStyle w:val="Char"/>
        </w:rPr>
      </w:pPr>
      <w:r w:rsidRPr="00F13073">
        <w:rPr>
          <w:rStyle w:val="Char"/>
        </w:rPr>
        <w:t xml:space="preserve">W 24-tygodniowym podwójnie zaślepionym badaniu VI (WA19924), które porównywało </w:t>
      </w:r>
      <w:r w:rsidR="000F626D" w:rsidRPr="00F13073">
        <w:rPr>
          <w:rStyle w:val="Char"/>
        </w:rPr>
        <w:t xml:space="preserve">tocilizumab </w:t>
      </w:r>
      <w:r w:rsidRPr="00F13073">
        <w:rPr>
          <w:rStyle w:val="Char"/>
        </w:rPr>
        <w:t xml:space="preserve"> w monoterapii z adalimumabem w monoterapii, wzięło udział 326 pacjentów z RZS, którzy nie tolerowali MTX lub u których kontynuację leczenia MTX uznano za niewłaściwą (w tym osoby z niewystarczającą odpowiedzią na leczenie MTX). Pacjentom z grupy przyjmującej </w:t>
      </w:r>
      <w:r w:rsidR="000F626D" w:rsidRPr="00F13073">
        <w:rPr>
          <w:rStyle w:val="Char"/>
        </w:rPr>
        <w:t xml:space="preserve">tocilizumab </w:t>
      </w:r>
      <w:r w:rsidRPr="00F13073">
        <w:rPr>
          <w:rStyle w:val="Char"/>
        </w:rPr>
        <w:t xml:space="preserve">podawano </w:t>
      </w:r>
      <w:r w:rsidR="000F626D" w:rsidRPr="00F13073">
        <w:rPr>
          <w:rStyle w:val="Char"/>
        </w:rPr>
        <w:t xml:space="preserve">tocilizumab </w:t>
      </w:r>
      <w:r w:rsidRPr="00F13073">
        <w:rPr>
          <w:rStyle w:val="Char"/>
        </w:rPr>
        <w:t xml:space="preserve">we wlewie dożylnym (8 mg/kg mc.) co 4 tygodnie (q4w) oraz placebo we wstrzyknięciu podskórnym co 2 tygodnie (q2w). Pacjentom z grupy przyjmującej adalimumab </w:t>
      </w:r>
      <w:r w:rsidRPr="00F13073">
        <w:rPr>
          <w:rStyle w:val="Char"/>
        </w:rPr>
        <w:lastRenderedPageBreak/>
        <w:t>podawano adalimumab we wstrzyknięciu podskórnym (40 mg) q2w oraz placebo we wlewie dożylnym q4w.</w:t>
      </w:r>
    </w:p>
    <w:p w14:paraId="518B1445" w14:textId="77777777" w:rsidR="007B257B" w:rsidRPr="00F13073" w:rsidRDefault="007B257B" w:rsidP="008B4C50">
      <w:pPr>
        <w:pStyle w:val="a4"/>
        <w:widowControl/>
        <w:spacing w:after="0"/>
      </w:pPr>
    </w:p>
    <w:p w14:paraId="5F957D72" w14:textId="73A44155" w:rsidR="007B257B" w:rsidRPr="00F13073" w:rsidRDefault="007B257B" w:rsidP="008B4C50">
      <w:pPr>
        <w:pStyle w:val="a4"/>
        <w:widowControl/>
        <w:spacing w:after="0"/>
        <w:rPr>
          <w:rStyle w:val="Char"/>
        </w:rPr>
      </w:pPr>
      <w:r w:rsidRPr="00F13073">
        <w:rPr>
          <w:rStyle w:val="Char"/>
        </w:rPr>
        <w:t xml:space="preserve">W grupie przyjmującej </w:t>
      </w:r>
      <w:r w:rsidR="000F626D" w:rsidRPr="00F13073">
        <w:rPr>
          <w:rStyle w:val="Char"/>
        </w:rPr>
        <w:t xml:space="preserve">tocilizumab </w:t>
      </w:r>
      <w:r w:rsidRPr="00F13073">
        <w:rPr>
          <w:rStyle w:val="Char"/>
        </w:rPr>
        <w:t>obserwowano statystycznie istotny większy efekt terapeutyczny w zakresie kontroli aktywności choroby do 24 tygodnia względem stanu początkowego dla pierwszorzędowego punktu końcowego, tj. zmiany DAS28 oraz wszystkich drugorzędowych punktów końcowych (Tabela 7).</w:t>
      </w:r>
    </w:p>
    <w:p w14:paraId="04FA6B37" w14:textId="77777777" w:rsidR="007B257B" w:rsidRPr="00F13073" w:rsidRDefault="007B257B" w:rsidP="008B4C50">
      <w:pPr>
        <w:pStyle w:val="a4"/>
        <w:widowControl/>
        <w:spacing w:after="0"/>
      </w:pPr>
    </w:p>
    <w:p w14:paraId="15EFC692" w14:textId="77777777" w:rsidR="001E0975" w:rsidRPr="00F13073" w:rsidRDefault="00611033" w:rsidP="008B4C50">
      <w:pPr>
        <w:keepNext/>
        <w:ind w:left="1134" w:hanging="1134"/>
        <w:rPr>
          <w:i/>
          <w:iCs/>
        </w:rPr>
      </w:pPr>
      <w:r w:rsidRPr="00F13073">
        <w:rPr>
          <w:i/>
          <w:iCs/>
        </w:rPr>
        <w:t>Tab</w:t>
      </w:r>
      <w:r w:rsidR="00E26945" w:rsidRPr="00F13073">
        <w:rPr>
          <w:i/>
          <w:iCs/>
        </w:rPr>
        <w:t>e</w:t>
      </w:r>
      <w:r w:rsidRPr="00F13073">
        <w:rPr>
          <w:i/>
          <w:iCs/>
        </w:rPr>
        <w:t>l</w:t>
      </w:r>
      <w:r w:rsidR="007B257B" w:rsidRPr="00F13073">
        <w:rPr>
          <w:i/>
          <w:iCs/>
        </w:rPr>
        <w:t>a</w:t>
      </w:r>
      <w:r w:rsidRPr="00F13073">
        <w:rPr>
          <w:i/>
          <w:iCs/>
        </w:rPr>
        <w:t xml:space="preserve"> 7</w:t>
      </w:r>
      <w:r w:rsidR="007B257B" w:rsidRPr="00F13073">
        <w:rPr>
          <w:i/>
          <w:iCs/>
        </w:rPr>
        <w:t>.</w:t>
      </w:r>
      <w:r w:rsidR="00EE72CC" w:rsidRPr="00F13073">
        <w:rPr>
          <w:i/>
          <w:iCs/>
        </w:rPr>
        <w:tab/>
      </w:r>
      <w:r w:rsidR="007B257B" w:rsidRPr="00F13073">
        <w:rPr>
          <w:rStyle w:val="Char"/>
          <w:rFonts w:eastAsia="DengXian"/>
          <w:i/>
          <w:iCs/>
        </w:rPr>
        <w:t xml:space="preserve">Wyniki skuteczności dla badania </w:t>
      </w:r>
      <w:r w:rsidRPr="00F13073">
        <w:rPr>
          <w:i/>
          <w:iCs/>
        </w:rPr>
        <w:t>VI (WA19924)</w:t>
      </w:r>
    </w:p>
    <w:p w14:paraId="2AA17B40" w14:textId="77777777" w:rsidR="00EE72CC" w:rsidRPr="00F13073" w:rsidRDefault="00EE72CC"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3027"/>
        <w:gridCol w:w="2111"/>
        <w:gridCol w:w="2052"/>
        <w:gridCol w:w="1661"/>
      </w:tblGrid>
      <w:tr w:rsidR="001E0975" w:rsidRPr="00F13073" w14:paraId="258618B2" w14:textId="77777777" w:rsidTr="003759BA">
        <w:trPr>
          <w:cantSplit/>
          <w:tblHeader/>
        </w:trPr>
        <w:tc>
          <w:tcPr>
            <w:tcW w:w="3105" w:type="dxa"/>
            <w:tcBorders>
              <w:top w:val="single" w:sz="4" w:space="0" w:color="auto"/>
              <w:left w:val="single" w:sz="4" w:space="0" w:color="auto"/>
            </w:tcBorders>
          </w:tcPr>
          <w:p w14:paraId="1002002C" w14:textId="77777777" w:rsidR="001E0975" w:rsidRPr="00F13073" w:rsidRDefault="001E0975" w:rsidP="008B4C50">
            <w:pPr>
              <w:keepNext/>
              <w:suppressAutoHyphens/>
              <w:rPr>
                <w:b/>
                <w:bCs/>
              </w:rPr>
            </w:pPr>
          </w:p>
        </w:tc>
        <w:tc>
          <w:tcPr>
            <w:tcW w:w="2163" w:type="dxa"/>
            <w:tcBorders>
              <w:top w:val="single" w:sz="4" w:space="0" w:color="auto"/>
              <w:left w:val="single" w:sz="4" w:space="0" w:color="auto"/>
            </w:tcBorders>
            <w:vAlign w:val="bottom"/>
          </w:tcPr>
          <w:p w14:paraId="37CD5B1F" w14:textId="77777777" w:rsidR="00EE72CC" w:rsidRPr="00F13073" w:rsidRDefault="00611033" w:rsidP="00A22877">
            <w:pPr>
              <w:keepNext/>
              <w:suppressAutoHyphens/>
              <w:jc w:val="center"/>
              <w:rPr>
                <w:b/>
                <w:bCs/>
              </w:rPr>
            </w:pPr>
            <w:r w:rsidRPr="00F13073">
              <w:rPr>
                <w:b/>
                <w:bCs/>
              </w:rPr>
              <w:t xml:space="preserve">ADA + </w:t>
            </w:r>
            <w:r w:rsidR="00182B0C" w:rsidRPr="00F13073">
              <w:rPr>
                <w:b/>
                <w:bCs/>
              </w:rPr>
              <w:t>p</w:t>
            </w:r>
            <w:r w:rsidRPr="00F13073">
              <w:rPr>
                <w:b/>
                <w:bCs/>
              </w:rPr>
              <w:t>lacebo (</w:t>
            </w:r>
            <w:r w:rsidR="00182B0C" w:rsidRPr="00F13073">
              <w:rPr>
                <w:b/>
                <w:bCs/>
              </w:rPr>
              <w:t>dożylnie</w:t>
            </w:r>
            <w:r w:rsidRPr="00F13073">
              <w:rPr>
                <w:b/>
                <w:bCs/>
              </w:rPr>
              <w:t>)</w:t>
            </w:r>
          </w:p>
          <w:p w14:paraId="5C2D8482" w14:textId="77777777" w:rsidR="001E0975" w:rsidRPr="00F13073" w:rsidRDefault="00611033" w:rsidP="00A22877">
            <w:pPr>
              <w:keepNext/>
              <w:suppressAutoHyphens/>
              <w:jc w:val="center"/>
              <w:rPr>
                <w:b/>
                <w:bCs/>
              </w:rPr>
            </w:pPr>
            <w:r w:rsidRPr="00F13073">
              <w:rPr>
                <w:b/>
                <w:bCs/>
              </w:rPr>
              <w:t>N = 162</w:t>
            </w:r>
          </w:p>
        </w:tc>
        <w:tc>
          <w:tcPr>
            <w:tcW w:w="2103" w:type="dxa"/>
            <w:tcBorders>
              <w:top w:val="single" w:sz="4" w:space="0" w:color="auto"/>
              <w:left w:val="single" w:sz="4" w:space="0" w:color="auto"/>
            </w:tcBorders>
            <w:vAlign w:val="bottom"/>
          </w:tcPr>
          <w:p w14:paraId="59415DAB" w14:textId="77777777" w:rsidR="00EE72CC" w:rsidRPr="00F13073" w:rsidRDefault="00611033" w:rsidP="00A22877">
            <w:pPr>
              <w:keepNext/>
              <w:suppressAutoHyphens/>
              <w:jc w:val="center"/>
              <w:rPr>
                <w:b/>
                <w:bCs/>
              </w:rPr>
            </w:pPr>
            <w:r w:rsidRPr="00F13073">
              <w:rPr>
                <w:b/>
                <w:bCs/>
              </w:rPr>
              <w:t xml:space="preserve">TCZ + </w:t>
            </w:r>
            <w:r w:rsidR="00182B0C" w:rsidRPr="00F13073">
              <w:rPr>
                <w:b/>
                <w:bCs/>
              </w:rPr>
              <w:t>p</w:t>
            </w:r>
            <w:r w:rsidRPr="00F13073">
              <w:rPr>
                <w:b/>
                <w:bCs/>
              </w:rPr>
              <w:t>lacebo (</w:t>
            </w:r>
            <w:r w:rsidR="00182B0C" w:rsidRPr="00F13073">
              <w:rPr>
                <w:b/>
                <w:bCs/>
              </w:rPr>
              <w:t>podskórnie</w:t>
            </w:r>
            <w:r w:rsidRPr="00F13073">
              <w:rPr>
                <w:b/>
                <w:bCs/>
              </w:rPr>
              <w:t>)</w:t>
            </w:r>
          </w:p>
          <w:p w14:paraId="3BB35F49" w14:textId="77777777" w:rsidR="001E0975" w:rsidRPr="00F13073" w:rsidRDefault="00611033" w:rsidP="00A22877">
            <w:pPr>
              <w:keepNext/>
              <w:suppressAutoHyphens/>
              <w:jc w:val="center"/>
              <w:rPr>
                <w:b/>
                <w:bCs/>
              </w:rPr>
            </w:pPr>
            <w:r w:rsidRPr="00F13073">
              <w:rPr>
                <w:b/>
                <w:bCs/>
              </w:rPr>
              <w:t>N = 163</w:t>
            </w:r>
          </w:p>
        </w:tc>
        <w:tc>
          <w:tcPr>
            <w:tcW w:w="1701" w:type="dxa"/>
            <w:tcBorders>
              <w:top w:val="single" w:sz="4" w:space="0" w:color="auto"/>
              <w:left w:val="single" w:sz="4" w:space="0" w:color="auto"/>
              <w:right w:val="single" w:sz="4" w:space="0" w:color="auto"/>
            </w:tcBorders>
            <w:vAlign w:val="bottom"/>
          </w:tcPr>
          <w:p w14:paraId="6B5B3827" w14:textId="77777777" w:rsidR="001E0975" w:rsidRPr="00F13073" w:rsidRDefault="00182B0C" w:rsidP="00A22877">
            <w:pPr>
              <w:keepNext/>
              <w:suppressAutoHyphens/>
              <w:jc w:val="center"/>
              <w:rPr>
                <w:b/>
                <w:bCs/>
              </w:rPr>
            </w:pPr>
            <w:r w:rsidRPr="00F13073">
              <w:rPr>
                <w:b/>
                <w:bCs/>
              </w:rPr>
              <w:t xml:space="preserve">wartość </w:t>
            </w:r>
            <w:r w:rsidR="00611033" w:rsidRPr="00F13073">
              <w:rPr>
                <w:b/>
                <w:bCs/>
              </w:rPr>
              <w:t>p</w:t>
            </w:r>
            <w:r w:rsidR="00611033" w:rsidRPr="00F13073">
              <w:rPr>
                <w:b/>
                <w:bCs/>
                <w:vertAlign w:val="superscript"/>
              </w:rPr>
              <w:t>(a)</w:t>
            </w:r>
          </w:p>
        </w:tc>
      </w:tr>
      <w:tr w:rsidR="001E0975" w:rsidRPr="00F13073" w14:paraId="30DFD4E3" w14:textId="77777777" w:rsidTr="003759BA">
        <w:trPr>
          <w:cantSplit/>
          <w:tblHeader/>
        </w:trPr>
        <w:tc>
          <w:tcPr>
            <w:tcW w:w="9072" w:type="dxa"/>
            <w:gridSpan w:val="4"/>
            <w:tcBorders>
              <w:top w:val="single" w:sz="4" w:space="0" w:color="auto"/>
              <w:left w:val="single" w:sz="4" w:space="0" w:color="auto"/>
              <w:right w:val="single" w:sz="4" w:space="0" w:color="auto"/>
            </w:tcBorders>
          </w:tcPr>
          <w:p w14:paraId="246E2721" w14:textId="77777777" w:rsidR="001E0975" w:rsidRPr="00F13073" w:rsidRDefault="00531F06" w:rsidP="008B4C50">
            <w:pPr>
              <w:keepNext/>
              <w:suppressAutoHyphens/>
              <w:rPr>
                <w:b/>
                <w:bCs/>
              </w:rPr>
            </w:pPr>
            <w:r w:rsidRPr="00F13073">
              <w:rPr>
                <w:b/>
                <w:bCs/>
              </w:rPr>
              <w:t>Pierwszorzędowy punkt końcowy – średnia zmiana w stosunku do wartości wyjściowych w 24. Tygodniu</w:t>
            </w:r>
          </w:p>
        </w:tc>
      </w:tr>
      <w:tr w:rsidR="001E0975" w:rsidRPr="00F13073" w14:paraId="111AC2A8" w14:textId="77777777" w:rsidTr="003759BA">
        <w:trPr>
          <w:cantSplit/>
          <w:tblHeader/>
        </w:trPr>
        <w:tc>
          <w:tcPr>
            <w:tcW w:w="3105" w:type="dxa"/>
            <w:tcBorders>
              <w:top w:val="single" w:sz="4" w:space="0" w:color="auto"/>
              <w:left w:val="single" w:sz="4" w:space="0" w:color="auto"/>
            </w:tcBorders>
          </w:tcPr>
          <w:p w14:paraId="15F6CF46" w14:textId="77777777" w:rsidR="001E0975" w:rsidRPr="00F13073" w:rsidRDefault="00531F06" w:rsidP="00A22877">
            <w:pPr>
              <w:keepNext/>
              <w:suppressAutoHyphens/>
              <w:jc w:val="right"/>
            </w:pPr>
            <w:r w:rsidRPr="00F13073">
              <w:t>DAS28 (średnia skorygowana)</w:t>
            </w:r>
          </w:p>
        </w:tc>
        <w:tc>
          <w:tcPr>
            <w:tcW w:w="2163" w:type="dxa"/>
            <w:tcBorders>
              <w:top w:val="single" w:sz="4" w:space="0" w:color="auto"/>
              <w:left w:val="single" w:sz="4" w:space="0" w:color="auto"/>
            </w:tcBorders>
          </w:tcPr>
          <w:p w14:paraId="387A7CDB" w14:textId="77777777" w:rsidR="001E0975" w:rsidRPr="00F13073" w:rsidRDefault="00611033" w:rsidP="00A22877">
            <w:pPr>
              <w:keepNext/>
              <w:suppressAutoHyphens/>
              <w:jc w:val="center"/>
            </w:pPr>
            <w:r w:rsidRPr="00F13073">
              <w:t>-1</w:t>
            </w:r>
            <w:r w:rsidR="00531F06" w:rsidRPr="00F13073">
              <w:t>,</w:t>
            </w:r>
            <w:r w:rsidRPr="00F13073">
              <w:t>8</w:t>
            </w:r>
          </w:p>
        </w:tc>
        <w:tc>
          <w:tcPr>
            <w:tcW w:w="2103" w:type="dxa"/>
            <w:tcBorders>
              <w:top w:val="single" w:sz="4" w:space="0" w:color="auto"/>
              <w:left w:val="single" w:sz="4" w:space="0" w:color="auto"/>
            </w:tcBorders>
          </w:tcPr>
          <w:p w14:paraId="4E14C1E3" w14:textId="77777777" w:rsidR="001E0975" w:rsidRPr="00F13073" w:rsidRDefault="00611033" w:rsidP="00A22877">
            <w:pPr>
              <w:keepNext/>
              <w:suppressAutoHyphens/>
              <w:jc w:val="center"/>
            </w:pPr>
            <w:r w:rsidRPr="00F13073">
              <w:t>-3</w:t>
            </w:r>
            <w:r w:rsidR="00531F06" w:rsidRPr="00F13073">
              <w:t>,</w:t>
            </w:r>
            <w:r w:rsidRPr="00F13073">
              <w:t>3</w:t>
            </w:r>
          </w:p>
        </w:tc>
        <w:tc>
          <w:tcPr>
            <w:tcW w:w="1701" w:type="dxa"/>
            <w:tcBorders>
              <w:top w:val="single" w:sz="4" w:space="0" w:color="auto"/>
              <w:left w:val="single" w:sz="4" w:space="0" w:color="auto"/>
              <w:right w:val="single" w:sz="4" w:space="0" w:color="auto"/>
            </w:tcBorders>
          </w:tcPr>
          <w:p w14:paraId="0D5F03A0" w14:textId="77777777" w:rsidR="001E0975" w:rsidRPr="00F13073" w:rsidRDefault="001E0975" w:rsidP="00A22877">
            <w:pPr>
              <w:keepNext/>
              <w:suppressAutoHyphens/>
              <w:jc w:val="center"/>
            </w:pPr>
          </w:p>
        </w:tc>
      </w:tr>
      <w:tr w:rsidR="001E0975" w:rsidRPr="00F13073" w14:paraId="0032E6D6" w14:textId="77777777" w:rsidTr="003759BA">
        <w:trPr>
          <w:cantSplit/>
          <w:tblHeader/>
        </w:trPr>
        <w:tc>
          <w:tcPr>
            <w:tcW w:w="3105" w:type="dxa"/>
            <w:tcBorders>
              <w:top w:val="single" w:sz="4" w:space="0" w:color="auto"/>
              <w:left w:val="single" w:sz="4" w:space="0" w:color="auto"/>
            </w:tcBorders>
          </w:tcPr>
          <w:p w14:paraId="4AAA5CFB" w14:textId="77777777" w:rsidR="001E0975" w:rsidRPr="00F13073" w:rsidRDefault="00531F06" w:rsidP="00A22877">
            <w:pPr>
              <w:suppressAutoHyphens/>
              <w:jc w:val="right"/>
            </w:pPr>
            <w:r w:rsidRPr="00F13073">
              <w:t xml:space="preserve">Zmiana średniej skorygowanej </w:t>
            </w:r>
            <w:r w:rsidR="00611033" w:rsidRPr="00F13073">
              <w:t>(95% CI)</w:t>
            </w:r>
          </w:p>
        </w:tc>
        <w:tc>
          <w:tcPr>
            <w:tcW w:w="4266" w:type="dxa"/>
            <w:gridSpan w:val="2"/>
            <w:tcBorders>
              <w:top w:val="single" w:sz="4" w:space="0" w:color="auto"/>
              <w:left w:val="single" w:sz="4" w:space="0" w:color="auto"/>
            </w:tcBorders>
          </w:tcPr>
          <w:p w14:paraId="04BDDAA2" w14:textId="77777777" w:rsidR="001E0975" w:rsidRPr="00F13073" w:rsidRDefault="00611033" w:rsidP="00A22877">
            <w:pPr>
              <w:suppressAutoHyphens/>
              <w:jc w:val="center"/>
            </w:pPr>
            <w:r w:rsidRPr="00F13073">
              <w:t>-1</w:t>
            </w:r>
            <w:r w:rsidR="00531F06" w:rsidRPr="00F13073">
              <w:t>,</w:t>
            </w:r>
            <w:r w:rsidRPr="00F13073">
              <w:t>5 (-1</w:t>
            </w:r>
            <w:r w:rsidR="00531F06" w:rsidRPr="00F13073">
              <w:t>,</w:t>
            </w:r>
            <w:r w:rsidRPr="00F13073">
              <w:t>8</w:t>
            </w:r>
            <w:r w:rsidR="00531F06" w:rsidRPr="00F13073">
              <w:t>;</w:t>
            </w:r>
            <w:r w:rsidRPr="00F13073">
              <w:t xml:space="preserve"> -1</w:t>
            </w:r>
            <w:r w:rsidR="00531F06" w:rsidRPr="00F13073">
              <w:t>,</w:t>
            </w:r>
            <w:r w:rsidRPr="00F13073">
              <w:t>1)</w:t>
            </w:r>
          </w:p>
        </w:tc>
        <w:tc>
          <w:tcPr>
            <w:tcW w:w="1701" w:type="dxa"/>
            <w:tcBorders>
              <w:top w:val="single" w:sz="4" w:space="0" w:color="auto"/>
              <w:left w:val="single" w:sz="4" w:space="0" w:color="auto"/>
              <w:right w:val="single" w:sz="4" w:space="0" w:color="auto"/>
            </w:tcBorders>
          </w:tcPr>
          <w:p w14:paraId="02793D57" w14:textId="77777777" w:rsidR="001E0975" w:rsidRPr="00F13073" w:rsidRDefault="00611033" w:rsidP="00A22877">
            <w:pPr>
              <w:suppressAutoHyphens/>
              <w:jc w:val="center"/>
            </w:pPr>
            <w:r w:rsidRPr="00F13073">
              <w:t>&lt;0</w:t>
            </w:r>
            <w:r w:rsidR="00531F06" w:rsidRPr="00F13073">
              <w:t>,</w:t>
            </w:r>
            <w:r w:rsidRPr="00F13073">
              <w:t>0001</w:t>
            </w:r>
          </w:p>
        </w:tc>
      </w:tr>
      <w:tr w:rsidR="001E0975" w:rsidRPr="00F13073" w14:paraId="7313EE43" w14:textId="77777777" w:rsidTr="003759BA">
        <w:trPr>
          <w:cantSplit/>
          <w:tblHeader/>
        </w:trPr>
        <w:tc>
          <w:tcPr>
            <w:tcW w:w="9072" w:type="dxa"/>
            <w:gridSpan w:val="4"/>
            <w:tcBorders>
              <w:top w:val="single" w:sz="4" w:space="0" w:color="auto"/>
              <w:left w:val="single" w:sz="4" w:space="0" w:color="auto"/>
              <w:right w:val="single" w:sz="4" w:space="0" w:color="auto"/>
            </w:tcBorders>
          </w:tcPr>
          <w:p w14:paraId="3BCE4403" w14:textId="77777777" w:rsidR="001E0975" w:rsidRPr="00F13073" w:rsidRDefault="00531F06" w:rsidP="008B4C50">
            <w:pPr>
              <w:keepNext/>
              <w:suppressAutoHyphens/>
              <w:rPr>
                <w:b/>
                <w:bCs/>
              </w:rPr>
            </w:pPr>
            <w:r w:rsidRPr="00F13073">
              <w:rPr>
                <w:b/>
                <w:bCs/>
              </w:rPr>
              <w:t>Drugorzędowy punkt końcowy – procent osób reagujących na terapię w 24. tygodniu</w:t>
            </w:r>
            <w:r w:rsidR="00611033" w:rsidRPr="00F13073">
              <w:rPr>
                <w:b/>
                <w:bCs/>
              </w:rPr>
              <w:t xml:space="preserve"> </w:t>
            </w:r>
            <w:r w:rsidR="00611033" w:rsidRPr="00F13073">
              <w:rPr>
                <w:b/>
                <w:bCs/>
                <w:vertAlign w:val="superscript"/>
              </w:rPr>
              <w:t>(b)</w:t>
            </w:r>
          </w:p>
        </w:tc>
      </w:tr>
      <w:tr w:rsidR="001E0975" w:rsidRPr="00F13073" w14:paraId="5BD750A4" w14:textId="77777777" w:rsidTr="003759BA">
        <w:trPr>
          <w:cantSplit/>
          <w:tblHeader/>
        </w:trPr>
        <w:tc>
          <w:tcPr>
            <w:tcW w:w="3105" w:type="dxa"/>
            <w:tcBorders>
              <w:top w:val="single" w:sz="4" w:space="0" w:color="auto"/>
              <w:left w:val="single" w:sz="4" w:space="0" w:color="auto"/>
            </w:tcBorders>
          </w:tcPr>
          <w:p w14:paraId="5EA885B6" w14:textId="77777777" w:rsidR="001E0975" w:rsidRPr="00F13073" w:rsidRDefault="00611033" w:rsidP="00A22877">
            <w:pPr>
              <w:keepNext/>
              <w:suppressAutoHyphens/>
              <w:jc w:val="right"/>
            </w:pPr>
            <w:r w:rsidRPr="00F13073">
              <w:t>DAS28 &lt; 2</w:t>
            </w:r>
            <w:r w:rsidR="00531F06" w:rsidRPr="00F13073">
              <w:t>,</w:t>
            </w:r>
            <w:r w:rsidRPr="00F13073">
              <w:t>6, n (%)</w:t>
            </w:r>
          </w:p>
        </w:tc>
        <w:tc>
          <w:tcPr>
            <w:tcW w:w="2163" w:type="dxa"/>
            <w:tcBorders>
              <w:top w:val="single" w:sz="4" w:space="0" w:color="auto"/>
              <w:left w:val="single" w:sz="4" w:space="0" w:color="auto"/>
            </w:tcBorders>
          </w:tcPr>
          <w:p w14:paraId="021E7D40" w14:textId="77777777" w:rsidR="001E0975" w:rsidRPr="00F13073" w:rsidRDefault="00611033" w:rsidP="00A22877">
            <w:pPr>
              <w:keepNext/>
              <w:suppressAutoHyphens/>
              <w:jc w:val="center"/>
            </w:pPr>
            <w:r w:rsidRPr="00F13073">
              <w:t>17 (10</w:t>
            </w:r>
            <w:r w:rsidR="00531F06" w:rsidRPr="00F13073">
              <w:t>,</w:t>
            </w:r>
            <w:r w:rsidRPr="00F13073">
              <w:t>5)</w:t>
            </w:r>
          </w:p>
        </w:tc>
        <w:tc>
          <w:tcPr>
            <w:tcW w:w="2103" w:type="dxa"/>
            <w:tcBorders>
              <w:top w:val="single" w:sz="4" w:space="0" w:color="auto"/>
              <w:left w:val="single" w:sz="4" w:space="0" w:color="auto"/>
            </w:tcBorders>
          </w:tcPr>
          <w:p w14:paraId="66B7A377" w14:textId="77777777" w:rsidR="001E0975" w:rsidRPr="00F13073" w:rsidRDefault="00611033" w:rsidP="00A22877">
            <w:pPr>
              <w:keepNext/>
              <w:suppressAutoHyphens/>
              <w:jc w:val="center"/>
            </w:pPr>
            <w:r w:rsidRPr="00F13073">
              <w:t>65 (39</w:t>
            </w:r>
            <w:r w:rsidR="00531F06" w:rsidRPr="00F13073">
              <w:t>,</w:t>
            </w:r>
            <w:r w:rsidRPr="00F13073">
              <w:t>9)</w:t>
            </w:r>
          </w:p>
        </w:tc>
        <w:tc>
          <w:tcPr>
            <w:tcW w:w="1701" w:type="dxa"/>
            <w:tcBorders>
              <w:top w:val="single" w:sz="4" w:space="0" w:color="auto"/>
              <w:left w:val="single" w:sz="4" w:space="0" w:color="auto"/>
              <w:right w:val="single" w:sz="4" w:space="0" w:color="auto"/>
            </w:tcBorders>
          </w:tcPr>
          <w:p w14:paraId="2E06F44F" w14:textId="77777777" w:rsidR="001E0975" w:rsidRPr="00F13073" w:rsidRDefault="00611033" w:rsidP="00A22877">
            <w:pPr>
              <w:keepNext/>
              <w:suppressAutoHyphens/>
              <w:jc w:val="center"/>
            </w:pPr>
            <w:r w:rsidRPr="00F13073">
              <w:t>&lt;0</w:t>
            </w:r>
            <w:r w:rsidR="00531F06" w:rsidRPr="00F13073">
              <w:t>,</w:t>
            </w:r>
            <w:r w:rsidRPr="00F13073">
              <w:t>0001</w:t>
            </w:r>
          </w:p>
        </w:tc>
      </w:tr>
      <w:tr w:rsidR="001E0975" w:rsidRPr="00F13073" w14:paraId="3F176385" w14:textId="77777777" w:rsidTr="003759BA">
        <w:trPr>
          <w:cantSplit/>
          <w:tblHeader/>
        </w:trPr>
        <w:tc>
          <w:tcPr>
            <w:tcW w:w="3105" w:type="dxa"/>
            <w:tcBorders>
              <w:top w:val="single" w:sz="4" w:space="0" w:color="auto"/>
              <w:left w:val="single" w:sz="4" w:space="0" w:color="auto"/>
            </w:tcBorders>
          </w:tcPr>
          <w:p w14:paraId="6E3D8A87" w14:textId="77777777" w:rsidR="001E0975" w:rsidRPr="00F13073" w:rsidRDefault="00611033" w:rsidP="00A22877">
            <w:pPr>
              <w:keepNext/>
              <w:suppressAutoHyphens/>
              <w:jc w:val="right"/>
            </w:pPr>
            <w:r w:rsidRPr="00F13073">
              <w:t>DAS28 ≤ 3</w:t>
            </w:r>
            <w:r w:rsidR="00531F06" w:rsidRPr="00F13073">
              <w:t>,</w:t>
            </w:r>
            <w:r w:rsidRPr="00F13073">
              <w:t>2, n (%)</w:t>
            </w:r>
          </w:p>
        </w:tc>
        <w:tc>
          <w:tcPr>
            <w:tcW w:w="2163" w:type="dxa"/>
            <w:tcBorders>
              <w:top w:val="single" w:sz="4" w:space="0" w:color="auto"/>
              <w:left w:val="single" w:sz="4" w:space="0" w:color="auto"/>
            </w:tcBorders>
          </w:tcPr>
          <w:p w14:paraId="49F84CE9" w14:textId="77777777" w:rsidR="001E0975" w:rsidRPr="00F13073" w:rsidRDefault="00611033" w:rsidP="00A22877">
            <w:pPr>
              <w:keepNext/>
              <w:suppressAutoHyphens/>
              <w:jc w:val="center"/>
            </w:pPr>
            <w:r w:rsidRPr="00F13073">
              <w:t>32 (19</w:t>
            </w:r>
            <w:r w:rsidR="00531F06" w:rsidRPr="00F13073">
              <w:t>,</w:t>
            </w:r>
            <w:r w:rsidRPr="00F13073">
              <w:t>8)</w:t>
            </w:r>
          </w:p>
        </w:tc>
        <w:tc>
          <w:tcPr>
            <w:tcW w:w="2103" w:type="dxa"/>
            <w:tcBorders>
              <w:top w:val="single" w:sz="4" w:space="0" w:color="auto"/>
              <w:left w:val="single" w:sz="4" w:space="0" w:color="auto"/>
            </w:tcBorders>
          </w:tcPr>
          <w:p w14:paraId="55AB67D3" w14:textId="77777777" w:rsidR="001E0975" w:rsidRPr="00F13073" w:rsidRDefault="00611033" w:rsidP="00A22877">
            <w:pPr>
              <w:keepNext/>
              <w:suppressAutoHyphens/>
              <w:jc w:val="center"/>
            </w:pPr>
            <w:r w:rsidRPr="00F13073">
              <w:t>84 (51</w:t>
            </w:r>
            <w:r w:rsidR="00531F06" w:rsidRPr="00F13073">
              <w:t>,</w:t>
            </w:r>
            <w:r w:rsidRPr="00F13073">
              <w:t>5)</w:t>
            </w:r>
          </w:p>
        </w:tc>
        <w:tc>
          <w:tcPr>
            <w:tcW w:w="1701" w:type="dxa"/>
            <w:tcBorders>
              <w:top w:val="single" w:sz="4" w:space="0" w:color="auto"/>
              <w:left w:val="single" w:sz="4" w:space="0" w:color="auto"/>
              <w:right w:val="single" w:sz="4" w:space="0" w:color="auto"/>
            </w:tcBorders>
          </w:tcPr>
          <w:p w14:paraId="2BBAFA0C" w14:textId="77777777" w:rsidR="001E0975" w:rsidRPr="00F13073" w:rsidRDefault="00611033" w:rsidP="00A22877">
            <w:pPr>
              <w:keepNext/>
              <w:suppressAutoHyphens/>
              <w:jc w:val="center"/>
            </w:pPr>
            <w:r w:rsidRPr="00F13073">
              <w:t>&lt;0</w:t>
            </w:r>
            <w:r w:rsidR="00531F06" w:rsidRPr="00F13073">
              <w:t>,</w:t>
            </w:r>
            <w:r w:rsidRPr="00F13073">
              <w:t>0001</w:t>
            </w:r>
          </w:p>
        </w:tc>
      </w:tr>
      <w:tr w:rsidR="001E0975" w:rsidRPr="00F13073" w14:paraId="080ED7CF" w14:textId="77777777" w:rsidTr="003759BA">
        <w:trPr>
          <w:cantSplit/>
          <w:tblHeader/>
        </w:trPr>
        <w:tc>
          <w:tcPr>
            <w:tcW w:w="3105" w:type="dxa"/>
            <w:tcBorders>
              <w:top w:val="single" w:sz="4" w:space="0" w:color="auto"/>
              <w:left w:val="single" w:sz="4" w:space="0" w:color="auto"/>
            </w:tcBorders>
          </w:tcPr>
          <w:p w14:paraId="7F51B1E4" w14:textId="77777777" w:rsidR="001E0975" w:rsidRPr="00F13073" w:rsidRDefault="00531F06" w:rsidP="00A22877">
            <w:pPr>
              <w:keepNext/>
              <w:suppressAutoHyphens/>
              <w:jc w:val="right"/>
            </w:pPr>
            <w:r w:rsidRPr="00F13073">
              <w:t xml:space="preserve">Odpowiedź </w:t>
            </w:r>
            <w:r w:rsidR="00611033" w:rsidRPr="00F13073">
              <w:t>ACR20, n (%)</w:t>
            </w:r>
          </w:p>
        </w:tc>
        <w:tc>
          <w:tcPr>
            <w:tcW w:w="2163" w:type="dxa"/>
            <w:tcBorders>
              <w:top w:val="single" w:sz="4" w:space="0" w:color="auto"/>
              <w:left w:val="single" w:sz="4" w:space="0" w:color="auto"/>
            </w:tcBorders>
          </w:tcPr>
          <w:p w14:paraId="7C226A17" w14:textId="77777777" w:rsidR="001E0975" w:rsidRPr="00F13073" w:rsidRDefault="00611033" w:rsidP="00A22877">
            <w:pPr>
              <w:keepNext/>
              <w:suppressAutoHyphens/>
              <w:jc w:val="center"/>
            </w:pPr>
            <w:r w:rsidRPr="00F13073">
              <w:t>80 (49</w:t>
            </w:r>
            <w:r w:rsidR="00531F06" w:rsidRPr="00F13073">
              <w:t>,</w:t>
            </w:r>
            <w:r w:rsidRPr="00F13073">
              <w:t>4)</w:t>
            </w:r>
          </w:p>
        </w:tc>
        <w:tc>
          <w:tcPr>
            <w:tcW w:w="2103" w:type="dxa"/>
            <w:tcBorders>
              <w:top w:val="single" w:sz="4" w:space="0" w:color="auto"/>
              <w:left w:val="single" w:sz="4" w:space="0" w:color="auto"/>
            </w:tcBorders>
          </w:tcPr>
          <w:p w14:paraId="4F4CF4B5" w14:textId="77777777" w:rsidR="001E0975" w:rsidRPr="00F13073" w:rsidRDefault="00611033" w:rsidP="00A22877">
            <w:pPr>
              <w:keepNext/>
              <w:suppressAutoHyphens/>
              <w:jc w:val="center"/>
            </w:pPr>
            <w:r w:rsidRPr="00F13073">
              <w:t>106 (65</w:t>
            </w:r>
            <w:r w:rsidR="00531F06" w:rsidRPr="00F13073">
              <w:t>,</w:t>
            </w:r>
            <w:r w:rsidRPr="00F13073">
              <w:t>0)</w:t>
            </w:r>
          </w:p>
        </w:tc>
        <w:tc>
          <w:tcPr>
            <w:tcW w:w="1701" w:type="dxa"/>
            <w:tcBorders>
              <w:top w:val="single" w:sz="4" w:space="0" w:color="auto"/>
              <w:left w:val="single" w:sz="4" w:space="0" w:color="auto"/>
              <w:right w:val="single" w:sz="4" w:space="0" w:color="auto"/>
            </w:tcBorders>
          </w:tcPr>
          <w:p w14:paraId="5654A370" w14:textId="77777777" w:rsidR="001E0975" w:rsidRPr="00F13073" w:rsidRDefault="00611033" w:rsidP="00A22877">
            <w:pPr>
              <w:keepNext/>
              <w:suppressAutoHyphens/>
              <w:jc w:val="center"/>
            </w:pPr>
            <w:r w:rsidRPr="00F13073">
              <w:t>0</w:t>
            </w:r>
            <w:r w:rsidR="00531F06" w:rsidRPr="00F13073">
              <w:t>,</w:t>
            </w:r>
            <w:r w:rsidRPr="00F13073">
              <w:t>0038</w:t>
            </w:r>
          </w:p>
        </w:tc>
      </w:tr>
      <w:tr w:rsidR="001E0975" w:rsidRPr="00F13073" w14:paraId="5A6C7823" w14:textId="77777777" w:rsidTr="003759BA">
        <w:trPr>
          <w:cantSplit/>
          <w:tblHeader/>
        </w:trPr>
        <w:tc>
          <w:tcPr>
            <w:tcW w:w="3105" w:type="dxa"/>
            <w:tcBorders>
              <w:top w:val="single" w:sz="4" w:space="0" w:color="auto"/>
              <w:left w:val="single" w:sz="4" w:space="0" w:color="auto"/>
            </w:tcBorders>
          </w:tcPr>
          <w:p w14:paraId="3C79C4B1" w14:textId="77777777" w:rsidR="001E0975" w:rsidRPr="00F13073" w:rsidRDefault="00531F06" w:rsidP="00A22877">
            <w:pPr>
              <w:keepNext/>
              <w:suppressAutoHyphens/>
              <w:jc w:val="right"/>
            </w:pPr>
            <w:r w:rsidRPr="00F13073">
              <w:t xml:space="preserve">Odpowiedź </w:t>
            </w:r>
            <w:r w:rsidR="00611033" w:rsidRPr="00F13073">
              <w:t>ACR50, n (%)</w:t>
            </w:r>
          </w:p>
        </w:tc>
        <w:tc>
          <w:tcPr>
            <w:tcW w:w="2163" w:type="dxa"/>
            <w:tcBorders>
              <w:top w:val="single" w:sz="4" w:space="0" w:color="auto"/>
              <w:left w:val="single" w:sz="4" w:space="0" w:color="auto"/>
            </w:tcBorders>
          </w:tcPr>
          <w:p w14:paraId="267B7F63" w14:textId="77777777" w:rsidR="001E0975" w:rsidRPr="00F13073" w:rsidRDefault="00611033" w:rsidP="00A22877">
            <w:pPr>
              <w:keepNext/>
              <w:suppressAutoHyphens/>
              <w:jc w:val="center"/>
            </w:pPr>
            <w:r w:rsidRPr="00F13073">
              <w:t>45 (27</w:t>
            </w:r>
            <w:r w:rsidR="00531F06" w:rsidRPr="00F13073">
              <w:t>,</w:t>
            </w:r>
            <w:r w:rsidRPr="00F13073">
              <w:t>8)</w:t>
            </w:r>
          </w:p>
        </w:tc>
        <w:tc>
          <w:tcPr>
            <w:tcW w:w="2103" w:type="dxa"/>
            <w:tcBorders>
              <w:top w:val="single" w:sz="4" w:space="0" w:color="auto"/>
              <w:left w:val="single" w:sz="4" w:space="0" w:color="auto"/>
            </w:tcBorders>
          </w:tcPr>
          <w:p w14:paraId="6AD2BE92" w14:textId="77777777" w:rsidR="001E0975" w:rsidRPr="00F13073" w:rsidRDefault="00611033" w:rsidP="00A22877">
            <w:pPr>
              <w:keepNext/>
              <w:suppressAutoHyphens/>
              <w:jc w:val="center"/>
            </w:pPr>
            <w:r w:rsidRPr="00F13073">
              <w:t>77 (47</w:t>
            </w:r>
            <w:r w:rsidR="00531F06" w:rsidRPr="00F13073">
              <w:t>,</w:t>
            </w:r>
            <w:r w:rsidRPr="00F13073">
              <w:t>2)</w:t>
            </w:r>
          </w:p>
        </w:tc>
        <w:tc>
          <w:tcPr>
            <w:tcW w:w="1701" w:type="dxa"/>
            <w:tcBorders>
              <w:top w:val="single" w:sz="4" w:space="0" w:color="auto"/>
              <w:left w:val="single" w:sz="4" w:space="0" w:color="auto"/>
              <w:right w:val="single" w:sz="4" w:space="0" w:color="auto"/>
            </w:tcBorders>
          </w:tcPr>
          <w:p w14:paraId="31E5DD6D" w14:textId="77777777" w:rsidR="001E0975" w:rsidRPr="00F13073" w:rsidRDefault="00611033" w:rsidP="00A22877">
            <w:pPr>
              <w:keepNext/>
              <w:suppressAutoHyphens/>
              <w:jc w:val="center"/>
            </w:pPr>
            <w:r w:rsidRPr="00F13073">
              <w:t>0</w:t>
            </w:r>
            <w:r w:rsidR="00531F06" w:rsidRPr="00F13073">
              <w:t>,</w:t>
            </w:r>
            <w:r w:rsidRPr="00F13073">
              <w:t>0002</w:t>
            </w:r>
          </w:p>
        </w:tc>
      </w:tr>
      <w:tr w:rsidR="001E0975" w:rsidRPr="00F13073" w14:paraId="66C0A910" w14:textId="77777777" w:rsidTr="003759BA">
        <w:trPr>
          <w:cantSplit/>
          <w:tblHeader/>
        </w:trPr>
        <w:tc>
          <w:tcPr>
            <w:tcW w:w="3105" w:type="dxa"/>
            <w:tcBorders>
              <w:top w:val="single" w:sz="4" w:space="0" w:color="auto"/>
              <w:left w:val="single" w:sz="4" w:space="0" w:color="auto"/>
              <w:bottom w:val="single" w:sz="4" w:space="0" w:color="auto"/>
            </w:tcBorders>
          </w:tcPr>
          <w:p w14:paraId="0E49B2E1" w14:textId="77777777" w:rsidR="001E0975" w:rsidRPr="00F13073" w:rsidRDefault="00531F06" w:rsidP="00A22877">
            <w:pPr>
              <w:keepNext/>
              <w:suppressAutoHyphens/>
              <w:jc w:val="right"/>
            </w:pPr>
            <w:r w:rsidRPr="00F13073">
              <w:t xml:space="preserve">Odpowiedź </w:t>
            </w:r>
            <w:r w:rsidR="00611033" w:rsidRPr="00F13073">
              <w:t>ACR70, n (%)</w:t>
            </w:r>
          </w:p>
        </w:tc>
        <w:tc>
          <w:tcPr>
            <w:tcW w:w="2163" w:type="dxa"/>
            <w:tcBorders>
              <w:top w:val="single" w:sz="4" w:space="0" w:color="auto"/>
              <w:left w:val="single" w:sz="4" w:space="0" w:color="auto"/>
              <w:bottom w:val="single" w:sz="4" w:space="0" w:color="auto"/>
            </w:tcBorders>
          </w:tcPr>
          <w:p w14:paraId="3C602540" w14:textId="77777777" w:rsidR="001E0975" w:rsidRPr="00F13073" w:rsidRDefault="00611033" w:rsidP="00A22877">
            <w:pPr>
              <w:keepNext/>
              <w:suppressAutoHyphens/>
              <w:jc w:val="center"/>
            </w:pPr>
            <w:r w:rsidRPr="00F13073">
              <w:t>29 (17</w:t>
            </w:r>
            <w:r w:rsidR="00531F06" w:rsidRPr="00F13073">
              <w:t>,</w:t>
            </w:r>
            <w:r w:rsidRPr="00F13073">
              <w:t>9)</w:t>
            </w:r>
          </w:p>
        </w:tc>
        <w:tc>
          <w:tcPr>
            <w:tcW w:w="2103" w:type="dxa"/>
            <w:tcBorders>
              <w:top w:val="single" w:sz="4" w:space="0" w:color="auto"/>
              <w:left w:val="single" w:sz="4" w:space="0" w:color="auto"/>
              <w:bottom w:val="single" w:sz="4" w:space="0" w:color="auto"/>
            </w:tcBorders>
          </w:tcPr>
          <w:p w14:paraId="4F81D4FA" w14:textId="77777777" w:rsidR="001E0975" w:rsidRPr="00F13073" w:rsidRDefault="00611033" w:rsidP="00A22877">
            <w:pPr>
              <w:keepNext/>
              <w:suppressAutoHyphens/>
              <w:jc w:val="center"/>
            </w:pPr>
            <w:r w:rsidRPr="00F13073">
              <w:t>53 (32</w:t>
            </w:r>
            <w:r w:rsidR="00531F06" w:rsidRPr="00F13073">
              <w:t>,</w:t>
            </w:r>
            <w:r w:rsidRPr="00F13073">
              <w:t>5)</w:t>
            </w:r>
          </w:p>
        </w:tc>
        <w:tc>
          <w:tcPr>
            <w:tcW w:w="1701" w:type="dxa"/>
            <w:tcBorders>
              <w:top w:val="single" w:sz="4" w:space="0" w:color="auto"/>
              <w:left w:val="single" w:sz="4" w:space="0" w:color="auto"/>
              <w:bottom w:val="single" w:sz="4" w:space="0" w:color="auto"/>
              <w:right w:val="single" w:sz="4" w:space="0" w:color="auto"/>
            </w:tcBorders>
          </w:tcPr>
          <w:p w14:paraId="42D454A9" w14:textId="77777777" w:rsidR="001E0975" w:rsidRPr="00F13073" w:rsidRDefault="00611033" w:rsidP="00A22877">
            <w:pPr>
              <w:keepNext/>
              <w:suppressAutoHyphens/>
              <w:jc w:val="center"/>
            </w:pPr>
            <w:r w:rsidRPr="00F13073">
              <w:t>0</w:t>
            </w:r>
            <w:r w:rsidR="00531F06" w:rsidRPr="00F13073">
              <w:t>,</w:t>
            </w:r>
            <w:r w:rsidRPr="00F13073">
              <w:t>0023</w:t>
            </w:r>
          </w:p>
        </w:tc>
      </w:tr>
    </w:tbl>
    <w:p w14:paraId="0822CA92" w14:textId="77777777" w:rsidR="001E0975" w:rsidRPr="00F13073" w:rsidRDefault="00611033" w:rsidP="008B4C50">
      <w:pPr>
        <w:rPr>
          <w:i/>
          <w:iCs/>
          <w:sz w:val="18"/>
          <w:szCs w:val="18"/>
        </w:rPr>
      </w:pPr>
      <w:r w:rsidRPr="00F13073">
        <w:rPr>
          <w:i/>
          <w:iCs/>
          <w:sz w:val="18"/>
          <w:szCs w:val="18"/>
          <w:vertAlign w:val="superscript"/>
        </w:rPr>
        <w:t>a</w:t>
      </w:r>
      <w:r w:rsidR="00EE72CC" w:rsidRPr="00F13073">
        <w:rPr>
          <w:i/>
          <w:iCs/>
          <w:sz w:val="18"/>
          <w:szCs w:val="18"/>
        </w:rPr>
        <w:t xml:space="preserve"> </w:t>
      </w:r>
      <w:r w:rsidR="008B4745" w:rsidRPr="00F13073">
        <w:rPr>
          <w:i/>
          <w:iCs/>
          <w:sz w:val="18"/>
          <w:szCs w:val="18"/>
        </w:rPr>
        <w:t>wartość p została skorygowana względem obszaru i czasu trwania RZS dla wszystkich punktów końcowych, a także względem wartości wyjściowej dla wszystkich ciągłych punktów końcowych</w:t>
      </w:r>
      <w:r w:rsidRPr="00F13073">
        <w:rPr>
          <w:i/>
          <w:iCs/>
          <w:sz w:val="18"/>
          <w:szCs w:val="18"/>
        </w:rPr>
        <w:t>.</w:t>
      </w:r>
    </w:p>
    <w:p w14:paraId="39C1EAE7" w14:textId="77777777" w:rsidR="001E0975" w:rsidRPr="00F13073" w:rsidRDefault="00611033" w:rsidP="008B4C50">
      <w:pPr>
        <w:rPr>
          <w:i/>
          <w:iCs/>
          <w:sz w:val="18"/>
          <w:szCs w:val="18"/>
        </w:rPr>
      </w:pPr>
      <w:r w:rsidRPr="00F13073">
        <w:rPr>
          <w:i/>
          <w:iCs/>
          <w:sz w:val="18"/>
          <w:szCs w:val="18"/>
          <w:vertAlign w:val="superscript"/>
        </w:rPr>
        <w:t>b</w:t>
      </w:r>
      <w:r w:rsidRPr="00F13073">
        <w:rPr>
          <w:i/>
          <w:iCs/>
          <w:sz w:val="18"/>
          <w:szCs w:val="18"/>
        </w:rPr>
        <w:t xml:space="preserve"> </w:t>
      </w:r>
      <w:r w:rsidR="00B23E84" w:rsidRPr="00F13073">
        <w:rPr>
          <w:i/>
          <w:iCs/>
          <w:sz w:val="18"/>
          <w:szCs w:val="18"/>
        </w:rPr>
        <w:t>w przypadku brakujących danych zastosowano kwalifikację do grupy braku odpowiedzi. Mnogość kontrolowano za pomocą metody Bonferroniego.-Holma</w:t>
      </w:r>
    </w:p>
    <w:p w14:paraId="5F5D6BAB" w14:textId="77777777" w:rsidR="001E0975" w:rsidRPr="00F13073" w:rsidRDefault="001E0975" w:rsidP="008B4C50"/>
    <w:p w14:paraId="1DF87177" w14:textId="410E7617" w:rsidR="001E0975" w:rsidRPr="00F13073" w:rsidRDefault="0094255D" w:rsidP="008B4C50">
      <w:pPr>
        <w:rPr>
          <w:rStyle w:val="Char"/>
          <w:rFonts w:eastAsia="DengXian"/>
        </w:rPr>
      </w:pPr>
      <w:r w:rsidRPr="00F13073">
        <w:rPr>
          <w:rStyle w:val="Char"/>
          <w:rFonts w:eastAsia="DengXian"/>
        </w:rPr>
        <w:t xml:space="preserve">Ogólny profil działań niepożądanych </w:t>
      </w:r>
      <w:r w:rsidR="00F64120" w:rsidRPr="00F13073">
        <w:rPr>
          <w:rStyle w:val="Char"/>
          <w:rFonts w:eastAsia="DengXian"/>
        </w:rPr>
        <w:t xml:space="preserve">tocilizumabu </w:t>
      </w:r>
      <w:r w:rsidRPr="00F13073">
        <w:rPr>
          <w:rStyle w:val="Char"/>
          <w:rFonts w:eastAsia="DengXian"/>
        </w:rPr>
        <w:t>i adalimumabu był zbliżony. Odsetek pacjentów, u których wystąpiły ciężkie działania niepożądane, był zbliżony w obu grupach (</w:t>
      </w:r>
      <w:r w:rsidR="00B94002" w:rsidRPr="00F13073">
        <w:rPr>
          <w:rStyle w:val="Char"/>
          <w:rFonts w:eastAsia="DengXian"/>
        </w:rPr>
        <w:t>tocilizumab</w:t>
      </w:r>
      <w:r w:rsidRPr="00F13073">
        <w:rPr>
          <w:rStyle w:val="Char"/>
          <w:rFonts w:eastAsia="DengXian"/>
        </w:rPr>
        <w:t xml:space="preserve"> 11,7%, adalimumab 9,9%). Rodzaj działań niepożądanych występujących u chorych leczonych </w:t>
      </w:r>
      <w:r w:rsidR="00B94002" w:rsidRPr="00F13073">
        <w:rPr>
          <w:rStyle w:val="Char"/>
          <w:rFonts w:eastAsia="DengXian"/>
        </w:rPr>
        <w:t xml:space="preserve">tocilizumabem </w:t>
      </w:r>
      <w:r w:rsidRPr="00F13073">
        <w:rPr>
          <w:rStyle w:val="Char"/>
          <w:rFonts w:eastAsia="DengXian"/>
        </w:rPr>
        <w:t xml:space="preserve">był spójny z wcześniej poznanym profilem bezpieczeństwa stosowania tocilizumabu i działania niepożądane były zgłaszane z podobną częstością w porównaniu do opisanych w Tabeli 1. Większą częstość występowania zakażeń i zarażeń pasożytniczych zgłaszano u chorych leczonych </w:t>
      </w:r>
      <w:r w:rsidR="00B94002" w:rsidRPr="00F13073">
        <w:rPr>
          <w:rStyle w:val="Char"/>
          <w:rFonts w:eastAsia="DengXian"/>
        </w:rPr>
        <w:t xml:space="preserve">tocilizumabem </w:t>
      </w:r>
      <w:r w:rsidRPr="00F13073">
        <w:rPr>
          <w:rStyle w:val="Char"/>
          <w:rFonts w:eastAsia="DengXian"/>
        </w:rPr>
        <w:t xml:space="preserve">(48% vs. 42%), bez różnic w częstości występowania ciężkich zakażeń (3.1%). Oba leki badane powodowały takie same rodzaje zmian laboratoryjnych parametrów bezpieczeństwa (spadek liczby granulocytów obojętnochłonnych i płytek, zwiększenie AlAT, AspAT oraz wzrost poziomu lipidów), jednak wielkość zmian i częstość występowania istotnych nieprawidłowości były większe w przypadku </w:t>
      </w:r>
      <w:r w:rsidR="00B94002" w:rsidRPr="00F13073">
        <w:rPr>
          <w:rStyle w:val="Char"/>
          <w:rFonts w:eastAsia="DengXian"/>
        </w:rPr>
        <w:t xml:space="preserve">tocilizumabu </w:t>
      </w:r>
      <w:r w:rsidRPr="00F13073">
        <w:rPr>
          <w:rStyle w:val="Char"/>
          <w:rFonts w:eastAsia="DengXian"/>
        </w:rPr>
        <w:t xml:space="preserve">w porównaniu z adalimumabem. U czterech (2,5%) pacjentów z grupy przyjmującej </w:t>
      </w:r>
      <w:r w:rsidR="00B94002" w:rsidRPr="00F13073">
        <w:rPr>
          <w:rStyle w:val="Char"/>
          <w:rFonts w:eastAsia="DengXian"/>
        </w:rPr>
        <w:t>tocilizumab</w:t>
      </w:r>
      <w:r w:rsidRPr="00F13073">
        <w:rPr>
          <w:rStyle w:val="Char"/>
          <w:rFonts w:eastAsia="DengXian"/>
        </w:rPr>
        <w:t xml:space="preserve"> i dwóch (1,2%) pacjentów z grupy przyjmującej adalimumab wystąpiło zmniejszenie liczby granulocytów obojętnochłonnych stopnia 3. lub 4. wg CTC. U jedenastu (6,8%) pacjentów z grupy przyjmującej </w:t>
      </w:r>
      <w:r w:rsidR="00B94002" w:rsidRPr="00F13073">
        <w:rPr>
          <w:rStyle w:val="Char"/>
          <w:rFonts w:eastAsia="DengXian"/>
        </w:rPr>
        <w:t xml:space="preserve">tocilizumab </w:t>
      </w:r>
      <w:r w:rsidRPr="00F13073">
        <w:rPr>
          <w:rStyle w:val="Char"/>
          <w:rFonts w:eastAsia="DengXian"/>
        </w:rPr>
        <w:t>i pięciu (3,1%) pacjentów z grupy przyjmującej adalimumab wystąpiło zwiększenie AlAT stopnia 2. lub wyższego wg CTC. Średnie zwiększenie stężenia LDL względem wartości początkowej wynosiło 0,64</w:t>
      </w:r>
      <w:r w:rsidR="00A7709C" w:rsidRPr="00F13073">
        <w:rPr>
          <w:rStyle w:val="Char"/>
          <w:rFonts w:eastAsia="DengXian"/>
        </w:rPr>
        <w:t> </w:t>
      </w:r>
      <w:r w:rsidRPr="00F13073">
        <w:rPr>
          <w:rStyle w:val="Char"/>
          <w:rFonts w:eastAsia="DengXian"/>
        </w:rPr>
        <w:t xml:space="preserve">mmol/l (25 mg/dl) u pacjentów przyjmujących </w:t>
      </w:r>
      <w:r w:rsidR="00BD76B8" w:rsidRPr="00F13073">
        <w:rPr>
          <w:rStyle w:val="Char"/>
          <w:rFonts w:eastAsia="DengXian"/>
        </w:rPr>
        <w:t xml:space="preserve">tocilizumab </w:t>
      </w:r>
      <w:r w:rsidRPr="00F13073">
        <w:rPr>
          <w:rStyle w:val="Char"/>
          <w:rFonts w:eastAsia="DengXian"/>
        </w:rPr>
        <w:t>oraz 0,19 mmol/l (7</w:t>
      </w:r>
      <w:r w:rsidR="00A7709C" w:rsidRPr="00F13073">
        <w:rPr>
          <w:rStyle w:val="Char"/>
          <w:rFonts w:eastAsia="DengXian"/>
        </w:rPr>
        <w:t> </w:t>
      </w:r>
      <w:r w:rsidRPr="00F13073">
        <w:rPr>
          <w:rStyle w:val="Char"/>
          <w:rFonts w:eastAsia="DengXian"/>
        </w:rPr>
        <w:t xml:space="preserve">mg/dl) u pacjentów przyjmujących adalimumab. Profil bezpieczeństwa obserwowany w grupie przyjmującej tocilizumab był zbliżony do dotychczas znanego profilu </w:t>
      </w:r>
      <w:r w:rsidR="00BD76B8" w:rsidRPr="00F13073">
        <w:rPr>
          <w:rStyle w:val="Char"/>
          <w:rFonts w:eastAsia="DengXian"/>
        </w:rPr>
        <w:t>tocilizumabu</w:t>
      </w:r>
      <w:r w:rsidRPr="00F13073">
        <w:rPr>
          <w:rStyle w:val="Char"/>
          <w:rFonts w:eastAsia="DengXian"/>
        </w:rPr>
        <w:t>; nie zaobserwowano żadnych nowych lub nieoczekiwanych działań niepożądanych (patrz Tabela 1).</w:t>
      </w:r>
    </w:p>
    <w:p w14:paraId="5F259CBF" w14:textId="77777777" w:rsidR="00EE72CC" w:rsidRPr="00F13073" w:rsidRDefault="00EE72CC" w:rsidP="008B4C50"/>
    <w:p w14:paraId="40FB4645" w14:textId="77777777" w:rsidR="001E0975" w:rsidRPr="00F13073" w:rsidRDefault="001721B1" w:rsidP="008B4C50">
      <w:pPr>
        <w:keepNext/>
        <w:ind w:left="567" w:hanging="567"/>
        <w:rPr>
          <w:b/>
          <w:bCs/>
        </w:rPr>
      </w:pPr>
      <w:r w:rsidRPr="00F13073">
        <w:rPr>
          <w:b/>
          <w:bCs/>
        </w:rPr>
        <w:t>5.2</w:t>
      </w:r>
      <w:r w:rsidRPr="00F13073">
        <w:rPr>
          <w:b/>
          <w:bCs/>
        </w:rPr>
        <w:tab/>
      </w:r>
      <w:r w:rsidR="00DD41BB" w:rsidRPr="00F13073">
        <w:rPr>
          <w:rStyle w:val="Char"/>
          <w:rFonts w:eastAsia="DengXian"/>
          <w:b/>
          <w:bCs/>
        </w:rPr>
        <w:t>Właściwości farmakokinetyczne</w:t>
      </w:r>
    </w:p>
    <w:p w14:paraId="02C39AB7" w14:textId="77777777" w:rsidR="0086283E" w:rsidRPr="00F13073" w:rsidRDefault="0086283E" w:rsidP="008B4C50">
      <w:pPr>
        <w:keepNext/>
        <w:ind w:left="567" w:hanging="567"/>
        <w:rPr>
          <w:b/>
          <w:bCs/>
        </w:rPr>
      </w:pPr>
    </w:p>
    <w:p w14:paraId="25130333" w14:textId="0E805308" w:rsidR="00DD41BB" w:rsidRPr="00F13073" w:rsidRDefault="00DD41BB" w:rsidP="008B4C50">
      <w:pPr>
        <w:pStyle w:val="a4"/>
        <w:widowControl/>
        <w:spacing w:after="0"/>
        <w:rPr>
          <w:rStyle w:val="Char"/>
        </w:rPr>
      </w:pPr>
      <w:r w:rsidRPr="00F13073">
        <w:rPr>
          <w:rStyle w:val="Char"/>
        </w:rPr>
        <w:t xml:space="preserve">Farmakokinetykę </w:t>
      </w:r>
      <w:r w:rsidR="0095299C" w:rsidRPr="00F13073">
        <w:rPr>
          <w:rStyle w:val="Char"/>
        </w:rPr>
        <w:t xml:space="preserve">tocilizumabu </w:t>
      </w:r>
      <w:r w:rsidRPr="00F13073">
        <w:rPr>
          <w:rStyle w:val="Char"/>
        </w:rPr>
        <w:t xml:space="preserve">charakteryzuje nieliniowa eliminacja będąca połączeniem klirensu liniowego i eliminacji opisanej równaniem Machaelisa-Menten. Nieliniowa część eliminacji </w:t>
      </w:r>
      <w:r w:rsidR="009229AA" w:rsidRPr="00F13073">
        <w:rPr>
          <w:rStyle w:val="Char"/>
        </w:rPr>
        <w:t xml:space="preserve">tocilizumabu </w:t>
      </w:r>
      <w:r w:rsidRPr="00F13073">
        <w:rPr>
          <w:rStyle w:val="Char"/>
        </w:rPr>
        <w:t xml:space="preserve">prowadzi do zwiększenia ekspozycji, w stopniu większym niż proporcjonalnym do </w:t>
      </w:r>
      <w:r w:rsidRPr="00F13073">
        <w:rPr>
          <w:rStyle w:val="Char"/>
        </w:rPr>
        <w:lastRenderedPageBreak/>
        <w:t xml:space="preserve">dawki. Parametry farmakokinetyczne </w:t>
      </w:r>
      <w:r w:rsidR="009229AA" w:rsidRPr="00F13073">
        <w:rPr>
          <w:rStyle w:val="Char"/>
        </w:rPr>
        <w:t xml:space="preserve">tocilizumabu </w:t>
      </w:r>
      <w:r w:rsidRPr="00F13073">
        <w:rPr>
          <w:rStyle w:val="Char"/>
        </w:rPr>
        <w:t xml:space="preserve">nie zmieniają się w czasie. Z uwagi na zależność klirensu całkowitego od stężenia </w:t>
      </w:r>
      <w:r w:rsidR="009229AA" w:rsidRPr="00F13073">
        <w:rPr>
          <w:rStyle w:val="Char"/>
        </w:rPr>
        <w:t xml:space="preserve">tocilizumabu </w:t>
      </w:r>
      <w:r w:rsidRPr="00F13073">
        <w:rPr>
          <w:rStyle w:val="Char"/>
        </w:rPr>
        <w:t xml:space="preserve">w surowicy, okres półtrwania </w:t>
      </w:r>
      <w:r w:rsidR="009229AA" w:rsidRPr="00F13073">
        <w:rPr>
          <w:rStyle w:val="Char"/>
        </w:rPr>
        <w:t xml:space="preserve">tocilizumabu </w:t>
      </w:r>
      <w:r w:rsidRPr="00F13073">
        <w:rPr>
          <w:rStyle w:val="Char"/>
        </w:rPr>
        <w:t>jest również zależny od stężenia i różni się w zależności od stężenia w surowicy. Analizy farmakokinetyki populacyjnej we wszystkich dotychczas przebadanych populacjach wskazują na brak związku pomiędzy klirensem pozornym a obecnością przeciwciał przeciwlekowych.</w:t>
      </w:r>
    </w:p>
    <w:p w14:paraId="656E6F27" w14:textId="77777777" w:rsidR="00DD41BB" w:rsidRPr="00F13073" w:rsidRDefault="00DD41BB" w:rsidP="008B4C50">
      <w:pPr>
        <w:pStyle w:val="a4"/>
        <w:widowControl/>
        <w:spacing w:after="0"/>
      </w:pPr>
    </w:p>
    <w:p w14:paraId="58AB21C7" w14:textId="77777777" w:rsidR="00DD41BB" w:rsidRPr="00F13073" w:rsidRDefault="00DD41BB" w:rsidP="008B4C50">
      <w:pPr>
        <w:pStyle w:val="a4"/>
        <w:widowControl/>
        <w:spacing w:after="0"/>
      </w:pPr>
      <w:r w:rsidRPr="00F13073">
        <w:rPr>
          <w:rStyle w:val="Char"/>
          <w:u w:val="single"/>
        </w:rPr>
        <w:t>RZS</w:t>
      </w:r>
    </w:p>
    <w:p w14:paraId="383BBDBD" w14:textId="77777777" w:rsidR="00DD41BB" w:rsidRPr="00F13073" w:rsidRDefault="00DD41BB" w:rsidP="008B4C50">
      <w:pPr>
        <w:pStyle w:val="a4"/>
        <w:widowControl/>
        <w:spacing w:after="0"/>
      </w:pPr>
      <w:r w:rsidRPr="00F13073">
        <w:rPr>
          <w:rStyle w:val="Char"/>
          <w:u w:val="single"/>
        </w:rPr>
        <w:t>Podanie dożylne</w:t>
      </w:r>
    </w:p>
    <w:p w14:paraId="66EACB75" w14:textId="18F859C6" w:rsidR="00DD41BB" w:rsidRPr="00F13073" w:rsidRDefault="00DD41BB" w:rsidP="008B4C50">
      <w:pPr>
        <w:pStyle w:val="a4"/>
        <w:widowControl/>
        <w:spacing w:after="0"/>
        <w:rPr>
          <w:rStyle w:val="Char"/>
        </w:rPr>
      </w:pPr>
      <w:r w:rsidRPr="00F13073">
        <w:rPr>
          <w:rStyle w:val="Char"/>
        </w:rPr>
        <w:t xml:space="preserve">Właściwości farmakokinetyczne </w:t>
      </w:r>
      <w:r w:rsidR="00BF10BA" w:rsidRPr="00F13073">
        <w:rPr>
          <w:rStyle w:val="Char"/>
        </w:rPr>
        <w:t xml:space="preserve">tocilizumabu </w:t>
      </w:r>
      <w:r w:rsidRPr="00F13073">
        <w:rPr>
          <w:rStyle w:val="Char"/>
        </w:rPr>
        <w:t xml:space="preserve">określono, stosując metody analizy farmakokinetyki populacyjnej, na podstawie zgromadzonych w bazie danych 3552 pacjentów z RZS, którzy otrzymywali </w:t>
      </w:r>
      <w:r w:rsidR="00BF10BA" w:rsidRPr="00F13073">
        <w:rPr>
          <w:rStyle w:val="Char"/>
        </w:rPr>
        <w:t xml:space="preserve">tocilizumab </w:t>
      </w:r>
      <w:r w:rsidRPr="00F13073">
        <w:rPr>
          <w:rStyle w:val="Char"/>
        </w:rPr>
        <w:t>w dawce 4 lub 8 mg/kg mc. w postaci trwającego godzinę wlewu dożylnego podawanego co 4 tygodnie, w okresie 24 tygodni lub w dawce 162 mg podawanej podskórnie raz na tydzień lub co drugi tydzień przez 24 tygodnie.</w:t>
      </w:r>
    </w:p>
    <w:p w14:paraId="588C3280" w14:textId="77777777" w:rsidR="00DD41BB" w:rsidRPr="00F13073" w:rsidRDefault="00DD41BB" w:rsidP="008B4C50">
      <w:pPr>
        <w:pStyle w:val="a4"/>
        <w:widowControl/>
        <w:spacing w:after="0"/>
      </w:pPr>
    </w:p>
    <w:p w14:paraId="157A4107" w14:textId="49D53243" w:rsidR="00DD41BB" w:rsidRPr="00F13073" w:rsidRDefault="00DD41BB" w:rsidP="008B4C50">
      <w:pPr>
        <w:pStyle w:val="a4"/>
        <w:widowControl/>
        <w:spacing w:after="0"/>
        <w:rPr>
          <w:rStyle w:val="Char"/>
        </w:rPr>
      </w:pPr>
      <w:r w:rsidRPr="00F13073">
        <w:rPr>
          <w:rStyle w:val="Char"/>
        </w:rPr>
        <w:t xml:space="preserve">Następujące parametry (przewidywane średnie ± odchylenie standardowe) zostały oszacowane dla dawki 8 mg/kg mc. </w:t>
      </w:r>
      <w:r w:rsidR="00EB4CC5" w:rsidRPr="00F13073">
        <w:rPr>
          <w:rStyle w:val="Char"/>
        </w:rPr>
        <w:t xml:space="preserve">tocilizumabu </w:t>
      </w:r>
      <w:r w:rsidRPr="00F13073">
        <w:rPr>
          <w:rStyle w:val="Char"/>
        </w:rPr>
        <w:t xml:space="preserve">podawanego co 4 tygodnie: powierzchnia pola pod krzywą w stanie równowagi (AUC) = 38000 ± 13000 h </w:t>
      </w:r>
      <w:r w:rsidR="00DC1B49" w:rsidRPr="00F13073">
        <w:t>μg</w:t>
      </w:r>
      <w:r w:rsidRPr="00F13073">
        <w:rPr>
          <w:rStyle w:val="Char"/>
        </w:rPr>
        <w:t>/mL, stężenie minimalne C</w:t>
      </w:r>
      <w:r w:rsidRPr="00F13073">
        <w:rPr>
          <w:rStyle w:val="Char"/>
          <w:vertAlign w:val="subscript"/>
        </w:rPr>
        <w:t>min</w:t>
      </w:r>
      <w:r w:rsidRPr="00F13073">
        <w:rPr>
          <w:rStyle w:val="Char"/>
        </w:rPr>
        <w:t xml:space="preserve"> = 15,9 ± 13,1 μg/mL i stężenie maksymalne (C</w:t>
      </w:r>
      <w:r w:rsidRPr="00F13073">
        <w:rPr>
          <w:rStyle w:val="Char"/>
          <w:vertAlign w:val="subscript"/>
        </w:rPr>
        <w:t>max</w:t>
      </w:r>
      <w:r w:rsidRPr="00F13073">
        <w:rPr>
          <w:rStyle w:val="Char"/>
        </w:rPr>
        <w:t xml:space="preserve">) = 182 ± 50,4 </w:t>
      </w:r>
      <w:r w:rsidR="00DC1B49" w:rsidRPr="00F13073">
        <w:t>μg</w:t>
      </w:r>
      <w:r w:rsidRPr="00F13073">
        <w:rPr>
          <w:rStyle w:val="Char"/>
        </w:rPr>
        <w:t>/mL, zaś współczynniki akumulacji dla AUC i C</w:t>
      </w:r>
      <w:r w:rsidRPr="00F13073">
        <w:rPr>
          <w:rStyle w:val="Char"/>
          <w:vertAlign w:val="subscript"/>
        </w:rPr>
        <w:t>max</w:t>
      </w:r>
      <w:r w:rsidRPr="00F13073">
        <w:rPr>
          <w:rStyle w:val="Char"/>
        </w:rPr>
        <w:t xml:space="preserve"> były niskie i wynosiły odpowiednio 1,32 oraz 1,09. Zgodnie z przewidywaniami opartymi na nieliniowym klirensie niższych stężeń, współczynnik akumulacji był wyższy dla C</w:t>
      </w:r>
      <w:r w:rsidRPr="00F13073">
        <w:rPr>
          <w:rStyle w:val="Char"/>
          <w:vertAlign w:val="subscript"/>
        </w:rPr>
        <w:t>min</w:t>
      </w:r>
      <w:r w:rsidRPr="00F13073">
        <w:rPr>
          <w:rStyle w:val="Char"/>
        </w:rPr>
        <w:t xml:space="preserve"> (2,49). Stan równowagi został osiągnięty po pierwszym podaniu leku dla C</w:t>
      </w:r>
      <w:r w:rsidRPr="00F13073">
        <w:rPr>
          <w:rStyle w:val="Char"/>
          <w:vertAlign w:val="subscript"/>
        </w:rPr>
        <w:t>max</w:t>
      </w:r>
      <w:r w:rsidRPr="00F13073">
        <w:rPr>
          <w:rStyle w:val="Char"/>
        </w:rPr>
        <w:t>, oraz odpowiednio po 8 i 20 tygodniach dla AUC i C</w:t>
      </w:r>
      <w:r w:rsidRPr="00F13073">
        <w:rPr>
          <w:rStyle w:val="Char"/>
          <w:vertAlign w:val="subscript"/>
        </w:rPr>
        <w:t>min</w:t>
      </w:r>
      <w:r w:rsidRPr="00F13073">
        <w:rPr>
          <w:rStyle w:val="Char"/>
        </w:rPr>
        <w:t>. Wartości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t>
      </w:r>
      <w:r w:rsidR="00EB4CC5" w:rsidRPr="00F13073">
        <w:rPr>
          <w:rStyle w:val="Char"/>
        </w:rPr>
        <w:t xml:space="preserve">tocilizumabu </w:t>
      </w:r>
      <w:r w:rsidRPr="00F13073">
        <w:rPr>
          <w:rStyle w:val="Char"/>
        </w:rPr>
        <w:t xml:space="preserve"> zwiększały się wraz ze zwiększeniem masy ciała. Przy masie ciała ≥ 100 kg przewidywane średnie (± SD); powierzchni pola pod krzywą w stanie równowagi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dla </w:t>
      </w:r>
      <w:r w:rsidR="00EB4CC5" w:rsidRPr="00F13073">
        <w:rPr>
          <w:rStyle w:val="Char"/>
        </w:rPr>
        <w:t xml:space="preserve">tocilizumabu </w:t>
      </w:r>
      <w:r w:rsidRPr="00F13073">
        <w:rPr>
          <w:rStyle w:val="Char"/>
        </w:rPr>
        <w:t xml:space="preserve">wynosiły odpowiednio: 50000 ± 16800 </w:t>
      </w:r>
      <w:r w:rsidR="003A4FE9" w:rsidRPr="00F13073">
        <w:t>μg•h</w:t>
      </w:r>
      <w:r w:rsidRPr="00F13073">
        <w:rPr>
          <w:rStyle w:val="Char"/>
        </w:rPr>
        <w:t xml:space="preserve">/mL, 24,4 ± 17,5 μg/mL i 226 ± 50,3 μg/mL; były one większe od średnich wartości dla całej populacji pacjentów (tzn. każdej masy ciała) wymienionych powyżej. Krzywa odpowiedzi na leczenie w zależności od dawki tocilizumabu spłaszcza się przy większej ekspozycji. Skutkuje to mniejszym przyrostem efektywności leczenia wraz zwiększaniem się stężenia </w:t>
      </w:r>
      <w:r w:rsidR="00EB4CC5" w:rsidRPr="00F13073">
        <w:rPr>
          <w:rStyle w:val="Char"/>
        </w:rPr>
        <w:t>tocilizumabu</w:t>
      </w:r>
      <w:r w:rsidRPr="00F13073">
        <w:rPr>
          <w:rStyle w:val="Char"/>
        </w:rPr>
        <w:t xml:space="preserve">. U pacjentów otrzymujących </w:t>
      </w:r>
      <w:r w:rsidR="00EB4CC5" w:rsidRPr="00F13073">
        <w:rPr>
          <w:rStyle w:val="Char"/>
        </w:rPr>
        <w:t xml:space="preserve">tocilizumab </w:t>
      </w:r>
      <w:r w:rsidRPr="00F13073">
        <w:rPr>
          <w:rStyle w:val="Char"/>
        </w:rPr>
        <w:t>w dawce &gt; 800 mg nie wykazano istotnej klinicznie poprawy skuteczności leczenia. Dlatego nie zaleca się podawania tocilizumabu w dawce przekraczającej 800 mg na infuzję (patrz punkt 4.2).</w:t>
      </w:r>
    </w:p>
    <w:p w14:paraId="0E1D6BEF" w14:textId="77777777" w:rsidR="00DD41BB" w:rsidRPr="00F13073" w:rsidRDefault="00DD41BB" w:rsidP="008B4C50">
      <w:pPr>
        <w:pStyle w:val="a4"/>
        <w:widowControl/>
        <w:spacing w:after="0"/>
      </w:pPr>
    </w:p>
    <w:p w14:paraId="19C260C1" w14:textId="77777777" w:rsidR="00DD41BB" w:rsidRPr="00F13073" w:rsidRDefault="00DD41BB" w:rsidP="008B4C50">
      <w:pPr>
        <w:pStyle w:val="a4"/>
        <w:widowControl/>
        <w:spacing w:after="0"/>
      </w:pPr>
      <w:r w:rsidRPr="00F13073">
        <w:rPr>
          <w:rStyle w:val="Char"/>
          <w:u w:val="single"/>
        </w:rPr>
        <w:t>Dystrybucja</w:t>
      </w:r>
    </w:p>
    <w:p w14:paraId="5106970A" w14:textId="77777777" w:rsidR="00DD41BB" w:rsidRPr="00F13073" w:rsidRDefault="00DD41BB" w:rsidP="008B4C50">
      <w:pPr>
        <w:pStyle w:val="a4"/>
        <w:widowControl/>
        <w:spacing w:after="0"/>
        <w:rPr>
          <w:rStyle w:val="Char"/>
        </w:rPr>
      </w:pPr>
      <w:r w:rsidRPr="00F13073">
        <w:rPr>
          <w:rStyle w:val="Char"/>
        </w:rPr>
        <w:t>U chorych na RZS centralna objętość dystrybucji wynosiła 3,72 l, obwodowa objętość dystrybucji wynosiła 3,35 l, co w efekcie oznaczało objętość dystrybucji w stanie równowagi wynoszącą 7,07 l.</w:t>
      </w:r>
    </w:p>
    <w:p w14:paraId="04DD4D0D" w14:textId="77777777" w:rsidR="00DD41BB" w:rsidRPr="00F13073" w:rsidRDefault="00DD41BB" w:rsidP="008B4C50">
      <w:pPr>
        <w:pStyle w:val="a4"/>
        <w:widowControl/>
        <w:spacing w:after="0"/>
      </w:pPr>
    </w:p>
    <w:p w14:paraId="38E1AD36" w14:textId="77777777" w:rsidR="00DD41BB" w:rsidRPr="00F13073" w:rsidRDefault="00DD41BB" w:rsidP="008B4C50">
      <w:pPr>
        <w:pStyle w:val="a4"/>
        <w:widowControl/>
        <w:spacing w:after="0"/>
      </w:pPr>
      <w:r w:rsidRPr="00F13073">
        <w:rPr>
          <w:rStyle w:val="Char"/>
          <w:u w:val="single"/>
        </w:rPr>
        <w:t>Eliminacja</w:t>
      </w:r>
    </w:p>
    <w:p w14:paraId="44BEC104" w14:textId="38854E16" w:rsidR="00DD41BB" w:rsidRPr="00F13073" w:rsidRDefault="00DD41BB" w:rsidP="008B4C50">
      <w:pPr>
        <w:pStyle w:val="a4"/>
        <w:widowControl/>
        <w:spacing w:after="0"/>
        <w:rPr>
          <w:rStyle w:val="Char"/>
        </w:rPr>
      </w:pPr>
      <w:r w:rsidRPr="00F13073">
        <w:rPr>
          <w:rStyle w:val="Char"/>
        </w:rPr>
        <w:t xml:space="preserve">Po podaniu dożylnym </w:t>
      </w:r>
      <w:r w:rsidR="0075056A" w:rsidRPr="00F13073">
        <w:rPr>
          <w:rStyle w:val="Char"/>
        </w:rPr>
        <w:t xml:space="preserve">tocilizumab </w:t>
      </w:r>
      <w:r w:rsidRPr="00F13073">
        <w:rPr>
          <w:rStyle w:val="Char"/>
        </w:rPr>
        <w:t xml:space="preserve">podlega dwufazowej eliminacji z krążenia. Całkowity klirens </w:t>
      </w:r>
      <w:r w:rsidR="0075056A" w:rsidRPr="00F13073">
        <w:rPr>
          <w:rStyle w:val="Char"/>
        </w:rPr>
        <w:t xml:space="preserve">tocilizumabu </w:t>
      </w:r>
      <w:r w:rsidRPr="00F13073">
        <w:rPr>
          <w:rStyle w:val="Char"/>
        </w:rPr>
        <w:t xml:space="preserve">był zależny od stężenia i jest sumą klirensów liniowego i nieliniowego. Klirens liniowy oceniano jako jeden z parametrów analizy farmakokinetyki populacyjnej, a jego wartość wyniosła 9,5 mL/h. W przypadku niskich stężeń </w:t>
      </w:r>
      <w:r w:rsidR="0075056A" w:rsidRPr="00F13073">
        <w:rPr>
          <w:rStyle w:val="Char"/>
        </w:rPr>
        <w:t xml:space="preserve">tocilizumabu </w:t>
      </w:r>
      <w:r w:rsidRPr="00F13073">
        <w:rPr>
          <w:rStyle w:val="Char"/>
        </w:rPr>
        <w:t xml:space="preserve">główną rolę odgrywa zależny od stężenia klirens nieliniowy. Z chwilą gdy dojdzie do wysycenia szlaku klirensu nieliniowego (co ma miejsce przy wyższych stężeniach </w:t>
      </w:r>
      <w:r w:rsidR="00EF51E7" w:rsidRPr="00F13073">
        <w:rPr>
          <w:rStyle w:val="Char"/>
        </w:rPr>
        <w:t>tocilizumabu</w:t>
      </w:r>
      <w:r w:rsidRPr="00F13073">
        <w:rPr>
          <w:rStyle w:val="Char"/>
        </w:rPr>
        <w:t>), klirens staje się liniowy.</w:t>
      </w:r>
    </w:p>
    <w:p w14:paraId="64FF8C78" w14:textId="77777777" w:rsidR="00DD41BB" w:rsidRPr="00F13073" w:rsidRDefault="00DD41BB" w:rsidP="008B4C50">
      <w:pPr>
        <w:pStyle w:val="a4"/>
        <w:widowControl/>
        <w:spacing w:after="0"/>
      </w:pPr>
    </w:p>
    <w:p w14:paraId="3ABCC584" w14:textId="686F9622" w:rsidR="00DD41BB" w:rsidRPr="00F13073" w:rsidRDefault="00DD41BB" w:rsidP="008B4C50">
      <w:pPr>
        <w:pStyle w:val="a4"/>
        <w:widowControl/>
        <w:spacing w:after="0"/>
        <w:rPr>
          <w:rStyle w:val="Char"/>
        </w:rPr>
      </w:pPr>
      <w:r w:rsidRPr="00F13073">
        <w:rPr>
          <w:rStyle w:val="Char"/>
        </w:rPr>
        <w:t>Okres półtrwania (t</w:t>
      </w:r>
      <w:r w:rsidRPr="00F13073">
        <w:rPr>
          <w:rStyle w:val="Char"/>
          <w:vertAlign w:val="subscript"/>
        </w:rPr>
        <w:t>1/2</w:t>
      </w:r>
      <w:r w:rsidRPr="00F13073">
        <w:rPr>
          <w:rStyle w:val="Char"/>
        </w:rPr>
        <w:t xml:space="preserve">) </w:t>
      </w:r>
      <w:r w:rsidR="00EF51E7" w:rsidRPr="00F13073">
        <w:rPr>
          <w:rStyle w:val="Char"/>
        </w:rPr>
        <w:t xml:space="preserve">tocilizumabu </w:t>
      </w:r>
      <w:r w:rsidRPr="00F13073">
        <w:rPr>
          <w:rStyle w:val="Char"/>
        </w:rPr>
        <w:t>jest zależny od stężenia. W stanie równowagi w przypadku dawki 8 mg/kg mc. podawanej co 4 tygodnie efektywny t</w:t>
      </w:r>
      <w:r w:rsidRPr="00F13073">
        <w:rPr>
          <w:rStyle w:val="Char"/>
          <w:vertAlign w:val="subscript"/>
        </w:rPr>
        <w:t>1/2</w:t>
      </w:r>
      <w:r w:rsidRPr="00F13073">
        <w:rPr>
          <w:rStyle w:val="Char"/>
          <w:sz w:val="14"/>
          <w:szCs w:val="14"/>
        </w:rPr>
        <w:t xml:space="preserve"> </w:t>
      </w:r>
      <w:r w:rsidRPr="00F13073">
        <w:rPr>
          <w:rStyle w:val="Char"/>
        </w:rPr>
        <w:t>ulega zmniejszeniu wraz z malejącymi stężeniami podczas przerwy pomiędzy kolejnymi podaniami leku i wynosi od 18 do 6 dni.</w:t>
      </w:r>
    </w:p>
    <w:p w14:paraId="76F21E55" w14:textId="77777777" w:rsidR="00DD41BB" w:rsidRPr="00F13073" w:rsidRDefault="00DD41BB" w:rsidP="008B4C50">
      <w:pPr>
        <w:pStyle w:val="a4"/>
        <w:widowControl/>
        <w:spacing w:after="0"/>
      </w:pPr>
    </w:p>
    <w:p w14:paraId="4182AAB9" w14:textId="77777777" w:rsidR="00DD41BB" w:rsidRPr="00F13073" w:rsidRDefault="00DD41BB" w:rsidP="008B4C50">
      <w:pPr>
        <w:pStyle w:val="a4"/>
        <w:widowControl/>
        <w:spacing w:after="0"/>
      </w:pPr>
      <w:r w:rsidRPr="00F13073">
        <w:rPr>
          <w:rStyle w:val="Char"/>
          <w:u w:val="single"/>
        </w:rPr>
        <w:t>Liniowość</w:t>
      </w:r>
    </w:p>
    <w:p w14:paraId="4CDC612F" w14:textId="1E2FD177" w:rsidR="00DD41BB" w:rsidRPr="00F13073" w:rsidRDefault="00DD41BB" w:rsidP="000F347D">
      <w:pPr>
        <w:pStyle w:val="a4"/>
        <w:widowControl/>
        <w:spacing w:after="0"/>
        <w:rPr>
          <w:rStyle w:val="Char"/>
        </w:rPr>
      </w:pPr>
      <w:r w:rsidRPr="00F13073">
        <w:rPr>
          <w:rStyle w:val="Char"/>
        </w:rPr>
        <w:t xml:space="preserve">Parametry farmakokinetyczne </w:t>
      </w:r>
      <w:r w:rsidR="00EF51E7" w:rsidRPr="00F13073">
        <w:rPr>
          <w:rStyle w:val="Char"/>
        </w:rPr>
        <w:t xml:space="preserve">tocilizumabu </w:t>
      </w:r>
      <w:r w:rsidRPr="00F13073">
        <w:rPr>
          <w:rStyle w:val="Char"/>
        </w:rPr>
        <w:t>nie zmieniały się w czasie. W przypadku dawek 4 i 8 mg/kg mc. podawanych raz na cztery tygodnie obserwowano większe niż proporcjonalne do dawki zwiększenie powierzchni pola pod krzywą (AUC) i stężenia C</w:t>
      </w:r>
      <w:r w:rsidRPr="00F13073">
        <w:rPr>
          <w:rStyle w:val="Char"/>
          <w:vertAlign w:val="subscript"/>
        </w:rPr>
        <w:t>min</w:t>
      </w:r>
      <w:r w:rsidRPr="00F13073">
        <w:rPr>
          <w:rStyle w:val="Char"/>
        </w:rPr>
        <w:t>. Stężenie maksymalne (C</w:t>
      </w:r>
      <w:r w:rsidRPr="00F13073">
        <w:rPr>
          <w:rStyle w:val="Char"/>
          <w:vertAlign w:val="subscript"/>
        </w:rPr>
        <w:t>max</w:t>
      </w:r>
      <w:r w:rsidRPr="00F13073">
        <w:rPr>
          <w:rStyle w:val="Char"/>
        </w:rPr>
        <w:t>) rosło proporcjonalnie do dawki. W stanie równowagi przewidywane wartości AUC</w:t>
      </w:r>
      <w:r w:rsidR="000F347D" w:rsidRPr="00F13073">
        <w:rPr>
          <w:rStyle w:val="Char"/>
        </w:rPr>
        <w:t> </w:t>
      </w:r>
      <w:r w:rsidRPr="00F13073">
        <w:rPr>
          <w:rStyle w:val="Char"/>
        </w:rPr>
        <w:t>i C</w:t>
      </w:r>
      <w:r w:rsidRPr="00F13073">
        <w:rPr>
          <w:rStyle w:val="Char"/>
          <w:vertAlign w:val="subscript"/>
        </w:rPr>
        <w:t>min</w:t>
      </w:r>
      <w:r w:rsidRPr="00F13073">
        <w:rPr>
          <w:rStyle w:val="Char"/>
        </w:rPr>
        <w:t xml:space="preserve"> były odpowiednio 3,2 raza i 30 razy wyższe dla dawki 8 mg/kg mc. w porównaniu do dawki 4</w:t>
      </w:r>
      <w:r w:rsidR="000F347D" w:rsidRPr="00F13073">
        <w:rPr>
          <w:rStyle w:val="Char"/>
        </w:rPr>
        <w:t> </w:t>
      </w:r>
      <w:r w:rsidRPr="00F13073">
        <w:rPr>
          <w:rStyle w:val="Char"/>
        </w:rPr>
        <w:t>mg/kg mc.</w:t>
      </w:r>
    </w:p>
    <w:p w14:paraId="3D892A15" w14:textId="77777777" w:rsidR="00DD41BB" w:rsidRPr="00F13073" w:rsidRDefault="00DD41BB" w:rsidP="008B4C50">
      <w:pPr>
        <w:pStyle w:val="a4"/>
        <w:widowControl/>
        <w:spacing w:after="0"/>
      </w:pPr>
    </w:p>
    <w:p w14:paraId="52203195" w14:textId="77777777" w:rsidR="00DD41BB" w:rsidRPr="00F13073" w:rsidRDefault="00DD41BB" w:rsidP="008B4C50">
      <w:pPr>
        <w:pStyle w:val="a4"/>
        <w:widowControl/>
        <w:spacing w:after="0"/>
      </w:pPr>
      <w:r w:rsidRPr="00F13073">
        <w:rPr>
          <w:rStyle w:val="Char"/>
          <w:u w:val="single"/>
        </w:rPr>
        <w:t>Stosowanie podskórne</w:t>
      </w:r>
    </w:p>
    <w:p w14:paraId="381B05AF" w14:textId="7834B97F" w:rsidR="00DD41BB" w:rsidRPr="00F13073" w:rsidRDefault="00DD41BB" w:rsidP="008B4C50">
      <w:pPr>
        <w:pStyle w:val="a4"/>
        <w:widowControl/>
        <w:spacing w:after="0"/>
        <w:rPr>
          <w:rStyle w:val="Char"/>
        </w:rPr>
      </w:pPr>
      <w:r w:rsidRPr="00F13073">
        <w:rPr>
          <w:rStyle w:val="Char"/>
        </w:rPr>
        <w:t xml:space="preserve">Właściwości farmakokinetyczne </w:t>
      </w:r>
      <w:r w:rsidR="00EF51E7" w:rsidRPr="00F13073">
        <w:rPr>
          <w:rStyle w:val="Char"/>
        </w:rPr>
        <w:t xml:space="preserve">tocilizumabu </w:t>
      </w:r>
      <w:r w:rsidRPr="00F13073">
        <w:rPr>
          <w:rStyle w:val="Char"/>
        </w:rPr>
        <w:t xml:space="preserve">określono, stosując metody analizy farmakokinetyki populacyjnej, na podstawie zgromadzonych w bazie danych 3552 pacjentów z RZS, którzy </w:t>
      </w:r>
      <w:r w:rsidRPr="00F13073">
        <w:rPr>
          <w:rStyle w:val="Char"/>
        </w:rPr>
        <w:lastRenderedPageBreak/>
        <w:t>otrzymywali tocilizumab podskórnie w dawce 162 mg co tydzień, 162 mg podskórnie co drugi tydzień i 4 lub 8 mg/kg mc. dożylnie co 4 tygodnie, w okresie 24 tygodni.</w:t>
      </w:r>
    </w:p>
    <w:p w14:paraId="7FB5DB45" w14:textId="77777777" w:rsidR="00DD41BB" w:rsidRPr="00F13073" w:rsidRDefault="00DD41BB" w:rsidP="008B4C50">
      <w:pPr>
        <w:pStyle w:val="a4"/>
        <w:widowControl/>
        <w:spacing w:after="0"/>
      </w:pPr>
    </w:p>
    <w:p w14:paraId="7EA9D7F4" w14:textId="457F234E" w:rsidR="00DD41BB" w:rsidRPr="00F13073" w:rsidRDefault="00DD41BB" w:rsidP="008B4C50">
      <w:pPr>
        <w:pStyle w:val="a4"/>
        <w:widowControl/>
        <w:spacing w:after="0"/>
        <w:rPr>
          <w:rStyle w:val="Char"/>
        </w:rPr>
      </w:pPr>
      <w:r w:rsidRPr="00F13073">
        <w:rPr>
          <w:rStyle w:val="Char"/>
        </w:rPr>
        <w:t xml:space="preserve">Parametry farmakokinetyczne </w:t>
      </w:r>
      <w:r w:rsidR="00EF51E7" w:rsidRPr="00F13073">
        <w:rPr>
          <w:rStyle w:val="Char"/>
        </w:rPr>
        <w:t xml:space="preserve">tocilizumabu </w:t>
      </w:r>
      <w:r w:rsidRPr="00F13073">
        <w:rPr>
          <w:rStyle w:val="Char"/>
        </w:rPr>
        <w:t>nie zmieniały się w czasie. Dla cotygodniowej dawki 162 mg przewidywane średnie (± odchylenie standardowe) w stanie równowagi AUC</w:t>
      </w:r>
      <w:r w:rsidRPr="00F13073">
        <w:rPr>
          <w:rStyle w:val="Char"/>
          <w:vertAlign w:val="subscript"/>
        </w:rPr>
        <w:t>1week</w:t>
      </w:r>
      <w:r w:rsidRPr="00F13073">
        <w:rPr>
          <w:rStyle w:val="Char"/>
        </w:rPr>
        <w:t>, C</w:t>
      </w:r>
      <w:r w:rsidRPr="00F13073">
        <w:rPr>
          <w:rStyle w:val="Char"/>
          <w:vertAlign w:val="subscript"/>
        </w:rPr>
        <w:t>min</w:t>
      </w:r>
      <w:r w:rsidRPr="00F13073">
        <w:rPr>
          <w:rStyle w:val="Char"/>
        </w:rPr>
        <w:t xml:space="preserve"> oraz C</w:t>
      </w:r>
      <w:r w:rsidRPr="00F13073">
        <w:rPr>
          <w:rStyle w:val="Char"/>
          <w:vertAlign w:val="subscript"/>
        </w:rPr>
        <w:t>max</w:t>
      </w:r>
      <w:r w:rsidRPr="00F13073">
        <w:rPr>
          <w:rStyle w:val="Char"/>
        </w:rPr>
        <w:t xml:space="preserve"> dla </w:t>
      </w:r>
      <w:r w:rsidR="00EF51E7" w:rsidRPr="00F13073">
        <w:rPr>
          <w:rStyle w:val="Char"/>
        </w:rPr>
        <w:t xml:space="preserve">tocilizumabu </w:t>
      </w:r>
      <w:r w:rsidRPr="00F13073">
        <w:rPr>
          <w:rStyle w:val="Char"/>
        </w:rPr>
        <w:t>wynosiły odpowiednio 7970 ± 3432</w:t>
      </w:r>
      <w:r w:rsidR="00D040F4" w:rsidRPr="00F13073">
        <w:rPr>
          <w:rStyle w:val="Char"/>
        </w:rPr>
        <w:t> </w:t>
      </w:r>
      <w:r w:rsidRPr="00F13073">
        <w:rPr>
          <w:rStyle w:val="Char"/>
        </w:rPr>
        <w:t>μg</w:t>
      </w:r>
      <w:r w:rsidR="00D47A0F" w:rsidRPr="00F13073">
        <w:t>•</w:t>
      </w:r>
      <w:r w:rsidRPr="00F13073">
        <w:rPr>
          <w:rStyle w:val="Char"/>
        </w:rPr>
        <w:t>h/mL, 43,0 ± 19,8 μg/mL i 49,8 ± 21,0 μg/mL. Współczynniki akumulacji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wyniosły odpowiednio 6,32, 6,30 i 5,27. Stan równowagi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osiągnięto po 12 tygodniach.</w:t>
      </w:r>
    </w:p>
    <w:p w14:paraId="54CEAF70" w14:textId="77777777" w:rsidR="00DD41BB" w:rsidRPr="00F13073" w:rsidRDefault="00DD41BB" w:rsidP="008B4C50">
      <w:pPr>
        <w:pStyle w:val="a4"/>
        <w:widowControl/>
        <w:spacing w:after="0"/>
      </w:pPr>
    </w:p>
    <w:p w14:paraId="182D4903" w14:textId="2666039B" w:rsidR="00DD41BB" w:rsidRPr="00F13073" w:rsidRDefault="00DD41BB" w:rsidP="008B4C50">
      <w:pPr>
        <w:pStyle w:val="a4"/>
        <w:widowControl/>
        <w:spacing w:after="0"/>
        <w:rPr>
          <w:rStyle w:val="Char"/>
        </w:rPr>
      </w:pPr>
      <w:r w:rsidRPr="00F13073">
        <w:rPr>
          <w:rStyle w:val="Char"/>
        </w:rPr>
        <w:t>Dla podawanej co drugi tydzień dawki 162 mg przewidywane średnie (± odchylenie standardowe) w stanie równowagi AUC</w:t>
      </w:r>
      <w:r w:rsidRPr="00F13073">
        <w:rPr>
          <w:rStyle w:val="Char"/>
          <w:vertAlign w:val="subscript"/>
        </w:rPr>
        <w:t>2week</w:t>
      </w:r>
      <w:r w:rsidRPr="00F13073">
        <w:rPr>
          <w:rStyle w:val="Char"/>
        </w:rPr>
        <w:t>, C</w:t>
      </w:r>
      <w:r w:rsidRPr="00F13073">
        <w:rPr>
          <w:rStyle w:val="Char"/>
          <w:vertAlign w:val="subscript"/>
        </w:rPr>
        <w:t>min</w:t>
      </w:r>
      <w:r w:rsidRPr="00F13073">
        <w:rPr>
          <w:rStyle w:val="Char"/>
        </w:rPr>
        <w:t xml:space="preserve"> oraz C</w:t>
      </w:r>
      <w:r w:rsidRPr="00F13073">
        <w:rPr>
          <w:rStyle w:val="Char"/>
          <w:vertAlign w:val="subscript"/>
        </w:rPr>
        <w:t>max</w:t>
      </w:r>
      <w:r w:rsidRPr="00F13073">
        <w:rPr>
          <w:rStyle w:val="Char"/>
        </w:rPr>
        <w:t xml:space="preserve"> dla </w:t>
      </w:r>
      <w:r w:rsidR="00E21EFB" w:rsidRPr="00F13073">
        <w:rPr>
          <w:rStyle w:val="Char"/>
        </w:rPr>
        <w:t xml:space="preserve">tocilizumabu </w:t>
      </w:r>
      <w:r w:rsidRPr="00F13073">
        <w:rPr>
          <w:rStyle w:val="Char"/>
        </w:rPr>
        <w:t xml:space="preserve">wynosiły odpowiednio 3430 ± 2660 </w:t>
      </w:r>
      <w:r w:rsidR="005838BB" w:rsidRPr="00F13073">
        <w:rPr>
          <w:rStyle w:val="Char"/>
        </w:rPr>
        <w:t>μg•h</w:t>
      </w:r>
      <w:r w:rsidRPr="00F13073">
        <w:rPr>
          <w:rStyle w:val="Char"/>
        </w:rPr>
        <w:t>/mL, 5,7 ± 6,8 μg/mL i 13,2 ± 8,8 μg/mL. Współczynniki akumulacji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wyniosły odpowiednio 2,67, 6,02 oraz 2,12. Stan równowagi dla AUC i C</w:t>
      </w:r>
      <w:r w:rsidRPr="00F13073">
        <w:rPr>
          <w:rStyle w:val="Char"/>
          <w:vertAlign w:val="subscript"/>
        </w:rPr>
        <w:t>min</w:t>
      </w:r>
      <w:r w:rsidRPr="00F13073">
        <w:rPr>
          <w:rStyle w:val="Char"/>
        </w:rPr>
        <w:t xml:space="preserve"> osiągnięto po 12 tygodniach, a dla C</w:t>
      </w:r>
      <w:r w:rsidRPr="00F13073">
        <w:rPr>
          <w:rStyle w:val="Char"/>
          <w:vertAlign w:val="subscript"/>
        </w:rPr>
        <w:t>max</w:t>
      </w:r>
      <w:r w:rsidRPr="00F13073">
        <w:rPr>
          <w:rStyle w:val="Char"/>
        </w:rPr>
        <w:t xml:space="preserve"> — po 10 tygodniach.</w:t>
      </w:r>
    </w:p>
    <w:p w14:paraId="1C56AC18" w14:textId="77777777" w:rsidR="00DD41BB" w:rsidRPr="00F13073" w:rsidRDefault="00DD41BB" w:rsidP="008B4C50">
      <w:pPr>
        <w:pStyle w:val="a4"/>
        <w:widowControl/>
        <w:spacing w:after="0"/>
      </w:pPr>
    </w:p>
    <w:p w14:paraId="4414CA71" w14:textId="77777777" w:rsidR="00DD41BB" w:rsidRPr="00F13073" w:rsidRDefault="00DD41BB" w:rsidP="008B4C50">
      <w:pPr>
        <w:pStyle w:val="a4"/>
        <w:widowControl/>
        <w:spacing w:after="0"/>
      </w:pPr>
      <w:r w:rsidRPr="00F13073">
        <w:rPr>
          <w:rStyle w:val="Char"/>
          <w:u w:val="single"/>
        </w:rPr>
        <w:t>Wchłanianie</w:t>
      </w:r>
    </w:p>
    <w:p w14:paraId="6CA733F4" w14:textId="32A5271A" w:rsidR="00DD41BB" w:rsidRPr="00F13073" w:rsidRDefault="00DD41BB" w:rsidP="008B4C50">
      <w:pPr>
        <w:pStyle w:val="a4"/>
        <w:widowControl/>
        <w:spacing w:after="0"/>
        <w:rPr>
          <w:rStyle w:val="Char"/>
        </w:rPr>
      </w:pPr>
      <w:r w:rsidRPr="00F13073">
        <w:rPr>
          <w:rStyle w:val="Char"/>
        </w:rPr>
        <w:t xml:space="preserve">Po podaniu podskórnym </w:t>
      </w:r>
      <w:r w:rsidR="00AE3E88" w:rsidRPr="00F13073">
        <w:rPr>
          <w:rStyle w:val="Char"/>
        </w:rPr>
        <w:t xml:space="preserve">tocilizumabu </w:t>
      </w:r>
      <w:r w:rsidRPr="00F13073">
        <w:rPr>
          <w:rStyle w:val="Char"/>
        </w:rPr>
        <w:t>chorym na RZS czas do osiągnięcia maksymalnego stężenia leku we krwi (t</w:t>
      </w:r>
      <w:r w:rsidRPr="00F13073">
        <w:rPr>
          <w:rStyle w:val="Char"/>
          <w:vertAlign w:val="subscript"/>
        </w:rPr>
        <w:t>max</w:t>
      </w:r>
      <w:r w:rsidRPr="00F13073">
        <w:rPr>
          <w:rStyle w:val="Char"/>
        </w:rPr>
        <w:t>) wynosił 2,8 dnia. Biodostępność w przypadku postaci leku podawanej podskórnie wyniosła 79%.</w:t>
      </w:r>
    </w:p>
    <w:p w14:paraId="65810ED9" w14:textId="77777777" w:rsidR="00DD41BB" w:rsidRPr="00F13073" w:rsidRDefault="00DD41BB" w:rsidP="008B4C50">
      <w:pPr>
        <w:pStyle w:val="a4"/>
        <w:widowControl/>
        <w:spacing w:after="0"/>
      </w:pPr>
    </w:p>
    <w:p w14:paraId="23239ABD" w14:textId="77777777" w:rsidR="00DD41BB" w:rsidRPr="00F13073" w:rsidRDefault="00DD41BB" w:rsidP="008B4C50">
      <w:pPr>
        <w:pStyle w:val="a4"/>
        <w:widowControl/>
        <w:spacing w:after="0"/>
      </w:pPr>
      <w:r w:rsidRPr="00F13073">
        <w:rPr>
          <w:rStyle w:val="Char"/>
          <w:u w:val="single"/>
        </w:rPr>
        <w:t>Eliminacja</w:t>
      </w:r>
    </w:p>
    <w:p w14:paraId="27F3FA76" w14:textId="77777777" w:rsidR="00DD41BB" w:rsidRPr="00F13073" w:rsidRDefault="00DD41BB" w:rsidP="008B4C50">
      <w:pPr>
        <w:pStyle w:val="a4"/>
        <w:widowControl/>
        <w:spacing w:after="0"/>
        <w:rPr>
          <w:rStyle w:val="Char"/>
        </w:rPr>
      </w:pPr>
      <w:r w:rsidRPr="00F13073">
        <w:rPr>
          <w:rStyle w:val="Char"/>
        </w:rPr>
        <w:t>W przypadku podawania podskórnego, zależny od stężenia jawny okres półtrwania t</w:t>
      </w:r>
      <w:r w:rsidRPr="00F13073">
        <w:rPr>
          <w:rStyle w:val="Char"/>
          <w:vertAlign w:val="subscript"/>
        </w:rPr>
        <w:t>1/2</w:t>
      </w:r>
      <w:r w:rsidRPr="00F13073">
        <w:rPr>
          <w:rStyle w:val="Char"/>
          <w:sz w:val="14"/>
          <w:szCs w:val="14"/>
        </w:rPr>
        <w:t xml:space="preserve"> </w:t>
      </w:r>
      <w:r w:rsidRPr="00F13073">
        <w:rPr>
          <w:rStyle w:val="Char"/>
        </w:rPr>
        <w:t>wynosi do 13 dni dla dawki 162 mg podawanej co tydzień i 5 dni dla dawki 162 mg podawanej co drugi tydzień pacjentom z RZS w stanie równowagi.</w:t>
      </w:r>
    </w:p>
    <w:p w14:paraId="55DC4460" w14:textId="77777777" w:rsidR="00DD41BB" w:rsidRPr="00F13073" w:rsidRDefault="00DD41BB" w:rsidP="008B4C50">
      <w:pPr>
        <w:pStyle w:val="a4"/>
        <w:widowControl/>
        <w:spacing w:after="0"/>
      </w:pPr>
    </w:p>
    <w:p w14:paraId="7E3809F6" w14:textId="77777777" w:rsidR="00DD41BB" w:rsidRPr="00F13073" w:rsidRDefault="00DD41BB" w:rsidP="008B4C50">
      <w:pPr>
        <w:pStyle w:val="a4"/>
        <w:widowControl/>
        <w:spacing w:after="0"/>
      </w:pPr>
      <w:r w:rsidRPr="00F13073">
        <w:rPr>
          <w:rStyle w:val="Char"/>
          <w:u w:val="single"/>
        </w:rPr>
        <w:t>uMIZS</w:t>
      </w:r>
    </w:p>
    <w:p w14:paraId="46E32292" w14:textId="77777777" w:rsidR="00DD41BB" w:rsidRPr="00F13073" w:rsidRDefault="00DD41BB" w:rsidP="008B4C50">
      <w:pPr>
        <w:pStyle w:val="a4"/>
        <w:widowControl/>
        <w:spacing w:after="0"/>
      </w:pPr>
      <w:r w:rsidRPr="00F13073">
        <w:rPr>
          <w:rStyle w:val="Char"/>
          <w:u w:val="single"/>
        </w:rPr>
        <w:t>Stosowanie podskórne</w:t>
      </w:r>
    </w:p>
    <w:p w14:paraId="12B20CCA" w14:textId="0355D866" w:rsidR="00DD41BB" w:rsidRPr="00F13073" w:rsidRDefault="00DD41BB" w:rsidP="008B4C50">
      <w:pPr>
        <w:pStyle w:val="a4"/>
        <w:widowControl/>
        <w:spacing w:after="0"/>
        <w:rPr>
          <w:rStyle w:val="Char"/>
        </w:rPr>
      </w:pPr>
      <w:r w:rsidRPr="00F13073">
        <w:rPr>
          <w:rStyle w:val="Char"/>
        </w:rPr>
        <w:t xml:space="preserve">Farmakokinetyka </w:t>
      </w:r>
      <w:r w:rsidR="00AE3E88" w:rsidRPr="00F13073">
        <w:rPr>
          <w:rStyle w:val="Char"/>
        </w:rPr>
        <w:t xml:space="preserve">tocilizumabu </w:t>
      </w:r>
      <w:r w:rsidRPr="00F13073">
        <w:rPr>
          <w:rStyle w:val="Char"/>
        </w:rPr>
        <w:t xml:space="preserve">u pacjentów z uMIZS była określona na podstawie populacyjnej analizy farmakokinetyki z wykorzystaniem danych od 140 chorych leczonych dawką 8 mg/kg mc. podawaną dożylnie co 2 tygodnie (pacjenci o masie ciała ≥ 30 kg), dawką 12 mg/kg mc. podawaną dożylnie co 2 tygodnie (pacjenci o masie ciała poniżej 30 kg), dawką 162 mg podawaną podskórnie co tydzień (pacjenci o masie ciała </w:t>
      </w:r>
      <w:r w:rsidR="00137E8C" w:rsidRPr="00F13073">
        <w:rPr>
          <w:rStyle w:val="Char"/>
        </w:rPr>
        <w:t>≥</w:t>
      </w:r>
      <w:r w:rsidRPr="00F13073">
        <w:rPr>
          <w:rStyle w:val="Char"/>
        </w:rPr>
        <w:t xml:space="preserve"> 30 kg), dawką 162 mg podawaną podskórnie co 10 dni lub co 2 tygodnie (pacjenci o masie ciała poniżej 30 kg).</w:t>
      </w:r>
    </w:p>
    <w:p w14:paraId="53A15B60" w14:textId="77777777" w:rsidR="00DD41BB" w:rsidRPr="00F13073" w:rsidRDefault="00DD41BB" w:rsidP="008B4C50">
      <w:pPr>
        <w:pStyle w:val="a4"/>
        <w:widowControl/>
        <w:spacing w:after="0"/>
      </w:pPr>
    </w:p>
    <w:p w14:paraId="703B6257" w14:textId="4036B23D" w:rsidR="00DD41BB" w:rsidRPr="00F13073" w:rsidRDefault="00DD41BB" w:rsidP="008B4C50">
      <w:pPr>
        <w:pStyle w:val="a4"/>
        <w:widowControl/>
        <w:spacing w:after="0"/>
      </w:pPr>
      <w:r w:rsidRPr="00F13073">
        <w:rPr>
          <w:rStyle w:val="Char"/>
        </w:rPr>
        <w:t xml:space="preserve">Dostępne są ograniczone dane dotyczące ekspozycji na lek po podskórnym podaniu </w:t>
      </w:r>
      <w:r w:rsidR="00AE3E88" w:rsidRPr="00F13073">
        <w:rPr>
          <w:rStyle w:val="Char"/>
        </w:rPr>
        <w:t xml:space="preserve">tocilizumabu </w:t>
      </w:r>
      <w:r w:rsidRPr="00F13073">
        <w:rPr>
          <w:rStyle w:val="Char"/>
        </w:rPr>
        <w:t xml:space="preserve"> pacjentom z uMIZS w wieku poniżej 2 lat o masie ciała mniejszej niż 10 kg.</w:t>
      </w:r>
    </w:p>
    <w:p w14:paraId="31389619" w14:textId="4D7EF7AD" w:rsidR="00DD41BB" w:rsidRPr="00F13073" w:rsidRDefault="00DD41BB" w:rsidP="008B4C50">
      <w:pPr>
        <w:pStyle w:val="a4"/>
        <w:widowControl/>
        <w:spacing w:after="0"/>
      </w:pPr>
      <w:r w:rsidRPr="00F13073">
        <w:rPr>
          <w:rStyle w:val="Char"/>
        </w:rPr>
        <w:t xml:space="preserve">Masa ciała pacjentów musi wynosić minimum 10 kg w chwili otrzymania </w:t>
      </w:r>
      <w:r w:rsidR="00AE3E88" w:rsidRPr="00F13073">
        <w:rPr>
          <w:rStyle w:val="Char"/>
        </w:rPr>
        <w:t>tocilizumabu</w:t>
      </w:r>
      <w:r w:rsidRPr="00F13073">
        <w:rPr>
          <w:rStyle w:val="Char"/>
        </w:rPr>
        <w:t xml:space="preserve"> w postaci podawanej podskórnie (patrz punkt 4.2).</w:t>
      </w:r>
    </w:p>
    <w:p w14:paraId="62E30589" w14:textId="77777777" w:rsidR="0086283E" w:rsidRPr="00F13073" w:rsidRDefault="0086283E" w:rsidP="008B4C50"/>
    <w:p w14:paraId="3A584B69" w14:textId="77777777" w:rsidR="001E0975" w:rsidRPr="00F13073" w:rsidRDefault="00611033" w:rsidP="008B4C50">
      <w:pPr>
        <w:keepNext/>
        <w:ind w:left="1134" w:hanging="1134"/>
        <w:rPr>
          <w:i/>
          <w:iCs/>
        </w:rPr>
      </w:pPr>
      <w:r w:rsidRPr="00F13073">
        <w:rPr>
          <w:i/>
          <w:iCs/>
        </w:rPr>
        <w:t>Tab</w:t>
      </w:r>
      <w:r w:rsidR="00F11502" w:rsidRPr="00F13073">
        <w:rPr>
          <w:i/>
          <w:iCs/>
        </w:rPr>
        <w:t>e</w:t>
      </w:r>
      <w:r w:rsidRPr="00F13073">
        <w:rPr>
          <w:i/>
          <w:iCs/>
        </w:rPr>
        <w:t>l</w:t>
      </w:r>
      <w:r w:rsidR="00036261" w:rsidRPr="00F13073">
        <w:rPr>
          <w:i/>
          <w:iCs/>
        </w:rPr>
        <w:t>a</w:t>
      </w:r>
      <w:r w:rsidRPr="00F13073">
        <w:rPr>
          <w:i/>
          <w:iCs/>
        </w:rPr>
        <w:t xml:space="preserve"> 8.</w:t>
      </w:r>
      <w:r w:rsidR="0086283E" w:rsidRPr="00F13073">
        <w:rPr>
          <w:i/>
          <w:iCs/>
        </w:rPr>
        <w:tab/>
      </w:r>
      <w:r w:rsidR="00036261" w:rsidRPr="00F13073">
        <w:rPr>
          <w:rStyle w:val="Char"/>
          <w:rFonts w:eastAsia="DengXian"/>
          <w:i/>
          <w:iCs/>
        </w:rPr>
        <w:t>Przewidywana średnia wartość ± SD parametrów farmakokinetycznych w stanie stacjonarnym po podaniu podskórnym w uMIZS</w:t>
      </w:r>
    </w:p>
    <w:p w14:paraId="6851D189" w14:textId="77777777" w:rsidR="0086283E" w:rsidRPr="00F13073" w:rsidRDefault="0086283E"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3261"/>
        <w:gridCol w:w="2693"/>
        <w:gridCol w:w="2742"/>
      </w:tblGrid>
      <w:tr w:rsidR="004F0936" w:rsidRPr="00F13073" w14:paraId="446DE175" w14:textId="77777777" w:rsidTr="000F347D">
        <w:trPr>
          <w:cantSplit/>
          <w:tblHeader/>
        </w:trPr>
        <w:tc>
          <w:tcPr>
            <w:tcW w:w="3261" w:type="dxa"/>
            <w:tcBorders>
              <w:top w:val="single" w:sz="4" w:space="0" w:color="auto"/>
              <w:left w:val="single" w:sz="4" w:space="0" w:color="auto"/>
            </w:tcBorders>
          </w:tcPr>
          <w:p w14:paraId="25E05F2B" w14:textId="1727D490" w:rsidR="004F0936" w:rsidRPr="00F13073" w:rsidRDefault="004F0936" w:rsidP="008B4C50">
            <w:pPr>
              <w:keepNext/>
              <w:suppressAutoHyphens/>
              <w:rPr>
                <w:b/>
                <w:bCs/>
                <w:sz w:val="20"/>
                <w:szCs w:val="20"/>
              </w:rPr>
            </w:pPr>
            <w:r w:rsidRPr="00F13073">
              <w:rPr>
                <w:rStyle w:val="Other"/>
                <w:rFonts w:eastAsia="DengXian"/>
                <w:b/>
                <w:bCs/>
                <w:sz w:val="20"/>
                <w:szCs w:val="20"/>
              </w:rPr>
              <w:t xml:space="preserve">Parametr farmakokinetyczny </w:t>
            </w:r>
            <w:r w:rsidR="00B973F7" w:rsidRPr="00F13073">
              <w:rPr>
                <w:rStyle w:val="Other"/>
                <w:rFonts w:eastAsia="DengXian"/>
                <w:b/>
                <w:bCs/>
                <w:sz w:val="20"/>
                <w:szCs w:val="20"/>
              </w:rPr>
              <w:t>tocilizumabu</w:t>
            </w:r>
          </w:p>
        </w:tc>
        <w:tc>
          <w:tcPr>
            <w:tcW w:w="2693" w:type="dxa"/>
            <w:tcBorders>
              <w:top w:val="single" w:sz="4" w:space="0" w:color="auto"/>
              <w:left w:val="single" w:sz="4" w:space="0" w:color="auto"/>
            </w:tcBorders>
          </w:tcPr>
          <w:p w14:paraId="2BAFCBC4" w14:textId="77777777" w:rsidR="004F0936" w:rsidRPr="00F13073" w:rsidRDefault="004F0936" w:rsidP="005B0B61">
            <w:pPr>
              <w:keepNext/>
              <w:suppressAutoHyphens/>
              <w:jc w:val="center"/>
              <w:rPr>
                <w:b/>
                <w:bCs/>
                <w:sz w:val="20"/>
                <w:szCs w:val="20"/>
              </w:rPr>
            </w:pPr>
            <w:r w:rsidRPr="00F13073">
              <w:rPr>
                <w:rStyle w:val="Other"/>
                <w:rFonts w:eastAsia="DengXian"/>
                <w:b/>
                <w:bCs/>
                <w:sz w:val="20"/>
                <w:szCs w:val="20"/>
              </w:rPr>
              <w:t>162 mg QW ≥ 30 kg</w:t>
            </w:r>
          </w:p>
        </w:tc>
        <w:tc>
          <w:tcPr>
            <w:tcW w:w="2742" w:type="dxa"/>
            <w:tcBorders>
              <w:top w:val="single" w:sz="4" w:space="0" w:color="auto"/>
              <w:left w:val="single" w:sz="4" w:space="0" w:color="auto"/>
              <w:right w:val="single" w:sz="4" w:space="0" w:color="auto"/>
            </w:tcBorders>
          </w:tcPr>
          <w:p w14:paraId="1228DB33" w14:textId="77777777" w:rsidR="004F0936" w:rsidRPr="00F13073" w:rsidRDefault="004F0936" w:rsidP="005B0B61">
            <w:pPr>
              <w:keepNext/>
              <w:suppressAutoHyphens/>
              <w:jc w:val="center"/>
              <w:rPr>
                <w:b/>
                <w:bCs/>
                <w:sz w:val="20"/>
                <w:szCs w:val="20"/>
              </w:rPr>
            </w:pPr>
            <w:r w:rsidRPr="00F13073">
              <w:rPr>
                <w:rStyle w:val="Other"/>
                <w:rFonts w:eastAsia="DengXian"/>
                <w:b/>
                <w:bCs/>
                <w:sz w:val="20"/>
                <w:szCs w:val="20"/>
              </w:rPr>
              <w:t>162 mg Q2W poniżej 30 kg</w:t>
            </w:r>
          </w:p>
        </w:tc>
      </w:tr>
      <w:tr w:rsidR="001E0975" w:rsidRPr="00F13073" w14:paraId="44210C35" w14:textId="77777777" w:rsidTr="000F347D">
        <w:trPr>
          <w:cantSplit/>
          <w:tblHeader/>
        </w:trPr>
        <w:tc>
          <w:tcPr>
            <w:tcW w:w="3261" w:type="dxa"/>
            <w:tcBorders>
              <w:top w:val="single" w:sz="4" w:space="0" w:color="auto"/>
              <w:left w:val="single" w:sz="4" w:space="0" w:color="auto"/>
            </w:tcBorders>
          </w:tcPr>
          <w:p w14:paraId="466F2C9B" w14:textId="77777777" w:rsidR="001E0975" w:rsidRPr="00F13073" w:rsidRDefault="00611033"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693" w:type="dxa"/>
            <w:tcBorders>
              <w:top w:val="single" w:sz="4" w:space="0" w:color="auto"/>
              <w:left w:val="single" w:sz="4" w:space="0" w:color="auto"/>
            </w:tcBorders>
          </w:tcPr>
          <w:p w14:paraId="320F0DC0" w14:textId="77777777" w:rsidR="001E0975" w:rsidRPr="00F13073" w:rsidRDefault="00611033" w:rsidP="005B0B61">
            <w:pPr>
              <w:suppressAutoHyphens/>
              <w:jc w:val="center"/>
              <w:rPr>
                <w:sz w:val="20"/>
                <w:szCs w:val="20"/>
              </w:rPr>
            </w:pPr>
            <w:r w:rsidRPr="00F13073">
              <w:rPr>
                <w:sz w:val="20"/>
                <w:szCs w:val="20"/>
              </w:rPr>
              <w:t>99</w:t>
            </w:r>
            <w:r w:rsidR="00E2129D" w:rsidRPr="00F13073">
              <w:rPr>
                <w:sz w:val="20"/>
                <w:szCs w:val="20"/>
              </w:rPr>
              <w:t>,</w:t>
            </w:r>
            <w:r w:rsidRPr="00F13073">
              <w:rPr>
                <w:sz w:val="20"/>
                <w:szCs w:val="20"/>
              </w:rPr>
              <w:t>8 ± 46</w:t>
            </w:r>
            <w:r w:rsidR="00E2129D" w:rsidRPr="00F13073">
              <w:rPr>
                <w:sz w:val="20"/>
                <w:szCs w:val="20"/>
              </w:rPr>
              <w:t>,</w:t>
            </w:r>
            <w:r w:rsidRPr="00F13073">
              <w:rPr>
                <w:sz w:val="20"/>
                <w:szCs w:val="20"/>
              </w:rPr>
              <w:t>2</w:t>
            </w:r>
          </w:p>
        </w:tc>
        <w:tc>
          <w:tcPr>
            <w:tcW w:w="2742" w:type="dxa"/>
            <w:tcBorders>
              <w:top w:val="single" w:sz="4" w:space="0" w:color="auto"/>
              <w:left w:val="single" w:sz="4" w:space="0" w:color="auto"/>
              <w:right w:val="single" w:sz="4" w:space="0" w:color="auto"/>
            </w:tcBorders>
          </w:tcPr>
          <w:p w14:paraId="068F579E" w14:textId="77777777" w:rsidR="001E0975" w:rsidRPr="00F13073" w:rsidRDefault="00611033" w:rsidP="005B0B61">
            <w:pPr>
              <w:suppressAutoHyphens/>
              <w:jc w:val="center"/>
              <w:rPr>
                <w:sz w:val="20"/>
                <w:szCs w:val="20"/>
              </w:rPr>
            </w:pPr>
            <w:r w:rsidRPr="00F13073">
              <w:rPr>
                <w:sz w:val="20"/>
                <w:szCs w:val="20"/>
              </w:rPr>
              <w:t>134 ± 58</w:t>
            </w:r>
            <w:r w:rsidR="00E2129D" w:rsidRPr="00F13073">
              <w:rPr>
                <w:sz w:val="20"/>
                <w:szCs w:val="20"/>
              </w:rPr>
              <w:t>,</w:t>
            </w:r>
            <w:r w:rsidRPr="00F13073">
              <w:rPr>
                <w:sz w:val="20"/>
                <w:szCs w:val="20"/>
              </w:rPr>
              <w:t>6</w:t>
            </w:r>
          </w:p>
        </w:tc>
      </w:tr>
      <w:tr w:rsidR="001E0975" w:rsidRPr="00F13073" w14:paraId="15907704" w14:textId="77777777" w:rsidTr="000F347D">
        <w:trPr>
          <w:cantSplit/>
          <w:tblHeader/>
        </w:trPr>
        <w:tc>
          <w:tcPr>
            <w:tcW w:w="3261" w:type="dxa"/>
            <w:tcBorders>
              <w:top w:val="single" w:sz="4" w:space="0" w:color="auto"/>
              <w:left w:val="single" w:sz="4" w:space="0" w:color="auto"/>
            </w:tcBorders>
          </w:tcPr>
          <w:p w14:paraId="42DE35DB" w14:textId="77777777" w:rsidR="001E0975" w:rsidRPr="00F13073" w:rsidRDefault="00611033" w:rsidP="008B4C50">
            <w:pPr>
              <w:suppressAutoHyphens/>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693" w:type="dxa"/>
            <w:tcBorders>
              <w:top w:val="single" w:sz="4" w:space="0" w:color="auto"/>
              <w:left w:val="single" w:sz="4" w:space="0" w:color="auto"/>
            </w:tcBorders>
          </w:tcPr>
          <w:p w14:paraId="61C4DBE9" w14:textId="77777777" w:rsidR="001E0975" w:rsidRPr="00F13073" w:rsidRDefault="00611033" w:rsidP="005B0B61">
            <w:pPr>
              <w:suppressAutoHyphens/>
              <w:jc w:val="center"/>
              <w:rPr>
                <w:sz w:val="20"/>
                <w:szCs w:val="20"/>
              </w:rPr>
            </w:pPr>
            <w:r w:rsidRPr="00F13073">
              <w:rPr>
                <w:sz w:val="20"/>
                <w:szCs w:val="20"/>
              </w:rPr>
              <w:t>79</w:t>
            </w:r>
            <w:r w:rsidR="00E2129D" w:rsidRPr="00F13073">
              <w:rPr>
                <w:sz w:val="20"/>
                <w:szCs w:val="20"/>
              </w:rPr>
              <w:t>,</w:t>
            </w:r>
            <w:r w:rsidRPr="00F13073">
              <w:rPr>
                <w:sz w:val="20"/>
                <w:szCs w:val="20"/>
              </w:rPr>
              <w:t>2 ± 35</w:t>
            </w:r>
            <w:r w:rsidR="00E2129D" w:rsidRPr="00F13073">
              <w:rPr>
                <w:sz w:val="20"/>
                <w:szCs w:val="20"/>
              </w:rPr>
              <w:t>,</w:t>
            </w:r>
            <w:r w:rsidRPr="00F13073">
              <w:rPr>
                <w:sz w:val="20"/>
                <w:szCs w:val="20"/>
              </w:rPr>
              <w:t>6</w:t>
            </w:r>
          </w:p>
        </w:tc>
        <w:tc>
          <w:tcPr>
            <w:tcW w:w="2742" w:type="dxa"/>
            <w:tcBorders>
              <w:top w:val="single" w:sz="4" w:space="0" w:color="auto"/>
              <w:left w:val="single" w:sz="4" w:space="0" w:color="auto"/>
              <w:right w:val="single" w:sz="4" w:space="0" w:color="auto"/>
            </w:tcBorders>
          </w:tcPr>
          <w:p w14:paraId="5835732D" w14:textId="77777777" w:rsidR="001E0975" w:rsidRPr="00F13073" w:rsidRDefault="00611033" w:rsidP="005B0B61">
            <w:pPr>
              <w:suppressAutoHyphens/>
              <w:jc w:val="center"/>
              <w:rPr>
                <w:sz w:val="20"/>
                <w:szCs w:val="20"/>
              </w:rPr>
            </w:pPr>
            <w:r w:rsidRPr="00F13073">
              <w:rPr>
                <w:sz w:val="20"/>
                <w:szCs w:val="20"/>
              </w:rPr>
              <w:t>65</w:t>
            </w:r>
            <w:r w:rsidR="00E2129D" w:rsidRPr="00F13073">
              <w:rPr>
                <w:sz w:val="20"/>
                <w:szCs w:val="20"/>
              </w:rPr>
              <w:t>,</w:t>
            </w:r>
            <w:r w:rsidRPr="00F13073">
              <w:rPr>
                <w:sz w:val="20"/>
                <w:szCs w:val="20"/>
              </w:rPr>
              <w:t>9 ± 31</w:t>
            </w:r>
            <w:r w:rsidR="00E2129D" w:rsidRPr="00F13073">
              <w:rPr>
                <w:sz w:val="20"/>
                <w:szCs w:val="20"/>
              </w:rPr>
              <w:t>,</w:t>
            </w:r>
            <w:r w:rsidRPr="00F13073">
              <w:rPr>
                <w:sz w:val="20"/>
                <w:szCs w:val="20"/>
              </w:rPr>
              <w:t>3</w:t>
            </w:r>
          </w:p>
        </w:tc>
      </w:tr>
      <w:tr w:rsidR="001E0975" w:rsidRPr="00F13073" w14:paraId="0B49DC3B" w14:textId="77777777" w:rsidTr="000F347D">
        <w:trPr>
          <w:cantSplit/>
          <w:tblHeader/>
        </w:trPr>
        <w:tc>
          <w:tcPr>
            <w:tcW w:w="3261" w:type="dxa"/>
            <w:tcBorders>
              <w:top w:val="single" w:sz="4" w:space="0" w:color="auto"/>
              <w:left w:val="single" w:sz="4" w:space="0" w:color="auto"/>
            </w:tcBorders>
          </w:tcPr>
          <w:p w14:paraId="62329CFB" w14:textId="77777777" w:rsidR="001E0975" w:rsidRPr="00F13073" w:rsidRDefault="00611033" w:rsidP="008B4C50">
            <w:pPr>
              <w:suppressAutoHyphens/>
              <w:rPr>
                <w:sz w:val="20"/>
                <w:szCs w:val="20"/>
              </w:rPr>
            </w:pPr>
            <w:r w:rsidRPr="00F13073">
              <w:rPr>
                <w:sz w:val="20"/>
                <w:szCs w:val="20"/>
              </w:rPr>
              <w:t>C</w:t>
            </w:r>
            <w:r w:rsidR="004F0936" w:rsidRPr="00F13073">
              <w:rPr>
                <w:sz w:val="20"/>
                <w:szCs w:val="20"/>
                <w:vertAlign w:val="subscript"/>
              </w:rPr>
              <w:t>średnie</w:t>
            </w:r>
            <w:r w:rsidRPr="00F13073">
              <w:rPr>
                <w:sz w:val="20"/>
                <w:szCs w:val="20"/>
              </w:rPr>
              <w:t xml:space="preserve"> (µg/mL)</w:t>
            </w:r>
          </w:p>
        </w:tc>
        <w:tc>
          <w:tcPr>
            <w:tcW w:w="2693" w:type="dxa"/>
            <w:tcBorders>
              <w:top w:val="single" w:sz="4" w:space="0" w:color="auto"/>
              <w:left w:val="single" w:sz="4" w:space="0" w:color="auto"/>
            </w:tcBorders>
          </w:tcPr>
          <w:p w14:paraId="4ABD42CB" w14:textId="77777777" w:rsidR="001E0975" w:rsidRPr="00F13073" w:rsidRDefault="00611033" w:rsidP="005B0B61">
            <w:pPr>
              <w:suppressAutoHyphens/>
              <w:jc w:val="center"/>
              <w:rPr>
                <w:sz w:val="20"/>
                <w:szCs w:val="20"/>
              </w:rPr>
            </w:pPr>
            <w:r w:rsidRPr="00F13073">
              <w:rPr>
                <w:sz w:val="20"/>
                <w:szCs w:val="20"/>
              </w:rPr>
              <w:t>91</w:t>
            </w:r>
            <w:r w:rsidR="00E2129D" w:rsidRPr="00F13073">
              <w:rPr>
                <w:sz w:val="20"/>
                <w:szCs w:val="20"/>
              </w:rPr>
              <w:t>,</w:t>
            </w:r>
            <w:r w:rsidRPr="00F13073">
              <w:rPr>
                <w:sz w:val="20"/>
                <w:szCs w:val="20"/>
              </w:rPr>
              <w:t>3 ± 40</w:t>
            </w:r>
            <w:r w:rsidR="00E2129D" w:rsidRPr="00F13073">
              <w:rPr>
                <w:sz w:val="20"/>
                <w:szCs w:val="20"/>
              </w:rPr>
              <w:t>,</w:t>
            </w:r>
            <w:r w:rsidRPr="00F13073">
              <w:rPr>
                <w:sz w:val="20"/>
                <w:szCs w:val="20"/>
              </w:rPr>
              <w:t>4</w:t>
            </w:r>
          </w:p>
        </w:tc>
        <w:tc>
          <w:tcPr>
            <w:tcW w:w="2742" w:type="dxa"/>
            <w:tcBorders>
              <w:top w:val="single" w:sz="4" w:space="0" w:color="auto"/>
              <w:left w:val="single" w:sz="4" w:space="0" w:color="auto"/>
              <w:right w:val="single" w:sz="4" w:space="0" w:color="auto"/>
            </w:tcBorders>
          </w:tcPr>
          <w:p w14:paraId="59B83804" w14:textId="77777777" w:rsidR="001E0975" w:rsidRPr="00F13073" w:rsidRDefault="00611033" w:rsidP="005B0B61">
            <w:pPr>
              <w:suppressAutoHyphens/>
              <w:jc w:val="center"/>
              <w:rPr>
                <w:sz w:val="20"/>
                <w:szCs w:val="20"/>
              </w:rPr>
            </w:pPr>
            <w:r w:rsidRPr="00F13073">
              <w:rPr>
                <w:sz w:val="20"/>
                <w:szCs w:val="20"/>
              </w:rPr>
              <w:t>101 ± 43</w:t>
            </w:r>
            <w:r w:rsidR="00E2129D" w:rsidRPr="00F13073">
              <w:rPr>
                <w:sz w:val="20"/>
                <w:szCs w:val="20"/>
              </w:rPr>
              <w:t>,</w:t>
            </w:r>
            <w:r w:rsidRPr="00F13073">
              <w:rPr>
                <w:sz w:val="20"/>
                <w:szCs w:val="20"/>
              </w:rPr>
              <w:t>2</w:t>
            </w:r>
          </w:p>
        </w:tc>
      </w:tr>
      <w:tr w:rsidR="001E0975" w:rsidRPr="00F13073" w14:paraId="793C9551" w14:textId="77777777" w:rsidTr="000F347D">
        <w:trPr>
          <w:cantSplit/>
          <w:tblHeader/>
        </w:trPr>
        <w:tc>
          <w:tcPr>
            <w:tcW w:w="3261" w:type="dxa"/>
            <w:tcBorders>
              <w:top w:val="single" w:sz="4" w:space="0" w:color="auto"/>
              <w:left w:val="single" w:sz="4" w:space="0" w:color="auto"/>
            </w:tcBorders>
          </w:tcPr>
          <w:p w14:paraId="2B9270B1" w14:textId="77777777" w:rsidR="001E0975" w:rsidRPr="00F13073" w:rsidRDefault="004F0936" w:rsidP="008B4C50">
            <w:pPr>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00611033" w:rsidRPr="00F13073">
              <w:rPr>
                <w:sz w:val="20"/>
                <w:szCs w:val="20"/>
                <w:vertAlign w:val="subscript"/>
              </w:rPr>
              <w:t>max</w:t>
            </w:r>
          </w:p>
        </w:tc>
        <w:tc>
          <w:tcPr>
            <w:tcW w:w="2693" w:type="dxa"/>
            <w:tcBorders>
              <w:top w:val="single" w:sz="4" w:space="0" w:color="auto"/>
              <w:left w:val="single" w:sz="4" w:space="0" w:color="auto"/>
            </w:tcBorders>
          </w:tcPr>
          <w:p w14:paraId="2BFA050D" w14:textId="77777777" w:rsidR="001E0975" w:rsidRPr="00F13073" w:rsidRDefault="00611033" w:rsidP="005B0B61">
            <w:pPr>
              <w:suppressAutoHyphens/>
              <w:jc w:val="center"/>
              <w:rPr>
                <w:sz w:val="20"/>
                <w:szCs w:val="20"/>
              </w:rPr>
            </w:pPr>
            <w:r w:rsidRPr="00F13073">
              <w:rPr>
                <w:sz w:val="20"/>
                <w:szCs w:val="20"/>
              </w:rPr>
              <w:t>3</w:t>
            </w:r>
            <w:r w:rsidR="00E2129D" w:rsidRPr="00F13073">
              <w:rPr>
                <w:sz w:val="20"/>
                <w:szCs w:val="20"/>
              </w:rPr>
              <w:t>,</w:t>
            </w:r>
            <w:r w:rsidRPr="00F13073">
              <w:rPr>
                <w:sz w:val="20"/>
                <w:szCs w:val="20"/>
              </w:rPr>
              <w:t>66</w:t>
            </w:r>
          </w:p>
        </w:tc>
        <w:tc>
          <w:tcPr>
            <w:tcW w:w="2742" w:type="dxa"/>
            <w:tcBorders>
              <w:top w:val="single" w:sz="4" w:space="0" w:color="auto"/>
              <w:left w:val="single" w:sz="4" w:space="0" w:color="auto"/>
              <w:right w:val="single" w:sz="4" w:space="0" w:color="auto"/>
            </w:tcBorders>
          </w:tcPr>
          <w:p w14:paraId="31A099E4" w14:textId="77777777" w:rsidR="001E0975" w:rsidRPr="00F13073" w:rsidRDefault="00611033" w:rsidP="005B0B61">
            <w:pPr>
              <w:suppressAutoHyphens/>
              <w:jc w:val="center"/>
              <w:rPr>
                <w:sz w:val="20"/>
                <w:szCs w:val="20"/>
              </w:rPr>
            </w:pPr>
            <w:r w:rsidRPr="00F13073">
              <w:rPr>
                <w:sz w:val="20"/>
                <w:szCs w:val="20"/>
              </w:rPr>
              <w:t>1</w:t>
            </w:r>
            <w:r w:rsidR="00E2129D" w:rsidRPr="00F13073">
              <w:rPr>
                <w:sz w:val="20"/>
                <w:szCs w:val="20"/>
              </w:rPr>
              <w:t>,</w:t>
            </w:r>
            <w:r w:rsidRPr="00F13073">
              <w:rPr>
                <w:sz w:val="20"/>
                <w:szCs w:val="20"/>
              </w:rPr>
              <w:t>88</w:t>
            </w:r>
          </w:p>
        </w:tc>
      </w:tr>
      <w:tr w:rsidR="001E0975" w:rsidRPr="00F13073" w14:paraId="0F10C4E8" w14:textId="77777777" w:rsidTr="000F347D">
        <w:trPr>
          <w:cantSplit/>
          <w:tblHeader/>
        </w:trPr>
        <w:tc>
          <w:tcPr>
            <w:tcW w:w="3261" w:type="dxa"/>
            <w:tcBorders>
              <w:top w:val="single" w:sz="4" w:space="0" w:color="auto"/>
              <w:left w:val="single" w:sz="4" w:space="0" w:color="auto"/>
            </w:tcBorders>
          </w:tcPr>
          <w:p w14:paraId="24394E4C" w14:textId="77777777" w:rsidR="001E0975" w:rsidRPr="00F13073" w:rsidRDefault="004F0936" w:rsidP="008B4C50">
            <w:pPr>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00611033" w:rsidRPr="00F13073">
              <w:rPr>
                <w:sz w:val="20"/>
                <w:szCs w:val="20"/>
                <w:vertAlign w:val="subscript"/>
              </w:rPr>
              <w:t>min</w:t>
            </w:r>
          </w:p>
        </w:tc>
        <w:tc>
          <w:tcPr>
            <w:tcW w:w="2693" w:type="dxa"/>
            <w:tcBorders>
              <w:top w:val="single" w:sz="4" w:space="0" w:color="auto"/>
              <w:left w:val="single" w:sz="4" w:space="0" w:color="auto"/>
            </w:tcBorders>
          </w:tcPr>
          <w:p w14:paraId="457D757A" w14:textId="77777777" w:rsidR="001E0975" w:rsidRPr="00F13073" w:rsidRDefault="00611033" w:rsidP="005B0B61">
            <w:pPr>
              <w:suppressAutoHyphens/>
              <w:jc w:val="center"/>
              <w:rPr>
                <w:sz w:val="20"/>
                <w:szCs w:val="20"/>
              </w:rPr>
            </w:pPr>
            <w:r w:rsidRPr="00F13073">
              <w:rPr>
                <w:sz w:val="20"/>
                <w:szCs w:val="20"/>
              </w:rPr>
              <w:t>4</w:t>
            </w:r>
            <w:r w:rsidR="00E2129D" w:rsidRPr="00F13073">
              <w:rPr>
                <w:sz w:val="20"/>
                <w:szCs w:val="20"/>
              </w:rPr>
              <w:t>,</w:t>
            </w:r>
            <w:r w:rsidRPr="00F13073">
              <w:rPr>
                <w:sz w:val="20"/>
                <w:szCs w:val="20"/>
              </w:rPr>
              <w:t>39</w:t>
            </w:r>
          </w:p>
        </w:tc>
        <w:tc>
          <w:tcPr>
            <w:tcW w:w="2742" w:type="dxa"/>
            <w:tcBorders>
              <w:top w:val="single" w:sz="4" w:space="0" w:color="auto"/>
              <w:left w:val="single" w:sz="4" w:space="0" w:color="auto"/>
              <w:right w:val="single" w:sz="4" w:space="0" w:color="auto"/>
            </w:tcBorders>
          </w:tcPr>
          <w:p w14:paraId="7910A82D" w14:textId="77777777" w:rsidR="001E0975" w:rsidRPr="00F13073" w:rsidRDefault="00611033" w:rsidP="005B0B61">
            <w:pPr>
              <w:suppressAutoHyphens/>
              <w:jc w:val="center"/>
              <w:rPr>
                <w:sz w:val="20"/>
                <w:szCs w:val="20"/>
              </w:rPr>
            </w:pPr>
            <w:r w:rsidRPr="00F13073">
              <w:rPr>
                <w:sz w:val="20"/>
                <w:szCs w:val="20"/>
              </w:rPr>
              <w:t>3</w:t>
            </w:r>
            <w:r w:rsidR="00E2129D" w:rsidRPr="00F13073">
              <w:rPr>
                <w:sz w:val="20"/>
                <w:szCs w:val="20"/>
              </w:rPr>
              <w:t>,</w:t>
            </w:r>
            <w:r w:rsidRPr="00F13073">
              <w:rPr>
                <w:sz w:val="20"/>
                <w:szCs w:val="20"/>
              </w:rPr>
              <w:t>21</w:t>
            </w:r>
          </w:p>
        </w:tc>
      </w:tr>
      <w:tr w:rsidR="001E0975" w:rsidRPr="00F13073" w14:paraId="6E82F0F8" w14:textId="77777777" w:rsidTr="000F347D">
        <w:trPr>
          <w:cantSplit/>
          <w:tblHeader/>
        </w:trPr>
        <w:tc>
          <w:tcPr>
            <w:tcW w:w="3261" w:type="dxa"/>
            <w:tcBorders>
              <w:top w:val="single" w:sz="4" w:space="0" w:color="auto"/>
              <w:left w:val="single" w:sz="4" w:space="0" w:color="auto"/>
              <w:bottom w:val="single" w:sz="4" w:space="0" w:color="auto"/>
            </w:tcBorders>
          </w:tcPr>
          <w:p w14:paraId="115EA3D1" w14:textId="77777777" w:rsidR="001E0975" w:rsidRPr="00F13073" w:rsidRDefault="004F0936" w:rsidP="008B4C50">
            <w:pPr>
              <w:keepNext/>
              <w:suppressAutoHyphens/>
              <w:rPr>
                <w:sz w:val="20"/>
                <w:szCs w:val="20"/>
              </w:rPr>
            </w:pPr>
            <w:r w:rsidRPr="00F13073">
              <w:rPr>
                <w:rStyle w:val="Other"/>
                <w:rFonts w:eastAsia="DengXian"/>
                <w:sz w:val="20"/>
                <w:szCs w:val="20"/>
              </w:rPr>
              <w:t xml:space="preserve">Skumulowane </w:t>
            </w:r>
            <w:r w:rsidR="00611033" w:rsidRPr="00F13073">
              <w:rPr>
                <w:sz w:val="20"/>
                <w:szCs w:val="20"/>
              </w:rPr>
              <w:t>C</w:t>
            </w:r>
            <w:r w:rsidRPr="00F13073">
              <w:rPr>
                <w:sz w:val="20"/>
                <w:szCs w:val="20"/>
                <w:vertAlign w:val="subscript"/>
              </w:rPr>
              <w:t>średnie</w:t>
            </w:r>
            <w:r w:rsidR="00611033" w:rsidRPr="00F13073">
              <w:rPr>
                <w:sz w:val="20"/>
                <w:szCs w:val="20"/>
              </w:rPr>
              <w:t xml:space="preserve"> </w:t>
            </w:r>
            <w:r w:rsidRPr="00F13073">
              <w:rPr>
                <w:sz w:val="20"/>
                <w:szCs w:val="20"/>
              </w:rPr>
              <w:t>lub</w:t>
            </w:r>
            <w:r w:rsidR="00611033" w:rsidRPr="00F13073">
              <w:rPr>
                <w:sz w:val="20"/>
                <w:szCs w:val="20"/>
              </w:rPr>
              <w:t xml:space="preserve"> AUC</w:t>
            </w:r>
            <w:r w:rsidR="00611033" w:rsidRPr="00F13073">
              <w:rPr>
                <w:sz w:val="20"/>
                <w:szCs w:val="20"/>
                <w:vertAlign w:val="subscript"/>
              </w:rPr>
              <w:t>τ</w:t>
            </w:r>
            <w:r w:rsidR="00611033" w:rsidRPr="00F13073">
              <w:rPr>
                <w:sz w:val="20"/>
                <w:szCs w:val="20"/>
              </w:rPr>
              <w:t>*</w:t>
            </w:r>
          </w:p>
        </w:tc>
        <w:tc>
          <w:tcPr>
            <w:tcW w:w="2693" w:type="dxa"/>
            <w:tcBorders>
              <w:top w:val="single" w:sz="4" w:space="0" w:color="auto"/>
              <w:left w:val="single" w:sz="4" w:space="0" w:color="auto"/>
              <w:bottom w:val="single" w:sz="4" w:space="0" w:color="auto"/>
            </w:tcBorders>
          </w:tcPr>
          <w:p w14:paraId="76BF50DB" w14:textId="77777777" w:rsidR="001E0975" w:rsidRPr="00F13073" w:rsidRDefault="00611033" w:rsidP="005B0B61">
            <w:pPr>
              <w:keepNext/>
              <w:suppressAutoHyphens/>
              <w:jc w:val="center"/>
              <w:rPr>
                <w:sz w:val="20"/>
                <w:szCs w:val="20"/>
              </w:rPr>
            </w:pPr>
            <w:r w:rsidRPr="00F13073">
              <w:rPr>
                <w:sz w:val="20"/>
                <w:szCs w:val="20"/>
              </w:rPr>
              <w:t>4</w:t>
            </w:r>
            <w:r w:rsidR="00E2129D" w:rsidRPr="00F13073">
              <w:rPr>
                <w:sz w:val="20"/>
                <w:szCs w:val="20"/>
              </w:rPr>
              <w:t>,</w:t>
            </w:r>
            <w:r w:rsidRPr="00F13073">
              <w:rPr>
                <w:sz w:val="20"/>
                <w:szCs w:val="20"/>
              </w:rPr>
              <w:t>28</w:t>
            </w:r>
          </w:p>
        </w:tc>
        <w:tc>
          <w:tcPr>
            <w:tcW w:w="2742" w:type="dxa"/>
            <w:tcBorders>
              <w:top w:val="single" w:sz="4" w:space="0" w:color="auto"/>
              <w:left w:val="single" w:sz="4" w:space="0" w:color="auto"/>
              <w:bottom w:val="single" w:sz="4" w:space="0" w:color="auto"/>
              <w:right w:val="single" w:sz="4" w:space="0" w:color="auto"/>
            </w:tcBorders>
          </w:tcPr>
          <w:p w14:paraId="248DC9C9" w14:textId="77777777" w:rsidR="001E0975" w:rsidRPr="00F13073" w:rsidRDefault="00611033" w:rsidP="005B0B61">
            <w:pPr>
              <w:keepNext/>
              <w:suppressAutoHyphens/>
              <w:jc w:val="center"/>
              <w:rPr>
                <w:sz w:val="20"/>
                <w:szCs w:val="20"/>
              </w:rPr>
            </w:pPr>
            <w:r w:rsidRPr="00F13073">
              <w:rPr>
                <w:sz w:val="20"/>
                <w:szCs w:val="20"/>
              </w:rPr>
              <w:t>2</w:t>
            </w:r>
            <w:r w:rsidR="00E2129D" w:rsidRPr="00F13073">
              <w:rPr>
                <w:sz w:val="20"/>
                <w:szCs w:val="20"/>
              </w:rPr>
              <w:t>,</w:t>
            </w:r>
            <w:r w:rsidRPr="00F13073">
              <w:rPr>
                <w:sz w:val="20"/>
                <w:szCs w:val="20"/>
              </w:rPr>
              <w:t>27</w:t>
            </w:r>
          </w:p>
        </w:tc>
      </w:tr>
    </w:tbl>
    <w:p w14:paraId="306348D7" w14:textId="77777777" w:rsidR="001E0975" w:rsidRPr="00F13073" w:rsidRDefault="00611033" w:rsidP="008B4C50">
      <w:pPr>
        <w:rPr>
          <w:sz w:val="18"/>
          <w:szCs w:val="18"/>
        </w:rPr>
      </w:pPr>
      <w:r w:rsidRPr="00F13073">
        <w:rPr>
          <w:sz w:val="18"/>
          <w:szCs w:val="18"/>
        </w:rPr>
        <w:t xml:space="preserve">*τ = </w:t>
      </w:r>
      <w:r w:rsidR="00224104" w:rsidRPr="00F13073">
        <w:rPr>
          <w:sz w:val="18"/>
          <w:szCs w:val="18"/>
        </w:rPr>
        <w:t>1 tydzień lub 2 tygodnie dla dwóch schematów podawania podskórnego</w:t>
      </w:r>
    </w:p>
    <w:p w14:paraId="6BEE2590" w14:textId="77777777" w:rsidR="001E0975" w:rsidRPr="00F13073" w:rsidRDefault="001E0975" w:rsidP="008B4C50"/>
    <w:p w14:paraId="2A23EDC4" w14:textId="77777777" w:rsidR="00224104" w:rsidRPr="00F13073" w:rsidRDefault="00224104" w:rsidP="008B4C50">
      <w:pPr>
        <w:pStyle w:val="a4"/>
        <w:widowControl/>
        <w:spacing w:after="0"/>
        <w:rPr>
          <w:rStyle w:val="Char"/>
        </w:rPr>
      </w:pPr>
      <w:r w:rsidRPr="00F13073">
        <w:rPr>
          <w:rStyle w:val="Char"/>
        </w:rPr>
        <w:t>Po podaniu podskórnym około 90% stanu stacjonarnego osiągano do tygodnia 12., zarówno w schemacie dawkowania 162 mg QW, jak i Q2W.</w:t>
      </w:r>
    </w:p>
    <w:p w14:paraId="3F6533C5" w14:textId="77777777" w:rsidR="00224104" w:rsidRPr="00F13073" w:rsidRDefault="00224104" w:rsidP="008B4C50">
      <w:pPr>
        <w:pStyle w:val="a4"/>
        <w:widowControl/>
        <w:spacing w:after="0"/>
      </w:pPr>
    </w:p>
    <w:p w14:paraId="287FF5EB" w14:textId="77777777" w:rsidR="00224104" w:rsidRPr="00F13073" w:rsidRDefault="00224104" w:rsidP="008B4C50">
      <w:pPr>
        <w:pStyle w:val="a4"/>
        <w:widowControl/>
        <w:spacing w:after="0"/>
      </w:pPr>
      <w:r w:rsidRPr="00F13073">
        <w:rPr>
          <w:rStyle w:val="Char"/>
          <w:u w:val="single"/>
        </w:rPr>
        <w:t>Wchłanianie</w:t>
      </w:r>
    </w:p>
    <w:p w14:paraId="5009FAAF" w14:textId="77777777" w:rsidR="00224104" w:rsidRPr="00F13073" w:rsidRDefault="00224104" w:rsidP="008B4C50">
      <w:pPr>
        <w:pStyle w:val="a4"/>
        <w:widowControl/>
        <w:spacing w:after="0"/>
        <w:rPr>
          <w:rStyle w:val="Char"/>
        </w:rPr>
      </w:pPr>
      <w:r w:rsidRPr="00F13073">
        <w:rPr>
          <w:rStyle w:val="Char"/>
        </w:rPr>
        <w:lastRenderedPageBreak/>
        <w:t>Po podskórnym podaniu leku pacjentom z uMIZS, okres półtrwania wchłaniania wyniósł około 2 dni, a biodostępność postaci podskórnej u pacjentów z uMIZS wyniosła 95%.</w:t>
      </w:r>
    </w:p>
    <w:p w14:paraId="29E2DBE6" w14:textId="77777777" w:rsidR="00224104" w:rsidRPr="00F13073" w:rsidRDefault="00224104" w:rsidP="008B4C50">
      <w:pPr>
        <w:pStyle w:val="a4"/>
        <w:widowControl/>
        <w:spacing w:after="0"/>
      </w:pPr>
    </w:p>
    <w:p w14:paraId="7F1AD59A" w14:textId="77777777" w:rsidR="00224104" w:rsidRPr="00F13073" w:rsidRDefault="00224104" w:rsidP="008B4C50">
      <w:pPr>
        <w:pStyle w:val="a4"/>
        <w:widowControl/>
        <w:spacing w:after="0"/>
      </w:pPr>
      <w:r w:rsidRPr="00F13073">
        <w:rPr>
          <w:rStyle w:val="Char"/>
          <w:u w:val="single"/>
        </w:rPr>
        <w:t>Dystrybucja</w:t>
      </w:r>
    </w:p>
    <w:p w14:paraId="438166FC" w14:textId="77777777" w:rsidR="00224104" w:rsidRPr="00F13073" w:rsidRDefault="00224104" w:rsidP="008B4C50">
      <w:pPr>
        <w:pStyle w:val="a4"/>
        <w:widowControl/>
        <w:spacing w:after="0"/>
        <w:rPr>
          <w:rStyle w:val="Char"/>
        </w:rPr>
      </w:pPr>
      <w:r w:rsidRPr="00F13073">
        <w:rPr>
          <w:rStyle w:val="Char"/>
        </w:rPr>
        <w:t>U dzieci i młodzieży z uMIZS, objętość dystrybucji w kompartmencie centralnym wyniosła 1,87 l, objętość dystrybucji w kompartmencie obwodowym wyniosła 2,14 l, co w efekcie oznaczało objętość dystrybucji w stanie równowagi wynoszącą 4,01 l.</w:t>
      </w:r>
    </w:p>
    <w:p w14:paraId="5658BD11" w14:textId="77777777" w:rsidR="00224104" w:rsidRPr="00F13073" w:rsidRDefault="00224104" w:rsidP="008B4C50">
      <w:pPr>
        <w:pStyle w:val="a4"/>
        <w:widowControl/>
        <w:spacing w:after="0"/>
      </w:pPr>
    </w:p>
    <w:p w14:paraId="255A281E" w14:textId="77777777" w:rsidR="00224104" w:rsidRPr="00F13073" w:rsidRDefault="00224104" w:rsidP="008B4C50">
      <w:pPr>
        <w:pStyle w:val="a4"/>
        <w:widowControl/>
        <w:spacing w:after="0"/>
      </w:pPr>
      <w:r w:rsidRPr="00F13073">
        <w:rPr>
          <w:rStyle w:val="Char"/>
          <w:u w:val="single"/>
        </w:rPr>
        <w:t>Eliminacja</w:t>
      </w:r>
    </w:p>
    <w:p w14:paraId="0EC1D2CE" w14:textId="3FF54C90" w:rsidR="00224104" w:rsidRPr="00F13073" w:rsidRDefault="00224104" w:rsidP="000F347D">
      <w:pPr>
        <w:pStyle w:val="a4"/>
        <w:widowControl/>
        <w:spacing w:after="0"/>
        <w:rPr>
          <w:rStyle w:val="Char"/>
        </w:rPr>
      </w:pPr>
      <w:r w:rsidRPr="00F13073">
        <w:rPr>
          <w:rStyle w:val="Char"/>
        </w:rPr>
        <w:t>Całkowity klirens tocilizumabu był zależny od stężenia i jest on sumą klirensu liniowego i nieliniowego. Klirens liniowy był szacowany jako parametr w analizie farmakokinetyki populacyjnej i wyniósł 5,7</w:t>
      </w:r>
      <w:r w:rsidR="000F347D" w:rsidRPr="00F13073">
        <w:rPr>
          <w:rStyle w:val="Char"/>
        </w:rPr>
        <w:t> </w:t>
      </w:r>
      <w:r w:rsidRPr="00F13073">
        <w:rPr>
          <w:rStyle w:val="Char"/>
        </w:rPr>
        <w:t>mL/h w populacji dzieci i młodzieży z młodzieńczym idiopatycznym zapaleniem stawów o początku uogólnionym. Po podaniu podskórnym efektywny t</w:t>
      </w:r>
      <w:r w:rsidRPr="00F13073">
        <w:rPr>
          <w:rStyle w:val="Char"/>
          <w:vertAlign w:val="subscript"/>
        </w:rPr>
        <w:t>1/2</w:t>
      </w:r>
      <w:r w:rsidRPr="00F13073">
        <w:rPr>
          <w:rStyle w:val="Char"/>
          <w:sz w:val="14"/>
          <w:szCs w:val="14"/>
        </w:rPr>
        <w:t xml:space="preserve"> </w:t>
      </w:r>
      <w:r w:rsidR="005B0A37" w:rsidRPr="00F13073">
        <w:rPr>
          <w:rStyle w:val="Char"/>
        </w:rPr>
        <w:t xml:space="preserve">tocilizumabu </w:t>
      </w:r>
      <w:r w:rsidRPr="00F13073">
        <w:rPr>
          <w:rStyle w:val="Char"/>
        </w:rPr>
        <w:t>u pacjentów z uMIZS wynosi do 14 dni zarówno dla schematu dawkowania 162 mg QW, jak i Q2W w odstępie pomiędzy podaniem dawek w stanie stacjonarnym.</w:t>
      </w:r>
    </w:p>
    <w:p w14:paraId="3CC0DC63" w14:textId="77777777" w:rsidR="00224104" w:rsidRPr="00F13073" w:rsidRDefault="00224104" w:rsidP="008B4C50">
      <w:pPr>
        <w:pStyle w:val="a4"/>
        <w:widowControl/>
        <w:spacing w:after="0"/>
      </w:pPr>
    </w:p>
    <w:p w14:paraId="4DD39A9B" w14:textId="77777777" w:rsidR="00224104" w:rsidRPr="00F13073" w:rsidRDefault="00224104" w:rsidP="008B4C50">
      <w:pPr>
        <w:pStyle w:val="a4"/>
        <w:widowControl/>
        <w:spacing w:after="0"/>
      </w:pPr>
      <w:r w:rsidRPr="00F13073">
        <w:rPr>
          <w:rStyle w:val="Char"/>
          <w:u w:val="single"/>
        </w:rPr>
        <w:t>wMIZS</w:t>
      </w:r>
    </w:p>
    <w:p w14:paraId="49DF0194" w14:textId="77777777" w:rsidR="00224104" w:rsidRPr="00F13073" w:rsidRDefault="00224104" w:rsidP="008B4C50">
      <w:pPr>
        <w:pStyle w:val="a4"/>
        <w:widowControl/>
        <w:spacing w:after="0"/>
      </w:pPr>
      <w:r w:rsidRPr="00F13073">
        <w:rPr>
          <w:rStyle w:val="Char"/>
          <w:u w:val="single"/>
        </w:rPr>
        <w:t>Stosowanie podskórne</w:t>
      </w:r>
    </w:p>
    <w:p w14:paraId="0B4C595E" w14:textId="5977AEC9" w:rsidR="00224104" w:rsidRPr="00F13073" w:rsidRDefault="00224104" w:rsidP="008B4C50">
      <w:pPr>
        <w:pStyle w:val="a4"/>
        <w:widowControl/>
        <w:spacing w:after="0"/>
        <w:rPr>
          <w:rStyle w:val="Char"/>
        </w:rPr>
      </w:pPr>
      <w:r w:rsidRPr="00F13073">
        <w:rPr>
          <w:rStyle w:val="Char"/>
        </w:rPr>
        <w:t xml:space="preserve">Farmakokinetyka </w:t>
      </w:r>
      <w:r w:rsidR="005B0A37" w:rsidRPr="00F13073">
        <w:rPr>
          <w:rStyle w:val="Char"/>
        </w:rPr>
        <w:t xml:space="preserve">tocilizumabu </w:t>
      </w:r>
      <w:r w:rsidRPr="00F13073">
        <w:rPr>
          <w:rStyle w:val="Char"/>
        </w:rPr>
        <w:t>u pacjentów z wMIZS została opisana metodą analizy farmakokinetyki populacyjnej, obejmującej 237 pacjentów leczonych dawką 8 mg/kg mc. podawaną dożylnie co 4 tygodnie (pacjenci ważący ≥</w:t>
      </w:r>
      <w:r w:rsidRPr="00F13073">
        <w:rPr>
          <w:rStyle w:val="Char"/>
          <w:sz w:val="24"/>
          <w:szCs w:val="24"/>
        </w:rPr>
        <w:t xml:space="preserve"> </w:t>
      </w:r>
      <w:r w:rsidRPr="00F13073">
        <w:rPr>
          <w:rStyle w:val="Char"/>
        </w:rPr>
        <w:t>30 kg), 10 mg/kg mc. podawaną dożylnie co 4 tygodnie (pacjenci ważący poniżej 30 kg), 162 mg podawaną podskórnie co 2 tygodnie (pacjenci ważący ≥</w:t>
      </w:r>
      <w:r w:rsidRPr="00F13073">
        <w:rPr>
          <w:rStyle w:val="Char"/>
          <w:sz w:val="24"/>
          <w:szCs w:val="24"/>
        </w:rPr>
        <w:t xml:space="preserve"> </w:t>
      </w:r>
      <w:r w:rsidRPr="00F13073">
        <w:rPr>
          <w:rStyle w:val="Char"/>
        </w:rPr>
        <w:t>30 kg) lub 162 mg podawaną podskórnie co 3 tygodnie (pacjenci ważący poniżej 30 kg).</w:t>
      </w:r>
    </w:p>
    <w:p w14:paraId="0B0D3362" w14:textId="77777777" w:rsidR="00F9488E" w:rsidRPr="00F13073" w:rsidRDefault="00F9488E" w:rsidP="008B4C50">
      <w:pPr>
        <w:pStyle w:val="a4"/>
        <w:widowControl/>
        <w:spacing w:after="0"/>
      </w:pPr>
    </w:p>
    <w:p w14:paraId="1478EDFA" w14:textId="77777777" w:rsidR="001E0975" w:rsidRPr="00F13073" w:rsidRDefault="00611033" w:rsidP="008B4C50">
      <w:pPr>
        <w:keepNext/>
        <w:ind w:left="1134" w:hanging="1134"/>
        <w:rPr>
          <w:i/>
          <w:iCs/>
        </w:rPr>
      </w:pPr>
      <w:r w:rsidRPr="00F13073">
        <w:rPr>
          <w:i/>
          <w:iCs/>
        </w:rPr>
        <w:t>Tab</w:t>
      </w:r>
      <w:r w:rsidR="0058676C" w:rsidRPr="00F13073">
        <w:rPr>
          <w:i/>
          <w:iCs/>
        </w:rPr>
        <w:t>e</w:t>
      </w:r>
      <w:r w:rsidRPr="00F13073">
        <w:rPr>
          <w:i/>
          <w:iCs/>
        </w:rPr>
        <w:t>l</w:t>
      </w:r>
      <w:r w:rsidR="00F9488E" w:rsidRPr="00F13073">
        <w:rPr>
          <w:i/>
          <w:iCs/>
        </w:rPr>
        <w:t>a</w:t>
      </w:r>
      <w:r w:rsidRPr="00F13073">
        <w:rPr>
          <w:i/>
          <w:iCs/>
        </w:rPr>
        <w:t xml:space="preserve"> 9.</w:t>
      </w:r>
      <w:r w:rsidR="00A77716" w:rsidRPr="00F13073">
        <w:rPr>
          <w:i/>
          <w:iCs/>
        </w:rPr>
        <w:tab/>
      </w:r>
      <w:r w:rsidR="00F9488E" w:rsidRPr="00F13073">
        <w:rPr>
          <w:rStyle w:val="Char"/>
          <w:rFonts w:eastAsia="DengXian"/>
          <w:i/>
          <w:iCs/>
        </w:rPr>
        <w:t xml:space="preserve">Przewidywane średnie wartości </w:t>
      </w:r>
      <w:r w:rsidR="00F9488E" w:rsidRPr="00F13073">
        <w:rPr>
          <w:rStyle w:val="Char"/>
          <w:rFonts w:eastAsia="DengXian"/>
          <w:i/>
          <w:iCs/>
          <w:sz w:val="24"/>
          <w:szCs w:val="24"/>
        </w:rPr>
        <w:t xml:space="preserve">± </w:t>
      </w:r>
      <w:r w:rsidR="00F9488E" w:rsidRPr="00F13073">
        <w:rPr>
          <w:rStyle w:val="Char"/>
          <w:rFonts w:eastAsia="DengXian"/>
          <w:i/>
          <w:iCs/>
        </w:rPr>
        <w:t>SD parametrów farmakokinetycznych w stanie stacjonarnym po podskórnym podaniu dawki leku pacjentom z wMIZS</w:t>
      </w:r>
    </w:p>
    <w:p w14:paraId="7E4E4C36" w14:textId="77777777" w:rsidR="00A77716" w:rsidRPr="00F13073" w:rsidRDefault="00A77716"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3114"/>
        <w:gridCol w:w="2814"/>
        <w:gridCol w:w="2986"/>
      </w:tblGrid>
      <w:tr w:rsidR="00523DCB" w:rsidRPr="00F13073" w14:paraId="6DD75A8B" w14:textId="77777777" w:rsidTr="000F347D">
        <w:trPr>
          <w:cantSplit/>
          <w:tblHeader/>
        </w:trPr>
        <w:tc>
          <w:tcPr>
            <w:tcW w:w="3114" w:type="dxa"/>
            <w:tcBorders>
              <w:top w:val="single" w:sz="4" w:space="0" w:color="auto"/>
              <w:left w:val="single" w:sz="4" w:space="0" w:color="auto"/>
            </w:tcBorders>
          </w:tcPr>
          <w:p w14:paraId="1CCE9CE5" w14:textId="486BEF8F" w:rsidR="00523DCB" w:rsidRPr="00F13073" w:rsidRDefault="00523DCB" w:rsidP="008B4C50">
            <w:pPr>
              <w:keepNext/>
              <w:suppressAutoHyphens/>
              <w:rPr>
                <w:b/>
                <w:bCs/>
                <w:sz w:val="20"/>
                <w:szCs w:val="20"/>
              </w:rPr>
            </w:pPr>
            <w:r w:rsidRPr="00F13073">
              <w:rPr>
                <w:rStyle w:val="Other"/>
                <w:rFonts w:eastAsia="DengXian"/>
                <w:b/>
                <w:bCs/>
                <w:sz w:val="20"/>
                <w:szCs w:val="20"/>
              </w:rPr>
              <w:t xml:space="preserve">Parametr farmakokinetyczny </w:t>
            </w:r>
            <w:r w:rsidR="005B0A37" w:rsidRPr="00F13073">
              <w:rPr>
                <w:rStyle w:val="Other"/>
                <w:rFonts w:eastAsia="DengXian"/>
                <w:b/>
                <w:bCs/>
                <w:sz w:val="20"/>
                <w:szCs w:val="20"/>
              </w:rPr>
              <w:t>tocilizumabu</w:t>
            </w:r>
          </w:p>
        </w:tc>
        <w:tc>
          <w:tcPr>
            <w:tcW w:w="2814" w:type="dxa"/>
            <w:tcBorders>
              <w:top w:val="single" w:sz="4" w:space="0" w:color="auto"/>
              <w:left w:val="single" w:sz="4" w:space="0" w:color="auto"/>
            </w:tcBorders>
          </w:tcPr>
          <w:p w14:paraId="3D65B89C" w14:textId="77777777" w:rsidR="00523DCB" w:rsidRPr="00F13073" w:rsidRDefault="00523DCB" w:rsidP="005B0B61">
            <w:pPr>
              <w:keepNext/>
              <w:suppressAutoHyphens/>
              <w:jc w:val="center"/>
              <w:rPr>
                <w:b/>
                <w:bCs/>
                <w:sz w:val="20"/>
                <w:szCs w:val="20"/>
              </w:rPr>
            </w:pPr>
            <w:r w:rsidRPr="00F13073">
              <w:rPr>
                <w:b/>
                <w:bCs/>
                <w:sz w:val="20"/>
                <w:szCs w:val="20"/>
              </w:rPr>
              <w:t>162 mg Q2W ≥ 30 kg</w:t>
            </w:r>
          </w:p>
        </w:tc>
        <w:tc>
          <w:tcPr>
            <w:tcW w:w="2986" w:type="dxa"/>
            <w:tcBorders>
              <w:top w:val="single" w:sz="4" w:space="0" w:color="auto"/>
              <w:left w:val="single" w:sz="4" w:space="0" w:color="auto"/>
              <w:right w:val="single" w:sz="4" w:space="0" w:color="auto"/>
            </w:tcBorders>
          </w:tcPr>
          <w:p w14:paraId="02681417" w14:textId="77777777" w:rsidR="00523DCB" w:rsidRPr="00F13073" w:rsidRDefault="00523DCB" w:rsidP="005B0B61">
            <w:pPr>
              <w:keepNext/>
              <w:suppressAutoHyphens/>
              <w:jc w:val="center"/>
              <w:rPr>
                <w:b/>
                <w:bCs/>
                <w:sz w:val="20"/>
                <w:szCs w:val="20"/>
              </w:rPr>
            </w:pPr>
            <w:r w:rsidRPr="00F13073">
              <w:rPr>
                <w:b/>
                <w:bCs/>
                <w:sz w:val="20"/>
                <w:szCs w:val="20"/>
              </w:rPr>
              <w:t xml:space="preserve">162 mg Q3W </w:t>
            </w:r>
            <w:r w:rsidRPr="00F13073">
              <w:rPr>
                <w:rStyle w:val="Other"/>
                <w:rFonts w:eastAsia="DengXian"/>
                <w:b/>
                <w:bCs/>
                <w:sz w:val="20"/>
                <w:szCs w:val="20"/>
              </w:rPr>
              <w:t xml:space="preserve">poniżej </w:t>
            </w:r>
            <w:r w:rsidRPr="00F13073">
              <w:rPr>
                <w:b/>
                <w:bCs/>
                <w:sz w:val="20"/>
                <w:szCs w:val="20"/>
              </w:rPr>
              <w:t>30 kg</w:t>
            </w:r>
          </w:p>
        </w:tc>
      </w:tr>
      <w:tr w:rsidR="001E0975" w:rsidRPr="00F13073" w14:paraId="7A750F82" w14:textId="77777777" w:rsidTr="000F347D">
        <w:trPr>
          <w:cantSplit/>
          <w:tblHeader/>
        </w:trPr>
        <w:tc>
          <w:tcPr>
            <w:tcW w:w="3114" w:type="dxa"/>
            <w:tcBorders>
              <w:top w:val="single" w:sz="4" w:space="0" w:color="auto"/>
              <w:left w:val="single" w:sz="4" w:space="0" w:color="auto"/>
            </w:tcBorders>
          </w:tcPr>
          <w:p w14:paraId="79B97C6F" w14:textId="77777777" w:rsidR="001E0975" w:rsidRPr="00F13073" w:rsidRDefault="00611033"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814" w:type="dxa"/>
            <w:tcBorders>
              <w:top w:val="single" w:sz="4" w:space="0" w:color="auto"/>
              <w:left w:val="single" w:sz="4" w:space="0" w:color="auto"/>
            </w:tcBorders>
          </w:tcPr>
          <w:p w14:paraId="5BE79B7E" w14:textId="77777777" w:rsidR="001E0975" w:rsidRPr="00F13073" w:rsidRDefault="00611033" w:rsidP="005B0B61">
            <w:pPr>
              <w:suppressAutoHyphens/>
              <w:jc w:val="center"/>
              <w:rPr>
                <w:sz w:val="20"/>
                <w:szCs w:val="20"/>
              </w:rPr>
            </w:pPr>
            <w:r w:rsidRPr="00F13073">
              <w:rPr>
                <w:sz w:val="20"/>
                <w:szCs w:val="20"/>
              </w:rPr>
              <w:t>29</w:t>
            </w:r>
            <w:r w:rsidR="00523DCB" w:rsidRPr="00F13073">
              <w:rPr>
                <w:sz w:val="20"/>
                <w:szCs w:val="20"/>
              </w:rPr>
              <w:t>,</w:t>
            </w:r>
            <w:r w:rsidRPr="00F13073">
              <w:rPr>
                <w:sz w:val="20"/>
                <w:szCs w:val="20"/>
              </w:rPr>
              <w:t>4 ± 13</w:t>
            </w:r>
            <w:r w:rsidR="00523DCB" w:rsidRPr="00F13073">
              <w:rPr>
                <w:sz w:val="20"/>
                <w:szCs w:val="20"/>
              </w:rPr>
              <w:t>,</w:t>
            </w:r>
            <w:r w:rsidRPr="00F13073">
              <w:rPr>
                <w:sz w:val="20"/>
                <w:szCs w:val="20"/>
              </w:rPr>
              <w:t>5</w:t>
            </w:r>
          </w:p>
        </w:tc>
        <w:tc>
          <w:tcPr>
            <w:tcW w:w="2986" w:type="dxa"/>
            <w:tcBorders>
              <w:top w:val="single" w:sz="4" w:space="0" w:color="auto"/>
              <w:left w:val="single" w:sz="4" w:space="0" w:color="auto"/>
              <w:right w:val="single" w:sz="4" w:space="0" w:color="auto"/>
            </w:tcBorders>
          </w:tcPr>
          <w:p w14:paraId="5F4523A3" w14:textId="77777777" w:rsidR="001E0975" w:rsidRPr="00F13073" w:rsidRDefault="00611033" w:rsidP="005B0B61">
            <w:pPr>
              <w:suppressAutoHyphens/>
              <w:jc w:val="center"/>
              <w:rPr>
                <w:sz w:val="20"/>
                <w:szCs w:val="20"/>
              </w:rPr>
            </w:pPr>
            <w:r w:rsidRPr="00F13073">
              <w:rPr>
                <w:sz w:val="20"/>
                <w:szCs w:val="20"/>
              </w:rPr>
              <w:t>75</w:t>
            </w:r>
            <w:r w:rsidR="00523DCB" w:rsidRPr="00F13073">
              <w:rPr>
                <w:sz w:val="20"/>
                <w:szCs w:val="20"/>
              </w:rPr>
              <w:t>,</w:t>
            </w:r>
            <w:r w:rsidRPr="00F13073">
              <w:rPr>
                <w:sz w:val="20"/>
                <w:szCs w:val="20"/>
              </w:rPr>
              <w:t>5 ± 24</w:t>
            </w:r>
            <w:r w:rsidR="00523DCB" w:rsidRPr="00F13073">
              <w:rPr>
                <w:sz w:val="20"/>
                <w:szCs w:val="20"/>
              </w:rPr>
              <w:t>,</w:t>
            </w:r>
            <w:r w:rsidRPr="00F13073">
              <w:rPr>
                <w:sz w:val="20"/>
                <w:szCs w:val="20"/>
              </w:rPr>
              <w:t>1</w:t>
            </w:r>
          </w:p>
        </w:tc>
      </w:tr>
      <w:tr w:rsidR="001E0975" w:rsidRPr="00F13073" w14:paraId="3B7CA8DE" w14:textId="77777777" w:rsidTr="000F347D">
        <w:trPr>
          <w:cantSplit/>
          <w:tblHeader/>
        </w:trPr>
        <w:tc>
          <w:tcPr>
            <w:tcW w:w="3114" w:type="dxa"/>
            <w:tcBorders>
              <w:top w:val="single" w:sz="4" w:space="0" w:color="auto"/>
              <w:left w:val="single" w:sz="4" w:space="0" w:color="auto"/>
            </w:tcBorders>
          </w:tcPr>
          <w:p w14:paraId="77E0F29F" w14:textId="77777777" w:rsidR="001E0975" w:rsidRPr="00F13073" w:rsidRDefault="00611033" w:rsidP="008B4C50">
            <w:pPr>
              <w:suppressAutoHyphens/>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814" w:type="dxa"/>
            <w:tcBorders>
              <w:top w:val="single" w:sz="4" w:space="0" w:color="auto"/>
              <w:left w:val="single" w:sz="4" w:space="0" w:color="auto"/>
            </w:tcBorders>
          </w:tcPr>
          <w:p w14:paraId="0BC8BC78" w14:textId="77777777" w:rsidR="001E0975" w:rsidRPr="00F13073" w:rsidRDefault="00611033" w:rsidP="005B0B61">
            <w:pPr>
              <w:suppressAutoHyphens/>
              <w:jc w:val="center"/>
              <w:rPr>
                <w:sz w:val="20"/>
                <w:szCs w:val="20"/>
              </w:rPr>
            </w:pPr>
            <w:r w:rsidRPr="00F13073">
              <w:rPr>
                <w:sz w:val="20"/>
                <w:szCs w:val="20"/>
              </w:rPr>
              <w:t>11</w:t>
            </w:r>
            <w:r w:rsidR="00523DCB" w:rsidRPr="00F13073">
              <w:rPr>
                <w:sz w:val="20"/>
                <w:szCs w:val="20"/>
              </w:rPr>
              <w:t>,</w:t>
            </w:r>
            <w:r w:rsidRPr="00F13073">
              <w:rPr>
                <w:sz w:val="20"/>
                <w:szCs w:val="20"/>
              </w:rPr>
              <w:t>8 ± 7</w:t>
            </w:r>
            <w:r w:rsidR="00523DCB" w:rsidRPr="00F13073">
              <w:rPr>
                <w:sz w:val="20"/>
                <w:szCs w:val="20"/>
              </w:rPr>
              <w:t>,</w:t>
            </w:r>
            <w:r w:rsidRPr="00F13073">
              <w:rPr>
                <w:sz w:val="20"/>
                <w:szCs w:val="20"/>
              </w:rPr>
              <w:t>08</w:t>
            </w:r>
          </w:p>
        </w:tc>
        <w:tc>
          <w:tcPr>
            <w:tcW w:w="2986" w:type="dxa"/>
            <w:tcBorders>
              <w:top w:val="single" w:sz="4" w:space="0" w:color="auto"/>
              <w:left w:val="single" w:sz="4" w:space="0" w:color="auto"/>
              <w:right w:val="single" w:sz="4" w:space="0" w:color="auto"/>
            </w:tcBorders>
          </w:tcPr>
          <w:p w14:paraId="2EF30111" w14:textId="77777777" w:rsidR="001E0975" w:rsidRPr="00F13073" w:rsidRDefault="00611033" w:rsidP="005B0B61">
            <w:pPr>
              <w:suppressAutoHyphens/>
              <w:jc w:val="center"/>
              <w:rPr>
                <w:sz w:val="20"/>
                <w:szCs w:val="20"/>
              </w:rPr>
            </w:pPr>
            <w:r w:rsidRPr="00F13073">
              <w:rPr>
                <w:sz w:val="20"/>
                <w:szCs w:val="20"/>
              </w:rPr>
              <w:t>18</w:t>
            </w:r>
            <w:r w:rsidR="00523DCB" w:rsidRPr="00F13073">
              <w:rPr>
                <w:sz w:val="20"/>
                <w:szCs w:val="20"/>
              </w:rPr>
              <w:t>,</w:t>
            </w:r>
            <w:r w:rsidRPr="00F13073">
              <w:rPr>
                <w:sz w:val="20"/>
                <w:szCs w:val="20"/>
              </w:rPr>
              <w:t>4 ± 12</w:t>
            </w:r>
            <w:r w:rsidR="00523DCB" w:rsidRPr="00F13073">
              <w:rPr>
                <w:sz w:val="20"/>
                <w:szCs w:val="20"/>
              </w:rPr>
              <w:t>,</w:t>
            </w:r>
            <w:r w:rsidRPr="00F13073">
              <w:rPr>
                <w:sz w:val="20"/>
                <w:szCs w:val="20"/>
              </w:rPr>
              <w:t>9</w:t>
            </w:r>
          </w:p>
        </w:tc>
      </w:tr>
      <w:tr w:rsidR="00523DCB" w:rsidRPr="00F13073" w14:paraId="1CE08530" w14:textId="77777777" w:rsidTr="000F347D">
        <w:trPr>
          <w:cantSplit/>
          <w:tblHeader/>
        </w:trPr>
        <w:tc>
          <w:tcPr>
            <w:tcW w:w="3114" w:type="dxa"/>
            <w:tcBorders>
              <w:top w:val="single" w:sz="4" w:space="0" w:color="auto"/>
              <w:left w:val="single" w:sz="4" w:space="0" w:color="auto"/>
            </w:tcBorders>
          </w:tcPr>
          <w:p w14:paraId="38670F43" w14:textId="77777777" w:rsidR="00523DCB" w:rsidRPr="00F13073" w:rsidRDefault="00523DCB" w:rsidP="008B4C50">
            <w:pPr>
              <w:suppressAutoHyphens/>
              <w:rPr>
                <w:sz w:val="20"/>
                <w:szCs w:val="20"/>
              </w:rPr>
            </w:pPr>
            <w:r w:rsidRPr="00F13073">
              <w:rPr>
                <w:sz w:val="20"/>
                <w:szCs w:val="20"/>
              </w:rPr>
              <w:t>C</w:t>
            </w:r>
            <w:r w:rsidRPr="00F13073">
              <w:rPr>
                <w:sz w:val="20"/>
                <w:szCs w:val="20"/>
                <w:vertAlign w:val="subscript"/>
              </w:rPr>
              <w:t>średnie</w:t>
            </w:r>
            <w:r w:rsidRPr="00F13073">
              <w:rPr>
                <w:sz w:val="20"/>
                <w:szCs w:val="20"/>
              </w:rPr>
              <w:t xml:space="preserve"> (µg/mL)</w:t>
            </w:r>
          </w:p>
        </w:tc>
        <w:tc>
          <w:tcPr>
            <w:tcW w:w="2814" w:type="dxa"/>
            <w:tcBorders>
              <w:top w:val="single" w:sz="4" w:space="0" w:color="auto"/>
              <w:left w:val="single" w:sz="4" w:space="0" w:color="auto"/>
            </w:tcBorders>
          </w:tcPr>
          <w:p w14:paraId="64C1432C" w14:textId="77777777" w:rsidR="00523DCB" w:rsidRPr="00F13073" w:rsidRDefault="00523DCB" w:rsidP="005B0B61">
            <w:pPr>
              <w:suppressAutoHyphens/>
              <w:jc w:val="center"/>
              <w:rPr>
                <w:sz w:val="20"/>
                <w:szCs w:val="20"/>
              </w:rPr>
            </w:pPr>
            <w:r w:rsidRPr="00F13073">
              <w:rPr>
                <w:sz w:val="20"/>
                <w:szCs w:val="20"/>
              </w:rPr>
              <w:t>21,7 ± 10,4</w:t>
            </w:r>
          </w:p>
        </w:tc>
        <w:tc>
          <w:tcPr>
            <w:tcW w:w="2986" w:type="dxa"/>
            <w:tcBorders>
              <w:top w:val="single" w:sz="4" w:space="0" w:color="auto"/>
              <w:left w:val="single" w:sz="4" w:space="0" w:color="auto"/>
              <w:right w:val="single" w:sz="4" w:space="0" w:color="auto"/>
            </w:tcBorders>
          </w:tcPr>
          <w:p w14:paraId="653AD3E9" w14:textId="77777777" w:rsidR="00523DCB" w:rsidRPr="00F13073" w:rsidRDefault="00523DCB" w:rsidP="005B0B61">
            <w:pPr>
              <w:suppressAutoHyphens/>
              <w:jc w:val="center"/>
              <w:rPr>
                <w:sz w:val="20"/>
                <w:szCs w:val="20"/>
              </w:rPr>
            </w:pPr>
            <w:r w:rsidRPr="00F13073">
              <w:rPr>
                <w:sz w:val="20"/>
                <w:szCs w:val="20"/>
              </w:rPr>
              <w:t>45,5 ± 19,8</w:t>
            </w:r>
          </w:p>
        </w:tc>
      </w:tr>
      <w:tr w:rsidR="00523DCB" w:rsidRPr="00F13073" w14:paraId="2DCB8280" w14:textId="77777777" w:rsidTr="000F347D">
        <w:trPr>
          <w:cantSplit/>
          <w:tblHeader/>
        </w:trPr>
        <w:tc>
          <w:tcPr>
            <w:tcW w:w="3114" w:type="dxa"/>
            <w:tcBorders>
              <w:top w:val="single" w:sz="4" w:space="0" w:color="auto"/>
              <w:left w:val="single" w:sz="4" w:space="0" w:color="auto"/>
              <w:bottom w:val="single" w:sz="4" w:space="0" w:color="auto"/>
            </w:tcBorders>
          </w:tcPr>
          <w:p w14:paraId="6C62395C" w14:textId="77777777" w:rsidR="00523DCB" w:rsidRPr="00F13073" w:rsidRDefault="00523DCB"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max</w:t>
            </w:r>
          </w:p>
        </w:tc>
        <w:tc>
          <w:tcPr>
            <w:tcW w:w="2814" w:type="dxa"/>
            <w:tcBorders>
              <w:top w:val="single" w:sz="4" w:space="0" w:color="auto"/>
              <w:left w:val="single" w:sz="4" w:space="0" w:color="auto"/>
              <w:bottom w:val="single" w:sz="4" w:space="0" w:color="auto"/>
            </w:tcBorders>
          </w:tcPr>
          <w:p w14:paraId="0F3F5DBC" w14:textId="77777777" w:rsidR="00523DCB" w:rsidRPr="00F13073" w:rsidRDefault="00523DCB" w:rsidP="005B0B61">
            <w:pPr>
              <w:suppressAutoHyphens/>
              <w:jc w:val="center"/>
              <w:rPr>
                <w:sz w:val="20"/>
                <w:szCs w:val="20"/>
              </w:rPr>
            </w:pPr>
            <w:r w:rsidRPr="00F13073">
              <w:rPr>
                <w:sz w:val="20"/>
                <w:szCs w:val="20"/>
              </w:rPr>
              <w:t>1,72</w:t>
            </w:r>
          </w:p>
        </w:tc>
        <w:tc>
          <w:tcPr>
            <w:tcW w:w="2986" w:type="dxa"/>
            <w:tcBorders>
              <w:top w:val="single" w:sz="4" w:space="0" w:color="auto"/>
              <w:left w:val="single" w:sz="4" w:space="0" w:color="auto"/>
              <w:bottom w:val="single" w:sz="4" w:space="0" w:color="auto"/>
              <w:right w:val="single" w:sz="4" w:space="0" w:color="auto"/>
            </w:tcBorders>
          </w:tcPr>
          <w:p w14:paraId="0CFBAA93" w14:textId="77777777" w:rsidR="00523DCB" w:rsidRPr="00F13073" w:rsidRDefault="00523DCB" w:rsidP="005B0B61">
            <w:pPr>
              <w:suppressAutoHyphens/>
              <w:jc w:val="center"/>
              <w:rPr>
                <w:sz w:val="20"/>
                <w:szCs w:val="20"/>
              </w:rPr>
            </w:pPr>
            <w:r w:rsidRPr="00F13073">
              <w:rPr>
                <w:sz w:val="20"/>
                <w:szCs w:val="20"/>
              </w:rPr>
              <w:t>1,32</w:t>
            </w:r>
          </w:p>
        </w:tc>
      </w:tr>
      <w:tr w:rsidR="00523DCB" w:rsidRPr="00F13073" w14:paraId="7872E210" w14:textId="77777777" w:rsidTr="000F347D">
        <w:trPr>
          <w:cantSplit/>
          <w:tblHeader/>
        </w:trPr>
        <w:tc>
          <w:tcPr>
            <w:tcW w:w="3114" w:type="dxa"/>
            <w:tcBorders>
              <w:top w:val="single" w:sz="4" w:space="0" w:color="auto"/>
              <w:left w:val="single" w:sz="4" w:space="0" w:color="auto"/>
              <w:bottom w:val="single" w:sz="4" w:space="0" w:color="auto"/>
            </w:tcBorders>
          </w:tcPr>
          <w:p w14:paraId="735A2BB5" w14:textId="77777777" w:rsidR="00523DCB" w:rsidRPr="00F13073" w:rsidRDefault="00523DCB"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min</w:t>
            </w:r>
          </w:p>
        </w:tc>
        <w:tc>
          <w:tcPr>
            <w:tcW w:w="2814" w:type="dxa"/>
            <w:tcBorders>
              <w:top w:val="single" w:sz="4" w:space="0" w:color="auto"/>
              <w:left w:val="single" w:sz="4" w:space="0" w:color="auto"/>
              <w:bottom w:val="single" w:sz="4" w:space="0" w:color="auto"/>
            </w:tcBorders>
          </w:tcPr>
          <w:p w14:paraId="654BBC55" w14:textId="77777777" w:rsidR="00523DCB" w:rsidRPr="00F13073" w:rsidRDefault="00523DCB" w:rsidP="005B0B61">
            <w:pPr>
              <w:suppressAutoHyphens/>
              <w:jc w:val="center"/>
              <w:rPr>
                <w:sz w:val="20"/>
                <w:szCs w:val="20"/>
              </w:rPr>
            </w:pPr>
            <w:r w:rsidRPr="00F13073">
              <w:rPr>
                <w:sz w:val="20"/>
                <w:szCs w:val="20"/>
              </w:rPr>
              <w:t>3,58</w:t>
            </w:r>
          </w:p>
        </w:tc>
        <w:tc>
          <w:tcPr>
            <w:tcW w:w="2986" w:type="dxa"/>
            <w:tcBorders>
              <w:top w:val="single" w:sz="4" w:space="0" w:color="auto"/>
              <w:left w:val="single" w:sz="4" w:space="0" w:color="auto"/>
              <w:bottom w:val="single" w:sz="4" w:space="0" w:color="auto"/>
              <w:right w:val="single" w:sz="4" w:space="0" w:color="auto"/>
            </w:tcBorders>
          </w:tcPr>
          <w:p w14:paraId="2584F334" w14:textId="77777777" w:rsidR="00523DCB" w:rsidRPr="00F13073" w:rsidRDefault="00523DCB" w:rsidP="005B0B61">
            <w:pPr>
              <w:suppressAutoHyphens/>
              <w:jc w:val="center"/>
              <w:rPr>
                <w:sz w:val="20"/>
                <w:szCs w:val="20"/>
              </w:rPr>
            </w:pPr>
            <w:r w:rsidRPr="00F13073">
              <w:rPr>
                <w:sz w:val="20"/>
                <w:szCs w:val="20"/>
              </w:rPr>
              <w:t>2,08</w:t>
            </w:r>
          </w:p>
        </w:tc>
      </w:tr>
      <w:tr w:rsidR="001E0975" w:rsidRPr="00F13073" w14:paraId="2718E2A8" w14:textId="77777777" w:rsidTr="000F347D">
        <w:trPr>
          <w:cantSplit/>
          <w:tblHeader/>
        </w:trPr>
        <w:tc>
          <w:tcPr>
            <w:tcW w:w="3114" w:type="dxa"/>
            <w:tcBorders>
              <w:top w:val="single" w:sz="4" w:space="0" w:color="auto"/>
              <w:left w:val="single" w:sz="4" w:space="0" w:color="auto"/>
              <w:bottom w:val="single" w:sz="4" w:space="0" w:color="auto"/>
            </w:tcBorders>
          </w:tcPr>
          <w:p w14:paraId="6A576749" w14:textId="77777777" w:rsidR="001E0975" w:rsidRPr="00F13073" w:rsidRDefault="00523DCB" w:rsidP="00606798">
            <w:pPr>
              <w:keepNext/>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w:t>
            </w:r>
            <w:r w:rsidR="00611033" w:rsidRPr="00F13073">
              <w:rPr>
                <w:sz w:val="20"/>
                <w:szCs w:val="20"/>
              </w:rPr>
              <w:t>AUC</w:t>
            </w:r>
            <w:r w:rsidR="00611033" w:rsidRPr="00F13073">
              <w:rPr>
                <w:sz w:val="20"/>
                <w:szCs w:val="20"/>
                <w:vertAlign w:val="subscript"/>
              </w:rPr>
              <w:t>τ</w:t>
            </w:r>
            <w:r w:rsidR="00611033" w:rsidRPr="00F13073">
              <w:rPr>
                <w:sz w:val="20"/>
                <w:szCs w:val="20"/>
              </w:rPr>
              <w:t xml:space="preserve"> *</w:t>
            </w:r>
          </w:p>
        </w:tc>
        <w:tc>
          <w:tcPr>
            <w:tcW w:w="2814" w:type="dxa"/>
            <w:tcBorders>
              <w:top w:val="single" w:sz="4" w:space="0" w:color="auto"/>
              <w:left w:val="single" w:sz="4" w:space="0" w:color="auto"/>
              <w:bottom w:val="single" w:sz="4" w:space="0" w:color="auto"/>
            </w:tcBorders>
          </w:tcPr>
          <w:p w14:paraId="362255E1" w14:textId="77777777" w:rsidR="001E0975" w:rsidRPr="00F13073" w:rsidRDefault="00611033" w:rsidP="005B0B61">
            <w:pPr>
              <w:keepNext/>
              <w:suppressAutoHyphens/>
              <w:jc w:val="center"/>
              <w:rPr>
                <w:sz w:val="20"/>
                <w:szCs w:val="20"/>
              </w:rPr>
            </w:pPr>
            <w:r w:rsidRPr="00F13073">
              <w:rPr>
                <w:sz w:val="20"/>
                <w:szCs w:val="20"/>
              </w:rPr>
              <w:t>2</w:t>
            </w:r>
            <w:r w:rsidR="00523DCB" w:rsidRPr="00F13073">
              <w:rPr>
                <w:sz w:val="20"/>
                <w:szCs w:val="20"/>
              </w:rPr>
              <w:t>,</w:t>
            </w:r>
            <w:r w:rsidRPr="00F13073">
              <w:rPr>
                <w:sz w:val="20"/>
                <w:szCs w:val="20"/>
              </w:rPr>
              <w:t>04</w:t>
            </w:r>
          </w:p>
        </w:tc>
        <w:tc>
          <w:tcPr>
            <w:tcW w:w="2986" w:type="dxa"/>
            <w:tcBorders>
              <w:top w:val="single" w:sz="4" w:space="0" w:color="auto"/>
              <w:left w:val="single" w:sz="4" w:space="0" w:color="auto"/>
              <w:bottom w:val="single" w:sz="4" w:space="0" w:color="auto"/>
              <w:right w:val="single" w:sz="4" w:space="0" w:color="auto"/>
            </w:tcBorders>
          </w:tcPr>
          <w:p w14:paraId="5E4563F7" w14:textId="77777777" w:rsidR="001E0975" w:rsidRPr="00F13073" w:rsidRDefault="00611033" w:rsidP="005B0B61">
            <w:pPr>
              <w:keepNext/>
              <w:suppressAutoHyphens/>
              <w:jc w:val="center"/>
              <w:rPr>
                <w:sz w:val="20"/>
                <w:szCs w:val="20"/>
              </w:rPr>
            </w:pPr>
            <w:r w:rsidRPr="00F13073">
              <w:rPr>
                <w:sz w:val="20"/>
                <w:szCs w:val="20"/>
              </w:rPr>
              <w:t>1</w:t>
            </w:r>
            <w:r w:rsidR="00523DCB" w:rsidRPr="00F13073">
              <w:rPr>
                <w:sz w:val="20"/>
                <w:szCs w:val="20"/>
              </w:rPr>
              <w:t>,</w:t>
            </w:r>
            <w:r w:rsidRPr="00F13073">
              <w:rPr>
                <w:sz w:val="20"/>
                <w:szCs w:val="20"/>
              </w:rPr>
              <w:t>46</w:t>
            </w:r>
          </w:p>
        </w:tc>
      </w:tr>
    </w:tbl>
    <w:p w14:paraId="00BC1E67" w14:textId="77777777" w:rsidR="001E0975" w:rsidRPr="00F13073" w:rsidRDefault="00611033" w:rsidP="008B4C50">
      <w:pPr>
        <w:rPr>
          <w:sz w:val="18"/>
          <w:szCs w:val="18"/>
        </w:rPr>
      </w:pPr>
      <w:r w:rsidRPr="00F13073">
        <w:rPr>
          <w:sz w:val="18"/>
          <w:szCs w:val="18"/>
        </w:rPr>
        <w:t xml:space="preserve">*τ = </w:t>
      </w:r>
      <w:r w:rsidR="00567187" w:rsidRPr="00F13073">
        <w:rPr>
          <w:sz w:val="18"/>
          <w:szCs w:val="18"/>
        </w:rPr>
        <w:t>4 tygodnie dla schematów dożylnych, 2 tygodnie lub 3 tygodnie odpowiednio dla dwóch schematów podskórnych</w:t>
      </w:r>
    </w:p>
    <w:p w14:paraId="4BE700F3" w14:textId="77777777" w:rsidR="001E0975" w:rsidRPr="00F13073" w:rsidRDefault="001E0975" w:rsidP="008B4C50"/>
    <w:p w14:paraId="781C5892" w14:textId="77777777" w:rsidR="00D54FB6" w:rsidRPr="00F13073" w:rsidRDefault="00D54FB6" w:rsidP="008B4C50">
      <w:pPr>
        <w:pStyle w:val="a4"/>
        <w:widowControl/>
        <w:spacing w:after="0"/>
        <w:rPr>
          <w:rStyle w:val="Char"/>
        </w:rPr>
      </w:pPr>
      <w:r w:rsidRPr="00F13073">
        <w:rPr>
          <w:rStyle w:val="Char"/>
        </w:rPr>
        <w:t>Po podaniu dożylnym około 90% stanu stacjonarnego osiągano do tygodnia 12. dla dawki 10 mg/kg mc. (masa ciała &lt; 30 kg) i do tygodnia 16. dla dawki 8 mg/kg mc. (masa ciała ≥ 30 kg). Po podaniu podskórnym około 90% stanu stacjonarnego osiągano do tygodnia 12., zarówno w schemacie dawkowania 162 mg Q2W, jak i Q3W.</w:t>
      </w:r>
    </w:p>
    <w:p w14:paraId="727ECCBA" w14:textId="77777777" w:rsidR="00D54FB6" w:rsidRPr="00F13073" w:rsidRDefault="00D54FB6" w:rsidP="008B4C50">
      <w:pPr>
        <w:pStyle w:val="a4"/>
        <w:widowControl/>
        <w:spacing w:after="0"/>
      </w:pPr>
    </w:p>
    <w:p w14:paraId="0580E6CC" w14:textId="77777777" w:rsidR="00D54FB6" w:rsidRPr="00F13073" w:rsidRDefault="00D54FB6" w:rsidP="008B4C50">
      <w:pPr>
        <w:pStyle w:val="a4"/>
        <w:widowControl/>
        <w:spacing w:after="0"/>
      </w:pPr>
      <w:r w:rsidRPr="00F13073">
        <w:rPr>
          <w:rStyle w:val="Char"/>
          <w:u w:val="single"/>
        </w:rPr>
        <w:t>Wchłanianie</w:t>
      </w:r>
    </w:p>
    <w:p w14:paraId="3D22D0E3" w14:textId="77777777" w:rsidR="00D54FB6" w:rsidRPr="00F13073" w:rsidRDefault="00D54FB6" w:rsidP="008B4C50">
      <w:pPr>
        <w:pStyle w:val="a4"/>
        <w:widowControl/>
        <w:spacing w:after="0"/>
        <w:rPr>
          <w:rStyle w:val="Char"/>
        </w:rPr>
      </w:pPr>
      <w:r w:rsidRPr="00F13073">
        <w:rPr>
          <w:rStyle w:val="Char"/>
        </w:rPr>
        <w:t>Po podskórnym podaniu leku pacjentom z wMIZS, okres półtrwania wchłaniania wyniósł około 2 dni, a biodostępność postaci podskórnej u pacjentów z wMIZS wyniosła 96%.</w:t>
      </w:r>
    </w:p>
    <w:p w14:paraId="7BB477D1" w14:textId="77777777" w:rsidR="00D54FB6" w:rsidRPr="00F13073" w:rsidRDefault="00D54FB6" w:rsidP="008B4C50">
      <w:pPr>
        <w:pStyle w:val="a4"/>
        <w:widowControl/>
        <w:spacing w:after="0"/>
      </w:pPr>
    </w:p>
    <w:p w14:paraId="55658795" w14:textId="77777777" w:rsidR="00D54FB6" w:rsidRPr="00F13073" w:rsidRDefault="00D54FB6" w:rsidP="008B4C50">
      <w:pPr>
        <w:pStyle w:val="a4"/>
        <w:widowControl/>
        <w:spacing w:after="0"/>
      </w:pPr>
      <w:r w:rsidRPr="00F13073">
        <w:rPr>
          <w:rStyle w:val="Char"/>
          <w:u w:val="single"/>
        </w:rPr>
        <w:t>Dystrybucja</w:t>
      </w:r>
    </w:p>
    <w:p w14:paraId="330F464E" w14:textId="77777777" w:rsidR="00D54FB6" w:rsidRPr="00F13073" w:rsidRDefault="00D54FB6" w:rsidP="008B4C50">
      <w:pPr>
        <w:pStyle w:val="a4"/>
        <w:widowControl/>
        <w:spacing w:after="0"/>
        <w:rPr>
          <w:rStyle w:val="Char"/>
        </w:rPr>
      </w:pPr>
      <w:r w:rsidRPr="00F13073">
        <w:rPr>
          <w:rStyle w:val="Char"/>
        </w:rPr>
        <w:t>U dzieci i młodzieży z wMIZS, objętość dystrybucji w kompartmencie centralnym wyniosła 1,97 l, objętość dystrybucji w kompartmencie obwodowym wyniosła 2,03 l, co w efekcie oznaczało objętość dystrybucji w stanie równowagi wynoszącą 4,0 l.</w:t>
      </w:r>
    </w:p>
    <w:p w14:paraId="6C08FCBE" w14:textId="77777777" w:rsidR="00D54FB6" w:rsidRPr="00F13073" w:rsidRDefault="00D54FB6" w:rsidP="008B4C50">
      <w:pPr>
        <w:pStyle w:val="a4"/>
        <w:widowControl/>
        <w:spacing w:after="0"/>
      </w:pPr>
    </w:p>
    <w:p w14:paraId="2FD50022" w14:textId="77777777" w:rsidR="00D54FB6" w:rsidRPr="00F13073" w:rsidRDefault="00D54FB6" w:rsidP="008B4C50">
      <w:pPr>
        <w:pStyle w:val="a4"/>
        <w:widowControl/>
        <w:spacing w:after="0"/>
      </w:pPr>
      <w:r w:rsidRPr="00F13073">
        <w:rPr>
          <w:rStyle w:val="Char"/>
          <w:u w:val="single"/>
        </w:rPr>
        <w:t>Eliminacja</w:t>
      </w:r>
    </w:p>
    <w:p w14:paraId="1972DC9D" w14:textId="77777777" w:rsidR="00D54FB6" w:rsidRPr="00F13073" w:rsidRDefault="00D54FB6" w:rsidP="008B4C50">
      <w:pPr>
        <w:pStyle w:val="a4"/>
        <w:widowControl/>
        <w:spacing w:after="0"/>
        <w:rPr>
          <w:rStyle w:val="Char"/>
        </w:rPr>
      </w:pPr>
      <w:r w:rsidRPr="00F13073">
        <w:rPr>
          <w:rStyle w:val="Char"/>
        </w:rPr>
        <w:t>Analiza farmakokinetyczna populacji pacjentów z wMIZS wykazała zależność klirensu liniowego od wielkości ciała, dlatego należy wziąć pod uwagę ustalenie dawkowania z uwzględnieniem masy ciała (patrz Tabela 9).</w:t>
      </w:r>
    </w:p>
    <w:p w14:paraId="668638B7" w14:textId="77777777" w:rsidR="00D54FB6" w:rsidRPr="00F13073" w:rsidRDefault="00D54FB6" w:rsidP="008B4C50">
      <w:pPr>
        <w:pStyle w:val="a4"/>
        <w:widowControl/>
        <w:spacing w:after="0"/>
      </w:pPr>
    </w:p>
    <w:p w14:paraId="463AC1D6" w14:textId="7386660F" w:rsidR="00D54FB6" w:rsidRPr="00F13073" w:rsidRDefault="00D54FB6" w:rsidP="008B4C50">
      <w:pPr>
        <w:pStyle w:val="a4"/>
        <w:widowControl/>
        <w:spacing w:after="0"/>
        <w:rPr>
          <w:rStyle w:val="Char"/>
        </w:rPr>
      </w:pPr>
      <w:r w:rsidRPr="00F13073">
        <w:rPr>
          <w:rStyle w:val="Char"/>
        </w:rPr>
        <w:lastRenderedPageBreak/>
        <w:t>Po podaniu podskórnym efektywny okres półtrwania t</w:t>
      </w:r>
      <w:r w:rsidRPr="00F13073">
        <w:rPr>
          <w:rStyle w:val="Char"/>
          <w:vertAlign w:val="subscript"/>
        </w:rPr>
        <w:t>1/2</w:t>
      </w:r>
      <w:r w:rsidRPr="00F13073">
        <w:rPr>
          <w:rStyle w:val="Char"/>
          <w:sz w:val="14"/>
          <w:szCs w:val="14"/>
        </w:rPr>
        <w:t xml:space="preserve"> </w:t>
      </w:r>
      <w:r w:rsidR="00EB1D74" w:rsidRPr="00F13073">
        <w:rPr>
          <w:rStyle w:val="Char"/>
        </w:rPr>
        <w:t xml:space="preserve">tocilizumabu </w:t>
      </w:r>
      <w:r w:rsidRPr="00F13073">
        <w:rPr>
          <w:rStyle w:val="Char"/>
        </w:rPr>
        <w:t>u pacjentów z wMIZS wynosi do 10 dni dla pacjentów o masie ciała &lt; 30 kg (162 mg podskórnie Q3W) i do 7 dni dla pacjentów o masie ciała &gt;= 30 kg (162 mg podskórnie Q2W) podczas odstępu między dawkami w stanie stacjonarnym. Po podaniu dożylnym tocilizumab podlega dwufazowej eliminacji z krążenia. Całkowity klirens tocilizumabu był zależny od stężenia i jest on sumą klirensu liniowego i nieliniowego. Klirens liniowy był szacowany jako parametr w analizie farmakokinetyki populacyjnej i wyniósł 6,25 mL/h. Nieliniowy klirens zależny od stężenia odgrywa ważną rolę przy małych stężeniach tocilizumabu. Po wysyceniu szlaku klirensu nieliniowego, przy większych stężeniach tocilizumabu klirens zależy głównie od klirensu liniowego.</w:t>
      </w:r>
    </w:p>
    <w:p w14:paraId="572B0429" w14:textId="77777777" w:rsidR="00D54FB6" w:rsidRPr="00F13073" w:rsidRDefault="00D54FB6" w:rsidP="008B4C50">
      <w:pPr>
        <w:pStyle w:val="a4"/>
        <w:widowControl/>
        <w:spacing w:after="0"/>
      </w:pPr>
    </w:p>
    <w:p w14:paraId="284B756F" w14:textId="77777777" w:rsidR="00D54FB6" w:rsidRPr="00F13073" w:rsidRDefault="00D54FB6" w:rsidP="008B4C50">
      <w:pPr>
        <w:pStyle w:val="a4"/>
        <w:widowControl/>
        <w:spacing w:after="0"/>
      </w:pPr>
      <w:r w:rsidRPr="00F13073">
        <w:rPr>
          <w:rStyle w:val="Char"/>
          <w:u w:val="single"/>
        </w:rPr>
        <w:t>GCA</w:t>
      </w:r>
    </w:p>
    <w:p w14:paraId="71E4E34F" w14:textId="77777777" w:rsidR="00D54FB6" w:rsidRPr="00F13073" w:rsidRDefault="00D54FB6" w:rsidP="008B4C50">
      <w:pPr>
        <w:pStyle w:val="a4"/>
        <w:widowControl/>
        <w:spacing w:after="0"/>
      </w:pPr>
      <w:r w:rsidRPr="00F13073">
        <w:rPr>
          <w:rStyle w:val="Char"/>
          <w:u w:val="single"/>
        </w:rPr>
        <w:t>Stosowanie podskórne</w:t>
      </w:r>
    </w:p>
    <w:p w14:paraId="74F1528B" w14:textId="19F46BA9" w:rsidR="00A77716" w:rsidRPr="00F13073" w:rsidRDefault="00D54FB6" w:rsidP="00CD246D">
      <w:r w:rsidRPr="00F13073">
        <w:rPr>
          <w:rStyle w:val="Char"/>
          <w:rFonts w:eastAsia="DengXian"/>
        </w:rPr>
        <w:t xml:space="preserve">Właściwości farmakokinetyczne </w:t>
      </w:r>
      <w:r w:rsidR="00EB1D74" w:rsidRPr="00F13073">
        <w:rPr>
          <w:rStyle w:val="Char"/>
          <w:rFonts w:eastAsia="DengXian"/>
        </w:rPr>
        <w:t xml:space="preserve">tocilizumabu </w:t>
      </w:r>
      <w:r w:rsidRPr="00F13073">
        <w:rPr>
          <w:rStyle w:val="Char"/>
          <w:rFonts w:eastAsia="DengXian"/>
        </w:rPr>
        <w:t>u pacjentów z GCA określano za pomocą modelu farmakokinetyki populacyjnej na podstawie zbioru danych pochodzących od 149 pacjentów z GCA leczonych dawką 162 mg podawaną podskórnie raz w tygodniu lub dawką 162</w:t>
      </w:r>
      <w:r w:rsidR="00CD246D" w:rsidRPr="00F13073">
        <w:rPr>
          <w:rStyle w:val="Char"/>
          <w:rFonts w:eastAsia="DengXian"/>
        </w:rPr>
        <w:t> </w:t>
      </w:r>
      <w:r w:rsidRPr="00F13073">
        <w:rPr>
          <w:rStyle w:val="Char"/>
          <w:rFonts w:eastAsia="DengXian"/>
        </w:rPr>
        <w:t>mg podawaną podskórnie raz na dwa tygodnie. Opracowany model miał taką samą strukturę jak model farmakokinetyki populacyjnej opracowany wcześniej na podstawie danych pochodzących od pacjentów z RZS (patrz Tabela 10)</w:t>
      </w:r>
    </w:p>
    <w:p w14:paraId="68F8A0A5" w14:textId="77777777" w:rsidR="00A77716" w:rsidRPr="00F13073" w:rsidRDefault="00A77716" w:rsidP="008B4C50"/>
    <w:p w14:paraId="2537C76A" w14:textId="77777777" w:rsidR="009F5747" w:rsidRPr="00F13073" w:rsidRDefault="00611033" w:rsidP="008B4C50">
      <w:pPr>
        <w:keepNext/>
        <w:ind w:left="1134" w:hanging="1134"/>
        <w:rPr>
          <w:i/>
          <w:iCs/>
        </w:rPr>
      </w:pPr>
      <w:r w:rsidRPr="00F13073">
        <w:rPr>
          <w:i/>
          <w:iCs/>
        </w:rPr>
        <w:t>Tab</w:t>
      </w:r>
      <w:r w:rsidR="00574EF6" w:rsidRPr="00F13073">
        <w:rPr>
          <w:i/>
          <w:iCs/>
        </w:rPr>
        <w:t>e</w:t>
      </w:r>
      <w:r w:rsidRPr="00F13073">
        <w:rPr>
          <w:i/>
          <w:iCs/>
        </w:rPr>
        <w:t>l</w:t>
      </w:r>
      <w:r w:rsidR="009F5747" w:rsidRPr="00F13073">
        <w:rPr>
          <w:i/>
          <w:iCs/>
        </w:rPr>
        <w:t>a</w:t>
      </w:r>
      <w:r w:rsidRPr="00F13073">
        <w:rPr>
          <w:i/>
          <w:iCs/>
        </w:rPr>
        <w:t xml:space="preserve"> 10.</w:t>
      </w:r>
      <w:r w:rsidR="00A77716" w:rsidRPr="00F13073">
        <w:rPr>
          <w:i/>
          <w:iCs/>
        </w:rPr>
        <w:tab/>
      </w:r>
      <w:r w:rsidR="009F5747" w:rsidRPr="00F13073">
        <w:rPr>
          <w:i/>
          <w:iCs/>
        </w:rPr>
        <w:t>Przewidywane wartości średnie ± SD parametrów farmakokinetycznych w stanie</w:t>
      </w:r>
    </w:p>
    <w:p w14:paraId="67E9EF71" w14:textId="77777777" w:rsidR="001E0975" w:rsidRPr="00F13073" w:rsidRDefault="009F5747" w:rsidP="00606798">
      <w:pPr>
        <w:keepNext/>
        <w:ind w:left="2268" w:hanging="1134"/>
        <w:rPr>
          <w:i/>
          <w:iCs/>
        </w:rPr>
      </w:pPr>
      <w:r w:rsidRPr="00F13073">
        <w:rPr>
          <w:i/>
          <w:iCs/>
        </w:rPr>
        <w:t>stacjonarnym po podskórnym podaniu dawki w GCA</w:t>
      </w:r>
    </w:p>
    <w:p w14:paraId="1493BC43" w14:textId="77777777" w:rsidR="00A77716" w:rsidRPr="00F13073" w:rsidRDefault="00A77716" w:rsidP="008B4C50">
      <w:pPr>
        <w:keepNext/>
        <w:ind w:left="1134" w:hanging="1134"/>
        <w:rPr>
          <w:i/>
          <w:iCs/>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732"/>
        <w:gridCol w:w="1483"/>
        <w:gridCol w:w="2611"/>
      </w:tblGrid>
      <w:tr w:rsidR="001E0975" w:rsidRPr="00F13073" w14:paraId="4C8CBEA6" w14:textId="77777777" w:rsidTr="00CD246D">
        <w:trPr>
          <w:cantSplit/>
          <w:trHeight w:hRule="exact" w:val="470"/>
          <w:tblHeader/>
        </w:trPr>
        <w:tc>
          <w:tcPr>
            <w:tcW w:w="4732" w:type="dxa"/>
            <w:tcBorders>
              <w:top w:val="single" w:sz="4" w:space="0" w:color="auto"/>
              <w:left w:val="single" w:sz="4" w:space="0" w:color="auto"/>
            </w:tcBorders>
          </w:tcPr>
          <w:p w14:paraId="02AA13A3" w14:textId="77777777" w:rsidR="001E0975" w:rsidRPr="00F13073" w:rsidRDefault="001E0975" w:rsidP="008B4C50">
            <w:pPr>
              <w:keepNext/>
              <w:rPr>
                <w:b/>
                <w:bCs/>
                <w:sz w:val="20"/>
                <w:szCs w:val="20"/>
              </w:rPr>
            </w:pPr>
          </w:p>
        </w:tc>
        <w:tc>
          <w:tcPr>
            <w:tcW w:w="4094" w:type="dxa"/>
            <w:gridSpan w:val="2"/>
            <w:tcBorders>
              <w:top w:val="single" w:sz="4" w:space="0" w:color="auto"/>
              <w:left w:val="single" w:sz="4" w:space="0" w:color="auto"/>
              <w:right w:val="single" w:sz="4" w:space="0" w:color="auto"/>
            </w:tcBorders>
          </w:tcPr>
          <w:p w14:paraId="51BFF7A8" w14:textId="77777777" w:rsidR="001E0975" w:rsidRPr="00F13073" w:rsidRDefault="0075027E" w:rsidP="005B0B61">
            <w:pPr>
              <w:keepNext/>
              <w:jc w:val="center"/>
              <w:rPr>
                <w:b/>
                <w:bCs/>
                <w:sz w:val="20"/>
                <w:szCs w:val="20"/>
              </w:rPr>
            </w:pPr>
            <w:r w:rsidRPr="00F13073">
              <w:rPr>
                <w:b/>
                <w:bCs/>
                <w:sz w:val="20"/>
                <w:szCs w:val="20"/>
              </w:rPr>
              <w:t>Podanie podskórne</w:t>
            </w:r>
          </w:p>
        </w:tc>
      </w:tr>
      <w:tr w:rsidR="001E0975" w:rsidRPr="00F13073" w14:paraId="2C1F5024" w14:textId="77777777" w:rsidTr="00CD246D">
        <w:trPr>
          <w:cantSplit/>
          <w:trHeight w:hRule="exact" w:val="638"/>
          <w:tblHeader/>
        </w:trPr>
        <w:tc>
          <w:tcPr>
            <w:tcW w:w="4732" w:type="dxa"/>
            <w:tcBorders>
              <w:top w:val="single" w:sz="4" w:space="0" w:color="auto"/>
              <w:left w:val="single" w:sz="4" w:space="0" w:color="auto"/>
            </w:tcBorders>
          </w:tcPr>
          <w:p w14:paraId="4E7AD63F" w14:textId="77777777" w:rsidR="001E0975" w:rsidRPr="00F13073" w:rsidRDefault="0075027E" w:rsidP="008B4C50">
            <w:pPr>
              <w:keepNext/>
              <w:rPr>
                <w:b/>
                <w:bCs/>
                <w:sz w:val="20"/>
                <w:szCs w:val="20"/>
              </w:rPr>
            </w:pPr>
            <w:r w:rsidRPr="00F13073">
              <w:rPr>
                <w:b/>
                <w:bCs/>
                <w:sz w:val="20"/>
                <w:szCs w:val="20"/>
              </w:rPr>
              <w:t>Parametr farmakokinetyczny tocilizumabu</w:t>
            </w:r>
          </w:p>
        </w:tc>
        <w:tc>
          <w:tcPr>
            <w:tcW w:w="1483" w:type="dxa"/>
            <w:tcBorders>
              <w:top w:val="single" w:sz="4" w:space="0" w:color="auto"/>
              <w:left w:val="single" w:sz="4" w:space="0" w:color="auto"/>
            </w:tcBorders>
          </w:tcPr>
          <w:p w14:paraId="597A16F6" w14:textId="77777777" w:rsidR="001E0975" w:rsidRPr="00F13073" w:rsidRDefault="00611033" w:rsidP="005B0B61">
            <w:pPr>
              <w:keepNext/>
              <w:jc w:val="center"/>
              <w:rPr>
                <w:b/>
                <w:bCs/>
                <w:sz w:val="20"/>
                <w:szCs w:val="20"/>
              </w:rPr>
            </w:pPr>
            <w:r w:rsidRPr="00F13073">
              <w:rPr>
                <w:b/>
                <w:bCs/>
                <w:sz w:val="20"/>
                <w:szCs w:val="20"/>
              </w:rPr>
              <w:t xml:space="preserve">162 mg </w:t>
            </w:r>
            <w:r w:rsidR="0075027E" w:rsidRPr="00F13073">
              <w:rPr>
                <w:b/>
                <w:bCs/>
                <w:sz w:val="20"/>
                <w:szCs w:val="20"/>
              </w:rPr>
              <w:t>co dwa tygodnie</w:t>
            </w:r>
          </w:p>
        </w:tc>
        <w:tc>
          <w:tcPr>
            <w:tcW w:w="2611" w:type="dxa"/>
            <w:tcBorders>
              <w:top w:val="single" w:sz="4" w:space="0" w:color="auto"/>
              <w:left w:val="single" w:sz="4" w:space="0" w:color="auto"/>
              <w:right w:val="single" w:sz="4" w:space="0" w:color="auto"/>
            </w:tcBorders>
          </w:tcPr>
          <w:p w14:paraId="3BCFC0AC" w14:textId="77777777" w:rsidR="001E0975" w:rsidRPr="00F13073" w:rsidRDefault="00611033" w:rsidP="005B0B61">
            <w:pPr>
              <w:keepNext/>
              <w:jc w:val="center"/>
              <w:rPr>
                <w:b/>
                <w:bCs/>
                <w:sz w:val="20"/>
                <w:szCs w:val="20"/>
              </w:rPr>
            </w:pPr>
            <w:r w:rsidRPr="00F13073">
              <w:rPr>
                <w:b/>
                <w:bCs/>
                <w:sz w:val="20"/>
                <w:szCs w:val="20"/>
              </w:rPr>
              <w:t xml:space="preserve">162 mg </w:t>
            </w:r>
            <w:r w:rsidR="0075027E" w:rsidRPr="00F13073">
              <w:rPr>
                <w:b/>
                <w:bCs/>
                <w:sz w:val="20"/>
                <w:szCs w:val="20"/>
              </w:rPr>
              <w:t>co tydzień</w:t>
            </w:r>
          </w:p>
        </w:tc>
      </w:tr>
      <w:tr w:rsidR="001E0975" w:rsidRPr="00F13073" w14:paraId="29DD9FC2" w14:textId="77777777" w:rsidTr="00CD246D">
        <w:trPr>
          <w:cantSplit/>
          <w:trHeight w:hRule="exact" w:val="379"/>
          <w:tblHeader/>
        </w:trPr>
        <w:tc>
          <w:tcPr>
            <w:tcW w:w="4732" w:type="dxa"/>
            <w:tcBorders>
              <w:top w:val="single" w:sz="4" w:space="0" w:color="auto"/>
              <w:left w:val="single" w:sz="4" w:space="0" w:color="auto"/>
            </w:tcBorders>
          </w:tcPr>
          <w:p w14:paraId="48523DC2" w14:textId="77777777" w:rsidR="001E0975" w:rsidRPr="00F13073" w:rsidRDefault="00611033" w:rsidP="008B4C50">
            <w:pPr>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1483" w:type="dxa"/>
            <w:tcBorders>
              <w:top w:val="single" w:sz="4" w:space="0" w:color="auto"/>
              <w:left w:val="single" w:sz="4" w:space="0" w:color="auto"/>
            </w:tcBorders>
          </w:tcPr>
          <w:p w14:paraId="16181CA9" w14:textId="77777777" w:rsidR="001E0975" w:rsidRPr="00F13073" w:rsidRDefault="00611033" w:rsidP="005B0B61">
            <w:pPr>
              <w:jc w:val="center"/>
              <w:rPr>
                <w:sz w:val="20"/>
                <w:szCs w:val="20"/>
              </w:rPr>
            </w:pPr>
            <w:r w:rsidRPr="00F13073">
              <w:rPr>
                <w:sz w:val="20"/>
                <w:szCs w:val="20"/>
              </w:rPr>
              <w:t>19</w:t>
            </w:r>
            <w:r w:rsidR="00D76FEF" w:rsidRPr="00F13073">
              <w:rPr>
                <w:sz w:val="20"/>
                <w:szCs w:val="20"/>
              </w:rPr>
              <w:t>,</w:t>
            </w:r>
            <w:r w:rsidRPr="00F13073">
              <w:rPr>
                <w:sz w:val="20"/>
                <w:szCs w:val="20"/>
              </w:rPr>
              <w:t>3 ± 12</w:t>
            </w:r>
            <w:r w:rsidR="00D76FEF" w:rsidRPr="00F13073">
              <w:rPr>
                <w:sz w:val="20"/>
                <w:szCs w:val="20"/>
              </w:rPr>
              <w:t>,</w:t>
            </w:r>
            <w:r w:rsidRPr="00F13073">
              <w:rPr>
                <w:sz w:val="20"/>
                <w:szCs w:val="20"/>
              </w:rPr>
              <w:t>8</w:t>
            </w:r>
          </w:p>
        </w:tc>
        <w:tc>
          <w:tcPr>
            <w:tcW w:w="2611" w:type="dxa"/>
            <w:tcBorders>
              <w:top w:val="single" w:sz="4" w:space="0" w:color="auto"/>
              <w:left w:val="single" w:sz="4" w:space="0" w:color="auto"/>
              <w:right w:val="single" w:sz="4" w:space="0" w:color="auto"/>
            </w:tcBorders>
          </w:tcPr>
          <w:p w14:paraId="3610496D" w14:textId="77777777" w:rsidR="001E0975" w:rsidRPr="00F13073" w:rsidRDefault="00611033" w:rsidP="005B0B61">
            <w:pPr>
              <w:jc w:val="center"/>
              <w:rPr>
                <w:sz w:val="20"/>
                <w:szCs w:val="20"/>
              </w:rPr>
            </w:pPr>
            <w:r w:rsidRPr="00F13073">
              <w:rPr>
                <w:sz w:val="20"/>
                <w:szCs w:val="20"/>
              </w:rPr>
              <w:t>73 ± 30</w:t>
            </w:r>
            <w:r w:rsidR="00D76FEF" w:rsidRPr="00F13073">
              <w:rPr>
                <w:sz w:val="20"/>
                <w:szCs w:val="20"/>
              </w:rPr>
              <w:t>,</w:t>
            </w:r>
            <w:r w:rsidRPr="00F13073">
              <w:rPr>
                <w:sz w:val="20"/>
                <w:szCs w:val="20"/>
              </w:rPr>
              <w:t>4</w:t>
            </w:r>
          </w:p>
        </w:tc>
      </w:tr>
      <w:tr w:rsidR="001E0975" w:rsidRPr="00F13073" w14:paraId="22857C4B" w14:textId="77777777" w:rsidTr="00CD246D">
        <w:trPr>
          <w:cantSplit/>
          <w:trHeight w:hRule="exact" w:val="384"/>
          <w:tblHeader/>
        </w:trPr>
        <w:tc>
          <w:tcPr>
            <w:tcW w:w="4732" w:type="dxa"/>
            <w:tcBorders>
              <w:top w:val="single" w:sz="4" w:space="0" w:color="auto"/>
              <w:left w:val="single" w:sz="4" w:space="0" w:color="auto"/>
            </w:tcBorders>
          </w:tcPr>
          <w:p w14:paraId="3646A20E" w14:textId="77777777" w:rsidR="001E0975" w:rsidRPr="00F13073" w:rsidRDefault="00611033" w:rsidP="008B4C50">
            <w:pPr>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1483" w:type="dxa"/>
            <w:tcBorders>
              <w:top w:val="single" w:sz="4" w:space="0" w:color="auto"/>
              <w:left w:val="single" w:sz="4" w:space="0" w:color="auto"/>
            </w:tcBorders>
          </w:tcPr>
          <w:p w14:paraId="4EC3BEFD" w14:textId="77777777" w:rsidR="001E0975" w:rsidRPr="00F13073" w:rsidRDefault="00611033" w:rsidP="005B0B61">
            <w:pPr>
              <w:jc w:val="center"/>
              <w:rPr>
                <w:sz w:val="20"/>
                <w:szCs w:val="20"/>
              </w:rPr>
            </w:pPr>
            <w:r w:rsidRPr="00F13073">
              <w:rPr>
                <w:sz w:val="20"/>
                <w:szCs w:val="20"/>
              </w:rPr>
              <w:t>11</w:t>
            </w:r>
            <w:r w:rsidR="00D76FEF" w:rsidRPr="00F13073">
              <w:rPr>
                <w:sz w:val="20"/>
                <w:szCs w:val="20"/>
              </w:rPr>
              <w:t>,</w:t>
            </w:r>
            <w:r w:rsidRPr="00F13073">
              <w:rPr>
                <w:sz w:val="20"/>
                <w:szCs w:val="20"/>
              </w:rPr>
              <w:t>1 ± 10</w:t>
            </w:r>
            <w:r w:rsidR="00D76FEF" w:rsidRPr="00F13073">
              <w:rPr>
                <w:sz w:val="20"/>
                <w:szCs w:val="20"/>
              </w:rPr>
              <w:t>,</w:t>
            </w:r>
            <w:r w:rsidRPr="00F13073">
              <w:rPr>
                <w:sz w:val="20"/>
                <w:szCs w:val="20"/>
              </w:rPr>
              <w:t>3</w:t>
            </w:r>
          </w:p>
        </w:tc>
        <w:tc>
          <w:tcPr>
            <w:tcW w:w="2611" w:type="dxa"/>
            <w:tcBorders>
              <w:top w:val="single" w:sz="4" w:space="0" w:color="auto"/>
              <w:left w:val="single" w:sz="4" w:space="0" w:color="auto"/>
              <w:right w:val="single" w:sz="4" w:space="0" w:color="auto"/>
            </w:tcBorders>
          </w:tcPr>
          <w:p w14:paraId="4682C9D3" w14:textId="77777777" w:rsidR="001E0975" w:rsidRPr="00F13073" w:rsidRDefault="00611033" w:rsidP="005B0B61">
            <w:pPr>
              <w:jc w:val="center"/>
              <w:rPr>
                <w:sz w:val="20"/>
                <w:szCs w:val="20"/>
              </w:rPr>
            </w:pPr>
            <w:r w:rsidRPr="00F13073">
              <w:rPr>
                <w:sz w:val="20"/>
                <w:szCs w:val="20"/>
              </w:rPr>
              <w:t>68</w:t>
            </w:r>
            <w:r w:rsidR="00D76FEF" w:rsidRPr="00F13073">
              <w:rPr>
                <w:sz w:val="20"/>
                <w:szCs w:val="20"/>
              </w:rPr>
              <w:t>,</w:t>
            </w:r>
            <w:r w:rsidRPr="00F13073">
              <w:rPr>
                <w:sz w:val="20"/>
                <w:szCs w:val="20"/>
              </w:rPr>
              <w:t>1± 29</w:t>
            </w:r>
            <w:r w:rsidR="00D76FEF" w:rsidRPr="00F13073">
              <w:rPr>
                <w:sz w:val="20"/>
                <w:szCs w:val="20"/>
              </w:rPr>
              <w:t>,</w:t>
            </w:r>
            <w:r w:rsidRPr="00F13073">
              <w:rPr>
                <w:sz w:val="20"/>
                <w:szCs w:val="20"/>
              </w:rPr>
              <w:t>5</w:t>
            </w:r>
          </w:p>
        </w:tc>
      </w:tr>
      <w:tr w:rsidR="001E0975" w:rsidRPr="00F13073" w14:paraId="5982DE88" w14:textId="77777777" w:rsidTr="00CD246D">
        <w:trPr>
          <w:cantSplit/>
          <w:trHeight w:hRule="exact" w:val="379"/>
          <w:tblHeader/>
        </w:trPr>
        <w:tc>
          <w:tcPr>
            <w:tcW w:w="4732" w:type="dxa"/>
            <w:tcBorders>
              <w:top w:val="single" w:sz="4" w:space="0" w:color="auto"/>
              <w:left w:val="single" w:sz="4" w:space="0" w:color="auto"/>
              <w:bottom w:val="single" w:sz="4" w:space="0" w:color="auto"/>
            </w:tcBorders>
          </w:tcPr>
          <w:p w14:paraId="75FE1E83" w14:textId="77777777" w:rsidR="001E0975" w:rsidRPr="00F13073" w:rsidRDefault="00611033" w:rsidP="008B4C50">
            <w:pPr>
              <w:rPr>
                <w:sz w:val="20"/>
                <w:szCs w:val="20"/>
              </w:rPr>
            </w:pPr>
            <w:r w:rsidRPr="00F13073">
              <w:rPr>
                <w:sz w:val="20"/>
                <w:szCs w:val="20"/>
              </w:rPr>
              <w:t>C</w:t>
            </w:r>
            <w:r w:rsidR="0075027E" w:rsidRPr="00F13073">
              <w:rPr>
                <w:sz w:val="20"/>
                <w:szCs w:val="20"/>
                <w:vertAlign w:val="subscript"/>
              </w:rPr>
              <w:t>średnie</w:t>
            </w:r>
            <w:r w:rsidRPr="00F13073">
              <w:rPr>
                <w:sz w:val="20"/>
                <w:szCs w:val="20"/>
              </w:rPr>
              <w:t xml:space="preserve"> (µg/mL)</w:t>
            </w:r>
          </w:p>
        </w:tc>
        <w:tc>
          <w:tcPr>
            <w:tcW w:w="1483" w:type="dxa"/>
            <w:tcBorders>
              <w:top w:val="single" w:sz="4" w:space="0" w:color="auto"/>
              <w:left w:val="single" w:sz="4" w:space="0" w:color="auto"/>
              <w:bottom w:val="single" w:sz="4" w:space="0" w:color="auto"/>
            </w:tcBorders>
          </w:tcPr>
          <w:p w14:paraId="30E57C8E" w14:textId="77777777" w:rsidR="001E0975" w:rsidRPr="00F13073" w:rsidRDefault="00611033" w:rsidP="005B0B61">
            <w:pPr>
              <w:jc w:val="center"/>
              <w:rPr>
                <w:sz w:val="20"/>
                <w:szCs w:val="20"/>
              </w:rPr>
            </w:pPr>
            <w:r w:rsidRPr="00F13073">
              <w:rPr>
                <w:sz w:val="20"/>
                <w:szCs w:val="20"/>
              </w:rPr>
              <w:t>16</w:t>
            </w:r>
            <w:r w:rsidR="00D76FEF" w:rsidRPr="00F13073">
              <w:rPr>
                <w:sz w:val="20"/>
                <w:szCs w:val="20"/>
              </w:rPr>
              <w:t>,</w:t>
            </w:r>
            <w:r w:rsidRPr="00F13073">
              <w:rPr>
                <w:sz w:val="20"/>
                <w:szCs w:val="20"/>
              </w:rPr>
              <w:t>2 ± 11</w:t>
            </w:r>
            <w:r w:rsidR="00D76FEF" w:rsidRPr="00F13073">
              <w:rPr>
                <w:sz w:val="20"/>
                <w:szCs w:val="20"/>
              </w:rPr>
              <w:t>,</w:t>
            </w:r>
            <w:r w:rsidRPr="00F13073">
              <w:rPr>
                <w:sz w:val="20"/>
                <w:szCs w:val="20"/>
              </w:rPr>
              <w:t>8</w:t>
            </w:r>
          </w:p>
        </w:tc>
        <w:tc>
          <w:tcPr>
            <w:tcW w:w="2611" w:type="dxa"/>
            <w:tcBorders>
              <w:top w:val="single" w:sz="4" w:space="0" w:color="auto"/>
              <w:left w:val="single" w:sz="4" w:space="0" w:color="auto"/>
              <w:bottom w:val="single" w:sz="4" w:space="0" w:color="auto"/>
              <w:right w:val="single" w:sz="4" w:space="0" w:color="auto"/>
            </w:tcBorders>
          </w:tcPr>
          <w:p w14:paraId="6EE81BE4" w14:textId="77777777" w:rsidR="001E0975" w:rsidRPr="00F13073" w:rsidRDefault="00611033" w:rsidP="005B0B61">
            <w:pPr>
              <w:jc w:val="center"/>
              <w:rPr>
                <w:sz w:val="20"/>
                <w:szCs w:val="20"/>
              </w:rPr>
            </w:pPr>
            <w:r w:rsidRPr="00F13073">
              <w:rPr>
                <w:sz w:val="20"/>
                <w:szCs w:val="20"/>
              </w:rPr>
              <w:t>71</w:t>
            </w:r>
            <w:r w:rsidR="00D76FEF" w:rsidRPr="00F13073">
              <w:rPr>
                <w:sz w:val="20"/>
                <w:szCs w:val="20"/>
              </w:rPr>
              <w:t>,</w:t>
            </w:r>
            <w:r w:rsidRPr="00F13073">
              <w:rPr>
                <w:sz w:val="20"/>
                <w:szCs w:val="20"/>
              </w:rPr>
              <w:t>3 ± 30</w:t>
            </w:r>
            <w:r w:rsidR="00D76FEF" w:rsidRPr="00F13073">
              <w:rPr>
                <w:sz w:val="20"/>
                <w:szCs w:val="20"/>
              </w:rPr>
              <w:t>,</w:t>
            </w:r>
            <w:r w:rsidRPr="00F13073">
              <w:rPr>
                <w:sz w:val="20"/>
                <w:szCs w:val="20"/>
              </w:rPr>
              <w:t>1</w:t>
            </w:r>
          </w:p>
        </w:tc>
      </w:tr>
      <w:tr w:rsidR="001E0975" w:rsidRPr="00F13073" w14:paraId="6B46E6E1" w14:textId="77777777" w:rsidTr="00CD246D">
        <w:trPr>
          <w:cantSplit/>
          <w:trHeight w:hRule="exact" w:val="389"/>
          <w:tblHeader/>
        </w:trPr>
        <w:tc>
          <w:tcPr>
            <w:tcW w:w="4732" w:type="dxa"/>
            <w:tcBorders>
              <w:top w:val="single" w:sz="4" w:space="0" w:color="auto"/>
              <w:left w:val="single" w:sz="4" w:space="0" w:color="auto"/>
              <w:bottom w:val="single" w:sz="4" w:space="0" w:color="auto"/>
            </w:tcBorders>
          </w:tcPr>
          <w:p w14:paraId="0C9FE60B" w14:textId="77777777" w:rsidR="001E0975" w:rsidRPr="00F13073" w:rsidRDefault="00D76FEF" w:rsidP="008B4C50">
            <w:pPr>
              <w:rPr>
                <w:sz w:val="20"/>
                <w:szCs w:val="20"/>
              </w:rPr>
            </w:pPr>
            <w:r w:rsidRPr="00F13073">
              <w:rPr>
                <w:rStyle w:val="Other"/>
                <w:rFonts w:eastAsia="DengXian"/>
                <w:sz w:val="20"/>
                <w:szCs w:val="20"/>
              </w:rPr>
              <w:t xml:space="preserve">Skumulowane </w:t>
            </w:r>
            <w:r w:rsidR="00611033" w:rsidRPr="00F13073">
              <w:rPr>
                <w:sz w:val="20"/>
                <w:szCs w:val="20"/>
              </w:rPr>
              <w:t>C</w:t>
            </w:r>
            <w:r w:rsidR="00611033" w:rsidRPr="00F13073">
              <w:rPr>
                <w:sz w:val="20"/>
                <w:szCs w:val="20"/>
                <w:vertAlign w:val="subscript"/>
              </w:rPr>
              <w:t>max</w:t>
            </w:r>
          </w:p>
        </w:tc>
        <w:tc>
          <w:tcPr>
            <w:tcW w:w="1483" w:type="dxa"/>
            <w:tcBorders>
              <w:top w:val="single" w:sz="4" w:space="0" w:color="auto"/>
              <w:left w:val="single" w:sz="4" w:space="0" w:color="auto"/>
              <w:bottom w:val="single" w:sz="4" w:space="0" w:color="auto"/>
            </w:tcBorders>
          </w:tcPr>
          <w:p w14:paraId="6D48F747" w14:textId="77777777" w:rsidR="001E0975" w:rsidRPr="00F13073" w:rsidRDefault="00611033" w:rsidP="005B0B61">
            <w:pPr>
              <w:jc w:val="center"/>
              <w:rPr>
                <w:sz w:val="20"/>
                <w:szCs w:val="20"/>
              </w:rPr>
            </w:pPr>
            <w:r w:rsidRPr="00F13073">
              <w:rPr>
                <w:sz w:val="20"/>
                <w:szCs w:val="20"/>
              </w:rPr>
              <w:t>2</w:t>
            </w:r>
            <w:r w:rsidR="00D76FEF" w:rsidRPr="00F13073">
              <w:rPr>
                <w:sz w:val="20"/>
                <w:szCs w:val="20"/>
              </w:rPr>
              <w:t>,</w:t>
            </w:r>
            <w:r w:rsidRPr="00F13073">
              <w:rPr>
                <w:sz w:val="20"/>
                <w:szCs w:val="20"/>
              </w:rPr>
              <w:t>18</w:t>
            </w:r>
          </w:p>
        </w:tc>
        <w:tc>
          <w:tcPr>
            <w:tcW w:w="2611" w:type="dxa"/>
            <w:tcBorders>
              <w:top w:val="single" w:sz="4" w:space="0" w:color="auto"/>
              <w:left w:val="single" w:sz="4" w:space="0" w:color="auto"/>
              <w:bottom w:val="single" w:sz="4" w:space="0" w:color="auto"/>
              <w:right w:val="single" w:sz="4" w:space="0" w:color="auto"/>
            </w:tcBorders>
          </w:tcPr>
          <w:p w14:paraId="23436358" w14:textId="77777777" w:rsidR="001E0975" w:rsidRPr="00F13073" w:rsidRDefault="00611033" w:rsidP="005B0B61">
            <w:pPr>
              <w:jc w:val="center"/>
              <w:rPr>
                <w:sz w:val="20"/>
                <w:szCs w:val="20"/>
              </w:rPr>
            </w:pPr>
            <w:r w:rsidRPr="00F13073">
              <w:rPr>
                <w:sz w:val="20"/>
                <w:szCs w:val="20"/>
              </w:rPr>
              <w:t>8</w:t>
            </w:r>
            <w:r w:rsidR="00D76FEF" w:rsidRPr="00F13073">
              <w:rPr>
                <w:sz w:val="20"/>
                <w:szCs w:val="20"/>
              </w:rPr>
              <w:t>,</w:t>
            </w:r>
            <w:r w:rsidRPr="00F13073">
              <w:rPr>
                <w:sz w:val="20"/>
                <w:szCs w:val="20"/>
              </w:rPr>
              <w:t>88</w:t>
            </w:r>
          </w:p>
        </w:tc>
      </w:tr>
      <w:tr w:rsidR="001E0975" w:rsidRPr="00F13073" w14:paraId="3A9C2B06" w14:textId="77777777" w:rsidTr="00CD246D">
        <w:trPr>
          <w:cantSplit/>
          <w:trHeight w:hRule="exact" w:val="384"/>
          <w:tblHeader/>
        </w:trPr>
        <w:tc>
          <w:tcPr>
            <w:tcW w:w="4732" w:type="dxa"/>
            <w:tcBorders>
              <w:top w:val="single" w:sz="4" w:space="0" w:color="auto"/>
              <w:left w:val="single" w:sz="4" w:space="0" w:color="auto"/>
            </w:tcBorders>
          </w:tcPr>
          <w:p w14:paraId="1A14439F" w14:textId="77777777" w:rsidR="001E0975" w:rsidRPr="00F13073" w:rsidRDefault="00D76FEF" w:rsidP="008B4C50">
            <w:pPr>
              <w:rPr>
                <w:sz w:val="20"/>
                <w:szCs w:val="20"/>
              </w:rPr>
            </w:pPr>
            <w:r w:rsidRPr="00F13073">
              <w:rPr>
                <w:rStyle w:val="Other"/>
                <w:rFonts w:eastAsia="DengXian"/>
                <w:sz w:val="20"/>
                <w:szCs w:val="20"/>
              </w:rPr>
              <w:t xml:space="preserve">Skumulowane </w:t>
            </w:r>
            <w:r w:rsidR="00611033" w:rsidRPr="00F13073">
              <w:rPr>
                <w:sz w:val="20"/>
                <w:szCs w:val="20"/>
              </w:rPr>
              <w:t>C</w:t>
            </w:r>
            <w:r w:rsidR="00611033" w:rsidRPr="00F13073">
              <w:rPr>
                <w:sz w:val="20"/>
                <w:szCs w:val="20"/>
                <w:vertAlign w:val="subscript"/>
              </w:rPr>
              <w:t>min</w:t>
            </w:r>
          </w:p>
        </w:tc>
        <w:tc>
          <w:tcPr>
            <w:tcW w:w="1483" w:type="dxa"/>
            <w:tcBorders>
              <w:top w:val="single" w:sz="4" w:space="0" w:color="auto"/>
              <w:left w:val="single" w:sz="4" w:space="0" w:color="auto"/>
            </w:tcBorders>
          </w:tcPr>
          <w:p w14:paraId="1672E43C" w14:textId="77777777" w:rsidR="001E0975" w:rsidRPr="00F13073" w:rsidRDefault="00611033" w:rsidP="005B0B61">
            <w:pPr>
              <w:jc w:val="center"/>
              <w:rPr>
                <w:sz w:val="20"/>
                <w:szCs w:val="20"/>
              </w:rPr>
            </w:pPr>
            <w:r w:rsidRPr="00F13073">
              <w:rPr>
                <w:sz w:val="20"/>
                <w:szCs w:val="20"/>
              </w:rPr>
              <w:t>5</w:t>
            </w:r>
            <w:r w:rsidR="00D76FEF" w:rsidRPr="00F13073">
              <w:rPr>
                <w:sz w:val="20"/>
                <w:szCs w:val="20"/>
              </w:rPr>
              <w:t>,</w:t>
            </w:r>
            <w:r w:rsidRPr="00F13073">
              <w:rPr>
                <w:sz w:val="20"/>
                <w:szCs w:val="20"/>
              </w:rPr>
              <w:t>61</w:t>
            </w:r>
          </w:p>
        </w:tc>
        <w:tc>
          <w:tcPr>
            <w:tcW w:w="2611" w:type="dxa"/>
            <w:tcBorders>
              <w:top w:val="single" w:sz="4" w:space="0" w:color="auto"/>
              <w:left w:val="single" w:sz="4" w:space="0" w:color="auto"/>
              <w:right w:val="single" w:sz="4" w:space="0" w:color="auto"/>
            </w:tcBorders>
          </w:tcPr>
          <w:p w14:paraId="50AA917C" w14:textId="77777777" w:rsidR="001E0975" w:rsidRPr="00F13073" w:rsidRDefault="00611033" w:rsidP="005B0B61">
            <w:pPr>
              <w:jc w:val="center"/>
              <w:rPr>
                <w:sz w:val="20"/>
                <w:szCs w:val="20"/>
              </w:rPr>
            </w:pPr>
            <w:r w:rsidRPr="00F13073">
              <w:rPr>
                <w:sz w:val="20"/>
                <w:szCs w:val="20"/>
              </w:rPr>
              <w:t>9</w:t>
            </w:r>
            <w:r w:rsidR="00D76FEF" w:rsidRPr="00F13073">
              <w:rPr>
                <w:sz w:val="20"/>
                <w:szCs w:val="20"/>
              </w:rPr>
              <w:t>,</w:t>
            </w:r>
            <w:r w:rsidRPr="00F13073">
              <w:rPr>
                <w:sz w:val="20"/>
                <w:szCs w:val="20"/>
              </w:rPr>
              <w:t>59</w:t>
            </w:r>
          </w:p>
        </w:tc>
      </w:tr>
      <w:tr w:rsidR="001E0975" w:rsidRPr="00F13073" w14:paraId="39C9588F" w14:textId="77777777" w:rsidTr="00CD246D">
        <w:trPr>
          <w:cantSplit/>
          <w:trHeight w:hRule="exact" w:val="384"/>
          <w:tblHeader/>
        </w:trPr>
        <w:tc>
          <w:tcPr>
            <w:tcW w:w="4732" w:type="dxa"/>
            <w:tcBorders>
              <w:top w:val="single" w:sz="4" w:space="0" w:color="auto"/>
              <w:left w:val="single" w:sz="4" w:space="0" w:color="auto"/>
              <w:bottom w:val="single" w:sz="4" w:space="0" w:color="auto"/>
            </w:tcBorders>
          </w:tcPr>
          <w:p w14:paraId="142B4B04" w14:textId="77777777" w:rsidR="001E0975" w:rsidRPr="00F13073" w:rsidRDefault="00D76FEF" w:rsidP="008B4C50">
            <w:pPr>
              <w:keepNext/>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w:t>
            </w:r>
            <w:r w:rsidR="00611033" w:rsidRPr="00F13073">
              <w:rPr>
                <w:sz w:val="20"/>
                <w:szCs w:val="20"/>
              </w:rPr>
              <w:t>AUC</w:t>
            </w:r>
            <w:r w:rsidR="00611033" w:rsidRPr="00F13073">
              <w:rPr>
                <w:sz w:val="20"/>
                <w:szCs w:val="20"/>
                <w:vertAlign w:val="subscript"/>
              </w:rPr>
              <w:t>τ</w:t>
            </w:r>
            <w:r w:rsidR="00611033" w:rsidRPr="00F13073">
              <w:rPr>
                <w:sz w:val="20"/>
                <w:szCs w:val="20"/>
              </w:rPr>
              <w:t xml:space="preserve"> *</w:t>
            </w:r>
          </w:p>
        </w:tc>
        <w:tc>
          <w:tcPr>
            <w:tcW w:w="1483" w:type="dxa"/>
            <w:tcBorders>
              <w:top w:val="single" w:sz="4" w:space="0" w:color="auto"/>
              <w:left w:val="single" w:sz="4" w:space="0" w:color="auto"/>
              <w:bottom w:val="single" w:sz="4" w:space="0" w:color="auto"/>
            </w:tcBorders>
          </w:tcPr>
          <w:p w14:paraId="5BE99704" w14:textId="77777777" w:rsidR="001E0975" w:rsidRPr="00F13073" w:rsidRDefault="00611033" w:rsidP="005B0B61">
            <w:pPr>
              <w:keepNext/>
              <w:jc w:val="center"/>
              <w:rPr>
                <w:sz w:val="20"/>
                <w:szCs w:val="20"/>
              </w:rPr>
            </w:pPr>
            <w:r w:rsidRPr="00F13073">
              <w:rPr>
                <w:sz w:val="20"/>
                <w:szCs w:val="20"/>
              </w:rPr>
              <w:t>2</w:t>
            </w:r>
            <w:r w:rsidR="00DA4C09" w:rsidRPr="00F13073">
              <w:rPr>
                <w:sz w:val="20"/>
                <w:szCs w:val="20"/>
              </w:rPr>
              <w:t>,</w:t>
            </w:r>
            <w:r w:rsidRPr="00F13073">
              <w:rPr>
                <w:sz w:val="20"/>
                <w:szCs w:val="20"/>
              </w:rPr>
              <w:t>81</w:t>
            </w:r>
          </w:p>
        </w:tc>
        <w:tc>
          <w:tcPr>
            <w:tcW w:w="2611" w:type="dxa"/>
            <w:tcBorders>
              <w:top w:val="single" w:sz="4" w:space="0" w:color="auto"/>
              <w:left w:val="single" w:sz="4" w:space="0" w:color="auto"/>
              <w:bottom w:val="single" w:sz="4" w:space="0" w:color="auto"/>
              <w:right w:val="single" w:sz="4" w:space="0" w:color="auto"/>
            </w:tcBorders>
          </w:tcPr>
          <w:p w14:paraId="2B5367FE" w14:textId="77777777" w:rsidR="001E0975" w:rsidRPr="00F13073" w:rsidRDefault="00611033" w:rsidP="005B0B61">
            <w:pPr>
              <w:keepNext/>
              <w:jc w:val="center"/>
              <w:rPr>
                <w:sz w:val="20"/>
                <w:szCs w:val="20"/>
              </w:rPr>
            </w:pPr>
            <w:r w:rsidRPr="00F13073">
              <w:rPr>
                <w:sz w:val="20"/>
                <w:szCs w:val="20"/>
              </w:rPr>
              <w:t>10</w:t>
            </w:r>
            <w:r w:rsidR="00DA4C09" w:rsidRPr="00F13073">
              <w:rPr>
                <w:sz w:val="20"/>
                <w:szCs w:val="20"/>
              </w:rPr>
              <w:t>,</w:t>
            </w:r>
            <w:r w:rsidRPr="00F13073">
              <w:rPr>
                <w:sz w:val="20"/>
                <w:szCs w:val="20"/>
              </w:rPr>
              <w:t>91</w:t>
            </w:r>
          </w:p>
        </w:tc>
      </w:tr>
    </w:tbl>
    <w:p w14:paraId="7C574541" w14:textId="77777777" w:rsidR="001E0975" w:rsidRPr="00F13073" w:rsidRDefault="00611033" w:rsidP="008B4C50">
      <w:pPr>
        <w:rPr>
          <w:sz w:val="18"/>
          <w:szCs w:val="18"/>
        </w:rPr>
      </w:pPr>
      <w:r w:rsidRPr="00F13073">
        <w:rPr>
          <w:sz w:val="18"/>
          <w:szCs w:val="18"/>
        </w:rPr>
        <w:t xml:space="preserve">*τ = </w:t>
      </w:r>
      <w:r w:rsidR="00DA4C09" w:rsidRPr="00F13073">
        <w:rPr>
          <w:sz w:val="18"/>
          <w:szCs w:val="18"/>
        </w:rPr>
        <w:t>2 tydzień lub 1 tydzień dla dwóch schematów podawania podskórnego</w:t>
      </w:r>
    </w:p>
    <w:p w14:paraId="3B08D09D" w14:textId="77777777" w:rsidR="001E0975" w:rsidRPr="00F13073" w:rsidRDefault="001E0975" w:rsidP="008B4C50">
      <w:pPr>
        <w:rPr>
          <w:sz w:val="21"/>
          <w:szCs w:val="21"/>
        </w:rPr>
      </w:pPr>
    </w:p>
    <w:p w14:paraId="5C37F691" w14:textId="653E6AF3" w:rsidR="00DA4C09" w:rsidRPr="00F13073" w:rsidRDefault="00DA4C09" w:rsidP="008B4C50">
      <w:pPr>
        <w:pStyle w:val="a4"/>
        <w:widowControl/>
        <w:spacing w:after="0"/>
        <w:rPr>
          <w:rStyle w:val="Char"/>
        </w:rPr>
      </w:pPr>
      <w:r w:rsidRPr="00F13073">
        <w:rPr>
          <w:rStyle w:val="Char"/>
        </w:rPr>
        <w:t xml:space="preserve">Profil w stanie stacjonarnym po podaniu dawek </w:t>
      </w:r>
      <w:r w:rsidR="00170D54" w:rsidRPr="00F13073">
        <w:rPr>
          <w:rStyle w:val="Char"/>
        </w:rPr>
        <w:t xml:space="preserve">tocilizumabu </w:t>
      </w:r>
      <w:r w:rsidRPr="00F13073">
        <w:rPr>
          <w:rStyle w:val="Char"/>
        </w:rPr>
        <w:t xml:space="preserve">z częstością raz w tygodniu był niemal płaski, z bardzo nieznacznymi wahaniami pomiędzy wartościami minimalnymi i maksymalnymi, natomiast istotne wahania występowały dla dawki </w:t>
      </w:r>
      <w:r w:rsidR="00170D54" w:rsidRPr="00F13073">
        <w:rPr>
          <w:rStyle w:val="Char"/>
        </w:rPr>
        <w:t xml:space="preserve">tocilizumabu </w:t>
      </w:r>
      <w:r w:rsidRPr="00F13073">
        <w:rPr>
          <w:rStyle w:val="Char"/>
        </w:rPr>
        <w:t xml:space="preserve"> podawanej raz na dwa tygodnie. Około 90% stanu stacjonarnego (</w:t>
      </w:r>
      <w:r w:rsidRPr="00F13073">
        <w:t>AUC</w:t>
      </w:r>
      <w:r w:rsidRPr="00F13073">
        <w:rPr>
          <w:vertAlign w:val="subscript"/>
        </w:rPr>
        <w:t>τ</w:t>
      </w:r>
      <w:r w:rsidRPr="00F13073">
        <w:rPr>
          <w:rStyle w:val="Char"/>
        </w:rPr>
        <w:t>) było osiągane do tygodnia 14. w grupie otrzymującej dawkę leku raz na dwa tygodnie i do tygodnia 17. w grupie otrzymującej dawkę leku raz na tydzień.</w:t>
      </w:r>
    </w:p>
    <w:p w14:paraId="69FB0937" w14:textId="77777777" w:rsidR="00DA4C09" w:rsidRPr="00F13073" w:rsidRDefault="00DA4C09" w:rsidP="008B4C50">
      <w:pPr>
        <w:pStyle w:val="a4"/>
        <w:widowControl/>
        <w:spacing w:after="0"/>
      </w:pPr>
    </w:p>
    <w:p w14:paraId="5E9D7C70" w14:textId="7F55A99C" w:rsidR="00DA4C09" w:rsidRPr="00F13073" w:rsidRDefault="00DA4C09" w:rsidP="008B4C50">
      <w:pPr>
        <w:pStyle w:val="a4"/>
        <w:widowControl/>
        <w:spacing w:after="0"/>
      </w:pPr>
      <w:r w:rsidRPr="00F13073">
        <w:rPr>
          <w:rStyle w:val="Char"/>
        </w:rPr>
        <w:t xml:space="preserve">Na podstawie obecnej charakterystyki właściwości farmakokinetycznych, do 50% większe stężenia </w:t>
      </w:r>
      <w:r w:rsidR="00170D54" w:rsidRPr="00F13073">
        <w:rPr>
          <w:rStyle w:val="Char"/>
        </w:rPr>
        <w:t xml:space="preserve">tocilizumabu </w:t>
      </w:r>
      <w:r w:rsidRPr="00F13073">
        <w:rPr>
          <w:rStyle w:val="Char"/>
        </w:rPr>
        <w:t>są notowane w tej populacji względem przeciętnych stężeń w dużym zbiorze danych pochodzących od populacji z RZS. Przyczyny tych różnic są nieznane.</w:t>
      </w:r>
    </w:p>
    <w:p w14:paraId="5ABBBF62" w14:textId="77777777" w:rsidR="00DA4C09" w:rsidRPr="00F13073" w:rsidRDefault="00DA4C09" w:rsidP="008B4C50">
      <w:pPr>
        <w:pStyle w:val="a4"/>
        <w:widowControl/>
        <w:spacing w:after="0"/>
        <w:rPr>
          <w:rStyle w:val="Char"/>
        </w:rPr>
      </w:pPr>
      <w:r w:rsidRPr="00F13073">
        <w:rPr>
          <w:rStyle w:val="Char"/>
        </w:rPr>
        <w:t>Różnicom farmakokinetycznym nie towarzyszą istotne różnice w parametrach farmakodynamicznych, dlatego ich znaczenie kliniczne jest nieznane.</w:t>
      </w:r>
    </w:p>
    <w:p w14:paraId="6FAA059D" w14:textId="77777777" w:rsidR="00DA4C09" w:rsidRPr="00F13073" w:rsidRDefault="00DA4C09" w:rsidP="008B4C50">
      <w:pPr>
        <w:pStyle w:val="a4"/>
        <w:widowControl/>
        <w:spacing w:after="0"/>
      </w:pPr>
    </w:p>
    <w:p w14:paraId="68A65144" w14:textId="77777777" w:rsidR="00DA4C09" w:rsidRPr="00F13073" w:rsidRDefault="00DA4C09" w:rsidP="008B4C50">
      <w:pPr>
        <w:pStyle w:val="a4"/>
        <w:widowControl/>
        <w:spacing w:after="0"/>
        <w:rPr>
          <w:rStyle w:val="Char"/>
        </w:rPr>
      </w:pPr>
      <w:r w:rsidRPr="00F13073">
        <w:rPr>
          <w:rStyle w:val="Char"/>
        </w:rPr>
        <w:t>Wśród pacjentów z GCA większą ekspozycję obserwowano u pacjentów z niższą masą ciała. Dla dawki tygodniowej 162 mg, średnie stężenie w osoczu w stanie stacjonarnym było o 51% wyższe u pacjentów o masie ciała mniejszej niż 60 kg w porównaniu do pacjentów ważących od 60 do 100 kg. Dla dawki 162 mg podawanej co dwa tygodnie, średnie stężenie w osoczu w stanie stacjonarnym było o 129% wyższe u pacjentów o masie ciała mniejszej niż 60 kg w porównaniu do pacjentów ważących od 60 do 100 kg. Dane dotyczące pacjentów o masie powyżej 100 kg są ograniczone (n=7).</w:t>
      </w:r>
    </w:p>
    <w:p w14:paraId="4F889A02" w14:textId="77777777" w:rsidR="00DA4C09" w:rsidRPr="00F13073" w:rsidRDefault="00DA4C09" w:rsidP="008B4C50">
      <w:pPr>
        <w:pStyle w:val="a4"/>
        <w:widowControl/>
        <w:spacing w:after="0"/>
      </w:pPr>
    </w:p>
    <w:p w14:paraId="468925AE" w14:textId="77777777" w:rsidR="00DA4C09" w:rsidRPr="00F13073" w:rsidRDefault="00DA4C09" w:rsidP="008B4C50">
      <w:pPr>
        <w:pStyle w:val="a4"/>
        <w:widowControl/>
        <w:spacing w:after="0"/>
      </w:pPr>
      <w:r w:rsidRPr="00F13073">
        <w:rPr>
          <w:rStyle w:val="Char"/>
          <w:u w:val="single"/>
        </w:rPr>
        <w:t>Wchłanianie</w:t>
      </w:r>
    </w:p>
    <w:p w14:paraId="16774DB8" w14:textId="5BC1299E" w:rsidR="00DA4C09" w:rsidRPr="00F13073" w:rsidRDefault="00DA4C09" w:rsidP="008B4C50">
      <w:pPr>
        <w:pStyle w:val="a4"/>
        <w:widowControl/>
        <w:spacing w:after="0"/>
        <w:rPr>
          <w:rStyle w:val="Char"/>
        </w:rPr>
      </w:pPr>
      <w:r w:rsidRPr="00F13073">
        <w:rPr>
          <w:rStyle w:val="Char"/>
        </w:rPr>
        <w:lastRenderedPageBreak/>
        <w:t>Po podskórnym podaniu leku pacjentom z GCA okres półtrwania wchłaniania wyniósł około 4 dni. Biodostępność leku w postaci podskórnej wyniosła 0,8. Mediana wartości T</w:t>
      </w:r>
      <w:r w:rsidRPr="00F13073">
        <w:rPr>
          <w:rStyle w:val="Char"/>
          <w:vertAlign w:val="subscript"/>
        </w:rPr>
        <w:t>max</w:t>
      </w:r>
      <w:r w:rsidRPr="00F13073">
        <w:rPr>
          <w:rStyle w:val="Char"/>
        </w:rPr>
        <w:t xml:space="preserve"> wyniosła 3 dni po podaniu dawki </w:t>
      </w:r>
      <w:r w:rsidR="00DF5B4D" w:rsidRPr="00F13073">
        <w:rPr>
          <w:rStyle w:val="Char"/>
        </w:rPr>
        <w:t xml:space="preserve">tocilizumabu </w:t>
      </w:r>
      <w:r w:rsidRPr="00F13073">
        <w:rPr>
          <w:rStyle w:val="Char"/>
        </w:rPr>
        <w:t>raz w tygodniu i 4,5 dnia po podaniu dawki tocilizumabu raz na dwa tygodnie.</w:t>
      </w:r>
    </w:p>
    <w:p w14:paraId="79ED4696" w14:textId="77777777" w:rsidR="00DA4C09" w:rsidRPr="00F13073" w:rsidRDefault="00DA4C09" w:rsidP="008B4C50">
      <w:pPr>
        <w:pStyle w:val="a4"/>
        <w:widowControl/>
        <w:spacing w:after="0"/>
      </w:pPr>
    </w:p>
    <w:p w14:paraId="1EB9D1EB" w14:textId="77777777" w:rsidR="00DA4C09" w:rsidRPr="00F13073" w:rsidRDefault="00DA4C09" w:rsidP="008B4C50">
      <w:pPr>
        <w:pStyle w:val="a4"/>
        <w:widowControl/>
        <w:spacing w:after="0"/>
      </w:pPr>
      <w:r w:rsidRPr="00F13073">
        <w:rPr>
          <w:rStyle w:val="Char"/>
          <w:u w:val="single"/>
        </w:rPr>
        <w:t>Dystrybucja</w:t>
      </w:r>
    </w:p>
    <w:p w14:paraId="59B6EDBA" w14:textId="77777777" w:rsidR="00DA4C09" w:rsidRPr="00F13073" w:rsidRDefault="00DA4C09" w:rsidP="008B4C50">
      <w:pPr>
        <w:pStyle w:val="a4"/>
        <w:widowControl/>
        <w:spacing w:after="0"/>
        <w:rPr>
          <w:rStyle w:val="Char"/>
        </w:rPr>
      </w:pPr>
      <w:r w:rsidRPr="00F13073">
        <w:rPr>
          <w:rStyle w:val="Char"/>
        </w:rPr>
        <w:t>U pacjentów z GCA centralna objętość dystrybucji wynosiła 4,09 l, obwodowa objętość dystrybucji wynosiła 3,37 l, co w efekcie oznaczało objętość dystrybucji w stanie równowagi wynoszącą 7,46 l.</w:t>
      </w:r>
    </w:p>
    <w:p w14:paraId="59CACBBD" w14:textId="77777777" w:rsidR="00DA4C09" w:rsidRPr="00F13073" w:rsidRDefault="00DA4C09" w:rsidP="008B4C50">
      <w:pPr>
        <w:pStyle w:val="a4"/>
        <w:widowControl/>
        <w:spacing w:after="0"/>
      </w:pPr>
    </w:p>
    <w:p w14:paraId="53F70353" w14:textId="77777777" w:rsidR="00DA4C09" w:rsidRPr="00F13073" w:rsidRDefault="00DA4C09" w:rsidP="008B4C50">
      <w:pPr>
        <w:pStyle w:val="a4"/>
        <w:widowControl/>
        <w:spacing w:after="0"/>
      </w:pPr>
      <w:r w:rsidRPr="00F13073">
        <w:rPr>
          <w:rStyle w:val="Char"/>
          <w:u w:val="single"/>
        </w:rPr>
        <w:t>Eliminacja</w:t>
      </w:r>
    </w:p>
    <w:p w14:paraId="4647760C" w14:textId="49BC7CC0" w:rsidR="00DA4C09" w:rsidRPr="00F13073" w:rsidRDefault="00DA4C09" w:rsidP="008B4C50">
      <w:pPr>
        <w:pStyle w:val="a4"/>
        <w:widowControl/>
        <w:spacing w:after="0"/>
        <w:rPr>
          <w:rStyle w:val="Char"/>
        </w:rPr>
      </w:pPr>
      <w:r w:rsidRPr="00F13073">
        <w:rPr>
          <w:rStyle w:val="Char"/>
        </w:rPr>
        <w:t xml:space="preserve">Całkowity klirens </w:t>
      </w:r>
      <w:r w:rsidR="00DF5B4D" w:rsidRPr="00F13073">
        <w:rPr>
          <w:rStyle w:val="Char"/>
        </w:rPr>
        <w:t xml:space="preserve">tocilizumabu </w:t>
      </w:r>
      <w:r w:rsidRPr="00F13073">
        <w:rPr>
          <w:rStyle w:val="Char"/>
        </w:rPr>
        <w:t>był zależny od stężenia i jest on sumą klirensu liniowego i klirensu nieliniowego. Klirens liniowy był szacowany jako jeden z parametrów w analizie farmakokinetyki populacyjnej i wyniósł 6,7 mL/h u pacjentów z GCA.</w:t>
      </w:r>
    </w:p>
    <w:p w14:paraId="3E887D9B" w14:textId="77777777" w:rsidR="00DA4C09" w:rsidRPr="00F13073" w:rsidRDefault="00DA4C09" w:rsidP="008B4C50">
      <w:pPr>
        <w:pStyle w:val="a4"/>
        <w:widowControl/>
        <w:spacing w:after="0"/>
      </w:pPr>
    </w:p>
    <w:p w14:paraId="15477595" w14:textId="779465BB" w:rsidR="00DA4C09" w:rsidRPr="00F13073" w:rsidRDefault="00DA4C09" w:rsidP="008B4C50">
      <w:pPr>
        <w:rPr>
          <w:rStyle w:val="Char"/>
          <w:rFonts w:eastAsia="DengXian"/>
        </w:rPr>
      </w:pPr>
      <w:r w:rsidRPr="00F13073">
        <w:rPr>
          <w:rStyle w:val="Char"/>
          <w:rFonts w:eastAsia="DengXian"/>
        </w:rPr>
        <w:t xml:space="preserve">U pacjentów z GCA w stanie stacjonarnym efektywny </w:t>
      </w:r>
      <w:r w:rsidRPr="00F13073">
        <w:t>t</w:t>
      </w:r>
      <w:r w:rsidR="001478B7" w:rsidRPr="00F13073">
        <w:rPr>
          <w:vertAlign w:val="subscript"/>
        </w:rPr>
        <w:t>1/2</w:t>
      </w:r>
      <w:r w:rsidRPr="00F13073">
        <w:rPr>
          <w:rStyle w:val="Char"/>
          <w:rFonts w:eastAsia="DengXian"/>
        </w:rPr>
        <w:t xml:space="preserve"> </w:t>
      </w:r>
      <w:r w:rsidR="00DF5B4D" w:rsidRPr="00F13073">
        <w:rPr>
          <w:rStyle w:val="Char"/>
          <w:rFonts w:eastAsia="DengXian"/>
        </w:rPr>
        <w:t xml:space="preserve">tocilizumabu </w:t>
      </w:r>
      <w:r w:rsidRPr="00F13073">
        <w:rPr>
          <w:rStyle w:val="Char"/>
          <w:rFonts w:eastAsia="DengXian"/>
        </w:rPr>
        <w:t>wahał się od 18,3 do 18,9 dni dla dawki 162 mg podawanej raz w tygodniu oraz od 4,2 do 7,9 dnia dla dawki 162 mg podawanej raz na dwa tygodnie. Przy wysokich stężeniach w surowicy, gdy za klirens</w:t>
      </w:r>
      <w:r w:rsidR="00B5028D" w:rsidRPr="00F13073">
        <w:rPr>
          <w:rStyle w:val="Char"/>
          <w:rFonts w:eastAsia="DengXian"/>
        </w:rPr>
        <w:t xml:space="preserve"> </w:t>
      </w:r>
      <w:r w:rsidRPr="00F13073">
        <w:rPr>
          <w:rStyle w:val="Char"/>
          <w:rFonts w:eastAsia="DengXian"/>
        </w:rPr>
        <w:t xml:space="preserve">całkowity </w:t>
      </w:r>
      <w:r w:rsidR="00DF5B4D" w:rsidRPr="00F13073">
        <w:rPr>
          <w:rStyle w:val="Char"/>
          <w:rFonts w:eastAsia="DengXian"/>
        </w:rPr>
        <w:t xml:space="preserve">tocilizumabu </w:t>
      </w:r>
      <w:r w:rsidRPr="00F13073">
        <w:rPr>
          <w:rStyle w:val="Char"/>
          <w:rFonts w:eastAsia="DengXian"/>
        </w:rPr>
        <w:t>odpowiada przeważnie klirens liniowy, efektywny t</w:t>
      </w:r>
      <w:r w:rsidRPr="00F13073">
        <w:rPr>
          <w:rStyle w:val="Char"/>
          <w:rFonts w:eastAsia="DengXian"/>
          <w:vertAlign w:val="subscript"/>
        </w:rPr>
        <w:t>1/2</w:t>
      </w:r>
      <w:r w:rsidRPr="00F13073">
        <w:rPr>
          <w:rStyle w:val="Char"/>
          <w:rFonts w:eastAsia="DengXian"/>
        </w:rPr>
        <w:t xml:space="preserve"> wynoszący około 32 dni został ustalony na podstawie szacunków parametru populacyjnego.</w:t>
      </w:r>
    </w:p>
    <w:p w14:paraId="71769989" w14:textId="77777777" w:rsidR="00B5028D" w:rsidRPr="00F13073" w:rsidRDefault="00B5028D" w:rsidP="008B4C50"/>
    <w:p w14:paraId="6DED16C0" w14:textId="77777777" w:rsidR="00DA4C09" w:rsidRPr="00F13073" w:rsidRDefault="00DA4C09" w:rsidP="008B4C50">
      <w:pPr>
        <w:pStyle w:val="a4"/>
        <w:widowControl/>
        <w:spacing w:after="0"/>
      </w:pPr>
      <w:r w:rsidRPr="00F13073">
        <w:rPr>
          <w:rStyle w:val="Char"/>
          <w:u w:val="single"/>
        </w:rPr>
        <w:t>Szczególne grupy pacjentów</w:t>
      </w:r>
    </w:p>
    <w:p w14:paraId="3B8EB8DD" w14:textId="418B335B" w:rsidR="00DA4C09" w:rsidRPr="00F13073" w:rsidRDefault="00DA4C09" w:rsidP="008B4C50">
      <w:pPr>
        <w:pStyle w:val="a4"/>
        <w:widowControl/>
        <w:spacing w:after="0"/>
        <w:rPr>
          <w:rStyle w:val="Char"/>
        </w:rPr>
      </w:pPr>
      <w:r w:rsidRPr="00F13073">
        <w:rPr>
          <w:rStyle w:val="Char"/>
          <w:i/>
          <w:iCs/>
        </w:rPr>
        <w:t>Niewydolność nerek</w:t>
      </w:r>
      <w:r w:rsidRPr="00F13073">
        <w:rPr>
          <w:rStyle w:val="Char"/>
        </w:rPr>
        <w:t xml:space="preserve">: Nie przeprowadzono żadnych formalnych badań nad wpływem zaburzonej czynności nerek na farmakokinetykę </w:t>
      </w:r>
      <w:r w:rsidR="00DF5B4D" w:rsidRPr="00F13073">
        <w:rPr>
          <w:rStyle w:val="Char"/>
        </w:rPr>
        <w:t>tocilizumabu</w:t>
      </w:r>
      <w:r w:rsidRPr="00F13073">
        <w:rPr>
          <w:rStyle w:val="Char"/>
        </w:rPr>
        <w:t xml:space="preserve">. Większość pacjentów w analizie farmakokinetyki w populacji badań z RZS i GCA charakteryzowała się normalną czynnością lub łagodną niewydolnością nerek. Łagodne zaburzenia czynności nerek (szacunkowy klirens kreatyniny wyliczony z równania Cockrofta-Gaulta) nie powodowały zmian w farmakokinetyce </w:t>
      </w:r>
      <w:r w:rsidR="00DF5B4D" w:rsidRPr="00F13073">
        <w:rPr>
          <w:rStyle w:val="Char"/>
        </w:rPr>
        <w:t>tocilizumabu</w:t>
      </w:r>
      <w:r w:rsidRPr="00F13073">
        <w:rPr>
          <w:rStyle w:val="Char"/>
        </w:rPr>
        <w:t>.</w:t>
      </w:r>
    </w:p>
    <w:p w14:paraId="6D56CC86" w14:textId="77777777" w:rsidR="00B5028D" w:rsidRPr="00F13073" w:rsidRDefault="00B5028D" w:rsidP="008B4C50">
      <w:pPr>
        <w:pStyle w:val="a4"/>
        <w:widowControl/>
        <w:spacing w:after="0"/>
      </w:pPr>
    </w:p>
    <w:p w14:paraId="35F13381" w14:textId="2C61869F" w:rsidR="00DA4C09" w:rsidRPr="00F13073" w:rsidRDefault="00DA4C09" w:rsidP="008B4C50">
      <w:pPr>
        <w:pStyle w:val="a4"/>
        <w:widowControl/>
        <w:spacing w:after="0"/>
        <w:rPr>
          <w:rStyle w:val="Char"/>
        </w:rPr>
      </w:pPr>
      <w:r w:rsidRPr="00F13073">
        <w:rPr>
          <w:rStyle w:val="Char"/>
        </w:rPr>
        <w:t xml:space="preserve">U około jednej trzeciej pacjentów w badaniu z GCA występowały umiarkowane zaburzenia czynności nerek przed przystąpieniem do badania (szacunkowy klirens kreatyniny: 30-59 mL/min). U tych pacjentów nie odnotowano wpływu na ekspozycję na </w:t>
      </w:r>
      <w:r w:rsidR="00DF5B4D" w:rsidRPr="00F13073">
        <w:rPr>
          <w:rStyle w:val="Char"/>
        </w:rPr>
        <w:t>tocilizumab</w:t>
      </w:r>
      <w:r w:rsidRPr="00F13073">
        <w:rPr>
          <w:rStyle w:val="Char"/>
        </w:rPr>
        <w:t>.</w:t>
      </w:r>
    </w:p>
    <w:p w14:paraId="0151BB67" w14:textId="77777777" w:rsidR="00B5028D" w:rsidRPr="00F13073" w:rsidRDefault="00B5028D" w:rsidP="008B4C50">
      <w:pPr>
        <w:pStyle w:val="a4"/>
        <w:widowControl/>
        <w:spacing w:after="0"/>
      </w:pPr>
    </w:p>
    <w:p w14:paraId="378F023C" w14:textId="77777777" w:rsidR="00DA4C09" w:rsidRPr="00F13073" w:rsidRDefault="00DA4C09" w:rsidP="008B4C50">
      <w:pPr>
        <w:pStyle w:val="a4"/>
        <w:widowControl/>
        <w:spacing w:after="0"/>
        <w:rPr>
          <w:rStyle w:val="Char"/>
        </w:rPr>
      </w:pPr>
      <w:r w:rsidRPr="00F13073">
        <w:rPr>
          <w:rStyle w:val="Char"/>
        </w:rPr>
        <w:t>Nie ma konieczności dostosowania dawki u pacjentów z łagodnymi lub umiarkowanymi zaburzeniami czynności nerek.</w:t>
      </w:r>
    </w:p>
    <w:p w14:paraId="04558AE6" w14:textId="77777777" w:rsidR="00B5028D" w:rsidRPr="00F13073" w:rsidRDefault="00B5028D" w:rsidP="008B4C50">
      <w:pPr>
        <w:pStyle w:val="a4"/>
        <w:widowControl/>
        <w:spacing w:after="0"/>
      </w:pPr>
    </w:p>
    <w:p w14:paraId="60BE42FD" w14:textId="3A07073E" w:rsidR="00DA4C09" w:rsidRPr="00F13073" w:rsidRDefault="00DA4C09" w:rsidP="008B4C50">
      <w:pPr>
        <w:pStyle w:val="a4"/>
        <w:widowControl/>
        <w:spacing w:after="0"/>
        <w:rPr>
          <w:rStyle w:val="Char"/>
        </w:rPr>
      </w:pPr>
      <w:r w:rsidRPr="00F13073">
        <w:rPr>
          <w:rStyle w:val="Char"/>
          <w:i/>
          <w:iCs/>
        </w:rPr>
        <w:t>Zaburzenia czynności wątroby:</w:t>
      </w:r>
      <w:r w:rsidRPr="00F13073">
        <w:rPr>
          <w:rStyle w:val="Char"/>
        </w:rPr>
        <w:t xml:space="preserve"> Nie przeprowadzono żadnych formalnych badań nad wpływem zaburzonej czynności wątroby na farmakokinetykę </w:t>
      </w:r>
      <w:r w:rsidR="00025F2D" w:rsidRPr="00F13073">
        <w:rPr>
          <w:rStyle w:val="Char"/>
        </w:rPr>
        <w:t>tocilizumabu</w:t>
      </w:r>
      <w:r w:rsidRPr="00F13073">
        <w:rPr>
          <w:rStyle w:val="Char"/>
        </w:rPr>
        <w:t>.</w:t>
      </w:r>
    </w:p>
    <w:p w14:paraId="7E1CCEE7" w14:textId="77777777" w:rsidR="00B5028D" w:rsidRPr="00F13073" w:rsidRDefault="00B5028D" w:rsidP="008B4C50">
      <w:pPr>
        <w:pStyle w:val="a4"/>
        <w:widowControl/>
        <w:spacing w:after="0"/>
      </w:pPr>
    </w:p>
    <w:p w14:paraId="323A82CF" w14:textId="310E3869" w:rsidR="00DA4C09" w:rsidRPr="00F13073" w:rsidRDefault="00DA4C09" w:rsidP="008B4C50">
      <w:pPr>
        <w:pStyle w:val="a4"/>
        <w:widowControl/>
        <w:spacing w:after="0"/>
        <w:rPr>
          <w:rStyle w:val="Char"/>
        </w:rPr>
      </w:pPr>
      <w:r w:rsidRPr="00F13073">
        <w:rPr>
          <w:rStyle w:val="Char"/>
          <w:i/>
          <w:iCs/>
        </w:rPr>
        <w:t>Wiek, płeć i rasa:</w:t>
      </w:r>
      <w:r w:rsidRPr="00F13073">
        <w:rPr>
          <w:rStyle w:val="Char"/>
        </w:rPr>
        <w:t xml:space="preserve"> Analiza farmakokinetyki populacyjnej wykazała, że u chorych na RZS i GCA czynniki, takie jak wiek, płeć i rasa, nie miały wpływu na farmakokinetykę </w:t>
      </w:r>
      <w:r w:rsidR="00025F2D" w:rsidRPr="00F13073">
        <w:rPr>
          <w:rStyle w:val="Char"/>
        </w:rPr>
        <w:t>tocilizumabu</w:t>
      </w:r>
      <w:r w:rsidRPr="00F13073">
        <w:rPr>
          <w:rStyle w:val="Char"/>
        </w:rPr>
        <w:t>.</w:t>
      </w:r>
    </w:p>
    <w:p w14:paraId="09B901AA" w14:textId="77777777" w:rsidR="00B5028D" w:rsidRPr="00F13073" w:rsidRDefault="00B5028D" w:rsidP="008B4C50">
      <w:pPr>
        <w:pStyle w:val="a4"/>
        <w:widowControl/>
        <w:spacing w:after="0"/>
      </w:pPr>
    </w:p>
    <w:p w14:paraId="19818EA8" w14:textId="7D5A380B" w:rsidR="00DA4C09" w:rsidRPr="00F13073" w:rsidRDefault="00DA4C09" w:rsidP="008B4C50">
      <w:pPr>
        <w:pStyle w:val="a4"/>
        <w:widowControl/>
        <w:spacing w:after="0"/>
      </w:pPr>
      <w:r w:rsidRPr="00F13073">
        <w:rPr>
          <w:rStyle w:val="Char"/>
        </w:rPr>
        <w:t xml:space="preserve">Wyniki analizy farmakokinetyki populacyjnej dotyczącej pacjentów z uMIZS i wMIZS potwierdziły, że wielkość ciała jest jedyną współzmienną mającą dostrzegalny wpływ na farmakokinetykę </w:t>
      </w:r>
      <w:r w:rsidR="00835436" w:rsidRPr="00F13073">
        <w:rPr>
          <w:rStyle w:val="Char"/>
        </w:rPr>
        <w:t>tocilizumabu</w:t>
      </w:r>
      <w:r w:rsidRPr="00F13073">
        <w:rPr>
          <w:rStyle w:val="Char"/>
        </w:rPr>
        <w:t>, włączając fazę eliminacji i absorbcji, dlatego należy wziąć pod uwagę ustalenie dawkowania z uwzględnieniem masy ciała (patrz Tabele 8 i 9).</w:t>
      </w:r>
    </w:p>
    <w:p w14:paraId="1A4A89D7" w14:textId="77777777" w:rsidR="00DA4C09" w:rsidRPr="00F13073" w:rsidRDefault="00DA4C09" w:rsidP="008B4C50"/>
    <w:p w14:paraId="3896C988" w14:textId="77777777" w:rsidR="001E0975" w:rsidRPr="00F13073" w:rsidRDefault="001721B1" w:rsidP="008B4C50">
      <w:pPr>
        <w:keepNext/>
        <w:ind w:left="567" w:hanging="567"/>
        <w:rPr>
          <w:b/>
          <w:bCs/>
        </w:rPr>
      </w:pPr>
      <w:r w:rsidRPr="00F13073">
        <w:rPr>
          <w:b/>
          <w:bCs/>
        </w:rPr>
        <w:t>5.3</w:t>
      </w:r>
      <w:r w:rsidRPr="00F13073">
        <w:rPr>
          <w:b/>
          <w:bCs/>
        </w:rPr>
        <w:tab/>
      </w:r>
      <w:r w:rsidR="00A1085A" w:rsidRPr="00F13073">
        <w:rPr>
          <w:rStyle w:val="Char"/>
          <w:rFonts w:eastAsia="DengXian"/>
          <w:b/>
          <w:bCs/>
        </w:rPr>
        <w:t>Przedkliniczne dane o bezpieczeństwie</w:t>
      </w:r>
    </w:p>
    <w:p w14:paraId="0BBE4ABD" w14:textId="77777777" w:rsidR="00F91F06" w:rsidRPr="00F13073" w:rsidRDefault="00F91F06" w:rsidP="008B4C50">
      <w:pPr>
        <w:keepNext/>
        <w:ind w:left="567" w:hanging="567"/>
        <w:rPr>
          <w:b/>
          <w:bCs/>
        </w:rPr>
      </w:pPr>
    </w:p>
    <w:p w14:paraId="1E45F075" w14:textId="77777777" w:rsidR="00A1085A" w:rsidRPr="00F13073" w:rsidRDefault="00A1085A" w:rsidP="008B4C50">
      <w:pPr>
        <w:pStyle w:val="a4"/>
        <w:widowControl/>
        <w:spacing w:after="0"/>
        <w:rPr>
          <w:rStyle w:val="Char"/>
        </w:rPr>
      </w:pPr>
      <w:r w:rsidRPr="00F13073">
        <w:rPr>
          <w:rStyle w:val="Char"/>
        </w:rPr>
        <w:t>Dane przedkliniczne, uzyskane na podstawie konwencjonalnych badań farmakologicznych dotyczących bezpieczeństwa stosowania, toksyczności po podaniu wielokrotnym, genotoksyczności oraz toksycznego wpływu na reprodukcję i rozwój nie ujawniają występowania szczególnego zagrożenia dla człowieka.</w:t>
      </w:r>
    </w:p>
    <w:p w14:paraId="7C266A07" w14:textId="77777777" w:rsidR="00A1085A" w:rsidRPr="00F13073" w:rsidRDefault="00A1085A" w:rsidP="008B4C50">
      <w:pPr>
        <w:pStyle w:val="a4"/>
        <w:widowControl/>
        <w:spacing w:after="0"/>
      </w:pPr>
    </w:p>
    <w:p w14:paraId="68BE9137" w14:textId="77777777" w:rsidR="00A1085A" w:rsidRPr="00F13073" w:rsidRDefault="00A1085A" w:rsidP="008B4C50">
      <w:pPr>
        <w:pStyle w:val="a4"/>
        <w:widowControl/>
        <w:spacing w:after="0"/>
        <w:rPr>
          <w:rStyle w:val="Char"/>
        </w:rPr>
      </w:pPr>
      <w:r w:rsidRPr="00F13073">
        <w:rPr>
          <w:rStyle w:val="Char"/>
        </w:rPr>
        <w:t>Nie przeprowadzono badań nad potencjalnym działaniem rakotwórczym, ponieważ przeciwciała monoklonalne IgG1 nie są uważane za wykazujące działanie kancerogenne.</w:t>
      </w:r>
    </w:p>
    <w:p w14:paraId="71D5E2CA" w14:textId="77777777" w:rsidR="00A1085A" w:rsidRPr="00F13073" w:rsidRDefault="00A1085A" w:rsidP="008B4C50">
      <w:pPr>
        <w:pStyle w:val="a4"/>
        <w:widowControl/>
        <w:spacing w:after="0"/>
      </w:pPr>
    </w:p>
    <w:p w14:paraId="356A4A3B" w14:textId="6C18F22F" w:rsidR="00A1085A" w:rsidRPr="00F13073" w:rsidRDefault="00A1085A" w:rsidP="008B4C50">
      <w:pPr>
        <w:pStyle w:val="a4"/>
        <w:widowControl/>
        <w:spacing w:after="0"/>
        <w:rPr>
          <w:rStyle w:val="Char"/>
        </w:rPr>
      </w:pPr>
      <w:r w:rsidRPr="00F13073">
        <w:rPr>
          <w:rStyle w:val="Char"/>
        </w:rPr>
        <w:t xml:space="preserve">Dostępne dane przedkliniczne wykazały wpływ IL-6 na progresję złośliwego procesu nowotworowego i oporność na apoptozę różnych rodzajów raka. Wyniki te nie wskazują na względne ryzyko inicjacji i </w:t>
      </w:r>
      <w:r w:rsidRPr="00F13073">
        <w:rPr>
          <w:rStyle w:val="Char"/>
        </w:rPr>
        <w:lastRenderedPageBreak/>
        <w:t xml:space="preserve">progresji zmian nowotworowych podczas leczenia </w:t>
      </w:r>
      <w:r w:rsidR="00835436" w:rsidRPr="00F13073">
        <w:rPr>
          <w:rStyle w:val="Char"/>
        </w:rPr>
        <w:t>tocilizumabem</w:t>
      </w:r>
      <w:r w:rsidRPr="00F13073">
        <w:rPr>
          <w:rStyle w:val="Char"/>
        </w:rPr>
        <w:t>. Ponadto nie zaobserwowano wystąpienia zmian o charakterze rozrostowym w 6-miesięcznych badaniach nad przewlekłą toksycznością przeprowadzonych na małpach Cynomolgus ani u myszy pozbawionych IL-6.</w:t>
      </w:r>
    </w:p>
    <w:p w14:paraId="49AE942C" w14:textId="77777777" w:rsidR="00A1085A" w:rsidRPr="00F13073" w:rsidRDefault="00A1085A" w:rsidP="008B4C50">
      <w:pPr>
        <w:pStyle w:val="a4"/>
        <w:widowControl/>
        <w:spacing w:after="0"/>
      </w:pPr>
    </w:p>
    <w:p w14:paraId="4977348D" w14:textId="28E25BA7" w:rsidR="00A1085A" w:rsidRPr="00F13073" w:rsidRDefault="00A1085A" w:rsidP="008B4C50">
      <w:pPr>
        <w:pStyle w:val="a4"/>
        <w:widowControl/>
        <w:spacing w:after="0"/>
        <w:rPr>
          <w:rStyle w:val="Char"/>
        </w:rPr>
      </w:pPr>
      <w:r w:rsidRPr="00F13073">
        <w:rPr>
          <w:rStyle w:val="Char"/>
        </w:rPr>
        <w:t xml:space="preserve">Dostępne dane niekliniczne nie wskazują na istnienie wpływu leczenia </w:t>
      </w:r>
      <w:r w:rsidR="0046009B" w:rsidRPr="00F13073">
        <w:rPr>
          <w:rStyle w:val="Char"/>
        </w:rPr>
        <w:t>tocilizumabem</w:t>
      </w:r>
      <w:r w:rsidRPr="00F13073">
        <w:rPr>
          <w:rStyle w:val="Char"/>
        </w:rPr>
        <w:t xml:space="preserve"> na płodność. Nie zaobserwowano wpływu na narządy hormonalnie czynne i wchodzące w skład układu rozrodczego w przeprowadzonych na małpach badaniach nad toksycznością przewlekłą, jak również nie stwierdzono zaburzeń zdolności reprodukcyjnych u myszy pozbawionych IL-6. Podawanie </w:t>
      </w:r>
      <w:r w:rsidR="0046009B" w:rsidRPr="00F13073">
        <w:rPr>
          <w:rStyle w:val="Char"/>
        </w:rPr>
        <w:t xml:space="preserve">tocilizumabu </w:t>
      </w:r>
      <w:r w:rsidRPr="00F13073">
        <w:rPr>
          <w:rStyle w:val="Char"/>
        </w:rPr>
        <w:t xml:space="preserve">małpom Cynomolgus w okresie wczesnej ciąży nie wiązało się z bezpośrednim ani pośrednim działaniem szkodliwym na przebieg ciąży lub rozwój zarodka. Jednakże odnotowano nieznaczne zwiększenie częstości poronień lub śmierci embrionalno- płodowej przy ekspozycji ustrojowej na wysokie dawki (&gt; 100 x narażenie u ludzi) w grupie, której podawano dawkę w wysokości 50 mg/kg mc./dobę w porównaniu do placebo lub do innych - otrzymujących niższe dawki </w:t>
      </w:r>
      <w:r w:rsidR="00137E8C" w:rsidRPr="00F13073">
        <w:rPr>
          <w:rStyle w:val="Char"/>
        </w:rPr>
        <w:t>–</w:t>
      </w:r>
      <w:r w:rsidRPr="00F13073">
        <w:rPr>
          <w:rStyle w:val="Char"/>
        </w:rPr>
        <w:t xml:space="preserve"> grup badanych. Pomimo iż IL-6 nie wydaje się być cytokiną o decydującym znaczeniu dla wzrostu płodu ani dla immunologicznej kontroli matka-płód, to jednak nie można wykluczyć związku obserwowanych zdarzeń z podawaniem </w:t>
      </w:r>
      <w:r w:rsidR="0046009B" w:rsidRPr="00F13073">
        <w:rPr>
          <w:rStyle w:val="Char"/>
        </w:rPr>
        <w:t>tocilizumabu</w:t>
      </w:r>
      <w:r w:rsidRPr="00F13073">
        <w:rPr>
          <w:rStyle w:val="Char"/>
        </w:rPr>
        <w:t>.</w:t>
      </w:r>
    </w:p>
    <w:p w14:paraId="7D27D385" w14:textId="77777777" w:rsidR="00A1085A" w:rsidRPr="00F13073" w:rsidRDefault="00A1085A" w:rsidP="008B4C50">
      <w:pPr>
        <w:pStyle w:val="a4"/>
        <w:widowControl/>
        <w:spacing w:after="0"/>
      </w:pPr>
    </w:p>
    <w:p w14:paraId="7BEA8E66" w14:textId="77777777" w:rsidR="00A1085A" w:rsidRPr="00F13073" w:rsidRDefault="00A1085A" w:rsidP="008B4C50">
      <w:pPr>
        <w:pStyle w:val="a4"/>
        <w:widowControl/>
        <w:spacing w:after="0"/>
        <w:rPr>
          <w:rStyle w:val="Char"/>
        </w:rPr>
      </w:pPr>
      <w:r w:rsidRPr="00F13073">
        <w:rPr>
          <w:rStyle w:val="Char"/>
        </w:rPr>
        <w:t>Leczenie mysim analogiem nie wywoływało toksyczności u młodych myszy. W szczególności nie zaobserwowano zaburzeń dotyczących wzrostu szkieletu, funkcjonowania układu odpornościowego i dojrzewania płciowego.</w:t>
      </w:r>
    </w:p>
    <w:p w14:paraId="7065CD46" w14:textId="77777777" w:rsidR="006D16CE" w:rsidRPr="00F13073" w:rsidRDefault="006D16CE" w:rsidP="008B4C50">
      <w:pPr>
        <w:pStyle w:val="a4"/>
        <w:widowControl/>
        <w:spacing w:after="0"/>
      </w:pPr>
    </w:p>
    <w:p w14:paraId="0C80D7C4" w14:textId="32E2E1B6" w:rsidR="00A1085A" w:rsidRPr="00F13073" w:rsidRDefault="00A1085A" w:rsidP="008B4C50">
      <w:pPr>
        <w:pStyle w:val="a4"/>
        <w:widowControl/>
        <w:spacing w:after="0"/>
        <w:rPr>
          <w:rStyle w:val="Char"/>
        </w:rPr>
      </w:pPr>
      <w:r w:rsidRPr="00F13073">
        <w:rPr>
          <w:rStyle w:val="Char"/>
        </w:rPr>
        <w:t xml:space="preserve">Niekliniczny profil bezpieczeństwa </w:t>
      </w:r>
      <w:r w:rsidR="0046009B" w:rsidRPr="00F13073">
        <w:rPr>
          <w:rStyle w:val="Char"/>
        </w:rPr>
        <w:t>tocilizumabu</w:t>
      </w:r>
      <w:r w:rsidRPr="00F13073">
        <w:rPr>
          <w:rStyle w:val="Char"/>
        </w:rPr>
        <w:t>, uzyskany w badaniach na małpach Cynomolgus, nie wykazywał różnic w przypadku dożylnego i podskórnego sposobu podawania.</w:t>
      </w:r>
    </w:p>
    <w:p w14:paraId="45E22BE1" w14:textId="77777777" w:rsidR="006D16CE" w:rsidRPr="00F13073" w:rsidRDefault="006D16CE" w:rsidP="008B4C50">
      <w:pPr>
        <w:pStyle w:val="a4"/>
        <w:widowControl/>
        <w:spacing w:after="0"/>
        <w:rPr>
          <w:rStyle w:val="Char"/>
        </w:rPr>
      </w:pPr>
    </w:p>
    <w:p w14:paraId="10BA40FD" w14:textId="77777777" w:rsidR="00F91F06" w:rsidRPr="00F13073" w:rsidRDefault="00F91F06" w:rsidP="008B4C50"/>
    <w:p w14:paraId="545BF31D" w14:textId="77777777" w:rsidR="001E0975" w:rsidRPr="00F13073" w:rsidRDefault="001721B1" w:rsidP="008B4C50">
      <w:pPr>
        <w:keepNext/>
        <w:ind w:left="567" w:hanging="567"/>
        <w:rPr>
          <w:b/>
          <w:bCs/>
        </w:rPr>
      </w:pPr>
      <w:r w:rsidRPr="00F13073">
        <w:rPr>
          <w:b/>
          <w:bCs/>
        </w:rPr>
        <w:t>6.</w:t>
      </w:r>
      <w:r w:rsidRPr="00F13073">
        <w:rPr>
          <w:b/>
          <w:bCs/>
        </w:rPr>
        <w:tab/>
      </w:r>
      <w:r w:rsidR="006D16CE" w:rsidRPr="00F13073">
        <w:rPr>
          <w:rStyle w:val="Char"/>
          <w:rFonts w:eastAsia="DengXian"/>
          <w:b/>
          <w:bCs/>
        </w:rPr>
        <w:t>DANE FARMACEUTYCZNE</w:t>
      </w:r>
    </w:p>
    <w:p w14:paraId="668A8B21" w14:textId="77777777" w:rsidR="00F91F06" w:rsidRPr="00F13073" w:rsidRDefault="00F91F06" w:rsidP="008B4C50">
      <w:pPr>
        <w:keepNext/>
        <w:ind w:left="567" w:hanging="567"/>
        <w:rPr>
          <w:b/>
          <w:bCs/>
        </w:rPr>
      </w:pPr>
    </w:p>
    <w:p w14:paraId="6C086AE5" w14:textId="77777777" w:rsidR="001E0975" w:rsidRPr="00F13073" w:rsidRDefault="001721B1" w:rsidP="008B4C50">
      <w:pPr>
        <w:keepNext/>
        <w:ind w:left="567" w:hanging="567"/>
        <w:rPr>
          <w:b/>
          <w:bCs/>
        </w:rPr>
      </w:pPr>
      <w:r w:rsidRPr="00F13073">
        <w:rPr>
          <w:b/>
          <w:bCs/>
        </w:rPr>
        <w:t>6.1</w:t>
      </w:r>
      <w:r w:rsidRPr="00F13073">
        <w:rPr>
          <w:b/>
          <w:bCs/>
        </w:rPr>
        <w:tab/>
      </w:r>
      <w:r w:rsidR="006D16CE" w:rsidRPr="00F13073">
        <w:rPr>
          <w:rStyle w:val="Char"/>
          <w:rFonts w:eastAsia="DengXian"/>
          <w:b/>
          <w:bCs/>
        </w:rPr>
        <w:t>Wykaz substancji pomocniczych</w:t>
      </w:r>
    </w:p>
    <w:p w14:paraId="19F9C157" w14:textId="77777777" w:rsidR="00F91F06" w:rsidRPr="00F13073" w:rsidRDefault="00F91F06" w:rsidP="008B4C50">
      <w:pPr>
        <w:keepNext/>
        <w:ind w:left="567" w:hanging="567"/>
        <w:rPr>
          <w:b/>
          <w:bCs/>
        </w:rPr>
      </w:pPr>
    </w:p>
    <w:p w14:paraId="1D7ADAAF" w14:textId="77777777" w:rsidR="006D16CE" w:rsidRDefault="006D16CE" w:rsidP="008B4C50">
      <w:pPr>
        <w:rPr>
          <w:rFonts w:eastAsia="맑은 고딕"/>
          <w:lang w:eastAsia="ko-KR"/>
        </w:rPr>
      </w:pPr>
      <w:r w:rsidRPr="00F13073">
        <w:t>L-histydyna</w:t>
      </w:r>
    </w:p>
    <w:p w14:paraId="3E0E68FF" w14:textId="2014A37A" w:rsidR="008F49A7" w:rsidRPr="005F0664" w:rsidRDefault="00017E9D" w:rsidP="008B4C50">
      <w:pPr>
        <w:rPr>
          <w:rFonts w:eastAsia="맑은 고딕"/>
          <w:lang w:eastAsia="ko-KR"/>
        </w:rPr>
      </w:pPr>
      <w:r w:rsidRPr="00017E9D">
        <w:rPr>
          <w:rFonts w:eastAsia="맑은 고딕" w:hint="eastAsia"/>
          <w:lang w:eastAsia="ko-KR"/>
        </w:rPr>
        <w:t>L-histydyny monochlorowodorek, monohydrat</w:t>
      </w:r>
    </w:p>
    <w:p w14:paraId="7E233B0D" w14:textId="77777777" w:rsidR="00712194" w:rsidRPr="00127FBE" w:rsidRDefault="00712194" w:rsidP="008B4C50">
      <w:pPr>
        <w:rPr>
          <w:lang w:val="en-GB"/>
        </w:rPr>
      </w:pPr>
      <w:r w:rsidRPr="00127FBE">
        <w:rPr>
          <w:lang w:val="en-GB"/>
        </w:rPr>
        <w:t>L-</w:t>
      </w:r>
      <w:proofErr w:type="spellStart"/>
      <w:r w:rsidRPr="00127FBE">
        <w:rPr>
          <w:lang w:val="en-GB"/>
        </w:rPr>
        <w:t>treonina</w:t>
      </w:r>
      <w:proofErr w:type="spellEnd"/>
    </w:p>
    <w:p w14:paraId="39A567A2" w14:textId="77777777" w:rsidR="006D16CE" w:rsidRPr="00127FBE" w:rsidRDefault="006D16CE" w:rsidP="008B4C50">
      <w:pPr>
        <w:rPr>
          <w:lang w:val="en-GB"/>
        </w:rPr>
      </w:pPr>
      <w:r w:rsidRPr="00127FBE">
        <w:rPr>
          <w:lang w:val="en-GB"/>
        </w:rPr>
        <w:t>L-</w:t>
      </w:r>
      <w:proofErr w:type="spellStart"/>
      <w:r w:rsidRPr="00127FBE">
        <w:rPr>
          <w:lang w:val="en-GB"/>
        </w:rPr>
        <w:t>metionina</w:t>
      </w:r>
      <w:proofErr w:type="spellEnd"/>
    </w:p>
    <w:p w14:paraId="198587CC" w14:textId="77777777" w:rsidR="006D16CE" w:rsidRPr="00127FBE" w:rsidRDefault="006D16CE" w:rsidP="008B4C50">
      <w:pPr>
        <w:rPr>
          <w:lang w:val="en-GB"/>
        </w:rPr>
      </w:pPr>
      <w:proofErr w:type="spellStart"/>
      <w:r w:rsidRPr="00127FBE">
        <w:rPr>
          <w:lang w:val="en-GB"/>
        </w:rPr>
        <w:t>Polisorbat</w:t>
      </w:r>
      <w:proofErr w:type="spellEnd"/>
      <w:r w:rsidRPr="00127FBE">
        <w:rPr>
          <w:lang w:val="en-GB"/>
        </w:rPr>
        <w:t xml:space="preserve"> 80</w:t>
      </w:r>
    </w:p>
    <w:p w14:paraId="32B75DB3" w14:textId="77777777" w:rsidR="00F91F06" w:rsidRPr="00F13073" w:rsidRDefault="006D16CE" w:rsidP="008B4C50">
      <w:r w:rsidRPr="00F13073">
        <w:t>Woda do wstrzykiwań</w:t>
      </w:r>
    </w:p>
    <w:p w14:paraId="3F926588" w14:textId="77777777" w:rsidR="006D16CE" w:rsidRPr="00F13073" w:rsidRDefault="006D16CE" w:rsidP="008B4C50"/>
    <w:p w14:paraId="6E4DF383" w14:textId="77777777" w:rsidR="001E0975" w:rsidRPr="00F13073" w:rsidRDefault="001721B1" w:rsidP="005217BF">
      <w:pPr>
        <w:keepNext/>
        <w:ind w:left="567" w:hanging="567"/>
        <w:rPr>
          <w:b/>
          <w:bCs/>
        </w:rPr>
      </w:pPr>
      <w:r w:rsidRPr="00F13073">
        <w:rPr>
          <w:b/>
          <w:bCs/>
        </w:rPr>
        <w:t>6.2</w:t>
      </w:r>
      <w:r w:rsidRPr="00F13073">
        <w:rPr>
          <w:b/>
          <w:bCs/>
        </w:rPr>
        <w:tab/>
      </w:r>
      <w:r w:rsidR="006D16CE" w:rsidRPr="00F13073">
        <w:rPr>
          <w:rStyle w:val="Char"/>
          <w:rFonts w:eastAsia="DengXian"/>
          <w:b/>
          <w:bCs/>
        </w:rPr>
        <w:t>Niezgodności farmaceutyczne</w:t>
      </w:r>
    </w:p>
    <w:p w14:paraId="3F83D204" w14:textId="77777777" w:rsidR="00F91F06" w:rsidRPr="00F13073" w:rsidRDefault="00F91F06" w:rsidP="008B4C50">
      <w:pPr>
        <w:keepNext/>
        <w:ind w:left="567" w:hanging="567"/>
        <w:rPr>
          <w:b/>
          <w:bCs/>
        </w:rPr>
      </w:pPr>
    </w:p>
    <w:p w14:paraId="3F1CACCF" w14:textId="77777777" w:rsidR="00994CCA" w:rsidRPr="00F13073" w:rsidRDefault="00994CCA" w:rsidP="008B4C50">
      <w:r w:rsidRPr="00F13073">
        <w:rPr>
          <w:rStyle w:val="Char"/>
          <w:rFonts w:eastAsia="DengXian"/>
        </w:rPr>
        <w:t xml:space="preserve">Z </w:t>
      </w:r>
      <w:r w:rsidRPr="00F13073">
        <w:t>powodu</w:t>
      </w:r>
      <w:r w:rsidRPr="00F13073">
        <w:rPr>
          <w:rStyle w:val="Char"/>
          <w:rFonts w:eastAsia="DengXian"/>
        </w:rPr>
        <w:t xml:space="preserve"> braku badań dotyczących niezgodności farmaceutycznych produktu leczniczego nie wolno mieszać z innymi produktami leczniczymi.</w:t>
      </w:r>
    </w:p>
    <w:p w14:paraId="4A1E545F" w14:textId="77777777" w:rsidR="00994CCA" w:rsidRPr="00F13073" w:rsidRDefault="00994CCA" w:rsidP="008B4C50">
      <w:pPr>
        <w:pStyle w:val="a4"/>
        <w:widowControl/>
        <w:spacing w:after="0"/>
        <w:rPr>
          <w:rStyle w:val="Char"/>
          <w:b/>
          <w:bCs/>
        </w:rPr>
      </w:pPr>
    </w:p>
    <w:p w14:paraId="08978BD2" w14:textId="77777777" w:rsidR="00994CCA" w:rsidRPr="00F13073" w:rsidRDefault="00994CCA" w:rsidP="005217BF">
      <w:pPr>
        <w:keepNext/>
        <w:ind w:left="567" w:hanging="567"/>
        <w:rPr>
          <w:b/>
          <w:bCs/>
        </w:rPr>
      </w:pPr>
      <w:r w:rsidRPr="00F13073">
        <w:rPr>
          <w:b/>
          <w:bCs/>
        </w:rPr>
        <w:t>6.3</w:t>
      </w:r>
      <w:r w:rsidRPr="00F13073">
        <w:rPr>
          <w:b/>
          <w:bCs/>
        </w:rPr>
        <w:tab/>
        <w:t>Okres ważności</w:t>
      </w:r>
    </w:p>
    <w:p w14:paraId="38DB9975" w14:textId="77777777" w:rsidR="00994CCA" w:rsidRPr="00F13073" w:rsidRDefault="00994CCA" w:rsidP="008B4C50">
      <w:pPr>
        <w:rPr>
          <w:rStyle w:val="Char"/>
          <w:rFonts w:eastAsia="DengXian"/>
        </w:rPr>
      </w:pPr>
    </w:p>
    <w:p w14:paraId="5B9AF0BF" w14:textId="52D0338B" w:rsidR="00994CCA" w:rsidRPr="00F13073" w:rsidRDefault="005975E3" w:rsidP="008B4C50">
      <w:r>
        <w:rPr>
          <w:rStyle w:val="Char"/>
          <w:rFonts w:eastAsia="맑은 고딕" w:hint="eastAsia"/>
          <w:lang w:eastAsia="ko-KR"/>
        </w:rPr>
        <w:t>42</w:t>
      </w:r>
      <w:r w:rsidRPr="00F13073">
        <w:rPr>
          <w:rStyle w:val="Char"/>
          <w:rFonts w:eastAsia="DengXian"/>
        </w:rPr>
        <w:t xml:space="preserve"> </w:t>
      </w:r>
      <w:r w:rsidR="00994CCA" w:rsidRPr="00F13073">
        <w:rPr>
          <w:rStyle w:val="Char"/>
          <w:rFonts w:eastAsia="DengXian"/>
        </w:rPr>
        <w:t>miesięcy.</w:t>
      </w:r>
    </w:p>
    <w:p w14:paraId="6212C805" w14:textId="77777777" w:rsidR="00FB4F51" w:rsidRPr="00F13073" w:rsidRDefault="00FB4F51" w:rsidP="008B4C50">
      <w:pPr>
        <w:pStyle w:val="a4"/>
        <w:widowControl/>
        <w:spacing w:after="0"/>
        <w:rPr>
          <w:rStyle w:val="Char"/>
          <w:b/>
          <w:bCs/>
        </w:rPr>
      </w:pPr>
    </w:p>
    <w:p w14:paraId="05905298" w14:textId="77777777" w:rsidR="00994CCA" w:rsidRPr="00F13073" w:rsidRDefault="00994CCA" w:rsidP="005217BF">
      <w:pPr>
        <w:pStyle w:val="a4"/>
        <w:widowControl/>
        <w:spacing w:after="0"/>
        <w:ind w:left="567" w:hanging="567"/>
      </w:pPr>
      <w:r w:rsidRPr="00F13073">
        <w:rPr>
          <w:rStyle w:val="Char"/>
          <w:b/>
          <w:bCs/>
        </w:rPr>
        <w:t>6.4</w:t>
      </w:r>
      <w:r w:rsidR="00FB4F51" w:rsidRPr="00F13073">
        <w:rPr>
          <w:rStyle w:val="Char"/>
          <w:b/>
          <w:bCs/>
        </w:rPr>
        <w:tab/>
      </w:r>
      <w:r w:rsidRPr="00F13073">
        <w:rPr>
          <w:rStyle w:val="Char"/>
          <w:b/>
          <w:bCs/>
        </w:rPr>
        <w:t>Specjalne środki ostrożności podczas przechowywania</w:t>
      </w:r>
    </w:p>
    <w:p w14:paraId="0CBD3E7B" w14:textId="77777777" w:rsidR="00FB4F51" w:rsidRPr="00F13073" w:rsidRDefault="00FB4F51" w:rsidP="008B4C50">
      <w:pPr>
        <w:pStyle w:val="a4"/>
        <w:widowControl/>
        <w:spacing w:after="0"/>
        <w:rPr>
          <w:rStyle w:val="Char"/>
        </w:rPr>
      </w:pPr>
    </w:p>
    <w:p w14:paraId="53129D12" w14:textId="1A6B5EAB" w:rsidR="00994CCA" w:rsidRPr="00F13073" w:rsidRDefault="00994CCA" w:rsidP="008B4C50">
      <w:pPr>
        <w:pStyle w:val="a4"/>
        <w:widowControl/>
        <w:spacing w:after="0"/>
        <w:rPr>
          <w:rStyle w:val="Char"/>
        </w:rPr>
      </w:pPr>
      <w:r w:rsidRPr="00F13073">
        <w:rPr>
          <w:rStyle w:val="Char"/>
        </w:rPr>
        <w:t>Przechowywać w lodówce (2°C</w:t>
      </w:r>
      <w:r w:rsidR="006157FC" w:rsidRPr="00F13073">
        <w:rPr>
          <w:rStyle w:val="Char"/>
        </w:rPr>
        <w:t>–</w:t>
      </w:r>
      <w:r w:rsidRPr="00F13073">
        <w:rPr>
          <w:rStyle w:val="Char"/>
        </w:rPr>
        <w:t xml:space="preserve">8°C). Nie zamrażać. Po wyjęciu z lodówki ampułko-strzykawka może być przechowywana do </w:t>
      </w:r>
      <w:r w:rsidR="00BD39AC" w:rsidRPr="00F13073">
        <w:rPr>
          <w:rStyle w:val="Char"/>
        </w:rPr>
        <w:t>3</w:t>
      </w:r>
      <w:r w:rsidRPr="00F13073">
        <w:rPr>
          <w:rStyle w:val="Char"/>
        </w:rPr>
        <w:t xml:space="preserve"> tygodni w temperaturze nie wyższej niż 30°C.</w:t>
      </w:r>
    </w:p>
    <w:p w14:paraId="0C2091B6" w14:textId="77777777" w:rsidR="00FB4F51" w:rsidRPr="00F13073" w:rsidRDefault="00FB4F51" w:rsidP="008B4C50">
      <w:pPr>
        <w:pStyle w:val="a4"/>
        <w:widowControl/>
        <w:spacing w:after="0"/>
      </w:pPr>
    </w:p>
    <w:p w14:paraId="5882A23F" w14:textId="77777777" w:rsidR="00994CCA" w:rsidRPr="00F13073" w:rsidRDefault="00994CCA" w:rsidP="008B4C50">
      <w:pPr>
        <w:pStyle w:val="a4"/>
        <w:widowControl/>
        <w:spacing w:after="0"/>
        <w:rPr>
          <w:rStyle w:val="Char"/>
        </w:rPr>
      </w:pPr>
      <w:r w:rsidRPr="00F13073">
        <w:rPr>
          <w:rStyle w:val="Char"/>
        </w:rPr>
        <w:t>Ampułko-strzykawki przechowywać w opakowaniu zewnętrznym w celu ochrony przed światłem i wilgocią.</w:t>
      </w:r>
    </w:p>
    <w:p w14:paraId="26972E65" w14:textId="77777777" w:rsidR="00FB4F51" w:rsidRPr="00F13073" w:rsidRDefault="00FB4F51" w:rsidP="008B4C50">
      <w:pPr>
        <w:pStyle w:val="a4"/>
        <w:widowControl/>
        <w:spacing w:after="0"/>
      </w:pPr>
    </w:p>
    <w:p w14:paraId="10DB9490" w14:textId="77777777" w:rsidR="00994CCA" w:rsidRPr="00F13073" w:rsidRDefault="00994CCA" w:rsidP="005217BF">
      <w:pPr>
        <w:pStyle w:val="a4"/>
        <w:widowControl/>
        <w:spacing w:after="0"/>
        <w:ind w:left="567" w:hanging="567"/>
      </w:pPr>
      <w:r w:rsidRPr="00F13073">
        <w:rPr>
          <w:rStyle w:val="Char"/>
          <w:b/>
          <w:bCs/>
        </w:rPr>
        <w:t>6.5</w:t>
      </w:r>
      <w:r w:rsidR="00FB4F51" w:rsidRPr="00F13073">
        <w:rPr>
          <w:rStyle w:val="Char"/>
          <w:b/>
          <w:bCs/>
        </w:rPr>
        <w:tab/>
      </w:r>
      <w:r w:rsidRPr="00F13073">
        <w:rPr>
          <w:rStyle w:val="Char"/>
          <w:b/>
          <w:bCs/>
        </w:rPr>
        <w:t>Rodzaj i zawartość opakowania</w:t>
      </w:r>
    </w:p>
    <w:p w14:paraId="52DF10CF" w14:textId="77777777" w:rsidR="00FB4F51" w:rsidRPr="00F13073" w:rsidRDefault="00FB4F51" w:rsidP="008B4C50">
      <w:pPr>
        <w:pStyle w:val="a4"/>
        <w:widowControl/>
        <w:spacing w:after="0"/>
        <w:rPr>
          <w:rStyle w:val="Char"/>
        </w:rPr>
      </w:pPr>
    </w:p>
    <w:p w14:paraId="5294AD64" w14:textId="4DFD89C7" w:rsidR="00994CCA" w:rsidRPr="00F13073" w:rsidRDefault="00994CCA" w:rsidP="008B4C50">
      <w:pPr>
        <w:pStyle w:val="a4"/>
        <w:widowControl/>
        <w:spacing w:after="0"/>
        <w:rPr>
          <w:rStyle w:val="Char"/>
        </w:rPr>
      </w:pPr>
      <w:r w:rsidRPr="00F13073">
        <w:rPr>
          <w:rStyle w:val="Char"/>
        </w:rPr>
        <w:lastRenderedPageBreak/>
        <w:t>0,9 mL roztworu w ampułko-strzykawce (szkło typu I) z zamontowaną igłą. Strzykawka jest zamknięta sztywną osłoną igły (</w:t>
      </w:r>
      <w:r w:rsidR="00DF6457" w:rsidRPr="00F13073">
        <w:rPr>
          <w:rStyle w:val="Char"/>
        </w:rPr>
        <w:t xml:space="preserve">z </w:t>
      </w:r>
      <w:r w:rsidR="00151F2F" w:rsidRPr="00F13073">
        <w:rPr>
          <w:rStyle w:val="Char"/>
        </w:rPr>
        <w:t>gumy</w:t>
      </w:r>
      <w:r w:rsidR="00DF6457" w:rsidRPr="00F13073">
        <w:rPr>
          <w:rStyle w:val="Char"/>
        </w:rPr>
        <w:t xml:space="preserve"> poliizoprenowe</w:t>
      </w:r>
      <w:r w:rsidR="00151F2F" w:rsidRPr="00F13073">
        <w:rPr>
          <w:rStyle w:val="Char"/>
        </w:rPr>
        <w:t>j</w:t>
      </w:r>
      <w:r w:rsidR="00DF6457" w:rsidRPr="00F13073">
        <w:rPr>
          <w:rStyle w:val="Char"/>
        </w:rPr>
        <w:t xml:space="preserve"> i polipropylenu</w:t>
      </w:r>
      <w:r w:rsidRPr="00F13073">
        <w:rPr>
          <w:rStyle w:val="Char"/>
        </w:rPr>
        <w:t xml:space="preserve">) i </w:t>
      </w:r>
      <w:r w:rsidR="005F1A3B" w:rsidRPr="00F13073">
        <w:rPr>
          <w:rStyle w:val="Char"/>
        </w:rPr>
        <w:t xml:space="preserve">jałowym elastomerowym </w:t>
      </w:r>
      <w:r w:rsidRPr="00F13073">
        <w:rPr>
          <w:rStyle w:val="Char"/>
        </w:rPr>
        <w:t xml:space="preserve">ogranicznikiem tłoka </w:t>
      </w:r>
      <w:r w:rsidR="005F1A3B" w:rsidRPr="00F13073">
        <w:rPr>
          <w:rStyle w:val="Char"/>
        </w:rPr>
        <w:t xml:space="preserve">pokrytym powłoką </w:t>
      </w:r>
      <w:r w:rsidR="005E6A4B" w:rsidRPr="00F13073">
        <w:rPr>
          <w:rStyle w:val="Char"/>
        </w:rPr>
        <w:t xml:space="preserve">z tworzywa </w:t>
      </w:r>
      <w:r w:rsidR="005F1A3B" w:rsidRPr="00F13073">
        <w:rPr>
          <w:rStyle w:val="Char"/>
        </w:rPr>
        <w:t xml:space="preserve">fluorotec </w:t>
      </w:r>
      <w:r w:rsidRPr="00F13073">
        <w:rPr>
          <w:rStyle w:val="Char"/>
        </w:rPr>
        <w:t>(</w:t>
      </w:r>
      <w:r w:rsidR="00CA0E6D" w:rsidRPr="00F13073">
        <w:rPr>
          <w:rStyle w:val="Char"/>
        </w:rPr>
        <w:t>z silikonem</w:t>
      </w:r>
      <w:r w:rsidRPr="00F13073">
        <w:rPr>
          <w:rStyle w:val="Char"/>
        </w:rPr>
        <w:t>).</w:t>
      </w:r>
    </w:p>
    <w:p w14:paraId="2CCCA727" w14:textId="77777777" w:rsidR="00FB4F51" w:rsidRPr="00F13073" w:rsidRDefault="00FB4F51" w:rsidP="008B4C50">
      <w:pPr>
        <w:pStyle w:val="a4"/>
        <w:widowControl/>
        <w:spacing w:after="0"/>
      </w:pPr>
    </w:p>
    <w:p w14:paraId="02DA10F3" w14:textId="1DB0001A" w:rsidR="00CA0E6D" w:rsidRPr="00F13073" w:rsidRDefault="003718EE" w:rsidP="008B4C50">
      <w:pPr>
        <w:pStyle w:val="a4"/>
        <w:widowControl/>
        <w:spacing w:after="0"/>
      </w:pPr>
      <w:r w:rsidRPr="00F13073">
        <w:t>Ampułko-strzykawki z produktem leczniczym Avtozma do stosowania u pacjentów są dostępne w opakowaniach zawierających:</w:t>
      </w:r>
    </w:p>
    <w:p w14:paraId="34DB31BF" w14:textId="41E32E7F" w:rsidR="003718EE" w:rsidRPr="00F13073" w:rsidRDefault="006976CB" w:rsidP="0081094B">
      <w:pPr>
        <w:pStyle w:val="a4"/>
        <w:widowControl/>
        <w:numPr>
          <w:ilvl w:val="0"/>
          <w:numId w:val="26"/>
        </w:numPr>
        <w:spacing w:after="0"/>
        <w:ind w:left="567" w:hanging="567"/>
      </w:pPr>
      <w:r w:rsidRPr="00F13073">
        <w:t>1 ampułko-strzykawkę</w:t>
      </w:r>
    </w:p>
    <w:p w14:paraId="4D5A79D9" w14:textId="647F525E" w:rsidR="008D5C3E" w:rsidRPr="00F13073" w:rsidRDefault="008D5C3E" w:rsidP="008D5C3E">
      <w:pPr>
        <w:pStyle w:val="a4"/>
        <w:widowControl/>
        <w:numPr>
          <w:ilvl w:val="0"/>
          <w:numId w:val="26"/>
        </w:numPr>
        <w:spacing w:after="0"/>
        <w:ind w:left="567" w:hanging="567"/>
        <w:rPr>
          <w:ins w:id="12" w:author="만든 이"/>
        </w:rPr>
      </w:pPr>
      <w:ins w:id="13" w:author="만든 이">
        <w:r>
          <w:rPr>
            <w:rFonts w:eastAsia="맑은 고딕" w:hint="eastAsia"/>
            <w:lang w:eastAsia="ko-KR"/>
          </w:rPr>
          <w:t>2</w:t>
        </w:r>
        <w:r w:rsidRPr="00F13073">
          <w:t> ampułko-strzykawki</w:t>
        </w:r>
      </w:ins>
    </w:p>
    <w:p w14:paraId="19A635B5" w14:textId="67CBE74C" w:rsidR="006976CB" w:rsidRPr="00F13073" w:rsidRDefault="006976CB" w:rsidP="0081094B">
      <w:pPr>
        <w:pStyle w:val="a4"/>
        <w:widowControl/>
        <w:numPr>
          <w:ilvl w:val="0"/>
          <w:numId w:val="26"/>
        </w:numPr>
        <w:spacing w:after="0"/>
        <w:ind w:left="567" w:hanging="567"/>
      </w:pPr>
      <w:r w:rsidRPr="00F13073">
        <w:t>4 ampułko-strzykawki</w:t>
      </w:r>
    </w:p>
    <w:p w14:paraId="00AD26FF" w14:textId="0E4E8DED" w:rsidR="006976CB" w:rsidRPr="00F13073" w:rsidRDefault="006976CB" w:rsidP="0081094B">
      <w:pPr>
        <w:pStyle w:val="a4"/>
        <w:widowControl/>
        <w:numPr>
          <w:ilvl w:val="0"/>
          <w:numId w:val="26"/>
        </w:numPr>
        <w:spacing w:after="0"/>
        <w:ind w:left="567" w:hanging="567"/>
      </w:pPr>
      <w:r w:rsidRPr="00F13073">
        <w:t>12 </w:t>
      </w:r>
      <w:r w:rsidR="00ED2F39" w:rsidRPr="00F13073">
        <w:t xml:space="preserve">(3 opakowania po 4 sztuki) </w:t>
      </w:r>
      <w:r w:rsidRPr="00F13073">
        <w:t xml:space="preserve">ampułko-strzykawek </w:t>
      </w:r>
      <w:r w:rsidR="00ED2F39" w:rsidRPr="00F13073">
        <w:t>(opakowanie zbiorcze)</w:t>
      </w:r>
    </w:p>
    <w:p w14:paraId="1D9CBAC5" w14:textId="77777777" w:rsidR="003718EE" w:rsidRPr="00F13073" w:rsidRDefault="003718EE" w:rsidP="008B4C50">
      <w:pPr>
        <w:pStyle w:val="a4"/>
        <w:widowControl/>
        <w:spacing w:after="0"/>
      </w:pPr>
    </w:p>
    <w:p w14:paraId="42354422" w14:textId="71F68403" w:rsidR="00994CCA" w:rsidRPr="00F13073" w:rsidRDefault="00994CCA" w:rsidP="008B4C50">
      <w:pPr>
        <w:pStyle w:val="a4"/>
        <w:widowControl/>
        <w:spacing w:after="0"/>
        <w:rPr>
          <w:rStyle w:val="Char"/>
          <w:b/>
          <w:bCs/>
        </w:rPr>
      </w:pPr>
      <w:r w:rsidRPr="00F13073">
        <w:rPr>
          <w:rStyle w:val="Char"/>
          <w:b/>
          <w:bCs/>
        </w:rPr>
        <w:t>Nie wszystkie wielkości opakowań muszą znajdować się w obrocie.</w:t>
      </w:r>
    </w:p>
    <w:p w14:paraId="10839256" w14:textId="77777777" w:rsidR="00FB4F51" w:rsidRPr="00F13073" w:rsidRDefault="00FB4F51" w:rsidP="008B4C50">
      <w:pPr>
        <w:pStyle w:val="a4"/>
        <w:widowControl/>
        <w:spacing w:after="0"/>
      </w:pPr>
    </w:p>
    <w:p w14:paraId="2291B9BF" w14:textId="77777777" w:rsidR="00994CCA" w:rsidRPr="00F13073" w:rsidRDefault="00994CCA" w:rsidP="008B4C50">
      <w:pPr>
        <w:pStyle w:val="a4"/>
        <w:widowControl/>
        <w:spacing w:after="0"/>
      </w:pPr>
      <w:r w:rsidRPr="00F13073">
        <w:rPr>
          <w:rStyle w:val="Char"/>
          <w:b/>
          <w:bCs/>
        </w:rPr>
        <w:t>6.6</w:t>
      </w:r>
      <w:r w:rsidR="00FB4F51" w:rsidRPr="00F13073">
        <w:rPr>
          <w:rStyle w:val="Char"/>
          <w:b/>
          <w:bCs/>
        </w:rPr>
        <w:tab/>
      </w:r>
      <w:r w:rsidRPr="00F13073">
        <w:rPr>
          <w:rStyle w:val="Char"/>
          <w:b/>
          <w:bCs/>
        </w:rPr>
        <w:t>Specjalne środki ostrożności dotyczące usuwania</w:t>
      </w:r>
    </w:p>
    <w:p w14:paraId="4B8F9952" w14:textId="77777777" w:rsidR="00FB4F51" w:rsidRPr="00F13073" w:rsidRDefault="00FB4F51" w:rsidP="008B4C50">
      <w:pPr>
        <w:pStyle w:val="a4"/>
        <w:widowControl/>
        <w:spacing w:after="0"/>
        <w:rPr>
          <w:rStyle w:val="Char"/>
        </w:rPr>
      </w:pPr>
    </w:p>
    <w:p w14:paraId="5EF9BCD3" w14:textId="6CF96294" w:rsidR="00994CCA" w:rsidRPr="00F13073" w:rsidRDefault="00994CCA" w:rsidP="005E5B54">
      <w:pPr>
        <w:pStyle w:val="a4"/>
        <w:widowControl/>
        <w:spacing w:after="0"/>
      </w:pPr>
      <w:r w:rsidRPr="00F13073">
        <w:rPr>
          <w:rStyle w:val="Char"/>
        </w:rPr>
        <w:t xml:space="preserve">Produkt leczniczy </w:t>
      </w:r>
      <w:r w:rsidR="00026375" w:rsidRPr="00F13073">
        <w:rPr>
          <w:rStyle w:val="Char"/>
        </w:rPr>
        <w:t>Avtozma</w:t>
      </w:r>
      <w:r w:rsidRPr="00F13073">
        <w:rPr>
          <w:rStyle w:val="Char"/>
        </w:rPr>
        <w:t xml:space="preserve"> dostarczany jest w postaci jednorazowej ampułko-strzykawki wyposażonej w zabezpieczenie igły. Po wyjęciu ampułko-strzykawki z lodówki należy pozwolić, by ogrzała się do temperatury pokojowej (</w:t>
      </w:r>
      <w:r w:rsidR="00F664D0" w:rsidRPr="00F13073">
        <w:rPr>
          <w:rStyle w:val="Char"/>
          <w:color w:val="1C1C1C"/>
        </w:rPr>
        <w:t xml:space="preserve">od </w:t>
      </w:r>
      <w:r w:rsidR="00460B7C">
        <w:rPr>
          <w:rStyle w:val="Char"/>
          <w:rFonts w:eastAsia="맑은 고딕" w:hint="eastAsia"/>
          <w:lang w:eastAsia="ko-KR"/>
        </w:rPr>
        <w:t>18</w:t>
      </w:r>
      <w:r w:rsidR="00F664D0" w:rsidRPr="00F13073">
        <w:rPr>
          <w:rStyle w:val="Char"/>
          <w:color w:val="1C1C1C"/>
        </w:rPr>
        <w:t xml:space="preserve">°C do </w:t>
      </w:r>
      <w:r w:rsidR="00022172" w:rsidRPr="00F13073">
        <w:rPr>
          <w:rStyle w:val="Char"/>
        </w:rPr>
        <w:t>2</w:t>
      </w:r>
      <w:r w:rsidR="00022172">
        <w:rPr>
          <w:rStyle w:val="Char"/>
          <w:rFonts w:eastAsia="맑은 고딕" w:hint="eastAsia"/>
          <w:lang w:eastAsia="ko-KR"/>
        </w:rPr>
        <w:t>8</w:t>
      </w:r>
      <w:r w:rsidR="00F664D0" w:rsidRPr="00F13073">
        <w:rPr>
          <w:rStyle w:val="Char"/>
          <w:color w:val="1C1C1C"/>
        </w:rPr>
        <w:t>°C</w:t>
      </w:r>
      <w:r w:rsidRPr="00F13073">
        <w:rPr>
          <w:rStyle w:val="Char"/>
          <w:color w:val="1C1C1C"/>
        </w:rPr>
        <w:t>)</w:t>
      </w:r>
      <w:r w:rsidRPr="00F13073">
        <w:rPr>
          <w:rStyle w:val="Char"/>
        </w:rPr>
        <w:t>, odczekując przynajmniej 30</w:t>
      </w:r>
      <w:r w:rsidR="005E5B54" w:rsidRPr="00F13073">
        <w:rPr>
          <w:rStyle w:val="Char"/>
        </w:rPr>
        <w:t> </w:t>
      </w:r>
      <w:r w:rsidRPr="00F13073">
        <w:rPr>
          <w:rStyle w:val="Char"/>
        </w:rPr>
        <w:t xml:space="preserve">minut przed wstrzyknięciem produktu leczniczego </w:t>
      </w:r>
      <w:r w:rsidR="00026375" w:rsidRPr="00F13073">
        <w:rPr>
          <w:rStyle w:val="Char"/>
        </w:rPr>
        <w:t>Avtozma</w:t>
      </w:r>
      <w:r w:rsidRPr="00F13073">
        <w:rPr>
          <w:rStyle w:val="Char"/>
        </w:rPr>
        <w:t>. Nie należy wstrząsać ampułko-strzykawką.</w:t>
      </w:r>
    </w:p>
    <w:p w14:paraId="2DCDC2EB" w14:textId="77777777" w:rsidR="00994CCA" w:rsidRPr="00F13073" w:rsidRDefault="00994CCA" w:rsidP="008B4C50">
      <w:pPr>
        <w:pStyle w:val="a4"/>
        <w:widowControl/>
        <w:spacing w:after="0"/>
        <w:rPr>
          <w:rStyle w:val="Char"/>
        </w:rPr>
      </w:pPr>
      <w:r w:rsidRPr="00F13073">
        <w:rPr>
          <w:rStyle w:val="Char"/>
        </w:rPr>
        <w:t>Zastrzyk musi być wykonany w ciągu 5 minut po zdjęciu nakładki, aby zapobiec wysychaniu leku i</w:t>
      </w:r>
      <w:r w:rsidR="009B4C2C" w:rsidRPr="00F13073">
        <w:rPr>
          <w:rStyle w:val="Char"/>
        </w:rPr>
        <w:t xml:space="preserve"> </w:t>
      </w:r>
      <w:r w:rsidRPr="00F13073">
        <w:rPr>
          <w:rStyle w:val="Char"/>
        </w:rPr>
        <w:t>zablokowaniu igły. W przypadku niewykonania zastrzyku w ciągu 5 minut po zdjęciu nakładki, należy wyrzucić ampułko-strzykawkę do pojemnika odpornego na przekłucia i użyć nowej ampułko- strzykawki.</w:t>
      </w:r>
    </w:p>
    <w:p w14:paraId="49BB8A29" w14:textId="77777777" w:rsidR="009B4C2C" w:rsidRPr="00F13073" w:rsidRDefault="009B4C2C" w:rsidP="008B4C50">
      <w:pPr>
        <w:pStyle w:val="a4"/>
        <w:widowControl/>
        <w:spacing w:after="0"/>
      </w:pPr>
    </w:p>
    <w:p w14:paraId="3AB02A1A" w14:textId="77777777" w:rsidR="00994CCA" w:rsidRPr="00F13073" w:rsidRDefault="00994CCA" w:rsidP="008B4C50">
      <w:pPr>
        <w:pStyle w:val="a4"/>
        <w:widowControl/>
        <w:spacing w:after="0"/>
        <w:rPr>
          <w:rStyle w:val="Char"/>
        </w:rPr>
      </w:pPr>
      <w:r w:rsidRPr="00F13073">
        <w:rPr>
          <w:rStyle w:val="Char"/>
        </w:rPr>
        <w:t>Jeśli po wkłuciu igły nie jest możliwe naciśnięcie tłoczka strzykawki, należy wyrzucić ampułko- strzykawkę do pojemnika odpornego na przekłucia i użyć nowej ampułko-strzykawki.</w:t>
      </w:r>
    </w:p>
    <w:p w14:paraId="134BEDCE" w14:textId="77777777" w:rsidR="009B4C2C" w:rsidRPr="00F13073" w:rsidRDefault="009B4C2C" w:rsidP="008B4C50">
      <w:pPr>
        <w:pStyle w:val="a4"/>
        <w:widowControl/>
        <w:spacing w:after="0"/>
        <w:rPr>
          <w:rStyle w:val="Char"/>
        </w:rPr>
      </w:pPr>
    </w:p>
    <w:p w14:paraId="62EEC0D0" w14:textId="6E5D2C4F" w:rsidR="00994CCA" w:rsidRPr="00F13073" w:rsidRDefault="00994CCA" w:rsidP="008B4C50">
      <w:pPr>
        <w:pStyle w:val="a4"/>
        <w:widowControl/>
        <w:spacing w:after="0"/>
        <w:rPr>
          <w:rStyle w:val="Char"/>
        </w:rPr>
      </w:pPr>
      <w:r w:rsidRPr="00F13073">
        <w:rPr>
          <w:rStyle w:val="Char"/>
        </w:rPr>
        <w:t>Nie używać leku, jeśli jest mętny lub zawiera cząstki stałe, posiada zabarwienie inne niż bezbarwne lub żółte lub jeśli którakolwiek część ampułko-strzykawki jest uszkodzona.</w:t>
      </w:r>
    </w:p>
    <w:p w14:paraId="7C67E89D" w14:textId="77777777" w:rsidR="009B4C2C" w:rsidRPr="00F13073" w:rsidRDefault="009B4C2C" w:rsidP="008B4C50">
      <w:pPr>
        <w:pStyle w:val="a4"/>
        <w:widowControl/>
        <w:spacing w:after="0"/>
        <w:rPr>
          <w:rStyle w:val="Char"/>
        </w:rPr>
      </w:pPr>
    </w:p>
    <w:p w14:paraId="3953D54F" w14:textId="0779D36E" w:rsidR="00994CCA" w:rsidRPr="00F13073" w:rsidRDefault="00994CCA" w:rsidP="008B4C50">
      <w:pPr>
        <w:pStyle w:val="a4"/>
        <w:widowControl/>
        <w:spacing w:after="0"/>
        <w:rPr>
          <w:rStyle w:val="Char"/>
        </w:rPr>
      </w:pPr>
      <w:r w:rsidRPr="00F13073">
        <w:rPr>
          <w:rStyle w:val="Char"/>
        </w:rPr>
        <w:t xml:space="preserve">Dokładne instrukcje dotyczące podawania produktu leczniczego </w:t>
      </w:r>
      <w:r w:rsidR="00026375" w:rsidRPr="00F13073">
        <w:rPr>
          <w:rStyle w:val="Char"/>
        </w:rPr>
        <w:t>Avtozma</w:t>
      </w:r>
      <w:r w:rsidRPr="00F13073">
        <w:rPr>
          <w:rStyle w:val="Char"/>
        </w:rPr>
        <w:t xml:space="preserve"> w ampułko-strzykawce podano w ulotce dołączonej do opakowania.</w:t>
      </w:r>
    </w:p>
    <w:p w14:paraId="602AFE5B" w14:textId="77777777" w:rsidR="009B4C2C" w:rsidRPr="00F13073" w:rsidRDefault="009B4C2C" w:rsidP="008B4C50">
      <w:pPr>
        <w:pStyle w:val="a4"/>
        <w:widowControl/>
        <w:spacing w:after="0"/>
      </w:pPr>
    </w:p>
    <w:p w14:paraId="6C6CCDE9" w14:textId="77777777" w:rsidR="00994CCA" w:rsidRPr="00F13073" w:rsidRDefault="00994CCA" w:rsidP="008B4C50">
      <w:pPr>
        <w:pStyle w:val="a4"/>
        <w:widowControl/>
        <w:spacing w:after="0"/>
        <w:rPr>
          <w:rStyle w:val="Char"/>
        </w:rPr>
      </w:pPr>
      <w:r w:rsidRPr="00F13073">
        <w:rPr>
          <w:rStyle w:val="Char"/>
        </w:rPr>
        <w:t>Wszelkie resztki niewykorzystanego produktu lub jego odpady należy usunąć w sposób zgodny z lokalnymi przepisami.</w:t>
      </w:r>
    </w:p>
    <w:p w14:paraId="25245038" w14:textId="77777777" w:rsidR="009B4C2C" w:rsidRPr="00F13073" w:rsidRDefault="009B4C2C" w:rsidP="008B4C50">
      <w:pPr>
        <w:pStyle w:val="a4"/>
        <w:widowControl/>
        <w:spacing w:after="0"/>
        <w:rPr>
          <w:rStyle w:val="Char"/>
        </w:rPr>
      </w:pPr>
    </w:p>
    <w:p w14:paraId="7D262F75" w14:textId="77777777" w:rsidR="00F91F06" w:rsidRPr="00F13073" w:rsidRDefault="00F91F06" w:rsidP="008B4C50"/>
    <w:p w14:paraId="3CF7A7C5" w14:textId="77777777" w:rsidR="001E0975" w:rsidRPr="00F13073" w:rsidRDefault="001721B1" w:rsidP="008B4C50">
      <w:pPr>
        <w:keepNext/>
        <w:ind w:left="567" w:hanging="567"/>
        <w:rPr>
          <w:b/>
          <w:bCs/>
        </w:rPr>
      </w:pPr>
      <w:r w:rsidRPr="00F13073">
        <w:rPr>
          <w:b/>
          <w:bCs/>
        </w:rPr>
        <w:t>7.</w:t>
      </w:r>
      <w:r w:rsidRPr="00F13073">
        <w:rPr>
          <w:b/>
          <w:bCs/>
        </w:rPr>
        <w:tab/>
      </w:r>
      <w:r w:rsidR="009B4C2C" w:rsidRPr="00F13073">
        <w:rPr>
          <w:rStyle w:val="Char"/>
          <w:rFonts w:eastAsia="DengXian"/>
          <w:b/>
          <w:bCs/>
        </w:rPr>
        <w:t>PODMIOT ODPOWIEDZIALNY POSIADAJĄCY POZWOLENIE NA DOPUSZCZENIE DO OBROTU</w:t>
      </w:r>
    </w:p>
    <w:p w14:paraId="03EC0B9C" w14:textId="77777777" w:rsidR="00F91F06" w:rsidRPr="00F13073" w:rsidRDefault="00F91F06" w:rsidP="008B4C50">
      <w:pPr>
        <w:keepNext/>
        <w:ind w:left="567" w:hanging="567"/>
        <w:rPr>
          <w:b/>
          <w:bCs/>
        </w:rPr>
      </w:pPr>
    </w:p>
    <w:p w14:paraId="55E7F590" w14:textId="77777777" w:rsidR="00D022AF" w:rsidRPr="00127FBE" w:rsidRDefault="00D022AF" w:rsidP="00D022AF">
      <w:pPr>
        <w:pStyle w:val="a4"/>
        <w:keepNext/>
        <w:spacing w:after="0"/>
        <w:rPr>
          <w:lang w:val="en-GB"/>
        </w:rPr>
      </w:pPr>
      <w:r w:rsidRPr="00127FBE">
        <w:rPr>
          <w:lang w:val="en-GB"/>
        </w:rPr>
        <w:t xml:space="preserve">Celltrion Healthcare Hungary Kft. </w:t>
      </w:r>
    </w:p>
    <w:p w14:paraId="3EC48854" w14:textId="77777777" w:rsidR="00D022AF" w:rsidRPr="00127FBE" w:rsidRDefault="00D022AF" w:rsidP="00D022AF">
      <w:pPr>
        <w:pStyle w:val="a4"/>
        <w:keepNext/>
        <w:spacing w:after="0"/>
        <w:rPr>
          <w:lang w:val="en-GB"/>
        </w:rPr>
      </w:pPr>
      <w:r w:rsidRPr="00127FBE">
        <w:rPr>
          <w:lang w:val="en-GB"/>
        </w:rPr>
        <w:t>1062 Budapest</w:t>
      </w:r>
    </w:p>
    <w:p w14:paraId="14AED164" w14:textId="77777777" w:rsidR="00D022AF" w:rsidRPr="00127FBE" w:rsidRDefault="00D022AF" w:rsidP="00D022AF">
      <w:pPr>
        <w:pStyle w:val="a4"/>
        <w:keepNext/>
        <w:spacing w:after="0"/>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11A398C3" w14:textId="1CA70783" w:rsidR="00D022AF" w:rsidRPr="00127FBE" w:rsidRDefault="00D022AF" w:rsidP="00D022AF">
      <w:pPr>
        <w:pStyle w:val="a4"/>
        <w:spacing w:after="0"/>
        <w:rPr>
          <w:lang w:val="en-GB"/>
        </w:rPr>
      </w:pPr>
      <w:proofErr w:type="spellStart"/>
      <w:r w:rsidRPr="00127FBE">
        <w:rPr>
          <w:lang w:val="en-GB"/>
        </w:rPr>
        <w:t>Węgry</w:t>
      </w:r>
      <w:proofErr w:type="spellEnd"/>
    </w:p>
    <w:p w14:paraId="579A25DD" w14:textId="77777777" w:rsidR="00F91F06" w:rsidRPr="00127FBE" w:rsidRDefault="00F91F06" w:rsidP="008B4C50">
      <w:pPr>
        <w:rPr>
          <w:lang w:val="en-GB"/>
        </w:rPr>
      </w:pPr>
    </w:p>
    <w:p w14:paraId="4FAB6ED1" w14:textId="77777777" w:rsidR="00F91F06" w:rsidRPr="00127FBE" w:rsidRDefault="00F91F06" w:rsidP="008B4C50">
      <w:pPr>
        <w:rPr>
          <w:lang w:val="en-GB"/>
        </w:rPr>
      </w:pPr>
    </w:p>
    <w:p w14:paraId="7EC73877" w14:textId="77777777" w:rsidR="001E0975" w:rsidRPr="00F13073" w:rsidRDefault="001721B1" w:rsidP="008B4C50">
      <w:pPr>
        <w:keepNext/>
        <w:ind w:left="567" w:hanging="567"/>
        <w:rPr>
          <w:b/>
          <w:bCs/>
        </w:rPr>
      </w:pPr>
      <w:r w:rsidRPr="00F13073">
        <w:rPr>
          <w:b/>
          <w:bCs/>
        </w:rPr>
        <w:t>8.</w:t>
      </w:r>
      <w:r w:rsidRPr="00F13073">
        <w:rPr>
          <w:b/>
          <w:bCs/>
        </w:rPr>
        <w:tab/>
      </w:r>
      <w:r w:rsidR="009B4C2C" w:rsidRPr="00F13073">
        <w:rPr>
          <w:rStyle w:val="Char"/>
          <w:rFonts w:eastAsia="DengXian"/>
          <w:b/>
          <w:bCs/>
        </w:rPr>
        <w:t>NUMER(Y) POZWOLENIA NA DOPUSZCZENIE DO OBROTU</w:t>
      </w:r>
    </w:p>
    <w:p w14:paraId="3BCE26B1" w14:textId="77777777" w:rsidR="00F91F06" w:rsidRPr="00F13073" w:rsidRDefault="00F91F06" w:rsidP="008B4C50">
      <w:pPr>
        <w:keepNext/>
        <w:ind w:left="567" w:hanging="567"/>
        <w:rPr>
          <w:b/>
          <w:bCs/>
        </w:rPr>
      </w:pPr>
    </w:p>
    <w:p w14:paraId="652E3681" w14:textId="55877583" w:rsidR="00604715" w:rsidRPr="00F13073" w:rsidRDefault="00611033" w:rsidP="008B4C50">
      <w:r w:rsidRPr="00F13073">
        <w:t>EU/</w:t>
      </w:r>
      <w:r w:rsidR="00FD0A8A">
        <w:rPr>
          <w:rFonts w:cs="Verdana"/>
          <w:color w:val="000000"/>
          <w:kern w:val="2"/>
        </w:rPr>
        <w:t>1/24/1896/007</w:t>
      </w:r>
    </w:p>
    <w:p w14:paraId="4E53D1BD" w14:textId="48B40A71" w:rsidR="001E0975" w:rsidRPr="00F13073" w:rsidRDefault="00611033" w:rsidP="008B4C50">
      <w:r w:rsidRPr="00F13073">
        <w:t>EU/</w:t>
      </w:r>
      <w:r w:rsidR="00FD0A8A">
        <w:rPr>
          <w:rFonts w:cs="Verdana"/>
          <w:color w:val="000000"/>
          <w:kern w:val="2"/>
        </w:rPr>
        <w:t>1/24/1896/008</w:t>
      </w:r>
    </w:p>
    <w:p w14:paraId="00A20E6A" w14:textId="3E016173" w:rsidR="00F91F06" w:rsidRPr="00F13073" w:rsidRDefault="00BD7224" w:rsidP="008B4C50">
      <w:r w:rsidRPr="00F13073">
        <w:t>EU/</w:t>
      </w:r>
      <w:r w:rsidR="007E4DF4">
        <w:rPr>
          <w:rFonts w:cs="Verdana"/>
          <w:color w:val="000000"/>
          <w:kern w:val="2"/>
        </w:rPr>
        <w:t>1/24/1896/009</w:t>
      </w:r>
    </w:p>
    <w:p w14:paraId="24BE64A1" w14:textId="64EC3CAA" w:rsidR="008D5C3E" w:rsidRPr="008D5C3E" w:rsidRDefault="008D5C3E" w:rsidP="008D5C3E">
      <w:pPr>
        <w:rPr>
          <w:ins w:id="14" w:author="만든 이"/>
          <w:rFonts w:eastAsia="맑은 고딕"/>
          <w:lang w:eastAsia="ko-KR"/>
          <w:rPrChange w:id="15" w:author="만든 이">
            <w:rPr>
              <w:ins w:id="16" w:author="만든 이"/>
            </w:rPr>
          </w:rPrChange>
        </w:rPr>
      </w:pPr>
      <w:ins w:id="17" w:author="만든 이">
        <w:r w:rsidRPr="00F13073">
          <w:t>EU/</w:t>
        </w:r>
        <w:r>
          <w:rPr>
            <w:rFonts w:cs="Verdana"/>
            <w:color w:val="000000"/>
            <w:kern w:val="2"/>
          </w:rPr>
          <w:t>1/24/1896/</w:t>
        </w:r>
        <w:r w:rsidR="00D47085">
          <w:rPr>
            <w:rFonts w:eastAsia="맑은 고딕" w:cs="Verdana" w:hint="eastAsia"/>
            <w:color w:val="000000"/>
            <w:kern w:val="2"/>
            <w:lang w:eastAsia="ko-KR"/>
          </w:rPr>
          <w:t>013</w:t>
        </w:r>
      </w:ins>
    </w:p>
    <w:p w14:paraId="640FA84F" w14:textId="77777777" w:rsidR="00F91F06" w:rsidRPr="00F13073" w:rsidRDefault="00F91F06" w:rsidP="008B4C50"/>
    <w:p w14:paraId="56412945" w14:textId="77777777" w:rsidR="005E5B54" w:rsidRPr="00F13073" w:rsidRDefault="005E5B54" w:rsidP="008B4C50"/>
    <w:p w14:paraId="47B8DA8F" w14:textId="77777777" w:rsidR="001E0975" w:rsidRPr="00F13073" w:rsidRDefault="001721B1" w:rsidP="008B4C50">
      <w:pPr>
        <w:keepNext/>
        <w:ind w:left="567" w:hanging="567"/>
        <w:rPr>
          <w:b/>
          <w:bCs/>
        </w:rPr>
      </w:pPr>
      <w:r w:rsidRPr="00F13073">
        <w:rPr>
          <w:b/>
          <w:bCs/>
        </w:rPr>
        <w:lastRenderedPageBreak/>
        <w:t>9.</w:t>
      </w:r>
      <w:r w:rsidRPr="00F13073">
        <w:rPr>
          <w:b/>
          <w:bCs/>
        </w:rPr>
        <w:tab/>
      </w:r>
      <w:r w:rsidR="009B4C2C" w:rsidRPr="00F13073">
        <w:rPr>
          <w:rStyle w:val="Char"/>
          <w:rFonts w:eastAsia="DengXian"/>
          <w:b/>
          <w:bCs/>
        </w:rPr>
        <w:t>DATA WYDANIA PIERWSZEGO POZWOLENIA NA DOPUSZCZENIE DO OBROTU I DATA PRZEDŁUŻENIA POZWOLENIA</w:t>
      </w:r>
    </w:p>
    <w:p w14:paraId="19A5688F" w14:textId="77777777" w:rsidR="00F91F06" w:rsidRPr="00F13073" w:rsidRDefault="00F91F06" w:rsidP="008B4C50">
      <w:pPr>
        <w:keepNext/>
        <w:ind w:left="567" w:hanging="567"/>
        <w:rPr>
          <w:b/>
          <w:bCs/>
        </w:rPr>
      </w:pPr>
    </w:p>
    <w:p w14:paraId="79A8E9CC" w14:textId="7009557F" w:rsidR="009B4C2C" w:rsidRPr="00F13073" w:rsidRDefault="009B4C2C" w:rsidP="008B4C50">
      <w:pPr>
        <w:pStyle w:val="a4"/>
        <w:widowControl/>
        <w:spacing w:after="0"/>
      </w:pPr>
      <w:r w:rsidRPr="00F13073">
        <w:rPr>
          <w:rStyle w:val="Char"/>
          <w:color w:val="1C1C1C"/>
        </w:rPr>
        <w:t xml:space="preserve">Data wydania pierwszego pozwolenia na dopuszczenie do obrotu: </w:t>
      </w:r>
      <w:r w:rsidR="00E12771">
        <w:rPr>
          <w:rStyle w:val="Char"/>
          <w:rFonts w:eastAsia="맑은 고딕" w:hint="eastAsia"/>
          <w:color w:val="1C1C1C"/>
          <w:lang w:eastAsia="ko-KR"/>
        </w:rPr>
        <w:t xml:space="preserve">14 </w:t>
      </w:r>
      <w:r w:rsidR="00673F44" w:rsidRPr="004C41FF">
        <w:t>luty</w:t>
      </w:r>
      <w:r w:rsidR="00673F44">
        <w:rPr>
          <w:rFonts w:eastAsia="맑은 고딕" w:hint="eastAsia"/>
          <w:lang w:eastAsia="ko-KR"/>
        </w:rPr>
        <w:t xml:space="preserve"> 2025</w:t>
      </w:r>
    </w:p>
    <w:p w14:paraId="007C5DFD" w14:textId="77777777" w:rsidR="00F91F06" w:rsidRPr="00F13073" w:rsidRDefault="00F91F06" w:rsidP="008B4C50"/>
    <w:p w14:paraId="3E2E639D" w14:textId="77777777" w:rsidR="00F91F06" w:rsidRPr="00F13073" w:rsidRDefault="00F91F06" w:rsidP="008B4C50"/>
    <w:p w14:paraId="14B05A6D" w14:textId="77777777" w:rsidR="001E0975" w:rsidRPr="00F13073" w:rsidRDefault="001721B1" w:rsidP="008B4C50">
      <w:pPr>
        <w:keepNext/>
        <w:ind w:left="567" w:hanging="567"/>
        <w:rPr>
          <w:b/>
          <w:bCs/>
        </w:rPr>
      </w:pPr>
      <w:r w:rsidRPr="00F13073">
        <w:rPr>
          <w:b/>
          <w:bCs/>
        </w:rPr>
        <w:t>10.</w:t>
      </w:r>
      <w:r w:rsidRPr="00F13073">
        <w:rPr>
          <w:b/>
          <w:bCs/>
        </w:rPr>
        <w:tab/>
      </w:r>
      <w:r w:rsidR="009B4C2C" w:rsidRPr="00F13073">
        <w:rPr>
          <w:rStyle w:val="Char"/>
          <w:rFonts w:eastAsia="DengXian"/>
          <w:b/>
          <w:bCs/>
        </w:rPr>
        <w:t>DATA ZATWIERDZENIA LUB CZĘŚCIOWEJ ZMIANY TEKSTU CHARAKTERYSTYKI PRODUKTU LECZNICZEGO</w:t>
      </w:r>
    </w:p>
    <w:p w14:paraId="4C89C51D" w14:textId="77777777" w:rsidR="00F91F06" w:rsidRPr="00F13073" w:rsidRDefault="00F91F06" w:rsidP="008B4C50">
      <w:pPr>
        <w:keepNext/>
        <w:ind w:left="567" w:hanging="567"/>
        <w:rPr>
          <w:b/>
          <w:bCs/>
        </w:rPr>
      </w:pPr>
    </w:p>
    <w:p w14:paraId="5C5BC83E" w14:textId="4D3757B2" w:rsidR="001E0975" w:rsidRPr="00F13073" w:rsidRDefault="009B4C2C" w:rsidP="008B4C50">
      <w:r w:rsidRPr="00F13073">
        <w:rPr>
          <w:rStyle w:val="Char"/>
          <w:rFonts w:eastAsia="DengXian"/>
        </w:rPr>
        <w:t>Szczegółowe informacje o tym produkcie leczniczym są dostępne na stronie internetowej Europejskiej Agencji Leków</w:t>
      </w:r>
      <w:r w:rsidR="00611033" w:rsidRPr="00F13073">
        <w:t xml:space="preserve"> </w:t>
      </w:r>
      <w:hyperlink r:id="rId14" w:history="1">
        <w:r w:rsidR="00D37AF0" w:rsidRPr="00D37AF0">
          <w:rPr>
            <w:rStyle w:val="a7"/>
          </w:rPr>
          <w:t>http</w:t>
        </w:r>
        <w:r w:rsidR="00D37AF0" w:rsidRPr="00D37AF0">
          <w:rPr>
            <w:rStyle w:val="a7"/>
            <w:rFonts w:eastAsia="맑은 고딕" w:hint="eastAsia"/>
            <w:lang w:eastAsia="ko-KR"/>
          </w:rPr>
          <w:t>s</w:t>
        </w:r>
        <w:r w:rsidR="00D37AF0" w:rsidRPr="00D37AF0">
          <w:rPr>
            <w:rStyle w:val="a7"/>
          </w:rPr>
          <w:t>://www.ema.europa.eu</w:t>
        </w:r>
      </w:hyperlink>
      <w:r w:rsidR="00611033" w:rsidRPr="00F13073">
        <w:t>.</w:t>
      </w:r>
    </w:p>
    <w:p w14:paraId="481DE324" w14:textId="77777777" w:rsidR="0059128B" w:rsidRPr="00F13073" w:rsidRDefault="0059128B" w:rsidP="008B4C50"/>
    <w:p w14:paraId="6EC0B26A" w14:textId="2228BE3C" w:rsidR="00185484" w:rsidRPr="00F13073" w:rsidRDefault="0059128B" w:rsidP="0081094B">
      <w:r w:rsidRPr="00F13073">
        <w:rPr>
          <w:rStyle w:val="Char"/>
          <w:rFonts w:eastAsia="DengXian"/>
        </w:rPr>
        <w:br w:type="page"/>
      </w:r>
      <w:r w:rsidR="004929A7">
        <w:rPr>
          <w:noProof/>
          <w:lang w:val="en-US" w:eastAsia="ko-KR"/>
        </w:rPr>
        <w:lastRenderedPageBreak/>
        <w:drawing>
          <wp:inline distT="0" distB="0" distL="0" distR="0" wp14:anchorId="4A84E8CE" wp14:editId="60B53114">
            <wp:extent cx="190500" cy="180975"/>
            <wp:effectExtent l="0" t="0" r="0" b="0"/>
            <wp:docPr id="4" name="그림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185484" w:rsidRPr="00F13073">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1001C698" w14:textId="77777777" w:rsidR="00185484" w:rsidRPr="00F13073" w:rsidRDefault="00185484" w:rsidP="008F4CB8">
      <w:pPr>
        <w:ind w:left="567" w:hanging="567"/>
        <w:rPr>
          <w:rStyle w:val="Char"/>
          <w:rFonts w:eastAsia="DengXian"/>
        </w:rPr>
      </w:pPr>
    </w:p>
    <w:p w14:paraId="35A81FFF" w14:textId="77777777" w:rsidR="005E5B54" w:rsidRPr="00F13073" w:rsidRDefault="005E5B54" w:rsidP="008F4CB8">
      <w:pPr>
        <w:ind w:left="567" w:hanging="567"/>
        <w:rPr>
          <w:b/>
          <w:bCs/>
        </w:rPr>
      </w:pPr>
    </w:p>
    <w:p w14:paraId="331B69A8" w14:textId="04E20AB0" w:rsidR="001E0975" w:rsidRPr="00F13073" w:rsidRDefault="001721B1" w:rsidP="008F4CB8">
      <w:pPr>
        <w:ind w:left="567" w:hanging="567"/>
        <w:rPr>
          <w:b/>
          <w:bCs/>
        </w:rPr>
      </w:pPr>
      <w:r w:rsidRPr="00F13073">
        <w:rPr>
          <w:b/>
          <w:bCs/>
        </w:rPr>
        <w:t>1.</w:t>
      </w:r>
      <w:r w:rsidRPr="00F13073">
        <w:rPr>
          <w:b/>
          <w:bCs/>
        </w:rPr>
        <w:tab/>
      </w:r>
      <w:r w:rsidR="005507A3" w:rsidRPr="00F13073">
        <w:rPr>
          <w:rStyle w:val="Char"/>
          <w:rFonts w:eastAsia="DengXian"/>
          <w:b/>
          <w:bCs/>
        </w:rPr>
        <w:t>NAZWA PRODUKTU LECZNICZEGO</w:t>
      </w:r>
    </w:p>
    <w:p w14:paraId="3DB11F0F" w14:textId="77777777" w:rsidR="00F91F06" w:rsidRPr="00F13073" w:rsidRDefault="00F91F06" w:rsidP="008B4C50">
      <w:pPr>
        <w:keepNext/>
      </w:pPr>
    </w:p>
    <w:p w14:paraId="4F0151CC" w14:textId="7B83CB94" w:rsidR="005507A3" w:rsidRPr="006A6B0C" w:rsidRDefault="00026375" w:rsidP="008B4C50">
      <w:pPr>
        <w:pStyle w:val="a4"/>
        <w:widowControl/>
        <w:spacing w:after="0"/>
        <w:rPr>
          <w:rFonts w:eastAsia="맑은 고딕" w:hint="eastAsia"/>
          <w:lang w:eastAsia="ko-KR"/>
          <w:rPrChange w:id="18" w:author="만든 이">
            <w:rPr/>
          </w:rPrChange>
        </w:rPr>
      </w:pPr>
      <w:r w:rsidRPr="00F13073">
        <w:rPr>
          <w:rStyle w:val="Char"/>
        </w:rPr>
        <w:t>Avtozma</w:t>
      </w:r>
      <w:r w:rsidR="005507A3" w:rsidRPr="00F13073">
        <w:rPr>
          <w:rStyle w:val="Char"/>
        </w:rPr>
        <w:t xml:space="preserve"> 162 mg roztwór do wstrzykiwań we wstrzykiwaczu półautomatycznym napełnionym</w:t>
      </w:r>
      <w:del w:id="19" w:author="만든 이">
        <w:r w:rsidR="005507A3" w:rsidRPr="00F13073" w:rsidDel="006A6B0C">
          <w:rPr>
            <w:rStyle w:val="Char"/>
          </w:rPr>
          <w:delText>.</w:delText>
        </w:r>
      </w:del>
    </w:p>
    <w:p w14:paraId="00ABE6AA" w14:textId="77777777" w:rsidR="005507A3" w:rsidRPr="00F13073" w:rsidRDefault="005507A3" w:rsidP="008B4C50">
      <w:pPr>
        <w:pStyle w:val="a4"/>
        <w:widowControl/>
        <w:spacing w:after="0"/>
        <w:rPr>
          <w:rStyle w:val="Char"/>
          <w:b/>
          <w:bCs/>
        </w:rPr>
      </w:pPr>
    </w:p>
    <w:p w14:paraId="5DBCBC48" w14:textId="77777777" w:rsidR="005507A3" w:rsidRPr="00F13073" w:rsidRDefault="005507A3" w:rsidP="008B4C50">
      <w:pPr>
        <w:pStyle w:val="a4"/>
        <w:widowControl/>
        <w:spacing w:after="0"/>
        <w:rPr>
          <w:rStyle w:val="Char"/>
          <w:b/>
          <w:bCs/>
        </w:rPr>
      </w:pPr>
    </w:p>
    <w:p w14:paraId="2C8FFCA9" w14:textId="77777777" w:rsidR="005507A3" w:rsidRPr="00F13073" w:rsidRDefault="005507A3" w:rsidP="008B4C50">
      <w:pPr>
        <w:keepNext/>
        <w:ind w:left="567" w:hanging="567"/>
      </w:pPr>
      <w:r w:rsidRPr="00F13073">
        <w:rPr>
          <w:rStyle w:val="Char"/>
          <w:rFonts w:eastAsia="DengXian"/>
          <w:b/>
          <w:bCs/>
        </w:rPr>
        <w:t>2.</w:t>
      </w:r>
      <w:r w:rsidRPr="00F13073">
        <w:rPr>
          <w:rStyle w:val="Char"/>
          <w:rFonts w:eastAsia="DengXian"/>
          <w:b/>
          <w:bCs/>
        </w:rPr>
        <w:tab/>
        <w:t>SKŁAD JAKOŚCIOWY I ILOŚCIOWY</w:t>
      </w:r>
    </w:p>
    <w:p w14:paraId="2ADCB0EB" w14:textId="77777777" w:rsidR="005507A3" w:rsidRPr="00F13073" w:rsidRDefault="005507A3" w:rsidP="008B4C50">
      <w:pPr>
        <w:pStyle w:val="a4"/>
        <w:widowControl/>
        <w:spacing w:after="0"/>
        <w:rPr>
          <w:rStyle w:val="Char"/>
        </w:rPr>
      </w:pPr>
    </w:p>
    <w:p w14:paraId="6F7BF2D2" w14:textId="2C6240CF" w:rsidR="005507A3" w:rsidRPr="00F13073" w:rsidRDefault="005507A3" w:rsidP="008B4C50">
      <w:pPr>
        <w:pStyle w:val="a4"/>
        <w:widowControl/>
        <w:spacing w:after="0"/>
        <w:rPr>
          <w:rStyle w:val="Char"/>
        </w:rPr>
      </w:pPr>
      <w:r w:rsidRPr="00F13073">
        <w:rPr>
          <w:rStyle w:val="Char"/>
        </w:rPr>
        <w:t>Każdy wstrzykiwacz półautomatyczny napełniony zawiera 162 mg tocilizumabu w 0,9 mL.</w:t>
      </w:r>
    </w:p>
    <w:p w14:paraId="011F5F20" w14:textId="77777777" w:rsidR="005507A3" w:rsidRPr="00F13073" w:rsidRDefault="005507A3" w:rsidP="008B4C50">
      <w:pPr>
        <w:pStyle w:val="a4"/>
        <w:widowControl/>
        <w:spacing w:after="0"/>
      </w:pPr>
    </w:p>
    <w:p w14:paraId="2B90F36B" w14:textId="0FA28B74" w:rsidR="005507A3" w:rsidRPr="00F13073" w:rsidRDefault="00C871C6" w:rsidP="008B4C50">
      <w:pPr>
        <w:pStyle w:val="a4"/>
        <w:widowControl/>
        <w:spacing w:after="0"/>
        <w:rPr>
          <w:rStyle w:val="Char"/>
        </w:rPr>
      </w:pPr>
      <w:r w:rsidRPr="00F13073">
        <w:rPr>
          <w:rStyle w:val="Char"/>
        </w:rPr>
        <w:t xml:space="preserve">Tocilizumab </w:t>
      </w:r>
      <w:r w:rsidR="005507A3" w:rsidRPr="00F13073">
        <w:rPr>
          <w:rStyle w:val="Char"/>
        </w:rPr>
        <w:t>jest rekombinowanym humanizowanym przeciwciałem monoklonalnym podklasy immunoglobuliny G1 (IgG1), skierowanym przeciwko ludzkim rozpuszczalnym, jak i związanym z błonami komórkowymi receptorom interleukiny 6.</w:t>
      </w:r>
    </w:p>
    <w:p w14:paraId="72D70A77" w14:textId="77777777" w:rsidR="005507A3" w:rsidRDefault="005507A3" w:rsidP="008B4C50">
      <w:pPr>
        <w:pStyle w:val="a4"/>
        <w:widowControl/>
        <w:spacing w:after="0"/>
      </w:pPr>
    </w:p>
    <w:p w14:paraId="2E75C070" w14:textId="77777777" w:rsidR="00162F6F" w:rsidRPr="00E07086" w:rsidRDefault="00162F6F" w:rsidP="00162F6F">
      <w:pPr>
        <w:pStyle w:val="a4"/>
        <w:spacing w:after="0"/>
        <w:rPr>
          <w:u w:val="single"/>
        </w:rPr>
      </w:pPr>
      <w:r w:rsidRPr="00E07086">
        <w:rPr>
          <w:u w:val="single"/>
        </w:rPr>
        <w:t>Substancje pomocnicze o znanym działaniu:</w:t>
      </w:r>
    </w:p>
    <w:p w14:paraId="76645D81" w14:textId="77777777" w:rsidR="00162F6F" w:rsidRPr="00E07086" w:rsidRDefault="00162F6F" w:rsidP="00162F6F">
      <w:pPr>
        <w:pStyle w:val="a4"/>
        <w:spacing w:after="0"/>
        <w:rPr>
          <w:i/>
          <w:iCs/>
        </w:rPr>
      </w:pPr>
      <w:r w:rsidRPr="00E07086">
        <w:rPr>
          <w:i/>
          <w:iCs/>
        </w:rPr>
        <w:t>Polisorbat</w:t>
      </w:r>
    </w:p>
    <w:p w14:paraId="03640F62" w14:textId="5BEB88FF" w:rsidR="00162F6F" w:rsidRDefault="00162F6F" w:rsidP="00162F6F">
      <w:pPr>
        <w:pStyle w:val="a4"/>
        <w:spacing w:after="0"/>
      </w:pPr>
      <w:r>
        <w:t>Każdy wstrzykiwacz półautomatyczny napełniony 162 mg zawiera 0,2 mg polisorbatu</w:t>
      </w:r>
      <w:r w:rsidR="00E265AD">
        <w:rPr>
          <w:rFonts w:eastAsia="맑은 고딕" w:hint="eastAsia"/>
          <w:lang w:eastAsia="ko-KR"/>
        </w:rPr>
        <w:t xml:space="preserve"> 80</w:t>
      </w:r>
      <w:r>
        <w:t>.</w:t>
      </w:r>
    </w:p>
    <w:p w14:paraId="5F7717D3" w14:textId="77777777" w:rsidR="00162F6F" w:rsidRPr="00F13073" w:rsidRDefault="00162F6F" w:rsidP="008B4C50">
      <w:pPr>
        <w:pStyle w:val="a4"/>
        <w:widowControl/>
        <w:spacing w:after="0"/>
      </w:pPr>
    </w:p>
    <w:p w14:paraId="3EB95E38" w14:textId="77777777" w:rsidR="005507A3" w:rsidRPr="00F13073" w:rsidRDefault="005507A3" w:rsidP="008B4C50">
      <w:pPr>
        <w:pStyle w:val="a4"/>
        <w:widowControl/>
        <w:spacing w:after="0"/>
        <w:rPr>
          <w:rStyle w:val="Char"/>
        </w:rPr>
      </w:pPr>
      <w:r w:rsidRPr="00F13073">
        <w:rPr>
          <w:rStyle w:val="Char"/>
        </w:rPr>
        <w:t>Pełny wykaz substancji pomocniczych, patrz punkt 6.1.</w:t>
      </w:r>
    </w:p>
    <w:p w14:paraId="68606AA0" w14:textId="77777777" w:rsidR="005507A3" w:rsidRPr="00F13073" w:rsidRDefault="005507A3" w:rsidP="008B4C50">
      <w:pPr>
        <w:pStyle w:val="a4"/>
        <w:widowControl/>
        <w:spacing w:after="0"/>
        <w:rPr>
          <w:rStyle w:val="Char"/>
        </w:rPr>
      </w:pPr>
    </w:p>
    <w:p w14:paraId="55E7659F" w14:textId="77777777" w:rsidR="005507A3" w:rsidRPr="00F13073" w:rsidRDefault="005507A3" w:rsidP="008B4C50">
      <w:pPr>
        <w:pStyle w:val="a4"/>
        <w:widowControl/>
        <w:spacing w:after="0"/>
      </w:pPr>
    </w:p>
    <w:p w14:paraId="29327B60" w14:textId="77777777" w:rsidR="005507A3" w:rsidRPr="00F13073" w:rsidRDefault="005507A3" w:rsidP="008B4C50">
      <w:pPr>
        <w:keepNext/>
        <w:ind w:left="567" w:hanging="567"/>
      </w:pPr>
      <w:r w:rsidRPr="00F13073">
        <w:rPr>
          <w:rStyle w:val="Char"/>
          <w:rFonts w:eastAsia="DengXian"/>
          <w:b/>
          <w:bCs/>
        </w:rPr>
        <w:t>3.</w:t>
      </w:r>
      <w:r w:rsidRPr="00F13073">
        <w:rPr>
          <w:rStyle w:val="Char"/>
          <w:rFonts w:eastAsia="DengXian"/>
          <w:b/>
          <w:bCs/>
        </w:rPr>
        <w:tab/>
        <w:t>POSTAĆ FARMACEUTYCZNA</w:t>
      </w:r>
    </w:p>
    <w:p w14:paraId="10B3D9F6" w14:textId="77777777" w:rsidR="005507A3" w:rsidRPr="00F13073" w:rsidRDefault="005507A3" w:rsidP="008B4C50">
      <w:pPr>
        <w:pStyle w:val="a4"/>
        <w:widowControl/>
        <w:spacing w:after="0"/>
        <w:rPr>
          <w:rStyle w:val="Char"/>
        </w:rPr>
      </w:pPr>
    </w:p>
    <w:p w14:paraId="09C9E92A" w14:textId="3790CBA0" w:rsidR="00C871C6" w:rsidRPr="00F13073" w:rsidRDefault="00C871C6" w:rsidP="008B4C50">
      <w:pPr>
        <w:pStyle w:val="a4"/>
        <w:widowControl/>
        <w:spacing w:after="0"/>
        <w:rPr>
          <w:rStyle w:val="Char"/>
        </w:rPr>
      </w:pPr>
      <w:r w:rsidRPr="00F13073">
        <w:rPr>
          <w:rStyle w:val="Char"/>
        </w:rPr>
        <w:t>Roztwór do wstrzykiwań we wstrzykiwaczu półautomatycznym napełnionym.</w:t>
      </w:r>
      <w:r w:rsidR="00FE07F6" w:rsidRPr="00F13073">
        <w:rPr>
          <w:rStyle w:val="Char"/>
        </w:rPr>
        <w:t xml:space="preserve"> Przezroczysty lub lekko opalizujący, bezbarwny do żółtego roztwór o pH 5,7</w:t>
      </w:r>
      <w:r w:rsidR="00FA6406" w:rsidRPr="00F13073">
        <w:rPr>
          <w:rStyle w:val="Char"/>
        </w:rPr>
        <w:t> </w:t>
      </w:r>
      <w:r w:rsidR="00FE07F6" w:rsidRPr="00F13073">
        <w:rPr>
          <w:rStyle w:val="Char"/>
        </w:rPr>
        <w:t>–</w:t>
      </w:r>
      <w:r w:rsidR="00FA6406" w:rsidRPr="00F13073">
        <w:rPr>
          <w:rStyle w:val="Char"/>
        </w:rPr>
        <w:t> </w:t>
      </w:r>
      <w:r w:rsidR="00FE07F6" w:rsidRPr="00F13073">
        <w:rPr>
          <w:rStyle w:val="Char"/>
        </w:rPr>
        <w:t xml:space="preserve">6,3 i </w:t>
      </w:r>
      <w:r w:rsidR="00FA6406" w:rsidRPr="00F13073">
        <w:rPr>
          <w:rStyle w:val="Char"/>
        </w:rPr>
        <w:t xml:space="preserve">osmolalności </w:t>
      </w:r>
      <w:r w:rsidR="00FE07F6" w:rsidRPr="00F13073">
        <w:rPr>
          <w:rStyle w:val="Char"/>
        </w:rPr>
        <w:t>280–340</w:t>
      </w:r>
      <w:r w:rsidR="00345544" w:rsidRPr="00F13073">
        <w:rPr>
          <w:rStyle w:val="Char"/>
        </w:rPr>
        <w:t> </w:t>
      </w:r>
      <w:r w:rsidR="00FE07F6" w:rsidRPr="00F13073">
        <w:rPr>
          <w:rStyle w:val="Char"/>
        </w:rPr>
        <w:t>mmol/kg.</w:t>
      </w:r>
    </w:p>
    <w:p w14:paraId="7E86FDA5" w14:textId="77777777" w:rsidR="005507A3" w:rsidRPr="00F13073" w:rsidRDefault="005507A3" w:rsidP="008B4C50">
      <w:pPr>
        <w:pStyle w:val="a4"/>
        <w:widowControl/>
        <w:spacing w:after="0"/>
        <w:rPr>
          <w:rStyle w:val="Char"/>
        </w:rPr>
      </w:pPr>
    </w:p>
    <w:p w14:paraId="1BBDA099" w14:textId="77777777" w:rsidR="005507A3" w:rsidRPr="00F13073" w:rsidRDefault="005507A3" w:rsidP="008B4C50">
      <w:pPr>
        <w:pStyle w:val="a4"/>
        <w:widowControl/>
        <w:spacing w:after="0"/>
      </w:pPr>
    </w:p>
    <w:p w14:paraId="54C6D896" w14:textId="77777777" w:rsidR="005507A3" w:rsidRPr="00F13073" w:rsidRDefault="005507A3" w:rsidP="008B4C50">
      <w:pPr>
        <w:keepNext/>
        <w:ind w:left="567" w:hanging="567"/>
      </w:pPr>
      <w:r w:rsidRPr="00F13073">
        <w:rPr>
          <w:rStyle w:val="Char"/>
          <w:rFonts w:eastAsia="DengXian"/>
          <w:b/>
          <w:bCs/>
        </w:rPr>
        <w:t>4.</w:t>
      </w:r>
      <w:r w:rsidRPr="00F13073">
        <w:rPr>
          <w:rStyle w:val="Char"/>
          <w:rFonts w:eastAsia="DengXian"/>
          <w:b/>
          <w:bCs/>
        </w:rPr>
        <w:tab/>
        <w:t>SZCZEGÓŁOWE DANE KLINICZNE</w:t>
      </w:r>
    </w:p>
    <w:p w14:paraId="6B6FC583" w14:textId="77777777" w:rsidR="005507A3" w:rsidRPr="00F13073" w:rsidRDefault="005507A3" w:rsidP="008B4C50">
      <w:pPr>
        <w:pStyle w:val="a4"/>
        <w:widowControl/>
        <w:tabs>
          <w:tab w:val="left" w:pos="1249"/>
        </w:tabs>
        <w:spacing w:after="0"/>
        <w:rPr>
          <w:rStyle w:val="Char"/>
          <w:b/>
          <w:bCs/>
        </w:rPr>
      </w:pPr>
    </w:p>
    <w:p w14:paraId="39F91652" w14:textId="77777777" w:rsidR="005507A3" w:rsidRPr="00F13073" w:rsidRDefault="005507A3" w:rsidP="008B4C50">
      <w:pPr>
        <w:keepNext/>
        <w:ind w:left="567" w:hanging="567"/>
      </w:pPr>
      <w:r w:rsidRPr="00F13073">
        <w:rPr>
          <w:rStyle w:val="Char"/>
          <w:rFonts w:eastAsia="DengXian"/>
          <w:b/>
          <w:bCs/>
        </w:rPr>
        <w:t>4.1</w:t>
      </w:r>
      <w:r w:rsidRPr="00F13073">
        <w:rPr>
          <w:rStyle w:val="Char"/>
          <w:rFonts w:eastAsia="DengXian"/>
          <w:b/>
          <w:bCs/>
        </w:rPr>
        <w:tab/>
        <w:t>Wskazania do stosowania</w:t>
      </w:r>
    </w:p>
    <w:p w14:paraId="23DA18A4" w14:textId="77777777" w:rsidR="005507A3" w:rsidRDefault="005507A3" w:rsidP="008B4C50">
      <w:pPr>
        <w:pStyle w:val="a4"/>
        <w:widowControl/>
        <w:spacing w:after="0"/>
        <w:rPr>
          <w:rStyle w:val="Char"/>
          <w:rFonts w:eastAsia="맑은 고딕"/>
          <w:lang w:eastAsia="ko-KR"/>
        </w:rPr>
      </w:pPr>
    </w:p>
    <w:p w14:paraId="31284738" w14:textId="1A124894" w:rsidR="00E265AD" w:rsidRPr="005F0664" w:rsidRDefault="00E265AD" w:rsidP="008B4C50">
      <w:pPr>
        <w:pStyle w:val="a4"/>
        <w:widowControl/>
        <w:spacing w:after="0"/>
        <w:rPr>
          <w:rStyle w:val="Char"/>
          <w:rFonts w:eastAsia="맑은 고딕"/>
          <w:u w:val="single"/>
          <w:lang w:eastAsia="ko-KR"/>
        </w:rPr>
      </w:pPr>
      <w:r w:rsidRPr="00E265AD">
        <w:rPr>
          <w:rFonts w:eastAsia="맑은 고딕"/>
          <w:u w:val="single"/>
          <w:lang w:eastAsia="ko-KR"/>
        </w:rPr>
        <w:t>Reumatoidalne zapalenie stawów (RZS)</w:t>
      </w:r>
    </w:p>
    <w:p w14:paraId="00EFFEAF" w14:textId="6A7A5290"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w skojarzeniu z metotreksatem (MTX), jest wskazany:</w:t>
      </w:r>
    </w:p>
    <w:p w14:paraId="120A2E68" w14:textId="77777777" w:rsidR="005507A3" w:rsidRPr="00F13073" w:rsidRDefault="005507A3" w:rsidP="008B4C50">
      <w:pPr>
        <w:pStyle w:val="a4"/>
        <w:widowControl/>
        <w:spacing w:after="0"/>
      </w:pPr>
    </w:p>
    <w:p w14:paraId="2BA3136A" w14:textId="77777777" w:rsidR="005507A3" w:rsidRPr="00F13073" w:rsidRDefault="005507A3" w:rsidP="008B4C50">
      <w:pPr>
        <w:pStyle w:val="a0"/>
        <w:numPr>
          <w:ilvl w:val="0"/>
          <w:numId w:val="6"/>
        </w:numPr>
        <w:ind w:left="567" w:hanging="567"/>
        <w:contextualSpacing w:val="0"/>
      </w:pPr>
      <w:r w:rsidRPr="00F13073">
        <w:rPr>
          <w:rStyle w:val="Char"/>
          <w:rFonts w:eastAsia="DengXian"/>
        </w:rPr>
        <w:t>w leczeniu dorosłych pacjentów z czynnym, postępującym reumatoidalnym zapaleniem stawów (RZS) o ciężkim nasileniu, nieleczonych dotychczas za pomocą MTX.</w:t>
      </w:r>
    </w:p>
    <w:p w14:paraId="2A2CA15D" w14:textId="77777777" w:rsidR="005507A3" w:rsidRPr="00F13073" w:rsidRDefault="005507A3" w:rsidP="008B4C50">
      <w:pPr>
        <w:pStyle w:val="a0"/>
        <w:numPr>
          <w:ilvl w:val="0"/>
          <w:numId w:val="6"/>
        </w:numPr>
        <w:ind w:left="567" w:hanging="567"/>
        <w:contextualSpacing w:val="0"/>
      </w:pPr>
      <w:r w:rsidRPr="00F13073">
        <w:rPr>
          <w:rStyle w:val="Char"/>
          <w:rFonts w:eastAsia="DengXian"/>
        </w:rPr>
        <w:t>w leczeniu dorosłych pacjentów z czynnym reumatoidalnym zapaleniem stawów (RZS) o nasileniu umiarkowanym do ciężkiego, u których stwierdzono niewystarczającą odpowiedź na leczenie lub nietolerancję dotychczasowego leczenia jednym lub kilkoma lekami przeciwreumatycznymi modyfikującymi przebieg choroby (ang. DMARDs) lub inhibitorami czynnika martwicy nowotworu (ang. anti-TNF).</w:t>
      </w:r>
    </w:p>
    <w:p w14:paraId="0D37326F" w14:textId="77777777" w:rsidR="005507A3" w:rsidRPr="00F13073" w:rsidRDefault="005507A3" w:rsidP="008B4C50">
      <w:pPr>
        <w:pStyle w:val="a4"/>
        <w:widowControl/>
        <w:spacing w:after="0"/>
      </w:pPr>
    </w:p>
    <w:p w14:paraId="19968CA7" w14:textId="71BE4EC7"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może być podawany w monoterapii w przypadku nietolerancji metotreksatu lub u pacjentów, u których kontynuacja leczenia metotreksatem nie jest wskazana.</w:t>
      </w:r>
    </w:p>
    <w:p w14:paraId="3F9EA6F7" w14:textId="77777777" w:rsidR="005507A3" w:rsidRPr="00F13073" w:rsidRDefault="005507A3" w:rsidP="008B4C50">
      <w:pPr>
        <w:pStyle w:val="a4"/>
        <w:widowControl/>
        <w:spacing w:after="0"/>
      </w:pPr>
    </w:p>
    <w:p w14:paraId="44782E14" w14:textId="2CE11AC9" w:rsidR="005507A3" w:rsidRPr="00F13073" w:rsidRDefault="005507A3" w:rsidP="008B4C50">
      <w:pPr>
        <w:pStyle w:val="a4"/>
        <w:widowControl/>
        <w:spacing w:after="0"/>
        <w:rPr>
          <w:rStyle w:val="Char"/>
        </w:rPr>
      </w:pPr>
      <w:r w:rsidRPr="00F13073">
        <w:rPr>
          <w:rStyle w:val="Char"/>
        </w:rPr>
        <w:t xml:space="preserve">Wykazano, że produkt leczniczy </w:t>
      </w:r>
      <w:r w:rsidR="00026375" w:rsidRPr="00F13073">
        <w:rPr>
          <w:rStyle w:val="Char"/>
        </w:rPr>
        <w:t>Avtozma</w:t>
      </w:r>
      <w:r w:rsidRPr="00F13073">
        <w:rPr>
          <w:rStyle w:val="Char"/>
        </w:rPr>
        <w:t xml:space="preserve"> zmniejsza szybkość postępu uszkodzenia stawów mierzonego radiologicznie oraz powoduje poprawę sprawności fizycznej przy podawaniu łącznym z metotreksatem.</w:t>
      </w:r>
    </w:p>
    <w:p w14:paraId="518C9D6A" w14:textId="77777777" w:rsidR="005507A3" w:rsidRDefault="005507A3" w:rsidP="008B4C50">
      <w:pPr>
        <w:pStyle w:val="a4"/>
        <w:widowControl/>
        <w:spacing w:after="0"/>
        <w:rPr>
          <w:rFonts w:eastAsia="맑은 고딕"/>
          <w:lang w:eastAsia="ko-KR"/>
        </w:rPr>
      </w:pPr>
    </w:p>
    <w:p w14:paraId="7310416C" w14:textId="092CDA2D" w:rsidR="00E265AD" w:rsidRPr="005F0664" w:rsidRDefault="00E265AD" w:rsidP="008B4C50">
      <w:pPr>
        <w:pStyle w:val="a4"/>
        <w:widowControl/>
        <w:spacing w:after="0"/>
        <w:rPr>
          <w:rFonts w:eastAsia="맑은 고딕"/>
          <w:u w:val="single"/>
          <w:lang w:eastAsia="ko-KR"/>
        </w:rPr>
      </w:pPr>
      <w:r w:rsidRPr="00E265AD">
        <w:rPr>
          <w:rFonts w:eastAsia="맑은 고딕"/>
          <w:u w:val="single"/>
          <w:lang w:eastAsia="ko-KR"/>
        </w:rPr>
        <w:t>Młodzieńcze idiopatyczne zapalenie stawów o początku uogólnionym (uMIZS)</w:t>
      </w:r>
    </w:p>
    <w:p w14:paraId="1A7FD7C8" w14:textId="52CD5979" w:rsidR="005507A3" w:rsidRPr="00F13073" w:rsidRDefault="005507A3" w:rsidP="008B4C50">
      <w:pPr>
        <w:pStyle w:val="a4"/>
        <w:widowControl/>
        <w:spacing w:after="0"/>
      </w:pPr>
      <w:r w:rsidRPr="00F13073">
        <w:rPr>
          <w:rStyle w:val="Char"/>
        </w:rPr>
        <w:t xml:space="preserve">Produkt leczniczy </w:t>
      </w:r>
      <w:r w:rsidR="00026375" w:rsidRPr="00F13073">
        <w:rPr>
          <w:rStyle w:val="Char"/>
        </w:rPr>
        <w:t>Avtozma</w:t>
      </w:r>
      <w:r w:rsidRPr="00F13073">
        <w:rPr>
          <w:rStyle w:val="Char"/>
        </w:rPr>
        <w:t xml:space="preserve"> jest wskazany w leczeniu czynnego młodzieńczego idiopatycznego zapalenia stawów o początku uogólnionym (uMIZS) u pacjentów w wieku co najmniej 12 lat, u </w:t>
      </w:r>
      <w:r w:rsidRPr="00F13073">
        <w:rPr>
          <w:rStyle w:val="Char"/>
        </w:rPr>
        <w:lastRenderedPageBreak/>
        <w:t>których stwierdzono niewystarczającą odpowiedź na leczenie niesteroidowymi lekami przeciwzapalnymi (NLPZ) i kortykosteroidami systemowymi (patrz punkt 4.2).</w:t>
      </w:r>
    </w:p>
    <w:p w14:paraId="3585D931" w14:textId="2AEE6999"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może być podawany w monoterapii (w przypadku nietolerancji MTX oraz u pacjentów, u których leczenie MTX nie jest wskazane) lub w skojarzeniu z MTX.</w:t>
      </w:r>
    </w:p>
    <w:p w14:paraId="6AE9F5DB" w14:textId="77777777" w:rsidR="005507A3" w:rsidRDefault="005507A3" w:rsidP="008B4C50">
      <w:pPr>
        <w:pStyle w:val="a4"/>
        <w:widowControl/>
        <w:spacing w:after="0"/>
        <w:rPr>
          <w:rFonts w:eastAsia="맑은 고딕"/>
          <w:lang w:eastAsia="ko-KR"/>
        </w:rPr>
      </w:pPr>
    </w:p>
    <w:p w14:paraId="69E90308" w14:textId="770CB505" w:rsidR="00E265AD" w:rsidRPr="005F0664" w:rsidRDefault="00E265AD" w:rsidP="008B4C50">
      <w:pPr>
        <w:pStyle w:val="a4"/>
        <w:widowControl/>
        <w:spacing w:after="0"/>
        <w:rPr>
          <w:rFonts w:eastAsia="맑은 고딕"/>
          <w:u w:val="single"/>
          <w:lang w:eastAsia="ko-KR"/>
        </w:rPr>
      </w:pPr>
      <w:r w:rsidRPr="00E265AD">
        <w:rPr>
          <w:rFonts w:eastAsia="맑은 고딕"/>
          <w:u w:val="single"/>
          <w:lang w:eastAsia="ko-KR"/>
        </w:rPr>
        <w:t>Wielostawowe młodzieńcze idiopatyczne zapalenie stawów (wMIZS)</w:t>
      </w:r>
    </w:p>
    <w:p w14:paraId="2C89B038" w14:textId="1755E8FA"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skojarzeniu z metotreksatem (MTX) jest wskazany w leczeniu wielostawowego młodzieńczego idiopatycznego zapalenia stawów (wMIZS; czynnik reumatoidalny pozytywny lub negatywny oraz postać nielicznostawowa, rozszerzająca) u pacjentów w wieku co najmniej 12 lat, u których stwierdzono niewystarczającą odpowiedź na wcześniejsze leczenie MTX (patrz punkt 4.2).</w:t>
      </w:r>
    </w:p>
    <w:p w14:paraId="393A3048" w14:textId="77777777" w:rsidR="005507A3" w:rsidRPr="00F13073" w:rsidRDefault="005507A3" w:rsidP="008B4C50">
      <w:pPr>
        <w:pStyle w:val="a4"/>
        <w:widowControl/>
        <w:spacing w:after="0"/>
      </w:pPr>
    </w:p>
    <w:p w14:paraId="085B0F21" w14:textId="55D782DB"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może być podawany w monoterapii w przypadku nietolerancji MTX lub u pacjentów, u których kontynuowanie leczenia MTX nie jest wskazane.</w:t>
      </w:r>
    </w:p>
    <w:p w14:paraId="286017B7" w14:textId="77777777" w:rsidR="005507A3" w:rsidRDefault="005507A3" w:rsidP="008B4C50">
      <w:pPr>
        <w:pStyle w:val="a4"/>
        <w:widowControl/>
        <w:spacing w:after="0"/>
        <w:rPr>
          <w:rFonts w:eastAsia="맑은 고딕"/>
          <w:lang w:eastAsia="ko-KR"/>
        </w:rPr>
      </w:pPr>
    </w:p>
    <w:p w14:paraId="6FAFA5FD" w14:textId="3C8650C2" w:rsidR="00E265AD" w:rsidRPr="005F0664" w:rsidRDefault="00E265AD" w:rsidP="008B4C50">
      <w:pPr>
        <w:pStyle w:val="a4"/>
        <w:widowControl/>
        <w:spacing w:after="0"/>
        <w:rPr>
          <w:rFonts w:eastAsia="맑은 고딕"/>
          <w:u w:val="single"/>
          <w:lang w:eastAsia="ko-KR"/>
        </w:rPr>
      </w:pPr>
      <w:r w:rsidRPr="00E265AD">
        <w:rPr>
          <w:rFonts w:eastAsia="맑은 고딕"/>
          <w:u w:val="single"/>
          <w:lang w:eastAsia="ko-KR"/>
        </w:rPr>
        <w:t>Olbrzymiokomórkowe zapalenie tętnic (ang. giant cell arteritis, GCA)</w:t>
      </w:r>
    </w:p>
    <w:p w14:paraId="097AA033" w14:textId="47C3E2B3"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jest wskazany w leczeniu olbrzymiokomórkowego zapalenia tętnic (ang. GCA) u dorosłych pacjentów.</w:t>
      </w:r>
    </w:p>
    <w:p w14:paraId="40607A67" w14:textId="77777777" w:rsidR="005507A3" w:rsidRPr="00F13073" w:rsidRDefault="005507A3" w:rsidP="008B4C50">
      <w:pPr>
        <w:pStyle w:val="a4"/>
        <w:widowControl/>
        <w:spacing w:after="0"/>
      </w:pPr>
    </w:p>
    <w:p w14:paraId="50448BE5" w14:textId="77777777" w:rsidR="005507A3" w:rsidRPr="00F13073" w:rsidRDefault="005507A3" w:rsidP="008B4C50">
      <w:pPr>
        <w:keepNext/>
        <w:ind w:left="567" w:hanging="567"/>
      </w:pPr>
      <w:r w:rsidRPr="00F13073">
        <w:rPr>
          <w:rStyle w:val="Char"/>
          <w:rFonts w:eastAsia="DengXian"/>
          <w:b/>
          <w:bCs/>
        </w:rPr>
        <w:t>4.2</w:t>
      </w:r>
      <w:r w:rsidRPr="00F13073">
        <w:rPr>
          <w:rStyle w:val="Char"/>
          <w:rFonts w:eastAsia="DengXian"/>
          <w:b/>
          <w:bCs/>
        </w:rPr>
        <w:tab/>
        <w:t>Dawkowanie i sposób podawania</w:t>
      </w:r>
    </w:p>
    <w:p w14:paraId="70B7BF28" w14:textId="77777777" w:rsidR="005507A3" w:rsidRPr="00F13073" w:rsidRDefault="005507A3" w:rsidP="008B4C50">
      <w:pPr>
        <w:pStyle w:val="a4"/>
        <w:widowControl/>
        <w:spacing w:after="0"/>
        <w:rPr>
          <w:rStyle w:val="Char"/>
        </w:rPr>
      </w:pPr>
    </w:p>
    <w:p w14:paraId="2D4226F0" w14:textId="09B057B1" w:rsidR="005507A3" w:rsidRPr="00F13073" w:rsidRDefault="005507A3" w:rsidP="008B4C50">
      <w:pPr>
        <w:pStyle w:val="a4"/>
        <w:widowControl/>
        <w:spacing w:after="0"/>
        <w:rPr>
          <w:rStyle w:val="Char"/>
        </w:rPr>
      </w:pPr>
      <w:r w:rsidRPr="00F13073">
        <w:rPr>
          <w:rStyle w:val="Char"/>
        </w:rPr>
        <w:t>Tocilizumab w postaci do podawania podskórnego jest podawany za pomocą jednorazowego półautomatycznego napełnionego wstrzykiwacza. Leczenie powinno być rozpoczynane przez lekarza doświadczonego w rozpoznawaniu i leczeniu RZS, uMIZS, wMIZS i/lub GCA.</w:t>
      </w:r>
      <w:r w:rsidR="00151F2F" w:rsidRPr="00F13073">
        <w:rPr>
          <w:rStyle w:val="Char"/>
        </w:rPr>
        <w:t xml:space="preserve"> </w:t>
      </w:r>
      <w:r w:rsidRPr="00F13073">
        <w:rPr>
          <w:rStyle w:val="Char"/>
        </w:rPr>
        <w:t>U dzieci w wieku &lt;</w:t>
      </w:r>
      <w:r w:rsidR="00A34E03">
        <w:rPr>
          <w:rStyle w:val="Char"/>
        </w:rPr>
        <w:t> </w:t>
      </w:r>
      <w:r w:rsidRPr="00F13073">
        <w:rPr>
          <w:rStyle w:val="Char"/>
        </w:rPr>
        <w:t>12</w:t>
      </w:r>
      <w:r w:rsidR="00A34E03">
        <w:rPr>
          <w:rStyle w:val="Char"/>
        </w:rPr>
        <w:t> </w:t>
      </w:r>
      <w:r w:rsidRPr="00F13073">
        <w:rPr>
          <w:rStyle w:val="Char"/>
        </w:rPr>
        <w:t>lat produktu nie należy podawać przy użyciu wstrzykiwacza półautomatycznego napełnionego ze względu na potencjalne ryzyko wykonania wstrzyknięcia domięśniowego, z uwagi na mniejszą grubość tkanki podskórnej w tej grupie pacjentów.</w:t>
      </w:r>
    </w:p>
    <w:p w14:paraId="5DDC956F" w14:textId="77777777" w:rsidR="005507A3" w:rsidRPr="00F13073" w:rsidRDefault="005507A3" w:rsidP="008B4C50">
      <w:pPr>
        <w:pStyle w:val="a4"/>
        <w:widowControl/>
        <w:spacing w:after="0"/>
      </w:pPr>
    </w:p>
    <w:p w14:paraId="725DB1C4" w14:textId="4D20D3CD" w:rsidR="005507A3" w:rsidRPr="00F13073" w:rsidRDefault="005507A3" w:rsidP="008B4C50">
      <w:pPr>
        <w:pStyle w:val="a4"/>
        <w:widowControl/>
        <w:spacing w:after="0"/>
        <w:rPr>
          <w:rStyle w:val="Char"/>
        </w:rPr>
      </w:pPr>
      <w:r w:rsidRPr="00F13073">
        <w:rPr>
          <w:rStyle w:val="Char"/>
        </w:rPr>
        <w:t xml:space="preserve">Pierwsze wstrzyknięcie należy wykonać pod nadzorem wykwalifikowanego personelu medycznego. Pacjent może samodzielnie wstrzykiwać sobie produkt leczniczy </w:t>
      </w:r>
      <w:r w:rsidR="00026375" w:rsidRPr="00F13073">
        <w:rPr>
          <w:rStyle w:val="Char"/>
        </w:rPr>
        <w:t>Avtozma</w:t>
      </w:r>
      <w:r w:rsidRPr="00F13073">
        <w:rPr>
          <w:rStyle w:val="Char"/>
        </w:rPr>
        <w:t xml:space="preserve"> lub może to zrobić rodzic/opiekun pacjenta tylko wtedy, gdy lekarz stwierdzi, że jest to właściwe, a w razie konieczności pacjent lub rodzic/opiekun wyrazi zgodę na obserwację medyczną i zostanie przeszkolony w zakresie właściwej techniki wykonania wstrzyknięcia.</w:t>
      </w:r>
    </w:p>
    <w:p w14:paraId="0F79A25E" w14:textId="77777777" w:rsidR="005507A3" w:rsidRPr="00F13073" w:rsidRDefault="005507A3" w:rsidP="008B4C50">
      <w:pPr>
        <w:pStyle w:val="a4"/>
        <w:widowControl/>
        <w:spacing w:after="0"/>
      </w:pPr>
    </w:p>
    <w:p w14:paraId="4856B4DC" w14:textId="77777777" w:rsidR="005507A3" w:rsidRPr="00F13073" w:rsidRDefault="005507A3" w:rsidP="008B4C50">
      <w:pPr>
        <w:pStyle w:val="a4"/>
        <w:widowControl/>
        <w:spacing w:after="0"/>
        <w:rPr>
          <w:rStyle w:val="Char"/>
        </w:rPr>
      </w:pPr>
      <w:r w:rsidRPr="00F13073">
        <w:rPr>
          <w:rStyle w:val="Char"/>
        </w:rPr>
        <w:t>Pacjenci, którzy zmieniają leczenie z tocilizumabu w postaci dożylnej na formę podskórną, powinni podać pierwszą dawkę podskórną w terminie planowanej kolejnej dawki dożylnej, pod nadzorem wykwalifikowanego fachowego personelu medycznego.</w:t>
      </w:r>
    </w:p>
    <w:p w14:paraId="4165250D" w14:textId="77777777" w:rsidR="005507A3" w:rsidRPr="00F13073" w:rsidRDefault="005507A3" w:rsidP="008B4C50">
      <w:pPr>
        <w:pStyle w:val="a4"/>
        <w:widowControl/>
        <w:spacing w:after="0"/>
      </w:pPr>
    </w:p>
    <w:p w14:paraId="604B485A" w14:textId="7F6A49A4" w:rsidR="005507A3" w:rsidRPr="00F13073" w:rsidRDefault="005507A3" w:rsidP="008B4C50">
      <w:pPr>
        <w:pStyle w:val="a4"/>
        <w:widowControl/>
        <w:spacing w:after="0"/>
        <w:rPr>
          <w:rStyle w:val="Char"/>
        </w:rPr>
      </w:pPr>
      <w:r w:rsidRPr="00F13073">
        <w:rPr>
          <w:rStyle w:val="Char"/>
        </w:rPr>
        <w:t xml:space="preserve">Wszyscy pacjenci leczeni produktem leczniczym </w:t>
      </w:r>
      <w:r w:rsidR="00026375" w:rsidRPr="00F13073">
        <w:rPr>
          <w:rStyle w:val="Char"/>
        </w:rPr>
        <w:t>Avtozma</w:t>
      </w:r>
      <w:r w:rsidRPr="00F13073">
        <w:rPr>
          <w:rStyle w:val="Char"/>
        </w:rPr>
        <w:t xml:space="preserve"> powinni otrzymać Kartę Ostrzegawczą dla Pacjenta.</w:t>
      </w:r>
    </w:p>
    <w:p w14:paraId="43237C5D" w14:textId="77777777" w:rsidR="005507A3" w:rsidRPr="00F13073" w:rsidRDefault="005507A3" w:rsidP="008B4C50">
      <w:pPr>
        <w:pStyle w:val="a4"/>
        <w:widowControl/>
        <w:spacing w:after="0"/>
      </w:pPr>
    </w:p>
    <w:p w14:paraId="4366C331" w14:textId="77777777" w:rsidR="005507A3" w:rsidRPr="00F13073" w:rsidRDefault="005507A3" w:rsidP="008B4C50">
      <w:pPr>
        <w:pStyle w:val="a4"/>
        <w:widowControl/>
        <w:spacing w:after="0"/>
        <w:rPr>
          <w:rStyle w:val="Char"/>
        </w:rPr>
      </w:pPr>
      <w:r w:rsidRPr="00F13073">
        <w:rPr>
          <w:rStyle w:val="Char"/>
        </w:rPr>
        <w:t>Powinna zostać oceniona możliwość samodzielnego, podskórnego podawania leku przez pacjenta lub rodzica/opiekuna w domu oraz należy poinstruować pacjenta lub rodzica/opiekuna o konieczności poinformowania lekarza przed przyjęciem kolejnej dawki, jeśli wystąpią u pacjenta objawy reakcji alergicznej. Jeśli u pacjenta wystąpią objawy ciężkiej reakcji alergicznej, powinien bezzwłocznie skorzystać z pomocy lekarza (patrz punkt 4.4).</w:t>
      </w:r>
    </w:p>
    <w:p w14:paraId="585B0C9C" w14:textId="77777777" w:rsidR="005507A3" w:rsidRPr="00F13073" w:rsidRDefault="005507A3" w:rsidP="008B4C50">
      <w:pPr>
        <w:pStyle w:val="a4"/>
        <w:widowControl/>
        <w:spacing w:after="0"/>
      </w:pPr>
    </w:p>
    <w:p w14:paraId="37FFA666" w14:textId="77777777" w:rsidR="005507A3" w:rsidRPr="00F13073" w:rsidRDefault="005507A3" w:rsidP="008B4C50">
      <w:pPr>
        <w:pStyle w:val="a4"/>
        <w:widowControl/>
        <w:spacing w:after="0"/>
        <w:rPr>
          <w:rStyle w:val="Char"/>
          <w:u w:val="single"/>
        </w:rPr>
      </w:pPr>
      <w:r w:rsidRPr="00F13073">
        <w:rPr>
          <w:rStyle w:val="Char"/>
          <w:u w:val="single"/>
        </w:rPr>
        <w:t>Dawkowanie</w:t>
      </w:r>
    </w:p>
    <w:p w14:paraId="659F55D8" w14:textId="77777777" w:rsidR="005507A3" w:rsidRPr="00F13073" w:rsidRDefault="005507A3" w:rsidP="008B4C50">
      <w:pPr>
        <w:pStyle w:val="a4"/>
        <w:widowControl/>
        <w:spacing w:after="0"/>
      </w:pPr>
    </w:p>
    <w:p w14:paraId="2CAD218D" w14:textId="77777777" w:rsidR="005507A3" w:rsidRPr="00F13073" w:rsidRDefault="005507A3" w:rsidP="008B4C50">
      <w:pPr>
        <w:pStyle w:val="a4"/>
        <w:widowControl/>
        <w:spacing w:after="0"/>
      </w:pPr>
      <w:r w:rsidRPr="00F13073">
        <w:rPr>
          <w:rStyle w:val="Char"/>
          <w:u w:val="single"/>
        </w:rPr>
        <w:t>RZS</w:t>
      </w:r>
    </w:p>
    <w:p w14:paraId="08ECEF26" w14:textId="77777777" w:rsidR="005507A3" w:rsidRPr="00F13073" w:rsidRDefault="005507A3" w:rsidP="008B4C50">
      <w:pPr>
        <w:pStyle w:val="a4"/>
        <w:widowControl/>
        <w:spacing w:after="0"/>
        <w:rPr>
          <w:rStyle w:val="Char"/>
        </w:rPr>
      </w:pPr>
      <w:r w:rsidRPr="00F13073">
        <w:rPr>
          <w:rStyle w:val="Char"/>
        </w:rPr>
        <w:t>Zalecana dawka wynosi 162 mg, podawane podskórnie raz w tygodniu.</w:t>
      </w:r>
    </w:p>
    <w:p w14:paraId="049F3EE1" w14:textId="77777777" w:rsidR="005507A3" w:rsidRPr="00F13073" w:rsidRDefault="005507A3" w:rsidP="008B4C50">
      <w:pPr>
        <w:pStyle w:val="a4"/>
        <w:widowControl/>
        <w:spacing w:after="0"/>
      </w:pPr>
    </w:p>
    <w:p w14:paraId="6C3BE872" w14:textId="2B98278B" w:rsidR="005507A3" w:rsidRPr="00F13073" w:rsidRDefault="005507A3" w:rsidP="008B4C50">
      <w:pPr>
        <w:pStyle w:val="a4"/>
        <w:widowControl/>
        <w:spacing w:after="0"/>
        <w:rPr>
          <w:rStyle w:val="Char"/>
        </w:rPr>
      </w:pPr>
      <w:r w:rsidRPr="00F13073">
        <w:rPr>
          <w:rStyle w:val="Char"/>
        </w:rPr>
        <w:t xml:space="preserve">Istnieją ograniczone dane dotyczące zmiany podawania produktu leczniczy </w:t>
      </w:r>
      <w:r w:rsidR="00026375" w:rsidRPr="00F13073">
        <w:rPr>
          <w:rStyle w:val="Char"/>
        </w:rPr>
        <w:t>Avtozma</w:t>
      </w:r>
      <w:r w:rsidRPr="00F13073">
        <w:rPr>
          <w:rStyle w:val="Char"/>
        </w:rPr>
        <w:t xml:space="preserve"> z formy dożylnej na podskórną w stałej dawce. Podawanie leku należy kontynuować w odstępach cotygodniowych.</w:t>
      </w:r>
    </w:p>
    <w:p w14:paraId="51514BC8" w14:textId="77777777" w:rsidR="005507A3" w:rsidRPr="00F13073" w:rsidRDefault="005507A3" w:rsidP="008B4C50">
      <w:pPr>
        <w:pStyle w:val="a4"/>
        <w:widowControl/>
        <w:spacing w:after="0"/>
      </w:pPr>
    </w:p>
    <w:p w14:paraId="36D526ED" w14:textId="77777777" w:rsidR="005507A3" w:rsidRPr="00F13073" w:rsidRDefault="005507A3" w:rsidP="008B4C50">
      <w:pPr>
        <w:pStyle w:val="a4"/>
        <w:widowControl/>
        <w:spacing w:after="0"/>
        <w:rPr>
          <w:rStyle w:val="Char"/>
        </w:rPr>
      </w:pPr>
      <w:r w:rsidRPr="00F13073">
        <w:rPr>
          <w:rStyle w:val="Char"/>
        </w:rPr>
        <w:lastRenderedPageBreak/>
        <w:t>Pacjenci, u których zmieniono sposób podawania z dożylnego na podskórny, muszą przyjąć pierwszą, podawaną podskórnie dawkę zamiast zaplanowanej dawki dożylnej pod nadzorem wykwalifikowanego fachowego personelu medycznego.</w:t>
      </w:r>
    </w:p>
    <w:p w14:paraId="2A4321D3" w14:textId="77777777" w:rsidR="005507A3" w:rsidRPr="00F13073" w:rsidRDefault="005507A3" w:rsidP="008B4C50">
      <w:pPr>
        <w:pStyle w:val="a4"/>
        <w:widowControl/>
        <w:spacing w:after="0"/>
      </w:pPr>
    </w:p>
    <w:p w14:paraId="6C755951" w14:textId="77777777" w:rsidR="005507A3" w:rsidRPr="00F13073" w:rsidRDefault="005507A3" w:rsidP="008B4C50">
      <w:pPr>
        <w:pStyle w:val="a4"/>
        <w:widowControl/>
        <w:spacing w:after="0"/>
      </w:pPr>
      <w:r w:rsidRPr="00F13073">
        <w:rPr>
          <w:rStyle w:val="Char"/>
          <w:u w:val="single"/>
        </w:rPr>
        <w:t>GCA</w:t>
      </w:r>
    </w:p>
    <w:p w14:paraId="6CF06512" w14:textId="0731C8DB" w:rsidR="005507A3" w:rsidRPr="00F13073" w:rsidRDefault="005507A3" w:rsidP="008B4C50">
      <w:pPr>
        <w:pStyle w:val="a4"/>
        <w:widowControl/>
        <w:spacing w:after="0"/>
      </w:pPr>
      <w:r w:rsidRPr="00F13073">
        <w:rPr>
          <w:rStyle w:val="Char"/>
        </w:rPr>
        <w:t xml:space="preserve">Zalecana dawka wynosi 162 mg podawane podskórnie raz w tygodniu w skojarzeniu z leczeniem glikokortykosteroidami w malejących dawkach. Produkt leczniczy </w:t>
      </w:r>
      <w:r w:rsidR="00026375" w:rsidRPr="00F13073">
        <w:rPr>
          <w:rStyle w:val="Char"/>
        </w:rPr>
        <w:t>Avtozma</w:t>
      </w:r>
      <w:r w:rsidRPr="00F13073">
        <w:rPr>
          <w:rStyle w:val="Char"/>
        </w:rPr>
        <w:t xml:space="preserve"> może być stosowany w monoterapii po zakończeniu stosowania glikokortykosteroidów.</w:t>
      </w:r>
    </w:p>
    <w:p w14:paraId="5D624C10" w14:textId="1BF3265E" w:rsidR="005507A3" w:rsidRPr="00F13073" w:rsidRDefault="005507A3"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monoterapii nie powinien być stosowany w leczeniu ostrych nawrotów choroby (patrz punkt 4.4).</w:t>
      </w:r>
    </w:p>
    <w:p w14:paraId="1F0CEAA4" w14:textId="77777777" w:rsidR="005507A3" w:rsidRPr="00F13073" w:rsidRDefault="005507A3" w:rsidP="008B4C50">
      <w:pPr>
        <w:pStyle w:val="a4"/>
        <w:widowControl/>
        <w:spacing w:after="0"/>
      </w:pPr>
    </w:p>
    <w:p w14:paraId="4D924D79" w14:textId="77777777" w:rsidR="00F91F06" w:rsidRPr="00F13073" w:rsidRDefault="005507A3" w:rsidP="008B4C50">
      <w:r w:rsidRPr="00F13073">
        <w:rPr>
          <w:rStyle w:val="Char"/>
          <w:rFonts w:eastAsia="DengXian"/>
        </w:rPr>
        <w:t>W związku z przewlekłym charakterem GCA, leczenie trwające powyżej 52 tygodni powinno być prowadzone w oparciu o aktywność choroby, ocenę lekarza i wybór pacjenta.</w:t>
      </w:r>
    </w:p>
    <w:p w14:paraId="00B30822" w14:textId="77777777" w:rsidR="00F91F06" w:rsidRPr="00F13073" w:rsidRDefault="00F91F06" w:rsidP="008B4C50"/>
    <w:p w14:paraId="6F4BA66A" w14:textId="77777777" w:rsidR="005507A3" w:rsidRPr="00F13073" w:rsidRDefault="005507A3" w:rsidP="008B4C50">
      <w:pPr>
        <w:keepNext/>
      </w:pPr>
      <w:r w:rsidRPr="00F13073">
        <w:rPr>
          <w:rStyle w:val="Char"/>
          <w:rFonts w:eastAsia="DengXian"/>
          <w:u w:val="single"/>
        </w:rPr>
        <w:t>RZS i GCA</w:t>
      </w:r>
    </w:p>
    <w:p w14:paraId="443C14D7" w14:textId="77777777" w:rsidR="005507A3" w:rsidRPr="00F13073" w:rsidRDefault="005507A3" w:rsidP="008B4C50">
      <w:pPr>
        <w:keepNext/>
      </w:pPr>
      <w:r w:rsidRPr="00F13073">
        <w:rPr>
          <w:rStyle w:val="Char"/>
          <w:rFonts w:eastAsia="DengXian"/>
          <w:u w:val="single"/>
        </w:rPr>
        <w:t>Dostosowanie dawki z powodu nieprawidłowości wyników badań laboratoryjnych (patrz punkt 4.4).</w:t>
      </w:r>
    </w:p>
    <w:p w14:paraId="4FF84383" w14:textId="77777777" w:rsidR="00F91F06" w:rsidRPr="00F13073" w:rsidRDefault="00F91F06" w:rsidP="008B4C50">
      <w:pPr>
        <w:keepNext/>
        <w:rPr>
          <w:u w:val="single"/>
        </w:rPr>
      </w:pPr>
    </w:p>
    <w:p w14:paraId="0242D667" w14:textId="77777777" w:rsidR="001E0975" w:rsidRPr="00F13073" w:rsidRDefault="005507A3" w:rsidP="008B4C50">
      <w:pPr>
        <w:pStyle w:val="a0"/>
        <w:keepNext/>
        <w:numPr>
          <w:ilvl w:val="0"/>
          <w:numId w:val="6"/>
        </w:numPr>
        <w:ind w:left="567" w:hanging="567"/>
        <w:contextualSpacing w:val="0"/>
      </w:pPr>
      <w:r w:rsidRPr="00F13073">
        <w:rPr>
          <w:rStyle w:val="Char"/>
          <w:rFonts w:eastAsia="DengXian"/>
        </w:rPr>
        <w:t>Nieprawidłowa aktywność enzymów wątrobowych</w:t>
      </w:r>
    </w:p>
    <w:p w14:paraId="5927F0C7" w14:textId="77777777" w:rsidR="00F91F06" w:rsidRPr="00F13073" w:rsidRDefault="00F91F06" w:rsidP="008B4C50">
      <w:pPr>
        <w:keepNext/>
      </w:pPr>
    </w:p>
    <w:tbl>
      <w:tblPr>
        <w:tblOverlap w:val="neve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920"/>
        <w:gridCol w:w="7152"/>
      </w:tblGrid>
      <w:tr w:rsidR="00135BDB" w:rsidRPr="00F13073" w14:paraId="130B6B5C" w14:textId="77777777" w:rsidTr="002133F3">
        <w:trPr>
          <w:cantSplit/>
          <w:tblHeader/>
        </w:trPr>
        <w:tc>
          <w:tcPr>
            <w:tcW w:w="1920" w:type="dxa"/>
          </w:tcPr>
          <w:p w14:paraId="6C4CE772" w14:textId="77777777" w:rsidR="00135BDB" w:rsidRPr="00F13073" w:rsidRDefault="00135BDB" w:rsidP="008C373B">
            <w:pPr>
              <w:keepNext/>
              <w:suppressAutoHyphens/>
              <w:jc w:val="center"/>
            </w:pPr>
            <w:r w:rsidRPr="00F13073">
              <w:rPr>
                <w:rStyle w:val="Other"/>
                <w:rFonts w:eastAsia="DengXian"/>
              </w:rPr>
              <w:t>Wartość laboratoryjna</w:t>
            </w:r>
          </w:p>
        </w:tc>
        <w:tc>
          <w:tcPr>
            <w:tcW w:w="7152" w:type="dxa"/>
          </w:tcPr>
          <w:p w14:paraId="5D57F97F" w14:textId="77777777" w:rsidR="00135BDB" w:rsidRPr="00F13073" w:rsidRDefault="00135BDB" w:rsidP="008C373B">
            <w:pPr>
              <w:keepNext/>
              <w:suppressAutoHyphens/>
              <w:jc w:val="center"/>
            </w:pPr>
            <w:r w:rsidRPr="00F13073">
              <w:rPr>
                <w:rStyle w:val="Other"/>
                <w:rFonts w:eastAsia="DengXian"/>
              </w:rPr>
              <w:t>Zalecane postępowanie</w:t>
            </w:r>
          </w:p>
        </w:tc>
      </w:tr>
      <w:tr w:rsidR="00135BDB" w:rsidRPr="00F13073" w14:paraId="1FA39AE4" w14:textId="77777777" w:rsidTr="002133F3">
        <w:trPr>
          <w:cantSplit/>
          <w:tblHeader/>
        </w:trPr>
        <w:tc>
          <w:tcPr>
            <w:tcW w:w="1920" w:type="dxa"/>
          </w:tcPr>
          <w:p w14:paraId="38226351" w14:textId="77777777" w:rsidR="00135BDB" w:rsidRPr="00F13073" w:rsidRDefault="00135BDB" w:rsidP="008B4C50">
            <w:pPr>
              <w:suppressAutoHyphens/>
            </w:pPr>
            <w:r w:rsidRPr="00F13073">
              <w:rPr>
                <w:rStyle w:val="Other"/>
                <w:rFonts w:eastAsia="DengXian"/>
              </w:rPr>
              <w:t>&gt; 1 do 3 x górna granica normy (GGN)</w:t>
            </w:r>
          </w:p>
        </w:tc>
        <w:tc>
          <w:tcPr>
            <w:tcW w:w="7152" w:type="dxa"/>
          </w:tcPr>
          <w:p w14:paraId="1A48EB6D" w14:textId="77777777" w:rsidR="00135BDB" w:rsidRPr="00F13073" w:rsidRDefault="00135BDB" w:rsidP="008B4C50">
            <w:pPr>
              <w:pStyle w:val="Other0"/>
              <w:widowControl/>
              <w:spacing w:after="0"/>
              <w:rPr>
                <w:rStyle w:val="Other"/>
              </w:rPr>
            </w:pPr>
            <w:r w:rsidRPr="00F13073">
              <w:rPr>
                <w:rStyle w:val="Other"/>
              </w:rPr>
              <w:t>Należy zmodyfikować dawki podawanych równocześnie leków z grupy DMARD (RZS) lub leków immunomodulujących (GCA) w przypadkach, gdy jest to właściwe.</w:t>
            </w:r>
          </w:p>
          <w:p w14:paraId="7A7C75A2" w14:textId="77777777" w:rsidR="00135BDB" w:rsidRPr="00F13073" w:rsidRDefault="00135BDB" w:rsidP="008B4C50">
            <w:pPr>
              <w:pStyle w:val="Other0"/>
              <w:widowControl/>
              <w:spacing w:after="0"/>
            </w:pPr>
          </w:p>
          <w:p w14:paraId="13B9BB2B" w14:textId="5A13AF73" w:rsidR="00135BDB" w:rsidRPr="00F13073" w:rsidRDefault="00135BDB" w:rsidP="008B4C50">
            <w:pPr>
              <w:pStyle w:val="Other0"/>
              <w:widowControl/>
              <w:spacing w:after="0"/>
              <w:rPr>
                <w:rStyle w:val="Other"/>
              </w:rPr>
            </w:pPr>
            <w:r w:rsidRPr="00F13073">
              <w:rPr>
                <w:rStyle w:val="Other"/>
              </w:rPr>
              <w:t xml:space="preserve">W przypadku utrzymywania się zwiększonych wartości w tym zakresie należy zmniejszyć częstości podawania produktu leczniczego </w:t>
            </w:r>
            <w:r w:rsidR="00026375" w:rsidRPr="00F13073">
              <w:rPr>
                <w:rStyle w:val="Other"/>
              </w:rPr>
              <w:t>Avtozma</w:t>
            </w:r>
            <w:r w:rsidRPr="00F13073">
              <w:rPr>
                <w:rStyle w:val="Other"/>
              </w:rPr>
              <w:t xml:space="preserve"> do jednej dawki co drugi tydzień lub przerwać jego podawanie do czasu powrotu do prawidłowych wartości aktywności aminotransferazy alaninowej (AlAT) lub aminotransferazy asparaginianowej (AspAT).</w:t>
            </w:r>
          </w:p>
          <w:p w14:paraId="574E2913" w14:textId="77777777" w:rsidR="00135BDB" w:rsidRPr="00F13073" w:rsidRDefault="00135BDB" w:rsidP="008B4C50">
            <w:pPr>
              <w:pStyle w:val="Other0"/>
              <w:widowControl/>
              <w:spacing w:after="0"/>
            </w:pPr>
          </w:p>
          <w:p w14:paraId="6C8AB08A" w14:textId="77777777" w:rsidR="00135BDB" w:rsidRPr="00F13073" w:rsidRDefault="00135BDB" w:rsidP="008B4C50">
            <w:pPr>
              <w:suppressAutoHyphens/>
            </w:pPr>
            <w:r w:rsidRPr="00F13073">
              <w:rPr>
                <w:rStyle w:val="Other"/>
                <w:rFonts w:eastAsia="DengXian"/>
              </w:rPr>
              <w:t>Należy wrócić do wykonywania iniekcji co tydzień lub co drugi tydzień, jeśli jest to klinicznie uzasadnione.</w:t>
            </w:r>
          </w:p>
        </w:tc>
      </w:tr>
      <w:tr w:rsidR="00135BDB" w:rsidRPr="00F13073" w14:paraId="48D4642A" w14:textId="77777777" w:rsidTr="002133F3">
        <w:trPr>
          <w:cantSplit/>
          <w:tblHeader/>
        </w:trPr>
        <w:tc>
          <w:tcPr>
            <w:tcW w:w="1920" w:type="dxa"/>
          </w:tcPr>
          <w:p w14:paraId="6279E0F0" w14:textId="77777777" w:rsidR="00135BDB" w:rsidRPr="00F13073" w:rsidRDefault="00135BDB" w:rsidP="008B4C50">
            <w:pPr>
              <w:suppressAutoHyphens/>
            </w:pPr>
            <w:r w:rsidRPr="00F13073">
              <w:rPr>
                <w:rStyle w:val="Other"/>
                <w:rFonts w:eastAsia="DengXian"/>
              </w:rPr>
              <w:t>&gt; 3 do 5 x GGN</w:t>
            </w:r>
          </w:p>
        </w:tc>
        <w:tc>
          <w:tcPr>
            <w:tcW w:w="7152" w:type="dxa"/>
          </w:tcPr>
          <w:p w14:paraId="78B7354B" w14:textId="403EBDAC" w:rsidR="00135BDB" w:rsidRPr="00F13073" w:rsidRDefault="00135BDB" w:rsidP="008B4C50">
            <w:pPr>
              <w:pStyle w:val="Other0"/>
              <w:widowControl/>
              <w:spacing w:after="0"/>
              <w:rPr>
                <w:rStyle w:val="Other"/>
              </w:rPr>
            </w:pPr>
            <w:r w:rsidRPr="00F13073">
              <w:rPr>
                <w:rStyle w:val="Other"/>
              </w:rPr>
              <w:t xml:space="preserve">Należy przerwać podawanie produktu leczniczego </w:t>
            </w:r>
            <w:r w:rsidR="00026375" w:rsidRPr="00F13073">
              <w:rPr>
                <w:rStyle w:val="Other"/>
              </w:rPr>
              <w:t>Avtozma</w:t>
            </w:r>
            <w:r w:rsidRPr="00F13073">
              <w:rPr>
                <w:rStyle w:val="Other"/>
              </w:rPr>
              <w:t xml:space="preserve"> do czasu, gdy wartości aminotransferaz osiągną poziom &lt; 3 x GGN i postępować zgodnie z zaleceniami podanymi powyżej dla &gt; 1 do 3 x GGN.</w:t>
            </w:r>
          </w:p>
          <w:p w14:paraId="278483D8" w14:textId="77777777" w:rsidR="00135BDB" w:rsidRPr="00F13073" w:rsidRDefault="00135BDB" w:rsidP="008B4C50">
            <w:pPr>
              <w:pStyle w:val="Other0"/>
              <w:widowControl/>
              <w:spacing w:after="0"/>
            </w:pPr>
          </w:p>
          <w:p w14:paraId="21C2CA37" w14:textId="41FF42BB" w:rsidR="00135BDB" w:rsidRPr="00F13073" w:rsidRDefault="00135BDB" w:rsidP="008B4C50">
            <w:pPr>
              <w:suppressAutoHyphens/>
            </w:pPr>
            <w:r w:rsidRPr="00F13073">
              <w:rPr>
                <w:rStyle w:val="Other"/>
                <w:rFonts w:eastAsia="DengXian"/>
              </w:rPr>
              <w:t xml:space="preserve">W przypadku utrzymywania się podwyższonych wartości &gt; 3 x GGN (potwierdzonych w powtórzonym badaniu, patrz punkt 4.4) należy przerwać podawanie produktu leczniczego </w:t>
            </w:r>
            <w:r w:rsidR="00026375" w:rsidRPr="00F13073">
              <w:rPr>
                <w:rStyle w:val="Other"/>
                <w:rFonts w:eastAsia="DengXian"/>
              </w:rPr>
              <w:t>Avtozma</w:t>
            </w:r>
            <w:r w:rsidRPr="00F13073">
              <w:rPr>
                <w:rStyle w:val="Other"/>
                <w:rFonts w:eastAsia="DengXian"/>
              </w:rPr>
              <w:t>.</w:t>
            </w:r>
          </w:p>
        </w:tc>
      </w:tr>
      <w:tr w:rsidR="00135BDB" w:rsidRPr="00F13073" w14:paraId="486F221A" w14:textId="77777777" w:rsidTr="002133F3">
        <w:trPr>
          <w:cantSplit/>
          <w:tblHeader/>
        </w:trPr>
        <w:tc>
          <w:tcPr>
            <w:tcW w:w="1920" w:type="dxa"/>
          </w:tcPr>
          <w:p w14:paraId="17138457" w14:textId="77777777" w:rsidR="00135BDB" w:rsidRPr="00F13073" w:rsidRDefault="00135BDB" w:rsidP="008B4C50">
            <w:pPr>
              <w:suppressAutoHyphens/>
            </w:pPr>
            <w:r w:rsidRPr="00F13073">
              <w:t xml:space="preserve">&gt; 5 x </w:t>
            </w:r>
            <w:r w:rsidR="00CC71A3" w:rsidRPr="00F13073">
              <w:t>GGN</w:t>
            </w:r>
          </w:p>
        </w:tc>
        <w:tc>
          <w:tcPr>
            <w:tcW w:w="7152" w:type="dxa"/>
          </w:tcPr>
          <w:p w14:paraId="62C8B25A" w14:textId="78AFD234" w:rsidR="00135BDB" w:rsidRPr="00F13073" w:rsidRDefault="00135BDB"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6A7C1F80" w14:textId="77777777" w:rsidR="001E0975" w:rsidRPr="00F13073" w:rsidRDefault="001E0975" w:rsidP="008B4C50"/>
    <w:p w14:paraId="36D16C75" w14:textId="77777777" w:rsidR="001E0975" w:rsidRPr="00F13073" w:rsidRDefault="00831048" w:rsidP="008B4C50">
      <w:pPr>
        <w:pStyle w:val="a0"/>
        <w:keepNext/>
        <w:numPr>
          <w:ilvl w:val="0"/>
          <w:numId w:val="6"/>
        </w:numPr>
        <w:ind w:left="567" w:hanging="567"/>
        <w:contextualSpacing w:val="0"/>
      </w:pPr>
      <w:r w:rsidRPr="00F13073">
        <w:rPr>
          <w:rStyle w:val="Char"/>
          <w:rFonts w:eastAsia="DengXian"/>
        </w:rPr>
        <w:t>Mała bezwzględna liczba granulocytów obojętnochłonnych (ANC)</w:t>
      </w:r>
    </w:p>
    <w:p w14:paraId="1B3AA11E" w14:textId="77777777" w:rsidR="00B90A82" w:rsidRPr="00F13073" w:rsidRDefault="00B90A82" w:rsidP="008B4C50">
      <w:pPr>
        <w:keepNext/>
      </w:pPr>
    </w:p>
    <w:p w14:paraId="3343C2DB" w14:textId="429FF074" w:rsidR="001E0975" w:rsidRPr="00F13073" w:rsidRDefault="00831048" w:rsidP="008B4C50">
      <w:r w:rsidRPr="00F13073">
        <w:rPr>
          <w:rStyle w:val="Char"/>
          <w:rFonts w:eastAsia="DengXian"/>
        </w:rPr>
        <w:t xml:space="preserve">Nie zaleca się rozpoczynać leczenia u pacjentów nieleczonych wcześniej </w:t>
      </w:r>
      <w:r w:rsidR="00E4479E" w:rsidRPr="00F13073">
        <w:rPr>
          <w:rStyle w:val="Char"/>
          <w:rFonts w:eastAsia="DengXian"/>
        </w:rPr>
        <w:t>tocilizumabem</w:t>
      </w:r>
      <w:r w:rsidRPr="00F13073">
        <w:rPr>
          <w:rStyle w:val="Char"/>
          <w:rFonts w:eastAsia="DengXian"/>
        </w:rPr>
        <w:t xml:space="preserve"> z bezwzględną liczbą granulocytów obojętnochłonnych (ANC) poniżej 2 x 10</w:t>
      </w:r>
      <w:r w:rsidRPr="00F13073">
        <w:rPr>
          <w:rStyle w:val="Char"/>
          <w:rFonts w:eastAsia="DengXian"/>
          <w:vertAlign w:val="superscript"/>
        </w:rPr>
        <w:t>9</w:t>
      </w:r>
      <w:r w:rsidRPr="00F13073">
        <w:rPr>
          <w:rStyle w:val="Char"/>
          <w:rFonts w:eastAsia="DengXian"/>
        </w:rPr>
        <w:t>/l.</w:t>
      </w:r>
    </w:p>
    <w:p w14:paraId="499725EC" w14:textId="77777777" w:rsidR="00B90A82" w:rsidRPr="00F13073" w:rsidRDefault="00B90A82" w:rsidP="008B4C50"/>
    <w:tbl>
      <w:tblPr>
        <w:tblOverlap w:val="never"/>
        <w:tblW w:w="9076" w:type="dxa"/>
        <w:tblInd w:w="108" w:type="dxa"/>
        <w:tblLayout w:type="fixed"/>
        <w:tblCellMar>
          <w:top w:w="28" w:type="dxa"/>
          <w:bottom w:w="28" w:type="dxa"/>
        </w:tblCellMar>
        <w:tblLook w:val="04A0" w:firstRow="1" w:lastRow="0" w:firstColumn="1" w:lastColumn="0" w:noHBand="0" w:noVBand="1"/>
      </w:tblPr>
      <w:tblGrid>
        <w:gridCol w:w="1934"/>
        <w:gridCol w:w="7142"/>
      </w:tblGrid>
      <w:tr w:rsidR="00831048" w:rsidRPr="00F13073" w14:paraId="0D80D804" w14:textId="77777777" w:rsidTr="002133F3">
        <w:trPr>
          <w:cantSplit/>
          <w:tblHeader/>
        </w:trPr>
        <w:tc>
          <w:tcPr>
            <w:tcW w:w="1934" w:type="dxa"/>
            <w:tcBorders>
              <w:top w:val="single" w:sz="4" w:space="0" w:color="auto"/>
              <w:left w:val="single" w:sz="4" w:space="0" w:color="auto"/>
            </w:tcBorders>
          </w:tcPr>
          <w:p w14:paraId="4696AAD2" w14:textId="77777777" w:rsidR="00831048" w:rsidRPr="00F13073" w:rsidRDefault="00831048" w:rsidP="008C373B">
            <w:pPr>
              <w:keepNext/>
              <w:suppressAutoHyphens/>
              <w:jc w:val="center"/>
            </w:pPr>
            <w:r w:rsidRPr="00F13073">
              <w:rPr>
                <w:rStyle w:val="Other"/>
                <w:rFonts w:eastAsia="DengXian"/>
              </w:rPr>
              <w:lastRenderedPageBreak/>
              <w:t>Wartość laboratoryjna (liczba komórek x 10</w:t>
            </w:r>
            <w:r w:rsidRPr="00F13073">
              <w:rPr>
                <w:rStyle w:val="Other"/>
                <w:rFonts w:eastAsia="DengXian"/>
                <w:vertAlign w:val="superscript"/>
              </w:rPr>
              <w:t>9</w:t>
            </w:r>
            <w:r w:rsidRPr="00F13073">
              <w:rPr>
                <w:rStyle w:val="Other"/>
                <w:rFonts w:eastAsia="DengXian"/>
              </w:rPr>
              <w:t>/l)</w:t>
            </w:r>
          </w:p>
        </w:tc>
        <w:tc>
          <w:tcPr>
            <w:tcW w:w="7142" w:type="dxa"/>
            <w:tcBorders>
              <w:top w:val="single" w:sz="4" w:space="0" w:color="auto"/>
              <w:left w:val="single" w:sz="4" w:space="0" w:color="auto"/>
              <w:bottom w:val="single" w:sz="4" w:space="0" w:color="auto"/>
              <w:right w:val="single" w:sz="4" w:space="0" w:color="auto"/>
            </w:tcBorders>
          </w:tcPr>
          <w:p w14:paraId="1D241D32" w14:textId="77777777" w:rsidR="00831048" w:rsidRPr="00F13073" w:rsidRDefault="00831048" w:rsidP="008C373B">
            <w:pPr>
              <w:keepNext/>
              <w:suppressAutoHyphens/>
              <w:jc w:val="center"/>
            </w:pPr>
            <w:r w:rsidRPr="00F13073">
              <w:rPr>
                <w:rStyle w:val="Other"/>
                <w:rFonts w:eastAsia="DengXian"/>
              </w:rPr>
              <w:t>Zalecane postępowanie</w:t>
            </w:r>
          </w:p>
        </w:tc>
      </w:tr>
      <w:tr w:rsidR="00831048" w:rsidRPr="00F13073" w14:paraId="3D87D04A" w14:textId="77777777" w:rsidTr="002133F3">
        <w:trPr>
          <w:cantSplit/>
          <w:tblHeader/>
        </w:trPr>
        <w:tc>
          <w:tcPr>
            <w:tcW w:w="1934" w:type="dxa"/>
            <w:tcBorders>
              <w:top w:val="single" w:sz="4" w:space="0" w:color="auto"/>
              <w:left w:val="single" w:sz="4" w:space="0" w:color="auto"/>
            </w:tcBorders>
          </w:tcPr>
          <w:p w14:paraId="22EBC48E" w14:textId="77777777" w:rsidR="00831048" w:rsidRPr="00F13073" w:rsidRDefault="00831048" w:rsidP="008B4C50">
            <w:pPr>
              <w:suppressAutoHyphens/>
            </w:pPr>
            <w:r w:rsidRPr="00F13073">
              <w:rPr>
                <w:rStyle w:val="Other"/>
                <w:rFonts w:eastAsia="DengXian"/>
              </w:rPr>
              <w:t>ANC &gt; 1</w:t>
            </w:r>
          </w:p>
        </w:tc>
        <w:tc>
          <w:tcPr>
            <w:tcW w:w="7142" w:type="dxa"/>
            <w:tcBorders>
              <w:top w:val="single" w:sz="4" w:space="0" w:color="auto"/>
              <w:left w:val="single" w:sz="4" w:space="0" w:color="auto"/>
              <w:bottom w:val="single" w:sz="4" w:space="0" w:color="auto"/>
              <w:right w:val="single" w:sz="4" w:space="0" w:color="auto"/>
            </w:tcBorders>
          </w:tcPr>
          <w:p w14:paraId="49E050C7" w14:textId="77777777" w:rsidR="00831048" w:rsidRPr="00F13073" w:rsidRDefault="00831048" w:rsidP="008B4C50">
            <w:pPr>
              <w:suppressAutoHyphens/>
            </w:pPr>
            <w:r w:rsidRPr="00F13073">
              <w:rPr>
                <w:rStyle w:val="Other"/>
                <w:rFonts w:eastAsia="DengXian"/>
              </w:rPr>
              <w:t>Utrzymanie dotychczasowej dawki</w:t>
            </w:r>
          </w:p>
        </w:tc>
      </w:tr>
      <w:tr w:rsidR="00831048" w:rsidRPr="00F13073" w14:paraId="16BE6651" w14:textId="77777777" w:rsidTr="002133F3">
        <w:trPr>
          <w:cantSplit/>
          <w:tblHeader/>
        </w:trPr>
        <w:tc>
          <w:tcPr>
            <w:tcW w:w="1934" w:type="dxa"/>
            <w:tcBorders>
              <w:top w:val="single" w:sz="4" w:space="0" w:color="auto"/>
              <w:left w:val="single" w:sz="4" w:space="0" w:color="auto"/>
            </w:tcBorders>
          </w:tcPr>
          <w:p w14:paraId="1E4E733D" w14:textId="77777777" w:rsidR="00831048" w:rsidRPr="00F13073" w:rsidRDefault="00831048" w:rsidP="008B4C50">
            <w:pPr>
              <w:suppressAutoHyphens/>
            </w:pPr>
            <w:r w:rsidRPr="00F13073">
              <w:rPr>
                <w:rStyle w:val="Other"/>
                <w:rFonts w:eastAsia="DengXian"/>
                <w:sz w:val="24"/>
                <w:szCs w:val="24"/>
              </w:rPr>
              <w:t>ANC od 0,5 do 1</w:t>
            </w:r>
          </w:p>
        </w:tc>
        <w:tc>
          <w:tcPr>
            <w:tcW w:w="7142" w:type="dxa"/>
            <w:tcBorders>
              <w:top w:val="single" w:sz="4" w:space="0" w:color="auto"/>
              <w:left w:val="single" w:sz="4" w:space="0" w:color="auto"/>
              <w:bottom w:val="single" w:sz="4" w:space="0" w:color="auto"/>
              <w:right w:val="single" w:sz="4" w:space="0" w:color="auto"/>
            </w:tcBorders>
          </w:tcPr>
          <w:p w14:paraId="42A7A228" w14:textId="0CD867DD" w:rsidR="00831048" w:rsidRPr="00F13073" w:rsidRDefault="00831048" w:rsidP="008B4C50">
            <w:pPr>
              <w:pStyle w:val="Other0"/>
              <w:widowControl/>
              <w:spacing w:after="0"/>
              <w:rPr>
                <w:rStyle w:val="Other"/>
              </w:rPr>
            </w:pPr>
            <w:r w:rsidRPr="00F13073">
              <w:rPr>
                <w:rStyle w:val="Other"/>
              </w:rPr>
              <w:t xml:space="preserve">Przerwanie podawania produktu leczniczego </w:t>
            </w:r>
            <w:r w:rsidR="00026375" w:rsidRPr="00F13073">
              <w:rPr>
                <w:rStyle w:val="Other"/>
              </w:rPr>
              <w:t>Avtozma</w:t>
            </w:r>
          </w:p>
          <w:p w14:paraId="3404BECF" w14:textId="77777777" w:rsidR="00831048" w:rsidRPr="00F13073" w:rsidRDefault="00831048" w:rsidP="008B4C50">
            <w:pPr>
              <w:pStyle w:val="Other0"/>
              <w:widowControl/>
              <w:spacing w:after="0"/>
            </w:pPr>
          </w:p>
          <w:p w14:paraId="3518E2B7" w14:textId="651534F7" w:rsidR="00831048" w:rsidRPr="00F13073" w:rsidRDefault="00831048" w:rsidP="008B4C50">
            <w:pPr>
              <w:suppressAutoHyphens/>
            </w:pPr>
            <w:r w:rsidRPr="00F13073">
              <w:rPr>
                <w:rStyle w:val="Other"/>
                <w:rFonts w:eastAsia="DengXian"/>
              </w:rPr>
              <w:t>Gdy wartość ANC wzrośnie &gt; 1 x 10</w:t>
            </w:r>
            <w:r w:rsidRPr="00F13073">
              <w:rPr>
                <w:rStyle w:val="Other"/>
                <w:rFonts w:eastAsia="DengXian"/>
                <w:vertAlign w:val="superscript"/>
              </w:rPr>
              <w:t>9</w:t>
            </w:r>
            <w:r w:rsidRPr="00F13073">
              <w:rPr>
                <w:rStyle w:val="Other"/>
                <w:rFonts w:eastAsia="DengXian"/>
              </w:rPr>
              <w:t xml:space="preserve">/l, należy wznowić podawanie produktu leczniczego </w:t>
            </w:r>
            <w:r w:rsidR="00026375" w:rsidRPr="00F13073">
              <w:rPr>
                <w:rStyle w:val="Other"/>
                <w:rFonts w:eastAsia="DengXian"/>
              </w:rPr>
              <w:t>Avtozma</w:t>
            </w:r>
            <w:r w:rsidRPr="00F13073">
              <w:rPr>
                <w:rStyle w:val="Other"/>
                <w:rFonts w:eastAsia="DengXian"/>
              </w:rPr>
              <w:t xml:space="preserve"> co drugi tydzień i przejść do podawania cotygodniowego, gdy stan kliniczny pacjenta na to pozwala.</w:t>
            </w:r>
          </w:p>
        </w:tc>
      </w:tr>
      <w:tr w:rsidR="00831048" w:rsidRPr="00F13073" w14:paraId="46943D6C" w14:textId="77777777" w:rsidTr="002133F3">
        <w:trPr>
          <w:cantSplit/>
          <w:tblHeader/>
        </w:trPr>
        <w:tc>
          <w:tcPr>
            <w:tcW w:w="1934" w:type="dxa"/>
            <w:tcBorders>
              <w:top w:val="single" w:sz="4" w:space="0" w:color="auto"/>
              <w:left w:val="single" w:sz="4" w:space="0" w:color="auto"/>
              <w:bottom w:val="single" w:sz="4" w:space="0" w:color="auto"/>
            </w:tcBorders>
          </w:tcPr>
          <w:p w14:paraId="2167F11E" w14:textId="77777777" w:rsidR="00831048" w:rsidRPr="00F13073" w:rsidRDefault="00831048" w:rsidP="008B4C50">
            <w:pPr>
              <w:suppressAutoHyphens/>
            </w:pPr>
            <w:r w:rsidRPr="00F13073">
              <w:t>ANC &lt; 0,5</w:t>
            </w:r>
          </w:p>
        </w:tc>
        <w:tc>
          <w:tcPr>
            <w:tcW w:w="7142" w:type="dxa"/>
            <w:tcBorders>
              <w:top w:val="single" w:sz="4" w:space="0" w:color="auto"/>
              <w:left w:val="single" w:sz="4" w:space="0" w:color="auto"/>
              <w:bottom w:val="single" w:sz="4" w:space="0" w:color="auto"/>
              <w:right w:val="single" w:sz="4" w:space="0" w:color="auto"/>
            </w:tcBorders>
          </w:tcPr>
          <w:p w14:paraId="2B99CE83" w14:textId="799DE3F5" w:rsidR="00831048" w:rsidRPr="00F13073" w:rsidRDefault="00831048"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40053D2A" w14:textId="77777777" w:rsidR="001E0975" w:rsidRPr="00F13073" w:rsidRDefault="001E0975" w:rsidP="008B4C50"/>
    <w:p w14:paraId="24084170" w14:textId="77777777" w:rsidR="001E0975" w:rsidRPr="00F13073" w:rsidRDefault="00DD1CDA" w:rsidP="008B4C50">
      <w:pPr>
        <w:pStyle w:val="a0"/>
        <w:keepNext/>
        <w:numPr>
          <w:ilvl w:val="0"/>
          <w:numId w:val="6"/>
        </w:numPr>
        <w:ind w:left="567" w:hanging="567"/>
        <w:contextualSpacing w:val="0"/>
      </w:pPr>
      <w:r w:rsidRPr="00F13073">
        <w:t>Mała liczba płytek krwi</w:t>
      </w:r>
    </w:p>
    <w:p w14:paraId="6BC31C9C" w14:textId="77777777" w:rsidR="00B90A82" w:rsidRPr="00F13073" w:rsidRDefault="00B90A82" w:rsidP="008B4C50">
      <w:pPr>
        <w:keepNext/>
      </w:pPr>
    </w:p>
    <w:tbl>
      <w:tblPr>
        <w:tblOverlap w:val="never"/>
        <w:tblW w:w="9076" w:type="dxa"/>
        <w:tblInd w:w="108" w:type="dxa"/>
        <w:tblLayout w:type="fixed"/>
        <w:tblCellMar>
          <w:top w:w="28" w:type="dxa"/>
          <w:bottom w:w="28" w:type="dxa"/>
        </w:tblCellMar>
        <w:tblLook w:val="04A0" w:firstRow="1" w:lastRow="0" w:firstColumn="1" w:lastColumn="0" w:noHBand="0" w:noVBand="1"/>
      </w:tblPr>
      <w:tblGrid>
        <w:gridCol w:w="1934"/>
        <w:gridCol w:w="7142"/>
      </w:tblGrid>
      <w:tr w:rsidR="00DD1CDA" w:rsidRPr="00F13073" w14:paraId="29F9F2C0" w14:textId="77777777" w:rsidTr="002133F3">
        <w:trPr>
          <w:cantSplit/>
          <w:tblHeader/>
        </w:trPr>
        <w:tc>
          <w:tcPr>
            <w:tcW w:w="1934" w:type="dxa"/>
            <w:tcBorders>
              <w:top w:val="single" w:sz="4" w:space="0" w:color="auto"/>
              <w:left w:val="single" w:sz="4" w:space="0" w:color="auto"/>
            </w:tcBorders>
          </w:tcPr>
          <w:p w14:paraId="372D6BFB" w14:textId="77777777" w:rsidR="00DD1CDA" w:rsidRPr="00F13073" w:rsidRDefault="00DD1CDA" w:rsidP="008C373B">
            <w:pPr>
              <w:keepNext/>
              <w:suppressAutoHyphens/>
              <w:jc w:val="center"/>
            </w:pPr>
            <w:r w:rsidRPr="00F13073">
              <w:rPr>
                <w:rStyle w:val="Other"/>
                <w:rFonts w:eastAsia="DengXian"/>
              </w:rPr>
              <w:t>Wartość laboratoryjna (liczba komórek x 10</w:t>
            </w:r>
            <w:r w:rsidRPr="00F13073">
              <w:rPr>
                <w:rStyle w:val="Other"/>
                <w:rFonts w:eastAsia="DengXian"/>
                <w:vertAlign w:val="superscript"/>
              </w:rPr>
              <w:t>3</w:t>
            </w:r>
            <w:r w:rsidRPr="00F13073">
              <w:rPr>
                <w:rStyle w:val="Other"/>
                <w:rFonts w:eastAsia="DengXian"/>
              </w:rPr>
              <w:t>/μL)</w:t>
            </w:r>
          </w:p>
        </w:tc>
        <w:tc>
          <w:tcPr>
            <w:tcW w:w="7142" w:type="dxa"/>
            <w:tcBorders>
              <w:top w:val="single" w:sz="4" w:space="0" w:color="auto"/>
              <w:left w:val="single" w:sz="4" w:space="0" w:color="auto"/>
              <w:bottom w:val="single" w:sz="4" w:space="0" w:color="auto"/>
              <w:right w:val="single" w:sz="4" w:space="0" w:color="auto"/>
            </w:tcBorders>
          </w:tcPr>
          <w:p w14:paraId="649457D2" w14:textId="77777777" w:rsidR="00DD1CDA" w:rsidRPr="00F13073" w:rsidRDefault="00DD1CDA" w:rsidP="008C373B">
            <w:pPr>
              <w:keepNext/>
              <w:suppressAutoHyphens/>
              <w:jc w:val="center"/>
            </w:pPr>
            <w:r w:rsidRPr="00F13073">
              <w:rPr>
                <w:rStyle w:val="Other"/>
                <w:rFonts w:eastAsia="DengXian"/>
              </w:rPr>
              <w:t>Zalecane postępowanie</w:t>
            </w:r>
          </w:p>
        </w:tc>
      </w:tr>
      <w:tr w:rsidR="00DD1CDA" w:rsidRPr="00F13073" w14:paraId="0744528B" w14:textId="77777777" w:rsidTr="002133F3">
        <w:trPr>
          <w:cantSplit/>
          <w:tblHeader/>
        </w:trPr>
        <w:tc>
          <w:tcPr>
            <w:tcW w:w="1934" w:type="dxa"/>
            <w:tcBorders>
              <w:top w:val="single" w:sz="4" w:space="0" w:color="auto"/>
              <w:left w:val="single" w:sz="4" w:space="0" w:color="auto"/>
            </w:tcBorders>
          </w:tcPr>
          <w:p w14:paraId="74E272F5" w14:textId="77777777" w:rsidR="00DD1CDA" w:rsidRPr="00F13073" w:rsidRDefault="00DD1CDA" w:rsidP="008B4C50">
            <w:pPr>
              <w:suppressAutoHyphens/>
            </w:pPr>
            <w:r w:rsidRPr="00F13073">
              <w:rPr>
                <w:rStyle w:val="Other"/>
                <w:rFonts w:eastAsia="DengXian"/>
              </w:rPr>
              <w:t>od 50 do 100</w:t>
            </w:r>
          </w:p>
        </w:tc>
        <w:tc>
          <w:tcPr>
            <w:tcW w:w="7142" w:type="dxa"/>
            <w:tcBorders>
              <w:top w:val="single" w:sz="4" w:space="0" w:color="auto"/>
              <w:left w:val="single" w:sz="4" w:space="0" w:color="auto"/>
              <w:bottom w:val="single" w:sz="4" w:space="0" w:color="auto"/>
              <w:right w:val="single" w:sz="4" w:space="0" w:color="auto"/>
            </w:tcBorders>
          </w:tcPr>
          <w:p w14:paraId="2E611E96" w14:textId="393F345A" w:rsidR="00DD1CDA" w:rsidRPr="00F13073" w:rsidRDefault="00DD1CDA" w:rsidP="008B4C50">
            <w:pPr>
              <w:pStyle w:val="Other0"/>
              <w:widowControl/>
              <w:spacing w:after="0"/>
              <w:rPr>
                <w:rStyle w:val="Other"/>
              </w:rPr>
            </w:pPr>
            <w:r w:rsidRPr="00F13073">
              <w:rPr>
                <w:rStyle w:val="Other"/>
              </w:rPr>
              <w:t xml:space="preserve">Przerwanie podawania produktu leczniczego </w:t>
            </w:r>
            <w:r w:rsidR="00026375" w:rsidRPr="00F13073">
              <w:rPr>
                <w:rStyle w:val="Other"/>
              </w:rPr>
              <w:t>Avtozma</w:t>
            </w:r>
          </w:p>
          <w:p w14:paraId="5EDF2473" w14:textId="77777777" w:rsidR="00DD1CDA" w:rsidRPr="00F13073" w:rsidRDefault="00DD1CDA" w:rsidP="008B4C50">
            <w:pPr>
              <w:pStyle w:val="Other0"/>
              <w:widowControl/>
              <w:spacing w:after="0"/>
            </w:pPr>
          </w:p>
          <w:p w14:paraId="31864651" w14:textId="48C82E65" w:rsidR="00DD1CDA" w:rsidRPr="00F13073" w:rsidRDefault="00DD1CDA" w:rsidP="008B4C50">
            <w:pPr>
              <w:suppressAutoHyphens/>
            </w:pPr>
            <w:r w:rsidRPr="00F13073">
              <w:rPr>
                <w:rStyle w:val="Other"/>
                <w:rFonts w:eastAsia="DengXian"/>
              </w:rPr>
              <w:t>Gdy liczba płytek krwi wzrośnie powyżej &gt; 100 x 10</w:t>
            </w:r>
            <w:r w:rsidRPr="00F13073">
              <w:rPr>
                <w:rStyle w:val="Other"/>
                <w:rFonts w:eastAsia="DengXian"/>
                <w:vertAlign w:val="superscript"/>
              </w:rPr>
              <w:t>3</w:t>
            </w:r>
            <w:r w:rsidRPr="00F13073">
              <w:rPr>
                <w:rStyle w:val="Other"/>
                <w:rFonts w:eastAsia="DengXian"/>
              </w:rPr>
              <w:t xml:space="preserve">/μL, należy wznowić podawanie produktu leczniczego </w:t>
            </w:r>
            <w:r w:rsidR="00026375" w:rsidRPr="00F13073">
              <w:rPr>
                <w:rStyle w:val="Other"/>
                <w:rFonts w:eastAsia="DengXian"/>
              </w:rPr>
              <w:t>Avtozma</w:t>
            </w:r>
            <w:r w:rsidRPr="00F13073">
              <w:rPr>
                <w:rStyle w:val="Other"/>
                <w:rFonts w:eastAsia="DengXian"/>
              </w:rPr>
              <w:t xml:space="preserve"> co drugi tydzień i przejść do podawania cotygodniowego, gdy stan kliniczny pacjenta na to pozwala.</w:t>
            </w:r>
          </w:p>
        </w:tc>
      </w:tr>
      <w:tr w:rsidR="00DD1CDA" w:rsidRPr="00F13073" w14:paraId="46FD1104" w14:textId="77777777" w:rsidTr="002133F3">
        <w:trPr>
          <w:cantSplit/>
          <w:tblHeader/>
        </w:trPr>
        <w:tc>
          <w:tcPr>
            <w:tcW w:w="1934" w:type="dxa"/>
            <w:tcBorders>
              <w:top w:val="single" w:sz="4" w:space="0" w:color="auto"/>
              <w:left w:val="single" w:sz="4" w:space="0" w:color="auto"/>
              <w:bottom w:val="single" w:sz="4" w:space="0" w:color="auto"/>
            </w:tcBorders>
          </w:tcPr>
          <w:p w14:paraId="631F4C0D" w14:textId="77777777" w:rsidR="00DD1CDA" w:rsidRPr="00F13073" w:rsidRDefault="00DD1CDA" w:rsidP="008B4C50">
            <w:pPr>
              <w:suppressAutoHyphens/>
            </w:pPr>
            <w:r w:rsidRPr="00F13073">
              <w:t>&lt; 50</w:t>
            </w:r>
          </w:p>
        </w:tc>
        <w:tc>
          <w:tcPr>
            <w:tcW w:w="7142" w:type="dxa"/>
            <w:tcBorders>
              <w:top w:val="single" w:sz="4" w:space="0" w:color="auto"/>
              <w:left w:val="single" w:sz="4" w:space="0" w:color="auto"/>
              <w:bottom w:val="single" w:sz="4" w:space="0" w:color="auto"/>
              <w:right w:val="single" w:sz="4" w:space="0" w:color="auto"/>
            </w:tcBorders>
          </w:tcPr>
          <w:p w14:paraId="42B57959" w14:textId="42A8C064" w:rsidR="00DD1CDA" w:rsidRPr="00F13073" w:rsidRDefault="00DD1CDA" w:rsidP="008B4C50">
            <w:pPr>
              <w:suppressAutoHyphens/>
            </w:pPr>
            <w:r w:rsidRPr="00F13073">
              <w:rPr>
                <w:rStyle w:val="Other"/>
                <w:rFonts w:eastAsia="DengXian"/>
              </w:rPr>
              <w:t xml:space="preserve">Przerwanie podawania produktu leczniczego </w:t>
            </w:r>
            <w:r w:rsidR="00026375" w:rsidRPr="00F13073">
              <w:rPr>
                <w:rStyle w:val="Other"/>
                <w:rFonts w:eastAsia="DengXian"/>
              </w:rPr>
              <w:t>Avtozma</w:t>
            </w:r>
          </w:p>
        </w:tc>
      </w:tr>
    </w:tbl>
    <w:p w14:paraId="75829D71" w14:textId="77777777" w:rsidR="00B90A82" w:rsidRPr="00F13073" w:rsidRDefault="00B90A82" w:rsidP="008B4C50"/>
    <w:p w14:paraId="2EDEF3D5" w14:textId="77777777" w:rsidR="008A5B9F" w:rsidRPr="00F13073" w:rsidRDefault="008A5B9F" w:rsidP="008B4C50">
      <w:pPr>
        <w:pStyle w:val="a4"/>
        <w:widowControl/>
        <w:spacing w:after="0"/>
      </w:pPr>
      <w:r w:rsidRPr="00F13073">
        <w:rPr>
          <w:rStyle w:val="Char"/>
        </w:rPr>
        <w:t>RZS i GCA</w:t>
      </w:r>
    </w:p>
    <w:p w14:paraId="3A3D0EEB" w14:textId="77777777" w:rsidR="008A5B9F" w:rsidRPr="00F13073" w:rsidRDefault="008A5B9F" w:rsidP="008B4C50">
      <w:pPr>
        <w:pStyle w:val="a4"/>
        <w:widowControl/>
        <w:spacing w:after="0"/>
        <w:rPr>
          <w:rStyle w:val="Char"/>
        </w:rPr>
      </w:pPr>
      <w:r w:rsidRPr="00F13073">
        <w:rPr>
          <w:rStyle w:val="Char"/>
        </w:rPr>
        <w:t>Pominięta dawka</w:t>
      </w:r>
    </w:p>
    <w:p w14:paraId="53720D5C" w14:textId="4471A76E" w:rsidR="008A5B9F" w:rsidRPr="00F13073" w:rsidRDefault="008A5B9F" w:rsidP="008B4C50">
      <w:pPr>
        <w:pStyle w:val="a4"/>
        <w:widowControl/>
        <w:spacing w:after="0"/>
        <w:rPr>
          <w:rStyle w:val="Char"/>
        </w:rPr>
      </w:pPr>
      <w:r w:rsidRPr="00F13073">
        <w:rPr>
          <w:rStyle w:val="Char"/>
        </w:rPr>
        <w:t xml:space="preserve">Jeśli pacjent pominie dawkę produktu leczniczego </w:t>
      </w:r>
      <w:r w:rsidR="00026375" w:rsidRPr="00F13073">
        <w:rPr>
          <w:rStyle w:val="Char"/>
        </w:rPr>
        <w:t>Avtozma</w:t>
      </w:r>
      <w:r w:rsidRPr="00F13073">
        <w:rPr>
          <w:rStyle w:val="Char"/>
        </w:rPr>
        <w:t xml:space="preserve"> podawanego cotygodniowo podskórnie w ciągu 7 dni od zaplanowanego dnia podania dawki, należy go pouczyć o konieczności przyjęcia leku w kolejnym zaplanowanym dniu. Jeśli pacjent pominie dawkę produktu leczniczego </w:t>
      </w:r>
      <w:r w:rsidR="00026375" w:rsidRPr="00F13073">
        <w:rPr>
          <w:rStyle w:val="Char"/>
        </w:rPr>
        <w:t>Avtozma</w:t>
      </w:r>
      <w:r w:rsidRPr="00F13073">
        <w:rPr>
          <w:rStyle w:val="Char"/>
        </w:rPr>
        <w:t xml:space="preserve"> podawanego podskórnie co drugi tydzień w ciągu 7 dni od dnia zaplanowanej dawki, należy go pouczyć o konieczności natychmiastowego przyjęcia pominiętej dawki i przyjęcia kolejnej dawki leku w kolejnym planowanym dniu.</w:t>
      </w:r>
    </w:p>
    <w:p w14:paraId="597760E8" w14:textId="77777777" w:rsidR="008A5B9F" w:rsidRPr="00F13073" w:rsidRDefault="008A5B9F" w:rsidP="008B4C50">
      <w:pPr>
        <w:pStyle w:val="a4"/>
        <w:widowControl/>
        <w:spacing w:after="0"/>
      </w:pPr>
    </w:p>
    <w:p w14:paraId="53CD7FFE" w14:textId="77777777" w:rsidR="008A5B9F" w:rsidRPr="00F13073" w:rsidRDefault="008A5B9F" w:rsidP="008B4C50">
      <w:pPr>
        <w:pStyle w:val="a4"/>
        <w:widowControl/>
        <w:spacing w:after="0"/>
        <w:rPr>
          <w:rStyle w:val="Char"/>
        </w:rPr>
      </w:pPr>
      <w:r w:rsidRPr="00F13073">
        <w:rPr>
          <w:rStyle w:val="Char"/>
        </w:rPr>
        <w:t>Szczególne grupy pacjentów</w:t>
      </w:r>
    </w:p>
    <w:p w14:paraId="0DB419B4" w14:textId="77777777" w:rsidR="008A5B9F" w:rsidRPr="00F13073" w:rsidRDefault="008A5B9F" w:rsidP="008B4C50">
      <w:pPr>
        <w:pStyle w:val="a4"/>
        <w:widowControl/>
        <w:spacing w:after="0"/>
      </w:pPr>
    </w:p>
    <w:p w14:paraId="514ACD7B" w14:textId="77777777" w:rsidR="008A5B9F" w:rsidRPr="00F13073" w:rsidRDefault="008A5B9F" w:rsidP="008B4C50">
      <w:pPr>
        <w:pStyle w:val="a4"/>
        <w:widowControl/>
        <w:spacing w:after="0"/>
      </w:pPr>
      <w:r w:rsidRPr="00F13073">
        <w:rPr>
          <w:rStyle w:val="Char"/>
          <w:i/>
          <w:iCs/>
        </w:rPr>
        <w:t>U starszych pacjentów</w:t>
      </w:r>
    </w:p>
    <w:p w14:paraId="3DB9BF46" w14:textId="77777777" w:rsidR="008A5B9F" w:rsidRPr="00F13073" w:rsidRDefault="008A5B9F" w:rsidP="008B4C50">
      <w:pPr>
        <w:pStyle w:val="a4"/>
        <w:widowControl/>
        <w:spacing w:after="0"/>
        <w:rPr>
          <w:rStyle w:val="Char"/>
        </w:rPr>
      </w:pPr>
      <w:r w:rsidRPr="00F13073">
        <w:rPr>
          <w:rStyle w:val="Char"/>
        </w:rPr>
        <w:t>Nie jest wymagane dostosowanie dawki u starszych pacjentów w &gt; 65 lat.</w:t>
      </w:r>
    </w:p>
    <w:p w14:paraId="19EBC73C" w14:textId="77777777" w:rsidR="008A5B9F" w:rsidRPr="00F13073" w:rsidRDefault="008A5B9F" w:rsidP="008B4C50">
      <w:pPr>
        <w:pStyle w:val="a4"/>
        <w:widowControl/>
        <w:spacing w:after="0"/>
      </w:pPr>
    </w:p>
    <w:p w14:paraId="0547045E" w14:textId="77777777" w:rsidR="008A5B9F" w:rsidRPr="00F13073" w:rsidRDefault="008A5B9F" w:rsidP="008B4C50">
      <w:pPr>
        <w:pStyle w:val="a4"/>
        <w:widowControl/>
        <w:spacing w:after="0"/>
      </w:pPr>
      <w:r w:rsidRPr="00F13073">
        <w:rPr>
          <w:rStyle w:val="Char"/>
          <w:i/>
          <w:iCs/>
        </w:rPr>
        <w:t>Osoby z niewydolnością nerek</w:t>
      </w:r>
    </w:p>
    <w:p w14:paraId="107F4D23" w14:textId="5730EDC4" w:rsidR="008A5B9F" w:rsidRPr="00F13073" w:rsidRDefault="008A5B9F" w:rsidP="008B4C50">
      <w:pPr>
        <w:pStyle w:val="a4"/>
        <w:widowControl/>
        <w:spacing w:after="0"/>
        <w:rPr>
          <w:rStyle w:val="Char"/>
        </w:rPr>
      </w:pPr>
      <w:r w:rsidRPr="00F13073">
        <w:rPr>
          <w:rStyle w:val="Char"/>
        </w:rPr>
        <w:t xml:space="preserve">Nie jest wymagane dostosowanie dawki u pacjentów z łagodnym lub umiarkowanym zaburzeniem czynności nerek. Stosowanie produktu leczniczego </w:t>
      </w:r>
      <w:r w:rsidR="00026375" w:rsidRPr="00F13073">
        <w:rPr>
          <w:rStyle w:val="Char"/>
        </w:rPr>
        <w:t>Avtozma</w:t>
      </w:r>
      <w:r w:rsidRPr="00F13073">
        <w:rPr>
          <w:rStyle w:val="Char"/>
        </w:rPr>
        <w:t xml:space="preserve"> nie było badane u pacjentów z zaburzeniem czynności nerek o nasileniu ciężkim (patrz punkt 5.2). U tych pacjentów należy ściśle kontrolować czynność nerek.</w:t>
      </w:r>
    </w:p>
    <w:p w14:paraId="7EBEFA06" w14:textId="77777777" w:rsidR="008A5B9F" w:rsidRPr="00F13073" w:rsidRDefault="008A5B9F" w:rsidP="008B4C50">
      <w:pPr>
        <w:pStyle w:val="a4"/>
        <w:widowControl/>
        <w:spacing w:after="0"/>
      </w:pPr>
    </w:p>
    <w:p w14:paraId="7F8AAEDD" w14:textId="77777777" w:rsidR="008A5B9F" w:rsidRPr="00F13073" w:rsidRDefault="008A5B9F" w:rsidP="008B4C50">
      <w:pPr>
        <w:pStyle w:val="a4"/>
        <w:widowControl/>
        <w:spacing w:after="0"/>
      </w:pPr>
      <w:r w:rsidRPr="00F13073">
        <w:rPr>
          <w:rStyle w:val="Char"/>
          <w:i/>
          <w:iCs/>
        </w:rPr>
        <w:t>Osoby z niewydolnością wątroby</w:t>
      </w:r>
    </w:p>
    <w:p w14:paraId="066349B4" w14:textId="0B1E6AFF" w:rsidR="008A5B9F" w:rsidRPr="00F13073" w:rsidRDefault="008A5B9F"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nie został przebadany w grupie pacjentów z zaburzoną czynnością wątroby.</w:t>
      </w:r>
      <w:r w:rsidR="00C276C0" w:rsidRPr="00F13073">
        <w:rPr>
          <w:rStyle w:val="Char"/>
        </w:rPr>
        <w:t xml:space="preserve"> </w:t>
      </w:r>
      <w:r w:rsidRPr="00F13073">
        <w:rPr>
          <w:rStyle w:val="Char"/>
        </w:rPr>
        <w:t>Z tego względu podanie zaleceń dotyczących dawkowania jest niemożliwe.</w:t>
      </w:r>
    </w:p>
    <w:p w14:paraId="2A0F23C8" w14:textId="77777777" w:rsidR="008A5B9F" w:rsidRPr="00F13073" w:rsidRDefault="008A5B9F" w:rsidP="008B4C50">
      <w:pPr>
        <w:pStyle w:val="a4"/>
        <w:widowControl/>
        <w:spacing w:after="0"/>
      </w:pPr>
    </w:p>
    <w:p w14:paraId="21DC7BA3" w14:textId="77777777" w:rsidR="008A5B9F" w:rsidRPr="00F13073" w:rsidRDefault="008A5B9F" w:rsidP="008B4C50">
      <w:pPr>
        <w:pStyle w:val="a4"/>
        <w:widowControl/>
        <w:spacing w:after="0"/>
      </w:pPr>
      <w:r w:rsidRPr="00F13073">
        <w:rPr>
          <w:rStyle w:val="Char"/>
          <w:i/>
          <w:iCs/>
        </w:rPr>
        <w:t>Dzieci</w:t>
      </w:r>
    </w:p>
    <w:p w14:paraId="227FD6BC" w14:textId="28FB769B" w:rsidR="008A5B9F" w:rsidRPr="00F13073" w:rsidRDefault="008A5B9F" w:rsidP="008B4C50">
      <w:pPr>
        <w:pStyle w:val="a4"/>
        <w:widowControl/>
        <w:spacing w:after="0"/>
        <w:rPr>
          <w:rStyle w:val="Char"/>
        </w:rPr>
      </w:pPr>
      <w:r w:rsidRPr="00F13073">
        <w:rPr>
          <w:rStyle w:val="Char"/>
        </w:rPr>
        <w:t xml:space="preserve">Nie określono dotychczas bezpieczeństwa i skuteczności stosowania produktu leczniczego </w:t>
      </w:r>
      <w:r w:rsidR="00026375" w:rsidRPr="00F13073">
        <w:rPr>
          <w:rStyle w:val="Char"/>
        </w:rPr>
        <w:t>Avtozma</w:t>
      </w:r>
      <w:r w:rsidRPr="00F13073">
        <w:rPr>
          <w:rStyle w:val="Char"/>
        </w:rPr>
        <w:t xml:space="preserve"> w postaci podawanej podskórnie u dzieci od momentu narodzin do mniej niż 1 roku. Brak dostępnych danych.</w:t>
      </w:r>
    </w:p>
    <w:p w14:paraId="1D5DBED2" w14:textId="77777777" w:rsidR="008A5B9F" w:rsidRPr="00F13073" w:rsidRDefault="008A5B9F" w:rsidP="008B4C50">
      <w:pPr>
        <w:pStyle w:val="a4"/>
        <w:widowControl/>
        <w:spacing w:after="0"/>
      </w:pPr>
    </w:p>
    <w:p w14:paraId="306E2D92" w14:textId="5201D41A" w:rsidR="008A5B9F" w:rsidRPr="00F13073" w:rsidRDefault="008A5B9F" w:rsidP="008B4C50">
      <w:pPr>
        <w:pStyle w:val="a4"/>
        <w:widowControl/>
        <w:spacing w:after="0"/>
        <w:rPr>
          <w:rStyle w:val="Char"/>
        </w:rPr>
      </w:pPr>
      <w:r w:rsidRPr="00F13073">
        <w:rPr>
          <w:rStyle w:val="Char"/>
        </w:rPr>
        <w:lastRenderedPageBreak/>
        <w:t>Dawka może być zmieniana wyłącznie w oparciu o zmieniającą się w miarę upływu czasu masę ciała pacjenta.</w:t>
      </w:r>
      <w:r w:rsidR="00C276C0" w:rsidRPr="00F13073">
        <w:rPr>
          <w:rStyle w:val="Char"/>
        </w:rPr>
        <w:t xml:space="preserve"> </w:t>
      </w:r>
      <w:r w:rsidRPr="00F13073">
        <w:rPr>
          <w:rStyle w:val="Char"/>
        </w:rPr>
        <w:t xml:space="preserve">Produkt leczniczy </w:t>
      </w:r>
      <w:r w:rsidR="00026375" w:rsidRPr="00F13073">
        <w:rPr>
          <w:rStyle w:val="Char"/>
        </w:rPr>
        <w:t>Avtozma</w:t>
      </w:r>
      <w:r w:rsidRPr="00F13073">
        <w:rPr>
          <w:rStyle w:val="Char"/>
        </w:rPr>
        <w:t xml:space="preserve"> może być stosowany w monoterapii lub w skojarzeniu z MTX.</w:t>
      </w:r>
    </w:p>
    <w:p w14:paraId="0DD7051F" w14:textId="77777777" w:rsidR="008A5B9F" w:rsidRPr="00F13073" w:rsidRDefault="008A5B9F" w:rsidP="008B4C50">
      <w:pPr>
        <w:pStyle w:val="a4"/>
        <w:widowControl/>
        <w:spacing w:after="0"/>
      </w:pPr>
    </w:p>
    <w:p w14:paraId="0CEC29E4" w14:textId="77777777" w:rsidR="008A5B9F" w:rsidRPr="00F13073" w:rsidRDefault="008A5B9F" w:rsidP="008B4C50">
      <w:pPr>
        <w:pStyle w:val="a4"/>
        <w:widowControl/>
        <w:spacing w:after="0"/>
      </w:pPr>
      <w:r w:rsidRPr="00F13073">
        <w:rPr>
          <w:rStyle w:val="Char"/>
          <w:i/>
          <w:iCs/>
        </w:rPr>
        <w:t>Chorzy na uMIZS</w:t>
      </w:r>
    </w:p>
    <w:p w14:paraId="5B0FC912" w14:textId="77777777" w:rsidR="008A5B9F" w:rsidRPr="00F13073" w:rsidRDefault="008A5B9F" w:rsidP="008B4C50">
      <w:pPr>
        <w:pStyle w:val="a4"/>
        <w:widowControl/>
        <w:spacing w:after="0"/>
        <w:rPr>
          <w:rStyle w:val="Char"/>
        </w:rPr>
      </w:pPr>
      <w:r w:rsidRPr="00F13073">
        <w:rPr>
          <w:rStyle w:val="Char"/>
        </w:rPr>
        <w:t>Zalecana dawka u pacjentów w wieku powyżej 12 roku życia wynosi 162 mg podawana podskórnie raz na tydzień u pacjentów o masie ciała większej lub równej 30 kg, lub 162 mg podawana podskórnie raz na 2 tygodnie u pacjentów o masie ciała poniżej 30 kg.</w:t>
      </w:r>
    </w:p>
    <w:p w14:paraId="07A1AF0E" w14:textId="77777777" w:rsidR="008A5B9F" w:rsidRPr="00F13073" w:rsidRDefault="008A5B9F" w:rsidP="008B4C50">
      <w:pPr>
        <w:pStyle w:val="a4"/>
        <w:widowControl/>
        <w:spacing w:after="0"/>
      </w:pPr>
    </w:p>
    <w:p w14:paraId="60C554B2" w14:textId="77777777" w:rsidR="008A5B9F" w:rsidRPr="00F13073" w:rsidRDefault="008A5B9F" w:rsidP="008B4C50">
      <w:pPr>
        <w:pStyle w:val="a4"/>
        <w:widowControl/>
        <w:spacing w:after="0"/>
        <w:rPr>
          <w:rStyle w:val="Char"/>
        </w:rPr>
      </w:pPr>
      <w:r w:rsidRPr="00F13073">
        <w:rPr>
          <w:rStyle w:val="Char"/>
        </w:rPr>
        <w:t>U dzieci w wieku &lt; 12 lat produktu nie należy podawać przy użyciu wstrzykiwacza półautomatycznego napełnionego.</w:t>
      </w:r>
    </w:p>
    <w:p w14:paraId="0D4F1BBD" w14:textId="77777777" w:rsidR="008A5B9F" w:rsidRPr="00F13073" w:rsidRDefault="008A5B9F" w:rsidP="008B4C50">
      <w:pPr>
        <w:pStyle w:val="a4"/>
        <w:widowControl/>
        <w:spacing w:after="0"/>
      </w:pPr>
    </w:p>
    <w:p w14:paraId="2EE7EACB" w14:textId="2B32C156" w:rsidR="008A5B9F" w:rsidRPr="00F13073" w:rsidRDefault="008A5B9F" w:rsidP="008B4C50">
      <w:pPr>
        <w:pStyle w:val="a4"/>
        <w:widowControl/>
        <w:spacing w:after="0"/>
        <w:rPr>
          <w:rStyle w:val="Char"/>
        </w:rPr>
      </w:pPr>
      <w:r w:rsidRPr="00F13073">
        <w:rPr>
          <w:rStyle w:val="Char"/>
        </w:rPr>
        <w:t xml:space="preserve">Masa ciała pacjentów musi wynosić minimum 10 kg w chwili otrzymania produktu leczniczego </w:t>
      </w:r>
      <w:r w:rsidR="00026375" w:rsidRPr="00F13073">
        <w:rPr>
          <w:rStyle w:val="Char"/>
        </w:rPr>
        <w:t>Avtozma</w:t>
      </w:r>
      <w:r w:rsidRPr="00F13073">
        <w:rPr>
          <w:rStyle w:val="Char"/>
        </w:rPr>
        <w:t xml:space="preserve"> w postaci podawanej podskórnie.</w:t>
      </w:r>
    </w:p>
    <w:p w14:paraId="12272C04" w14:textId="77777777" w:rsidR="008A5B9F" w:rsidRPr="00F13073" w:rsidRDefault="008A5B9F" w:rsidP="008B4C50">
      <w:pPr>
        <w:pStyle w:val="a4"/>
        <w:widowControl/>
        <w:spacing w:after="0"/>
      </w:pPr>
    </w:p>
    <w:p w14:paraId="03D046C3" w14:textId="77777777" w:rsidR="008A5B9F" w:rsidRPr="00F13073" w:rsidRDefault="008A5B9F" w:rsidP="008B4C50">
      <w:pPr>
        <w:pStyle w:val="a4"/>
        <w:widowControl/>
        <w:spacing w:after="0"/>
      </w:pPr>
      <w:r w:rsidRPr="00F13073">
        <w:rPr>
          <w:rStyle w:val="Char"/>
          <w:i/>
          <w:iCs/>
        </w:rPr>
        <w:t>Chorzy na wMIZS</w:t>
      </w:r>
    </w:p>
    <w:p w14:paraId="683747E2" w14:textId="77777777" w:rsidR="008A5B9F" w:rsidRPr="00F13073" w:rsidRDefault="008A5B9F" w:rsidP="008B4C50">
      <w:pPr>
        <w:pStyle w:val="a4"/>
        <w:widowControl/>
        <w:spacing w:after="0"/>
        <w:rPr>
          <w:rStyle w:val="Char"/>
        </w:rPr>
      </w:pPr>
      <w:r w:rsidRPr="00F13073">
        <w:rPr>
          <w:rStyle w:val="Char"/>
        </w:rPr>
        <w:t>Zalecana dawka u pacjentów w wieku powyżej 12 roku życia wynosi 162 mg podawana podskórnie raz na 2 tygodnie u pacjentów o masie ciała większej lub równej 30 kg lub 162 mg podawana podskórnie raz na 3 tygodnie u pacjentów o masie ciała poniżej 30 kg.</w:t>
      </w:r>
    </w:p>
    <w:p w14:paraId="2BCD86EA" w14:textId="77777777" w:rsidR="008A5B9F" w:rsidRPr="00F13073" w:rsidRDefault="008A5B9F" w:rsidP="008B4C50">
      <w:pPr>
        <w:pStyle w:val="a4"/>
        <w:widowControl/>
        <w:spacing w:after="0"/>
      </w:pPr>
    </w:p>
    <w:p w14:paraId="06BD825F" w14:textId="77777777" w:rsidR="008A5B9F" w:rsidRPr="00F13073" w:rsidRDefault="008A5B9F" w:rsidP="008B4C50">
      <w:pPr>
        <w:pStyle w:val="a4"/>
        <w:widowControl/>
        <w:spacing w:after="0"/>
        <w:rPr>
          <w:rStyle w:val="Char"/>
        </w:rPr>
      </w:pPr>
      <w:r w:rsidRPr="00F13073">
        <w:rPr>
          <w:rStyle w:val="Char"/>
        </w:rPr>
        <w:t>U dzieci w wieku &lt; 12 lat produktu nie należy podawać przy użyciu wstrzykiwacza półautomatycznego napełnionego.</w:t>
      </w:r>
    </w:p>
    <w:p w14:paraId="2F3F354E" w14:textId="77777777" w:rsidR="008A5B9F" w:rsidRPr="00F13073" w:rsidRDefault="008A5B9F" w:rsidP="008B4C50">
      <w:pPr>
        <w:pStyle w:val="a4"/>
        <w:widowControl/>
        <w:spacing w:after="0"/>
      </w:pPr>
    </w:p>
    <w:p w14:paraId="26ECAD0E" w14:textId="77777777" w:rsidR="008A5B9F" w:rsidRPr="00F13073" w:rsidRDefault="008A5B9F" w:rsidP="008B4C50">
      <w:pPr>
        <w:pStyle w:val="a4"/>
        <w:widowControl/>
        <w:spacing w:after="0"/>
        <w:rPr>
          <w:rStyle w:val="Char"/>
        </w:rPr>
      </w:pPr>
      <w:r w:rsidRPr="00F13073">
        <w:rPr>
          <w:rStyle w:val="Char"/>
        </w:rPr>
        <w:t>Dostosowanie dawki z powodu nieprawidłowości wyników badań laboratoryjnych (uMIZS i wMIZS)</w:t>
      </w:r>
    </w:p>
    <w:p w14:paraId="60B7C302" w14:textId="77777777" w:rsidR="008A5B9F" w:rsidRPr="00F13073" w:rsidRDefault="008A5B9F" w:rsidP="008B4C50">
      <w:pPr>
        <w:pStyle w:val="a4"/>
        <w:widowControl/>
        <w:spacing w:after="0"/>
      </w:pPr>
    </w:p>
    <w:p w14:paraId="04C1042A" w14:textId="77777777" w:rsidR="008A5B9F" w:rsidRPr="00F13073" w:rsidRDefault="008A5B9F" w:rsidP="008B4C50">
      <w:pPr>
        <w:pStyle w:val="a4"/>
        <w:widowControl/>
        <w:spacing w:after="0"/>
        <w:rPr>
          <w:rStyle w:val="Char"/>
        </w:rPr>
      </w:pPr>
      <w:r w:rsidRPr="00F13073">
        <w:rPr>
          <w:rStyle w:val="Char"/>
        </w:rPr>
        <w:t>Gdy jest to właściwe, dawka przyjmowanego równolegle MTX i (lub) innych leków powinna zostać zmodyfikowana lub należy zaprzestać ich podawania oraz przerwać podawanie tocilizumabu do czasu uzyskania oceny sytuacji klinicznej. Ponieważ wiele współistniejących chorób może wpływać na wyniki badań laboratoryjnych u pacjentów z uMIZS lub wMIZS, decyzja o przerwaniu podawania tocilizumabu w związku z nieprawidłowymi wynikami badań laboratoryjnych powinna opierać się na ocenie lekarskiej danego pacjenta.</w:t>
      </w:r>
    </w:p>
    <w:p w14:paraId="7BC969F7" w14:textId="77777777" w:rsidR="008A5B9F" w:rsidRPr="00F13073" w:rsidRDefault="008A5B9F" w:rsidP="008B4C50">
      <w:pPr>
        <w:pStyle w:val="a4"/>
        <w:widowControl/>
        <w:spacing w:after="0"/>
      </w:pPr>
    </w:p>
    <w:p w14:paraId="78F31719" w14:textId="77777777" w:rsidR="001E0975" w:rsidRPr="00F13073" w:rsidRDefault="008A5B9F" w:rsidP="008B4C50">
      <w:pPr>
        <w:pStyle w:val="a0"/>
        <w:keepNext/>
        <w:numPr>
          <w:ilvl w:val="0"/>
          <w:numId w:val="6"/>
        </w:numPr>
        <w:ind w:left="567" w:hanging="567"/>
        <w:contextualSpacing w:val="0"/>
      </w:pPr>
      <w:r w:rsidRPr="00F13073">
        <w:rPr>
          <w:rStyle w:val="Tablecaption"/>
          <w:rFonts w:eastAsia="DengXian"/>
        </w:rPr>
        <w:t>Nieprawidłowe wyniki badań laboratoryjnych dotyczących enzymów wątrobowych</w:t>
      </w:r>
    </w:p>
    <w:p w14:paraId="20CA095A" w14:textId="77777777" w:rsidR="00B90A82" w:rsidRPr="00F13073" w:rsidRDefault="00B90A82" w:rsidP="008B4C50">
      <w:pPr>
        <w:keepNext/>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1987"/>
        <w:gridCol w:w="7085"/>
      </w:tblGrid>
      <w:tr w:rsidR="008A5B9F" w:rsidRPr="00F13073" w14:paraId="79BB6317" w14:textId="77777777" w:rsidTr="002133F3">
        <w:trPr>
          <w:cantSplit/>
          <w:tblHeader/>
        </w:trPr>
        <w:tc>
          <w:tcPr>
            <w:tcW w:w="1987" w:type="dxa"/>
            <w:tcBorders>
              <w:top w:val="single" w:sz="4" w:space="0" w:color="auto"/>
              <w:left w:val="single" w:sz="4" w:space="0" w:color="auto"/>
            </w:tcBorders>
          </w:tcPr>
          <w:p w14:paraId="01D59180" w14:textId="77777777" w:rsidR="008A5B9F" w:rsidRPr="00F13073" w:rsidRDefault="008A5B9F" w:rsidP="003C1193">
            <w:pPr>
              <w:keepNext/>
              <w:suppressAutoHyphens/>
              <w:jc w:val="center"/>
            </w:pPr>
            <w:r w:rsidRPr="00F13073">
              <w:rPr>
                <w:rStyle w:val="Other"/>
                <w:rFonts w:eastAsia="DengXian"/>
              </w:rPr>
              <w:t>Wartość laboratoryjna</w:t>
            </w:r>
          </w:p>
        </w:tc>
        <w:tc>
          <w:tcPr>
            <w:tcW w:w="7085" w:type="dxa"/>
            <w:tcBorders>
              <w:top w:val="single" w:sz="4" w:space="0" w:color="auto"/>
              <w:left w:val="single" w:sz="4" w:space="0" w:color="auto"/>
              <w:right w:val="single" w:sz="4" w:space="0" w:color="auto"/>
            </w:tcBorders>
          </w:tcPr>
          <w:p w14:paraId="793B79C5" w14:textId="77777777" w:rsidR="008A5B9F" w:rsidRPr="00F13073" w:rsidRDefault="008A5B9F" w:rsidP="003C1193">
            <w:pPr>
              <w:keepNext/>
              <w:suppressAutoHyphens/>
              <w:jc w:val="center"/>
            </w:pPr>
            <w:r w:rsidRPr="00F13073">
              <w:rPr>
                <w:rStyle w:val="Other"/>
                <w:rFonts w:eastAsia="DengXian"/>
              </w:rPr>
              <w:t>Zalecane postępowanie</w:t>
            </w:r>
          </w:p>
        </w:tc>
      </w:tr>
      <w:tr w:rsidR="001E0975" w:rsidRPr="00F13073" w14:paraId="4CEF496F" w14:textId="77777777" w:rsidTr="002133F3">
        <w:trPr>
          <w:cantSplit/>
          <w:tblHeader/>
        </w:trPr>
        <w:tc>
          <w:tcPr>
            <w:tcW w:w="1987" w:type="dxa"/>
            <w:tcBorders>
              <w:top w:val="single" w:sz="4" w:space="0" w:color="auto"/>
              <w:left w:val="single" w:sz="4" w:space="0" w:color="auto"/>
            </w:tcBorders>
          </w:tcPr>
          <w:p w14:paraId="24D5691C" w14:textId="77777777" w:rsidR="001E0975" w:rsidRPr="00F13073" w:rsidRDefault="00611033" w:rsidP="008B4C50">
            <w:pPr>
              <w:suppressAutoHyphens/>
            </w:pPr>
            <w:r w:rsidRPr="00F13073">
              <w:t xml:space="preserve">&gt; 1 </w:t>
            </w:r>
            <w:r w:rsidR="008A5B9F" w:rsidRPr="00F13073">
              <w:t>d</w:t>
            </w:r>
            <w:r w:rsidRPr="00F13073">
              <w:t xml:space="preserve">o 3 x </w:t>
            </w:r>
            <w:r w:rsidR="00CC71A3" w:rsidRPr="00F13073">
              <w:rPr>
                <w:rStyle w:val="Other"/>
                <w:rFonts w:eastAsia="DengXian"/>
              </w:rPr>
              <w:t>GGN</w:t>
            </w:r>
          </w:p>
        </w:tc>
        <w:tc>
          <w:tcPr>
            <w:tcW w:w="7085" w:type="dxa"/>
            <w:tcBorders>
              <w:top w:val="single" w:sz="4" w:space="0" w:color="auto"/>
              <w:left w:val="single" w:sz="4" w:space="0" w:color="auto"/>
              <w:right w:val="single" w:sz="4" w:space="0" w:color="auto"/>
            </w:tcBorders>
          </w:tcPr>
          <w:p w14:paraId="2A2E2579" w14:textId="77777777" w:rsidR="008A5B9F" w:rsidRPr="00F13073" w:rsidRDefault="008A5B9F" w:rsidP="008B4C50">
            <w:pPr>
              <w:pStyle w:val="Other0"/>
              <w:widowControl/>
              <w:spacing w:after="0"/>
              <w:rPr>
                <w:rStyle w:val="Other"/>
              </w:rPr>
            </w:pPr>
            <w:r w:rsidRPr="00F13073">
              <w:rPr>
                <w:rStyle w:val="Other"/>
              </w:rPr>
              <w:t>Należy zmodyfikować dawkę podawanego równolegle MTX w przypadkach, gdy jest to właściwe.</w:t>
            </w:r>
          </w:p>
          <w:p w14:paraId="476065AE" w14:textId="77777777" w:rsidR="008A5B9F" w:rsidRPr="00F13073" w:rsidRDefault="008A5B9F" w:rsidP="008B4C50">
            <w:pPr>
              <w:pStyle w:val="Other0"/>
              <w:widowControl/>
              <w:spacing w:after="0"/>
            </w:pPr>
          </w:p>
          <w:p w14:paraId="58298C11" w14:textId="552FDC8E" w:rsidR="001E0975" w:rsidRPr="00F13073" w:rsidRDefault="008A5B9F" w:rsidP="008B4C50">
            <w:pPr>
              <w:suppressAutoHyphens/>
            </w:pPr>
            <w:r w:rsidRPr="00F13073">
              <w:rPr>
                <w:rStyle w:val="Other"/>
                <w:rFonts w:eastAsia="DengXian"/>
              </w:rPr>
              <w:t xml:space="preserve">W przypadku utrzymywania się zwiększonych wartości w tym zakresie należy przerwać podawanie produktu leczniczego </w:t>
            </w:r>
            <w:r w:rsidR="00026375" w:rsidRPr="00F13073">
              <w:rPr>
                <w:rStyle w:val="Other"/>
                <w:rFonts w:eastAsia="DengXian"/>
              </w:rPr>
              <w:t>Avtozma</w:t>
            </w:r>
            <w:r w:rsidRPr="00F13073">
              <w:rPr>
                <w:rStyle w:val="Other"/>
                <w:rFonts w:eastAsia="DengXian"/>
              </w:rPr>
              <w:t xml:space="preserve"> do czasu powrotu do prawidłowych wartości aktywności AlAT/AspAT.</w:t>
            </w:r>
          </w:p>
        </w:tc>
      </w:tr>
      <w:tr w:rsidR="008A5B9F" w:rsidRPr="00F13073" w14:paraId="2D9AE272" w14:textId="77777777" w:rsidTr="002133F3">
        <w:trPr>
          <w:cantSplit/>
          <w:tblHeader/>
        </w:trPr>
        <w:tc>
          <w:tcPr>
            <w:tcW w:w="1987" w:type="dxa"/>
            <w:tcBorders>
              <w:top w:val="single" w:sz="4" w:space="0" w:color="auto"/>
              <w:left w:val="single" w:sz="4" w:space="0" w:color="auto"/>
            </w:tcBorders>
          </w:tcPr>
          <w:p w14:paraId="12E0F853" w14:textId="77777777" w:rsidR="008A5B9F" w:rsidRPr="00F13073" w:rsidRDefault="008A5B9F" w:rsidP="008B4C50">
            <w:pPr>
              <w:suppressAutoHyphens/>
            </w:pPr>
            <w:r w:rsidRPr="00F13073">
              <w:t xml:space="preserve">&gt; </w:t>
            </w:r>
            <w:r w:rsidRPr="00F13073">
              <w:rPr>
                <w:rStyle w:val="Other"/>
                <w:rFonts w:eastAsia="DengXian"/>
              </w:rPr>
              <w:t>3 do 5 x GGN</w:t>
            </w:r>
          </w:p>
        </w:tc>
        <w:tc>
          <w:tcPr>
            <w:tcW w:w="7085" w:type="dxa"/>
            <w:tcBorders>
              <w:top w:val="single" w:sz="4" w:space="0" w:color="auto"/>
              <w:left w:val="single" w:sz="4" w:space="0" w:color="auto"/>
              <w:right w:val="single" w:sz="4" w:space="0" w:color="auto"/>
            </w:tcBorders>
          </w:tcPr>
          <w:p w14:paraId="5BA34930" w14:textId="77777777" w:rsidR="008A5B9F" w:rsidRPr="00F13073" w:rsidRDefault="008A5B9F" w:rsidP="008B4C50">
            <w:pPr>
              <w:pStyle w:val="Other0"/>
              <w:widowControl/>
              <w:spacing w:after="0"/>
              <w:rPr>
                <w:rStyle w:val="Other"/>
              </w:rPr>
            </w:pPr>
            <w:r w:rsidRPr="00F13073">
              <w:rPr>
                <w:rStyle w:val="Other"/>
              </w:rPr>
              <w:t>Należy zmodyfikować dawkę podawanego równolegle MTX w przypadkach, gdy jest to właściwe.</w:t>
            </w:r>
          </w:p>
          <w:p w14:paraId="223BA9C1" w14:textId="77777777" w:rsidR="008A5B9F" w:rsidRPr="00F13073" w:rsidRDefault="008A5B9F" w:rsidP="008B4C50">
            <w:pPr>
              <w:pStyle w:val="Other0"/>
              <w:widowControl/>
              <w:spacing w:after="0"/>
            </w:pPr>
          </w:p>
          <w:p w14:paraId="65EC197E" w14:textId="282D0509" w:rsidR="008A5B9F" w:rsidRPr="00F13073" w:rsidRDefault="008A5B9F" w:rsidP="008B4C50">
            <w:pPr>
              <w:suppressAutoHyphens/>
            </w:pPr>
            <w:r w:rsidRPr="00F13073">
              <w:rPr>
                <w:rStyle w:val="Other"/>
                <w:rFonts w:eastAsia="DengXian"/>
              </w:rPr>
              <w:t xml:space="preserve">Przejściowo przerwać podawanie produktu leczniczego </w:t>
            </w:r>
            <w:r w:rsidR="00026375" w:rsidRPr="00F13073">
              <w:rPr>
                <w:rStyle w:val="Other"/>
                <w:rFonts w:eastAsia="DengXian"/>
              </w:rPr>
              <w:t>Avtozma</w:t>
            </w:r>
            <w:r w:rsidRPr="00F13073">
              <w:rPr>
                <w:rStyle w:val="Other"/>
                <w:rFonts w:eastAsia="DengXian"/>
              </w:rPr>
              <w:t xml:space="preserve"> do czasu, gdy wartości osiągną poziom &lt; 3 x GGN i postępować zgodnie z zaleceniami podanymi powyżej dla wartości &gt; 1 do 3 x GGN.</w:t>
            </w:r>
          </w:p>
        </w:tc>
      </w:tr>
      <w:tr w:rsidR="008A5B9F" w:rsidRPr="00F13073" w14:paraId="3DAA9616" w14:textId="77777777" w:rsidTr="002133F3">
        <w:trPr>
          <w:cantSplit/>
          <w:tblHeader/>
        </w:trPr>
        <w:tc>
          <w:tcPr>
            <w:tcW w:w="1987" w:type="dxa"/>
            <w:tcBorders>
              <w:top w:val="single" w:sz="4" w:space="0" w:color="auto"/>
              <w:left w:val="single" w:sz="4" w:space="0" w:color="auto"/>
              <w:bottom w:val="single" w:sz="4" w:space="0" w:color="auto"/>
            </w:tcBorders>
          </w:tcPr>
          <w:p w14:paraId="29EE09EE" w14:textId="77777777" w:rsidR="008A5B9F" w:rsidRPr="00F13073" w:rsidRDefault="008A5B9F" w:rsidP="008B4C50">
            <w:pPr>
              <w:suppressAutoHyphens/>
            </w:pPr>
            <w:r w:rsidRPr="00F13073">
              <w:t xml:space="preserve">&gt; 5x </w:t>
            </w:r>
            <w:r w:rsidR="00CC71A3" w:rsidRPr="00F13073">
              <w:rPr>
                <w:rStyle w:val="Other"/>
                <w:rFonts w:eastAsia="DengXian"/>
              </w:rPr>
              <w:t>GGN</w:t>
            </w:r>
          </w:p>
        </w:tc>
        <w:tc>
          <w:tcPr>
            <w:tcW w:w="7085" w:type="dxa"/>
            <w:tcBorders>
              <w:top w:val="single" w:sz="4" w:space="0" w:color="auto"/>
              <w:left w:val="single" w:sz="4" w:space="0" w:color="auto"/>
              <w:bottom w:val="single" w:sz="4" w:space="0" w:color="auto"/>
              <w:right w:val="single" w:sz="4" w:space="0" w:color="auto"/>
            </w:tcBorders>
          </w:tcPr>
          <w:p w14:paraId="2BFFB31F" w14:textId="6226EEC1" w:rsidR="008A5B9F" w:rsidRPr="00F13073" w:rsidRDefault="008A5B9F" w:rsidP="008B4C50">
            <w:pPr>
              <w:pStyle w:val="Other0"/>
              <w:widowControl/>
              <w:spacing w:after="0"/>
              <w:rPr>
                <w:rStyle w:val="Other"/>
              </w:rPr>
            </w:pPr>
            <w:r w:rsidRPr="00F13073">
              <w:rPr>
                <w:rStyle w:val="Other"/>
              </w:rPr>
              <w:t xml:space="preserve">Przerwać podawanie produktu leczniczego </w:t>
            </w:r>
            <w:r w:rsidR="00026375" w:rsidRPr="00F13073">
              <w:rPr>
                <w:rStyle w:val="Other"/>
              </w:rPr>
              <w:t>Avtozma</w:t>
            </w:r>
            <w:r w:rsidRPr="00F13073">
              <w:rPr>
                <w:rStyle w:val="Other"/>
              </w:rPr>
              <w:t>.</w:t>
            </w:r>
          </w:p>
          <w:p w14:paraId="0B8786EE" w14:textId="77777777" w:rsidR="008A5B9F" w:rsidRPr="00F13073" w:rsidRDefault="008A5B9F" w:rsidP="008B4C50">
            <w:pPr>
              <w:pStyle w:val="Other0"/>
              <w:widowControl/>
              <w:spacing w:after="0"/>
            </w:pPr>
          </w:p>
          <w:p w14:paraId="695003B1" w14:textId="0AA23CB5" w:rsidR="008A5B9F" w:rsidRPr="00F13073" w:rsidRDefault="008A5B9F" w:rsidP="008B4C50">
            <w:pPr>
              <w:suppressAutoHyphens/>
            </w:pPr>
            <w:r w:rsidRPr="00F13073">
              <w:rPr>
                <w:rStyle w:val="Other"/>
                <w:rFonts w:eastAsia="DengXian"/>
              </w:rPr>
              <w:t xml:space="preserve">Decyzja o przerwaniu podawania produktu leczniczego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badaniu lekarskim danego pacjenta.</w:t>
            </w:r>
          </w:p>
        </w:tc>
      </w:tr>
    </w:tbl>
    <w:p w14:paraId="544C9C56" w14:textId="77777777" w:rsidR="001E0975" w:rsidRPr="00F13073" w:rsidRDefault="001E0975" w:rsidP="008B4C50"/>
    <w:p w14:paraId="1A1680FC" w14:textId="77777777" w:rsidR="001E0975" w:rsidRPr="00F13073" w:rsidRDefault="00B53DC2" w:rsidP="008B4C50">
      <w:pPr>
        <w:pStyle w:val="a0"/>
        <w:keepNext/>
        <w:numPr>
          <w:ilvl w:val="0"/>
          <w:numId w:val="6"/>
        </w:numPr>
        <w:ind w:left="567" w:hanging="567"/>
        <w:contextualSpacing w:val="0"/>
      </w:pPr>
      <w:r w:rsidRPr="00F13073">
        <w:lastRenderedPageBreak/>
        <w:t>Mała bezwzględna liczba granulocytów obojętnochłonnych (ang. ANC)</w:t>
      </w:r>
    </w:p>
    <w:p w14:paraId="6C5F130B" w14:textId="77777777" w:rsidR="00B90A82" w:rsidRPr="00F13073" w:rsidRDefault="00B90A82" w:rsidP="008B4C50">
      <w:pPr>
        <w:keepNext/>
      </w:pPr>
    </w:p>
    <w:tbl>
      <w:tblPr>
        <w:tblOverlap w:val="never"/>
        <w:tblW w:w="9067" w:type="dxa"/>
        <w:tblInd w:w="108" w:type="dxa"/>
        <w:tblLayout w:type="fixed"/>
        <w:tblCellMar>
          <w:top w:w="28" w:type="dxa"/>
          <w:bottom w:w="28" w:type="dxa"/>
        </w:tblCellMar>
        <w:tblLook w:val="04A0" w:firstRow="1" w:lastRow="0" w:firstColumn="1" w:lastColumn="0" w:noHBand="0" w:noVBand="1"/>
      </w:tblPr>
      <w:tblGrid>
        <w:gridCol w:w="1987"/>
        <w:gridCol w:w="7080"/>
      </w:tblGrid>
      <w:tr w:rsidR="00B53DC2" w:rsidRPr="00F13073" w14:paraId="5873EA8D" w14:textId="77777777" w:rsidTr="002133F3">
        <w:trPr>
          <w:cantSplit/>
          <w:tblHeader/>
        </w:trPr>
        <w:tc>
          <w:tcPr>
            <w:tcW w:w="1987" w:type="dxa"/>
            <w:tcBorders>
              <w:top w:val="single" w:sz="4" w:space="0" w:color="auto"/>
              <w:left w:val="single" w:sz="4" w:space="0" w:color="auto"/>
            </w:tcBorders>
          </w:tcPr>
          <w:p w14:paraId="166A827D" w14:textId="77777777" w:rsidR="00B53DC2" w:rsidRPr="00F13073" w:rsidRDefault="00B53DC2" w:rsidP="003C1193">
            <w:pPr>
              <w:keepNext/>
              <w:suppressAutoHyphens/>
              <w:jc w:val="center"/>
            </w:pPr>
            <w:r w:rsidRPr="00F13073">
              <w:rPr>
                <w:rStyle w:val="Other"/>
                <w:rFonts w:eastAsia="DengXian"/>
              </w:rPr>
              <w:t>Wartość laboratoryjna (liczba komórek x 10</w:t>
            </w:r>
            <w:r w:rsidRPr="00F13073">
              <w:rPr>
                <w:rStyle w:val="Other"/>
                <w:rFonts w:eastAsia="DengXian"/>
                <w:vertAlign w:val="superscript"/>
              </w:rPr>
              <w:t>9</w:t>
            </w:r>
            <w:r w:rsidRPr="00F13073">
              <w:rPr>
                <w:rStyle w:val="Other"/>
                <w:rFonts w:eastAsia="DengXian"/>
              </w:rPr>
              <w:t>/l)</w:t>
            </w:r>
          </w:p>
        </w:tc>
        <w:tc>
          <w:tcPr>
            <w:tcW w:w="7080" w:type="dxa"/>
            <w:tcBorders>
              <w:top w:val="single" w:sz="4" w:space="0" w:color="auto"/>
              <w:left w:val="single" w:sz="4" w:space="0" w:color="auto"/>
              <w:right w:val="single" w:sz="4" w:space="0" w:color="auto"/>
            </w:tcBorders>
          </w:tcPr>
          <w:p w14:paraId="0F1CA1B2" w14:textId="77777777" w:rsidR="00B53DC2" w:rsidRPr="00F13073" w:rsidRDefault="00B53DC2" w:rsidP="003C1193">
            <w:pPr>
              <w:keepNext/>
              <w:suppressAutoHyphens/>
              <w:jc w:val="center"/>
            </w:pPr>
            <w:r w:rsidRPr="00F13073">
              <w:rPr>
                <w:rStyle w:val="Other"/>
                <w:rFonts w:eastAsia="DengXian"/>
              </w:rPr>
              <w:t>Zalecane postępowanie</w:t>
            </w:r>
          </w:p>
        </w:tc>
      </w:tr>
      <w:tr w:rsidR="00B53DC2" w:rsidRPr="00F13073" w14:paraId="583CC199" w14:textId="77777777" w:rsidTr="002133F3">
        <w:trPr>
          <w:cantSplit/>
          <w:tblHeader/>
        </w:trPr>
        <w:tc>
          <w:tcPr>
            <w:tcW w:w="1987" w:type="dxa"/>
            <w:tcBorders>
              <w:top w:val="single" w:sz="4" w:space="0" w:color="auto"/>
              <w:left w:val="single" w:sz="4" w:space="0" w:color="auto"/>
              <w:bottom w:val="single" w:sz="4" w:space="0" w:color="auto"/>
            </w:tcBorders>
          </w:tcPr>
          <w:p w14:paraId="71FA0899" w14:textId="77777777" w:rsidR="00B53DC2" w:rsidRPr="00F13073" w:rsidRDefault="00B53DC2" w:rsidP="008B4C50">
            <w:pPr>
              <w:suppressAutoHyphens/>
            </w:pPr>
            <w:r w:rsidRPr="00F13073">
              <w:t>ANC &gt; 1</w:t>
            </w:r>
          </w:p>
        </w:tc>
        <w:tc>
          <w:tcPr>
            <w:tcW w:w="7080" w:type="dxa"/>
            <w:tcBorders>
              <w:top w:val="single" w:sz="4" w:space="0" w:color="auto"/>
              <w:left w:val="single" w:sz="4" w:space="0" w:color="auto"/>
              <w:bottom w:val="single" w:sz="4" w:space="0" w:color="auto"/>
              <w:right w:val="single" w:sz="4" w:space="0" w:color="auto"/>
            </w:tcBorders>
          </w:tcPr>
          <w:p w14:paraId="2028CC92" w14:textId="77777777" w:rsidR="00B53DC2" w:rsidRPr="00F13073" w:rsidRDefault="00B53DC2" w:rsidP="008B4C50">
            <w:pPr>
              <w:suppressAutoHyphens/>
            </w:pPr>
            <w:r w:rsidRPr="00F13073">
              <w:rPr>
                <w:rStyle w:val="Other"/>
                <w:rFonts w:eastAsia="DengXian"/>
              </w:rPr>
              <w:t>Utrzymać dotychczasową dawkę.</w:t>
            </w:r>
          </w:p>
        </w:tc>
      </w:tr>
      <w:tr w:rsidR="00B53DC2" w:rsidRPr="00F13073" w14:paraId="17F7E5E1" w14:textId="77777777" w:rsidTr="002133F3">
        <w:trPr>
          <w:cantSplit/>
          <w:tblHeader/>
        </w:trPr>
        <w:tc>
          <w:tcPr>
            <w:tcW w:w="1987" w:type="dxa"/>
            <w:tcBorders>
              <w:top w:val="single" w:sz="4" w:space="0" w:color="auto"/>
              <w:left w:val="single" w:sz="4" w:space="0" w:color="auto"/>
              <w:bottom w:val="single" w:sz="4" w:space="0" w:color="auto"/>
            </w:tcBorders>
          </w:tcPr>
          <w:p w14:paraId="2DDBEC24" w14:textId="77777777" w:rsidR="00B53DC2" w:rsidRPr="00F13073" w:rsidRDefault="00B53DC2" w:rsidP="008B4C50">
            <w:pPr>
              <w:suppressAutoHyphens/>
            </w:pPr>
            <w:r w:rsidRPr="00F13073">
              <w:t>ANC 0,5 do 1</w:t>
            </w:r>
          </w:p>
        </w:tc>
        <w:tc>
          <w:tcPr>
            <w:tcW w:w="7080" w:type="dxa"/>
            <w:tcBorders>
              <w:top w:val="single" w:sz="4" w:space="0" w:color="auto"/>
              <w:left w:val="single" w:sz="4" w:space="0" w:color="auto"/>
              <w:bottom w:val="single" w:sz="4" w:space="0" w:color="auto"/>
              <w:right w:val="single" w:sz="4" w:space="0" w:color="auto"/>
            </w:tcBorders>
          </w:tcPr>
          <w:p w14:paraId="68FEE795" w14:textId="0CFF9006" w:rsidR="00B53DC2" w:rsidRPr="00F13073" w:rsidRDefault="00B53DC2" w:rsidP="008B4C50">
            <w:pPr>
              <w:pStyle w:val="Other0"/>
              <w:widowControl/>
              <w:spacing w:after="0"/>
              <w:rPr>
                <w:rStyle w:val="Other"/>
              </w:rPr>
            </w:pPr>
            <w:r w:rsidRPr="00F13073">
              <w:rPr>
                <w:rStyle w:val="Other"/>
              </w:rPr>
              <w:t xml:space="preserve">Przejściowo przerwać podawanie produktu leczniczego </w:t>
            </w:r>
            <w:r w:rsidR="00026375" w:rsidRPr="00F13073">
              <w:rPr>
                <w:rStyle w:val="Other"/>
              </w:rPr>
              <w:t>Avtozma</w:t>
            </w:r>
            <w:r w:rsidRPr="00F13073">
              <w:rPr>
                <w:rStyle w:val="Other"/>
              </w:rPr>
              <w:t>.</w:t>
            </w:r>
          </w:p>
          <w:p w14:paraId="16073C69" w14:textId="77777777" w:rsidR="00B53DC2" w:rsidRPr="00F13073" w:rsidRDefault="00B53DC2" w:rsidP="008B4C50">
            <w:pPr>
              <w:pStyle w:val="Other0"/>
              <w:widowControl/>
              <w:spacing w:after="0"/>
            </w:pPr>
          </w:p>
          <w:p w14:paraId="2EA55699" w14:textId="4344E65C" w:rsidR="00B53DC2" w:rsidRPr="00F13073" w:rsidRDefault="00B53DC2" w:rsidP="008B4C50">
            <w:pPr>
              <w:suppressAutoHyphens/>
            </w:pPr>
            <w:r w:rsidRPr="00F13073">
              <w:rPr>
                <w:rStyle w:val="Other"/>
                <w:rFonts w:eastAsia="DengXian"/>
              </w:rPr>
              <w:t>Gdy wartość ANC wzrośnie &gt; 1 x 10</w:t>
            </w:r>
            <w:r w:rsidRPr="00F13073">
              <w:rPr>
                <w:rStyle w:val="Other"/>
                <w:rFonts w:eastAsia="DengXian"/>
                <w:vertAlign w:val="superscript"/>
              </w:rPr>
              <w:t>9</w:t>
            </w:r>
            <w:r w:rsidRPr="00F13073">
              <w:rPr>
                <w:rStyle w:val="Other"/>
                <w:rFonts w:eastAsia="DengXian"/>
              </w:rPr>
              <w:t xml:space="preserve">/l, należy wznowić podawanie produktu leczniczego </w:t>
            </w:r>
            <w:r w:rsidR="00026375" w:rsidRPr="00F13073">
              <w:rPr>
                <w:rStyle w:val="Other"/>
                <w:rFonts w:eastAsia="DengXian"/>
              </w:rPr>
              <w:t>Avtozma</w:t>
            </w:r>
            <w:r w:rsidRPr="00F13073">
              <w:rPr>
                <w:rStyle w:val="Other"/>
                <w:rFonts w:eastAsia="DengXian"/>
              </w:rPr>
              <w:t>.</w:t>
            </w:r>
          </w:p>
        </w:tc>
      </w:tr>
      <w:tr w:rsidR="00B53DC2" w:rsidRPr="00F13073" w14:paraId="3D304261" w14:textId="77777777" w:rsidTr="002133F3">
        <w:trPr>
          <w:cantSplit/>
          <w:tblHeader/>
        </w:trPr>
        <w:tc>
          <w:tcPr>
            <w:tcW w:w="1987" w:type="dxa"/>
            <w:tcBorders>
              <w:top w:val="single" w:sz="4" w:space="0" w:color="auto"/>
              <w:left w:val="single" w:sz="4" w:space="0" w:color="auto"/>
              <w:bottom w:val="single" w:sz="4" w:space="0" w:color="auto"/>
            </w:tcBorders>
          </w:tcPr>
          <w:p w14:paraId="1C3AA85B" w14:textId="77777777" w:rsidR="00B53DC2" w:rsidRPr="00F13073" w:rsidRDefault="00B53DC2" w:rsidP="008B4C50">
            <w:pPr>
              <w:suppressAutoHyphens/>
            </w:pPr>
            <w:r w:rsidRPr="00F13073">
              <w:t>ANC &lt; 0,5</w:t>
            </w:r>
          </w:p>
        </w:tc>
        <w:tc>
          <w:tcPr>
            <w:tcW w:w="7080" w:type="dxa"/>
            <w:tcBorders>
              <w:top w:val="single" w:sz="4" w:space="0" w:color="auto"/>
              <w:left w:val="single" w:sz="4" w:space="0" w:color="auto"/>
              <w:bottom w:val="single" w:sz="4" w:space="0" w:color="auto"/>
              <w:right w:val="single" w:sz="4" w:space="0" w:color="auto"/>
            </w:tcBorders>
          </w:tcPr>
          <w:p w14:paraId="115966B4" w14:textId="45462965" w:rsidR="00B53DC2" w:rsidRPr="00F13073" w:rsidRDefault="00B53DC2" w:rsidP="008B4C50">
            <w:pPr>
              <w:pStyle w:val="Other0"/>
              <w:widowControl/>
              <w:spacing w:after="0"/>
              <w:rPr>
                <w:rStyle w:val="Other"/>
              </w:rPr>
            </w:pPr>
            <w:r w:rsidRPr="00F13073">
              <w:rPr>
                <w:rStyle w:val="Other"/>
              </w:rPr>
              <w:t xml:space="preserve">Przerwać podawanie produktu leczniczego </w:t>
            </w:r>
            <w:r w:rsidR="00026375" w:rsidRPr="00F13073">
              <w:rPr>
                <w:rStyle w:val="Other"/>
              </w:rPr>
              <w:t>Avtozma</w:t>
            </w:r>
            <w:r w:rsidRPr="00F13073">
              <w:rPr>
                <w:rStyle w:val="Other"/>
              </w:rPr>
              <w:t>.</w:t>
            </w:r>
          </w:p>
          <w:p w14:paraId="2DC5D159" w14:textId="77777777" w:rsidR="00B53DC2" w:rsidRPr="00F13073" w:rsidRDefault="00B53DC2" w:rsidP="008B4C50">
            <w:pPr>
              <w:pStyle w:val="Other0"/>
              <w:widowControl/>
              <w:spacing w:after="0"/>
            </w:pPr>
          </w:p>
          <w:p w14:paraId="18FD0186" w14:textId="2FAED698" w:rsidR="00B53DC2" w:rsidRPr="00F13073" w:rsidRDefault="00B53DC2" w:rsidP="008B4C50">
            <w:pPr>
              <w:suppressAutoHyphens/>
            </w:pPr>
            <w:r w:rsidRPr="00F13073">
              <w:rPr>
                <w:rStyle w:val="Other"/>
                <w:rFonts w:eastAsia="DengXian"/>
              </w:rPr>
              <w:t xml:space="preserve">Decyzja o przerwaniu podawania produktu leczniczego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badaniu lekarskim danego pacjenta.</w:t>
            </w:r>
          </w:p>
        </w:tc>
      </w:tr>
    </w:tbl>
    <w:p w14:paraId="7F6F4EC3" w14:textId="77777777" w:rsidR="001E0975" w:rsidRPr="00F13073" w:rsidRDefault="001E0975" w:rsidP="008B4C50"/>
    <w:p w14:paraId="6C2D92A3" w14:textId="77777777" w:rsidR="001E0975" w:rsidRPr="00F13073" w:rsidRDefault="00B53DC2" w:rsidP="008B4C50">
      <w:pPr>
        <w:pStyle w:val="a0"/>
        <w:keepNext/>
        <w:numPr>
          <w:ilvl w:val="0"/>
          <w:numId w:val="6"/>
        </w:numPr>
        <w:ind w:left="567" w:hanging="567"/>
        <w:contextualSpacing w:val="0"/>
      </w:pPr>
      <w:r w:rsidRPr="00F13073">
        <w:t>Mała liczba płytek krwi</w:t>
      </w:r>
    </w:p>
    <w:p w14:paraId="2B5F6489" w14:textId="77777777" w:rsidR="00B90A82" w:rsidRPr="00F13073" w:rsidRDefault="00B90A82" w:rsidP="008B4C50">
      <w:pPr>
        <w:keepNext/>
      </w:pPr>
    </w:p>
    <w:tbl>
      <w:tblPr>
        <w:tblOverlap w:val="never"/>
        <w:tblW w:w="9067" w:type="dxa"/>
        <w:tblInd w:w="108" w:type="dxa"/>
        <w:tblLayout w:type="fixed"/>
        <w:tblCellMar>
          <w:top w:w="28" w:type="dxa"/>
          <w:bottom w:w="28" w:type="dxa"/>
        </w:tblCellMar>
        <w:tblLook w:val="04A0" w:firstRow="1" w:lastRow="0" w:firstColumn="1" w:lastColumn="0" w:noHBand="0" w:noVBand="1"/>
      </w:tblPr>
      <w:tblGrid>
        <w:gridCol w:w="1987"/>
        <w:gridCol w:w="7080"/>
      </w:tblGrid>
      <w:tr w:rsidR="00B53DC2" w:rsidRPr="00F13073" w14:paraId="64AE9F7B" w14:textId="77777777" w:rsidTr="002133F3">
        <w:trPr>
          <w:cantSplit/>
          <w:tblHeader/>
        </w:trPr>
        <w:tc>
          <w:tcPr>
            <w:tcW w:w="1987" w:type="dxa"/>
            <w:tcBorders>
              <w:top w:val="single" w:sz="4" w:space="0" w:color="auto"/>
              <w:left w:val="single" w:sz="4" w:space="0" w:color="auto"/>
            </w:tcBorders>
          </w:tcPr>
          <w:p w14:paraId="05A0B636" w14:textId="77777777" w:rsidR="00B53DC2" w:rsidRPr="00F13073" w:rsidRDefault="00B53DC2" w:rsidP="004F1D7F">
            <w:pPr>
              <w:keepNext/>
              <w:suppressAutoHyphens/>
              <w:jc w:val="center"/>
            </w:pPr>
            <w:r w:rsidRPr="00F13073">
              <w:rPr>
                <w:rStyle w:val="Other"/>
                <w:rFonts w:eastAsia="DengXian"/>
              </w:rPr>
              <w:t>Wartość laboratoryjna (liczba komórek x 10</w:t>
            </w:r>
            <w:r w:rsidRPr="00F13073">
              <w:rPr>
                <w:rStyle w:val="Other"/>
                <w:rFonts w:eastAsia="DengXian"/>
                <w:vertAlign w:val="superscript"/>
              </w:rPr>
              <w:t>9</w:t>
            </w:r>
            <w:r w:rsidRPr="00F13073">
              <w:rPr>
                <w:rStyle w:val="Other"/>
                <w:rFonts w:eastAsia="DengXian"/>
              </w:rPr>
              <w:t>/l)</w:t>
            </w:r>
          </w:p>
        </w:tc>
        <w:tc>
          <w:tcPr>
            <w:tcW w:w="7080" w:type="dxa"/>
            <w:tcBorders>
              <w:top w:val="single" w:sz="4" w:space="0" w:color="auto"/>
              <w:left w:val="single" w:sz="4" w:space="0" w:color="auto"/>
              <w:right w:val="single" w:sz="4" w:space="0" w:color="auto"/>
            </w:tcBorders>
          </w:tcPr>
          <w:p w14:paraId="017AF250" w14:textId="77777777" w:rsidR="00B53DC2" w:rsidRPr="00F13073" w:rsidRDefault="00B53DC2" w:rsidP="004F1D7F">
            <w:pPr>
              <w:keepNext/>
              <w:suppressAutoHyphens/>
              <w:jc w:val="center"/>
            </w:pPr>
            <w:r w:rsidRPr="00F13073">
              <w:rPr>
                <w:rStyle w:val="Other"/>
                <w:rFonts w:eastAsia="DengXian"/>
              </w:rPr>
              <w:t>Zalecane postępowanie</w:t>
            </w:r>
          </w:p>
        </w:tc>
      </w:tr>
      <w:tr w:rsidR="00B53DC2" w:rsidRPr="00F13073" w14:paraId="7C1C0256" w14:textId="77777777" w:rsidTr="002133F3">
        <w:trPr>
          <w:cantSplit/>
          <w:tblHeader/>
        </w:trPr>
        <w:tc>
          <w:tcPr>
            <w:tcW w:w="1987" w:type="dxa"/>
            <w:tcBorders>
              <w:top w:val="single" w:sz="4" w:space="0" w:color="auto"/>
              <w:left w:val="single" w:sz="4" w:space="0" w:color="auto"/>
            </w:tcBorders>
          </w:tcPr>
          <w:p w14:paraId="1A292946" w14:textId="77777777" w:rsidR="00B53DC2" w:rsidRPr="00F13073" w:rsidRDefault="00B53DC2" w:rsidP="008B4C50">
            <w:pPr>
              <w:suppressAutoHyphens/>
            </w:pPr>
            <w:r w:rsidRPr="00F13073">
              <w:t>50 do 100</w:t>
            </w:r>
          </w:p>
        </w:tc>
        <w:tc>
          <w:tcPr>
            <w:tcW w:w="7080" w:type="dxa"/>
            <w:tcBorders>
              <w:top w:val="single" w:sz="4" w:space="0" w:color="auto"/>
              <w:left w:val="single" w:sz="4" w:space="0" w:color="auto"/>
              <w:right w:val="single" w:sz="4" w:space="0" w:color="auto"/>
            </w:tcBorders>
          </w:tcPr>
          <w:p w14:paraId="38211D79" w14:textId="77777777" w:rsidR="00B53DC2" w:rsidRPr="00F13073" w:rsidRDefault="00B53DC2" w:rsidP="008B4C50">
            <w:pPr>
              <w:pStyle w:val="Other0"/>
              <w:widowControl/>
              <w:spacing w:after="0"/>
              <w:rPr>
                <w:rStyle w:val="Other"/>
              </w:rPr>
            </w:pPr>
            <w:r w:rsidRPr="00F13073">
              <w:rPr>
                <w:rStyle w:val="Other"/>
              </w:rPr>
              <w:t>Należy zmodyfikować dawkę podawanego równolegle MTX w przypadkach, gdy jest to właściwe.</w:t>
            </w:r>
          </w:p>
          <w:p w14:paraId="697489E4" w14:textId="77777777" w:rsidR="00B53DC2" w:rsidRPr="00F13073" w:rsidRDefault="00B53DC2" w:rsidP="008B4C50">
            <w:pPr>
              <w:pStyle w:val="Other0"/>
              <w:widowControl/>
              <w:spacing w:after="0"/>
            </w:pPr>
          </w:p>
          <w:p w14:paraId="36DACEFD" w14:textId="616B42F5" w:rsidR="00B53DC2" w:rsidRPr="00F13073" w:rsidRDefault="00B53DC2" w:rsidP="008B4C50">
            <w:pPr>
              <w:pStyle w:val="Other0"/>
              <w:widowControl/>
              <w:spacing w:after="0"/>
              <w:rPr>
                <w:rStyle w:val="Other"/>
              </w:rPr>
            </w:pPr>
            <w:r w:rsidRPr="00F13073">
              <w:rPr>
                <w:rStyle w:val="Other"/>
              </w:rPr>
              <w:t xml:space="preserve">Przejściowo przerwać podawanie produktu leczniczego </w:t>
            </w:r>
            <w:r w:rsidR="00026375" w:rsidRPr="00F13073">
              <w:rPr>
                <w:rStyle w:val="Other"/>
              </w:rPr>
              <w:t>Avtozma</w:t>
            </w:r>
            <w:r w:rsidRPr="00F13073">
              <w:rPr>
                <w:rStyle w:val="Other"/>
              </w:rPr>
              <w:t>.</w:t>
            </w:r>
          </w:p>
          <w:p w14:paraId="03438D9D" w14:textId="77777777" w:rsidR="00B53DC2" w:rsidRPr="00F13073" w:rsidRDefault="00B53DC2" w:rsidP="008B4C50">
            <w:pPr>
              <w:pStyle w:val="Other0"/>
              <w:widowControl/>
              <w:spacing w:after="0"/>
            </w:pPr>
          </w:p>
          <w:p w14:paraId="519C815F" w14:textId="6AF4A49E" w:rsidR="00B53DC2" w:rsidRPr="00F13073" w:rsidRDefault="00B53DC2" w:rsidP="008B4C50">
            <w:pPr>
              <w:suppressAutoHyphens/>
            </w:pPr>
            <w:r w:rsidRPr="00F13073">
              <w:rPr>
                <w:rStyle w:val="Other"/>
                <w:rFonts w:eastAsia="DengXian"/>
              </w:rPr>
              <w:t>Gdy liczba płytek krwi wzrośnie &gt; 100 x 10</w:t>
            </w:r>
            <w:r w:rsidRPr="00F13073">
              <w:rPr>
                <w:rStyle w:val="Other"/>
                <w:rFonts w:eastAsia="DengXian"/>
                <w:vertAlign w:val="superscript"/>
              </w:rPr>
              <w:t>3</w:t>
            </w:r>
            <w:r w:rsidRPr="00F13073">
              <w:rPr>
                <w:rStyle w:val="Other"/>
                <w:rFonts w:eastAsia="DengXian"/>
              </w:rPr>
              <w:t xml:space="preserve">/μl, należy wznowić podawanie produktu leczniczego </w:t>
            </w:r>
            <w:r w:rsidR="00026375" w:rsidRPr="00F13073">
              <w:rPr>
                <w:rStyle w:val="Other"/>
                <w:rFonts w:eastAsia="DengXian"/>
              </w:rPr>
              <w:t>Avtozma</w:t>
            </w:r>
            <w:r w:rsidRPr="00F13073">
              <w:rPr>
                <w:rStyle w:val="Other"/>
                <w:rFonts w:eastAsia="DengXian"/>
              </w:rPr>
              <w:t>.</w:t>
            </w:r>
          </w:p>
        </w:tc>
      </w:tr>
      <w:tr w:rsidR="00B53DC2" w:rsidRPr="00F13073" w14:paraId="1131331A" w14:textId="77777777" w:rsidTr="002133F3">
        <w:trPr>
          <w:cantSplit/>
          <w:tblHeader/>
        </w:trPr>
        <w:tc>
          <w:tcPr>
            <w:tcW w:w="1987" w:type="dxa"/>
            <w:tcBorders>
              <w:top w:val="single" w:sz="4" w:space="0" w:color="auto"/>
              <w:left w:val="single" w:sz="4" w:space="0" w:color="auto"/>
              <w:bottom w:val="single" w:sz="4" w:space="0" w:color="auto"/>
            </w:tcBorders>
          </w:tcPr>
          <w:p w14:paraId="59929281" w14:textId="77777777" w:rsidR="00B53DC2" w:rsidRPr="00F13073" w:rsidRDefault="00B53DC2" w:rsidP="008B4C50">
            <w:pPr>
              <w:suppressAutoHyphens/>
            </w:pPr>
            <w:r w:rsidRPr="00F13073">
              <w:t>&lt; 50</w:t>
            </w:r>
          </w:p>
        </w:tc>
        <w:tc>
          <w:tcPr>
            <w:tcW w:w="7080" w:type="dxa"/>
            <w:tcBorders>
              <w:top w:val="single" w:sz="4" w:space="0" w:color="auto"/>
              <w:left w:val="single" w:sz="4" w:space="0" w:color="auto"/>
              <w:bottom w:val="single" w:sz="4" w:space="0" w:color="auto"/>
              <w:right w:val="single" w:sz="4" w:space="0" w:color="auto"/>
            </w:tcBorders>
          </w:tcPr>
          <w:p w14:paraId="670B430A" w14:textId="465C25A7" w:rsidR="00B53DC2" w:rsidRPr="00F13073" w:rsidRDefault="00B53DC2" w:rsidP="008B4C50">
            <w:pPr>
              <w:pStyle w:val="Other0"/>
              <w:widowControl/>
              <w:spacing w:after="0"/>
              <w:rPr>
                <w:rStyle w:val="Other"/>
              </w:rPr>
            </w:pPr>
            <w:r w:rsidRPr="00F13073">
              <w:rPr>
                <w:rStyle w:val="Other"/>
              </w:rPr>
              <w:t xml:space="preserve">Przerwać podawanie produktu leczniczego </w:t>
            </w:r>
            <w:r w:rsidR="00026375" w:rsidRPr="00F13073">
              <w:rPr>
                <w:rStyle w:val="Other"/>
              </w:rPr>
              <w:t>Avtozma</w:t>
            </w:r>
            <w:r w:rsidRPr="00F13073">
              <w:rPr>
                <w:rStyle w:val="Other"/>
              </w:rPr>
              <w:t>.</w:t>
            </w:r>
          </w:p>
          <w:p w14:paraId="3617D137" w14:textId="77777777" w:rsidR="00B53DC2" w:rsidRPr="00F13073" w:rsidRDefault="00B53DC2" w:rsidP="008B4C50">
            <w:pPr>
              <w:pStyle w:val="Other0"/>
              <w:widowControl/>
              <w:spacing w:after="0"/>
            </w:pPr>
          </w:p>
          <w:p w14:paraId="4AC20B1D" w14:textId="581D5301" w:rsidR="00B53DC2" w:rsidRPr="00F13073" w:rsidRDefault="00B53DC2" w:rsidP="008B4C50">
            <w:pPr>
              <w:suppressAutoHyphens/>
            </w:pPr>
            <w:r w:rsidRPr="00F13073">
              <w:rPr>
                <w:rStyle w:val="Other"/>
                <w:rFonts w:eastAsia="DengXian"/>
              </w:rPr>
              <w:t xml:space="preserve">Decyzja o przerwaniu podawania produktu leczniczego </w:t>
            </w:r>
            <w:r w:rsidR="00026375" w:rsidRPr="00F13073">
              <w:rPr>
                <w:rStyle w:val="Other"/>
                <w:rFonts w:eastAsia="DengXian"/>
              </w:rPr>
              <w:t>Avtozma</w:t>
            </w:r>
            <w:r w:rsidRPr="00F13073">
              <w:rPr>
                <w:rStyle w:val="Other"/>
                <w:rFonts w:eastAsia="DengXian"/>
              </w:rPr>
              <w:t xml:space="preserve"> u pacjenta z uMIZS lub wMIZS w związku z nieprawidłowymi wynikami badań laboratoryjnych powinna opierać się na badaniu lekarskim danego pacjenta.</w:t>
            </w:r>
          </w:p>
        </w:tc>
      </w:tr>
    </w:tbl>
    <w:p w14:paraId="27821E93" w14:textId="77777777" w:rsidR="001E0975" w:rsidRPr="00F13073" w:rsidRDefault="001E0975" w:rsidP="008B4C50"/>
    <w:p w14:paraId="45DBB4BC" w14:textId="77777777" w:rsidR="00B53DC2" w:rsidRPr="00F13073" w:rsidRDefault="00B53DC2" w:rsidP="008B4C50">
      <w:pPr>
        <w:pStyle w:val="a4"/>
        <w:widowControl/>
        <w:spacing w:after="0"/>
        <w:rPr>
          <w:rStyle w:val="Char"/>
        </w:rPr>
      </w:pPr>
      <w:r w:rsidRPr="00F13073">
        <w:rPr>
          <w:rStyle w:val="Char"/>
        </w:rPr>
        <w:t>Nie przeprowadzono badań nad zmniejszoną częstotliwością dawkowania tocilizumabu w związku z nieprawidłowymi wynikami badań laboratoryjnych u pacjentów z uMIZS i wMIZS.</w:t>
      </w:r>
    </w:p>
    <w:p w14:paraId="18B16724" w14:textId="77777777" w:rsidR="00D36F8C" w:rsidRPr="00F13073" w:rsidRDefault="00D36F8C" w:rsidP="008B4C50">
      <w:pPr>
        <w:pStyle w:val="a4"/>
        <w:widowControl/>
        <w:spacing w:after="0"/>
      </w:pPr>
    </w:p>
    <w:p w14:paraId="68CE978F" w14:textId="7806374F" w:rsidR="00B53DC2" w:rsidRPr="00F13073" w:rsidRDefault="00B53DC2" w:rsidP="008B4C50">
      <w:pPr>
        <w:pStyle w:val="a4"/>
        <w:widowControl/>
        <w:spacing w:after="0"/>
        <w:rPr>
          <w:rStyle w:val="Char"/>
        </w:rPr>
      </w:pPr>
      <w:r w:rsidRPr="00F13073">
        <w:rPr>
          <w:rStyle w:val="Char"/>
        </w:rPr>
        <w:t xml:space="preserve">Nie ustalono profilu bezpieczeństwa i skuteczności dożylnego stosowania produktu leczniczego </w:t>
      </w:r>
      <w:r w:rsidR="00026375" w:rsidRPr="00F13073">
        <w:rPr>
          <w:rStyle w:val="Char"/>
        </w:rPr>
        <w:t>Avtozma</w:t>
      </w:r>
      <w:r w:rsidRPr="00F13073">
        <w:rPr>
          <w:rStyle w:val="Char"/>
        </w:rPr>
        <w:t xml:space="preserve"> u dzieci z chorobami innymi niż uMIZS lub wMIZS.</w:t>
      </w:r>
    </w:p>
    <w:p w14:paraId="58992DBA" w14:textId="77777777" w:rsidR="00D36F8C" w:rsidRPr="00F13073" w:rsidRDefault="00D36F8C" w:rsidP="008B4C50">
      <w:pPr>
        <w:pStyle w:val="a4"/>
        <w:widowControl/>
        <w:spacing w:after="0"/>
      </w:pPr>
    </w:p>
    <w:p w14:paraId="077C1E2D" w14:textId="7E89A744" w:rsidR="00B53DC2" w:rsidRPr="00F13073" w:rsidRDefault="00B53DC2" w:rsidP="008B4C50">
      <w:pPr>
        <w:pStyle w:val="a4"/>
        <w:widowControl/>
        <w:spacing w:after="0"/>
        <w:rPr>
          <w:rStyle w:val="Char"/>
        </w:rPr>
      </w:pPr>
      <w:r w:rsidRPr="00F13073">
        <w:rPr>
          <w:rStyle w:val="Char"/>
        </w:rPr>
        <w:t xml:space="preserve">Dostępne dane dotyczące postaci dożylnej sugerują, że poprawę kliniczną obserwuje się w czasie 12 tygodni od rozpoczęcia leczenia </w:t>
      </w:r>
      <w:r w:rsidR="00442C9B" w:rsidRPr="00F13073">
        <w:rPr>
          <w:rStyle w:val="Char"/>
        </w:rPr>
        <w:t>tocilizumabem</w:t>
      </w:r>
      <w:r w:rsidRPr="00F13073">
        <w:rPr>
          <w:rStyle w:val="Char"/>
        </w:rPr>
        <w:t>. W przypadku pacjentów niewykazujących w tym okresie żadnej poprawy należy ponownie rozważyć kontynuację terapii.</w:t>
      </w:r>
    </w:p>
    <w:p w14:paraId="3F9E6383" w14:textId="77777777" w:rsidR="00D36F8C" w:rsidRPr="00F13073" w:rsidRDefault="00D36F8C" w:rsidP="008B4C50">
      <w:pPr>
        <w:pStyle w:val="a4"/>
        <w:widowControl/>
        <w:spacing w:after="0"/>
      </w:pPr>
    </w:p>
    <w:p w14:paraId="3A5C7726" w14:textId="77777777" w:rsidR="00B53DC2" w:rsidRPr="00F13073" w:rsidRDefault="00B53DC2" w:rsidP="008B4C50">
      <w:pPr>
        <w:pStyle w:val="a4"/>
        <w:widowControl/>
        <w:spacing w:after="0"/>
      </w:pPr>
      <w:r w:rsidRPr="00F13073">
        <w:rPr>
          <w:rStyle w:val="Char"/>
          <w:u w:val="single"/>
        </w:rPr>
        <w:t>Pominięta dawka</w:t>
      </w:r>
    </w:p>
    <w:p w14:paraId="0853CF7D" w14:textId="76FB865F" w:rsidR="00B53DC2" w:rsidRPr="00F13073" w:rsidRDefault="00B53DC2" w:rsidP="008B4C50">
      <w:pPr>
        <w:pStyle w:val="a4"/>
        <w:widowControl/>
        <w:spacing w:after="0"/>
        <w:rPr>
          <w:rStyle w:val="Char"/>
        </w:rPr>
      </w:pPr>
      <w:r w:rsidRPr="00F13073">
        <w:rPr>
          <w:rStyle w:val="Char"/>
        </w:rPr>
        <w:t xml:space="preserve">Jeśli pacjent z uMIZS pominie dawkę produktu leczniczego </w:t>
      </w:r>
      <w:r w:rsidR="00026375" w:rsidRPr="00F13073">
        <w:rPr>
          <w:rStyle w:val="Char"/>
        </w:rPr>
        <w:t>Avtozma</w:t>
      </w:r>
      <w:r w:rsidRPr="00F13073">
        <w:rPr>
          <w:rStyle w:val="Char"/>
        </w:rPr>
        <w:t xml:space="preserve"> podawanego podskórnie raz w tygodniu i upłynie nie więcej niż 7 dni od zaplanowanego dnia podania dawki, powinien zostać poinstruowany, by przyjąć pominiętą dawkę w kolejnym zaplanowanym terminie. Jeśli pacjent pominie dawkę produktu leczniczego </w:t>
      </w:r>
      <w:r w:rsidR="00026375" w:rsidRPr="00F13073">
        <w:rPr>
          <w:rStyle w:val="Char"/>
        </w:rPr>
        <w:t>Avtozma</w:t>
      </w:r>
      <w:r w:rsidRPr="00F13073">
        <w:rPr>
          <w:rStyle w:val="Char"/>
        </w:rPr>
        <w:t xml:space="preserve"> podawanego podskórnie raz na 2 tygodnie i upłynie nie więcej niż 7 dni od dnia zaplanowanej dawki, powinien zostać poinstruowany, by jak najszybciej przyjąć pominiętą dawkę, a kolejną dawkę w następnym zaplanowanym terminie.</w:t>
      </w:r>
    </w:p>
    <w:p w14:paraId="124BAA5B" w14:textId="77777777" w:rsidR="00D36F8C" w:rsidRPr="00F13073" w:rsidRDefault="00D36F8C" w:rsidP="008B4C50">
      <w:pPr>
        <w:pStyle w:val="a4"/>
        <w:widowControl/>
        <w:spacing w:after="0"/>
      </w:pPr>
    </w:p>
    <w:p w14:paraId="7BD32485" w14:textId="5C904636" w:rsidR="00B53DC2" w:rsidRPr="00F13073" w:rsidRDefault="00B53DC2" w:rsidP="008B4C50">
      <w:pPr>
        <w:pStyle w:val="a4"/>
        <w:widowControl/>
        <w:spacing w:after="0"/>
        <w:rPr>
          <w:rStyle w:val="Char"/>
        </w:rPr>
      </w:pPr>
      <w:r w:rsidRPr="00F13073">
        <w:rPr>
          <w:rStyle w:val="Char"/>
        </w:rPr>
        <w:lastRenderedPageBreak/>
        <w:t xml:space="preserve">Jeśli pacjent z wMIZS pominie dawkę produktu leczniczego </w:t>
      </w:r>
      <w:r w:rsidR="00026375" w:rsidRPr="00F13073">
        <w:rPr>
          <w:rStyle w:val="Char"/>
        </w:rPr>
        <w:t>Avtozma</w:t>
      </w:r>
      <w:r w:rsidRPr="00F13073">
        <w:rPr>
          <w:rStyle w:val="Char"/>
        </w:rPr>
        <w:t xml:space="preserve"> podawanego podskórnie i upłynie nie więcej niż 7 dni od zaplanowanego dnia podania dawki, powinien jak najszybciej przyjąć pominiętą dawkę, a następnie przyjąć kolejną dawkę w pierwotnie planowanym terminie. Jeśli pacjent pominie dawkę produktu leczniczego </w:t>
      </w:r>
      <w:r w:rsidR="00026375" w:rsidRPr="00F13073">
        <w:rPr>
          <w:rStyle w:val="Char"/>
        </w:rPr>
        <w:t>Avtozma</w:t>
      </w:r>
      <w:r w:rsidRPr="00F13073">
        <w:rPr>
          <w:rStyle w:val="Char"/>
        </w:rPr>
        <w:t xml:space="preserve"> podawanego podskórnie i upłynie więcej niż 7 dni od dnia zaplanowanej dawki lub nie jest pewien, kiedy należy wstrzyknąć produkt leczniczy </w:t>
      </w:r>
      <w:r w:rsidR="00026375" w:rsidRPr="00F13073">
        <w:rPr>
          <w:rStyle w:val="Char"/>
        </w:rPr>
        <w:t>Avtozma</w:t>
      </w:r>
      <w:r w:rsidRPr="00F13073">
        <w:rPr>
          <w:rStyle w:val="Char"/>
        </w:rPr>
        <w:t>, powinien skontaktować się z lekarzem lub farmaceutą.</w:t>
      </w:r>
    </w:p>
    <w:p w14:paraId="6E2CFCBF" w14:textId="77777777" w:rsidR="00D36F8C" w:rsidRPr="00F13073" w:rsidRDefault="00D36F8C" w:rsidP="008B4C50">
      <w:pPr>
        <w:pStyle w:val="a4"/>
        <w:widowControl/>
        <w:spacing w:after="0"/>
      </w:pPr>
    </w:p>
    <w:p w14:paraId="4EE92418" w14:textId="77777777" w:rsidR="00B53DC2" w:rsidRPr="00F13073" w:rsidRDefault="00B53DC2" w:rsidP="008B4C50">
      <w:pPr>
        <w:pStyle w:val="a4"/>
        <w:widowControl/>
        <w:spacing w:after="0"/>
      </w:pPr>
      <w:r w:rsidRPr="00F13073">
        <w:rPr>
          <w:rStyle w:val="Char"/>
          <w:u w:val="single"/>
        </w:rPr>
        <w:t>Sposób podawania</w:t>
      </w:r>
    </w:p>
    <w:p w14:paraId="611A9E88" w14:textId="77777777" w:rsidR="00B279AD" w:rsidRPr="00F13073" w:rsidRDefault="00B279AD" w:rsidP="008B4C50">
      <w:pPr>
        <w:pStyle w:val="a4"/>
        <w:widowControl/>
        <w:spacing w:after="0"/>
        <w:rPr>
          <w:rStyle w:val="Char"/>
        </w:rPr>
      </w:pPr>
    </w:p>
    <w:p w14:paraId="5540C43C" w14:textId="25E27124" w:rsidR="00B53DC2" w:rsidRPr="00F13073" w:rsidRDefault="00B53DC2" w:rsidP="008B4C50">
      <w:pPr>
        <w:pStyle w:val="a4"/>
        <w:widowControl/>
        <w:spacing w:after="0"/>
      </w:pPr>
      <w:r w:rsidRPr="00F13073">
        <w:rPr>
          <w:rStyle w:val="Char"/>
        </w:rPr>
        <w:t xml:space="preserve">Produkt leczniczy </w:t>
      </w:r>
      <w:r w:rsidR="00026375" w:rsidRPr="00F13073">
        <w:rPr>
          <w:rStyle w:val="Char"/>
        </w:rPr>
        <w:t>Avtozma</w:t>
      </w:r>
      <w:r w:rsidRPr="00F13073">
        <w:rPr>
          <w:rStyle w:val="Char"/>
        </w:rPr>
        <w:t xml:space="preserve"> jest przeznaczony do stosowania podskórnego.</w:t>
      </w:r>
    </w:p>
    <w:p w14:paraId="30B5232A" w14:textId="7B1B3EA7" w:rsidR="00B53DC2" w:rsidRPr="00F13073" w:rsidRDefault="00B53DC2" w:rsidP="002133F3">
      <w:pPr>
        <w:pStyle w:val="a4"/>
        <w:widowControl/>
        <w:spacing w:after="0"/>
        <w:rPr>
          <w:rStyle w:val="Char"/>
        </w:rPr>
      </w:pPr>
      <w:r w:rsidRPr="00F13073">
        <w:rPr>
          <w:rStyle w:val="Char"/>
        </w:rPr>
        <w:t xml:space="preserve">Po właściwym przeszkoleniu z zakresu techniki wstrzyknięć pacjenci mogą samodzielnie wstrzykiwać sobie produkt leczniczy </w:t>
      </w:r>
      <w:r w:rsidR="00026375" w:rsidRPr="00F13073">
        <w:rPr>
          <w:rStyle w:val="Char"/>
        </w:rPr>
        <w:t>Avtozma</w:t>
      </w:r>
      <w:r w:rsidRPr="00F13073">
        <w:rPr>
          <w:rStyle w:val="Char"/>
        </w:rPr>
        <w:t>, jeśli ich lekarz uzna to za właściwe. Cała zawartość (0,9</w:t>
      </w:r>
      <w:r w:rsidR="002133F3" w:rsidRPr="00F13073">
        <w:rPr>
          <w:rStyle w:val="Char"/>
        </w:rPr>
        <w:t> </w:t>
      </w:r>
      <w:r w:rsidRPr="00F13073">
        <w:rPr>
          <w:rStyle w:val="Char"/>
        </w:rPr>
        <w:t>mL) wstrzykiwacza półautomatycznego napełnionego musi być podana w iniekcji podskórnej. Zalecane obszary wstrzykiwania (brzuch, udo i górna część ramienia) należy zmieniać, a zastrzyku nigdy nie należy wykonywać w znamiona, blizny lub obszary, gdzie skóra jest wrażliwa, zasiniona, zaczerwieniona, twarda lub uszkodzona.</w:t>
      </w:r>
    </w:p>
    <w:p w14:paraId="3012D548" w14:textId="77777777" w:rsidR="00D36F8C" w:rsidRPr="00F13073" w:rsidRDefault="00D36F8C" w:rsidP="008B4C50">
      <w:pPr>
        <w:pStyle w:val="a4"/>
        <w:widowControl/>
        <w:spacing w:after="0"/>
      </w:pPr>
    </w:p>
    <w:p w14:paraId="5D8CE885" w14:textId="77777777" w:rsidR="00B53DC2" w:rsidRPr="00F13073" w:rsidRDefault="00B53DC2" w:rsidP="008B4C50">
      <w:pPr>
        <w:pStyle w:val="a4"/>
        <w:widowControl/>
        <w:spacing w:after="0"/>
        <w:rPr>
          <w:rStyle w:val="Char"/>
        </w:rPr>
      </w:pPr>
      <w:r w:rsidRPr="00F13073">
        <w:rPr>
          <w:rStyle w:val="Char"/>
        </w:rPr>
        <w:t>Nie należy wstrząsać wstrzykiwaczem półautomatycznym napełnionym.</w:t>
      </w:r>
    </w:p>
    <w:p w14:paraId="01C12D75" w14:textId="77777777" w:rsidR="00D36F8C" w:rsidRPr="00F13073" w:rsidRDefault="00D36F8C" w:rsidP="008B4C50">
      <w:pPr>
        <w:pStyle w:val="a4"/>
        <w:widowControl/>
        <w:spacing w:after="0"/>
      </w:pPr>
    </w:p>
    <w:p w14:paraId="6AF98DA2" w14:textId="5F3F7EEF" w:rsidR="00B53DC2" w:rsidRPr="00F13073" w:rsidRDefault="00B53DC2" w:rsidP="008B4C50">
      <w:pPr>
        <w:pStyle w:val="a4"/>
        <w:widowControl/>
        <w:spacing w:after="0"/>
      </w:pPr>
      <w:r w:rsidRPr="00F13073">
        <w:rPr>
          <w:rStyle w:val="Char"/>
        </w:rPr>
        <w:t xml:space="preserve">Dokładne instrukcje dotyczące podawania produktu leczniczego </w:t>
      </w:r>
      <w:r w:rsidR="00026375" w:rsidRPr="00F13073">
        <w:rPr>
          <w:rStyle w:val="Char"/>
        </w:rPr>
        <w:t>Avtozma</w:t>
      </w:r>
      <w:r w:rsidRPr="00F13073">
        <w:rPr>
          <w:rStyle w:val="Char"/>
        </w:rPr>
        <w:t xml:space="preserve"> we wstrzykiwaczu półautomatycznym napełnionym podano w ulotce dołączonej do opakowania, patrz punkt 6.6.</w:t>
      </w:r>
    </w:p>
    <w:p w14:paraId="02BB7F89" w14:textId="77777777" w:rsidR="00B90A82" w:rsidRPr="00F13073" w:rsidRDefault="00B90A82" w:rsidP="008B4C50"/>
    <w:p w14:paraId="6E1862BD" w14:textId="77777777" w:rsidR="001E0975" w:rsidRPr="00F13073" w:rsidRDefault="001721B1" w:rsidP="008B4C50">
      <w:pPr>
        <w:keepNext/>
        <w:ind w:left="567" w:hanging="567"/>
        <w:rPr>
          <w:b/>
          <w:bCs/>
        </w:rPr>
      </w:pPr>
      <w:r w:rsidRPr="00F13073">
        <w:rPr>
          <w:b/>
          <w:bCs/>
        </w:rPr>
        <w:t>4.3</w:t>
      </w:r>
      <w:r w:rsidRPr="00F13073">
        <w:rPr>
          <w:b/>
          <w:bCs/>
        </w:rPr>
        <w:tab/>
      </w:r>
      <w:r w:rsidR="00D36F8C" w:rsidRPr="00F13073">
        <w:rPr>
          <w:rStyle w:val="Char"/>
          <w:rFonts w:eastAsia="DengXian"/>
          <w:b/>
          <w:bCs/>
        </w:rPr>
        <w:t>Przeciwwskazania</w:t>
      </w:r>
    </w:p>
    <w:p w14:paraId="3890E0CD" w14:textId="77777777" w:rsidR="00B90A82" w:rsidRPr="00F13073" w:rsidRDefault="00B90A82" w:rsidP="008B4C50">
      <w:pPr>
        <w:keepNext/>
        <w:ind w:left="567" w:hanging="567"/>
        <w:rPr>
          <w:b/>
          <w:bCs/>
        </w:rPr>
      </w:pPr>
    </w:p>
    <w:p w14:paraId="290CF7DC" w14:textId="77777777" w:rsidR="00D36F8C" w:rsidRPr="00F13073" w:rsidRDefault="00D36F8C" w:rsidP="008B4C50">
      <w:pPr>
        <w:pStyle w:val="a4"/>
        <w:widowControl/>
        <w:spacing w:after="0"/>
        <w:rPr>
          <w:rStyle w:val="Char"/>
        </w:rPr>
      </w:pPr>
      <w:r w:rsidRPr="00F13073">
        <w:rPr>
          <w:rStyle w:val="Char"/>
        </w:rPr>
        <w:t>Nadwrażliwość na substancję czynną lub na którąkolwiek substancję pomocniczą wymienioną w punkcie 6.1.</w:t>
      </w:r>
    </w:p>
    <w:p w14:paraId="718D6F29" w14:textId="77777777" w:rsidR="00D36F8C" w:rsidRPr="00F13073" w:rsidRDefault="00D36F8C" w:rsidP="008B4C50">
      <w:pPr>
        <w:pStyle w:val="a4"/>
        <w:widowControl/>
        <w:spacing w:after="0"/>
      </w:pPr>
    </w:p>
    <w:p w14:paraId="59EE7998" w14:textId="77777777" w:rsidR="00D36F8C" w:rsidRPr="00F13073" w:rsidRDefault="00D36F8C" w:rsidP="008B4C50">
      <w:pPr>
        <w:pStyle w:val="a4"/>
        <w:widowControl/>
        <w:spacing w:after="0"/>
        <w:rPr>
          <w:rStyle w:val="Char"/>
        </w:rPr>
      </w:pPr>
      <w:r w:rsidRPr="00F13073">
        <w:rPr>
          <w:rStyle w:val="Char"/>
        </w:rPr>
        <w:t>Czynne, ciężkie zakażenia (patrz punkt 4.4).</w:t>
      </w:r>
    </w:p>
    <w:p w14:paraId="2CBBA63E" w14:textId="77777777" w:rsidR="00D36F8C" w:rsidRPr="00F13073" w:rsidRDefault="00D36F8C" w:rsidP="008B4C50">
      <w:pPr>
        <w:pStyle w:val="a4"/>
        <w:widowControl/>
        <w:spacing w:after="0"/>
      </w:pPr>
    </w:p>
    <w:p w14:paraId="35E57330" w14:textId="77777777" w:rsidR="00D36F8C" w:rsidRPr="00F13073" w:rsidRDefault="00D36F8C" w:rsidP="008B4C50">
      <w:pPr>
        <w:keepNext/>
        <w:ind w:left="567" w:hanging="567"/>
      </w:pPr>
      <w:r w:rsidRPr="00F13073">
        <w:rPr>
          <w:rStyle w:val="Char"/>
          <w:rFonts w:eastAsia="DengXian"/>
          <w:b/>
          <w:bCs/>
        </w:rPr>
        <w:t>4.4</w:t>
      </w:r>
      <w:r w:rsidRPr="00F13073">
        <w:rPr>
          <w:rStyle w:val="Char"/>
          <w:rFonts w:eastAsia="DengXian"/>
          <w:b/>
          <w:bCs/>
        </w:rPr>
        <w:tab/>
        <w:t>Specjalne ostrzeżenia i środki ostrożności dotyczące stosowania</w:t>
      </w:r>
    </w:p>
    <w:p w14:paraId="3E80CA09" w14:textId="77777777" w:rsidR="00D36F8C" w:rsidRPr="00F13073" w:rsidRDefault="00D36F8C" w:rsidP="008B4C50">
      <w:pPr>
        <w:pStyle w:val="a4"/>
        <w:widowControl/>
        <w:spacing w:after="0"/>
        <w:rPr>
          <w:rStyle w:val="Char"/>
        </w:rPr>
      </w:pPr>
    </w:p>
    <w:p w14:paraId="6DD38DB0" w14:textId="21F570D1" w:rsidR="00D36F8C" w:rsidRPr="00F13073" w:rsidRDefault="00D36F8C"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postaci do podawania podskórnego nie jest przeznaczony do podawania dożylnego.</w:t>
      </w:r>
    </w:p>
    <w:p w14:paraId="67EF91A5" w14:textId="77777777" w:rsidR="00D36F8C" w:rsidRPr="00F13073" w:rsidRDefault="00D36F8C" w:rsidP="008B4C50">
      <w:pPr>
        <w:pStyle w:val="a4"/>
        <w:widowControl/>
        <w:spacing w:after="0"/>
      </w:pPr>
    </w:p>
    <w:p w14:paraId="6CB358C1" w14:textId="77777777" w:rsidR="00D36F8C" w:rsidRPr="00F13073" w:rsidRDefault="00D36F8C" w:rsidP="008B4C50">
      <w:pPr>
        <w:pStyle w:val="a4"/>
        <w:widowControl/>
        <w:spacing w:after="0"/>
      </w:pPr>
      <w:r w:rsidRPr="00F13073">
        <w:rPr>
          <w:rStyle w:val="Char"/>
          <w:i/>
          <w:iCs/>
        </w:rPr>
        <w:t>Identyfikowalność</w:t>
      </w:r>
    </w:p>
    <w:p w14:paraId="3760E0F2" w14:textId="77777777" w:rsidR="00D36F8C" w:rsidRPr="00F13073" w:rsidRDefault="00D36F8C" w:rsidP="008B4C50">
      <w:pPr>
        <w:pStyle w:val="a4"/>
        <w:widowControl/>
        <w:spacing w:after="0"/>
        <w:rPr>
          <w:rStyle w:val="Char"/>
        </w:rPr>
      </w:pPr>
      <w:r w:rsidRPr="00F13073">
        <w:rPr>
          <w:rStyle w:val="Char"/>
        </w:rPr>
        <w:t>W celu poprawy identyfikowalności biologicznych produktów leczniczych nazwa handlowa i numer serii podawanego produktu powinny zostać jasno zapisane (lub odnotowane) w dokumentacji pacjenta.</w:t>
      </w:r>
    </w:p>
    <w:p w14:paraId="1AA26F12" w14:textId="77777777" w:rsidR="00D36F8C" w:rsidRPr="00F13073" w:rsidRDefault="00D36F8C" w:rsidP="008B4C50">
      <w:pPr>
        <w:pStyle w:val="a4"/>
        <w:widowControl/>
        <w:spacing w:after="0"/>
      </w:pPr>
    </w:p>
    <w:p w14:paraId="648BC022" w14:textId="77777777" w:rsidR="00D36F8C" w:rsidRPr="00F13073" w:rsidRDefault="00D36F8C" w:rsidP="008B4C50">
      <w:pPr>
        <w:pStyle w:val="a4"/>
        <w:widowControl/>
        <w:spacing w:after="0"/>
      </w:pPr>
      <w:r w:rsidRPr="00F13073">
        <w:rPr>
          <w:rStyle w:val="Char"/>
          <w:i/>
          <w:iCs/>
        </w:rPr>
        <w:t>Zakażenia</w:t>
      </w:r>
    </w:p>
    <w:p w14:paraId="6056B3D6" w14:textId="0C8EE712" w:rsidR="00D36F8C" w:rsidRPr="00F13073" w:rsidRDefault="00D36F8C" w:rsidP="008B4C50">
      <w:pPr>
        <w:pStyle w:val="a4"/>
        <w:widowControl/>
        <w:spacing w:after="0"/>
        <w:rPr>
          <w:rStyle w:val="Char"/>
        </w:rPr>
      </w:pPr>
      <w:r w:rsidRPr="00F13073">
        <w:rPr>
          <w:rStyle w:val="Char"/>
        </w:rPr>
        <w:t xml:space="preserve">U pacjentów otrzymujących leki immunosupresyjne, w tym </w:t>
      </w:r>
      <w:r w:rsidR="006657E6" w:rsidRPr="00F13073">
        <w:rPr>
          <w:rStyle w:val="Char"/>
        </w:rPr>
        <w:t>tocilizumab</w:t>
      </w:r>
      <w:r w:rsidRPr="00F13073">
        <w:rPr>
          <w:rStyle w:val="Char"/>
        </w:rPr>
        <w:t xml:space="preserve">, zgłaszano ciężkie zakażenia, niekiedy zakończone zgonem (patrz punkt 4.8 Działania niepożądane). Nie należy rozpoczynać leczenia produktem leczniczym </w:t>
      </w:r>
      <w:r w:rsidR="00026375" w:rsidRPr="00F13073">
        <w:rPr>
          <w:rStyle w:val="Char"/>
        </w:rPr>
        <w:t>Avtozma</w:t>
      </w:r>
      <w:r w:rsidRPr="00F13073">
        <w:rPr>
          <w:rStyle w:val="Char"/>
        </w:rPr>
        <w:t xml:space="preserve"> u chorych z czynnym zakażeniem (patrz punkt 4.3). Jeśli w trakcie leczenia rozwinie się u pacjenta ciężkie zakażenie, podawanie </w:t>
      </w:r>
      <w:r w:rsidR="006657E6" w:rsidRPr="00F13073">
        <w:rPr>
          <w:rStyle w:val="Char"/>
        </w:rPr>
        <w:t xml:space="preserve">tocilizumabu </w:t>
      </w:r>
      <w:r w:rsidRPr="00F13073">
        <w:rPr>
          <w:rStyle w:val="Char"/>
        </w:rPr>
        <w:t xml:space="preserve">należy przerwać do czasu opanowania zakażenia (patrz punkt 4.8). Zaleca się zachowanie szczególnej ostrożności przy podejmowaniu decyzji o zastosowaniu leczenia produktem leczniczym </w:t>
      </w:r>
      <w:r w:rsidR="00026375" w:rsidRPr="00F13073">
        <w:rPr>
          <w:rStyle w:val="Char"/>
        </w:rPr>
        <w:t>Avtozma</w:t>
      </w:r>
      <w:r w:rsidRPr="00F13073">
        <w:rPr>
          <w:rStyle w:val="Char"/>
        </w:rPr>
        <w:t xml:space="preserve"> u pacjentów z nawracającymi zakażeniami w wywiadzie lub przewlekłymi zakażeniami bądź z chorobami współistniejącymi tj. zapalenie uchyłków jelita, cukrzyca oraz choroba śródmiąższowa płuc, które mogą predysponować do zakażeń.</w:t>
      </w:r>
    </w:p>
    <w:p w14:paraId="793E10A0" w14:textId="77777777" w:rsidR="00D36F8C" w:rsidRPr="00F13073" w:rsidRDefault="00D36F8C" w:rsidP="008B4C50">
      <w:pPr>
        <w:pStyle w:val="a4"/>
        <w:widowControl/>
        <w:spacing w:after="0"/>
      </w:pPr>
    </w:p>
    <w:p w14:paraId="5D10BBF1" w14:textId="6F42AFB7" w:rsidR="00D36F8C" w:rsidRPr="00F13073" w:rsidRDefault="00D36F8C" w:rsidP="008B4C50">
      <w:pPr>
        <w:pStyle w:val="a4"/>
        <w:widowControl/>
        <w:spacing w:after="0"/>
        <w:rPr>
          <w:rStyle w:val="Char"/>
        </w:rPr>
      </w:pPr>
      <w:r w:rsidRPr="00F13073">
        <w:rPr>
          <w:rStyle w:val="Char"/>
        </w:rPr>
        <w:t xml:space="preserve">Zalecane jest zachowanie szczególnej czujności w celu odpowiednio wczesnego wykrycia ciężkiego zakażenia u pacjentów otrzymujących leki immunosupresyjne takie jak produkt leczniczy </w:t>
      </w:r>
      <w:r w:rsidR="00026375" w:rsidRPr="00F13073">
        <w:rPr>
          <w:rStyle w:val="Char"/>
        </w:rPr>
        <w:t>Avtozma</w:t>
      </w:r>
      <w:r w:rsidRPr="00F13073">
        <w:rPr>
          <w:rStyle w:val="Char"/>
        </w:rPr>
        <w:t xml:space="preserve">, gdyż objawy i symptomy kliniczne ostrego zapalenia mogą być słabiej wyrażone z powodu stłumienia reakcji ostrej fazy. Oceniając pacjenta pod względem możliwości wystąpienia zakażenia, należy rozważyć działanie produktu leczniczego </w:t>
      </w:r>
      <w:r w:rsidR="00026375" w:rsidRPr="00F13073">
        <w:rPr>
          <w:rStyle w:val="Char"/>
        </w:rPr>
        <w:t>Avtozma</w:t>
      </w:r>
      <w:r w:rsidRPr="00F13073">
        <w:rPr>
          <w:rStyle w:val="Char"/>
        </w:rPr>
        <w:t xml:space="preserve"> na białko C-reaktywne (CRP), granulocyty obojętnochłonne oraz przedmiotowe i podmiotowe objawy zakażenia. Pacjentów oraz rodziców/opiekunów pacjentów z uMIZS lub wMIZS należy poinstruować, aby w razie wystąpienia </w:t>
      </w:r>
      <w:r w:rsidRPr="00F13073">
        <w:rPr>
          <w:rStyle w:val="Char"/>
        </w:rPr>
        <w:lastRenderedPageBreak/>
        <w:t>jakichkolwiek objawów wskazujących na zakażenie niezwłocznie zgłosili się do lekarza w celu szybkiej oceny stanu klinicznego i zastosowania właściwego leczenia.</w:t>
      </w:r>
    </w:p>
    <w:p w14:paraId="6606E317" w14:textId="77777777" w:rsidR="00D36F8C" w:rsidRPr="00F13073" w:rsidRDefault="00D36F8C" w:rsidP="008B4C50">
      <w:pPr>
        <w:pStyle w:val="a4"/>
        <w:widowControl/>
        <w:spacing w:after="0"/>
      </w:pPr>
    </w:p>
    <w:p w14:paraId="3142E1B1" w14:textId="77777777" w:rsidR="00D36F8C" w:rsidRPr="00F13073" w:rsidRDefault="00D36F8C" w:rsidP="008B4C50">
      <w:pPr>
        <w:pStyle w:val="a4"/>
        <w:widowControl/>
        <w:spacing w:after="0"/>
      </w:pPr>
      <w:r w:rsidRPr="00F13073">
        <w:rPr>
          <w:rStyle w:val="Char"/>
          <w:i/>
          <w:iCs/>
        </w:rPr>
        <w:t>Gruźlica</w:t>
      </w:r>
    </w:p>
    <w:p w14:paraId="6DD91233" w14:textId="20754E03" w:rsidR="00D36F8C" w:rsidRPr="00F13073" w:rsidRDefault="00D36F8C" w:rsidP="008B4C50">
      <w:pPr>
        <w:pStyle w:val="a4"/>
        <w:widowControl/>
        <w:spacing w:after="0"/>
        <w:rPr>
          <w:rStyle w:val="Char"/>
        </w:rPr>
      </w:pPr>
      <w:r w:rsidRPr="00F13073">
        <w:rPr>
          <w:rStyle w:val="Char"/>
        </w:rPr>
        <w:t xml:space="preserve">Podobnie jak w przypadku innych terapii biologicznych, wszyscy pacjenci przed rozpoczęciem podawania produktu leczniczego </w:t>
      </w:r>
      <w:r w:rsidR="00026375" w:rsidRPr="00F13073">
        <w:rPr>
          <w:rStyle w:val="Char"/>
        </w:rPr>
        <w:t>Avtozma</w:t>
      </w:r>
      <w:r w:rsidRPr="00F13073">
        <w:rPr>
          <w:rStyle w:val="Char"/>
        </w:rPr>
        <w:t xml:space="preserve"> powinni zostać poddani badaniom przesiewowym w kierunku występowania utajonej gruźlicy (TB). U pacjentów z utajoną gruźlicą należy przed rozpoczęciem leczenia produktem leczniczym </w:t>
      </w:r>
      <w:r w:rsidR="00026375" w:rsidRPr="00F13073">
        <w:rPr>
          <w:rStyle w:val="Char"/>
        </w:rPr>
        <w:t>Avtozma</w:t>
      </w:r>
      <w:r w:rsidRPr="00F13073">
        <w:rPr>
          <w:rStyle w:val="Char"/>
        </w:rPr>
        <w:t xml:space="preserve"> zastosować standardowe leczenie przeciwprątkowe. Lekarze powinni pamiętać o ryzyku fałszywie ujemnych wyników tuberkulinowego testu skórnego oraz testu gamma interferonowego wykonywanego na podstawie badania krwi, zwłaszcza u pacjentów ciężko chorych lub u pacjentów o obniżonej odporności.</w:t>
      </w:r>
    </w:p>
    <w:p w14:paraId="3B9C12A2" w14:textId="77777777" w:rsidR="00D36F8C" w:rsidRPr="00F13073" w:rsidRDefault="00D36F8C" w:rsidP="008B4C50">
      <w:pPr>
        <w:pStyle w:val="a4"/>
        <w:widowControl/>
        <w:spacing w:after="0"/>
      </w:pPr>
    </w:p>
    <w:p w14:paraId="6D839E1A" w14:textId="4F3E7DC4" w:rsidR="00D36F8C" w:rsidRPr="00F13073" w:rsidRDefault="00D36F8C" w:rsidP="008B4C50">
      <w:pPr>
        <w:pStyle w:val="a4"/>
        <w:widowControl/>
        <w:spacing w:after="0"/>
        <w:rPr>
          <w:rStyle w:val="Char"/>
        </w:rPr>
      </w:pPr>
      <w:r w:rsidRPr="00F13073">
        <w:rPr>
          <w:rStyle w:val="Char"/>
        </w:rPr>
        <w:t xml:space="preserve">Pacjentów oraz rodziców/opiekunów pacjentów z uMIZS lub wMIZS należy poinstruować, aby zwrócili się do lekarza, jeśli w trakcie lub po terapii produktem leczniczym </w:t>
      </w:r>
      <w:r w:rsidR="00026375" w:rsidRPr="00F13073">
        <w:rPr>
          <w:rStyle w:val="Char"/>
        </w:rPr>
        <w:t>Avtozma</w:t>
      </w:r>
      <w:r w:rsidRPr="00F13073">
        <w:rPr>
          <w:rStyle w:val="Char"/>
        </w:rPr>
        <w:t xml:space="preserve"> wystąpią objawy wskazujące na zakażenie gruźlicą (np. uporczywy kaszel, wyniszczenie/zmniejszenie masy ciała, niewielka gorączka).</w:t>
      </w:r>
    </w:p>
    <w:p w14:paraId="6D552FB2" w14:textId="77777777" w:rsidR="00D36F8C" w:rsidRPr="00F13073" w:rsidRDefault="00D36F8C" w:rsidP="008B4C50">
      <w:pPr>
        <w:pStyle w:val="a4"/>
        <w:widowControl/>
        <w:spacing w:after="0"/>
      </w:pPr>
    </w:p>
    <w:p w14:paraId="7813C15D" w14:textId="77777777" w:rsidR="00D36F8C" w:rsidRPr="00F13073" w:rsidRDefault="00D36F8C" w:rsidP="004660C1">
      <w:pPr>
        <w:pStyle w:val="a4"/>
        <w:keepNext/>
        <w:keepLines/>
        <w:widowControl/>
        <w:spacing w:after="0"/>
      </w:pPr>
      <w:r w:rsidRPr="00F13073">
        <w:rPr>
          <w:rStyle w:val="Char"/>
          <w:i/>
          <w:iCs/>
        </w:rPr>
        <w:t>Reaktywacja zakażenia wirusowego</w:t>
      </w:r>
    </w:p>
    <w:p w14:paraId="28EDF6CF" w14:textId="597105F9" w:rsidR="00D36F8C" w:rsidRPr="00F13073" w:rsidRDefault="00D36F8C" w:rsidP="008B4C50">
      <w:pPr>
        <w:pStyle w:val="a4"/>
        <w:widowControl/>
        <w:spacing w:after="0"/>
        <w:rPr>
          <w:rStyle w:val="Char"/>
        </w:rPr>
      </w:pPr>
      <w:r w:rsidRPr="00F13073">
        <w:rPr>
          <w:rStyle w:val="Char"/>
        </w:rPr>
        <w:t xml:space="preserve">W trakcie leczenia biologicznego chorych na RZS zgłaszano przypadki reaktywacji zakażenia wirusowego (np. wirusem zapalenia wątroby typu B). Do badań klinicznych z </w:t>
      </w:r>
      <w:r w:rsidR="00495B8D" w:rsidRPr="00F13073">
        <w:rPr>
          <w:rStyle w:val="Char"/>
        </w:rPr>
        <w:t>tocilizumabem</w:t>
      </w:r>
      <w:r w:rsidRPr="00F13073">
        <w:rPr>
          <w:rStyle w:val="Char"/>
        </w:rPr>
        <w:t xml:space="preserve"> nie włączano pacjentów, którzy w badaniach przesiewowych mieli dodatni wynik testu w kierunku wirusowego zapalenia wątroby.</w:t>
      </w:r>
    </w:p>
    <w:p w14:paraId="4C223DF0" w14:textId="77777777" w:rsidR="00D36F8C" w:rsidRPr="00F13073" w:rsidRDefault="00D36F8C" w:rsidP="008B4C50">
      <w:pPr>
        <w:pStyle w:val="a4"/>
        <w:widowControl/>
        <w:spacing w:after="0"/>
      </w:pPr>
    </w:p>
    <w:p w14:paraId="58AEF8C0" w14:textId="77777777" w:rsidR="00D36F8C" w:rsidRPr="00F13073" w:rsidRDefault="00D36F8C" w:rsidP="008B4C50">
      <w:pPr>
        <w:pStyle w:val="a4"/>
        <w:widowControl/>
        <w:spacing w:after="0"/>
      </w:pPr>
      <w:r w:rsidRPr="00F13073">
        <w:rPr>
          <w:rStyle w:val="Char"/>
          <w:i/>
          <w:iCs/>
        </w:rPr>
        <w:t>Powikłania zapalenia uchyłków jelita</w:t>
      </w:r>
    </w:p>
    <w:p w14:paraId="4B89D26A" w14:textId="5323CDFB" w:rsidR="00D36F8C" w:rsidRPr="00F13073" w:rsidRDefault="00D36F8C" w:rsidP="008B4C50">
      <w:pPr>
        <w:pStyle w:val="a4"/>
        <w:widowControl/>
        <w:spacing w:after="0"/>
        <w:rPr>
          <w:rStyle w:val="Char"/>
        </w:rPr>
      </w:pPr>
      <w:r w:rsidRPr="00F13073">
        <w:rPr>
          <w:rStyle w:val="Char"/>
        </w:rPr>
        <w:t xml:space="preserve">Niezbyt często zgłaszano przypadki perforacji uchyłków jako powikłanie zapalenia uchyłków u chorych leczonych produktem leczniczym </w:t>
      </w:r>
      <w:r w:rsidR="00026375" w:rsidRPr="00F13073">
        <w:rPr>
          <w:rStyle w:val="Char"/>
        </w:rPr>
        <w:t>Avtozma</w:t>
      </w:r>
      <w:r w:rsidRPr="00F13073">
        <w:rPr>
          <w:rStyle w:val="Char"/>
        </w:rPr>
        <w:t xml:space="preserve"> (patrz punkt 4.8). Należy zachować szczególną ostrożność przy stosowaniu produktu leczniczego </w:t>
      </w:r>
      <w:r w:rsidR="00026375" w:rsidRPr="00F13073">
        <w:rPr>
          <w:rStyle w:val="Char"/>
        </w:rPr>
        <w:t>Avtozma</w:t>
      </w:r>
      <w:r w:rsidRPr="00F13073">
        <w:rPr>
          <w:rStyle w:val="Char"/>
        </w:rPr>
        <w:t xml:space="preserve"> u pacjentów z owrzodzeniem jelita lub zapaleniem uchyłków w wywiadzie. Pacjenci zgłaszający się z objawami klinicznymi wskazującymi na powikłane zapalenie uchyłków, takimi jak: ból brzucha, krwotok i (lub) niewyjaśniona zmiana w rytmie wypróżnień z towarzyszącą gorączką powinni zostać poddani natychmiastowej ocenie klinicznej pod kątem wczesnego wykrycia zapalenia uchyłków, które może prowadzić do perforacji przewodu pokarmowego.</w:t>
      </w:r>
    </w:p>
    <w:p w14:paraId="0159FF3C" w14:textId="77777777" w:rsidR="00D36F8C" w:rsidRPr="00F13073" w:rsidRDefault="00D36F8C" w:rsidP="008B4C50">
      <w:pPr>
        <w:pStyle w:val="a4"/>
        <w:widowControl/>
        <w:spacing w:after="0"/>
      </w:pPr>
    </w:p>
    <w:p w14:paraId="74A14249" w14:textId="77777777" w:rsidR="00D36F8C" w:rsidRPr="00F13073" w:rsidRDefault="00D36F8C" w:rsidP="008B4C50">
      <w:pPr>
        <w:pStyle w:val="a4"/>
        <w:widowControl/>
        <w:spacing w:after="0"/>
      </w:pPr>
      <w:r w:rsidRPr="00F13073">
        <w:rPr>
          <w:rStyle w:val="Char"/>
          <w:i/>
          <w:iCs/>
        </w:rPr>
        <w:t>Reakcje nadwrażliwości</w:t>
      </w:r>
    </w:p>
    <w:p w14:paraId="6978F224" w14:textId="3DCF9568" w:rsidR="00D36F8C" w:rsidRPr="00F13073" w:rsidRDefault="00D36F8C" w:rsidP="008B4C50">
      <w:pPr>
        <w:pStyle w:val="a4"/>
        <w:widowControl/>
        <w:spacing w:after="0"/>
        <w:rPr>
          <w:rStyle w:val="Char"/>
        </w:rPr>
      </w:pPr>
      <w:r w:rsidRPr="00F13073">
        <w:rPr>
          <w:rStyle w:val="Char"/>
        </w:rPr>
        <w:t xml:space="preserve">Zgłaszano występowanie ciężkich reakcji alergicznych, w tym anafilaksji, w związku ze stosowaniem </w:t>
      </w:r>
      <w:r w:rsidR="00295264" w:rsidRPr="00F13073">
        <w:t>tocilizumabu</w:t>
      </w:r>
      <w:r w:rsidR="00295264" w:rsidRPr="00F13073" w:rsidDel="0019658B">
        <w:t xml:space="preserve"> </w:t>
      </w:r>
      <w:r w:rsidRPr="00F13073">
        <w:rPr>
          <w:rStyle w:val="Char"/>
        </w:rPr>
        <w:t xml:space="preserve">(patrz punkt 4.8). Takie reakcje mogą mieć cięższy przebieg i potencjalnie kończyć się zgonem w przypadku pacjentów, u których wystąpiły reakcje nadwrażliwości podczas wcześniejszego leczenia produktem leczniczym </w:t>
      </w:r>
      <w:r w:rsidR="00026375" w:rsidRPr="00F13073">
        <w:rPr>
          <w:rStyle w:val="Char"/>
        </w:rPr>
        <w:t>Avtozma</w:t>
      </w:r>
      <w:r w:rsidRPr="00F13073">
        <w:rPr>
          <w:rStyle w:val="Char"/>
        </w:rPr>
        <w:t xml:space="preserve">, nawet w przypadku zastosowania premedykacji z użyciem leków steroidowych i przeciwhistaminowych. W przypadku wystąpienia reakcji anafilaktycznej lub innej ciężkiej reakcji nadwrażliwości należy natychmiast przerwać podawanie produktu leczniczego </w:t>
      </w:r>
      <w:r w:rsidR="00026375" w:rsidRPr="00F13073">
        <w:rPr>
          <w:rStyle w:val="Char"/>
        </w:rPr>
        <w:t>Avtozma</w:t>
      </w:r>
      <w:r w:rsidRPr="00F13073">
        <w:rPr>
          <w:rStyle w:val="Char"/>
        </w:rPr>
        <w:t xml:space="preserve">, rozpocząć odpowiednie leczenie i na stałe zrezygnować ze stosowania produktu leczniczego </w:t>
      </w:r>
      <w:r w:rsidR="00026375" w:rsidRPr="00F13073">
        <w:rPr>
          <w:rStyle w:val="Char"/>
        </w:rPr>
        <w:t>Avtozma</w:t>
      </w:r>
      <w:r w:rsidRPr="00F13073">
        <w:rPr>
          <w:rStyle w:val="Char"/>
        </w:rPr>
        <w:t>.</w:t>
      </w:r>
    </w:p>
    <w:p w14:paraId="5FEE2B9D" w14:textId="77777777" w:rsidR="00D36F8C" w:rsidRPr="00F13073" w:rsidRDefault="00D36F8C" w:rsidP="008B4C50">
      <w:pPr>
        <w:pStyle w:val="a4"/>
        <w:widowControl/>
        <w:spacing w:after="0"/>
      </w:pPr>
    </w:p>
    <w:p w14:paraId="4F0C0C63" w14:textId="77777777" w:rsidR="00D36F8C" w:rsidRPr="00F13073" w:rsidRDefault="00D36F8C" w:rsidP="008B4C50">
      <w:pPr>
        <w:pStyle w:val="a4"/>
        <w:widowControl/>
        <w:spacing w:after="0"/>
      </w:pPr>
      <w:r w:rsidRPr="00F13073">
        <w:rPr>
          <w:rStyle w:val="Char"/>
          <w:i/>
          <w:iCs/>
        </w:rPr>
        <w:t>Czynna choroba wątroby i upośledzenie czynności wątroby</w:t>
      </w:r>
    </w:p>
    <w:p w14:paraId="1C441074" w14:textId="5FA39C62" w:rsidR="00D36F8C" w:rsidRPr="00F13073" w:rsidRDefault="00D36F8C" w:rsidP="008B4C50">
      <w:pPr>
        <w:pStyle w:val="a4"/>
        <w:widowControl/>
        <w:spacing w:after="0"/>
        <w:rPr>
          <w:rStyle w:val="Char"/>
        </w:rPr>
      </w:pPr>
      <w:r w:rsidRPr="00F13073">
        <w:rPr>
          <w:rStyle w:val="Char"/>
        </w:rPr>
        <w:t xml:space="preserve">W trakcie leczenia produktem leczniczym </w:t>
      </w:r>
      <w:r w:rsidR="00026375" w:rsidRPr="00F13073">
        <w:rPr>
          <w:rStyle w:val="Char"/>
        </w:rPr>
        <w:t>Avtozma</w:t>
      </w:r>
      <w:r w:rsidRPr="00F13073">
        <w:rPr>
          <w:rStyle w:val="Char"/>
        </w:rPr>
        <w:t>, zwłaszcza gdy jest on podawany równocześnie z metotreksatem, może dojść do zwiększenia aktywności aminotransferaz wątrobowych. Dlatego też należy zachować szczególną ostrożność, rozważając leczenie u pacjentów z czynną chorobą wątroby lub zaburzoną czynnością wątroby (patrz punkty 4.2 i 4.8).</w:t>
      </w:r>
    </w:p>
    <w:p w14:paraId="7A37E77D" w14:textId="77777777" w:rsidR="00D36F8C" w:rsidRPr="00F13073" w:rsidRDefault="00D36F8C" w:rsidP="008B4C50">
      <w:pPr>
        <w:pStyle w:val="a4"/>
        <w:widowControl/>
        <w:spacing w:after="0"/>
      </w:pPr>
    </w:p>
    <w:p w14:paraId="4DB88CD6" w14:textId="77777777" w:rsidR="00D36F8C" w:rsidRPr="00F13073" w:rsidRDefault="00D36F8C" w:rsidP="008B4C50">
      <w:pPr>
        <w:pStyle w:val="a4"/>
        <w:widowControl/>
        <w:spacing w:after="0"/>
      </w:pPr>
      <w:r w:rsidRPr="00F13073">
        <w:rPr>
          <w:rStyle w:val="Char"/>
          <w:i/>
          <w:iCs/>
        </w:rPr>
        <w:t>Hepatotoksyczność</w:t>
      </w:r>
    </w:p>
    <w:p w14:paraId="3BFFD345" w14:textId="3AA23006" w:rsidR="00D36F8C" w:rsidRPr="00F13073" w:rsidRDefault="00D36F8C" w:rsidP="008B4C50">
      <w:pPr>
        <w:pStyle w:val="a4"/>
        <w:widowControl/>
        <w:spacing w:after="0"/>
        <w:rPr>
          <w:rStyle w:val="Char"/>
        </w:rPr>
      </w:pPr>
      <w:r w:rsidRPr="00F13073">
        <w:rPr>
          <w:rStyle w:val="Char"/>
        </w:rPr>
        <w:t xml:space="preserve">W trakcie leczenia </w:t>
      </w:r>
      <w:r w:rsidR="00A234BD" w:rsidRPr="00F13073">
        <w:rPr>
          <w:rStyle w:val="Char"/>
        </w:rPr>
        <w:t xml:space="preserve">tocilizumabem </w:t>
      </w:r>
      <w:r w:rsidR="00A234BD" w:rsidRPr="00F13073" w:rsidDel="00A234BD">
        <w:rPr>
          <w:rStyle w:val="Char"/>
        </w:rPr>
        <w:t xml:space="preserve"> </w:t>
      </w:r>
      <w:r w:rsidRPr="00F13073">
        <w:rPr>
          <w:rStyle w:val="Char"/>
        </w:rPr>
        <w:t xml:space="preserve">zgłaszano często przejściowe lub okresowe zwiększenia aktywności aminotransferaz wątrobowych o nasileniu łagodnym i umiarkowanym (patrz punkt 4.8). Obserwowano częstsze przypadki zwiększenia aktywności enzymów, gdy równocześnie z </w:t>
      </w:r>
      <w:r w:rsidR="00A234BD" w:rsidRPr="00F13073">
        <w:rPr>
          <w:rStyle w:val="Char"/>
        </w:rPr>
        <w:t xml:space="preserve">tocilizumabem </w:t>
      </w:r>
      <w:r w:rsidRPr="00F13073">
        <w:rPr>
          <w:rStyle w:val="Char"/>
        </w:rPr>
        <w:t>podawano leki potencjalnie hepatotoksyczne (np. MTX). W przypadku wskazań klinicznych należy rozważyć wykonanie dodatkowych badań oceniających czynność wątroby, w tym oznaczenie stężenia bilirubiny.</w:t>
      </w:r>
    </w:p>
    <w:p w14:paraId="6058DCA0" w14:textId="77777777" w:rsidR="00D36F8C" w:rsidRPr="00F13073" w:rsidRDefault="00D36F8C" w:rsidP="008B4C50">
      <w:pPr>
        <w:pStyle w:val="a4"/>
        <w:widowControl/>
        <w:spacing w:after="0"/>
      </w:pPr>
    </w:p>
    <w:p w14:paraId="4C14C8CE" w14:textId="1940B625" w:rsidR="00D36F8C" w:rsidRPr="00F13073" w:rsidRDefault="00D36F8C" w:rsidP="008B4C50">
      <w:pPr>
        <w:pStyle w:val="a4"/>
        <w:widowControl/>
        <w:spacing w:after="0"/>
        <w:rPr>
          <w:rStyle w:val="Char"/>
        </w:rPr>
      </w:pPr>
      <w:r w:rsidRPr="00F13073">
        <w:rPr>
          <w:rStyle w:val="Char"/>
        </w:rPr>
        <w:lastRenderedPageBreak/>
        <w:t xml:space="preserve">U pacjentów przyjmujących </w:t>
      </w:r>
      <w:r w:rsidR="00A234BD" w:rsidRPr="00F13073">
        <w:rPr>
          <w:rStyle w:val="Char"/>
        </w:rPr>
        <w:t>tocilizumab</w:t>
      </w:r>
      <w:r w:rsidR="00A234BD" w:rsidRPr="00F13073" w:rsidDel="00A234BD">
        <w:rPr>
          <w:rStyle w:val="Char"/>
        </w:rPr>
        <w:t xml:space="preserve"> </w:t>
      </w:r>
      <w:r w:rsidRPr="00F13073">
        <w:rPr>
          <w:rStyle w:val="Char"/>
        </w:rPr>
        <w:t xml:space="preserve">obserwowano przypadki ciężkiego uszkodzenia wątroby wywołanego przez lek, w tym ostrą niewydolność wątroby, zapalenie wątroby i żółtaczkę (patrz punkt 4.8). Ciężkie uszkodzenie wątroby występowało w okresie od 2 tygodni do ponad 5 lat po rozpoczęciu przyjmowania </w:t>
      </w:r>
      <w:r w:rsidR="00A234BD" w:rsidRPr="00F13073">
        <w:rPr>
          <w:rStyle w:val="Char"/>
        </w:rPr>
        <w:t>tocilizumabu</w:t>
      </w:r>
      <w:r w:rsidRPr="00F13073">
        <w:rPr>
          <w:rStyle w:val="Char"/>
        </w:rPr>
        <w:t>. Opisywano przypadki niewydolności wątroby prowadzącej do przeszczepu wątroby. Należy poinformować pacjentów o konieczności natychmiastowego zgłoszenia się do lekarza w przypadku wystąpienia objawów przedmiotowych i podmiotowych uszkodzenia wątroby.</w:t>
      </w:r>
    </w:p>
    <w:p w14:paraId="54686924" w14:textId="77777777" w:rsidR="00D36F8C" w:rsidRPr="00F13073" w:rsidRDefault="00D36F8C" w:rsidP="008B4C50">
      <w:pPr>
        <w:pStyle w:val="a4"/>
        <w:widowControl/>
        <w:spacing w:after="0"/>
      </w:pPr>
    </w:p>
    <w:p w14:paraId="44966FE8" w14:textId="0CA418DA" w:rsidR="00D36F8C" w:rsidRPr="00F13073" w:rsidRDefault="00D36F8C" w:rsidP="008B4C50">
      <w:pPr>
        <w:pStyle w:val="a4"/>
        <w:widowControl/>
        <w:spacing w:after="0"/>
        <w:rPr>
          <w:rStyle w:val="Char"/>
        </w:rPr>
      </w:pPr>
      <w:r w:rsidRPr="00F13073">
        <w:rPr>
          <w:rStyle w:val="Char"/>
        </w:rPr>
        <w:t xml:space="preserve">Należy zachować szczególną ostrożność, rozważając rozpoczęcie leczenia produktem leczniczym </w:t>
      </w:r>
      <w:r w:rsidR="00026375" w:rsidRPr="00F13073">
        <w:rPr>
          <w:rStyle w:val="Char"/>
        </w:rPr>
        <w:t>Avtozma</w:t>
      </w:r>
      <w:r w:rsidRPr="00F13073">
        <w:rPr>
          <w:rStyle w:val="Char"/>
        </w:rPr>
        <w:t xml:space="preserve"> u pacjentów ze zwiększoną aktywnością aminotransferazy alaninowej (AlAT) lub asparaginianowej (AspAT) &gt; 1,5 x GGN (górna granica normy). Nie zaleca się leczenia produktem leczniczym </w:t>
      </w:r>
      <w:r w:rsidR="00026375" w:rsidRPr="00F13073">
        <w:rPr>
          <w:rStyle w:val="Char"/>
        </w:rPr>
        <w:t>Avtozma</w:t>
      </w:r>
      <w:r w:rsidRPr="00F13073">
        <w:rPr>
          <w:rStyle w:val="Char"/>
        </w:rPr>
        <w:t xml:space="preserve"> pacjentów z aktywnością AlAT lub AspAT przekraczającą &gt; 5 x GGN.</w:t>
      </w:r>
    </w:p>
    <w:p w14:paraId="5A4FEB59" w14:textId="77777777" w:rsidR="00D36F8C" w:rsidRPr="00F13073" w:rsidRDefault="00D36F8C" w:rsidP="008B4C50">
      <w:pPr>
        <w:pStyle w:val="a4"/>
        <w:widowControl/>
        <w:spacing w:after="0"/>
      </w:pPr>
    </w:p>
    <w:p w14:paraId="4704ADE4" w14:textId="346BF065" w:rsidR="00D36F8C" w:rsidRPr="00F13073" w:rsidRDefault="00D36F8C" w:rsidP="008B4C50">
      <w:pPr>
        <w:pStyle w:val="a4"/>
        <w:widowControl/>
        <w:spacing w:after="0"/>
        <w:rPr>
          <w:rStyle w:val="Char"/>
        </w:rPr>
      </w:pPr>
      <w:r w:rsidRPr="00F13073">
        <w:rPr>
          <w:rStyle w:val="Char"/>
        </w:rPr>
        <w:t xml:space="preserve">U chorych na RZS, GCA, wMIZS i uMIZS AlAT/AspAT należy kontrolować co 4 do 8 tygodni przez pierwsze 6 miesięcy leczenia, a następnie co 12 tygodni. Zalecenia dotyczące modyfikacji dawki, w tym przerwania podawania produktu leczniczego </w:t>
      </w:r>
      <w:r w:rsidR="00026375" w:rsidRPr="00F13073">
        <w:rPr>
          <w:rStyle w:val="Char"/>
        </w:rPr>
        <w:t>Avtozma</w:t>
      </w:r>
      <w:r w:rsidRPr="00F13073">
        <w:rPr>
          <w:rStyle w:val="Char"/>
        </w:rPr>
        <w:t xml:space="preserve">, w oparciu o aktywności aminotransferaz </w:t>
      </w:r>
      <w:r w:rsidR="00CC71A3" w:rsidRPr="00F13073">
        <w:rPr>
          <w:rStyle w:val="Char"/>
        </w:rPr>
        <w:t>–</w:t>
      </w:r>
      <w:r w:rsidRPr="00F13073">
        <w:rPr>
          <w:rStyle w:val="Char"/>
        </w:rPr>
        <w:t xml:space="preserve"> patrz punkt 4.2. W przypadkach zwiększenia aktywności AlAT lub AspAT &gt; 3</w:t>
      </w:r>
      <w:r w:rsidR="00CC71A3" w:rsidRPr="00F13073">
        <w:rPr>
          <w:rStyle w:val="Char"/>
        </w:rPr>
        <w:t>–</w:t>
      </w:r>
      <w:r w:rsidRPr="00F13073">
        <w:rPr>
          <w:rStyle w:val="Char"/>
        </w:rPr>
        <w:t xml:space="preserve">5 x GGN należy przerwać terapię produktem leczniczym </w:t>
      </w:r>
      <w:r w:rsidR="00026375" w:rsidRPr="00F13073">
        <w:rPr>
          <w:rStyle w:val="Char"/>
        </w:rPr>
        <w:t>Avtozma</w:t>
      </w:r>
      <w:r w:rsidRPr="00F13073">
        <w:rPr>
          <w:rStyle w:val="Char"/>
        </w:rPr>
        <w:t>.</w:t>
      </w:r>
    </w:p>
    <w:p w14:paraId="198FE7A3" w14:textId="77777777" w:rsidR="00D36F8C" w:rsidRPr="00F13073" w:rsidRDefault="00D36F8C" w:rsidP="008B4C50">
      <w:pPr>
        <w:pStyle w:val="a4"/>
        <w:widowControl/>
        <w:spacing w:after="0"/>
      </w:pPr>
    </w:p>
    <w:p w14:paraId="40B60998" w14:textId="77777777" w:rsidR="00D36F8C" w:rsidRPr="00F13073" w:rsidRDefault="00D36F8C" w:rsidP="008B4C50">
      <w:pPr>
        <w:pStyle w:val="a4"/>
        <w:widowControl/>
        <w:spacing w:after="0"/>
      </w:pPr>
      <w:r w:rsidRPr="00F13073">
        <w:rPr>
          <w:rStyle w:val="Char"/>
          <w:i/>
          <w:iCs/>
        </w:rPr>
        <w:t>Zaburzenia hematologiczne</w:t>
      </w:r>
    </w:p>
    <w:p w14:paraId="229ADA99" w14:textId="71F5ACDD" w:rsidR="00D36F8C" w:rsidRPr="00F13073" w:rsidRDefault="00D36F8C" w:rsidP="008B4C50">
      <w:pPr>
        <w:pStyle w:val="a4"/>
        <w:widowControl/>
        <w:spacing w:after="0"/>
        <w:rPr>
          <w:rStyle w:val="Char"/>
        </w:rPr>
      </w:pPr>
      <w:r w:rsidRPr="00F13073">
        <w:rPr>
          <w:rStyle w:val="Char"/>
        </w:rPr>
        <w:t xml:space="preserve">W trakcie stosowania leczenia skojarzonego </w:t>
      </w:r>
      <w:r w:rsidR="0000451E" w:rsidRPr="00F13073">
        <w:rPr>
          <w:rStyle w:val="Char"/>
        </w:rPr>
        <w:t xml:space="preserve">tocilizumabem </w:t>
      </w:r>
      <w:r w:rsidRPr="00F13073">
        <w:rPr>
          <w:rStyle w:val="Char"/>
        </w:rPr>
        <w:t>w dawce 8 mg/kg mc. z metotreksatem odnotowano obniżenie liczby granulocytów obojętnochłonnych i płytek krwi (patrz punkt 4.8). Istnieje zwiększone ryzyko wystąpienia neutropenii u pacjentów uprzednio leczonych inhibitorem TNF.</w:t>
      </w:r>
    </w:p>
    <w:p w14:paraId="29C0D2E9" w14:textId="77777777" w:rsidR="00D36F8C" w:rsidRPr="00F13073" w:rsidRDefault="00D36F8C" w:rsidP="008B4C50">
      <w:pPr>
        <w:pStyle w:val="a4"/>
        <w:widowControl/>
        <w:spacing w:after="0"/>
      </w:pPr>
    </w:p>
    <w:p w14:paraId="6567F861" w14:textId="40C1B776" w:rsidR="00D36F8C" w:rsidRPr="00F13073" w:rsidRDefault="00D36F8C" w:rsidP="008B4C50">
      <w:pPr>
        <w:pStyle w:val="a4"/>
        <w:widowControl/>
        <w:spacing w:after="0"/>
        <w:rPr>
          <w:rStyle w:val="Char"/>
        </w:rPr>
      </w:pPr>
      <w:r w:rsidRPr="00F13073">
        <w:rPr>
          <w:rStyle w:val="Char"/>
        </w:rPr>
        <w:t xml:space="preserve">U pacjentów, którzy nie otrzymywali wcześniej </w:t>
      </w:r>
      <w:r w:rsidR="0000451E" w:rsidRPr="00F13073">
        <w:rPr>
          <w:rStyle w:val="Char"/>
        </w:rPr>
        <w:t>tocilizumabu</w:t>
      </w:r>
      <w:r w:rsidRPr="00F13073">
        <w:rPr>
          <w:rStyle w:val="Char"/>
        </w:rPr>
        <w:t>, nie zaleca się rozpoczynania leczenia, jeśli wartość ANC jest niższa od 2 x 10</w:t>
      </w:r>
      <w:r w:rsidRPr="00F13073">
        <w:rPr>
          <w:rStyle w:val="Char"/>
          <w:vertAlign w:val="superscript"/>
        </w:rPr>
        <w:t>9</w:t>
      </w:r>
      <w:r w:rsidRPr="00F13073">
        <w:rPr>
          <w:rStyle w:val="Char"/>
        </w:rPr>
        <w:t xml:space="preserve">/l. Należy zachować ostrożność, rozważając rozpoczęcie leczenia </w:t>
      </w:r>
      <w:r w:rsidR="0000451E" w:rsidRPr="00F13073">
        <w:rPr>
          <w:rStyle w:val="Char"/>
        </w:rPr>
        <w:t xml:space="preserve">tocilizumabem </w:t>
      </w:r>
      <w:r w:rsidRPr="00F13073">
        <w:rPr>
          <w:rStyle w:val="Char"/>
        </w:rPr>
        <w:t>u pacjentów z niską liczbą płytek krwi (tj. liczba płytek krwi poniżej 100 x 10</w:t>
      </w:r>
      <w:r w:rsidRPr="00F13073">
        <w:rPr>
          <w:rStyle w:val="Char"/>
          <w:vertAlign w:val="superscript"/>
        </w:rPr>
        <w:t>3</w:t>
      </w:r>
      <w:r w:rsidRPr="00F13073">
        <w:rPr>
          <w:rStyle w:val="Char"/>
        </w:rPr>
        <w:t>/μL). Nie zaleca się kontynuowania leczenia u pacjentów z ANC &lt;0,5 x 10</w:t>
      </w:r>
      <w:r w:rsidRPr="00F13073">
        <w:rPr>
          <w:rStyle w:val="Char"/>
          <w:vertAlign w:val="superscript"/>
        </w:rPr>
        <w:t>9</w:t>
      </w:r>
      <w:r w:rsidRPr="00F13073">
        <w:rPr>
          <w:rStyle w:val="Char"/>
        </w:rPr>
        <w:t>/l lub liczbą płytek krwi &lt; 50 x 10</w:t>
      </w:r>
      <w:r w:rsidRPr="00F13073">
        <w:rPr>
          <w:rStyle w:val="Char"/>
          <w:vertAlign w:val="superscript"/>
        </w:rPr>
        <w:t>3</w:t>
      </w:r>
      <w:r w:rsidRPr="00F13073">
        <w:rPr>
          <w:rStyle w:val="Char"/>
        </w:rPr>
        <w:t>/μL.</w:t>
      </w:r>
    </w:p>
    <w:p w14:paraId="60B082DE" w14:textId="77777777" w:rsidR="00D36F8C" w:rsidRPr="00F13073" w:rsidRDefault="00D36F8C" w:rsidP="008B4C50">
      <w:pPr>
        <w:pStyle w:val="a4"/>
        <w:widowControl/>
        <w:spacing w:after="0"/>
      </w:pPr>
    </w:p>
    <w:p w14:paraId="6E99727C" w14:textId="6CB1AACE" w:rsidR="00D36F8C" w:rsidRPr="00F13073" w:rsidRDefault="00D36F8C" w:rsidP="008B4C50">
      <w:pPr>
        <w:pStyle w:val="a4"/>
        <w:widowControl/>
        <w:spacing w:after="0"/>
        <w:rPr>
          <w:rStyle w:val="Char"/>
        </w:rPr>
      </w:pPr>
      <w:r w:rsidRPr="00F13073">
        <w:rPr>
          <w:rStyle w:val="Char"/>
        </w:rPr>
        <w:t xml:space="preserve">Ciężka neutropenia może wiązać się ze zwiększonym ryzykiem wystąpienia ciężkich zakażeń, chociaż w badaniach klinicznych </w:t>
      </w:r>
      <w:r w:rsidR="0000451E" w:rsidRPr="00F13073">
        <w:rPr>
          <w:rStyle w:val="Char"/>
        </w:rPr>
        <w:t xml:space="preserve">tocilizumabu </w:t>
      </w:r>
      <w:r w:rsidRPr="00F13073">
        <w:rPr>
          <w:rStyle w:val="Char"/>
        </w:rPr>
        <w:t>dotychczas nie stwierdzono jasnego związku pomiędzy zmniejszeniem liczby granulocytów obojętnochłonnych a występowaniem ciężkich zakażeń.</w:t>
      </w:r>
    </w:p>
    <w:p w14:paraId="0FC9F836" w14:textId="77777777" w:rsidR="00D36F8C" w:rsidRPr="00F13073" w:rsidRDefault="00D36F8C" w:rsidP="008B4C50">
      <w:pPr>
        <w:pStyle w:val="a4"/>
        <w:widowControl/>
        <w:spacing w:after="0"/>
      </w:pPr>
    </w:p>
    <w:p w14:paraId="5243D827" w14:textId="77777777" w:rsidR="00D36F8C" w:rsidRPr="00F13073" w:rsidRDefault="00D36F8C" w:rsidP="008B4C50">
      <w:pPr>
        <w:pStyle w:val="a4"/>
        <w:widowControl/>
        <w:spacing w:after="0"/>
        <w:rPr>
          <w:rStyle w:val="Char"/>
        </w:rPr>
      </w:pPr>
      <w:r w:rsidRPr="00F13073">
        <w:rPr>
          <w:rStyle w:val="Char"/>
        </w:rPr>
        <w:t xml:space="preserve">U chorych na RZS i GCA liczbę granulocytów obojętnochłonnych i płytek krwi należy kontrolować 4 do 8 tygodni po rozpoczęciu leczenia, a następnie zgodnie z zasadami praktyki klinicznej. Zalecenia dotyczące zmiany dawkowania w oparciu o bezwzględną liczbę granulocytów obojętnochłonnych (ANC) i liczbę płytek krwi </w:t>
      </w:r>
      <w:r w:rsidR="00CC71A3" w:rsidRPr="00F13073">
        <w:rPr>
          <w:rStyle w:val="Char"/>
        </w:rPr>
        <w:t>–</w:t>
      </w:r>
      <w:r w:rsidRPr="00F13073">
        <w:rPr>
          <w:rStyle w:val="Char"/>
        </w:rPr>
        <w:t xml:space="preserve"> patrz punkt 4.2.</w:t>
      </w:r>
    </w:p>
    <w:p w14:paraId="0FC83447" w14:textId="77777777" w:rsidR="00D36F8C" w:rsidRPr="00F13073" w:rsidRDefault="00D36F8C" w:rsidP="008B4C50">
      <w:pPr>
        <w:pStyle w:val="a4"/>
        <w:widowControl/>
        <w:spacing w:after="0"/>
      </w:pPr>
    </w:p>
    <w:p w14:paraId="0E8A2EAF" w14:textId="77777777" w:rsidR="00D36F8C" w:rsidRPr="00F13073" w:rsidRDefault="00D36F8C" w:rsidP="008B4C50">
      <w:pPr>
        <w:pStyle w:val="a4"/>
        <w:widowControl/>
        <w:spacing w:after="0"/>
        <w:rPr>
          <w:rStyle w:val="Char"/>
        </w:rPr>
      </w:pPr>
      <w:r w:rsidRPr="00F13073">
        <w:rPr>
          <w:rStyle w:val="Char"/>
        </w:rPr>
        <w:t>U pacjentów z uMIZS i wMIZS liczbę granulocytów obojętnochłonnych i płytek krwi należy kontrolować w czasie drugiego podania produktu leczniczego, a następnie zgodnie z zasadami dobrej praktyki klinicznej (patrz punkt 4.2).</w:t>
      </w:r>
    </w:p>
    <w:p w14:paraId="662DAD77" w14:textId="77777777" w:rsidR="00D36F8C" w:rsidRPr="00F13073" w:rsidRDefault="00D36F8C" w:rsidP="008B4C50">
      <w:pPr>
        <w:pStyle w:val="a4"/>
        <w:widowControl/>
        <w:spacing w:after="0"/>
      </w:pPr>
    </w:p>
    <w:p w14:paraId="0164896C" w14:textId="77777777" w:rsidR="00D36F8C" w:rsidRPr="00F13073" w:rsidRDefault="00D36F8C" w:rsidP="008B4C50">
      <w:pPr>
        <w:pStyle w:val="a4"/>
        <w:widowControl/>
        <w:spacing w:after="0"/>
      </w:pPr>
      <w:r w:rsidRPr="00F13073">
        <w:rPr>
          <w:rStyle w:val="Char"/>
          <w:i/>
          <w:iCs/>
        </w:rPr>
        <w:t>Parametry gospodarki lipidowej</w:t>
      </w:r>
    </w:p>
    <w:p w14:paraId="08F8A9E3" w14:textId="768C95C4" w:rsidR="00D36F8C" w:rsidRPr="00F13073" w:rsidRDefault="00D36F8C" w:rsidP="008B4C50">
      <w:pPr>
        <w:pStyle w:val="a4"/>
        <w:widowControl/>
        <w:spacing w:after="0"/>
        <w:rPr>
          <w:rStyle w:val="Char"/>
        </w:rPr>
      </w:pPr>
      <w:r w:rsidRPr="00F13073">
        <w:rPr>
          <w:rStyle w:val="Char"/>
        </w:rPr>
        <w:t xml:space="preserve">U chorych leczonych </w:t>
      </w:r>
      <w:r w:rsidR="0000451E" w:rsidRPr="00F13073">
        <w:rPr>
          <w:rStyle w:val="Char"/>
        </w:rPr>
        <w:t xml:space="preserve">tocilizumabem </w:t>
      </w:r>
      <w:r w:rsidRPr="00F13073">
        <w:rPr>
          <w:rStyle w:val="Char"/>
        </w:rPr>
        <w:t>obserwowano zwiększone wartości parametrów gospodarki lipidowej, takich jak stężenie cholesterolu całkowitego, frakcji lipoprotein o niskiej gęstości (LDL), frakcji lipoprotein o wysokiej gęstości (HDL) oraz trójglicerydów (patrz punkt 4.8).</w:t>
      </w:r>
    </w:p>
    <w:p w14:paraId="469A1F0A" w14:textId="77777777" w:rsidR="00D36F8C" w:rsidRPr="00F13073" w:rsidRDefault="00D36F8C" w:rsidP="008B4C50">
      <w:pPr>
        <w:pStyle w:val="a4"/>
        <w:widowControl/>
        <w:spacing w:after="0"/>
      </w:pPr>
    </w:p>
    <w:p w14:paraId="21A5A31B" w14:textId="77777777" w:rsidR="00D36F8C" w:rsidRPr="00F13073" w:rsidRDefault="00D36F8C" w:rsidP="008B4C50">
      <w:pPr>
        <w:pStyle w:val="a4"/>
        <w:widowControl/>
        <w:spacing w:after="0"/>
      </w:pPr>
      <w:r w:rsidRPr="00F13073">
        <w:rPr>
          <w:rStyle w:val="Char"/>
        </w:rPr>
        <w:t>U większości pacjentów nie stwierdzono zwiększenia wskaźników aterogennych, a podwyższone stężenia cholesterolu całkowitego odpowiadały na leczenie lekami obniżającymi stężenie lipidów.</w:t>
      </w:r>
    </w:p>
    <w:p w14:paraId="6A6F0425" w14:textId="48F4F5E1" w:rsidR="00D36F8C" w:rsidRPr="00F13073" w:rsidRDefault="00D36F8C" w:rsidP="008B4C50">
      <w:pPr>
        <w:pStyle w:val="a4"/>
        <w:widowControl/>
        <w:spacing w:after="0"/>
        <w:rPr>
          <w:rStyle w:val="Char"/>
        </w:rPr>
      </w:pPr>
      <w:r w:rsidRPr="00F13073">
        <w:rPr>
          <w:rStyle w:val="Char"/>
        </w:rPr>
        <w:t>U pacjentów z RZS i GCA ocenę parametrów lipidowych należy wykonać 4</w:t>
      </w:r>
      <w:r w:rsidR="001E6011" w:rsidRPr="00F13073">
        <w:rPr>
          <w:rStyle w:val="Char"/>
        </w:rPr>
        <w:t>–</w:t>
      </w:r>
      <w:r w:rsidRPr="00F13073">
        <w:rPr>
          <w:rStyle w:val="Char"/>
        </w:rPr>
        <w:t xml:space="preserve">8 tygodni po rozpoczęciu leczenia </w:t>
      </w:r>
      <w:r w:rsidR="0000451E" w:rsidRPr="00F13073">
        <w:rPr>
          <w:rStyle w:val="Char"/>
        </w:rPr>
        <w:t>tocilizumabem</w:t>
      </w:r>
      <w:r w:rsidRPr="00F13073">
        <w:rPr>
          <w:rStyle w:val="Char"/>
        </w:rPr>
        <w:t>. W dalszym postępowaniu z pacjentami należy kierować się przyjętymi lokalnie wytycznymi klinicznymi dotyczącymi leczenia hiperlipidemii.</w:t>
      </w:r>
    </w:p>
    <w:p w14:paraId="3FFEE844" w14:textId="77777777" w:rsidR="00D36F8C" w:rsidRPr="00F13073" w:rsidRDefault="00D36F8C" w:rsidP="008B4C50">
      <w:pPr>
        <w:pStyle w:val="a4"/>
        <w:widowControl/>
        <w:spacing w:after="0"/>
      </w:pPr>
    </w:p>
    <w:p w14:paraId="312156F7" w14:textId="77777777" w:rsidR="00D36F8C" w:rsidRPr="00F13073" w:rsidRDefault="00D36F8C" w:rsidP="008B4C50">
      <w:pPr>
        <w:pStyle w:val="a4"/>
        <w:widowControl/>
        <w:spacing w:after="0"/>
      </w:pPr>
      <w:r w:rsidRPr="00F13073">
        <w:rPr>
          <w:rStyle w:val="Char"/>
          <w:i/>
          <w:iCs/>
        </w:rPr>
        <w:t>Zaburzenia neurologiczne</w:t>
      </w:r>
    </w:p>
    <w:p w14:paraId="67120889" w14:textId="53F684D6" w:rsidR="00D36F8C" w:rsidRPr="00F13073" w:rsidRDefault="00D36F8C" w:rsidP="008B4C50">
      <w:pPr>
        <w:pStyle w:val="a4"/>
        <w:widowControl/>
        <w:spacing w:after="0"/>
        <w:rPr>
          <w:rStyle w:val="Char"/>
        </w:rPr>
      </w:pPr>
      <w:r w:rsidRPr="00F13073">
        <w:rPr>
          <w:rStyle w:val="Char"/>
        </w:rPr>
        <w:lastRenderedPageBreak/>
        <w:t xml:space="preserve">Lekarze powinni być szczególnie wyczuleni na objawy mogące wskazywać na nowopowstałe ośrodkowe zaburzenia demielinizacyjne. W chwili obecnej nie jest znana zdolność </w:t>
      </w:r>
      <w:r w:rsidR="0023203E" w:rsidRPr="00F13073">
        <w:rPr>
          <w:rStyle w:val="Char"/>
        </w:rPr>
        <w:t>tocilizumabu</w:t>
      </w:r>
      <w:r w:rsidRPr="00F13073">
        <w:rPr>
          <w:rStyle w:val="Char"/>
        </w:rPr>
        <w:t xml:space="preserve"> do powodowania ośrodkowej demielinizacji.</w:t>
      </w:r>
    </w:p>
    <w:p w14:paraId="39DE628F" w14:textId="77777777" w:rsidR="00D36F8C" w:rsidRPr="00F13073" w:rsidRDefault="00D36F8C" w:rsidP="008B4C50">
      <w:pPr>
        <w:pStyle w:val="a4"/>
        <w:widowControl/>
        <w:spacing w:after="0"/>
      </w:pPr>
    </w:p>
    <w:p w14:paraId="2377EC48" w14:textId="77777777" w:rsidR="00D36F8C" w:rsidRPr="00F13073" w:rsidRDefault="00D36F8C" w:rsidP="00823E33">
      <w:pPr>
        <w:pStyle w:val="a4"/>
        <w:keepNext/>
        <w:widowControl/>
        <w:spacing w:after="0"/>
      </w:pPr>
      <w:r w:rsidRPr="00F13073">
        <w:rPr>
          <w:rStyle w:val="Char"/>
          <w:i/>
          <w:iCs/>
        </w:rPr>
        <w:t>Nowotwór złośliwy</w:t>
      </w:r>
    </w:p>
    <w:p w14:paraId="4AB041F3" w14:textId="77777777" w:rsidR="00D36F8C" w:rsidRPr="00F13073" w:rsidRDefault="00D36F8C" w:rsidP="008B4C50">
      <w:pPr>
        <w:pStyle w:val="a4"/>
        <w:widowControl/>
        <w:spacing w:after="0"/>
        <w:rPr>
          <w:rStyle w:val="Char"/>
        </w:rPr>
      </w:pPr>
      <w:r w:rsidRPr="00F13073">
        <w:rPr>
          <w:rStyle w:val="Char"/>
        </w:rPr>
        <w:t>U chorych na RZS istnieje zwiększone ryzyko wystąpienia nowotworów złośliwych. Immunomodulujące produkty lecznicze mogą zwiększać ryzyko rozwinięcia się złośliwego procesu nowotworowego.</w:t>
      </w:r>
    </w:p>
    <w:p w14:paraId="66DEDF2B" w14:textId="77777777" w:rsidR="00D36F8C" w:rsidRPr="00F13073" w:rsidRDefault="00D36F8C" w:rsidP="008B4C50">
      <w:pPr>
        <w:pStyle w:val="a4"/>
        <w:widowControl/>
        <w:spacing w:after="0"/>
      </w:pPr>
    </w:p>
    <w:p w14:paraId="0F2450F0" w14:textId="77777777" w:rsidR="00D36F8C" w:rsidRPr="00F13073" w:rsidRDefault="00D36F8C" w:rsidP="008B4C50">
      <w:pPr>
        <w:pStyle w:val="a4"/>
        <w:widowControl/>
        <w:spacing w:after="0"/>
      </w:pPr>
      <w:r w:rsidRPr="00F13073">
        <w:rPr>
          <w:rStyle w:val="Char"/>
          <w:i/>
          <w:iCs/>
        </w:rPr>
        <w:t>Szczepienia</w:t>
      </w:r>
    </w:p>
    <w:p w14:paraId="7F41B245" w14:textId="1932BE03" w:rsidR="00D36F8C" w:rsidRPr="00F13073" w:rsidRDefault="00D36F8C" w:rsidP="008B4C50">
      <w:pPr>
        <w:pStyle w:val="a4"/>
        <w:widowControl/>
        <w:spacing w:after="0"/>
        <w:rPr>
          <w:rStyle w:val="Char"/>
        </w:rPr>
      </w:pPr>
      <w:r w:rsidRPr="00F13073">
        <w:rPr>
          <w:rStyle w:val="Char"/>
        </w:rPr>
        <w:t xml:space="preserve">Z uwagi na brak danych klinicznych dotyczących bezpieczeństwa nie należy podawać szczepionek żywych i żywych o osłabionej zjadliwości (atenuowanych) podczas leczenia </w:t>
      </w:r>
      <w:r w:rsidR="0023203E" w:rsidRPr="00F13073">
        <w:rPr>
          <w:rStyle w:val="Char"/>
        </w:rPr>
        <w:t>tocilizumabem</w:t>
      </w:r>
      <w:r w:rsidRPr="00F13073">
        <w:rPr>
          <w:rStyle w:val="Char"/>
        </w:rPr>
        <w:t xml:space="preserve">. W randomizowanym badaniu otwartym, dorośli chorzy na RZS leczeni </w:t>
      </w:r>
      <w:r w:rsidR="00F73CEB" w:rsidRPr="00F13073">
        <w:rPr>
          <w:rStyle w:val="Char"/>
        </w:rPr>
        <w:t xml:space="preserve">tocilizumabem </w:t>
      </w:r>
      <w:r w:rsidRPr="00F13073">
        <w:rPr>
          <w:rStyle w:val="Char"/>
        </w:rPr>
        <w:t xml:space="preserve">i metotreksatem (MTX) uzyskali skuteczną odpowiedź na szczepienie 23- walentną polisacharydową szczepionką przeciw pneumokokom oraz szczepionką tężca, co było porównywalne do odpowiedzi obserwowanej u pacjentów leczonych tylko MTX. Zaleca się, aby przed rozpoczęciem leczenia </w:t>
      </w:r>
      <w:r w:rsidR="00F73CEB" w:rsidRPr="00F13073">
        <w:rPr>
          <w:rStyle w:val="Char"/>
        </w:rPr>
        <w:t xml:space="preserve">tocilizumabem </w:t>
      </w:r>
      <w:r w:rsidRPr="00F13073">
        <w:rPr>
          <w:rStyle w:val="Char"/>
        </w:rPr>
        <w:t xml:space="preserve">u wszystkich pacjentów, a szczególnie u pacjentów w podeszłym wieku, uzupełnić wszystkie ewentualne braki w realizacji programu szczepień, zgodnie z aktualnymi wytycznymi. Przerwa między podaniem żywych szczepionek a rozpoczęciem leczenia </w:t>
      </w:r>
      <w:r w:rsidR="00F73CEB" w:rsidRPr="00F13073">
        <w:rPr>
          <w:rStyle w:val="Char"/>
        </w:rPr>
        <w:t xml:space="preserve">tocilizumabem </w:t>
      </w:r>
      <w:r w:rsidRPr="00F13073">
        <w:rPr>
          <w:rStyle w:val="Char"/>
        </w:rPr>
        <w:t>powinna być zgodna z aktualnymi wytycznymi dotyczącymi szczepień w odniesieniu do stosowania środków immunosupresyjnych.</w:t>
      </w:r>
    </w:p>
    <w:p w14:paraId="1660EBEB" w14:textId="77777777" w:rsidR="00D36F8C" w:rsidRPr="00F13073" w:rsidRDefault="00D36F8C" w:rsidP="008B4C50">
      <w:pPr>
        <w:pStyle w:val="a4"/>
        <w:widowControl/>
        <w:spacing w:after="0"/>
      </w:pPr>
    </w:p>
    <w:p w14:paraId="1F474AC0" w14:textId="77777777" w:rsidR="00D36F8C" w:rsidRPr="00F13073" w:rsidRDefault="00D36F8C" w:rsidP="008B4C50">
      <w:pPr>
        <w:pStyle w:val="a4"/>
        <w:widowControl/>
        <w:spacing w:after="0"/>
      </w:pPr>
      <w:r w:rsidRPr="00F13073">
        <w:rPr>
          <w:rStyle w:val="Char"/>
          <w:i/>
          <w:iCs/>
        </w:rPr>
        <w:t>Ryzyko sercowo-naczyniowe</w:t>
      </w:r>
    </w:p>
    <w:p w14:paraId="0D0B59F5" w14:textId="77777777" w:rsidR="00D36F8C" w:rsidRPr="00F13073" w:rsidRDefault="00D36F8C" w:rsidP="008B4C50">
      <w:pPr>
        <w:pStyle w:val="a4"/>
        <w:widowControl/>
        <w:spacing w:after="0"/>
        <w:rPr>
          <w:rStyle w:val="Char"/>
        </w:rPr>
      </w:pPr>
      <w:r w:rsidRPr="00F13073">
        <w:rPr>
          <w:rStyle w:val="Char"/>
        </w:rPr>
        <w:t>U chorych na RZS istnieje zwiększone ryzyko chorób sercowo-naczyniowych i w ramach standardowej opieki medycznej należy u nich opanować czynniki ryzyka (np. nadciśnienie tętnicze, hiperlipidemię).</w:t>
      </w:r>
    </w:p>
    <w:p w14:paraId="0786B3F2" w14:textId="77777777" w:rsidR="00D36F8C" w:rsidRPr="00F13073" w:rsidRDefault="00D36F8C" w:rsidP="008B4C50">
      <w:pPr>
        <w:pStyle w:val="a4"/>
        <w:widowControl/>
        <w:spacing w:after="0"/>
      </w:pPr>
    </w:p>
    <w:p w14:paraId="55B1F745" w14:textId="77777777" w:rsidR="00D36F8C" w:rsidRPr="00F13073" w:rsidRDefault="00D36F8C" w:rsidP="008B4C50">
      <w:pPr>
        <w:pStyle w:val="a4"/>
        <w:widowControl/>
        <w:spacing w:after="0"/>
      </w:pPr>
      <w:r w:rsidRPr="00F13073">
        <w:rPr>
          <w:rStyle w:val="Char"/>
        </w:rPr>
        <w:t>Leczenie skojarzone z inhibitorami TNF</w:t>
      </w:r>
    </w:p>
    <w:p w14:paraId="2768004A" w14:textId="62FE101B" w:rsidR="00D36F8C" w:rsidRPr="00F13073" w:rsidRDefault="00D36F8C" w:rsidP="008B4C50">
      <w:pPr>
        <w:pStyle w:val="a4"/>
        <w:widowControl/>
        <w:spacing w:after="0"/>
        <w:rPr>
          <w:rStyle w:val="Char"/>
        </w:rPr>
      </w:pPr>
      <w:r w:rsidRPr="00F13073">
        <w:rPr>
          <w:rStyle w:val="Char"/>
        </w:rPr>
        <w:t xml:space="preserve">Brak doświadczenia klinicznego dotyczącego stosowania produktu leczniczego </w:t>
      </w:r>
      <w:r w:rsidR="00026375" w:rsidRPr="00F13073">
        <w:rPr>
          <w:rStyle w:val="Char"/>
        </w:rPr>
        <w:t>Avtozma</w:t>
      </w:r>
      <w:r w:rsidRPr="00F13073">
        <w:rPr>
          <w:rStyle w:val="Char"/>
        </w:rPr>
        <w:t xml:space="preserve"> w skojarzeniu z inhibitorami TNF lub innymi lekami biologicznymi u chorych na RZS. Nie zaleca się podawania produktu leczniczego </w:t>
      </w:r>
      <w:r w:rsidR="00026375" w:rsidRPr="00F13073">
        <w:rPr>
          <w:rStyle w:val="Char"/>
        </w:rPr>
        <w:t>Avtozma</w:t>
      </w:r>
      <w:r w:rsidRPr="00F13073">
        <w:rPr>
          <w:rStyle w:val="Char"/>
        </w:rPr>
        <w:t xml:space="preserve"> w skojarzeniu z innymi lekami biologicznymi.</w:t>
      </w:r>
    </w:p>
    <w:p w14:paraId="5BDFD1C6" w14:textId="77777777" w:rsidR="00D36F8C" w:rsidRPr="00F13073" w:rsidRDefault="00D36F8C" w:rsidP="008B4C50">
      <w:pPr>
        <w:pStyle w:val="a4"/>
        <w:widowControl/>
        <w:spacing w:after="0"/>
      </w:pPr>
    </w:p>
    <w:p w14:paraId="347F904B" w14:textId="77777777" w:rsidR="00D36F8C" w:rsidRPr="00F13073" w:rsidRDefault="00D36F8C" w:rsidP="008B4C50">
      <w:pPr>
        <w:pStyle w:val="a4"/>
        <w:widowControl/>
        <w:spacing w:after="0"/>
        <w:rPr>
          <w:i/>
          <w:iCs/>
        </w:rPr>
      </w:pPr>
      <w:r w:rsidRPr="00F13073">
        <w:rPr>
          <w:rStyle w:val="Char"/>
          <w:i/>
          <w:iCs/>
        </w:rPr>
        <w:t>GCA</w:t>
      </w:r>
    </w:p>
    <w:p w14:paraId="1CCF4E49" w14:textId="47BCC648" w:rsidR="00D36F8C" w:rsidRPr="00F13073" w:rsidRDefault="00D36F8C"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w monoterapii nie powinien być stosowany w leczeniu ostrych nawrotów choroby, ponieważ skuteczność w takich przypadkach nie została określona. Glikokortykosteroidy powinny być stosowane zgodnie z oceną medyczną i zaleceniami dotyczącymi praktyki klinicznej.</w:t>
      </w:r>
    </w:p>
    <w:p w14:paraId="57FB1378" w14:textId="77777777" w:rsidR="00D36F8C" w:rsidRPr="00F13073" w:rsidRDefault="00D36F8C" w:rsidP="008B4C50">
      <w:pPr>
        <w:pStyle w:val="a4"/>
        <w:widowControl/>
        <w:spacing w:after="0"/>
      </w:pPr>
    </w:p>
    <w:p w14:paraId="5626D156" w14:textId="77777777" w:rsidR="00D36F8C" w:rsidRPr="00F13073" w:rsidRDefault="00D36F8C" w:rsidP="008B4C50">
      <w:pPr>
        <w:pStyle w:val="a4"/>
        <w:widowControl/>
        <w:spacing w:after="0"/>
      </w:pPr>
      <w:r w:rsidRPr="00F13073">
        <w:rPr>
          <w:rStyle w:val="Char"/>
          <w:i/>
          <w:iCs/>
        </w:rPr>
        <w:t>uMIZS</w:t>
      </w:r>
    </w:p>
    <w:p w14:paraId="2A39BBEA" w14:textId="61048DEF" w:rsidR="00D36F8C" w:rsidRPr="00F13073" w:rsidRDefault="00D36F8C" w:rsidP="008B4C50">
      <w:pPr>
        <w:pStyle w:val="a4"/>
        <w:widowControl/>
        <w:spacing w:after="0"/>
        <w:rPr>
          <w:rStyle w:val="Char"/>
        </w:rPr>
      </w:pPr>
      <w:r w:rsidRPr="00F13073">
        <w:rPr>
          <w:rStyle w:val="Char"/>
        </w:rPr>
        <w:t xml:space="preserve">Zespół aktywacji makrofagów (ZAM) jest ciężkim schorzeniem zagrażającym życiu, które może wystąpić u chorych na uMIZS. W badaniach klinicznych nie oceniano stosowania </w:t>
      </w:r>
      <w:r w:rsidR="00F73CEB" w:rsidRPr="00F13073">
        <w:rPr>
          <w:rStyle w:val="Char"/>
        </w:rPr>
        <w:t>tocilizumabu</w:t>
      </w:r>
      <w:r w:rsidRPr="00F13073">
        <w:rPr>
          <w:rStyle w:val="Char"/>
        </w:rPr>
        <w:t xml:space="preserve"> u pacjentów w czasie epizodu czynnego zespołu aktywacji makrofagów.</w:t>
      </w:r>
    </w:p>
    <w:p w14:paraId="7C1E62C7" w14:textId="77777777" w:rsidR="00F73CEB" w:rsidRPr="00F13073" w:rsidRDefault="00F73CEB" w:rsidP="008B4C50">
      <w:pPr>
        <w:pStyle w:val="a4"/>
        <w:widowControl/>
        <w:spacing w:after="0"/>
        <w:rPr>
          <w:rStyle w:val="Char"/>
        </w:rPr>
      </w:pPr>
    </w:p>
    <w:p w14:paraId="7E2F653F" w14:textId="77777777" w:rsidR="00F73CEB" w:rsidRPr="00F13073" w:rsidRDefault="00F73CEB" w:rsidP="00F73CEB">
      <w:pPr>
        <w:rPr>
          <w:u w:val="single"/>
        </w:rPr>
      </w:pPr>
      <w:r w:rsidRPr="00F13073">
        <w:rPr>
          <w:u w:val="single"/>
        </w:rPr>
        <w:t>Substancje pomocnicze o znanym działaniu</w:t>
      </w:r>
    </w:p>
    <w:p w14:paraId="7B4C29BA" w14:textId="77777777" w:rsidR="00F73CEB" w:rsidRPr="00F13073" w:rsidRDefault="00F73CEB" w:rsidP="00F73CEB">
      <w:pPr>
        <w:rPr>
          <w:i/>
          <w:iCs/>
        </w:rPr>
      </w:pPr>
      <w:r w:rsidRPr="00F13073">
        <w:rPr>
          <w:i/>
          <w:iCs/>
        </w:rPr>
        <w:t>Polisorbat</w:t>
      </w:r>
    </w:p>
    <w:p w14:paraId="33E9D0E9" w14:textId="2E7729E6" w:rsidR="00F73CEB" w:rsidRPr="00F13073" w:rsidRDefault="00F73CEB" w:rsidP="00F73CEB">
      <w:r w:rsidRPr="00F13073">
        <w:t>Każd</w:t>
      </w:r>
      <w:r w:rsidR="00C62310" w:rsidRPr="00F13073">
        <w:t>y</w:t>
      </w:r>
      <w:r w:rsidRPr="00F13073">
        <w:t xml:space="preserve"> </w:t>
      </w:r>
      <w:r w:rsidR="00C62310" w:rsidRPr="00F13073">
        <w:t>wstrzykiwacz półautomatyczny napełniony</w:t>
      </w:r>
      <w:r w:rsidRPr="00F13073">
        <w:t xml:space="preserve"> </w:t>
      </w:r>
      <w:r w:rsidR="00C62310" w:rsidRPr="00F13073">
        <w:t>162 </w:t>
      </w:r>
      <w:r w:rsidRPr="00F13073">
        <w:t xml:space="preserve">mg zawiera </w:t>
      </w:r>
      <w:r w:rsidR="002D0F22" w:rsidRPr="00F13073">
        <w:t>0,2 </w:t>
      </w:r>
      <w:r w:rsidRPr="00F13073">
        <w:t>mg polisorbatu</w:t>
      </w:r>
      <w:r w:rsidR="00E265AD">
        <w:rPr>
          <w:rFonts w:eastAsia="맑은 고딕" w:hint="eastAsia"/>
          <w:lang w:eastAsia="ko-KR"/>
        </w:rPr>
        <w:t xml:space="preserve"> 80</w:t>
      </w:r>
      <w:r w:rsidRPr="00F13073">
        <w:t>.</w:t>
      </w:r>
    </w:p>
    <w:p w14:paraId="1E895D3A" w14:textId="265916D1" w:rsidR="00F73CEB" w:rsidRPr="00F13073" w:rsidRDefault="00F73CEB" w:rsidP="0081094B">
      <w:pPr>
        <w:rPr>
          <w:rStyle w:val="Char"/>
          <w:rFonts w:eastAsia="DengXian"/>
        </w:rPr>
      </w:pPr>
      <w:r w:rsidRPr="00F13073">
        <w:t xml:space="preserve">Polisorbaty mogą powodować reakcje alergiczne. </w:t>
      </w:r>
      <w:r w:rsidR="00295264" w:rsidRPr="00F13073">
        <w:t>Pacjenci z uczuleniem na polisorbaty nie powinni otrzymywać tego produktu leczniczego</w:t>
      </w:r>
      <w:r w:rsidRPr="00F13073">
        <w:t>.</w:t>
      </w:r>
    </w:p>
    <w:p w14:paraId="03EADA86" w14:textId="77777777" w:rsidR="00D36F8C" w:rsidRPr="00F13073" w:rsidRDefault="00D36F8C" w:rsidP="008B4C50">
      <w:pPr>
        <w:pStyle w:val="a4"/>
        <w:widowControl/>
        <w:spacing w:after="0"/>
      </w:pPr>
    </w:p>
    <w:p w14:paraId="63CE0A57" w14:textId="77777777" w:rsidR="001E0975" w:rsidRPr="00F13073" w:rsidRDefault="001721B1" w:rsidP="008B4C50">
      <w:pPr>
        <w:keepNext/>
        <w:ind w:left="567" w:hanging="567"/>
        <w:rPr>
          <w:b/>
          <w:bCs/>
        </w:rPr>
      </w:pPr>
      <w:r w:rsidRPr="00F13073">
        <w:rPr>
          <w:b/>
          <w:bCs/>
        </w:rPr>
        <w:t>4.</w:t>
      </w:r>
      <w:r w:rsidR="00DB2B6F" w:rsidRPr="00F13073">
        <w:rPr>
          <w:b/>
          <w:bCs/>
        </w:rPr>
        <w:t>5</w:t>
      </w:r>
      <w:r w:rsidRPr="00F13073">
        <w:rPr>
          <w:b/>
          <w:bCs/>
        </w:rPr>
        <w:tab/>
      </w:r>
      <w:r w:rsidR="00D61F11" w:rsidRPr="00F13073">
        <w:rPr>
          <w:rStyle w:val="Char"/>
          <w:rFonts w:eastAsia="DengXian"/>
          <w:b/>
          <w:bCs/>
        </w:rPr>
        <w:t>Interakcje z innymi produktami leczniczymi i inne rodzaje interakcji</w:t>
      </w:r>
    </w:p>
    <w:p w14:paraId="726F8644" w14:textId="77777777" w:rsidR="00B90A82" w:rsidRPr="00F13073" w:rsidRDefault="00B90A82" w:rsidP="008B4C50"/>
    <w:p w14:paraId="3B7ED6AA" w14:textId="77777777" w:rsidR="00D61F11" w:rsidRPr="00F13073" w:rsidRDefault="00D61F11" w:rsidP="008B4C50">
      <w:pPr>
        <w:pStyle w:val="a4"/>
        <w:widowControl/>
        <w:spacing w:after="0"/>
        <w:rPr>
          <w:rStyle w:val="Char"/>
        </w:rPr>
      </w:pPr>
      <w:r w:rsidRPr="00F13073">
        <w:rPr>
          <w:rStyle w:val="Char"/>
        </w:rPr>
        <w:t>Badania dotyczące interakcji przeprowadzono wyłącznie u dorosłych pacjentów.</w:t>
      </w:r>
    </w:p>
    <w:p w14:paraId="0BFE0A42" w14:textId="77777777" w:rsidR="00813556" w:rsidRPr="00F13073" w:rsidRDefault="00813556" w:rsidP="008B4C50">
      <w:pPr>
        <w:pStyle w:val="a4"/>
        <w:widowControl/>
        <w:spacing w:after="0"/>
      </w:pPr>
    </w:p>
    <w:p w14:paraId="2BDC38EE" w14:textId="06C604DC" w:rsidR="00D61F11" w:rsidRPr="00F13073" w:rsidRDefault="00D61F11" w:rsidP="008B4C50">
      <w:pPr>
        <w:pStyle w:val="a4"/>
        <w:widowControl/>
        <w:spacing w:after="0"/>
        <w:rPr>
          <w:rStyle w:val="Char"/>
        </w:rPr>
      </w:pPr>
      <w:r w:rsidRPr="00F13073">
        <w:rPr>
          <w:rStyle w:val="Char"/>
        </w:rPr>
        <w:t xml:space="preserve">Równoczesne podanie pojedynczej dawki produktu leczniczego </w:t>
      </w:r>
      <w:r w:rsidR="00026375" w:rsidRPr="00F13073">
        <w:rPr>
          <w:rStyle w:val="Char"/>
        </w:rPr>
        <w:t>Avtozma</w:t>
      </w:r>
      <w:r w:rsidRPr="00F13073">
        <w:rPr>
          <w:rStyle w:val="Char"/>
        </w:rPr>
        <w:t xml:space="preserve"> wynoszącej 10 mg/kg mc. razem z metotreksatem (MTX) w dawce 10</w:t>
      </w:r>
      <w:r w:rsidR="001E6011" w:rsidRPr="00F13073">
        <w:rPr>
          <w:rStyle w:val="Char"/>
        </w:rPr>
        <w:t>–</w:t>
      </w:r>
      <w:r w:rsidRPr="00F13073">
        <w:rPr>
          <w:rStyle w:val="Char"/>
        </w:rPr>
        <w:t>25 mg raz na tydzień nie miało klinicznie istotnego wpływu na ekspozycję na MTX.</w:t>
      </w:r>
    </w:p>
    <w:p w14:paraId="3A80C9B8" w14:textId="77777777" w:rsidR="00813556" w:rsidRPr="00F13073" w:rsidRDefault="00813556" w:rsidP="008B4C50">
      <w:pPr>
        <w:pStyle w:val="a4"/>
        <w:widowControl/>
        <w:spacing w:after="0"/>
      </w:pPr>
    </w:p>
    <w:p w14:paraId="79C767B7" w14:textId="791142F3" w:rsidR="00D61F11" w:rsidRPr="00F13073" w:rsidRDefault="00D61F11" w:rsidP="008B4C50">
      <w:pPr>
        <w:pStyle w:val="a4"/>
        <w:widowControl/>
        <w:spacing w:after="0"/>
        <w:rPr>
          <w:rStyle w:val="Char"/>
        </w:rPr>
      </w:pPr>
      <w:r w:rsidRPr="00F13073">
        <w:rPr>
          <w:rStyle w:val="Char"/>
        </w:rPr>
        <w:lastRenderedPageBreak/>
        <w:t xml:space="preserve">Analizy farmakokinetyki populacyjnej nie wykazały wpływu metotreksatu (MTX), niesteroidowych leków przeciwzapalnych (NLPZ) lub glikokortykosteroidów na klirens </w:t>
      </w:r>
      <w:r w:rsidR="00C813C8" w:rsidRPr="00F13073">
        <w:rPr>
          <w:rStyle w:val="Char"/>
        </w:rPr>
        <w:t>tocilizumabu</w:t>
      </w:r>
      <w:r w:rsidRPr="00F13073">
        <w:rPr>
          <w:rStyle w:val="Char"/>
        </w:rPr>
        <w:t xml:space="preserve"> u pacjentów z RZS. U pacjentów z GCA nie obserwowano wpływu skumulowanej dawki kortykosteroidów na ekspozycję na </w:t>
      </w:r>
      <w:r w:rsidR="00C813C8" w:rsidRPr="00F13073">
        <w:rPr>
          <w:rStyle w:val="Char"/>
        </w:rPr>
        <w:t>tocilizumab</w:t>
      </w:r>
      <w:r w:rsidRPr="00F13073">
        <w:rPr>
          <w:rStyle w:val="Char"/>
        </w:rPr>
        <w:t>.</w:t>
      </w:r>
    </w:p>
    <w:p w14:paraId="71E2C972" w14:textId="77777777" w:rsidR="00813556" w:rsidRPr="00F13073" w:rsidRDefault="00813556" w:rsidP="008B4C50">
      <w:pPr>
        <w:pStyle w:val="a4"/>
        <w:widowControl/>
        <w:spacing w:after="0"/>
      </w:pPr>
    </w:p>
    <w:p w14:paraId="2456FEE5" w14:textId="264258F1" w:rsidR="00D61F11" w:rsidRPr="00F13073" w:rsidRDefault="00D61F11" w:rsidP="008B4C50">
      <w:pPr>
        <w:pStyle w:val="a4"/>
        <w:widowControl/>
        <w:spacing w:after="0"/>
        <w:rPr>
          <w:rStyle w:val="Char"/>
        </w:rPr>
      </w:pPr>
      <w:r w:rsidRPr="00F13073">
        <w:rPr>
          <w:rStyle w:val="Char"/>
        </w:rPr>
        <w:t xml:space="preserve">Ekspresja wątrobowych enzymów kompleksu CYP450 jest hamowana przez cytokiny, takie jak IL-6, które stymulują przewlekły proces zapalny. Dlatego też leczenie silnym inhibitorem cytokin, takim jak produkt leczniczy </w:t>
      </w:r>
      <w:r w:rsidR="00026375" w:rsidRPr="00F13073">
        <w:rPr>
          <w:rStyle w:val="Char"/>
        </w:rPr>
        <w:t>Avtozma</w:t>
      </w:r>
      <w:r w:rsidRPr="00F13073">
        <w:rPr>
          <w:rStyle w:val="Char"/>
        </w:rPr>
        <w:t>, może spowodować odwrócenie tej tendencji z następczym zwiększeniem aktywności CYP450.</w:t>
      </w:r>
    </w:p>
    <w:p w14:paraId="387D60FF" w14:textId="77777777" w:rsidR="00813556" w:rsidRPr="00F13073" w:rsidRDefault="00813556" w:rsidP="008B4C50">
      <w:pPr>
        <w:pStyle w:val="a4"/>
        <w:widowControl/>
        <w:spacing w:after="0"/>
      </w:pPr>
    </w:p>
    <w:p w14:paraId="3CFEED41" w14:textId="7BB874AA" w:rsidR="00D61F11" w:rsidRPr="00F13073" w:rsidRDefault="00D61F11" w:rsidP="008B4C50">
      <w:pPr>
        <w:pStyle w:val="a4"/>
        <w:widowControl/>
        <w:spacing w:after="0"/>
        <w:rPr>
          <w:rStyle w:val="Char"/>
        </w:rPr>
      </w:pPr>
      <w:r w:rsidRPr="00F13073">
        <w:rPr>
          <w:rStyle w:val="Char"/>
        </w:rPr>
        <w:t xml:space="preserve">Badania </w:t>
      </w:r>
      <w:r w:rsidRPr="00F13073">
        <w:rPr>
          <w:rStyle w:val="Char"/>
          <w:i/>
          <w:iCs/>
        </w:rPr>
        <w:t>in vitro</w:t>
      </w:r>
      <w:r w:rsidRPr="00F13073">
        <w:rPr>
          <w:rStyle w:val="Char"/>
        </w:rPr>
        <w:t xml:space="preserve"> na hodowli ludzkich hepatocytów wykazały, że IL-6 powoduje zmniejszenie ekspresji enzymów CYP1A2, CYP2C9, CYP2C19 oraz CYP3A4. </w:t>
      </w:r>
      <w:r w:rsidR="0048160A" w:rsidRPr="00F13073">
        <w:rPr>
          <w:rStyle w:val="Char"/>
        </w:rPr>
        <w:t>Tocilizumab</w:t>
      </w:r>
      <w:r w:rsidR="0048160A" w:rsidRPr="00F13073" w:rsidDel="0048160A">
        <w:rPr>
          <w:rStyle w:val="Char"/>
        </w:rPr>
        <w:t xml:space="preserve"> </w:t>
      </w:r>
      <w:r w:rsidRPr="00F13073">
        <w:rPr>
          <w:rStyle w:val="Char"/>
        </w:rPr>
        <w:t>normalizuje ekspresję tych enzymów.</w:t>
      </w:r>
    </w:p>
    <w:p w14:paraId="1AE0AF8E" w14:textId="77777777" w:rsidR="00813556" w:rsidRPr="00F13073" w:rsidRDefault="00813556" w:rsidP="008B4C50">
      <w:pPr>
        <w:pStyle w:val="a4"/>
        <w:widowControl/>
        <w:spacing w:after="0"/>
      </w:pPr>
    </w:p>
    <w:p w14:paraId="38BBA55D" w14:textId="0A56C69A" w:rsidR="00D61F11" w:rsidRPr="00F13073" w:rsidRDefault="00D61F11" w:rsidP="008B4C50">
      <w:pPr>
        <w:pStyle w:val="a4"/>
        <w:widowControl/>
        <w:spacing w:after="0"/>
        <w:rPr>
          <w:rStyle w:val="Char"/>
        </w:rPr>
      </w:pPr>
      <w:r w:rsidRPr="00F13073">
        <w:rPr>
          <w:rStyle w:val="Char"/>
        </w:rPr>
        <w:t xml:space="preserve">W badaniu u chorych na RZS po tygodniu od podania pojedynczej dawki </w:t>
      </w:r>
      <w:r w:rsidR="0048160A" w:rsidRPr="00F13073">
        <w:rPr>
          <w:rStyle w:val="Char"/>
        </w:rPr>
        <w:t>tocilizumabu</w:t>
      </w:r>
      <w:r w:rsidRPr="00F13073">
        <w:rPr>
          <w:rStyle w:val="Char"/>
        </w:rPr>
        <w:t xml:space="preserve"> poziomy symwastatyny (CYP3A4) zmniejszyły się o 57%, do poziomu porównywalnego lub nieznacznie wyższego, jaki obserwowano u zdrowych ochotników.</w:t>
      </w:r>
    </w:p>
    <w:p w14:paraId="11C3C544" w14:textId="77777777" w:rsidR="00813556" w:rsidRPr="00F13073" w:rsidRDefault="00813556" w:rsidP="008B4C50">
      <w:pPr>
        <w:pStyle w:val="a4"/>
        <w:widowControl/>
        <w:spacing w:after="0"/>
      </w:pPr>
    </w:p>
    <w:p w14:paraId="1E738B6F" w14:textId="3132BBCC" w:rsidR="00D61F11" w:rsidRPr="00F13073" w:rsidRDefault="00D61F11" w:rsidP="00987DFF">
      <w:pPr>
        <w:pStyle w:val="a4"/>
        <w:widowControl/>
        <w:spacing w:after="0"/>
        <w:rPr>
          <w:rStyle w:val="Char"/>
        </w:rPr>
      </w:pPr>
      <w:r w:rsidRPr="00F13073">
        <w:rPr>
          <w:rStyle w:val="Char"/>
        </w:rPr>
        <w:t xml:space="preserve">Rozpoczynając lub kończąc leczenie </w:t>
      </w:r>
      <w:r w:rsidR="0048160A" w:rsidRPr="00F13073">
        <w:rPr>
          <w:rStyle w:val="Char"/>
        </w:rPr>
        <w:t>tocilizumabem</w:t>
      </w:r>
      <w:r w:rsidRPr="00F13073">
        <w:rPr>
          <w:rStyle w:val="Char"/>
        </w:rPr>
        <w:t>, należy monitorować chorych przyjmujących leki, których dawki dobiera się indywidualnie, a które są metabolizowane przez enzymy CYP450 3A4, 1A2 lub 2C9 (np. metyloprednizolon, deksametazon, (z</w:t>
      </w:r>
      <w:r w:rsidR="00987DFF" w:rsidRPr="00F13073">
        <w:rPr>
          <w:rStyle w:val="Char"/>
        </w:rPr>
        <w:t> </w:t>
      </w:r>
      <w:r w:rsidRPr="00F13073">
        <w:rPr>
          <w:rStyle w:val="Char"/>
        </w:rPr>
        <w:t>możliwością wystąpienia zespołu odstawienia sterydów), atorwastatyna, blokery kanału wapniowego, teofilina, fenprokumon, warfaryna, fenytoina, cyklosporyna lub benzodiazepiny), gdyż może być konieczne zwiększenie dawek poszczególnych leków w celu utrzymania właściwego działania leczniczego. Ze względu na długi okres półtrwania (t</w:t>
      </w:r>
      <w:r w:rsidRPr="00F13073">
        <w:rPr>
          <w:rStyle w:val="Char"/>
          <w:vertAlign w:val="subscript"/>
        </w:rPr>
        <w:t>1/2</w:t>
      </w:r>
      <w:r w:rsidRPr="00F13073">
        <w:rPr>
          <w:rStyle w:val="Char"/>
        </w:rPr>
        <w:t xml:space="preserve">) wpływ </w:t>
      </w:r>
      <w:r w:rsidR="0048160A" w:rsidRPr="00F13073">
        <w:rPr>
          <w:rStyle w:val="Char"/>
        </w:rPr>
        <w:t>tocilizumabu</w:t>
      </w:r>
      <w:r w:rsidRPr="00F13073">
        <w:rPr>
          <w:rStyle w:val="Char"/>
        </w:rPr>
        <w:t xml:space="preserve"> na aktywność enzymów CYP450 może utrzymywać się kilka tygodni po zaprzestaniu podawania leku.</w:t>
      </w:r>
    </w:p>
    <w:p w14:paraId="51B8F0F9" w14:textId="77777777" w:rsidR="00813556" w:rsidRPr="00F13073" w:rsidRDefault="00813556" w:rsidP="008B4C50">
      <w:pPr>
        <w:pStyle w:val="a4"/>
        <w:widowControl/>
        <w:spacing w:after="0"/>
      </w:pPr>
    </w:p>
    <w:p w14:paraId="3F015D85" w14:textId="77777777" w:rsidR="00D61F11" w:rsidRPr="00F13073" w:rsidRDefault="00D61F11" w:rsidP="008B4C50">
      <w:pPr>
        <w:keepNext/>
        <w:ind w:left="567" w:hanging="567"/>
        <w:rPr>
          <w:rStyle w:val="Char"/>
          <w:rFonts w:eastAsia="DengXian"/>
          <w:b/>
          <w:bCs/>
        </w:rPr>
      </w:pPr>
      <w:r w:rsidRPr="00F13073">
        <w:rPr>
          <w:rStyle w:val="Char"/>
          <w:rFonts w:eastAsia="DengXian"/>
          <w:b/>
          <w:bCs/>
        </w:rPr>
        <w:t>4.6</w:t>
      </w:r>
      <w:r w:rsidR="00813556" w:rsidRPr="00F13073">
        <w:rPr>
          <w:rStyle w:val="Char"/>
          <w:rFonts w:eastAsia="DengXian"/>
          <w:b/>
          <w:bCs/>
        </w:rPr>
        <w:tab/>
      </w:r>
      <w:r w:rsidRPr="00F13073">
        <w:rPr>
          <w:rStyle w:val="Char"/>
          <w:rFonts w:eastAsia="DengXian"/>
          <w:b/>
          <w:bCs/>
        </w:rPr>
        <w:t>Wpływ na płodność, ciążę i laktację</w:t>
      </w:r>
    </w:p>
    <w:p w14:paraId="326D81B9" w14:textId="77777777" w:rsidR="00813556" w:rsidRPr="00F13073" w:rsidRDefault="00813556" w:rsidP="008B4C50">
      <w:pPr>
        <w:pStyle w:val="a4"/>
        <w:widowControl/>
        <w:spacing w:after="0"/>
      </w:pPr>
    </w:p>
    <w:p w14:paraId="2E1657D8" w14:textId="77777777" w:rsidR="00D61F11" w:rsidRPr="00F13073" w:rsidRDefault="00D61F11" w:rsidP="008B4C50">
      <w:pPr>
        <w:pStyle w:val="a4"/>
        <w:widowControl/>
        <w:spacing w:after="0"/>
      </w:pPr>
      <w:r w:rsidRPr="00F13073">
        <w:rPr>
          <w:rStyle w:val="Char"/>
          <w:u w:val="single"/>
        </w:rPr>
        <w:t>Kobiety w wieku rozrodczym</w:t>
      </w:r>
    </w:p>
    <w:p w14:paraId="2A34D7CE" w14:textId="77777777" w:rsidR="00377AB0" w:rsidRPr="00F13073" w:rsidRDefault="00377AB0" w:rsidP="008B4C50">
      <w:pPr>
        <w:pStyle w:val="a4"/>
        <w:widowControl/>
        <w:spacing w:after="0"/>
        <w:rPr>
          <w:rStyle w:val="Char"/>
        </w:rPr>
      </w:pPr>
    </w:p>
    <w:p w14:paraId="4847C79C" w14:textId="301B8FDC" w:rsidR="00D61F11" w:rsidRPr="00F13073" w:rsidRDefault="00D61F11" w:rsidP="008B4C50">
      <w:pPr>
        <w:pStyle w:val="a4"/>
        <w:widowControl/>
        <w:spacing w:after="0"/>
        <w:rPr>
          <w:rStyle w:val="Char"/>
        </w:rPr>
      </w:pPr>
      <w:r w:rsidRPr="00F13073">
        <w:rPr>
          <w:rStyle w:val="Char"/>
        </w:rPr>
        <w:t>Kobiety w wieku rozrodczym muszą stosować skuteczną antykoncepcję w trakcie leczenia i do 3 miesięcy po zakończeniu leczenia.</w:t>
      </w:r>
    </w:p>
    <w:p w14:paraId="04C19A58" w14:textId="77777777" w:rsidR="00813556" w:rsidRPr="00F13073" w:rsidRDefault="00813556" w:rsidP="008B4C50">
      <w:pPr>
        <w:pStyle w:val="a4"/>
        <w:widowControl/>
        <w:spacing w:after="0"/>
      </w:pPr>
    </w:p>
    <w:p w14:paraId="124AE050" w14:textId="77777777" w:rsidR="00D61F11" w:rsidRPr="00F13073" w:rsidRDefault="00D61F11" w:rsidP="008B4C50">
      <w:pPr>
        <w:pStyle w:val="a4"/>
        <w:widowControl/>
        <w:spacing w:after="0"/>
      </w:pPr>
      <w:r w:rsidRPr="00F13073">
        <w:rPr>
          <w:rStyle w:val="Char"/>
          <w:u w:val="single"/>
        </w:rPr>
        <w:t>Ciąża</w:t>
      </w:r>
    </w:p>
    <w:p w14:paraId="5D8C1555" w14:textId="77777777" w:rsidR="00377AB0" w:rsidRPr="00F13073" w:rsidRDefault="00377AB0" w:rsidP="008B4C50">
      <w:pPr>
        <w:pStyle w:val="a4"/>
        <w:widowControl/>
        <w:spacing w:after="0"/>
        <w:rPr>
          <w:rStyle w:val="Char"/>
        </w:rPr>
      </w:pPr>
    </w:p>
    <w:p w14:paraId="621B4787" w14:textId="2C6ABA43" w:rsidR="00D61F11" w:rsidRPr="00F13073" w:rsidRDefault="00D61F11" w:rsidP="008B4C50">
      <w:pPr>
        <w:pStyle w:val="a4"/>
        <w:widowControl/>
        <w:spacing w:after="0"/>
        <w:rPr>
          <w:rStyle w:val="Char"/>
        </w:rPr>
      </w:pPr>
      <w:r w:rsidRPr="00F13073">
        <w:rPr>
          <w:rStyle w:val="Char"/>
        </w:rPr>
        <w:t xml:space="preserve">Brak wystarczających danych klinicznych dotyczących stosowania produktu leczniczego </w:t>
      </w:r>
      <w:r w:rsidR="00026375" w:rsidRPr="00F13073">
        <w:rPr>
          <w:rStyle w:val="Char"/>
        </w:rPr>
        <w:t>Avtozma</w:t>
      </w:r>
      <w:r w:rsidRPr="00F13073">
        <w:rPr>
          <w:rStyle w:val="Char"/>
        </w:rPr>
        <w:t xml:space="preserve"> u kobiet w ciąży. Badanie na zwierzętach wykazało zwiększone ryzyko spontanicznego wystąpienia poronienia, śmierci zarodka lub płodu przy podawaniu dużych dawek (patrz punkt 5.3). Potencjalne ryzyko dla człowieka nie jest znane.</w:t>
      </w:r>
    </w:p>
    <w:p w14:paraId="4B93E43A" w14:textId="77777777" w:rsidR="00813556" w:rsidRPr="00F13073" w:rsidRDefault="00813556" w:rsidP="008B4C50">
      <w:pPr>
        <w:pStyle w:val="a4"/>
        <w:widowControl/>
        <w:spacing w:after="0"/>
      </w:pPr>
    </w:p>
    <w:p w14:paraId="03A76B47" w14:textId="157874A5" w:rsidR="00D61F11" w:rsidRPr="00F13073" w:rsidRDefault="00D61F11" w:rsidP="008B4C50">
      <w:pPr>
        <w:pStyle w:val="a4"/>
        <w:widowControl/>
        <w:spacing w:after="0"/>
        <w:rPr>
          <w:rStyle w:val="Char"/>
        </w:rPr>
      </w:pPr>
      <w:r w:rsidRPr="00F13073">
        <w:rPr>
          <w:rStyle w:val="Char"/>
        </w:rPr>
        <w:t xml:space="preserve">Nie należy stosować produktu leczniczego </w:t>
      </w:r>
      <w:r w:rsidR="00026375" w:rsidRPr="00F13073">
        <w:rPr>
          <w:rStyle w:val="Char"/>
        </w:rPr>
        <w:t>Avtozma</w:t>
      </w:r>
      <w:r w:rsidRPr="00F13073">
        <w:rPr>
          <w:rStyle w:val="Char"/>
        </w:rPr>
        <w:t xml:space="preserve"> u kobiet w ciąży, chyba że jest to bezwzględnie konieczne.</w:t>
      </w:r>
    </w:p>
    <w:p w14:paraId="48CB2CFA" w14:textId="77777777" w:rsidR="00813556" w:rsidRPr="00F13073" w:rsidRDefault="00813556" w:rsidP="008B4C50">
      <w:pPr>
        <w:pStyle w:val="a4"/>
        <w:widowControl/>
        <w:spacing w:after="0"/>
      </w:pPr>
    </w:p>
    <w:p w14:paraId="358956C7" w14:textId="77777777" w:rsidR="00D61F11" w:rsidRPr="00F13073" w:rsidRDefault="00D61F11" w:rsidP="008B4C50">
      <w:pPr>
        <w:pStyle w:val="a4"/>
        <w:widowControl/>
        <w:spacing w:after="0"/>
      </w:pPr>
      <w:r w:rsidRPr="00F13073">
        <w:rPr>
          <w:rStyle w:val="Char"/>
          <w:u w:val="single"/>
        </w:rPr>
        <w:t>Karmienie piersią</w:t>
      </w:r>
    </w:p>
    <w:p w14:paraId="70D2CF9B" w14:textId="77777777" w:rsidR="00377AB0" w:rsidRPr="00F13073" w:rsidRDefault="00377AB0" w:rsidP="008B4C50">
      <w:pPr>
        <w:pStyle w:val="a4"/>
        <w:widowControl/>
        <w:spacing w:after="0"/>
        <w:rPr>
          <w:rStyle w:val="Char"/>
        </w:rPr>
      </w:pPr>
    </w:p>
    <w:p w14:paraId="627359CE" w14:textId="44197D20" w:rsidR="00D61F11" w:rsidRPr="00F13073" w:rsidRDefault="00D61F11" w:rsidP="008B4C50">
      <w:pPr>
        <w:pStyle w:val="a4"/>
        <w:widowControl/>
        <w:spacing w:after="0"/>
        <w:rPr>
          <w:rStyle w:val="Char"/>
        </w:rPr>
      </w:pPr>
      <w:r w:rsidRPr="00F13073">
        <w:rPr>
          <w:rStyle w:val="Char"/>
        </w:rPr>
        <w:t xml:space="preserve">Nie wiadomo, czy produkt leczniczy </w:t>
      </w:r>
      <w:r w:rsidR="00026375" w:rsidRPr="00F13073">
        <w:rPr>
          <w:rStyle w:val="Char"/>
        </w:rPr>
        <w:t>Avtozma</w:t>
      </w:r>
      <w:r w:rsidRPr="00F13073">
        <w:rPr>
          <w:rStyle w:val="Char"/>
        </w:rPr>
        <w:t xml:space="preserve"> przenika do mleka kobiecego. Nie badano przenikania produktu leczniczego </w:t>
      </w:r>
      <w:r w:rsidR="00026375" w:rsidRPr="00F13073">
        <w:rPr>
          <w:rStyle w:val="Char"/>
        </w:rPr>
        <w:t>Avtozma</w:t>
      </w:r>
      <w:r w:rsidRPr="00F13073">
        <w:rPr>
          <w:rStyle w:val="Char"/>
        </w:rPr>
        <w:t xml:space="preserve"> do mleka u zwierząt. Decyzję o kontynuacji lub przerwaniu karmienia piersią bądź kontynuacji lub przerwaniu podawania produktu leczniczego </w:t>
      </w:r>
      <w:r w:rsidR="00026375" w:rsidRPr="00F13073">
        <w:rPr>
          <w:rStyle w:val="Char"/>
        </w:rPr>
        <w:t>Avtozma</w:t>
      </w:r>
      <w:r w:rsidRPr="00F13073">
        <w:rPr>
          <w:rStyle w:val="Char"/>
        </w:rPr>
        <w:t xml:space="preserve"> należy podejmować, mając na uwadze korzyści dla dziecka karmionego piersią oraz korzyści leczenia produktem leczniczym </w:t>
      </w:r>
      <w:r w:rsidR="00026375" w:rsidRPr="00F13073">
        <w:rPr>
          <w:rStyle w:val="Char"/>
        </w:rPr>
        <w:t>Avtozma</w:t>
      </w:r>
      <w:r w:rsidRPr="00F13073">
        <w:rPr>
          <w:rStyle w:val="Char"/>
        </w:rPr>
        <w:t xml:space="preserve"> dla pacjentki.</w:t>
      </w:r>
    </w:p>
    <w:p w14:paraId="7E490E45" w14:textId="77777777" w:rsidR="00813556" w:rsidRPr="00F13073" w:rsidRDefault="00813556" w:rsidP="008B4C50">
      <w:pPr>
        <w:pStyle w:val="a4"/>
        <w:widowControl/>
        <w:spacing w:after="0"/>
      </w:pPr>
    </w:p>
    <w:p w14:paraId="53B5767C" w14:textId="77777777" w:rsidR="00D61F11" w:rsidRPr="00F13073" w:rsidRDefault="00D61F11" w:rsidP="008B4C50">
      <w:pPr>
        <w:pStyle w:val="a4"/>
        <w:widowControl/>
        <w:spacing w:after="0"/>
      </w:pPr>
      <w:r w:rsidRPr="00F13073">
        <w:rPr>
          <w:rStyle w:val="Char"/>
          <w:u w:val="single"/>
        </w:rPr>
        <w:t>Płodność</w:t>
      </w:r>
    </w:p>
    <w:p w14:paraId="738F51FA" w14:textId="77777777" w:rsidR="00377AB0" w:rsidRPr="00F13073" w:rsidRDefault="00377AB0" w:rsidP="008B4C50">
      <w:pPr>
        <w:pStyle w:val="a4"/>
        <w:widowControl/>
        <w:spacing w:after="0"/>
        <w:rPr>
          <w:rStyle w:val="Char"/>
        </w:rPr>
      </w:pPr>
    </w:p>
    <w:p w14:paraId="5C48E957" w14:textId="20E1FEF5" w:rsidR="00D61F11" w:rsidRPr="00F13073" w:rsidRDefault="00D61F11" w:rsidP="008B4C50">
      <w:pPr>
        <w:pStyle w:val="a4"/>
        <w:widowControl/>
        <w:spacing w:after="0"/>
        <w:rPr>
          <w:rStyle w:val="Char"/>
        </w:rPr>
      </w:pPr>
      <w:r w:rsidRPr="00F13073">
        <w:rPr>
          <w:rStyle w:val="Char"/>
        </w:rPr>
        <w:t xml:space="preserve">Dostępne dane niekliniczne nie wskazują na istnienie wpływu leczenia produktem leczniczym </w:t>
      </w:r>
      <w:r w:rsidR="00026375" w:rsidRPr="00F13073">
        <w:rPr>
          <w:rStyle w:val="Char"/>
        </w:rPr>
        <w:t>Avtozma</w:t>
      </w:r>
      <w:r w:rsidRPr="00F13073">
        <w:rPr>
          <w:rStyle w:val="Char"/>
        </w:rPr>
        <w:t xml:space="preserve"> na płodność.</w:t>
      </w:r>
    </w:p>
    <w:p w14:paraId="742CA2D1" w14:textId="77777777" w:rsidR="00813556" w:rsidRPr="00F13073" w:rsidRDefault="00813556" w:rsidP="008B4C50">
      <w:pPr>
        <w:pStyle w:val="a4"/>
        <w:widowControl/>
        <w:spacing w:after="0"/>
      </w:pPr>
    </w:p>
    <w:p w14:paraId="6F6F2190" w14:textId="77777777" w:rsidR="00D61F11" w:rsidRPr="00F13073" w:rsidRDefault="00D61F11" w:rsidP="008B4C50">
      <w:pPr>
        <w:keepNext/>
        <w:ind w:left="567" w:hanging="567"/>
      </w:pPr>
      <w:r w:rsidRPr="00F13073">
        <w:rPr>
          <w:rStyle w:val="Char"/>
          <w:rFonts w:eastAsia="DengXian"/>
          <w:b/>
          <w:bCs/>
        </w:rPr>
        <w:lastRenderedPageBreak/>
        <w:t>4.7</w:t>
      </w:r>
      <w:r w:rsidR="00813556" w:rsidRPr="00F13073">
        <w:rPr>
          <w:rStyle w:val="Char"/>
          <w:rFonts w:eastAsia="DengXian"/>
          <w:b/>
          <w:bCs/>
        </w:rPr>
        <w:tab/>
      </w:r>
      <w:r w:rsidRPr="00F13073">
        <w:rPr>
          <w:rStyle w:val="Char"/>
          <w:rFonts w:eastAsia="DengXian"/>
          <w:b/>
          <w:bCs/>
        </w:rPr>
        <w:t>Wpływ na zdolność prowadzenia pojazdów i obsługiwania maszyn</w:t>
      </w:r>
    </w:p>
    <w:p w14:paraId="1567720C" w14:textId="77777777" w:rsidR="00813556" w:rsidRPr="00F13073" w:rsidRDefault="00813556" w:rsidP="008B4C50">
      <w:pPr>
        <w:pStyle w:val="a4"/>
        <w:widowControl/>
        <w:spacing w:after="0"/>
        <w:rPr>
          <w:rStyle w:val="Char"/>
        </w:rPr>
      </w:pPr>
    </w:p>
    <w:p w14:paraId="3C8EFD04" w14:textId="6B44A1F3" w:rsidR="00D61F11" w:rsidRPr="00F13073" w:rsidRDefault="00603F61" w:rsidP="008B4C50">
      <w:pPr>
        <w:pStyle w:val="a4"/>
        <w:widowControl/>
        <w:spacing w:after="0"/>
      </w:pPr>
      <w:r w:rsidRPr="00F13073">
        <w:rPr>
          <w:rStyle w:val="Char"/>
        </w:rPr>
        <w:t>Tocilizumab</w:t>
      </w:r>
      <w:r w:rsidRPr="00F13073" w:rsidDel="00603F61">
        <w:rPr>
          <w:rStyle w:val="Char"/>
        </w:rPr>
        <w:t xml:space="preserve"> </w:t>
      </w:r>
      <w:r w:rsidR="00D61F11" w:rsidRPr="00F13073">
        <w:rPr>
          <w:rStyle w:val="Char"/>
        </w:rPr>
        <w:t>ma niewielki wpływ na zdolność prowadzenia pojazdów mechanicznych i obsługiwania maszyn (patrz punkt 4.8, zawroty głowy).</w:t>
      </w:r>
    </w:p>
    <w:p w14:paraId="548D674E" w14:textId="77777777" w:rsidR="00813556" w:rsidRPr="00F13073" w:rsidRDefault="00813556" w:rsidP="008B4C50">
      <w:pPr>
        <w:pStyle w:val="a4"/>
        <w:widowControl/>
        <w:spacing w:after="0"/>
        <w:rPr>
          <w:rStyle w:val="Char"/>
          <w:b/>
          <w:bCs/>
        </w:rPr>
      </w:pPr>
    </w:p>
    <w:p w14:paraId="4FC107E8" w14:textId="77777777" w:rsidR="00D61F11" w:rsidRPr="00F13073" w:rsidRDefault="00D61F11" w:rsidP="001E6011">
      <w:pPr>
        <w:keepNext/>
        <w:ind w:left="567" w:hanging="567"/>
      </w:pPr>
      <w:r w:rsidRPr="00F13073">
        <w:rPr>
          <w:rStyle w:val="Char"/>
          <w:rFonts w:eastAsia="DengXian"/>
          <w:b/>
          <w:bCs/>
        </w:rPr>
        <w:t>4.8</w:t>
      </w:r>
      <w:r w:rsidR="00813556" w:rsidRPr="00F13073">
        <w:rPr>
          <w:rStyle w:val="Char"/>
          <w:rFonts w:eastAsia="DengXian"/>
          <w:b/>
          <w:bCs/>
        </w:rPr>
        <w:tab/>
      </w:r>
      <w:r w:rsidRPr="00F13073">
        <w:rPr>
          <w:rStyle w:val="Char"/>
          <w:rFonts w:eastAsia="DengXian"/>
          <w:b/>
          <w:bCs/>
        </w:rPr>
        <w:t>Działania niepożądane</w:t>
      </w:r>
    </w:p>
    <w:p w14:paraId="3B5930B0" w14:textId="77777777" w:rsidR="00813556" w:rsidRPr="00F13073" w:rsidRDefault="00813556" w:rsidP="001E6011">
      <w:pPr>
        <w:pStyle w:val="a4"/>
        <w:keepNext/>
        <w:widowControl/>
        <w:spacing w:after="0"/>
        <w:rPr>
          <w:rStyle w:val="Char"/>
          <w:u w:val="single"/>
        </w:rPr>
      </w:pPr>
    </w:p>
    <w:p w14:paraId="67ADAEDF" w14:textId="77777777" w:rsidR="00D61F11" w:rsidRPr="00F13073" w:rsidRDefault="00D61F11" w:rsidP="00377AB0">
      <w:pPr>
        <w:pStyle w:val="a4"/>
        <w:keepNext/>
        <w:widowControl/>
        <w:spacing w:after="0"/>
      </w:pPr>
      <w:r w:rsidRPr="00F13073">
        <w:rPr>
          <w:rStyle w:val="Char"/>
          <w:u w:val="single"/>
        </w:rPr>
        <w:t>Podsumowanie profilu bezpieczeństwa</w:t>
      </w:r>
    </w:p>
    <w:p w14:paraId="0D1A802D" w14:textId="77777777" w:rsidR="00377AB0" w:rsidRPr="00F13073" w:rsidRDefault="00377AB0" w:rsidP="00377AB0">
      <w:pPr>
        <w:pStyle w:val="a4"/>
        <w:keepNext/>
        <w:widowControl/>
        <w:spacing w:after="0"/>
        <w:rPr>
          <w:rStyle w:val="Char"/>
        </w:rPr>
      </w:pPr>
    </w:p>
    <w:p w14:paraId="4CB3E5AF" w14:textId="1F989CB0" w:rsidR="00D61F11" w:rsidRPr="00F13073" w:rsidRDefault="00D61F11" w:rsidP="008B4C50">
      <w:pPr>
        <w:pStyle w:val="a4"/>
        <w:widowControl/>
        <w:spacing w:after="0"/>
        <w:rPr>
          <w:rStyle w:val="Char"/>
        </w:rPr>
      </w:pPr>
      <w:r w:rsidRPr="00F13073">
        <w:rPr>
          <w:rStyle w:val="Char"/>
        </w:rPr>
        <w:t xml:space="preserve">Profil bezpieczeństwa opiera się na danych pochodzących od 4510 pacjentów eksponowanych na </w:t>
      </w:r>
      <w:r w:rsidR="00603F61" w:rsidRPr="00F13073">
        <w:rPr>
          <w:rStyle w:val="Char"/>
        </w:rPr>
        <w:t>tocilizumab</w:t>
      </w:r>
      <w:r w:rsidR="00603F61" w:rsidRPr="00F13073" w:rsidDel="00603F61">
        <w:rPr>
          <w:rStyle w:val="Char"/>
        </w:rPr>
        <w:t xml:space="preserve"> </w:t>
      </w:r>
      <w:r w:rsidRPr="00F13073">
        <w:rPr>
          <w:rStyle w:val="Char"/>
        </w:rPr>
        <w:t xml:space="preserve">w badaniach klinicznych; większość z tych pacjentów uczestniczyła w badaniach w RZS (n=4009), natomiast pozostałe doświadczenia pochodzą z badań w GCA (n=149), wMIZS (n=240) i uMIZS (n=112). Profil bezpieczeństwa </w:t>
      </w:r>
      <w:r w:rsidR="00603F61" w:rsidRPr="00F13073">
        <w:rPr>
          <w:rStyle w:val="Char"/>
        </w:rPr>
        <w:t>tocilizumabu</w:t>
      </w:r>
      <w:r w:rsidRPr="00F13073">
        <w:rPr>
          <w:rStyle w:val="Char"/>
        </w:rPr>
        <w:t xml:space="preserve"> w tych wskazaniach pozostaje podobny i niezróżnicowany.</w:t>
      </w:r>
    </w:p>
    <w:p w14:paraId="2C7F5247" w14:textId="77777777" w:rsidR="005816CA" w:rsidRPr="00F13073" w:rsidRDefault="005816CA" w:rsidP="008B4C50">
      <w:pPr>
        <w:pStyle w:val="a4"/>
        <w:widowControl/>
        <w:spacing w:after="0"/>
      </w:pPr>
    </w:p>
    <w:p w14:paraId="2B843042" w14:textId="77777777" w:rsidR="00D61F11" w:rsidRPr="00F13073" w:rsidRDefault="00D61F11" w:rsidP="008B4C50">
      <w:pPr>
        <w:pStyle w:val="a4"/>
        <w:widowControl/>
        <w:spacing w:after="0"/>
        <w:rPr>
          <w:rStyle w:val="Char"/>
        </w:rPr>
      </w:pPr>
      <w:r w:rsidRPr="00F13073">
        <w:rPr>
          <w:rStyle w:val="Char"/>
        </w:rPr>
        <w:t>Do najczęściej zgłaszanych działań niepożądanych należały: zakażenia górnych dróg oddechowych, zapalenie jamy nosowej i gardła, ból głowy, nadciśnienie tętnicze i zwiększenie aktywności AlAT.</w:t>
      </w:r>
    </w:p>
    <w:p w14:paraId="093C0BE0" w14:textId="77777777" w:rsidR="005816CA" w:rsidRPr="00F13073" w:rsidRDefault="005816CA" w:rsidP="008B4C50">
      <w:pPr>
        <w:pStyle w:val="a4"/>
        <w:widowControl/>
        <w:spacing w:after="0"/>
      </w:pPr>
    </w:p>
    <w:p w14:paraId="5FA0572E" w14:textId="77777777" w:rsidR="00D61F11" w:rsidRPr="00F13073" w:rsidRDefault="00D61F11" w:rsidP="008B4C50">
      <w:pPr>
        <w:pStyle w:val="a4"/>
        <w:widowControl/>
        <w:spacing w:after="0"/>
        <w:rPr>
          <w:rStyle w:val="Char"/>
        </w:rPr>
      </w:pPr>
      <w:r w:rsidRPr="00F13073">
        <w:rPr>
          <w:rStyle w:val="Char"/>
        </w:rPr>
        <w:t>Do najcięższych działań niepożądanych należały poważne zakażenia, powikłania zapalenia uchyłków jelita oraz reakcje nadwrażliwości.</w:t>
      </w:r>
    </w:p>
    <w:p w14:paraId="253D7281" w14:textId="77777777" w:rsidR="005816CA" w:rsidRPr="00F13073" w:rsidRDefault="005816CA" w:rsidP="008B4C50">
      <w:pPr>
        <w:pStyle w:val="a4"/>
        <w:widowControl/>
        <w:spacing w:after="0"/>
      </w:pPr>
    </w:p>
    <w:p w14:paraId="415E7CD4" w14:textId="77777777" w:rsidR="00D61F11" w:rsidRPr="00F13073" w:rsidRDefault="00D61F11" w:rsidP="004660C1">
      <w:pPr>
        <w:pStyle w:val="a4"/>
        <w:keepNext/>
        <w:keepLines/>
        <w:widowControl/>
        <w:spacing w:after="0"/>
      </w:pPr>
      <w:r w:rsidRPr="00F13073">
        <w:rPr>
          <w:rStyle w:val="Char"/>
          <w:u w:val="single"/>
        </w:rPr>
        <w:t>Lista działań niepożądanych zebranych w tabelach</w:t>
      </w:r>
    </w:p>
    <w:p w14:paraId="60E7B32C" w14:textId="0E0C3BF5" w:rsidR="009E4F53" w:rsidRPr="00F13073" w:rsidRDefault="009E4F53" w:rsidP="008B4C50">
      <w:pPr>
        <w:pStyle w:val="a4"/>
        <w:widowControl/>
        <w:spacing w:after="0"/>
      </w:pPr>
      <w:r w:rsidRPr="00F13073">
        <w:rPr>
          <w:rStyle w:val="Char"/>
        </w:rPr>
        <w:t xml:space="preserve">Działania niepożądane występujące w badaniach klinicznych i (lub) w okresie po wprowadzeniu </w:t>
      </w:r>
      <w:r w:rsidR="008815F5" w:rsidRPr="00F13073">
        <w:rPr>
          <w:rStyle w:val="Char"/>
        </w:rPr>
        <w:t xml:space="preserve">tocilizumabu </w:t>
      </w:r>
      <w:r w:rsidRPr="00F13073">
        <w:rPr>
          <w:rStyle w:val="Char"/>
        </w:rPr>
        <w:t>do obrotu, oparte na zgłoszeniach spontanicznych, przypadkach opisanych w piśmiennictwie oraz przypadkach występujących w programach badań nieinterwencyjnych zostały wymienione w Tabeli 1 i przedstawiono je według klasyfikacji układów i narządów MedDRA. Odpowiednie kategorie częstości występowania opierają się na następującej konwencji: bardzo często (≥ 1/10), często (≥ 1/100 do &lt; 1/10), niezbyt często (≥ 1/1 000 do &lt; 1/100), rzadko (&gt; 1/10 000 do &lt; 1/1 000) lub bardzo rzadko (&lt; 1/10 0</w:t>
      </w:r>
      <w:r w:rsidRPr="00F13073">
        <w:rPr>
          <w:rStyle w:val="Char"/>
          <w:lang w:eastAsia="el-GR"/>
        </w:rPr>
        <w:t xml:space="preserve">00). </w:t>
      </w:r>
      <w:r w:rsidRPr="00F13073">
        <w:rPr>
          <w:rStyle w:val="Char"/>
        </w:rPr>
        <w:t>W obrębie każdej grupy częstości występowania działania niepożądane są wymienione zgodnie ze zmniejszającym się nasileniem.</w:t>
      </w:r>
    </w:p>
    <w:p w14:paraId="33D176E0" w14:textId="77777777" w:rsidR="001E0975" w:rsidRPr="00F13073" w:rsidRDefault="001E0975" w:rsidP="008B4C50"/>
    <w:p w14:paraId="05CA4BB1" w14:textId="65A4B91B" w:rsidR="001E0975" w:rsidRPr="00F13073" w:rsidRDefault="00611033" w:rsidP="008B4C50">
      <w:pPr>
        <w:keepNext/>
        <w:ind w:left="1134" w:hanging="1134"/>
        <w:rPr>
          <w:i/>
          <w:iCs/>
        </w:rPr>
      </w:pPr>
      <w:r w:rsidRPr="00F13073">
        <w:rPr>
          <w:i/>
          <w:iCs/>
        </w:rPr>
        <w:lastRenderedPageBreak/>
        <w:t>Tab</w:t>
      </w:r>
      <w:r w:rsidR="00090F14" w:rsidRPr="00F13073">
        <w:rPr>
          <w:i/>
          <w:iCs/>
        </w:rPr>
        <w:t>e</w:t>
      </w:r>
      <w:r w:rsidRPr="00F13073">
        <w:rPr>
          <w:i/>
          <w:iCs/>
        </w:rPr>
        <w:t>l</w:t>
      </w:r>
      <w:r w:rsidR="009E4F53" w:rsidRPr="00F13073">
        <w:rPr>
          <w:i/>
          <w:iCs/>
        </w:rPr>
        <w:t>a</w:t>
      </w:r>
      <w:r w:rsidRPr="00F13073">
        <w:rPr>
          <w:i/>
          <w:iCs/>
        </w:rPr>
        <w:t xml:space="preserve"> 1.</w:t>
      </w:r>
      <w:r w:rsidR="00036A5B" w:rsidRPr="00F13073">
        <w:rPr>
          <w:i/>
          <w:iCs/>
        </w:rPr>
        <w:tab/>
      </w:r>
      <w:r w:rsidR="009E4F53" w:rsidRPr="00F13073">
        <w:rPr>
          <w:rStyle w:val="Char"/>
          <w:rFonts w:eastAsia="DengXian"/>
          <w:i/>
          <w:iCs/>
        </w:rPr>
        <w:t xml:space="preserve">Lista działań niepożądanych występujących u chorych leczonych </w:t>
      </w:r>
      <w:r w:rsidR="008815F5" w:rsidRPr="00F13073">
        <w:rPr>
          <w:rStyle w:val="Char"/>
          <w:rFonts w:eastAsia="DengXian"/>
          <w:i/>
          <w:iCs/>
        </w:rPr>
        <w:t>tocilizumabem</w:t>
      </w:r>
      <w:r w:rsidR="009E4F53" w:rsidRPr="00F13073">
        <w:rPr>
          <w:rStyle w:val="Char"/>
          <w:rFonts w:eastAsia="DengXian"/>
          <w:i/>
          <w:iCs/>
        </w:rPr>
        <w:t>.</w:t>
      </w:r>
    </w:p>
    <w:p w14:paraId="3CC67063" w14:textId="77777777" w:rsidR="00036A5B" w:rsidRPr="00F13073" w:rsidRDefault="00036A5B" w:rsidP="008B4C50">
      <w:pPr>
        <w:keepNext/>
        <w:ind w:left="1134" w:hanging="1134"/>
        <w:rPr>
          <w:i/>
          <w:iCs/>
        </w:rPr>
      </w:pPr>
    </w:p>
    <w:tbl>
      <w:tblPr>
        <w:tblOverlap w:val="neve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620"/>
        <w:gridCol w:w="2057"/>
        <w:gridCol w:w="1973"/>
        <w:gridCol w:w="1817"/>
        <w:gridCol w:w="1384"/>
      </w:tblGrid>
      <w:tr w:rsidR="00090F14" w:rsidRPr="00F13073" w14:paraId="030AF8C8" w14:textId="77777777" w:rsidTr="00987DFF">
        <w:trPr>
          <w:cantSplit/>
          <w:tblHeader/>
        </w:trPr>
        <w:tc>
          <w:tcPr>
            <w:tcW w:w="1660" w:type="dxa"/>
            <w:vMerge w:val="restart"/>
            <w:vAlign w:val="bottom"/>
          </w:tcPr>
          <w:p w14:paraId="23D24A74" w14:textId="77777777" w:rsidR="00090F14" w:rsidRPr="00F13073" w:rsidRDefault="00090F14" w:rsidP="00377AB0">
            <w:pPr>
              <w:keepNext/>
              <w:suppressAutoHyphens/>
              <w:jc w:val="center"/>
              <w:rPr>
                <w:b/>
                <w:bCs/>
                <w:sz w:val="18"/>
                <w:szCs w:val="18"/>
              </w:rPr>
            </w:pPr>
            <w:r w:rsidRPr="00F13073">
              <w:rPr>
                <w:rStyle w:val="Other"/>
                <w:rFonts w:eastAsia="DengXian"/>
                <w:b/>
                <w:bCs/>
                <w:sz w:val="18"/>
                <w:szCs w:val="18"/>
              </w:rPr>
              <w:t>MedDRA Klasyfikacja układów i narządów</w:t>
            </w:r>
          </w:p>
        </w:tc>
        <w:tc>
          <w:tcPr>
            <w:tcW w:w="7412" w:type="dxa"/>
            <w:gridSpan w:val="4"/>
          </w:tcPr>
          <w:p w14:paraId="557EF85D" w14:textId="77777777" w:rsidR="00090F14" w:rsidRPr="00F13073" w:rsidRDefault="00090F14" w:rsidP="00377AB0">
            <w:pPr>
              <w:keepNext/>
              <w:suppressAutoHyphens/>
              <w:jc w:val="center"/>
              <w:rPr>
                <w:b/>
                <w:bCs/>
                <w:sz w:val="18"/>
                <w:szCs w:val="18"/>
              </w:rPr>
            </w:pPr>
            <w:r w:rsidRPr="00F13073">
              <w:rPr>
                <w:b/>
                <w:bCs/>
                <w:sz w:val="18"/>
                <w:szCs w:val="18"/>
              </w:rPr>
              <w:t>Kategorie częstości z zastosowaniem zalecanej terminologii</w:t>
            </w:r>
          </w:p>
        </w:tc>
      </w:tr>
      <w:tr w:rsidR="00090F14" w:rsidRPr="00F13073" w14:paraId="0BE52EDA" w14:textId="77777777" w:rsidTr="00987DFF">
        <w:trPr>
          <w:cantSplit/>
          <w:tblHeader/>
        </w:trPr>
        <w:tc>
          <w:tcPr>
            <w:tcW w:w="1660" w:type="dxa"/>
            <w:vMerge/>
            <w:vAlign w:val="bottom"/>
          </w:tcPr>
          <w:p w14:paraId="56F6C0D6" w14:textId="77777777" w:rsidR="00090F14" w:rsidRPr="00F13073" w:rsidRDefault="00090F14" w:rsidP="00377AB0">
            <w:pPr>
              <w:keepNext/>
              <w:suppressAutoHyphens/>
              <w:jc w:val="center"/>
              <w:rPr>
                <w:b/>
                <w:bCs/>
                <w:sz w:val="18"/>
                <w:szCs w:val="18"/>
              </w:rPr>
            </w:pPr>
          </w:p>
        </w:tc>
        <w:tc>
          <w:tcPr>
            <w:tcW w:w="2109" w:type="dxa"/>
          </w:tcPr>
          <w:p w14:paraId="5350A3B7" w14:textId="77777777" w:rsidR="00090F14" w:rsidRPr="00F13073" w:rsidRDefault="00090F14" w:rsidP="00377AB0">
            <w:pPr>
              <w:keepNext/>
              <w:suppressAutoHyphens/>
              <w:jc w:val="center"/>
              <w:rPr>
                <w:b/>
                <w:bCs/>
                <w:sz w:val="18"/>
                <w:szCs w:val="18"/>
              </w:rPr>
            </w:pPr>
            <w:r w:rsidRPr="00F13073">
              <w:rPr>
                <w:rStyle w:val="Other"/>
                <w:rFonts w:eastAsia="DengXian"/>
                <w:b/>
                <w:bCs/>
                <w:sz w:val="18"/>
                <w:szCs w:val="18"/>
              </w:rPr>
              <w:t>Bardzo często</w:t>
            </w:r>
          </w:p>
        </w:tc>
        <w:tc>
          <w:tcPr>
            <w:tcW w:w="2023" w:type="dxa"/>
          </w:tcPr>
          <w:p w14:paraId="57A58962" w14:textId="77777777" w:rsidR="00090F14" w:rsidRPr="00F13073" w:rsidRDefault="00090F14" w:rsidP="00377AB0">
            <w:pPr>
              <w:keepNext/>
              <w:suppressAutoHyphens/>
              <w:jc w:val="center"/>
              <w:rPr>
                <w:b/>
                <w:bCs/>
                <w:sz w:val="18"/>
                <w:szCs w:val="18"/>
              </w:rPr>
            </w:pPr>
            <w:r w:rsidRPr="00F13073">
              <w:rPr>
                <w:rStyle w:val="Other"/>
                <w:rFonts w:eastAsia="DengXian"/>
                <w:b/>
                <w:bCs/>
                <w:sz w:val="18"/>
                <w:szCs w:val="18"/>
              </w:rPr>
              <w:t>Często</w:t>
            </w:r>
          </w:p>
        </w:tc>
        <w:tc>
          <w:tcPr>
            <w:tcW w:w="1863" w:type="dxa"/>
          </w:tcPr>
          <w:p w14:paraId="04944FA5" w14:textId="77777777" w:rsidR="00090F14" w:rsidRPr="00F13073" w:rsidRDefault="00090F14" w:rsidP="00377AB0">
            <w:pPr>
              <w:keepNext/>
              <w:suppressAutoHyphens/>
              <w:jc w:val="center"/>
              <w:rPr>
                <w:b/>
                <w:bCs/>
                <w:sz w:val="18"/>
                <w:szCs w:val="18"/>
              </w:rPr>
            </w:pPr>
            <w:r w:rsidRPr="00F13073">
              <w:rPr>
                <w:rStyle w:val="Other"/>
                <w:rFonts w:eastAsia="DengXian"/>
                <w:b/>
                <w:bCs/>
                <w:sz w:val="18"/>
                <w:szCs w:val="18"/>
              </w:rPr>
              <w:t>Niezbyt często</w:t>
            </w:r>
          </w:p>
        </w:tc>
        <w:tc>
          <w:tcPr>
            <w:tcW w:w="1417" w:type="dxa"/>
          </w:tcPr>
          <w:p w14:paraId="48C014A7" w14:textId="77777777" w:rsidR="00090F14" w:rsidRPr="00F13073" w:rsidRDefault="00090F14" w:rsidP="00377AB0">
            <w:pPr>
              <w:keepNext/>
              <w:suppressAutoHyphens/>
              <w:jc w:val="center"/>
              <w:rPr>
                <w:b/>
                <w:bCs/>
                <w:sz w:val="18"/>
                <w:szCs w:val="18"/>
              </w:rPr>
            </w:pPr>
            <w:r w:rsidRPr="00F13073">
              <w:rPr>
                <w:rStyle w:val="Other"/>
                <w:rFonts w:eastAsia="DengXian"/>
                <w:b/>
                <w:bCs/>
                <w:sz w:val="18"/>
                <w:szCs w:val="18"/>
              </w:rPr>
              <w:t>Rzadko</w:t>
            </w:r>
          </w:p>
        </w:tc>
      </w:tr>
      <w:tr w:rsidR="00090F14" w:rsidRPr="00F13073" w14:paraId="6EE31E75" w14:textId="77777777" w:rsidTr="00987DFF">
        <w:trPr>
          <w:cantSplit/>
          <w:tblHeader/>
        </w:trPr>
        <w:tc>
          <w:tcPr>
            <w:tcW w:w="1660" w:type="dxa"/>
          </w:tcPr>
          <w:p w14:paraId="72430F0C" w14:textId="77777777" w:rsidR="00090F14" w:rsidRPr="00F13073" w:rsidRDefault="00090F14" w:rsidP="008B4C50">
            <w:pPr>
              <w:suppressAutoHyphens/>
              <w:rPr>
                <w:sz w:val="18"/>
                <w:szCs w:val="18"/>
              </w:rPr>
            </w:pPr>
            <w:r w:rsidRPr="00F13073">
              <w:rPr>
                <w:rStyle w:val="Other"/>
                <w:rFonts w:eastAsia="DengXian"/>
                <w:sz w:val="18"/>
                <w:szCs w:val="18"/>
              </w:rPr>
              <w:t>Zakażenia i zarażenia pasożytnicze</w:t>
            </w:r>
          </w:p>
        </w:tc>
        <w:tc>
          <w:tcPr>
            <w:tcW w:w="2109" w:type="dxa"/>
          </w:tcPr>
          <w:p w14:paraId="11A545DC" w14:textId="77777777" w:rsidR="00090F14" w:rsidRPr="00F13073" w:rsidRDefault="00090F14" w:rsidP="008B4C50">
            <w:pPr>
              <w:suppressAutoHyphens/>
              <w:rPr>
                <w:sz w:val="18"/>
                <w:szCs w:val="18"/>
              </w:rPr>
            </w:pPr>
            <w:r w:rsidRPr="00F13073">
              <w:rPr>
                <w:rStyle w:val="Other"/>
                <w:rFonts w:eastAsia="DengXian"/>
                <w:sz w:val="18"/>
                <w:szCs w:val="18"/>
              </w:rPr>
              <w:t>Zakażenie górnych dróg oddechowych</w:t>
            </w:r>
          </w:p>
        </w:tc>
        <w:tc>
          <w:tcPr>
            <w:tcW w:w="2023" w:type="dxa"/>
            <w:vAlign w:val="bottom"/>
          </w:tcPr>
          <w:p w14:paraId="0C75BE33" w14:textId="77777777" w:rsidR="00090F14" w:rsidRPr="00F13073" w:rsidRDefault="00090F14" w:rsidP="008B4C50">
            <w:pPr>
              <w:suppressAutoHyphens/>
              <w:rPr>
                <w:sz w:val="18"/>
                <w:szCs w:val="18"/>
              </w:rPr>
            </w:pPr>
            <w:r w:rsidRPr="00F13073">
              <w:rPr>
                <w:rStyle w:val="Other"/>
                <w:rFonts w:eastAsia="DengXian"/>
                <w:sz w:val="18"/>
                <w:szCs w:val="18"/>
              </w:rPr>
              <w:t>Zapalenie podskórnej tkanki łącznej, zapalenie płuc, opryszczka wargowa, półpasiec</w:t>
            </w:r>
          </w:p>
        </w:tc>
        <w:tc>
          <w:tcPr>
            <w:tcW w:w="1863" w:type="dxa"/>
          </w:tcPr>
          <w:p w14:paraId="1C0E63A0" w14:textId="77777777" w:rsidR="00090F14" w:rsidRPr="00F13073" w:rsidRDefault="00090F14" w:rsidP="008B4C50">
            <w:pPr>
              <w:suppressAutoHyphens/>
              <w:rPr>
                <w:sz w:val="18"/>
                <w:szCs w:val="18"/>
              </w:rPr>
            </w:pPr>
            <w:r w:rsidRPr="00F13073">
              <w:rPr>
                <w:rStyle w:val="Other"/>
                <w:rFonts w:eastAsia="DengXian"/>
                <w:sz w:val="18"/>
                <w:szCs w:val="18"/>
              </w:rPr>
              <w:t>Zapalenie uchyłków jelita</w:t>
            </w:r>
          </w:p>
        </w:tc>
        <w:tc>
          <w:tcPr>
            <w:tcW w:w="1417" w:type="dxa"/>
          </w:tcPr>
          <w:p w14:paraId="6F10B455" w14:textId="77777777" w:rsidR="00090F14" w:rsidRPr="00F13073" w:rsidRDefault="00090F14" w:rsidP="008B4C50">
            <w:pPr>
              <w:suppressAutoHyphens/>
              <w:rPr>
                <w:sz w:val="18"/>
                <w:szCs w:val="18"/>
              </w:rPr>
            </w:pPr>
          </w:p>
        </w:tc>
      </w:tr>
      <w:tr w:rsidR="00090F14" w:rsidRPr="00F13073" w14:paraId="2995E543" w14:textId="77777777" w:rsidTr="00987DFF">
        <w:trPr>
          <w:cantSplit/>
          <w:tblHeader/>
        </w:trPr>
        <w:tc>
          <w:tcPr>
            <w:tcW w:w="1660" w:type="dxa"/>
          </w:tcPr>
          <w:p w14:paraId="1A1458D4" w14:textId="77777777" w:rsidR="00090F14" w:rsidRPr="00F13073" w:rsidRDefault="00090F14" w:rsidP="008B4C50">
            <w:pPr>
              <w:suppressAutoHyphens/>
              <w:rPr>
                <w:sz w:val="18"/>
                <w:szCs w:val="18"/>
              </w:rPr>
            </w:pPr>
            <w:r w:rsidRPr="00F13073">
              <w:rPr>
                <w:rStyle w:val="Other"/>
                <w:rFonts w:eastAsia="DengXian"/>
                <w:sz w:val="18"/>
                <w:szCs w:val="18"/>
              </w:rPr>
              <w:t>Zaburzenia krwi i układu chłonnego</w:t>
            </w:r>
          </w:p>
        </w:tc>
        <w:tc>
          <w:tcPr>
            <w:tcW w:w="2109" w:type="dxa"/>
          </w:tcPr>
          <w:p w14:paraId="19A08D44" w14:textId="77777777" w:rsidR="00090F14" w:rsidRPr="00F13073" w:rsidRDefault="00090F14" w:rsidP="008B4C50">
            <w:pPr>
              <w:suppressAutoHyphens/>
              <w:rPr>
                <w:sz w:val="18"/>
                <w:szCs w:val="18"/>
              </w:rPr>
            </w:pPr>
            <w:r w:rsidRPr="00F13073">
              <w:rPr>
                <w:sz w:val="18"/>
                <w:szCs w:val="18"/>
              </w:rPr>
              <w:t>-</w:t>
            </w:r>
          </w:p>
        </w:tc>
        <w:tc>
          <w:tcPr>
            <w:tcW w:w="2023" w:type="dxa"/>
            <w:vAlign w:val="bottom"/>
          </w:tcPr>
          <w:p w14:paraId="3F5831C9" w14:textId="77777777" w:rsidR="00090F14" w:rsidRPr="00F13073" w:rsidRDefault="00090F14" w:rsidP="008B4C50">
            <w:pPr>
              <w:suppressAutoHyphens/>
              <w:rPr>
                <w:sz w:val="18"/>
                <w:szCs w:val="18"/>
              </w:rPr>
            </w:pPr>
            <w:r w:rsidRPr="00F13073">
              <w:rPr>
                <w:rStyle w:val="Other"/>
                <w:rFonts w:eastAsia="DengXian"/>
                <w:sz w:val="18"/>
                <w:szCs w:val="18"/>
              </w:rPr>
              <w:t>Leukopenia, Neutropenia, Hipofibrynogenemia</w:t>
            </w:r>
          </w:p>
        </w:tc>
        <w:tc>
          <w:tcPr>
            <w:tcW w:w="1863" w:type="dxa"/>
          </w:tcPr>
          <w:p w14:paraId="357ABBD2"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40842BEC" w14:textId="77777777" w:rsidR="00090F14" w:rsidRPr="00F13073" w:rsidRDefault="00090F14" w:rsidP="008B4C50">
            <w:pPr>
              <w:suppressAutoHyphens/>
              <w:rPr>
                <w:sz w:val="18"/>
                <w:szCs w:val="18"/>
              </w:rPr>
            </w:pPr>
          </w:p>
        </w:tc>
      </w:tr>
      <w:tr w:rsidR="00090F14" w:rsidRPr="00F13073" w14:paraId="59158729" w14:textId="77777777" w:rsidTr="00987DFF">
        <w:trPr>
          <w:cantSplit/>
          <w:tblHeader/>
        </w:trPr>
        <w:tc>
          <w:tcPr>
            <w:tcW w:w="1660" w:type="dxa"/>
          </w:tcPr>
          <w:p w14:paraId="7688FDB9" w14:textId="77777777" w:rsidR="00090F14" w:rsidRPr="00F13073" w:rsidRDefault="00090F14" w:rsidP="008B4C50">
            <w:pPr>
              <w:suppressAutoHyphens/>
              <w:ind w:right="-66"/>
              <w:rPr>
                <w:sz w:val="18"/>
                <w:szCs w:val="18"/>
              </w:rPr>
            </w:pPr>
            <w:r w:rsidRPr="00F13073">
              <w:rPr>
                <w:rStyle w:val="Other"/>
                <w:rFonts w:eastAsia="DengXian"/>
                <w:sz w:val="18"/>
                <w:szCs w:val="18"/>
              </w:rPr>
              <w:t>Zaburzenia układu immunologicznego</w:t>
            </w:r>
          </w:p>
        </w:tc>
        <w:tc>
          <w:tcPr>
            <w:tcW w:w="2109" w:type="dxa"/>
          </w:tcPr>
          <w:p w14:paraId="007A9FDE" w14:textId="77777777" w:rsidR="00090F14" w:rsidRPr="00F13073" w:rsidRDefault="00090F14" w:rsidP="008B4C50">
            <w:pPr>
              <w:suppressAutoHyphens/>
              <w:rPr>
                <w:sz w:val="18"/>
                <w:szCs w:val="18"/>
              </w:rPr>
            </w:pPr>
          </w:p>
        </w:tc>
        <w:tc>
          <w:tcPr>
            <w:tcW w:w="2023" w:type="dxa"/>
          </w:tcPr>
          <w:p w14:paraId="7B53AC49" w14:textId="77777777" w:rsidR="00090F14" w:rsidRPr="00F13073" w:rsidRDefault="00090F14" w:rsidP="008B4C50">
            <w:pPr>
              <w:suppressAutoHyphens/>
              <w:rPr>
                <w:sz w:val="18"/>
                <w:szCs w:val="18"/>
              </w:rPr>
            </w:pPr>
          </w:p>
        </w:tc>
        <w:tc>
          <w:tcPr>
            <w:tcW w:w="1863" w:type="dxa"/>
          </w:tcPr>
          <w:p w14:paraId="540565E7" w14:textId="77777777" w:rsidR="00090F14" w:rsidRPr="00F13073" w:rsidRDefault="00090F14" w:rsidP="008B4C50">
            <w:pPr>
              <w:suppressAutoHyphens/>
              <w:rPr>
                <w:sz w:val="18"/>
                <w:szCs w:val="18"/>
              </w:rPr>
            </w:pPr>
          </w:p>
        </w:tc>
        <w:tc>
          <w:tcPr>
            <w:tcW w:w="1417" w:type="dxa"/>
          </w:tcPr>
          <w:p w14:paraId="6E233E2F" w14:textId="77777777" w:rsidR="00090F14" w:rsidRPr="00F13073" w:rsidRDefault="00090F14" w:rsidP="008B4C50">
            <w:pPr>
              <w:suppressAutoHyphens/>
              <w:ind w:right="-65"/>
              <w:rPr>
                <w:sz w:val="18"/>
                <w:szCs w:val="18"/>
              </w:rPr>
            </w:pPr>
            <w:r w:rsidRPr="00F13073">
              <w:rPr>
                <w:rStyle w:val="Other"/>
                <w:rFonts w:eastAsia="DengXian"/>
                <w:sz w:val="18"/>
                <w:szCs w:val="18"/>
              </w:rPr>
              <w:t>Anafilaksja (ze skutkiem śmiertelnym)</w:t>
            </w:r>
            <w:r w:rsidRPr="00F13073">
              <w:rPr>
                <w:rStyle w:val="Other"/>
                <w:rFonts w:eastAsia="DengXian"/>
                <w:sz w:val="18"/>
                <w:szCs w:val="18"/>
                <w:vertAlign w:val="superscript"/>
              </w:rPr>
              <w:t>1, 2, 3</w:t>
            </w:r>
          </w:p>
        </w:tc>
      </w:tr>
      <w:tr w:rsidR="00090F14" w:rsidRPr="00F13073" w14:paraId="0AE99368" w14:textId="77777777" w:rsidTr="00987DFF">
        <w:trPr>
          <w:cantSplit/>
          <w:tblHeader/>
        </w:trPr>
        <w:tc>
          <w:tcPr>
            <w:tcW w:w="1660" w:type="dxa"/>
            <w:vAlign w:val="bottom"/>
          </w:tcPr>
          <w:p w14:paraId="29EF13ED" w14:textId="77777777" w:rsidR="00090F14" w:rsidRPr="00F13073" w:rsidRDefault="00090F14" w:rsidP="008B4C50">
            <w:pPr>
              <w:suppressAutoHyphens/>
              <w:rPr>
                <w:sz w:val="18"/>
                <w:szCs w:val="18"/>
              </w:rPr>
            </w:pPr>
            <w:r w:rsidRPr="00F13073">
              <w:rPr>
                <w:rStyle w:val="Other"/>
                <w:rFonts w:eastAsia="DengXian"/>
                <w:sz w:val="18"/>
                <w:szCs w:val="18"/>
              </w:rPr>
              <w:t>Zaburzenia endokrynologiczne</w:t>
            </w:r>
          </w:p>
        </w:tc>
        <w:tc>
          <w:tcPr>
            <w:tcW w:w="2109" w:type="dxa"/>
          </w:tcPr>
          <w:p w14:paraId="53DC3161" w14:textId="77777777" w:rsidR="00090F14" w:rsidRPr="00F13073" w:rsidRDefault="00090F14" w:rsidP="008B4C50">
            <w:pPr>
              <w:suppressAutoHyphens/>
              <w:rPr>
                <w:sz w:val="18"/>
                <w:szCs w:val="18"/>
              </w:rPr>
            </w:pPr>
            <w:r w:rsidRPr="00F13073">
              <w:rPr>
                <w:sz w:val="18"/>
                <w:szCs w:val="18"/>
              </w:rPr>
              <w:t>-</w:t>
            </w:r>
          </w:p>
        </w:tc>
        <w:tc>
          <w:tcPr>
            <w:tcW w:w="2023" w:type="dxa"/>
          </w:tcPr>
          <w:p w14:paraId="415F3E9D"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863" w:type="dxa"/>
            <w:vAlign w:val="center"/>
          </w:tcPr>
          <w:p w14:paraId="7DF1E7D8" w14:textId="77777777" w:rsidR="00090F14" w:rsidRPr="00F13073" w:rsidRDefault="00090F14" w:rsidP="008B4C50">
            <w:pPr>
              <w:suppressAutoHyphens/>
              <w:rPr>
                <w:sz w:val="18"/>
                <w:szCs w:val="18"/>
              </w:rPr>
            </w:pPr>
            <w:r w:rsidRPr="00F13073">
              <w:rPr>
                <w:rStyle w:val="Other"/>
                <w:rFonts w:eastAsia="DengXian"/>
                <w:sz w:val="18"/>
                <w:szCs w:val="18"/>
              </w:rPr>
              <w:t>Niedoczynność tarczycy</w:t>
            </w:r>
          </w:p>
        </w:tc>
        <w:tc>
          <w:tcPr>
            <w:tcW w:w="1417" w:type="dxa"/>
          </w:tcPr>
          <w:p w14:paraId="44584F5E" w14:textId="77777777" w:rsidR="00090F14" w:rsidRPr="00F13073" w:rsidRDefault="00090F14" w:rsidP="008B4C50">
            <w:pPr>
              <w:suppressAutoHyphens/>
              <w:rPr>
                <w:sz w:val="18"/>
                <w:szCs w:val="18"/>
              </w:rPr>
            </w:pPr>
          </w:p>
        </w:tc>
      </w:tr>
      <w:tr w:rsidR="00090F14" w:rsidRPr="00F13073" w14:paraId="59A662D3" w14:textId="77777777" w:rsidTr="00987DFF">
        <w:trPr>
          <w:cantSplit/>
          <w:tblHeader/>
        </w:trPr>
        <w:tc>
          <w:tcPr>
            <w:tcW w:w="1660" w:type="dxa"/>
            <w:vAlign w:val="bottom"/>
          </w:tcPr>
          <w:p w14:paraId="3DC8B07B" w14:textId="77777777" w:rsidR="00090F14" w:rsidRPr="00F13073" w:rsidRDefault="00090F14" w:rsidP="008B4C50">
            <w:pPr>
              <w:suppressAutoHyphens/>
              <w:rPr>
                <w:sz w:val="18"/>
                <w:szCs w:val="18"/>
              </w:rPr>
            </w:pPr>
            <w:r w:rsidRPr="00F13073">
              <w:rPr>
                <w:rStyle w:val="Other"/>
                <w:rFonts w:eastAsia="DengXian"/>
                <w:sz w:val="18"/>
                <w:szCs w:val="18"/>
              </w:rPr>
              <w:t>Zaburzenia metabolizmu i odżywiania</w:t>
            </w:r>
          </w:p>
        </w:tc>
        <w:tc>
          <w:tcPr>
            <w:tcW w:w="2109" w:type="dxa"/>
          </w:tcPr>
          <w:p w14:paraId="57274542" w14:textId="77777777" w:rsidR="00090F14" w:rsidRPr="00F13073" w:rsidRDefault="00090F14" w:rsidP="008B4C50">
            <w:pPr>
              <w:suppressAutoHyphens/>
              <w:rPr>
                <w:sz w:val="18"/>
                <w:szCs w:val="18"/>
              </w:rPr>
            </w:pPr>
            <w:r w:rsidRPr="00F13073">
              <w:rPr>
                <w:rStyle w:val="Other"/>
                <w:rFonts w:eastAsia="DengXian"/>
                <w:sz w:val="18"/>
                <w:szCs w:val="18"/>
              </w:rPr>
              <w:t>Hipercholesterolemia*</w:t>
            </w:r>
          </w:p>
        </w:tc>
        <w:tc>
          <w:tcPr>
            <w:tcW w:w="2023" w:type="dxa"/>
          </w:tcPr>
          <w:p w14:paraId="1898E85E"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863" w:type="dxa"/>
          </w:tcPr>
          <w:p w14:paraId="3D172D7F" w14:textId="77777777" w:rsidR="00090F14" w:rsidRPr="00F13073" w:rsidRDefault="00090F14" w:rsidP="008B4C50">
            <w:pPr>
              <w:suppressAutoHyphens/>
              <w:rPr>
                <w:sz w:val="18"/>
                <w:szCs w:val="18"/>
              </w:rPr>
            </w:pPr>
            <w:r w:rsidRPr="00F13073">
              <w:rPr>
                <w:rStyle w:val="Other"/>
                <w:rFonts w:eastAsia="DengXian"/>
                <w:sz w:val="18"/>
                <w:szCs w:val="18"/>
              </w:rPr>
              <w:t>Hipertrójglicerydemia</w:t>
            </w:r>
          </w:p>
        </w:tc>
        <w:tc>
          <w:tcPr>
            <w:tcW w:w="1417" w:type="dxa"/>
          </w:tcPr>
          <w:p w14:paraId="3D3948B0" w14:textId="77777777" w:rsidR="00090F14" w:rsidRPr="00F13073" w:rsidRDefault="00090F14" w:rsidP="008B4C50">
            <w:pPr>
              <w:suppressAutoHyphens/>
              <w:rPr>
                <w:sz w:val="18"/>
                <w:szCs w:val="18"/>
              </w:rPr>
            </w:pPr>
          </w:p>
        </w:tc>
      </w:tr>
      <w:tr w:rsidR="00090F14" w:rsidRPr="00F13073" w14:paraId="14969AA0" w14:textId="77777777" w:rsidTr="00987DFF">
        <w:trPr>
          <w:cantSplit/>
          <w:tblHeader/>
        </w:trPr>
        <w:tc>
          <w:tcPr>
            <w:tcW w:w="1660" w:type="dxa"/>
            <w:vAlign w:val="bottom"/>
          </w:tcPr>
          <w:p w14:paraId="5F2A1F27" w14:textId="77777777" w:rsidR="00090F14" w:rsidRPr="00F13073" w:rsidRDefault="00090F14" w:rsidP="008B4C50">
            <w:pPr>
              <w:suppressAutoHyphens/>
              <w:rPr>
                <w:sz w:val="18"/>
                <w:szCs w:val="18"/>
              </w:rPr>
            </w:pPr>
            <w:r w:rsidRPr="00F13073">
              <w:rPr>
                <w:rStyle w:val="Other"/>
                <w:rFonts w:eastAsia="DengXian"/>
                <w:sz w:val="18"/>
                <w:szCs w:val="18"/>
              </w:rPr>
              <w:t>Zaburzenia układu nerwowego</w:t>
            </w:r>
          </w:p>
        </w:tc>
        <w:tc>
          <w:tcPr>
            <w:tcW w:w="2109" w:type="dxa"/>
          </w:tcPr>
          <w:p w14:paraId="6DFA0796"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2C01FF54" w14:textId="77777777" w:rsidR="00090F14" w:rsidRPr="00F13073" w:rsidRDefault="00090F14" w:rsidP="008B4C50">
            <w:pPr>
              <w:suppressAutoHyphens/>
              <w:rPr>
                <w:sz w:val="18"/>
                <w:szCs w:val="18"/>
              </w:rPr>
            </w:pPr>
            <w:r w:rsidRPr="00F13073">
              <w:rPr>
                <w:rStyle w:val="Other"/>
                <w:rFonts w:eastAsia="DengXian"/>
                <w:sz w:val="18"/>
                <w:szCs w:val="18"/>
              </w:rPr>
              <w:t>Ból głowy, zawroty głowy</w:t>
            </w:r>
          </w:p>
        </w:tc>
        <w:tc>
          <w:tcPr>
            <w:tcW w:w="1863" w:type="dxa"/>
          </w:tcPr>
          <w:p w14:paraId="63ACFA7A"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7E1206AA" w14:textId="77777777" w:rsidR="00090F14" w:rsidRPr="00F13073" w:rsidRDefault="00090F14" w:rsidP="008B4C50">
            <w:pPr>
              <w:suppressAutoHyphens/>
              <w:rPr>
                <w:sz w:val="18"/>
                <w:szCs w:val="18"/>
              </w:rPr>
            </w:pPr>
          </w:p>
        </w:tc>
      </w:tr>
      <w:tr w:rsidR="00090F14" w:rsidRPr="00F13073" w14:paraId="15C7F6C3" w14:textId="77777777" w:rsidTr="00987DFF">
        <w:trPr>
          <w:cantSplit/>
          <w:tblHeader/>
        </w:trPr>
        <w:tc>
          <w:tcPr>
            <w:tcW w:w="1660" w:type="dxa"/>
            <w:vAlign w:val="bottom"/>
          </w:tcPr>
          <w:p w14:paraId="70B6B122" w14:textId="77777777" w:rsidR="00090F14" w:rsidRPr="00F13073" w:rsidRDefault="00090F14" w:rsidP="008B4C50">
            <w:pPr>
              <w:suppressAutoHyphens/>
              <w:rPr>
                <w:sz w:val="18"/>
                <w:szCs w:val="18"/>
              </w:rPr>
            </w:pPr>
            <w:r w:rsidRPr="00F13073">
              <w:rPr>
                <w:rStyle w:val="Other"/>
                <w:rFonts w:eastAsia="DengXian"/>
                <w:sz w:val="18"/>
                <w:szCs w:val="18"/>
              </w:rPr>
              <w:t>Zaburzenia narządu wzroku</w:t>
            </w:r>
          </w:p>
        </w:tc>
        <w:tc>
          <w:tcPr>
            <w:tcW w:w="2109" w:type="dxa"/>
          </w:tcPr>
          <w:p w14:paraId="2BB64A5B"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0B4F5935" w14:textId="77777777" w:rsidR="00090F14" w:rsidRPr="00F13073" w:rsidRDefault="00090F14" w:rsidP="008B4C50">
            <w:pPr>
              <w:suppressAutoHyphens/>
              <w:rPr>
                <w:sz w:val="18"/>
                <w:szCs w:val="18"/>
              </w:rPr>
            </w:pPr>
            <w:r w:rsidRPr="00F13073">
              <w:rPr>
                <w:rStyle w:val="Other"/>
                <w:rFonts w:eastAsia="DengXian"/>
                <w:sz w:val="18"/>
                <w:szCs w:val="18"/>
              </w:rPr>
              <w:t>Zapalenie spojówek</w:t>
            </w:r>
          </w:p>
        </w:tc>
        <w:tc>
          <w:tcPr>
            <w:tcW w:w="1863" w:type="dxa"/>
          </w:tcPr>
          <w:p w14:paraId="7E1DF90D"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5EE86DC5" w14:textId="77777777" w:rsidR="00090F14" w:rsidRPr="00F13073" w:rsidRDefault="00090F14" w:rsidP="008B4C50">
            <w:pPr>
              <w:suppressAutoHyphens/>
              <w:rPr>
                <w:sz w:val="18"/>
                <w:szCs w:val="18"/>
              </w:rPr>
            </w:pPr>
          </w:p>
        </w:tc>
      </w:tr>
      <w:tr w:rsidR="00090F14" w:rsidRPr="00F13073" w14:paraId="7CFB1AC8" w14:textId="77777777" w:rsidTr="00987DFF">
        <w:trPr>
          <w:cantSplit/>
          <w:tblHeader/>
        </w:trPr>
        <w:tc>
          <w:tcPr>
            <w:tcW w:w="1660" w:type="dxa"/>
            <w:vAlign w:val="bottom"/>
          </w:tcPr>
          <w:p w14:paraId="3352424D" w14:textId="77777777" w:rsidR="00090F14" w:rsidRPr="00F13073" w:rsidRDefault="00090F14" w:rsidP="008B4C50">
            <w:pPr>
              <w:suppressAutoHyphens/>
              <w:rPr>
                <w:sz w:val="18"/>
                <w:szCs w:val="18"/>
              </w:rPr>
            </w:pPr>
            <w:r w:rsidRPr="00F13073">
              <w:rPr>
                <w:rStyle w:val="Other"/>
                <w:rFonts w:eastAsia="DengXian"/>
                <w:sz w:val="18"/>
                <w:szCs w:val="18"/>
              </w:rPr>
              <w:t>Zaburzenia naczyniowe</w:t>
            </w:r>
          </w:p>
        </w:tc>
        <w:tc>
          <w:tcPr>
            <w:tcW w:w="2109" w:type="dxa"/>
          </w:tcPr>
          <w:p w14:paraId="75C644EF"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524F712B" w14:textId="77777777" w:rsidR="00090F14" w:rsidRPr="00F13073" w:rsidRDefault="00090F14" w:rsidP="008B4C50">
            <w:pPr>
              <w:suppressAutoHyphens/>
              <w:rPr>
                <w:sz w:val="18"/>
                <w:szCs w:val="18"/>
              </w:rPr>
            </w:pPr>
            <w:r w:rsidRPr="00F13073">
              <w:rPr>
                <w:rStyle w:val="Other"/>
                <w:rFonts w:eastAsia="DengXian"/>
                <w:sz w:val="18"/>
                <w:szCs w:val="18"/>
              </w:rPr>
              <w:t>Nadciśnienie</w:t>
            </w:r>
          </w:p>
        </w:tc>
        <w:tc>
          <w:tcPr>
            <w:tcW w:w="1863" w:type="dxa"/>
          </w:tcPr>
          <w:p w14:paraId="4CB571A3"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67D54D15" w14:textId="77777777" w:rsidR="00090F14" w:rsidRPr="00F13073" w:rsidRDefault="00090F14" w:rsidP="008B4C50">
            <w:pPr>
              <w:suppressAutoHyphens/>
              <w:rPr>
                <w:sz w:val="18"/>
                <w:szCs w:val="18"/>
              </w:rPr>
            </w:pPr>
          </w:p>
        </w:tc>
      </w:tr>
      <w:tr w:rsidR="00090F14" w:rsidRPr="00F13073" w14:paraId="33AE92B5" w14:textId="77777777" w:rsidTr="00987DFF">
        <w:trPr>
          <w:cantSplit/>
          <w:tblHeader/>
        </w:trPr>
        <w:tc>
          <w:tcPr>
            <w:tcW w:w="1660" w:type="dxa"/>
            <w:vAlign w:val="bottom"/>
          </w:tcPr>
          <w:p w14:paraId="483F6A09" w14:textId="77777777" w:rsidR="00090F14" w:rsidRPr="00F13073" w:rsidRDefault="00090F14" w:rsidP="008B4C50">
            <w:pPr>
              <w:suppressAutoHyphens/>
              <w:rPr>
                <w:sz w:val="18"/>
                <w:szCs w:val="18"/>
              </w:rPr>
            </w:pPr>
            <w:r w:rsidRPr="00F13073">
              <w:rPr>
                <w:rStyle w:val="Other"/>
                <w:rFonts w:eastAsia="DengXian"/>
                <w:sz w:val="18"/>
                <w:szCs w:val="18"/>
              </w:rPr>
              <w:t>Zaburzenia układu oddechowego, klatki piersiowej i śródpiersia</w:t>
            </w:r>
          </w:p>
        </w:tc>
        <w:tc>
          <w:tcPr>
            <w:tcW w:w="2109" w:type="dxa"/>
          </w:tcPr>
          <w:p w14:paraId="43D3AD04"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2AA152D0" w14:textId="77777777" w:rsidR="00090F14" w:rsidRPr="00F13073" w:rsidRDefault="00090F14" w:rsidP="008B4C50">
            <w:pPr>
              <w:suppressAutoHyphens/>
              <w:rPr>
                <w:sz w:val="18"/>
                <w:szCs w:val="18"/>
              </w:rPr>
            </w:pPr>
            <w:r w:rsidRPr="00F13073">
              <w:rPr>
                <w:rStyle w:val="Other"/>
                <w:rFonts w:eastAsia="DengXian"/>
                <w:sz w:val="18"/>
                <w:szCs w:val="18"/>
              </w:rPr>
              <w:t>Kaszel, duszność</w:t>
            </w:r>
          </w:p>
        </w:tc>
        <w:tc>
          <w:tcPr>
            <w:tcW w:w="1863" w:type="dxa"/>
          </w:tcPr>
          <w:p w14:paraId="09F2BFAC"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40AFCF40" w14:textId="77777777" w:rsidR="00090F14" w:rsidRPr="00F13073" w:rsidRDefault="00090F14" w:rsidP="008B4C50">
            <w:pPr>
              <w:suppressAutoHyphens/>
              <w:rPr>
                <w:sz w:val="18"/>
                <w:szCs w:val="18"/>
              </w:rPr>
            </w:pPr>
          </w:p>
        </w:tc>
      </w:tr>
      <w:tr w:rsidR="00090F14" w:rsidRPr="00F13073" w14:paraId="26589AA9" w14:textId="77777777" w:rsidTr="00987DFF">
        <w:trPr>
          <w:cantSplit/>
          <w:tblHeader/>
        </w:trPr>
        <w:tc>
          <w:tcPr>
            <w:tcW w:w="1660" w:type="dxa"/>
          </w:tcPr>
          <w:p w14:paraId="4B3EF608" w14:textId="77777777" w:rsidR="00090F14" w:rsidRPr="00F13073" w:rsidRDefault="00090F14" w:rsidP="008B4C50">
            <w:pPr>
              <w:suppressAutoHyphens/>
              <w:rPr>
                <w:sz w:val="18"/>
                <w:szCs w:val="18"/>
              </w:rPr>
            </w:pPr>
            <w:r w:rsidRPr="00F13073">
              <w:rPr>
                <w:rStyle w:val="Other"/>
                <w:rFonts w:eastAsia="DengXian"/>
                <w:sz w:val="18"/>
                <w:szCs w:val="18"/>
              </w:rPr>
              <w:t>Zaburzenia żołądka i jelit</w:t>
            </w:r>
          </w:p>
        </w:tc>
        <w:tc>
          <w:tcPr>
            <w:tcW w:w="2109" w:type="dxa"/>
          </w:tcPr>
          <w:p w14:paraId="4971674C"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1E94B903" w14:textId="77777777" w:rsidR="00090F14" w:rsidRPr="00F13073" w:rsidRDefault="00090F14" w:rsidP="008B4C50">
            <w:pPr>
              <w:suppressAutoHyphens/>
              <w:rPr>
                <w:sz w:val="18"/>
                <w:szCs w:val="18"/>
              </w:rPr>
            </w:pPr>
            <w:r w:rsidRPr="00F13073">
              <w:rPr>
                <w:rStyle w:val="Other"/>
                <w:rFonts w:eastAsia="DengXian"/>
                <w:sz w:val="18"/>
                <w:szCs w:val="18"/>
              </w:rPr>
              <w:t>Ból brzucha, owrzodzenie jamy ustnej, zapalenie błony śluzowej żołądka</w:t>
            </w:r>
          </w:p>
        </w:tc>
        <w:tc>
          <w:tcPr>
            <w:tcW w:w="1863" w:type="dxa"/>
          </w:tcPr>
          <w:p w14:paraId="4A8A58DE" w14:textId="77777777" w:rsidR="00090F14" w:rsidRPr="00F13073" w:rsidRDefault="00090F14" w:rsidP="008B4C50">
            <w:pPr>
              <w:suppressAutoHyphens/>
              <w:rPr>
                <w:sz w:val="18"/>
                <w:szCs w:val="18"/>
              </w:rPr>
            </w:pPr>
            <w:r w:rsidRPr="00F13073">
              <w:rPr>
                <w:rStyle w:val="Other"/>
                <w:rFonts w:eastAsia="DengXian"/>
                <w:sz w:val="18"/>
                <w:szCs w:val="18"/>
              </w:rPr>
              <w:t>Zapalenie błony śluzowej jamy ustnej, wrzód żołądka</w:t>
            </w:r>
          </w:p>
        </w:tc>
        <w:tc>
          <w:tcPr>
            <w:tcW w:w="1417" w:type="dxa"/>
          </w:tcPr>
          <w:p w14:paraId="38802001" w14:textId="77777777" w:rsidR="00090F14" w:rsidRPr="00F13073" w:rsidRDefault="00090F14" w:rsidP="008B4C50">
            <w:pPr>
              <w:suppressAutoHyphens/>
              <w:rPr>
                <w:sz w:val="18"/>
                <w:szCs w:val="18"/>
              </w:rPr>
            </w:pPr>
          </w:p>
        </w:tc>
      </w:tr>
      <w:tr w:rsidR="00090F14" w:rsidRPr="00F13073" w14:paraId="03A961E6" w14:textId="77777777" w:rsidTr="00987DFF">
        <w:trPr>
          <w:cantSplit/>
          <w:tblHeader/>
        </w:trPr>
        <w:tc>
          <w:tcPr>
            <w:tcW w:w="1660" w:type="dxa"/>
          </w:tcPr>
          <w:p w14:paraId="30320622" w14:textId="77777777" w:rsidR="00090F14" w:rsidRPr="00F13073" w:rsidRDefault="00090F14" w:rsidP="008B4C50">
            <w:pPr>
              <w:suppressAutoHyphens/>
              <w:rPr>
                <w:sz w:val="18"/>
                <w:szCs w:val="18"/>
              </w:rPr>
            </w:pPr>
            <w:r w:rsidRPr="00F13073">
              <w:rPr>
                <w:rStyle w:val="Other"/>
                <w:rFonts w:eastAsia="DengXian"/>
                <w:sz w:val="18"/>
                <w:szCs w:val="18"/>
              </w:rPr>
              <w:t>Zaburzenia wątroby i dróg żółciowych</w:t>
            </w:r>
          </w:p>
        </w:tc>
        <w:tc>
          <w:tcPr>
            <w:tcW w:w="2109" w:type="dxa"/>
          </w:tcPr>
          <w:p w14:paraId="0A221DCC" w14:textId="77777777" w:rsidR="00090F14" w:rsidRPr="00F13073" w:rsidRDefault="00090F14" w:rsidP="008B4C50">
            <w:pPr>
              <w:suppressAutoHyphens/>
              <w:rPr>
                <w:sz w:val="18"/>
                <w:szCs w:val="18"/>
              </w:rPr>
            </w:pPr>
          </w:p>
        </w:tc>
        <w:tc>
          <w:tcPr>
            <w:tcW w:w="2023" w:type="dxa"/>
          </w:tcPr>
          <w:p w14:paraId="59DDCD9C" w14:textId="77777777" w:rsidR="00090F14" w:rsidRPr="00F13073" w:rsidRDefault="00090F14" w:rsidP="008B4C50">
            <w:pPr>
              <w:suppressAutoHyphens/>
              <w:rPr>
                <w:sz w:val="18"/>
                <w:szCs w:val="18"/>
              </w:rPr>
            </w:pPr>
          </w:p>
        </w:tc>
        <w:tc>
          <w:tcPr>
            <w:tcW w:w="1863" w:type="dxa"/>
          </w:tcPr>
          <w:p w14:paraId="2D25C3D9" w14:textId="77777777" w:rsidR="00090F14" w:rsidRPr="00F13073" w:rsidRDefault="00090F14" w:rsidP="008B4C50">
            <w:pPr>
              <w:suppressAutoHyphens/>
              <w:rPr>
                <w:sz w:val="18"/>
                <w:szCs w:val="18"/>
              </w:rPr>
            </w:pPr>
          </w:p>
        </w:tc>
        <w:tc>
          <w:tcPr>
            <w:tcW w:w="1417" w:type="dxa"/>
          </w:tcPr>
          <w:p w14:paraId="1CD71E12" w14:textId="77777777" w:rsidR="00090F14" w:rsidRPr="00F13073" w:rsidRDefault="00090F14" w:rsidP="008B4C50">
            <w:pPr>
              <w:suppressAutoHyphens/>
              <w:rPr>
                <w:sz w:val="18"/>
                <w:szCs w:val="18"/>
              </w:rPr>
            </w:pPr>
            <w:r w:rsidRPr="00F13073">
              <w:rPr>
                <w:sz w:val="18"/>
                <w:szCs w:val="18"/>
              </w:rPr>
              <w:t>Polekowe uszkodzenie wątroby, zapalenie wątroby, żółtaczka, Bardzo rzadko: niewydolność wątroby</w:t>
            </w:r>
          </w:p>
        </w:tc>
      </w:tr>
      <w:tr w:rsidR="00090F14" w:rsidRPr="00F13073" w14:paraId="26DDE1BD" w14:textId="77777777" w:rsidTr="00987DFF">
        <w:trPr>
          <w:cantSplit/>
          <w:tblHeader/>
        </w:trPr>
        <w:tc>
          <w:tcPr>
            <w:tcW w:w="1660" w:type="dxa"/>
          </w:tcPr>
          <w:p w14:paraId="141D615D" w14:textId="77777777" w:rsidR="00090F14" w:rsidRPr="00F13073" w:rsidRDefault="00090F14" w:rsidP="008B4C50">
            <w:pPr>
              <w:suppressAutoHyphens/>
              <w:rPr>
                <w:sz w:val="18"/>
                <w:szCs w:val="18"/>
              </w:rPr>
            </w:pPr>
            <w:r w:rsidRPr="00F13073">
              <w:rPr>
                <w:rStyle w:val="Other"/>
                <w:rFonts w:eastAsia="DengXian"/>
                <w:sz w:val="18"/>
                <w:szCs w:val="18"/>
              </w:rPr>
              <w:t>Zaburzenia skóry i tkanki podskórnej</w:t>
            </w:r>
          </w:p>
        </w:tc>
        <w:tc>
          <w:tcPr>
            <w:tcW w:w="2109" w:type="dxa"/>
          </w:tcPr>
          <w:p w14:paraId="462CF817"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463652E3" w14:textId="77777777" w:rsidR="00090F14" w:rsidRPr="00F13073" w:rsidRDefault="00090F14" w:rsidP="008B4C50">
            <w:pPr>
              <w:suppressAutoHyphens/>
              <w:rPr>
                <w:sz w:val="18"/>
                <w:szCs w:val="18"/>
              </w:rPr>
            </w:pPr>
            <w:r w:rsidRPr="00F13073">
              <w:rPr>
                <w:rStyle w:val="Other"/>
                <w:rFonts w:eastAsia="DengXian"/>
                <w:sz w:val="18"/>
                <w:szCs w:val="18"/>
              </w:rPr>
              <w:t>Wysypka, świąd, pokrzywka</w:t>
            </w:r>
          </w:p>
        </w:tc>
        <w:tc>
          <w:tcPr>
            <w:tcW w:w="1863" w:type="dxa"/>
          </w:tcPr>
          <w:p w14:paraId="2D16A1B6"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vAlign w:val="bottom"/>
          </w:tcPr>
          <w:p w14:paraId="58469563" w14:textId="77777777" w:rsidR="00090F14" w:rsidRPr="00F13073" w:rsidRDefault="00090F14" w:rsidP="008B4C50">
            <w:pPr>
              <w:suppressAutoHyphens/>
              <w:rPr>
                <w:sz w:val="18"/>
                <w:szCs w:val="18"/>
              </w:rPr>
            </w:pPr>
            <w:r w:rsidRPr="00F13073">
              <w:rPr>
                <w:rStyle w:val="Other"/>
                <w:rFonts w:eastAsia="DengXian"/>
                <w:sz w:val="18"/>
                <w:szCs w:val="18"/>
              </w:rPr>
              <w:t>Zespół Stevensa- Johnsona</w:t>
            </w:r>
            <w:r w:rsidRPr="00F13073">
              <w:rPr>
                <w:rStyle w:val="Other"/>
                <w:rFonts w:eastAsia="DengXian"/>
                <w:sz w:val="18"/>
                <w:szCs w:val="18"/>
                <w:vertAlign w:val="superscript"/>
              </w:rPr>
              <w:t>3</w:t>
            </w:r>
          </w:p>
        </w:tc>
      </w:tr>
      <w:tr w:rsidR="00090F14" w:rsidRPr="00F13073" w14:paraId="7C7B6F44" w14:textId="77777777" w:rsidTr="00987DFF">
        <w:trPr>
          <w:cantSplit/>
          <w:tblHeader/>
        </w:trPr>
        <w:tc>
          <w:tcPr>
            <w:tcW w:w="1660" w:type="dxa"/>
            <w:vAlign w:val="bottom"/>
          </w:tcPr>
          <w:p w14:paraId="2929E348" w14:textId="77777777" w:rsidR="00090F14" w:rsidRPr="00F13073" w:rsidRDefault="00090F14" w:rsidP="008B4C50">
            <w:pPr>
              <w:suppressAutoHyphens/>
              <w:rPr>
                <w:sz w:val="18"/>
                <w:szCs w:val="18"/>
              </w:rPr>
            </w:pPr>
            <w:r w:rsidRPr="00F13073">
              <w:rPr>
                <w:rStyle w:val="Other"/>
                <w:rFonts w:eastAsia="DengXian"/>
                <w:sz w:val="18"/>
                <w:szCs w:val="18"/>
              </w:rPr>
              <w:t>Zaburzenia nerek i dróg moczowych</w:t>
            </w:r>
          </w:p>
        </w:tc>
        <w:tc>
          <w:tcPr>
            <w:tcW w:w="2109" w:type="dxa"/>
          </w:tcPr>
          <w:p w14:paraId="47010FE8"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tcPr>
          <w:p w14:paraId="0ECC0D74"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863" w:type="dxa"/>
          </w:tcPr>
          <w:p w14:paraId="452CCA45" w14:textId="77777777" w:rsidR="00090F14" w:rsidRPr="00F13073" w:rsidRDefault="00090F14" w:rsidP="008B4C50">
            <w:pPr>
              <w:suppressAutoHyphens/>
              <w:rPr>
                <w:sz w:val="18"/>
                <w:szCs w:val="18"/>
              </w:rPr>
            </w:pPr>
            <w:r w:rsidRPr="00F13073">
              <w:rPr>
                <w:rStyle w:val="Other"/>
                <w:rFonts w:eastAsia="DengXian"/>
                <w:sz w:val="18"/>
                <w:szCs w:val="18"/>
              </w:rPr>
              <w:t>Kamica nerkowa</w:t>
            </w:r>
          </w:p>
        </w:tc>
        <w:tc>
          <w:tcPr>
            <w:tcW w:w="1417" w:type="dxa"/>
          </w:tcPr>
          <w:p w14:paraId="62589C92" w14:textId="77777777" w:rsidR="00090F14" w:rsidRPr="00F13073" w:rsidRDefault="00090F14" w:rsidP="008B4C50">
            <w:pPr>
              <w:suppressAutoHyphens/>
              <w:rPr>
                <w:sz w:val="18"/>
                <w:szCs w:val="18"/>
              </w:rPr>
            </w:pPr>
          </w:p>
        </w:tc>
      </w:tr>
      <w:tr w:rsidR="00090F14" w:rsidRPr="00F13073" w14:paraId="3CB48420" w14:textId="77777777" w:rsidTr="00987DFF">
        <w:trPr>
          <w:cantSplit/>
          <w:tblHeader/>
        </w:trPr>
        <w:tc>
          <w:tcPr>
            <w:tcW w:w="1660" w:type="dxa"/>
            <w:vAlign w:val="bottom"/>
          </w:tcPr>
          <w:p w14:paraId="266888ED" w14:textId="77777777" w:rsidR="00090F14" w:rsidRPr="00F13073" w:rsidRDefault="00090F14" w:rsidP="008B4C50">
            <w:pPr>
              <w:suppressAutoHyphens/>
              <w:rPr>
                <w:sz w:val="18"/>
                <w:szCs w:val="18"/>
              </w:rPr>
            </w:pPr>
            <w:r w:rsidRPr="00F13073">
              <w:rPr>
                <w:rStyle w:val="Other"/>
                <w:rFonts w:eastAsia="DengXian"/>
                <w:sz w:val="18"/>
                <w:szCs w:val="18"/>
              </w:rPr>
              <w:t>Zaburzenia ogólnoustrojowe i odczyny w miejscu podania leku</w:t>
            </w:r>
          </w:p>
        </w:tc>
        <w:tc>
          <w:tcPr>
            <w:tcW w:w="2109" w:type="dxa"/>
          </w:tcPr>
          <w:p w14:paraId="1359C471" w14:textId="77777777" w:rsidR="00090F14" w:rsidRPr="00F13073" w:rsidRDefault="00090F14" w:rsidP="008B4C50">
            <w:pPr>
              <w:suppressAutoHyphens/>
              <w:rPr>
                <w:sz w:val="18"/>
                <w:szCs w:val="18"/>
              </w:rPr>
            </w:pPr>
            <w:r w:rsidRPr="00F13073">
              <w:rPr>
                <w:rStyle w:val="Other"/>
                <w:rFonts w:eastAsia="DengXian"/>
                <w:sz w:val="18"/>
                <w:szCs w:val="18"/>
              </w:rPr>
              <w:t>Reakcja w miejscu wstrzyknięcia</w:t>
            </w:r>
          </w:p>
        </w:tc>
        <w:tc>
          <w:tcPr>
            <w:tcW w:w="2023" w:type="dxa"/>
          </w:tcPr>
          <w:p w14:paraId="75D1DC71" w14:textId="77777777" w:rsidR="00090F14" w:rsidRPr="00F13073" w:rsidRDefault="00090F14" w:rsidP="008B4C50">
            <w:pPr>
              <w:suppressAutoHyphens/>
              <w:rPr>
                <w:sz w:val="18"/>
                <w:szCs w:val="18"/>
              </w:rPr>
            </w:pPr>
            <w:r w:rsidRPr="00F13073">
              <w:rPr>
                <w:rStyle w:val="Other"/>
                <w:rFonts w:eastAsia="DengXian"/>
                <w:sz w:val="18"/>
                <w:szCs w:val="18"/>
              </w:rPr>
              <w:t>Obrzęki obwodowe, reakcje nadwrażliwości</w:t>
            </w:r>
          </w:p>
        </w:tc>
        <w:tc>
          <w:tcPr>
            <w:tcW w:w="1863" w:type="dxa"/>
          </w:tcPr>
          <w:p w14:paraId="0F02E080"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7C6B554E" w14:textId="77777777" w:rsidR="00090F14" w:rsidRPr="00F13073" w:rsidRDefault="00090F14" w:rsidP="008B4C50">
            <w:pPr>
              <w:suppressAutoHyphens/>
              <w:rPr>
                <w:sz w:val="18"/>
                <w:szCs w:val="18"/>
              </w:rPr>
            </w:pPr>
          </w:p>
        </w:tc>
      </w:tr>
      <w:tr w:rsidR="00090F14" w:rsidRPr="00F13073" w14:paraId="49C40D5F" w14:textId="77777777" w:rsidTr="00987DFF">
        <w:trPr>
          <w:cantSplit/>
          <w:tblHeader/>
        </w:trPr>
        <w:tc>
          <w:tcPr>
            <w:tcW w:w="1660" w:type="dxa"/>
          </w:tcPr>
          <w:p w14:paraId="743DA3F3" w14:textId="77777777" w:rsidR="00090F14" w:rsidRPr="00F13073" w:rsidRDefault="00090F14" w:rsidP="008B4C50">
            <w:pPr>
              <w:suppressAutoHyphens/>
              <w:rPr>
                <w:sz w:val="18"/>
                <w:szCs w:val="18"/>
              </w:rPr>
            </w:pPr>
            <w:r w:rsidRPr="00F13073">
              <w:rPr>
                <w:rStyle w:val="Other"/>
                <w:rFonts w:eastAsia="DengXian"/>
                <w:sz w:val="18"/>
                <w:szCs w:val="18"/>
              </w:rPr>
              <w:t>Badania diagnostyczne</w:t>
            </w:r>
          </w:p>
        </w:tc>
        <w:tc>
          <w:tcPr>
            <w:tcW w:w="2109" w:type="dxa"/>
          </w:tcPr>
          <w:p w14:paraId="7BC7A9CB"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2023" w:type="dxa"/>
            <w:vAlign w:val="bottom"/>
          </w:tcPr>
          <w:p w14:paraId="35C9CF27" w14:textId="77777777" w:rsidR="00090F14" w:rsidRPr="00F13073" w:rsidRDefault="00090F14" w:rsidP="008B4C50">
            <w:pPr>
              <w:suppressAutoHyphens/>
              <w:rPr>
                <w:sz w:val="18"/>
                <w:szCs w:val="18"/>
              </w:rPr>
            </w:pPr>
            <w:r w:rsidRPr="00F13073">
              <w:rPr>
                <w:rStyle w:val="Other"/>
                <w:rFonts w:eastAsia="DengXian"/>
                <w:sz w:val="18"/>
                <w:szCs w:val="18"/>
              </w:rPr>
              <w:t>Zwiększenie aktywności aminotransferaz wątrobowych, zwiększenie masy ciała, zwiększenie bilirubiny całkowitej*</w:t>
            </w:r>
          </w:p>
        </w:tc>
        <w:tc>
          <w:tcPr>
            <w:tcW w:w="1863" w:type="dxa"/>
          </w:tcPr>
          <w:p w14:paraId="1A1CCF21" w14:textId="77777777" w:rsidR="00090F14" w:rsidRPr="00F13073" w:rsidRDefault="00090F14" w:rsidP="008B4C50">
            <w:pPr>
              <w:suppressAutoHyphens/>
              <w:rPr>
                <w:sz w:val="18"/>
                <w:szCs w:val="18"/>
              </w:rPr>
            </w:pPr>
            <w:r w:rsidRPr="00F13073">
              <w:rPr>
                <w:rStyle w:val="Other"/>
                <w:rFonts w:eastAsia="DengXian"/>
                <w:sz w:val="18"/>
                <w:szCs w:val="18"/>
              </w:rPr>
              <w:t>-</w:t>
            </w:r>
          </w:p>
        </w:tc>
        <w:tc>
          <w:tcPr>
            <w:tcW w:w="1417" w:type="dxa"/>
          </w:tcPr>
          <w:p w14:paraId="5E42F529" w14:textId="77777777" w:rsidR="00090F14" w:rsidRPr="00F13073" w:rsidRDefault="00090F14" w:rsidP="008B4C50">
            <w:pPr>
              <w:suppressAutoHyphens/>
              <w:rPr>
                <w:sz w:val="18"/>
                <w:szCs w:val="18"/>
              </w:rPr>
            </w:pPr>
          </w:p>
        </w:tc>
      </w:tr>
    </w:tbl>
    <w:p w14:paraId="0141C970" w14:textId="77777777" w:rsidR="00090F14" w:rsidRPr="00F13073" w:rsidRDefault="00090F14" w:rsidP="008B4C50">
      <w:pPr>
        <w:rPr>
          <w:sz w:val="18"/>
          <w:szCs w:val="18"/>
        </w:rPr>
      </w:pPr>
      <w:r w:rsidRPr="00F13073">
        <w:rPr>
          <w:sz w:val="18"/>
          <w:szCs w:val="18"/>
        </w:rPr>
        <w:t>* Obejmuje wzrost wykryty w czasie rutynowego monitorowania laboratoryjnego (patrz poniższy opis)</w:t>
      </w:r>
    </w:p>
    <w:p w14:paraId="53D96B95" w14:textId="77777777" w:rsidR="00090F14" w:rsidRPr="00F13073" w:rsidRDefault="00090F14" w:rsidP="001D44E2">
      <w:pPr>
        <w:ind w:left="284" w:hanging="284"/>
        <w:rPr>
          <w:sz w:val="18"/>
          <w:szCs w:val="18"/>
        </w:rPr>
      </w:pPr>
      <w:r w:rsidRPr="00F13073">
        <w:rPr>
          <w:sz w:val="18"/>
          <w:szCs w:val="18"/>
          <w:vertAlign w:val="superscript"/>
        </w:rPr>
        <w:t>1</w:t>
      </w:r>
      <w:r w:rsidR="001D44E2" w:rsidRPr="00F13073">
        <w:rPr>
          <w:sz w:val="18"/>
          <w:szCs w:val="18"/>
          <w:vertAlign w:val="superscript"/>
        </w:rPr>
        <w:tab/>
      </w:r>
      <w:r w:rsidRPr="00F13073">
        <w:rPr>
          <w:sz w:val="18"/>
          <w:szCs w:val="18"/>
        </w:rPr>
        <w:t>Patrz punkt 4.3</w:t>
      </w:r>
    </w:p>
    <w:p w14:paraId="57011F2D" w14:textId="77777777" w:rsidR="00090F14" w:rsidRPr="00F13073" w:rsidRDefault="00090F14" w:rsidP="001D44E2">
      <w:pPr>
        <w:ind w:left="284" w:hanging="284"/>
        <w:rPr>
          <w:sz w:val="18"/>
          <w:szCs w:val="18"/>
        </w:rPr>
      </w:pPr>
      <w:r w:rsidRPr="00F13073">
        <w:rPr>
          <w:sz w:val="18"/>
          <w:szCs w:val="18"/>
          <w:vertAlign w:val="superscript"/>
        </w:rPr>
        <w:lastRenderedPageBreak/>
        <w:t>2</w:t>
      </w:r>
      <w:r w:rsidR="001D44E2" w:rsidRPr="00F13073">
        <w:rPr>
          <w:sz w:val="18"/>
          <w:szCs w:val="18"/>
        </w:rPr>
        <w:tab/>
      </w:r>
      <w:r w:rsidRPr="00F13073">
        <w:rPr>
          <w:sz w:val="18"/>
          <w:szCs w:val="18"/>
        </w:rPr>
        <w:t>Patrz punkt 4.4</w:t>
      </w:r>
    </w:p>
    <w:p w14:paraId="6115E3CD" w14:textId="77777777" w:rsidR="00090F14" w:rsidRPr="00F13073" w:rsidRDefault="00090F14" w:rsidP="001D44E2">
      <w:pPr>
        <w:ind w:left="284" w:hanging="284"/>
        <w:rPr>
          <w:sz w:val="18"/>
          <w:szCs w:val="18"/>
        </w:rPr>
      </w:pPr>
      <w:r w:rsidRPr="00F13073">
        <w:rPr>
          <w:sz w:val="18"/>
          <w:szCs w:val="18"/>
          <w:vertAlign w:val="superscript"/>
        </w:rPr>
        <w:t>3</w:t>
      </w:r>
      <w:r w:rsidR="001D44E2" w:rsidRPr="00F13073">
        <w:rPr>
          <w:sz w:val="18"/>
          <w:szCs w:val="18"/>
        </w:rPr>
        <w:tab/>
      </w:r>
      <w:r w:rsidRPr="00F13073">
        <w:rPr>
          <w:sz w:val="18"/>
          <w:szCs w:val="18"/>
        </w:rPr>
        <w:t>To działanie niepożądane zostało zidentyfikowane podczas monitorowania bezpieczeństwa stosowania leku po jego wprowadzeniu do obrotu, ale nie było obserwowane w kontrolowanych badaniach klinicznych. Kategorię częstotliwości oszacowano jako górną granicę przedziału ufności 95%, obliczonego na podstawie łącznej liczby pacjentów poddanych działaniu TCZ podczas badań klinicznych.</w:t>
      </w:r>
    </w:p>
    <w:p w14:paraId="1FD1233D" w14:textId="77777777" w:rsidR="001E0975" w:rsidRPr="00F13073" w:rsidRDefault="001E0975" w:rsidP="008B4C50"/>
    <w:p w14:paraId="3541A6FD" w14:textId="77777777" w:rsidR="0080742E" w:rsidRPr="00F13073" w:rsidRDefault="0080742E" w:rsidP="008B4C50">
      <w:pPr>
        <w:pStyle w:val="a4"/>
        <w:keepNext/>
        <w:widowControl/>
        <w:spacing w:after="0"/>
      </w:pPr>
      <w:r w:rsidRPr="00F13073">
        <w:rPr>
          <w:rStyle w:val="Char"/>
          <w:u w:val="single"/>
        </w:rPr>
        <w:t>Stosowanie podskórne</w:t>
      </w:r>
    </w:p>
    <w:p w14:paraId="32B00ADB" w14:textId="77777777" w:rsidR="0080742E" w:rsidRPr="00F13073" w:rsidRDefault="0080742E" w:rsidP="008B4C50">
      <w:pPr>
        <w:pStyle w:val="a4"/>
        <w:keepNext/>
        <w:widowControl/>
        <w:spacing w:after="0"/>
      </w:pPr>
      <w:r w:rsidRPr="00F13073">
        <w:rPr>
          <w:rStyle w:val="Char"/>
          <w:b/>
          <w:bCs/>
          <w:u w:val="single"/>
        </w:rPr>
        <w:t>RZS</w:t>
      </w:r>
    </w:p>
    <w:p w14:paraId="269D5052" w14:textId="7F626E3F" w:rsidR="0080742E" w:rsidRPr="00F13073" w:rsidRDefault="0080742E" w:rsidP="008B4C50">
      <w:pPr>
        <w:pStyle w:val="a4"/>
        <w:widowControl/>
        <w:spacing w:after="0"/>
        <w:rPr>
          <w:rStyle w:val="Char"/>
        </w:rPr>
      </w:pPr>
      <w:r w:rsidRPr="00F13073">
        <w:rPr>
          <w:rStyle w:val="Char"/>
        </w:rPr>
        <w:t xml:space="preserve">Bezpieczeństwo podskórnie podawanego </w:t>
      </w:r>
      <w:r w:rsidR="001F213D" w:rsidRPr="00F13073">
        <w:rPr>
          <w:rStyle w:val="Char"/>
        </w:rPr>
        <w:t xml:space="preserve">tocilizumabu </w:t>
      </w:r>
      <w:r w:rsidRPr="00F13073">
        <w:rPr>
          <w:rStyle w:val="Char"/>
        </w:rPr>
        <w:t xml:space="preserve">u chorych na RZS oceniano w prowadzonym metodą podwójnie ślepej próby, kontrolowanym, wieloośrodkowym badaniu - SC-I. SC-I było badaniem równoważności (non-inferiority) obejmującym 1262 chorych na RZS, służącym ocenie skuteczności i bezpieczeństwa </w:t>
      </w:r>
      <w:r w:rsidR="001F213D" w:rsidRPr="00F13073">
        <w:rPr>
          <w:rStyle w:val="Char"/>
        </w:rPr>
        <w:t xml:space="preserve">tocilizumabu </w:t>
      </w:r>
      <w:r w:rsidRPr="00F13073">
        <w:rPr>
          <w:rStyle w:val="Char"/>
        </w:rPr>
        <w:t xml:space="preserve">podawanego w dawce 162 mg co tydzień w porównaniu do dawki 8 mg/kg mc. podawanej dożylnie. Wszyscy pacjenci otrzymali wcześniejsze leczenie niebiologicznymi lekami DMARD. Bezpieczeństwo i immunogenność określone dla </w:t>
      </w:r>
      <w:r w:rsidR="001F213D" w:rsidRPr="00F13073">
        <w:rPr>
          <w:rStyle w:val="Char"/>
        </w:rPr>
        <w:t xml:space="preserve">tocilizumabu </w:t>
      </w:r>
      <w:r w:rsidRPr="00F13073">
        <w:rPr>
          <w:rStyle w:val="Char"/>
        </w:rPr>
        <w:t xml:space="preserve">podawanego podskórnie były spójne ze znanym profilem bezpieczeństwa dla </w:t>
      </w:r>
      <w:r w:rsidR="008B3A37" w:rsidRPr="00F13073">
        <w:rPr>
          <w:rStyle w:val="Char"/>
        </w:rPr>
        <w:t>tocilizumabu</w:t>
      </w:r>
      <w:r w:rsidRPr="00F13073">
        <w:rPr>
          <w:rStyle w:val="Char"/>
        </w:rPr>
        <w:t xml:space="preserve"> podawanego dożylnie. Nie zaobserwowano nowych ani nieoczekiwanych niepożądanych działań leku (patrz Tabela 1). Reakcje w miejscu wstrzyknięcia były częstsze w grupie otrzymującej lek podskórnie w porównaniu z częstością reakcji w grupie otrzymującej lek dożylnie, w której podawano podskórnie placebo.</w:t>
      </w:r>
    </w:p>
    <w:p w14:paraId="7C1F2EAE" w14:textId="77777777" w:rsidR="0080742E" w:rsidRPr="00F13073" w:rsidRDefault="0080742E" w:rsidP="008B4C50">
      <w:pPr>
        <w:pStyle w:val="a4"/>
        <w:widowControl/>
        <w:spacing w:after="0"/>
      </w:pPr>
    </w:p>
    <w:p w14:paraId="534EC1B2" w14:textId="77777777" w:rsidR="0080742E" w:rsidRPr="00F13073" w:rsidRDefault="0080742E" w:rsidP="008B4C50">
      <w:pPr>
        <w:pStyle w:val="a4"/>
        <w:widowControl/>
        <w:spacing w:after="0"/>
      </w:pPr>
      <w:r w:rsidRPr="00F13073">
        <w:rPr>
          <w:rStyle w:val="Char"/>
          <w:i/>
          <w:iCs/>
        </w:rPr>
        <w:t>Reakcje w miejscu wstrzyknięcia</w:t>
      </w:r>
    </w:p>
    <w:p w14:paraId="0F69A681" w14:textId="065F476B" w:rsidR="0080742E" w:rsidRPr="00F13073" w:rsidRDefault="0080742E" w:rsidP="008B4C50">
      <w:pPr>
        <w:pStyle w:val="a4"/>
        <w:widowControl/>
        <w:spacing w:after="0"/>
        <w:rPr>
          <w:rStyle w:val="Char"/>
        </w:rPr>
      </w:pPr>
      <w:r w:rsidRPr="00F13073">
        <w:rPr>
          <w:rStyle w:val="Char"/>
        </w:rPr>
        <w:t xml:space="preserve">W trakcie 6-miesięcznego okresu kontrolowanego badania SC-I częstości występowania reakcji w miejscu wstrzyknięcia wynosiła dla podawanego podskórnie, cotygodniowo </w:t>
      </w:r>
      <w:r w:rsidR="008B3A37" w:rsidRPr="00F13073">
        <w:rPr>
          <w:rStyle w:val="Char"/>
        </w:rPr>
        <w:t>tocilizumabu</w:t>
      </w:r>
      <w:r w:rsidRPr="00F13073">
        <w:rPr>
          <w:rStyle w:val="Char"/>
        </w:rPr>
        <w:t xml:space="preserve"> 10,1% (64/631) i placebo (grupa leczona lekiem podawanym dożylnie) 2,4% (15/631). Reakcje w miejscu wstrzyknięcia (jak rumień, świąd, ból i krwiak) miały nasilenie od łagodnego do umiarkowanego. Większość z nich ustępowała bez leczenia i bez konieczności odstawienia leku.</w:t>
      </w:r>
    </w:p>
    <w:p w14:paraId="0A18A8BF" w14:textId="77777777" w:rsidR="0080742E" w:rsidRPr="00F13073" w:rsidRDefault="0080742E" w:rsidP="008B4C50">
      <w:pPr>
        <w:pStyle w:val="a4"/>
        <w:widowControl/>
        <w:spacing w:after="0"/>
      </w:pPr>
    </w:p>
    <w:p w14:paraId="6F0E6CEB" w14:textId="77777777" w:rsidR="0080742E" w:rsidRPr="00F13073" w:rsidRDefault="0080742E" w:rsidP="008B4C50">
      <w:pPr>
        <w:pStyle w:val="a4"/>
        <w:widowControl/>
        <w:spacing w:after="0"/>
      </w:pPr>
      <w:r w:rsidRPr="00F13073">
        <w:rPr>
          <w:rStyle w:val="Char"/>
          <w:i/>
          <w:iCs/>
        </w:rPr>
        <w:t>Nieprawidłowości hematologiczne:</w:t>
      </w:r>
    </w:p>
    <w:p w14:paraId="177562CB" w14:textId="77777777" w:rsidR="0080742E" w:rsidRPr="00F13073" w:rsidRDefault="0080742E" w:rsidP="008B4C50">
      <w:pPr>
        <w:pStyle w:val="a4"/>
        <w:widowControl/>
        <w:spacing w:after="0"/>
      </w:pPr>
      <w:r w:rsidRPr="00F13073">
        <w:rPr>
          <w:rStyle w:val="Char"/>
          <w:i/>
          <w:iCs/>
        </w:rPr>
        <w:t>Granulocyty obojętnochłonne</w:t>
      </w:r>
    </w:p>
    <w:p w14:paraId="0D5BBD1F" w14:textId="1920CAD4" w:rsidR="0080742E" w:rsidRPr="00F13073" w:rsidRDefault="0080742E" w:rsidP="008B4C50">
      <w:pPr>
        <w:pStyle w:val="a4"/>
        <w:widowControl/>
        <w:spacing w:after="0"/>
        <w:rPr>
          <w:rStyle w:val="Char"/>
        </w:rPr>
      </w:pPr>
      <w:r w:rsidRPr="00F13073">
        <w:rPr>
          <w:rStyle w:val="Char"/>
        </w:rPr>
        <w:t xml:space="preserve">W czasie rutynowego monitorowania laboratoryjnego w okresie 6-miesięcznej fazy kontrolowanej badania klinicznego </w:t>
      </w:r>
      <w:r w:rsidR="00AD6629" w:rsidRPr="00F13073">
        <w:rPr>
          <w:rStyle w:val="Char"/>
        </w:rPr>
        <w:t xml:space="preserve">tocilizumabu </w:t>
      </w:r>
      <w:r w:rsidRPr="00F13073">
        <w:rPr>
          <w:rStyle w:val="Char"/>
        </w:rPr>
        <w:t>SC-I u 2,9% pacjentów w przypadku cotygodniowego przyjmowania dawki podskórnie wystąpiło zmniejszenie liczby granulocytów obojętnochłonnych poniżej 1 x 10</w:t>
      </w:r>
      <w:r w:rsidRPr="00F13073">
        <w:rPr>
          <w:rStyle w:val="Char"/>
          <w:vertAlign w:val="superscript"/>
        </w:rPr>
        <w:t>9</w:t>
      </w:r>
      <w:r w:rsidRPr="00F13073">
        <w:rPr>
          <w:rStyle w:val="Char"/>
        </w:rPr>
        <w:t>/l.</w:t>
      </w:r>
    </w:p>
    <w:p w14:paraId="13730AA8" w14:textId="77777777" w:rsidR="0080742E" w:rsidRPr="00F13073" w:rsidRDefault="0080742E" w:rsidP="008B4C50">
      <w:pPr>
        <w:pStyle w:val="a4"/>
        <w:widowControl/>
        <w:spacing w:after="0"/>
      </w:pPr>
    </w:p>
    <w:p w14:paraId="3F6C91F1" w14:textId="77777777" w:rsidR="0080742E" w:rsidRPr="00F13073" w:rsidRDefault="0080742E" w:rsidP="008B4C50">
      <w:pPr>
        <w:pStyle w:val="a4"/>
        <w:widowControl/>
        <w:spacing w:after="0"/>
        <w:rPr>
          <w:rStyle w:val="Char"/>
        </w:rPr>
      </w:pPr>
      <w:r w:rsidRPr="00F13073">
        <w:rPr>
          <w:rStyle w:val="Char"/>
        </w:rPr>
        <w:t>Nie stwierdzono jednoznacznego powiązania pomiędzy zmniejszeniem liczby granulocytów obojętnochłonnych poniżej 1 x 10</w:t>
      </w:r>
      <w:r w:rsidRPr="00F13073">
        <w:rPr>
          <w:rStyle w:val="Char"/>
          <w:vertAlign w:val="superscript"/>
        </w:rPr>
        <w:t>9</w:t>
      </w:r>
      <w:r w:rsidRPr="00F13073">
        <w:rPr>
          <w:rStyle w:val="Char"/>
        </w:rPr>
        <w:t>/l a występowaniem ciężkich zakażeń.</w:t>
      </w:r>
    </w:p>
    <w:p w14:paraId="4327AC42" w14:textId="77777777" w:rsidR="0080742E" w:rsidRPr="00F13073" w:rsidRDefault="0080742E" w:rsidP="008B4C50">
      <w:pPr>
        <w:pStyle w:val="a4"/>
        <w:widowControl/>
        <w:spacing w:after="0"/>
      </w:pPr>
    </w:p>
    <w:p w14:paraId="6408346B" w14:textId="77777777" w:rsidR="0080742E" w:rsidRPr="00F13073" w:rsidRDefault="0080742E" w:rsidP="008B4C50">
      <w:pPr>
        <w:pStyle w:val="a4"/>
        <w:widowControl/>
        <w:spacing w:after="0"/>
      </w:pPr>
      <w:r w:rsidRPr="00F13073">
        <w:rPr>
          <w:rStyle w:val="Char"/>
          <w:i/>
          <w:iCs/>
        </w:rPr>
        <w:t>Płytki krwi</w:t>
      </w:r>
    </w:p>
    <w:p w14:paraId="29CFE1E9" w14:textId="51FC44F1" w:rsidR="0080742E" w:rsidRPr="00F13073" w:rsidRDefault="0080742E" w:rsidP="00987DFF">
      <w:pPr>
        <w:pStyle w:val="a4"/>
        <w:widowControl/>
        <w:spacing w:after="0"/>
        <w:rPr>
          <w:rStyle w:val="Char"/>
        </w:rPr>
      </w:pPr>
      <w:r w:rsidRPr="00F13073">
        <w:rPr>
          <w:rStyle w:val="Char"/>
        </w:rPr>
        <w:t xml:space="preserve">W czasie rutynowego monitorowania laboratoryjnego w okresie 6-miesięcznej fazy kontrolowanej badania klinicznego </w:t>
      </w:r>
      <w:r w:rsidR="00AD6629" w:rsidRPr="00F13073">
        <w:rPr>
          <w:rStyle w:val="Char"/>
        </w:rPr>
        <w:t xml:space="preserve">tocilizumabu </w:t>
      </w:r>
      <w:r w:rsidRPr="00F13073">
        <w:rPr>
          <w:rStyle w:val="Char"/>
        </w:rPr>
        <w:t>SC-I u żadnego z pacjentów, w przypadku cotygodniowego przyjmowania dawki podskórnie nie wystąpił spadek liczby płytek krwi ≤</w:t>
      </w:r>
      <w:r w:rsidR="00987DFF" w:rsidRPr="00F13073">
        <w:rPr>
          <w:rStyle w:val="Char"/>
        </w:rPr>
        <w:t> </w:t>
      </w:r>
      <w:r w:rsidRPr="00F13073">
        <w:rPr>
          <w:rStyle w:val="Char"/>
        </w:rPr>
        <w:t>50 x 10</w:t>
      </w:r>
      <w:r w:rsidRPr="00F13073">
        <w:rPr>
          <w:rStyle w:val="Char"/>
          <w:vertAlign w:val="superscript"/>
        </w:rPr>
        <w:t>3</w:t>
      </w:r>
      <w:r w:rsidRPr="00F13073">
        <w:rPr>
          <w:rStyle w:val="Char"/>
        </w:rPr>
        <w:t>/μL.</w:t>
      </w:r>
    </w:p>
    <w:p w14:paraId="271A76D8" w14:textId="77777777" w:rsidR="0080742E" w:rsidRPr="00F13073" w:rsidRDefault="0080742E" w:rsidP="008B4C50">
      <w:pPr>
        <w:pStyle w:val="a4"/>
        <w:widowControl/>
        <w:spacing w:after="0"/>
      </w:pPr>
    </w:p>
    <w:p w14:paraId="3D4E1615" w14:textId="77777777" w:rsidR="0080742E" w:rsidRPr="00F13073" w:rsidRDefault="0080742E" w:rsidP="008B4C50">
      <w:pPr>
        <w:pStyle w:val="a4"/>
        <w:widowControl/>
        <w:spacing w:after="0"/>
      </w:pPr>
      <w:r w:rsidRPr="00F13073">
        <w:rPr>
          <w:rStyle w:val="Char"/>
          <w:i/>
          <w:iCs/>
        </w:rPr>
        <w:t>Zwiększenie aktywności aminotransferaz wątrobowych</w:t>
      </w:r>
    </w:p>
    <w:p w14:paraId="77B206C2" w14:textId="789236FA" w:rsidR="0080742E" w:rsidRPr="00F13073" w:rsidRDefault="0080742E" w:rsidP="008B4C50">
      <w:pPr>
        <w:pStyle w:val="a4"/>
        <w:widowControl/>
        <w:spacing w:after="0"/>
        <w:rPr>
          <w:rStyle w:val="Char"/>
        </w:rPr>
      </w:pPr>
      <w:r w:rsidRPr="00F13073">
        <w:rPr>
          <w:rStyle w:val="Char"/>
        </w:rPr>
        <w:t xml:space="preserve">W czasie monitorowania laboratoryjnego w okresie 6-miesięcznej fazy kontrolowanej badania klinicznego </w:t>
      </w:r>
      <w:r w:rsidR="00AD6629" w:rsidRPr="00F13073">
        <w:rPr>
          <w:rStyle w:val="Char"/>
        </w:rPr>
        <w:t xml:space="preserve">tocilizumabu </w:t>
      </w:r>
      <w:r w:rsidRPr="00F13073">
        <w:rPr>
          <w:rStyle w:val="Char"/>
        </w:rPr>
        <w:t>SC-I w przypadku cotygodniowego przyjmowania dawki podskórnie, u odpowiednio 6,5% i 1,4% pacjentów wystąpił wzrost aktywności AlAT lub AspAT ≥ 3 x GGN.</w:t>
      </w:r>
    </w:p>
    <w:p w14:paraId="03BA263C" w14:textId="77777777" w:rsidR="0080742E" w:rsidRPr="00F13073" w:rsidRDefault="0080742E" w:rsidP="008B4C50">
      <w:pPr>
        <w:pStyle w:val="a4"/>
        <w:widowControl/>
        <w:spacing w:after="0"/>
      </w:pPr>
    </w:p>
    <w:p w14:paraId="175972B0" w14:textId="77777777" w:rsidR="0080742E" w:rsidRPr="00F13073" w:rsidRDefault="0080742E" w:rsidP="008B4C50">
      <w:pPr>
        <w:pStyle w:val="a4"/>
        <w:widowControl/>
        <w:spacing w:after="0"/>
      </w:pPr>
      <w:r w:rsidRPr="00F13073">
        <w:rPr>
          <w:rStyle w:val="Char"/>
          <w:i/>
          <w:iCs/>
        </w:rPr>
        <w:t>Parametry gospodarki lipidowej</w:t>
      </w:r>
    </w:p>
    <w:p w14:paraId="5D9187D4" w14:textId="69B03E49" w:rsidR="0080742E" w:rsidRPr="00F13073" w:rsidRDefault="0080742E" w:rsidP="00987DFF">
      <w:pPr>
        <w:pStyle w:val="a4"/>
        <w:widowControl/>
        <w:spacing w:after="0"/>
        <w:rPr>
          <w:rStyle w:val="Char"/>
        </w:rPr>
      </w:pPr>
      <w:r w:rsidRPr="00F13073">
        <w:rPr>
          <w:rStyle w:val="Char"/>
        </w:rPr>
        <w:t xml:space="preserve">W czasie monitorowania laboratoryjnego w okresie 6-miesięcznej fazy kontrolowanej badania klinicznego SC-I z </w:t>
      </w:r>
      <w:r w:rsidR="00AD6629" w:rsidRPr="00F13073">
        <w:rPr>
          <w:rStyle w:val="Char"/>
        </w:rPr>
        <w:t xml:space="preserve">tocilizumabem </w:t>
      </w:r>
      <w:r w:rsidRPr="00F13073">
        <w:rPr>
          <w:rStyle w:val="Char"/>
        </w:rPr>
        <w:t>u 19% pacjentów w przypadku cotygodniowego przyjmowania dawki podskórnie zarejestrowano trwałe podwyższenie stężenia cholesterolu całkowitego &gt; 6,2 mmol/l (240 mg/dl), z czego u 9% pacjentów zarejestrowano trwałe podwyższenie LDL do ≥</w:t>
      </w:r>
      <w:r w:rsidRPr="00F13073">
        <w:rPr>
          <w:rStyle w:val="Char"/>
          <w:sz w:val="24"/>
          <w:szCs w:val="24"/>
        </w:rPr>
        <w:t xml:space="preserve"> </w:t>
      </w:r>
      <w:r w:rsidRPr="00F13073">
        <w:rPr>
          <w:rStyle w:val="Char"/>
        </w:rPr>
        <w:t>4,1 mmol/l (160</w:t>
      </w:r>
      <w:r w:rsidR="00987DFF" w:rsidRPr="00F13073">
        <w:rPr>
          <w:rStyle w:val="Char"/>
        </w:rPr>
        <w:t> </w:t>
      </w:r>
      <w:r w:rsidRPr="00F13073">
        <w:rPr>
          <w:rStyle w:val="Char"/>
        </w:rPr>
        <w:t>mg/dl).</w:t>
      </w:r>
    </w:p>
    <w:p w14:paraId="3314AB34" w14:textId="77777777" w:rsidR="0080742E" w:rsidRPr="00F13073" w:rsidRDefault="0080742E" w:rsidP="008B4C50">
      <w:pPr>
        <w:pStyle w:val="a4"/>
        <w:widowControl/>
        <w:spacing w:after="0"/>
      </w:pPr>
    </w:p>
    <w:p w14:paraId="3AF8C5E7" w14:textId="77777777" w:rsidR="0080742E" w:rsidRPr="00F13073" w:rsidRDefault="0080742E" w:rsidP="008B4C50">
      <w:pPr>
        <w:pStyle w:val="a4"/>
        <w:widowControl/>
        <w:spacing w:after="0"/>
      </w:pPr>
      <w:r w:rsidRPr="00F13073">
        <w:rPr>
          <w:rStyle w:val="Char"/>
          <w:u w:val="single"/>
        </w:rPr>
        <w:t>Stosowanie podskórne</w:t>
      </w:r>
    </w:p>
    <w:p w14:paraId="74CD0ADA" w14:textId="77777777" w:rsidR="0080742E" w:rsidRPr="00F13073" w:rsidRDefault="0080742E" w:rsidP="008B4C50">
      <w:pPr>
        <w:pStyle w:val="a4"/>
        <w:widowControl/>
        <w:spacing w:after="0"/>
      </w:pPr>
      <w:r w:rsidRPr="00F13073">
        <w:rPr>
          <w:rStyle w:val="Char"/>
          <w:b/>
          <w:bCs/>
        </w:rPr>
        <w:t>uMIZS</w:t>
      </w:r>
    </w:p>
    <w:p w14:paraId="79264886" w14:textId="53223D4D" w:rsidR="0080742E" w:rsidRPr="00F13073" w:rsidRDefault="0080742E" w:rsidP="008B4C50">
      <w:pPr>
        <w:pStyle w:val="a4"/>
        <w:widowControl/>
        <w:spacing w:after="0"/>
        <w:rPr>
          <w:rStyle w:val="Char"/>
        </w:rPr>
      </w:pPr>
      <w:r w:rsidRPr="00F13073">
        <w:rPr>
          <w:rStyle w:val="Char"/>
        </w:rPr>
        <w:t xml:space="preserve">Profil bezpieczeństwa stosowania </w:t>
      </w:r>
      <w:r w:rsidR="00192D30" w:rsidRPr="00F13073">
        <w:rPr>
          <w:rStyle w:val="Char"/>
        </w:rPr>
        <w:t xml:space="preserve">tocilizumabu </w:t>
      </w:r>
      <w:r w:rsidRPr="00F13073">
        <w:rPr>
          <w:rStyle w:val="Char"/>
        </w:rPr>
        <w:t xml:space="preserve">w postaci podskórnej oceniano u 51 pacjentów należących do populacji dzieci i młodzieży (w wieku od 1 do 17 lat) chorych na uMIZS. Działania </w:t>
      </w:r>
      <w:r w:rsidRPr="00F13073">
        <w:rPr>
          <w:rStyle w:val="Char"/>
        </w:rPr>
        <w:lastRenderedPageBreak/>
        <w:t>niepożądane obserwowane u pacjentów z uMIZS były na ogół podobne pod względem rodzaju do działań obserwowanych u pacjentów z RZS (patrz punkt Działania niepożądane powyżej).</w:t>
      </w:r>
    </w:p>
    <w:p w14:paraId="4CB93C48" w14:textId="77777777" w:rsidR="0080742E" w:rsidRPr="00F13073" w:rsidRDefault="0080742E" w:rsidP="008B4C50">
      <w:pPr>
        <w:pStyle w:val="a4"/>
        <w:widowControl/>
        <w:spacing w:after="0"/>
      </w:pPr>
    </w:p>
    <w:p w14:paraId="794A7CE1" w14:textId="77777777" w:rsidR="0080742E" w:rsidRPr="00F13073" w:rsidRDefault="0080742E" w:rsidP="005427E6">
      <w:pPr>
        <w:pStyle w:val="a4"/>
        <w:keepNext/>
        <w:widowControl/>
        <w:spacing w:after="0"/>
      </w:pPr>
      <w:r w:rsidRPr="00F13073">
        <w:rPr>
          <w:rStyle w:val="Char"/>
          <w:i/>
          <w:iCs/>
        </w:rPr>
        <w:t>Zakażenia</w:t>
      </w:r>
    </w:p>
    <w:p w14:paraId="39A5C511" w14:textId="391A1CA6" w:rsidR="0080742E" w:rsidRPr="00F13073" w:rsidRDefault="0080742E" w:rsidP="008B4C50">
      <w:pPr>
        <w:pStyle w:val="a4"/>
        <w:widowControl/>
        <w:spacing w:after="0"/>
        <w:rPr>
          <w:rStyle w:val="Char"/>
        </w:rPr>
      </w:pPr>
      <w:r w:rsidRPr="00F13073">
        <w:rPr>
          <w:rStyle w:val="Char"/>
        </w:rPr>
        <w:t xml:space="preserve">Częstość występowania zakażeń u pacjentów z uMIZS leczonych </w:t>
      </w:r>
      <w:r w:rsidR="00192D30" w:rsidRPr="00F13073">
        <w:rPr>
          <w:rStyle w:val="Char"/>
        </w:rPr>
        <w:t>tocilizumabem</w:t>
      </w:r>
      <w:r w:rsidRPr="00F13073">
        <w:rPr>
          <w:rStyle w:val="Char"/>
        </w:rPr>
        <w:t xml:space="preserve"> w postaci podskórnej była porównywalna z częstością u pacjentów z uMIZS leczonych </w:t>
      </w:r>
      <w:r w:rsidR="00192D30" w:rsidRPr="00F13073">
        <w:rPr>
          <w:rStyle w:val="Char"/>
        </w:rPr>
        <w:t xml:space="preserve">tocilizumabem </w:t>
      </w:r>
      <w:r w:rsidRPr="00F13073">
        <w:rPr>
          <w:rStyle w:val="Char"/>
        </w:rPr>
        <w:t>w postaci dożylnej.</w:t>
      </w:r>
    </w:p>
    <w:p w14:paraId="2785E46F" w14:textId="77777777" w:rsidR="0080742E" w:rsidRPr="00F13073" w:rsidRDefault="0080742E" w:rsidP="008B4C50">
      <w:pPr>
        <w:pStyle w:val="a4"/>
        <w:widowControl/>
        <w:spacing w:after="0"/>
      </w:pPr>
    </w:p>
    <w:p w14:paraId="56994632" w14:textId="77777777" w:rsidR="0080742E" w:rsidRPr="00F13073" w:rsidRDefault="0080742E" w:rsidP="00823E33">
      <w:pPr>
        <w:pStyle w:val="a4"/>
        <w:keepNext/>
        <w:widowControl/>
        <w:spacing w:after="0"/>
      </w:pPr>
      <w:r w:rsidRPr="00F13073">
        <w:rPr>
          <w:rStyle w:val="Char"/>
          <w:i/>
          <w:iCs/>
        </w:rPr>
        <w:t>Reakcje w miejscu wstrzyknięcia</w:t>
      </w:r>
    </w:p>
    <w:p w14:paraId="5126DE21" w14:textId="10B474F2" w:rsidR="0080742E" w:rsidRPr="00F13073" w:rsidRDefault="0080742E" w:rsidP="008B4C50">
      <w:pPr>
        <w:pStyle w:val="a4"/>
        <w:widowControl/>
        <w:spacing w:after="0"/>
        <w:rPr>
          <w:rStyle w:val="Char"/>
        </w:rPr>
      </w:pPr>
      <w:r w:rsidRPr="00F13073">
        <w:rPr>
          <w:rStyle w:val="Char"/>
        </w:rPr>
        <w:t xml:space="preserve">W badaniu z podskórnym podaniem leku (badanie WA28118) łącznie u 41,2% (21/51) pacjentów z uMIZS wystąpiły reakcje w miejscu wstrzyknięcia po podskórnym podaniu </w:t>
      </w:r>
      <w:r w:rsidR="00192D30" w:rsidRPr="00F13073">
        <w:rPr>
          <w:rStyle w:val="Char"/>
        </w:rPr>
        <w:t>tocilizumabu</w:t>
      </w:r>
      <w:r w:rsidRPr="00F13073">
        <w:rPr>
          <w:rStyle w:val="Char"/>
        </w:rPr>
        <w:t>. Najczęstszymi reakcjami w miejscu wstrzyknięcia był rumień, świąd, ból i obrzęk w miejscu wstrzyknięcia. Większość zgłaszanych reakcji w miejscu wstrzyknięcia miała nasilenie stopnia 1. i wszystkie reakcje w miejscu wstrzyknięcia były zgłaszane jako zdarzenia nieciężkie i żadna reakcja w miejscu wstrzyknięcia nie wymagała zakończenia lub przerwania podawania leku.</w:t>
      </w:r>
    </w:p>
    <w:p w14:paraId="29954155" w14:textId="77777777" w:rsidR="0080742E" w:rsidRPr="00F13073" w:rsidRDefault="0080742E" w:rsidP="008B4C50">
      <w:pPr>
        <w:pStyle w:val="a4"/>
        <w:widowControl/>
        <w:spacing w:after="0"/>
      </w:pPr>
    </w:p>
    <w:p w14:paraId="5DF827CE" w14:textId="77777777" w:rsidR="0080742E" w:rsidRPr="00F13073" w:rsidRDefault="0080742E" w:rsidP="003D0523">
      <w:pPr>
        <w:pStyle w:val="a4"/>
        <w:keepNext/>
        <w:keepLines/>
        <w:widowControl/>
        <w:spacing w:after="0"/>
      </w:pPr>
      <w:r w:rsidRPr="00F13073">
        <w:rPr>
          <w:rStyle w:val="Char"/>
          <w:i/>
          <w:iCs/>
        </w:rPr>
        <w:t>Odchylenia w wynikach badań laboratoryjnych</w:t>
      </w:r>
    </w:p>
    <w:p w14:paraId="141BE015" w14:textId="2EEDB2C0" w:rsidR="0080742E" w:rsidRPr="00F13073" w:rsidRDefault="0080742E" w:rsidP="008B4C50">
      <w:pPr>
        <w:pStyle w:val="a4"/>
        <w:widowControl/>
        <w:spacing w:after="0"/>
        <w:rPr>
          <w:rStyle w:val="Char"/>
        </w:rPr>
      </w:pPr>
      <w:r w:rsidRPr="00F13073">
        <w:rPr>
          <w:rStyle w:val="Char"/>
        </w:rPr>
        <w:t>W 52-tygodniowym otwartym badaniu z postacią podskórną (WA28118) zmniejszenie liczby granulocytów obojętnochłonnych do wartości poniżej 1 ×</w:t>
      </w:r>
      <w:r w:rsidRPr="00F13073">
        <w:rPr>
          <w:rStyle w:val="Char"/>
          <w:lang w:eastAsia="el-GR"/>
        </w:rPr>
        <w:t xml:space="preserve"> </w:t>
      </w:r>
      <w:r w:rsidRPr="00F13073">
        <w:rPr>
          <w:rStyle w:val="Char"/>
        </w:rPr>
        <w:t>10</w:t>
      </w:r>
      <w:r w:rsidRPr="00F13073">
        <w:rPr>
          <w:rStyle w:val="Char"/>
          <w:vertAlign w:val="superscript"/>
        </w:rPr>
        <w:t>9</w:t>
      </w:r>
      <w:r w:rsidRPr="00F13073">
        <w:rPr>
          <w:rStyle w:val="Char"/>
        </w:rPr>
        <w:t xml:space="preserve">/l wystąpiło u 23,5% pacjentów leczonych </w:t>
      </w:r>
      <w:r w:rsidR="00E47BFA" w:rsidRPr="00F13073">
        <w:rPr>
          <w:rStyle w:val="Char"/>
        </w:rPr>
        <w:t xml:space="preserve">tocilizumabem </w:t>
      </w:r>
      <w:r w:rsidRPr="00F13073">
        <w:rPr>
          <w:rStyle w:val="Char"/>
        </w:rPr>
        <w:t>w postaci podskórnej. Zmniejszenie liczby płytek krwi do wartości poniżej 100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 xml:space="preserve">/μl wystąpiło u 2% pacjentów leczonych </w:t>
      </w:r>
      <w:r w:rsidR="00E47BFA" w:rsidRPr="00F13073">
        <w:rPr>
          <w:rStyle w:val="Char"/>
        </w:rPr>
        <w:t>tocilizumabem</w:t>
      </w:r>
      <w:r w:rsidRPr="00F13073">
        <w:rPr>
          <w:rStyle w:val="Char"/>
        </w:rPr>
        <w:t xml:space="preserve"> w postaci podskórnej. Zwiększenie aktywności AlAT lub AspAT ≥ 3 x GGN wystąpiło odpowiednio u 9,8% i 4,0% pacjentów leczonych podskórną postacią </w:t>
      </w:r>
      <w:r w:rsidR="00E47BFA" w:rsidRPr="00F13073">
        <w:rPr>
          <w:rStyle w:val="Char"/>
        </w:rPr>
        <w:t>tocilizumabu</w:t>
      </w:r>
      <w:r w:rsidRPr="00F13073">
        <w:rPr>
          <w:rStyle w:val="Char"/>
        </w:rPr>
        <w:t>.</w:t>
      </w:r>
    </w:p>
    <w:p w14:paraId="0C703BBB" w14:textId="77777777" w:rsidR="0080742E" w:rsidRPr="00F13073" w:rsidRDefault="0080742E" w:rsidP="008B4C50">
      <w:pPr>
        <w:pStyle w:val="a4"/>
        <w:widowControl/>
        <w:spacing w:after="0"/>
      </w:pPr>
    </w:p>
    <w:p w14:paraId="48B02DF4" w14:textId="77777777" w:rsidR="0080742E" w:rsidRPr="00F13073" w:rsidRDefault="0080742E" w:rsidP="008B4C50">
      <w:pPr>
        <w:pStyle w:val="a4"/>
        <w:widowControl/>
        <w:spacing w:after="0"/>
      </w:pPr>
      <w:r w:rsidRPr="00F13073">
        <w:rPr>
          <w:rStyle w:val="Char"/>
          <w:i/>
          <w:iCs/>
        </w:rPr>
        <w:t>Parametry gospodarki lipidowej</w:t>
      </w:r>
    </w:p>
    <w:p w14:paraId="29DFCC3F" w14:textId="77777777" w:rsidR="0080742E" w:rsidRPr="00F13073" w:rsidRDefault="0080742E" w:rsidP="008B4C50">
      <w:pPr>
        <w:pStyle w:val="a4"/>
        <w:widowControl/>
        <w:spacing w:after="0"/>
        <w:rPr>
          <w:rStyle w:val="Char"/>
        </w:rPr>
      </w:pPr>
      <w:r w:rsidRPr="00F13073">
        <w:rPr>
          <w:rStyle w:val="Char"/>
        </w:rPr>
        <w:t xml:space="preserve">W 52-tygodniowym otwartym badaniu z postacią podskórną (WA28118) u 23,4% i 35,4% pacjentów wystąpiło odpowiednio zwiększenie frakcji LDL cholesterolu do wartości ≥ 130 mg/dl oraz cholesterolu całkowitego do wartości </w:t>
      </w:r>
      <w:r w:rsidR="001E6011" w:rsidRPr="00F13073">
        <w:rPr>
          <w:rStyle w:val="Char"/>
        </w:rPr>
        <w:t>≥</w:t>
      </w:r>
      <w:r w:rsidRPr="00F13073">
        <w:rPr>
          <w:rStyle w:val="Char"/>
        </w:rPr>
        <w:t xml:space="preserve"> 200 mg/dl w wybranym momencie trwania badania w stosunku do pomiaru początkowego.</w:t>
      </w:r>
    </w:p>
    <w:p w14:paraId="09AB683A" w14:textId="77777777" w:rsidR="0080742E" w:rsidRPr="00F13073" w:rsidRDefault="0080742E" w:rsidP="008B4C50">
      <w:pPr>
        <w:pStyle w:val="a4"/>
        <w:widowControl/>
        <w:spacing w:after="0"/>
      </w:pPr>
    </w:p>
    <w:p w14:paraId="0FCA3CA9" w14:textId="77777777" w:rsidR="0080742E" w:rsidRPr="00F13073" w:rsidRDefault="0080742E" w:rsidP="008B4C50">
      <w:pPr>
        <w:pStyle w:val="a4"/>
        <w:widowControl/>
        <w:spacing w:after="0"/>
      </w:pPr>
      <w:r w:rsidRPr="00F13073">
        <w:rPr>
          <w:rStyle w:val="Char"/>
          <w:u w:val="single"/>
        </w:rPr>
        <w:t>Stosowanie podskórne</w:t>
      </w:r>
    </w:p>
    <w:p w14:paraId="5C85CCBA" w14:textId="77777777" w:rsidR="0080742E" w:rsidRPr="00F13073" w:rsidRDefault="0080742E" w:rsidP="008B4C50">
      <w:pPr>
        <w:pStyle w:val="a4"/>
        <w:widowControl/>
        <w:spacing w:after="0"/>
      </w:pPr>
      <w:r w:rsidRPr="00F13073">
        <w:rPr>
          <w:rStyle w:val="Char"/>
          <w:b/>
          <w:bCs/>
        </w:rPr>
        <w:t>wMIZS</w:t>
      </w:r>
    </w:p>
    <w:p w14:paraId="140BD14B" w14:textId="47C736BE" w:rsidR="0080742E" w:rsidRPr="00F13073" w:rsidRDefault="0080742E" w:rsidP="008B4C50">
      <w:pPr>
        <w:pStyle w:val="a4"/>
        <w:widowControl/>
        <w:spacing w:after="0"/>
        <w:rPr>
          <w:rStyle w:val="Char"/>
        </w:rPr>
      </w:pPr>
      <w:r w:rsidRPr="00F13073">
        <w:rPr>
          <w:rStyle w:val="Char"/>
        </w:rPr>
        <w:t xml:space="preserve">Profil bezpieczeństwa stosowania </w:t>
      </w:r>
      <w:r w:rsidR="00AA4B12" w:rsidRPr="00F13073">
        <w:rPr>
          <w:rStyle w:val="Char"/>
        </w:rPr>
        <w:t xml:space="preserve">tocilizumabu </w:t>
      </w:r>
      <w:r w:rsidRPr="00F13073">
        <w:rPr>
          <w:rStyle w:val="Char"/>
        </w:rPr>
        <w:t xml:space="preserve">w postaci podskórnej oceniano także u 52 pacjentów należących do populacji dzieci i młodzieży chorych na wMIZS. Całkowita ekspozycja na </w:t>
      </w:r>
      <w:r w:rsidR="00AA4B12" w:rsidRPr="00F13073">
        <w:rPr>
          <w:rStyle w:val="Char"/>
        </w:rPr>
        <w:t xml:space="preserve">tocilizumab </w:t>
      </w:r>
      <w:r w:rsidRPr="00F13073">
        <w:rPr>
          <w:rStyle w:val="Char"/>
        </w:rPr>
        <w:t xml:space="preserve">w populacji z wMIZS przyjmującej lek wynosiła 184,4 pacjentolat w przypadku postaci dożylnej i 50,4 pacjentolat w przypadku postaci podskórnej tocilizumabu. Profil bezpieczeństwa obserwowany u pacjentów z wMIZS był zasadniczo zgodny ze znanym profilem bezpieczeństwa </w:t>
      </w:r>
      <w:r w:rsidR="00AA4B12" w:rsidRPr="00F13073">
        <w:rPr>
          <w:rStyle w:val="Char"/>
        </w:rPr>
        <w:t xml:space="preserve">tocilizumabu </w:t>
      </w:r>
      <w:r w:rsidRPr="00F13073">
        <w:rPr>
          <w:rStyle w:val="Char"/>
        </w:rPr>
        <w:t xml:space="preserve">z wyjątkiem reakcji w miejscu wstrzyknięcia (patrz Tabela 1). Reakcje w miejscu wstrzyknięcia występowały częściej u pacjentów z wMIZS po otrzymaniu </w:t>
      </w:r>
      <w:r w:rsidR="00AA4B12" w:rsidRPr="00F13073">
        <w:rPr>
          <w:rStyle w:val="Char"/>
        </w:rPr>
        <w:t xml:space="preserve">tocilizumabu </w:t>
      </w:r>
      <w:r w:rsidRPr="00F13073">
        <w:rPr>
          <w:rStyle w:val="Char"/>
        </w:rPr>
        <w:t>we wstrzyknięciu podskórnym w porównaniu z dorosłymi pacjentami z RZS.</w:t>
      </w:r>
    </w:p>
    <w:p w14:paraId="2468D5EE" w14:textId="77777777" w:rsidR="0080742E" w:rsidRPr="00F13073" w:rsidRDefault="0080742E" w:rsidP="008B4C50">
      <w:pPr>
        <w:pStyle w:val="a4"/>
        <w:widowControl/>
        <w:spacing w:after="0"/>
      </w:pPr>
    </w:p>
    <w:p w14:paraId="64E3E154" w14:textId="77777777" w:rsidR="0080742E" w:rsidRPr="00F13073" w:rsidRDefault="0080742E" w:rsidP="008B4C50">
      <w:pPr>
        <w:pStyle w:val="a4"/>
        <w:widowControl/>
        <w:spacing w:after="0"/>
      </w:pPr>
      <w:r w:rsidRPr="00F13073">
        <w:rPr>
          <w:rStyle w:val="Char"/>
          <w:i/>
          <w:iCs/>
        </w:rPr>
        <w:t>Zakażenia</w:t>
      </w:r>
    </w:p>
    <w:p w14:paraId="15483380" w14:textId="3FC14255" w:rsidR="0080742E" w:rsidRPr="00F13073" w:rsidRDefault="0080742E" w:rsidP="008B4C50">
      <w:pPr>
        <w:pStyle w:val="a4"/>
        <w:widowControl/>
        <w:spacing w:after="0"/>
        <w:rPr>
          <w:rStyle w:val="Char"/>
        </w:rPr>
      </w:pPr>
      <w:r w:rsidRPr="00F13073">
        <w:rPr>
          <w:rStyle w:val="Char"/>
        </w:rPr>
        <w:t xml:space="preserve">W badaniu z podskórnym podawaniem </w:t>
      </w:r>
      <w:r w:rsidR="00AA4B12" w:rsidRPr="00F13073">
        <w:rPr>
          <w:rStyle w:val="Char"/>
        </w:rPr>
        <w:t xml:space="preserve">tocilizumabu </w:t>
      </w:r>
      <w:r w:rsidRPr="00F13073">
        <w:rPr>
          <w:rStyle w:val="Char"/>
        </w:rPr>
        <w:t xml:space="preserve">częstość występowania zakażeń u pacjentów z wMIZS leczonych </w:t>
      </w:r>
      <w:r w:rsidR="00AA4B12" w:rsidRPr="00F13073">
        <w:rPr>
          <w:rStyle w:val="Char"/>
        </w:rPr>
        <w:t xml:space="preserve">tocilizumabem </w:t>
      </w:r>
      <w:r w:rsidRPr="00F13073">
        <w:rPr>
          <w:rStyle w:val="Char"/>
        </w:rPr>
        <w:t xml:space="preserve">w postaci podskórnej była porównywalna z częstością u pacjentów z wMIZS leczonych </w:t>
      </w:r>
      <w:r w:rsidR="00AA4B12" w:rsidRPr="00F13073">
        <w:rPr>
          <w:rStyle w:val="Char"/>
        </w:rPr>
        <w:t xml:space="preserve">tocilizumabem </w:t>
      </w:r>
      <w:r w:rsidRPr="00F13073">
        <w:rPr>
          <w:rStyle w:val="Char"/>
        </w:rPr>
        <w:t>w postaci dożylnej.</w:t>
      </w:r>
    </w:p>
    <w:p w14:paraId="0DEC8321" w14:textId="77777777" w:rsidR="0080742E" w:rsidRPr="00F13073" w:rsidRDefault="0080742E" w:rsidP="008B4C50">
      <w:pPr>
        <w:pStyle w:val="a4"/>
        <w:widowControl/>
        <w:spacing w:after="0"/>
      </w:pPr>
    </w:p>
    <w:p w14:paraId="456F435B" w14:textId="77777777" w:rsidR="0080742E" w:rsidRPr="00F13073" w:rsidRDefault="0080742E" w:rsidP="008B4C50">
      <w:pPr>
        <w:pStyle w:val="a4"/>
        <w:widowControl/>
        <w:spacing w:after="0"/>
      </w:pPr>
      <w:r w:rsidRPr="00F13073">
        <w:rPr>
          <w:rStyle w:val="Char"/>
          <w:i/>
          <w:iCs/>
        </w:rPr>
        <w:t>Reakcje w miejscu wstrzyknięcia</w:t>
      </w:r>
    </w:p>
    <w:p w14:paraId="5877E701" w14:textId="385189FC" w:rsidR="0080742E" w:rsidRPr="00F13073" w:rsidRDefault="0080742E" w:rsidP="008B4C50">
      <w:pPr>
        <w:pStyle w:val="a4"/>
        <w:widowControl/>
        <w:spacing w:after="0"/>
        <w:rPr>
          <w:rStyle w:val="Char"/>
        </w:rPr>
      </w:pPr>
      <w:r w:rsidRPr="00F13073">
        <w:rPr>
          <w:rStyle w:val="Char"/>
        </w:rPr>
        <w:t xml:space="preserve">Łącznie u 28,8% (15/52) pacjentów z wMIZS wystąpiły reakcje w miejscu wstrzyknięcia po podskórnym podaniu </w:t>
      </w:r>
      <w:r w:rsidR="00EC5828" w:rsidRPr="00F13073">
        <w:rPr>
          <w:rStyle w:val="Char"/>
        </w:rPr>
        <w:t>tocilizumabu</w:t>
      </w:r>
      <w:r w:rsidRPr="00F13073">
        <w:rPr>
          <w:rStyle w:val="Char"/>
        </w:rPr>
        <w:t>. Reakcje w miejscu wstrzyknięcia wystąpiły u 44% pacjentów o masie ciała ≥ 30 kg w porównaniu z 14,8% pacjentów o masie ciała poniżej 30 kg. Najczęstszymi reakcjami w miejscu wstrzyknięcia był rumień, obrzęk, krwiak, ból i świąd. Wszystkie reakcje w miejscu wstrzyknięcia były zgłaszane jako nieciężkie zdarzenia stopnia 1. i żadna reakcja w miejscu wstrzyknięcia nie wymagała zakończenia lub przerwania podawania leku.</w:t>
      </w:r>
    </w:p>
    <w:p w14:paraId="2A605E91" w14:textId="77777777" w:rsidR="0080742E" w:rsidRPr="00F13073" w:rsidRDefault="0080742E" w:rsidP="008B4C50">
      <w:pPr>
        <w:pStyle w:val="a4"/>
        <w:widowControl/>
        <w:spacing w:after="0"/>
      </w:pPr>
    </w:p>
    <w:p w14:paraId="4E18AE14" w14:textId="77777777" w:rsidR="0080742E" w:rsidRPr="00F13073" w:rsidRDefault="0080742E" w:rsidP="008B4C50">
      <w:pPr>
        <w:pStyle w:val="a4"/>
        <w:widowControl/>
        <w:spacing w:after="0"/>
      </w:pPr>
      <w:r w:rsidRPr="00F13073">
        <w:rPr>
          <w:rStyle w:val="Char"/>
          <w:i/>
          <w:iCs/>
        </w:rPr>
        <w:t>Odchylenia w wynikach badań laboratoryjnych</w:t>
      </w:r>
    </w:p>
    <w:p w14:paraId="23DB0118" w14:textId="3319536A" w:rsidR="0080742E" w:rsidRPr="00F13073" w:rsidRDefault="0080742E" w:rsidP="004328D2">
      <w:pPr>
        <w:pStyle w:val="a4"/>
        <w:widowControl/>
        <w:spacing w:after="0"/>
        <w:rPr>
          <w:rStyle w:val="Char"/>
        </w:rPr>
      </w:pPr>
      <w:r w:rsidRPr="00F13073">
        <w:rPr>
          <w:rStyle w:val="Char"/>
        </w:rPr>
        <w:t xml:space="preserve">Podczas rutynowego monitorowania wartości laboratoryjnych w populacji przyjmującej </w:t>
      </w:r>
      <w:r w:rsidR="004F6018" w:rsidRPr="00F13073">
        <w:rPr>
          <w:rStyle w:val="Char"/>
        </w:rPr>
        <w:t>tocilizumab</w:t>
      </w:r>
      <w:r w:rsidRPr="00F13073">
        <w:rPr>
          <w:rStyle w:val="Char"/>
        </w:rPr>
        <w:t xml:space="preserve"> zmniejszenie liczby granulocytów obojętnochłonnych do wartości poniżej 1 × 10</w:t>
      </w:r>
      <w:r w:rsidRPr="00F13073">
        <w:rPr>
          <w:rStyle w:val="Char"/>
          <w:vertAlign w:val="superscript"/>
        </w:rPr>
        <w:t>9</w:t>
      </w:r>
      <w:r w:rsidRPr="00F13073">
        <w:rPr>
          <w:rStyle w:val="Char"/>
        </w:rPr>
        <w:t xml:space="preserve">/l wystąpiło u 15,4% pacjentów leczonych </w:t>
      </w:r>
      <w:r w:rsidR="00CC4AD9" w:rsidRPr="00F13073">
        <w:rPr>
          <w:rStyle w:val="Char"/>
        </w:rPr>
        <w:t>tocilizumabem</w:t>
      </w:r>
      <w:r w:rsidRPr="00F13073">
        <w:rPr>
          <w:rStyle w:val="Char"/>
        </w:rPr>
        <w:t xml:space="preserve"> w postaci podskórnej. Zwiększenie aktywności AlAT lub AspAT </w:t>
      </w:r>
      <w:r w:rsidRPr="00F13073">
        <w:rPr>
          <w:rStyle w:val="Char"/>
        </w:rPr>
        <w:lastRenderedPageBreak/>
        <w:t>do poziomu ≥</w:t>
      </w:r>
      <w:r w:rsidR="004328D2" w:rsidRPr="00F13073">
        <w:rPr>
          <w:rStyle w:val="Char"/>
        </w:rPr>
        <w:t> </w:t>
      </w:r>
      <w:r w:rsidRPr="00F13073">
        <w:rPr>
          <w:rStyle w:val="Char"/>
        </w:rPr>
        <w:t xml:space="preserve">3 x GGN wystąpiło odpowiednio u 9,6% i 3,8% pacjentów leczonych podskórną postacią </w:t>
      </w:r>
      <w:r w:rsidR="00CC4AD9" w:rsidRPr="00F13073">
        <w:rPr>
          <w:rStyle w:val="Char"/>
        </w:rPr>
        <w:t>tocilizumabu</w:t>
      </w:r>
      <w:r w:rsidRPr="00F13073">
        <w:rPr>
          <w:rStyle w:val="Char"/>
        </w:rPr>
        <w:t xml:space="preserve">. U żadnego z pacjentów leczonych </w:t>
      </w:r>
      <w:r w:rsidR="00CC4AD9" w:rsidRPr="00F13073">
        <w:rPr>
          <w:rStyle w:val="Char"/>
        </w:rPr>
        <w:t xml:space="preserve">tocilizumabem </w:t>
      </w:r>
      <w:r w:rsidR="00CC4AD9" w:rsidRPr="00F13073" w:rsidDel="00CC4AD9">
        <w:rPr>
          <w:rStyle w:val="Char"/>
        </w:rPr>
        <w:t xml:space="preserve"> </w:t>
      </w:r>
      <w:r w:rsidRPr="00F13073">
        <w:rPr>
          <w:rStyle w:val="Char"/>
        </w:rPr>
        <w:t xml:space="preserve">nie doszło do zmniejszenia liczby płytek krwi do wartości </w:t>
      </w:r>
      <w:r w:rsidR="00E92CBA" w:rsidRPr="00F13073">
        <w:rPr>
          <w:rStyle w:val="Char"/>
        </w:rPr>
        <w:t>≤</w:t>
      </w:r>
      <w:r w:rsidRPr="00F13073">
        <w:rPr>
          <w:rStyle w:val="Char"/>
        </w:rPr>
        <w:t>50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/μl.</w:t>
      </w:r>
    </w:p>
    <w:p w14:paraId="23C5C8AB" w14:textId="77777777" w:rsidR="0080742E" w:rsidRPr="00F13073" w:rsidRDefault="0080742E" w:rsidP="008B4C50">
      <w:pPr>
        <w:pStyle w:val="a4"/>
        <w:widowControl/>
        <w:spacing w:after="0"/>
      </w:pPr>
    </w:p>
    <w:p w14:paraId="75AFFE84" w14:textId="77777777" w:rsidR="0080742E" w:rsidRPr="00F13073" w:rsidRDefault="0080742E" w:rsidP="003D0523">
      <w:pPr>
        <w:pStyle w:val="a4"/>
        <w:keepNext/>
        <w:keepLines/>
        <w:widowControl/>
        <w:spacing w:after="0"/>
      </w:pPr>
      <w:r w:rsidRPr="00F13073">
        <w:rPr>
          <w:rStyle w:val="Char"/>
          <w:i/>
          <w:iCs/>
        </w:rPr>
        <w:t>Parametry gospodarki lipidowej</w:t>
      </w:r>
    </w:p>
    <w:p w14:paraId="7BC40935" w14:textId="179F6147" w:rsidR="0080742E" w:rsidRPr="00F13073" w:rsidRDefault="0080742E" w:rsidP="004328D2">
      <w:pPr>
        <w:pStyle w:val="a4"/>
        <w:widowControl/>
        <w:spacing w:after="0"/>
        <w:rPr>
          <w:rStyle w:val="Char"/>
        </w:rPr>
      </w:pPr>
      <w:r w:rsidRPr="00F13073">
        <w:rPr>
          <w:rStyle w:val="Char"/>
        </w:rPr>
        <w:t>W badaniu z postacią podskórną u 14,3% i 12,8% pacjentów wystąpiło odpowiednio zwiększenie frakcji LDL cholesterolu do wartości ≥ 130 mg/dl oraz cholesterolu całkowitego do wartości ≥</w:t>
      </w:r>
      <w:r w:rsidR="004328D2" w:rsidRPr="00F13073">
        <w:rPr>
          <w:rStyle w:val="Char"/>
        </w:rPr>
        <w:t> </w:t>
      </w:r>
      <w:r w:rsidRPr="00F13073">
        <w:rPr>
          <w:rStyle w:val="Char"/>
        </w:rPr>
        <w:t>200</w:t>
      </w:r>
      <w:r w:rsidR="004328D2" w:rsidRPr="00F13073">
        <w:rPr>
          <w:rStyle w:val="Char"/>
        </w:rPr>
        <w:t> </w:t>
      </w:r>
      <w:r w:rsidRPr="00F13073">
        <w:rPr>
          <w:rStyle w:val="Char"/>
        </w:rPr>
        <w:t>mg/dl w wybranym momencie trwania badania w stosunku do pomiaru początkowego.</w:t>
      </w:r>
    </w:p>
    <w:p w14:paraId="2AA22ED1" w14:textId="77777777" w:rsidR="0080742E" w:rsidRPr="00F13073" w:rsidRDefault="0080742E" w:rsidP="008B4C50">
      <w:pPr>
        <w:pStyle w:val="a4"/>
        <w:widowControl/>
        <w:spacing w:after="0"/>
      </w:pPr>
    </w:p>
    <w:p w14:paraId="2AEAC572" w14:textId="77777777" w:rsidR="0080742E" w:rsidRPr="00F13073" w:rsidRDefault="0080742E" w:rsidP="008B4C50">
      <w:pPr>
        <w:pStyle w:val="a4"/>
        <w:widowControl/>
        <w:spacing w:after="0"/>
      </w:pPr>
      <w:r w:rsidRPr="00F13073">
        <w:rPr>
          <w:rStyle w:val="Char"/>
          <w:u w:val="single"/>
        </w:rPr>
        <w:t>Stosowanie podskórne</w:t>
      </w:r>
    </w:p>
    <w:p w14:paraId="0BA55EC3" w14:textId="77777777" w:rsidR="0080742E" w:rsidRPr="00F13073" w:rsidRDefault="0080742E" w:rsidP="008B4C50">
      <w:pPr>
        <w:pStyle w:val="a4"/>
        <w:widowControl/>
        <w:spacing w:after="0"/>
      </w:pPr>
      <w:r w:rsidRPr="00F13073">
        <w:rPr>
          <w:rStyle w:val="Char"/>
          <w:b/>
          <w:bCs/>
        </w:rPr>
        <w:t>GCA</w:t>
      </w:r>
    </w:p>
    <w:p w14:paraId="62312918" w14:textId="60A80C31" w:rsidR="0080742E" w:rsidRPr="00F13073" w:rsidRDefault="0080742E" w:rsidP="008B4C50">
      <w:pPr>
        <w:pStyle w:val="a4"/>
        <w:widowControl/>
        <w:spacing w:after="0"/>
        <w:rPr>
          <w:rStyle w:val="Char"/>
        </w:rPr>
      </w:pPr>
      <w:r w:rsidRPr="00F13073">
        <w:rPr>
          <w:rStyle w:val="Char"/>
        </w:rPr>
        <w:t xml:space="preserve">Bezpieczeństwo podskórnego stosowania </w:t>
      </w:r>
      <w:r w:rsidR="00D85D21" w:rsidRPr="00F13073">
        <w:rPr>
          <w:rStyle w:val="Char"/>
        </w:rPr>
        <w:t xml:space="preserve">tocilizumabu </w:t>
      </w:r>
      <w:r w:rsidRPr="00F13073">
        <w:rPr>
          <w:rStyle w:val="Char"/>
        </w:rPr>
        <w:t xml:space="preserve">oceniano w jednym badaniu III fazy (WA28119) z udziałem 251 pacjentów z GCA. Całkowity czas trwania wyrażony w liczbie pacjentolat w populacji leczonej </w:t>
      </w:r>
      <w:r w:rsidR="00D85D21" w:rsidRPr="00F13073">
        <w:rPr>
          <w:rStyle w:val="Char"/>
        </w:rPr>
        <w:t xml:space="preserve">tocilizumabem </w:t>
      </w:r>
      <w:r w:rsidRPr="00F13073">
        <w:rPr>
          <w:rStyle w:val="Char"/>
        </w:rPr>
        <w:t xml:space="preserve">wyniósł 138,5 pacjentolat w 12-miesięcznej fazie badania kontrolowanej placebo z podwójnie ślepą próbą. Ogólny profil bezpieczeństwa obserwowany w grupach przyjmujących </w:t>
      </w:r>
      <w:r w:rsidR="00D85D21" w:rsidRPr="00F13073">
        <w:rPr>
          <w:rStyle w:val="Char"/>
        </w:rPr>
        <w:t>tocilizumab</w:t>
      </w:r>
      <w:r w:rsidRPr="00F13073">
        <w:rPr>
          <w:rStyle w:val="Char"/>
        </w:rPr>
        <w:t xml:space="preserve"> był spójny ze znanym profilem bezpieczeństwa </w:t>
      </w:r>
      <w:r w:rsidR="00D85D21" w:rsidRPr="00F13073">
        <w:rPr>
          <w:rStyle w:val="Char"/>
        </w:rPr>
        <w:t>tocilizumabu</w:t>
      </w:r>
      <w:r w:rsidRPr="00F13073">
        <w:rPr>
          <w:rStyle w:val="Char"/>
        </w:rPr>
        <w:t xml:space="preserve"> (patrz Tabela 1).</w:t>
      </w:r>
    </w:p>
    <w:p w14:paraId="130257C9" w14:textId="77777777" w:rsidR="0080742E" w:rsidRPr="00F13073" w:rsidRDefault="0080742E" w:rsidP="008B4C50">
      <w:pPr>
        <w:pStyle w:val="a4"/>
        <w:widowControl/>
        <w:spacing w:after="0"/>
      </w:pPr>
    </w:p>
    <w:p w14:paraId="5BEE7A3B" w14:textId="77777777" w:rsidR="0080742E" w:rsidRPr="00F13073" w:rsidRDefault="0080742E" w:rsidP="008B4C50">
      <w:pPr>
        <w:pStyle w:val="a4"/>
        <w:widowControl/>
        <w:spacing w:after="0"/>
      </w:pPr>
      <w:r w:rsidRPr="00F13073">
        <w:rPr>
          <w:rStyle w:val="Char"/>
          <w:i/>
          <w:iCs/>
        </w:rPr>
        <w:t>Zakażenia</w:t>
      </w:r>
    </w:p>
    <w:p w14:paraId="66D41CD2" w14:textId="46E47AA3" w:rsidR="0080742E" w:rsidRPr="00F13073" w:rsidRDefault="0080742E" w:rsidP="008B4C50">
      <w:pPr>
        <w:pStyle w:val="a4"/>
        <w:widowControl/>
        <w:spacing w:after="0"/>
        <w:rPr>
          <w:rStyle w:val="Char"/>
        </w:rPr>
      </w:pPr>
      <w:r w:rsidRPr="00F13073">
        <w:rPr>
          <w:rStyle w:val="Char"/>
        </w:rPr>
        <w:t xml:space="preserve">Częstość występowania zakażeń/ciężkich zakażeń była wyważona pomiędzy grupą otrzymującą </w:t>
      </w:r>
      <w:r w:rsidR="00D85D21" w:rsidRPr="00F13073">
        <w:rPr>
          <w:rStyle w:val="Char"/>
        </w:rPr>
        <w:t>tocilizumab</w:t>
      </w:r>
      <w:r w:rsidR="00D85D21" w:rsidRPr="00F13073" w:rsidDel="00D85D21">
        <w:rPr>
          <w:rStyle w:val="Char"/>
        </w:rPr>
        <w:t xml:space="preserve"> </w:t>
      </w:r>
      <w:r w:rsidRPr="00F13073">
        <w:rPr>
          <w:rStyle w:val="Char"/>
        </w:rPr>
        <w:t>raz na tydzień (200,2/ 9,7 zdarzeń na 100 pacjentolat), a grupą otrzymującą placebo w skojarzeniu z 26-tygodniowym leczeniem prednizonem w malejących dawkach (156,0/ 4,2 zdarzenia na 100 pacjentolat) i grupą otrzymującą placebo w skojarzeniu z 52- tygodniowym leczeniem prednizonem w malejących dawkach (210,2/ 12,5 zdarzeń na 100 pacjentolat).</w:t>
      </w:r>
    </w:p>
    <w:p w14:paraId="72629A00" w14:textId="77777777" w:rsidR="0080742E" w:rsidRPr="00F13073" w:rsidRDefault="0080742E" w:rsidP="008B4C50">
      <w:pPr>
        <w:pStyle w:val="a4"/>
        <w:widowControl/>
        <w:spacing w:after="0"/>
      </w:pPr>
    </w:p>
    <w:p w14:paraId="4BBAD98D" w14:textId="77777777" w:rsidR="0080742E" w:rsidRPr="00F13073" w:rsidRDefault="0080742E" w:rsidP="008B4C50">
      <w:pPr>
        <w:pStyle w:val="a4"/>
        <w:widowControl/>
        <w:spacing w:after="0"/>
      </w:pPr>
      <w:r w:rsidRPr="00F13073">
        <w:rPr>
          <w:rStyle w:val="Char"/>
          <w:i/>
          <w:iCs/>
        </w:rPr>
        <w:t>Reakcje w miejscu wstrzyknięcia</w:t>
      </w:r>
    </w:p>
    <w:p w14:paraId="5A38D142" w14:textId="4F5ECDBC" w:rsidR="0080742E" w:rsidRPr="00F13073" w:rsidRDefault="0080742E" w:rsidP="008B4C50">
      <w:pPr>
        <w:pStyle w:val="a4"/>
        <w:widowControl/>
        <w:spacing w:after="0"/>
        <w:rPr>
          <w:rStyle w:val="Char"/>
        </w:rPr>
      </w:pPr>
      <w:r w:rsidRPr="00F13073">
        <w:rPr>
          <w:rStyle w:val="Char"/>
        </w:rPr>
        <w:t xml:space="preserve">W grupie otrzymującej </w:t>
      </w:r>
      <w:r w:rsidR="00D85D21" w:rsidRPr="00F13073">
        <w:rPr>
          <w:rStyle w:val="Char"/>
        </w:rPr>
        <w:t>tocilizumab</w:t>
      </w:r>
      <w:r w:rsidR="00D85D21" w:rsidRPr="00F13073" w:rsidDel="00D85D21">
        <w:rPr>
          <w:rStyle w:val="Char"/>
        </w:rPr>
        <w:t xml:space="preserve"> </w:t>
      </w:r>
      <w:r w:rsidRPr="00F13073">
        <w:rPr>
          <w:rStyle w:val="Char"/>
        </w:rPr>
        <w:t>podskórnie raz w tygodniu, łącznie 6% (6/100) pacjentów zgłaszało występowanie działania niepożądanego w miejscu podskórnego wstrzyknięcia leku. Żadna z reakcji w miejscu wstrzyknięcia nie była zgłaszana jako ciężkie zdarzenie niepożądane lub zdarzenie wymagające zakończenia leczenia.</w:t>
      </w:r>
    </w:p>
    <w:p w14:paraId="187A11AB" w14:textId="77777777" w:rsidR="0080742E" w:rsidRPr="00F13073" w:rsidRDefault="0080742E" w:rsidP="008B4C50">
      <w:pPr>
        <w:pStyle w:val="a4"/>
        <w:widowControl/>
        <w:spacing w:after="0"/>
      </w:pPr>
    </w:p>
    <w:p w14:paraId="1E048266" w14:textId="77777777" w:rsidR="0080742E" w:rsidRPr="00F13073" w:rsidRDefault="0080742E" w:rsidP="008B4C50">
      <w:pPr>
        <w:pStyle w:val="a4"/>
        <w:widowControl/>
        <w:spacing w:after="0"/>
      </w:pPr>
      <w:r w:rsidRPr="00F13073">
        <w:rPr>
          <w:rStyle w:val="Char"/>
          <w:i/>
          <w:iCs/>
        </w:rPr>
        <w:t>Nieprawidłowości hematologiczne:</w:t>
      </w:r>
    </w:p>
    <w:p w14:paraId="2E0B3C27" w14:textId="77777777" w:rsidR="0080742E" w:rsidRPr="00F13073" w:rsidRDefault="0080742E" w:rsidP="008B4C50">
      <w:pPr>
        <w:pStyle w:val="a4"/>
        <w:widowControl/>
        <w:spacing w:after="0"/>
      </w:pPr>
      <w:r w:rsidRPr="00F13073">
        <w:rPr>
          <w:rStyle w:val="Char"/>
          <w:i/>
          <w:iCs/>
        </w:rPr>
        <w:t>Granulocyty obojętnochłonne</w:t>
      </w:r>
    </w:p>
    <w:p w14:paraId="000F6762" w14:textId="13A5E333" w:rsidR="0080742E" w:rsidRPr="00F13073" w:rsidRDefault="0080742E"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1170D9" w:rsidRPr="00F13073">
        <w:rPr>
          <w:rStyle w:val="Char"/>
        </w:rPr>
        <w:t xml:space="preserve">tocilizumabem </w:t>
      </w:r>
      <w:r w:rsidRPr="00F13073">
        <w:rPr>
          <w:rStyle w:val="Char"/>
        </w:rPr>
        <w:t>nastąpiło zmniejszenie liczby granulocytów obojętnochłonnych do wartości poniżej 1 ×</w:t>
      </w:r>
      <w:r w:rsidRPr="00F13073">
        <w:rPr>
          <w:rStyle w:val="Char"/>
          <w:lang w:eastAsia="el-GR"/>
        </w:rPr>
        <w:t xml:space="preserve"> </w:t>
      </w:r>
      <w:r w:rsidRPr="00F13073">
        <w:rPr>
          <w:rStyle w:val="Char"/>
        </w:rPr>
        <w:t>10</w:t>
      </w:r>
      <w:r w:rsidRPr="00F13073">
        <w:rPr>
          <w:rStyle w:val="Char"/>
          <w:vertAlign w:val="superscript"/>
        </w:rPr>
        <w:t>9</w:t>
      </w:r>
      <w:r w:rsidRPr="00F13073">
        <w:rPr>
          <w:rStyle w:val="Char"/>
        </w:rPr>
        <w:t xml:space="preserve">/l u 4% pacjentów z grupy otrzymującej podskórnie </w:t>
      </w:r>
      <w:r w:rsidR="001170D9" w:rsidRPr="00F13073">
        <w:rPr>
          <w:rStyle w:val="Char"/>
        </w:rPr>
        <w:t>tocilizumab</w:t>
      </w:r>
      <w:r w:rsidR="001170D9" w:rsidRPr="00F13073" w:rsidDel="001170D9">
        <w:rPr>
          <w:rStyle w:val="Char"/>
        </w:rPr>
        <w:t xml:space="preserve"> </w:t>
      </w:r>
      <w:r w:rsidRPr="00F13073">
        <w:rPr>
          <w:rStyle w:val="Char"/>
        </w:rPr>
        <w:t>raz w tygodniu. Takie zmniejszenie nie było obserwowane w żadnej z grup otrzymujących placebo w skojarzeniu z malejącymi dawkami prednizonu.</w:t>
      </w:r>
    </w:p>
    <w:p w14:paraId="69FDCB74" w14:textId="77777777" w:rsidR="0080742E" w:rsidRPr="00F13073" w:rsidRDefault="0080742E" w:rsidP="008B4C50">
      <w:pPr>
        <w:pStyle w:val="a4"/>
        <w:widowControl/>
        <w:spacing w:after="0"/>
      </w:pPr>
    </w:p>
    <w:p w14:paraId="48730B77" w14:textId="77777777" w:rsidR="0080742E" w:rsidRPr="00F13073" w:rsidRDefault="0080742E" w:rsidP="008B4C50">
      <w:pPr>
        <w:pStyle w:val="a4"/>
        <w:widowControl/>
        <w:spacing w:after="0"/>
      </w:pPr>
      <w:r w:rsidRPr="00F13073">
        <w:rPr>
          <w:rStyle w:val="Char"/>
          <w:i/>
          <w:iCs/>
        </w:rPr>
        <w:t>Płytki krwi</w:t>
      </w:r>
    </w:p>
    <w:p w14:paraId="008BB20B" w14:textId="579D2E81" w:rsidR="0080742E" w:rsidRPr="00F13073" w:rsidRDefault="0080742E"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1170D9" w:rsidRPr="00F13073">
        <w:rPr>
          <w:rStyle w:val="Char"/>
        </w:rPr>
        <w:t xml:space="preserve">tocilizumabem </w:t>
      </w:r>
      <w:r w:rsidRPr="00F13073">
        <w:rPr>
          <w:rStyle w:val="Char"/>
        </w:rPr>
        <w:t xml:space="preserve">u jednego pacjenta (1%, 1/100) z grupy otrzymującej podskórnie </w:t>
      </w:r>
      <w:r w:rsidR="001170D9" w:rsidRPr="00F13073">
        <w:rPr>
          <w:rStyle w:val="Char"/>
        </w:rPr>
        <w:t>tocilizumab</w:t>
      </w:r>
      <w:r w:rsidR="001170D9" w:rsidRPr="00F13073" w:rsidDel="001170D9">
        <w:rPr>
          <w:rStyle w:val="Char"/>
        </w:rPr>
        <w:t xml:space="preserve"> </w:t>
      </w:r>
      <w:r w:rsidRPr="00F13073">
        <w:rPr>
          <w:rStyle w:val="Char"/>
        </w:rPr>
        <w:t>raz w tygodniu wystąpiło pojedyncze przejściowe zmniejszenie liczby płytek krwi do &lt;100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/μL bez powiązanych z nim zdarzeń krwawienia. Zmniejszenie liczby płytek krwi do wartości poniżej 100 ×</w:t>
      </w:r>
      <w:r w:rsidRPr="00F13073">
        <w:rPr>
          <w:rStyle w:val="Char"/>
          <w:lang w:eastAsia="el-GR"/>
        </w:rPr>
        <w:t xml:space="preserve"> </w:t>
      </w:r>
      <w:r w:rsidRPr="00F13073">
        <w:rPr>
          <w:rStyle w:val="Char"/>
        </w:rPr>
        <w:t>10</w:t>
      </w:r>
      <w:r w:rsidRPr="00F13073">
        <w:rPr>
          <w:rStyle w:val="Char"/>
          <w:vertAlign w:val="superscript"/>
        </w:rPr>
        <w:t>3</w:t>
      </w:r>
      <w:r w:rsidRPr="00F13073">
        <w:rPr>
          <w:rStyle w:val="Char"/>
        </w:rPr>
        <w:t>/μL nie było obserwowane w żadnej z grup otrzymujących placebo w skojarzeniu z malejącymi dawkami prednizonu.</w:t>
      </w:r>
    </w:p>
    <w:p w14:paraId="0A3A135C" w14:textId="77777777" w:rsidR="0080742E" w:rsidRPr="00F13073" w:rsidRDefault="0080742E" w:rsidP="008B4C50">
      <w:pPr>
        <w:pStyle w:val="a4"/>
        <w:widowControl/>
        <w:spacing w:after="0"/>
      </w:pPr>
    </w:p>
    <w:p w14:paraId="71056F36" w14:textId="77777777" w:rsidR="0080742E" w:rsidRPr="00F13073" w:rsidRDefault="0080742E" w:rsidP="008B4C50">
      <w:pPr>
        <w:pStyle w:val="a4"/>
        <w:widowControl/>
        <w:spacing w:after="0"/>
      </w:pPr>
      <w:r w:rsidRPr="00F13073">
        <w:rPr>
          <w:rStyle w:val="Char"/>
          <w:i/>
          <w:iCs/>
        </w:rPr>
        <w:t>Zwiększenie aktywności aminotransferaz wątrobowych</w:t>
      </w:r>
    </w:p>
    <w:p w14:paraId="78885832" w14:textId="7C75BFB5" w:rsidR="0080742E" w:rsidRPr="00F13073" w:rsidRDefault="0080742E"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493A20" w:rsidRPr="00F13073">
        <w:rPr>
          <w:rStyle w:val="Char"/>
        </w:rPr>
        <w:t xml:space="preserve">tocilizumabem </w:t>
      </w:r>
      <w:r w:rsidRPr="00F13073">
        <w:rPr>
          <w:rStyle w:val="Char"/>
        </w:rPr>
        <w:t xml:space="preserve">zwiększenie aktywności AlAT </w:t>
      </w:r>
      <w:r w:rsidR="00E92CBA" w:rsidRPr="00F13073">
        <w:rPr>
          <w:rStyle w:val="Char"/>
        </w:rPr>
        <w:t>≥</w:t>
      </w:r>
      <w:r w:rsidRPr="00F13073">
        <w:rPr>
          <w:rStyle w:val="Char"/>
        </w:rPr>
        <w:t xml:space="preserve">3 x GGN wystąpiło u 3% pacjentów z grupy otrzymującej podskórnie </w:t>
      </w:r>
      <w:r w:rsidR="00493A20" w:rsidRPr="00F13073">
        <w:rPr>
          <w:rStyle w:val="Char"/>
        </w:rPr>
        <w:t>tocilizumab</w:t>
      </w:r>
      <w:r w:rsidR="00493A20" w:rsidRPr="00F13073" w:rsidDel="00493A20">
        <w:rPr>
          <w:rStyle w:val="Char"/>
        </w:rPr>
        <w:t xml:space="preserve"> </w:t>
      </w:r>
      <w:r w:rsidRPr="00F13073">
        <w:rPr>
          <w:rStyle w:val="Char"/>
        </w:rPr>
        <w:t xml:space="preserve">raz w tygodniu w porównaniu z 2% pacjentów z grupy otrzymującej placebo w skojarzeniu z 52-tygodniową terapią malejącymi dawkami prednizonu oraz u żadnego pacjenta z grupy otrzymującej placebo w skojarzeniu z 26-tygodniową terapią malejącymi dawkami prednizonu. Zwiększenie aktywności AspAT &gt; 3 GGN wystąpiło u 1% pacjentów z grupy otrzymującej podskórnie </w:t>
      </w:r>
      <w:r w:rsidR="00493A20" w:rsidRPr="00F13073">
        <w:rPr>
          <w:rStyle w:val="Char"/>
        </w:rPr>
        <w:t>tocilizumab</w:t>
      </w:r>
      <w:r w:rsidR="00493A20" w:rsidRPr="00F13073" w:rsidDel="00493A20">
        <w:rPr>
          <w:rStyle w:val="Char"/>
        </w:rPr>
        <w:t xml:space="preserve"> </w:t>
      </w:r>
      <w:r w:rsidRPr="00F13073">
        <w:rPr>
          <w:rStyle w:val="Char"/>
        </w:rPr>
        <w:t>raz w tygodniu w porównaniu z żadnym pacjentem z grup otrzymujących placebo w skojarzeniu z malejącymi dawkami prednizonu.</w:t>
      </w:r>
    </w:p>
    <w:p w14:paraId="21AC7C37" w14:textId="77777777" w:rsidR="0080742E" w:rsidRPr="00F13073" w:rsidRDefault="0080742E" w:rsidP="008B4C50">
      <w:pPr>
        <w:pStyle w:val="a4"/>
        <w:widowControl/>
        <w:spacing w:after="0"/>
      </w:pPr>
    </w:p>
    <w:p w14:paraId="7125FBCE" w14:textId="77777777" w:rsidR="0080742E" w:rsidRPr="00F13073" w:rsidRDefault="0080742E" w:rsidP="008B4C50">
      <w:pPr>
        <w:pStyle w:val="a4"/>
        <w:widowControl/>
        <w:spacing w:after="0"/>
      </w:pPr>
      <w:r w:rsidRPr="00F13073">
        <w:rPr>
          <w:rStyle w:val="Char"/>
          <w:i/>
          <w:iCs/>
        </w:rPr>
        <w:lastRenderedPageBreak/>
        <w:t>Parametry gospodarki lipidowej</w:t>
      </w:r>
    </w:p>
    <w:p w14:paraId="593A0605" w14:textId="1FC8B9E4" w:rsidR="0080742E" w:rsidRPr="00F13073" w:rsidRDefault="0080742E" w:rsidP="008B4C50">
      <w:pPr>
        <w:pStyle w:val="a4"/>
        <w:widowControl/>
        <w:spacing w:after="0"/>
        <w:rPr>
          <w:rStyle w:val="Char"/>
        </w:rPr>
      </w:pPr>
      <w:r w:rsidRPr="00F13073">
        <w:rPr>
          <w:rStyle w:val="Char"/>
        </w:rPr>
        <w:t xml:space="preserve">Podczas rutynowego monitorowania laboratoryjnego w 12-miesięcznym kontrolowanym badaniu klinicznym z </w:t>
      </w:r>
      <w:r w:rsidR="00493A20" w:rsidRPr="00F13073">
        <w:rPr>
          <w:rStyle w:val="Char"/>
        </w:rPr>
        <w:t>tocilizumabem</w:t>
      </w:r>
      <w:r w:rsidRPr="00F13073">
        <w:rPr>
          <w:rStyle w:val="Char"/>
        </w:rPr>
        <w:t xml:space="preserve">, u 34% pacjentów z grupy otrzymującej podskórnie </w:t>
      </w:r>
      <w:r w:rsidR="00493A20" w:rsidRPr="00F13073">
        <w:rPr>
          <w:rStyle w:val="Char"/>
        </w:rPr>
        <w:t>tocilizumab</w:t>
      </w:r>
      <w:r w:rsidR="00493A20" w:rsidRPr="00F13073" w:rsidDel="00493A20">
        <w:rPr>
          <w:rStyle w:val="Char"/>
        </w:rPr>
        <w:t xml:space="preserve"> </w:t>
      </w:r>
      <w:r w:rsidRPr="00F13073">
        <w:rPr>
          <w:rStyle w:val="Char"/>
        </w:rPr>
        <w:t>raz w tygodniu wystąpiło trwałe zwiększenie stężenia cholesterolu całkowitego &gt; 6,2 mmol/l (240 mg/dL), przy czym u 15% pacjentów wystąpiło trwałe zwiększenie frakcji LDL do ≥</w:t>
      </w:r>
      <w:r w:rsidRPr="00F13073">
        <w:rPr>
          <w:rStyle w:val="Char"/>
          <w:sz w:val="24"/>
          <w:szCs w:val="24"/>
        </w:rPr>
        <w:t xml:space="preserve"> </w:t>
      </w:r>
      <w:r w:rsidRPr="00F13073">
        <w:rPr>
          <w:rStyle w:val="Char"/>
        </w:rPr>
        <w:t>4,1 mmol/l (160 mg/dL).</w:t>
      </w:r>
    </w:p>
    <w:p w14:paraId="2205D525" w14:textId="77777777" w:rsidR="0080742E" w:rsidRPr="00F13073" w:rsidRDefault="0080742E" w:rsidP="008B4C50">
      <w:pPr>
        <w:pStyle w:val="a4"/>
        <w:widowControl/>
        <w:spacing w:after="0"/>
      </w:pPr>
    </w:p>
    <w:p w14:paraId="54CEB26C" w14:textId="77777777" w:rsidR="00646611" w:rsidRPr="00F13073" w:rsidRDefault="00646611" w:rsidP="008B4C50">
      <w:pPr>
        <w:pStyle w:val="a4"/>
        <w:widowControl/>
        <w:spacing w:after="0"/>
      </w:pPr>
      <w:r w:rsidRPr="00F13073">
        <w:rPr>
          <w:rStyle w:val="Char"/>
          <w:u w:val="single"/>
        </w:rPr>
        <w:t>Podanie dożylne</w:t>
      </w:r>
    </w:p>
    <w:p w14:paraId="189FCC1A" w14:textId="77777777" w:rsidR="00646611" w:rsidRPr="00F13073" w:rsidRDefault="00646611" w:rsidP="008B4C50">
      <w:pPr>
        <w:pStyle w:val="a4"/>
        <w:widowControl/>
        <w:spacing w:after="0"/>
      </w:pPr>
      <w:r w:rsidRPr="00F13073">
        <w:rPr>
          <w:rStyle w:val="Char"/>
          <w:b/>
          <w:bCs/>
        </w:rPr>
        <w:t>RZS</w:t>
      </w:r>
    </w:p>
    <w:p w14:paraId="4565C661" w14:textId="17B79EF8" w:rsidR="00646611" w:rsidRPr="00F13073" w:rsidRDefault="00646611" w:rsidP="008B4C50">
      <w:pPr>
        <w:pStyle w:val="a4"/>
        <w:widowControl/>
        <w:spacing w:after="0"/>
        <w:rPr>
          <w:rStyle w:val="Char"/>
        </w:rPr>
      </w:pPr>
      <w:r w:rsidRPr="00F13073">
        <w:rPr>
          <w:rStyle w:val="Char"/>
        </w:rPr>
        <w:t xml:space="preserve">Bezpieczeństwo stosowania </w:t>
      </w:r>
      <w:r w:rsidR="00493A20" w:rsidRPr="00F13073">
        <w:rPr>
          <w:rStyle w:val="Char"/>
        </w:rPr>
        <w:t xml:space="preserve">tocilizumabu </w:t>
      </w:r>
      <w:r w:rsidRPr="00F13073">
        <w:rPr>
          <w:rStyle w:val="Char"/>
        </w:rPr>
        <w:t>oceniono w 4 badaniach kontrolowanych placebo (badania II, III, IV i V), w 1 badaniu, w którym grupa kontrolna otrzymywała metotreksat (badanie I) oraz w fazach przedłużonych tych badań (patrz punkt 5.1).</w:t>
      </w:r>
    </w:p>
    <w:p w14:paraId="6C785545" w14:textId="77777777" w:rsidR="00646611" w:rsidRPr="00F13073" w:rsidRDefault="00646611" w:rsidP="008B4C50">
      <w:pPr>
        <w:pStyle w:val="a4"/>
        <w:widowControl/>
        <w:spacing w:after="0"/>
      </w:pPr>
    </w:p>
    <w:p w14:paraId="5F6C36B2" w14:textId="2AB693BE" w:rsidR="00646611" w:rsidRPr="00F13073" w:rsidRDefault="00646611" w:rsidP="008B4C50">
      <w:pPr>
        <w:pStyle w:val="a4"/>
        <w:widowControl/>
        <w:spacing w:after="0"/>
        <w:rPr>
          <w:rStyle w:val="Char"/>
        </w:rPr>
      </w:pPr>
      <w:r w:rsidRPr="00F13073">
        <w:rPr>
          <w:rStyle w:val="Char"/>
        </w:rPr>
        <w:t xml:space="preserve">Okres badania kontrolowanego z podwójnie ślepą próbą wynosił 6 miesięcy w czterech badaniach (badanie I, III, IV i V) oraz do 2 lat w jednym badaniu (badanie II). W kontrolowanych badaniach z podwójnie ślepą próbą 774 pacjentów otrzymywało </w:t>
      </w:r>
      <w:r w:rsidR="00493A20" w:rsidRPr="00F13073">
        <w:rPr>
          <w:rStyle w:val="Char"/>
        </w:rPr>
        <w:t>tocilizumab</w:t>
      </w:r>
      <w:r w:rsidR="00493A20" w:rsidRPr="00F13073" w:rsidDel="00493A20">
        <w:rPr>
          <w:rStyle w:val="Char"/>
        </w:rPr>
        <w:t xml:space="preserve"> </w:t>
      </w:r>
      <w:r w:rsidRPr="00F13073">
        <w:rPr>
          <w:rStyle w:val="Char"/>
        </w:rPr>
        <w:t xml:space="preserve">w dawce 4 mg/kg mc. w skojarzeniu z MTX, 1870 pacjentów otrzymywało </w:t>
      </w:r>
      <w:r w:rsidR="00493A20" w:rsidRPr="00F13073">
        <w:rPr>
          <w:rStyle w:val="Char"/>
        </w:rPr>
        <w:t>tocilizumab</w:t>
      </w:r>
      <w:r w:rsidRPr="00F13073">
        <w:rPr>
          <w:rStyle w:val="Char"/>
        </w:rPr>
        <w:t xml:space="preserve"> dawce 8</w:t>
      </w:r>
      <w:r w:rsidR="00085E27" w:rsidRPr="00F13073">
        <w:rPr>
          <w:rStyle w:val="Char"/>
        </w:rPr>
        <w:t> </w:t>
      </w:r>
      <w:r w:rsidRPr="00F13073">
        <w:rPr>
          <w:rStyle w:val="Char"/>
        </w:rPr>
        <w:t xml:space="preserve">mg/kg mc. w skojarzeniu z MTX lub innymi lekami DMARD, a 288 chorych otrzymywało </w:t>
      </w:r>
      <w:r w:rsidR="00493A20" w:rsidRPr="00F13073">
        <w:rPr>
          <w:rStyle w:val="Char"/>
        </w:rPr>
        <w:t>tocilizumab</w:t>
      </w:r>
      <w:r w:rsidR="00493A20" w:rsidRPr="00F13073" w:rsidDel="00493A20">
        <w:rPr>
          <w:rStyle w:val="Char"/>
        </w:rPr>
        <w:t xml:space="preserve"> </w:t>
      </w:r>
      <w:r w:rsidRPr="00F13073">
        <w:rPr>
          <w:rStyle w:val="Char"/>
        </w:rPr>
        <w:t>w dawce 8 mg/kg mc. w monoterapii.</w:t>
      </w:r>
    </w:p>
    <w:p w14:paraId="557B239A" w14:textId="77777777" w:rsidR="00646611" w:rsidRPr="00F13073" w:rsidRDefault="00646611" w:rsidP="008B4C50">
      <w:pPr>
        <w:pStyle w:val="a4"/>
        <w:widowControl/>
        <w:spacing w:after="0"/>
      </w:pPr>
    </w:p>
    <w:p w14:paraId="7011BC16" w14:textId="21517B81" w:rsidR="00646611" w:rsidRPr="00F13073" w:rsidRDefault="00646611" w:rsidP="008B4C50">
      <w:pPr>
        <w:pStyle w:val="a4"/>
        <w:widowControl/>
        <w:spacing w:after="0"/>
        <w:rPr>
          <w:rStyle w:val="Char"/>
        </w:rPr>
      </w:pPr>
      <w:r w:rsidRPr="00F13073">
        <w:rPr>
          <w:rStyle w:val="Char"/>
        </w:rPr>
        <w:t xml:space="preserve">Analizą długookresowej ekspozycji na </w:t>
      </w:r>
      <w:r w:rsidR="00493A20" w:rsidRPr="00F13073">
        <w:rPr>
          <w:rStyle w:val="Char"/>
        </w:rPr>
        <w:t>tocilizumab</w:t>
      </w:r>
      <w:r w:rsidR="00493A20" w:rsidRPr="00F13073" w:rsidDel="00493A20">
        <w:rPr>
          <w:rStyle w:val="Char"/>
        </w:rPr>
        <w:t xml:space="preserve"> </w:t>
      </w:r>
      <w:r w:rsidRPr="00F13073">
        <w:rPr>
          <w:rStyle w:val="Char"/>
        </w:rPr>
        <w:t xml:space="preserve">objęto populację wszystkich pacjentów, którzy otrzymali co najmniej jedną dawkę </w:t>
      </w:r>
      <w:r w:rsidR="00431AAF" w:rsidRPr="00F13073">
        <w:rPr>
          <w:rStyle w:val="Char"/>
        </w:rPr>
        <w:t>tocilizumabu</w:t>
      </w:r>
      <w:r w:rsidRPr="00F13073">
        <w:rPr>
          <w:rStyle w:val="Char"/>
        </w:rPr>
        <w:t xml:space="preserve"> w okresie badania kontrolowanego z podwójnie ślepą próbą lub w otwartej fazie przedłużenia badania. Z całkowitej liczby 4009 pacjentów w tej populacji 3577 otrzymywało leczenie przez co najmniej 6 miesięcy, 3296 </w:t>
      </w:r>
      <w:r w:rsidR="006A33C2" w:rsidRPr="00F13073">
        <w:rPr>
          <w:rStyle w:val="Char"/>
        </w:rPr>
        <w:t>–</w:t>
      </w:r>
      <w:r w:rsidRPr="00F13073">
        <w:rPr>
          <w:rStyle w:val="Char"/>
        </w:rPr>
        <w:t xml:space="preserve"> przez co najmniej jeden rok, 2806 </w:t>
      </w:r>
      <w:r w:rsidR="006A33C2" w:rsidRPr="00F13073">
        <w:rPr>
          <w:rStyle w:val="Char"/>
        </w:rPr>
        <w:t>–</w:t>
      </w:r>
      <w:r w:rsidRPr="00F13073">
        <w:rPr>
          <w:rStyle w:val="Char"/>
        </w:rPr>
        <w:t xml:space="preserve"> przez co najmniej 2 lata, a 1222 </w:t>
      </w:r>
      <w:r w:rsidR="006A33C2" w:rsidRPr="00F13073">
        <w:rPr>
          <w:rStyle w:val="Char"/>
        </w:rPr>
        <w:t>–</w:t>
      </w:r>
      <w:r w:rsidRPr="00F13073">
        <w:rPr>
          <w:rStyle w:val="Char"/>
        </w:rPr>
        <w:t xml:space="preserve"> przez 3 lata.</w:t>
      </w:r>
    </w:p>
    <w:p w14:paraId="73697C78" w14:textId="77777777" w:rsidR="00646611" w:rsidRPr="00F13073" w:rsidRDefault="00646611" w:rsidP="008B4C50">
      <w:pPr>
        <w:pStyle w:val="a4"/>
        <w:widowControl/>
        <w:spacing w:after="0"/>
      </w:pPr>
    </w:p>
    <w:p w14:paraId="30D8F7C3" w14:textId="77777777" w:rsidR="00646611" w:rsidRPr="00F13073" w:rsidRDefault="00646611" w:rsidP="008B4C50">
      <w:pPr>
        <w:pStyle w:val="a4"/>
        <w:widowControl/>
        <w:spacing w:after="0"/>
        <w:rPr>
          <w:rStyle w:val="Char"/>
          <w:u w:val="single"/>
        </w:rPr>
      </w:pPr>
      <w:r w:rsidRPr="00F13073">
        <w:rPr>
          <w:rStyle w:val="Char"/>
          <w:u w:val="single"/>
        </w:rPr>
        <w:t>Opis wybranych działań niepożądanych</w:t>
      </w:r>
    </w:p>
    <w:p w14:paraId="0EA5CA89" w14:textId="77777777" w:rsidR="00646611" w:rsidRPr="00F13073" w:rsidRDefault="00646611" w:rsidP="008B4C50">
      <w:pPr>
        <w:pStyle w:val="a4"/>
        <w:widowControl/>
        <w:spacing w:after="0"/>
      </w:pPr>
    </w:p>
    <w:p w14:paraId="0957A351" w14:textId="77777777" w:rsidR="00646611" w:rsidRPr="00F13073" w:rsidRDefault="00646611" w:rsidP="008B4C50">
      <w:pPr>
        <w:pStyle w:val="a4"/>
        <w:widowControl/>
        <w:spacing w:after="0"/>
      </w:pPr>
      <w:r w:rsidRPr="00F13073">
        <w:rPr>
          <w:rStyle w:val="Char"/>
          <w:i/>
          <w:iCs/>
        </w:rPr>
        <w:t>Zakażenia</w:t>
      </w:r>
    </w:p>
    <w:p w14:paraId="02212116" w14:textId="5CB804CA" w:rsidR="00646611" w:rsidRPr="00F13073" w:rsidRDefault="00646611" w:rsidP="004328D2">
      <w:pPr>
        <w:pStyle w:val="a4"/>
        <w:widowControl/>
        <w:spacing w:after="0"/>
        <w:rPr>
          <w:rStyle w:val="Char"/>
        </w:rPr>
      </w:pPr>
      <w:r w:rsidRPr="00F13073">
        <w:rPr>
          <w:rStyle w:val="Char"/>
        </w:rPr>
        <w:t xml:space="preserve">W 6-miesięcznych kontrolowanych badaniach klinicznych częstość wszystkich zgłoszonych przypadków zakażeń podczas stosowania </w:t>
      </w:r>
      <w:r w:rsidR="001A4571" w:rsidRPr="00F13073">
        <w:rPr>
          <w:rStyle w:val="Char"/>
        </w:rPr>
        <w:t xml:space="preserve">tocilizumabu </w:t>
      </w:r>
      <w:r w:rsidRPr="00F13073">
        <w:rPr>
          <w:rStyle w:val="Char"/>
        </w:rPr>
        <w:t>w dawce 8</w:t>
      </w:r>
      <w:r w:rsidR="004328D2" w:rsidRPr="00F13073">
        <w:rPr>
          <w:rStyle w:val="Char"/>
        </w:rPr>
        <w:t> </w:t>
      </w:r>
      <w:r w:rsidRPr="00F13073">
        <w:rPr>
          <w:rStyle w:val="Char"/>
        </w:rPr>
        <w:t xml:space="preserve">mg/kg mc. w skojarzeniu z lekami z grupy DMARD wynosiła 127 zdarzeń na 100 pacjentolat w porównaniu do 112 zdarzeń na 100 pacjentolat w przypadku podawania placebo w skojarzeniu z lekami z grupy DMARD. W populacji z długookresową ekspozycją na tocilizumab całkowita częstość zakażeń podczas leczenia </w:t>
      </w:r>
      <w:r w:rsidR="001A4571" w:rsidRPr="00F13073">
        <w:rPr>
          <w:rStyle w:val="Char"/>
        </w:rPr>
        <w:t xml:space="preserve">tocilizumabem </w:t>
      </w:r>
      <w:r w:rsidRPr="00F13073">
        <w:rPr>
          <w:rStyle w:val="Char"/>
        </w:rPr>
        <w:t>wynosiła 108 zdarzeń na 100 pacjentolat ekspozycji.</w:t>
      </w:r>
    </w:p>
    <w:p w14:paraId="4BFF077B" w14:textId="77777777" w:rsidR="00646611" w:rsidRPr="00F13073" w:rsidRDefault="00646611" w:rsidP="008B4C50">
      <w:pPr>
        <w:pStyle w:val="a4"/>
        <w:widowControl/>
        <w:spacing w:after="0"/>
      </w:pPr>
    </w:p>
    <w:p w14:paraId="11CEE643" w14:textId="2408C212" w:rsidR="00646611" w:rsidRPr="00F13073" w:rsidRDefault="00646611" w:rsidP="008B4C50">
      <w:pPr>
        <w:pStyle w:val="a4"/>
        <w:widowControl/>
        <w:spacing w:after="0"/>
        <w:rPr>
          <w:rStyle w:val="Char"/>
        </w:rPr>
      </w:pPr>
      <w:r w:rsidRPr="00F13073">
        <w:rPr>
          <w:rStyle w:val="Char"/>
        </w:rPr>
        <w:t xml:space="preserve">W 6-miesięcznych kontrolowanych badaniach klinicznych częstość ciężkich zakażeń podczas stosowania </w:t>
      </w:r>
      <w:r w:rsidR="001A4571" w:rsidRPr="00F13073">
        <w:rPr>
          <w:rStyle w:val="Char"/>
        </w:rPr>
        <w:t xml:space="preserve">tocilizumabu </w:t>
      </w:r>
      <w:r w:rsidRPr="00F13073">
        <w:rPr>
          <w:rStyle w:val="Char"/>
        </w:rPr>
        <w:t xml:space="preserve">w dawce 8 mg/kg mc. razem z lekami z grupy DMARD wynosiła 5,3 zdarzeń na 100 pacjentolat ekspozycji w porównaniu do 3,9 zdarzeń na 100 pacjentolat ekspozycji w przypadku podawania placebo w skojarzeniu z lekami z grupy DMARD. W badaniu, w trakcie którego podawano leki w monoterapii, częstość ciężkich zakażeń wynosiła 3,6 zdarzeń na 100 pacjentolat ekspozycji w grupie przyjmującej </w:t>
      </w:r>
      <w:r w:rsidR="001A4571" w:rsidRPr="00F13073">
        <w:rPr>
          <w:rStyle w:val="Char"/>
        </w:rPr>
        <w:t>tocilizumab</w:t>
      </w:r>
      <w:r w:rsidR="001A4571" w:rsidRPr="00F13073" w:rsidDel="001A4571">
        <w:rPr>
          <w:rStyle w:val="Char"/>
        </w:rPr>
        <w:t xml:space="preserve"> </w:t>
      </w:r>
      <w:r w:rsidRPr="00F13073">
        <w:rPr>
          <w:rStyle w:val="Char"/>
        </w:rPr>
        <w:t>i 1,5 zdarzeń na 100 pacjentolat ekspozycji w grupie otrzymującej metotreksat.</w:t>
      </w:r>
    </w:p>
    <w:p w14:paraId="49644406" w14:textId="77777777" w:rsidR="00646611" w:rsidRPr="00F13073" w:rsidRDefault="00646611" w:rsidP="008B4C50">
      <w:pPr>
        <w:pStyle w:val="a4"/>
        <w:widowControl/>
        <w:spacing w:after="0"/>
      </w:pPr>
    </w:p>
    <w:p w14:paraId="7AC38F6D" w14:textId="77777777" w:rsidR="00295264" w:rsidRPr="00F13073" w:rsidRDefault="00646611" w:rsidP="008B4C50">
      <w:pPr>
        <w:pStyle w:val="a4"/>
        <w:widowControl/>
        <w:spacing w:after="0"/>
        <w:rPr>
          <w:rStyle w:val="Char"/>
        </w:rPr>
      </w:pPr>
      <w:r w:rsidRPr="00F13073">
        <w:rPr>
          <w:rStyle w:val="Char"/>
        </w:rPr>
        <w:t xml:space="preserve">W populacji z długookresową ekspozycją na tocilizumab całkowita częstość ciężkich zakażeń (bakteryjnych, wirusowych i grzybiczych) wyniosła 4,7 zdarzeń na 100 pacjentolat. Zgłoszone ciężkie zakażenia, niektóre zakończone zgonem, obejmowały czynną gruźlicę, która może obejmować płuca lub być zlokalizowana poza płucami, inwazyjne zakażenia płuc, w tym kandydozę, grzybicę kropidlakową, kokcydioidomykozę i zakażenie </w:t>
      </w:r>
      <w:r w:rsidRPr="00F13073">
        <w:rPr>
          <w:rStyle w:val="Char"/>
          <w:i/>
          <w:iCs/>
        </w:rPr>
        <w:t>pneumocystis jirovecii</w:t>
      </w:r>
      <w:r w:rsidRPr="00F13073">
        <w:rPr>
          <w:rStyle w:val="Char"/>
        </w:rPr>
        <w:t xml:space="preserve">, zapalenie płuc, zapalenie podskórnej tkanki łącznej, półpasiec, zapalenie błony śluzowej żołądka i jelit, zapalenie uchyłków jelita, sepsę i bakteryjne zapalenie stawów. </w:t>
      </w:r>
    </w:p>
    <w:p w14:paraId="11F4CDFF" w14:textId="77777777" w:rsidR="00295264" w:rsidRPr="00F13073" w:rsidRDefault="00295264" w:rsidP="008B4C50">
      <w:pPr>
        <w:pStyle w:val="a4"/>
        <w:widowControl/>
        <w:spacing w:after="0"/>
        <w:rPr>
          <w:rStyle w:val="Char"/>
        </w:rPr>
      </w:pPr>
    </w:p>
    <w:p w14:paraId="2692700D" w14:textId="0F6E3506" w:rsidR="00646611" w:rsidRPr="00F13073" w:rsidRDefault="00646611" w:rsidP="008B4C50">
      <w:pPr>
        <w:pStyle w:val="a4"/>
        <w:widowControl/>
        <w:spacing w:after="0"/>
        <w:rPr>
          <w:rStyle w:val="Char"/>
        </w:rPr>
      </w:pPr>
      <w:r w:rsidRPr="00F13073">
        <w:rPr>
          <w:rStyle w:val="Char"/>
        </w:rPr>
        <w:t>Zgłaszano również przypadki zakażeń oportunistycznych.</w:t>
      </w:r>
    </w:p>
    <w:p w14:paraId="5AE15C57" w14:textId="77777777" w:rsidR="00646611" w:rsidRPr="00F13073" w:rsidRDefault="00646611" w:rsidP="008B4C50">
      <w:pPr>
        <w:pStyle w:val="a4"/>
        <w:widowControl/>
        <w:spacing w:after="0"/>
      </w:pPr>
    </w:p>
    <w:p w14:paraId="12A06999" w14:textId="77777777" w:rsidR="00646611" w:rsidRPr="00F13073" w:rsidRDefault="00646611" w:rsidP="003D0523">
      <w:pPr>
        <w:pStyle w:val="a4"/>
        <w:keepNext/>
        <w:keepLines/>
        <w:widowControl/>
        <w:spacing w:after="0"/>
      </w:pPr>
      <w:r w:rsidRPr="00F13073">
        <w:rPr>
          <w:rStyle w:val="Char"/>
          <w:i/>
          <w:iCs/>
        </w:rPr>
        <w:t>Choroba śródmiąższowa płuc</w:t>
      </w:r>
    </w:p>
    <w:p w14:paraId="2EFFCCF4" w14:textId="77777777" w:rsidR="00646611" w:rsidRPr="00F13073" w:rsidRDefault="00646611" w:rsidP="008B4C50">
      <w:pPr>
        <w:pStyle w:val="a4"/>
        <w:widowControl/>
        <w:spacing w:after="0"/>
        <w:rPr>
          <w:rStyle w:val="Char"/>
        </w:rPr>
      </w:pPr>
      <w:r w:rsidRPr="00F13073">
        <w:rPr>
          <w:rStyle w:val="Char"/>
        </w:rPr>
        <w:t>Zaburzona czynność płuc może zwiększać ryzyko rozwoju zakażeń. Po wprowadzeniu leku do obrotu zgłaszano przypadki śródmiąższowej choroby płuc (w tym zapalenie płuc i zwłóknienie płuc), które w niektórych przypadkach zakończyły się zgonem.</w:t>
      </w:r>
    </w:p>
    <w:p w14:paraId="2666733A" w14:textId="77777777" w:rsidR="00646611" w:rsidRPr="00F13073" w:rsidRDefault="00646611" w:rsidP="008B4C50">
      <w:pPr>
        <w:pStyle w:val="a4"/>
        <w:widowControl/>
        <w:spacing w:after="0"/>
      </w:pPr>
    </w:p>
    <w:p w14:paraId="435F2F98" w14:textId="77777777" w:rsidR="00646611" w:rsidRPr="00F13073" w:rsidRDefault="00646611" w:rsidP="008B4C50">
      <w:pPr>
        <w:pStyle w:val="a4"/>
        <w:widowControl/>
        <w:spacing w:after="0"/>
      </w:pPr>
      <w:r w:rsidRPr="00F13073">
        <w:rPr>
          <w:rStyle w:val="Char"/>
          <w:i/>
          <w:iCs/>
        </w:rPr>
        <w:t>Perforacja przewodu pokarmowego</w:t>
      </w:r>
    </w:p>
    <w:p w14:paraId="35B1A48C" w14:textId="3BA15601" w:rsidR="00646611" w:rsidRPr="00F13073" w:rsidRDefault="00646611" w:rsidP="008B4C50">
      <w:pPr>
        <w:pStyle w:val="a4"/>
        <w:widowControl/>
        <w:spacing w:after="0"/>
        <w:rPr>
          <w:rStyle w:val="Char"/>
        </w:rPr>
      </w:pPr>
      <w:r w:rsidRPr="00F13073">
        <w:rPr>
          <w:rStyle w:val="Char"/>
        </w:rPr>
        <w:t xml:space="preserve">W trakcie 6-miesięcznych kontrolowanych badań klinicznych całkowita częstość perforacji przewodu pokarmowego u leczonych </w:t>
      </w:r>
      <w:r w:rsidR="001A4571" w:rsidRPr="00F13073">
        <w:rPr>
          <w:rStyle w:val="Char"/>
        </w:rPr>
        <w:t xml:space="preserve">tocilizumabem </w:t>
      </w:r>
      <w:r w:rsidRPr="00F13073">
        <w:rPr>
          <w:rStyle w:val="Char"/>
        </w:rPr>
        <w:t xml:space="preserve">wynosiła 0,26 na 100 pacjentolat. W populacji z długookresową ekspozycją na tocilizumab całkowita częstość perforacji przewodu pokarmowego wynosiła 0,28 na 100 pacjentolat. Przypadki perforacji przewodu pokarmowego u pacjentów leczonych </w:t>
      </w:r>
      <w:r w:rsidR="001A4571" w:rsidRPr="00F13073">
        <w:rPr>
          <w:rStyle w:val="Char"/>
        </w:rPr>
        <w:t xml:space="preserve">tocilizumabem </w:t>
      </w:r>
      <w:r w:rsidRPr="00F13073">
        <w:rPr>
          <w:rStyle w:val="Char"/>
        </w:rPr>
        <w:t>pierwotnie zgłaszano jako powikłania zapalenia uchyłków jelita, włączając uogólnione ropne zapalenie otrzewnej, perforację w obrębie dolnego odcinka przewodu pokarmowego, przetokę i ropień.</w:t>
      </w:r>
    </w:p>
    <w:p w14:paraId="7B026FE3" w14:textId="77777777" w:rsidR="00646611" w:rsidRPr="00F13073" w:rsidRDefault="00646611" w:rsidP="008B4C50">
      <w:pPr>
        <w:pStyle w:val="a4"/>
        <w:widowControl/>
        <w:spacing w:after="0"/>
      </w:pPr>
    </w:p>
    <w:p w14:paraId="278B6049" w14:textId="77777777" w:rsidR="00646611" w:rsidRPr="00F13073" w:rsidRDefault="00646611" w:rsidP="008B4C50">
      <w:pPr>
        <w:pStyle w:val="a4"/>
        <w:widowControl/>
        <w:spacing w:after="0"/>
      </w:pPr>
      <w:r w:rsidRPr="00F13073">
        <w:rPr>
          <w:rStyle w:val="Char"/>
          <w:i/>
          <w:iCs/>
        </w:rPr>
        <w:t>Reakcje związane z infuzją</w:t>
      </w:r>
    </w:p>
    <w:p w14:paraId="28F99E12" w14:textId="685FE14B" w:rsidR="00646611" w:rsidRPr="00F13073" w:rsidRDefault="00646611" w:rsidP="008B4C50">
      <w:pPr>
        <w:pStyle w:val="a4"/>
        <w:widowControl/>
        <w:spacing w:after="0"/>
        <w:rPr>
          <w:rStyle w:val="Char"/>
        </w:rPr>
      </w:pPr>
      <w:r w:rsidRPr="00F13073">
        <w:rPr>
          <w:rStyle w:val="Char"/>
        </w:rPr>
        <w:t xml:space="preserve">W 6-miesięcznych kontrolowanych badaniach klinicznych zdarzenia niepożądane związane z infuzją (wybrane zdarzenia występujące podczas lub w ciągu 24 godzin od wlewu preparatu) zgłoszono u 6,9% pacjentów przyjmujących </w:t>
      </w:r>
      <w:r w:rsidR="001A4571" w:rsidRPr="00F13073">
        <w:rPr>
          <w:rStyle w:val="Char"/>
        </w:rPr>
        <w:t>tocilizumab</w:t>
      </w:r>
      <w:r w:rsidR="001A4571" w:rsidRPr="00F13073" w:rsidDel="001A4571">
        <w:rPr>
          <w:rStyle w:val="Char"/>
        </w:rPr>
        <w:t xml:space="preserve"> </w:t>
      </w:r>
      <w:r w:rsidRPr="00F13073">
        <w:rPr>
          <w:rStyle w:val="Char"/>
        </w:rPr>
        <w:t>w dawce 8 mg/kg mc. w skojarzeniu z lekami z grupy DMARD i u 5,1% pacjentów otrzymujących placebo w skojarzeniu z lekiem z grupy DMARD. Zdarzenia zgłaszane w trakcie podawania wlewu dożylnego obejmowały głównie epizody nadciśnienia; zdarzenia zgłaszane w ciągu 24 godzin od zakończenia podawania wlewu obejmowały ból głowy i reakcje skórne (wysypka, pokrzywka). Zdarzenia te nie wymagały zmiany leczenia.</w:t>
      </w:r>
    </w:p>
    <w:p w14:paraId="0B31F24F" w14:textId="77777777" w:rsidR="00646611" w:rsidRPr="00F13073" w:rsidRDefault="00646611" w:rsidP="008B4C50">
      <w:pPr>
        <w:pStyle w:val="a4"/>
        <w:widowControl/>
        <w:spacing w:after="0"/>
      </w:pPr>
    </w:p>
    <w:p w14:paraId="1629650B" w14:textId="69496503" w:rsidR="00646611" w:rsidRPr="00F13073" w:rsidRDefault="00646611" w:rsidP="008B4C50">
      <w:pPr>
        <w:pStyle w:val="a4"/>
        <w:widowControl/>
        <w:spacing w:after="0"/>
        <w:rPr>
          <w:rStyle w:val="Char"/>
        </w:rPr>
      </w:pPr>
      <w:r w:rsidRPr="00F13073">
        <w:rPr>
          <w:rStyle w:val="Char"/>
        </w:rPr>
        <w:t xml:space="preserve">Częstość reakcji anafilaktycznych (które wystąpiły ogółem u 8 na 4009 pacjentów, 0,2%) była kilkakrotnie wyższa w przypadku dawki 4 mg/kg mc. w porównaniu do dawki 8 mg/kg mc. Klinicznie istotne reakcje nadwrażliwości związane z podawaniem </w:t>
      </w:r>
      <w:r w:rsidR="00210377" w:rsidRPr="00F13073">
        <w:rPr>
          <w:rStyle w:val="Char"/>
        </w:rPr>
        <w:t xml:space="preserve">tocilizumabu </w:t>
      </w:r>
      <w:r w:rsidRPr="00F13073">
        <w:rPr>
          <w:rStyle w:val="Char"/>
        </w:rPr>
        <w:t xml:space="preserve">i wymagające przerwania podawania leku zgłoszono ogółem u 56 na 4009 pacjentów (1,4%) leczonych </w:t>
      </w:r>
      <w:r w:rsidR="00210377" w:rsidRPr="00F13073">
        <w:rPr>
          <w:rStyle w:val="Char"/>
        </w:rPr>
        <w:t xml:space="preserve">tocilizumabem </w:t>
      </w:r>
      <w:r w:rsidRPr="00F13073">
        <w:rPr>
          <w:rStyle w:val="Char"/>
        </w:rPr>
        <w:t xml:space="preserve">w ramach badań klinicznych kontrolowanych i otwartych. Reakcje te zazwyczaj obserwowano podczas drugiego do piątego wlewu dożylnego </w:t>
      </w:r>
      <w:r w:rsidR="00210377" w:rsidRPr="00F13073">
        <w:rPr>
          <w:rStyle w:val="Char"/>
        </w:rPr>
        <w:t xml:space="preserve">tocilizumabu </w:t>
      </w:r>
      <w:r w:rsidRPr="00F13073">
        <w:rPr>
          <w:rStyle w:val="Char"/>
        </w:rPr>
        <w:t xml:space="preserve">(patrz punkt 4.4). Po uzyskaniu pozwolenia na dopuszczenie do obrotu zgłaszano występowanie śmiertelnych przypadków anafilaksji w czasie leczenia z dożylnym podawaniem </w:t>
      </w:r>
      <w:r w:rsidR="00210377" w:rsidRPr="00F13073">
        <w:rPr>
          <w:rStyle w:val="Char"/>
        </w:rPr>
        <w:t xml:space="preserve">tocilizumabu </w:t>
      </w:r>
      <w:r w:rsidRPr="00F13073">
        <w:rPr>
          <w:rStyle w:val="Char"/>
        </w:rPr>
        <w:t>(patrz punkt 4.4).</w:t>
      </w:r>
    </w:p>
    <w:p w14:paraId="7F2051E5" w14:textId="77777777" w:rsidR="00646611" w:rsidRPr="00F13073" w:rsidRDefault="00646611" w:rsidP="008B4C50">
      <w:pPr>
        <w:pStyle w:val="a4"/>
        <w:widowControl/>
        <w:spacing w:after="0"/>
      </w:pPr>
    </w:p>
    <w:p w14:paraId="15F2C391" w14:textId="77777777" w:rsidR="00646611" w:rsidRPr="00F13073" w:rsidRDefault="00646611" w:rsidP="00823E33">
      <w:pPr>
        <w:pStyle w:val="a4"/>
        <w:keepNext/>
        <w:widowControl/>
        <w:spacing w:after="0"/>
      </w:pPr>
      <w:r w:rsidRPr="00F13073">
        <w:rPr>
          <w:rStyle w:val="Char"/>
          <w:i/>
          <w:iCs/>
        </w:rPr>
        <w:t>Nieprawidłowości hematologiczne:</w:t>
      </w:r>
    </w:p>
    <w:p w14:paraId="1D455171" w14:textId="77777777" w:rsidR="00646611" w:rsidRPr="00F13073" w:rsidRDefault="00646611" w:rsidP="00823E33">
      <w:pPr>
        <w:pStyle w:val="a4"/>
        <w:keepNext/>
        <w:widowControl/>
        <w:spacing w:after="0"/>
      </w:pPr>
      <w:r w:rsidRPr="00F13073">
        <w:rPr>
          <w:rStyle w:val="Char"/>
          <w:i/>
          <w:iCs/>
        </w:rPr>
        <w:t>Granulocyty obojętnochłonne</w:t>
      </w:r>
    </w:p>
    <w:p w14:paraId="075225A2" w14:textId="18A37BA7" w:rsidR="00646611" w:rsidRPr="00F13073" w:rsidRDefault="00646611" w:rsidP="008B4C50">
      <w:pPr>
        <w:pStyle w:val="a4"/>
        <w:widowControl/>
        <w:spacing w:after="0"/>
        <w:rPr>
          <w:rStyle w:val="Char"/>
        </w:rPr>
      </w:pPr>
      <w:r w:rsidRPr="00F13073">
        <w:rPr>
          <w:rStyle w:val="Char"/>
        </w:rPr>
        <w:t>W 6-miesięcznych kontrolowanych badaniach klinicznych zmniejszenie liczby granulocytów obojętnochłonnych poniżej 1 x 10</w:t>
      </w:r>
      <w:r w:rsidRPr="00F13073">
        <w:rPr>
          <w:rStyle w:val="Char"/>
          <w:vertAlign w:val="superscript"/>
        </w:rPr>
        <w:t>9</w:t>
      </w:r>
      <w:r w:rsidRPr="00F13073">
        <w:rPr>
          <w:rStyle w:val="Char"/>
        </w:rPr>
        <w:t xml:space="preserve">/l wystąpiło u 3,4% pacjentów otrzymujących </w:t>
      </w:r>
      <w:r w:rsidR="00C42090" w:rsidRPr="00F13073">
        <w:rPr>
          <w:rStyle w:val="Char"/>
        </w:rPr>
        <w:t>tocilizumab</w:t>
      </w:r>
      <w:r w:rsidRPr="00F13073">
        <w:rPr>
          <w:rStyle w:val="Char"/>
        </w:rPr>
        <w:t xml:space="preserve"> w dawce 8 mg/kg mc. w skojarzeniu z lekami z grupy DMARD w porównaniu do &lt; 0,1% chorych przyjmujących placebo razem z lekami z grupy DMARD. U około połowy pacjentów, u których ANC wynosiła &lt; 1 x 10</w:t>
      </w:r>
      <w:r w:rsidRPr="00F13073">
        <w:rPr>
          <w:rStyle w:val="Char"/>
          <w:vertAlign w:val="superscript"/>
        </w:rPr>
        <w:t>9</w:t>
      </w:r>
      <w:r w:rsidRPr="00F13073">
        <w:rPr>
          <w:rStyle w:val="Char"/>
        </w:rPr>
        <w:t>/l, zaburzenie to wystąpiło w ciągu 8 tygodni od rozpoczęcia leczenia. Zmniejszenie liczby granulocytów obojętnochłonnych poniżej 0,5 x 10</w:t>
      </w:r>
      <w:r w:rsidRPr="00F13073">
        <w:rPr>
          <w:rStyle w:val="Char"/>
          <w:vertAlign w:val="superscript"/>
        </w:rPr>
        <w:t>9</w:t>
      </w:r>
      <w:r w:rsidRPr="00F13073">
        <w:rPr>
          <w:rStyle w:val="Char"/>
        </w:rPr>
        <w:t xml:space="preserve">/l zgłoszono u 0,3% chorych otrzymujących </w:t>
      </w:r>
      <w:r w:rsidR="00C42090" w:rsidRPr="00F13073">
        <w:rPr>
          <w:rStyle w:val="Char"/>
        </w:rPr>
        <w:t>tocilizumab</w:t>
      </w:r>
      <w:r w:rsidR="00C42090" w:rsidRPr="00F13073" w:rsidDel="00C42090">
        <w:rPr>
          <w:rStyle w:val="Char"/>
        </w:rPr>
        <w:t xml:space="preserve"> </w:t>
      </w:r>
      <w:r w:rsidRPr="00F13073">
        <w:rPr>
          <w:rStyle w:val="Char"/>
        </w:rPr>
        <w:t>w dawce 8 mg/kg mc. w skojarzeniu z lekiem z grupy DMARD. Zgłaszano przypadki zakażeń z neutropenią.</w:t>
      </w:r>
    </w:p>
    <w:p w14:paraId="757A7990" w14:textId="77777777" w:rsidR="00646611" w:rsidRPr="00F13073" w:rsidRDefault="00646611" w:rsidP="008B4C50">
      <w:pPr>
        <w:pStyle w:val="a4"/>
        <w:widowControl/>
        <w:spacing w:after="0"/>
      </w:pPr>
    </w:p>
    <w:p w14:paraId="76966E9D" w14:textId="77777777" w:rsidR="00646611" w:rsidRPr="00F13073" w:rsidRDefault="00646611"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zmniejszenia liczby granulocytów obojętnochłonnych była zgodna z danymi, które zgłoszono w 6-miesięcznych kontrolowanych badaniach klinicznych.</w:t>
      </w:r>
    </w:p>
    <w:p w14:paraId="041E6D0F" w14:textId="77777777" w:rsidR="00646611" w:rsidRPr="00F13073" w:rsidRDefault="00646611" w:rsidP="008B4C50">
      <w:pPr>
        <w:pStyle w:val="a4"/>
        <w:widowControl/>
        <w:spacing w:after="0"/>
      </w:pPr>
    </w:p>
    <w:p w14:paraId="1E4A7AD8" w14:textId="77777777" w:rsidR="00646611" w:rsidRPr="00F13073" w:rsidRDefault="00646611" w:rsidP="003D0523">
      <w:pPr>
        <w:pStyle w:val="a4"/>
        <w:keepNext/>
        <w:keepLines/>
        <w:widowControl/>
        <w:spacing w:after="0"/>
      </w:pPr>
      <w:r w:rsidRPr="00F13073">
        <w:rPr>
          <w:rStyle w:val="Char"/>
          <w:i/>
          <w:iCs/>
        </w:rPr>
        <w:t>Płytki krwi</w:t>
      </w:r>
    </w:p>
    <w:p w14:paraId="2A577242" w14:textId="46F57403" w:rsidR="00646611" w:rsidRPr="00F13073" w:rsidRDefault="00646611" w:rsidP="004328D2">
      <w:pPr>
        <w:pStyle w:val="a4"/>
        <w:widowControl/>
        <w:spacing w:after="0"/>
        <w:rPr>
          <w:rStyle w:val="Char"/>
        </w:rPr>
      </w:pPr>
      <w:r w:rsidRPr="00F13073">
        <w:rPr>
          <w:rStyle w:val="Char"/>
        </w:rPr>
        <w:t>W 6-miesięcznych kontrolowanych badaniach klinicznych zmniejszenie liczby płytek krwi poniżej 100</w:t>
      </w:r>
      <w:r w:rsidR="004328D2" w:rsidRPr="00F13073">
        <w:rPr>
          <w:rStyle w:val="Char"/>
        </w:rPr>
        <w:t> </w:t>
      </w:r>
      <w:r w:rsidRPr="00F13073">
        <w:rPr>
          <w:rStyle w:val="Char"/>
        </w:rPr>
        <w:t>x 10</w:t>
      </w:r>
      <w:r w:rsidRPr="00F13073">
        <w:rPr>
          <w:rStyle w:val="Char"/>
          <w:vertAlign w:val="superscript"/>
        </w:rPr>
        <w:t>3</w:t>
      </w:r>
      <w:r w:rsidRPr="00F13073">
        <w:rPr>
          <w:rStyle w:val="Char"/>
        </w:rPr>
        <w:t xml:space="preserve">/μL wystąpiło u 1,7% pacjentów otrzymujących </w:t>
      </w:r>
      <w:r w:rsidR="00C42090" w:rsidRPr="00F13073">
        <w:rPr>
          <w:rStyle w:val="Char"/>
        </w:rPr>
        <w:t>tocilizumab</w:t>
      </w:r>
      <w:r w:rsidR="00C42090" w:rsidRPr="00F13073" w:rsidDel="00C42090">
        <w:rPr>
          <w:rStyle w:val="Char"/>
        </w:rPr>
        <w:t xml:space="preserve"> </w:t>
      </w:r>
      <w:r w:rsidRPr="00F13073">
        <w:rPr>
          <w:rStyle w:val="Char"/>
        </w:rPr>
        <w:t>w dawce 8</w:t>
      </w:r>
      <w:r w:rsidR="00B07F2A" w:rsidRPr="00F13073">
        <w:rPr>
          <w:rStyle w:val="Char"/>
        </w:rPr>
        <w:t> </w:t>
      </w:r>
      <w:r w:rsidRPr="00F13073">
        <w:rPr>
          <w:rStyle w:val="Char"/>
        </w:rPr>
        <w:t>mg/kg mc. w skojarzeniu z lekiem z grupy DMARD w porównaniu do &lt; 1% chorych przyjmujących placebo razem z lekiem z grupy DMARD. Zmniejszeniom liczby płytek krwi nie towarzyszyły krwawienia.</w:t>
      </w:r>
    </w:p>
    <w:p w14:paraId="77C713E2" w14:textId="77777777" w:rsidR="00646611" w:rsidRPr="00F13073" w:rsidRDefault="00646611" w:rsidP="008B4C50">
      <w:pPr>
        <w:pStyle w:val="a4"/>
        <w:widowControl/>
        <w:spacing w:after="0"/>
      </w:pPr>
    </w:p>
    <w:p w14:paraId="2B52B100" w14:textId="77777777" w:rsidR="00646611" w:rsidRPr="00F13073" w:rsidRDefault="00646611"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zmniejszenia liczby płytek krwi były zgodne z danymi, które zgłoszono w 6-miesięcznych kontrolowanych badaniach klinicznych.</w:t>
      </w:r>
    </w:p>
    <w:p w14:paraId="1E5D160F" w14:textId="77777777" w:rsidR="00646611" w:rsidRPr="00F13073" w:rsidRDefault="00646611" w:rsidP="008B4C50">
      <w:pPr>
        <w:pStyle w:val="a4"/>
        <w:widowControl/>
        <w:spacing w:after="0"/>
      </w:pPr>
    </w:p>
    <w:p w14:paraId="7423F4BE" w14:textId="77777777" w:rsidR="00646611" w:rsidRPr="00F13073" w:rsidRDefault="00646611" w:rsidP="008B4C50">
      <w:pPr>
        <w:pStyle w:val="a4"/>
        <w:widowControl/>
        <w:spacing w:after="0"/>
        <w:rPr>
          <w:rStyle w:val="Char"/>
        </w:rPr>
      </w:pPr>
      <w:r w:rsidRPr="00F13073">
        <w:rPr>
          <w:rStyle w:val="Char"/>
        </w:rPr>
        <w:t>Zgłaszano bardzo rzadkie przypadki pancytopenii po dopuszczeniu leku do obrotu.</w:t>
      </w:r>
    </w:p>
    <w:p w14:paraId="22711F2D" w14:textId="77777777" w:rsidR="00646611" w:rsidRPr="00F13073" w:rsidRDefault="00646611" w:rsidP="008B4C50">
      <w:pPr>
        <w:pStyle w:val="a4"/>
        <w:widowControl/>
        <w:spacing w:after="0"/>
      </w:pPr>
    </w:p>
    <w:p w14:paraId="68C5C874" w14:textId="77777777" w:rsidR="00646611" w:rsidRPr="00F13073" w:rsidRDefault="00646611" w:rsidP="008B4C50">
      <w:pPr>
        <w:pStyle w:val="a4"/>
        <w:widowControl/>
        <w:spacing w:after="0"/>
      </w:pPr>
      <w:r w:rsidRPr="00F13073">
        <w:rPr>
          <w:rStyle w:val="Char"/>
          <w:i/>
          <w:iCs/>
        </w:rPr>
        <w:t>Zwiększenie aktywności aminotransferaz wątrobowych</w:t>
      </w:r>
    </w:p>
    <w:p w14:paraId="06A7F272" w14:textId="378CDAC8" w:rsidR="00646611" w:rsidRPr="00F13073" w:rsidRDefault="00646611" w:rsidP="008B4C50">
      <w:pPr>
        <w:pStyle w:val="a4"/>
        <w:widowControl/>
        <w:spacing w:after="0"/>
        <w:rPr>
          <w:rStyle w:val="Char"/>
        </w:rPr>
      </w:pPr>
      <w:r w:rsidRPr="00F13073">
        <w:rPr>
          <w:rStyle w:val="Char"/>
        </w:rPr>
        <w:lastRenderedPageBreak/>
        <w:t xml:space="preserve">W 6-miesięcznych kontrolowanych badaniach klinicznych przejściowe zwiększenie aktywności AlAT/AspAT &gt; 3 x górnej granicy normy (GGN) obserwowano u 2,1% pacjentów otrzymujących </w:t>
      </w:r>
      <w:r w:rsidR="00C42090" w:rsidRPr="00F13073">
        <w:rPr>
          <w:rStyle w:val="Char"/>
        </w:rPr>
        <w:t>tocilizumab</w:t>
      </w:r>
      <w:r w:rsidR="00C42090" w:rsidRPr="00F13073" w:rsidDel="00C42090">
        <w:rPr>
          <w:rStyle w:val="Char"/>
        </w:rPr>
        <w:t xml:space="preserve"> </w:t>
      </w:r>
      <w:r w:rsidRPr="00F13073">
        <w:rPr>
          <w:rStyle w:val="Char"/>
        </w:rPr>
        <w:t xml:space="preserve">w dawce 8 mg/kg mc. w porównaniu do 4,9% chorych przyjmujących metotreksat i u 6,5% pacjentów otrzymujących </w:t>
      </w:r>
      <w:r w:rsidR="00C42090" w:rsidRPr="00F13073">
        <w:rPr>
          <w:rStyle w:val="Char"/>
        </w:rPr>
        <w:t>tocilizumab</w:t>
      </w:r>
      <w:r w:rsidR="00C42090" w:rsidRPr="00F13073" w:rsidDel="00C42090">
        <w:rPr>
          <w:rStyle w:val="Char"/>
        </w:rPr>
        <w:t xml:space="preserve"> </w:t>
      </w:r>
      <w:r w:rsidRPr="00F13073">
        <w:rPr>
          <w:rStyle w:val="Char"/>
        </w:rPr>
        <w:t>w dawce 8 mg/kg mc. w skojarzeniu z DMARD w porównaniu do 1,5% u chorych przyjmujących placebo w skojarzeniu z DMARD.</w:t>
      </w:r>
    </w:p>
    <w:p w14:paraId="740CACE5" w14:textId="77777777" w:rsidR="00646611" w:rsidRPr="00F13073" w:rsidRDefault="00646611" w:rsidP="008B4C50">
      <w:pPr>
        <w:pStyle w:val="a4"/>
        <w:widowControl/>
        <w:spacing w:after="0"/>
      </w:pPr>
    </w:p>
    <w:p w14:paraId="2551B0D9" w14:textId="09C11F8A" w:rsidR="00646611" w:rsidRPr="00F13073" w:rsidRDefault="00646611" w:rsidP="004328D2">
      <w:pPr>
        <w:pStyle w:val="a4"/>
        <w:widowControl/>
        <w:spacing w:after="0"/>
        <w:rPr>
          <w:rStyle w:val="Char"/>
        </w:rPr>
      </w:pPr>
      <w:r w:rsidRPr="00F13073">
        <w:rPr>
          <w:rStyle w:val="Char"/>
        </w:rPr>
        <w:t xml:space="preserve">Dołączenie leków potencjalnie hepatotoksycznych (np. metotreksatu) do </w:t>
      </w:r>
      <w:r w:rsidR="00C42090" w:rsidRPr="00F13073">
        <w:rPr>
          <w:rStyle w:val="Char"/>
        </w:rPr>
        <w:t>tocilizumabu</w:t>
      </w:r>
      <w:r w:rsidRPr="00F13073">
        <w:rPr>
          <w:rStyle w:val="Char"/>
        </w:rPr>
        <w:t xml:space="preserve"> podawanego w monoterapii powodowało zwiększenie częstości występowania wzrostów aktywności enzymów wątrobowych. Zwiększenie aktywności AlAT/AspAT &gt; 5 x GGN stwierdzono u 0,7% pacjentów otrzymujących </w:t>
      </w:r>
      <w:r w:rsidR="00C42090" w:rsidRPr="00F13073">
        <w:rPr>
          <w:rStyle w:val="Char"/>
        </w:rPr>
        <w:t>tocilizumab</w:t>
      </w:r>
      <w:r w:rsidR="00C42090" w:rsidRPr="00F13073" w:rsidDel="00C42090">
        <w:rPr>
          <w:rStyle w:val="Char"/>
        </w:rPr>
        <w:t xml:space="preserve"> </w:t>
      </w:r>
      <w:r w:rsidRPr="00F13073">
        <w:rPr>
          <w:rStyle w:val="Char"/>
        </w:rPr>
        <w:t xml:space="preserve">w monoterapii oraz u 1,4% pacjentów przyjmujących </w:t>
      </w:r>
      <w:r w:rsidR="00C42090" w:rsidRPr="00F13073">
        <w:rPr>
          <w:rStyle w:val="Char"/>
        </w:rPr>
        <w:t>tocilizumab</w:t>
      </w:r>
      <w:r w:rsidR="00C42090" w:rsidRPr="00F13073" w:rsidDel="00C42090">
        <w:rPr>
          <w:rStyle w:val="Char"/>
        </w:rPr>
        <w:t xml:space="preserve"> </w:t>
      </w:r>
      <w:r w:rsidRPr="00F13073">
        <w:rPr>
          <w:rStyle w:val="Char"/>
        </w:rPr>
        <w:t xml:space="preserve">w skojarzeniu z DMARD, przy czym u większości z tych chorych na stałe przerwano leczenie </w:t>
      </w:r>
      <w:r w:rsidR="00C42090" w:rsidRPr="00F13073">
        <w:rPr>
          <w:rStyle w:val="Char"/>
        </w:rPr>
        <w:t>tocilizumabem</w:t>
      </w:r>
      <w:r w:rsidRPr="00F13073">
        <w:rPr>
          <w:rStyle w:val="Char"/>
        </w:rPr>
        <w:t xml:space="preserve">. W okresie kontrolowanego badania z podwójnie ślepą próbą, częstość występowania zwiększonego stężenia bilirubiny pośredniej powyżej górnej granicy normy, ocenionej podczas rutynowego monitorowania parametrów laboratoryjnych wynosiła 6,2% u pacjentów otrzymujących </w:t>
      </w:r>
      <w:r w:rsidR="00C42090" w:rsidRPr="00F13073">
        <w:rPr>
          <w:rStyle w:val="Char"/>
        </w:rPr>
        <w:t>tocilizumab</w:t>
      </w:r>
      <w:r w:rsidR="00C42090" w:rsidRPr="00F13073" w:rsidDel="00C42090">
        <w:rPr>
          <w:rStyle w:val="Char"/>
        </w:rPr>
        <w:t xml:space="preserve"> </w:t>
      </w:r>
      <w:r w:rsidRPr="00F13073">
        <w:rPr>
          <w:rStyle w:val="Char"/>
        </w:rPr>
        <w:t>w dawce 8 mg/kg mc w skojarzeniu z DMARD. Całkowita częstość występowania zwiększenia stężenia bilirubiny pośredniej &gt;</w:t>
      </w:r>
      <w:r w:rsidR="004328D2" w:rsidRPr="00F13073">
        <w:rPr>
          <w:rStyle w:val="Char"/>
        </w:rPr>
        <w:t> </w:t>
      </w:r>
      <w:r w:rsidRPr="00F13073">
        <w:rPr>
          <w:rStyle w:val="Char"/>
        </w:rPr>
        <w:t>1 do 2 x GGN wynosiła 5,8%, natomiast u 0,4% pacjentów odnotowano zwiększenie stężenia bilirubiny pośredniej &gt; 2 x GGN.</w:t>
      </w:r>
    </w:p>
    <w:p w14:paraId="49FA3EC9" w14:textId="77777777" w:rsidR="00646611" w:rsidRPr="00F13073" w:rsidRDefault="00646611" w:rsidP="008B4C50">
      <w:pPr>
        <w:pStyle w:val="a4"/>
        <w:widowControl/>
        <w:spacing w:after="0"/>
      </w:pPr>
    </w:p>
    <w:p w14:paraId="20478993" w14:textId="77777777" w:rsidR="00646611" w:rsidRPr="00F13073" w:rsidRDefault="00646611"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zwiększonej aktywności AlAT/AspAT były zgodne z danymi, które zgłoszono w 6-miesięcznych kontrolowanych badaniach klinicznych.</w:t>
      </w:r>
    </w:p>
    <w:p w14:paraId="73759D19" w14:textId="77777777" w:rsidR="00646611" w:rsidRPr="00F13073" w:rsidRDefault="00646611" w:rsidP="008B4C50">
      <w:pPr>
        <w:pStyle w:val="a4"/>
        <w:widowControl/>
        <w:spacing w:after="0"/>
      </w:pPr>
    </w:p>
    <w:p w14:paraId="0218B9FA" w14:textId="77777777" w:rsidR="00646611" w:rsidRPr="00F13073" w:rsidRDefault="00646611" w:rsidP="008B4C50">
      <w:pPr>
        <w:pStyle w:val="a4"/>
        <w:widowControl/>
        <w:spacing w:after="0"/>
      </w:pPr>
      <w:r w:rsidRPr="00F13073">
        <w:rPr>
          <w:rStyle w:val="Char"/>
          <w:i/>
          <w:iCs/>
        </w:rPr>
        <w:t>Parametry gospodarki lipidowej</w:t>
      </w:r>
    </w:p>
    <w:p w14:paraId="09A362E5" w14:textId="31FA9A4B" w:rsidR="00646611" w:rsidRPr="00F13073" w:rsidRDefault="00646611" w:rsidP="008B4C50">
      <w:pPr>
        <w:pStyle w:val="a4"/>
        <w:widowControl/>
        <w:spacing w:after="0"/>
        <w:rPr>
          <w:rStyle w:val="Char"/>
        </w:rPr>
      </w:pPr>
      <w:r w:rsidRPr="00F13073">
        <w:rPr>
          <w:rStyle w:val="Char"/>
        </w:rPr>
        <w:t xml:space="preserve">W trakcie 6-miesięcznych kontrolowanych badań klinicznych często zgłaszano zwiększenie wartości parametrów gospodarki lipidowej obejmujące: stężenie cholesterolu całkowitego, trójglicerydów, cholesterolu LDL i (lub) cholesterolu HDL. Na podstawie rutynowego monitorowania laboratoryjnego u około 24% pacjentów przyjmujących </w:t>
      </w:r>
      <w:r w:rsidR="00C42090" w:rsidRPr="00F13073">
        <w:rPr>
          <w:rStyle w:val="Char"/>
        </w:rPr>
        <w:t>tocilizumab</w:t>
      </w:r>
      <w:r w:rsidR="00C42090" w:rsidRPr="00F13073" w:rsidDel="00C42090">
        <w:rPr>
          <w:rStyle w:val="Char"/>
        </w:rPr>
        <w:t xml:space="preserve"> </w:t>
      </w:r>
      <w:r w:rsidRPr="00F13073">
        <w:rPr>
          <w:rStyle w:val="Char"/>
        </w:rPr>
        <w:t>w badaniach klinicznych obserwowano utrzymujące się zwiększenie wartości cholesterolu całkowitego ≥ 6,2 mmol/l, a u 15% chorych obserwowano utrzymujące się zwiększenie wartości LDL ≥ 4,1 mmol/l. Zwiększone stężenia parametrów lipidowych ulegały normalizacji po wdrożeniu leczenia obniżającego stężenia lipidów.</w:t>
      </w:r>
    </w:p>
    <w:p w14:paraId="5C15B213" w14:textId="77777777" w:rsidR="00646611" w:rsidRPr="00F13073" w:rsidRDefault="00646611" w:rsidP="008B4C50">
      <w:pPr>
        <w:pStyle w:val="a4"/>
        <w:widowControl/>
        <w:spacing w:after="0"/>
      </w:pPr>
    </w:p>
    <w:p w14:paraId="475D6D4B" w14:textId="77777777" w:rsidR="00646611" w:rsidRPr="00F13073" w:rsidRDefault="00646611" w:rsidP="008B4C50">
      <w:pPr>
        <w:pStyle w:val="a4"/>
        <w:widowControl/>
        <w:spacing w:after="0"/>
        <w:rPr>
          <w:rStyle w:val="Char"/>
        </w:rPr>
      </w:pPr>
      <w:r w:rsidRPr="00F13073">
        <w:rPr>
          <w:rStyle w:val="Char"/>
        </w:rPr>
        <w:t>W trakcie kontrolowanych badań klinicznych z podwójnie ślepą próbą i w trakcie długookresowego leczenia, sposób oraz częstość występowania zwiększonych wartości parametrów lipidowych była zgodna z danymi uzyskanymi w 6-miesięcznych kontrolowanych badaniach klinicznych.</w:t>
      </w:r>
    </w:p>
    <w:p w14:paraId="66369E1A" w14:textId="77777777" w:rsidR="00646611" w:rsidRPr="00F13073" w:rsidRDefault="00646611" w:rsidP="008B4C50">
      <w:pPr>
        <w:pStyle w:val="a4"/>
        <w:widowControl/>
        <w:spacing w:after="0"/>
      </w:pPr>
    </w:p>
    <w:p w14:paraId="585C2CB3" w14:textId="77777777" w:rsidR="00646611" w:rsidRPr="00F13073" w:rsidRDefault="00646611" w:rsidP="008B4C50">
      <w:pPr>
        <w:pStyle w:val="a4"/>
        <w:widowControl/>
        <w:spacing w:after="0"/>
      </w:pPr>
      <w:r w:rsidRPr="00F13073">
        <w:rPr>
          <w:rStyle w:val="Char"/>
          <w:i/>
          <w:iCs/>
        </w:rPr>
        <w:t>Złośliwe procesy nowotworowe</w:t>
      </w:r>
    </w:p>
    <w:p w14:paraId="632BC663" w14:textId="2C145529" w:rsidR="00646611" w:rsidRPr="00F13073" w:rsidRDefault="00646611" w:rsidP="008B4C50">
      <w:pPr>
        <w:pStyle w:val="a4"/>
        <w:widowControl/>
        <w:spacing w:after="0"/>
        <w:rPr>
          <w:rStyle w:val="Char"/>
        </w:rPr>
      </w:pPr>
      <w:r w:rsidRPr="00F13073">
        <w:rPr>
          <w:rStyle w:val="Char"/>
        </w:rPr>
        <w:t xml:space="preserve">Dane kliniczne są niewystarczające do oceny potencjalnej częstości występowania nowotworów złośliwych w następstwie ekspozycji na </w:t>
      </w:r>
      <w:r w:rsidR="00635137" w:rsidRPr="00F13073">
        <w:rPr>
          <w:rStyle w:val="Char"/>
        </w:rPr>
        <w:t>tocilizumab</w:t>
      </w:r>
      <w:r w:rsidRPr="00F13073">
        <w:rPr>
          <w:rStyle w:val="Char"/>
        </w:rPr>
        <w:t>. Trwają długoterminowe badania oceniające bezpieczeństwo tocilizumabu.</w:t>
      </w:r>
    </w:p>
    <w:p w14:paraId="2166AB5E" w14:textId="77777777" w:rsidR="00646611" w:rsidRPr="00F13073" w:rsidRDefault="00646611" w:rsidP="008B4C50">
      <w:pPr>
        <w:pStyle w:val="a4"/>
        <w:widowControl/>
        <w:spacing w:after="0"/>
      </w:pPr>
    </w:p>
    <w:p w14:paraId="7AC90219" w14:textId="77777777" w:rsidR="00646611" w:rsidRPr="00F13073" w:rsidRDefault="00646611" w:rsidP="003D0523">
      <w:pPr>
        <w:pStyle w:val="a4"/>
        <w:keepNext/>
        <w:keepLines/>
        <w:widowControl/>
        <w:spacing w:after="0"/>
      </w:pPr>
      <w:r w:rsidRPr="00F13073">
        <w:rPr>
          <w:rStyle w:val="Char"/>
          <w:i/>
          <w:iCs/>
        </w:rPr>
        <w:t>Reakcje skórne</w:t>
      </w:r>
    </w:p>
    <w:p w14:paraId="0C6267D4" w14:textId="77777777" w:rsidR="00646611" w:rsidRPr="00F13073" w:rsidRDefault="00646611" w:rsidP="008B4C50">
      <w:pPr>
        <w:pStyle w:val="a4"/>
        <w:widowControl/>
        <w:spacing w:after="0"/>
      </w:pPr>
      <w:r w:rsidRPr="00F13073">
        <w:rPr>
          <w:rStyle w:val="Char"/>
        </w:rPr>
        <w:t>Rzadko zgłaszano przypadki występowania zespołu Stevensa-Johnsona po dopuszczeniu produktu leczniczego do obrotu.</w:t>
      </w:r>
    </w:p>
    <w:p w14:paraId="3635F57A" w14:textId="77777777" w:rsidR="00435562" w:rsidRPr="00F13073" w:rsidRDefault="00435562" w:rsidP="008B4C50"/>
    <w:p w14:paraId="02CB8A96" w14:textId="77777777" w:rsidR="007558A3" w:rsidRPr="00F13073" w:rsidRDefault="007558A3" w:rsidP="007558A3">
      <w:pPr>
        <w:pStyle w:val="a4"/>
        <w:widowControl/>
        <w:spacing w:after="0"/>
        <w:rPr>
          <w:rStyle w:val="Char"/>
          <w:u w:val="single"/>
        </w:rPr>
      </w:pPr>
      <w:r w:rsidRPr="00F13073">
        <w:rPr>
          <w:rStyle w:val="Char"/>
          <w:u w:val="single"/>
        </w:rPr>
        <w:t>Immunogenność</w:t>
      </w:r>
    </w:p>
    <w:p w14:paraId="5590506B" w14:textId="6BC2220A" w:rsidR="007558A3" w:rsidRPr="00F13073" w:rsidRDefault="007558A3" w:rsidP="007558A3">
      <w:pPr>
        <w:pStyle w:val="a4"/>
        <w:widowControl/>
        <w:spacing w:after="0"/>
        <w:rPr>
          <w:rStyle w:val="Char"/>
        </w:rPr>
      </w:pPr>
      <w:r w:rsidRPr="00F13073">
        <w:rPr>
          <w:rStyle w:val="Char"/>
        </w:rPr>
        <w:t xml:space="preserve">Podczas leczenia tocilizumabem mogą wytworzyć się przeciwciała przeciwko tocilizumabowi. Można zaobserwować </w:t>
      </w:r>
      <w:r w:rsidR="00485C8C" w:rsidRPr="00F13073">
        <w:rPr>
          <w:rStyle w:val="Char"/>
        </w:rPr>
        <w:t>zależność</w:t>
      </w:r>
      <w:r w:rsidRPr="00F13073">
        <w:rPr>
          <w:rStyle w:val="Char"/>
        </w:rPr>
        <w:t xml:space="preserve"> między wytwarzaniem przeciwciał a odpowiedzią kliniczną lub zdarzeniami niepożądanymi.</w:t>
      </w:r>
    </w:p>
    <w:p w14:paraId="6D6B6A86" w14:textId="77777777" w:rsidR="007558A3" w:rsidRPr="00F13073" w:rsidRDefault="007558A3" w:rsidP="008B4C50"/>
    <w:p w14:paraId="4F170B68" w14:textId="77777777" w:rsidR="00696135" w:rsidRPr="00F13073" w:rsidRDefault="00696135" w:rsidP="008B4C50">
      <w:pPr>
        <w:pStyle w:val="a4"/>
        <w:widowControl/>
        <w:spacing w:after="0"/>
      </w:pPr>
      <w:r w:rsidRPr="00F13073">
        <w:rPr>
          <w:rStyle w:val="Char"/>
          <w:u w:val="single"/>
        </w:rPr>
        <w:t>Zgłaszanie podejrzewanych działań niepożądanych</w:t>
      </w:r>
    </w:p>
    <w:p w14:paraId="421D7690" w14:textId="77777777" w:rsidR="001E0975" w:rsidRPr="00F13073" w:rsidRDefault="00696135" w:rsidP="008B4C50">
      <w:r w:rsidRPr="00F13073">
        <w:rPr>
          <w:rStyle w:val="Char"/>
          <w:rFonts w:eastAsia="DengXi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rStyle w:val="Char"/>
          <w:rFonts w:eastAsia="DengXian"/>
          <w:highlight w:val="lightGray"/>
        </w:rPr>
        <w:t>krajowego systemu zgłaszania wymienionego w</w:t>
      </w:r>
      <w:r w:rsidR="00435562">
        <w:rPr>
          <w:highlight w:val="lightGray"/>
        </w:rPr>
        <w:t xml:space="preserve"> </w:t>
      </w:r>
      <w:hyperlink r:id="rId15" w:history="1">
        <w:r>
          <w:rPr>
            <w:rStyle w:val="a7"/>
            <w:highlight w:val="lightGray"/>
          </w:rPr>
          <w:t>załączniku V</w:t>
        </w:r>
      </w:hyperlink>
      <w:r w:rsidR="00435562" w:rsidRPr="00F13073">
        <w:t>.</w:t>
      </w:r>
    </w:p>
    <w:p w14:paraId="7F5A4DB9" w14:textId="77777777" w:rsidR="00435562" w:rsidRPr="00F13073" w:rsidRDefault="00435562" w:rsidP="008B4C50"/>
    <w:p w14:paraId="4664A320" w14:textId="77777777" w:rsidR="001E0975" w:rsidRPr="00F13073" w:rsidRDefault="001721B1" w:rsidP="008B4C50">
      <w:pPr>
        <w:keepNext/>
        <w:ind w:left="567" w:hanging="567"/>
        <w:rPr>
          <w:b/>
          <w:bCs/>
        </w:rPr>
      </w:pPr>
      <w:r w:rsidRPr="00F13073">
        <w:rPr>
          <w:b/>
          <w:bCs/>
        </w:rPr>
        <w:lastRenderedPageBreak/>
        <w:t>4.9</w:t>
      </w:r>
      <w:r w:rsidRPr="00F13073">
        <w:rPr>
          <w:b/>
          <w:bCs/>
        </w:rPr>
        <w:tab/>
      </w:r>
      <w:r w:rsidR="00A94859" w:rsidRPr="00F13073">
        <w:rPr>
          <w:rStyle w:val="Char"/>
          <w:rFonts w:eastAsia="DengXian"/>
          <w:b/>
          <w:bCs/>
        </w:rPr>
        <w:t>Przedawkowanie</w:t>
      </w:r>
    </w:p>
    <w:p w14:paraId="1DD2D247" w14:textId="77777777" w:rsidR="001324C9" w:rsidRPr="00F13073" w:rsidRDefault="001324C9" w:rsidP="008B4C50">
      <w:pPr>
        <w:pStyle w:val="a4"/>
        <w:widowControl/>
        <w:spacing w:after="0"/>
      </w:pPr>
    </w:p>
    <w:p w14:paraId="3BD9A47E" w14:textId="228FAFC9" w:rsidR="001324C9" w:rsidRPr="00F13073" w:rsidRDefault="001324C9" w:rsidP="008B4C50">
      <w:pPr>
        <w:pStyle w:val="a4"/>
        <w:widowControl/>
        <w:spacing w:after="0"/>
        <w:rPr>
          <w:rStyle w:val="Char"/>
        </w:rPr>
      </w:pPr>
      <w:r w:rsidRPr="00F13073">
        <w:rPr>
          <w:rStyle w:val="Char"/>
        </w:rPr>
        <w:t xml:space="preserve">Dostępne dane dotyczące przedawkowania </w:t>
      </w:r>
      <w:r w:rsidR="00635137" w:rsidRPr="00F13073">
        <w:rPr>
          <w:rStyle w:val="Char"/>
        </w:rPr>
        <w:t xml:space="preserve">tocilizumabu </w:t>
      </w:r>
      <w:r w:rsidRPr="00F13073">
        <w:rPr>
          <w:rStyle w:val="Char"/>
        </w:rPr>
        <w:t>są ograniczone. Zgłoszono jedno zdarzenie przypadkowego przedawkowania, w którym chory ze szpiczakiem mnogim otrzymał dożylnie pojedynczą dawkę w wysokości 40 mg/kg mc. Nie zaobserwowano żadnych działań niepożądanych.</w:t>
      </w:r>
    </w:p>
    <w:p w14:paraId="2788402E" w14:textId="77777777" w:rsidR="00A94859" w:rsidRPr="00F13073" w:rsidRDefault="00A94859" w:rsidP="008B4C50">
      <w:pPr>
        <w:pStyle w:val="a4"/>
        <w:widowControl/>
        <w:spacing w:after="0"/>
      </w:pPr>
    </w:p>
    <w:p w14:paraId="3112E659" w14:textId="77777777" w:rsidR="001324C9" w:rsidRPr="00F13073" w:rsidRDefault="001324C9" w:rsidP="008B4C50">
      <w:pPr>
        <w:pStyle w:val="a4"/>
        <w:widowControl/>
        <w:spacing w:after="0"/>
        <w:rPr>
          <w:rStyle w:val="Char"/>
        </w:rPr>
      </w:pPr>
      <w:r w:rsidRPr="00F13073">
        <w:rPr>
          <w:rStyle w:val="Char"/>
        </w:rPr>
        <w:t>U zdrowych ochotników, którzy otrzymali pojedynczą dawkę w wysokości do 28 mg/kg mc. nie zaobserwowano ciężkich działań niepożądanych, aczkolwiek wystąpiła neutropenia wymagająca zmniejszenia dawki leczniczej.</w:t>
      </w:r>
    </w:p>
    <w:p w14:paraId="3D1BC2AB" w14:textId="77777777" w:rsidR="00A94859" w:rsidRPr="00F13073" w:rsidRDefault="00A94859" w:rsidP="008B4C50">
      <w:pPr>
        <w:pStyle w:val="a4"/>
        <w:widowControl/>
        <w:spacing w:after="0"/>
        <w:rPr>
          <w:rStyle w:val="Char"/>
        </w:rPr>
      </w:pPr>
    </w:p>
    <w:p w14:paraId="6D07E7E5" w14:textId="77777777" w:rsidR="00A94859" w:rsidRPr="00F13073" w:rsidRDefault="00A94859" w:rsidP="008B4C50">
      <w:pPr>
        <w:pStyle w:val="a4"/>
        <w:widowControl/>
        <w:spacing w:after="0"/>
      </w:pPr>
    </w:p>
    <w:p w14:paraId="63582ADC" w14:textId="77777777" w:rsidR="001324C9" w:rsidRPr="00F13073" w:rsidRDefault="001324C9" w:rsidP="008B4C50">
      <w:pPr>
        <w:keepNext/>
        <w:ind w:left="567" w:hanging="567"/>
      </w:pPr>
      <w:r w:rsidRPr="00F13073">
        <w:rPr>
          <w:rStyle w:val="Char"/>
          <w:rFonts w:eastAsia="DengXian"/>
          <w:b/>
          <w:bCs/>
        </w:rPr>
        <w:t>5.</w:t>
      </w:r>
      <w:r w:rsidR="00A94859" w:rsidRPr="00F13073">
        <w:rPr>
          <w:rStyle w:val="Char"/>
          <w:rFonts w:eastAsia="DengXian"/>
          <w:b/>
          <w:bCs/>
        </w:rPr>
        <w:tab/>
      </w:r>
      <w:r w:rsidRPr="00F13073">
        <w:rPr>
          <w:rStyle w:val="Char"/>
          <w:rFonts w:eastAsia="DengXian"/>
          <w:b/>
          <w:bCs/>
        </w:rPr>
        <w:t>WŁAŚCIWOŚCI FARMAKOLOGICZNE</w:t>
      </w:r>
    </w:p>
    <w:p w14:paraId="48711EB3" w14:textId="77777777" w:rsidR="00A94859" w:rsidRPr="00F13073" w:rsidRDefault="00A94859" w:rsidP="008B4C50">
      <w:pPr>
        <w:pStyle w:val="a4"/>
        <w:widowControl/>
        <w:spacing w:after="0"/>
        <w:rPr>
          <w:rStyle w:val="Char"/>
          <w:b/>
          <w:bCs/>
        </w:rPr>
      </w:pPr>
    </w:p>
    <w:p w14:paraId="36B39EA2" w14:textId="77777777" w:rsidR="001324C9" w:rsidRPr="00F13073" w:rsidRDefault="001324C9" w:rsidP="008B4C50">
      <w:pPr>
        <w:keepNext/>
        <w:ind w:left="567" w:hanging="567"/>
      </w:pPr>
      <w:r w:rsidRPr="00F13073">
        <w:rPr>
          <w:rStyle w:val="Char"/>
          <w:rFonts w:eastAsia="DengXian"/>
          <w:b/>
          <w:bCs/>
        </w:rPr>
        <w:t>5.1</w:t>
      </w:r>
      <w:r w:rsidR="00A94859" w:rsidRPr="00F13073">
        <w:rPr>
          <w:rStyle w:val="Char"/>
          <w:rFonts w:eastAsia="DengXian"/>
          <w:b/>
          <w:bCs/>
        </w:rPr>
        <w:tab/>
      </w:r>
      <w:r w:rsidRPr="00F13073">
        <w:rPr>
          <w:rStyle w:val="Char"/>
          <w:rFonts w:eastAsia="DengXian"/>
          <w:b/>
          <w:bCs/>
        </w:rPr>
        <w:t>Właściwości farmakodynamiczne</w:t>
      </w:r>
    </w:p>
    <w:p w14:paraId="23D96C05" w14:textId="77777777" w:rsidR="00A94859" w:rsidRPr="00F13073" w:rsidRDefault="00A94859" w:rsidP="008B4C50">
      <w:pPr>
        <w:pStyle w:val="a4"/>
        <w:widowControl/>
        <w:spacing w:after="0"/>
        <w:rPr>
          <w:rStyle w:val="Char"/>
        </w:rPr>
      </w:pPr>
    </w:p>
    <w:p w14:paraId="6711B403" w14:textId="77777777" w:rsidR="001324C9" w:rsidRPr="00F13073" w:rsidRDefault="001324C9" w:rsidP="008B4C50">
      <w:pPr>
        <w:pStyle w:val="a4"/>
        <w:widowControl/>
        <w:spacing w:after="0"/>
        <w:rPr>
          <w:rStyle w:val="Char"/>
        </w:rPr>
      </w:pPr>
      <w:r w:rsidRPr="00F13073">
        <w:rPr>
          <w:rStyle w:val="Char"/>
        </w:rPr>
        <w:t>Grupa farmakoterapeutyczna: Leki immunosupresyjne, inhibitory interleukin; kod ATC: L04AC07.</w:t>
      </w:r>
    </w:p>
    <w:p w14:paraId="2D33B9C6" w14:textId="77777777" w:rsidR="00A94859" w:rsidRPr="00F13073" w:rsidRDefault="00A94859" w:rsidP="008B4C50">
      <w:pPr>
        <w:pStyle w:val="a4"/>
        <w:widowControl/>
        <w:spacing w:after="0"/>
      </w:pPr>
    </w:p>
    <w:p w14:paraId="4B635435" w14:textId="77777777" w:rsidR="001A297D" w:rsidRPr="00F13073" w:rsidRDefault="001A297D" w:rsidP="001A297D">
      <w:r w:rsidRPr="00F13073">
        <w:t xml:space="preserve">Avtozma jest produktem leczniczym biopodobnym. Szczegółowe informacje są dostępne na stronie internetowej Europejskiej Agencji Leków </w:t>
      </w:r>
      <w:r>
        <w:fldChar w:fldCharType="begin"/>
      </w:r>
      <w:r>
        <w:instrText>HYPERLINK "https://www.ema.europa.eu"</w:instrText>
      </w:r>
      <w:r>
        <w:fldChar w:fldCharType="separate"/>
      </w:r>
      <w:r w:rsidRPr="00F13073">
        <w:rPr>
          <w:rStyle w:val="a7"/>
        </w:rPr>
        <w:t>https://www.ema.europa.eu</w:t>
      </w:r>
      <w:r>
        <w:fldChar w:fldCharType="end"/>
      </w:r>
      <w:r w:rsidRPr="00F13073">
        <w:rPr>
          <w:color w:val="0000FF"/>
        </w:rPr>
        <w:t>.</w:t>
      </w:r>
    </w:p>
    <w:p w14:paraId="2F485883" w14:textId="77777777" w:rsidR="001A297D" w:rsidRPr="00F13073" w:rsidRDefault="001A297D" w:rsidP="008B4C50">
      <w:pPr>
        <w:pStyle w:val="a4"/>
        <w:widowControl/>
        <w:spacing w:after="0"/>
      </w:pPr>
    </w:p>
    <w:p w14:paraId="346A9CE0" w14:textId="77777777" w:rsidR="001324C9" w:rsidRPr="00F13073" w:rsidRDefault="001324C9" w:rsidP="008B4C50">
      <w:pPr>
        <w:pStyle w:val="a4"/>
        <w:widowControl/>
        <w:spacing w:after="0"/>
      </w:pPr>
      <w:r w:rsidRPr="00F13073">
        <w:rPr>
          <w:rStyle w:val="Char"/>
          <w:u w:val="single"/>
        </w:rPr>
        <w:t>Mechanizm działania</w:t>
      </w:r>
    </w:p>
    <w:p w14:paraId="7910FCD6" w14:textId="6C8EB33F" w:rsidR="001324C9" w:rsidRPr="00F13073" w:rsidRDefault="009A5777" w:rsidP="008B4C50">
      <w:pPr>
        <w:pStyle w:val="a4"/>
        <w:widowControl/>
        <w:spacing w:after="0"/>
        <w:rPr>
          <w:rStyle w:val="Char"/>
        </w:rPr>
      </w:pPr>
      <w:r w:rsidRPr="00F13073">
        <w:rPr>
          <w:rStyle w:val="Char"/>
        </w:rPr>
        <w:t>Tocilizumab</w:t>
      </w:r>
      <w:r w:rsidRPr="00F13073" w:rsidDel="009A5777">
        <w:rPr>
          <w:rStyle w:val="Char"/>
        </w:rPr>
        <w:t xml:space="preserve"> </w:t>
      </w:r>
      <w:r w:rsidR="001324C9" w:rsidRPr="00F13073">
        <w:rPr>
          <w:rStyle w:val="Char"/>
        </w:rPr>
        <w:t xml:space="preserve">wiąże się swoiście z receptorami IL-6, zarówno rozpuszczalnymi, jak i związanymi z błonami komórkowymi (sIL-6R i mIL-6R). Wykazano, że </w:t>
      </w:r>
      <w:r w:rsidRPr="00F13073">
        <w:rPr>
          <w:rStyle w:val="Char"/>
        </w:rPr>
        <w:t>tocilizumab</w:t>
      </w:r>
      <w:r w:rsidR="001324C9" w:rsidRPr="00F13073">
        <w:rPr>
          <w:rStyle w:val="Char"/>
        </w:rPr>
        <w:t xml:space="preserve"> hamuje przekazywanie sygnału szlakiem pośredniczonym przez sIL-6R i mIL-6R. IL-6 jest plejotropową cytokiną prozapalną produkowaną przez wiele różnych komórek, w tym limfocyty T i B, monocyty i fibroblasty. IL-6 bierze udział w różnorodnych procesach fizjologicznych, takich jak aktywacja limfocytów T, indukcja wydzielania immunoglobulin, indukcja wytwarzania białek ostrej fazy w wątrobie i stymulacja hematopoezy. IL-6 odgrywa również rolę w patogenezie chorób, w tym chorób zapalnych, osteoporozy i chorób nowotworowych.</w:t>
      </w:r>
    </w:p>
    <w:p w14:paraId="1BC0982D" w14:textId="77777777" w:rsidR="00A94859" w:rsidRPr="00F13073" w:rsidRDefault="00A94859" w:rsidP="008B4C50">
      <w:pPr>
        <w:pStyle w:val="a4"/>
        <w:widowControl/>
        <w:spacing w:after="0"/>
      </w:pPr>
    </w:p>
    <w:p w14:paraId="469AC8B2" w14:textId="77777777" w:rsidR="001324C9" w:rsidRPr="00F13073" w:rsidRDefault="001324C9" w:rsidP="008B4C50">
      <w:pPr>
        <w:pStyle w:val="a4"/>
        <w:widowControl/>
        <w:spacing w:after="0"/>
      </w:pPr>
      <w:r w:rsidRPr="00F13073">
        <w:rPr>
          <w:rStyle w:val="Char"/>
          <w:u w:val="single"/>
        </w:rPr>
        <w:t>Właściwości farmakodynamiczne</w:t>
      </w:r>
    </w:p>
    <w:p w14:paraId="3B12200B" w14:textId="069963DC" w:rsidR="001324C9" w:rsidRPr="00F13073" w:rsidRDefault="001324C9" w:rsidP="008B4C50">
      <w:pPr>
        <w:pStyle w:val="a4"/>
        <w:widowControl/>
        <w:spacing w:after="0"/>
        <w:rPr>
          <w:rStyle w:val="Char"/>
        </w:rPr>
      </w:pPr>
      <w:r w:rsidRPr="00F13073">
        <w:rPr>
          <w:rStyle w:val="Char"/>
        </w:rPr>
        <w:t xml:space="preserve">W badaniach klinicznych nad stosowaniem </w:t>
      </w:r>
      <w:r w:rsidR="00D84444" w:rsidRPr="00F13073">
        <w:rPr>
          <w:rStyle w:val="Char"/>
        </w:rPr>
        <w:t>tocilizumabu</w:t>
      </w:r>
      <w:r w:rsidR="00D84444" w:rsidRPr="00F13073" w:rsidDel="00D84444">
        <w:rPr>
          <w:rStyle w:val="Char"/>
        </w:rPr>
        <w:t xml:space="preserve"> </w:t>
      </w:r>
      <w:r w:rsidRPr="00F13073">
        <w:rPr>
          <w:rStyle w:val="Char"/>
        </w:rPr>
        <w:t xml:space="preserve">w RZS obserwowano szybkie zmniejszenie stężenia białka C-reaktywnego (CRP), szybkości opadania krwinek czerwonych (OB), stężenia surowiczego amyloidu A (SAA) i fibrynogenu. Zgodnie z działaniem na białka ostrej fazy, podawanie </w:t>
      </w:r>
      <w:r w:rsidR="00D84444" w:rsidRPr="00F13073">
        <w:rPr>
          <w:rStyle w:val="Char"/>
        </w:rPr>
        <w:t xml:space="preserve">tocilizumabu </w:t>
      </w:r>
      <w:r w:rsidRPr="00F13073">
        <w:rPr>
          <w:rStyle w:val="Char"/>
        </w:rPr>
        <w:t xml:space="preserve">wiązało się ze zmniejszeniem liczby płytek krwi, przy czym zmniejszenie wartości tego parametru nie przekraczało granic normy. Obserwowano zwiększenie stężenia hemoglobiny, co jest spowodowane osłabieniem przez </w:t>
      </w:r>
      <w:r w:rsidR="00D84444" w:rsidRPr="00F13073">
        <w:rPr>
          <w:rStyle w:val="Char"/>
        </w:rPr>
        <w:t>tocilizumab</w:t>
      </w:r>
      <w:r w:rsidR="00D84444" w:rsidRPr="00F13073" w:rsidDel="00D84444">
        <w:rPr>
          <w:rStyle w:val="Char"/>
        </w:rPr>
        <w:t xml:space="preserve"> </w:t>
      </w:r>
      <w:r w:rsidRPr="00F13073">
        <w:rPr>
          <w:rStyle w:val="Char"/>
        </w:rPr>
        <w:t xml:space="preserve">działania IL-6, stymulującej wytwarzanie hepcydyny, w wyniku czego dochodzi do zwiększenia dostępności żelaza. U chorych leczonych </w:t>
      </w:r>
      <w:r w:rsidR="00D84444" w:rsidRPr="00F13073">
        <w:rPr>
          <w:rStyle w:val="Char"/>
        </w:rPr>
        <w:t>tocilizumabem</w:t>
      </w:r>
      <w:r w:rsidRPr="00F13073">
        <w:rPr>
          <w:rStyle w:val="Char"/>
        </w:rPr>
        <w:t xml:space="preserve"> stężenie CRP ulegało zmniejszeniu do wartości mieszczących się w granicach normy już w drugim tygodniu leczenia i utrzymywało się na tym samym poziomie do końca trwania leczenia.</w:t>
      </w:r>
    </w:p>
    <w:p w14:paraId="4164157F" w14:textId="77777777" w:rsidR="00A94859" w:rsidRPr="00F13073" w:rsidRDefault="00A94859" w:rsidP="008B4C50">
      <w:pPr>
        <w:pStyle w:val="a4"/>
        <w:widowControl/>
        <w:spacing w:after="0"/>
      </w:pPr>
    </w:p>
    <w:p w14:paraId="37997843" w14:textId="75EFBE8F" w:rsidR="001324C9" w:rsidRPr="00F13073" w:rsidRDefault="001324C9" w:rsidP="008B4C50">
      <w:pPr>
        <w:pStyle w:val="a4"/>
        <w:widowControl/>
        <w:spacing w:after="0"/>
        <w:rPr>
          <w:rStyle w:val="Char"/>
        </w:rPr>
      </w:pPr>
      <w:r w:rsidRPr="00F13073">
        <w:rPr>
          <w:rStyle w:val="Char"/>
        </w:rPr>
        <w:t xml:space="preserve">W badaniu klinicznym WA28119 w GCA obserwowano podobne szybkie zmniejszenie stężenia CRP i OB, wraz z niewielkim zwiększeniem średniego stężenia hemoglobiny w erytrocytach. U zdrowych ochotników, którym podano </w:t>
      </w:r>
      <w:r w:rsidR="00D84444" w:rsidRPr="00F13073">
        <w:rPr>
          <w:rStyle w:val="Char"/>
        </w:rPr>
        <w:t>tocilizumab</w:t>
      </w:r>
      <w:r w:rsidR="00D84444" w:rsidRPr="00F13073" w:rsidDel="00D84444">
        <w:rPr>
          <w:rStyle w:val="Char"/>
        </w:rPr>
        <w:t xml:space="preserve"> </w:t>
      </w:r>
      <w:r w:rsidRPr="00F13073">
        <w:rPr>
          <w:rStyle w:val="Char"/>
        </w:rPr>
        <w:t xml:space="preserve">w dawce od 2 do 28 mg/kg mc. dożylnie i 81 do 162 mg podskórnie, 2 do 5 dni po podaniu bezwzględna liczba granulocytów obojętnochłonnych zmniejszyła się do najniższych wartości. Następnie liczba granulocytów obojętnochłonnych zwiększyła się do wartości wyjściowych w sposób zależny od dawki. U chorych zaobserwowano podobny (jak u zdrowych badanych) spadek całkowitej liczby granulocytów obojętnochłonnych po podaniu </w:t>
      </w:r>
      <w:r w:rsidR="00D84444" w:rsidRPr="00F13073">
        <w:rPr>
          <w:rStyle w:val="Char"/>
        </w:rPr>
        <w:t xml:space="preserve">tocilizumabu </w:t>
      </w:r>
      <w:r w:rsidRPr="00F13073">
        <w:rPr>
          <w:rStyle w:val="Char"/>
        </w:rPr>
        <w:t>(patrz punkt 4.8).</w:t>
      </w:r>
    </w:p>
    <w:p w14:paraId="15A774FD" w14:textId="77777777" w:rsidR="00A94859" w:rsidRPr="00F13073" w:rsidRDefault="00A94859" w:rsidP="008B4C50">
      <w:pPr>
        <w:pStyle w:val="a4"/>
        <w:widowControl/>
        <w:spacing w:after="0"/>
      </w:pPr>
    </w:p>
    <w:p w14:paraId="543FCECC" w14:textId="77777777" w:rsidR="001324C9" w:rsidRPr="00F13073" w:rsidRDefault="001324C9" w:rsidP="008B4C50">
      <w:pPr>
        <w:pStyle w:val="a4"/>
        <w:widowControl/>
        <w:spacing w:after="0"/>
        <w:rPr>
          <w:rStyle w:val="Char"/>
          <w:u w:val="single"/>
        </w:rPr>
      </w:pPr>
      <w:r w:rsidRPr="00F13073">
        <w:rPr>
          <w:rStyle w:val="Char"/>
          <w:u w:val="single"/>
        </w:rPr>
        <w:t>Stosowanie podskórne</w:t>
      </w:r>
    </w:p>
    <w:p w14:paraId="2EED4D7D" w14:textId="77777777" w:rsidR="001324C9" w:rsidRPr="00F13073" w:rsidRDefault="001324C9" w:rsidP="008B4C50">
      <w:pPr>
        <w:pStyle w:val="a4"/>
        <w:widowControl/>
        <w:spacing w:after="0"/>
      </w:pPr>
      <w:r w:rsidRPr="00F13073">
        <w:rPr>
          <w:rStyle w:val="Char"/>
          <w:b/>
          <w:bCs/>
          <w:u w:val="single"/>
        </w:rPr>
        <w:t>RZS</w:t>
      </w:r>
    </w:p>
    <w:p w14:paraId="60C28508" w14:textId="77777777" w:rsidR="001324C9" w:rsidRPr="00F13073" w:rsidRDefault="001324C9" w:rsidP="008B4C50">
      <w:pPr>
        <w:pStyle w:val="a4"/>
        <w:widowControl/>
        <w:spacing w:after="0"/>
      </w:pPr>
      <w:r w:rsidRPr="00F13073">
        <w:rPr>
          <w:rStyle w:val="Char"/>
          <w:u w:val="single"/>
        </w:rPr>
        <w:t>Skuteczność kliniczna</w:t>
      </w:r>
    </w:p>
    <w:p w14:paraId="21766ED5" w14:textId="702EC344" w:rsidR="001324C9" w:rsidRPr="00F13073" w:rsidRDefault="001324C9" w:rsidP="008B4C50">
      <w:pPr>
        <w:pStyle w:val="a4"/>
        <w:widowControl/>
        <w:spacing w:after="0"/>
        <w:rPr>
          <w:rStyle w:val="Char"/>
        </w:rPr>
      </w:pPr>
      <w:r w:rsidRPr="00F13073">
        <w:rPr>
          <w:rStyle w:val="Char"/>
        </w:rPr>
        <w:t xml:space="preserve">Skuteczność kliniczną </w:t>
      </w:r>
      <w:r w:rsidR="00074933" w:rsidRPr="00F13073">
        <w:rPr>
          <w:rStyle w:val="Char"/>
        </w:rPr>
        <w:t xml:space="preserve">tocilizumabu </w:t>
      </w:r>
      <w:r w:rsidRPr="00F13073">
        <w:rPr>
          <w:rStyle w:val="Char"/>
        </w:rPr>
        <w:t xml:space="preserve">podawanego podskórnie w zakresie łagodzenia objawów przedmiotowych i podmiotowych RZS oraz odpowiedzi radiologicznej oceniano w dwóch wieloośrodkowych, randomizowanych badaniach kontrolowanych prowadzonych metodą podwójnie ślepej próby. Do udziału w badaniu I (SC-I) kwalifikowani byli pacjenci w wieku powyżej 18 lat z </w:t>
      </w:r>
      <w:r w:rsidRPr="00F13073">
        <w:rPr>
          <w:rStyle w:val="Char"/>
        </w:rPr>
        <w:lastRenderedPageBreak/>
        <w:t>czynnym umiarkowanym lub ciężkim RZS rozpoznanym na podstawie kryteriów ACR i u których wyjściowo stwierdzono co najmniej 4 bolesne i 4 obrzęknięte stawy. Wszyscy pacjenci otrzymali wcześniejsze leczenie z zastosowaniem niebiologicznych leków DMARD. Do udziału w badaniu II (SC-II) kwalifikowani byli pacjenci w wieku powyżej 18 lat z czynnym umiarkowanym lub ciężkim RZS rozpoznanym na podstawie kryteriów ACR i u których wyjściowo stwierdzono co najmniej 8 bolesnych i 6 obrzękniętych stawów.</w:t>
      </w:r>
    </w:p>
    <w:p w14:paraId="57869C92" w14:textId="77777777" w:rsidR="00A94859" w:rsidRPr="00F13073" w:rsidRDefault="00A94859" w:rsidP="008B4C50">
      <w:pPr>
        <w:pStyle w:val="a4"/>
        <w:widowControl/>
        <w:spacing w:after="0"/>
      </w:pPr>
    </w:p>
    <w:p w14:paraId="623179E8" w14:textId="77777777" w:rsidR="001324C9" w:rsidRPr="00F13073" w:rsidRDefault="001324C9" w:rsidP="008B4C50">
      <w:pPr>
        <w:pStyle w:val="a4"/>
        <w:widowControl/>
        <w:spacing w:after="0"/>
        <w:rPr>
          <w:rStyle w:val="Char"/>
        </w:rPr>
      </w:pPr>
      <w:r w:rsidRPr="00F13073">
        <w:rPr>
          <w:rStyle w:val="Char"/>
        </w:rPr>
        <w:t>Przejście z postaci dożylnej, podawanej co 4 tygodnie w dawce 8 mg/kg mc. do podawanej podskórnie raz w tygodniu dawki 162 mg zmienia ekspozycję pacjenta na lek. Zakres ekspozycji zmienia się wraz z masą ciała pacjenta (wzrost u pacjentów o niskiej masie ciała i spadek u pacjentów o dużej masie ciała), ale wynik kliniczny jest spójny z wynikiem obserwowanym u pacjentów leczonych lekiem podawanym dożylnie.</w:t>
      </w:r>
    </w:p>
    <w:p w14:paraId="1F1EB690" w14:textId="77777777" w:rsidR="00A94859" w:rsidRPr="00F13073" w:rsidRDefault="00A94859" w:rsidP="008B4C50">
      <w:pPr>
        <w:pStyle w:val="a4"/>
        <w:widowControl/>
        <w:spacing w:after="0"/>
      </w:pPr>
    </w:p>
    <w:p w14:paraId="784E80C2" w14:textId="77777777" w:rsidR="001324C9" w:rsidRPr="00F13073" w:rsidRDefault="001324C9" w:rsidP="008B4C50">
      <w:pPr>
        <w:pStyle w:val="a4"/>
        <w:widowControl/>
        <w:spacing w:after="0"/>
      </w:pPr>
      <w:r w:rsidRPr="00F13073">
        <w:rPr>
          <w:rStyle w:val="Char"/>
          <w:u w:val="single"/>
        </w:rPr>
        <w:t>Odpowiedź kliniczna</w:t>
      </w:r>
    </w:p>
    <w:p w14:paraId="065BF1F8" w14:textId="28B12A4C" w:rsidR="009B5292" w:rsidRPr="00F13073" w:rsidRDefault="001324C9" w:rsidP="008B4C50">
      <w:pPr>
        <w:pStyle w:val="a4"/>
        <w:widowControl/>
        <w:spacing w:after="0"/>
        <w:rPr>
          <w:rStyle w:val="Char"/>
        </w:rPr>
      </w:pPr>
      <w:r w:rsidRPr="00F13073">
        <w:rPr>
          <w:rStyle w:val="Char"/>
        </w:rPr>
        <w:t>Badanie SC-I oceniało pacjentów z umiarkowanym lub ciężkim czynnym RZS, u których stwierdzono niewystarczającą odpowiedź kliniczną na stosowane dotychczas leczenie przeciwreumatyczne, jednym lub więcej lekami z grupy DMARD, gdzie u około 20% pacjentów w wywiadzie stwierdzono niewystarczającą odpowiedź na leczenie przynajmniej jednym inhibitorem TNF. W badaniu SC-I</w:t>
      </w:r>
      <w:r w:rsidR="00A94859" w:rsidRPr="00F13073">
        <w:rPr>
          <w:rStyle w:val="Char"/>
        </w:rPr>
        <w:t xml:space="preserve"> </w:t>
      </w:r>
      <w:r w:rsidRPr="00F13073">
        <w:rPr>
          <w:rStyle w:val="Char"/>
          <w:lang w:eastAsia="el-GR"/>
        </w:rPr>
        <w:t xml:space="preserve">1262 </w:t>
      </w:r>
      <w:r w:rsidRPr="00F13073">
        <w:rPr>
          <w:rStyle w:val="Char"/>
        </w:rPr>
        <w:t xml:space="preserve">pacjentów zostało losowo przydzielonych w stosunku 1:1 do grup otrzymujących </w:t>
      </w:r>
      <w:r w:rsidR="00074933" w:rsidRPr="00F13073">
        <w:rPr>
          <w:rStyle w:val="Char"/>
        </w:rPr>
        <w:t>tocilizumab</w:t>
      </w:r>
      <w:r w:rsidRPr="00F13073">
        <w:rPr>
          <w:rStyle w:val="Char"/>
        </w:rPr>
        <w:t xml:space="preserve"> w dawce 162 mg podskórnie raz w tygodniu lub </w:t>
      </w:r>
      <w:r w:rsidR="00074933" w:rsidRPr="00F13073">
        <w:rPr>
          <w:rStyle w:val="Char"/>
        </w:rPr>
        <w:t>tocilizumab</w:t>
      </w:r>
      <w:r w:rsidRPr="00F13073">
        <w:rPr>
          <w:rStyle w:val="Char"/>
        </w:rPr>
        <w:t xml:space="preserve"> w dawce 8 mg/kg mc. dożylnie podawany co cztery tygodnie w skojarzeniu z niebiologicznymi lekami z grupy DMARD. Pierwszorzędowym punktem końcowym w badaniu była różnica odsetka pacjentów, u których uzyskano odpowiedź na leczenie według kryterium ACR20 po 24 tygodniach. </w:t>
      </w:r>
    </w:p>
    <w:p w14:paraId="0C49455D" w14:textId="77777777" w:rsidR="009B5292" w:rsidRPr="00F13073" w:rsidRDefault="009B5292" w:rsidP="008B4C50">
      <w:pPr>
        <w:pStyle w:val="a4"/>
        <w:widowControl/>
        <w:spacing w:after="0"/>
        <w:rPr>
          <w:rStyle w:val="Char"/>
        </w:rPr>
      </w:pPr>
    </w:p>
    <w:p w14:paraId="76AE997F" w14:textId="4DC4A70C" w:rsidR="001324C9" w:rsidRPr="00F13073" w:rsidRDefault="001324C9" w:rsidP="008B4C50">
      <w:pPr>
        <w:pStyle w:val="a4"/>
        <w:widowControl/>
        <w:spacing w:after="0"/>
        <w:rPr>
          <w:rStyle w:val="Char"/>
        </w:rPr>
      </w:pPr>
      <w:r w:rsidRPr="00F13073">
        <w:rPr>
          <w:rStyle w:val="Char"/>
        </w:rPr>
        <w:t>Wyniki z badania SC-I pokazano w Tabeli 2.</w:t>
      </w:r>
    </w:p>
    <w:p w14:paraId="23438344" w14:textId="77777777" w:rsidR="001324C9" w:rsidRPr="00F13073" w:rsidRDefault="001324C9" w:rsidP="008B4C50">
      <w:pPr>
        <w:pStyle w:val="a4"/>
        <w:widowControl/>
        <w:spacing w:after="0"/>
      </w:pPr>
    </w:p>
    <w:p w14:paraId="700F915B" w14:textId="4EB441A1" w:rsidR="001E0975" w:rsidRPr="00F13073" w:rsidRDefault="00611033" w:rsidP="008B4C50">
      <w:pPr>
        <w:keepNext/>
        <w:ind w:left="1134" w:hanging="1134"/>
        <w:rPr>
          <w:i/>
          <w:iCs/>
        </w:rPr>
      </w:pPr>
      <w:r w:rsidRPr="00F13073">
        <w:rPr>
          <w:i/>
          <w:iCs/>
        </w:rPr>
        <w:t>Tab</w:t>
      </w:r>
      <w:r w:rsidR="00FE2B44" w:rsidRPr="00F13073">
        <w:rPr>
          <w:i/>
          <w:iCs/>
        </w:rPr>
        <w:t>e</w:t>
      </w:r>
      <w:r w:rsidRPr="00F13073">
        <w:rPr>
          <w:i/>
          <w:iCs/>
        </w:rPr>
        <w:t>l</w:t>
      </w:r>
      <w:r w:rsidR="00FE2B44" w:rsidRPr="00F13073">
        <w:rPr>
          <w:i/>
          <w:iCs/>
        </w:rPr>
        <w:t>a</w:t>
      </w:r>
      <w:r w:rsidRPr="00F13073">
        <w:rPr>
          <w:i/>
          <w:iCs/>
        </w:rPr>
        <w:t xml:space="preserve"> 2.</w:t>
      </w:r>
      <w:r w:rsidR="00435562" w:rsidRPr="00F13073">
        <w:rPr>
          <w:i/>
          <w:iCs/>
        </w:rPr>
        <w:tab/>
      </w:r>
      <w:r w:rsidR="00FE2B44" w:rsidRPr="00F13073">
        <w:rPr>
          <w:rStyle w:val="Char"/>
          <w:rFonts w:eastAsia="DengXian"/>
          <w:i/>
          <w:iCs/>
        </w:rPr>
        <w:t>Odpowiedzi ACR w badaniu SC-I w 24. tygodniu (%</w:t>
      </w:r>
      <w:r w:rsidR="003D0523" w:rsidRPr="00F13073">
        <w:rPr>
          <w:rStyle w:val="Char"/>
          <w:rFonts w:eastAsia="DengXian"/>
          <w:i/>
          <w:iCs/>
        </w:rPr>
        <w:t xml:space="preserve"> </w:t>
      </w:r>
      <w:r w:rsidR="00FE2B44" w:rsidRPr="00F13073">
        <w:rPr>
          <w:rStyle w:val="Char"/>
          <w:rFonts w:eastAsia="DengXian"/>
          <w:i/>
          <w:iCs/>
        </w:rPr>
        <w:t>pacjentów)</w:t>
      </w:r>
    </w:p>
    <w:p w14:paraId="20483F1B" w14:textId="77777777" w:rsidR="00435562" w:rsidRPr="00F13073" w:rsidRDefault="00435562" w:rsidP="008B4C50">
      <w:pPr>
        <w:keepNext/>
        <w:ind w:left="1134" w:hanging="1134"/>
        <w:rPr>
          <w:i/>
          <w:iCs/>
        </w:rPr>
      </w:pPr>
    </w:p>
    <w:tbl>
      <w:tblPr>
        <w:tblOverlap w:val="never"/>
        <w:tblW w:w="9100" w:type="dxa"/>
        <w:tblInd w:w="108" w:type="dxa"/>
        <w:tblLayout w:type="fixed"/>
        <w:tblCellMar>
          <w:top w:w="28" w:type="dxa"/>
          <w:bottom w:w="28" w:type="dxa"/>
        </w:tblCellMar>
        <w:tblLook w:val="04A0" w:firstRow="1" w:lastRow="0" w:firstColumn="1" w:lastColumn="0" w:noHBand="0" w:noVBand="1"/>
      </w:tblPr>
      <w:tblGrid>
        <w:gridCol w:w="3062"/>
        <w:gridCol w:w="2846"/>
        <w:gridCol w:w="3192"/>
      </w:tblGrid>
      <w:tr w:rsidR="00FE2B44" w:rsidRPr="00F13073" w14:paraId="2ACD3A42" w14:textId="77777777" w:rsidTr="004328D2">
        <w:trPr>
          <w:cantSplit/>
          <w:tblHeader/>
        </w:trPr>
        <w:tc>
          <w:tcPr>
            <w:tcW w:w="3062" w:type="dxa"/>
            <w:tcBorders>
              <w:top w:val="single" w:sz="4" w:space="0" w:color="auto"/>
              <w:left w:val="single" w:sz="4" w:space="0" w:color="auto"/>
            </w:tcBorders>
          </w:tcPr>
          <w:p w14:paraId="0EA9A9C8" w14:textId="77777777" w:rsidR="00FE2B44" w:rsidRPr="00F13073" w:rsidRDefault="00FE2B44" w:rsidP="008B4C50">
            <w:pPr>
              <w:keepNext/>
              <w:suppressAutoHyphens/>
            </w:pPr>
          </w:p>
        </w:tc>
        <w:tc>
          <w:tcPr>
            <w:tcW w:w="6038" w:type="dxa"/>
            <w:gridSpan w:val="2"/>
            <w:tcBorders>
              <w:top w:val="single" w:sz="4" w:space="0" w:color="auto"/>
              <w:left w:val="single" w:sz="4" w:space="0" w:color="auto"/>
              <w:right w:val="single" w:sz="4" w:space="0" w:color="auto"/>
            </w:tcBorders>
          </w:tcPr>
          <w:p w14:paraId="1DE30F43" w14:textId="77777777" w:rsidR="00FE2B44" w:rsidRPr="00F13073" w:rsidRDefault="00FE2B44" w:rsidP="00B85CFA">
            <w:pPr>
              <w:keepNext/>
              <w:suppressAutoHyphens/>
              <w:jc w:val="center"/>
            </w:pPr>
            <w:r w:rsidRPr="00F13073">
              <w:t>SC-I</w:t>
            </w:r>
            <w:r w:rsidRPr="00F13073">
              <w:rPr>
                <w:vertAlign w:val="superscript"/>
              </w:rPr>
              <w:t>a</w:t>
            </w:r>
          </w:p>
        </w:tc>
      </w:tr>
      <w:tr w:rsidR="00FE2B44" w:rsidRPr="00F13073" w14:paraId="0E52301F" w14:textId="77777777" w:rsidTr="004328D2">
        <w:trPr>
          <w:cantSplit/>
          <w:tblHeader/>
        </w:trPr>
        <w:tc>
          <w:tcPr>
            <w:tcW w:w="3062" w:type="dxa"/>
            <w:tcBorders>
              <w:top w:val="single" w:sz="4" w:space="0" w:color="auto"/>
              <w:left w:val="single" w:sz="4" w:space="0" w:color="auto"/>
            </w:tcBorders>
          </w:tcPr>
          <w:p w14:paraId="1E40C34E" w14:textId="77777777" w:rsidR="00FE2B44" w:rsidRPr="00F13073" w:rsidRDefault="00FE2B44" w:rsidP="008B4C50">
            <w:pPr>
              <w:keepNext/>
              <w:suppressAutoHyphens/>
            </w:pPr>
          </w:p>
        </w:tc>
        <w:tc>
          <w:tcPr>
            <w:tcW w:w="2846" w:type="dxa"/>
            <w:tcBorders>
              <w:top w:val="single" w:sz="4" w:space="0" w:color="auto"/>
              <w:left w:val="single" w:sz="4" w:space="0" w:color="auto"/>
            </w:tcBorders>
          </w:tcPr>
          <w:p w14:paraId="35914C32" w14:textId="77777777" w:rsidR="00FE2B44" w:rsidRPr="00F13073" w:rsidRDefault="00FE2B44" w:rsidP="00B85CFA">
            <w:pPr>
              <w:keepNext/>
              <w:suppressAutoHyphens/>
              <w:jc w:val="center"/>
            </w:pPr>
            <w:r w:rsidRPr="00F13073">
              <w:t xml:space="preserve">TCZ SC 162 mg </w:t>
            </w:r>
            <w:r w:rsidRPr="00F13073">
              <w:rPr>
                <w:rStyle w:val="Other"/>
                <w:rFonts w:eastAsia="DengXian"/>
              </w:rPr>
              <w:t>co tydzień</w:t>
            </w:r>
            <w:r w:rsidRPr="00F13073">
              <w:t xml:space="preserve"> </w:t>
            </w:r>
            <w:r w:rsidRPr="00F13073">
              <w:br/>
              <w:t>+ DMARD</w:t>
            </w:r>
          </w:p>
          <w:p w14:paraId="2224F13C" w14:textId="77777777" w:rsidR="00FE2B44" w:rsidRPr="00F13073" w:rsidRDefault="00FE2B44" w:rsidP="00B85CFA">
            <w:pPr>
              <w:keepNext/>
              <w:suppressAutoHyphens/>
              <w:jc w:val="center"/>
            </w:pPr>
            <w:r w:rsidRPr="00F13073">
              <w:t>N = 558</w:t>
            </w:r>
          </w:p>
        </w:tc>
        <w:tc>
          <w:tcPr>
            <w:tcW w:w="3192" w:type="dxa"/>
            <w:tcBorders>
              <w:top w:val="single" w:sz="4" w:space="0" w:color="auto"/>
              <w:left w:val="single" w:sz="4" w:space="0" w:color="auto"/>
              <w:right w:val="single" w:sz="4" w:space="0" w:color="auto"/>
            </w:tcBorders>
          </w:tcPr>
          <w:p w14:paraId="7E4740D1" w14:textId="77777777" w:rsidR="00FE2B44" w:rsidRPr="00F13073" w:rsidRDefault="00FE2B44" w:rsidP="00B85CFA">
            <w:pPr>
              <w:keepNext/>
              <w:suppressAutoHyphens/>
              <w:jc w:val="center"/>
            </w:pPr>
            <w:r w:rsidRPr="00F13073">
              <w:t xml:space="preserve">TCZ IV 8 mg/kg </w:t>
            </w:r>
            <w:r w:rsidRPr="00F13073">
              <w:rPr>
                <w:rStyle w:val="Other"/>
                <w:rFonts w:eastAsia="DengXian"/>
              </w:rPr>
              <w:t>mc.</w:t>
            </w:r>
            <w:r w:rsidRPr="00F13073">
              <w:br/>
              <w:t>+ DMARD</w:t>
            </w:r>
          </w:p>
          <w:p w14:paraId="0E8E90B5" w14:textId="77777777" w:rsidR="00FE2B44" w:rsidRPr="00F13073" w:rsidRDefault="00FE2B44" w:rsidP="00B85CFA">
            <w:pPr>
              <w:keepNext/>
              <w:suppressAutoHyphens/>
              <w:jc w:val="center"/>
            </w:pPr>
            <w:r w:rsidRPr="00F13073">
              <w:t>N = 537</w:t>
            </w:r>
          </w:p>
        </w:tc>
      </w:tr>
      <w:tr w:rsidR="00FE2B44" w:rsidRPr="00F13073" w14:paraId="5E809956" w14:textId="77777777" w:rsidTr="004328D2">
        <w:trPr>
          <w:cantSplit/>
          <w:tblHeader/>
        </w:trPr>
        <w:tc>
          <w:tcPr>
            <w:tcW w:w="3062" w:type="dxa"/>
            <w:tcBorders>
              <w:top w:val="single" w:sz="4" w:space="0" w:color="auto"/>
              <w:left w:val="single" w:sz="4" w:space="0" w:color="auto"/>
            </w:tcBorders>
          </w:tcPr>
          <w:p w14:paraId="020CC9DE" w14:textId="77777777" w:rsidR="00FE2B44" w:rsidRPr="00F13073" w:rsidRDefault="00FE2B44" w:rsidP="00B85CFA">
            <w:pPr>
              <w:suppressAutoHyphens/>
              <w:jc w:val="right"/>
            </w:pPr>
            <w:r w:rsidRPr="00F13073">
              <w:rPr>
                <w:rStyle w:val="Other"/>
                <w:rFonts w:eastAsia="DengXian"/>
              </w:rPr>
              <w:t>ACR20 w 24. tygodniu</w:t>
            </w:r>
          </w:p>
        </w:tc>
        <w:tc>
          <w:tcPr>
            <w:tcW w:w="2846" w:type="dxa"/>
            <w:tcBorders>
              <w:top w:val="single" w:sz="4" w:space="0" w:color="auto"/>
              <w:left w:val="single" w:sz="4" w:space="0" w:color="auto"/>
            </w:tcBorders>
          </w:tcPr>
          <w:p w14:paraId="3FA8EA64" w14:textId="77777777" w:rsidR="00FE2B44" w:rsidRPr="00F13073" w:rsidRDefault="00FE2B44" w:rsidP="00B85CFA">
            <w:pPr>
              <w:suppressAutoHyphens/>
              <w:jc w:val="center"/>
            </w:pPr>
            <w:r w:rsidRPr="00F13073">
              <w:t>69,4%</w:t>
            </w:r>
          </w:p>
        </w:tc>
        <w:tc>
          <w:tcPr>
            <w:tcW w:w="3192" w:type="dxa"/>
            <w:tcBorders>
              <w:top w:val="single" w:sz="4" w:space="0" w:color="auto"/>
              <w:left w:val="single" w:sz="4" w:space="0" w:color="auto"/>
              <w:right w:val="single" w:sz="4" w:space="0" w:color="auto"/>
            </w:tcBorders>
          </w:tcPr>
          <w:p w14:paraId="4E34E6A1" w14:textId="77777777" w:rsidR="00FE2B44" w:rsidRPr="00F13073" w:rsidRDefault="00FE2B44" w:rsidP="00B85CFA">
            <w:pPr>
              <w:suppressAutoHyphens/>
              <w:jc w:val="center"/>
            </w:pPr>
            <w:r w:rsidRPr="00F13073">
              <w:t>73,4%</w:t>
            </w:r>
          </w:p>
        </w:tc>
      </w:tr>
      <w:tr w:rsidR="00FE2B44" w:rsidRPr="00F13073" w14:paraId="5318A345" w14:textId="77777777" w:rsidTr="004328D2">
        <w:trPr>
          <w:cantSplit/>
          <w:tblHeader/>
        </w:trPr>
        <w:tc>
          <w:tcPr>
            <w:tcW w:w="3062" w:type="dxa"/>
            <w:tcBorders>
              <w:top w:val="single" w:sz="4" w:space="0" w:color="auto"/>
              <w:left w:val="single" w:sz="4" w:space="0" w:color="auto"/>
            </w:tcBorders>
          </w:tcPr>
          <w:p w14:paraId="068752D6" w14:textId="77777777" w:rsidR="00FE2B44" w:rsidRPr="00F13073" w:rsidRDefault="00FE2B44" w:rsidP="00B85CFA">
            <w:pPr>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right w:val="single" w:sz="4" w:space="0" w:color="auto"/>
            </w:tcBorders>
          </w:tcPr>
          <w:p w14:paraId="10818003" w14:textId="77777777" w:rsidR="00FE2B44" w:rsidRPr="00F13073" w:rsidRDefault="00FE2B44" w:rsidP="00B85CFA">
            <w:pPr>
              <w:suppressAutoHyphens/>
              <w:jc w:val="center"/>
            </w:pPr>
            <w:r w:rsidRPr="00F13073">
              <w:t>-4,0 (-9,2; 1,2)</w:t>
            </w:r>
          </w:p>
        </w:tc>
      </w:tr>
      <w:tr w:rsidR="00FE2B44" w:rsidRPr="00F13073" w14:paraId="71767DC9" w14:textId="77777777" w:rsidTr="004328D2">
        <w:trPr>
          <w:cantSplit/>
          <w:tblHeader/>
        </w:trPr>
        <w:tc>
          <w:tcPr>
            <w:tcW w:w="3062" w:type="dxa"/>
            <w:tcBorders>
              <w:top w:val="single" w:sz="4" w:space="0" w:color="auto"/>
              <w:left w:val="single" w:sz="4" w:space="0" w:color="auto"/>
            </w:tcBorders>
          </w:tcPr>
          <w:p w14:paraId="733C6009" w14:textId="77777777" w:rsidR="00FE2B44" w:rsidRPr="00F13073" w:rsidRDefault="00FE2B44" w:rsidP="00B85CFA">
            <w:pPr>
              <w:suppressAutoHyphens/>
              <w:jc w:val="right"/>
            </w:pPr>
            <w:r w:rsidRPr="00F13073">
              <w:rPr>
                <w:rStyle w:val="Other"/>
                <w:rFonts w:eastAsia="DengXian"/>
              </w:rPr>
              <w:t>ACR50 w 24. tygodniu</w:t>
            </w:r>
          </w:p>
        </w:tc>
        <w:tc>
          <w:tcPr>
            <w:tcW w:w="2846" w:type="dxa"/>
            <w:tcBorders>
              <w:top w:val="single" w:sz="4" w:space="0" w:color="auto"/>
              <w:left w:val="single" w:sz="4" w:space="0" w:color="auto"/>
            </w:tcBorders>
          </w:tcPr>
          <w:p w14:paraId="6E3D2E88" w14:textId="77777777" w:rsidR="00FE2B44" w:rsidRPr="00F13073" w:rsidRDefault="00FE2B44" w:rsidP="00B85CFA">
            <w:pPr>
              <w:suppressAutoHyphens/>
              <w:jc w:val="center"/>
            </w:pPr>
            <w:r w:rsidRPr="00F13073">
              <w:t>47,0%</w:t>
            </w:r>
          </w:p>
        </w:tc>
        <w:tc>
          <w:tcPr>
            <w:tcW w:w="3192" w:type="dxa"/>
            <w:tcBorders>
              <w:top w:val="single" w:sz="4" w:space="0" w:color="auto"/>
              <w:left w:val="single" w:sz="4" w:space="0" w:color="auto"/>
              <w:right w:val="single" w:sz="4" w:space="0" w:color="auto"/>
            </w:tcBorders>
          </w:tcPr>
          <w:p w14:paraId="3C2EFB96" w14:textId="77777777" w:rsidR="00FE2B44" w:rsidRPr="00F13073" w:rsidRDefault="00FE2B44" w:rsidP="00B85CFA">
            <w:pPr>
              <w:suppressAutoHyphens/>
              <w:jc w:val="center"/>
            </w:pPr>
            <w:r w:rsidRPr="00F13073">
              <w:t>48,6%</w:t>
            </w:r>
          </w:p>
        </w:tc>
      </w:tr>
      <w:tr w:rsidR="00FE2B44" w:rsidRPr="00F13073" w14:paraId="6B180541" w14:textId="77777777" w:rsidTr="004328D2">
        <w:trPr>
          <w:cantSplit/>
          <w:tblHeader/>
        </w:trPr>
        <w:tc>
          <w:tcPr>
            <w:tcW w:w="3062" w:type="dxa"/>
            <w:tcBorders>
              <w:top w:val="single" w:sz="4" w:space="0" w:color="auto"/>
              <w:left w:val="single" w:sz="4" w:space="0" w:color="auto"/>
            </w:tcBorders>
          </w:tcPr>
          <w:p w14:paraId="69C46F1E" w14:textId="77777777" w:rsidR="00FE2B44" w:rsidRPr="00F13073" w:rsidRDefault="00FE2B44" w:rsidP="00B85CFA">
            <w:pPr>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right w:val="single" w:sz="4" w:space="0" w:color="auto"/>
            </w:tcBorders>
          </w:tcPr>
          <w:p w14:paraId="2FE7CFB4" w14:textId="77777777" w:rsidR="00FE2B44" w:rsidRPr="00F13073" w:rsidRDefault="00FE2B44" w:rsidP="00B85CFA">
            <w:pPr>
              <w:suppressAutoHyphens/>
              <w:jc w:val="center"/>
            </w:pPr>
            <w:r w:rsidRPr="00F13073">
              <w:t>-1,8 (-7,5; 4,0)</w:t>
            </w:r>
          </w:p>
        </w:tc>
      </w:tr>
      <w:tr w:rsidR="00FE2B44" w:rsidRPr="00F13073" w14:paraId="3E6E9BF6" w14:textId="77777777" w:rsidTr="004328D2">
        <w:trPr>
          <w:cantSplit/>
          <w:tblHeader/>
        </w:trPr>
        <w:tc>
          <w:tcPr>
            <w:tcW w:w="3062" w:type="dxa"/>
            <w:tcBorders>
              <w:top w:val="single" w:sz="4" w:space="0" w:color="auto"/>
              <w:left w:val="single" w:sz="4" w:space="0" w:color="auto"/>
            </w:tcBorders>
          </w:tcPr>
          <w:p w14:paraId="138E78CA" w14:textId="77777777" w:rsidR="00FE2B44" w:rsidRPr="00F13073" w:rsidRDefault="00FE2B44" w:rsidP="00B85CFA">
            <w:pPr>
              <w:suppressAutoHyphens/>
              <w:jc w:val="right"/>
            </w:pPr>
            <w:r w:rsidRPr="00F13073">
              <w:rPr>
                <w:rStyle w:val="Other"/>
                <w:rFonts w:eastAsia="DengXian"/>
              </w:rPr>
              <w:t>ACR70 w 24. tygodniu</w:t>
            </w:r>
          </w:p>
        </w:tc>
        <w:tc>
          <w:tcPr>
            <w:tcW w:w="2846" w:type="dxa"/>
            <w:tcBorders>
              <w:top w:val="single" w:sz="4" w:space="0" w:color="auto"/>
              <w:left w:val="single" w:sz="4" w:space="0" w:color="auto"/>
            </w:tcBorders>
          </w:tcPr>
          <w:p w14:paraId="5BBC9FB1" w14:textId="77777777" w:rsidR="00FE2B44" w:rsidRPr="00F13073" w:rsidRDefault="00FE2B44" w:rsidP="00B85CFA">
            <w:pPr>
              <w:suppressAutoHyphens/>
              <w:jc w:val="center"/>
            </w:pPr>
            <w:r w:rsidRPr="00F13073">
              <w:t>24,0%</w:t>
            </w:r>
          </w:p>
        </w:tc>
        <w:tc>
          <w:tcPr>
            <w:tcW w:w="3192" w:type="dxa"/>
            <w:tcBorders>
              <w:top w:val="single" w:sz="4" w:space="0" w:color="auto"/>
              <w:left w:val="single" w:sz="4" w:space="0" w:color="auto"/>
              <w:right w:val="single" w:sz="4" w:space="0" w:color="auto"/>
            </w:tcBorders>
          </w:tcPr>
          <w:p w14:paraId="6E473FFC" w14:textId="77777777" w:rsidR="00FE2B44" w:rsidRPr="00F13073" w:rsidRDefault="00FE2B44" w:rsidP="00B85CFA">
            <w:pPr>
              <w:suppressAutoHyphens/>
              <w:jc w:val="center"/>
            </w:pPr>
            <w:r w:rsidRPr="00F13073">
              <w:t>27,9%</w:t>
            </w:r>
          </w:p>
        </w:tc>
      </w:tr>
      <w:tr w:rsidR="00FE2B44" w:rsidRPr="00F13073" w14:paraId="0435CA0C" w14:textId="77777777" w:rsidTr="004328D2">
        <w:trPr>
          <w:cantSplit/>
          <w:tblHeader/>
        </w:trPr>
        <w:tc>
          <w:tcPr>
            <w:tcW w:w="3062" w:type="dxa"/>
            <w:tcBorders>
              <w:top w:val="single" w:sz="4" w:space="0" w:color="auto"/>
              <w:left w:val="single" w:sz="4" w:space="0" w:color="auto"/>
              <w:bottom w:val="single" w:sz="4" w:space="0" w:color="auto"/>
            </w:tcBorders>
          </w:tcPr>
          <w:p w14:paraId="3461F81F" w14:textId="77777777" w:rsidR="00FE2B44" w:rsidRPr="00F13073" w:rsidRDefault="00FE2B44" w:rsidP="00B85CFA">
            <w:pPr>
              <w:keepNext/>
              <w:suppressAutoHyphens/>
              <w:jc w:val="right"/>
            </w:pPr>
            <w:r w:rsidRPr="00F13073">
              <w:rPr>
                <w:rStyle w:val="Other"/>
                <w:rFonts w:eastAsia="DengXian"/>
              </w:rPr>
              <w:t>Różnica ważona (95% CI)</w:t>
            </w:r>
          </w:p>
        </w:tc>
        <w:tc>
          <w:tcPr>
            <w:tcW w:w="6038" w:type="dxa"/>
            <w:gridSpan w:val="2"/>
            <w:tcBorders>
              <w:top w:val="single" w:sz="4" w:space="0" w:color="auto"/>
              <w:left w:val="single" w:sz="4" w:space="0" w:color="auto"/>
              <w:bottom w:val="single" w:sz="4" w:space="0" w:color="auto"/>
              <w:right w:val="single" w:sz="4" w:space="0" w:color="auto"/>
            </w:tcBorders>
          </w:tcPr>
          <w:p w14:paraId="2D78893E" w14:textId="77777777" w:rsidR="00FE2B44" w:rsidRPr="00F13073" w:rsidRDefault="00FE2B44" w:rsidP="00B85CFA">
            <w:pPr>
              <w:keepNext/>
              <w:suppressAutoHyphens/>
              <w:jc w:val="center"/>
            </w:pPr>
            <w:r w:rsidRPr="00F13073">
              <w:t>-3,8 (-9,0; 1,3)</w:t>
            </w:r>
          </w:p>
        </w:tc>
      </w:tr>
    </w:tbl>
    <w:p w14:paraId="1E94DC84" w14:textId="77777777" w:rsidR="00FE2B44" w:rsidRPr="00F13073" w:rsidRDefault="00FE2B44" w:rsidP="008B4C50">
      <w:pPr>
        <w:rPr>
          <w:sz w:val="18"/>
          <w:szCs w:val="18"/>
        </w:rPr>
      </w:pPr>
      <w:r w:rsidRPr="00F13073">
        <w:rPr>
          <w:sz w:val="18"/>
          <w:szCs w:val="18"/>
        </w:rPr>
        <w:t>TCZ – tocilizumab</w:t>
      </w:r>
    </w:p>
    <w:p w14:paraId="4FDC8998" w14:textId="77777777" w:rsidR="00FE2B44" w:rsidRPr="00F13073" w:rsidRDefault="00FE2B44" w:rsidP="008B4C50">
      <w:pPr>
        <w:rPr>
          <w:sz w:val="18"/>
          <w:szCs w:val="18"/>
        </w:rPr>
      </w:pPr>
      <w:r w:rsidRPr="00F13073">
        <w:rPr>
          <w:sz w:val="18"/>
          <w:szCs w:val="18"/>
        </w:rPr>
        <w:t>a – populacja zgodnie z protokołem</w:t>
      </w:r>
    </w:p>
    <w:p w14:paraId="5A977DA9" w14:textId="77777777" w:rsidR="001E0975" w:rsidRPr="00F13073" w:rsidRDefault="001E0975" w:rsidP="008B4C50"/>
    <w:p w14:paraId="00BC9663" w14:textId="77777777" w:rsidR="00B4078A" w:rsidRPr="00F13073" w:rsidRDefault="00B4078A" w:rsidP="008B4C50">
      <w:pPr>
        <w:pStyle w:val="a4"/>
        <w:widowControl/>
        <w:spacing w:after="0"/>
        <w:rPr>
          <w:rStyle w:val="Char"/>
        </w:rPr>
      </w:pPr>
      <w:r w:rsidRPr="00F13073">
        <w:rPr>
          <w:rStyle w:val="Char"/>
        </w:rPr>
        <w:t>U pacjentów w badaniu SC-I wartości wyjściowe średniego wskaźnika aktywności choroby (DAS28) wynosiły 6,6 oraz 6,7, odpowiednio dla grup otrzymujących lek podskórnie i dożylnie. W 24. tygodniu badania obserwowano znaczący spadek wskaźnika DAS28 od wartości początkowej (średnia poprawa) do 3,5 w obu badanych grupach; podobny odsetek pacjentów w grupach otrzymujących lek podskórnie (38,4%) i dożylnie (36,9%) osiągnął kliniczną remisję określoną na podstawie wskaźnika DAS28 (DAS28 &lt; 2,6).</w:t>
      </w:r>
    </w:p>
    <w:p w14:paraId="5DE20D35" w14:textId="77777777" w:rsidR="00B4078A" w:rsidRPr="00F13073" w:rsidRDefault="00B4078A" w:rsidP="008B4C50">
      <w:pPr>
        <w:pStyle w:val="a4"/>
        <w:widowControl/>
        <w:spacing w:after="0"/>
      </w:pPr>
    </w:p>
    <w:p w14:paraId="4421A1C4" w14:textId="77777777" w:rsidR="00B4078A" w:rsidRPr="00F13073" w:rsidRDefault="00B4078A" w:rsidP="008B4C50">
      <w:pPr>
        <w:pStyle w:val="a4"/>
        <w:widowControl/>
        <w:spacing w:after="0"/>
      </w:pPr>
      <w:r w:rsidRPr="00F13073">
        <w:rPr>
          <w:rStyle w:val="Char"/>
          <w:i/>
          <w:iCs/>
        </w:rPr>
        <w:t>Odpowiedź radiologiczna</w:t>
      </w:r>
    </w:p>
    <w:p w14:paraId="5947B6A4" w14:textId="4292F54B" w:rsidR="00B4078A" w:rsidRPr="00F13073" w:rsidRDefault="00B4078A" w:rsidP="008B4C50">
      <w:pPr>
        <w:pStyle w:val="a4"/>
        <w:widowControl/>
        <w:spacing w:after="0"/>
        <w:rPr>
          <w:rStyle w:val="Char"/>
        </w:rPr>
      </w:pPr>
      <w:r w:rsidRPr="00F13073">
        <w:rPr>
          <w:rStyle w:val="Char"/>
        </w:rPr>
        <w:t xml:space="preserve">Odpowiedź radiologiczną po podawanym podskórnie </w:t>
      </w:r>
      <w:r w:rsidR="009B5292" w:rsidRPr="00F13073">
        <w:rPr>
          <w:rStyle w:val="Char"/>
        </w:rPr>
        <w:t xml:space="preserve">tocilizumabie </w:t>
      </w:r>
      <w:r w:rsidRPr="00F13073">
        <w:rPr>
          <w:rStyle w:val="Char"/>
        </w:rPr>
        <w:t xml:space="preserve">oceniano w wieloośrodkowym, kontrolowanym badaniu prowadzonym metodą podwójnie ślepej próby z udziałem pacjentów z czynnym RZS (SC-II).W badaniu SC-II oceniano pacjentów z umiarkowanym lub ciężkim RZS, u których stwierdzono niewystarczającą odpowiedź kliniczną na stosowane dotychczas leczenie przeciwreumatyczne, obejmujące jeden lub więcej leków z grupy DMARD, gdzie u około 20% pacjentów w wywiadzie stwierdzono niewystarczającą odpowiedź na leczenie przynajmniej jednym </w:t>
      </w:r>
      <w:r w:rsidRPr="00F13073">
        <w:rPr>
          <w:rStyle w:val="Char"/>
        </w:rPr>
        <w:lastRenderedPageBreak/>
        <w:t xml:space="preserve">inhibitorem TNF. Do udziału w badaniu kwalifikowani byli pacjenci w wieku powyżej 18 lat z czynnym RZS rozpoznanym na podstawie kryteriów ACR, u których wyjściowo stwierdzono co najmniej 8 bolesnych i 6 obrzękniętych stawów. W badaniu SC-II 656 pacjentów zostało losowo przydzielonych w stosunku 2:1 do grup otrzymujących </w:t>
      </w:r>
      <w:r w:rsidR="009B5292" w:rsidRPr="00F13073">
        <w:rPr>
          <w:rStyle w:val="Char"/>
        </w:rPr>
        <w:t>tocilizumab</w:t>
      </w:r>
      <w:r w:rsidR="009B5292" w:rsidRPr="00F13073" w:rsidDel="009B5292">
        <w:rPr>
          <w:rStyle w:val="Char"/>
        </w:rPr>
        <w:t xml:space="preserve"> </w:t>
      </w:r>
      <w:r w:rsidRPr="00F13073">
        <w:rPr>
          <w:rStyle w:val="Char"/>
        </w:rPr>
        <w:t>w dawce 162 mg podskórnie co drugi tydzień lub placebo, w skojarzeniu z niebiologicznymi lekami z grupy DMARD.</w:t>
      </w:r>
    </w:p>
    <w:p w14:paraId="2F3694A2" w14:textId="77777777" w:rsidR="00B4078A" w:rsidRPr="00F13073" w:rsidRDefault="00B4078A" w:rsidP="008B4C50">
      <w:pPr>
        <w:pStyle w:val="a4"/>
        <w:widowControl/>
        <w:spacing w:after="0"/>
      </w:pPr>
    </w:p>
    <w:p w14:paraId="5BF0E9A2" w14:textId="423A385C" w:rsidR="00B4078A" w:rsidRPr="00F13073" w:rsidRDefault="00B4078A" w:rsidP="008B4C50">
      <w:pPr>
        <w:pStyle w:val="a4"/>
        <w:widowControl/>
        <w:spacing w:after="0"/>
        <w:rPr>
          <w:rStyle w:val="Char"/>
        </w:rPr>
      </w:pPr>
      <w:r w:rsidRPr="00F13073">
        <w:rPr>
          <w:rStyle w:val="Char"/>
        </w:rPr>
        <w:t xml:space="preserve">W badaniu SC-II zahamowanie uszkodzeń strukturalnych stawów oceniano radiologicznie i wyrażano jako zmianę średniej wartości wskaźnika Sharpa w modyfikacji van der Heijde (mTSS) od wartości wyjściowej. Zahamowanie niszczenia struktury stawu wykazano w 24. tygodniu. przy istotnym zmniejszeniu progresji radiologicznej u chorych otrzymujących podskórnie </w:t>
      </w:r>
      <w:r w:rsidR="005834FA" w:rsidRPr="00F13073">
        <w:rPr>
          <w:rStyle w:val="Char"/>
        </w:rPr>
        <w:t>tocilizumab</w:t>
      </w:r>
      <w:r w:rsidRPr="00F13073">
        <w:rPr>
          <w:rStyle w:val="Char"/>
        </w:rPr>
        <w:t xml:space="preserve"> w porównaniu do placebo (wartość średnia mTSS 0,62 vs. 1,23, p = 0,0149; van Elteren). Wyniki te są spójne z wynikami obserwowanymi w przypadku pacjentów leczonych </w:t>
      </w:r>
      <w:r w:rsidR="005834FA" w:rsidRPr="00F13073">
        <w:rPr>
          <w:rStyle w:val="Char"/>
        </w:rPr>
        <w:t xml:space="preserve">tocilizumabem </w:t>
      </w:r>
      <w:r w:rsidRPr="00F13073">
        <w:rPr>
          <w:rStyle w:val="Char"/>
        </w:rPr>
        <w:t>podawanym dożylnie.</w:t>
      </w:r>
    </w:p>
    <w:p w14:paraId="443FE370" w14:textId="77777777" w:rsidR="00B4078A" w:rsidRPr="00F13073" w:rsidRDefault="00B4078A" w:rsidP="008B4C50">
      <w:pPr>
        <w:pStyle w:val="a4"/>
        <w:widowControl/>
        <w:spacing w:after="0"/>
      </w:pPr>
    </w:p>
    <w:p w14:paraId="781BA870" w14:textId="1DF487FC" w:rsidR="00B4078A" w:rsidRPr="00F13073" w:rsidRDefault="00B4078A" w:rsidP="008B4C50">
      <w:pPr>
        <w:pStyle w:val="a4"/>
        <w:widowControl/>
        <w:spacing w:after="0"/>
        <w:rPr>
          <w:rStyle w:val="Char"/>
        </w:rPr>
      </w:pPr>
      <w:r w:rsidRPr="00F13073">
        <w:rPr>
          <w:rStyle w:val="Char"/>
        </w:rPr>
        <w:t xml:space="preserve">W 24. tygodniu badania SC-II osiągnięto odsetki odpowiedzi ACR20 wynoszące 60,9%, ACR50 wynoszące 39,8% i ACR70 wynoszące 19,7% dla pacjentów leczonych </w:t>
      </w:r>
      <w:r w:rsidR="005834FA" w:rsidRPr="00F13073">
        <w:rPr>
          <w:rStyle w:val="Char"/>
        </w:rPr>
        <w:t xml:space="preserve">tocilizumabem </w:t>
      </w:r>
      <w:r w:rsidRPr="00F13073">
        <w:rPr>
          <w:rStyle w:val="Char"/>
        </w:rPr>
        <w:t xml:space="preserve"> podawanym podskórnie co drugi tydzień, w porównaniu z grupą otrzymującą placebo,</w:t>
      </w:r>
      <w:r w:rsidR="005834FA" w:rsidRPr="00F13073">
        <w:rPr>
          <w:rStyle w:val="Char"/>
        </w:rPr>
        <w:t xml:space="preserve"> </w:t>
      </w:r>
      <w:r w:rsidRPr="00F13073">
        <w:rPr>
          <w:rStyle w:val="Char"/>
        </w:rPr>
        <w:t>gdzie odsetki odpowiedzi wynosiły: ACR20: 31,5%, ACR50: 12,3% i ACR70: 5,0%. Średnia wartość początkowa wskaźnika DAS28 wynosiła 6,7 w grupie pacjentów otrzymujących lek podskórnie i 6,6 w grupie otrzymującej placebo. W 24. tygodniu badania obserwowano znaczący spadek wskaźnika DAS28 od wartości początkowej do 3,1 w grupie otrzymującej lek podskórnie i do 1,7 w grupie otrzymującej placebo; odsetek pacjentów ze wskaźnikiem DAS28 &lt; 2,6 wynosił 32,0% w grupie otrzymującej lek podskórnie i 4,0% w grupie otrzymującej placebo.</w:t>
      </w:r>
    </w:p>
    <w:p w14:paraId="5819C08E" w14:textId="77777777" w:rsidR="00B4078A" w:rsidRPr="00F13073" w:rsidRDefault="00B4078A" w:rsidP="008B4C50">
      <w:pPr>
        <w:pStyle w:val="a4"/>
        <w:widowControl/>
        <w:spacing w:after="0"/>
      </w:pPr>
    </w:p>
    <w:p w14:paraId="6EFCE8C4" w14:textId="77777777" w:rsidR="00B4078A" w:rsidRPr="00F13073" w:rsidRDefault="00B4078A" w:rsidP="00823E33">
      <w:pPr>
        <w:pStyle w:val="a4"/>
        <w:keepNext/>
        <w:widowControl/>
        <w:spacing w:after="0"/>
      </w:pPr>
      <w:r w:rsidRPr="00F13073">
        <w:rPr>
          <w:rStyle w:val="Char"/>
          <w:i/>
          <w:iCs/>
        </w:rPr>
        <w:t>Wyniki związane ze stanem zdrowia oraz dotyczące jakości życia</w:t>
      </w:r>
    </w:p>
    <w:p w14:paraId="777A9798" w14:textId="77777777" w:rsidR="00B4078A" w:rsidRPr="00F13073" w:rsidRDefault="00B4078A" w:rsidP="008B4C50">
      <w:pPr>
        <w:pStyle w:val="a4"/>
        <w:widowControl/>
        <w:spacing w:after="0"/>
        <w:rPr>
          <w:rStyle w:val="Char"/>
        </w:rPr>
      </w:pPr>
      <w:r w:rsidRPr="00F13073">
        <w:rPr>
          <w:rStyle w:val="Char"/>
        </w:rPr>
        <w:t xml:space="preserve">W badaniu SC-I po 24. tygodniu średni spadek HAQ-DI od wartości początkowej wynosił 0,6 w obu grupach </w:t>
      </w:r>
      <w:r w:rsidR="00B07F2A" w:rsidRPr="00F13073">
        <w:rPr>
          <w:rStyle w:val="Char"/>
        </w:rPr>
        <w:t>–</w:t>
      </w:r>
      <w:r w:rsidRPr="00F13073">
        <w:rPr>
          <w:rStyle w:val="Char"/>
        </w:rPr>
        <w:t xml:space="preserve"> otrzymującej lek podskórnie i dożylnie. Odsetek pacjentów osiągających istotną kliniczne poprawę wskaźnika HAQ-DI w 24. tygodniu badania (zmiana względem wartości początkowej o ≥ 0,3 jednostki) był porównywalny dla grupy otrzymującej lek podskórnie (65,2%) i dożylnie (67,4%), z ważoną różnicą w proporcjach wynoszącą - 2,3% (95% CI - 8,1; 3,4). Dla SF-36 średnia zmiana poziomu aktywności umysłowej od wartości początkowej w 24. tygodniu badania wyniosła 6,22 dla grupy otrzymującej lek podskórnie i 6,54 dla grupy otrzymującej lek dożylnie; wynik dla zmiany poziomu aktywności fizycznej był podobny i wyniósł odpowiednio 9,49 oraz 9,65.</w:t>
      </w:r>
    </w:p>
    <w:p w14:paraId="35168DBE" w14:textId="77777777" w:rsidR="00B4078A" w:rsidRPr="00F13073" w:rsidRDefault="00B4078A" w:rsidP="008B4C50">
      <w:pPr>
        <w:pStyle w:val="a4"/>
        <w:widowControl/>
        <w:spacing w:after="0"/>
      </w:pPr>
    </w:p>
    <w:p w14:paraId="3D487EAD" w14:textId="44B35B9B" w:rsidR="00B4078A" w:rsidRPr="00F13073" w:rsidRDefault="00B4078A" w:rsidP="008B4C50">
      <w:pPr>
        <w:pStyle w:val="a4"/>
        <w:widowControl/>
        <w:spacing w:after="0"/>
        <w:rPr>
          <w:rStyle w:val="Char"/>
        </w:rPr>
      </w:pPr>
      <w:r w:rsidRPr="00F13073">
        <w:rPr>
          <w:rStyle w:val="Char"/>
        </w:rPr>
        <w:t xml:space="preserve">W badaniu SC-II po 24. tygodniu średni spadek HAQ-DI od wartości początkowej był znacząco wyższy dla pacjentów otrzymujących </w:t>
      </w:r>
      <w:r w:rsidR="00E56421" w:rsidRPr="00F13073">
        <w:rPr>
          <w:rStyle w:val="Char"/>
        </w:rPr>
        <w:t>tocilizumab</w:t>
      </w:r>
      <w:r w:rsidR="00E56421" w:rsidRPr="00F13073" w:rsidDel="00E56421">
        <w:rPr>
          <w:rStyle w:val="Char"/>
        </w:rPr>
        <w:t xml:space="preserve"> </w:t>
      </w:r>
      <w:r w:rsidRPr="00F13073">
        <w:rPr>
          <w:rStyle w:val="Char"/>
        </w:rPr>
        <w:t xml:space="preserve">co drugi tydzień podskórnie (0,4) w porównaniu z grupą placebo (0,3). Odsetek pacjentów osiągających istotną kliniczne poprawę wskaźnika HAQ-DI w 24. tygodniu badania (zmiana względem wartości początkowej o &gt; 0,3 jednostki) był wyższy dla grupy otrzymującej </w:t>
      </w:r>
      <w:r w:rsidR="00E56421" w:rsidRPr="00F13073">
        <w:rPr>
          <w:rStyle w:val="Char"/>
        </w:rPr>
        <w:t>tocilizumab</w:t>
      </w:r>
      <w:r w:rsidRPr="00F13073">
        <w:rPr>
          <w:rStyle w:val="Char"/>
        </w:rPr>
        <w:t xml:space="preserve"> podskórnie co drugi tydzień (58%) w porównaniu z grupą placebo (46,8%). Wskaźnik SF-36 (średnia zmiana w poziomach aktywności umysłowej i fizycznej) był znacząco wyższy dla grupy otrzymującej </w:t>
      </w:r>
      <w:r w:rsidR="00E56421" w:rsidRPr="00F13073">
        <w:rPr>
          <w:rStyle w:val="Char"/>
        </w:rPr>
        <w:t>tocilizumab</w:t>
      </w:r>
      <w:r w:rsidR="00E56421" w:rsidRPr="00F13073" w:rsidDel="00E56421">
        <w:rPr>
          <w:rStyle w:val="Char"/>
        </w:rPr>
        <w:t xml:space="preserve"> </w:t>
      </w:r>
      <w:r w:rsidRPr="00F13073">
        <w:rPr>
          <w:rStyle w:val="Char"/>
        </w:rPr>
        <w:t>podskórnie (6,5 i 5,3) w porównaniu z grupą placebo (3,8 i 2,9).</w:t>
      </w:r>
    </w:p>
    <w:p w14:paraId="213085B8" w14:textId="77777777" w:rsidR="00B4078A" w:rsidRPr="00F13073" w:rsidRDefault="00B4078A" w:rsidP="008B4C50">
      <w:pPr>
        <w:pStyle w:val="a4"/>
        <w:widowControl/>
        <w:spacing w:after="0"/>
      </w:pPr>
    </w:p>
    <w:p w14:paraId="5D86B9A3" w14:textId="77777777" w:rsidR="00B4078A" w:rsidRPr="00F13073" w:rsidRDefault="00B4078A" w:rsidP="001A51A2">
      <w:pPr>
        <w:pStyle w:val="a4"/>
        <w:keepNext/>
        <w:keepLines/>
        <w:widowControl/>
        <w:spacing w:after="0"/>
      </w:pPr>
      <w:r w:rsidRPr="00F13073">
        <w:rPr>
          <w:rStyle w:val="Char"/>
          <w:u w:val="single"/>
        </w:rPr>
        <w:t>Stosowanie podskórne</w:t>
      </w:r>
    </w:p>
    <w:p w14:paraId="148C7B3C" w14:textId="77777777" w:rsidR="00B4078A" w:rsidRPr="00F13073" w:rsidRDefault="00B4078A" w:rsidP="001A51A2">
      <w:pPr>
        <w:pStyle w:val="a4"/>
        <w:keepNext/>
        <w:keepLines/>
        <w:widowControl/>
        <w:spacing w:after="0"/>
      </w:pPr>
      <w:r w:rsidRPr="00F13073">
        <w:rPr>
          <w:rStyle w:val="Char"/>
          <w:b/>
          <w:bCs/>
          <w:u w:val="single"/>
        </w:rPr>
        <w:t>uMIZS</w:t>
      </w:r>
    </w:p>
    <w:p w14:paraId="6C60582E" w14:textId="77777777" w:rsidR="00B4078A" w:rsidRPr="00F13073" w:rsidRDefault="00B4078A" w:rsidP="001A51A2">
      <w:pPr>
        <w:pStyle w:val="a4"/>
        <w:keepNext/>
        <w:keepLines/>
        <w:widowControl/>
        <w:spacing w:after="0"/>
      </w:pPr>
      <w:r w:rsidRPr="00F13073">
        <w:rPr>
          <w:rStyle w:val="Char"/>
          <w:u w:val="single"/>
        </w:rPr>
        <w:t>Skuteczność kliniczna</w:t>
      </w:r>
    </w:p>
    <w:p w14:paraId="4723BD12" w14:textId="64EB5FFB" w:rsidR="00B4078A" w:rsidRPr="00F13073" w:rsidRDefault="00B4078A" w:rsidP="008B4C50">
      <w:pPr>
        <w:pStyle w:val="a4"/>
        <w:widowControl/>
        <w:spacing w:after="0"/>
        <w:rPr>
          <w:rStyle w:val="Char"/>
        </w:rPr>
      </w:pPr>
      <w:r w:rsidRPr="00F13073">
        <w:rPr>
          <w:rStyle w:val="Char"/>
        </w:rPr>
        <w:t xml:space="preserve">Przeprowadzono 52-tygodniowe, otwarte, wieloośrodkowe badanie właściwości farmakokinetycznych i farmakodynamicznych oraz bezpieczeństwa stosowania (WA28118) z udziałem populacji dzieci i młodzieży chorych na uMIZS w wieku od 1 roku do 17 lat, w celu określenia odpowiedniej podskórnej dawki </w:t>
      </w:r>
      <w:r w:rsidR="004F1486" w:rsidRPr="00F13073">
        <w:rPr>
          <w:rStyle w:val="Char"/>
        </w:rPr>
        <w:t xml:space="preserve">tocilizumabu </w:t>
      </w:r>
      <w:r w:rsidRPr="00F13073">
        <w:rPr>
          <w:rStyle w:val="Char"/>
        </w:rPr>
        <w:t>umożliwiającej osiągnięcie porównywalnych parametrów farmakokinetycznych i farmakodynamicznych oraz profilu bezpieczeństwa stosowania, co schemat leczenia dożylnego.</w:t>
      </w:r>
    </w:p>
    <w:p w14:paraId="411925CB" w14:textId="77777777" w:rsidR="00B4078A" w:rsidRPr="00F13073" w:rsidRDefault="00B4078A" w:rsidP="008B4C50">
      <w:pPr>
        <w:pStyle w:val="a4"/>
        <w:widowControl/>
        <w:spacing w:after="0"/>
      </w:pPr>
    </w:p>
    <w:p w14:paraId="7CCBB6CE" w14:textId="700E0BD9" w:rsidR="00B4078A" w:rsidRPr="00F13073" w:rsidRDefault="00B4078A" w:rsidP="008B4C50">
      <w:pPr>
        <w:pStyle w:val="a4"/>
        <w:widowControl/>
        <w:spacing w:after="0"/>
        <w:rPr>
          <w:rStyle w:val="Char"/>
        </w:rPr>
      </w:pPr>
      <w:r w:rsidRPr="00F13073">
        <w:rPr>
          <w:rStyle w:val="Char"/>
        </w:rPr>
        <w:t xml:space="preserve">Pacjenci kwalifikujący się do badania otrzymywali </w:t>
      </w:r>
      <w:r w:rsidR="004F1486" w:rsidRPr="00F13073">
        <w:rPr>
          <w:rStyle w:val="Char"/>
        </w:rPr>
        <w:t>tocilizumab</w:t>
      </w:r>
      <w:r w:rsidR="004F1486" w:rsidRPr="00F13073" w:rsidDel="004F1486">
        <w:rPr>
          <w:rStyle w:val="Char"/>
        </w:rPr>
        <w:t xml:space="preserve"> </w:t>
      </w:r>
      <w:r w:rsidRPr="00F13073">
        <w:rPr>
          <w:rStyle w:val="Char"/>
        </w:rPr>
        <w:t xml:space="preserve">w dawkach ustalanych na podstawie masy ciała (mc.); pacjenci ważący ≥ 30 kg (n=26) otrzymywali dawkę 162 mg </w:t>
      </w:r>
      <w:r w:rsidR="004F1486" w:rsidRPr="00F13073">
        <w:rPr>
          <w:rStyle w:val="Char"/>
        </w:rPr>
        <w:t xml:space="preserve">tocilizumabu </w:t>
      </w:r>
      <w:r w:rsidRPr="00F13073">
        <w:rPr>
          <w:rStyle w:val="Char"/>
        </w:rPr>
        <w:t xml:space="preserve">podawaną co tydzień (QW), a pacjenci ważący mniej niż 30 kg (n=25) otrzymywali dawkę 162 mg </w:t>
      </w:r>
      <w:r w:rsidR="004F1486" w:rsidRPr="00F13073">
        <w:rPr>
          <w:rStyle w:val="Char"/>
        </w:rPr>
        <w:t xml:space="preserve">tocilizumabu </w:t>
      </w:r>
      <w:r w:rsidRPr="00F13073">
        <w:rPr>
          <w:rStyle w:val="Char"/>
        </w:rPr>
        <w:t xml:space="preserve">co 10 dni (Q10D; n=8) lub co 2 tygodnie (Q2W; n=17), przez 52 tygodnie. Spośród tych 51 pacjentów 26 (51%) nie było wcześniej leczonych </w:t>
      </w:r>
      <w:r w:rsidR="004F1486" w:rsidRPr="00F13073">
        <w:rPr>
          <w:rStyle w:val="Char"/>
        </w:rPr>
        <w:t>tocilizumabem</w:t>
      </w:r>
      <w:r w:rsidRPr="00F13073">
        <w:rPr>
          <w:rStyle w:val="Char"/>
        </w:rPr>
        <w:t xml:space="preserve">, a 25 (49%) otrzymywało </w:t>
      </w:r>
      <w:r w:rsidRPr="00F13073">
        <w:rPr>
          <w:rStyle w:val="Char"/>
        </w:rPr>
        <w:lastRenderedPageBreak/>
        <w:t xml:space="preserve">wcześniej </w:t>
      </w:r>
      <w:r w:rsidR="004F1486" w:rsidRPr="00F13073">
        <w:rPr>
          <w:rStyle w:val="Char"/>
        </w:rPr>
        <w:t>tocilizumab</w:t>
      </w:r>
      <w:r w:rsidR="004F1486" w:rsidRPr="00F13073" w:rsidDel="004F1486">
        <w:rPr>
          <w:rStyle w:val="Char"/>
        </w:rPr>
        <w:t xml:space="preserve"> </w:t>
      </w:r>
      <w:r w:rsidRPr="00F13073">
        <w:rPr>
          <w:rStyle w:val="Char"/>
        </w:rPr>
        <w:t xml:space="preserve">dożylnie, po czym zmienili oni leczenie na </w:t>
      </w:r>
      <w:r w:rsidR="004F1486" w:rsidRPr="00F13073">
        <w:rPr>
          <w:rStyle w:val="Char"/>
        </w:rPr>
        <w:t>tocilizumab</w:t>
      </w:r>
      <w:r w:rsidR="004F1486" w:rsidRPr="00F13073" w:rsidDel="004F1486">
        <w:rPr>
          <w:rStyle w:val="Char"/>
        </w:rPr>
        <w:t xml:space="preserve"> </w:t>
      </w:r>
      <w:r w:rsidRPr="00F13073">
        <w:rPr>
          <w:rStyle w:val="Char"/>
        </w:rPr>
        <w:t>w postaci podskórnej w chwili rozpoczynania udziału w badaniu.</w:t>
      </w:r>
    </w:p>
    <w:p w14:paraId="2E3109C7" w14:textId="77777777" w:rsidR="00B4078A" w:rsidRPr="00F13073" w:rsidRDefault="00B4078A" w:rsidP="008B4C50">
      <w:pPr>
        <w:pStyle w:val="a4"/>
        <w:widowControl/>
        <w:spacing w:after="0"/>
      </w:pPr>
    </w:p>
    <w:p w14:paraId="2A50E465" w14:textId="128B9DC3" w:rsidR="00B4078A" w:rsidRPr="00F13073" w:rsidRDefault="00B4078A" w:rsidP="008B4C50">
      <w:pPr>
        <w:pStyle w:val="a4"/>
        <w:widowControl/>
        <w:spacing w:after="0"/>
        <w:rPr>
          <w:rStyle w:val="Char"/>
        </w:rPr>
      </w:pPr>
      <w:r w:rsidRPr="00F13073">
        <w:rPr>
          <w:rStyle w:val="Char"/>
        </w:rPr>
        <w:t xml:space="preserve">Wyniki eksploracyjnej analizy skuteczności wykazały, że </w:t>
      </w:r>
      <w:r w:rsidR="002B458E" w:rsidRPr="00F13073">
        <w:rPr>
          <w:rStyle w:val="Char"/>
        </w:rPr>
        <w:t>tocilizumab</w:t>
      </w:r>
      <w:r w:rsidR="002B458E" w:rsidRPr="00F13073" w:rsidDel="002B458E">
        <w:rPr>
          <w:rStyle w:val="Char"/>
        </w:rPr>
        <w:t xml:space="preserve"> </w:t>
      </w:r>
      <w:r w:rsidRPr="00F13073">
        <w:rPr>
          <w:rStyle w:val="Char"/>
        </w:rPr>
        <w:t xml:space="preserve">w postaci podskórnej powodował poprawę wszystkich eksploracyjnych parametrów skuteczności, w tym wskaźnika aktywności młodzieńczego zapalenia stawów (JADAS)-71 u pacjentów nieleczonych wcześniej tocilizumabem oraz utrzymywał wartość wszystkich eksploracyjnych parametrów skuteczności u pacjentów, którzy zmienili leczenie z postaci dożylnej na postać podskórną </w:t>
      </w:r>
      <w:r w:rsidR="002B458E" w:rsidRPr="00F13073">
        <w:rPr>
          <w:rStyle w:val="Char"/>
        </w:rPr>
        <w:t>tocilizumabu</w:t>
      </w:r>
      <w:r w:rsidRPr="00F13073">
        <w:rPr>
          <w:rStyle w:val="Char"/>
        </w:rPr>
        <w:t>, przez cały czas trwania badania w obu grupach wyodrębnionych na podstawie masy ciała (poniżej 30 kg i ≥ 30 kg).</w:t>
      </w:r>
    </w:p>
    <w:p w14:paraId="7C56CD01" w14:textId="77777777" w:rsidR="00B4078A" w:rsidRPr="00F13073" w:rsidRDefault="00B4078A" w:rsidP="008B4C50">
      <w:pPr>
        <w:pStyle w:val="a4"/>
        <w:widowControl/>
        <w:spacing w:after="0"/>
      </w:pPr>
    </w:p>
    <w:p w14:paraId="2903A928" w14:textId="77777777" w:rsidR="00B4078A" w:rsidRPr="00F13073" w:rsidRDefault="00B4078A" w:rsidP="008B4C50">
      <w:pPr>
        <w:pStyle w:val="a4"/>
        <w:widowControl/>
        <w:spacing w:after="0"/>
      </w:pPr>
      <w:r w:rsidRPr="00F13073">
        <w:rPr>
          <w:rStyle w:val="Char"/>
          <w:u w:val="single"/>
        </w:rPr>
        <w:t>Stosowanie podskórne</w:t>
      </w:r>
    </w:p>
    <w:p w14:paraId="0C7D3EDF" w14:textId="77777777" w:rsidR="00B4078A" w:rsidRPr="00F13073" w:rsidRDefault="00B4078A" w:rsidP="008B4C50">
      <w:pPr>
        <w:pStyle w:val="a4"/>
        <w:widowControl/>
        <w:spacing w:after="0"/>
      </w:pPr>
      <w:r w:rsidRPr="00F13073">
        <w:rPr>
          <w:rStyle w:val="Char"/>
          <w:b/>
          <w:bCs/>
          <w:u w:val="single"/>
        </w:rPr>
        <w:t>wMIZS</w:t>
      </w:r>
    </w:p>
    <w:p w14:paraId="3BE1B499" w14:textId="77777777" w:rsidR="00B4078A" w:rsidRPr="00F13073" w:rsidRDefault="00B4078A" w:rsidP="008B4C50">
      <w:pPr>
        <w:pStyle w:val="a4"/>
        <w:widowControl/>
        <w:spacing w:after="0"/>
      </w:pPr>
      <w:r w:rsidRPr="00F13073">
        <w:rPr>
          <w:rStyle w:val="Char"/>
          <w:u w:val="single"/>
        </w:rPr>
        <w:t>Skuteczność kliniczna</w:t>
      </w:r>
    </w:p>
    <w:p w14:paraId="5CDA2547" w14:textId="6E703799" w:rsidR="00B4078A" w:rsidRPr="00F13073" w:rsidRDefault="00B4078A" w:rsidP="008B4C50">
      <w:pPr>
        <w:pStyle w:val="a4"/>
        <w:widowControl/>
        <w:spacing w:after="0"/>
        <w:rPr>
          <w:rStyle w:val="Char"/>
        </w:rPr>
      </w:pPr>
      <w:r w:rsidRPr="00F13073">
        <w:rPr>
          <w:rStyle w:val="Char"/>
        </w:rPr>
        <w:t xml:space="preserve">Przeprowadzono 52-tygodniowe, otwarte, wieloośrodkowe badanie właściwości farmakokinetycznych i farmakodynamicznych oraz bezpieczeństwa stosowania z udziałem populacji dzieci i młodzieży chorych na wMIZS w wieku od 1 roku do 17 lat, aby określić odpowiednią podskórną dawkę </w:t>
      </w:r>
      <w:r w:rsidR="007C1A09" w:rsidRPr="00F13073">
        <w:rPr>
          <w:rStyle w:val="Char"/>
        </w:rPr>
        <w:t xml:space="preserve">tocilizumabu </w:t>
      </w:r>
      <w:r w:rsidRPr="00F13073">
        <w:rPr>
          <w:rStyle w:val="Char"/>
        </w:rPr>
        <w:t>umożliwiającą osiągnięcie porównywalnych parametrów farmakokinetycznych i farmakodynamicznych oraz bezpieczeństwa stosowania, co schemat leczenia dożylnego.</w:t>
      </w:r>
    </w:p>
    <w:p w14:paraId="37D4EA83" w14:textId="77777777" w:rsidR="00B4078A" w:rsidRPr="00F13073" w:rsidRDefault="00B4078A" w:rsidP="008B4C50">
      <w:pPr>
        <w:pStyle w:val="a4"/>
        <w:widowControl/>
        <w:spacing w:after="0"/>
      </w:pPr>
    </w:p>
    <w:p w14:paraId="7E3575A2" w14:textId="333BA4BB" w:rsidR="00B4078A" w:rsidRPr="00F13073" w:rsidRDefault="00B4078A" w:rsidP="008B4C50">
      <w:pPr>
        <w:pStyle w:val="a4"/>
        <w:widowControl/>
        <w:spacing w:after="0"/>
        <w:rPr>
          <w:rStyle w:val="Char"/>
        </w:rPr>
      </w:pPr>
      <w:r w:rsidRPr="00F13073">
        <w:rPr>
          <w:rStyle w:val="Char"/>
        </w:rPr>
        <w:t xml:space="preserve">Pacjenci kwalifikujący się do badania otrzymywali tocilizumab w dawkach ustalanych na podstawie masy ciała (mc.); pacjenci ważący </w:t>
      </w:r>
      <w:r w:rsidR="003D0523" w:rsidRPr="00F13073">
        <w:rPr>
          <w:rStyle w:val="Char"/>
        </w:rPr>
        <w:t>≥</w:t>
      </w:r>
      <w:r w:rsidRPr="00F13073">
        <w:rPr>
          <w:rStyle w:val="Char"/>
        </w:rPr>
        <w:t>30 kg (n</w:t>
      </w:r>
      <w:r w:rsidRPr="00F13073">
        <w:rPr>
          <w:rStyle w:val="Char"/>
          <w:sz w:val="24"/>
          <w:szCs w:val="24"/>
        </w:rPr>
        <w:t>=</w:t>
      </w:r>
      <w:r w:rsidRPr="00F13073">
        <w:rPr>
          <w:rStyle w:val="Char"/>
        </w:rPr>
        <w:t xml:space="preserve">25) otrzymywali dawkę 162 mg </w:t>
      </w:r>
      <w:r w:rsidR="007C1A09" w:rsidRPr="00F13073">
        <w:rPr>
          <w:rStyle w:val="Char"/>
        </w:rPr>
        <w:t>tocilizumabu</w:t>
      </w:r>
      <w:r w:rsidRPr="00F13073">
        <w:rPr>
          <w:rStyle w:val="Char"/>
        </w:rPr>
        <w:t xml:space="preserve"> podawaną co 2 tygodnie (Q2W), a pacjenci ważący mniej niż 30 kg (n</w:t>
      </w:r>
      <w:r w:rsidRPr="00F13073">
        <w:rPr>
          <w:rStyle w:val="Char"/>
          <w:sz w:val="24"/>
          <w:szCs w:val="24"/>
        </w:rPr>
        <w:t>=</w:t>
      </w:r>
      <w:r w:rsidRPr="00F13073">
        <w:rPr>
          <w:rStyle w:val="Char"/>
        </w:rPr>
        <w:t xml:space="preserve">27) otrzymywali dawkę 162 mg </w:t>
      </w:r>
      <w:r w:rsidR="007C1A09" w:rsidRPr="00F13073">
        <w:rPr>
          <w:rStyle w:val="Char"/>
        </w:rPr>
        <w:t xml:space="preserve">tocilizumabu </w:t>
      </w:r>
      <w:r w:rsidRPr="00F13073">
        <w:rPr>
          <w:rStyle w:val="Char"/>
        </w:rPr>
        <w:t xml:space="preserve">co 3 tygodnie (Q3W) przez 52 tygodnie. Spośród tych 52 pacjentów 37 (71%) nie było wcześniej leczonych </w:t>
      </w:r>
      <w:r w:rsidR="007C1A09" w:rsidRPr="00F13073">
        <w:rPr>
          <w:rStyle w:val="Char"/>
        </w:rPr>
        <w:t>tocilizumabem</w:t>
      </w:r>
      <w:r w:rsidRPr="00F13073">
        <w:rPr>
          <w:rStyle w:val="Char"/>
        </w:rPr>
        <w:t xml:space="preserve">, a 15 (29%) otrzymywało wcześniej </w:t>
      </w:r>
      <w:r w:rsidR="007C1A09" w:rsidRPr="00F13073">
        <w:rPr>
          <w:rStyle w:val="Char"/>
        </w:rPr>
        <w:t>tocilizumab</w:t>
      </w:r>
      <w:r w:rsidRPr="00F13073">
        <w:rPr>
          <w:rStyle w:val="Char"/>
        </w:rPr>
        <w:t xml:space="preserve"> dożylnie, po czym zmienili oni leczenie na </w:t>
      </w:r>
      <w:r w:rsidR="007C1A09" w:rsidRPr="00F13073">
        <w:rPr>
          <w:rStyle w:val="Char"/>
        </w:rPr>
        <w:t>tocilizumab</w:t>
      </w:r>
      <w:r w:rsidRPr="00F13073">
        <w:rPr>
          <w:rStyle w:val="Char"/>
        </w:rPr>
        <w:t xml:space="preserve"> w postaci podskórnej w chwili rozpoczynania udziału w badaniu.</w:t>
      </w:r>
    </w:p>
    <w:p w14:paraId="63EEC415" w14:textId="77777777" w:rsidR="00B4078A" w:rsidRPr="00F13073" w:rsidRDefault="00B4078A" w:rsidP="008B4C50">
      <w:pPr>
        <w:pStyle w:val="a4"/>
        <w:widowControl/>
        <w:spacing w:after="0"/>
      </w:pPr>
    </w:p>
    <w:p w14:paraId="59E539C3" w14:textId="3B8D7D1A" w:rsidR="00B4078A" w:rsidRPr="00F13073" w:rsidRDefault="00B4078A" w:rsidP="008B4C50">
      <w:pPr>
        <w:pStyle w:val="a4"/>
        <w:widowControl/>
        <w:spacing w:after="0"/>
        <w:rPr>
          <w:rStyle w:val="Char"/>
        </w:rPr>
      </w:pPr>
      <w:r w:rsidRPr="00F13073">
        <w:rPr>
          <w:rStyle w:val="Char"/>
        </w:rPr>
        <w:t xml:space="preserve">Schematy podawania </w:t>
      </w:r>
      <w:r w:rsidR="007C1A09" w:rsidRPr="00F13073">
        <w:rPr>
          <w:rStyle w:val="Char"/>
        </w:rPr>
        <w:t xml:space="preserve">tocilizumabu </w:t>
      </w:r>
      <w:r w:rsidRPr="00F13073">
        <w:rPr>
          <w:rStyle w:val="Char"/>
        </w:rPr>
        <w:t xml:space="preserve">w postaci podskórnej w dawce 162 mg Q3W u pacjentów ważących mniej niż 30 kg oraz w dawce 162 mg Q2W u pacjentów ważących ≥ 30 kg skutkują ekspozycją farmakokinetyczną oraz odpowiedziami farmakodynamicznymi podobnymi do tych wyników uzyskanych w zaakceptowanej postaci dożylnej </w:t>
      </w:r>
      <w:r w:rsidR="007C1A09" w:rsidRPr="00F13073">
        <w:rPr>
          <w:rStyle w:val="Char"/>
        </w:rPr>
        <w:t>tocilizumabu</w:t>
      </w:r>
      <w:r w:rsidRPr="00F13073">
        <w:rPr>
          <w:rStyle w:val="Char"/>
        </w:rPr>
        <w:t xml:space="preserve"> w leczeniu wMIZS.</w:t>
      </w:r>
    </w:p>
    <w:p w14:paraId="49E5C967" w14:textId="77777777" w:rsidR="00B4078A" w:rsidRPr="00F13073" w:rsidRDefault="00B4078A" w:rsidP="008B4C50">
      <w:pPr>
        <w:pStyle w:val="a4"/>
        <w:widowControl/>
        <w:spacing w:after="0"/>
      </w:pPr>
    </w:p>
    <w:p w14:paraId="0F6C4CE9" w14:textId="48E7BABE" w:rsidR="00B4078A" w:rsidRPr="00F13073" w:rsidRDefault="00B4078A" w:rsidP="008B4C50">
      <w:pPr>
        <w:pStyle w:val="a4"/>
        <w:widowControl/>
        <w:spacing w:after="0"/>
        <w:rPr>
          <w:rStyle w:val="Char"/>
        </w:rPr>
      </w:pPr>
      <w:r w:rsidRPr="00F13073">
        <w:rPr>
          <w:rStyle w:val="Char"/>
        </w:rPr>
        <w:t xml:space="preserve">Wyniki eksploracyjnej analizy skuteczności wykazały, że </w:t>
      </w:r>
      <w:r w:rsidR="007C1A09" w:rsidRPr="00F13073">
        <w:rPr>
          <w:rStyle w:val="Char"/>
        </w:rPr>
        <w:t>tocilizumab</w:t>
      </w:r>
      <w:r w:rsidR="007C1A09" w:rsidRPr="00F13073" w:rsidDel="007C1A09">
        <w:rPr>
          <w:rStyle w:val="Char"/>
        </w:rPr>
        <w:t xml:space="preserve"> </w:t>
      </w:r>
      <w:r w:rsidRPr="00F13073">
        <w:rPr>
          <w:rStyle w:val="Char"/>
        </w:rPr>
        <w:t xml:space="preserve">w postaci podskórnej powodował poprawę mediany wskaźnika aktywności młodzieńczego zapalenia stawów (JADAS)-71 u pacjentów nieleczonych wcześniej </w:t>
      </w:r>
      <w:r w:rsidR="007C1A09" w:rsidRPr="00F13073">
        <w:rPr>
          <w:rStyle w:val="Char"/>
        </w:rPr>
        <w:t xml:space="preserve">tocilizumabem </w:t>
      </w:r>
      <w:r w:rsidRPr="00F13073">
        <w:rPr>
          <w:rStyle w:val="Char"/>
        </w:rPr>
        <w:t xml:space="preserve">oraz utrzymywał medianę wartości JADAS-71 u pacjentów, którzy zmienili leczenie z postaci dożylnej na postać podskórną </w:t>
      </w:r>
      <w:r w:rsidR="007C1A09" w:rsidRPr="00F13073">
        <w:rPr>
          <w:rStyle w:val="Char"/>
        </w:rPr>
        <w:t>tocilizumabu</w:t>
      </w:r>
      <w:r w:rsidRPr="00F13073">
        <w:rPr>
          <w:rStyle w:val="Char"/>
        </w:rPr>
        <w:t xml:space="preserve">, przez cały czas trwania badania w obu grupach wyodrębnionych na podstawie masy ciała (poniżej 30 kg i </w:t>
      </w:r>
      <w:r w:rsidR="003D0523" w:rsidRPr="00F13073">
        <w:rPr>
          <w:rStyle w:val="Char"/>
        </w:rPr>
        <w:t>≥</w:t>
      </w:r>
      <w:r w:rsidRPr="00F13073">
        <w:rPr>
          <w:rStyle w:val="Char"/>
        </w:rPr>
        <w:t>30 kg).</w:t>
      </w:r>
    </w:p>
    <w:p w14:paraId="48CF4DFA" w14:textId="77777777" w:rsidR="00B4078A" w:rsidRPr="00F13073" w:rsidRDefault="00B4078A" w:rsidP="008B4C50">
      <w:pPr>
        <w:pStyle w:val="a4"/>
        <w:widowControl/>
        <w:spacing w:after="0"/>
      </w:pPr>
    </w:p>
    <w:p w14:paraId="53EF46A9" w14:textId="77777777" w:rsidR="00B4078A" w:rsidRPr="00F13073" w:rsidRDefault="00B4078A" w:rsidP="006C4B84">
      <w:pPr>
        <w:pStyle w:val="a4"/>
        <w:keepNext/>
        <w:keepLines/>
        <w:widowControl/>
        <w:spacing w:after="0"/>
      </w:pPr>
      <w:r w:rsidRPr="00F13073">
        <w:rPr>
          <w:rStyle w:val="Char"/>
          <w:u w:val="single"/>
        </w:rPr>
        <w:t>Stosowanie podskórne</w:t>
      </w:r>
    </w:p>
    <w:p w14:paraId="1D76AF3E" w14:textId="77777777" w:rsidR="00B4078A" w:rsidRPr="00F13073" w:rsidRDefault="00B4078A" w:rsidP="006C4B84">
      <w:pPr>
        <w:pStyle w:val="a4"/>
        <w:keepNext/>
        <w:keepLines/>
        <w:widowControl/>
        <w:spacing w:after="0"/>
      </w:pPr>
      <w:r w:rsidRPr="00F13073">
        <w:rPr>
          <w:rStyle w:val="Char"/>
          <w:b/>
          <w:bCs/>
          <w:u w:val="single"/>
        </w:rPr>
        <w:t>GCA</w:t>
      </w:r>
    </w:p>
    <w:p w14:paraId="6D2D9BF0" w14:textId="77777777" w:rsidR="00B4078A" w:rsidRPr="00F13073" w:rsidRDefault="00B4078A" w:rsidP="008B4C50">
      <w:pPr>
        <w:pStyle w:val="a4"/>
        <w:widowControl/>
        <w:spacing w:after="0"/>
      </w:pPr>
      <w:r w:rsidRPr="00F13073">
        <w:rPr>
          <w:rStyle w:val="Char"/>
          <w:u w:val="single"/>
        </w:rPr>
        <w:t>Skuteczność kliniczna</w:t>
      </w:r>
    </w:p>
    <w:p w14:paraId="09C42BCB" w14:textId="4FD69CDF" w:rsidR="00B4078A" w:rsidRPr="00F13073" w:rsidRDefault="00B4078A" w:rsidP="008B4C50">
      <w:pPr>
        <w:pStyle w:val="a4"/>
        <w:widowControl/>
        <w:spacing w:after="0"/>
        <w:rPr>
          <w:rStyle w:val="Char"/>
        </w:rPr>
      </w:pPr>
      <w:r w:rsidRPr="00F13073">
        <w:rPr>
          <w:rStyle w:val="Char"/>
        </w:rPr>
        <w:t xml:space="preserve">Badanie WA28119 było randomizowanym, wieloośrodkowym, kontrolowanym placebo badaniem III fazy z podwójnie ślepą próbą oceniającym lepszą skuteczność (superiority), przeprowadzonym w celu oceny skuteczności i bezpieczeństwa stosowania </w:t>
      </w:r>
      <w:r w:rsidR="006B329B" w:rsidRPr="00F13073">
        <w:rPr>
          <w:rStyle w:val="Char"/>
        </w:rPr>
        <w:t xml:space="preserve">tocilizumabu </w:t>
      </w:r>
      <w:r w:rsidRPr="00F13073">
        <w:rPr>
          <w:rStyle w:val="Char"/>
        </w:rPr>
        <w:t>u pacjentów z GCA.</w:t>
      </w:r>
    </w:p>
    <w:p w14:paraId="45D0C9E9" w14:textId="77777777" w:rsidR="00B4078A" w:rsidRPr="00F13073" w:rsidRDefault="00B4078A" w:rsidP="008B4C50">
      <w:pPr>
        <w:pStyle w:val="a4"/>
        <w:widowControl/>
        <w:spacing w:after="0"/>
      </w:pPr>
    </w:p>
    <w:p w14:paraId="75DECE33" w14:textId="3E6A65F8" w:rsidR="00B4078A" w:rsidRPr="00F13073" w:rsidRDefault="00B4078A" w:rsidP="008B4C50">
      <w:pPr>
        <w:pStyle w:val="a4"/>
        <w:widowControl/>
        <w:spacing w:after="0"/>
        <w:rPr>
          <w:rStyle w:val="Char"/>
        </w:rPr>
      </w:pPr>
      <w:r w:rsidRPr="00F13073">
        <w:rPr>
          <w:rStyle w:val="Char"/>
        </w:rPr>
        <w:t xml:space="preserve">Dwustu pięćdziesięciu jeden (251) pacjentów z pierwszym wystąpieniem lub nawrotem GCA zostało włączonych do badania i przydzielonych do jednego z czterech ramion leczenia. Badanie składało się z 52-tygodniowego okresu leczenia zaślepionego (Część 1), po którym następowała 104-tygodniowa otwarta faza przedłużenia badania (Część 2). Celem Części 2 była ocena długoterminowego bezpieczeństwa i utrzymania skuteczności po 52 tygodniach leczenia </w:t>
      </w:r>
      <w:r w:rsidR="005353AE" w:rsidRPr="00F13073">
        <w:rPr>
          <w:rStyle w:val="Char"/>
        </w:rPr>
        <w:t>tocilizumabem</w:t>
      </w:r>
      <w:r w:rsidRPr="00F13073">
        <w:rPr>
          <w:rStyle w:val="Char"/>
        </w:rPr>
        <w:t xml:space="preserve">, zbadanie odsetka nawrotów i stopnia kontynuacji leczenia </w:t>
      </w:r>
      <w:r w:rsidR="005353AE" w:rsidRPr="00F13073">
        <w:rPr>
          <w:rStyle w:val="Char"/>
        </w:rPr>
        <w:t>tocilizumabem</w:t>
      </w:r>
      <w:r w:rsidRPr="00F13073">
        <w:rPr>
          <w:rStyle w:val="Char"/>
        </w:rPr>
        <w:t xml:space="preserve"> po upływie 52 tygodni oraz sprawdzenie potencjalnego mniejszego zużycia steroidów w dłuższej perspektywie dzięki terapii </w:t>
      </w:r>
      <w:r w:rsidR="005353AE" w:rsidRPr="00F13073">
        <w:rPr>
          <w:rStyle w:val="Char"/>
        </w:rPr>
        <w:t>tocilizumabem</w:t>
      </w:r>
      <w:r w:rsidRPr="00F13073">
        <w:rPr>
          <w:rStyle w:val="Char"/>
        </w:rPr>
        <w:t>.</w:t>
      </w:r>
    </w:p>
    <w:p w14:paraId="7F998391" w14:textId="77777777" w:rsidR="00B4078A" w:rsidRPr="00F13073" w:rsidRDefault="00B4078A" w:rsidP="008B4C50">
      <w:pPr>
        <w:pStyle w:val="a4"/>
        <w:widowControl/>
        <w:spacing w:after="0"/>
      </w:pPr>
    </w:p>
    <w:p w14:paraId="3F595A6C" w14:textId="4F732DCE" w:rsidR="00B4078A" w:rsidRPr="00F13073" w:rsidRDefault="00B4078A" w:rsidP="008B4C50">
      <w:pPr>
        <w:pStyle w:val="a4"/>
        <w:widowControl/>
        <w:spacing w:after="0"/>
        <w:rPr>
          <w:rStyle w:val="Char"/>
        </w:rPr>
      </w:pPr>
      <w:r w:rsidRPr="00F13073">
        <w:rPr>
          <w:rStyle w:val="Char"/>
        </w:rPr>
        <w:lastRenderedPageBreak/>
        <w:t xml:space="preserve">Dwie podskórne dawki </w:t>
      </w:r>
      <w:r w:rsidR="005353AE" w:rsidRPr="00F13073">
        <w:rPr>
          <w:rStyle w:val="Char"/>
        </w:rPr>
        <w:t>tocilizumabu</w:t>
      </w:r>
      <w:r w:rsidR="005353AE" w:rsidRPr="00F13073" w:rsidDel="005353AE">
        <w:rPr>
          <w:rStyle w:val="Char"/>
        </w:rPr>
        <w:t xml:space="preserve"> </w:t>
      </w:r>
      <w:r w:rsidRPr="00F13073">
        <w:rPr>
          <w:rStyle w:val="Char"/>
        </w:rPr>
        <w:t>(dawka 162 mg podawana co tydzień i dawka 162 mg podawana co dwa tygodnie) były porównywane z dwiema różnymi grupami kontrolnymi stosującymi placebo z randomizacją przeprowadzoną w stosunku 2:1:1:1.</w:t>
      </w:r>
    </w:p>
    <w:p w14:paraId="61EEA7BD" w14:textId="77777777" w:rsidR="00B4078A" w:rsidRPr="00F13073" w:rsidRDefault="00B4078A" w:rsidP="008B4C50">
      <w:pPr>
        <w:pStyle w:val="a4"/>
        <w:widowControl/>
        <w:spacing w:after="0"/>
      </w:pPr>
    </w:p>
    <w:p w14:paraId="1BA5FAF1" w14:textId="0EE66910" w:rsidR="00B4078A" w:rsidRPr="00F13073" w:rsidRDefault="00B4078A" w:rsidP="008B4C50">
      <w:pPr>
        <w:pStyle w:val="a4"/>
        <w:widowControl/>
        <w:spacing w:after="0"/>
        <w:rPr>
          <w:rStyle w:val="Char"/>
        </w:rPr>
      </w:pPr>
      <w:r w:rsidRPr="00F13073">
        <w:rPr>
          <w:rStyle w:val="Char"/>
        </w:rPr>
        <w:t xml:space="preserve">Wszyscy pacjenci otrzymywali jako podstawowe leczenie glikokortykosteroidy (prednizon). Każda z grup leczonych </w:t>
      </w:r>
      <w:r w:rsidR="005353AE" w:rsidRPr="00F13073">
        <w:rPr>
          <w:rStyle w:val="Char"/>
        </w:rPr>
        <w:t xml:space="preserve">tocilizumabem </w:t>
      </w:r>
      <w:r w:rsidRPr="00F13073">
        <w:rPr>
          <w:rStyle w:val="Char"/>
        </w:rPr>
        <w:t>i jedna z grup otrzymujących placebo stosowała określony wcześniej schemat stopniowego zmniejszania dawki prednizonu w okresie 26 tygodni, natomiast druga grupa otrzymująca placebo stosowała określony wcześniej schemat stopniowego zmniejszania dawki prednizonu w okresie 52 tygodni, co miało w większym stopniu odpowiadać standardowej praktyce.</w:t>
      </w:r>
    </w:p>
    <w:p w14:paraId="4998BE00" w14:textId="77777777" w:rsidR="00B4078A" w:rsidRPr="00F13073" w:rsidRDefault="00B4078A" w:rsidP="008B4C50">
      <w:pPr>
        <w:pStyle w:val="a4"/>
        <w:widowControl/>
        <w:spacing w:after="0"/>
      </w:pPr>
    </w:p>
    <w:p w14:paraId="03BDE6A9" w14:textId="5621473D" w:rsidR="00B4078A" w:rsidRPr="00F13073" w:rsidRDefault="00B4078A" w:rsidP="008B4C50">
      <w:pPr>
        <w:pStyle w:val="a4"/>
        <w:widowControl/>
        <w:spacing w:after="0"/>
      </w:pPr>
      <w:r w:rsidRPr="00F13073">
        <w:rPr>
          <w:rStyle w:val="Char"/>
        </w:rPr>
        <w:t xml:space="preserve">Okres przyjmowania glikokortykosteroidów podczas screeningu i przed włączeniem </w:t>
      </w:r>
      <w:r w:rsidR="00636F2F" w:rsidRPr="00F13073">
        <w:rPr>
          <w:rStyle w:val="Char"/>
        </w:rPr>
        <w:t>tocilizumabu</w:t>
      </w:r>
      <w:r w:rsidRPr="00F13073">
        <w:rPr>
          <w:rStyle w:val="Char"/>
        </w:rPr>
        <w:t xml:space="preserve"> (lub placebo) był porównywalny we wszystkich 4 grupach (patrz Tabela 3).</w:t>
      </w:r>
    </w:p>
    <w:p w14:paraId="2746A103" w14:textId="77777777" w:rsidR="00E47C6A" w:rsidRPr="00F13073" w:rsidRDefault="00E47C6A" w:rsidP="008B4C50"/>
    <w:p w14:paraId="5B9BABBB" w14:textId="77777777" w:rsidR="001E0975" w:rsidRPr="00F13073" w:rsidRDefault="00611033" w:rsidP="008B4C50">
      <w:pPr>
        <w:keepNext/>
        <w:ind w:left="1134" w:hanging="1134"/>
        <w:rPr>
          <w:i/>
          <w:iCs/>
        </w:rPr>
      </w:pPr>
      <w:r w:rsidRPr="00F13073">
        <w:rPr>
          <w:i/>
          <w:iCs/>
        </w:rPr>
        <w:t>Tab</w:t>
      </w:r>
      <w:r w:rsidR="00B4078A" w:rsidRPr="00F13073">
        <w:rPr>
          <w:i/>
          <w:iCs/>
        </w:rPr>
        <w:t>e</w:t>
      </w:r>
      <w:r w:rsidRPr="00F13073">
        <w:rPr>
          <w:i/>
          <w:iCs/>
        </w:rPr>
        <w:t>l</w:t>
      </w:r>
      <w:r w:rsidR="00B4078A" w:rsidRPr="00F13073">
        <w:rPr>
          <w:i/>
          <w:iCs/>
        </w:rPr>
        <w:t>a</w:t>
      </w:r>
      <w:r w:rsidRPr="00F13073">
        <w:rPr>
          <w:i/>
          <w:iCs/>
        </w:rPr>
        <w:t xml:space="preserve"> 3.</w:t>
      </w:r>
      <w:r w:rsidR="00E47C6A" w:rsidRPr="00F13073">
        <w:rPr>
          <w:i/>
          <w:iCs/>
        </w:rPr>
        <w:tab/>
      </w:r>
      <w:r w:rsidR="00BC77DF" w:rsidRPr="00F13073">
        <w:rPr>
          <w:rStyle w:val="Char"/>
          <w:rFonts w:eastAsia="DengXian"/>
          <w:i/>
          <w:iCs/>
        </w:rPr>
        <w:t xml:space="preserve">Czas trwania leczenia kortykosteroidami podczas screeningu w badaniu </w:t>
      </w:r>
      <w:r w:rsidRPr="00F13073">
        <w:rPr>
          <w:i/>
          <w:iCs/>
        </w:rPr>
        <w:t>WA28119</w:t>
      </w:r>
    </w:p>
    <w:p w14:paraId="7E18153F" w14:textId="77777777" w:rsidR="00E47C6A" w:rsidRPr="00F13073" w:rsidRDefault="00E47C6A" w:rsidP="008B4C50">
      <w:pPr>
        <w:keepNext/>
        <w:ind w:left="1134" w:hanging="1134"/>
        <w:rPr>
          <w:i/>
          <w:iCs/>
        </w:rPr>
      </w:pPr>
    </w:p>
    <w:tbl>
      <w:tblPr>
        <w:tblOverlap w:val="never"/>
        <w:tblW w:w="9072" w:type="dxa"/>
        <w:tblInd w:w="108" w:type="dxa"/>
        <w:tblLayout w:type="fixed"/>
        <w:tblCellMar>
          <w:top w:w="28" w:type="dxa"/>
          <w:bottom w:w="28" w:type="dxa"/>
        </w:tblCellMar>
        <w:tblLook w:val="04A0" w:firstRow="1" w:lastRow="0" w:firstColumn="1" w:lastColumn="0" w:noHBand="0" w:noVBand="1"/>
      </w:tblPr>
      <w:tblGrid>
        <w:gridCol w:w="1577"/>
        <w:gridCol w:w="1750"/>
        <w:gridCol w:w="1820"/>
        <w:gridCol w:w="1922"/>
        <w:gridCol w:w="2003"/>
      </w:tblGrid>
      <w:tr w:rsidR="00BC77DF" w:rsidRPr="00F13073" w14:paraId="051CEC4E" w14:textId="77777777" w:rsidTr="004328D2">
        <w:trPr>
          <w:cantSplit/>
          <w:tblHeader/>
        </w:trPr>
        <w:tc>
          <w:tcPr>
            <w:tcW w:w="1577" w:type="dxa"/>
            <w:tcBorders>
              <w:top w:val="single" w:sz="4" w:space="0" w:color="auto"/>
              <w:left w:val="single" w:sz="4" w:space="0" w:color="auto"/>
            </w:tcBorders>
          </w:tcPr>
          <w:p w14:paraId="7CF41CCD" w14:textId="77777777" w:rsidR="00BC77DF" w:rsidRPr="00F13073" w:rsidRDefault="00BC77DF" w:rsidP="008B4C50">
            <w:pPr>
              <w:keepNext/>
              <w:suppressAutoHyphens/>
              <w:rPr>
                <w:b/>
                <w:bCs/>
                <w:sz w:val="20"/>
                <w:szCs w:val="20"/>
              </w:rPr>
            </w:pPr>
          </w:p>
        </w:tc>
        <w:tc>
          <w:tcPr>
            <w:tcW w:w="1750" w:type="dxa"/>
            <w:tcBorders>
              <w:top w:val="single" w:sz="4" w:space="0" w:color="auto"/>
              <w:left w:val="single" w:sz="4" w:space="0" w:color="auto"/>
            </w:tcBorders>
          </w:tcPr>
          <w:p w14:paraId="3C01DBAF" w14:textId="77777777" w:rsidR="00BC77DF" w:rsidRPr="00F13073" w:rsidRDefault="00BC77DF" w:rsidP="007C7707">
            <w:pPr>
              <w:keepNext/>
              <w:suppressAutoHyphens/>
              <w:jc w:val="center"/>
              <w:rPr>
                <w:b/>
                <w:bCs/>
                <w:sz w:val="20"/>
                <w:szCs w:val="20"/>
              </w:rPr>
            </w:pPr>
            <w:r w:rsidRPr="00F13073">
              <w:rPr>
                <w:b/>
                <w:bCs/>
                <w:sz w:val="20"/>
                <w:szCs w:val="20"/>
              </w:rPr>
              <w:t xml:space="preserve">Placebo </w:t>
            </w:r>
            <w:r w:rsidRPr="00F13073">
              <w:rPr>
                <w:b/>
                <w:bCs/>
                <w:sz w:val="20"/>
                <w:szCs w:val="20"/>
              </w:rPr>
              <w:br/>
              <w:t>+ 26-tygodniowa terapia malejącymi dawkami prednizonu</w:t>
            </w:r>
          </w:p>
          <w:p w14:paraId="2E55A21D" w14:textId="77777777" w:rsidR="00BC77DF" w:rsidRPr="00F13073" w:rsidRDefault="00BC77DF" w:rsidP="007C7707">
            <w:pPr>
              <w:keepNext/>
              <w:suppressAutoHyphens/>
              <w:jc w:val="center"/>
              <w:rPr>
                <w:b/>
                <w:bCs/>
                <w:sz w:val="20"/>
                <w:szCs w:val="20"/>
              </w:rPr>
            </w:pPr>
            <w:r w:rsidRPr="00F13073">
              <w:rPr>
                <w:b/>
                <w:bCs/>
                <w:sz w:val="20"/>
                <w:szCs w:val="20"/>
              </w:rPr>
              <w:t>N=50</w:t>
            </w:r>
          </w:p>
        </w:tc>
        <w:tc>
          <w:tcPr>
            <w:tcW w:w="1820" w:type="dxa"/>
            <w:tcBorders>
              <w:top w:val="single" w:sz="4" w:space="0" w:color="auto"/>
              <w:left w:val="single" w:sz="4" w:space="0" w:color="auto"/>
            </w:tcBorders>
          </w:tcPr>
          <w:p w14:paraId="26390EB3" w14:textId="77777777" w:rsidR="00BC77DF" w:rsidRPr="00F13073" w:rsidRDefault="00BC77DF" w:rsidP="007C7707">
            <w:pPr>
              <w:keepNext/>
              <w:suppressAutoHyphens/>
              <w:jc w:val="center"/>
              <w:rPr>
                <w:b/>
                <w:bCs/>
                <w:sz w:val="20"/>
                <w:szCs w:val="20"/>
              </w:rPr>
            </w:pPr>
            <w:r w:rsidRPr="00F13073">
              <w:rPr>
                <w:b/>
                <w:bCs/>
                <w:sz w:val="20"/>
                <w:szCs w:val="20"/>
              </w:rPr>
              <w:t xml:space="preserve">Placebo </w:t>
            </w:r>
            <w:r w:rsidRPr="00F13073">
              <w:rPr>
                <w:b/>
                <w:bCs/>
                <w:sz w:val="20"/>
                <w:szCs w:val="20"/>
              </w:rPr>
              <w:br/>
              <w:t>+ 52 tygodniowa terapia malejącymi dawkami prednizonu</w:t>
            </w:r>
          </w:p>
          <w:p w14:paraId="75F5AC89" w14:textId="77777777" w:rsidR="00BC77DF" w:rsidRPr="00F13073" w:rsidRDefault="00BC77DF" w:rsidP="007C7707">
            <w:pPr>
              <w:keepNext/>
              <w:suppressAutoHyphens/>
              <w:jc w:val="center"/>
              <w:rPr>
                <w:b/>
                <w:bCs/>
                <w:sz w:val="20"/>
                <w:szCs w:val="20"/>
              </w:rPr>
            </w:pPr>
            <w:r w:rsidRPr="00F13073">
              <w:rPr>
                <w:b/>
                <w:bCs/>
                <w:sz w:val="20"/>
                <w:szCs w:val="20"/>
              </w:rPr>
              <w:t>N=51</w:t>
            </w:r>
          </w:p>
        </w:tc>
        <w:tc>
          <w:tcPr>
            <w:tcW w:w="1922" w:type="dxa"/>
            <w:tcBorders>
              <w:top w:val="single" w:sz="4" w:space="0" w:color="auto"/>
              <w:left w:val="single" w:sz="4" w:space="0" w:color="auto"/>
            </w:tcBorders>
          </w:tcPr>
          <w:p w14:paraId="6CE8F6DB" w14:textId="55B6D5BC" w:rsidR="00BC77DF" w:rsidRPr="00F13073" w:rsidRDefault="009A0900" w:rsidP="007C7707">
            <w:pPr>
              <w:keepNext/>
              <w:suppressAutoHyphens/>
              <w:jc w:val="center"/>
              <w:rPr>
                <w:b/>
                <w:bCs/>
                <w:sz w:val="20"/>
                <w:szCs w:val="20"/>
              </w:rPr>
            </w:pPr>
            <w:r w:rsidRPr="00F13073">
              <w:t xml:space="preserve"> </w:t>
            </w:r>
            <w:r w:rsidRPr="00F13073">
              <w:rPr>
                <w:b/>
                <w:bCs/>
                <w:sz w:val="20"/>
                <w:szCs w:val="20"/>
              </w:rPr>
              <w:t>Tocilizumab</w:t>
            </w:r>
            <w:r w:rsidR="00BC77DF" w:rsidRPr="00F13073">
              <w:rPr>
                <w:b/>
                <w:bCs/>
                <w:sz w:val="20"/>
                <w:szCs w:val="20"/>
              </w:rPr>
              <w:t xml:space="preserve"> 162 mg SC co tydzień </w:t>
            </w:r>
            <w:r w:rsidR="00BC77DF" w:rsidRPr="00F13073">
              <w:rPr>
                <w:b/>
                <w:bCs/>
                <w:sz w:val="20"/>
                <w:szCs w:val="20"/>
              </w:rPr>
              <w:br/>
              <w:t>+ 26-tygodniowa terapia malejącymi dawkami prednizonu</w:t>
            </w:r>
          </w:p>
          <w:p w14:paraId="40532FC3" w14:textId="77777777" w:rsidR="00BC77DF" w:rsidRPr="00F13073" w:rsidRDefault="00BC77DF" w:rsidP="007C7707">
            <w:pPr>
              <w:keepNext/>
              <w:suppressAutoHyphens/>
              <w:jc w:val="center"/>
              <w:rPr>
                <w:b/>
                <w:bCs/>
                <w:sz w:val="20"/>
                <w:szCs w:val="20"/>
              </w:rPr>
            </w:pPr>
            <w:r w:rsidRPr="00F13073">
              <w:rPr>
                <w:b/>
                <w:bCs/>
                <w:sz w:val="20"/>
                <w:szCs w:val="20"/>
              </w:rPr>
              <w:t>N=100</w:t>
            </w:r>
          </w:p>
        </w:tc>
        <w:tc>
          <w:tcPr>
            <w:tcW w:w="2003" w:type="dxa"/>
            <w:tcBorders>
              <w:top w:val="single" w:sz="4" w:space="0" w:color="auto"/>
              <w:left w:val="single" w:sz="4" w:space="0" w:color="auto"/>
              <w:right w:val="single" w:sz="4" w:space="0" w:color="auto"/>
            </w:tcBorders>
          </w:tcPr>
          <w:p w14:paraId="525C1D96" w14:textId="623280AF" w:rsidR="00BC77DF" w:rsidRPr="00F13073" w:rsidRDefault="009A0900" w:rsidP="007C7707">
            <w:pPr>
              <w:keepNext/>
              <w:suppressAutoHyphens/>
              <w:jc w:val="center"/>
              <w:rPr>
                <w:b/>
                <w:bCs/>
                <w:sz w:val="20"/>
                <w:szCs w:val="20"/>
              </w:rPr>
            </w:pPr>
            <w:r w:rsidRPr="00F13073">
              <w:t xml:space="preserve"> </w:t>
            </w:r>
            <w:r w:rsidRPr="00F13073">
              <w:rPr>
                <w:b/>
                <w:bCs/>
                <w:sz w:val="20"/>
                <w:szCs w:val="20"/>
              </w:rPr>
              <w:t>Tocilizumab</w:t>
            </w:r>
            <w:r w:rsidR="00BC77DF" w:rsidRPr="00F13073">
              <w:rPr>
                <w:b/>
                <w:bCs/>
                <w:sz w:val="20"/>
                <w:szCs w:val="20"/>
              </w:rPr>
              <w:t xml:space="preserve"> 162 mg SC co dwa tygodnie + 26- tygodniowa terapia malejącymi dawkami prednizonu</w:t>
            </w:r>
          </w:p>
          <w:p w14:paraId="32E7E3DA" w14:textId="77777777" w:rsidR="00BC77DF" w:rsidRPr="00F13073" w:rsidRDefault="00BC77DF" w:rsidP="007C7707">
            <w:pPr>
              <w:keepNext/>
              <w:suppressAutoHyphens/>
              <w:jc w:val="center"/>
              <w:rPr>
                <w:b/>
                <w:bCs/>
                <w:sz w:val="20"/>
                <w:szCs w:val="20"/>
              </w:rPr>
            </w:pPr>
            <w:r w:rsidRPr="00F13073">
              <w:rPr>
                <w:b/>
                <w:bCs/>
                <w:sz w:val="20"/>
                <w:szCs w:val="20"/>
              </w:rPr>
              <w:t>N=49</w:t>
            </w:r>
          </w:p>
        </w:tc>
      </w:tr>
      <w:tr w:rsidR="00BC77DF" w:rsidRPr="00F13073" w14:paraId="019D37E8" w14:textId="77777777" w:rsidTr="004328D2">
        <w:trPr>
          <w:cantSplit/>
          <w:tblHeader/>
        </w:trPr>
        <w:tc>
          <w:tcPr>
            <w:tcW w:w="9072" w:type="dxa"/>
            <w:gridSpan w:val="5"/>
            <w:tcBorders>
              <w:top w:val="single" w:sz="4" w:space="0" w:color="auto"/>
              <w:left w:val="single" w:sz="4" w:space="0" w:color="auto"/>
              <w:right w:val="single" w:sz="4" w:space="0" w:color="auto"/>
            </w:tcBorders>
          </w:tcPr>
          <w:p w14:paraId="41A2121A" w14:textId="77777777" w:rsidR="00BC77DF" w:rsidRPr="00F13073" w:rsidRDefault="00BC77DF" w:rsidP="008B4C50">
            <w:pPr>
              <w:keepNext/>
              <w:suppressAutoHyphens/>
              <w:rPr>
                <w:b/>
                <w:bCs/>
                <w:sz w:val="20"/>
                <w:szCs w:val="20"/>
              </w:rPr>
            </w:pPr>
            <w:r w:rsidRPr="00F13073">
              <w:rPr>
                <w:b/>
                <w:bCs/>
                <w:sz w:val="20"/>
                <w:szCs w:val="20"/>
              </w:rPr>
              <w:t xml:space="preserve">Czas trwania (dni) </w:t>
            </w:r>
          </w:p>
        </w:tc>
      </w:tr>
      <w:tr w:rsidR="00BC77DF" w:rsidRPr="00F13073" w14:paraId="56F83EB8" w14:textId="77777777" w:rsidTr="004328D2">
        <w:trPr>
          <w:cantSplit/>
          <w:tblHeader/>
        </w:trPr>
        <w:tc>
          <w:tcPr>
            <w:tcW w:w="1577" w:type="dxa"/>
            <w:tcBorders>
              <w:top w:val="single" w:sz="4" w:space="0" w:color="auto"/>
              <w:left w:val="single" w:sz="4" w:space="0" w:color="auto"/>
            </w:tcBorders>
          </w:tcPr>
          <w:p w14:paraId="07766533" w14:textId="77777777" w:rsidR="00BC77DF" w:rsidRPr="00F13073" w:rsidRDefault="00BC77DF" w:rsidP="007C7707">
            <w:pPr>
              <w:keepNext/>
              <w:suppressAutoHyphens/>
              <w:ind w:left="283" w:right="-80"/>
              <w:jc w:val="center"/>
              <w:rPr>
                <w:sz w:val="20"/>
                <w:szCs w:val="20"/>
              </w:rPr>
            </w:pPr>
            <w:r w:rsidRPr="00F13073">
              <w:rPr>
                <w:rStyle w:val="Other"/>
                <w:rFonts w:eastAsia="DengXian"/>
                <w:sz w:val="20"/>
                <w:szCs w:val="20"/>
              </w:rPr>
              <w:t>Średnia (SD)</w:t>
            </w:r>
          </w:p>
        </w:tc>
        <w:tc>
          <w:tcPr>
            <w:tcW w:w="1750" w:type="dxa"/>
            <w:tcBorders>
              <w:top w:val="single" w:sz="4" w:space="0" w:color="auto"/>
              <w:left w:val="single" w:sz="4" w:space="0" w:color="auto"/>
            </w:tcBorders>
          </w:tcPr>
          <w:p w14:paraId="6415058E" w14:textId="77777777" w:rsidR="00BC77DF" w:rsidRPr="00F13073" w:rsidRDefault="00BC77DF" w:rsidP="007C7707">
            <w:pPr>
              <w:keepNext/>
              <w:suppressAutoHyphens/>
              <w:jc w:val="center"/>
              <w:rPr>
                <w:sz w:val="20"/>
                <w:szCs w:val="20"/>
              </w:rPr>
            </w:pPr>
            <w:r w:rsidRPr="00F13073">
              <w:rPr>
                <w:sz w:val="20"/>
                <w:szCs w:val="20"/>
              </w:rPr>
              <w:t>35,7 (11,5)</w:t>
            </w:r>
          </w:p>
        </w:tc>
        <w:tc>
          <w:tcPr>
            <w:tcW w:w="1820" w:type="dxa"/>
            <w:tcBorders>
              <w:top w:val="single" w:sz="4" w:space="0" w:color="auto"/>
              <w:left w:val="single" w:sz="4" w:space="0" w:color="auto"/>
            </w:tcBorders>
          </w:tcPr>
          <w:p w14:paraId="15830E7D" w14:textId="77777777" w:rsidR="00BC77DF" w:rsidRPr="00F13073" w:rsidRDefault="00BC77DF" w:rsidP="007C7707">
            <w:pPr>
              <w:keepNext/>
              <w:suppressAutoHyphens/>
              <w:jc w:val="center"/>
              <w:rPr>
                <w:sz w:val="20"/>
                <w:szCs w:val="20"/>
              </w:rPr>
            </w:pPr>
            <w:r w:rsidRPr="00F13073">
              <w:rPr>
                <w:sz w:val="20"/>
                <w:szCs w:val="20"/>
              </w:rPr>
              <w:t>36,3 (12,5)</w:t>
            </w:r>
          </w:p>
        </w:tc>
        <w:tc>
          <w:tcPr>
            <w:tcW w:w="1922" w:type="dxa"/>
            <w:tcBorders>
              <w:top w:val="single" w:sz="4" w:space="0" w:color="auto"/>
              <w:left w:val="single" w:sz="4" w:space="0" w:color="auto"/>
            </w:tcBorders>
          </w:tcPr>
          <w:p w14:paraId="5FCF90CC" w14:textId="77777777" w:rsidR="00BC77DF" w:rsidRPr="00F13073" w:rsidRDefault="00BC77DF" w:rsidP="007C7707">
            <w:pPr>
              <w:keepNext/>
              <w:suppressAutoHyphens/>
              <w:jc w:val="center"/>
              <w:rPr>
                <w:sz w:val="20"/>
                <w:szCs w:val="20"/>
              </w:rPr>
            </w:pPr>
            <w:r w:rsidRPr="00F13073">
              <w:rPr>
                <w:sz w:val="20"/>
                <w:szCs w:val="20"/>
              </w:rPr>
              <w:t>35,6 (13,2)</w:t>
            </w:r>
          </w:p>
        </w:tc>
        <w:tc>
          <w:tcPr>
            <w:tcW w:w="2003" w:type="dxa"/>
            <w:tcBorders>
              <w:top w:val="single" w:sz="4" w:space="0" w:color="auto"/>
              <w:left w:val="single" w:sz="4" w:space="0" w:color="auto"/>
              <w:right w:val="single" w:sz="4" w:space="0" w:color="auto"/>
            </w:tcBorders>
          </w:tcPr>
          <w:p w14:paraId="38F2D593" w14:textId="77777777" w:rsidR="00BC77DF" w:rsidRPr="00F13073" w:rsidRDefault="00BC77DF" w:rsidP="007C7707">
            <w:pPr>
              <w:keepNext/>
              <w:suppressAutoHyphens/>
              <w:jc w:val="center"/>
              <w:rPr>
                <w:sz w:val="20"/>
                <w:szCs w:val="20"/>
              </w:rPr>
            </w:pPr>
            <w:r w:rsidRPr="00F13073">
              <w:rPr>
                <w:sz w:val="20"/>
                <w:szCs w:val="20"/>
              </w:rPr>
              <w:t>37,4 (14,4)</w:t>
            </w:r>
          </w:p>
        </w:tc>
      </w:tr>
      <w:tr w:rsidR="00BC77DF" w:rsidRPr="00F13073" w14:paraId="194A990C" w14:textId="77777777" w:rsidTr="004328D2">
        <w:trPr>
          <w:cantSplit/>
          <w:tblHeader/>
        </w:trPr>
        <w:tc>
          <w:tcPr>
            <w:tcW w:w="1577" w:type="dxa"/>
            <w:tcBorders>
              <w:top w:val="single" w:sz="4" w:space="0" w:color="auto"/>
              <w:left w:val="single" w:sz="4" w:space="0" w:color="auto"/>
            </w:tcBorders>
          </w:tcPr>
          <w:p w14:paraId="0C8AFC47" w14:textId="77777777" w:rsidR="00BC77DF" w:rsidRPr="00F13073" w:rsidRDefault="00BC77DF" w:rsidP="007C7707">
            <w:pPr>
              <w:keepNext/>
              <w:suppressAutoHyphens/>
              <w:ind w:left="283"/>
              <w:jc w:val="center"/>
              <w:rPr>
                <w:sz w:val="20"/>
                <w:szCs w:val="20"/>
              </w:rPr>
            </w:pPr>
            <w:r w:rsidRPr="00F13073">
              <w:rPr>
                <w:rStyle w:val="Other"/>
                <w:rFonts w:eastAsia="DengXian"/>
                <w:sz w:val="20"/>
                <w:szCs w:val="20"/>
              </w:rPr>
              <w:t>Mediana</w:t>
            </w:r>
          </w:p>
        </w:tc>
        <w:tc>
          <w:tcPr>
            <w:tcW w:w="1750" w:type="dxa"/>
            <w:tcBorders>
              <w:top w:val="single" w:sz="4" w:space="0" w:color="auto"/>
              <w:left w:val="single" w:sz="4" w:space="0" w:color="auto"/>
            </w:tcBorders>
          </w:tcPr>
          <w:p w14:paraId="4AFCE4B1" w14:textId="77777777" w:rsidR="00BC77DF" w:rsidRPr="00F13073" w:rsidRDefault="00BC77DF" w:rsidP="007C7707">
            <w:pPr>
              <w:keepNext/>
              <w:suppressAutoHyphens/>
              <w:jc w:val="center"/>
              <w:rPr>
                <w:sz w:val="20"/>
                <w:szCs w:val="20"/>
              </w:rPr>
            </w:pPr>
            <w:r w:rsidRPr="00F13073">
              <w:rPr>
                <w:sz w:val="20"/>
                <w:szCs w:val="20"/>
              </w:rPr>
              <w:t>42,0</w:t>
            </w:r>
          </w:p>
        </w:tc>
        <w:tc>
          <w:tcPr>
            <w:tcW w:w="1820" w:type="dxa"/>
            <w:tcBorders>
              <w:top w:val="single" w:sz="4" w:space="0" w:color="auto"/>
              <w:left w:val="single" w:sz="4" w:space="0" w:color="auto"/>
            </w:tcBorders>
          </w:tcPr>
          <w:p w14:paraId="62DE3D47" w14:textId="77777777" w:rsidR="00BC77DF" w:rsidRPr="00F13073" w:rsidRDefault="00BC77DF" w:rsidP="007C7707">
            <w:pPr>
              <w:keepNext/>
              <w:suppressAutoHyphens/>
              <w:jc w:val="center"/>
              <w:rPr>
                <w:sz w:val="20"/>
                <w:szCs w:val="20"/>
              </w:rPr>
            </w:pPr>
            <w:r w:rsidRPr="00F13073">
              <w:rPr>
                <w:sz w:val="20"/>
                <w:szCs w:val="20"/>
              </w:rPr>
              <w:t>41,0</w:t>
            </w:r>
          </w:p>
        </w:tc>
        <w:tc>
          <w:tcPr>
            <w:tcW w:w="1922" w:type="dxa"/>
            <w:tcBorders>
              <w:top w:val="single" w:sz="4" w:space="0" w:color="auto"/>
              <w:left w:val="single" w:sz="4" w:space="0" w:color="auto"/>
            </w:tcBorders>
          </w:tcPr>
          <w:p w14:paraId="02E1CAFA" w14:textId="77777777" w:rsidR="00BC77DF" w:rsidRPr="00F13073" w:rsidRDefault="00BC77DF" w:rsidP="007C7707">
            <w:pPr>
              <w:keepNext/>
              <w:suppressAutoHyphens/>
              <w:jc w:val="center"/>
              <w:rPr>
                <w:sz w:val="20"/>
                <w:szCs w:val="20"/>
              </w:rPr>
            </w:pPr>
            <w:r w:rsidRPr="00F13073">
              <w:rPr>
                <w:sz w:val="20"/>
                <w:szCs w:val="20"/>
              </w:rPr>
              <w:t>41,0</w:t>
            </w:r>
          </w:p>
        </w:tc>
        <w:tc>
          <w:tcPr>
            <w:tcW w:w="2003" w:type="dxa"/>
            <w:tcBorders>
              <w:top w:val="single" w:sz="4" w:space="0" w:color="auto"/>
              <w:left w:val="single" w:sz="4" w:space="0" w:color="auto"/>
              <w:right w:val="single" w:sz="4" w:space="0" w:color="auto"/>
            </w:tcBorders>
          </w:tcPr>
          <w:p w14:paraId="2B3487CD" w14:textId="77777777" w:rsidR="00BC77DF" w:rsidRPr="00F13073" w:rsidRDefault="00BC77DF" w:rsidP="007C7707">
            <w:pPr>
              <w:keepNext/>
              <w:suppressAutoHyphens/>
              <w:jc w:val="center"/>
              <w:rPr>
                <w:sz w:val="20"/>
                <w:szCs w:val="20"/>
              </w:rPr>
            </w:pPr>
            <w:r w:rsidRPr="00F13073">
              <w:rPr>
                <w:sz w:val="20"/>
                <w:szCs w:val="20"/>
              </w:rPr>
              <w:t>42,0</w:t>
            </w:r>
          </w:p>
        </w:tc>
      </w:tr>
      <w:tr w:rsidR="00BC77DF" w:rsidRPr="00F13073" w14:paraId="2980D888" w14:textId="77777777" w:rsidTr="004328D2">
        <w:trPr>
          <w:cantSplit/>
          <w:tblHeader/>
        </w:trPr>
        <w:tc>
          <w:tcPr>
            <w:tcW w:w="1577" w:type="dxa"/>
            <w:tcBorders>
              <w:top w:val="single" w:sz="4" w:space="0" w:color="auto"/>
              <w:left w:val="single" w:sz="4" w:space="0" w:color="auto"/>
              <w:bottom w:val="single" w:sz="4" w:space="0" w:color="auto"/>
            </w:tcBorders>
          </w:tcPr>
          <w:p w14:paraId="5DDE161B" w14:textId="77777777" w:rsidR="00BC77DF" w:rsidRPr="00F13073" w:rsidRDefault="00BC77DF" w:rsidP="007C7707">
            <w:pPr>
              <w:suppressAutoHyphens/>
              <w:ind w:left="283"/>
              <w:jc w:val="center"/>
              <w:rPr>
                <w:sz w:val="20"/>
                <w:szCs w:val="20"/>
              </w:rPr>
            </w:pPr>
            <w:r w:rsidRPr="00F13073">
              <w:rPr>
                <w:rStyle w:val="Other"/>
                <w:rFonts w:eastAsia="DengXian"/>
                <w:sz w:val="20"/>
                <w:szCs w:val="20"/>
              </w:rPr>
              <w:t>Min - Max</w:t>
            </w:r>
          </w:p>
        </w:tc>
        <w:tc>
          <w:tcPr>
            <w:tcW w:w="1750" w:type="dxa"/>
            <w:tcBorders>
              <w:top w:val="single" w:sz="4" w:space="0" w:color="auto"/>
              <w:left w:val="single" w:sz="4" w:space="0" w:color="auto"/>
              <w:bottom w:val="single" w:sz="4" w:space="0" w:color="auto"/>
            </w:tcBorders>
          </w:tcPr>
          <w:p w14:paraId="2C030538" w14:textId="77777777" w:rsidR="00BC77DF" w:rsidRPr="00F13073" w:rsidRDefault="00BC77DF" w:rsidP="007C7707">
            <w:pPr>
              <w:suppressAutoHyphens/>
              <w:jc w:val="center"/>
              <w:rPr>
                <w:sz w:val="20"/>
                <w:szCs w:val="20"/>
              </w:rPr>
            </w:pPr>
            <w:r w:rsidRPr="00F13073">
              <w:rPr>
                <w:sz w:val="20"/>
                <w:szCs w:val="20"/>
              </w:rPr>
              <w:t>6 - 63</w:t>
            </w:r>
          </w:p>
        </w:tc>
        <w:tc>
          <w:tcPr>
            <w:tcW w:w="1820" w:type="dxa"/>
            <w:tcBorders>
              <w:top w:val="single" w:sz="4" w:space="0" w:color="auto"/>
              <w:left w:val="single" w:sz="4" w:space="0" w:color="auto"/>
              <w:bottom w:val="single" w:sz="4" w:space="0" w:color="auto"/>
            </w:tcBorders>
          </w:tcPr>
          <w:p w14:paraId="0AEBEF0B" w14:textId="77777777" w:rsidR="00BC77DF" w:rsidRPr="00F13073" w:rsidRDefault="00BC77DF" w:rsidP="007C7707">
            <w:pPr>
              <w:suppressAutoHyphens/>
              <w:jc w:val="center"/>
              <w:rPr>
                <w:sz w:val="20"/>
                <w:szCs w:val="20"/>
              </w:rPr>
            </w:pPr>
            <w:r w:rsidRPr="00F13073">
              <w:rPr>
                <w:sz w:val="20"/>
                <w:szCs w:val="20"/>
              </w:rPr>
              <w:t>12 – 82</w:t>
            </w:r>
          </w:p>
        </w:tc>
        <w:tc>
          <w:tcPr>
            <w:tcW w:w="1922" w:type="dxa"/>
            <w:tcBorders>
              <w:top w:val="single" w:sz="4" w:space="0" w:color="auto"/>
              <w:left w:val="single" w:sz="4" w:space="0" w:color="auto"/>
              <w:bottom w:val="single" w:sz="4" w:space="0" w:color="auto"/>
            </w:tcBorders>
          </w:tcPr>
          <w:p w14:paraId="183E273B" w14:textId="77777777" w:rsidR="00BC77DF" w:rsidRPr="00F13073" w:rsidRDefault="00BC77DF" w:rsidP="007C7707">
            <w:pPr>
              <w:suppressAutoHyphens/>
              <w:jc w:val="center"/>
              <w:rPr>
                <w:sz w:val="20"/>
                <w:szCs w:val="20"/>
              </w:rPr>
            </w:pPr>
            <w:r w:rsidRPr="00F13073">
              <w:rPr>
                <w:sz w:val="20"/>
                <w:szCs w:val="20"/>
              </w:rPr>
              <w:t>1 - 87</w:t>
            </w:r>
          </w:p>
        </w:tc>
        <w:tc>
          <w:tcPr>
            <w:tcW w:w="2003" w:type="dxa"/>
            <w:tcBorders>
              <w:top w:val="single" w:sz="4" w:space="0" w:color="auto"/>
              <w:left w:val="single" w:sz="4" w:space="0" w:color="auto"/>
              <w:bottom w:val="single" w:sz="4" w:space="0" w:color="auto"/>
              <w:right w:val="single" w:sz="4" w:space="0" w:color="auto"/>
            </w:tcBorders>
          </w:tcPr>
          <w:p w14:paraId="2373B8AF" w14:textId="77777777" w:rsidR="00BC77DF" w:rsidRPr="00F13073" w:rsidRDefault="00BC77DF" w:rsidP="007C7707">
            <w:pPr>
              <w:suppressAutoHyphens/>
              <w:jc w:val="center"/>
              <w:rPr>
                <w:sz w:val="20"/>
                <w:szCs w:val="20"/>
              </w:rPr>
            </w:pPr>
            <w:r w:rsidRPr="00F13073">
              <w:rPr>
                <w:sz w:val="20"/>
                <w:szCs w:val="20"/>
              </w:rPr>
              <w:t>9 - 87</w:t>
            </w:r>
          </w:p>
        </w:tc>
      </w:tr>
    </w:tbl>
    <w:p w14:paraId="4EFFB3C5" w14:textId="77777777" w:rsidR="001E0975" w:rsidRPr="00F13073" w:rsidRDefault="001E0975" w:rsidP="008B4C50"/>
    <w:p w14:paraId="42A068A7" w14:textId="2C3C6C6E" w:rsidR="00791B6F" w:rsidRPr="00F13073" w:rsidRDefault="00791B6F" w:rsidP="008B4C50">
      <w:pPr>
        <w:pStyle w:val="a4"/>
        <w:widowControl/>
        <w:spacing w:after="0"/>
        <w:rPr>
          <w:rStyle w:val="Char"/>
        </w:rPr>
      </w:pPr>
      <w:r w:rsidRPr="00F13073">
        <w:rPr>
          <w:rStyle w:val="Char"/>
        </w:rPr>
        <w:t xml:space="preserve">W badaniu został osiągnięty pierwszorzędowy punkt końcowy oceny skuteczności, oceniany na podstawie odsetka pacjentów, którzy osiągnęli trwałą remisję w tygodniu 52. przy braku stosowania steroidów, przyjmując </w:t>
      </w:r>
      <w:r w:rsidR="00510FB4" w:rsidRPr="00F13073">
        <w:rPr>
          <w:rStyle w:val="Char"/>
        </w:rPr>
        <w:t>tocilizumab</w:t>
      </w:r>
      <w:r w:rsidR="00510FB4" w:rsidRPr="00F13073" w:rsidDel="00510FB4">
        <w:rPr>
          <w:rStyle w:val="Char"/>
        </w:rPr>
        <w:t xml:space="preserve"> </w:t>
      </w:r>
      <w:r w:rsidRPr="00F13073">
        <w:rPr>
          <w:rStyle w:val="Char"/>
        </w:rPr>
        <w:t>w skojarzeniu z 26-tygodniową terapią malejącymi dawkami prednizonu, w porównaniu z placebo w skojarzeniu z 26-tygodniową terapią malejącymi dawkami prednizonu (Tabela 4).</w:t>
      </w:r>
    </w:p>
    <w:p w14:paraId="1EDBB193" w14:textId="77777777" w:rsidR="00791B6F" w:rsidRPr="00F13073" w:rsidRDefault="00791B6F" w:rsidP="008B4C50">
      <w:pPr>
        <w:pStyle w:val="a4"/>
        <w:widowControl/>
        <w:spacing w:after="0"/>
      </w:pPr>
    </w:p>
    <w:p w14:paraId="6D38253F" w14:textId="77777777" w:rsidR="00791B6F" w:rsidRPr="00F13073" w:rsidRDefault="00791B6F" w:rsidP="008B4C50">
      <w:pPr>
        <w:pStyle w:val="a4"/>
        <w:widowControl/>
        <w:spacing w:after="0"/>
        <w:rPr>
          <w:rStyle w:val="Char"/>
        </w:rPr>
      </w:pPr>
      <w:r w:rsidRPr="00F13073">
        <w:rPr>
          <w:rStyle w:val="Char"/>
        </w:rPr>
        <w:t>Osiągnięty został także najważniejszy drugorzędowy punkt końcowy, również oparty na odsetku pacjentów, którzy uzyskali trwałą remisję w tygodniu 52., porównujący tocilizumab w skojarzeniu z 26-tygodniową terapią malejącymi dawkami prednizonu z placebo w skojarzeniu z 52-tygodniową terapią malejącymi dawkami prednizonu (Tabela 4).</w:t>
      </w:r>
    </w:p>
    <w:p w14:paraId="1DF9E1B8" w14:textId="77777777" w:rsidR="00791B6F" w:rsidRPr="00F13073" w:rsidRDefault="00791B6F" w:rsidP="008B4C50">
      <w:pPr>
        <w:pStyle w:val="a4"/>
        <w:widowControl/>
        <w:spacing w:after="0"/>
      </w:pPr>
    </w:p>
    <w:p w14:paraId="1654FED4" w14:textId="657FD6E1" w:rsidR="00791B6F" w:rsidRPr="00F13073" w:rsidRDefault="00791B6F" w:rsidP="008B4C50">
      <w:pPr>
        <w:pStyle w:val="a4"/>
        <w:widowControl/>
        <w:spacing w:after="0"/>
        <w:rPr>
          <w:rStyle w:val="Char"/>
        </w:rPr>
      </w:pPr>
      <w:r w:rsidRPr="00F13073">
        <w:rPr>
          <w:rStyle w:val="Char"/>
        </w:rPr>
        <w:t xml:space="preserve">Statystycznie istotnie lepszy efekt leczenia na korzyść </w:t>
      </w:r>
      <w:r w:rsidR="00510FB4" w:rsidRPr="00F13073">
        <w:rPr>
          <w:rStyle w:val="Char"/>
        </w:rPr>
        <w:t xml:space="preserve">tocilizumabu </w:t>
      </w:r>
      <w:r w:rsidRPr="00F13073">
        <w:rPr>
          <w:rStyle w:val="Char"/>
        </w:rPr>
        <w:t xml:space="preserve">względem placebo w osiągnięciu trwałej remisji bez stosowania steroidów w 52. tygodniu badania obserwowano podczas leczenia </w:t>
      </w:r>
      <w:r w:rsidR="00510FB4" w:rsidRPr="00F13073">
        <w:rPr>
          <w:rStyle w:val="Char"/>
        </w:rPr>
        <w:t xml:space="preserve">tocilizumabem </w:t>
      </w:r>
      <w:r w:rsidRPr="00F13073">
        <w:rPr>
          <w:rStyle w:val="Char"/>
        </w:rPr>
        <w:t>w skojarzeniu z 26-tygodniową terapią malejącymi dawkami prednizonu, w porównaniu z placebo w skojarzeniu z 26-tygodniową terapią malejącymi dawkami prednizonu, a także w porównaniu z placebo w skojarzeniu z 52-tygodniową terapią malejącymi dawkami prednizonu.</w:t>
      </w:r>
    </w:p>
    <w:p w14:paraId="55C0BA38" w14:textId="77777777" w:rsidR="00791B6F" w:rsidRPr="00F13073" w:rsidRDefault="00791B6F" w:rsidP="008B4C50">
      <w:pPr>
        <w:pStyle w:val="a4"/>
        <w:widowControl/>
        <w:spacing w:after="0"/>
      </w:pPr>
    </w:p>
    <w:p w14:paraId="5DB4E0D1" w14:textId="77777777" w:rsidR="00791B6F" w:rsidRPr="00F13073" w:rsidRDefault="00791B6F" w:rsidP="008B4C50">
      <w:pPr>
        <w:pStyle w:val="a4"/>
        <w:widowControl/>
        <w:spacing w:after="0"/>
        <w:rPr>
          <w:rStyle w:val="Char"/>
        </w:rPr>
      </w:pPr>
      <w:r w:rsidRPr="00F13073">
        <w:rPr>
          <w:rStyle w:val="Char"/>
        </w:rPr>
        <w:t>Odsetek pacjentów, którzy uzyskali trwałą remisję w tygodniu 52. został przedstawiony w Tabeli 4.</w:t>
      </w:r>
    </w:p>
    <w:p w14:paraId="7F219008" w14:textId="77777777" w:rsidR="00791B6F" w:rsidRPr="00F13073" w:rsidRDefault="00791B6F" w:rsidP="008B4C50">
      <w:pPr>
        <w:pStyle w:val="a4"/>
        <w:widowControl/>
        <w:spacing w:after="0"/>
      </w:pPr>
    </w:p>
    <w:p w14:paraId="459F8881" w14:textId="77777777" w:rsidR="00791B6F" w:rsidRPr="00F13073" w:rsidRDefault="00791B6F" w:rsidP="008B4C50">
      <w:pPr>
        <w:pStyle w:val="a4"/>
        <w:widowControl/>
        <w:spacing w:after="0"/>
      </w:pPr>
      <w:r w:rsidRPr="00F13073">
        <w:rPr>
          <w:rStyle w:val="Char"/>
          <w:i/>
          <w:iCs/>
        </w:rPr>
        <w:t>Drugorzędowe punkty końcowe</w:t>
      </w:r>
    </w:p>
    <w:p w14:paraId="1444919C" w14:textId="12A6715B" w:rsidR="00791B6F" w:rsidRPr="00F13073" w:rsidRDefault="00791B6F" w:rsidP="008B4C50">
      <w:pPr>
        <w:pStyle w:val="a4"/>
        <w:widowControl/>
        <w:spacing w:after="0"/>
        <w:rPr>
          <w:rStyle w:val="Char"/>
        </w:rPr>
      </w:pPr>
      <w:r w:rsidRPr="00F13073">
        <w:rPr>
          <w:rStyle w:val="Char"/>
        </w:rPr>
        <w:t xml:space="preserve">Ocena czasu do wystąpienia pierwszego zaostrzenia GCA wykazała istotnie mniejsze ryzyko wystąpienia zaostrzenia w grupie otrzymującej podskórnie </w:t>
      </w:r>
      <w:r w:rsidR="00947D56" w:rsidRPr="00F13073">
        <w:rPr>
          <w:rStyle w:val="Char"/>
        </w:rPr>
        <w:t>tocilizumab</w:t>
      </w:r>
      <w:r w:rsidR="00947D56" w:rsidRPr="00F13073" w:rsidDel="00947D56">
        <w:rPr>
          <w:rStyle w:val="Char"/>
        </w:rPr>
        <w:t xml:space="preserve"> </w:t>
      </w:r>
      <w:r w:rsidRPr="00F13073">
        <w:rPr>
          <w:rStyle w:val="Char"/>
        </w:rPr>
        <w:t xml:space="preserve">raz na tydzień w porównaniu z grupą placebo w skojarzeniu z 26-tygodniową terapią malejącymi dawkami prednizonu oraz z grupą placebo w skojarzeniu z 52-tygodniową terapią malejącymi dawkami prednizonu, a także wykazała istotnie mniejsze ryzyko zaostrzenia w grupie otrzymującej podskórnie </w:t>
      </w:r>
      <w:r w:rsidR="00947D56" w:rsidRPr="00F13073">
        <w:rPr>
          <w:rStyle w:val="Char"/>
        </w:rPr>
        <w:t>tocilizumab</w:t>
      </w:r>
      <w:r w:rsidR="00947D56" w:rsidRPr="00F13073" w:rsidDel="00947D56">
        <w:rPr>
          <w:rStyle w:val="Char"/>
        </w:rPr>
        <w:t xml:space="preserve"> </w:t>
      </w:r>
      <w:r w:rsidRPr="00F13073">
        <w:rPr>
          <w:rStyle w:val="Char"/>
        </w:rPr>
        <w:t xml:space="preserve">co dwa tygodnie w porównaniu z grupą placebo w skojarzeniu z 26- tygodniową terapią prednizonem (przy porównaniu na poziomie istotności 0,01). </w:t>
      </w:r>
      <w:r w:rsidR="00947D56" w:rsidRPr="00F13073">
        <w:rPr>
          <w:rStyle w:val="Char"/>
        </w:rPr>
        <w:t>Tocilizumab</w:t>
      </w:r>
      <w:r w:rsidR="00947D56" w:rsidRPr="00F13073" w:rsidDel="00947D56">
        <w:rPr>
          <w:rStyle w:val="Char"/>
        </w:rPr>
        <w:t xml:space="preserve"> </w:t>
      </w:r>
      <w:r w:rsidRPr="00F13073">
        <w:rPr>
          <w:rStyle w:val="Char"/>
        </w:rPr>
        <w:t xml:space="preserve">podawany podskórnie raz w tygodniu powodował również klinicznie znaczące zmniejszenie ryzyka wystąpienia zaostrzenia u pacjentów, </w:t>
      </w:r>
      <w:r w:rsidRPr="00F13073">
        <w:rPr>
          <w:rStyle w:val="Char"/>
        </w:rPr>
        <w:lastRenderedPageBreak/>
        <w:t>którzy weszli do badania z nawracającym GCA, jak również u pacjentów z pierwszym wystąpieniem choroby, w porównaniu z grupą otrzymującą placebo w skojarzeniu z 26-tygodniową terapią prednizonem (Tabela 4).</w:t>
      </w:r>
    </w:p>
    <w:p w14:paraId="2592D1DC" w14:textId="77777777" w:rsidR="00791B6F" w:rsidRPr="00F13073" w:rsidRDefault="00791B6F" w:rsidP="008B4C50">
      <w:pPr>
        <w:pStyle w:val="a4"/>
        <w:widowControl/>
        <w:spacing w:after="0"/>
      </w:pPr>
    </w:p>
    <w:p w14:paraId="0C89A3A4" w14:textId="77777777" w:rsidR="00791B6F" w:rsidRPr="00F13073" w:rsidRDefault="00791B6F" w:rsidP="008B4C50">
      <w:pPr>
        <w:pStyle w:val="a4"/>
        <w:widowControl/>
        <w:spacing w:after="0"/>
      </w:pPr>
      <w:r w:rsidRPr="00F13073">
        <w:rPr>
          <w:rStyle w:val="Char"/>
          <w:i/>
          <w:iCs/>
        </w:rPr>
        <w:t>Skumulowana dawka glikokortykosteroidów</w:t>
      </w:r>
    </w:p>
    <w:p w14:paraId="17577F55" w14:textId="49836084" w:rsidR="00791B6F" w:rsidRPr="00F13073" w:rsidRDefault="00791B6F" w:rsidP="008B4C50">
      <w:pPr>
        <w:pStyle w:val="a4"/>
        <w:widowControl/>
        <w:spacing w:after="0"/>
      </w:pPr>
      <w:r w:rsidRPr="00F13073">
        <w:rPr>
          <w:rStyle w:val="Char"/>
        </w:rPr>
        <w:t xml:space="preserve">Skumulowana dawka prednizonu w tygodniu 52. była istotnie niższa w obydwu grupach otrzymujących </w:t>
      </w:r>
      <w:r w:rsidR="00947D56" w:rsidRPr="00F13073">
        <w:rPr>
          <w:rStyle w:val="Char"/>
        </w:rPr>
        <w:t>tocilizumab</w:t>
      </w:r>
      <w:r w:rsidRPr="00F13073">
        <w:rPr>
          <w:rStyle w:val="Char"/>
        </w:rPr>
        <w:t xml:space="preserve">, w porównaniu z dwiema grupami placebo (Tabela 4). W oddzielnej analizie pacjentów, którzy otrzymali doraźnie prednizon w leczeniu zaostrzenia GCA w pierwszych 52 tygodniach, skumulowana dawka prednizonu była bardzo zróżnicowana. Mediana dawek stosowanych doraźnie u pacjentów z grupy otrzymującej </w:t>
      </w:r>
      <w:r w:rsidR="00947D56" w:rsidRPr="00F13073">
        <w:rPr>
          <w:rStyle w:val="Char"/>
        </w:rPr>
        <w:t>tocilizumab</w:t>
      </w:r>
      <w:r w:rsidR="00947D56" w:rsidRPr="00F13073" w:rsidDel="00947D56">
        <w:rPr>
          <w:rStyle w:val="Char"/>
        </w:rPr>
        <w:t xml:space="preserve"> </w:t>
      </w:r>
      <w:r w:rsidRPr="00F13073">
        <w:rPr>
          <w:rStyle w:val="Char"/>
        </w:rPr>
        <w:t>raz w tygodniu i raz na dwa tygodnie wyniosła odpowiednio 3129,75 mg i 3847 mg. Obie te wartości były znacząco niższe niż w grupie otrzymującej placebo w skojarzeniu z 26-tygodniową terapią malejącymi dawkami prednizonu i placebo w skojarzeniu z 52-tygodniową terapią malejącymi dawkami prednizonu, które wynosiły odpowiednio 4023,5 mg i 5389,5 mg.</w:t>
      </w:r>
    </w:p>
    <w:p w14:paraId="12BC8E90" w14:textId="77777777" w:rsidR="00E47C6A" w:rsidRPr="00F13073" w:rsidRDefault="00E47C6A" w:rsidP="008B4C50"/>
    <w:p w14:paraId="66B5E401" w14:textId="77777777" w:rsidR="001E0975" w:rsidRPr="00F13073" w:rsidRDefault="00611033" w:rsidP="008B4C50">
      <w:pPr>
        <w:keepNext/>
        <w:ind w:left="1134" w:hanging="1134"/>
        <w:rPr>
          <w:i/>
          <w:iCs/>
        </w:rPr>
      </w:pPr>
      <w:r w:rsidRPr="00F13073">
        <w:rPr>
          <w:i/>
          <w:iCs/>
        </w:rPr>
        <w:lastRenderedPageBreak/>
        <w:t>Tab</w:t>
      </w:r>
      <w:r w:rsidR="00791B6F" w:rsidRPr="00F13073">
        <w:rPr>
          <w:i/>
          <w:iCs/>
        </w:rPr>
        <w:t>e</w:t>
      </w:r>
      <w:r w:rsidRPr="00F13073">
        <w:rPr>
          <w:i/>
          <w:iCs/>
        </w:rPr>
        <w:t>l</w:t>
      </w:r>
      <w:r w:rsidR="00791B6F" w:rsidRPr="00F13073">
        <w:rPr>
          <w:i/>
          <w:iCs/>
        </w:rPr>
        <w:t>a</w:t>
      </w:r>
      <w:r w:rsidRPr="00F13073">
        <w:rPr>
          <w:i/>
          <w:iCs/>
        </w:rPr>
        <w:t xml:space="preserve"> 4.</w:t>
      </w:r>
      <w:r w:rsidR="00E47C6A" w:rsidRPr="00F13073">
        <w:rPr>
          <w:i/>
          <w:iCs/>
        </w:rPr>
        <w:tab/>
      </w:r>
      <w:r w:rsidR="00791B6F" w:rsidRPr="00F13073">
        <w:rPr>
          <w:rStyle w:val="Char"/>
          <w:rFonts w:eastAsia="DengXian"/>
          <w:i/>
          <w:iCs/>
        </w:rPr>
        <w:t xml:space="preserve">Wyniki dotyczące skuteczności w badaniu </w:t>
      </w:r>
      <w:r w:rsidRPr="00F13073">
        <w:rPr>
          <w:i/>
          <w:iCs/>
        </w:rPr>
        <w:t>WA28119</w:t>
      </w:r>
    </w:p>
    <w:p w14:paraId="6AF8F551" w14:textId="77777777" w:rsidR="00E47C6A" w:rsidRPr="00F13073" w:rsidRDefault="00E47C6A" w:rsidP="008B4C50">
      <w:pPr>
        <w:keepNext/>
        <w:ind w:left="1134" w:hanging="1134"/>
        <w:rPr>
          <w:i/>
          <w:iCs/>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109"/>
        <w:gridCol w:w="1126"/>
        <w:gridCol w:w="1074"/>
        <w:gridCol w:w="1362"/>
        <w:gridCol w:w="1385"/>
      </w:tblGrid>
      <w:tr w:rsidR="00791B6F" w:rsidRPr="00F13073" w14:paraId="7EAE15CB" w14:textId="77777777" w:rsidTr="00712261">
        <w:trPr>
          <w:cantSplit/>
          <w:tblHeader/>
        </w:trPr>
        <w:tc>
          <w:tcPr>
            <w:tcW w:w="4139" w:type="dxa"/>
          </w:tcPr>
          <w:p w14:paraId="6BE82766" w14:textId="77777777" w:rsidR="00791B6F" w:rsidRPr="00F13073" w:rsidRDefault="00791B6F" w:rsidP="008B4C50">
            <w:pPr>
              <w:keepNext/>
              <w:suppressAutoHyphens/>
              <w:rPr>
                <w:sz w:val="20"/>
                <w:szCs w:val="20"/>
              </w:rPr>
            </w:pPr>
          </w:p>
        </w:tc>
        <w:tc>
          <w:tcPr>
            <w:tcW w:w="1134" w:type="dxa"/>
          </w:tcPr>
          <w:p w14:paraId="443C6160" w14:textId="184C3A2A" w:rsidR="00791B6F" w:rsidRPr="00F13073" w:rsidRDefault="00791B6F" w:rsidP="006450AF">
            <w:pPr>
              <w:keepNext/>
              <w:suppressAutoHyphens/>
              <w:jc w:val="center"/>
              <w:rPr>
                <w:b/>
                <w:bCs/>
                <w:sz w:val="20"/>
                <w:szCs w:val="20"/>
              </w:rPr>
            </w:pPr>
            <w:r w:rsidRPr="00F13073">
              <w:rPr>
                <w:rStyle w:val="Other"/>
                <w:rFonts w:eastAsia="DengXian"/>
                <w:b/>
                <w:bCs/>
                <w:sz w:val="20"/>
                <w:szCs w:val="20"/>
              </w:rPr>
              <w:t>Placebo + 26-</w:t>
            </w:r>
            <w:r w:rsidR="006775B3" w:rsidRPr="00F13073">
              <w:rPr>
                <w:rStyle w:val="Other"/>
                <w:rFonts w:eastAsia="DengXian"/>
                <w:b/>
                <w:bCs/>
                <w:sz w:val="20"/>
                <w:szCs w:val="20"/>
              </w:rPr>
              <w:t xml:space="preserve"> </w:t>
            </w:r>
            <w:r w:rsidRPr="00F13073">
              <w:rPr>
                <w:rStyle w:val="Other"/>
                <w:rFonts w:eastAsia="DengXian"/>
                <w:b/>
                <w:bCs/>
                <w:sz w:val="20"/>
                <w:szCs w:val="20"/>
              </w:rPr>
              <w:t>tygodniowa terapia malejącymi dawkami prednizonu n=50</w:t>
            </w:r>
          </w:p>
        </w:tc>
        <w:tc>
          <w:tcPr>
            <w:tcW w:w="1082" w:type="dxa"/>
          </w:tcPr>
          <w:p w14:paraId="5B707A50" w14:textId="3F601CB9" w:rsidR="00791B6F" w:rsidRPr="00F13073" w:rsidRDefault="00791B6F" w:rsidP="006450AF">
            <w:pPr>
              <w:keepNext/>
              <w:suppressAutoHyphens/>
              <w:jc w:val="center"/>
              <w:rPr>
                <w:b/>
                <w:bCs/>
                <w:sz w:val="20"/>
                <w:szCs w:val="20"/>
              </w:rPr>
            </w:pPr>
            <w:r w:rsidRPr="00F13073">
              <w:rPr>
                <w:rStyle w:val="Other"/>
                <w:rFonts w:eastAsia="DengXian"/>
                <w:b/>
                <w:bCs/>
                <w:sz w:val="20"/>
                <w:szCs w:val="20"/>
              </w:rPr>
              <w:t>Placebo + 52-</w:t>
            </w:r>
            <w:r w:rsidR="006775B3" w:rsidRPr="00F13073">
              <w:rPr>
                <w:rStyle w:val="Other"/>
                <w:rFonts w:eastAsia="DengXian"/>
                <w:b/>
                <w:bCs/>
                <w:sz w:val="20"/>
                <w:szCs w:val="20"/>
              </w:rPr>
              <w:t xml:space="preserve"> </w:t>
            </w:r>
            <w:r w:rsidRPr="00F13073">
              <w:rPr>
                <w:rStyle w:val="Other"/>
                <w:rFonts w:eastAsia="DengXian"/>
                <w:b/>
                <w:bCs/>
                <w:sz w:val="20"/>
                <w:szCs w:val="20"/>
              </w:rPr>
              <w:t>tygodniowa terapia malejącymi dawkami prednizonu n=51</w:t>
            </w:r>
          </w:p>
        </w:tc>
        <w:tc>
          <w:tcPr>
            <w:tcW w:w="1372" w:type="dxa"/>
          </w:tcPr>
          <w:p w14:paraId="0511321F" w14:textId="501A902D" w:rsidR="00791B6F" w:rsidRPr="00F13073" w:rsidRDefault="00DD7C51" w:rsidP="006450AF">
            <w:pPr>
              <w:keepNext/>
              <w:suppressAutoHyphens/>
              <w:jc w:val="center"/>
              <w:rPr>
                <w:b/>
                <w:bCs/>
                <w:sz w:val="20"/>
                <w:szCs w:val="20"/>
              </w:rPr>
            </w:pPr>
            <w:r w:rsidRPr="00F13073">
              <w:t xml:space="preserve"> </w:t>
            </w:r>
            <w:r w:rsidRPr="00F13073">
              <w:rPr>
                <w:rStyle w:val="Other"/>
                <w:rFonts w:eastAsia="DengXian"/>
                <w:b/>
                <w:bCs/>
                <w:sz w:val="20"/>
                <w:szCs w:val="20"/>
              </w:rPr>
              <w:t>Tocilizumab</w:t>
            </w:r>
            <w:r w:rsidR="00791B6F" w:rsidRPr="00F13073">
              <w:rPr>
                <w:rStyle w:val="Other"/>
                <w:rFonts w:eastAsia="DengXian"/>
                <w:b/>
                <w:bCs/>
                <w:sz w:val="20"/>
                <w:szCs w:val="20"/>
              </w:rPr>
              <w:t xml:space="preserve"> 162 mg SC raz w tygodniu + 26-tygodniowa terapia malejącymi dawkami prednizonu n=100</w:t>
            </w:r>
          </w:p>
        </w:tc>
        <w:tc>
          <w:tcPr>
            <w:tcW w:w="1395" w:type="dxa"/>
          </w:tcPr>
          <w:p w14:paraId="7FBC87AE" w14:textId="261A0197" w:rsidR="00791B6F" w:rsidRPr="00F13073" w:rsidRDefault="00DD7C51" w:rsidP="006450AF">
            <w:pPr>
              <w:keepNext/>
              <w:suppressAutoHyphens/>
              <w:jc w:val="center"/>
              <w:rPr>
                <w:b/>
                <w:bCs/>
                <w:sz w:val="20"/>
                <w:szCs w:val="20"/>
              </w:rPr>
            </w:pPr>
            <w:r w:rsidRPr="00F13073">
              <w:t xml:space="preserve"> </w:t>
            </w:r>
            <w:r w:rsidRPr="00F13073">
              <w:rPr>
                <w:rStyle w:val="Other"/>
                <w:rFonts w:eastAsia="DengXian"/>
                <w:b/>
                <w:bCs/>
                <w:sz w:val="20"/>
                <w:szCs w:val="20"/>
              </w:rPr>
              <w:t>Tocilizumab</w:t>
            </w:r>
            <w:r w:rsidR="00791B6F" w:rsidRPr="00F13073">
              <w:rPr>
                <w:rStyle w:val="Other"/>
                <w:rFonts w:eastAsia="DengXian"/>
                <w:b/>
                <w:bCs/>
                <w:sz w:val="20"/>
                <w:szCs w:val="20"/>
              </w:rPr>
              <w:t xml:space="preserve"> 162 mg SC co dwa tygodnie + 26-tygodniowa terapia malejącymi dawkami prednizonu n=49</w:t>
            </w:r>
          </w:p>
        </w:tc>
      </w:tr>
      <w:tr w:rsidR="00791B6F" w:rsidRPr="00F13073" w14:paraId="12731EC1" w14:textId="77777777" w:rsidTr="00712261">
        <w:trPr>
          <w:cantSplit/>
          <w:tblHeader/>
        </w:trPr>
        <w:tc>
          <w:tcPr>
            <w:tcW w:w="9122" w:type="dxa"/>
            <w:gridSpan w:val="5"/>
          </w:tcPr>
          <w:p w14:paraId="7787090D" w14:textId="77777777" w:rsidR="00791B6F" w:rsidRPr="00F13073" w:rsidRDefault="00791B6F" w:rsidP="008B4C50">
            <w:pPr>
              <w:keepNext/>
              <w:suppressAutoHyphens/>
              <w:rPr>
                <w:b/>
                <w:bCs/>
                <w:sz w:val="20"/>
                <w:szCs w:val="20"/>
              </w:rPr>
            </w:pPr>
            <w:r w:rsidRPr="00F13073">
              <w:rPr>
                <w:b/>
                <w:bCs/>
                <w:sz w:val="20"/>
                <w:szCs w:val="20"/>
              </w:rPr>
              <w:t>Pierwszorzędowy punkt końcowy</w:t>
            </w:r>
          </w:p>
        </w:tc>
      </w:tr>
      <w:tr w:rsidR="00791B6F" w:rsidRPr="00F13073" w14:paraId="01005391" w14:textId="77777777" w:rsidTr="00712261">
        <w:trPr>
          <w:cantSplit/>
          <w:tblHeader/>
        </w:trPr>
        <w:tc>
          <w:tcPr>
            <w:tcW w:w="9122" w:type="dxa"/>
            <w:gridSpan w:val="5"/>
          </w:tcPr>
          <w:p w14:paraId="656F7C4C" w14:textId="77777777" w:rsidR="00791B6F" w:rsidRPr="00F13073" w:rsidRDefault="00791B6F" w:rsidP="008B4C50">
            <w:pPr>
              <w:keepNext/>
              <w:suppressAutoHyphens/>
              <w:rPr>
                <w:sz w:val="20"/>
                <w:szCs w:val="20"/>
              </w:rPr>
            </w:pPr>
            <w:r w:rsidRPr="00F13073">
              <w:rPr>
                <w:sz w:val="20"/>
                <w:szCs w:val="20"/>
              </w:rPr>
              <w:t xml:space="preserve">Trwała remisja (grupy przyjmujące tocilizumab w por. z placebo+26) </w:t>
            </w:r>
          </w:p>
        </w:tc>
      </w:tr>
      <w:tr w:rsidR="00791B6F" w:rsidRPr="00F13073" w14:paraId="0E2A6A07" w14:textId="77777777" w:rsidTr="00712261">
        <w:trPr>
          <w:cantSplit/>
          <w:tblHeader/>
        </w:trPr>
        <w:tc>
          <w:tcPr>
            <w:tcW w:w="4139" w:type="dxa"/>
          </w:tcPr>
          <w:p w14:paraId="0492A0FF" w14:textId="77777777" w:rsidR="00791B6F" w:rsidRPr="00F13073" w:rsidRDefault="00791B6F" w:rsidP="008B4C50">
            <w:pPr>
              <w:suppressAutoHyphens/>
              <w:ind w:left="283"/>
              <w:rPr>
                <w:sz w:val="20"/>
                <w:szCs w:val="20"/>
              </w:rPr>
            </w:pPr>
            <w:r w:rsidRPr="00F13073">
              <w:rPr>
                <w:sz w:val="20"/>
                <w:szCs w:val="20"/>
              </w:rPr>
              <w:t>Pacjenci z odpowiedzią w tygodniu 52., n (%)</w:t>
            </w:r>
          </w:p>
        </w:tc>
        <w:tc>
          <w:tcPr>
            <w:tcW w:w="1134" w:type="dxa"/>
          </w:tcPr>
          <w:p w14:paraId="0836F669" w14:textId="77777777" w:rsidR="00791B6F" w:rsidRPr="00F13073" w:rsidRDefault="00791B6F" w:rsidP="006450AF">
            <w:pPr>
              <w:suppressAutoHyphens/>
              <w:jc w:val="center"/>
              <w:rPr>
                <w:sz w:val="20"/>
                <w:szCs w:val="20"/>
              </w:rPr>
            </w:pPr>
            <w:r w:rsidRPr="00F13073">
              <w:rPr>
                <w:sz w:val="20"/>
                <w:szCs w:val="20"/>
              </w:rPr>
              <w:t>7 (14%)</w:t>
            </w:r>
          </w:p>
        </w:tc>
        <w:tc>
          <w:tcPr>
            <w:tcW w:w="1082" w:type="dxa"/>
          </w:tcPr>
          <w:p w14:paraId="3F97D9B8" w14:textId="77777777" w:rsidR="00791B6F" w:rsidRPr="00F13073" w:rsidRDefault="00791B6F" w:rsidP="006450AF">
            <w:pPr>
              <w:suppressAutoHyphens/>
              <w:jc w:val="center"/>
              <w:rPr>
                <w:sz w:val="20"/>
                <w:szCs w:val="20"/>
              </w:rPr>
            </w:pPr>
            <w:r w:rsidRPr="00F13073">
              <w:rPr>
                <w:sz w:val="20"/>
                <w:szCs w:val="20"/>
              </w:rPr>
              <w:t>9 (17,6%)</w:t>
            </w:r>
          </w:p>
        </w:tc>
        <w:tc>
          <w:tcPr>
            <w:tcW w:w="1372" w:type="dxa"/>
          </w:tcPr>
          <w:p w14:paraId="3F882B90" w14:textId="77777777" w:rsidR="00791B6F" w:rsidRPr="00F13073" w:rsidRDefault="00791B6F" w:rsidP="006450AF">
            <w:pPr>
              <w:suppressAutoHyphens/>
              <w:jc w:val="center"/>
              <w:rPr>
                <w:sz w:val="20"/>
                <w:szCs w:val="20"/>
              </w:rPr>
            </w:pPr>
            <w:r w:rsidRPr="00F13073">
              <w:rPr>
                <w:sz w:val="20"/>
                <w:szCs w:val="20"/>
              </w:rPr>
              <w:t>56 (56%)</w:t>
            </w:r>
          </w:p>
        </w:tc>
        <w:tc>
          <w:tcPr>
            <w:tcW w:w="1395" w:type="dxa"/>
          </w:tcPr>
          <w:p w14:paraId="65FBF672" w14:textId="77777777" w:rsidR="00791B6F" w:rsidRPr="00F13073" w:rsidRDefault="00791B6F" w:rsidP="006450AF">
            <w:pPr>
              <w:suppressAutoHyphens/>
              <w:jc w:val="center"/>
              <w:rPr>
                <w:sz w:val="20"/>
                <w:szCs w:val="20"/>
              </w:rPr>
            </w:pPr>
            <w:r w:rsidRPr="00F13073">
              <w:rPr>
                <w:sz w:val="20"/>
                <w:szCs w:val="20"/>
              </w:rPr>
              <w:t>26 (53,1%)</w:t>
            </w:r>
          </w:p>
        </w:tc>
      </w:tr>
      <w:tr w:rsidR="00791B6F" w:rsidRPr="00F13073" w14:paraId="70B3F1A4" w14:textId="77777777" w:rsidTr="00712261">
        <w:trPr>
          <w:cantSplit/>
          <w:tblHeader/>
        </w:trPr>
        <w:tc>
          <w:tcPr>
            <w:tcW w:w="4139" w:type="dxa"/>
          </w:tcPr>
          <w:p w14:paraId="0C3256A1" w14:textId="77777777" w:rsidR="00791B6F" w:rsidRPr="00F13073" w:rsidRDefault="00791B6F" w:rsidP="008B4C50">
            <w:pPr>
              <w:suppressAutoHyphens/>
              <w:ind w:left="283"/>
              <w:rPr>
                <w:sz w:val="20"/>
                <w:szCs w:val="20"/>
              </w:rPr>
            </w:pPr>
            <w:r w:rsidRPr="00F13073">
              <w:rPr>
                <w:sz w:val="20"/>
                <w:szCs w:val="20"/>
              </w:rPr>
              <w:t xml:space="preserve">Nieskorygowana różnica w odsetkach </w:t>
            </w:r>
            <w:r w:rsidRPr="00F13073">
              <w:rPr>
                <w:sz w:val="20"/>
                <w:szCs w:val="20"/>
              </w:rPr>
              <w:br/>
              <w:t>(99,5% CI)</w:t>
            </w:r>
          </w:p>
        </w:tc>
        <w:tc>
          <w:tcPr>
            <w:tcW w:w="1134" w:type="dxa"/>
          </w:tcPr>
          <w:p w14:paraId="023207ED" w14:textId="77777777" w:rsidR="00791B6F" w:rsidRPr="00F13073" w:rsidRDefault="00791B6F" w:rsidP="006450AF">
            <w:pPr>
              <w:suppressAutoHyphens/>
              <w:jc w:val="center"/>
              <w:rPr>
                <w:sz w:val="20"/>
                <w:szCs w:val="20"/>
              </w:rPr>
            </w:pPr>
            <w:r w:rsidRPr="00F13073">
              <w:rPr>
                <w:sz w:val="20"/>
                <w:szCs w:val="20"/>
              </w:rPr>
              <w:t>N/A</w:t>
            </w:r>
          </w:p>
        </w:tc>
        <w:tc>
          <w:tcPr>
            <w:tcW w:w="1082" w:type="dxa"/>
          </w:tcPr>
          <w:p w14:paraId="5466D3BB" w14:textId="77777777" w:rsidR="00791B6F" w:rsidRPr="00F13073" w:rsidRDefault="00791B6F" w:rsidP="006450AF">
            <w:pPr>
              <w:suppressAutoHyphens/>
              <w:jc w:val="center"/>
              <w:rPr>
                <w:sz w:val="20"/>
                <w:szCs w:val="20"/>
              </w:rPr>
            </w:pPr>
            <w:r w:rsidRPr="00F13073">
              <w:rPr>
                <w:sz w:val="20"/>
                <w:szCs w:val="20"/>
              </w:rPr>
              <w:t>N/A</w:t>
            </w:r>
          </w:p>
        </w:tc>
        <w:tc>
          <w:tcPr>
            <w:tcW w:w="1372" w:type="dxa"/>
          </w:tcPr>
          <w:p w14:paraId="07D59577" w14:textId="77777777" w:rsidR="00791B6F" w:rsidRPr="00F13073" w:rsidRDefault="00791B6F" w:rsidP="006450AF">
            <w:pPr>
              <w:suppressAutoHyphens/>
              <w:jc w:val="center"/>
              <w:rPr>
                <w:sz w:val="20"/>
                <w:szCs w:val="20"/>
              </w:rPr>
            </w:pPr>
            <w:r w:rsidRPr="00F13073">
              <w:rPr>
                <w:sz w:val="20"/>
                <w:szCs w:val="20"/>
              </w:rPr>
              <w:t>42%*</w:t>
            </w:r>
          </w:p>
          <w:p w14:paraId="27D3A942" w14:textId="77777777" w:rsidR="00791B6F" w:rsidRPr="00F13073" w:rsidRDefault="00791B6F" w:rsidP="006450AF">
            <w:pPr>
              <w:suppressAutoHyphens/>
              <w:jc w:val="center"/>
              <w:rPr>
                <w:sz w:val="20"/>
                <w:szCs w:val="20"/>
              </w:rPr>
            </w:pPr>
            <w:r w:rsidRPr="00F13073">
              <w:rPr>
                <w:sz w:val="20"/>
                <w:szCs w:val="20"/>
              </w:rPr>
              <w:t>(18,00; 66,00)</w:t>
            </w:r>
          </w:p>
        </w:tc>
        <w:tc>
          <w:tcPr>
            <w:tcW w:w="1395" w:type="dxa"/>
          </w:tcPr>
          <w:p w14:paraId="7E111733" w14:textId="77777777" w:rsidR="00791B6F" w:rsidRPr="00F13073" w:rsidRDefault="00791B6F" w:rsidP="006450AF">
            <w:pPr>
              <w:suppressAutoHyphens/>
              <w:jc w:val="center"/>
              <w:rPr>
                <w:sz w:val="20"/>
                <w:szCs w:val="20"/>
              </w:rPr>
            </w:pPr>
            <w:r w:rsidRPr="00F13073">
              <w:rPr>
                <w:sz w:val="20"/>
                <w:szCs w:val="20"/>
              </w:rPr>
              <w:t xml:space="preserve">39,06%* </w:t>
            </w:r>
            <w:r w:rsidRPr="00F13073">
              <w:rPr>
                <w:sz w:val="20"/>
                <w:szCs w:val="20"/>
              </w:rPr>
              <w:br/>
              <w:t>(12,46; 65,66)</w:t>
            </w:r>
          </w:p>
        </w:tc>
      </w:tr>
      <w:tr w:rsidR="00E47C6A" w:rsidRPr="00F13073" w14:paraId="2EC78233" w14:textId="77777777" w:rsidTr="00712261">
        <w:trPr>
          <w:cantSplit/>
          <w:tblHeader/>
        </w:trPr>
        <w:tc>
          <w:tcPr>
            <w:tcW w:w="9122" w:type="dxa"/>
            <w:gridSpan w:val="5"/>
          </w:tcPr>
          <w:p w14:paraId="424A12FE" w14:textId="77777777" w:rsidR="00E47C6A" w:rsidRPr="00F13073" w:rsidRDefault="007A6617" w:rsidP="008B4C50">
            <w:pPr>
              <w:keepNext/>
              <w:suppressAutoHyphens/>
              <w:rPr>
                <w:b/>
                <w:bCs/>
                <w:sz w:val="20"/>
                <w:szCs w:val="20"/>
              </w:rPr>
            </w:pPr>
            <w:r w:rsidRPr="00F13073">
              <w:rPr>
                <w:b/>
                <w:bCs/>
                <w:sz w:val="20"/>
                <w:szCs w:val="20"/>
              </w:rPr>
              <w:t>Najważniejszy drugorzędowy punkt końcowy</w:t>
            </w:r>
          </w:p>
        </w:tc>
      </w:tr>
      <w:tr w:rsidR="00E47C6A" w:rsidRPr="00F13073" w14:paraId="7F80E416" w14:textId="77777777" w:rsidTr="00712261">
        <w:trPr>
          <w:cantSplit/>
          <w:tblHeader/>
        </w:trPr>
        <w:tc>
          <w:tcPr>
            <w:tcW w:w="9122" w:type="dxa"/>
            <w:gridSpan w:val="5"/>
          </w:tcPr>
          <w:p w14:paraId="36DAB5E5" w14:textId="77777777" w:rsidR="00E47C6A" w:rsidRPr="00F13073" w:rsidRDefault="007A6617" w:rsidP="008B4C50">
            <w:pPr>
              <w:keepNext/>
              <w:suppressAutoHyphens/>
              <w:rPr>
                <w:sz w:val="20"/>
                <w:szCs w:val="20"/>
              </w:rPr>
            </w:pPr>
            <w:r w:rsidRPr="00F13073">
              <w:rPr>
                <w:sz w:val="20"/>
                <w:szCs w:val="20"/>
              </w:rPr>
              <w:t>Trwała remisja (grupy przyjmujące tocilizumab w por. z placebo</w:t>
            </w:r>
            <w:r w:rsidR="00E47C6A" w:rsidRPr="00F13073">
              <w:rPr>
                <w:sz w:val="20"/>
                <w:szCs w:val="20"/>
              </w:rPr>
              <w:t>+52)</w:t>
            </w:r>
          </w:p>
        </w:tc>
      </w:tr>
      <w:tr w:rsidR="007A6617" w:rsidRPr="00F13073" w14:paraId="68C104A7" w14:textId="77777777" w:rsidTr="00712261">
        <w:trPr>
          <w:cantSplit/>
          <w:tblHeader/>
        </w:trPr>
        <w:tc>
          <w:tcPr>
            <w:tcW w:w="4139" w:type="dxa"/>
          </w:tcPr>
          <w:p w14:paraId="0EBB0E4A" w14:textId="77777777" w:rsidR="007A6617" w:rsidRPr="00F13073" w:rsidRDefault="007A6617" w:rsidP="008B4C50">
            <w:pPr>
              <w:suppressAutoHyphens/>
              <w:ind w:left="283"/>
              <w:rPr>
                <w:sz w:val="20"/>
                <w:szCs w:val="20"/>
              </w:rPr>
            </w:pPr>
            <w:r w:rsidRPr="00F13073">
              <w:rPr>
                <w:sz w:val="20"/>
                <w:szCs w:val="20"/>
              </w:rPr>
              <w:t>Pacjenci z odpowiedzią w tygodniu 52., n (%)</w:t>
            </w:r>
          </w:p>
        </w:tc>
        <w:tc>
          <w:tcPr>
            <w:tcW w:w="1134" w:type="dxa"/>
          </w:tcPr>
          <w:p w14:paraId="391FEEBF" w14:textId="77777777" w:rsidR="007A6617" w:rsidRPr="00F13073" w:rsidRDefault="007A6617" w:rsidP="006450AF">
            <w:pPr>
              <w:suppressAutoHyphens/>
              <w:jc w:val="center"/>
              <w:rPr>
                <w:sz w:val="20"/>
                <w:szCs w:val="20"/>
              </w:rPr>
            </w:pPr>
            <w:r w:rsidRPr="00F13073">
              <w:rPr>
                <w:sz w:val="20"/>
                <w:szCs w:val="20"/>
              </w:rPr>
              <w:t>7 (14%)</w:t>
            </w:r>
          </w:p>
        </w:tc>
        <w:tc>
          <w:tcPr>
            <w:tcW w:w="1082" w:type="dxa"/>
          </w:tcPr>
          <w:p w14:paraId="1916E244" w14:textId="77777777" w:rsidR="007A6617" w:rsidRPr="00F13073" w:rsidRDefault="007A6617" w:rsidP="006450AF">
            <w:pPr>
              <w:suppressAutoHyphens/>
              <w:jc w:val="center"/>
              <w:rPr>
                <w:sz w:val="20"/>
                <w:szCs w:val="20"/>
              </w:rPr>
            </w:pPr>
            <w:r w:rsidRPr="00F13073">
              <w:rPr>
                <w:sz w:val="20"/>
                <w:szCs w:val="20"/>
              </w:rPr>
              <w:t>9 (17,6%)</w:t>
            </w:r>
          </w:p>
        </w:tc>
        <w:tc>
          <w:tcPr>
            <w:tcW w:w="1372" w:type="dxa"/>
          </w:tcPr>
          <w:p w14:paraId="1DF30C1E" w14:textId="77777777" w:rsidR="007A6617" w:rsidRPr="00F13073" w:rsidRDefault="007A6617" w:rsidP="006450AF">
            <w:pPr>
              <w:suppressAutoHyphens/>
              <w:jc w:val="center"/>
              <w:rPr>
                <w:sz w:val="20"/>
                <w:szCs w:val="20"/>
              </w:rPr>
            </w:pPr>
            <w:r w:rsidRPr="00F13073">
              <w:rPr>
                <w:sz w:val="20"/>
                <w:szCs w:val="20"/>
              </w:rPr>
              <w:t>56 (56%)</w:t>
            </w:r>
          </w:p>
        </w:tc>
        <w:tc>
          <w:tcPr>
            <w:tcW w:w="1395" w:type="dxa"/>
          </w:tcPr>
          <w:p w14:paraId="1024A455" w14:textId="77777777" w:rsidR="007A6617" w:rsidRPr="00F13073" w:rsidRDefault="007A6617" w:rsidP="006450AF">
            <w:pPr>
              <w:suppressAutoHyphens/>
              <w:jc w:val="center"/>
              <w:rPr>
                <w:sz w:val="20"/>
                <w:szCs w:val="20"/>
              </w:rPr>
            </w:pPr>
            <w:r w:rsidRPr="00F13073">
              <w:rPr>
                <w:sz w:val="20"/>
                <w:szCs w:val="20"/>
              </w:rPr>
              <w:t>26 (53,1%)</w:t>
            </w:r>
          </w:p>
        </w:tc>
      </w:tr>
      <w:tr w:rsidR="007A6617" w:rsidRPr="00F13073" w14:paraId="1531E0D9" w14:textId="77777777" w:rsidTr="00712261">
        <w:trPr>
          <w:cantSplit/>
          <w:tblHeader/>
        </w:trPr>
        <w:tc>
          <w:tcPr>
            <w:tcW w:w="4139" w:type="dxa"/>
          </w:tcPr>
          <w:p w14:paraId="4FDC6836" w14:textId="77777777" w:rsidR="007A6617" w:rsidRPr="00F13073" w:rsidRDefault="007A6617" w:rsidP="008B4C50">
            <w:pPr>
              <w:suppressAutoHyphens/>
              <w:ind w:left="283"/>
              <w:rPr>
                <w:sz w:val="20"/>
                <w:szCs w:val="20"/>
              </w:rPr>
            </w:pPr>
            <w:r w:rsidRPr="00F13073">
              <w:rPr>
                <w:sz w:val="20"/>
                <w:szCs w:val="20"/>
              </w:rPr>
              <w:t xml:space="preserve">Nieskorygowana różnica w odsetkach </w:t>
            </w:r>
            <w:r w:rsidRPr="00F13073">
              <w:rPr>
                <w:sz w:val="20"/>
                <w:szCs w:val="20"/>
              </w:rPr>
              <w:br/>
              <w:t>(99,5% CI)</w:t>
            </w:r>
          </w:p>
        </w:tc>
        <w:tc>
          <w:tcPr>
            <w:tcW w:w="1134" w:type="dxa"/>
          </w:tcPr>
          <w:p w14:paraId="5596CEE2" w14:textId="77777777" w:rsidR="007A6617" w:rsidRPr="00F13073" w:rsidRDefault="007A6617" w:rsidP="006450AF">
            <w:pPr>
              <w:suppressAutoHyphens/>
              <w:jc w:val="center"/>
              <w:rPr>
                <w:sz w:val="20"/>
                <w:szCs w:val="20"/>
              </w:rPr>
            </w:pPr>
            <w:r w:rsidRPr="00F13073">
              <w:rPr>
                <w:sz w:val="20"/>
                <w:szCs w:val="20"/>
              </w:rPr>
              <w:t>N/A</w:t>
            </w:r>
          </w:p>
        </w:tc>
        <w:tc>
          <w:tcPr>
            <w:tcW w:w="1082" w:type="dxa"/>
          </w:tcPr>
          <w:p w14:paraId="158BAA31" w14:textId="77777777" w:rsidR="007A6617" w:rsidRPr="00F13073" w:rsidRDefault="007A6617" w:rsidP="006450AF">
            <w:pPr>
              <w:suppressAutoHyphens/>
              <w:jc w:val="center"/>
              <w:rPr>
                <w:sz w:val="20"/>
                <w:szCs w:val="20"/>
              </w:rPr>
            </w:pPr>
            <w:r w:rsidRPr="00F13073">
              <w:rPr>
                <w:sz w:val="20"/>
                <w:szCs w:val="20"/>
              </w:rPr>
              <w:t>N/A</w:t>
            </w:r>
          </w:p>
        </w:tc>
        <w:tc>
          <w:tcPr>
            <w:tcW w:w="1372" w:type="dxa"/>
          </w:tcPr>
          <w:p w14:paraId="2A0CD778" w14:textId="77777777" w:rsidR="007A6617" w:rsidRPr="00F13073" w:rsidRDefault="007A6617" w:rsidP="006450AF">
            <w:pPr>
              <w:suppressAutoHyphens/>
              <w:jc w:val="center"/>
              <w:rPr>
                <w:rStyle w:val="Other"/>
                <w:rFonts w:eastAsia="DengXian"/>
                <w:sz w:val="20"/>
                <w:szCs w:val="20"/>
              </w:rPr>
            </w:pPr>
            <w:r w:rsidRPr="00F13073">
              <w:rPr>
                <w:rStyle w:val="Other"/>
                <w:rFonts w:eastAsia="DengXian"/>
                <w:sz w:val="20"/>
                <w:szCs w:val="20"/>
              </w:rPr>
              <w:t>38,35%*</w:t>
            </w:r>
          </w:p>
          <w:p w14:paraId="49B2DCE0" w14:textId="77777777" w:rsidR="007A6617" w:rsidRPr="00F13073" w:rsidRDefault="007A6617" w:rsidP="006450AF">
            <w:pPr>
              <w:suppressAutoHyphens/>
              <w:jc w:val="center"/>
              <w:rPr>
                <w:sz w:val="20"/>
                <w:szCs w:val="20"/>
              </w:rPr>
            </w:pPr>
            <w:r w:rsidRPr="00F13073">
              <w:rPr>
                <w:rStyle w:val="Other"/>
                <w:rFonts w:eastAsia="DengXian"/>
                <w:sz w:val="20"/>
                <w:szCs w:val="20"/>
              </w:rPr>
              <w:t>(17,89; 58,81)</w:t>
            </w:r>
          </w:p>
        </w:tc>
        <w:tc>
          <w:tcPr>
            <w:tcW w:w="1395" w:type="dxa"/>
          </w:tcPr>
          <w:p w14:paraId="6DD065BF" w14:textId="77777777" w:rsidR="007A6617" w:rsidRPr="00F13073" w:rsidRDefault="007A6617" w:rsidP="006450AF">
            <w:pPr>
              <w:suppressAutoHyphens/>
              <w:jc w:val="center"/>
              <w:rPr>
                <w:rStyle w:val="Other"/>
                <w:rFonts w:eastAsia="DengXian"/>
                <w:sz w:val="20"/>
                <w:szCs w:val="20"/>
              </w:rPr>
            </w:pPr>
            <w:r w:rsidRPr="00F13073">
              <w:rPr>
                <w:rStyle w:val="Other"/>
                <w:rFonts w:eastAsia="DengXian"/>
                <w:sz w:val="20"/>
                <w:szCs w:val="20"/>
              </w:rPr>
              <w:t>35,41%**</w:t>
            </w:r>
          </w:p>
          <w:p w14:paraId="6EDC5190" w14:textId="77777777" w:rsidR="007A6617" w:rsidRPr="00F13073" w:rsidRDefault="007A6617" w:rsidP="006450AF">
            <w:pPr>
              <w:suppressAutoHyphens/>
              <w:jc w:val="center"/>
              <w:rPr>
                <w:sz w:val="20"/>
                <w:szCs w:val="20"/>
              </w:rPr>
            </w:pPr>
            <w:r w:rsidRPr="00F13073">
              <w:rPr>
                <w:rStyle w:val="Other"/>
                <w:rFonts w:eastAsia="DengXian"/>
                <w:sz w:val="20"/>
                <w:szCs w:val="20"/>
              </w:rPr>
              <w:t>(10,41 ;60,41)</w:t>
            </w:r>
          </w:p>
        </w:tc>
      </w:tr>
      <w:tr w:rsidR="00827CF4" w:rsidRPr="00F13073" w14:paraId="4AC8B90E" w14:textId="77777777" w:rsidTr="00712261">
        <w:trPr>
          <w:cantSplit/>
          <w:tblHeader/>
        </w:trPr>
        <w:tc>
          <w:tcPr>
            <w:tcW w:w="9122" w:type="dxa"/>
            <w:gridSpan w:val="5"/>
          </w:tcPr>
          <w:p w14:paraId="358BAF16" w14:textId="77777777" w:rsidR="00827CF4" w:rsidRPr="00F13073" w:rsidRDefault="00827CF4" w:rsidP="008B4C50">
            <w:pPr>
              <w:keepNext/>
              <w:suppressAutoHyphens/>
              <w:rPr>
                <w:b/>
                <w:bCs/>
                <w:sz w:val="20"/>
                <w:szCs w:val="20"/>
              </w:rPr>
            </w:pPr>
            <w:r w:rsidRPr="00F13073">
              <w:rPr>
                <w:b/>
                <w:bCs/>
                <w:sz w:val="20"/>
                <w:szCs w:val="20"/>
              </w:rPr>
              <w:t>Inne drugorzędowe punkty końcowe</w:t>
            </w:r>
          </w:p>
        </w:tc>
      </w:tr>
      <w:tr w:rsidR="00827CF4" w:rsidRPr="00F13073" w14:paraId="5EF63850" w14:textId="77777777" w:rsidTr="00712261">
        <w:trPr>
          <w:cantSplit/>
          <w:tblHeader/>
        </w:trPr>
        <w:tc>
          <w:tcPr>
            <w:tcW w:w="4139" w:type="dxa"/>
          </w:tcPr>
          <w:p w14:paraId="117034AA"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(grupy tocilizumabu w por. z placebo+26)</w:t>
            </w:r>
          </w:p>
          <w:p w14:paraId="18A12AC9" w14:textId="77777777" w:rsidR="00827CF4" w:rsidRPr="00F13073" w:rsidRDefault="00827CF4" w:rsidP="006775B3">
            <w:pPr>
              <w:suppressAutoHyphens/>
              <w:jc w:val="center"/>
              <w:rPr>
                <w:sz w:val="20"/>
                <w:szCs w:val="20"/>
              </w:rPr>
            </w:pPr>
            <w:r w:rsidRPr="00F13073">
              <w:rPr>
                <w:sz w:val="20"/>
                <w:szCs w:val="20"/>
              </w:rPr>
              <w:t>HR (99% CI)</w:t>
            </w:r>
          </w:p>
          <w:p w14:paraId="79F3305E"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(grupy tocilizumabu w por. z placebo+52)</w:t>
            </w:r>
          </w:p>
          <w:p w14:paraId="01936DB4" w14:textId="77777777" w:rsidR="00827CF4" w:rsidRPr="00F13073" w:rsidRDefault="00827CF4" w:rsidP="006775B3">
            <w:pPr>
              <w:suppressAutoHyphens/>
              <w:jc w:val="center"/>
              <w:rPr>
                <w:sz w:val="20"/>
                <w:szCs w:val="20"/>
              </w:rPr>
            </w:pPr>
            <w:r w:rsidRPr="00F13073">
              <w:rPr>
                <w:sz w:val="20"/>
                <w:szCs w:val="20"/>
              </w:rPr>
              <w:t>HR (99% CI)</w:t>
            </w:r>
          </w:p>
          <w:p w14:paraId="0FE44712"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(pacjenci z nawrotem; grupy przyjmujące tocilizumab w por. z placebo+26) HR (99% CI) </w:t>
            </w:r>
          </w:p>
          <w:p w14:paraId="43872541"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(pacjenci z pierwszym wystąpieniem GCA; grupy przyjmujące tocilizumab w por. z placebo + 52) HR (99% CI) </w:t>
            </w:r>
          </w:p>
          <w:p w14:paraId="32ACF7EF"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(pacjenci z pierwszym wystąpieniem GCA; grupy przyjmujące tocilizumab w por. z placebo +26) HR (99% CI) </w:t>
            </w:r>
          </w:p>
          <w:p w14:paraId="30B0485E" w14:textId="77777777" w:rsidR="00827CF4" w:rsidRPr="00F13073" w:rsidRDefault="00827CF4" w:rsidP="008B4C50">
            <w:pPr>
              <w:suppressAutoHyphens/>
              <w:rPr>
                <w:sz w:val="20"/>
                <w:szCs w:val="20"/>
              </w:rPr>
            </w:pPr>
            <w:r w:rsidRPr="00F13073">
              <w:rPr>
                <w:sz w:val="20"/>
                <w:szCs w:val="20"/>
              </w:rPr>
              <w:t>Czas do pierwszego zaostrzenia GCA</w:t>
            </w:r>
            <w:r w:rsidRPr="00F13073">
              <w:rPr>
                <w:sz w:val="20"/>
                <w:szCs w:val="20"/>
                <w:vertAlign w:val="superscript"/>
              </w:rPr>
              <w:t>1</w:t>
            </w:r>
            <w:r w:rsidRPr="00F13073">
              <w:rPr>
                <w:sz w:val="20"/>
                <w:szCs w:val="20"/>
              </w:rPr>
              <w:t xml:space="preserve"> (pacjenci z pierwszym wystąpieniem GCA; grupy przyjmujące tocilizumab w por. z placebo + 52) HR (99% CI)</w:t>
            </w:r>
          </w:p>
        </w:tc>
        <w:tc>
          <w:tcPr>
            <w:tcW w:w="1134" w:type="dxa"/>
          </w:tcPr>
          <w:p w14:paraId="75D50EFE" w14:textId="77777777" w:rsidR="00827CF4" w:rsidRPr="00127FBE" w:rsidRDefault="00827CF4" w:rsidP="006450AF">
            <w:pPr>
              <w:suppressAutoHyphens/>
              <w:jc w:val="center"/>
              <w:rPr>
                <w:sz w:val="20"/>
                <w:szCs w:val="20"/>
                <w:lang w:val="en-GB"/>
              </w:rPr>
            </w:pPr>
            <w:r w:rsidRPr="00127FBE">
              <w:rPr>
                <w:sz w:val="20"/>
                <w:szCs w:val="20"/>
                <w:lang w:val="en-GB"/>
              </w:rPr>
              <w:t>N/A</w:t>
            </w:r>
          </w:p>
          <w:p w14:paraId="09AD261B" w14:textId="77777777" w:rsidR="00827CF4" w:rsidRPr="00127FBE" w:rsidRDefault="00827CF4" w:rsidP="006450AF">
            <w:pPr>
              <w:suppressAutoHyphens/>
              <w:jc w:val="center"/>
              <w:rPr>
                <w:sz w:val="20"/>
                <w:szCs w:val="20"/>
                <w:lang w:val="en-GB"/>
              </w:rPr>
            </w:pPr>
          </w:p>
          <w:p w14:paraId="529B88CA" w14:textId="77777777" w:rsidR="00827CF4" w:rsidRPr="00127FBE" w:rsidRDefault="00827CF4" w:rsidP="006450AF">
            <w:pPr>
              <w:suppressAutoHyphens/>
              <w:jc w:val="center"/>
              <w:rPr>
                <w:sz w:val="20"/>
                <w:szCs w:val="20"/>
                <w:lang w:val="en-GB"/>
              </w:rPr>
            </w:pPr>
          </w:p>
          <w:p w14:paraId="33DB82F4" w14:textId="77777777" w:rsidR="00827CF4" w:rsidRPr="00127FBE" w:rsidRDefault="00827CF4" w:rsidP="006450AF">
            <w:pPr>
              <w:suppressAutoHyphens/>
              <w:jc w:val="center"/>
              <w:rPr>
                <w:sz w:val="20"/>
                <w:szCs w:val="20"/>
                <w:lang w:val="en-GB"/>
              </w:rPr>
            </w:pPr>
            <w:r w:rsidRPr="00127FBE">
              <w:rPr>
                <w:sz w:val="20"/>
                <w:szCs w:val="20"/>
                <w:lang w:val="en-GB"/>
              </w:rPr>
              <w:t>N/A</w:t>
            </w:r>
          </w:p>
          <w:p w14:paraId="073B8EC1" w14:textId="77777777" w:rsidR="00827CF4" w:rsidRPr="00127FBE" w:rsidRDefault="00827CF4" w:rsidP="006450AF">
            <w:pPr>
              <w:suppressAutoHyphens/>
              <w:jc w:val="center"/>
              <w:rPr>
                <w:sz w:val="20"/>
                <w:szCs w:val="20"/>
                <w:lang w:val="en-GB"/>
              </w:rPr>
            </w:pPr>
          </w:p>
          <w:p w14:paraId="12E039DD" w14:textId="77777777" w:rsidR="00827CF4" w:rsidRPr="00127FBE" w:rsidRDefault="00827CF4" w:rsidP="006450AF">
            <w:pPr>
              <w:suppressAutoHyphens/>
              <w:jc w:val="center"/>
              <w:rPr>
                <w:sz w:val="20"/>
                <w:szCs w:val="20"/>
                <w:lang w:val="en-GB"/>
              </w:rPr>
            </w:pPr>
          </w:p>
          <w:p w14:paraId="3F188C28" w14:textId="77777777" w:rsidR="00827CF4" w:rsidRPr="00127FBE" w:rsidRDefault="00827CF4" w:rsidP="006450AF">
            <w:pPr>
              <w:suppressAutoHyphens/>
              <w:jc w:val="center"/>
              <w:rPr>
                <w:sz w:val="20"/>
                <w:szCs w:val="20"/>
                <w:lang w:val="en-GB"/>
              </w:rPr>
            </w:pPr>
            <w:r w:rsidRPr="00127FBE">
              <w:rPr>
                <w:sz w:val="20"/>
                <w:szCs w:val="20"/>
                <w:lang w:val="en-GB"/>
              </w:rPr>
              <w:t>N/A</w:t>
            </w:r>
          </w:p>
          <w:p w14:paraId="2BC5AF34" w14:textId="77777777" w:rsidR="00827CF4" w:rsidRPr="00127FBE" w:rsidRDefault="00827CF4" w:rsidP="006450AF">
            <w:pPr>
              <w:suppressAutoHyphens/>
              <w:jc w:val="center"/>
              <w:rPr>
                <w:sz w:val="20"/>
                <w:szCs w:val="20"/>
                <w:lang w:val="en-GB"/>
              </w:rPr>
            </w:pPr>
          </w:p>
          <w:p w14:paraId="59DF1B1B" w14:textId="77777777" w:rsidR="00827CF4" w:rsidRPr="00127FBE" w:rsidRDefault="00827CF4" w:rsidP="006450AF">
            <w:pPr>
              <w:suppressAutoHyphens/>
              <w:jc w:val="center"/>
              <w:rPr>
                <w:sz w:val="20"/>
                <w:szCs w:val="20"/>
                <w:lang w:val="en-GB"/>
              </w:rPr>
            </w:pPr>
          </w:p>
          <w:p w14:paraId="5F1FC402" w14:textId="77777777" w:rsidR="00827CF4" w:rsidRPr="00127FBE" w:rsidRDefault="00827CF4" w:rsidP="006450AF">
            <w:pPr>
              <w:suppressAutoHyphens/>
              <w:jc w:val="center"/>
              <w:rPr>
                <w:sz w:val="20"/>
                <w:szCs w:val="20"/>
                <w:lang w:val="en-GB"/>
              </w:rPr>
            </w:pPr>
            <w:r w:rsidRPr="00127FBE">
              <w:rPr>
                <w:sz w:val="20"/>
                <w:szCs w:val="20"/>
                <w:lang w:val="en-GB"/>
              </w:rPr>
              <w:t>N/A</w:t>
            </w:r>
          </w:p>
          <w:p w14:paraId="60AF5B77" w14:textId="77777777" w:rsidR="00827CF4" w:rsidRPr="00127FBE" w:rsidRDefault="00827CF4" w:rsidP="006450AF">
            <w:pPr>
              <w:suppressAutoHyphens/>
              <w:jc w:val="center"/>
              <w:rPr>
                <w:sz w:val="20"/>
                <w:szCs w:val="20"/>
                <w:lang w:val="en-GB"/>
              </w:rPr>
            </w:pPr>
          </w:p>
          <w:p w14:paraId="4254BCCC" w14:textId="77777777" w:rsidR="00827CF4" w:rsidRPr="00127FBE" w:rsidRDefault="00827CF4" w:rsidP="006450AF">
            <w:pPr>
              <w:suppressAutoHyphens/>
              <w:jc w:val="center"/>
              <w:rPr>
                <w:sz w:val="20"/>
                <w:szCs w:val="20"/>
                <w:lang w:val="en-GB"/>
              </w:rPr>
            </w:pPr>
          </w:p>
          <w:p w14:paraId="47DBAC69" w14:textId="77777777" w:rsidR="00827CF4" w:rsidRPr="00127FBE" w:rsidRDefault="00827CF4" w:rsidP="006450AF">
            <w:pPr>
              <w:suppressAutoHyphens/>
              <w:jc w:val="center"/>
              <w:rPr>
                <w:sz w:val="20"/>
                <w:szCs w:val="20"/>
                <w:lang w:val="en-GB"/>
              </w:rPr>
            </w:pPr>
            <w:r w:rsidRPr="00127FBE">
              <w:rPr>
                <w:sz w:val="20"/>
                <w:szCs w:val="20"/>
                <w:lang w:val="en-GB"/>
              </w:rPr>
              <w:t>N/A</w:t>
            </w:r>
          </w:p>
          <w:p w14:paraId="51720ADD" w14:textId="77777777" w:rsidR="00827CF4" w:rsidRPr="00127FBE" w:rsidRDefault="00827CF4" w:rsidP="006450AF">
            <w:pPr>
              <w:suppressAutoHyphens/>
              <w:jc w:val="center"/>
              <w:rPr>
                <w:sz w:val="20"/>
                <w:szCs w:val="20"/>
                <w:lang w:val="en-GB"/>
              </w:rPr>
            </w:pPr>
          </w:p>
          <w:p w14:paraId="1F17AE82" w14:textId="77777777" w:rsidR="006450AF" w:rsidRPr="00127FBE" w:rsidRDefault="006450AF" w:rsidP="006450AF">
            <w:pPr>
              <w:suppressAutoHyphens/>
              <w:jc w:val="center"/>
              <w:rPr>
                <w:sz w:val="20"/>
                <w:szCs w:val="20"/>
                <w:lang w:val="en-GB"/>
              </w:rPr>
            </w:pPr>
          </w:p>
          <w:p w14:paraId="6A8E6C1E" w14:textId="77777777" w:rsidR="00827CF4" w:rsidRPr="00127FBE" w:rsidRDefault="00827CF4" w:rsidP="006450AF">
            <w:pPr>
              <w:suppressAutoHyphens/>
              <w:jc w:val="center"/>
              <w:rPr>
                <w:sz w:val="20"/>
                <w:szCs w:val="20"/>
                <w:lang w:val="en-GB"/>
              </w:rPr>
            </w:pPr>
            <w:r w:rsidRPr="00127FBE">
              <w:rPr>
                <w:sz w:val="20"/>
                <w:szCs w:val="20"/>
                <w:lang w:val="en-GB"/>
              </w:rPr>
              <w:t>N/A</w:t>
            </w:r>
          </w:p>
        </w:tc>
        <w:tc>
          <w:tcPr>
            <w:tcW w:w="1082" w:type="dxa"/>
          </w:tcPr>
          <w:p w14:paraId="74D6B242" w14:textId="77777777" w:rsidR="00827CF4" w:rsidRPr="00127FBE" w:rsidRDefault="00827CF4" w:rsidP="006450AF">
            <w:pPr>
              <w:suppressAutoHyphens/>
              <w:jc w:val="center"/>
              <w:rPr>
                <w:sz w:val="20"/>
                <w:szCs w:val="20"/>
                <w:lang w:val="en-GB"/>
              </w:rPr>
            </w:pPr>
            <w:r w:rsidRPr="00127FBE">
              <w:rPr>
                <w:sz w:val="20"/>
                <w:szCs w:val="20"/>
                <w:lang w:val="en-GB"/>
              </w:rPr>
              <w:t>N/A</w:t>
            </w:r>
          </w:p>
          <w:p w14:paraId="6B817560" w14:textId="77777777" w:rsidR="00827CF4" w:rsidRPr="00127FBE" w:rsidRDefault="00827CF4" w:rsidP="006450AF">
            <w:pPr>
              <w:suppressAutoHyphens/>
              <w:jc w:val="center"/>
              <w:rPr>
                <w:sz w:val="20"/>
                <w:szCs w:val="20"/>
                <w:lang w:val="en-GB"/>
              </w:rPr>
            </w:pPr>
          </w:p>
          <w:p w14:paraId="6080D730" w14:textId="77777777" w:rsidR="00827CF4" w:rsidRPr="00127FBE" w:rsidRDefault="00827CF4" w:rsidP="006450AF">
            <w:pPr>
              <w:suppressAutoHyphens/>
              <w:jc w:val="center"/>
              <w:rPr>
                <w:sz w:val="20"/>
                <w:szCs w:val="20"/>
                <w:lang w:val="en-GB"/>
              </w:rPr>
            </w:pPr>
          </w:p>
          <w:p w14:paraId="49CC3B42" w14:textId="77777777" w:rsidR="00827CF4" w:rsidRPr="00127FBE" w:rsidRDefault="00827CF4" w:rsidP="006450AF">
            <w:pPr>
              <w:suppressAutoHyphens/>
              <w:jc w:val="center"/>
              <w:rPr>
                <w:sz w:val="20"/>
                <w:szCs w:val="20"/>
                <w:lang w:val="en-GB"/>
              </w:rPr>
            </w:pPr>
            <w:r w:rsidRPr="00127FBE">
              <w:rPr>
                <w:sz w:val="20"/>
                <w:szCs w:val="20"/>
                <w:lang w:val="en-GB"/>
              </w:rPr>
              <w:t>N/A</w:t>
            </w:r>
          </w:p>
          <w:p w14:paraId="3B0A1F41" w14:textId="77777777" w:rsidR="00827CF4" w:rsidRPr="00127FBE" w:rsidRDefault="00827CF4" w:rsidP="006450AF">
            <w:pPr>
              <w:suppressAutoHyphens/>
              <w:jc w:val="center"/>
              <w:rPr>
                <w:sz w:val="20"/>
                <w:szCs w:val="20"/>
                <w:lang w:val="en-GB"/>
              </w:rPr>
            </w:pPr>
          </w:p>
          <w:p w14:paraId="0E5DD702" w14:textId="77777777" w:rsidR="00827CF4" w:rsidRPr="00127FBE" w:rsidRDefault="00827CF4" w:rsidP="006450AF">
            <w:pPr>
              <w:suppressAutoHyphens/>
              <w:jc w:val="center"/>
              <w:rPr>
                <w:sz w:val="20"/>
                <w:szCs w:val="20"/>
                <w:lang w:val="en-GB"/>
              </w:rPr>
            </w:pPr>
          </w:p>
          <w:p w14:paraId="410E2BC3" w14:textId="77777777" w:rsidR="00827CF4" w:rsidRPr="00127FBE" w:rsidRDefault="00827CF4" w:rsidP="006450AF">
            <w:pPr>
              <w:suppressAutoHyphens/>
              <w:jc w:val="center"/>
              <w:rPr>
                <w:sz w:val="20"/>
                <w:szCs w:val="20"/>
                <w:lang w:val="en-GB"/>
              </w:rPr>
            </w:pPr>
            <w:r w:rsidRPr="00127FBE">
              <w:rPr>
                <w:sz w:val="20"/>
                <w:szCs w:val="20"/>
                <w:lang w:val="en-GB"/>
              </w:rPr>
              <w:t>N/A</w:t>
            </w:r>
          </w:p>
          <w:p w14:paraId="57B1AEFB" w14:textId="77777777" w:rsidR="00827CF4" w:rsidRPr="00127FBE" w:rsidRDefault="00827CF4" w:rsidP="006450AF">
            <w:pPr>
              <w:suppressAutoHyphens/>
              <w:jc w:val="center"/>
              <w:rPr>
                <w:sz w:val="20"/>
                <w:szCs w:val="20"/>
                <w:lang w:val="en-GB"/>
              </w:rPr>
            </w:pPr>
          </w:p>
          <w:p w14:paraId="5692B68A" w14:textId="77777777" w:rsidR="00827CF4" w:rsidRPr="00127FBE" w:rsidRDefault="00827CF4" w:rsidP="006450AF">
            <w:pPr>
              <w:suppressAutoHyphens/>
              <w:jc w:val="center"/>
              <w:rPr>
                <w:sz w:val="20"/>
                <w:szCs w:val="20"/>
                <w:lang w:val="en-GB"/>
              </w:rPr>
            </w:pPr>
          </w:p>
          <w:p w14:paraId="5571A06D" w14:textId="77777777" w:rsidR="00827CF4" w:rsidRPr="00127FBE" w:rsidRDefault="00827CF4" w:rsidP="006450AF">
            <w:pPr>
              <w:suppressAutoHyphens/>
              <w:jc w:val="center"/>
              <w:rPr>
                <w:sz w:val="20"/>
                <w:szCs w:val="20"/>
                <w:lang w:val="en-GB"/>
              </w:rPr>
            </w:pPr>
            <w:r w:rsidRPr="00127FBE">
              <w:rPr>
                <w:sz w:val="20"/>
                <w:szCs w:val="20"/>
                <w:lang w:val="en-GB"/>
              </w:rPr>
              <w:t>N/A</w:t>
            </w:r>
          </w:p>
          <w:p w14:paraId="03245CB4" w14:textId="77777777" w:rsidR="00827CF4" w:rsidRPr="00127FBE" w:rsidRDefault="00827CF4" w:rsidP="006450AF">
            <w:pPr>
              <w:suppressAutoHyphens/>
              <w:jc w:val="center"/>
              <w:rPr>
                <w:sz w:val="20"/>
                <w:szCs w:val="20"/>
                <w:lang w:val="en-GB"/>
              </w:rPr>
            </w:pPr>
          </w:p>
          <w:p w14:paraId="25051678" w14:textId="77777777" w:rsidR="00827CF4" w:rsidRPr="00127FBE" w:rsidRDefault="00827CF4" w:rsidP="006450AF">
            <w:pPr>
              <w:suppressAutoHyphens/>
              <w:jc w:val="center"/>
              <w:rPr>
                <w:sz w:val="20"/>
                <w:szCs w:val="20"/>
                <w:lang w:val="en-GB"/>
              </w:rPr>
            </w:pPr>
          </w:p>
          <w:p w14:paraId="4F3BD276" w14:textId="77777777" w:rsidR="00827CF4" w:rsidRPr="00127FBE" w:rsidRDefault="00827CF4" w:rsidP="006450AF">
            <w:pPr>
              <w:suppressAutoHyphens/>
              <w:jc w:val="center"/>
              <w:rPr>
                <w:sz w:val="20"/>
                <w:szCs w:val="20"/>
                <w:lang w:val="en-GB"/>
              </w:rPr>
            </w:pPr>
            <w:r w:rsidRPr="00127FBE">
              <w:rPr>
                <w:sz w:val="20"/>
                <w:szCs w:val="20"/>
                <w:lang w:val="en-GB"/>
              </w:rPr>
              <w:t>N/A</w:t>
            </w:r>
          </w:p>
          <w:p w14:paraId="4505D3AE" w14:textId="77777777" w:rsidR="00827CF4" w:rsidRPr="00127FBE" w:rsidRDefault="00827CF4" w:rsidP="006450AF">
            <w:pPr>
              <w:suppressAutoHyphens/>
              <w:jc w:val="center"/>
              <w:rPr>
                <w:sz w:val="20"/>
                <w:szCs w:val="20"/>
                <w:lang w:val="en-GB"/>
              </w:rPr>
            </w:pPr>
          </w:p>
          <w:p w14:paraId="0B9699BF" w14:textId="77777777" w:rsidR="006450AF" w:rsidRPr="00127FBE" w:rsidRDefault="006450AF" w:rsidP="006450AF">
            <w:pPr>
              <w:suppressAutoHyphens/>
              <w:jc w:val="center"/>
              <w:rPr>
                <w:sz w:val="20"/>
                <w:szCs w:val="20"/>
                <w:lang w:val="en-GB"/>
              </w:rPr>
            </w:pPr>
          </w:p>
          <w:p w14:paraId="2B94FE91" w14:textId="77777777" w:rsidR="00827CF4" w:rsidRPr="00127FBE" w:rsidRDefault="00827CF4" w:rsidP="006450AF">
            <w:pPr>
              <w:suppressAutoHyphens/>
              <w:jc w:val="center"/>
              <w:rPr>
                <w:sz w:val="20"/>
                <w:szCs w:val="20"/>
                <w:lang w:val="en-GB"/>
              </w:rPr>
            </w:pPr>
            <w:r w:rsidRPr="00127FBE">
              <w:rPr>
                <w:sz w:val="20"/>
                <w:szCs w:val="20"/>
                <w:lang w:val="en-GB"/>
              </w:rPr>
              <w:t>N/A</w:t>
            </w:r>
          </w:p>
        </w:tc>
        <w:tc>
          <w:tcPr>
            <w:tcW w:w="1372" w:type="dxa"/>
          </w:tcPr>
          <w:p w14:paraId="0DF6D3C6" w14:textId="77777777" w:rsidR="00827CF4" w:rsidRPr="00F13073" w:rsidRDefault="00827CF4" w:rsidP="006450AF">
            <w:pPr>
              <w:suppressAutoHyphens/>
              <w:jc w:val="center"/>
              <w:rPr>
                <w:sz w:val="20"/>
                <w:szCs w:val="20"/>
              </w:rPr>
            </w:pPr>
            <w:r w:rsidRPr="00F13073">
              <w:rPr>
                <w:sz w:val="20"/>
                <w:szCs w:val="20"/>
              </w:rPr>
              <w:t xml:space="preserve">0,23* </w:t>
            </w:r>
            <w:r w:rsidRPr="00F13073">
              <w:rPr>
                <w:sz w:val="20"/>
                <w:szCs w:val="20"/>
              </w:rPr>
              <w:br/>
              <w:t>(0,11; 0,46)</w:t>
            </w:r>
          </w:p>
          <w:p w14:paraId="51271743" w14:textId="77777777" w:rsidR="00827CF4" w:rsidRPr="00F13073" w:rsidRDefault="00827CF4" w:rsidP="006450AF">
            <w:pPr>
              <w:suppressAutoHyphens/>
              <w:jc w:val="center"/>
              <w:rPr>
                <w:sz w:val="20"/>
                <w:szCs w:val="20"/>
              </w:rPr>
            </w:pPr>
          </w:p>
          <w:p w14:paraId="63B4585A" w14:textId="77777777" w:rsidR="00827CF4" w:rsidRPr="00F13073" w:rsidRDefault="00827CF4" w:rsidP="006450AF">
            <w:pPr>
              <w:suppressAutoHyphens/>
              <w:jc w:val="center"/>
              <w:rPr>
                <w:sz w:val="20"/>
                <w:szCs w:val="20"/>
              </w:rPr>
            </w:pPr>
            <w:r w:rsidRPr="00F13073">
              <w:rPr>
                <w:sz w:val="20"/>
                <w:szCs w:val="20"/>
              </w:rPr>
              <w:t xml:space="preserve">0,39** </w:t>
            </w:r>
            <w:r w:rsidRPr="00F13073">
              <w:rPr>
                <w:sz w:val="20"/>
                <w:szCs w:val="20"/>
              </w:rPr>
              <w:br/>
              <w:t>(0,18; 0,82)</w:t>
            </w:r>
          </w:p>
          <w:p w14:paraId="18AE6DEF" w14:textId="77777777" w:rsidR="00827CF4" w:rsidRPr="00F13073" w:rsidRDefault="00827CF4" w:rsidP="006450AF">
            <w:pPr>
              <w:suppressAutoHyphens/>
              <w:jc w:val="center"/>
              <w:rPr>
                <w:sz w:val="20"/>
                <w:szCs w:val="20"/>
              </w:rPr>
            </w:pPr>
          </w:p>
          <w:p w14:paraId="76BC1940" w14:textId="77777777" w:rsidR="00827CF4" w:rsidRPr="00F13073" w:rsidRDefault="00827CF4" w:rsidP="006450AF">
            <w:pPr>
              <w:suppressAutoHyphens/>
              <w:jc w:val="center"/>
              <w:rPr>
                <w:sz w:val="20"/>
                <w:szCs w:val="20"/>
              </w:rPr>
            </w:pPr>
            <w:r w:rsidRPr="00F13073">
              <w:rPr>
                <w:sz w:val="20"/>
                <w:szCs w:val="20"/>
              </w:rPr>
              <w:t xml:space="preserve">0,23*** </w:t>
            </w:r>
            <w:r w:rsidRPr="00F13073">
              <w:rPr>
                <w:sz w:val="20"/>
                <w:szCs w:val="20"/>
              </w:rPr>
              <w:br/>
              <w:t>(0,09; 0,61)</w:t>
            </w:r>
          </w:p>
          <w:p w14:paraId="2921ABA1" w14:textId="77777777" w:rsidR="006450AF" w:rsidRPr="00F13073" w:rsidRDefault="006450AF" w:rsidP="006450AF">
            <w:pPr>
              <w:suppressAutoHyphens/>
              <w:jc w:val="center"/>
              <w:rPr>
                <w:sz w:val="20"/>
                <w:szCs w:val="20"/>
              </w:rPr>
            </w:pPr>
          </w:p>
          <w:p w14:paraId="0BC2113D" w14:textId="77777777" w:rsidR="00827CF4" w:rsidRPr="00F13073" w:rsidRDefault="00827CF4" w:rsidP="006450AF">
            <w:pPr>
              <w:suppressAutoHyphens/>
              <w:jc w:val="center"/>
              <w:rPr>
                <w:sz w:val="20"/>
                <w:szCs w:val="20"/>
              </w:rPr>
            </w:pPr>
            <w:r w:rsidRPr="00F13073">
              <w:rPr>
                <w:sz w:val="20"/>
                <w:szCs w:val="20"/>
              </w:rPr>
              <w:t xml:space="preserve">0,36 </w:t>
            </w:r>
            <w:r w:rsidRPr="00F13073">
              <w:rPr>
                <w:sz w:val="20"/>
                <w:szCs w:val="20"/>
              </w:rPr>
              <w:br/>
              <w:t>(0,13; 1,00)</w:t>
            </w:r>
          </w:p>
          <w:p w14:paraId="2F1C0B28" w14:textId="77777777" w:rsidR="006450AF" w:rsidRPr="00F13073" w:rsidRDefault="006450AF" w:rsidP="006450AF">
            <w:pPr>
              <w:suppressAutoHyphens/>
              <w:jc w:val="center"/>
              <w:rPr>
                <w:sz w:val="20"/>
                <w:szCs w:val="20"/>
              </w:rPr>
            </w:pPr>
          </w:p>
          <w:p w14:paraId="61E4C7A2" w14:textId="77777777" w:rsidR="00827CF4" w:rsidRPr="00F13073" w:rsidRDefault="00827CF4" w:rsidP="006450AF">
            <w:pPr>
              <w:suppressAutoHyphens/>
              <w:jc w:val="center"/>
              <w:rPr>
                <w:sz w:val="20"/>
                <w:szCs w:val="20"/>
              </w:rPr>
            </w:pPr>
            <w:r w:rsidRPr="00F13073">
              <w:rPr>
                <w:sz w:val="20"/>
                <w:szCs w:val="20"/>
              </w:rPr>
              <w:t xml:space="preserve">0,25*** </w:t>
            </w:r>
            <w:r w:rsidRPr="00F13073">
              <w:rPr>
                <w:sz w:val="20"/>
                <w:szCs w:val="20"/>
              </w:rPr>
              <w:br/>
              <w:t>(0,09; 0,70)</w:t>
            </w:r>
          </w:p>
          <w:p w14:paraId="20CB8458" w14:textId="77777777" w:rsidR="00827CF4" w:rsidRPr="00F13073" w:rsidRDefault="00827CF4" w:rsidP="006450AF">
            <w:pPr>
              <w:suppressAutoHyphens/>
              <w:jc w:val="center"/>
              <w:rPr>
                <w:sz w:val="20"/>
                <w:szCs w:val="20"/>
              </w:rPr>
            </w:pPr>
            <w:r w:rsidRPr="00F13073">
              <w:rPr>
                <w:sz w:val="20"/>
                <w:szCs w:val="20"/>
              </w:rPr>
              <w:t xml:space="preserve">0,44 </w:t>
            </w:r>
            <w:r w:rsidRPr="00F13073">
              <w:rPr>
                <w:sz w:val="20"/>
                <w:szCs w:val="20"/>
              </w:rPr>
              <w:br/>
              <w:t>(0,14; 1,32)</w:t>
            </w:r>
          </w:p>
        </w:tc>
        <w:tc>
          <w:tcPr>
            <w:tcW w:w="1395" w:type="dxa"/>
          </w:tcPr>
          <w:p w14:paraId="3AA0EC6D" w14:textId="77777777" w:rsidR="00827CF4" w:rsidRPr="00F13073" w:rsidRDefault="00827CF4" w:rsidP="006450AF">
            <w:pPr>
              <w:suppressAutoHyphens/>
              <w:jc w:val="center"/>
              <w:rPr>
                <w:sz w:val="20"/>
                <w:szCs w:val="20"/>
              </w:rPr>
            </w:pPr>
            <w:r w:rsidRPr="00F13073">
              <w:rPr>
                <w:sz w:val="20"/>
                <w:szCs w:val="20"/>
              </w:rPr>
              <w:t xml:space="preserve">0,28** </w:t>
            </w:r>
            <w:r w:rsidRPr="00F13073">
              <w:rPr>
                <w:sz w:val="20"/>
                <w:szCs w:val="20"/>
              </w:rPr>
              <w:br/>
              <w:t>(0,12; 0,66)</w:t>
            </w:r>
          </w:p>
          <w:p w14:paraId="4A9ADDE0" w14:textId="77777777" w:rsidR="00827CF4" w:rsidRPr="00F13073" w:rsidRDefault="00827CF4" w:rsidP="006450AF">
            <w:pPr>
              <w:suppressAutoHyphens/>
              <w:jc w:val="center"/>
              <w:rPr>
                <w:sz w:val="20"/>
                <w:szCs w:val="20"/>
              </w:rPr>
            </w:pPr>
          </w:p>
          <w:p w14:paraId="323EB0C5" w14:textId="77777777" w:rsidR="00827CF4" w:rsidRPr="00F13073" w:rsidRDefault="00827CF4" w:rsidP="006450AF">
            <w:pPr>
              <w:suppressAutoHyphens/>
              <w:jc w:val="center"/>
              <w:rPr>
                <w:sz w:val="20"/>
                <w:szCs w:val="20"/>
              </w:rPr>
            </w:pPr>
            <w:r w:rsidRPr="00F13073">
              <w:rPr>
                <w:sz w:val="20"/>
                <w:szCs w:val="20"/>
              </w:rPr>
              <w:t xml:space="preserve">0,48 </w:t>
            </w:r>
            <w:r w:rsidRPr="00F13073">
              <w:rPr>
                <w:sz w:val="20"/>
                <w:szCs w:val="20"/>
              </w:rPr>
              <w:br/>
              <w:t>(0,20; 1,16)</w:t>
            </w:r>
          </w:p>
          <w:p w14:paraId="2A10399A" w14:textId="77777777" w:rsidR="00827CF4" w:rsidRPr="00F13073" w:rsidRDefault="00827CF4" w:rsidP="006450AF">
            <w:pPr>
              <w:suppressAutoHyphens/>
              <w:jc w:val="center"/>
              <w:rPr>
                <w:sz w:val="20"/>
                <w:szCs w:val="20"/>
              </w:rPr>
            </w:pPr>
          </w:p>
          <w:p w14:paraId="4B7EA016" w14:textId="77777777" w:rsidR="00827CF4" w:rsidRPr="00F13073" w:rsidRDefault="00827CF4" w:rsidP="006450AF">
            <w:pPr>
              <w:suppressAutoHyphens/>
              <w:jc w:val="center"/>
              <w:rPr>
                <w:sz w:val="20"/>
                <w:szCs w:val="20"/>
              </w:rPr>
            </w:pPr>
            <w:r w:rsidRPr="00F13073">
              <w:rPr>
                <w:sz w:val="20"/>
                <w:szCs w:val="20"/>
              </w:rPr>
              <w:t xml:space="preserve">0,42 </w:t>
            </w:r>
            <w:r w:rsidRPr="00F13073">
              <w:rPr>
                <w:sz w:val="20"/>
                <w:szCs w:val="20"/>
              </w:rPr>
              <w:br/>
              <w:t>(0,14; 1,28)</w:t>
            </w:r>
          </w:p>
          <w:p w14:paraId="53D04F59" w14:textId="77777777" w:rsidR="006450AF" w:rsidRPr="00F13073" w:rsidRDefault="006450AF" w:rsidP="006450AF">
            <w:pPr>
              <w:suppressAutoHyphens/>
              <w:jc w:val="center"/>
              <w:rPr>
                <w:sz w:val="20"/>
                <w:szCs w:val="20"/>
              </w:rPr>
            </w:pPr>
          </w:p>
          <w:p w14:paraId="7980DDA0" w14:textId="77777777" w:rsidR="006450AF" w:rsidRPr="00F13073" w:rsidRDefault="00827CF4" w:rsidP="006450AF">
            <w:pPr>
              <w:suppressAutoHyphens/>
              <w:jc w:val="center"/>
              <w:rPr>
                <w:sz w:val="20"/>
                <w:szCs w:val="20"/>
              </w:rPr>
            </w:pPr>
            <w:r w:rsidRPr="00F13073">
              <w:rPr>
                <w:sz w:val="20"/>
                <w:szCs w:val="20"/>
              </w:rPr>
              <w:t xml:space="preserve">0,67 </w:t>
            </w:r>
            <w:r w:rsidRPr="00F13073">
              <w:rPr>
                <w:sz w:val="20"/>
                <w:szCs w:val="20"/>
              </w:rPr>
              <w:br/>
              <w:t>(0,21; 2,10)</w:t>
            </w:r>
          </w:p>
          <w:p w14:paraId="5FC32A3A" w14:textId="77777777" w:rsidR="006450AF" w:rsidRPr="00F13073" w:rsidRDefault="006450AF" w:rsidP="006450AF">
            <w:pPr>
              <w:suppressAutoHyphens/>
              <w:jc w:val="center"/>
              <w:rPr>
                <w:sz w:val="20"/>
                <w:szCs w:val="20"/>
              </w:rPr>
            </w:pPr>
          </w:p>
          <w:p w14:paraId="5D37CA83" w14:textId="77777777" w:rsidR="00827CF4" w:rsidRPr="00F13073" w:rsidRDefault="00827CF4" w:rsidP="006450AF">
            <w:pPr>
              <w:suppressAutoHyphens/>
              <w:jc w:val="center"/>
              <w:rPr>
                <w:sz w:val="20"/>
                <w:szCs w:val="20"/>
              </w:rPr>
            </w:pPr>
            <w:r w:rsidRPr="00F13073">
              <w:rPr>
                <w:sz w:val="20"/>
                <w:szCs w:val="20"/>
              </w:rPr>
              <w:t xml:space="preserve">0,20*** </w:t>
            </w:r>
            <w:r w:rsidRPr="00F13073">
              <w:rPr>
                <w:sz w:val="20"/>
                <w:szCs w:val="20"/>
              </w:rPr>
              <w:br/>
              <w:t>(0,05; 0,76)</w:t>
            </w:r>
          </w:p>
          <w:p w14:paraId="4060DC75" w14:textId="77777777" w:rsidR="00827CF4" w:rsidRPr="00F13073" w:rsidRDefault="00827CF4" w:rsidP="006450AF">
            <w:pPr>
              <w:suppressAutoHyphens/>
              <w:jc w:val="center"/>
              <w:rPr>
                <w:sz w:val="20"/>
                <w:szCs w:val="20"/>
              </w:rPr>
            </w:pPr>
            <w:r w:rsidRPr="00F13073">
              <w:rPr>
                <w:sz w:val="20"/>
                <w:szCs w:val="20"/>
              </w:rPr>
              <w:t xml:space="preserve">0,35 </w:t>
            </w:r>
            <w:r w:rsidRPr="00F13073">
              <w:rPr>
                <w:sz w:val="20"/>
                <w:szCs w:val="20"/>
              </w:rPr>
              <w:br/>
              <w:t>(0,09; 1,42)</w:t>
            </w:r>
          </w:p>
        </w:tc>
      </w:tr>
      <w:tr w:rsidR="00827CF4" w:rsidRPr="00F13073" w14:paraId="12656067" w14:textId="77777777" w:rsidTr="00712261">
        <w:trPr>
          <w:cantSplit/>
          <w:tblHeader/>
        </w:trPr>
        <w:tc>
          <w:tcPr>
            <w:tcW w:w="4139" w:type="dxa"/>
          </w:tcPr>
          <w:p w14:paraId="26DB3DAA" w14:textId="77777777" w:rsidR="00827CF4" w:rsidRPr="00F13073" w:rsidRDefault="00827CF4" w:rsidP="008B4C50">
            <w:pPr>
              <w:suppressAutoHyphens/>
              <w:rPr>
                <w:i/>
                <w:iCs/>
                <w:sz w:val="20"/>
                <w:szCs w:val="20"/>
              </w:rPr>
            </w:pPr>
            <w:r w:rsidRPr="00F13073">
              <w:rPr>
                <w:i/>
                <w:iCs/>
                <w:sz w:val="20"/>
                <w:szCs w:val="20"/>
              </w:rPr>
              <w:t>Skumulowana dawka glikokortykosteroidów (mg)</w:t>
            </w:r>
          </w:p>
          <w:p w14:paraId="43D96C1D" w14:textId="77777777" w:rsidR="00827CF4" w:rsidRPr="00F13073" w:rsidRDefault="00827CF4" w:rsidP="008B4C50">
            <w:pPr>
              <w:suppressAutoHyphens/>
              <w:ind w:left="283"/>
              <w:rPr>
                <w:i/>
                <w:iCs/>
                <w:sz w:val="20"/>
                <w:szCs w:val="20"/>
              </w:rPr>
            </w:pPr>
            <w:r w:rsidRPr="00F13073">
              <w:rPr>
                <w:i/>
                <w:iCs/>
                <w:sz w:val="20"/>
                <w:szCs w:val="20"/>
              </w:rPr>
              <w:t>mediana w tygodniu 52. (grupy tocilizumabu w por. z placebo+26</w:t>
            </w:r>
            <w:r w:rsidRPr="00F13073">
              <w:rPr>
                <w:i/>
                <w:iCs/>
                <w:sz w:val="20"/>
                <w:szCs w:val="20"/>
                <w:vertAlign w:val="superscript"/>
              </w:rPr>
              <w:t>2</w:t>
            </w:r>
            <w:r w:rsidRPr="00F13073">
              <w:rPr>
                <w:i/>
                <w:iCs/>
                <w:sz w:val="20"/>
                <w:szCs w:val="20"/>
              </w:rPr>
              <w:t>)</w:t>
            </w:r>
          </w:p>
          <w:p w14:paraId="071567B6" w14:textId="77777777" w:rsidR="00827CF4" w:rsidRPr="00F13073" w:rsidRDefault="00827CF4" w:rsidP="008B4C50">
            <w:pPr>
              <w:suppressAutoHyphens/>
              <w:ind w:left="283"/>
              <w:rPr>
                <w:i/>
                <w:iCs/>
                <w:sz w:val="20"/>
                <w:szCs w:val="20"/>
              </w:rPr>
            </w:pPr>
            <w:r w:rsidRPr="00F13073">
              <w:rPr>
                <w:i/>
                <w:iCs/>
                <w:sz w:val="20"/>
                <w:szCs w:val="20"/>
              </w:rPr>
              <w:t>mediana w tygodniu 52. (grupy tocilizumabu w por. z placebo+52</w:t>
            </w:r>
            <w:r w:rsidRPr="00F13073">
              <w:rPr>
                <w:i/>
                <w:iCs/>
                <w:sz w:val="20"/>
                <w:szCs w:val="20"/>
                <w:vertAlign w:val="superscript"/>
              </w:rPr>
              <w:t>2</w:t>
            </w:r>
            <w:r w:rsidRPr="00F13073">
              <w:rPr>
                <w:i/>
                <w:iCs/>
                <w:sz w:val="20"/>
                <w:szCs w:val="20"/>
              </w:rPr>
              <w:t>)</w:t>
            </w:r>
          </w:p>
        </w:tc>
        <w:tc>
          <w:tcPr>
            <w:tcW w:w="1134" w:type="dxa"/>
          </w:tcPr>
          <w:p w14:paraId="5B38560E" w14:textId="77777777" w:rsidR="00827CF4" w:rsidRPr="00F13073" w:rsidRDefault="00827CF4" w:rsidP="006450AF">
            <w:pPr>
              <w:suppressAutoHyphens/>
              <w:jc w:val="center"/>
              <w:rPr>
                <w:sz w:val="20"/>
                <w:szCs w:val="20"/>
              </w:rPr>
            </w:pPr>
          </w:p>
          <w:p w14:paraId="1B4A45FB" w14:textId="77777777" w:rsidR="00827CF4" w:rsidRPr="00F13073" w:rsidRDefault="00827CF4" w:rsidP="006450AF">
            <w:pPr>
              <w:suppressAutoHyphens/>
              <w:jc w:val="center"/>
              <w:rPr>
                <w:sz w:val="20"/>
                <w:szCs w:val="20"/>
              </w:rPr>
            </w:pPr>
            <w:r w:rsidRPr="00F13073">
              <w:rPr>
                <w:sz w:val="20"/>
                <w:szCs w:val="20"/>
              </w:rPr>
              <w:t>3296,00</w:t>
            </w:r>
          </w:p>
          <w:p w14:paraId="0B6B816F" w14:textId="77777777" w:rsidR="00827CF4" w:rsidRPr="00F13073" w:rsidRDefault="00827CF4" w:rsidP="006450AF">
            <w:pPr>
              <w:suppressAutoHyphens/>
              <w:jc w:val="center"/>
              <w:rPr>
                <w:sz w:val="20"/>
                <w:szCs w:val="20"/>
              </w:rPr>
            </w:pPr>
          </w:p>
          <w:p w14:paraId="36512B3C" w14:textId="77777777" w:rsidR="00827CF4" w:rsidRPr="00F13073" w:rsidRDefault="00827CF4" w:rsidP="006450AF">
            <w:pPr>
              <w:suppressAutoHyphens/>
              <w:jc w:val="center"/>
              <w:rPr>
                <w:sz w:val="20"/>
                <w:szCs w:val="20"/>
              </w:rPr>
            </w:pPr>
            <w:r w:rsidRPr="00F13073">
              <w:rPr>
                <w:sz w:val="20"/>
                <w:szCs w:val="20"/>
              </w:rPr>
              <w:t>N/A</w:t>
            </w:r>
          </w:p>
        </w:tc>
        <w:tc>
          <w:tcPr>
            <w:tcW w:w="1082" w:type="dxa"/>
          </w:tcPr>
          <w:p w14:paraId="62F46134" w14:textId="77777777" w:rsidR="00827CF4" w:rsidRPr="00F13073" w:rsidRDefault="00827CF4" w:rsidP="006450AF">
            <w:pPr>
              <w:suppressAutoHyphens/>
              <w:jc w:val="center"/>
              <w:rPr>
                <w:sz w:val="20"/>
                <w:szCs w:val="20"/>
              </w:rPr>
            </w:pPr>
          </w:p>
          <w:p w14:paraId="544201DF" w14:textId="77777777" w:rsidR="00827CF4" w:rsidRPr="00F13073" w:rsidRDefault="00827CF4" w:rsidP="006450AF">
            <w:pPr>
              <w:suppressAutoHyphens/>
              <w:jc w:val="center"/>
              <w:rPr>
                <w:sz w:val="20"/>
                <w:szCs w:val="20"/>
              </w:rPr>
            </w:pPr>
            <w:r w:rsidRPr="00F13073">
              <w:rPr>
                <w:sz w:val="20"/>
                <w:szCs w:val="20"/>
              </w:rPr>
              <w:t>N/A</w:t>
            </w:r>
          </w:p>
          <w:p w14:paraId="034EBD21" w14:textId="77777777" w:rsidR="00827CF4" w:rsidRPr="00F13073" w:rsidRDefault="00827CF4" w:rsidP="006450AF">
            <w:pPr>
              <w:suppressAutoHyphens/>
              <w:jc w:val="center"/>
              <w:rPr>
                <w:sz w:val="20"/>
                <w:szCs w:val="20"/>
              </w:rPr>
            </w:pPr>
          </w:p>
          <w:p w14:paraId="7EBA4ACA" w14:textId="77777777" w:rsidR="00827CF4" w:rsidRPr="00F13073" w:rsidRDefault="00827CF4" w:rsidP="006450AF">
            <w:pPr>
              <w:suppressAutoHyphens/>
              <w:jc w:val="center"/>
              <w:rPr>
                <w:sz w:val="20"/>
                <w:szCs w:val="20"/>
              </w:rPr>
            </w:pPr>
            <w:r w:rsidRPr="00F13073">
              <w:rPr>
                <w:sz w:val="20"/>
                <w:szCs w:val="20"/>
              </w:rPr>
              <w:t>3817,50</w:t>
            </w:r>
          </w:p>
        </w:tc>
        <w:tc>
          <w:tcPr>
            <w:tcW w:w="1372" w:type="dxa"/>
          </w:tcPr>
          <w:p w14:paraId="4BD4233E" w14:textId="77777777" w:rsidR="00827CF4" w:rsidRPr="00F13073" w:rsidRDefault="00827CF4" w:rsidP="006450AF">
            <w:pPr>
              <w:suppressAutoHyphens/>
              <w:jc w:val="center"/>
              <w:rPr>
                <w:sz w:val="20"/>
                <w:szCs w:val="20"/>
              </w:rPr>
            </w:pPr>
          </w:p>
          <w:p w14:paraId="2458D5AC" w14:textId="77777777" w:rsidR="00827CF4" w:rsidRPr="00F13073" w:rsidRDefault="00827CF4" w:rsidP="006450AF">
            <w:pPr>
              <w:suppressAutoHyphens/>
              <w:jc w:val="center"/>
              <w:rPr>
                <w:sz w:val="20"/>
                <w:szCs w:val="20"/>
              </w:rPr>
            </w:pPr>
            <w:r w:rsidRPr="00F13073">
              <w:rPr>
                <w:sz w:val="20"/>
                <w:szCs w:val="20"/>
              </w:rPr>
              <w:t>1862,00*</w:t>
            </w:r>
          </w:p>
          <w:p w14:paraId="7F09DA48" w14:textId="77777777" w:rsidR="00827CF4" w:rsidRPr="00F13073" w:rsidRDefault="00827CF4" w:rsidP="006450AF">
            <w:pPr>
              <w:suppressAutoHyphens/>
              <w:jc w:val="center"/>
              <w:rPr>
                <w:sz w:val="20"/>
                <w:szCs w:val="20"/>
              </w:rPr>
            </w:pPr>
          </w:p>
          <w:p w14:paraId="38080234" w14:textId="77777777" w:rsidR="00827CF4" w:rsidRPr="00F13073" w:rsidRDefault="00827CF4" w:rsidP="006450AF">
            <w:pPr>
              <w:suppressAutoHyphens/>
              <w:jc w:val="center"/>
              <w:rPr>
                <w:sz w:val="20"/>
                <w:szCs w:val="20"/>
              </w:rPr>
            </w:pPr>
            <w:r w:rsidRPr="00F13073">
              <w:rPr>
                <w:sz w:val="20"/>
                <w:szCs w:val="20"/>
              </w:rPr>
              <w:t>1862,00*</w:t>
            </w:r>
          </w:p>
        </w:tc>
        <w:tc>
          <w:tcPr>
            <w:tcW w:w="1395" w:type="dxa"/>
          </w:tcPr>
          <w:p w14:paraId="26495D15" w14:textId="77777777" w:rsidR="00827CF4" w:rsidRPr="00F13073" w:rsidRDefault="00827CF4" w:rsidP="006450AF">
            <w:pPr>
              <w:suppressAutoHyphens/>
              <w:jc w:val="center"/>
              <w:rPr>
                <w:sz w:val="20"/>
                <w:szCs w:val="20"/>
              </w:rPr>
            </w:pPr>
          </w:p>
          <w:p w14:paraId="6784C073" w14:textId="77777777" w:rsidR="00827CF4" w:rsidRPr="00F13073" w:rsidRDefault="00827CF4" w:rsidP="006450AF">
            <w:pPr>
              <w:suppressAutoHyphens/>
              <w:jc w:val="center"/>
              <w:rPr>
                <w:sz w:val="20"/>
                <w:szCs w:val="20"/>
              </w:rPr>
            </w:pPr>
            <w:r w:rsidRPr="00F13073">
              <w:rPr>
                <w:sz w:val="20"/>
                <w:szCs w:val="20"/>
              </w:rPr>
              <w:t>1862,00*</w:t>
            </w:r>
          </w:p>
          <w:p w14:paraId="6AD7E31A" w14:textId="77777777" w:rsidR="00827CF4" w:rsidRPr="00F13073" w:rsidRDefault="00827CF4" w:rsidP="006450AF">
            <w:pPr>
              <w:suppressAutoHyphens/>
              <w:jc w:val="center"/>
              <w:rPr>
                <w:sz w:val="20"/>
                <w:szCs w:val="20"/>
              </w:rPr>
            </w:pPr>
          </w:p>
          <w:p w14:paraId="773048CA" w14:textId="77777777" w:rsidR="00827CF4" w:rsidRPr="00F13073" w:rsidRDefault="00827CF4" w:rsidP="006450AF">
            <w:pPr>
              <w:suppressAutoHyphens/>
              <w:jc w:val="center"/>
              <w:rPr>
                <w:sz w:val="20"/>
                <w:szCs w:val="20"/>
              </w:rPr>
            </w:pPr>
            <w:r w:rsidRPr="00F13073">
              <w:rPr>
                <w:sz w:val="20"/>
                <w:szCs w:val="20"/>
              </w:rPr>
              <w:t>1862,00*</w:t>
            </w:r>
          </w:p>
        </w:tc>
      </w:tr>
      <w:tr w:rsidR="00E47C6A" w:rsidRPr="00F13073" w14:paraId="09E368C4" w14:textId="77777777" w:rsidTr="00712261">
        <w:trPr>
          <w:cantSplit/>
          <w:tblHeader/>
        </w:trPr>
        <w:tc>
          <w:tcPr>
            <w:tcW w:w="9122" w:type="dxa"/>
            <w:gridSpan w:val="5"/>
          </w:tcPr>
          <w:p w14:paraId="562FFC00" w14:textId="77777777" w:rsidR="00E47C6A" w:rsidRPr="00F13073" w:rsidRDefault="00827CF4" w:rsidP="008B4C50">
            <w:pPr>
              <w:keepNext/>
              <w:suppressAutoHyphens/>
              <w:rPr>
                <w:b/>
                <w:bCs/>
                <w:sz w:val="20"/>
                <w:szCs w:val="20"/>
              </w:rPr>
            </w:pPr>
            <w:r w:rsidRPr="00F13073">
              <w:rPr>
                <w:b/>
                <w:bCs/>
                <w:sz w:val="20"/>
                <w:szCs w:val="20"/>
              </w:rPr>
              <w:t>Eksploracyjne punkty końcowe</w:t>
            </w:r>
          </w:p>
        </w:tc>
      </w:tr>
      <w:tr w:rsidR="00827CF4" w:rsidRPr="00F13073" w14:paraId="295FE2EB" w14:textId="77777777" w:rsidTr="00712261">
        <w:trPr>
          <w:cantSplit/>
          <w:tblHeader/>
        </w:trPr>
        <w:tc>
          <w:tcPr>
            <w:tcW w:w="4139" w:type="dxa"/>
          </w:tcPr>
          <w:p w14:paraId="7436D5BB" w14:textId="77777777" w:rsidR="00827CF4" w:rsidRPr="00F13073" w:rsidRDefault="00827CF4" w:rsidP="008B4C50">
            <w:pPr>
              <w:suppressAutoHyphens/>
              <w:rPr>
                <w:sz w:val="20"/>
                <w:szCs w:val="20"/>
              </w:rPr>
            </w:pPr>
            <w:r w:rsidRPr="00F13073">
              <w:rPr>
                <w:sz w:val="20"/>
                <w:szCs w:val="20"/>
              </w:rPr>
              <w:t>Roczny wskaźnik nawrotów, tydzień 52</w:t>
            </w:r>
            <w:r w:rsidRPr="00F13073">
              <w:rPr>
                <w:sz w:val="20"/>
                <w:szCs w:val="20"/>
                <w:vertAlign w:val="superscript"/>
              </w:rPr>
              <w:t>§</w:t>
            </w:r>
            <w:r w:rsidRPr="00F13073">
              <w:rPr>
                <w:sz w:val="20"/>
                <w:szCs w:val="20"/>
              </w:rPr>
              <w:t xml:space="preserve"> </w:t>
            </w:r>
          </w:p>
          <w:p w14:paraId="76B25F6A" w14:textId="77777777" w:rsidR="00827CF4" w:rsidRPr="00F13073" w:rsidRDefault="00827CF4" w:rsidP="008B4C50">
            <w:pPr>
              <w:suppressAutoHyphens/>
              <w:ind w:left="283"/>
              <w:rPr>
                <w:sz w:val="20"/>
                <w:szCs w:val="20"/>
              </w:rPr>
            </w:pPr>
            <w:r w:rsidRPr="00F13073">
              <w:rPr>
                <w:sz w:val="20"/>
                <w:szCs w:val="20"/>
              </w:rPr>
              <w:t>Średnia (SD)</w:t>
            </w:r>
          </w:p>
        </w:tc>
        <w:tc>
          <w:tcPr>
            <w:tcW w:w="1134" w:type="dxa"/>
          </w:tcPr>
          <w:p w14:paraId="340368B5" w14:textId="77777777" w:rsidR="00827CF4" w:rsidRPr="00F13073" w:rsidRDefault="00827CF4" w:rsidP="006450AF">
            <w:pPr>
              <w:suppressAutoHyphens/>
              <w:jc w:val="center"/>
              <w:rPr>
                <w:sz w:val="20"/>
                <w:szCs w:val="20"/>
              </w:rPr>
            </w:pPr>
          </w:p>
          <w:p w14:paraId="01D4C3B2" w14:textId="77777777" w:rsidR="00827CF4" w:rsidRPr="00F13073" w:rsidRDefault="00827CF4" w:rsidP="006450AF">
            <w:pPr>
              <w:suppressAutoHyphens/>
              <w:jc w:val="center"/>
              <w:rPr>
                <w:sz w:val="20"/>
                <w:szCs w:val="20"/>
              </w:rPr>
            </w:pPr>
            <w:r w:rsidRPr="00F13073">
              <w:rPr>
                <w:sz w:val="20"/>
                <w:szCs w:val="20"/>
              </w:rPr>
              <w:t>1,74</w:t>
            </w:r>
          </w:p>
          <w:p w14:paraId="5A643245" w14:textId="77777777" w:rsidR="00827CF4" w:rsidRPr="00F13073" w:rsidRDefault="00827CF4" w:rsidP="006450AF">
            <w:pPr>
              <w:suppressAutoHyphens/>
              <w:jc w:val="center"/>
              <w:rPr>
                <w:sz w:val="20"/>
                <w:szCs w:val="20"/>
              </w:rPr>
            </w:pPr>
            <w:r w:rsidRPr="00F13073">
              <w:rPr>
                <w:sz w:val="20"/>
                <w:szCs w:val="20"/>
              </w:rPr>
              <w:t>(2,18)</w:t>
            </w:r>
          </w:p>
        </w:tc>
        <w:tc>
          <w:tcPr>
            <w:tcW w:w="1082" w:type="dxa"/>
          </w:tcPr>
          <w:p w14:paraId="50E95A28" w14:textId="77777777" w:rsidR="00827CF4" w:rsidRPr="00F13073" w:rsidRDefault="00827CF4" w:rsidP="006450AF">
            <w:pPr>
              <w:suppressAutoHyphens/>
              <w:jc w:val="center"/>
              <w:rPr>
                <w:sz w:val="20"/>
                <w:szCs w:val="20"/>
              </w:rPr>
            </w:pPr>
          </w:p>
          <w:p w14:paraId="2334A040" w14:textId="77777777" w:rsidR="00827CF4" w:rsidRPr="00F13073" w:rsidRDefault="00827CF4" w:rsidP="006450AF">
            <w:pPr>
              <w:suppressAutoHyphens/>
              <w:jc w:val="center"/>
              <w:rPr>
                <w:sz w:val="20"/>
                <w:szCs w:val="20"/>
              </w:rPr>
            </w:pPr>
            <w:r w:rsidRPr="00F13073">
              <w:rPr>
                <w:sz w:val="20"/>
                <w:szCs w:val="20"/>
              </w:rPr>
              <w:t>1,30</w:t>
            </w:r>
          </w:p>
          <w:p w14:paraId="34F48A6C" w14:textId="77777777" w:rsidR="00827CF4" w:rsidRPr="00F13073" w:rsidRDefault="00827CF4" w:rsidP="006450AF">
            <w:pPr>
              <w:suppressAutoHyphens/>
              <w:jc w:val="center"/>
              <w:rPr>
                <w:sz w:val="20"/>
                <w:szCs w:val="20"/>
              </w:rPr>
            </w:pPr>
            <w:r w:rsidRPr="00F13073">
              <w:rPr>
                <w:sz w:val="20"/>
                <w:szCs w:val="20"/>
              </w:rPr>
              <w:t>(1,84)</w:t>
            </w:r>
          </w:p>
        </w:tc>
        <w:tc>
          <w:tcPr>
            <w:tcW w:w="1372" w:type="dxa"/>
          </w:tcPr>
          <w:p w14:paraId="246F1C8A" w14:textId="77777777" w:rsidR="00827CF4" w:rsidRPr="00F13073" w:rsidRDefault="00827CF4" w:rsidP="006450AF">
            <w:pPr>
              <w:suppressAutoHyphens/>
              <w:jc w:val="center"/>
              <w:rPr>
                <w:sz w:val="20"/>
                <w:szCs w:val="20"/>
              </w:rPr>
            </w:pPr>
          </w:p>
          <w:p w14:paraId="55A6A2AA" w14:textId="77777777" w:rsidR="00827CF4" w:rsidRPr="00F13073" w:rsidRDefault="00827CF4" w:rsidP="006450AF">
            <w:pPr>
              <w:suppressAutoHyphens/>
              <w:jc w:val="center"/>
              <w:rPr>
                <w:sz w:val="20"/>
                <w:szCs w:val="20"/>
              </w:rPr>
            </w:pPr>
            <w:r w:rsidRPr="00F13073">
              <w:rPr>
                <w:sz w:val="20"/>
                <w:szCs w:val="20"/>
              </w:rPr>
              <w:t>0,41</w:t>
            </w:r>
          </w:p>
          <w:p w14:paraId="74BB2700" w14:textId="77777777" w:rsidR="00827CF4" w:rsidRPr="00F13073" w:rsidRDefault="00827CF4" w:rsidP="006450AF">
            <w:pPr>
              <w:suppressAutoHyphens/>
              <w:jc w:val="center"/>
              <w:rPr>
                <w:sz w:val="20"/>
                <w:szCs w:val="20"/>
              </w:rPr>
            </w:pPr>
            <w:r w:rsidRPr="00F13073">
              <w:rPr>
                <w:sz w:val="20"/>
                <w:szCs w:val="20"/>
              </w:rPr>
              <w:t>(0,78)</w:t>
            </w:r>
          </w:p>
        </w:tc>
        <w:tc>
          <w:tcPr>
            <w:tcW w:w="1395" w:type="dxa"/>
          </w:tcPr>
          <w:p w14:paraId="4AD423A2" w14:textId="77777777" w:rsidR="00827CF4" w:rsidRPr="00F13073" w:rsidRDefault="00827CF4" w:rsidP="006450AF">
            <w:pPr>
              <w:suppressAutoHyphens/>
              <w:jc w:val="center"/>
              <w:rPr>
                <w:sz w:val="20"/>
                <w:szCs w:val="20"/>
              </w:rPr>
            </w:pPr>
          </w:p>
          <w:p w14:paraId="4767E8C6" w14:textId="77777777" w:rsidR="00827CF4" w:rsidRPr="00F13073" w:rsidRDefault="00827CF4" w:rsidP="006450AF">
            <w:pPr>
              <w:suppressAutoHyphens/>
              <w:jc w:val="center"/>
              <w:rPr>
                <w:sz w:val="20"/>
                <w:szCs w:val="20"/>
              </w:rPr>
            </w:pPr>
            <w:r w:rsidRPr="00F13073">
              <w:rPr>
                <w:sz w:val="20"/>
                <w:szCs w:val="20"/>
              </w:rPr>
              <w:t>0,67</w:t>
            </w:r>
          </w:p>
          <w:p w14:paraId="7859D57C" w14:textId="77777777" w:rsidR="00827CF4" w:rsidRPr="00F13073" w:rsidRDefault="00827CF4" w:rsidP="006450AF">
            <w:pPr>
              <w:suppressAutoHyphens/>
              <w:jc w:val="center"/>
              <w:rPr>
                <w:sz w:val="20"/>
                <w:szCs w:val="20"/>
              </w:rPr>
            </w:pPr>
            <w:r w:rsidRPr="00F13073">
              <w:rPr>
                <w:sz w:val="20"/>
                <w:szCs w:val="20"/>
              </w:rPr>
              <w:t>(1,10)</w:t>
            </w:r>
          </w:p>
        </w:tc>
      </w:tr>
    </w:tbl>
    <w:p w14:paraId="5E91285C" w14:textId="77777777" w:rsidR="002B35FB" w:rsidRPr="00F13073" w:rsidRDefault="002B35FB" w:rsidP="008B4C50">
      <w:pPr>
        <w:rPr>
          <w:sz w:val="18"/>
          <w:szCs w:val="18"/>
        </w:rPr>
      </w:pPr>
      <w:r w:rsidRPr="00F13073">
        <w:rPr>
          <w:sz w:val="18"/>
          <w:szCs w:val="18"/>
        </w:rPr>
        <w:t>* p&lt;0,0001</w:t>
      </w:r>
    </w:p>
    <w:p w14:paraId="01C64D35" w14:textId="77777777" w:rsidR="002B35FB" w:rsidRPr="00F13073" w:rsidRDefault="002B35FB" w:rsidP="008B4C50">
      <w:pPr>
        <w:rPr>
          <w:sz w:val="18"/>
          <w:szCs w:val="18"/>
        </w:rPr>
      </w:pPr>
      <w:r w:rsidRPr="00F13073">
        <w:rPr>
          <w:sz w:val="18"/>
          <w:szCs w:val="18"/>
        </w:rPr>
        <w:t>** p&lt;0,005 (próg istotności dla testów przewagi (superiority) w odniesieniu do pierwszorzędowego i najważniejszego drugorzędowego punktu końcowego)</w:t>
      </w:r>
    </w:p>
    <w:p w14:paraId="2F8CA06E" w14:textId="77777777" w:rsidR="002B35FB" w:rsidRPr="00F13073" w:rsidRDefault="002B35FB" w:rsidP="008B4C50">
      <w:pPr>
        <w:rPr>
          <w:sz w:val="18"/>
          <w:szCs w:val="18"/>
        </w:rPr>
      </w:pPr>
      <w:r w:rsidRPr="00F13073">
        <w:rPr>
          <w:sz w:val="18"/>
          <w:szCs w:val="18"/>
        </w:rPr>
        <w:t>***Opisowa wartość &lt;0,005</w:t>
      </w:r>
    </w:p>
    <w:p w14:paraId="40F35BF4" w14:textId="77777777" w:rsidR="002B35FB" w:rsidRPr="00F13073" w:rsidRDefault="002B35FB" w:rsidP="008B4C50">
      <w:pPr>
        <w:rPr>
          <w:sz w:val="18"/>
          <w:szCs w:val="18"/>
        </w:rPr>
      </w:pPr>
      <w:r w:rsidRPr="00F13073">
        <w:rPr>
          <w:sz w:val="18"/>
          <w:szCs w:val="18"/>
        </w:rPr>
        <w:t>****Zaostrzenie: nawrót objawów lub symptomów GCA i (lub) OB ≥ 30 mm/h – wymagane zwiększenie dawki prednizonu</w:t>
      </w:r>
    </w:p>
    <w:p w14:paraId="531B6EC4" w14:textId="77777777" w:rsidR="002B35FB" w:rsidRPr="00F13073" w:rsidRDefault="002B35FB" w:rsidP="008B4C50">
      <w:pPr>
        <w:rPr>
          <w:sz w:val="18"/>
          <w:szCs w:val="18"/>
        </w:rPr>
      </w:pPr>
      <w:r w:rsidRPr="00F13073">
        <w:rPr>
          <w:sz w:val="18"/>
          <w:szCs w:val="18"/>
        </w:rPr>
        <w:t>Remisja: brak zaostrzenia choroby i normalizacja CRP</w:t>
      </w:r>
    </w:p>
    <w:p w14:paraId="5E7527D9" w14:textId="77777777" w:rsidR="002B35FB" w:rsidRPr="00F13073" w:rsidRDefault="002B35FB" w:rsidP="008B4C50">
      <w:pPr>
        <w:rPr>
          <w:sz w:val="18"/>
          <w:szCs w:val="18"/>
        </w:rPr>
      </w:pPr>
      <w:r w:rsidRPr="00F13073">
        <w:rPr>
          <w:sz w:val="18"/>
          <w:szCs w:val="18"/>
        </w:rPr>
        <w:lastRenderedPageBreak/>
        <w:t>Trwała remisja: remisja od 12 do 52 tygodnia – pacjenci muszą stosować się do określonego przez protokół schematu redukcji dawek prednizonu</w:t>
      </w:r>
    </w:p>
    <w:p w14:paraId="4F869715" w14:textId="77777777" w:rsidR="002B35FB" w:rsidRPr="00F13073" w:rsidRDefault="002B35FB" w:rsidP="008B4C50">
      <w:pPr>
        <w:rPr>
          <w:sz w:val="18"/>
          <w:szCs w:val="18"/>
        </w:rPr>
      </w:pPr>
      <w:r w:rsidRPr="00F13073">
        <w:rPr>
          <w:sz w:val="18"/>
          <w:szCs w:val="18"/>
          <w:vertAlign w:val="superscript"/>
        </w:rPr>
        <w:t>1</w:t>
      </w:r>
      <w:r w:rsidRPr="00F13073">
        <w:rPr>
          <w:sz w:val="18"/>
          <w:szCs w:val="18"/>
        </w:rPr>
        <w:t xml:space="preserve"> analiza czasu (wyrażonego w dniach) pomiędzy remisją kliniczną a pierwszym zaostrzeniem choroby</w:t>
      </w:r>
    </w:p>
    <w:p w14:paraId="795EE601" w14:textId="77777777" w:rsidR="002B35FB" w:rsidRPr="00F13073" w:rsidRDefault="002B35FB" w:rsidP="008B4C50">
      <w:pPr>
        <w:rPr>
          <w:sz w:val="18"/>
          <w:szCs w:val="18"/>
        </w:rPr>
      </w:pPr>
      <w:r w:rsidRPr="00F13073">
        <w:rPr>
          <w:sz w:val="18"/>
          <w:szCs w:val="18"/>
          <w:vertAlign w:val="superscript"/>
        </w:rPr>
        <w:t>2</w:t>
      </w:r>
      <w:r w:rsidRPr="00F13073">
        <w:rPr>
          <w:sz w:val="18"/>
          <w:szCs w:val="18"/>
        </w:rPr>
        <w:t xml:space="preserve"> wartości p są określane przy użyciu analizy Van Elterena dla danych nieparametrycznych</w:t>
      </w:r>
    </w:p>
    <w:p w14:paraId="48AAAB59" w14:textId="77777777" w:rsidR="002B35FB" w:rsidRPr="00F13073" w:rsidRDefault="002B35FB" w:rsidP="008B4C50">
      <w:pPr>
        <w:rPr>
          <w:sz w:val="18"/>
          <w:szCs w:val="18"/>
        </w:rPr>
      </w:pPr>
      <w:r w:rsidRPr="00F13073">
        <w:rPr>
          <w:sz w:val="18"/>
          <w:szCs w:val="18"/>
          <w:vertAlign w:val="superscript"/>
        </w:rPr>
        <w:t>§</w:t>
      </w:r>
      <w:r w:rsidRPr="00F13073">
        <w:rPr>
          <w:sz w:val="18"/>
          <w:szCs w:val="18"/>
        </w:rPr>
        <w:t xml:space="preserve"> analizy statystyczne nie zostały przeprowadzone</w:t>
      </w:r>
    </w:p>
    <w:p w14:paraId="567C6041" w14:textId="77777777" w:rsidR="002B35FB" w:rsidRPr="00F13073" w:rsidRDefault="002B35FB" w:rsidP="008B4C50">
      <w:pPr>
        <w:rPr>
          <w:sz w:val="18"/>
          <w:szCs w:val="18"/>
        </w:rPr>
      </w:pPr>
      <w:r w:rsidRPr="00F13073">
        <w:rPr>
          <w:sz w:val="18"/>
          <w:szCs w:val="18"/>
        </w:rPr>
        <w:t>N/A= Nie dotyczy</w:t>
      </w:r>
    </w:p>
    <w:p w14:paraId="7C857F2B" w14:textId="77777777" w:rsidR="002B35FB" w:rsidRPr="00F13073" w:rsidRDefault="002B35FB" w:rsidP="008B4C50">
      <w:pPr>
        <w:rPr>
          <w:sz w:val="18"/>
          <w:szCs w:val="18"/>
        </w:rPr>
      </w:pPr>
      <w:r w:rsidRPr="00F13073">
        <w:rPr>
          <w:sz w:val="18"/>
          <w:szCs w:val="18"/>
        </w:rPr>
        <w:t>HR = Współczynnik ryzyka</w:t>
      </w:r>
    </w:p>
    <w:p w14:paraId="286C817E" w14:textId="77777777" w:rsidR="002B35FB" w:rsidRPr="00F13073" w:rsidRDefault="002B35FB" w:rsidP="008B4C50">
      <w:r w:rsidRPr="00F13073">
        <w:rPr>
          <w:sz w:val="18"/>
          <w:szCs w:val="18"/>
        </w:rPr>
        <w:t>CI = Przedział ufności</w:t>
      </w:r>
    </w:p>
    <w:p w14:paraId="65B095C3" w14:textId="77777777" w:rsidR="00D13DF4" w:rsidRPr="00F13073" w:rsidRDefault="00D13DF4" w:rsidP="008B4C50"/>
    <w:p w14:paraId="426E559F" w14:textId="77777777" w:rsidR="002B35FB" w:rsidRPr="00F13073" w:rsidRDefault="002B35FB" w:rsidP="008B4C50">
      <w:pPr>
        <w:pStyle w:val="a4"/>
        <w:widowControl/>
        <w:spacing w:after="0"/>
      </w:pPr>
      <w:r w:rsidRPr="00F13073">
        <w:rPr>
          <w:rStyle w:val="Char"/>
          <w:i/>
          <w:iCs/>
        </w:rPr>
        <w:t>Wyniki w zakresie oceny jakości życia</w:t>
      </w:r>
    </w:p>
    <w:p w14:paraId="1DD7914D" w14:textId="77777777" w:rsidR="00043B08" w:rsidRPr="00F13073" w:rsidRDefault="00043B08" w:rsidP="008B4C50">
      <w:pPr>
        <w:pStyle w:val="a4"/>
        <w:widowControl/>
        <w:spacing w:after="0"/>
        <w:rPr>
          <w:rStyle w:val="Char"/>
        </w:rPr>
      </w:pPr>
    </w:p>
    <w:p w14:paraId="71EDF6F5" w14:textId="59B960D7" w:rsidR="002B35FB" w:rsidRPr="00F13073" w:rsidRDefault="002B35FB" w:rsidP="008B4C50">
      <w:pPr>
        <w:pStyle w:val="a4"/>
        <w:widowControl/>
        <w:spacing w:after="0"/>
        <w:rPr>
          <w:rStyle w:val="Char"/>
        </w:rPr>
      </w:pPr>
      <w:r w:rsidRPr="00F13073">
        <w:rPr>
          <w:rStyle w:val="Char"/>
        </w:rPr>
        <w:t xml:space="preserve">W badaniu WA28119 wyniki kwestionariusza SF-36 zostały rozdzielone na sumaryczne wyniki dotyczące stanu fizycznego i psychicznego (odpowiednio PCS i MCS). Średnia zmiana w PCS do tygodnia 52. względem wartości wyjściowych była większa (wykazując większą poprawę) w grupach stosujących </w:t>
      </w:r>
      <w:r w:rsidR="00041399" w:rsidRPr="00F13073">
        <w:rPr>
          <w:rStyle w:val="Char"/>
        </w:rPr>
        <w:t>tocilizumab</w:t>
      </w:r>
      <w:r w:rsidR="00041399" w:rsidRPr="00F13073" w:rsidDel="00041399">
        <w:rPr>
          <w:rStyle w:val="Char"/>
        </w:rPr>
        <w:t xml:space="preserve"> </w:t>
      </w:r>
      <w:r w:rsidRPr="00F13073">
        <w:rPr>
          <w:rStyle w:val="Char"/>
        </w:rPr>
        <w:t xml:space="preserve">raz w tygodniu i raz na dwa tygodnie (odpowiednio 4,10; 2,76) niż w dwóch grupach placebo (placebo plus 26 tygodni prednizonu; -0,28, placebo plus 52 tygodnie prednizonu; -1,49), chociaż tylko porównanie pomiędzy </w:t>
      </w:r>
      <w:r w:rsidR="00041399" w:rsidRPr="00F13073">
        <w:rPr>
          <w:rStyle w:val="Char"/>
        </w:rPr>
        <w:t>tocilizumabem</w:t>
      </w:r>
      <w:r w:rsidRPr="00F13073">
        <w:rPr>
          <w:rStyle w:val="Char"/>
        </w:rPr>
        <w:t xml:space="preserve"> podawanym raz w tygodniu w skojarzeniu z 26-tygodniową terapią malejącymi dawkami prednizonu, a grupą placebo w skojarzeniu z 52-tygodniową terapią malejącymi dawkami prednizonu (5,59; 99% CI: 8,6; 10,32) wykazało statystycznie istotną różnicę (p=0,0024). W przypadku MCS średnia zmiana do tygodnia 52. względem wartości wyjściowych zarówno w grupie otrzymującej </w:t>
      </w:r>
      <w:r w:rsidR="00041399" w:rsidRPr="00F13073">
        <w:rPr>
          <w:rStyle w:val="Char"/>
        </w:rPr>
        <w:t>tocilizumab</w:t>
      </w:r>
      <w:r w:rsidR="00041399" w:rsidRPr="00F13073" w:rsidDel="00041399">
        <w:rPr>
          <w:rStyle w:val="Char"/>
        </w:rPr>
        <w:t xml:space="preserve"> </w:t>
      </w:r>
      <w:r w:rsidRPr="00F13073">
        <w:rPr>
          <w:rStyle w:val="Char"/>
        </w:rPr>
        <w:t xml:space="preserve">raz w tygodniu, jak i w grupie otrzymującej </w:t>
      </w:r>
      <w:r w:rsidR="00041399" w:rsidRPr="00F13073">
        <w:rPr>
          <w:rStyle w:val="Char"/>
        </w:rPr>
        <w:t>tocilizumab</w:t>
      </w:r>
      <w:r w:rsidR="00041399" w:rsidRPr="00F13073" w:rsidDel="00041399">
        <w:rPr>
          <w:rStyle w:val="Char"/>
        </w:rPr>
        <w:t xml:space="preserve"> </w:t>
      </w:r>
      <w:r w:rsidRPr="00F13073">
        <w:rPr>
          <w:rStyle w:val="Char"/>
        </w:rPr>
        <w:t>raz na dwa tygodnie (odpowiednio 7,28; 6,12) była większa niż w grupie placebo w skojarzeniu z 52-tygodniową terapią malejącymi dawkami prednizonu [2,84] (chociaż różnice nie były statystycznie istotne [p=0,0252 dla dawkowania raz w tygodniu, p=0,1468 dla dawkowania raz na dwa tygodnie]) i były podobne do wyników uzyskanych w grupie placebo plus 26-tygodniowa terapia malejącymi dawkami prednizonu [6,67].</w:t>
      </w:r>
    </w:p>
    <w:p w14:paraId="512819DA" w14:textId="77777777" w:rsidR="002B35FB" w:rsidRPr="00F13073" w:rsidRDefault="002B35FB" w:rsidP="008B4C50">
      <w:pPr>
        <w:pStyle w:val="a4"/>
        <w:widowControl/>
        <w:spacing w:after="0"/>
      </w:pPr>
    </w:p>
    <w:p w14:paraId="0A749BFC" w14:textId="35E2DAD9" w:rsidR="002B35FB" w:rsidRPr="00F13073" w:rsidRDefault="002B35FB" w:rsidP="008B4C50">
      <w:pPr>
        <w:pStyle w:val="a4"/>
        <w:widowControl/>
        <w:spacing w:after="0"/>
        <w:rPr>
          <w:rStyle w:val="Char"/>
        </w:rPr>
      </w:pPr>
      <w:r w:rsidRPr="00F13073">
        <w:rPr>
          <w:rStyle w:val="Char"/>
        </w:rPr>
        <w:t xml:space="preserve">Globalna ocena aktywności choroby wg pacjenta była przeprowadzana w skali wzrokowo-analogowej (VAS) 0-100mm. Średnia zmiana w globalnej ocenie pacjenta w skali VAS od stanu początkowego do tygodnia 52. była mniejsza (wykazując większą poprawę) w grupach stosujących </w:t>
      </w:r>
      <w:r w:rsidR="00684287" w:rsidRPr="00F13073">
        <w:rPr>
          <w:rStyle w:val="Char"/>
        </w:rPr>
        <w:t>tocilizumab</w:t>
      </w:r>
      <w:r w:rsidR="00684287" w:rsidRPr="00F13073" w:rsidDel="00684287">
        <w:rPr>
          <w:rStyle w:val="Char"/>
        </w:rPr>
        <w:t xml:space="preserve"> </w:t>
      </w:r>
      <w:r w:rsidRPr="00F13073">
        <w:rPr>
          <w:rStyle w:val="Char"/>
        </w:rPr>
        <w:t xml:space="preserve">raz w tygodniu i raz na dwa tygodnie [odpowiednio -19,0; -25,3], niż w obu grupach placebo [placebo plus 26 tygodni -3,4, placebo plus 52 tygodnie -7,2], chociaż tylko grupa otrzymująca </w:t>
      </w:r>
      <w:r w:rsidR="00684287" w:rsidRPr="00F13073">
        <w:rPr>
          <w:rStyle w:val="Char"/>
        </w:rPr>
        <w:t>tocilizumab</w:t>
      </w:r>
      <w:r w:rsidR="00684287" w:rsidRPr="00F13073" w:rsidDel="00684287">
        <w:rPr>
          <w:rStyle w:val="Char"/>
        </w:rPr>
        <w:t xml:space="preserve"> </w:t>
      </w:r>
      <w:r w:rsidRPr="00F13073">
        <w:rPr>
          <w:rStyle w:val="Char"/>
        </w:rPr>
        <w:t>co dwa tygodnie w skojarzeniu z 26-tygodniową terapią malejącymi dawkami prednizonu wykazywała statystycznie istotną różnicę w porównaniu z placebo [placebo plus 26-tygodniowa terapia malejącymi dawkami prednizonu p=0,0059 i placebo plus 52- tygodniowa terapia malejącymi dawkami prednizonu p=0,0081].</w:t>
      </w:r>
    </w:p>
    <w:p w14:paraId="3690D994" w14:textId="77777777" w:rsidR="002B35FB" w:rsidRPr="00F13073" w:rsidRDefault="002B35FB" w:rsidP="008B4C50">
      <w:pPr>
        <w:pStyle w:val="a4"/>
        <w:widowControl/>
        <w:spacing w:after="0"/>
      </w:pPr>
    </w:p>
    <w:p w14:paraId="6DF7E418" w14:textId="143EDAA1" w:rsidR="002B35FB" w:rsidRPr="00F13073" w:rsidRDefault="002B35FB" w:rsidP="008B4C50">
      <w:pPr>
        <w:pStyle w:val="a4"/>
        <w:widowControl/>
        <w:spacing w:after="0"/>
        <w:rPr>
          <w:rStyle w:val="Char"/>
        </w:rPr>
      </w:pPr>
      <w:r w:rsidRPr="00F13073">
        <w:rPr>
          <w:rStyle w:val="Char"/>
        </w:rPr>
        <w:t xml:space="preserve">We wszystkich grupach obliczono zmiany w wyniku kwestionariusza FACIT-Fatigue od wartości początkowych do tygodnia 52. Średnie [SD] wyniki zmian były następujące: </w:t>
      </w:r>
      <w:r w:rsidR="00684287" w:rsidRPr="00F13073">
        <w:rPr>
          <w:rStyle w:val="Char"/>
        </w:rPr>
        <w:t>tocilizumab</w:t>
      </w:r>
      <w:r w:rsidRPr="00F13073">
        <w:rPr>
          <w:rStyle w:val="Char"/>
        </w:rPr>
        <w:t xml:space="preserve"> raz w tygodniu plus 26 tygodni prednizonu 5,61 [10,115], </w:t>
      </w:r>
      <w:r w:rsidR="00684287" w:rsidRPr="00F13073">
        <w:rPr>
          <w:rStyle w:val="Char"/>
        </w:rPr>
        <w:t>tocilizumab</w:t>
      </w:r>
      <w:r w:rsidRPr="00F13073">
        <w:rPr>
          <w:rStyle w:val="Char"/>
        </w:rPr>
        <w:t xml:space="preserve"> raz na dwa tygodnie plus 26 tygodni prednizonu 1,81 [8,836], placebo plus 26 tygodni prednizonu 0,26 [10,702] i placebo plus 52 tygodnie prednizonu -1,63 [6,753].</w:t>
      </w:r>
    </w:p>
    <w:p w14:paraId="59F66B0C" w14:textId="77777777" w:rsidR="002B35FB" w:rsidRPr="00F13073" w:rsidRDefault="002B35FB" w:rsidP="008B4C50">
      <w:pPr>
        <w:pStyle w:val="a4"/>
        <w:widowControl/>
        <w:spacing w:after="0"/>
      </w:pPr>
    </w:p>
    <w:p w14:paraId="5D758ECA" w14:textId="34E72F5B" w:rsidR="002B35FB" w:rsidRPr="00F13073" w:rsidRDefault="002B35FB" w:rsidP="008B4C50">
      <w:pPr>
        <w:pStyle w:val="a4"/>
        <w:widowControl/>
        <w:spacing w:after="0"/>
        <w:rPr>
          <w:rStyle w:val="Char"/>
        </w:rPr>
      </w:pPr>
      <w:r w:rsidRPr="00F13073">
        <w:rPr>
          <w:rStyle w:val="Char"/>
        </w:rPr>
        <w:t xml:space="preserve">Zmiana w wynikach EQ5D od wartości wyjściowych do tygodnia 52. wyniosła 0,10 [0,198] w grupie otrzymującej </w:t>
      </w:r>
      <w:r w:rsidR="00684287" w:rsidRPr="00F13073">
        <w:rPr>
          <w:rStyle w:val="Char"/>
        </w:rPr>
        <w:t>tocilizumab</w:t>
      </w:r>
      <w:r w:rsidR="00684287" w:rsidRPr="00F13073" w:rsidDel="00684287">
        <w:rPr>
          <w:rStyle w:val="Char"/>
        </w:rPr>
        <w:t xml:space="preserve"> </w:t>
      </w:r>
      <w:r w:rsidRPr="00F13073">
        <w:rPr>
          <w:rStyle w:val="Char"/>
        </w:rPr>
        <w:t xml:space="preserve">raz w tygodniu w skojarzeniu z 26-tygodniową terapią malejącymi dawkami prednizonu, 0,05 [0,215] w grupie otrzymującej </w:t>
      </w:r>
      <w:r w:rsidR="00684287" w:rsidRPr="00F13073">
        <w:rPr>
          <w:rStyle w:val="Char"/>
        </w:rPr>
        <w:t>tocilizumab</w:t>
      </w:r>
      <w:r w:rsidR="00684287" w:rsidRPr="00F13073" w:rsidDel="00684287">
        <w:rPr>
          <w:rStyle w:val="Char"/>
        </w:rPr>
        <w:t xml:space="preserve"> </w:t>
      </w:r>
      <w:r w:rsidRPr="00F13073">
        <w:rPr>
          <w:rStyle w:val="Char"/>
        </w:rPr>
        <w:t>co dwa tygodnie w skojarzeniu z 26-tygodniową terapią malejącymi dawkami prednizonu, 0,07 [0,293] w grupie placebo plus 26-tygodniowa terapia malejącymi dawkami prednizonu i -0,02 [0,159] w grupie placebo plus 52-tygodniowa terapia malejącymi dawkami prednizonu.</w:t>
      </w:r>
    </w:p>
    <w:p w14:paraId="01F3B6A6" w14:textId="77777777" w:rsidR="002B35FB" w:rsidRPr="00F13073" w:rsidRDefault="002B35FB" w:rsidP="008B4C50">
      <w:pPr>
        <w:pStyle w:val="a4"/>
        <w:widowControl/>
        <w:spacing w:after="0"/>
      </w:pPr>
    </w:p>
    <w:p w14:paraId="7DB2BAEB" w14:textId="77777777" w:rsidR="002B35FB" w:rsidRPr="00F13073" w:rsidRDefault="002B35FB" w:rsidP="008B4C50">
      <w:pPr>
        <w:pStyle w:val="a4"/>
        <w:widowControl/>
        <w:spacing w:after="0"/>
        <w:rPr>
          <w:rStyle w:val="Char"/>
        </w:rPr>
      </w:pPr>
      <w:r w:rsidRPr="00F13073">
        <w:rPr>
          <w:rStyle w:val="Char"/>
        </w:rPr>
        <w:t>Wyższe wartości sygnalizują poprawę zarówno w kwestionariuszu FACIT-Fatigue, jak i EQ5D.</w:t>
      </w:r>
    </w:p>
    <w:p w14:paraId="4CB9C78D" w14:textId="77777777" w:rsidR="002B35FB" w:rsidRPr="00F13073" w:rsidRDefault="002B35FB" w:rsidP="008B4C50">
      <w:pPr>
        <w:pStyle w:val="a4"/>
        <w:widowControl/>
        <w:spacing w:after="0"/>
      </w:pPr>
    </w:p>
    <w:p w14:paraId="0E2958A6" w14:textId="77777777" w:rsidR="002B35FB" w:rsidRPr="00F13073" w:rsidRDefault="002B35FB" w:rsidP="008B4C50">
      <w:pPr>
        <w:pStyle w:val="a4"/>
        <w:widowControl/>
        <w:spacing w:after="0"/>
      </w:pPr>
      <w:r w:rsidRPr="00F13073">
        <w:rPr>
          <w:rStyle w:val="Char"/>
          <w:u w:val="single"/>
        </w:rPr>
        <w:t>Podanie dożylne</w:t>
      </w:r>
    </w:p>
    <w:p w14:paraId="633A8569" w14:textId="77777777" w:rsidR="002B35FB" w:rsidRPr="00F13073" w:rsidRDefault="002B35FB" w:rsidP="008B4C50">
      <w:pPr>
        <w:pStyle w:val="a4"/>
        <w:widowControl/>
        <w:spacing w:after="0"/>
      </w:pPr>
      <w:r w:rsidRPr="00F13073">
        <w:rPr>
          <w:rStyle w:val="Char"/>
          <w:b/>
          <w:bCs/>
          <w:u w:val="single"/>
        </w:rPr>
        <w:t>RZS</w:t>
      </w:r>
    </w:p>
    <w:p w14:paraId="571CF452" w14:textId="77777777" w:rsidR="002B35FB" w:rsidRPr="00F13073" w:rsidRDefault="002B35FB" w:rsidP="008B4C50">
      <w:pPr>
        <w:pStyle w:val="a4"/>
        <w:widowControl/>
        <w:spacing w:after="0"/>
      </w:pPr>
      <w:r w:rsidRPr="00F13073">
        <w:rPr>
          <w:rStyle w:val="Char"/>
          <w:u w:val="single"/>
        </w:rPr>
        <w:t>Skuteczność kliniczna</w:t>
      </w:r>
    </w:p>
    <w:p w14:paraId="0CD5CC34" w14:textId="090209BC" w:rsidR="002B35FB" w:rsidRPr="00F13073" w:rsidRDefault="002B35FB" w:rsidP="008B4C50">
      <w:pPr>
        <w:pStyle w:val="a4"/>
        <w:widowControl/>
        <w:spacing w:after="0"/>
        <w:rPr>
          <w:rStyle w:val="Char"/>
        </w:rPr>
      </w:pPr>
      <w:r w:rsidRPr="00F13073">
        <w:rPr>
          <w:rStyle w:val="Char"/>
        </w:rPr>
        <w:t xml:space="preserve">Skuteczność kliniczną </w:t>
      </w:r>
      <w:r w:rsidR="001253A4" w:rsidRPr="00F13073">
        <w:rPr>
          <w:rStyle w:val="Char"/>
        </w:rPr>
        <w:t xml:space="preserve">tocilizumabu </w:t>
      </w:r>
      <w:r w:rsidRPr="00F13073">
        <w:rPr>
          <w:rStyle w:val="Char"/>
        </w:rPr>
        <w:t>w zakresie łagodzenia objawów przedmiotowych i podmiotowych RZS oceniano w pięciu wieloośrodkowych, randomizowanych badaniach prowadzonych metodą podwójnie ślepej próby. W badaniach I</w:t>
      </w:r>
      <w:r w:rsidR="00DE76FE" w:rsidRPr="00F13073">
        <w:rPr>
          <w:rStyle w:val="Char"/>
        </w:rPr>
        <w:t>–</w:t>
      </w:r>
      <w:r w:rsidRPr="00F13073">
        <w:rPr>
          <w:rStyle w:val="Char"/>
        </w:rPr>
        <w:t xml:space="preserve">V wzięli udział pacjenci w wieku ≥18 lat z czynnym RZS </w:t>
      </w:r>
      <w:r w:rsidRPr="00F13073">
        <w:rPr>
          <w:rStyle w:val="Char"/>
        </w:rPr>
        <w:lastRenderedPageBreak/>
        <w:t>rozpoznanym na podstawie kryteriów American College of Rheumatology (ACR) i u których wyjściowo stwierdzono co najmniej 8 bolesnych i 6 obrzękniętych stawów.</w:t>
      </w:r>
    </w:p>
    <w:p w14:paraId="01079547" w14:textId="77777777" w:rsidR="002B35FB" w:rsidRPr="00F13073" w:rsidRDefault="002B35FB" w:rsidP="008B4C50">
      <w:pPr>
        <w:pStyle w:val="a4"/>
        <w:widowControl/>
        <w:spacing w:after="0"/>
      </w:pPr>
    </w:p>
    <w:p w14:paraId="1AF6629E" w14:textId="59F2F8DA" w:rsidR="002B35FB" w:rsidRPr="00F13073" w:rsidRDefault="002B35FB" w:rsidP="008B4C50">
      <w:pPr>
        <w:pStyle w:val="a4"/>
        <w:widowControl/>
        <w:spacing w:after="0"/>
        <w:rPr>
          <w:rStyle w:val="Char"/>
        </w:rPr>
      </w:pPr>
      <w:r w:rsidRPr="00F13073">
        <w:rPr>
          <w:rStyle w:val="Char"/>
        </w:rPr>
        <w:t xml:space="preserve">W badaniu I </w:t>
      </w:r>
      <w:r w:rsidR="001253A4" w:rsidRPr="00F13073">
        <w:rPr>
          <w:rStyle w:val="Char"/>
        </w:rPr>
        <w:t>tocilizumab</w:t>
      </w:r>
      <w:r w:rsidR="001253A4" w:rsidRPr="00F13073" w:rsidDel="001253A4">
        <w:rPr>
          <w:rStyle w:val="Char"/>
        </w:rPr>
        <w:t xml:space="preserve"> </w:t>
      </w:r>
      <w:r w:rsidRPr="00F13073">
        <w:rPr>
          <w:rStyle w:val="Char"/>
        </w:rPr>
        <w:t xml:space="preserve">podawano dożylnie co czwarty tydzień w monoterapii. W badaniach II, III i V porównywano </w:t>
      </w:r>
      <w:r w:rsidR="001253A4" w:rsidRPr="00F13073">
        <w:rPr>
          <w:rStyle w:val="Char"/>
        </w:rPr>
        <w:t>tocilizumab</w:t>
      </w:r>
      <w:r w:rsidR="001253A4" w:rsidRPr="00F13073" w:rsidDel="001253A4">
        <w:rPr>
          <w:rStyle w:val="Char"/>
        </w:rPr>
        <w:t xml:space="preserve"> </w:t>
      </w:r>
      <w:r w:rsidRPr="00F13073">
        <w:rPr>
          <w:rStyle w:val="Char"/>
        </w:rPr>
        <w:t xml:space="preserve">podawany dożylnie raz na cztery tygodnie w skojarzeniu z metotreksatem do leczenia placebo z metotreksatem. W badaniu IV porównywano leczenie </w:t>
      </w:r>
      <w:r w:rsidR="001253A4" w:rsidRPr="00F13073">
        <w:rPr>
          <w:rStyle w:val="Char"/>
        </w:rPr>
        <w:t xml:space="preserve">tocilizumabem </w:t>
      </w:r>
      <w:r w:rsidRPr="00F13073">
        <w:rPr>
          <w:rStyle w:val="Char"/>
        </w:rPr>
        <w:t>podawanym dożylnie co czwarty tydzień w skojarzeniu z innym lekiem z grupy DMARD do leczenia placebo w skojarzeniu z lekiem z grupy DMARD. Pierwszorzędowym punktem końcowym tych pięciu badań był odsetek pacjentów, którzy uzyskali odpowiedź na leczenie według kryteriów ACR 20 w 24. tygodniu.</w:t>
      </w:r>
    </w:p>
    <w:p w14:paraId="7932061D" w14:textId="77777777" w:rsidR="002B35FB" w:rsidRPr="00F13073" w:rsidRDefault="002B35FB" w:rsidP="008B4C50">
      <w:pPr>
        <w:pStyle w:val="a4"/>
        <w:widowControl/>
        <w:spacing w:after="0"/>
      </w:pPr>
    </w:p>
    <w:p w14:paraId="0F216D27" w14:textId="48F8087D" w:rsidR="002B35FB" w:rsidRPr="00F13073" w:rsidRDefault="002B35FB" w:rsidP="008B4C50">
      <w:pPr>
        <w:pStyle w:val="a4"/>
        <w:widowControl/>
        <w:spacing w:after="0"/>
        <w:rPr>
          <w:rStyle w:val="Char"/>
        </w:rPr>
      </w:pPr>
      <w:r w:rsidRPr="00F13073">
        <w:rPr>
          <w:rStyle w:val="Char"/>
        </w:rPr>
        <w:t xml:space="preserve">W badaniu I wzięło udział 673 pacjentów, którzy nie byli leczeni metotreksatem w ciągu sześciu miesięcy poprzedzających randomizację i u których nie zachodziła konieczność przerwania podawania metotreksatu z powodu istotnych klinicznie działań toksycznych lub braku odpowiedzi na leczenie. Większość (67%) pacjentów nigdy wcześniej nie przyjmowała metotreksatu. </w:t>
      </w:r>
      <w:r w:rsidR="001253A4" w:rsidRPr="00F13073">
        <w:rPr>
          <w:rStyle w:val="Char"/>
        </w:rPr>
        <w:t>Tocilizumab</w:t>
      </w:r>
      <w:r w:rsidRPr="00F13073">
        <w:rPr>
          <w:rStyle w:val="Char"/>
        </w:rPr>
        <w:t xml:space="preserve"> w dawce 8 mg/kg mc. podawano co czwarty tydzień w monoterapii. Grupa porównawcza otrzymywała metotreksat raz na tydzień (dawki dobierane indywidualnie od 7,5 mg do maksymalnie 20 mg na tydzień przez okres ośmiu tygodni).</w:t>
      </w:r>
    </w:p>
    <w:p w14:paraId="10652E8A" w14:textId="77777777" w:rsidR="002B35FB" w:rsidRPr="00F13073" w:rsidRDefault="002B35FB" w:rsidP="008B4C50">
      <w:pPr>
        <w:pStyle w:val="a4"/>
        <w:widowControl/>
        <w:spacing w:after="0"/>
      </w:pPr>
    </w:p>
    <w:p w14:paraId="14B70E8C" w14:textId="5004B9CF" w:rsidR="002B35FB" w:rsidRPr="00F13073" w:rsidRDefault="002B35FB" w:rsidP="008B4C50">
      <w:pPr>
        <w:pStyle w:val="a4"/>
        <w:widowControl/>
        <w:spacing w:after="0"/>
        <w:rPr>
          <w:rStyle w:val="Char"/>
        </w:rPr>
      </w:pPr>
      <w:r w:rsidRPr="00F13073">
        <w:rPr>
          <w:rStyle w:val="Char"/>
        </w:rPr>
        <w:t xml:space="preserve">Badanie II, trwające dwa lata, z zaplanowaną analizą wyników w 24., 52. i w 104. tygodniu, objęło 1196 pacjentów, u których stwierdzono niedostateczną odpowiedź kliniczną na metotreksat. </w:t>
      </w:r>
      <w:r w:rsidR="001253A4" w:rsidRPr="00F13073">
        <w:rPr>
          <w:rStyle w:val="Char"/>
        </w:rPr>
        <w:t>Tocilizumab</w:t>
      </w:r>
      <w:r w:rsidRPr="00F13073">
        <w:rPr>
          <w:rStyle w:val="Char"/>
        </w:rPr>
        <w:t xml:space="preserve"> w dawce 4 lub 8 mg/kg mc. lub placebo podawano z zachowaniem zasad zaślepienia raz na cztery tygodnie przez okres 52 tygodni w skojarzeniu ze stałą dawką metotreksatu (od 10 do 25 mg na tydzień). Po 52. tygodniu wszyscy pacjenci mieli możliwość leczenia </w:t>
      </w:r>
      <w:r w:rsidR="00E8398F" w:rsidRPr="00F13073">
        <w:rPr>
          <w:rStyle w:val="Char"/>
        </w:rPr>
        <w:t xml:space="preserve">tocilizumabem </w:t>
      </w:r>
      <w:r w:rsidRPr="00F13073">
        <w:rPr>
          <w:rStyle w:val="Char"/>
        </w:rPr>
        <w:t xml:space="preserve">w dawce 8 mg/kg mc. w ramach badania otwartego. Z grupy pacjentów, którzy zostali zrandomizowani do grupy placebo + metotreksat i ukończyli badanie, 86% otrzymało </w:t>
      </w:r>
      <w:r w:rsidR="00E8398F" w:rsidRPr="00F13073">
        <w:rPr>
          <w:rStyle w:val="Char"/>
        </w:rPr>
        <w:t>tocilizumab</w:t>
      </w:r>
      <w:r w:rsidR="00E8398F" w:rsidRPr="00F13073" w:rsidDel="00E8398F">
        <w:rPr>
          <w:rStyle w:val="Char"/>
        </w:rPr>
        <w:t xml:space="preserve"> </w:t>
      </w:r>
      <w:r w:rsidRPr="00F13073">
        <w:rPr>
          <w:rStyle w:val="Char"/>
        </w:rPr>
        <w:t>w dawce 8 mg/kg mc. w 2. roku. Pierwszorzędowym punktem końcowym w 24. tygodniu badania był odsetek chorych, którzy spełnili kryteria odpowiedzi na leczenie ACR 20. Oceniane w 52. i 104. tygodniu badania współistniejące pierwszorzędowe punkty końcowe obejmowały zapobieganie uszkodzeniu stawów i poprawę sprawności fizycznej.</w:t>
      </w:r>
    </w:p>
    <w:p w14:paraId="4DB5BCFE" w14:textId="77777777" w:rsidR="002B35FB" w:rsidRPr="00F13073" w:rsidRDefault="002B35FB" w:rsidP="008B4C50">
      <w:pPr>
        <w:pStyle w:val="a4"/>
        <w:widowControl/>
        <w:spacing w:after="0"/>
      </w:pPr>
    </w:p>
    <w:p w14:paraId="50203596" w14:textId="145FA3C2" w:rsidR="002B35FB" w:rsidRPr="00F13073" w:rsidRDefault="002B35FB" w:rsidP="00712261">
      <w:pPr>
        <w:pStyle w:val="a4"/>
        <w:widowControl/>
        <w:spacing w:after="0"/>
        <w:rPr>
          <w:rStyle w:val="Char"/>
        </w:rPr>
      </w:pPr>
      <w:r w:rsidRPr="00F13073">
        <w:rPr>
          <w:rStyle w:val="Char"/>
        </w:rPr>
        <w:t xml:space="preserve">W badaniu III wzięło udział 623 pacjentów z niewystarczającą odpowiedzią kliniczną na metotreksat. Chorym podawano </w:t>
      </w:r>
      <w:r w:rsidR="00E8398F" w:rsidRPr="00F13073">
        <w:rPr>
          <w:rStyle w:val="Char"/>
        </w:rPr>
        <w:t>tocilizumab</w:t>
      </w:r>
      <w:r w:rsidR="00E8398F" w:rsidRPr="00F13073" w:rsidDel="00E8398F">
        <w:rPr>
          <w:rStyle w:val="Char"/>
        </w:rPr>
        <w:t xml:space="preserve"> </w:t>
      </w:r>
      <w:r w:rsidRPr="00F13073">
        <w:rPr>
          <w:rStyle w:val="Char"/>
        </w:rPr>
        <w:t>raz na cztery tygodnie w dawce 4 lub 8</w:t>
      </w:r>
      <w:r w:rsidR="00712261" w:rsidRPr="00F13073">
        <w:rPr>
          <w:rStyle w:val="Char"/>
        </w:rPr>
        <w:t> </w:t>
      </w:r>
      <w:r w:rsidRPr="00F13073">
        <w:rPr>
          <w:rStyle w:val="Char"/>
        </w:rPr>
        <w:t>mg/kg mc. lub placebo, w skojarzeniu z metotreksatem w stałej dawce (od 10 do 25 mg na tydzień).</w:t>
      </w:r>
    </w:p>
    <w:p w14:paraId="7EB4A91C" w14:textId="77777777" w:rsidR="002B35FB" w:rsidRPr="00F13073" w:rsidRDefault="002B35FB" w:rsidP="008B4C50">
      <w:pPr>
        <w:pStyle w:val="a4"/>
        <w:widowControl/>
        <w:spacing w:after="0"/>
      </w:pPr>
    </w:p>
    <w:p w14:paraId="73C88D68" w14:textId="77777777" w:rsidR="002B35FB" w:rsidRPr="00F13073" w:rsidRDefault="002B35FB" w:rsidP="008B4C50">
      <w:pPr>
        <w:pStyle w:val="a4"/>
        <w:widowControl/>
        <w:spacing w:after="0"/>
      </w:pPr>
      <w:r w:rsidRPr="00F13073">
        <w:rPr>
          <w:rStyle w:val="Char"/>
        </w:rPr>
        <w:t>Badanie IV objęło 1220 pacjentów, u których stwierdzono niewystarczającą odpowiedź na stosowane dotychczas leczenie przeciwreumatyczne obejmujące jeden lub więcej leków z grupy DMARD.</w:t>
      </w:r>
    </w:p>
    <w:p w14:paraId="6FE5C0E5" w14:textId="20F6D492" w:rsidR="002B35FB" w:rsidRPr="00F13073" w:rsidRDefault="002B35FB" w:rsidP="008B4C50">
      <w:pPr>
        <w:pStyle w:val="a4"/>
        <w:widowControl/>
        <w:spacing w:after="0"/>
        <w:rPr>
          <w:rStyle w:val="Char"/>
        </w:rPr>
      </w:pPr>
      <w:r w:rsidRPr="00F13073">
        <w:rPr>
          <w:rStyle w:val="Char"/>
        </w:rPr>
        <w:t xml:space="preserve">Chorym podawano </w:t>
      </w:r>
      <w:r w:rsidR="00E8398F" w:rsidRPr="00F13073">
        <w:rPr>
          <w:rStyle w:val="Char"/>
        </w:rPr>
        <w:t>tocilizumab</w:t>
      </w:r>
      <w:r w:rsidR="00E8398F" w:rsidRPr="00F13073" w:rsidDel="00E8398F">
        <w:rPr>
          <w:rStyle w:val="Char"/>
        </w:rPr>
        <w:t xml:space="preserve"> </w:t>
      </w:r>
      <w:r w:rsidRPr="00F13073">
        <w:rPr>
          <w:rStyle w:val="Char"/>
        </w:rPr>
        <w:t>w dawce 8 mg/kg mc. lub placebo raz na cztery tygodnie w skojarzeniu z lekami z grupy DMARD w stałych dawkach.</w:t>
      </w:r>
    </w:p>
    <w:p w14:paraId="5C26039B" w14:textId="77777777" w:rsidR="002B35FB" w:rsidRPr="00F13073" w:rsidRDefault="002B35FB" w:rsidP="008B4C50">
      <w:pPr>
        <w:pStyle w:val="a4"/>
        <w:widowControl/>
        <w:spacing w:after="0"/>
      </w:pPr>
    </w:p>
    <w:p w14:paraId="3965393C" w14:textId="7BC18403" w:rsidR="002B35FB" w:rsidRPr="00F13073" w:rsidRDefault="002B35FB" w:rsidP="008B4C50">
      <w:pPr>
        <w:pStyle w:val="a4"/>
        <w:widowControl/>
        <w:spacing w:after="0"/>
        <w:rPr>
          <w:rStyle w:val="Char"/>
        </w:rPr>
      </w:pPr>
      <w:r w:rsidRPr="00F13073">
        <w:rPr>
          <w:rStyle w:val="Char"/>
        </w:rPr>
        <w:t xml:space="preserve">W badaniu V wzięło udział 499 pacjentów z niedostateczną odpowiedzią kliniczną lub nietolerancją jednego lub więcej leków z grupy inhibitorów TNF. Leczenie inhibitorem TNF przerwano przed randomizacją. </w:t>
      </w:r>
      <w:r w:rsidR="00E8398F" w:rsidRPr="00F13073">
        <w:rPr>
          <w:rStyle w:val="Char"/>
        </w:rPr>
        <w:t>Tocilizumab</w:t>
      </w:r>
      <w:r w:rsidR="00E8398F" w:rsidRPr="00F13073" w:rsidDel="00E8398F">
        <w:rPr>
          <w:rStyle w:val="Char"/>
        </w:rPr>
        <w:t xml:space="preserve"> </w:t>
      </w:r>
      <w:r w:rsidRPr="00F13073">
        <w:rPr>
          <w:rStyle w:val="Char"/>
        </w:rPr>
        <w:t>w dawce 4 lub 8 mg/kg mc. lub placebo podawano raz na cztery tygodnie w skojarzeniu ze stałymi dawkami metotreksatu (od 10 do 25 mg na tydzień).</w:t>
      </w:r>
    </w:p>
    <w:p w14:paraId="7B518A29" w14:textId="77777777" w:rsidR="002B35FB" w:rsidRPr="00F13073" w:rsidRDefault="002B35FB" w:rsidP="008B4C50">
      <w:pPr>
        <w:pStyle w:val="a4"/>
        <w:widowControl/>
        <w:spacing w:after="0"/>
      </w:pPr>
    </w:p>
    <w:p w14:paraId="022E3F29" w14:textId="77777777" w:rsidR="002B35FB" w:rsidRPr="00F13073" w:rsidRDefault="002B35FB" w:rsidP="008B4C50">
      <w:pPr>
        <w:pStyle w:val="a4"/>
        <w:widowControl/>
        <w:spacing w:after="0"/>
      </w:pPr>
      <w:r w:rsidRPr="00F13073">
        <w:rPr>
          <w:rStyle w:val="Char"/>
          <w:u w:val="single"/>
        </w:rPr>
        <w:t>Odpowiedź kliniczna</w:t>
      </w:r>
    </w:p>
    <w:p w14:paraId="4339A98A" w14:textId="5D5329B0" w:rsidR="002B35FB" w:rsidRPr="00F13073" w:rsidRDefault="002B35FB" w:rsidP="008B4C50">
      <w:pPr>
        <w:pStyle w:val="a4"/>
        <w:widowControl/>
        <w:spacing w:after="0"/>
        <w:rPr>
          <w:rStyle w:val="Char"/>
        </w:rPr>
      </w:pPr>
      <w:r w:rsidRPr="00F13073">
        <w:rPr>
          <w:rStyle w:val="Char"/>
        </w:rPr>
        <w:t xml:space="preserve">We wszystkich badaniach u chorych leczonych </w:t>
      </w:r>
      <w:r w:rsidR="00E8398F" w:rsidRPr="00F13073">
        <w:rPr>
          <w:rStyle w:val="Char"/>
        </w:rPr>
        <w:t xml:space="preserve">tocilizumabem </w:t>
      </w:r>
      <w:r w:rsidRPr="00F13073">
        <w:rPr>
          <w:rStyle w:val="Char"/>
        </w:rPr>
        <w:t xml:space="preserve">w dawce 8 mg/kg mc. stwierdzono po 6 miesiącach istotnie statystycznie większą częstość odpowiedzi na leczenie ACR 20, 50, 70 w porównaniu do grupy kontrolnej (Tabela 5). W badaniu I dowiedziono wyższości </w:t>
      </w:r>
      <w:r w:rsidR="00E8398F" w:rsidRPr="00F13073">
        <w:rPr>
          <w:rStyle w:val="Char"/>
        </w:rPr>
        <w:t xml:space="preserve">tocilizumabu </w:t>
      </w:r>
      <w:r w:rsidRPr="00F13073">
        <w:rPr>
          <w:rStyle w:val="Char"/>
        </w:rPr>
        <w:t xml:space="preserve">podawanego w dawce 8 mg/kg mc. nad czynnym produktem porównawczym </w:t>
      </w:r>
      <w:r w:rsidR="00DE76FE" w:rsidRPr="00F13073">
        <w:rPr>
          <w:rStyle w:val="Char"/>
        </w:rPr>
        <w:t>–</w:t>
      </w:r>
      <w:r w:rsidRPr="00F13073">
        <w:rPr>
          <w:rStyle w:val="Char"/>
        </w:rPr>
        <w:t xml:space="preserve"> metotreksatem.</w:t>
      </w:r>
    </w:p>
    <w:p w14:paraId="1629DBF8" w14:textId="77777777" w:rsidR="002B35FB" w:rsidRPr="00F13073" w:rsidRDefault="002B35FB" w:rsidP="008B4C50">
      <w:pPr>
        <w:pStyle w:val="a4"/>
        <w:widowControl/>
        <w:spacing w:after="0"/>
      </w:pPr>
    </w:p>
    <w:p w14:paraId="5EE8727D" w14:textId="77777777" w:rsidR="002B35FB" w:rsidRPr="00F13073" w:rsidRDefault="002B35FB" w:rsidP="008B4C50">
      <w:pPr>
        <w:pStyle w:val="a4"/>
        <w:widowControl/>
        <w:spacing w:after="0"/>
        <w:rPr>
          <w:rStyle w:val="Char"/>
        </w:rPr>
      </w:pPr>
      <w:r w:rsidRPr="00F13073">
        <w:rPr>
          <w:rStyle w:val="Char"/>
        </w:rPr>
        <w:t xml:space="preserve">Efekt leczenia u chorych był porównywalny niezależnie od obecności lub braku czynnika reumatoidalnego w surowicy krwi, wieku, płci, rasy, liczby stosowanych wcześniej terapii i stopnia zaawansowania choroby. Poprawa następowała szybko (już od drugiego tygodnia od rozpoczęcia podawania), a odpowiedź na leczenie wzrastała wraz z czasem trwania terapii. W trwających do tej pory badaniach otwartych będących przedłużeniem badań I </w:t>
      </w:r>
      <w:r w:rsidR="00DE76FE" w:rsidRPr="00F13073">
        <w:rPr>
          <w:rStyle w:val="Char"/>
        </w:rPr>
        <w:t>–</w:t>
      </w:r>
      <w:r w:rsidRPr="00F13073">
        <w:rPr>
          <w:rStyle w:val="Char"/>
        </w:rPr>
        <w:t xml:space="preserve"> V obserwowano utrzymywanie się trwałej odpowiedzi na leczenie przez ponad 3 lata.</w:t>
      </w:r>
    </w:p>
    <w:p w14:paraId="167D047F" w14:textId="77777777" w:rsidR="002B35FB" w:rsidRPr="00F13073" w:rsidRDefault="002B35FB" w:rsidP="008B4C50">
      <w:pPr>
        <w:pStyle w:val="a4"/>
        <w:widowControl/>
        <w:spacing w:after="0"/>
      </w:pPr>
    </w:p>
    <w:p w14:paraId="552242DE" w14:textId="797C2FFA" w:rsidR="002B35FB" w:rsidRPr="00F13073" w:rsidRDefault="002B35FB" w:rsidP="008B4C50">
      <w:pPr>
        <w:pStyle w:val="a4"/>
        <w:widowControl/>
        <w:spacing w:after="0"/>
        <w:rPr>
          <w:rStyle w:val="Char"/>
        </w:rPr>
      </w:pPr>
      <w:r w:rsidRPr="00F13073">
        <w:rPr>
          <w:rStyle w:val="Char"/>
        </w:rPr>
        <w:t xml:space="preserve">We wszystkich badaniach u chorych leczonych </w:t>
      </w:r>
      <w:r w:rsidR="009D0400" w:rsidRPr="00F13073">
        <w:rPr>
          <w:rStyle w:val="Char"/>
        </w:rPr>
        <w:t xml:space="preserve">tocilizumabem </w:t>
      </w:r>
      <w:r w:rsidRPr="00F13073">
        <w:rPr>
          <w:rStyle w:val="Char"/>
        </w:rPr>
        <w:t>w dawce 8 mg/kg mc. odnotowano istotną poprawę we wszystkich parametrach oceny odpowiedzi ACR: liczba bolesnych i obrzękniętych stawów, ocena ogólna w opinii pacjenta i lekarza, wskaźnik niepełnosprawności, ocena bólu i stężenie CRP w porównaniu do pacjentów otrzymujących placebo i metotreksat lub inny lek z grupy DMARD.</w:t>
      </w:r>
    </w:p>
    <w:p w14:paraId="1E6C2A79" w14:textId="77777777" w:rsidR="002B35FB" w:rsidRPr="00F13073" w:rsidRDefault="002B35FB" w:rsidP="008B4C50">
      <w:pPr>
        <w:pStyle w:val="a4"/>
        <w:widowControl/>
        <w:spacing w:after="0"/>
      </w:pPr>
    </w:p>
    <w:p w14:paraId="36A6260B" w14:textId="74FF64DE" w:rsidR="002B35FB" w:rsidRPr="00F13073" w:rsidRDefault="002B35FB" w:rsidP="008B4C50">
      <w:pPr>
        <w:pStyle w:val="a4"/>
        <w:widowControl/>
        <w:spacing w:after="0"/>
        <w:rPr>
          <w:rStyle w:val="Char"/>
        </w:rPr>
      </w:pPr>
      <w:r w:rsidRPr="00F13073">
        <w:rPr>
          <w:rStyle w:val="Char"/>
        </w:rPr>
        <w:t>U pacjentów biorących udział w badaniach od I do V średnia wartość wskaźnika aktywności choroby dla 28 stawów (DAS28) wynosiła wyjściowo 6,5</w:t>
      </w:r>
      <w:r w:rsidR="00DE76FE" w:rsidRPr="00F13073">
        <w:rPr>
          <w:rStyle w:val="Char"/>
        </w:rPr>
        <w:t>–</w:t>
      </w:r>
      <w:r w:rsidRPr="00F13073">
        <w:rPr>
          <w:rStyle w:val="Char"/>
        </w:rPr>
        <w:t xml:space="preserve">6,8. U chorych otrzymujących </w:t>
      </w:r>
      <w:r w:rsidR="009D0400" w:rsidRPr="00F13073">
        <w:rPr>
          <w:rStyle w:val="Char"/>
        </w:rPr>
        <w:t>tocilizumab</w:t>
      </w:r>
      <w:r w:rsidR="009D0400" w:rsidRPr="00F13073" w:rsidDel="009D0400">
        <w:rPr>
          <w:rStyle w:val="Char"/>
        </w:rPr>
        <w:t xml:space="preserve"> </w:t>
      </w:r>
      <w:r w:rsidRPr="00F13073">
        <w:rPr>
          <w:rStyle w:val="Char"/>
        </w:rPr>
        <w:t>stwierdzono statystycznie istotne zmniejszenie wyjściowych wartości wskaźnika DAS28 (średnia poprawa) 3,1</w:t>
      </w:r>
      <w:r w:rsidR="00DE76FE" w:rsidRPr="00F13073">
        <w:rPr>
          <w:rStyle w:val="Char"/>
        </w:rPr>
        <w:t>–</w:t>
      </w:r>
      <w:r w:rsidRPr="00F13073">
        <w:rPr>
          <w:rStyle w:val="Char"/>
        </w:rPr>
        <w:t xml:space="preserve">3,4 w porównaniu do pacjentów w grupie kontrolnej (1,3-2,1). Odsetek pacjentów, u których stwierdzono kliniczną remisję wg DAS28 (DAS28 &lt; 2,6) po 24 tygodniach leczenia, był istotnie wyższy wśród pacjentów otrzymujących </w:t>
      </w:r>
      <w:r w:rsidR="009D0400" w:rsidRPr="00F13073">
        <w:rPr>
          <w:rStyle w:val="Char"/>
        </w:rPr>
        <w:t>tocilizumab</w:t>
      </w:r>
      <w:r w:rsidR="009D0400" w:rsidRPr="00F13073" w:rsidDel="009D0400">
        <w:rPr>
          <w:rStyle w:val="Char"/>
        </w:rPr>
        <w:t xml:space="preserve"> </w:t>
      </w:r>
      <w:r w:rsidRPr="00F13073">
        <w:rPr>
          <w:rStyle w:val="Char"/>
        </w:rPr>
        <w:t>(28%</w:t>
      </w:r>
      <w:r w:rsidR="00DE76FE" w:rsidRPr="00F13073">
        <w:rPr>
          <w:rStyle w:val="Char"/>
        </w:rPr>
        <w:t>–</w:t>
      </w:r>
      <w:r w:rsidRPr="00F13073">
        <w:rPr>
          <w:rStyle w:val="Char"/>
        </w:rPr>
        <w:t>34%) w porównaniu do 1%</w:t>
      </w:r>
      <w:r w:rsidR="00DE76FE" w:rsidRPr="00F13073">
        <w:rPr>
          <w:rStyle w:val="Char"/>
        </w:rPr>
        <w:t>–</w:t>
      </w:r>
      <w:r w:rsidRPr="00F13073">
        <w:rPr>
          <w:rStyle w:val="Char"/>
        </w:rPr>
        <w:t>12% wśród chorych z grup kontrolnych. W badaniu II, w 104. tygodniu leczenia 65% pacjentów osiągnęło wartość wskaźnika DAS28 &lt; 2,6 w porównaniu do 48% w 52. tygodniu i 33% w 24. tygodniu leczenia.</w:t>
      </w:r>
    </w:p>
    <w:p w14:paraId="1F0E55C8" w14:textId="77777777" w:rsidR="002B35FB" w:rsidRPr="00F13073" w:rsidRDefault="002B35FB" w:rsidP="008B4C50">
      <w:pPr>
        <w:pStyle w:val="a4"/>
        <w:widowControl/>
        <w:spacing w:after="0"/>
      </w:pPr>
    </w:p>
    <w:p w14:paraId="03FD8EB6" w14:textId="336EBD9E" w:rsidR="002B35FB" w:rsidRPr="00F13073" w:rsidRDefault="002B35FB" w:rsidP="00712261">
      <w:pPr>
        <w:pStyle w:val="a4"/>
        <w:widowControl/>
        <w:spacing w:after="0"/>
      </w:pPr>
      <w:r w:rsidRPr="00F13073">
        <w:rPr>
          <w:rStyle w:val="Char"/>
        </w:rPr>
        <w:t xml:space="preserve">W analizie zbiorczej badań II, III i IV odsetek pacjentów, którzy uzyskali odpowiedź ACR 20, 50, 70 był istotnie wyższy (odpowiednio 59% vs. 50%, 37% vs. 27%, 18% vs. 11%) w grupie otrzymującej </w:t>
      </w:r>
      <w:r w:rsidR="009D0400" w:rsidRPr="00F13073">
        <w:rPr>
          <w:rStyle w:val="Char"/>
        </w:rPr>
        <w:t>tocilizumab</w:t>
      </w:r>
      <w:r w:rsidR="009D0400" w:rsidRPr="00F13073" w:rsidDel="009D0400">
        <w:rPr>
          <w:rStyle w:val="Char"/>
        </w:rPr>
        <w:t xml:space="preserve"> </w:t>
      </w:r>
      <w:r w:rsidRPr="00F13073">
        <w:rPr>
          <w:rStyle w:val="Char"/>
        </w:rPr>
        <w:t xml:space="preserve">w dawce 8 mg/kg mc. w skojarzeniu z lekiem z grupy DMARD, w porównaniu do grupy leczonej </w:t>
      </w:r>
      <w:r w:rsidR="00227777" w:rsidRPr="00F13073">
        <w:rPr>
          <w:rStyle w:val="Char"/>
        </w:rPr>
        <w:t xml:space="preserve">tocilizumabem </w:t>
      </w:r>
      <w:r w:rsidRPr="00F13073">
        <w:rPr>
          <w:rStyle w:val="Char"/>
        </w:rPr>
        <w:t xml:space="preserve">w dawce 4 mg/kg mc. w skojarzeniu z lekiem z grupy DMARD (p &lt; 0,03). Podobnie odsetek pacjentów, u których stwierdzono remisję według wskaźnika aktywności choroby DAS28 (DAS28 &lt; 2,6), był istotnie wyższy (odpowiednio 31% vs. 16%) wśród chorych otrzymujących </w:t>
      </w:r>
      <w:r w:rsidR="00227777" w:rsidRPr="00F13073">
        <w:rPr>
          <w:rStyle w:val="Char"/>
        </w:rPr>
        <w:t>tocilizumab</w:t>
      </w:r>
      <w:r w:rsidRPr="00F13073">
        <w:rPr>
          <w:rStyle w:val="Char"/>
        </w:rPr>
        <w:t xml:space="preserve"> w dawce 8 mg/kg mc. z lekiem z grupy DMARD niż u chorych leczonych </w:t>
      </w:r>
      <w:r w:rsidR="00227777" w:rsidRPr="00F13073">
        <w:rPr>
          <w:rStyle w:val="Char"/>
        </w:rPr>
        <w:t xml:space="preserve">tocilizumabem </w:t>
      </w:r>
      <w:r w:rsidRPr="00F13073">
        <w:rPr>
          <w:rStyle w:val="Char"/>
        </w:rPr>
        <w:t>w dawce 4 mg/kg mc. z lekiem z grupy DMARD (p</w:t>
      </w:r>
      <w:r w:rsidR="00712261" w:rsidRPr="00F13073">
        <w:rPr>
          <w:rStyle w:val="Char"/>
        </w:rPr>
        <w:t> </w:t>
      </w:r>
      <w:r w:rsidRPr="00F13073">
        <w:rPr>
          <w:rStyle w:val="Char"/>
        </w:rPr>
        <w:t>&lt; 0,0001).</w:t>
      </w:r>
    </w:p>
    <w:p w14:paraId="3158804F" w14:textId="77777777" w:rsidR="00D13DF4" w:rsidRPr="00F13073" w:rsidRDefault="00D13DF4" w:rsidP="008B4C50"/>
    <w:p w14:paraId="2B3F2646" w14:textId="77777777" w:rsidR="001E0975" w:rsidRPr="00F13073" w:rsidRDefault="00611033" w:rsidP="008B4C50">
      <w:pPr>
        <w:keepNext/>
        <w:ind w:left="1134" w:hanging="1134"/>
        <w:rPr>
          <w:i/>
          <w:iCs/>
        </w:rPr>
      </w:pPr>
      <w:r w:rsidRPr="00F13073">
        <w:rPr>
          <w:i/>
          <w:iCs/>
        </w:rPr>
        <w:t>Tab</w:t>
      </w:r>
      <w:r w:rsidR="00BB1250" w:rsidRPr="00F13073">
        <w:rPr>
          <w:i/>
          <w:iCs/>
        </w:rPr>
        <w:t>e</w:t>
      </w:r>
      <w:r w:rsidRPr="00F13073">
        <w:rPr>
          <w:i/>
          <w:iCs/>
        </w:rPr>
        <w:t>l</w:t>
      </w:r>
      <w:r w:rsidR="00BB1250" w:rsidRPr="00F13073">
        <w:rPr>
          <w:i/>
          <w:iCs/>
        </w:rPr>
        <w:t>a</w:t>
      </w:r>
      <w:r w:rsidRPr="00F13073">
        <w:rPr>
          <w:i/>
          <w:iCs/>
        </w:rPr>
        <w:t xml:space="preserve"> 5.</w:t>
      </w:r>
      <w:r w:rsidR="00D13DF4" w:rsidRPr="00F13073">
        <w:rPr>
          <w:i/>
          <w:iCs/>
        </w:rPr>
        <w:tab/>
      </w:r>
      <w:r w:rsidR="00BB1250" w:rsidRPr="00F13073">
        <w:rPr>
          <w:rStyle w:val="Char"/>
          <w:rFonts w:eastAsia="DengXian"/>
          <w:i/>
          <w:iCs/>
        </w:rPr>
        <w:t>Odpowiedzi ACR w badaniach kontrolowanych z udziałem placebo/metotreksatu/leków DMARD (%pacjentów)</w:t>
      </w:r>
    </w:p>
    <w:p w14:paraId="30AC2186" w14:textId="77777777" w:rsidR="00D13DF4" w:rsidRPr="00F13073" w:rsidRDefault="00D13DF4" w:rsidP="008B4C50">
      <w:pPr>
        <w:keepNext/>
        <w:ind w:left="1134" w:hanging="1134"/>
        <w:rPr>
          <w:i/>
          <w:iCs/>
        </w:rPr>
      </w:pPr>
    </w:p>
    <w:tbl>
      <w:tblPr>
        <w:tblOverlap w:val="never"/>
        <w:tblW w:w="4973"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52"/>
        <w:gridCol w:w="784"/>
        <w:gridCol w:w="728"/>
        <w:gridCol w:w="868"/>
        <w:gridCol w:w="784"/>
        <w:gridCol w:w="896"/>
        <w:gridCol w:w="723"/>
        <w:gridCol w:w="998"/>
        <w:gridCol w:w="924"/>
        <w:gridCol w:w="825"/>
        <w:gridCol w:w="725"/>
      </w:tblGrid>
      <w:tr w:rsidR="00A32ABA" w:rsidRPr="00F13073" w14:paraId="2BFB05DF" w14:textId="77777777" w:rsidTr="00712261">
        <w:trPr>
          <w:cantSplit/>
          <w:tblHeader/>
        </w:trPr>
        <w:tc>
          <w:tcPr>
            <w:tcW w:w="758" w:type="dxa"/>
          </w:tcPr>
          <w:p w14:paraId="568EE034" w14:textId="77777777" w:rsidR="00A32ABA" w:rsidRPr="00F13073" w:rsidRDefault="00A32ABA" w:rsidP="00043B08">
            <w:pPr>
              <w:keepNext/>
              <w:suppressAutoHyphens/>
              <w:jc w:val="center"/>
              <w:rPr>
                <w:b/>
                <w:bCs/>
                <w:sz w:val="20"/>
                <w:szCs w:val="20"/>
              </w:rPr>
            </w:pPr>
          </w:p>
        </w:tc>
        <w:tc>
          <w:tcPr>
            <w:tcW w:w="1523" w:type="dxa"/>
            <w:gridSpan w:val="2"/>
          </w:tcPr>
          <w:p w14:paraId="423C1284" w14:textId="77777777" w:rsidR="00A32ABA" w:rsidRPr="00F13073" w:rsidRDefault="00A32ABA" w:rsidP="00043B08">
            <w:pPr>
              <w:keepNext/>
              <w:suppressAutoHyphens/>
              <w:jc w:val="center"/>
              <w:rPr>
                <w:rStyle w:val="Other"/>
                <w:rFonts w:eastAsia="DengXian"/>
                <w:b/>
                <w:bCs/>
                <w:sz w:val="20"/>
                <w:szCs w:val="20"/>
              </w:rPr>
            </w:pPr>
            <w:r w:rsidRPr="00F13073">
              <w:rPr>
                <w:rStyle w:val="Other"/>
                <w:rFonts w:eastAsia="DengXian"/>
                <w:b/>
                <w:bCs/>
                <w:sz w:val="20"/>
                <w:szCs w:val="20"/>
              </w:rPr>
              <w:t>Badanie I</w:t>
            </w:r>
          </w:p>
          <w:p w14:paraId="159F33D0" w14:textId="77777777" w:rsidR="00A32ABA" w:rsidRPr="00F13073" w:rsidRDefault="00A32ABA" w:rsidP="00043B08">
            <w:pPr>
              <w:keepNext/>
              <w:suppressAutoHyphens/>
              <w:jc w:val="center"/>
              <w:rPr>
                <w:b/>
                <w:bCs/>
                <w:sz w:val="20"/>
                <w:szCs w:val="20"/>
              </w:rPr>
            </w:pPr>
            <w:r w:rsidRPr="00F13073">
              <w:rPr>
                <w:rStyle w:val="Other"/>
                <w:rFonts w:eastAsia="DengXian"/>
                <w:b/>
                <w:bCs/>
                <w:sz w:val="20"/>
                <w:szCs w:val="20"/>
              </w:rPr>
              <w:t>AMBITION</w:t>
            </w:r>
          </w:p>
        </w:tc>
        <w:tc>
          <w:tcPr>
            <w:tcW w:w="1664" w:type="dxa"/>
            <w:gridSpan w:val="2"/>
          </w:tcPr>
          <w:p w14:paraId="17936E95" w14:textId="77777777" w:rsidR="00A32ABA" w:rsidRPr="00F13073" w:rsidRDefault="00A32ABA" w:rsidP="00043B08">
            <w:pPr>
              <w:keepNext/>
              <w:suppressAutoHyphens/>
              <w:jc w:val="center"/>
              <w:rPr>
                <w:rStyle w:val="Other"/>
                <w:rFonts w:eastAsia="DengXian"/>
                <w:b/>
                <w:bCs/>
                <w:sz w:val="20"/>
                <w:szCs w:val="20"/>
              </w:rPr>
            </w:pPr>
            <w:r w:rsidRPr="00F13073">
              <w:rPr>
                <w:rStyle w:val="Other"/>
                <w:rFonts w:eastAsia="DengXian"/>
                <w:b/>
                <w:bCs/>
                <w:sz w:val="20"/>
                <w:szCs w:val="20"/>
              </w:rPr>
              <w:t>Badanie II</w:t>
            </w:r>
          </w:p>
          <w:p w14:paraId="0E061091" w14:textId="77777777" w:rsidR="00A32ABA" w:rsidRPr="00F13073" w:rsidRDefault="00A32ABA" w:rsidP="00043B08">
            <w:pPr>
              <w:keepNext/>
              <w:suppressAutoHyphens/>
              <w:jc w:val="center"/>
              <w:rPr>
                <w:b/>
                <w:bCs/>
                <w:sz w:val="20"/>
                <w:szCs w:val="20"/>
              </w:rPr>
            </w:pPr>
            <w:r w:rsidRPr="00F13073">
              <w:rPr>
                <w:rStyle w:val="Other"/>
                <w:rFonts w:eastAsia="DengXian"/>
                <w:b/>
                <w:bCs/>
                <w:sz w:val="20"/>
                <w:szCs w:val="20"/>
              </w:rPr>
              <w:t>LITHE</w:t>
            </w:r>
          </w:p>
        </w:tc>
        <w:tc>
          <w:tcPr>
            <w:tcW w:w="1631" w:type="dxa"/>
            <w:gridSpan w:val="2"/>
          </w:tcPr>
          <w:p w14:paraId="19B63443" w14:textId="77777777" w:rsidR="00A32ABA" w:rsidRPr="00F13073" w:rsidRDefault="00A32ABA" w:rsidP="00043B08">
            <w:pPr>
              <w:keepNext/>
              <w:suppressAutoHyphens/>
              <w:jc w:val="center"/>
              <w:rPr>
                <w:rStyle w:val="Other"/>
                <w:rFonts w:eastAsia="DengXian"/>
                <w:b/>
                <w:bCs/>
                <w:sz w:val="20"/>
                <w:szCs w:val="20"/>
              </w:rPr>
            </w:pPr>
            <w:r w:rsidRPr="00F13073">
              <w:rPr>
                <w:rStyle w:val="Other"/>
                <w:rFonts w:eastAsia="DengXian"/>
                <w:b/>
                <w:bCs/>
                <w:sz w:val="20"/>
                <w:szCs w:val="20"/>
              </w:rPr>
              <w:t>Badanie III</w:t>
            </w:r>
          </w:p>
          <w:p w14:paraId="7DFFC0E8" w14:textId="77777777" w:rsidR="00A32ABA" w:rsidRPr="00F13073" w:rsidRDefault="00A32ABA" w:rsidP="00043B08">
            <w:pPr>
              <w:keepNext/>
              <w:suppressAutoHyphens/>
              <w:jc w:val="center"/>
              <w:rPr>
                <w:b/>
                <w:bCs/>
                <w:sz w:val="20"/>
                <w:szCs w:val="20"/>
              </w:rPr>
            </w:pPr>
            <w:r w:rsidRPr="00F13073">
              <w:rPr>
                <w:rStyle w:val="Other"/>
                <w:rFonts w:eastAsia="DengXian"/>
                <w:b/>
                <w:bCs/>
                <w:sz w:val="20"/>
                <w:szCs w:val="20"/>
              </w:rPr>
              <w:t>OPTION</w:t>
            </w:r>
          </w:p>
        </w:tc>
        <w:tc>
          <w:tcPr>
            <w:tcW w:w="1936" w:type="dxa"/>
            <w:gridSpan w:val="2"/>
          </w:tcPr>
          <w:p w14:paraId="57988AED" w14:textId="77777777" w:rsidR="00A32ABA" w:rsidRPr="00F13073" w:rsidRDefault="00A32ABA" w:rsidP="00043B08">
            <w:pPr>
              <w:keepNext/>
              <w:suppressAutoHyphens/>
              <w:jc w:val="center"/>
              <w:rPr>
                <w:rStyle w:val="Other"/>
                <w:rFonts w:eastAsia="DengXian"/>
                <w:b/>
                <w:bCs/>
                <w:sz w:val="20"/>
                <w:szCs w:val="20"/>
              </w:rPr>
            </w:pPr>
            <w:r w:rsidRPr="00F13073">
              <w:rPr>
                <w:rStyle w:val="Other"/>
                <w:rFonts w:eastAsia="DengXian"/>
                <w:b/>
                <w:bCs/>
                <w:sz w:val="20"/>
                <w:szCs w:val="20"/>
              </w:rPr>
              <w:t>Badanie IV</w:t>
            </w:r>
          </w:p>
          <w:p w14:paraId="12168FAD" w14:textId="77777777" w:rsidR="00A32ABA" w:rsidRPr="00F13073" w:rsidRDefault="00A32ABA" w:rsidP="00043B08">
            <w:pPr>
              <w:keepNext/>
              <w:suppressAutoHyphens/>
              <w:jc w:val="center"/>
              <w:rPr>
                <w:b/>
                <w:bCs/>
                <w:sz w:val="20"/>
                <w:szCs w:val="20"/>
              </w:rPr>
            </w:pPr>
            <w:r w:rsidRPr="00F13073">
              <w:rPr>
                <w:rStyle w:val="Other"/>
                <w:rFonts w:eastAsia="DengXian"/>
                <w:b/>
                <w:bCs/>
                <w:sz w:val="20"/>
                <w:szCs w:val="20"/>
              </w:rPr>
              <w:t>TOWARD</w:t>
            </w:r>
          </w:p>
        </w:tc>
        <w:tc>
          <w:tcPr>
            <w:tcW w:w="1561" w:type="dxa"/>
            <w:gridSpan w:val="2"/>
          </w:tcPr>
          <w:p w14:paraId="069290B4" w14:textId="77777777" w:rsidR="00A32ABA" w:rsidRPr="00F13073" w:rsidRDefault="00A32ABA" w:rsidP="00043B08">
            <w:pPr>
              <w:keepNext/>
              <w:suppressAutoHyphens/>
              <w:jc w:val="center"/>
              <w:rPr>
                <w:rStyle w:val="Other"/>
                <w:rFonts w:eastAsia="DengXian"/>
                <w:b/>
                <w:bCs/>
                <w:sz w:val="20"/>
                <w:szCs w:val="20"/>
              </w:rPr>
            </w:pPr>
            <w:r w:rsidRPr="00F13073">
              <w:rPr>
                <w:rStyle w:val="Other"/>
                <w:rFonts w:eastAsia="DengXian"/>
                <w:b/>
                <w:bCs/>
                <w:sz w:val="20"/>
                <w:szCs w:val="20"/>
              </w:rPr>
              <w:t>Badanie V</w:t>
            </w:r>
          </w:p>
          <w:p w14:paraId="3FC60D5A" w14:textId="77777777" w:rsidR="00A32ABA" w:rsidRPr="00F13073" w:rsidRDefault="00A32ABA" w:rsidP="00043B08">
            <w:pPr>
              <w:keepNext/>
              <w:suppressAutoHyphens/>
              <w:jc w:val="center"/>
              <w:rPr>
                <w:b/>
                <w:bCs/>
                <w:sz w:val="20"/>
                <w:szCs w:val="20"/>
              </w:rPr>
            </w:pPr>
            <w:r w:rsidRPr="00F13073">
              <w:rPr>
                <w:rStyle w:val="Other"/>
                <w:rFonts w:eastAsia="DengXian"/>
                <w:b/>
                <w:bCs/>
                <w:sz w:val="20"/>
                <w:szCs w:val="20"/>
              </w:rPr>
              <w:t>RADIATE</w:t>
            </w:r>
          </w:p>
        </w:tc>
      </w:tr>
      <w:tr w:rsidR="00A32ABA" w:rsidRPr="00F13073" w14:paraId="424B6B56" w14:textId="77777777" w:rsidTr="00712261">
        <w:trPr>
          <w:cantSplit/>
          <w:tblHeader/>
        </w:trPr>
        <w:tc>
          <w:tcPr>
            <w:tcW w:w="758" w:type="dxa"/>
          </w:tcPr>
          <w:p w14:paraId="581CFD20" w14:textId="77777777" w:rsidR="00A32ABA" w:rsidRPr="00F13073" w:rsidRDefault="00A32ABA" w:rsidP="00043B08">
            <w:pPr>
              <w:keepNext/>
              <w:suppressAutoHyphens/>
              <w:jc w:val="center"/>
              <w:rPr>
                <w:sz w:val="20"/>
                <w:szCs w:val="20"/>
              </w:rPr>
            </w:pPr>
            <w:r w:rsidRPr="00F13073">
              <w:rPr>
                <w:rStyle w:val="Other"/>
                <w:rFonts w:eastAsia="DengXian"/>
                <w:sz w:val="20"/>
                <w:szCs w:val="20"/>
              </w:rPr>
              <w:t>Tydzień</w:t>
            </w:r>
          </w:p>
        </w:tc>
        <w:tc>
          <w:tcPr>
            <w:tcW w:w="790" w:type="dxa"/>
          </w:tcPr>
          <w:p w14:paraId="6B27888B" w14:textId="77777777" w:rsidR="00A32ABA" w:rsidRPr="00F13073" w:rsidRDefault="00A32ABA" w:rsidP="00043B08">
            <w:pPr>
              <w:keepNext/>
              <w:suppressAutoHyphens/>
              <w:jc w:val="center"/>
              <w:rPr>
                <w:b/>
                <w:bCs/>
                <w:sz w:val="20"/>
                <w:szCs w:val="20"/>
              </w:rPr>
            </w:pPr>
            <w:r w:rsidRPr="00F13073">
              <w:rPr>
                <w:b/>
                <w:bCs/>
                <w:sz w:val="20"/>
                <w:szCs w:val="20"/>
              </w:rPr>
              <w:t>TCZ</w:t>
            </w:r>
          </w:p>
          <w:p w14:paraId="66AE271E" w14:textId="77777777" w:rsidR="00A32ABA" w:rsidRPr="00F13073" w:rsidRDefault="00A32ABA" w:rsidP="00043B08">
            <w:pPr>
              <w:keepNext/>
              <w:suppressAutoHyphens/>
              <w:jc w:val="center"/>
              <w:rPr>
                <w:b/>
                <w:bCs/>
                <w:sz w:val="20"/>
                <w:szCs w:val="20"/>
              </w:rPr>
            </w:pPr>
            <w:r w:rsidRPr="00F13073">
              <w:rPr>
                <w:b/>
                <w:bCs/>
                <w:sz w:val="20"/>
                <w:szCs w:val="20"/>
              </w:rPr>
              <w:t>8 mg/kg</w:t>
            </w:r>
          </w:p>
        </w:tc>
        <w:tc>
          <w:tcPr>
            <w:tcW w:w="733" w:type="dxa"/>
          </w:tcPr>
          <w:p w14:paraId="421F9605" w14:textId="77777777" w:rsidR="00A32ABA" w:rsidRPr="00F13073" w:rsidRDefault="00A32ABA" w:rsidP="00043B08">
            <w:pPr>
              <w:keepNext/>
              <w:suppressAutoHyphens/>
              <w:jc w:val="center"/>
              <w:rPr>
                <w:b/>
                <w:bCs/>
                <w:sz w:val="20"/>
                <w:szCs w:val="20"/>
              </w:rPr>
            </w:pPr>
            <w:r w:rsidRPr="00F13073">
              <w:rPr>
                <w:b/>
                <w:bCs/>
                <w:sz w:val="20"/>
                <w:szCs w:val="20"/>
              </w:rPr>
              <w:t>MTX</w:t>
            </w:r>
          </w:p>
        </w:tc>
        <w:tc>
          <w:tcPr>
            <w:tcW w:w="874" w:type="dxa"/>
          </w:tcPr>
          <w:p w14:paraId="50CB1BC7" w14:textId="77777777" w:rsidR="00A32ABA" w:rsidRPr="00F13073" w:rsidRDefault="00A32ABA" w:rsidP="00043B08">
            <w:pPr>
              <w:keepNext/>
              <w:suppressAutoHyphens/>
              <w:jc w:val="center"/>
              <w:rPr>
                <w:b/>
                <w:bCs/>
                <w:sz w:val="20"/>
                <w:szCs w:val="20"/>
              </w:rPr>
            </w:pPr>
            <w:r w:rsidRPr="00F13073">
              <w:rPr>
                <w:b/>
                <w:bCs/>
                <w:sz w:val="20"/>
                <w:szCs w:val="20"/>
              </w:rPr>
              <w:t>TCZ</w:t>
            </w:r>
          </w:p>
          <w:p w14:paraId="1AF57298" w14:textId="77777777" w:rsidR="00A32ABA" w:rsidRPr="00F13073" w:rsidRDefault="00A32ABA" w:rsidP="00043B08">
            <w:pPr>
              <w:keepNext/>
              <w:suppressAutoHyphens/>
              <w:jc w:val="center"/>
              <w:rPr>
                <w:b/>
                <w:bCs/>
                <w:sz w:val="20"/>
                <w:szCs w:val="20"/>
              </w:rPr>
            </w:pPr>
            <w:r w:rsidRPr="00F13073">
              <w:rPr>
                <w:b/>
                <w:bCs/>
                <w:sz w:val="20"/>
                <w:szCs w:val="20"/>
              </w:rPr>
              <w:t>8 mg/kg + MTX</w:t>
            </w:r>
          </w:p>
        </w:tc>
        <w:tc>
          <w:tcPr>
            <w:tcW w:w="790" w:type="dxa"/>
          </w:tcPr>
          <w:p w14:paraId="5539E7C4" w14:textId="77777777" w:rsidR="00A32ABA" w:rsidRPr="00F13073" w:rsidRDefault="00A32ABA" w:rsidP="00043B08">
            <w:pPr>
              <w:keepNext/>
              <w:suppressAutoHyphens/>
              <w:jc w:val="center"/>
              <w:rPr>
                <w:b/>
                <w:bCs/>
                <w:sz w:val="20"/>
                <w:szCs w:val="20"/>
              </w:rPr>
            </w:pPr>
            <w:r w:rsidRPr="00F13073">
              <w:rPr>
                <w:b/>
                <w:bCs/>
                <w:sz w:val="20"/>
                <w:szCs w:val="20"/>
              </w:rPr>
              <w:t>PBO + MTX</w:t>
            </w:r>
          </w:p>
        </w:tc>
        <w:tc>
          <w:tcPr>
            <w:tcW w:w="903" w:type="dxa"/>
          </w:tcPr>
          <w:p w14:paraId="297D2D09" w14:textId="77777777" w:rsidR="00A32ABA" w:rsidRPr="00F13073" w:rsidRDefault="00A32ABA" w:rsidP="00043B08">
            <w:pPr>
              <w:keepNext/>
              <w:suppressAutoHyphens/>
              <w:jc w:val="center"/>
              <w:rPr>
                <w:b/>
                <w:bCs/>
                <w:sz w:val="20"/>
                <w:szCs w:val="20"/>
              </w:rPr>
            </w:pPr>
            <w:r w:rsidRPr="00F13073">
              <w:rPr>
                <w:b/>
                <w:bCs/>
                <w:sz w:val="20"/>
                <w:szCs w:val="20"/>
              </w:rPr>
              <w:t>TCZ</w:t>
            </w:r>
          </w:p>
          <w:p w14:paraId="42357C26" w14:textId="77777777" w:rsidR="00A32ABA" w:rsidRPr="00F13073" w:rsidRDefault="00A32ABA" w:rsidP="00043B08">
            <w:pPr>
              <w:keepNext/>
              <w:suppressAutoHyphens/>
              <w:jc w:val="center"/>
              <w:rPr>
                <w:b/>
                <w:bCs/>
                <w:sz w:val="20"/>
                <w:szCs w:val="20"/>
              </w:rPr>
            </w:pPr>
            <w:r w:rsidRPr="00F13073">
              <w:rPr>
                <w:b/>
                <w:bCs/>
                <w:sz w:val="20"/>
                <w:szCs w:val="20"/>
              </w:rPr>
              <w:t>8 mg/kg + MTX</w:t>
            </w:r>
          </w:p>
        </w:tc>
        <w:tc>
          <w:tcPr>
            <w:tcW w:w="728" w:type="dxa"/>
          </w:tcPr>
          <w:p w14:paraId="18E89B65" w14:textId="77777777" w:rsidR="00A32ABA" w:rsidRPr="00F13073" w:rsidRDefault="00A32ABA" w:rsidP="00043B08">
            <w:pPr>
              <w:keepNext/>
              <w:suppressAutoHyphens/>
              <w:jc w:val="center"/>
              <w:rPr>
                <w:b/>
                <w:bCs/>
                <w:sz w:val="20"/>
                <w:szCs w:val="20"/>
              </w:rPr>
            </w:pPr>
            <w:r w:rsidRPr="00F13073">
              <w:rPr>
                <w:b/>
                <w:bCs/>
                <w:sz w:val="20"/>
                <w:szCs w:val="20"/>
              </w:rPr>
              <w:t>PBO + MTX</w:t>
            </w:r>
          </w:p>
        </w:tc>
        <w:tc>
          <w:tcPr>
            <w:tcW w:w="1005" w:type="dxa"/>
          </w:tcPr>
          <w:p w14:paraId="2E9E2026" w14:textId="77777777" w:rsidR="00A32ABA" w:rsidRPr="00F13073" w:rsidRDefault="00A32ABA" w:rsidP="00043B08">
            <w:pPr>
              <w:keepNext/>
              <w:suppressAutoHyphens/>
              <w:jc w:val="center"/>
              <w:rPr>
                <w:b/>
                <w:bCs/>
                <w:sz w:val="20"/>
                <w:szCs w:val="20"/>
              </w:rPr>
            </w:pPr>
            <w:r w:rsidRPr="00F13073">
              <w:rPr>
                <w:b/>
                <w:bCs/>
                <w:sz w:val="20"/>
                <w:szCs w:val="20"/>
              </w:rPr>
              <w:t>TCZ</w:t>
            </w:r>
          </w:p>
          <w:p w14:paraId="03441CF6" w14:textId="77777777" w:rsidR="00A32ABA" w:rsidRPr="00F13073" w:rsidRDefault="00A32ABA" w:rsidP="00043B08">
            <w:pPr>
              <w:keepNext/>
              <w:suppressAutoHyphens/>
              <w:jc w:val="center"/>
              <w:rPr>
                <w:b/>
                <w:bCs/>
                <w:sz w:val="20"/>
                <w:szCs w:val="20"/>
              </w:rPr>
            </w:pPr>
            <w:r w:rsidRPr="00F13073">
              <w:rPr>
                <w:b/>
                <w:bCs/>
                <w:sz w:val="20"/>
                <w:szCs w:val="20"/>
              </w:rPr>
              <w:t>8 mg/kg+</w:t>
            </w:r>
          </w:p>
          <w:p w14:paraId="6717C3F6" w14:textId="77777777" w:rsidR="00A32ABA" w:rsidRPr="00F13073" w:rsidRDefault="00A32ABA" w:rsidP="00043B08">
            <w:pPr>
              <w:keepNext/>
              <w:suppressAutoHyphens/>
              <w:jc w:val="center"/>
              <w:rPr>
                <w:b/>
                <w:bCs/>
                <w:sz w:val="20"/>
                <w:szCs w:val="20"/>
              </w:rPr>
            </w:pPr>
            <w:r w:rsidRPr="00F13073">
              <w:rPr>
                <w:b/>
                <w:bCs/>
                <w:sz w:val="20"/>
                <w:szCs w:val="20"/>
              </w:rPr>
              <w:t>DMARD</w:t>
            </w:r>
          </w:p>
        </w:tc>
        <w:tc>
          <w:tcPr>
            <w:tcW w:w="931" w:type="dxa"/>
          </w:tcPr>
          <w:p w14:paraId="15C58FDC" w14:textId="77777777" w:rsidR="00A32ABA" w:rsidRPr="00F13073" w:rsidRDefault="00A32ABA" w:rsidP="00043B08">
            <w:pPr>
              <w:keepNext/>
              <w:suppressAutoHyphens/>
              <w:jc w:val="center"/>
              <w:rPr>
                <w:b/>
                <w:bCs/>
                <w:sz w:val="20"/>
                <w:szCs w:val="20"/>
              </w:rPr>
            </w:pPr>
            <w:r w:rsidRPr="00F13073">
              <w:rPr>
                <w:b/>
                <w:bCs/>
                <w:sz w:val="20"/>
                <w:szCs w:val="20"/>
              </w:rPr>
              <w:t>PBO + DMARD</w:t>
            </w:r>
          </w:p>
        </w:tc>
        <w:tc>
          <w:tcPr>
            <w:tcW w:w="831" w:type="dxa"/>
          </w:tcPr>
          <w:p w14:paraId="572CAD15" w14:textId="77777777" w:rsidR="00A32ABA" w:rsidRPr="00F13073" w:rsidRDefault="00A32ABA" w:rsidP="00043B08">
            <w:pPr>
              <w:keepNext/>
              <w:suppressAutoHyphens/>
              <w:jc w:val="center"/>
              <w:rPr>
                <w:b/>
                <w:bCs/>
                <w:sz w:val="20"/>
                <w:szCs w:val="20"/>
              </w:rPr>
            </w:pPr>
            <w:r w:rsidRPr="00F13073">
              <w:rPr>
                <w:b/>
                <w:bCs/>
                <w:sz w:val="20"/>
                <w:szCs w:val="20"/>
              </w:rPr>
              <w:t>TCZ</w:t>
            </w:r>
          </w:p>
          <w:p w14:paraId="67F8E760" w14:textId="77777777" w:rsidR="00A32ABA" w:rsidRPr="00F13073" w:rsidRDefault="00A32ABA" w:rsidP="00043B08">
            <w:pPr>
              <w:keepNext/>
              <w:suppressAutoHyphens/>
              <w:jc w:val="center"/>
              <w:rPr>
                <w:b/>
                <w:bCs/>
                <w:sz w:val="20"/>
                <w:szCs w:val="20"/>
              </w:rPr>
            </w:pPr>
            <w:r w:rsidRPr="00F13073">
              <w:rPr>
                <w:b/>
                <w:bCs/>
                <w:sz w:val="20"/>
                <w:szCs w:val="20"/>
              </w:rPr>
              <w:t>8 mg/kg + MTX</w:t>
            </w:r>
          </w:p>
        </w:tc>
        <w:tc>
          <w:tcPr>
            <w:tcW w:w="730" w:type="dxa"/>
          </w:tcPr>
          <w:p w14:paraId="52D14B87" w14:textId="77777777" w:rsidR="00A32ABA" w:rsidRPr="00F13073" w:rsidRDefault="00A32ABA" w:rsidP="00043B08">
            <w:pPr>
              <w:keepNext/>
              <w:suppressAutoHyphens/>
              <w:jc w:val="center"/>
              <w:rPr>
                <w:b/>
                <w:bCs/>
                <w:sz w:val="20"/>
                <w:szCs w:val="20"/>
              </w:rPr>
            </w:pPr>
            <w:r w:rsidRPr="00F13073">
              <w:rPr>
                <w:b/>
                <w:bCs/>
                <w:sz w:val="20"/>
                <w:szCs w:val="20"/>
              </w:rPr>
              <w:t>PBO + MTX</w:t>
            </w:r>
          </w:p>
        </w:tc>
      </w:tr>
      <w:tr w:rsidR="00A32ABA" w:rsidRPr="00F13073" w14:paraId="78A79D29" w14:textId="77777777" w:rsidTr="00712261">
        <w:trPr>
          <w:cantSplit/>
          <w:tblHeader/>
        </w:trPr>
        <w:tc>
          <w:tcPr>
            <w:tcW w:w="758" w:type="dxa"/>
          </w:tcPr>
          <w:p w14:paraId="62618E4B" w14:textId="77777777" w:rsidR="00A32ABA" w:rsidRPr="00F13073" w:rsidRDefault="00A32ABA" w:rsidP="00043B08">
            <w:pPr>
              <w:keepNext/>
              <w:suppressAutoHyphens/>
              <w:jc w:val="center"/>
              <w:rPr>
                <w:b/>
                <w:bCs/>
                <w:sz w:val="20"/>
                <w:szCs w:val="20"/>
              </w:rPr>
            </w:pPr>
          </w:p>
        </w:tc>
        <w:tc>
          <w:tcPr>
            <w:tcW w:w="790" w:type="dxa"/>
          </w:tcPr>
          <w:p w14:paraId="539CBB19" w14:textId="77777777" w:rsidR="00A32ABA" w:rsidRPr="00F13073" w:rsidRDefault="00A32ABA" w:rsidP="00043B08">
            <w:pPr>
              <w:keepNext/>
              <w:suppressAutoHyphens/>
              <w:jc w:val="center"/>
              <w:rPr>
                <w:b/>
                <w:bCs/>
                <w:sz w:val="20"/>
                <w:szCs w:val="20"/>
              </w:rPr>
            </w:pPr>
            <w:r w:rsidRPr="00F13073">
              <w:rPr>
                <w:b/>
                <w:bCs/>
                <w:sz w:val="20"/>
                <w:szCs w:val="20"/>
              </w:rPr>
              <w:t>N = 286</w:t>
            </w:r>
          </w:p>
        </w:tc>
        <w:tc>
          <w:tcPr>
            <w:tcW w:w="733" w:type="dxa"/>
          </w:tcPr>
          <w:p w14:paraId="3EC27E7B" w14:textId="77777777" w:rsidR="00A32ABA" w:rsidRPr="00F13073" w:rsidRDefault="00A32ABA" w:rsidP="00043B08">
            <w:pPr>
              <w:keepNext/>
              <w:suppressAutoHyphens/>
              <w:jc w:val="center"/>
              <w:rPr>
                <w:b/>
                <w:bCs/>
                <w:sz w:val="20"/>
                <w:szCs w:val="20"/>
              </w:rPr>
            </w:pPr>
            <w:r w:rsidRPr="00F13073">
              <w:rPr>
                <w:b/>
                <w:bCs/>
                <w:sz w:val="20"/>
                <w:szCs w:val="20"/>
              </w:rPr>
              <w:t>N = 284</w:t>
            </w:r>
          </w:p>
        </w:tc>
        <w:tc>
          <w:tcPr>
            <w:tcW w:w="874" w:type="dxa"/>
          </w:tcPr>
          <w:p w14:paraId="467B0AB4" w14:textId="77777777" w:rsidR="00A32ABA" w:rsidRPr="00F13073" w:rsidRDefault="00A32ABA" w:rsidP="00043B08">
            <w:pPr>
              <w:keepNext/>
              <w:suppressAutoHyphens/>
              <w:jc w:val="center"/>
              <w:rPr>
                <w:b/>
                <w:bCs/>
                <w:sz w:val="20"/>
                <w:szCs w:val="20"/>
              </w:rPr>
            </w:pPr>
            <w:r w:rsidRPr="00F13073">
              <w:rPr>
                <w:b/>
                <w:bCs/>
                <w:sz w:val="20"/>
                <w:szCs w:val="20"/>
              </w:rPr>
              <w:t>N = 398</w:t>
            </w:r>
          </w:p>
        </w:tc>
        <w:tc>
          <w:tcPr>
            <w:tcW w:w="790" w:type="dxa"/>
          </w:tcPr>
          <w:p w14:paraId="795662F2" w14:textId="77777777" w:rsidR="00A32ABA" w:rsidRPr="00F13073" w:rsidRDefault="00A32ABA" w:rsidP="00043B08">
            <w:pPr>
              <w:keepNext/>
              <w:suppressAutoHyphens/>
              <w:jc w:val="center"/>
              <w:rPr>
                <w:b/>
                <w:bCs/>
                <w:sz w:val="20"/>
                <w:szCs w:val="20"/>
              </w:rPr>
            </w:pPr>
            <w:r w:rsidRPr="00F13073">
              <w:rPr>
                <w:b/>
                <w:bCs/>
                <w:sz w:val="20"/>
                <w:szCs w:val="20"/>
              </w:rPr>
              <w:t>N = 393</w:t>
            </w:r>
          </w:p>
        </w:tc>
        <w:tc>
          <w:tcPr>
            <w:tcW w:w="903" w:type="dxa"/>
          </w:tcPr>
          <w:p w14:paraId="021EC9AA" w14:textId="77777777" w:rsidR="00A32ABA" w:rsidRPr="00F13073" w:rsidRDefault="00A32ABA" w:rsidP="00043B08">
            <w:pPr>
              <w:keepNext/>
              <w:suppressAutoHyphens/>
              <w:jc w:val="center"/>
              <w:rPr>
                <w:b/>
                <w:bCs/>
                <w:sz w:val="20"/>
                <w:szCs w:val="20"/>
              </w:rPr>
            </w:pPr>
            <w:r w:rsidRPr="00F13073">
              <w:rPr>
                <w:b/>
                <w:bCs/>
                <w:sz w:val="20"/>
                <w:szCs w:val="20"/>
              </w:rPr>
              <w:t>N = 205</w:t>
            </w:r>
          </w:p>
        </w:tc>
        <w:tc>
          <w:tcPr>
            <w:tcW w:w="728" w:type="dxa"/>
          </w:tcPr>
          <w:p w14:paraId="722B3A06" w14:textId="77777777" w:rsidR="00A32ABA" w:rsidRPr="00F13073" w:rsidRDefault="00A32ABA" w:rsidP="00043B08">
            <w:pPr>
              <w:keepNext/>
              <w:suppressAutoHyphens/>
              <w:jc w:val="center"/>
              <w:rPr>
                <w:b/>
                <w:bCs/>
                <w:sz w:val="20"/>
                <w:szCs w:val="20"/>
              </w:rPr>
            </w:pPr>
            <w:r w:rsidRPr="00F13073">
              <w:rPr>
                <w:b/>
                <w:bCs/>
                <w:sz w:val="20"/>
                <w:szCs w:val="20"/>
              </w:rPr>
              <w:t>N = 204</w:t>
            </w:r>
          </w:p>
        </w:tc>
        <w:tc>
          <w:tcPr>
            <w:tcW w:w="1005" w:type="dxa"/>
          </w:tcPr>
          <w:p w14:paraId="7F5DEC05" w14:textId="77777777" w:rsidR="00A32ABA" w:rsidRPr="00F13073" w:rsidRDefault="00A32ABA" w:rsidP="00043B08">
            <w:pPr>
              <w:keepNext/>
              <w:suppressAutoHyphens/>
              <w:jc w:val="center"/>
              <w:rPr>
                <w:b/>
                <w:bCs/>
                <w:sz w:val="20"/>
                <w:szCs w:val="20"/>
              </w:rPr>
            </w:pPr>
            <w:r w:rsidRPr="00F13073">
              <w:rPr>
                <w:b/>
                <w:bCs/>
                <w:sz w:val="20"/>
                <w:szCs w:val="20"/>
              </w:rPr>
              <w:t>N = 803</w:t>
            </w:r>
          </w:p>
        </w:tc>
        <w:tc>
          <w:tcPr>
            <w:tcW w:w="931" w:type="dxa"/>
          </w:tcPr>
          <w:p w14:paraId="513465B0" w14:textId="77777777" w:rsidR="00A32ABA" w:rsidRPr="00F13073" w:rsidRDefault="00A32ABA" w:rsidP="00043B08">
            <w:pPr>
              <w:keepNext/>
              <w:suppressAutoHyphens/>
              <w:jc w:val="center"/>
              <w:rPr>
                <w:b/>
                <w:bCs/>
                <w:sz w:val="20"/>
                <w:szCs w:val="20"/>
              </w:rPr>
            </w:pPr>
            <w:r w:rsidRPr="00F13073">
              <w:rPr>
                <w:b/>
                <w:bCs/>
                <w:sz w:val="20"/>
                <w:szCs w:val="20"/>
              </w:rPr>
              <w:t>N = 413</w:t>
            </w:r>
          </w:p>
        </w:tc>
        <w:tc>
          <w:tcPr>
            <w:tcW w:w="831" w:type="dxa"/>
          </w:tcPr>
          <w:p w14:paraId="622E041A" w14:textId="77777777" w:rsidR="00A32ABA" w:rsidRPr="00F13073" w:rsidRDefault="00A32ABA" w:rsidP="00043B08">
            <w:pPr>
              <w:keepNext/>
              <w:suppressAutoHyphens/>
              <w:jc w:val="center"/>
              <w:rPr>
                <w:b/>
                <w:bCs/>
                <w:sz w:val="20"/>
                <w:szCs w:val="20"/>
              </w:rPr>
            </w:pPr>
            <w:r w:rsidRPr="00F13073">
              <w:rPr>
                <w:b/>
                <w:bCs/>
                <w:sz w:val="20"/>
                <w:szCs w:val="20"/>
              </w:rPr>
              <w:t>N = 170</w:t>
            </w:r>
          </w:p>
        </w:tc>
        <w:tc>
          <w:tcPr>
            <w:tcW w:w="730" w:type="dxa"/>
          </w:tcPr>
          <w:p w14:paraId="1A603A41" w14:textId="77777777" w:rsidR="00A32ABA" w:rsidRPr="00F13073" w:rsidRDefault="00A32ABA" w:rsidP="00043B08">
            <w:pPr>
              <w:keepNext/>
              <w:suppressAutoHyphens/>
              <w:jc w:val="center"/>
              <w:rPr>
                <w:b/>
                <w:bCs/>
                <w:sz w:val="20"/>
                <w:szCs w:val="20"/>
              </w:rPr>
            </w:pPr>
            <w:r w:rsidRPr="00F13073">
              <w:rPr>
                <w:b/>
                <w:bCs/>
                <w:sz w:val="20"/>
                <w:szCs w:val="20"/>
              </w:rPr>
              <w:t>N = 158</w:t>
            </w:r>
          </w:p>
        </w:tc>
      </w:tr>
      <w:tr w:rsidR="00A32ABA" w:rsidRPr="00F13073" w14:paraId="66036708" w14:textId="77777777" w:rsidTr="00712261">
        <w:trPr>
          <w:cantSplit/>
          <w:tblHeader/>
        </w:trPr>
        <w:tc>
          <w:tcPr>
            <w:tcW w:w="9073" w:type="dxa"/>
            <w:gridSpan w:val="11"/>
          </w:tcPr>
          <w:p w14:paraId="51452E05" w14:textId="77777777" w:rsidR="00A32ABA" w:rsidRPr="00F13073" w:rsidRDefault="00A32ABA" w:rsidP="00043B08">
            <w:pPr>
              <w:keepNext/>
              <w:suppressAutoHyphens/>
              <w:jc w:val="center"/>
              <w:rPr>
                <w:b/>
                <w:bCs/>
                <w:sz w:val="20"/>
                <w:szCs w:val="20"/>
              </w:rPr>
            </w:pPr>
            <w:r w:rsidRPr="00F13073">
              <w:rPr>
                <w:b/>
                <w:bCs/>
                <w:sz w:val="20"/>
                <w:szCs w:val="20"/>
              </w:rPr>
              <w:t>ACR 20</w:t>
            </w:r>
          </w:p>
        </w:tc>
      </w:tr>
      <w:tr w:rsidR="00A32ABA" w:rsidRPr="00F13073" w14:paraId="7099716F" w14:textId="77777777" w:rsidTr="00712261">
        <w:trPr>
          <w:cantSplit/>
          <w:tblHeader/>
        </w:trPr>
        <w:tc>
          <w:tcPr>
            <w:tcW w:w="758" w:type="dxa"/>
          </w:tcPr>
          <w:p w14:paraId="2B94895B" w14:textId="77777777" w:rsidR="00A32ABA" w:rsidRPr="00F13073" w:rsidRDefault="00A32ABA" w:rsidP="00043B08">
            <w:pPr>
              <w:keepNext/>
              <w:suppressAutoHyphens/>
              <w:jc w:val="center"/>
              <w:rPr>
                <w:sz w:val="20"/>
                <w:szCs w:val="20"/>
              </w:rPr>
            </w:pPr>
            <w:r w:rsidRPr="00F13073">
              <w:rPr>
                <w:sz w:val="20"/>
                <w:szCs w:val="20"/>
              </w:rPr>
              <w:t>24</w:t>
            </w:r>
          </w:p>
        </w:tc>
        <w:tc>
          <w:tcPr>
            <w:tcW w:w="790" w:type="dxa"/>
          </w:tcPr>
          <w:p w14:paraId="7C662DAA" w14:textId="77777777" w:rsidR="00A32ABA" w:rsidRPr="00F13073" w:rsidRDefault="00A32ABA" w:rsidP="00043B08">
            <w:pPr>
              <w:keepNext/>
              <w:suppressAutoHyphens/>
              <w:jc w:val="center"/>
              <w:rPr>
                <w:sz w:val="20"/>
                <w:szCs w:val="20"/>
              </w:rPr>
            </w:pPr>
            <w:r w:rsidRPr="00F13073">
              <w:rPr>
                <w:sz w:val="20"/>
                <w:szCs w:val="20"/>
              </w:rPr>
              <w:t>70%***</w:t>
            </w:r>
          </w:p>
        </w:tc>
        <w:tc>
          <w:tcPr>
            <w:tcW w:w="733" w:type="dxa"/>
          </w:tcPr>
          <w:p w14:paraId="76F2C924" w14:textId="77777777" w:rsidR="00A32ABA" w:rsidRPr="00F13073" w:rsidRDefault="00A32ABA" w:rsidP="00043B08">
            <w:pPr>
              <w:keepNext/>
              <w:suppressAutoHyphens/>
              <w:jc w:val="center"/>
              <w:rPr>
                <w:sz w:val="20"/>
                <w:szCs w:val="20"/>
              </w:rPr>
            </w:pPr>
            <w:r w:rsidRPr="00F13073">
              <w:rPr>
                <w:sz w:val="20"/>
                <w:szCs w:val="20"/>
              </w:rPr>
              <w:t>52%</w:t>
            </w:r>
          </w:p>
        </w:tc>
        <w:tc>
          <w:tcPr>
            <w:tcW w:w="874" w:type="dxa"/>
          </w:tcPr>
          <w:p w14:paraId="5B1B69FB" w14:textId="77777777" w:rsidR="00A32ABA" w:rsidRPr="00F13073" w:rsidRDefault="00A32ABA" w:rsidP="00043B08">
            <w:pPr>
              <w:keepNext/>
              <w:suppressAutoHyphens/>
              <w:jc w:val="center"/>
              <w:rPr>
                <w:sz w:val="20"/>
                <w:szCs w:val="20"/>
              </w:rPr>
            </w:pPr>
            <w:r w:rsidRPr="00F13073">
              <w:rPr>
                <w:sz w:val="20"/>
                <w:szCs w:val="20"/>
              </w:rPr>
              <w:t>56%***</w:t>
            </w:r>
          </w:p>
        </w:tc>
        <w:tc>
          <w:tcPr>
            <w:tcW w:w="790" w:type="dxa"/>
          </w:tcPr>
          <w:p w14:paraId="45BD9E6C" w14:textId="77777777" w:rsidR="00A32ABA" w:rsidRPr="00F13073" w:rsidRDefault="00A32ABA" w:rsidP="00043B08">
            <w:pPr>
              <w:keepNext/>
              <w:suppressAutoHyphens/>
              <w:jc w:val="center"/>
              <w:rPr>
                <w:sz w:val="20"/>
                <w:szCs w:val="20"/>
              </w:rPr>
            </w:pPr>
            <w:r w:rsidRPr="00F13073">
              <w:rPr>
                <w:sz w:val="20"/>
                <w:szCs w:val="20"/>
              </w:rPr>
              <w:t>27%</w:t>
            </w:r>
          </w:p>
        </w:tc>
        <w:tc>
          <w:tcPr>
            <w:tcW w:w="903" w:type="dxa"/>
          </w:tcPr>
          <w:p w14:paraId="16735FB7" w14:textId="77777777" w:rsidR="00A32ABA" w:rsidRPr="00F13073" w:rsidRDefault="00A32ABA" w:rsidP="00043B08">
            <w:pPr>
              <w:keepNext/>
              <w:suppressAutoHyphens/>
              <w:jc w:val="center"/>
              <w:rPr>
                <w:sz w:val="20"/>
                <w:szCs w:val="20"/>
              </w:rPr>
            </w:pPr>
            <w:r w:rsidRPr="00F13073">
              <w:rPr>
                <w:sz w:val="20"/>
                <w:szCs w:val="20"/>
              </w:rPr>
              <w:t>59%***</w:t>
            </w:r>
          </w:p>
        </w:tc>
        <w:tc>
          <w:tcPr>
            <w:tcW w:w="728" w:type="dxa"/>
          </w:tcPr>
          <w:p w14:paraId="632BB816" w14:textId="77777777" w:rsidR="00A32ABA" w:rsidRPr="00F13073" w:rsidRDefault="00A32ABA" w:rsidP="00043B08">
            <w:pPr>
              <w:keepNext/>
              <w:suppressAutoHyphens/>
              <w:jc w:val="center"/>
              <w:rPr>
                <w:sz w:val="20"/>
                <w:szCs w:val="20"/>
              </w:rPr>
            </w:pPr>
            <w:r w:rsidRPr="00F13073">
              <w:rPr>
                <w:sz w:val="20"/>
                <w:szCs w:val="20"/>
              </w:rPr>
              <w:t>26%</w:t>
            </w:r>
          </w:p>
        </w:tc>
        <w:tc>
          <w:tcPr>
            <w:tcW w:w="1005" w:type="dxa"/>
          </w:tcPr>
          <w:p w14:paraId="1F41FE35" w14:textId="77777777" w:rsidR="00A32ABA" w:rsidRPr="00F13073" w:rsidRDefault="00A32ABA" w:rsidP="00043B08">
            <w:pPr>
              <w:keepNext/>
              <w:suppressAutoHyphens/>
              <w:jc w:val="center"/>
              <w:rPr>
                <w:sz w:val="20"/>
                <w:szCs w:val="20"/>
              </w:rPr>
            </w:pPr>
            <w:r w:rsidRPr="00F13073">
              <w:rPr>
                <w:sz w:val="20"/>
                <w:szCs w:val="20"/>
              </w:rPr>
              <w:t>61%***</w:t>
            </w:r>
          </w:p>
        </w:tc>
        <w:tc>
          <w:tcPr>
            <w:tcW w:w="931" w:type="dxa"/>
          </w:tcPr>
          <w:p w14:paraId="41C20568" w14:textId="77777777" w:rsidR="00A32ABA" w:rsidRPr="00F13073" w:rsidRDefault="00A32ABA" w:rsidP="00043B08">
            <w:pPr>
              <w:keepNext/>
              <w:suppressAutoHyphens/>
              <w:jc w:val="center"/>
              <w:rPr>
                <w:sz w:val="20"/>
                <w:szCs w:val="20"/>
              </w:rPr>
            </w:pPr>
            <w:r w:rsidRPr="00F13073">
              <w:rPr>
                <w:sz w:val="20"/>
                <w:szCs w:val="20"/>
              </w:rPr>
              <w:t>24%</w:t>
            </w:r>
          </w:p>
        </w:tc>
        <w:tc>
          <w:tcPr>
            <w:tcW w:w="831" w:type="dxa"/>
          </w:tcPr>
          <w:p w14:paraId="4B562B91" w14:textId="77777777" w:rsidR="00A32ABA" w:rsidRPr="00F13073" w:rsidRDefault="00A32ABA" w:rsidP="00043B08">
            <w:pPr>
              <w:keepNext/>
              <w:suppressAutoHyphens/>
              <w:jc w:val="center"/>
              <w:rPr>
                <w:sz w:val="20"/>
                <w:szCs w:val="20"/>
              </w:rPr>
            </w:pPr>
            <w:r w:rsidRPr="00F13073">
              <w:rPr>
                <w:sz w:val="20"/>
                <w:szCs w:val="20"/>
              </w:rPr>
              <w:t>50%***</w:t>
            </w:r>
          </w:p>
        </w:tc>
        <w:tc>
          <w:tcPr>
            <w:tcW w:w="730" w:type="dxa"/>
          </w:tcPr>
          <w:p w14:paraId="43D229C6" w14:textId="77777777" w:rsidR="00A32ABA" w:rsidRPr="00F13073" w:rsidRDefault="00A32ABA" w:rsidP="00043B08">
            <w:pPr>
              <w:keepNext/>
              <w:suppressAutoHyphens/>
              <w:jc w:val="center"/>
              <w:rPr>
                <w:sz w:val="20"/>
                <w:szCs w:val="20"/>
              </w:rPr>
            </w:pPr>
            <w:r w:rsidRPr="00F13073">
              <w:rPr>
                <w:sz w:val="20"/>
                <w:szCs w:val="20"/>
              </w:rPr>
              <w:t>10%</w:t>
            </w:r>
          </w:p>
        </w:tc>
      </w:tr>
      <w:tr w:rsidR="00A32ABA" w:rsidRPr="00F13073" w14:paraId="51338041" w14:textId="77777777" w:rsidTr="00712261">
        <w:trPr>
          <w:cantSplit/>
          <w:tblHeader/>
        </w:trPr>
        <w:tc>
          <w:tcPr>
            <w:tcW w:w="758" w:type="dxa"/>
          </w:tcPr>
          <w:p w14:paraId="49A1ADBA" w14:textId="77777777" w:rsidR="00A32ABA" w:rsidRPr="00F13073" w:rsidRDefault="00A32ABA" w:rsidP="00043B08">
            <w:pPr>
              <w:suppressAutoHyphens/>
              <w:jc w:val="center"/>
              <w:rPr>
                <w:sz w:val="20"/>
                <w:szCs w:val="20"/>
              </w:rPr>
            </w:pPr>
            <w:r w:rsidRPr="00F13073">
              <w:rPr>
                <w:sz w:val="20"/>
                <w:szCs w:val="20"/>
              </w:rPr>
              <w:t>52</w:t>
            </w:r>
          </w:p>
        </w:tc>
        <w:tc>
          <w:tcPr>
            <w:tcW w:w="790" w:type="dxa"/>
          </w:tcPr>
          <w:p w14:paraId="5A92A2E4" w14:textId="77777777" w:rsidR="00A32ABA" w:rsidRPr="00F13073" w:rsidRDefault="00A32ABA" w:rsidP="00043B08">
            <w:pPr>
              <w:suppressAutoHyphens/>
              <w:jc w:val="center"/>
              <w:rPr>
                <w:sz w:val="20"/>
                <w:szCs w:val="20"/>
              </w:rPr>
            </w:pPr>
          </w:p>
        </w:tc>
        <w:tc>
          <w:tcPr>
            <w:tcW w:w="733" w:type="dxa"/>
          </w:tcPr>
          <w:p w14:paraId="467FFB5D" w14:textId="77777777" w:rsidR="00A32ABA" w:rsidRPr="00F13073" w:rsidRDefault="00A32ABA" w:rsidP="00043B08">
            <w:pPr>
              <w:suppressAutoHyphens/>
              <w:jc w:val="center"/>
              <w:rPr>
                <w:sz w:val="20"/>
                <w:szCs w:val="20"/>
              </w:rPr>
            </w:pPr>
          </w:p>
        </w:tc>
        <w:tc>
          <w:tcPr>
            <w:tcW w:w="874" w:type="dxa"/>
          </w:tcPr>
          <w:p w14:paraId="36DB0643" w14:textId="77777777" w:rsidR="00A32ABA" w:rsidRPr="00F13073" w:rsidRDefault="00A32ABA" w:rsidP="00043B08">
            <w:pPr>
              <w:suppressAutoHyphens/>
              <w:jc w:val="center"/>
              <w:rPr>
                <w:sz w:val="20"/>
                <w:szCs w:val="20"/>
              </w:rPr>
            </w:pPr>
            <w:r w:rsidRPr="00F13073">
              <w:rPr>
                <w:sz w:val="20"/>
                <w:szCs w:val="20"/>
              </w:rPr>
              <w:t>56%***</w:t>
            </w:r>
          </w:p>
        </w:tc>
        <w:tc>
          <w:tcPr>
            <w:tcW w:w="790" w:type="dxa"/>
          </w:tcPr>
          <w:p w14:paraId="0B8C0C43" w14:textId="77777777" w:rsidR="00A32ABA" w:rsidRPr="00F13073" w:rsidRDefault="00A32ABA" w:rsidP="00043B08">
            <w:pPr>
              <w:suppressAutoHyphens/>
              <w:jc w:val="center"/>
              <w:rPr>
                <w:sz w:val="20"/>
                <w:szCs w:val="20"/>
              </w:rPr>
            </w:pPr>
            <w:r w:rsidRPr="00F13073">
              <w:rPr>
                <w:sz w:val="20"/>
                <w:szCs w:val="20"/>
              </w:rPr>
              <w:t>25%</w:t>
            </w:r>
          </w:p>
        </w:tc>
        <w:tc>
          <w:tcPr>
            <w:tcW w:w="903" w:type="dxa"/>
          </w:tcPr>
          <w:p w14:paraId="16BF2A9A" w14:textId="77777777" w:rsidR="00A32ABA" w:rsidRPr="00F13073" w:rsidRDefault="00A32ABA" w:rsidP="00043B08">
            <w:pPr>
              <w:suppressAutoHyphens/>
              <w:jc w:val="center"/>
              <w:rPr>
                <w:sz w:val="20"/>
                <w:szCs w:val="20"/>
              </w:rPr>
            </w:pPr>
          </w:p>
        </w:tc>
        <w:tc>
          <w:tcPr>
            <w:tcW w:w="728" w:type="dxa"/>
          </w:tcPr>
          <w:p w14:paraId="3ED21BA1" w14:textId="77777777" w:rsidR="00A32ABA" w:rsidRPr="00F13073" w:rsidRDefault="00A32ABA" w:rsidP="00043B08">
            <w:pPr>
              <w:suppressAutoHyphens/>
              <w:jc w:val="center"/>
              <w:rPr>
                <w:sz w:val="20"/>
                <w:szCs w:val="20"/>
              </w:rPr>
            </w:pPr>
          </w:p>
        </w:tc>
        <w:tc>
          <w:tcPr>
            <w:tcW w:w="1005" w:type="dxa"/>
          </w:tcPr>
          <w:p w14:paraId="1D7AC67C" w14:textId="77777777" w:rsidR="00A32ABA" w:rsidRPr="00F13073" w:rsidRDefault="00A32ABA" w:rsidP="00043B08">
            <w:pPr>
              <w:suppressAutoHyphens/>
              <w:jc w:val="center"/>
              <w:rPr>
                <w:sz w:val="20"/>
                <w:szCs w:val="20"/>
              </w:rPr>
            </w:pPr>
          </w:p>
        </w:tc>
        <w:tc>
          <w:tcPr>
            <w:tcW w:w="931" w:type="dxa"/>
          </w:tcPr>
          <w:p w14:paraId="0A1D321B" w14:textId="77777777" w:rsidR="00A32ABA" w:rsidRPr="00F13073" w:rsidRDefault="00A32ABA" w:rsidP="00043B08">
            <w:pPr>
              <w:suppressAutoHyphens/>
              <w:jc w:val="center"/>
              <w:rPr>
                <w:sz w:val="20"/>
                <w:szCs w:val="20"/>
              </w:rPr>
            </w:pPr>
          </w:p>
        </w:tc>
        <w:tc>
          <w:tcPr>
            <w:tcW w:w="831" w:type="dxa"/>
          </w:tcPr>
          <w:p w14:paraId="1D17EBFC" w14:textId="77777777" w:rsidR="00A32ABA" w:rsidRPr="00F13073" w:rsidRDefault="00A32ABA" w:rsidP="00043B08">
            <w:pPr>
              <w:suppressAutoHyphens/>
              <w:jc w:val="center"/>
              <w:rPr>
                <w:sz w:val="20"/>
                <w:szCs w:val="20"/>
              </w:rPr>
            </w:pPr>
          </w:p>
        </w:tc>
        <w:tc>
          <w:tcPr>
            <w:tcW w:w="730" w:type="dxa"/>
          </w:tcPr>
          <w:p w14:paraId="39C4E289" w14:textId="77777777" w:rsidR="00A32ABA" w:rsidRPr="00F13073" w:rsidRDefault="00A32ABA" w:rsidP="00043B08">
            <w:pPr>
              <w:suppressAutoHyphens/>
              <w:jc w:val="center"/>
              <w:rPr>
                <w:sz w:val="20"/>
                <w:szCs w:val="20"/>
              </w:rPr>
            </w:pPr>
          </w:p>
        </w:tc>
      </w:tr>
      <w:tr w:rsidR="00A32ABA" w:rsidRPr="00F13073" w14:paraId="13F46B95" w14:textId="77777777" w:rsidTr="00712261">
        <w:trPr>
          <w:cantSplit/>
          <w:tblHeader/>
        </w:trPr>
        <w:tc>
          <w:tcPr>
            <w:tcW w:w="9073" w:type="dxa"/>
            <w:gridSpan w:val="11"/>
          </w:tcPr>
          <w:p w14:paraId="3FCC1953" w14:textId="77777777" w:rsidR="00A32ABA" w:rsidRPr="00F13073" w:rsidRDefault="00A32ABA" w:rsidP="00043B08">
            <w:pPr>
              <w:keepNext/>
              <w:suppressAutoHyphens/>
              <w:jc w:val="center"/>
              <w:rPr>
                <w:b/>
                <w:bCs/>
                <w:sz w:val="20"/>
                <w:szCs w:val="20"/>
              </w:rPr>
            </w:pPr>
            <w:r w:rsidRPr="00F13073">
              <w:rPr>
                <w:b/>
                <w:bCs/>
                <w:sz w:val="20"/>
                <w:szCs w:val="20"/>
              </w:rPr>
              <w:t>ACR 50</w:t>
            </w:r>
          </w:p>
        </w:tc>
      </w:tr>
      <w:tr w:rsidR="00A32ABA" w:rsidRPr="00F13073" w14:paraId="5A8ECC8F" w14:textId="77777777" w:rsidTr="00712261">
        <w:trPr>
          <w:cantSplit/>
          <w:tblHeader/>
        </w:trPr>
        <w:tc>
          <w:tcPr>
            <w:tcW w:w="758" w:type="dxa"/>
          </w:tcPr>
          <w:p w14:paraId="22CFF238" w14:textId="77777777" w:rsidR="00A32ABA" w:rsidRPr="00F13073" w:rsidRDefault="00A32ABA" w:rsidP="00043B08">
            <w:pPr>
              <w:keepNext/>
              <w:suppressAutoHyphens/>
              <w:jc w:val="center"/>
              <w:rPr>
                <w:sz w:val="20"/>
                <w:szCs w:val="20"/>
              </w:rPr>
            </w:pPr>
            <w:r w:rsidRPr="00F13073">
              <w:rPr>
                <w:sz w:val="20"/>
                <w:szCs w:val="20"/>
              </w:rPr>
              <w:t>24</w:t>
            </w:r>
          </w:p>
        </w:tc>
        <w:tc>
          <w:tcPr>
            <w:tcW w:w="790" w:type="dxa"/>
          </w:tcPr>
          <w:p w14:paraId="1E8C25F0" w14:textId="77777777" w:rsidR="00A32ABA" w:rsidRPr="00F13073" w:rsidRDefault="00A32ABA" w:rsidP="00043B08">
            <w:pPr>
              <w:keepNext/>
              <w:suppressAutoHyphens/>
              <w:jc w:val="center"/>
              <w:rPr>
                <w:sz w:val="20"/>
                <w:szCs w:val="20"/>
              </w:rPr>
            </w:pPr>
            <w:r w:rsidRPr="00F13073">
              <w:rPr>
                <w:sz w:val="20"/>
                <w:szCs w:val="20"/>
              </w:rPr>
              <w:t>44%**</w:t>
            </w:r>
          </w:p>
        </w:tc>
        <w:tc>
          <w:tcPr>
            <w:tcW w:w="733" w:type="dxa"/>
          </w:tcPr>
          <w:p w14:paraId="019828A1" w14:textId="77777777" w:rsidR="00A32ABA" w:rsidRPr="00F13073" w:rsidRDefault="00A32ABA" w:rsidP="00043B08">
            <w:pPr>
              <w:keepNext/>
              <w:suppressAutoHyphens/>
              <w:jc w:val="center"/>
              <w:rPr>
                <w:sz w:val="20"/>
                <w:szCs w:val="20"/>
              </w:rPr>
            </w:pPr>
            <w:r w:rsidRPr="00F13073">
              <w:rPr>
                <w:sz w:val="20"/>
                <w:szCs w:val="20"/>
              </w:rPr>
              <w:t>33%</w:t>
            </w:r>
          </w:p>
        </w:tc>
        <w:tc>
          <w:tcPr>
            <w:tcW w:w="874" w:type="dxa"/>
          </w:tcPr>
          <w:p w14:paraId="455B640E" w14:textId="77777777" w:rsidR="00A32ABA" w:rsidRPr="00F13073" w:rsidRDefault="00A32ABA" w:rsidP="00043B08">
            <w:pPr>
              <w:keepNext/>
              <w:suppressAutoHyphens/>
              <w:jc w:val="center"/>
              <w:rPr>
                <w:sz w:val="20"/>
                <w:szCs w:val="20"/>
              </w:rPr>
            </w:pPr>
            <w:r w:rsidRPr="00F13073">
              <w:rPr>
                <w:sz w:val="20"/>
                <w:szCs w:val="20"/>
              </w:rPr>
              <w:t>32%***</w:t>
            </w:r>
          </w:p>
        </w:tc>
        <w:tc>
          <w:tcPr>
            <w:tcW w:w="790" w:type="dxa"/>
          </w:tcPr>
          <w:p w14:paraId="5E1A566F" w14:textId="77777777" w:rsidR="00A32ABA" w:rsidRPr="00F13073" w:rsidRDefault="00A32ABA" w:rsidP="00043B08">
            <w:pPr>
              <w:keepNext/>
              <w:suppressAutoHyphens/>
              <w:jc w:val="center"/>
              <w:rPr>
                <w:sz w:val="20"/>
                <w:szCs w:val="20"/>
              </w:rPr>
            </w:pPr>
            <w:r w:rsidRPr="00F13073">
              <w:rPr>
                <w:sz w:val="20"/>
                <w:szCs w:val="20"/>
              </w:rPr>
              <w:t>10%</w:t>
            </w:r>
          </w:p>
        </w:tc>
        <w:tc>
          <w:tcPr>
            <w:tcW w:w="903" w:type="dxa"/>
          </w:tcPr>
          <w:p w14:paraId="3372D477" w14:textId="77777777" w:rsidR="00A32ABA" w:rsidRPr="00F13073" w:rsidRDefault="00A32ABA" w:rsidP="00043B08">
            <w:pPr>
              <w:keepNext/>
              <w:suppressAutoHyphens/>
              <w:jc w:val="center"/>
              <w:rPr>
                <w:sz w:val="20"/>
                <w:szCs w:val="20"/>
              </w:rPr>
            </w:pPr>
            <w:r w:rsidRPr="00F13073">
              <w:rPr>
                <w:sz w:val="20"/>
                <w:szCs w:val="20"/>
              </w:rPr>
              <w:t>44%***</w:t>
            </w:r>
          </w:p>
        </w:tc>
        <w:tc>
          <w:tcPr>
            <w:tcW w:w="728" w:type="dxa"/>
          </w:tcPr>
          <w:p w14:paraId="574DA189" w14:textId="77777777" w:rsidR="00A32ABA" w:rsidRPr="00F13073" w:rsidRDefault="00A32ABA" w:rsidP="00043B08">
            <w:pPr>
              <w:keepNext/>
              <w:suppressAutoHyphens/>
              <w:jc w:val="center"/>
              <w:rPr>
                <w:sz w:val="20"/>
                <w:szCs w:val="20"/>
              </w:rPr>
            </w:pPr>
            <w:r w:rsidRPr="00F13073">
              <w:rPr>
                <w:sz w:val="20"/>
                <w:szCs w:val="20"/>
              </w:rPr>
              <w:t>11%</w:t>
            </w:r>
          </w:p>
        </w:tc>
        <w:tc>
          <w:tcPr>
            <w:tcW w:w="1005" w:type="dxa"/>
          </w:tcPr>
          <w:p w14:paraId="583AE979" w14:textId="77777777" w:rsidR="00A32ABA" w:rsidRPr="00F13073" w:rsidRDefault="00A32ABA" w:rsidP="00043B08">
            <w:pPr>
              <w:keepNext/>
              <w:suppressAutoHyphens/>
              <w:jc w:val="center"/>
              <w:rPr>
                <w:sz w:val="20"/>
                <w:szCs w:val="20"/>
              </w:rPr>
            </w:pPr>
            <w:r w:rsidRPr="00F13073">
              <w:rPr>
                <w:sz w:val="20"/>
                <w:szCs w:val="20"/>
              </w:rPr>
              <w:t>38%***</w:t>
            </w:r>
          </w:p>
        </w:tc>
        <w:tc>
          <w:tcPr>
            <w:tcW w:w="931" w:type="dxa"/>
          </w:tcPr>
          <w:p w14:paraId="671BA597" w14:textId="77777777" w:rsidR="00A32ABA" w:rsidRPr="00F13073" w:rsidRDefault="00A32ABA" w:rsidP="00043B08">
            <w:pPr>
              <w:keepNext/>
              <w:suppressAutoHyphens/>
              <w:jc w:val="center"/>
              <w:rPr>
                <w:sz w:val="20"/>
                <w:szCs w:val="20"/>
              </w:rPr>
            </w:pPr>
            <w:r w:rsidRPr="00F13073">
              <w:rPr>
                <w:sz w:val="20"/>
                <w:szCs w:val="20"/>
              </w:rPr>
              <w:t>9%</w:t>
            </w:r>
          </w:p>
        </w:tc>
        <w:tc>
          <w:tcPr>
            <w:tcW w:w="831" w:type="dxa"/>
          </w:tcPr>
          <w:p w14:paraId="2AAC7B82" w14:textId="77777777" w:rsidR="00A32ABA" w:rsidRPr="00F13073" w:rsidRDefault="00A32ABA" w:rsidP="00043B08">
            <w:pPr>
              <w:keepNext/>
              <w:suppressAutoHyphens/>
              <w:jc w:val="center"/>
              <w:rPr>
                <w:sz w:val="20"/>
                <w:szCs w:val="20"/>
              </w:rPr>
            </w:pPr>
            <w:r w:rsidRPr="00F13073">
              <w:rPr>
                <w:sz w:val="20"/>
                <w:szCs w:val="20"/>
              </w:rPr>
              <w:t>29%***</w:t>
            </w:r>
          </w:p>
        </w:tc>
        <w:tc>
          <w:tcPr>
            <w:tcW w:w="730" w:type="dxa"/>
          </w:tcPr>
          <w:p w14:paraId="360AE20D" w14:textId="77777777" w:rsidR="00A32ABA" w:rsidRPr="00F13073" w:rsidRDefault="00A32ABA" w:rsidP="00043B08">
            <w:pPr>
              <w:keepNext/>
              <w:suppressAutoHyphens/>
              <w:jc w:val="center"/>
              <w:rPr>
                <w:sz w:val="20"/>
                <w:szCs w:val="20"/>
              </w:rPr>
            </w:pPr>
            <w:r w:rsidRPr="00F13073">
              <w:rPr>
                <w:sz w:val="20"/>
                <w:szCs w:val="20"/>
              </w:rPr>
              <w:t>4%</w:t>
            </w:r>
          </w:p>
        </w:tc>
      </w:tr>
      <w:tr w:rsidR="00A32ABA" w:rsidRPr="00F13073" w14:paraId="66AADCA5" w14:textId="77777777" w:rsidTr="00712261">
        <w:trPr>
          <w:cantSplit/>
          <w:tblHeader/>
        </w:trPr>
        <w:tc>
          <w:tcPr>
            <w:tcW w:w="758" w:type="dxa"/>
          </w:tcPr>
          <w:p w14:paraId="334A80DD" w14:textId="77777777" w:rsidR="00A32ABA" w:rsidRPr="00F13073" w:rsidRDefault="00A32ABA" w:rsidP="00043B08">
            <w:pPr>
              <w:suppressAutoHyphens/>
              <w:jc w:val="center"/>
              <w:rPr>
                <w:sz w:val="20"/>
                <w:szCs w:val="20"/>
              </w:rPr>
            </w:pPr>
            <w:r w:rsidRPr="00F13073">
              <w:rPr>
                <w:sz w:val="20"/>
                <w:szCs w:val="20"/>
              </w:rPr>
              <w:t>52</w:t>
            </w:r>
          </w:p>
        </w:tc>
        <w:tc>
          <w:tcPr>
            <w:tcW w:w="790" w:type="dxa"/>
          </w:tcPr>
          <w:p w14:paraId="4C3E5BE0" w14:textId="77777777" w:rsidR="00A32ABA" w:rsidRPr="00F13073" w:rsidRDefault="00A32ABA" w:rsidP="00043B08">
            <w:pPr>
              <w:suppressAutoHyphens/>
              <w:jc w:val="center"/>
              <w:rPr>
                <w:sz w:val="20"/>
                <w:szCs w:val="20"/>
              </w:rPr>
            </w:pPr>
          </w:p>
        </w:tc>
        <w:tc>
          <w:tcPr>
            <w:tcW w:w="733" w:type="dxa"/>
          </w:tcPr>
          <w:p w14:paraId="0F57860E" w14:textId="77777777" w:rsidR="00A32ABA" w:rsidRPr="00F13073" w:rsidRDefault="00A32ABA" w:rsidP="00043B08">
            <w:pPr>
              <w:suppressAutoHyphens/>
              <w:jc w:val="center"/>
              <w:rPr>
                <w:sz w:val="20"/>
                <w:szCs w:val="20"/>
              </w:rPr>
            </w:pPr>
          </w:p>
        </w:tc>
        <w:tc>
          <w:tcPr>
            <w:tcW w:w="874" w:type="dxa"/>
          </w:tcPr>
          <w:p w14:paraId="2BBE8D38" w14:textId="77777777" w:rsidR="00A32ABA" w:rsidRPr="00F13073" w:rsidRDefault="00A32ABA" w:rsidP="00043B08">
            <w:pPr>
              <w:suppressAutoHyphens/>
              <w:jc w:val="center"/>
              <w:rPr>
                <w:sz w:val="20"/>
                <w:szCs w:val="20"/>
              </w:rPr>
            </w:pPr>
            <w:r w:rsidRPr="00F13073">
              <w:rPr>
                <w:sz w:val="20"/>
                <w:szCs w:val="20"/>
              </w:rPr>
              <w:t>36%***</w:t>
            </w:r>
          </w:p>
        </w:tc>
        <w:tc>
          <w:tcPr>
            <w:tcW w:w="790" w:type="dxa"/>
          </w:tcPr>
          <w:p w14:paraId="483C77C8" w14:textId="77777777" w:rsidR="00A32ABA" w:rsidRPr="00F13073" w:rsidRDefault="00A32ABA" w:rsidP="00043B08">
            <w:pPr>
              <w:suppressAutoHyphens/>
              <w:jc w:val="center"/>
              <w:rPr>
                <w:sz w:val="20"/>
                <w:szCs w:val="20"/>
              </w:rPr>
            </w:pPr>
            <w:r w:rsidRPr="00F13073">
              <w:rPr>
                <w:sz w:val="20"/>
                <w:szCs w:val="20"/>
              </w:rPr>
              <w:t>10%</w:t>
            </w:r>
          </w:p>
        </w:tc>
        <w:tc>
          <w:tcPr>
            <w:tcW w:w="903" w:type="dxa"/>
          </w:tcPr>
          <w:p w14:paraId="52CC16B6" w14:textId="77777777" w:rsidR="00A32ABA" w:rsidRPr="00F13073" w:rsidRDefault="00A32ABA" w:rsidP="00043B08">
            <w:pPr>
              <w:suppressAutoHyphens/>
              <w:jc w:val="center"/>
              <w:rPr>
                <w:sz w:val="20"/>
                <w:szCs w:val="20"/>
              </w:rPr>
            </w:pPr>
          </w:p>
        </w:tc>
        <w:tc>
          <w:tcPr>
            <w:tcW w:w="728" w:type="dxa"/>
          </w:tcPr>
          <w:p w14:paraId="7A9022E6" w14:textId="77777777" w:rsidR="00A32ABA" w:rsidRPr="00F13073" w:rsidRDefault="00A32ABA" w:rsidP="00043B08">
            <w:pPr>
              <w:suppressAutoHyphens/>
              <w:jc w:val="center"/>
              <w:rPr>
                <w:sz w:val="20"/>
                <w:szCs w:val="20"/>
              </w:rPr>
            </w:pPr>
          </w:p>
        </w:tc>
        <w:tc>
          <w:tcPr>
            <w:tcW w:w="1005" w:type="dxa"/>
          </w:tcPr>
          <w:p w14:paraId="0697C925" w14:textId="77777777" w:rsidR="00A32ABA" w:rsidRPr="00F13073" w:rsidRDefault="00A32ABA" w:rsidP="00043B08">
            <w:pPr>
              <w:suppressAutoHyphens/>
              <w:jc w:val="center"/>
              <w:rPr>
                <w:sz w:val="20"/>
                <w:szCs w:val="20"/>
              </w:rPr>
            </w:pPr>
          </w:p>
        </w:tc>
        <w:tc>
          <w:tcPr>
            <w:tcW w:w="931" w:type="dxa"/>
          </w:tcPr>
          <w:p w14:paraId="080C4006" w14:textId="77777777" w:rsidR="00A32ABA" w:rsidRPr="00F13073" w:rsidRDefault="00A32ABA" w:rsidP="00043B08">
            <w:pPr>
              <w:suppressAutoHyphens/>
              <w:jc w:val="center"/>
              <w:rPr>
                <w:sz w:val="20"/>
                <w:szCs w:val="20"/>
              </w:rPr>
            </w:pPr>
          </w:p>
        </w:tc>
        <w:tc>
          <w:tcPr>
            <w:tcW w:w="831" w:type="dxa"/>
          </w:tcPr>
          <w:p w14:paraId="5900E6C4" w14:textId="77777777" w:rsidR="00A32ABA" w:rsidRPr="00F13073" w:rsidRDefault="00A32ABA" w:rsidP="00043B08">
            <w:pPr>
              <w:suppressAutoHyphens/>
              <w:jc w:val="center"/>
              <w:rPr>
                <w:sz w:val="20"/>
                <w:szCs w:val="20"/>
              </w:rPr>
            </w:pPr>
          </w:p>
        </w:tc>
        <w:tc>
          <w:tcPr>
            <w:tcW w:w="730" w:type="dxa"/>
          </w:tcPr>
          <w:p w14:paraId="12A1DD13" w14:textId="77777777" w:rsidR="00A32ABA" w:rsidRPr="00F13073" w:rsidRDefault="00A32ABA" w:rsidP="00043B08">
            <w:pPr>
              <w:suppressAutoHyphens/>
              <w:jc w:val="center"/>
              <w:rPr>
                <w:sz w:val="20"/>
                <w:szCs w:val="20"/>
              </w:rPr>
            </w:pPr>
          </w:p>
        </w:tc>
      </w:tr>
      <w:tr w:rsidR="00A32ABA" w:rsidRPr="00F13073" w14:paraId="728BD26D" w14:textId="77777777" w:rsidTr="00712261">
        <w:trPr>
          <w:cantSplit/>
          <w:tblHeader/>
        </w:trPr>
        <w:tc>
          <w:tcPr>
            <w:tcW w:w="9073" w:type="dxa"/>
            <w:gridSpan w:val="11"/>
          </w:tcPr>
          <w:p w14:paraId="43DF8F5E" w14:textId="77777777" w:rsidR="00A32ABA" w:rsidRPr="00F13073" w:rsidRDefault="00A32ABA" w:rsidP="00043B08">
            <w:pPr>
              <w:keepNext/>
              <w:suppressAutoHyphens/>
              <w:jc w:val="center"/>
              <w:rPr>
                <w:b/>
                <w:bCs/>
                <w:sz w:val="20"/>
                <w:szCs w:val="20"/>
              </w:rPr>
            </w:pPr>
            <w:r w:rsidRPr="00F13073">
              <w:rPr>
                <w:b/>
                <w:bCs/>
                <w:sz w:val="20"/>
                <w:szCs w:val="20"/>
              </w:rPr>
              <w:t>ACR 70</w:t>
            </w:r>
          </w:p>
        </w:tc>
      </w:tr>
      <w:tr w:rsidR="00A32ABA" w:rsidRPr="00F13073" w14:paraId="4D6928B8" w14:textId="77777777" w:rsidTr="00712261">
        <w:trPr>
          <w:cantSplit/>
          <w:tblHeader/>
        </w:trPr>
        <w:tc>
          <w:tcPr>
            <w:tcW w:w="758" w:type="dxa"/>
          </w:tcPr>
          <w:p w14:paraId="79149229" w14:textId="77777777" w:rsidR="00A32ABA" w:rsidRPr="00F13073" w:rsidRDefault="00A32ABA" w:rsidP="00043B08">
            <w:pPr>
              <w:keepNext/>
              <w:suppressAutoHyphens/>
              <w:jc w:val="center"/>
              <w:rPr>
                <w:sz w:val="20"/>
                <w:szCs w:val="20"/>
              </w:rPr>
            </w:pPr>
            <w:r w:rsidRPr="00F13073">
              <w:rPr>
                <w:sz w:val="20"/>
                <w:szCs w:val="20"/>
              </w:rPr>
              <w:t>24</w:t>
            </w:r>
          </w:p>
        </w:tc>
        <w:tc>
          <w:tcPr>
            <w:tcW w:w="790" w:type="dxa"/>
          </w:tcPr>
          <w:p w14:paraId="253824C2" w14:textId="77777777" w:rsidR="00A32ABA" w:rsidRPr="00F13073" w:rsidRDefault="00A32ABA" w:rsidP="00043B08">
            <w:pPr>
              <w:keepNext/>
              <w:suppressAutoHyphens/>
              <w:jc w:val="center"/>
              <w:rPr>
                <w:sz w:val="20"/>
                <w:szCs w:val="20"/>
              </w:rPr>
            </w:pPr>
            <w:r w:rsidRPr="00F13073">
              <w:rPr>
                <w:sz w:val="20"/>
                <w:szCs w:val="20"/>
              </w:rPr>
              <w:t>28%**</w:t>
            </w:r>
          </w:p>
        </w:tc>
        <w:tc>
          <w:tcPr>
            <w:tcW w:w="733" w:type="dxa"/>
          </w:tcPr>
          <w:p w14:paraId="75E6F5AC" w14:textId="77777777" w:rsidR="00A32ABA" w:rsidRPr="00F13073" w:rsidRDefault="00A32ABA" w:rsidP="00043B08">
            <w:pPr>
              <w:keepNext/>
              <w:suppressAutoHyphens/>
              <w:jc w:val="center"/>
              <w:rPr>
                <w:sz w:val="20"/>
                <w:szCs w:val="20"/>
              </w:rPr>
            </w:pPr>
            <w:r w:rsidRPr="00F13073">
              <w:rPr>
                <w:sz w:val="20"/>
                <w:szCs w:val="20"/>
              </w:rPr>
              <w:t>15%</w:t>
            </w:r>
          </w:p>
        </w:tc>
        <w:tc>
          <w:tcPr>
            <w:tcW w:w="874" w:type="dxa"/>
          </w:tcPr>
          <w:p w14:paraId="386BC776" w14:textId="77777777" w:rsidR="00A32ABA" w:rsidRPr="00F13073" w:rsidRDefault="00A32ABA" w:rsidP="00043B08">
            <w:pPr>
              <w:keepNext/>
              <w:suppressAutoHyphens/>
              <w:jc w:val="center"/>
              <w:rPr>
                <w:sz w:val="20"/>
                <w:szCs w:val="20"/>
              </w:rPr>
            </w:pPr>
            <w:r w:rsidRPr="00F13073">
              <w:rPr>
                <w:sz w:val="20"/>
                <w:szCs w:val="20"/>
              </w:rPr>
              <w:t>13%***</w:t>
            </w:r>
          </w:p>
        </w:tc>
        <w:tc>
          <w:tcPr>
            <w:tcW w:w="790" w:type="dxa"/>
          </w:tcPr>
          <w:p w14:paraId="19CFDD00" w14:textId="77777777" w:rsidR="00A32ABA" w:rsidRPr="00F13073" w:rsidRDefault="00A32ABA" w:rsidP="00043B08">
            <w:pPr>
              <w:keepNext/>
              <w:suppressAutoHyphens/>
              <w:jc w:val="center"/>
              <w:rPr>
                <w:sz w:val="20"/>
                <w:szCs w:val="20"/>
              </w:rPr>
            </w:pPr>
            <w:r w:rsidRPr="00F13073">
              <w:rPr>
                <w:sz w:val="20"/>
                <w:szCs w:val="20"/>
              </w:rPr>
              <w:t>2%</w:t>
            </w:r>
          </w:p>
        </w:tc>
        <w:tc>
          <w:tcPr>
            <w:tcW w:w="903" w:type="dxa"/>
          </w:tcPr>
          <w:p w14:paraId="565E0863" w14:textId="77777777" w:rsidR="00A32ABA" w:rsidRPr="00F13073" w:rsidRDefault="00A32ABA" w:rsidP="00043B08">
            <w:pPr>
              <w:keepNext/>
              <w:suppressAutoHyphens/>
              <w:jc w:val="center"/>
              <w:rPr>
                <w:sz w:val="20"/>
                <w:szCs w:val="20"/>
              </w:rPr>
            </w:pPr>
            <w:r w:rsidRPr="00F13073">
              <w:rPr>
                <w:sz w:val="20"/>
                <w:szCs w:val="20"/>
              </w:rPr>
              <w:t>22%***</w:t>
            </w:r>
          </w:p>
        </w:tc>
        <w:tc>
          <w:tcPr>
            <w:tcW w:w="728" w:type="dxa"/>
          </w:tcPr>
          <w:p w14:paraId="7074B16D" w14:textId="77777777" w:rsidR="00A32ABA" w:rsidRPr="00F13073" w:rsidRDefault="00A32ABA" w:rsidP="00043B08">
            <w:pPr>
              <w:keepNext/>
              <w:suppressAutoHyphens/>
              <w:jc w:val="center"/>
              <w:rPr>
                <w:sz w:val="20"/>
                <w:szCs w:val="20"/>
              </w:rPr>
            </w:pPr>
            <w:r w:rsidRPr="00F13073">
              <w:rPr>
                <w:sz w:val="20"/>
                <w:szCs w:val="20"/>
              </w:rPr>
              <w:t>2%</w:t>
            </w:r>
          </w:p>
        </w:tc>
        <w:tc>
          <w:tcPr>
            <w:tcW w:w="1005" w:type="dxa"/>
          </w:tcPr>
          <w:p w14:paraId="47C79F47" w14:textId="77777777" w:rsidR="00A32ABA" w:rsidRPr="00F13073" w:rsidRDefault="00A32ABA" w:rsidP="00043B08">
            <w:pPr>
              <w:keepNext/>
              <w:suppressAutoHyphens/>
              <w:jc w:val="center"/>
              <w:rPr>
                <w:sz w:val="20"/>
                <w:szCs w:val="20"/>
              </w:rPr>
            </w:pPr>
            <w:r w:rsidRPr="00F13073">
              <w:rPr>
                <w:sz w:val="20"/>
                <w:szCs w:val="20"/>
              </w:rPr>
              <w:t>21%***</w:t>
            </w:r>
          </w:p>
        </w:tc>
        <w:tc>
          <w:tcPr>
            <w:tcW w:w="931" w:type="dxa"/>
          </w:tcPr>
          <w:p w14:paraId="50364A39" w14:textId="77777777" w:rsidR="00A32ABA" w:rsidRPr="00F13073" w:rsidRDefault="00A32ABA" w:rsidP="00043B08">
            <w:pPr>
              <w:keepNext/>
              <w:suppressAutoHyphens/>
              <w:jc w:val="center"/>
              <w:rPr>
                <w:sz w:val="20"/>
                <w:szCs w:val="20"/>
              </w:rPr>
            </w:pPr>
            <w:r w:rsidRPr="00F13073">
              <w:rPr>
                <w:sz w:val="20"/>
                <w:szCs w:val="20"/>
              </w:rPr>
              <w:t>3%</w:t>
            </w:r>
          </w:p>
        </w:tc>
        <w:tc>
          <w:tcPr>
            <w:tcW w:w="831" w:type="dxa"/>
          </w:tcPr>
          <w:p w14:paraId="4DCA47F8" w14:textId="77777777" w:rsidR="00A32ABA" w:rsidRPr="00F13073" w:rsidRDefault="00A32ABA" w:rsidP="00043B08">
            <w:pPr>
              <w:keepNext/>
              <w:suppressAutoHyphens/>
              <w:jc w:val="center"/>
              <w:rPr>
                <w:sz w:val="20"/>
                <w:szCs w:val="20"/>
              </w:rPr>
            </w:pPr>
            <w:r w:rsidRPr="00F13073">
              <w:rPr>
                <w:sz w:val="20"/>
                <w:szCs w:val="20"/>
              </w:rPr>
              <w:t>12%**</w:t>
            </w:r>
          </w:p>
        </w:tc>
        <w:tc>
          <w:tcPr>
            <w:tcW w:w="730" w:type="dxa"/>
          </w:tcPr>
          <w:p w14:paraId="6437D812" w14:textId="77777777" w:rsidR="00A32ABA" w:rsidRPr="00F13073" w:rsidRDefault="00A32ABA" w:rsidP="00043B08">
            <w:pPr>
              <w:keepNext/>
              <w:suppressAutoHyphens/>
              <w:jc w:val="center"/>
              <w:rPr>
                <w:sz w:val="20"/>
                <w:szCs w:val="20"/>
              </w:rPr>
            </w:pPr>
            <w:r w:rsidRPr="00F13073">
              <w:rPr>
                <w:sz w:val="20"/>
                <w:szCs w:val="20"/>
              </w:rPr>
              <w:t>1%</w:t>
            </w:r>
          </w:p>
        </w:tc>
      </w:tr>
      <w:tr w:rsidR="00A32ABA" w:rsidRPr="00F13073" w14:paraId="378E31AB" w14:textId="77777777" w:rsidTr="00712261">
        <w:trPr>
          <w:cantSplit/>
          <w:tblHeader/>
        </w:trPr>
        <w:tc>
          <w:tcPr>
            <w:tcW w:w="758" w:type="dxa"/>
          </w:tcPr>
          <w:p w14:paraId="564BF030" w14:textId="77777777" w:rsidR="00A32ABA" w:rsidRPr="00F13073" w:rsidRDefault="00A32ABA" w:rsidP="00043B08">
            <w:pPr>
              <w:keepNext/>
              <w:suppressAutoHyphens/>
              <w:jc w:val="center"/>
              <w:rPr>
                <w:sz w:val="20"/>
                <w:szCs w:val="20"/>
              </w:rPr>
            </w:pPr>
            <w:r w:rsidRPr="00F13073">
              <w:rPr>
                <w:sz w:val="20"/>
                <w:szCs w:val="20"/>
              </w:rPr>
              <w:t>52</w:t>
            </w:r>
          </w:p>
        </w:tc>
        <w:tc>
          <w:tcPr>
            <w:tcW w:w="790" w:type="dxa"/>
          </w:tcPr>
          <w:p w14:paraId="3A4A3702" w14:textId="77777777" w:rsidR="00A32ABA" w:rsidRPr="00F13073" w:rsidRDefault="00A32ABA" w:rsidP="00043B08">
            <w:pPr>
              <w:keepNext/>
              <w:suppressAutoHyphens/>
              <w:jc w:val="center"/>
              <w:rPr>
                <w:sz w:val="20"/>
                <w:szCs w:val="20"/>
              </w:rPr>
            </w:pPr>
          </w:p>
        </w:tc>
        <w:tc>
          <w:tcPr>
            <w:tcW w:w="733" w:type="dxa"/>
          </w:tcPr>
          <w:p w14:paraId="4C2D0BD6" w14:textId="77777777" w:rsidR="00A32ABA" w:rsidRPr="00F13073" w:rsidRDefault="00A32ABA" w:rsidP="00043B08">
            <w:pPr>
              <w:keepNext/>
              <w:suppressAutoHyphens/>
              <w:jc w:val="center"/>
              <w:rPr>
                <w:sz w:val="20"/>
                <w:szCs w:val="20"/>
              </w:rPr>
            </w:pPr>
          </w:p>
        </w:tc>
        <w:tc>
          <w:tcPr>
            <w:tcW w:w="874" w:type="dxa"/>
          </w:tcPr>
          <w:p w14:paraId="772BEED9" w14:textId="77777777" w:rsidR="00A32ABA" w:rsidRPr="00F13073" w:rsidRDefault="00A32ABA" w:rsidP="00043B08">
            <w:pPr>
              <w:keepNext/>
              <w:suppressAutoHyphens/>
              <w:jc w:val="center"/>
              <w:rPr>
                <w:sz w:val="20"/>
                <w:szCs w:val="20"/>
              </w:rPr>
            </w:pPr>
            <w:r w:rsidRPr="00F13073">
              <w:rPr>
                <w:sz w:val="20"/>
                <w:szCs w:val="20"/>
              </w:rPr>
              <w:t>20%***</w:t>
            </w:r>
          </w:p>
        </w:tc>
        <w:tc>
          <w:tcPr>
            <w:tcW w:w="790" w:type="dxa"/>
          </w:tcPr>
          <w:p w14:paraId="6B77006D" w14:textId="77777777" w:rsidR="00A32ABA" w:rsidRPr="00F13073" w:rsidRDefault="00A32ABA" w:rsidP="00043B08">
            <w:pPr>
              <w:keepNext/>
              <w:suppressAutoHyphens/>
              <w:jc w:val="center"/>
              <w:rPr>
                <w:sz w:val="20"/>
                <w:szCs w:val="20"/>
              </w:rPr>
            </w:pPr>
            <w:r w:rsidRPr="00F13073">
              <w:rPr>
                <w:sz w:val="20"/>
                <w:szCs w:val="20"/>
              </w:rPr>
              <w:t>4%</w:t>
            </w:r>
          </w:p>
        </w:tc>
        <w:tc>
          <w:tcPr>
            <w:tcW w:w="903" w:type="dxa"/>
          </w:tcPr>
          <w:p w14:paraId="4F5850B4" w14:textId="77777777" w:rsidR="00A32ABA" w:rsidRPr="00F13073" w:rsidRDefault="00A32ABA" w:rsidP="00043B08">
            <w:pPr>
              <w:keepNext/>
              <w:suppressAutoHyphens/>
              <w:jc w:val="center"/>
              <w:rPr>
                <w:sz w:val="20"/>
                <w:szCs w:val="20"/>
              </w:rPr>
            </w:pPr>
          </w:p>
        </w:tc>
        <w:tc>
          <w:tcPr>
            <w:tcW w:w="728" w:type="dxa"/>
          </w:tcPr>
          <w:p w14:paraId="0A1CF404" w14:textId="77777777" w:rsidR="00A32ABA" w:rsidRPr="00F13073" w:rsidRDefault="00A32ABA" w:rsidP="00043B08">
            <w:pPr>
              <w:keepNext/>
              <w:suppressAutoHyphens/>
              <w:jc w:val="center"/>
              <w:rPr>
                <w:sz w:val="20"/>
                <w:szCs w:val="20"/>
              </w:rPr>
            </w:pPr>
          </w:p>
        </w:tc>
        <w:tc>
          <w:tcPr>
            <w:tcW w:w="1005" w:type="dxa"/>
          </w:tcPr>
          <w:p w14:paraId="13CA0324" w14:textId="77777777" w:rsidR="00A32ABA" w:rsidRPr="00F13073" w:rsidRDefault="00A32ABA" w:rsidP="00043B08">
            <w:pPr>
              <w:keepNext/>
              <w:suppressAutoHyphens/>
              <w:jc w:val="center"/>
              <w:rPr>
                <w:sz w:val="20"/>
                <w:szCs w:val="20"/>
              </w:rPr>
            </w:pPr>
          </w:p>
        </w:tc>
        <w:tc>
          <w:tcPr>
            <w:tcW w:w="931" w:type="dxa"/>
          </w:tcPr>
          <w:p w14:paraId="47E72CB5" w14:textId="77777777" w:rsidR="00A32ABA" w:rsidRPr="00F13073" w:rsidRDefault="00A32ABA" w:rsidP="00043B08">
            <w:pPr>
              <w:keepNext/>
              <w:suppressAutoHyphens/>
              <w:jc w:val="center"/>
              <w:rPr>
                <w:sz w:val="20"/>
                <w:szCs w:val="20"/>
              </w:rPr>
            </w:pPr>
          </w:p>
        </w:tc>
        <w:tc>
          <w:tcPr>
            <w:tcW w:w="831" w:type="dxa"/>
          </w:tcPr>
          <w:p w14:paraId="0AAAF12D" w14:textId="77777777" w:rsidR="00A32ABA" w:rsidRPr="00F13073" w:rsidRDefault="00A32ABA" w:rsidP="00043B08">
            <w:pPr>
              <w:keepNext/>
              <w:suppressAutoHyphens/>
              <w:jc w:val="center"/>
              <w:rPr>
                <w:sz w:val="20"/>
                <w:szCs w:val="20"/>
              </w:rPr>
            </w:pPr>
          </w:p>
        </w:tc>
        <w:tc>
          <w:tcPr>
            <w:tcW w:w="730" w:type="dxa"/>
          </w:tcPr>
          <w:p w14:paraId="5AF30185" w14:textId="77777777" w:rsidR="00A32ABA" w:rsidRPr="00F13073" w:rsidRDefault="00A32ABA" w:rsidP="00043B08">
            <w:pPr>
              <w:keepNext/>
              <w:suppressAutoHyphens/>
              <w:jc w:val="center"/>
              <w:rPr>
                <w:sz w:val="20"/>
                <w:szCs w:val="20"/>
              </w:rPr>
            </w:pPr>
          </w:p>
        </w:tc>
      </w:tr>
    </w:tbl>
    <w:p w14:paraId="65144B9B" w14:textId="77777777" w:rsidR="00A32ABA" w:rsidRPr="00F13073" w:rsidRDefault="00A32ABA" w:rsidP="008B4C50">
      <w:pPr>
        <w:tabs>
          <w:tab w:val="left" w:pos="851"/>
        </w:tabs>
        <w:rPr>
          <w:i/>
          <w:iCs/>
          <w:sz w:val="18"/>
          <w:szCs w:val="18"/>
        </w:rPr>
      </w:pPr>
      <w:r w:rsidRPr="00F13073">
        <w:rPr>
          <w:i/>
          <w:iCs/>
          <w:sz w:val="18"/>
          <w:szCs w:val="18"/>
        </w:rPr>
        <w:t>TCZ</w:t>
      </w:r>
      <w:r w:rsidRPr="00F13073">
        <w:rPr>
          <w:i/>
          <w:iCs/>
          <w:sz w:val="18"/>
          <w:szCs w:val="18"/>
        </w:rPr>
        <w:tab/>
        <w:t>- tocilizumab</w:t>
      </w:r>
    </w:p>
    <w:p w14:paraId="56A55505" w14:textId="77777777" w:rsidR="00A32ABA" w:rsidRPr="00F13073" w:rsidRDefault="00A32ABA" w:rsidP="008B4C50">
      <w:pPr>
        <w:tabs>
          <w:tab w:val="left" w:pos="851"/>
        </w:tabs>
        <w:rPr>
          <w:i/>
          <w:iCs/>
          <w:sz w:val="18"/>
          <w:szCs w:val="18"/>
        </w:rPr>
      </w:pPr>
      <w:r w:rsidRPr="00F13073">
        <w:rPr>
          <w:i/>
          <w:iCs/>
          <w:sz w:val="18"/>
          <w:szCs w:val="18"/>
        </w:rPr>
        <w:t>MTX</w:t>
      </w:r>
      <w:r w:rsidRPr="00F13073">
        <w:rPr>
          <w:i/>
          <w:iCs/>
          <w:sz w:val="18"/>
          <w:szCs w:val="18"/>
        </w:rPr>
        <w:tab/>
        <w:t>- metotreksat</w:t>
      </w:r>
    </w:p>
    <w:p w14:paraId="1FBB873F" w14:textId="77777777" w:rsidR="00A32ABA" w:rsidRPr="00F13073" w:rsidRDefault="00A32ABA" w:rsidP="008B4C50">
      <w:pPr>
        <w:tabs>
          <w:tab w:val="left" w:pos="851"/>
        </w:tabs>
        <w:rPr>
          <w:i/>
          <w:iCs/>
          <w:sz w:val="18"/>
          <w:szCs w:val="18"/>
        </w:rPr>
      </w:pPr>
      <w:r w:rsidRPr="00F13073">
        <w:rPr>
          <w:i/>
          <w:iCs/>
          <w:sz w:val="18"/>
          <w:szCs w:val="18"/>
        </w:rPr>
        <w:t>PBO</w:t>
      </w:r>
      <w:r w:rsidRPr="00F13073">
        <w:rPr>
          <w:i/>
          <w:iCs/>
          <w:sz w:val="18"/>
          <w:szCs w:val="18"/>
        </w:rPr>
        <w:tab/>
        <w:t>- placebo</w:t>
      </w:r>
    </w:p>
    <w:p w14:paraId="78403AF9" w14:textId="77777777" w:rsidR="00A32ABA" w:rsidRPr="00F13073" w:rsidRDefault="00A32ABA" w:rsidP="008B4C50">
      <w:pPr>
        <w:tabs>
          <w:tab w:val="left" w:pos="851"/>
        </w:tabs>
        <w:rPr>
          <w:i/>
          <w:iCs/>
          <w:sz w:val="18"/>
          <w:szCs w:val="18"/>
        </w:rPr>
      </w:pPr>
      <w:r w:rsidRPr="00F13073">
        <w:rPr>
          <w:i/>
          <w:iCs/>
          <w:sz w:val="18"/>
          <w:szCs w:val="18"/>
        </w:rPr>
        <w:t>DMARD</w:t>
      </w:r>
      <w:r w:rsidRPr="00F13073">
        <w:rPr>
          <w:i/>
          <w:iCs/>
          <w:sz w:val="18"/>
          <w:szCs w:val="18"/>
        </w:rPr>
        <w:tab/>
        <w:t>- lek przeciwreumatyczny modyfikujący przebieg choroby</w:t>
      </w:r>
    </w:p>
    <w:p w14:paraId="53236069" w14:textId="77777777" w:rsidR="00A32ABA" w:rsidRPr="00F13073" w:rsidRDefault="00A32ABA" w:rsidP="008B4C50">
      <w:pPr>
        <w:tabs>
          <w:tab w:val="left" w:pos="851"/>
        </w:tabs>
        <w:rPr>
          <w:i/>
          <w:iCs/>
          <w:sz w:val="18"/>
          <w:szCs w:val="18"/>
        </w:rPr>
      </w:pPr>
      <w:r w:rsidRPr="00F13073">
        <w:rPr>
          <w:i/>
          <w:iCs/>
          <w:sz w:val="18"/>
          <w:szCs w:val="18"/>
        </w:rPr>
        <w:t>**</w:t>
      </w:r>
      <w:r w:rsidRPr="00F13073">
        <w:rPr>
          <w:i/>
          <w:iCs/>
          <w:sz w:val="18"/>
          <w:szCs w:val="18"/>
        </w:rPr>
        <w:tab/>
        <w:t>- p&lt; 0,01, TCZ vs. PBO + MTX/DMARD</w:t>
      </w:r>
    </w:p>
    <w:p w14:paraId="0F368306" w14:textId="77777777" w:rsidR="00A32ABA" w:rsidRPr="00F13073" w:rsidRDefault="00A32ABA" w:rsidP="008B4C50">
      <w:pPr>
        <w:tabs>
          <w:tab w:val="left" w:pos="851"/>
        </w:tabs>
        <w:rPr>
          <w:i/>
          <w:iCs/>
          <w:sz w:val="18"/>
          <w:szCs w:val="18"/>
        </w:rPr>
      </w:pPr>
      <w:r w:rsidRPr="00F13073">
        <w:rPr>
          <w:i/>
          <w:iCs/>
          <w:sz w:val="18"/>
          <w:szCs w:val="18"/>
        </w:rPr>
        <w:t>***</w:t>
      </w:r>
      <w:r w:rsidRPr="00F13073">
        <w:rPr>
          <w:i/>
          <w:iCs/>
          <w:sz w:val="18"/>
          <w:szCs w:val="18"/>
        </w:rPr>
        <w:tab/>
        <w:t>- p&lt; 0,0001, TCZ vs. PBO + MTX/DMARD</w:t>
      </w:r>
    </w:p>
    <w:p w14:paraId="394D3FB7" w14:textId="77777777" w:rsidR="00D13DF4" w:rsidRPr="00F13073" w:rsidRDefault="00D13DF4" w:rsidP="008B4C50"/>
    <w:p w14:paraId="639234B5" w14:textId="77777777" w:rsidR="00B83B07" w:rsidRPr="00F13073" w:rsidRDefault="00B83B07" w:rsidP="00D953D6">
      <w:pPr>
        <w:pStyle w:val="a4"/>
        <w:keepNext/>
        <w:widowControl/>
        <w:spacing w:after="0"/>
        <w:rPr>
          <w:rStyle w:val="Char"/>
          <w:i/>
          <w:iCs/>
        </w:rPr>
      </w:pPr>
      <w:r w:rsidRPr="00F13073">
        <w:rPr>
          <w:rStyle w:val="Char"/>
          <w:i/>
          <w:iCs/>
        </w:rPr>
        <w:t>Duża odpowiedź kliniczna</w:t>
      </w:r>
    </w:p>
    <w:p w14:paraId="7AFCECCD" w14:textId="54172C8D" w:rsidR="00B83B07" w:rsidRPr="00F13073" w:rsidRDefault="00B83B07" w:rsidP="008B4C50">
      <w:pPr>
        <w:pStyle w:val="a4"/>
        <w:widowControl/>
        <w:spacing w:after="0"/>
        <w:rPr>
          <w:rStyle w:val="Char"/>
          <w:i/>
          <w:iCs/>
        </w:rPr>
      </w:pPr>
      <w:r w:rsidRPr="00F13073">
        <w:rPr>
          <w:rStyle w:val="Char"/>
        </w:rPr>
        <w:t xml:space="preserve">Po 2 latach leczenia </w:t>
      </w:r>
      <w:r w:rsidR="00CB22CF" w:rsidRPr="00F13073">
        <w:rPr>
          <w:rStyle w:val="Char"/>
        </w:rPr>
        <w:t xml:space="preserve">tocilizumabem </w:t>
      </w:r>
      <w:r w:rsidRPr="00F13073">
        <w:rPr>
          <w:rStyle w:val="Char"/>
        </w:rPr>
        <w:t>w skojarzeniu z MTX 14% pacjentów osiągnęło dużą odpowiedź kliniczną (utrzymywanie się odpowiedzi na leczenie wg kryteriów ACR70 przez co najmniej 24 tygodnie).</w:t>
      </w:r>
    </w:p>
    <w:p w14:paraId="541567A3" w14:textId="77777777" w:rsidR="00B83B07" w:rsidRPr="00F13073" w:rsidRDefault="00B83B07" w:rsidP="008B4C50">
      <w:pPr>
        <w:pStyle w:val="a4"/>
        <w:widowControl/>
        <w:spacing w:after="0"/>
        <w:rPr>
          <w:rStyle w:val="Char"/>
          <w:i/>
          <w:iCs/>
        </w:rPr>
      </w:pPr>
    </w:p>
    <w:p w14:paraId="5435B919" w14:textId="77777777" w:rsidR="00B83B07" w:rsidRPr="00F13073" w:rsidRDefault="00B83B07" w:rsidP="008B4C50">
      <w:pPr>
        <w:pStyle w:val="a4"/>
        <w:widowControl/>
        <w:spacing w:after="0"/>
      </w:pPr>
      <w:r w:rsidRPr="00F13073">
        <w:rPr>
          <w:rStyle w:val="Char"/>
          <w:i/>
          <w:iCs/>
        </w:rPr>
        <w:t>Odpowiedź radiologiczna</w:t>
      </w:r>
    </w:p>
    <w:p w14:paraId="2C0AC89A" w14:textId="6D54ED5F" w:rsidR="00B83B07" w:rsidRPr="00F13073" w:rsidRDefault="00B83B07" w:rsidP="008B4C50">
      <w:pPr>
        <w:pStyle w:val="a4"/>
        <w:widowControl/>
        <w:spacing w:after="0"/>
        <w:rPr>
          <w:rStyle w:val="Char"/>
        </w:rPr>
      </w:pPr>
      <w:r w:rsidRPr="00F13073">
        <w:rPr>
          <w:rStyle w:val="Char"/>
        </w:rPr>
        <w:lastRenderedPageBreak/>
        <w:t xml:space="preserve">W badaniu II u pacjentów z niedostateczną odpowiedzią na leczenie metotreksatem oceniano radiologicznie stopień zahamowania zmian strukturalnych stawów i wyrażano jako zmianę w zmodyfikowanej skali Sharpa i jej składowych, liczby nadżerek i zwężeń szpar stawowych. Zahamowanie niszczenia struktury stawu wykazano na podstawie istotnie mniejszej progresji radiologicznej u chorych otrzymujących </w:t>
      </w:r>
      <w:r w:rsidR="00CB22CF" w:rsidRPr="00F13073">
        <w:rPr>
          <w:rStyle w:val="Char"/>
        </w:rPr>
        <w:t>tocilizumab</w:t>
      </w:r>
      <w:r w:rsidR="00CB22CF" w:rsidRPr="00F13073" w:rsidDel="00CB22CF">
        <w:rPr>
          <w:rStyle w:val="Char"/>
        </w:rPr>
        <w:t xml:space="preserve"> </w:t>
      </w:r>
      <w:r w:rsidRPr="00F13073">
        <w:rPr>
          <w:rStyle w:val="Char"/>
        </w:rPr>
        <w:t>w porównaniu do grupy kontrolnej (Tabela 6).</w:t>
      </w:r>
    </w:p>
    <w:p w14:paraId="34BE9197" w14:textId="77777777" w:rsidR="00101F01" w:rsidRPr="00F13073" w:rsidRDefault="00101F01" w:rsidP="008B4C50">
      <w:pPr>
        <w:pStyle w:val="a4"/>
        <w:widowControl/>
        <w:spacing w:after="0"/>
      </w:pPr>
    </w:p>
    <w:p w14:paraId="0DE418F0" w14:textId="14BC324F" w:rsidR="00B83B07" w:rsidRPr="00F13073" w:rsidRDefault="00B83B07" w:rsidP="008B4C50">
      <w:pPr>
        <w:pStyle w:val="a4"/>
        <w:widowControl/>
        <w:spacing w:after="0"/>
      </w:pPr>
      <w:r w:rsidRPr="00F13073">
        <w:rPr>
          <w:rStyle w:val="Char"/>
        </w:rPr>
        <w:t xml:space="preserve">W przedłużonej otwartej fazie badania II zahamowanie progresji strukturalnego uszkodzenia stawów u leczonych </w:t>
      </w:r>
      <w:r w:rsidR="00B00D34" w:rsidRPr="00F13073">
        <w:rPr>
          <w:rStyle w:val="Char"/>
        </w:rPr>
        <w:t xml:space="preserve">tocilizumabem </w:t>
      </w:r>
      <w:r w:rsidRPr="00F13073">
        <w:rPr>
          <w:rStyle w:val="Char"/>
        </w:rPr>
        <w:t xml:space="preserve">w skojarzeniu z metotreksatem utrzymywało się w drugim roku leczenia. Średnia zmiana całkowitego wyniku w skali Sharpa w modyfikacji Genanta od wartości wyjściowej do 104. tygodnia leczenia była istotnie niższa u chorych leczonych </w:t>
      </w:r>
      <w:r w:rsidR="00B00D34" w:rsidRPr="00F13073">
        <w:rPr>
          <w:rStyle w:val="Char"/>
        </w:rPr>
        <w:t xml:space="preserve">tocilizumabem </w:t>
      </w:r>
      <w:r w:rsidRPr="00F13073">
        <w:rPr>
          <w:rStyle w:val="Char"/>
        </w:rPr>
        <w:t>w dawce 8 mg/kg mc. + MTX (p &lt; 0,0001) w porównaniu do pacjentów otrzymujących placebo + MTX.</w:t>
      </w:r>
    </w:p>
    <w:p w14:paraId="029D62D1" w14:textId="77777777" w:rsidR="00D13DF4" w:rsidRPr="00F13073" w:rsidRDefault="00D13DF4" w:rsidP="008B4C50"/>
    <w:p w14:paraId="6AE4A52B" w14:textId="77777777" w:rsidR="001E0975" w:rsidRPr="00F13073" w:rsidRDefault="00611033" w:rsidP="008B4C50">
      <w:pPr>
        <w:keepNext/>
        <w:ind w:left="1134" w:hanging="1134"/>
        <w:rPr>
          <w:i/>
          <w:iCs/>
        </w:rPr>
      </w:pPr>
      <w:r w:rsidRPr="00F13073">
        <w:rPr>
          <w:i/>
          <w:iCs/>
        </w:rPr>
        <w:t>Tab</w:t>
      </w:r>
      <w:r w:rsidR="00101F01" w:rsidRPr="00F13073">
        <w:rPr>
          <w:i/>
          <w:iCs/>
        </w:rPr>
        <w:t>e</w:t>
      </w:r>
      <w:r w:rsidRPr="00F13073">
        <w:rPr>
          <w:i/>
          <w:iCs/>
        </w:rPr>
        <w:t>l</w:t>
      </w:r>
      <w:r w:rsidR="00101F01" w:rsidRPr="00F13073">
        <w:rPr>
          <w:i/>
          <w:iCs/>
        </w:rPr>
        <w:t>a</w:t>
      </w:r>
      <w:r w:rsidRPr="00F13073">
        <w:rPr>
          <w:i/>
          <w:iCs/>
        </w:rPr>
        <w:t xml:space="preserve"> 6.</w:t>
      </w:r>
      <w:r w:rsidR="00D13DF4" w:rsidRPr="00F13073">
        <w:rPr>
          <w:i/>
          <w:iCs/>
        </w:rPr>
        <w:tab/>
      </w:r>
      <w:r w:rsidR="00101F01" w:rsidRPr="00F13073">
        <w:rPr>
          <w:rStyle w:val="Char"/>
          <w:rFonts w:eastAsia="DengXian"/>
          <w:i/>
          <w:iCs/>
        </w:rPr>
        <w:t xml:space="preserve">Średnia zmiana wyników radiologicznych w ciągu 52 tygodni w badaniu </w:t>
      </w:r>
      <w:r w:rsidRPr="00F13073">
        <w:rPr>
          <w:i/>
          <w:iCs/>
        </w:rPr>
        <w:t>II</w:t>
      </w:r>
    </w:p>
    <w:p w14:paraId="60A15A22" w14:textId="77777777" w:rsidR="00D13DF4" w:rsidRPr="00F13073" w:rsidRDefault="00D13DF4"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2488"/>
        <w:gridCol w:w="3278"/>
        <w:gridCol w:w="3085"/>
      </w:tblGrid>
      <w:tr w:rsidR="00101F01" w:rsidRPr="00F13073" w14:paraId="5FF759EC" w14:textId="77777777" w:rsidTr="00712261">
        <w:trPr>
          <w:cantSplit/>
          <w:tblHeader/>
        </w:trPr>
        <w:tc>
          <w:tcPr>
            <w:tcW w:w="2549" w:type="dxa"/>
            <w:tcBorders>
              <w:top w:val="single" w:sz="4" w:space="0" w:color="auto"/>
              <w:left w:val="single" w:sz="4" w:space="0" w:color="auto"/>
            </w:tcBorders>
          </w:tcPr>
          <w:p w14:paraId="290BB055" w14:textId="77777777" w:rsidR="00101F01" w:rsidRPr="00F13073" w:rsidRDefault="00101F01" w:rsidP="008B4C50">
            <w:pPr>
              <w:keepNext/>
              <w:suppressAutoHyphens/>
              <w:rPr>
                <w:b/>
                <w:bCs/>
              </w:rPr>
            </w:pPr>
          </w:p>
        </w:tc>
        <w:tc>
          <w:tcPr>
            <w:tcW w:w="3361" w:type="dxa"/>
            <w:tcBorders>
              <w:top w:val="single" w:sz="4" w:space="0" w:color="auto"/>
              <w:left w:val="single" w:sz="4" w:space="0" w:color="auto"/>
            </w:tcBorders>
          </w:tcPr>
          <w:p w14:paraId="40786886" w14:textId="77777777" w:rsidR="00101F01" w:rsidRPr="00F13073" w:rsidRDefault="00101F01" w:rsidP="00D33426">
            <w:pPr>
              <w:keepNext/>
              <w:suppressAutoHyphens/>
              <w:jc w:val="center"/>
              <w:rPr>
                <w:b/>
                <w:bCs/>
              </w:rPr>
            </w:pPr>
            <w:r w:rsidRPr="00F13073">
              <w:rPr>
                <w:b/>
                <w:bCs/>
              </w:rPr>
              <w:t>PBO + MTX</w:t>
            </w:r>
          </w:p>
          <w:p w14:paraId="664EA6A2" w14:textId="77777777" w:rsidR="00101F01" w:rsidRPr="00F13073" w:rsidRDefault="00101F01" w:rsidP="00D33426">
            <w:pPr>
              <w:keepNext/>
              <w:suppressAutoHyphens/>
              <w:jc w:val="center"/>
              <w:rPr>
                <w:b/>
                <w:bCs/>
              </w:rPr>
            </w:pPr>
            <w:r w:rsidRPr="00F13073">
              <w:rPr>
                <w:b/>
                <w:bCs/>
              </w:rPr>
              <w:t>(+ TCZ od 24. tygodnia)</w:t>
            </w:r>
          </w:p>
          <w:p w14:paraId="725B7967" w14:textId="77777777" w:rsidR="00101F01" w:rsidRPr="00F13073" w:rsidRDefault="00101F01" w:rsidP="00D33426">
            <w:pPr>
              <w:keepNext/>
              <w:suppressAutoHyphens/>
              <w:jc w:val="center"/>
              <w:rPr>
                <w:b/>
                <w:bCs/>
              </w:rPr>
            </w:pPr>
            <w:r w:rsidRPr="00F13073">
              <w:rPr>
                <w:b/>
                <w:bCs/>
              </w:rPr>
              <w:t>N = 393</w:t>
            </w:r>
          </w:p>
        </w:tc>
        <w:tc>
          <w:tcPr>
            <w:tcW w:w="3162" w:type="dxa"/>
            <w:tcBorders>
              <w:top w:val="single" w:sz="4" w:space="0" w:color="auto"/>
              <w:left w:val="single" w:sz="4" w:space="0" w:color="auto"/>
              <w:right w:val="single" w:sz="4" w:space="0" w:color="auto"/>
            </w:tcBorders>
          </w:tcPr>
          <w:p w14:paraId="3A4D5B7B" w14:textId="77777777" w:rsidR="00101F01" w:rsidRPr="00F13073" w:rsidRDefault="00101F01" w:rsidP="00D33426">
            <w:pPr>
              <w:keepNext/>
              <w:suppressAutoHyphens/>
              <w:jc w:val="center"/>
              <w:rPr>
                <w:b/>
                <w:bCs/>
              </w:rPr>
            </w:pPr>
            <w:r w:rsidRPr="00F13073">
              <w:rPr>
                <w:b/>
                <w:bCs/>
              </w:rPr>
              <w:t>TCZ 8 mg/kg mc.+ MTX</w:t>
            </w:r>
          </w:p>
          <w:p w14:paraId="44BB4949" w14:textId="77777777" w:rsidR="00101F01" w:rsidRPr="00F13073" w:rsidRDefault="00101F01" w:rsidP="00D33426">
            <w:pPr>
              <w:keepNext/>
              <w:suppressAutoHyphens/>
              <w:jc w:val="center"/>
              <w:rPr>
                <w:b/>
                <w:bCs/>
              </w:rPr>
            </w:pPr>
            <w:r w:rsidRPr="00F13073">
              <w:rPr>
                <w:b/>
                <w:bCs/>
              </w:rPr>
              <w:t>N = 398</w:t>
            </w:r>
          </w:p>
        </w:tc>
      </w:tr>
      <w:tr w:rsidR="00101F01" w:rsidRPr="00F13073" w14:paraId="5A40BBD6" w14:textId="77777777" w:rsidTr="00712261">
        <w:trPr>
          <w:cantSplit/>
          <w:tblHeader/>
        </w:trPr>
        <w:tc>
          <w:tcPr>
            <w:tcW w:w="2549" w:type="dxa"/>
            <w:tcBorders>
              <w:top w:val="single" w:sz="4" w:space="0" w:color="auto"/>
              <w:left w:val="single" w:sz="4" w:space="0" w:color="auto"/>
            </w:tcBorders>
          </w:tcPr>
          <w:p w14:paraId="2F419BDC" w14:textId="77777777" w:rsidR="00101F01" w:rsidRPr="00F13073" w:rsidRDefault="00101F01" w:rsidP="008B4C50">
            <w:pPr>
              <w:suppressAutoHyphens/>
            </w:pPr>
            <w:r w:rsidRPr="00F13073">
              <w:rPr>
                <w:rStyle w:val="Other"/>
                <w:rFonts w:eastAsia="DengXian"/>
              </w:rPr>
              <w:t>Wartość wskaźnika Sharp-Genant</w:t>
            </w:r>
          </w:p>
        </w:tc>
        <w:tc>
          <w:tcPr>
            <w:tcW w:w="3361" w:type="dxa"/>
            <w:tcBorders>
              <w:top w:val="single" w:sz="4" w:space="0" w:color="auto"/>
              <w:left w:val="single" w:sz="4" w:space="0" w:color="auto"/>
            </w:tcBorders>
          </w:tcPr>
          <w:p w14:paraId="03051AB2" w14:textId="77777777" w:rsidR="00101F01" w:rsidRPr="00F13073" w:rsidRDefault="00101F01" w:rsidP="00D33426">
            <w:pPr>
              <w:suppressAutoHyphens/>
              <w:jc w:val="center"/>
            </w:pPr>
            <w:r w:rsidRPr="00F13073">
              <w:t>1,13</w:t>
            </w:r>
          </w:p>
        </w:tc>
        <w:tc>
          <w:tcPr>
            <w:tcW w:w="3162" w:type="dxa"/>
            <w:tcBorders>
              <w:top w:val="single" w:sz="4" w:space="0" w:color="auto"/>
              <w:left w:val="single" w:sz="4" w:space="0" w:color="auto"/>
              <w:right w:val="single" w:sz="4" w:space="0" w:color="auto"/>
            </w:tcBorders>
          </w:tcPr>
          <w:p w14:paraId="75DDD4FC" w14:textId="77777777" w:rsidR="00101F01" w:rsidRPr="00F13073" w:rsidRDefault="00101F01" w:rsidP="00D33426">
            <w:pPr>
              <w:suppressAutoHyphens/>
              <w:jc w:val="center"/>
            </w:pPr>
            <w:r w:rsidRPr="00F13073">
              <w:t>0,29*</w:t>
            </w:r>
          </w:p>
        </w:tc>
      </w:tr>
      <w:tr w:rsidR="00101F01" w:rsidRPr="00F13073" w14:paraId="118068B2" w14:textId="77777777" w:rsidTr="00712261">
        <w:trPr>
          <w:cantSplit/>
          <w:tblHeader/>
        </w:trPr>
        <w:tc>
          <w:tcPr>
            <w:tcW w:w="2549" w:type="dxa"/>
            <w:tcBorders>
              <w:top w:val="single" w:sz="4" w:space="0" w:color="auto"/>
              <w:left w:val="single" w:sz="4" w:space="0" w:color="auto"/>
            </w:tcBorders>
          </w:tcPr>
          <w:p w14:paraId="0072EE11" w14:textId="77777777" w:rsidR="00101F01" w:rsidRPr="00F13073" w:rsidRDefault="00101F01" w:rsidP="008B4C50">
            <w:pPr>
              <w:suppressAutoHyphens/>
            </w:pPr>
            <w:r w:rsidRPr="00F13073">
              <w:rPr>
                <w:rStyle w:val="Other"/>
                <w:rFonts w:eastAsia="DengXian"/>
              </w:rPr>
              <w:t>Wskaźnik nadżerek</w:t>
            </w:r>
          </w:p>
        </w:tc>
        <w:tc>
          <w:tcPr>
            <w:tcW w:w="3361" w:type="dxa"/>
            <w:tcBorders>
              <w:top w:val="single" w:sz="4" w:space="0" w:color="auto"/>
              <w:left w:val="single" w:sz="4" w:space="0" w:color="auto"/>
            </w:tcBorders>
          </w:tcPr>
          <w:p w14:paraId="5423B62D" w14:textId="77777777" w:rsidR="00101F01" w:rsidRPr="00F13073" w:rsidRDefault="00101F01" w:rsidP="00D33426">
            <w:pPr>
              <w:suppressAutoHyphens/>
              <w:jc w:val="center"/>
            </w:pPr>
            <w:r w:rsidRPr="00F13073">
              <w:t>0,71</w:t>
            </w:r>
          </w:p>
        </w:tc>
        <w:tc>
          <w:tcPr>
            <w:tcW w:w="3162" w:type="dxa"/>
            <w:tcBorders>
              <w:top w:val="single" w:sz="4" w:space="0" w:color="auto"/>
              <w:left w:val="single" w:sz="4" w:space="0" w:color="auto"/>
              <w:right w:val="single" w:sz="4" w:space="0" w:color="auto"/>
            </w:tcBorders>
          </w:tcPr>
          <w:p w14:paraId="7910B86F" w14:textId="77777777" w:rsidR="00101F01" w:rsidRPr="00F13073" w:rsidRDefault="00101F01" w:rsidP="00D33426">
            <w:pPr>
              <w:suppressAutoHyphens/>
              <w:jc w:val="center"/>
            </w:pPr>
            <w:r w:rsidRPr="00F13073">
              <w:t>0,17*</w:t>
            </w:r>
          </w:p>
        </w:tc>
      </w:tr>
      <w:tr w:rsidR="00101F01" w:rsidRPr="00F13073" w14:paraId="31A8BE5F" w14:textId="77777777" w:rsidTr="00712261">
        <w:trPr>
          <w:cantSplit/>
          <w:tblHeader/>
        </w:trPr>
        <w:tc>
          <w:tcPr>
            <w:tcW w:w="2549" w:type="dxa"/>
            <w:tcBorders>
              <w:top w:val="single" w:sz="4" w:space="0" w:color="auto"/>
              <w:left w:val="single" w:sz="4" w:space="0" w:color="auto"/>
              <w:bottom w:val="single" w:sz="4" w:space="0" w:color="auto"/>
            </w:tcBorders>
          </w:tcPr>
          <w:p w14:paraId="063D3D93" w14:textId="77777777" w:rsidR="00101F01" w:rsidRPr="00F13073" w:rsidRDefault="00101F01" w:rsidP="008B4C50">
            <w:pPr>
              <w:keepNext/>
              <w:suppressAutoHyphens/>
            </w:pPr>
            <w:r w:rsidRPr="00F13073">
              <w:rPr>
                <w:rStyle w:val="Other"/>
                <w:rFonts w:eastAsia="DengXian"/>
              </w:rPr>
              <w:t>Wskaźnik JSN</w:t>
            </w:r>
          </w:p>
        </w:tc>
        <w:tc>
          <w:tcPr>
            <w:tcW w:w="3361" w:type="dxa"/>
            <w:tcBorders>
              <w:top w:val="single" w:sz="4" w:space="0" w:color="auto"/>
              <w:left w:val="single" w:sz="4" w:space="0" w:color="auto"/>
              <w:bottom w:val="single" w:sz="4" w:space="0" w:color="auto"/>
            </w:tcBorders>
          </w:tcPr>
          <w:p w14:paraId="766FD9C3" w14:textId="77777777" w:rsidR="00101F01" w:rsidRPr="00F13073" w:rsidRDefault="00101F01" w:rsidP="00D33426">
            <w:pPr>
              <w:keepNext/>
              <w:suppressAutoHyphens/>
              <w:jc w:val="center"/>
            </w:pPr>
            <w:r w:rsidRPr="00F13073">
              <w:t>0,42</w:t>
            </w:r>
          </w:p>
        </w:tc>
        <w:tc>
          <w:tcPr>
            <w:tcW w:w="3162" w:type="dxa"/>
            <w:tcBorders>
              <w:top w:val="single" w:sz="4" w:space="0" w:color="auto"/>
              <w:left w:val="single" w:sz="4" w:space="0" w:color="auto"/>
              <w:bottom w:val="single" w:sz="4" w:space="0" w:color="auto"/>
              <w:right w:val="single" w:sz="4" w:space="0" w:color="auto"/>
            </w:tcBorders>
          </w:tcPr>
          <w:p w14:paraId="3C01F1DF" w14:textId="77777777" w:rsidR="00101F01" w:rsidRPr="00F13073" w:rsidRDefault="00101F01" w:rsidP="00D33426">
            <w:pPr>
              <w:keepNext/>
              <w:suppressAutoHyphens/>
              <w:jc w:val="center"/>
            </w:pPr>
            <w:r w:rsidRPr="00F13073">
              <w:t>0,12**</w:t>
            </w:r>
          </w:p>
        </w:tc>
      </w:tr>
    </w:tbl>
    <w:p w14:paraId="319C0B7E" w14:textId="77777777" w:rsidR="00101F01" w:rsidRPr="00F13073" w:rsidRDefault="00101F01" w:rsidP="008B4C50">
      <w:pPr>
        <w:tabs>
          <w:tab w:val="left" w:pos="851"/>
        </w:tabs>
        <w:rPr>
          <w:i/>
          <w:iCs/>
          <w:sz w:val="18"/>
          <w:szCs w:val="18"/>
        </w:rPr>
      </w:pPr>
      <w:r w:rsidRPr="00F13073">
        <w:rPr>
          <w:i/>
          <w:iCs/>
          <w:sz w:val="18"/>
          <w:szCs w:val="18"/>
        </w:rPr>
        <w:t>PBO</w:t>
      </w:r>
      <w:r w:rsidRPr="00F13073">
        <w:rPr>
          <w:i/>
          <w:iCs/>
          <w:sz w:val="18"/>
          <w:szCs w:val="18"/>
        </w:rPr>
        <w:tab/>
        <w:t>- placebo</w:t>
      </w:r>
    </w:p>
    <w:p w14:paraId="4A71B777" w14:textId="77777777" w:rsidR="00101F01" w:rsidRPr="00F13073" w:rsidRDefault="00101F01" w:rsidP="008B4C50">
      <w:pPr>
        <w:tabs>
          <w:tab w:val="left" w:pos="851"/>
        </w:tabs>
        <w:rPr>
          <w:i/>
          <w:iCs/>
          <w:sz w:val="18"/>
          <w:szCs w:val="18"/>
        </w:rPr>
      </w:pPr>
      <w:r w:rsidRPr="00F13073">
        <w:rPr>
          <w:i/>
          <w:iCs/>
          <w:sz w:val="18"/>
          <w:szCs w:val="18"/>
        </w:rPr>
        <w:t>MTX</w:t>
      </w:r>
      <w:r w:rsidRPr="00F13073">
        <w:rPr>
          <w:i/>
          <w:iCs/>
          <w:sz w:val="18"/>
          <w:szCs w:val="18"/>
        </w:rPr>
        <w:tab/>
        <w:t>- metotreksat</w:t>
      </w:r>
    </w:p>
    <w:p w14:paraId="07983024" w14:textId="77777777" w:rsidR="00101F01" w:rsidRPr="00F13073" w:rsidRDefault="00101F01" w:rsidP="008B4C50">
      <w:pPr>
        <w:tabs>
          <w:tab w:val="left" w:pos="851"/>
        </w:tabs>
        <w:rPr>
          <w:i/>
          <w:iCs/>
          <w:sz w:val="18"/>
          <w:szCs w:val="18"/>
        </w:rPr>
      </w:pPr>
      <w:r w:rsidRPr="00F13073">
        <w:rPr>
          <w:i/>
          <w:iCs/>
          <w:sz w:val="18"/>
          <w:szCs w:val="18"/>
        </w:rPr>
        <w:t>TCZ</w:t>
      </w:r>
      <w:r w:rsidRPr="00F13073">
        <w:rPr>
          <w:i/>
          <w:iCs/>
          <w:sz w:val="18"/>
          <w:szCs w:val="18"/>
        </w:rPr>
        <w:tab/>
        <w:t>- tocilizumab</w:t>
      </w:r>
    </w:p>
    <w:p w14:paraId="747B9BBC" w14:textId="77777777" w:rsidR="00101F01" w:rsidRPr="00F13073" w:rsidRDefault="00101F01" w:rsidP="008B4C50">
      <w:pPr>
        <w:tabs>
          <w:tab w:val="left" w:pos="851"/>
        </w:tabs>
        <w:rPr>
          <w:i/>
          <w:iCs/>
          <w:sz w:val="18"/>
          <w:szCs w:val="18"/>
        </w:rPr>
      </w:pPr>
      <w:r w:rsidRPr="00F13073">
        <w:rPr>
          <w:i/>
          <w:iCs/>
          <w:sz w:val="18"/>
          <w:szCs w:val="18"/>
        </w:rPr>
        <w:t>JSN</w:t>
      </w:r>
      <w:r w:rsidRPr="00F13073">
        <w:rPr>
          <w:i/>
          <w:iCs/>
          <w:sz w:val="18"/>
          <w:szCs w:val="18"/>
        </w:rPr>
        <w:tab/>
        <w:t>- Zwężenie szpar stawowych</w:t>
      </w:r>
    </w:p>
    <w:p w14:paraId="45126026" w14:textId="77777777" w:rsidR="00101F01" w:rsidRPr="00F13073" w:rsidRDefault="00101F01" w:rsidP="008B4C50">
      <w:pPr>
        <w:tabs>
          <w:tab w:val="left" w:pos="851"/>
        </w:tabs>
        <w:rPr>
          <w:i/>
          <w:iCs/>
          <w:sz w:val="18"/>
          <w:szCs w:val="18"/>
        </w:rPr>
      </w:pPr>
      <w:r w:rsidRPr="00F13073">
        <w:rPr>
          <w:i/>
          <w:iCs/>
          <w:sz w:val="18"/>
          <w:szCs w:val="18"/>
        </w:rPr>
        <w:t>*</w:t>
      </w:r>
      <w:r w:rsidRPr="00F13073">
        <w:rPr>
          <w:i/>
          <w:iCs/>
          <w:sz w:val="18"/>
          <w:szCs w:val="18"/>
        </w:rPr>
        <w:tab/>
        <w:t>- p≤ 0,0001, TCZ vs. PBO + MTX</w:t>
      </w:r>
    </w:p>
    <w:p w14:paraId="6CFF7E86" w14:textId="77777777" w:rsidR="00101F01" w:rsidRPr="00F13073" w:rsidRDefault="00101F01" w:rsidP="008B4C50">
      <w:pPr>
        <w:tabs>
          <w:tab w:val="left" w:pos="851"/>
        </w:tabs>
        <w:rPr>
          <w:i/>
          <w:iCs/>
          <w:sz w:val="18"/>
          <w:szCs w:val="18"/>
        </w:rPr>
      </w:pPr>
      <w:r w:rsidRPr="00F13073">
        <w:rPr>
          <w:i/>
          <w:iCs/>
          <w:sz w:val="18"/>
          <w:szCs w:val="18"/>
        </w:rPr>
        <w:t>**</w:t>
      </w:r>
      <w:r w:rsidRPr="00F13073">
        <w:rPr>
          <w:i/>
          <w:iCs/>
          <w:sz w:val="18"/>
          <w:szCs w:val="18"/>
        </w:rPr>
        <w:tab/>
        <w:t>- p&lt; 0,005, TCZ vs. PBO + MTX</w:t>
      </w:r>
    </w:p>
    <w:p w14:paraId="20A5CA06" w14:textId="77777777" w:rsidR="001E0975" w:rsidRPr="00F13073" w:rsidRDefault="001E0975" w:rsidP="008B4C50"/>
    <w:p w14:paraId="13441F06" w14:textId="6944F06B" w:rsidR="00A5450E" w:rsidRPr="00F13073" w:rsidRDefault="00A5450E" w:rsidP="008B4C50">
      <w:pPr>
        <w:pStyle w:val="a4"/>
        <w:widowControl/>
        <w:spacing w:after="0"/>
        <w:rPr>
          <w:rStyle w:val="Char"/>
        </w:rPr>
      </w:pPr>
      <w:r w:rsidRPr="00F13073">
        <w:rPr>
          <w:rStyle w:val="Char"/>
        </w:rPr>
        <w:t xml:space="preserve">Po 1 roku leczenia </w:t>
      </w:r>
      <w:r w:rsidR="00B00D34" w:rsidRPr="00F13073">
        <w:rPr>
          <w:rStyle w:val="Char"/>
        </w:rPr>
        <w:t xml:space="preserve">tocilizumabem </w:t>
      </w:r>
      <w:r w:rsidRPr="00F13073">
        <w:rPr>
          <w:rStyle w:val="Char"/>
        </w:rPr>
        <w:t>w skojarzeniu z MTX 85% pacjentów (n = 348) nie miało progresji strukturalnego uszkodzenia stawów, zdefiniowanej jako brak zmiany wyniku całkowitego w skali Sharpa lub zmiana poniżej zera, w porównaniu do 67% pacjentów otrzymujących placebo + MTX (n = 290) (p ≤</w:t>
      </w:r>
      <w:r w:rsidRPr="00F13073">
        <w:rPr>
          <w:rStyle w:val="Char"/>
          <w:sz w:val="24"/>
          <w:szCs w:val="24"/>
        </w:rPr>
        <w:t xml:space="preserve"> </w:t>
      </w:r>
      <w:r w:rsidRPr="00F13073">
        <w:rPr>
          <w:rStyle w:val="Char"/>
        </w:rPr>
        <w:t>0,001). Wyniki te były spójne z uzyskanymi po 2 roku leczenia (83%; n = 353). 93% (n = 271) pacjentów nie miało progresji między 52. a 104. tygodniem leczenia.</w:t>
      </w:r>
    </w:p>
    <w:p w14:paraId="3766F0AA" w14:textId="77777777" w:rsidR="00A5450E" w:rsidRPr="00F13073" w:rsidRDefault="00A5450E" w:rsidP="008B4C50">
      <w:pPr>
        <w:pStyle w:val="a4"/>
        <w:widowControl/>
        <w:spacing w:after="0"/>
      </w:pPr>
    </w:p>
    <w:p w14:paraId="032B682D" w14:textId="77777777" w:rsidR="00A5450E" w:rsidRPr="00F13073" w:rsidRDefault="00A5450E" w:rsidP="008B4C50">
      <w:pPr>
        <w:pStyle w:val="a4"/>
        <w:widowControl/>
        <w:spacing w:after="0"/>
      </w:pPr>
      <w:r w:rsidRPr="00F13073">
        <w:rPr>
          <w:rStyle w:val="Char"/>
          <w:i/>
          <w:iCs/>
        </w:rPr>
        <w:t>Wyniki związane ze stanem zdrowia oraz dotyczące jakości życia</w:t>
      </w:r>
    </w:p>
    <w:p w14:paraId="33484597" w14:textId="5BD41FF8" w:rsidR="00A5450E" w:rsidRPr="00F13073" w:rsidRDefault="00A5450E" w:rsidP="00712261">
      <w:pPr>
        <w:pStyle w:val="a4"/>
        <w:widowControl/>
        <w:spacing w:after="0"/>
        <w:rPr>
          <w:rStyle w:val="Char"/>
        </w:rPr>
      </w:pPr>
      <w:r w:rsidRPr="00F13073">
        <w:rPr>
          <w:rStyle w:val="Char"/>
        </w:rPr>
        <w:t xml:space="preserve">U chorych otrzymujących </w:t>
      </w:r>
      <w:r w:rsidR="000F58E8" w:rsidRPr="00F13073">
        <w:rPr>
          <w:rStyle w:val="Char"/>
        </w:rPr>
        <w:t>tocilizumab</w:t>
      </w:r>
      <w:r w:rsidR="000F58E8" w:rsidRPr="00F13073" w:rsidDel="000F58E8">
        <w:rPr>
          <w:rStyle w:val="Char"/>
        </w:rPr>
        <w:t xml:space="preserve"> </w:t>
      </w:r>
      <w:r w:rsidRPr="00F13073">
        <w:rPr>
          <w:rStyle w:val="Char"/>
        </w:rPr>
        <w:t xml:space="preserve">odnotowano poprawę we wszystkich kwestionariuszach samooceny pacjentów (kwestionariusz oceny stanu zdrowia-wskaźnik niepełnosprawności </w:t>
      </w:r>
      <w:r w:rsidR="00DE76FE" w:rsidRPr="00F13073">
        <w:rPr>
          <w:rStyle w:val="Char"/>
        </w:rPr>
        <w:t>–</w:t>
      </w:r>
      <w:r w:rsidRPr="00F13073">
        <w:rPr>
          <w:rStyle w:val="Char"/>
        </w:rPr>
        <w:t xml:space="preserve"> HAQ-DI), krótki kwestionariusz SF-36 i kwestionariusz oceny funkcji w trakcie leczenia przewlekłej choroby (FACIT). Statystycznie istotną poprawę w wynikach HAQ-DI obserwowano u chorych leczonych </w:t>
      </w:r>
      <w:r w:rsidR="000F58E8" w:rsidRPr="00F13073">
        <w:rPr>
          <w:rStyle w:val="Char"/>
        </w:rPr>
        <w:t xml:space="preserve">tocilizumabem </w:t>
      </w:r>
      <w:r w:rsidRPr="00F13073">
        <w:rPr>
          <w:rStyle w:val="Char"/>
        </w:rPr>
        <w:t xml:space="preserve">w porównaniu do chorych otrzymujących leki z grupy DMARD. W otwartej fazie badania II poprawa sprawności fizycznej utrzymywała się do 2 roku leczenia. W 52. tygodniu średnia zmiana wyniku HAQ-DI wynosiła -0,58 u leczonych </w:t>
      </w:r>
      <w:r w:rsidR="000F58E8" w:rsidRPr="00F13073">
        <w:rPr>
          <w:rStyle w:val="Char"/>
        </w:rPr>
        <w:t xml:space="preserve">tocilizumabem </w:t>
      </w:r>
      <w:r w:rsidRPr="00F13073">
        <w:rPr>
          <w:rStyle w:val="Char"/>
        </w:rPr>
        <w:t xml:space="preserve">w dawce 8 mg/kg mc. + MTX w porównaniu do -0,39 w grupie placebo + MTX. Średnia zmiana wyniku HAQ-DI utrzymywała się do 104. tygodnia w grupie otrzymującej </w:t>
      </w:r>
      <w:r w:rsidR="000F58E8" w:rsidRPr="00F13073">
        <w:rPr>
          <w:rStyle w:val="Char"/>
        </w:rPr>
        <w:t>tocilizumab</w:t>
      </w:r>
      <w:r w:rsidR="000F58E8" w:rsidRPr="00F13073" w:rsidDel="000F58E8">
        <w:rPr>
          <w:rStyle w:val="Char"/>
        </w:rPr>
        <w:t xml:space="preserve"> </w:t>
      </w:r>
      <w:r w:rsidRPr="00F13073">
        <w:rPr>
          <w:rStyle w:val="Char"/>
        </w:rPr>
        <w:t>w dawce 8</w:t>
      </w:r>
      <w:r w:rsidR="00712261" w:rsidRPr="00F13073">
        <w:rPr>
          <w:rStyle w:val="Char"/>
        </w:rPr>
        <w:t> </w:t>
      </w:r>
      <w:r w:rsidRPr="00F13073">
        <w:rPr>
          <w:rStyle w:val="Char"/>
        </w:rPr>
        <w:t>mg/kg mc. + MTX (-0,61).</w:t>
      </w:r>
    </w:p>
    <w:p w14:paraId="76A27105" w14:textId="77777777" w:rsidR="00A5450E" w:rsidRPr="00F13073" w:rsidRDefault="00A5450E" w:rsidP="008B4C50">
      <w:pPr>
        <w:pStyle w:val="a4"/>
        <w:widowControl/>
        <w:spacing w:after="0"/>
      </w:pPr>
    </w:p>
    <w:p w14:paraId="50D6C261" w14:textId="77777777" w:rsidR="00A5450E" w:rsidRPr="00F13073" w:rsidRDefault="00A5450E" w:rsidP="008B4C50">
      <w:pPr>
        <w:pStyle w:val="a4"/>
        <w:widowControl/>
        <w:spacing w:after="0"/>
      </w:pPr>
      <w:r w:rsidRPr="00F13073">
        <w:rPr>
          <w:rStyle w:val="Char"/>
          <w:i/>
          <w:iCs/>
        </w:rPr>
        <w:t>Stężenie hemoglobiny</w:t>
      </w:r>
    </w:p>
    <w:p w14:paraId="59EBDCED" w14:textId="68612E01" w:rsidR="002945E6" w:rsidRPr="00F13073" w:rsidRDefault="00A5450E" w:rsidP="008B4C50">
      <w:r w:rsidRPr="00F13073">
        <w:rPr>
          <w:rStyle w:val="Char"/>
          <w:rFonts w:eastAsia="DengXian"/>
        </w:rPr>
        <w:t xml:space="preserve">W 24. tygodniu stosowania </w:t>
      </w:r>
      <w:r w:rsidR="000F58E8" w:rsidRPr="00F13073">
        <w:rPr>
          <w:rStyle w:val="Char"/>
          <w:rFonts w:eastAsia="DengXian"/>
        </w:rPr>
        <w:t xml:space="preserve">tocilizumabu </w:t>
      </w:r>
      <w:r w:rsidRPr="00F13073">
        <w:rPr>
          <w:rStyle w:val="Char"/>
          <w:rFonts w:eastAsia="DengXian"/>
        </w:rPr>
        <w:t>obserwowano statystycznie istotne zwiększenie stężenia hemoglobiny w porównaniu do pacjentów otrzymujących leki z grupy DMARD (p &lt; 0,0001). Zwiększenie średniego stężenia hemoglobiny odnotowano w 2. tygodniu leczenia, przy czym wartości utrzymywały się w granicach normy przez cały okres 24 tygodni.</w:t>
      </w:r>
    </w:p>
    <w:p w14:paraId="48875A32" w14:textId="77777777" w:rsidR="002945E6" w:rsidRPr="00F13073" w:rsidRDefault="002945E6" w:rsidP="008B4C50"/>
    <w:p w14:paraId="0B9C11CD" w14:textId="77777777" w:rsidR="00A5450E" w:rsidRPr="00F13073" w:rsidRDefault="00A5450E" w:rsidP="008B4C50">
      <w:pPr>
        <w:pStyle w:val="a4"/>
        <w:widowControl/>
        <w:spacing w:after="0"/>
        <w:rPr>
          <w:rStyle w:val="Char"/>
          <w:i/>
          <w:iCs/>
        </w:rPr>
      </w:pPr>
      <w:r w:rsidRPr="00F13073">
        <w:rPr>
          <w:rStyle w:val="Char"/>
          <w:i/>
          <w:iCs/>
        </w:rPr>
        <w:t>Tocilizumab vs. adalimumab w monoterapii</w:t>
      </w:r>
    </w:p>
    <w:p w14:paraId="7D638C95" w14:textId="238E55C9" w:rsidR="00A5450E" w:rsidRPr="00F13073" w:rsidRDefault="00A5450E" w:rsidP="008B4C50">
      <w:pPr>
        <w:rPr>
          <w:rStyle w:val="Char"/>
          <w:rFonts w:eastAsia="DengXian"/>
        </w:rPr>
      </w:pPr>
      <w:r w:rsidRPr="00F13073">
        <w:rPr>
          <w:rStyle w:val="Char"/>
          <w:rFonts w:eastAsia="DengXian"/>
        </w:rPr>
        <w:t xml:space="preserve">W 24-tygodniowym podwójnie zaślepionym badaniu VI (WA19924), które porównywało </w:t>
      </w:r>
      <w:r w:rsidR="001B6947" w:rsidRPr="00F13073">
        <w:rPr>
          <w:rStyle w:val="Char"/>
          <w:rFonts w:eastAsia="DengXian"/>
        </w:rPr>
        <w:t>tocilizumab</w:t>
      </w:r>
      <w:r w:rsidRPr="00F13073">
        <w:rPr>
          <w:rStyle w:val="Char"/>
          <w:rFonts w:eastAsia="DengXian"/>
        </w:rPr>
        <w:t xml:space="preserve"> w monoterapii z adalimumabem w monoterapii, wzięło udział 326 pacjentów z RZS, którzy nie tolerowali MTX lub u których kontynuację leczenia MTX uznano za niewłaściwą (w tym osoby z niewystarczającą odpowiedzią na leczenie MTX). Pacjentom z grupy przyjmującej </w:t>
      </w:r>
      <w:r w:rsidR="001B6947" w:rsidRPr="00F13073">
        <w:rPr>
          <w:rStyle w:val="Char"/>
          <w:rFonts w:eastAsia="DengXian"/>
        </w:rPr>
        <w:t>tocilizumab</w:t>
      </w:r>
      <w:r w:rsidR="001B6947" w:rsidRPr="00F13073" w:rsidDel="001B6947">
        <w:rPr>
          <w:rStyle w:val="Char"/>
          <w:rFonts w:eastAsia="DengXian"/>
        </w:rPr>
        <w:t xml:space="preserve"> </w:t>
      </w:r>
      <w:r w:rsidRPr="00F13073">
        <w:rPr>
          <w:rStyle w:val="Char"/>
          <w:rFonts w:eastAsia="DengXian"/>
        </w:rPr>
        <w:lastRenderedPageBreak/>
        <w:t xml:space="preserve">podawano </w:t>
      </w:r>
      <w:r w:rsidR="001B6947" w:rsidRPr="00F13073">
        <w:rPr>
          <w:rStyle w:val="Char"/>
          <w:rFonts w:eastAsia="DengXian"/>
        </w:rPr>
        <w:t>tocilizumab</w:t>
      </w:r>
      <w:r w:rsidRPr="00F13073">
        <w:rPr>
          <w:rStyle w:val="Char"/>
          <w:rFonts w:eastAsia="DengXian"/>
        </w:rPr>
        <w:t xml:space="preserve"> we wlewie dożylnym (8</w:t>
      </w:r>
      <w:r w:rsidR="00D33426" w:rsidRPr="00F13073">
        <w:rPr>
          <w:rStyle w:val="Char"/>
          <w:rFonts w:eastAsia="DengXian"/>
        </w:rPr>
        <w:t> </w:t>
      </w:r>
      <w:r w:rsidRPr="00F13073">
        <w:rPr>
          <w:rStyle w:val="Char"/>
          <w:rFonts w:eastAsia="DengXian"/>
        </w:rPr>
        <w:t>mg/kg mc.) co 4 tygodnie (q4w) oraz placebo we wstrzyknięciu podskórnym co 2 tygodnie (q2w). Pacjentom z grupy przyjmującej adalimumab podawano adalimumab we wstrzyknięciu podskórnym (40 mg) q2w oraz placebo we wlewie dożylnym q4w.</w:t>
      </w:r>
    </w:p>
    <w:p w14:paraId="6F152949" w14:textId="77777777" w:rsidR="00A5450E" w:rsidRPr="00F13073" w:rsidRDefault="00A5450E" w:rsidP="008B4C50"/>
    <w:p w14:paraId="19DDCAC9" w14:textId="402AABE2" w:rsidR="00A5450E" w:rsidRPr="00F13073" w:rsidRDefault="00A5450E" w:rsidP="008B4C50">
      <w:r w:rsidRPr="00F13073">
        <w:rPr>
          <w:rStyle w:val="Char"/>
          <w:rFonts w:eastAsia="DengXian"/>
        </w:rPr>
        <w:t xml:space="preserve">W grupie przyjmującej </w:t>
      </w:r>
      <w:r w:rsidR="001B6947" w:rsidRPr="00F13073">
        <w:rPr>
          <w:rStyle w:val="Char"/>
          <w:rFonts w:eastAsia="DengXian"/>
        </w:rPr>
        <w:t>tocilizumab</w:t>
      </w:r>
      <w:r w:rsidR="001B6947" w:rsidRPr="00F13073" w:rsidDel="001B6947">
        <w:rPr>
          <w:rStyle w:val="Char"/>
          <w:rFonts w:eastAsia="DengXian"/>
        </w:rPr>
        <w:t xml:space="preserve"> </w:t>
      </w:r>
      <w:r w:rsidRPr="00F13073">
        <w:rPr>
          <w:rStyle w:val="Char"/>
          <w:rFonts w:eastAsia="DengXian"/>
        </w:rPr>
        <w:t>obserwowano statystycznie istotny większy efekt terapeutyczny w zakresie kontroli aktywności choroby do 24 tygodnia względem stanu początkowego dla pierwszorzędowego punktu końcowego, tj. zmiany DAS28 oraz wszystkich drugorzędowych punktów końcowych (Tabela 7).</w:t>
      </w:r>
    </w:p>
    <w:p w14:paraId="6CB93ED5" w14:textId="77777777" w:rsidR="00A5450E" w:rsidRPr="00F13073" w:rsidRDefault="00A5450E" w:rsidP="008B4C50"/>
    <w:p w14:paraId="19AC6BF7" w14:textId="77777777" w:rsidR="002945E6" w:rsidRPr="00F13073" w:rsidRDefault="002945E6" w:rsidP="008B4C50">
      <w:pPr>
        <w:keepNext/>
        <w:ind w:left="1134" w:hanging="1134"/>
        <w:rPr>
          <w:i/>
          <w:iCs/>
        </w:rPr>
      </w:pPr>
      <w:r w:rsidRPr="00F13073">
        <w:rPr>
          <w:i/>
          <w:iCs/>
        </w:rPr>
        <w:t>Tab</w:t>
      </w:r>
      <w:r w:rsidR="00A5450E" w:rsidRPr="00F13073">
        <w:rPr>
          <w:i/>
          <w:iCs/>
        </w:rPr>
        <w:t>e</w:t>
      </w:r>
      <w:r w:rsidRPr="00F13073">
        <w:rPr>
          <w:i/>
          <w:iCs/>
        </w:rPr>
        <w:t>l</w:t>
      </w:r>
      <w:r w:rsidR="00A5450E" w:rsidRPr="00F13073">
        <w:rPr>
          <w:i/>
          <w:iCs/>
        </w:rPr>
        <w:t>a</w:t>
      </w:r>
      <w:r w:rsidRPr="00F13073">
        <w:rPr>
          <w:i/>
          <w:iCs/>
        </w:rPr>
        <w:t xml:space="preserve"> 7:</w:t>
      </w:r>
      <w:r w:rsidRPr="00F13073">
        <w:rPr>
          <w:i/>
          <w:iCs/>
        </w:rPr>
        <w:tab/>
      </w:r>
      <w:r w:rsidR="00E26945" w:rsidRPr="00F13073">
        <w:rPr>
          <w:rStyle w:val="Char"/>
          <w:rFonts w:eastAsia="DengXian"/>
          <w:i/>
          <w:iCs/>
        </w:rPr>
        <w:t xml:space="preserve">Wyniki skuteczności dla badania </w:t>
      </w:r>
      <w:r w:rsidRPr="00F13073">
        <w:rPr>
          <w:i/>
          <w:iCs/>
        </w:rPr>
        <w:t>VI (WA19924)</w:t>
      </w:r>
    </w:p>
    <w:p w14:paraId="06B69C81" w14:textId="77777777" w:rsidR="002945E6" w:rsidRPr="00F13073" w:rsidRDefault="002945E6" w:rsidP="008B4C50">
      <w:pPr>
        <w:keepNext/>
        <w:ind w:left="1134" w:hanging="1134"/>
        <w:rPr>
          <w:i/>
          <w:iCs/>
        </w:rPr>
      </w:pPr>
    </w:p>
    <w:tbl>
      <w:tblPr>
        <w:tblOverlap w:val="never"/>
        <w:tblW w:w="4887" w:type="pct"/>
        <w:tblInd w:w="108" w:type="dxa"/>
        <w:tblLayout w:type="fixed"/>
        <w:tblCellMar>
          <w:top w:w="28" w:type="dxa"/>
          <w:bottom w:w="28" w:type="dxa"/>
        </w:tblCellMar>
        <w:tblLook w:val="04A0" w:firstRow="1" w:lastRow="0" w:firstColumn="1" w:lastColumn="0" w:noHBand="0" w:noVBand="1"/>
      </w:tblPr>
      <w:tblGrid>
        <w:gridCol w:w="3131"/>
        <w:gridCol w:w="2111"/>
        <w:gridCol w:w="2253"/>
        <w:gridCol w:w="1356"/>
      </w:tblGrid>
      <w:tr w:rsidR="00E26945" w:rsidRPr="00F13073" w14:paraId="66300255" w14:textId="77777777" w:rsidTr="00712261">
        <w:trPr>
          <w:cantSplit/>
          <w:tblHeader/>
        </w:trPr>
        <w:tc>
          <w:tcPr>
            <w:tcW w:w="3213" w:type="dxa"/>
            <w:tcBorders>
              <w:top w:val="single" w:sz="4" w:space="0" w:color="auto"/>
              <w:left w:val="single" w:sz="4" w:space="0" w:color="auto"/>
            </w:tcBorders>
          </w:tcPr>
          <w:p w14:paraId="269EB610" w14:textId="77777777" w:rsidR="00E26945" w:rsidRPr="00F13073" w:rsidRDefault="00E26945" w:rsidP="008B4C50">
            <w:pPr>
              <w:keepNext/>
              <w:suppressAutoHyphens/>
              <w:rPr>
                <w:b/>
                <w:bCs/>
              </w:rPr>
            </w:pPr>
          </w:p>
        </w:tc>
        <w:tc>
          <w:tcPr>
            <w:tcW w:w="2163" w:type="dxa"/>
            <w:tcBorders>
              <w:top w:val="single" w:sz="4" w:space="0" w:color="auto"/>
              <w:left w:val="single" w:sz="4" w:space="0" w:color="auto"/>
            </w:tcBorders>
            <w:vAlign w:val="bottom"/>
          </w:tcPr>
          <w:p w14:paraId="31BB5C4E" w14:textId="77777777" w:rsidR="00E26945" w:rsidRPr="00F13073" w:rsidRDefault="00E26945" w:rsidP="00D33426">
            <w:pPr>
              <w:keepNext/>
              <w:suppressAutoHyphens/>
              <w:jc w:val="center"/>
              <w:rPr>
                <w:b/>
                <w:bCs/>
              </w:rPr>
            </w:pPr>
            <w:r w:rsidRPr="00F13073">
              <w:rPr>
                <w:b/>
                <w:bCs/>
              </w:rPr>
              <w:t>ADA + placebo (dożylnie)</w:t>
            </w:r>
          </w:p>
          <w:p w14:paraId="7BD0E3AA" w14:textId="77777777" w:rsidR="00E26945" w:rsidRPr="00F13073" w:rsidRDefault="00E26945" w:rsidP="00D33426">
            <w:pPr>
              <w:keepNext/>
              <w:suppressAutoHyphens/>
              <w:jc w:val="center"/>
              <w:rPr>
                <w:b/>
                <w:bCs/>
              </w:rPr>
            </w:pPr>
            <w:r w:rsidRPr="00F13073">
              <w:rPr>
                <w:b/>
                <w:bCs/>
              </w:rPr>
              <w:t>N = 162</w:t>
            </w:r>
          </w:p>
        </w:tc>
        <w:tc>
          <w:tcPr>
            <w:tcW w:w="2309" w:type="dxa"/>
            <w:tcBorders>
              <w:top w:val="single" w:sz="4" w:space="0" w:color="auto"/>
              <w:left w:val="single" w:sz="4" w:space="0" w:color="auto"/>
            </w:tcBorders>
            <w:vAlign w:val="bottom"/>
          </w:tcPr>
          <w:p w14:paraId="17BAEDF7" w14:textId="77777777" w:rsidR="00E26945" w:rsidRPr="00F13073" w:rsidRDefault="00E26945" w:rsidP="00D33426">
            <w:pPr>
              <w:keepNext/>
              <w:suppressAutoHyphens/>
              <w:jc w:val="center"/>
              <w:rPr>
                <w:b/>
                <w:bCs/>
              </w:rPr>
            </w:pPr>
            <w:r w:rsidRPr="00F13073">
              <w:rPr>
                <w:b/>
                <w:bCs/>
              </w:rPr>
              <w:t>TCZ + placebo (podskórnie)</w:t>
            </w:r>
          </w:p>
          <w:p w14:paraId="7947E449" w14:textId="77777777" w:rsidR="00E26945" w:rsidRPr="00F13073" w:rsidRDefault="00E26945" w:rsidP="00D33426">
            <w:pPr>
              <w:keepNext/>
              <w:suppressAutoHyphens/>
              <w:jc w:val="center"/>
              <w:rPr>
                <w:b/>
                <w:bCs/>
              </w:rPr>
            </w:pPr>
            <w:r w:rsidRPr="00F13073">
              <w:rPr>
                <w:b/>
                <w:bCs/>
              </w:rPr>
              <w:t>N = 163</w:t>
            </w:r>
          </w:p>
        </w:tc>
        <w:tc>
          <w:tcPr>
            <w:tcW w:w="1387" w:type="dxa"/>
            <w:tcBorders>
              <w:top w:val="single" w:sz="4" w:space="0" w:color="auto"/>
              <w:left w:val="single" w:sz="4" w:space="0" w:color="auto"/>
              <w:right w:val="single" w:sz="4" w:space="0" w:color="auto"/>
            </w:tcBorders>
            <w:vAlign w:val="bottom"/>
          </w:tcPr>
          <w:p w14:paraId="560DB044" w14:textId="77777777" w:rsidR="00E26945" w:rsidRPr="00F13073" w:rsidRDefault="00E26945" w:rsidP="00D33426">
            <w:pPr>
              <w:keepNext/>
              <w:suppressAutoHyphens/>
              <w:jc w:val="center"/>
              <w:rPr>
                <w:b/>
                <w:bCs/>
              </w:rPr>
            </w:pPr>
            <w:r w:rsidRPr="00F13073">
              <w:rPr>
                <w:b/>
                <w:bCs/>
              </w:rPr>
              <w:t>wartość p</w:t>
            </w:r>
            <w:r w:rsidRPr="00F13073">
              <w:rPr>
                <w:b/>
                <w:bCs/>
                <w:vertAlign w:val="superscript"/>
              </w:rPr>
              <w:t>(a)</w:t>
            </w:r>
          </w:p>
        </w:tc>
      </w:tr>
      <w:tr w:rsidR="00E26945" w:rsidRPr="00F13073" w14:paraId="6EC8E7A3" w14:textId="77777777" w:rsidTr="00712261">
        <w:trPr>
          <w:cantSplit/>
          <w:tblHeader/>
        </w:trPr>
        <w:tc>
          <w:tcPr>
            <w:tcW w:w="9072" w:type="dxa"/>
            <w:gridSpan w:val="4"/>
            <w:tcBorders>
              <w:top w:val="single" w:sz="4" w:space="0" w:color="auto"/>
              <w:left w:val="single" w:sz="4" w:space="0" w:color="auto"/>
              <w:right w:val="single" w:sz="4" w:space="0" w:color="auto"/>
            </w:tcBorders>
          </w:tcPr>
          <w:p w14:paraId="5AD66AB7" w14:textId="77777777" w:rsidR="00E26945" w:rsidRPr="00F13073" w:rsidRDefault="00E26945" w:rsidP="008B4C50">
            <w:pPr>
              <w:keepNext/>
              <w:suppressAutoHyphens/>
              <w:rPr>
                <w:b/>
                <w:bCs/>
              </w:rPr>
            </w:pPr>
            <w:r w:rsidRPr="00F13073">
              <w:rPr>
                <w:b/>
                <w:bCs/>
              </w:rPr>
              <w:t xml:space="preserve">Pierwszorzędowy punkt końcowy – średnia zmiana w stosunku do wartości wyjściowych w 24. </w:t>
            </w:r>
            <w:r w:rsidR="00DE76FE" w:rsidRPr="00F13073">
              <w:rPr>
                <w:b/>
                <w:bCs/>
              </w:rPr>
              <w:t>t</w:t>
            </w:r>
            <w:r w:rsidRPr="00F13073">
              <w:rPr>
                <w:b/>
                <w:bCs/>
              </w:rPr>
              <w:t>ygodniu</w:t>
            </w:r>
          </w:p>
        </w:tc>
      </w:tr>
      <w:tr w:rsidR="00E26945" w:rsidRPr="00F13073" w14:paraId="110EDFD0" w14:textId="77777777" w:rsidTr="00712261">
        <w:trPr>
          <w:cantSplit/>
          <w:tblHeader/>
        </w:trPr>
        <w:tc>
          <w:tcPr>
            <w:tcW w:w="3213" w:type="dxa"/>
            <w:tcBorders>
              <w:top w:val="single" w:sz="4" w:space="0" w:color="auto"/>
              <w:left w:val="single" w:sz="4" w:space="0" w:color="auto"/>
            </w:tcBorders>
          </w:tcPr>
          <w:p w14:paraId="2C6B4D67" w14:textId="77777777" w:rsidR="00E26945" w:rsidRPr="00F13073" w:rsidRDefault="00E26945" w:rsidP="00D33426">
            <w:pPr>
              <w:keepNext/>
              <w:suppressAutoHyphens/>
              <w:jc w:val="right"/>
            </w:pPr>
            <w:r w:rsidRPr="00F13073">
              <w:t>DAS28 (średnia skorygowana)</w:t>
            </w:r>
          </w:p>
        </w:tc>
        <w:tc>
          <w:tcPr>
            <w:tcW w:w="2163" w:type="dxa"/>
            <w:tcBorders>
              <w:top w:val="single" w:sz="4" w:space="0" w:color="auto"/>
              <w:left w:val="single" w:sz="4" w:space="0" w:color="auto"/>
            </w:tcBorders>
          </w:tcPr>
          <w:p w14:paraId="2B85458E" w14:textId="77777777" w:rsidR="00E26945" w:rsidRPr="00F13073" w:rsidRDefault="00E26945" w:rsidP="00D33426">
            <w:pPr>
              <w:keepNext/>
              <w:suppressAutoHyphens/>
              <w:jc w:val="center"/>
            </w:pPr>
            <w:r w:rsidRPr="00F13073">
              <w:t>-1,8</w:t>
            </w:r>
          </w:p>
        </w:tc>
        <w:tc>
          <w:tcPr>
            <w:tcW w:w="2309" w:type="dxa"/>
            <w:tcBorders>
              <w:top w:val="single" w:sz="4" w:space="0" w:color="auto"/>
              <w:left w:val="single" w:sz="4" w:space="0" w:color="auto"/>
            </w:tcBorders>
          </w:tcPr>
          <w:p w14:paraId="32CA29F6" w14:textId="77777777" w:rsidR="00E26945" w:rsidRPr="00F13073" w:rsidRDefault="00E26945" w:rsidP="00D33426">
            <w:pPr>
              <w:keepNext/>
              <w:suppressAutoHyphens/>
              <w:jc w:val="center"/>
            </w:pPr>
            <w:r w:rsidRPr="00F13073">
              <w:t>-3,3</w:t>
            </w:r>
          </w:p>
        </w:tc>
        <w:tc>
          <w:tcPr>
            <w:tcW w:w="1387" w:type="dxa"/>
            <w:tcBorders>
              <w:top w:val="single" w:sz="4" w:space="0" w:color="auto"/>
              <w:left w:val="single" w:sz="4" w:space="0" w:color="auto"/>
              <w:right w:val="single" w:sz="4" w:space="0" w:color="auto"/>
            </w:tcBorders>
          </w:tcPr>
          <w:p w14:paraId="10B87FE3" w14:textId="77777777" w:rsidR="00E26945" w:rsidRPr="00F13073" w:rsidRDefault="00E26945" w:rsidP="00D33426">
            <w:pPr>
              <w:keepNext/>
              <w:suppressAutoHyphens/>
              <w:jc w:val="center"/>
            </w:pPr>
          </w:p>
        </w:tc>
      </w:tr>
      <w:tr w:rsidR="00E26945" w:rsidRPr="00F13073" w14:paraId="2502CA71" w14:textId="77777777" w:rsidTr="00712261">
        <w:trPr>
          <w:cantSplit/>
          <w:tblHeader/>
        </w:trPr>
        <w:tc>
          <w:tcPr>
            <w:tcW w:w="3213" w:type="dxa"/>
            <w:tcBorders>
              <w:top w:val="single" w:sz="4" w:space="0" w:color="auto"/>
              <w:left w:val="single" w:sz="4" w:space="0" w:color="auto"/>
            </w:tcBorders>
          </w:tcPr>
          <w:p w14:paraId="02ACF8D2" w14:textId="77777777" w:rsidR="00E26945" w:rsidRPr="00F13073" w:rsidRDefault="00E26945" w:rsidP="00D33426">
            <w:pPr>
              <w:suppressAutoHyphens/>
              <w:jc w:val="right"/>
            </w:pPr>
            <w:r w:rsidRPr="00F13073">
              <w:t>Zmiana średniej skorygowanej (95% CI)</w:t>
            </w:r>
          </w:p>
        </w:tc>
        <w:tc>
          <w:tcPr>
            <w:tcW w:w="4472" w:type="dxa"/>
            <w:gridSpan w:val="2"/>
            <w:tcBorders>
              <w:top w:val="single" w:sz="4" w:space="0" w:color="auto"/>
              <w:left w:val="single" w:sz="4" w:space="0" w:color="auto"/>
            </w:tcBorders>
          </w:tcPr>
          <w:p w14:paraId="40D243FD" w14:textId="77777777" w:rsidR="00E26945" w:rsidRPr="00F13073" w:rsidRDefault="00E26945" w:rsidP="00D33426">
            <w:pPr>
              <w:suppressAutoHyphens/>
              <w:jc w:val="center"/>
            </w:pPr>
            <w:r w:rsidRPr="00F13073">
              <w:t>-1,5 (-1,8; -1,1)</w:t>
            </w:r>
          </w:p>
        </w:tc>
        <w:tc>
          <w:tcPr>
            <w:tcW w:w="1387" w:type="dxa"/>
            <w:tcBorders>
              <w:top w:val="single" w:sz="4" w:space="0" w:color="auto"/>
              <w:left w:val="single" w:sz="4" w:space="0" w:color="auto"/>
              <w:right w:val="single" w:sz="4" w:space="0" w:color="auto"/>
            </w:tcBorders>
          </w:tcPr>
          <w:p w14:paraId="5D87277D" w14:textId="77777777" w:rsidR="00E26945" w:rsidRPr="00F13073" w:rsidRDefault="00E26945" w:rsidP="00D33426">
            <w:pPr>
              <w:suppressAutoHyphens/>
              <w:jc w:val="center"/>
            </w:pPr>
            <w:r w:rsidRPr="00F13073">
              <w:t>&lt;0,0001</w:t>
            </w:r>
          </w:p>
        </w:tc>
      </w:tr>
      <w:tr w:rsidR="00E26945" w:rsidRPr="00F13073" w14:paraId="32150041" w14:textId="77777777" w:rsidTr="00712261">
        <w:trPr>
          <w:cantSplit/>
          <w:tblHeader/>
        </w:trPr>
        <w:tc>
          <w:tcPr>
            <w:tcW w:w="9072" w:type="dxa"/>
            <w:gridSpan w:val="4"/>
            <w:tcBorders>
              <w:top w:val="single" w:sz="4" w:space="0" w:color="auto"/>
              <w:left w:val="single" w:sz="4" w:space="0" w:color="auto"/>
              <w:right w:val="single" w:sz="4" w:space="0" w:color="auto"/>
            </w:tcBorders>
          </w:tcPr>
          <w:p w14:paraId="771D1755" w14:textId="77777777" w:rsidR="00E26945" w:rsidRPr="00F13073" w:rsidRDefault="00E26945" w:rsidP="008B4C50">
            <w:pPr>
              <w:keepNext/>
              <w:suppressAutoHyphens/>
              <w:rPr>
                <w:b/>
                <w:bCs/>
              </w:rPr>
            </w:pPr>
            <w:r w:rsidRPr="00F13073">
              <w:rPr>
                <w:b/>
                <w:bCs/>
              </w:rPr>
              <w:t xml:space="preserve">Drugorzędowy punkt końcowy – procent osób reagujących na terapię w 24. tygodniu </w:t>
            </w:r>
            <w:r w:rsidRPr="00F13073">
              <w:rPr>
                <w:b/>
                <w:bCs/>
                <w:vertAlign w:val="superscript"/>
              </w:rPr>
              <w:t>(b)</w:t>
            </w:r>
          </w:p>
        </w:tc>
      </w:tr>
      <w:tr w:rsidR="00E26945" w:rsidRPr="00F13073" w14:paraId="037267B9" w14:textId="77777777" w:rsidTr="00712261">
        <w:trPr>
          <w:cantSplit/>
          <w:tblHeader/>
        </w:trPr>
        <w:tc>
          <w:tcPr>
            <w:tcW w:w="3213" w:type="dxa"/>
            <w:tcBorders>
              <w:top w:val="single" w:sz="4" w:space="0" w:color="auto"/>
              <w:left w:val="single" w:sz="4" w:space="0" w:color="auto"/>
            </w:tcBorders>
          </w:tcPr>
          <w:p w14:paraId="6AB79880" w14:textId="77777777" w:rsidR="00E26945" w:rsidRPr="00F13073" w:rsidRDefault="00E26945" w:rsidP="00D33426">
            <w:pPr>
              <w:keepNext/>
              <w:suppressAutoHyphens/>
              <w:jc w:val="right"/>
            </w:pPr>
            <w:r w:rsidRPr="00F13073">
              <w:t>DAS28 &lt; 2,6, n (%)</w:t>
            </w:r>
          </w:p>
        </w:tc>
        <w:tc>
          <w:tcPr>
            <w:tcW w:w="2163" w:type="dxa"/>
            <w:tcBorders>
              <w:top w:val="single" w:sz="4" w:space="0" w:color="auto"/>
              <w:left w:val="single" w:sz="4" w:space="0" w:color="auto"/>
            </w:tcBorders>
          </w:tcPr>
          <w:p w14:paraId="20624D01" w14:textId="77777777" w:rsidR="00E26945" w:rsidRPr="00F13073" w:rsidRDefault="00E26945" w:rsidP="00D33426">
            <w:pPr>
              <w:keepNext/>
              <w:suppressAutoHyphens/>
              <w:jc w:val="center"/>
            </w:pPr>
            <w:r w:rsidRPr="00F13073">
              <w:t>17 (10,5)</w:t>
            </w:r>
          </w:p>
        </w:tc>
        <w:tc>
          <w:tcPr>
            <w:tcW w:w="2309" w:type="dxa"/>
            <w:tcBorders>
              <w:top w:val="single" w:sz="4" w:space="0" w:color="auto"/>
              <w:left w:val="single" w:sz="4" w:space="0" w:color="auto"/>
            </w:tcBorders>
          </w:tcPr>
          <w:p w14:paraId="7630E56B" w14:textId="77777777" w:rsidR="00E26945" w:rsidRPr="00F13073" w:rsidRDefault="00E26945" w:rsidP="00D33426">
            <w:pPr>
              <w:keepNext/>
              <w:suppressAutoHyphens/>
              <w:jc w:val="center"/>
            </w:pPr>
            <w:r w:rsidRPr="00F13073">
              <w:t>65 (39,9)</w:t>
            </w:r>
          </w:p>
        </w:tc>
        <w:tc>
          <w:tcPr>
            <w:tcW w:w="1387" w:type="dxa"/>
            <w:tcBorders>
              <w:top w:val="single" w:sz="4" w:space="0" w:color="auto"/>
              <w:left w:val="single" w:sz="4" w:space="0" w:color="auto"/>
              <w:right w:val="single" w:sz="4" w:space="0" w:color="auto"/>
            </w:tcBorders>
          </w:tcPr>
          <w:p w14:paraId="4CDE33B4" w14:textId="77777777" w:rsidR="00E26945" w:rsidRPr="00F13073" w:rsidRDefault="00E26945" w:rsidP="00D33426">
            <w:pPr>
              <w:keepNext/>
              <w:suppressAutoHyphens/>
              <w:jc w:val="center"/>
            </w:pPr>
            <w:r w:rsidRPr="00F13073">
              <w:t>&lt;0,0001</w:t>
            </w:r>
          </w:p>
        </w:tc>
      </w:tr>
      <w:tr w:rsidR="00E26945" w:rsidRPr="00F13073" w14:paraId="3F7DDCC9" w14:textId="77777777" w:rsidTr="00712261">
        <w:trPr>
          <w:cantSplit/>
          <w:tblHeader/>
        </w:trPr>
        <w:tc>
          <w:tcPr>
            <w:tcW w:w="3213" w:type="dxa"/>
            <w:tcBorders>
              <w:top w:val="single" w:sz="4" w:space="0" w:color="auto"/>
              <w:left w:val="single" w:sz="4" w:space="0" w:color="auto"/>
            </w:tcBorders>
          </w:tcPr>
          <w:p w14:paraId="5701C3D3" w14:textId="77777777" w:rsidR="00E26945" w:rsidRPr="00F13073" w:rsidRDefault="00E26945" w:rsidP="00D33426">
            <w:pPr>
              <w:keepNext/>
              <w:suppressAutoHyphens/>
              <w:jc w:val="right"/>
            </w:pPr>
            <w:r w:rsidRPr="00F13073">
              <w:t>DAS28 ≤ 3,2, n (%)</w:t>
            </w:r>
          </w:p>
        </w:tc>
        <w:tc>
          <w:tcPr>
            <w:tcW w:w="2163" w:type="dxa"/>
            <w:tcBorders>
              <w:top w:val="single" w:sz="4" w:space="0" w:color="auto"/>
              <w:left w:val="single" w:sz="4" w:space="0" w:color="auto"/>
            </w:tcBorders>
          </w:tcPr>
          <w:p w14:paraId="79C26884" w14:textId="77777777" w:rsidR="00E26945" w:rsidRPr="00F13073" w:rsidRDefault="00E26945" w:rsidP="00D33426">
            <w:pPr>
              <w:keepNext/>
              <w:suppressAutoHyphens/>
              <w:jc w:val="center"/>
            </w:pPr>
            <w:r w:rsidRPr="00F13073">
              <w:t>32 (19,8)</w:t>
            </w:r>
          </w:p>
        </w:tc>
        <w:tc>
          <w:tcPr>
            <w:tcW w:w="2309" w:type="dxa"/>
            <w:tcBorders>
              <w:top w:val="single" w:sz="4" w:space="0" w:color="auto"/>
              <w:left w:val="single" w:sz="4" w:space="0" w:color="auto"/>
            </w:tcBorders>
          </w:tcPr>
          <w:p w14:paraId="32307B40" w14:textId="77777777" w:rsidR="00E26945" w:rsidRPr="00F13073" w:rsidRDefault="00E26945" w:rsidP="00D33426">
            <w:pPr>
              <w:keepNext/>
              <w:suppressAutoHyphens/>
              <w:jc w:val="center"/>
            </w:pPr>
            <w:r w:rsidRPr="00F13073">
              <w:t>84 (51,5)</w:t>
            </w:r>
          </w:p>
        </w:tc>
        <w:tc>
          <w:tcPr>
            <w:tcW w:w="1387" w:type="dxa"/>
            <w:tcBorders>
              <w:top w:val="single" w:sz="4" w:space="0" w:color="auto"/>
              <w:left w:val="single" w:sz="4" w:space="0" w:color="auto"/>
              <w:right w:val="single" w:sz="4" w:space="0" w:color="auto"/>
            </w:tcBorders>
          </w:tcPr>
          <w:p w14:paraId="08F5244A" w14:textId="77777777" w:rsidR="00E26945" w:rsidRPr="00F13073" w:rsidRDefault="00E26945" w:rsidP="00D33426">
            <w:pPr>
              <w:keepNext/>
              <w:suppressAutoHyphens/>
              <w:jc w:val="center"/>
            </w:pPr>
            <w:r w:rsidRPr="00F13073">
              <w:t>&lt;0,0001</w:t>
            </w:r>
          </w:p>
        </w:tc>
      </w:tr>
      <w:tr w:rsidR="00E26945" w:rsidRPr="00F13073" w14:paraId="2252E325" w14:textId="77777777" w:rsidTr="00712261">
        <w:trPr>
          <w:cantSplit/>
          <w:tblHeader/>
        </w:trPr>
        <w:tc>
          <w:tcPr>
            <w:tcW w:w="3213" w:type="dxa"/>
            <w:tcBorders>
              <w:top w:val="single" w:sz="4" w:space="0" w:color="auto"/>
              <w:left w:val="single" w:sz="4" w:space="0" w:color="auto"/>
            </w:tcBorders>
          </w:tcPr>
          <w:p w14:paraId="5A8BE3CF" w14:textId="77777777" w:rsidR="00E26945" w:rsidRPr="00F13073" w:rsidRDefault="00E26945" w:rsidP="00D33426">
            <w:pPr>
              <w:keepNext/>
              <w:suppressAutoHyphens/>
              <w:jc w:val="right"/>
            </w:pPr>
            <w:r w:rsidRPr="00F13073">
              <w:t>Odpowiedź ACR20, n (%)</w:t>
            </w:r>
          </w:p>
        </w:tc>
        <w:tc>
          <w:tcPr>
            <w:tcW w:w="2163" w:type="dxa"/>
            <w:tcBorders>
              <w:top w:val="single" w:sz="4" w:space="0" w:color="auto"/>
              <w:left w:val="single" w:sz="4" w:space="0" w:color="auto"/>
            </w:tcBorders>
          </w:tcPr>
          <w:p w14:paraId="43AF5F68" w14:textId="77777777" w:rsidR="00E26945" w:rsidRPr="00F13073" w:rsidRDefault="00E26945" w:rsidP="00D33426">
            <w:pPr>
              <w:keepNext/>
              <w:suppressAutoHyphens/>
              <w:jc w:val="center"/>
            </w:pPr>
            <w:r w:rsidRPr="00F13073">
              <w:t>80 (49,4)</w:t>
            </w:r>
          </w:p>
        </w:tc>
        <w:tc>
          <w:tcPr>
            <w:tcW w:w="2309" w:type="dxa"/>
            <w:tcBorders>
              <w:top w:val="single" w:sz="4" w:space="0" w:color="auto"/>
              <w:left w:val="single" w:sz="4" w:space="0" w:color="auto"/>
            </w:tcBorders>
          </w:tcPr>
          <w:p w14:paraId="39EBDF24" w14:textId="77777777" w:rsidR="00E26945" w:rsidRPr="00F13073" w:rsidRDefault="00E26945" w:rsidP="00D33426">
            <w:pPr>
              <w:keepNext/>
              <w:suppressAutoHyphens/>
              <w:jc w:val="center"/>
            </w:pPr>
            <w:r w:rsidRPr="00F13073">
              <w:t>106 (65,0)</w:t>
            </w:r>
          </w:p>
        </w:tc>
        <w:tc>
          <w:tcPr>
            <w:tcW w:w="1387" w:type="dxa"/>
            <w:tcBorders>
              <w:top w:val="single" w:sz="4" w:space="0" w:color="auto"/>
              <w:left w:val="single" w:sz="4" w:space="0" w:color="auto"/>
              <w:right w:val="single" w:sz="4" w:space="0" w:color="auto"/>
            </w:tcBorders>
          </w:tcPr>
          <w:p w14:paraId="28DC310F" w14:textId="77777777" w:rsidR="00E26945" w:rsidRPr="00F13073" w:rsidRDefault="00E26945" w:rsidP="00D33426">
            <w:pPr>
              <w:keepNext/>
              <w:suppressAutoHyphens/>
              <w:jc w:val="center"/>
            </w:pPr>
            <w:r w:rsidRPr="00F13073">
              <w:t>0,0038</w:t>
            </w:r>
          </w:p>
        </w:tc>
      </w:tr>
      <w:tr w:rsidR="00E26945" w:rsidRPr="00F13073" w14:paraId="74BE8571" w14:textId="77777777" w:rsidTr="00712261">
        <w:trPr>
          <w:cantSplit/>
          <w:tblHeader/>
        </w:trPr>
        <w:tc>
          <w:tcPr>
            <w:tcW w:w="3213" w:type="dxa"/>
            <w:tcBorders>
              <w:top w:val="single" w:sz="4" w:space="0" w:color="auto"/>
              <w:left w:val="single" w:sz="4" w:space="0" w:color="auto"/>
            </w:tcBorders>
          </w:tcPr>
          <w:p w14:paraId="60E0BBFC" w14:textId="77777777" w:rsidR="00E26945" w:rsidRPr="00F13073" w:rsidRDefault="00E26945" w:rsidP="00D33426">
            <w:pPr>
              <w:keepNext/>
              <w:suppressAutoHyphens/>
              <w:jc w:val="right"/>
            </w:pPr>
            <w:r w:rsidRPr="00F13073">
              <w:t>Odpowiedź ACR50, n (%)</w:t>
            </w:r>
          </w:p>
        </w:tc>
        <w:tc>
          <w:tcPr>
            <w:tcW w:w="2163" w:type="dxa"/>
            <w:tcBorders>
              <w:top w:val="single" w:sz="4" w:space="0" w:color="auto"/>
              <w:left w:val="single" w:sz="4" w:space="0" w:color="auto"/>
            </w:tcBorders>
          </w:tcPr>
          <w:p w14:paraId="28989F92" w14:textId="77777777" w:rsidR="00E26945" w:rsidRPr="00F13073" w:rsidRDefault="00E26945" w:rsidP="00D33426">
            <w:pPr>
              <w:keepNext/>
              <w:suppressAutoHyphens/>
              <w:jc w:val="center"/>
            </w:pPr>
            <w:r w:rsidRPr="00F13073">
              <w:t>45 (27,8)</w:t>
            </w:r>
          </w:p>
        </w:tc>
        <w:tc>
          <w:tcPr>
            <w:tcW w:w="2309" w:type="dxa"/>
            <w:tcBorders>
              <w:top w:val="single" w:sz="4" w:space="0" w:color="auto"/>
              <w:left w:val="single" w:sz="4" w:space="0" w:color="auto"/>
            </w:tcBorders>
          </w:tcPr>
          <w:p w14:paraId="022E6289" w14:textId="77777777" w:rsidR="00E26945" w:rsidRPr="00F13073" w:rsidRDefault="00E26945" w:rsidP="00D33426">
            <w:pPr>
              <w:keepNext/>
              <w:suppressAutoHyphens/>
              <w:jc w:val="center"/>
            </w:pPr>
            <w:r w:rsidRPr="00F13073">
              <w:t>77 (47,2)</w:t>
            </w:r>
          </w:p>
        </w:tc>
        <w:tc>
          <w:tcPr>
            <w:tcW w:w="1387" w:type="dxa"/>
            <w:tcBorders>
              <w:top w:val="single" w:sz="4" w:space="0" w:color="auto"/>
              <w:left w:val="single" w:sz="4" w:space="0" w:color="auto"/>
              <w:right w:val="single" w:sz="4" w:space="0" w:color="auto"/>
            </w:tcBorders>
          </w:tcPr>
          <w:p w14:paraId="4886C19D" w14:textId="77777777" w:rsidR="00E26945" w:rsidRPr="00F13073" w:rsidRDefault="00E26945" w:rsidP="00D33426">
            <w:pPr>
              <w:keepNext/>
              <w:suppressAutoHyphens/>
              <w:jc w:val="center"/>
            </w:pPr>
            <w:r w:rsidRPr="00F13073">
              <w:t>0,0002</w:t>
            </w:r>
          </w:p>
        </w:tc>
      </w:tr>
      <w:tr w:rsidR="00E26945" w:rsidRPr="00F13073" w14:paraId="4E40095C" w14:textId="77777777" w:rsidTr="00712261">
        <w:trPr>
          <w:cantSplit/>
          <w:tblHeader/>
        </w:trPr>
        <w:tc>
          <w:tcPr>
            <w:tcW w:w="3213" w:type="dxa"/>
            <w:tcBorders>
              <w:top w:val="single" w:sz="4" w:space="0" w:color="auto"/>
              <w:left w:val="single" w:sz="4" w:space="0" w:color="auto"/>
              <w:bottom w:val="single" w:sz="4" w:space="0" w:color="auto"/>
            </w:tcBorders>
          </w:tcPr>
          <w:p w14:paraId="4C1235FD" w14:textId="77777777" w:rsidR="00E26945" w:rsidRPr="00F13073" w:rsidRDefault="00E26945" w:rsidP="00D33426">
            <w:pPr>
              <w:keepNext/>
              <w:suppressAutoHyphens/>
              <w:jc w:val="right"/>
            </w:pPr>
            <w:r w:rsidRPr="00F13073">
              <w:t>Odpowiedź ACR70, n (%)</w:t>
            </w:r>
          </w:p>
        </w:tc>
        <w:tc>
          <w:tcPr>
            <w:tcW w:w="2163" w:type="dxa"/>
            <w:tcBorders>
              <w:top w:val="single" w:sz="4" w:space="0" w:color="auto"/>
              <w:left w:val="single" w:sz="4" w:space="0" w:color="auto"/>
              <w:bottom w:val="single" w:sz="4" w:space="0" w:color="auto"/>
            </w:tcBorders>
          </w:tcPr>
          <w:p w14:paraId="71AE0126" w14:textId="77777777" w:rsidR="00E26945" w:rsidRPr="00F13073" w:rsidRDefault="00E26945" w:rsidP="00D33426">
            <w:pPr>
              <w:keepNext/>
              <w:suppressAutoHyphens/>
              <w:jc w:val="center"/>
            </w:pPr>
            <w:r w:rsidRPr="00F13073">
              <w:t>29 (17,9)</w:t>
            </w:r>
          </w:p>
        </w:tc>
        <w:tc>
          <w:tcPr>
            <w:tcW w:w="2309" w:type="dxa"/>
            <w:tcBorders>
              <w:top w:val="single" w:sz="4" w:space="0" w:color="auto"/>
              <w:left w:val="single" w:sz="4" w:space="0" w:color="auto"/>
              <w:bottom w:val="single" w:sz="4" w:space="0" w:color="auto"/>
            </w:tcBorders>
          </w:tcPr>
          <w:p w14:paraId="3B6F11A1" w14:textId="77777777" w:rsidR="00E26945" w:rsidRPr="00F13073" w:rsidRDefault="00E26945" w:rsidP="00D33426">
            <w:pPr>
              <w:keepNext/>
              <w:suppressAutoHyphens/>
              <w:jc w:val="center"/>
            </w:pPr>
            <w:r w:rsidRPr="00F13073">
              <w:t>53 (32,5)</w:t>
            </w:r>
          </w:p>
        </w:tc>
        <w:tc>
          <w:tcPr>
            <w:tcW w:w="1387" w:type="dxa"/>
            <w:tcBorders>
              <w:top w:val="single" w:sz="4" w:space="0" w:color="auto"/>
              <w:left w:val="single" w:sz="4" w:space="0" w:color="auto"/>
              <w:bottom w:val="single" w:sz="4" w:space="0" w:color="auto"/>
              <w:right w:val="single" w:sz="4" w:space="0" w:color="auto"/>
            </w:tcBorders>
          </w:tcPr>
          <w:p w14:paraId="2F042D06" w14:textId="77777777" w:rsidR="00E26945" w:rsidRPr="00F13073" w:rsidRDefault="00E26945" w:rsidP="00D33426">
            <w:pPr>
              <w:keepNext/>
              <w:suppressAutoHyphens/>
              <w:jc w:val="center"/>
            </w:pPr>
            <w:r w:rsidRPr="00F13073">
              <w:t>0,0023</w:t>
            </w:r>
          </w:p>
        </w:tc>
      </w:tr>
    </w:tbl>
    <w:p w14:paraId="09B3E185" w14:textId="77777777" w:rsidR="00E26945" w:rsidRPr="00F13073" w:rsidRDefault="00E26945" w:rsidP="008B4C50">
      <w:pPr>
        <w:rPr>
          <w:i/>
          <w:iCs/>
          <w:sz w:val="18"/>
          <w:szCs w:val="18"/>
        </w:rPr>
      </w:pPr>
      <w:r w:rsidRPr="00F13073">
        <w:rPr>
          <w:i/>
          <w:iCs/>
          <w:sz w:val="18"/>
          <w:szCs w:val="18"/>
          <w:vertAlign w:val="superscript"/>
        </w:rPr>
        <w:t>a</w:t>
      </w:r>
      <w:r w:rsidRPr="00F13073">
        <w:rPr>
          <w:i/>
          <w:iCs/>
          <w:sz w:val="18"/>
          <w:szCs w:val="18"/>
        </w:rPr>
        <w:t xml:space="preserve"> wartość p została skorygowana względem obszaru i czasu trwania RZS dla wszystkich punktów końcowych, a także względem wartości wyjściowej dla wszystkich ciągłych punktów końcowych.</w:t>
      </w:r>
    </w:p>
    <w:p w14:paraId="54DF6FA6" w14:textId="4E490E9D" w:rsidR="00E26945" w:rsidRPr="00F13073" w:rsidRDefault="00E26945" w:rsidP="008B4C50">
      <w:pPr>
        <w:rPr>
          <w:i/>
          <w:iCs/>
          <w:sz w:val="18"/>
          <w:szCs w:val="18"/>
        </w:rPr>
      </w:pPr>
      <w:r w:rsidRPr="00F13073">
        <w:rPr>
          <w:i/>
          <w:iCs/>
          <w:sz w:val="18"/>
          <w:szCs w:val="18"/>
          <w:vertAlign w:val="superscript"/>
        </w:rPr>
        <w:t>b</w:t>
      </w:r>
      <w:r w:rsidRPr="00F13073">
        <w:rPr>
          <w:i/>
          <w:iCs/>
          <w:sz w:val="18"/>
          <w:szCs w:val="18"/>
        </w:rPr>
        <w:t xml:space="preserve"> w przypadku brakujących danych zastosowano kwalifikację do grupy braku odpowiedzi. Mnogość kontrolowano za pomocą metody Bonferroniego-Holma</w:t>
      </w:r>
    </w:p>
    <w:p w14:paraId="1ACB2652" w14:textId="77777777" w:rsidR="002945E6" w:rsidRPr="00F13073" w:rsidRDefault="002945E6" w:rsidP="008B4C50"/>
    <w:p w14:paraId="7E89EAA8" w14:textId="4AE1A976" w:rsidR="002945E6" w:rsidRPr="00F13073" w:rsidRDefault="00F87C88" w:rsidP="008B4C50">
      <w:pPr>
        <w:rPr>
          <w:rStyle w:val="Char"/>
          <w:rFonts w:eastAsia="DengXian"/>
        </w:rPr>
      </w:pPr>
      <w:r w:rsidRPr="00F13073">
        <w:rPr>
          <w:rStyle w:val="Char"/>
          <w:rFonts w:eastAsia="DengXian"/>
        </w:rPr>
        <w:t xml:space="preserve">Ogólny profil działań niepożądanych </w:t>
      </w:r>
      <w:r w:rsidR="00C863AE" w:rsidRPr="00F13073">
        <w:rPr>
          <w:rStyle w:val="Char"/>
          <w:rFonts w:eastAsia="DengXian"/>
        </w:rPr>
        <w:t xml:space="preserve">tocilizumabu </w:t>
      </w:r>
      <w:r w:rsidRPr="00F13073">
        <w:rPr>
          <w:rStyle w:val="Char"/>
          <w:rFonts w:eastAsia="DengXian"/>
        </w:rPr>
        <w:t>i adalimumabu był zbliżony. Odsetek pacjentów, u których wystąpiły ciężkie działania niepożądane, był zbliżony w obu grupach (</w:t>
      </w:r>
      <w:r w:rsidR="00C863AE" w:rsidRPr="00F13073">
        <w:rPr>
          <w:rStyle w:val="Char"/>
          <w:rFonts w:eastAsia="DengXian"/>
        </w:rPr>
        <w:t>tocilizumab</w:t>
      </w:r>
      <w:r w:rsidRPr="00F13073">
        <w:rPr>
          <w:rStyle w:val="Char"/>
          <w:rFonts w:eastAsia="DengXian"/>
        </w:rPr>
        <w:t xml:space="preserve"> 11,7%, adalimumab 9,9%). Rodzaj działań niepożądanych występujących u chorych leczonych </w:t>
      </w:r>
      <w:r w:rsidR="00C863AE" w:rsidRPr="00F13073">
        <w:rPr>
          <w:rStyle w:val="Char"/>
          <w:rFonts w:eastAsia="DengXian"/>
        </w:rPr>
        <w:t xml:space="preserve">tocilizumabem </w:t>
      </w:r>
      <w:r w:rsidRPr="00F13073">
        <w:rPr>
          <w:rStyle w:val="Char"/>
          <w:rFonts w:eastAsia="DengXian"/>
        </w:rPr>
        <w:t xml:space="preserve">był spójny z wcześniej poznanym profilem bezpieczeństwa stosowania tocilizumabu i działania niepożądane były zgłaszane z podobną częstością w porównaniu do opisanych w Tabeli 1. Większą częstość występowania zakażeń i zarażeń pasożytniczych zgłaszano u chorych leczonych </w:t>
      </w:r>
      <w:r w:rsidR="00C863AE" w:rsidRPr="00F13073">
        <w:rPr>
          <w:rStyle w:val="Char"/>
          <w:rFonts w:eastAsia="DengXian"/>
        </w:rPr>
        <w:t>tocilizumabem</w:t>
      </w:r>
      <w:r w:rsidRPr="00F13073">
        <w:rPr>
          <w:rStyle w:val="Char"/>
          <w:rFonts w:eastAsia="DengXian"/>
        </w:rPr>
        <w:t xml:space="preserve"> (48% vs. 42%), bez różnic w częstości występowania ciężkich zakażeń (3.1%). Oba leki badane powodowały takie same rodzaje zmian laboratoryjnych parametrów bezpieczeństwa (spadek liczby granulocytów obojętnochłonnych i płytek, zwiększenie AlAT, AspAT oraz wzrost poziomu lipidów), jednak wielkość zmian i częstość występowania istotnych nieprawidłowości były większe w przypadku </w:t>
      </w:r>
      <w:r w:rsidR="00C863AE" w:rsidRPr="00F13073">
        <w:rPr>
          <w:rStyle w:val="Char"/>
          <w:rFonts w:eastAsia="DengXian"/>
        </w:rPr>
        <w:t xml:space="preserve">tocilizumabu </w:t>
      </w:r>
      <w:r w:rsidRPr="00F13073">
        <w:rPr>
          <w:rStyle w:val="Char"/>
          <w:rFonts w:eastAsia="DengXian"/>
        </w:rPr>
        <w:t xml:space="preserve">w porównaniu z adalimumabem. U czterech (2,5%) pacjentów z grupy przyjmującej </w:t>
      </w:r>
      <w:r w:rsidR="0044218D" w:rsidRPr="00F13073">
        <w:rPr>
          <w:rStyle w:val="Char"/>
          <w:rFonts w:eastAsia="DengXian"/>
        </w:rPr>
        <w:t>tocilizumab</w:t>
      </w:r>
      <w:r w:rsidRPr="00F13073">
        <w:rPr>
          <w:rStyle w:val="Char"/>
          <w:rFonts w:eastAsia="DengXian"/>
        </w:rPr>
        <w:t xml:space="preserve"> i dwóch (1,2%) pacjentów z grupy przyjmującej adalimumab wystąpiło zmniejszenie liczby granulocytów obojętnochłonnych stopnia 3. lub 4. wg CTC. U jedenastu (6,8%) pacjentów z grupy przyjmującej </w:t>
      </w:r>
      <w:r w:rsidR="0044218D" w:rsidRPr="00F13073">
        <w:rPr>
          <w:rStyle w:val="Char"/>
          <w:rFonts w:eastAsia="DengXian"/>
        </w:rPr>
        <w:t>tocilizumab</w:t>
      </w:r>
      <w:r w:rsidR="0044218D" w:rsidRPr="00F13073" w:rsidDel="0044218D">
        <w:rPr>
          <w:rStyle w:val="Char"/>
          <w:rFonts w:eastAsia="DengXian"/>
        </w:rPr>
        <w:t xml:space="preserve"> </w:t>
      </w:r>
      <w:r w:rsidRPr="00F13073">
        <w:rPr>
          <w:rStyle w:val="Char"/>
          <w:rFonts w:eastAsia="DengXian"/>
        </w:rPr>
        <w:t xml:space="preserve">i pięciu (3,1%) pacjentów z grupy przyjmującej adalimumab wystąpiło zwiększenie AlAT stopnia 2. lub wyższego wg CTC. Średnie zwiększenie stężenia LDL względem wartości początkowej wynosiło 0,64 mmol/l (25 mg/dl) u pacjentów przyjmujących </w:t>
      </w:r>
      <w:r w:rsidR="0044218D" w:rsidRPr="00F13073">
        <w:rPr>
          <w:rStyle w:val="Char"/>
          <w:rFonts w:eastAsia="DengXian"/>
        </w:rPr>
        <w:t>tocilizumab</w:t>
      </w:r>
      <w:r w:rsidR="0044218D" w:rsidRPr="00F13073" w:rsidDel="0044218D">
        <w:rPr>
          <w:rStyle w:val="Char"/>
          <w:rFonts w:eastAsia="DengXian"/>
        </w:rPr>
        <w:t xml:space="preserve"> </w:t>
      </w:r>
      <w:r w:rsidRPr="00F13073">
        <w:rPr>
          <w:rStyle w:val="Char"/>
          <w:rFonts w:eastAsia="DengXian"/>
        </w:rPr>
        <w:t xml:space="preserve">oraz 0,19 mmol/l (7 mg/dl) u pacjentów przyjmujących adalimumab. Profil bezpieczeństwa obserwowany w grupie przyjmującej </w:t>
      </w:r>
      <w:r w:rsidR="0044218D" w:rsidRPr="00F13073">
        <w:rPr>
          <w:rStyle w:val="Char"/>
          <w:rFonts w:eastAsia="DengXian"/>
        </w:rPr>
        <w:t>tocilizumab</w:t>
      </w:r>
      <w:r w:rsidR="0044218D" w:rsidRPr="00F13073" w:rsidDel="0044218D">
        <w:rPr>
          <w:rStyle w:val="Char"/>
          <w:rFonts w:eastAsia="DengXian"/>
        </w:rPr>
        <w:t xml:space="preserve"> </w:t>
      </w:r>
      <w:r w:rsidRPr="00F13073">
        <w:rPr>
          <w:rStyle w:val="Char"/>
          <w:rFonts w:eastAsia="DengXian"/>
        </w:rPr>
        <w:t xml:space="preserve">był zbliżony do dotychczas znanego profilu </w:t>
      </w:r>
      <w:r w:rsidR="0044218D" w:rsidRPr="00F13073">
        <w:rPr>
          <w:rStyle w:val="Char"/>
          <w:rFonts w:eastAsia="DengXian"/>
        </w:rPr>
        <w:t>tocilizumabu</w:t>
      </w:r>
      <w:r w:rsidRPr="00F13073">
        <w:rPr>
          <w:rStyle w:val="Char"/>
          <w:rFonts w:eastAsia="DengXian"/>
        </w:rPr>
        <w:t>; nie zaobserwowano żadnych nowych lub nieoczekiwanych działań niepożądanych (patrz Tabela 1).</w:t>
      </w:r>
    </w:p>
    <w:p w14:paraId="0BFC2B31" w14:textId="77777777" w:rsidR="00F87C88" w:rsidRPr="00F13073" w:rsidRDefault="00F87C88" w:rsidP="008B4C50"/>
    <w:p w14:paraId="6411A986" w14:textId="77777777" w:rsidR="001E0975" w:rsidRPr="00F13073" w:rsidRDefault="001721B1" w:rsidP="008B4C50">
      <w:pPr>
        <w:keepNext/>
        <w:ind w:left="567" w:hanging="567"/>
        <w:rPr>
          <w:b/>
          <w:bCs/>
        </w:rPr>
      </w:pPr>
      <w:r w:rsidRPr="00F13073">
        <w:rPr>
          <w:b/>
          <w:bCs/>
        </w:rPr>
        <w:lastRenderedPageBreak/>
        <w:t>5.2</w:t>
      </w:r>
      <w:r w:rsidRPr="00F13073">
        <w:rPr>
          <w:b/>
          <w:bCs/>
        </w:rPr>
        <w:tab/>
      </w:r>
      <w:r w:rsidR="00F87C88" w:rsidRPr="00F13073">
        <w:rPr>
          <w:rStyle w:val="Char"/>
          <w:rFonts w:eastAsia="DengXian"/>
          <w:b/>
          <w:bCs/>
        </w:rPr>
        <w:t>Właściwości farmakokinetyczne</w:t>
      </w:r>
    </w:p>
    <w:p w14:paraId="14A178C3" w14:textId="77777777" w:rsidR="002945E6" w:rsidRPr="00F13073" w:rsidRDefault="002945E6" w:rsidP="008B4C50">
      <w:pPr>
        <w:keepNext/>
        <w:ind w:left="567" w:hanging="567"/>
        <w:rPr>
          <w:b/>
          <w:bCs/>
        </w:rPr>
      </w:pPr>
    </w:p>
    <w:p w14:paraId="11A286B7" w14:textId="2709EC97" w:rsidR="00F87C88" w:rsidRPr="00F13073" w:rsidRDefault="00F87C88" w:rsidP="008B4C50">
      <w:pPr>
        <w:pStyle w:val="a4"/>
        <w:widowControl/>
        <w:spacing w:after="0"/>
        <w:rPr>
          <w:rStyle w:val="Char"/>
        </w:rPr>
      </w:pPr>
      <w:r w:rsidRPr="00F13073">
        <w:rPr>
          <w:rStyle w:val="Char"/>
        </w:rPr>
        <w:t xml:space="preserve">Farmakokinetykę </w:t>
      </w:r>
      <w:r w:rsidR="00222D86" w:rsidRPr="00F13073">
        <w:rPr>
          <w:rStyle w:val="Char"/>
        </w:rPr>
        <w:t xml:space="preserve">tocilizumabu </w:t>
      </w:r>
      <w:r w:rsidRPr="00F13073">
        <w:rPr>
          <w:rStyle w:val="Char"/>
        </w:rPr>
        <w:t xml:space="preserve">charakteryzuje nieliniowa eliminacja będąca połączeniem klirensu liniowego i eliminacji opisanej równaniem Machaelisa-Menten. Nieliniowa część eliminacji </w:t>
      </w:r>
      <w:r w:rsidR="00222D86" w:rsidRPr="00F13073">
        <w:rPr>
          <w:rStyle w:val="Char"/>
        </w:rPr>
        <w:t xml:space="preserve">tocilizumabu </w:t>
      </w:r>
      <w:r w:rsidRPr="00F13073">
        <w:rPr>
          <w:rStyle w:val="Char"/>
        </w:rPr>
        <w:t xml:space="preserve">prowadzi do zwiększenia ekspozycji, w stopniu większym niż proporcjonalnym do dawki. Parametry farmakokinetyczne </w:t>
      </w:r>
      <w:r w:rsidR="00222D86" w:rsidRPr="00F13073">
        <w:rPr>
          <w:rStyle w:val="Char"/>
        </w:rPr>
        <w:t xml:space="preserve">tocilizumabu </w:t>
      </w:r>
      <w:r w:rsidRPr="00F13073">
        <w:rPr>
          <w:rStyle w:val="Char"/>
        </w:rPr>
        <w:t xml:space="preserve">nie zmieniają się w czasie. Z uwagi na zależność klirensu całkowitego od stężenia </w:t>
      </w:r>
      <w:r w:rsidR="00222D86" w:rsidRPr="00F13073">
        <w:rPr>
          <w:rStyle w:val="Char"/>
        </w:rPr>
        <w:t xml:space="preserve">tocilizumabu </w:t>
      </w:r>
      <w:r w:rsidRPr="00F13073">
        <w:rPr>
          <w:rStyle w:val="Char"/>
        </w:rPr>
        <w:t xml:space="preserve">w surowicy, okres półtrwania </w:t>
      </w:r>
      <w:r w:rsidR="00222D86" w:rsidRPr="00F13073">
        <w:rPr>
          <w:rStyle w:val="Char"/>
        </w:rPr>
        <w:t xml:space="preserve">tocilizumabu </w:t>
      </w:r>
      <w:r w:rsidRPr="00F13073">
        <w:rPr>
          <w:rStyle w:val="Char"/>
        </w:rPr>
        <w:t>jest również zależny od stężenia i różni się w zależności od stężenia w surowicy. Analizy farmakokinetyki populacyjnej we wszystkich dotychczas przebadanych populacjach wskazują na brak związku pomiędzy klirensem pozornym a obecnością przeciwciał przeciwlekowych.</w:t>
      </w:r>
    </w:p>
    <w:p w14:paraId="2316E4F6" w14:textId="77777777" w:rsidR="00F87C88" w:rsidRPr="00F13073" w:rsidRDefault="00F87C88" w:rsidP="008B4C50">
      <w:pPr>
        <w:pStyle w:val="a4"/>
        <w:widowControl/>
        <w:spacing w:after="0"/>
      </w:pPr>
    </w:p>
    <w:p w14:paraId="405A79F9" w14:textId="77777777" w:rsidR="00F87C88" w:rsidRPr="00F13073" w:rsidRDefault="00F87C88" w:rsidP="008B4C50">
      <w:pPr>
        <w:pStyle w:val="a4"/>
        <w:widowControl/>
        <w:spacing w:after="0"/>
      </w:pPr>
      <w:r w:rsidRPr="00F13073">
        <w:rPr>
          <w:rStyle w:val="Char"/>
          <w:u w:val="single"/>
        </w:rPr>
        <w:t>RZS</w:t>
      </w:r>
    </w:p>
    <w:p w14:paraId="6A061FAB" w14:textId="77777777" w:rsidR="00F87C88" w:rsidRPr="00F13073" w:rsidRDefault="00F87C88" w:rsidP="008B4C50">
      <w:pPr>
        <w:pStyle w:val="a4"/>
        <w:widowControl/>
        <w:spacing w:after="0"/>
      </w:pPr>
      <w:r w:rsidRPr="00F13073">
        <w:rPr>
          <w:rStyle w:val="Char"/>
          <w:u w:val="single"/>
        </w:rPr>
        <w:t>Podanie dożylne</w:t>
      </w:r>
    </w:p>
    <w:p w14:paraId="07F9D7A3" w14:textId="16275C1F" w:rsidR="00F87C88" w:rsidRPr="00F13073" w:rsidRDefault="00F87C88" w:rsidP="00880192">
      <w:pPr>
        <w:pStyle w:val="a4"/>
        <w:widowControl/>
        <w:spacing w:after="0"/>
        <w:rPr>
          <w:rStyle w:val="Char"/>
        </w:rPr>
      </w:pPr>
      <w:r w:rsidRPr="00F13073">
        <w:rPr>
          <w:rStyle w:val="Char"/>
        </w:rPr>
        <w:t xml:space="preserve">Właściwości farmakokinetyczne </w:t>
      </w:r>
      <w:r w:rsidR="00222D86" w:rsidRPr="00F13073">
        <w:rPr>
          <w:rStyle w:val="Char"/>
        </w:rPr>
        <w:t xml:space="preserve">tocilizumabu </w:t>
      </w:r>
      <w:r w:rsidRPr="00F13073">
        <w:rPr>
          <w:rStyle w:val="Char"/>
        </w:rPr>
        <w:t xml:space="preserve">określono, stosując metody analizy farmakokinetyki populacyjnej, na podstawie zgromadzonych w bazie danych 3552 pacjentów z RZS, którzy otrzymywali </w:t>
      </w:r>
      <w:r w:rsidR="00222D86" w:rsidRPr="00F13073">
        <w:rPr>
          <w:rStyle w:val="Char"/>
        </w:rPr>
        <w:t>tocilizumab</w:t>
      </w:r>
      <w:r w:rsidR="00222D86" w:rsidRPr="00F13073" w:rsidDel="00222D86">
        <w:rPr>
          <w:rStyle w:val="Char"/>
        </w:rPr>
        <w:t xml:space="preserve"> </w:t>
      </w:r>
      <w:r w:rsidRPr="00F13073">
        <w:rPr>
          <w:rStyle w:val="Char"/>
        </w:rPr>
        <w:t>w dawce 4 lub 8</w:t>
      </w:r>
      <w:r w:rsidR="00880192" w:rsidRPr="00F13073">
        <w:rPr>
          <w:rStyle w:val="Char"/>
        </w:rPr>
        <w:t> </w:t>
      </w:r>
      <w:r w:rsidRPr="00F13073">
        <w:rPr>
          <w:rStyle w:val="Char"/>
        </w:rPr>
        <w:t>mg/kg mc. w postaci trwającego godzinę wlewu dożylnego podawanego co 4 tygodnie, w okresie 24 tygodni lub w dawce 162 mg podawanej podskórnie raz na tydzień lub co drugi tydzień przez 24 tygodnie.</w:t>
      </w:r>
    </w:p>
    <w:p w14:paraId="16D24D00" w14:textId="77777777" w:rsidR="00F87C88" w:rsidRPr="00F13073" w:rsidRDefault="00F87C88" w:rsidP="008B4C50">
      <w:pPr>
        <w:pStyle w:val="a4"/>
        <w:widowControl/>
        <w:spacing w:after="0"/>
      </w:pPr>
    </w:p>
    <w:p w14:paraId="1CE0C91A" w14:textId="0E640109" w:rsidR="00F87C88" w:rsidRPr="00F13073" w:rsidRDefault="00F87C88" w:rsidP="008B4C50">
      <w:pPr>
        <w:pStyle w:val="a4"/>
        <w:widowControl/>
        <w:spacing w:after="0"/>
      </w:pPr>
      <w:r w:rsidRPr="00F13073">
        <w:rPr>
          <w:rStyle w:val="Char"/>
        </w:rPr>
        <w:t xml:space="preserve">Następujące parametry (przewidywane średnie ± odchylenie standardowe) zostały oszacowane dla dawki 8 mg/kg mc. </w:t>
      </w:r>
      <w:r w:rsidR="00222D86" w:rsidRPr="00F13073">
        <w:rPr>
          <w:rStyle w:val="Char"/>
        </w:rPr>
        <w:t xml:space="preserve">tocilizumabu </w:t>
      </w:r>
      <w:r w:rsidRPr="00F13073">
        <w:rPr>
          <w:rStyle w:val="Char"/>
        </w:rPr>
        <w:t>podawanego co 4 tygodnie: powierzchnia pola pod krzywą w stanie równowagi (AUC) = 38000 ± 13000 h μg/mL, stężenie minimalne C</w:t>
      </w:r>
      <w:r w:rsidRPr="00F13073">
        <w:rPr>
          <w:rStyle w:val="Char"/>
          <w:vertAlign w:val="subscript"/>
        </w:rPr>
        <w:t>min</w:t>
      </w:r>
      <w:r w:rsidRPr="00F13073">
        <w:rPr>
          <w:rStyle w:val="Char"/>
        </w:rPr>
        <w:t xml:space="preserve"> = 15,9 ± 13,1 μg/mL i stężenie maksymalne (C</w:t>
      </w:r>
      <w:r w:rsidRPr="00F13073">
        <w:rPr>
          <w:rStyle w:val="Char"/>
          <w:vertAlign w:val="subscript"/>
        </w:rPr>
        <w:t>max</w:t>
      </w:r>
      <w:r w:rsidRPr="00F13073">
        <w:rPr>
          <w:rStyle w:val="Char"/>
        </w:rPr>
        <w:t>) = 182 ± 50,4 μg/mL, zaś współczynniki akumulacji dla AUC i C</w:t>
      </w:r>
      <w:r w:rsidRPr="00F13073">
        <w:rPr>
          <w:rStyle w:val="Char"/>
          <w:vertAlign w:val="subscript"/>
        </w:rPr>
        <w:t>max</w:t>
      </w:r>
      <w:r w:rsidRPr="00F13073">
        <w:rPr>
          <w:rStyle w:val="Char"/>
        </w:rPr>
        <w:t xml:space="preserve"> były niskie i wynosiły odpowiednio 1,32 oraz 1,09. Zgodnie z przewidywaniami opartymi na nieliniowym klirensie niższych stężeń, współczynnik akumulacji był wyższy dla C</w:t>
      </w:r>
      <w:r w:rsidRPr="00F13073">
        <w:rPr>
          <w:rStyle w:val="Char"/>
          <w:vertAlign w:val="subscript"/>
        </w:rPr>
        <w:t>min</w:t>
      </w:r>
      <w:r w:rsidRPr="00F13073">
        <w:rPr>
          <w:rStyle w:val="Char"/>
        </w:rPr>
        <w:t xml:space="preserve"> (2,49). Stan równowagi został osiągnięty po pierwszym podaniu leku dla C</w:t>
      </w:r>
      <w:r w:rsidRPr="00F13073">
        <w:rPr>
          <w:rStyle w:val="Char"/>
          <w:vertAlign w:val="subscript"/>
        </w:rPr>
        <w:t>max</w:t>
      </w:r>
      <w:r w:rsidRPr="00F13073">
        <w:rPr>
          <w:rStyle w:val="Char"/>
        </w:rPr>
        <w:t>, oraz odpowiednio po 8 i 20 tygodniach dla AUC i C</w:t>
      </w:r>
      <w:r w:rsidRPr="00F13073">
        <w:rPr>
          <w:rStyle w:val="Char"/>
          <w:vertAlign w:val="subscript"/>
        </w:rPr>
        <w:t>min</w:t>
      </w:r>
      <w:r w:rsidRPr="00F13073">
        <w:rPr>
          <w:rStyle w:val="Char"/>
        </w:rPr>
        <w:t>. Wartości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t>
      </w:r>
      <w:r w:rsidR="00222D86" w:rsidRPr="00F13073">
        <w:rPr>
          <w:rStyle w:val="Char"/>
        </w:rPr>
        <w:t>tocilizumabu</w:t>
      </w:r>
      <w:r w:rsidRPr="00F13073">
        <w:rPr>
          <w:rStyle w:val="Char"/>
        </w:rPr>
        <w:t xml:space="preserve"> zwiększały się wraz ze zwiększeniem masy ciała. Przy masie ciała ≥ 100 kg przewidywane średnie (± SD); powierzchni pola pod krzywą w stanie równowagi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dla </w:t>
      </w:r>
      <w:r w:rsidR="002E4CE4" w:rsidRPr="00F13073">
        <w:rPr>
          <w:rStyle w:val="Char"/>
        </w:rPr>
        <w:t xml:space="preserve">tocilizumabu </w:t>
      </w:r>
      <w:r w:rsidRPr="00F13073">
        <w:rPr>
          <w:rStyle w:val="Char"/>
        </w:rPr>
        <w:t xml:space="preserve">wynosiły odpowiednio: 50000 ± 16800 </w:t>
      </w:r>
      <w:r w:rsidR="003A4FE9" w:rsidRPr="00F13073">
        <w:t>μg•h</w:t>
      </w:r>
      <w:r w:rsidRPr="00F13073">
        <w:rPr>
          <w:rStyle w:val="Char"/>
        </w:rPr>
        <w:t xml:space="preserve">/mL, 24,4 ± 17,5 μg/mL i 226 ± 50,3 μg/mL; były one większe od średnich wartości dla całej populacji pacjentów (tzn. każdej masy ciała) wymienionych powyżej. Krzywa odpowiedzi na leczenie w zależności od dawki </w:t>
      </w:r>
      <w:r w:rsidR="002E4CE4" w:rsidRPr="00F13073">
        <w:rPr>
          <w:rStyle w:val="Char"/>
        </w:rPr>
        <w:t xml:space="preserve">tocilizumabu </w:t>
      </w:r>
      <w:r w:rsidRPr="00F13073">
        <w:rPr>
          <w:rStyle w:val="Char"/>
        </w:rPr>
        <w:t xml:space="preserve">spłaszcza się przy większej ekspozycji. Skutkuje to mniejszym przyrostem efektywności leczenia wraz zwiększaniem się stężenia </w:t>
      </w:r>
      <w:r w:rsidR="002E4CE4" w:rsidRPr="00F13073">
        <w:rPr>
          <w:rStyle w:val="Char"/>
        </w:rPr>
        <w:t>tocilizumabu</w:t>
      </w:r>
      <w:r w:rsidRPr="00F13073">
        <w:rPr>
          <w:rStyle w:val="Char"/>
        </w:rPr>
        <w:t>.</w:t>
      </w:r>
    </w:p>
    <w:p w14:paraId="768FA496" w14:textId="1A2C155B" w:rsidR="00F87C88" w:rsidRPr="00F13073" w:rsidRDefault="00F87C88" w:rsidP="008B4C50">
      <w:pPr>
        <w:pStyle w:val="a4"/>
        <w:widowControl/>
        <w:spacing w:after="0"/>
        <w:rPr>
          <w:rStyle w:val="Char"/>
        </w:rPr>
      </w:pPr>
      <w:r w:rsidRPr="00F13073">
        <w:rPr>
          <w:rStyle w:val="Char"/>
        </w:rPr>
        <w:t xml:space="preserve">U pacjentów otrzymujących </w:t>
      </w:r>
      <w:r w:rsidR="002E4CE4" w:rsidRPr="00F13073">
        <w:rPr>
          <w:rStyle w:val="Char"/>
        </w:rPr>
        <w:t>tocilizumab</w:t>
      </w:r>
      <w:r w:rsidR="002E4CE4" w:rsidRPr="00F13073" w:rsidDel="002E4CE4">
        <w:rPr>
          <w:rStyle w:val="Char"/>
        </w:rPr>
        <w:t xml:space="preserve"> </w:t>
      </w:r>
      <w:r w:rsidRPr="00F13073">
        <w:rPr>
          <w:rStyle w:val="Char"/>
        </w:rPr>
        <w:t xml:space="preserve">w dawce &gt; 800 mg nie wykazano istotnej klinicznie poprawy skuteczności leczenia. Dlatego nie zaleca się podawania </w:t>
      </w:r>
      <w:r w:rsidR="002E4CE4" w:rsidRPr="00F13073">
        <w:rPr>
          <w:rStyle w:val="Char"/>
        </w:rPr>
        <w:t xml:space="preserve">tocilizumabu </w:t>
      </w:r>
      <w:r w:rsidRPr="00F13073">
        <w:rPr>
          <w:rStyle w:val="Char"/>
        </w:rPr>
        <w:t>w dawce przekraczającej 800 mg na infuzję (patrz punkt 4.2).</w:t>
      </w:r>
    </w:p>
    <w:p w14:paraId="7FAA0CE5" w14:textId="77777777" w:rsidR="00F87C88" w:rsidRPr="00F13073" w:rsidRDefault="00F87C88" w:rsidP="008B4C50">
      <w:pPr>
        <w:pStyle w:val="a4"/>
        <w:widowControl/>
        <w:spacing w:after="0"/>
      </w:pPr>
    </w:p>
    <w:p w14:paraId="39BD9784" w14:textId="77777777" w:rsidR="00F87C88" w:rsidRPr="00F13073" w:rsidRDefault="00F87C88" w:rsidP="008B4C50">
      <w:pPr>
        <w:pStyle w:val="a4"/>
        <w:widowControl/>
        <w:spacing w:after="0"/>
      </w:pPr>
      <w:r w:rsidRPr="00F13073">
        <w:rPr>
          <w:rStyle w:val="Char"/>
          <w:u w:val="single"/>
        </w:rPr>
        <w:t>Dystrybucja</w:t>
      </w:r>
    </w:p>
    <w:p w14:paraId="396A7334" w14:textId="77777777" w:rsidR="002945E6" w:rsidRPr="00F13073" w:rsidRDefault="00F87C88" w:rsidP="008B4C50">
      <w:pPr>
        <w:rPr>
          <w:rStyle w:val="Char"/>
          <w:rFonts w:eastAsia="DengXian"/>
        </w:rPr>
      </w:pPr>
      <w:r w:rsidRPr="00F13073">
        <w:rPr>
          <w:rStyle w:val="Char"/>
          <w:rFonts w:eastAsia="DengXian"/>
        </w:rPr>
        <w:t>U chorych na RZS centralna objętość dystrybucji wynosiła 3,72, obwodowa objętość dystrybucji wynosiła 3,35, co w efekcie oznaczało objętość dystrybucji w stanie równowagi wynoszącą 7,07.</w:t>
      </w:r>
    </w:p>
    <w:p w14:paraId="43D259F9" w14:textId="77777777" w:rsidR="00F87C88" w:rsidRPr="00F13073" w:rsidRDefault="00F87C88" w:rsidP="008B4C50"/>
    <w:p w14:paraId="77D27541" w14:textId="77777777" w:rsidR="00F87C88" w:rsidRPr="00F13073" w:rsidRDefault="00F87C88" w:rsidP="008B4C50">
      <w:pPr>
        <w:pStyle w:val="a4"/>
        <w:widowControl/>
        <w:spacing w:after="0"/>
      </w:pPr>
      <w:r w:rsidRPr="00F13073">
        <w:rPr>
          <w:rStyle w:val="Char"/>
          <w:u w:val="single"/>
        </w:rPr>
        <w:t>Eliminacja</w:t>
      </w:r>
    </w:p>
    <w:p w14:paraId="5FE9299C" w14:textId="36B1EF7B" w:rsidR="00F87C88" w:rsidRPr="00F13073" w:rsidRDefault="00F87C88" w:rsidP="008B4C50">
      <w:pPr>
        <w:pStyle w:val="a4"/>
        <w:widowControl/>
        <w:spacing w:after="0"/>
        <w:rPr>
          <w:rStyle w:val="Char"/>
        </w:rPr>
      </w:pPr>
      <w:r w:rsidRPr="00F13073">
        <w:rPr>
          <w:rStyle w:val="Char"/>
        </w:rPr>
        <w:t xml:space="preserve">Po podaniu dożylnym </w:t>
      </w:r>
      <w:r w:rsidR="002E4CE4" w:rsidRPr="00F13073">
        <w:rPr>
          <w:rStyle w:val="Char"/>
        </w:rPr>
        <w:t>tocilizumab</w:t>
      </w:r>
      <w:r w:rsidR="002E4CE4" w:rsidRPr="00F13073" w:rsidDel="002E4CE4">
        <w:rPr>
          <w:rStyle w:val="Char"/>
        </w:rPr>
        <w:t xml:space="preserve"> </w:t>
      </w:r>
      <w:r w:rsidRPr="00F13073">
        <w:rPr>
          <w:rStyle w:val="Char"/>
        </w:rPr>
        <w:t xml:space="preserve">podlega dwufazowej eliminacji z krążenia. Całkowity klirens </w:t>
      </w:r>
      <w:r w:rsidR="002E4CE4" w:rsidRPr="00F13073">
        <w:rPr>
          <w:rStyle w:val="Char"/>
        </w:rPr>
        <w:t xml:space="preserve">tocilizumabu </w:t>
      </w:r>
      <w:r w:rsidRPr="00F13073">
        <w:rPr>
          <w:rStyle w:val="Char"/>
        </w:rPr>
        <w:t xml:space="preserve">był zależny od stężenia i jest sumą klirensów liniowego i nieliniowego. Klirens liniowy oceniano jako jeden z parametrów analizy farmakokinetyki populacyjnej, a jego wartość wyniosła 9,5 mL/h. W przypadku niskich stężeń </w:t>
      </w:r>
      <w:r w:rsidR="00380414" w:rsidRPr="00F13073">
        <w:rPr>
          <w:rStyle w:val="Char"/>
        </w:rPr>
        <w:t xml:space="preserve">tocilizumabu </w:t>
      </w:r>
      <w:r w:rsidRPr="00F13073">
        <w:rPr>
          <w:rStyle w:val="Char"/>
        </w:rPr>
        <w:t xml:space="preserve">główną rolę odgrywa zależny od stężenia klirens nieliniowy. Z chwilą gdy dojdzie do wysycenia szlaku klirensu nieliniowego (co ma miejsce przy wyższych stężeniach </w:t>
      </w:r>
      <w:r w:rsidR="00380414" w:rsidRPr="00F13073">
        <w:rPr>
          <w:rStyle w:val="Char"/>
        </w:rPr>
        <w:t>tocilizumabu</w:t>
      </w:r>
      <w:r w:rsidRPr="00F13073">
        <w:rPr>
          <w:rStyle w:val="Char"/>
        </w:rPr>
        <w:t>), klirens staje się liniowy. Okres półtrwania (t</w:t>
      </w:r>
      <w:r w:rsidRPr="00F13073">
        <w:rPr>
          <w:rStyle w:val="Char"/>
          <w:vertAlign w:val="subscript"/>
        </w:rPr>
        <w:t>1/2</w:t>
      </w:r>
      <w:r w:rsidRPr="00F13073">
        <w:rPr>
          <w:rStyle w:val="Char"/>
        </w:rPr>
        <w:t xml:space="preserve">) </w:t>
      </w:r>
      <w:r w:rsidR="00380414" w:rsidRPr="00F13073">
        <w:rPr>
          <w:rStyle w:val="Char"/>
        </w:rPr>
        <w:t xml:space="preserve">tocilizumabu </w:t>
      </w:r>
      <w:r w:rsidRPr="00F13073">
        <w:rPr>
          <w:rStyle w:val="Char"/>
        </w:rPr>
        <w:t>jest zależny od stężenia. W stanie równowagi w przypadku dawki 8 mg/kg mc. podawanej co 4 tygodnie efektywny t</w:t>
      </w:r>
      <w:r w:rsidRPr="00F13073">
        <w:rPr>
          <w:rStyle w:val="Char"/>
          <w:vertAlign w:val="subscript"/>
        </w:rPr>
        <w:t>1/2</w:t>
      </w:r>
      <w:r w:rsidRPr="00F13073">
        <w:rPr>
          <w:rStyle w:val="Char"/>
          <w:sz w:val="14"/>
          <w:szCs w:val="14"/>
        </w:rPr>
        <w:t xml:space="preserve"> </w:t>
      </w:r>
      <w:r w:rsidRPr="00F13073">
        <w:rPr>
          <w:rStyle w:val="Char"/>
        </w:rPr>
        <w:t>ulega zmniejszeniu wraz z malejącymi stężeniami podczas przerwy pomiędzy kolejnymi podaniami leku i wynosi od 18 do 6 dni.</w:t>
      </w:r>
    </w:p>
    <w:p w14:paraId="0EEE2E33" w14:textId="77777777" w:rsidR="00F87C88" w:rsidRPr="00F13073" w:rsidRDefault="00F87C88" w:rsidP="008B4C50">
      <w:pPr>
        <w:pStyle w:val="a4"/>
        <w:widowControl/>
        <w:spacing w:after="0"/>
      </w:pPr>
    </w:p>
    <w:p w14:paraId="626F1CE9" w14:textId="77777777" w:rsidR="00F87C88" w:rsidRPr="00F13073" w:rsidRDefault="00F87C88" w:rsidP="008B4C50">
      <w:pPr>
        <w:pStyle w:val="a4"/>
        <w:widowControl/>
        <w:spacing w:after="0"/>
      </w:pPr>
      <w:r w:rsidRPr="00F13073">
        <w:rPr>
          <w:rStyle w:val="Char"/>
          <w:u w:val="single"/>
        </w:rPr>
        <w:t>Liniowość</w:t>
      </w:r>
    </w:p>
    <w:p w14:paraId="5BB5144C" w14:textId="4833A765" w:rsidR="00F87C88" w:rsidRPr="00F13073" w:rsidRDefault="00F87C88" w:rsidP="00880192">
      <w:pPr>
        <w:pStyle w:val="a4"/>
        <w:widowControl/>
        <w:spacing w:after="0"/>
        <w:rPr>
          <w:rStyle w:val="Char"/>
        </w:rPr>
      </w:pPr>
      <w:r w:rsidRPr="00F13073">
        <w:rPr>
          <w:rStyle w:val="Char"/>
        </w:rPr>
        <w:t xml:space="preserve">Parametry farmakokinetyczne </w:t>
      </w:r>
      <w:r w:rsidR="00380414" w:rsidRPr="00F13073">
        <w:rPr>
          <w:rStyle w:val="Char"/>
        </w:rPr>
        <w:t xml:space="preserve">tocilizumabu </w:t>
      </w:r>
      <w:r w:rsidRPr="00F13073">
        <w:rPr>
          <w:rStyle w:val="Char"/>
        </w:rPr>
        <w:t>nie zmieniały się w czasie. W przypadku dawek 4 i 8 mg/kg mc. podawanych raz na cztery tygodnie obserwowano większe niż proporcjonalne do dawki zwiększenie powierzchni pola pod krzywą (AUC) i stężenia C</w:t>
      </w:r>
      <w:r w:rsidRPr="00F13073">
        <w:rPr>
          <w:rStyle w:val="Char"/>
          <w:vertAlign w:val="subscript"/>
        </w:rPr>
        <w:t>min</w:t>
      </w:r>
      <w:r w:rsidRPr="00F13073">
        <w:rPr>
          <w:rStyle w:val="Char"/>
        </w:rPr>
        <w:t>. Stężenie maksymalne (C</w:t>
      </w:r>
      <w:r w:rsidRPr="00F13073">
        <w:rPr>
          <w:rStyle w:val="Char"/>
          <w:vertAlign w:val="subscript"/>
        </w:rPr>
        <w:t>max</w:t>
      </w:r>
      <w:r w:rsidRPr="00F13073">
        <w:rPr>
          <w:rStyle w:val="Char"/>
        </w:rPr>
        <w:t xml:space="preserve">) rosło </w:t>
      </w:r>
      <w:r w:rsidRPr="00F13073">
        <w:rPr>
          <w:rStyle w:val="Char"/>
        </w:rPr>
        <w:lastRenderedPageBreak/>
        <w:t>proporcjonalnie do dawki. W stanie równowagi przewidywane wartości AUC i C</w:t>
      </w:r>
      <w:r w:rsidRPr="00F13073">
        <w:rPr>
          <w:rStyle w:val="Char"/>
          <w:sz w:val="14"/>
          <w:szCs w:val="14"/>
        </w:rPr>
        <w:t xml:space="preserve">min </w:t>
      </w:r>
      <w:r w:rsidRPr="00F13073">
        <w:rPr>
          <w:rStyle w:val="Char"/>
        </w:rPr>
        <w:t>były odpowiednio 3,2 raza i 30 razy wyższe dla dawki 8 mg/kg mc. w porównaniu do dawki 4</w:t>
      </w:r>
      <w:r w:rsidR="00880192" w:rsidRPr="00F13073">
        <w:rPr>
          <w:rStyle w:val="Char"/>
        </w:rPr>
        <w:t> </w:t>
      </w:r>
      <w:r w:rsidRPr="00F13073">
        <w:rPr>
          <w:rStyle w:val="Char"/>
        </w:rPr>
        <w:t>mg/kg mc.</w:t>
      </w:r>
    </w:p>
    <w:p w14:paraId="4CD898E7" w14:textId="77777777" w:rsidR="00F87C88" w:rsidRPr="00F13073" w:rsidRDefault="00F87C88" w:rsidP="008B4C50">
      <w:pPr>
        <w:pStyle w:val="a4"/>
        <w:widowControl/>
        <w:spacing w:after="0"/>
      </w:pPr>
    </w:p>
    <w:p w14:paraId="2C6EA1F9" w14:textId="77777777" w:rsidR="00F87C88" w:rsidRPr="00F13073" w:rsidRDefault="00F87C88" w:rsidP="008B4C50">
      <w:pPr>
        <w:pStyle w:val="a4"/>
        <w:widowControl/>
        <w:spacing w:after="0"/>
      </w:pPr>
      <w:r w:rsidRPr="00F13073">
        <w:rPr>
          <w:rStyle w:val="Char"/>
          <w:u w:val="single"/>
        </w:rPr>
        <w:t>Stosowanie podskórne</w:t>
      </w:r>
    </w:p>
    <w:p w14:paraId="2B488EF2" w14:textId="59DCFB2B" w:rsidR="00F87C88" w:rsidRPr="00F13073" w:rsidRDefault="00F87C88" w:rsidP="008B4C50">
      <w:pPr>
        <w:pStyle w:val="a4"/>
        <w:widowControl/>
        <w:spacing w:after="0"/>
        <w:rPr>
          <w:rStyle w:val="Char"/>
        </w:rPr>
      </w:pPr>
      <w:r w:rsidRPr="00F13073">
        <w:rPr>
          <w:rStyle w:val="Char"/>
        </w:rPr>
        <w:t xml:space="preserve">Właściwości farmakokinetyczne </w:t>
      </w:r>
      <w:r w:rsidR="00380414" w:rsidRPr="00F13073">
        <w:rPr>
          <w:rStyle w:val="Char"/>
        </w:rPr>
        <w:t xml:space="preserve">tocilizumabu </w:t>
      </w:r>
      <w:r w:rsidRPr="00F13073">
        <w:rPr>
          <w:rStyle w:val="Char"/>
        </w:rPr>
        <w:t>określono, stosując metody analizy farmakokinetyki populacyjnej, na podstawie zgromadzonych w bazie danych 3552 pacjentów z RZS, którzy otrzymywali tocilizumab podskórnie w dawce 162 mg co tydzień, 162 mg podskórnie co drugi tydzień i 4 lub 8 mg/kg mc. dożylnie co 4 tygodnie, w okresie 24 tygodni.</w:t>
      </w:r>
    </w:p>
    <w:p w14:paraId="19A0AA51" w14:textId="77777777" w:rsidR="00F87C88" w:rsidRPr="00F13073" w:rsidRDefault="00F87C88" w:rsidP="008B4C50">
      <w:pPr>
        <w:pStyle w:val="a4"/>
        <w:widowControl/>
        <w:spacing w:after="0"/>
      </w:pPr>
    </w:p>
    <w:p w14:paraId="43B29515" w14:textId="70A8C56D" w:rsidR="00F87C88" w:rsidRPr="00F13073" w:rsidRDefault="00F87C88" w:rsidP="008B4C50">
      <w:pPr>
        <w:pStyle w:val="a4"/>
        <w:widowControl/>
        <w:spacing w:after="0"/>
        <w:rPr>
          <w:rStyle w:val="Char"/>
        </w:rPr>
      </w:pPr>
      <w:r w:rsidRPr="00F13073">
        <w:rPr>
          <w:rStyle w:val="Char"/>
        </w:rPr>
        <w:t xml:space="preserve">Parametry farmakokinetyczne </w:t>
      </w:r>
      <w:r w:rsidR="00380414" w:rsidRPr="00F13073">
        <w:rPr>
          <w:rStyle w:val="Char"/>
        </w:rPr>
        <w:t xml:space="preserve">tocilizumabu </w:t>
      </w:r>
      <w:r w:rsidRPr="00F13073">
        <w:rPr>
          <w:rStyle w:val="Char"/>
        </w:rPr>
        <w:t>nie zmieniały się w czasie. Dla cotygodniowej dawki 162 mg przewidywane średnie (± odchylenie standardowe) w stanie równowagi AUC1week, C</w:t>
      </w:r>
      <w:r w:rsidRPr="00F13073">
        <w:rPr>
          <w:rStyle w:val="Char"/>
          <w:vertAlign w:val="subscript"/>
        </w:rPr>
        <w:t>min</w:t>
      </w:r>
      <w:r w:rsidRPr="00F13073">
        <w:rPr>
          <w:rStyle w:val="Char"/>
        </w:rPr>
        <w:t xml:space="preserve"> oraz C</w:t>
      </w:r>
      <w:r w:rsidRPr="00F13073">
        <w:rPr>
          <w:rStyle w:val="Char"/>
          <w:vertAlign w:val="subscript"/>
        </w:rPr>
        <w:t>max</w:t>
      </w:r>
      <w:r w:rsidRPr="00F13073">
        <w:rPr>
          <w:rStyle w:val="Char"/>
        </w:rPr>
        <w:t xml:space="preserve"> dla </w:t>
      </w:r>
      <w:r w:rsidR="00380414" w:rsidRPr="00F13073">
        <w:rPr>
          <w:rStyle w:val="Char"/>
        </w:rPr>
        <w:t xml:space="preserve">tocilizumabu </w:t>
      </w:r>
      <w:r w:rsidRPr="00F13073">
        <w:rPr>
          <w:rStyle w:val="Char"/>
        </w:rPr>
        <w:t>wynosiły odpowiednio 7970 ± 3432</w:t>
      </w:r>
      <w:r w:rsidR="00D040F4" w:rsidRPr="00F13073">
        <w:rPr>
          <w:rStyle w:val="Char"/>
        </w:rPr>
        <w:t> μg</w:t>
      </w:r>
      <w:r w:rsidR="00D040F4" w:rsidRPr="00F13073">
        <w:t>•</w:t>
      </w:r>
      <w:r w:rsidR="00D040F4" w:rsidRPr="00F13073">
        <w:rPr>
          <w:rStyle w:val="Char"/>
        </w:rPr>
        <w:t>h</w:t>
      </w:r>
      <w:r w:rsidRPr="00F13073">
        <w:rPr>
          <w:rStyle w:val="Char"/>
        </w:rPr>
        <w:t>/mL, 43,0 ± 19,8 μg/mL i 49,8 ± 21,0 μg/mL. Współczynniki akumulacji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wyniosły odpowiednio 6,32, 6,30 i 5,27. Stan równowagi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osiągnięto po 12 tygodniach.</w:t>
      </w:r>
    </w:p>
    <w:p w14:paraId="350E0E30" w14:textId="77777777" w:rsidR="00F87C88" w:rsidRPr="00F13073" w:rsidRDefault="00F87C88" w:rsidP="008B4C50">
      <w:pPr>
        <w:pStyle w:val="a4"/>
        <w:widowControl/>
        <w:spacing w:after="0"/>
      </w:pPr>
    </w:p>
    <w:p w14:paraId="77430CD1" w14:textId="6ADD1402" w:rsidR="00F87C88" w:rsidRPr="00F13073" w:rsidRDefault="00F87C88" w:rsidP="008B4C50">
      <w:pPr>
        <w:pStyle w:val="a4"/>
        <w:widowControl/>
        <w:spacing w:after="0"/>
        <w:rPr>
          <w:rStyle w:val="Char"/>
        </w:rPr>
      </w:pPr>
      <w:r w:rsidRPr="00F13073">
        <w:rPr>
          <w:rStyle w:val="Char"/>
        </w:rPr>
        <w:t>Dla podawanej co drugi tydzień dawki 162 mg przewidywane średnie (± odchylenie standardowe) w stanie równowagi AUC</w:t>
      </w:r>
      <w:r w:rsidRPr="00F13073">
        <w:rPr>
          <w:rStyle w:val="Char"/>
          <w:vertAlign w:val="subscript"/>
        </w:rPr>
        <w:t>2week</w:t>
      </w:r>
      <w:r w:rsidRPr="00F13073">
        <w:rPr>
          <w:rStyle w:val="Char"/>
        </w:rPr>
        <w:t>, C</w:t>
      </w:r>
      <w:r w:rsidRPr="00F13073">
        <w:rPr>
          <w:rStyle w:val="Char"/>
          <w:vertAlign w:val="subscript"/>
        </w:rPr>
        <w:t>min</w:t>
      </w:r>
      <w:r w:rsidRPr="00F13073">
        <w:rPr>
          <w:rStyle w:val="Char"/>
        </w:rPr>
        <w:t xml:space="preserve"> oraz C</w:t>
      </w:r>
      <w:r w:rsidRPr="00F13073">
        <w:rPr>
          <w:rStyle w:val="Char"/>
          <w:vertAlign w:val="subscript"/>
        </w:rPr>
        <w:t>max</w:t>
      </w:r>
      <w:r w:rsidRPr="00F13073">
        <w:rPr>
          <w:rStyle w:val="Char"/>
        </w:rPr>
        <w:t xml:space="preserve"> dla </w:t>
      </w:r>
      <w:r w:rsidR="00DE2241" w:rsidRPr="00F13073">
        <w:rPr>
          <w:rStyle w:val="Char"/>
        </w:rPr>
        <w:t xml:space="preserve">tocilizumabu </w:t>
      </w:r>
      <w:r w:rsidRPr="00F13073">
        <w:rPr>
          <w:rStyle w:val="Char"/>
        </w:rPr>
        <w:t xml:space="preserve">wynosiły odpowiednio 3430 ± 2660 </w:t>
      </w:r>
      <w:r w:rsidR="005838BB" w:rsidRPr="00F13073">
        <w:rPr>
          <w:rStyle w:val="Char"/>
        </w:rPr>
        <w:t>μg•h</w:t>
      </w:r>
      <w:r w:rsidRPr="00F13073">
        <w:rPr>
          <w:rStyle w:val="Char"/>
        </w:rPr>
        <w:t>/mL, 5,7 ± 6,8 μg/mL i 13,2 ± 8,8 μg/mL. Współczynniki akumulacji dla AUC, C</w:t>
      </w:r>
      <w:r w:rsidRPr="00F13073">
        <w:rPr>
          <w:rStyle w:val="Char"/>
          <w:vertAlign w:val="subscript"/>
        </w:rPr>
        <w:t>min</w:t>
      </w:r>
      <w:r w:rsidRPr="00F13073">
        <w:rPr>
          <w:rStyle w:val="Char"/>
        </w:rPr>
        <w:t xml:space="preserve"> i C</w:t>
      </w:r>
      <w:r w:rsidRPr="00F13073">
        <w:rPr>
          <w:rStyle w:val="Char"/>
          <w:vertAlign w:val="subscript"/>
        </w:rPr>
        <w:t>max</w:t>
      </w:r>
      <w:r w:rsidRPr="00F13073">
        <w:rPr>
          <w:rStyle w:val="Char"/>
        </w:rPr>
        <w:t xml:space="preserve"> wyniosły odpowiednio 2,67, 6,02 oraz 2,12. Stan równowagi dla AUC i C</w:t>
      </w:r>
      <w:r w:rsidRPr="00F13073">
        <w:rPr>
          <w:rStyle w:val="Char"/>
          <w:vertAlign w:val="subscript"/>
        </w:rPr>
        <w:t>min</w:t>
      </w:r>
      <w:r w:rsidRPr="00F13073">
        <w:rPr>
          <w:rStyle w:val="Char"/>
        </w:rPr>
        <w:t xml:space="preserve"> osiągnięto po 12 tygodniach, a dla C</w:t>
      </w:r>
      <w:r w:rsidRPr="00F13073">
        <w:rPr>
          <w:rStyle w:val="Char"/>
          <w:vertAlign w:val="subscript"/>
        </w:rPr>
        <w:t>max</w:t>
      </w:r>
      <w:r w:rsidRPr="00F13073">
        <w:rPr>
          <w:rStyle w:val="Char"/>
        </w:rPr>
        <w:t xml:space="preserve"> — po 10 tygodniach.</w:t>
      </w:r>
    </w:p>
    <w:p w14:paraId="624FB5C5" w14:textId="77777777" w:rsidR="00F87C88" w:rsidRPr="00F13073" w:rsidRDefault="00F87C88" w:rsidP="008B4C50">
      <w:pPr>
        <w:pStyle w:val="a4"/>
        <w:widowControl/>
        <w:spacing w:after="0"/>
      </w:pPr>
    </w:p>
    <w:p w14:paraId="26FD2C8C" w14:textId="77777777" w:rsidR="00F87C88" w:rsidRPr="00F13073" w:rsidRDefault="00F87C88" w:rsidP="008B4C50">
      <w:pPr>
        <w:pStyle w:val="a4"/>
        <w:widowControl/>
        <w:spacing w:after="0"/>
      </w:pPr>
      <w:r w:rsidRPr="00F13073">
        <w:rPr>
          <w:rStyle w:val="Char"/>
          <w:u w:val="single"/>
        </w:rPr>
        <w:t>Wchłanianie</w:t>
      </w:r>
    </w:p>
    <w:p w14:paraId="59A2B280" w14:textId="3E55731C" w:rsidR="00F87C88" w:rsidRPr="00F13073" w:rsidRDefault="00F87C88" w:rsidP="008B4C50">
      <w:pPr>
        <w:pStyle w:val="a4"/>
        <w:widowControl/>
        <w:spacing w:after="0"/>
        <w:rPr>
          <w:rStyle w:val="Char"/>
        </w:rPr>
      </w:pPr>
      <w:r w:rsidRPr="00F13073">
        <w:rPr>
          <w:rStyle w:val="Char"/>
        </w:rPr>
        <w:t xml:space="preserve">Po podaniu podskórnym </w:t>
      </w:r>
      <w:r w:rsidR="00373B4F" w:rsidRPr="00F13073">
        <w:rPr>
          <w:rStyle w:val="Char"/>
        </w:rPr>
        <w:t xml:space="preserve">tocilizumabu </w:t>
      </w:r>
      <w:r w:rsidRPr="00F13073">
        <w:rPr>
          <w:rStyle w:val="Char"/>
        </w:rPr>
        <w:t>chorym na RZS czas do osiągnięcia maksymalnego stężenia leku we krwi (t</w:t>
      </w:r>
      <w:r w:rsidRPr="00F13073">
        <w:rPr>
          <w:rStyle w:val="Char"/>
          <w:vertAlign w:val="subscript"/>
        </w:rPr>
        <w:t>max</w:t>
      </w:r>
      <w:r w:rsidRPr="00F13073">
        <w:rPr>
          <w:rStyle w:val="Char"/>
        </w:rPr>
        <w:t>) wynosił 2,8 dnia. Biodostępność w przypadku postaci leku podawanej podskórnie wyniosła 79%.</w:t>
      </w:r>
    </w:p>
    <w:p w14:paraId="51A6C8D1" w14:textId="77777777" w:rsidR="00F87C88" w:rsidRPr="00F13073" w:rsidRDefault="00F87C88" w:rsidP="008B4C50">
      <w:pPr>
        <w:pStyle w:val="a4"/>
        <w:widowControl/>
        <w:spacing w:after="0"/>
      </w:pPr>
    </w:p>
    <w:p w14:paraId="0672DE7C" w14:textId="77777777" w:rsidR="00F87C88" w:rsidRPr="00F13073" w:rsidRDefault="00F87C88" w:rsidP="008B4C50">
      <w:pPr>
        <w:pStyle w:val="a4"/>
        <w:widowControl/>
        <w:spacing w:after="0"/>
      </w:pPr>
      <w:r w:rsidRPr="00F13073">
        <w:rPr>
          <w:rStyle w:val="Char"/>
          <w:u w:val="single"/>
        </w:rPr>
        <w:t>Eliminacja</w:t>
      </w:r>
    </w:p>
    <w:p w14:paraId="7FCDE561" w14:textId="77777777" w:rsidR="00F87C88" w:rsidRPr="00F13073" w:rsidRDefault="00F87C88" w:rsidP="008B4C50">
      <w:pPr>
        <w:pStyle w:val="a4"/>
        <w:widowControl/>
        <w:spacing w:after="0"/>
        <w:rPr>
          <w:rStyle w:val="Char"/>
        </w:rPr>
      </w:pPr>
      <w:r w:rsidRPr="00F13073">
        <w:rPr>
          <w:rStyle w:val="Char"/>
        </w:rPr>
        <w:t>Dla stanu równowagi, w przypadku podawania podskórnego, zależny od stężenia jawny okres półtrwania t</w:t>
      </w:r>
      <w:r w:rsidRPr="00F13073">
        <w:rPr>
          <w:rStyle w:val="Char"/>
          <w:vertAlign w:val="subscript"/>
        </w:rPr>
        <w:t>1/2</w:t>
      </w:r>
      <w:r w:rsidRPr="00F13073">
        <w:rPr>
          <w:rStyle w:val="Char"/>
          <w:sz w:val="14"/>
          <w:szCs w:val="14"/>
        </w:rPr>
        <w:t xml:space="preserve"> </w:t>
      </w:r>
      <w:r w:rsidRPr="00F13073">
        <w:rPr>
          <w:rStyle w:val="Char"/>
        </w:rPr>
        <w:t>wynosi do 12 dni dla dawki 162 mg podawanej co tydzień i 5 dni dla dawki 162 mg podawanej co drugi tydzień pacjentom z RZS.</w:t>
      </w:r>
    </w:p>
    <w:p w14:paraId="18E5AC22" w14:textId="77777777" w:rsidR="00F87C88" w:rsidRPr="00F13073" w:rsidRDefault="00F87C88" w:rsidP="008B4C50">
      <w:pPr>
        <w:pStyle w:val="a4"/>
        <w:widowControl/>
        <w:spacing w:after="0"/>
      </w:pPr>
    </w:p>
    <w:p w14:paraId="3E094B6D" w14:textId="77777777" w:rsidR="00F87C88" w:rsidRPr="00F13073" w:rsidRDefault="00F87C88" w:rsidP="008B4C50">
      <w:pPr>
        <w:pStyle w:val="a4"/>
        <w:widowControl/>
        <w:spacing w:after="0"/>
      </w:pPr>
      <w:r w:rsidRPr="00F13073">
        <w:rPr>
          <w:rStyle w:val="Char"/>
          <w:u w:val="single"/>
        </w:rPr>
        <w:t>uMIZS</w:t>
      </w:r>
    </w:p>
    <w:p w14:paraId="059F5B7C" w14:textId="77777777" w:rsidR="00283C36" w:rsidRPr="00F13073" w:rsidRDefault="00283C36" w:rsidP="008B4C50">
      <w:pPr>
        <w:pStyle w:val="a4"/>
        <w:widowControl/>
        <w:spacing w:after="0"/>
      </w:pPr>
      <w:r w:rsidRPr="00F13073">
        <w:rPr>
          <w:rStyle w:val="Headerorfooter"/>
          <w:rFonts w:ascii="Times New Roman" w:eastAsia="Times New Roman" w:hAnsi="Times New Roman" w:cs="Times New Roman"/>
          <w:sz w:val="22"/>
          <w:szCs w:val="22"/>
          <w:u w:val="single"/>
        </w:rPr>
        <w:t>Stosowanie podskórne</w:t>
      </w:r>
    </w:p>
    <w:p w14:paraId="4D855114" w14:textId="50DEB970" w:rsidR="00283C36" w:rsidRPr="00F13073" w:rsidRDefault="00283C36" w:rsidP="008B4C50">
      <w:pPr>
        <w:pStyle w:val="a4"/>
        <w:widowControl/>
        <w:spacing w:after="0"/>
        <w:rPr>
          <w:rStyle w:val="Headerorfooter"/>
          <w:rFonts w:ascii="Times New Roman" w:eastAsia="Times New Roman" w:hAnsi="Times New Roman" w:cs="Times New Roman"/>
          <w:sz w:val="22"/>
          <w:szCs w:val="22"/>
        </w:rPr>
      </w:pPr>
      <w:r w:rsidRPr="00F13073">
        <w:rPr>
          <w:rStyle w:val="Char"/>
        </w:rPr>
        <w:t>Farmakokinetyka</w:t>
      </w:r>
      <w:r w:rsidRPr="00F13073">
        <w:rPr>
          <w:rStyle w:val="Headerorfooter"/>
          <w:rFonts w:ascii="Times New Roman" w:eastAsia="Times New Roman" w:hAnsi="Times New Roman" w:cs="Times New Roman"/>
          <w:sz w:val="22"/>
          <w:szCs w:val="22"/>
        </w:rPr>
        <w:t xml:space="preserve"> </w:t>
      </w:r>
      <w:r w:rsidR="00373B4F" w:rsidRPr="00F13073">
        <w:rPr>
          <w:rStyle w:val="Headerorfooter"/>
          <w:rFonts w:ascii="Times New Roman" w:eastAsia="Times New Roman" w:hAnsi="Times New Roman" w:cs="Times New Roman"/>
          <w:sz w:val="22"/>
          <w:szCs w:val="22"/>
        </w:rPr>
        <w:t xml:space="preserve">tocilizumabu </w:t>
      </w:r>
      <w:r w:rsidRPr="00F13073">
        <w:rPr>
          <w:rStyle w:val="Headerorfooter"/>
          <w:rFonts w:ascii="Times New Roman" w:eastAsia="Times New Roman" w:hAnsi="Times New Roman" w:cs="Times New Roman"/>
          <w:sz w:val="22"/>
          <w:szCs w:val="22"/>
        </w:rPr>
        <w:t>u pacjentów z uMIZS była określona na podstawie populacyjnej analizy farmakokinetyki z wykorzystaniem danych od 140 chorych leczonych dawką 8 mg/kg mc. podawaną dożylnie co 2 tygodnie (pacjenci o masie ciała ≥ 30 kg), dawką 12 mg/kg mc. podawaną dożylnie co 2 tygodnie (pacjenci o masie ciała poniżej 30 kg), dawką 162 mg podawaną podskórnie co tydzień (pacjenci o masie ciała ≥ 30 kg), dawką 162 mg podawaną podskórnie co 10 dni lub co 2 tygodnie (pacjenci o masie ciała poniżej 30 kg).</w:t>
      </w:r>
    </w:p>
    <w:p w14:paraId="0E844C7A" w14:textId="77777777" w:rsidR="00283C36" w:rsidRPr="00F13073" w:rsidRDefault="00283C36" w:rsidP="008B4C50">
      <w:pPr>
        <w:pStyle w:val="a4"/>
        <w:widowControl/>
        <w:spacing w:after="0"/>
      </w:pPr>
    </w:p>
    <w:p w14:paraId="0476A07E" w14:textId="506ABBF2" w:rsidR="00283C36" w:rsidRPr="00F13073" w:rsidRDefault="00283C36" w:rsidP="008B4C50">
      <w:pPr>
        <w:pStyle w:val="a4"/>
        <w:widowControl/>
        <w:spacing w:after="0"/>
        <w:rPr>
          <w:rStyle w:val="Char"/>
        </w:rPr>
      </w:pPr>
      <w:r w:rsidRPr="00F13073">
        <w:rPr>
          <w:rStyle w:val="Headerorfooter"/>
          <w:rFonts w:ascii="Times New Roman" w:eastAsia="Times New Roman" w:hAnsi="Times New Roman" w:cs="Times New Roman"/>
          <w:sz w:val="22"/>
          <w:szCs w:val="22"/>
        </w:rPr>
        <w:t>Dostępne</w:t>
      </w:r>
      <w:r w:rsidRPr="00F13073">
        <w:rPr>
          <w:rStyle w:val="Char"/>
        </w:rPr>
        <w:t xml:space="preserve"> są ograniczone dane dotyczące ekspozycji na lek po podskórnym podaniu </w:t>
      </w:r>
      <w:r w:rsidR="00AD0920" w:rsidRPr="00F13073">
        <w:rPr>
          <w:rStyle w:val="Char"/>
        </w:rPr>
        <w:t>tocilizumabu</w:t>
      </w:r>
      <w:r w:rsidRPr="00F13073">
        <w:rPr>
          <w:rStyle w:val="Char"/>
        </w:rPr>
        <w:t xml:space="preserve"> pacjentom z uMIZS w wieku poniżej 2 lat o masie ciała mniejszej niż 10 kg.</w:t>
      </w:r>
    </w:p>
    <w:p w14:paraId="55F7AFC7" w14:textId="77777777" w:rsidR="00283C36" w:rsidRPr="00F13073" w:rsidRDefault="00283C36" w:rsidP="008B4C50">
      <w:pPr>
        <w:pStyle w:val="a4"/>
        <w:widowControl/>
        <w:spacing w:after="0"/>
      </w:pPr>
    </w:p>
    <w:p w14:paraId="1A1F535E" w14:textId="3C646BB0" w:rsidR="00283C36" w:rsidRPr="00F13073" w:rsidRDefault="00283C36" w:rsidP="008B4C50">
      <w:pPr>
        <w:pStyle w:val="a4"/>
        <w:widowControl/>
        <w:spacing w:after="0"/>
      </w:pPr>
      <w:r w:rsidRPr="00F13073">
        <w:rPr>
          <w:rStyle w:val="Headerorfooter"/>
          <w:rFonts w:ascii="Times New Roman" w:eastAsia="Times New Roman" w:hAnsi="Times New Roman" w:cs="Times New Roman"/>
          <w:sz w:val="22"/>
          <w:szCs w:val="22"/>
        </w:rPr>
        <w:t>Masa</w:t>
      </w:r>
      <w:r w:rsidRPr="00F13073">
        <w:rPr>
          <w:rStyle w:val="Char"/>
        </w:rPr>
        <w:t xml:space="preserve"> ciała pacjentów z uMIZS musi wynosić minimum 10 kg w chwili otrzymania </w:t>
      </w:r>
      <w:r w:rsidR="00AD0920" w:rsidRPr="00F13073">
        <w:rPr>
          <w:rStyle w:val="Char"/>
        </w:rPr>
        <w:t>tocilizumabu</w:t>
      </w:r>
      <w:r w:rsidRPr="00F13073">
        <w:rPr>
          <w:rStyle w:val="Char"/>
        </w:rPr>
        <w:t xml:space="preserve"> w postaci podawanej podskórnie (patrz punkt 4.2).</w:t>
      </w:r>
    </w:p>
    <w:p w14:paraId="3ECDEA1B" w14:textId="77777777" w:rsidR="00F87C88" w:rsidRPr="00F13073" w:rsidRDefault="00F87C88" w:rsidP="008B4C50"/>
    <w:p w14:paraId="7C9AE70B" w14:textId="77777777" w:rsidR="002945E6" w:rsidRPr="00F13073" w:rsidRDefault="002945E6" w:rsidP="008B4C50">
      <w:pPr>
        <w:keepNext/>
        <w:ind w:left="1134" w:hanging="1134"/>
        <w:rPr>
          <w:i/>
          <w:iCs/>
        </w:rPr>
      </w:pPr>
      <w:r w:rsidRPr="00F13073">
        <w:rPr>
          <w:i/>
          <w:iCs/>
        </w:rPr>
        <w:lastRenderedPageBreak/>
        <w:t>Tab</w:t>
      </w:r>
      <w:r w:rsidR="00F11502" w:rsidRPr="00F13073">
        <w:rPr>
          <w:i/>
          <w:iCs/>
        </w:rPr>
        <w:t>e</w:t>
      </w:r>
      <w:r w:rsidRPr="00F13073">
        <w:rPr>
          <w:i/>
          <w:iCs/>
        </w:rPr>
        <w:t>l</w:t>
      </w:r>
      <w:r w:rsidR="00F11502" w:rsidRPr="00F13073">
        <w:rPr>
          <w:i/>
          <w:iCs/>
        </w:rPr>
        <w:t>a</w:t>
      </w:r>
      <w:r w:rsidRPr="00F13073">
        <w:rPr>
          <w:i/>
          <w:iCs/>
        </w:rPr>
        <w:t xml:space="preserve"> 8.</w:t>
      </w:r>
      <w:r w:rsidRPr="00F13073">
        <w:rPr>
          <w:i/>
          <w:iCs/>
        </w:rPr>
        <w:tab/>
      </w:r>
      <w:r w:rsidR="00F11502" w:rsidRPr="00F13073">
        <w:rPr>
          <w:rStyle w:val="Char"/>
          <w:rFonts w:eastAsia="DengXian"/>
          <w:i/>
          <w:iCs/>
        </w:rPr>
        <w:t>Przewidywana średnia wartość ± SD parametrów farmakokinetycznych w stanie stacjonarnym po podaniu podskórnym w uMIZS</w:t>
      </w:r>
    </w:p>
    <w:p w14:paraId="5D9E9E02" w14:textId="77777777" w:rsidR="002945E6" w:rsidRPr="00F13073" w:rsidRDefault="002945E6"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2837"/>
        <w:gridCol w:w="2981"/>
        <w:gridCol w:w="2986"/>
      </w:tblGrid>
      <w:tr w:rsidR="00F11502" w:rsidRPr="00F13073" w14:paraId="571CDAD6" w14:textId="77777777" w:rsidTr="00880192">
        <w:trPr>
          <w:cantSplit/>
          <w:tblHeader/>
        </w:trPr>
        <w:tc>
          <w:tcPr>
            <w:tcW w:w="2837" w:type="dxa"/>
            <w:tcBorders>
              <w:top w:val="single" w:sz="4" w:space="0" w:color="auto"/>
              <w:left w:val="single" w:sz="4" w:space="0" w:color="auto"/>
            </w:tcBorders>
          </w:tcPr>
          <w:p w14:paraId="2920AD3C" w14:textId="2F526979" w:rsidR="00F11502" w:rsidRPr="00F13073" w:rsidRDefault="00F11502" w:rsidP="008B4C50">
            <w:pPr>
              <w:keepNext/>
              <w:suppressAutoHyphens/>
              <w:rPr>
                <w:b/>
                <w:bCs/>
                <w:sz w:val="20"/>
                <w:szCs w:val="20"/>
              </w:rPr>
            </w:pPr>
            <w:r w:rsidRPr="00F13073">
              <w:rPr>
                <w:rStyle w:val="Other"/>
                <w:rFonts w:eastAsia="DengXian"/>
                <w:b/>
                <w:bCs/>
                <w:sz w:val="20"/>
                <w:szCs w:val="20"/>
              </w:rPr>
              <w:t xml:space="preserve">Parametr farmakokinetyczny </w:t>
            </w:r>
            <w:r w:rsidR="004709C2" w:rsidRPr="00F13073">
              <w:rPr>
                <w:rStyle w:val="Other"/>
                <w:rFonts w:eastAsia="DengXian"/>
                <w:b/>
                <w:bCs/>
                <w:sz w:val="20"/>
                <w:szCs w:val="20"/>
              </w:rPr>
              <w:t>tocilizumabu</w:t>
            </w:r>
          </w:p>
        </w:tc>
        <w:tc>
          <w:tcPr>
            <w:tcW w:w="2981" w:type="dxa"/>
            <w:tcBorders>
              <w:top w:val="single" w:sz="4" w:space="0" w:color="auto"/>
              <w:left w:val="single" w:sz="4" w:space="0" w:color="auto"/>
            </w:tcBorders>
          </w:tcPr>
          <w:p w14:paraId="65A2AFF6" w14:textId="77777777" w:rsidR="00F11502" w:rsidRPr="00F13073" w:rsidRDefault="00F11502" w:rsidP="00C37E70">
            <w:pPr>
              <w:keepNext/>
              <w:suppressAutoHyphens/>
              <w:jc w:val="center"/>
              <w:rPr>
                <w:b/>
                <w:bCs/>
                <w:sz w:val="20"/>
                <w:szCs w:val="20"/>
              </w:rPr>
            </w:pPr>
            <w:r w:rsidRPr="00F13073">
              <w:rPr>
                <w:rStyle w:val="Other"/>
                <w:rFonts w:eastAsia="DengXian"/>
                <w:b/>
                <w:bCs/>
                <w:sz w:val="20"/>
                <w:szCs w:val="20"/>
              </w:rPr>
              <w:t>162 mg QW ≥ 30 kg</w:t>
            </w:r>
          </w:p>
        </w:tc>
        <w:tc>
          <w:tcPr>
            <w:tcW w:w="2986" w:type="dxa"/>
            <w:tcBorders>
              <w:top w:val="single" w:sz="4" w:space="0" w:color="auto"/>
              <w:left w:val="single" w:sz="4" w:space="0" w:color="auto"/>
              <w:right w:val="single" w:sz="4" w:space="0" w:color="auto"/>
            </w:tcBorders>
          </w:tcPr>
          <w:p w14:paraId="2D45500D" w14:textId="77777777" w:rsidR="00F11502" w:rsidRPr="00F13073" w:rsidRDefault="00F11502" w:rsidP="00C37E70">
            <w:pPr>
              <w:keepNext/>
              <w:suppressAutoHyphens/>
              <w:jc w:val="center"/>
              <w:rPr>
                <w:b/>
                <w:bCs/>
                <w:sz w:val="20"/>
                <w:szCs w:val="20"/>
              </w:rPr>
            </w:pPr>
            <w:r w:rsidRPr="00F13073">
              <w:rPr>
                <w:rStyle w:val="Other"/>
                <w:rFonts w:eastAsia="DengXian"/>
                <w:b/>
                <w:bCs/>
                <w:sz w:val="20"/>
                <w:szCs w:val="20"/>
              </w:rPr>
              <w:t>162 mg Q2W poniżej 30 kg</w:t>
            </w:r>
          </w:p>
        </w:tc>
      </w:tr>
      <w:tr w:rsidR="00F11502" w:rsidRPr="00F13073" w14:paraId="1D2EF6C7" w14:textId="77777777" w:rsidTr="00880192">
        <w:trPr>
          <w:cantSplit/>
          <w:tblHeader/>
        </w:trPr>
        <w:tc>
          <w:tcPr>
            <w:tcW w:w="2837" w:type="dxa"/>
            <w:tcBorders>
              <w:top w:val="single" w:sz="4" w:space="0" w:color="auto"/>
              <w:left w:val="single" w:sz="4" w:space="0" w:color="auto"/>
            </w:tcBorders>
          </w:tcPr>
          <w:p w14:paraId="090434F6" w14:textId="77777777" w:rsidR="00F11502" w:rsidRPr="00F13073" w:rsidRDefault="00F11502"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981" w:type="dxa"/>
            <w:tcBorders>
              <w:top w:val="single" w:sz="4" w:space="0" w:color="auto"/>
              <w:left w:val="single" w:sz="4" w:space="0" w:color="auto"/>
            </w:tcBorders>
          </w:tcPr>
          <w:p w14:paraId="01708675" w14:textId="77777777" w:rsidR="00F11502" w:rsidRPr="00F13073" w:rsidRDefault="00F11502" w:rsidP="00C37E70">
            <w:pPr>
              <w:suppressAutoHyphens/>
              <w:jc w:val="center"/>
              <w:rPr>
                <w:sz w:val="20"/>
                <w:szCs w:val="20"/>
              </w:rPr>
            </w:pPr>
            <w:r w:rsidRPr="00F13073">
              <w:rPr>
                <w:sz w:val="20"/>
                <w:szCs w:val="20"/>
              </w:rPr>
              <w:t>99,8 ± 46,2</w:t>
            </w:r>
          </w:p>
        </w:tc>
        <w:tc>
          <w:tcPr>
            <w:tcW w:w="2986" w:type="dxa"/>
            <w:tcBorders>
              <w:top w:val="single" w:sz="4" w:space="0" w:color="auto"/>
              <w:left w:val="single" w:sz="4" w:space="0" w:color="auto"/>
              <w:right w:val="single" w:sz="4" w:space="0" w:color="auto"/>
            </w:tcBorders>
          </w:tcPr>
          <w:p w14:paraId="54E2D5C0" w14:textId="77777777" w:rsidR="00F11502" w:rsidRPr="00F13073" w:rsidRDefault="00F11502" w:rsidP="00C37E70">
            <w:pPr>
              <w:suppressAutoHyphens/>
              <w:jc w:val="center"/>
              <w:rPr>
                <w:sz w:val="20"/>
                <w:szCs w:val="20"/>
              </w:rPr>
            </w:pPr>
            <w:r w:rsidRPr="00F13073">
              <w:rPr>
                <w:sz w:val="20"/>
                <w:szCs w:val="20"/>
              </w:rPr>
              <w:t>134 ± 58,6</w:t>
            </w:r>
          </w:p>
        </w:tc>
      </w:tr>
      <w:tr w:rsidR="00F11502" w:rsidRPr="00F13073" w14:paraId="779E44A8" w14:textId="77777777" w:rsidTr="00880192">
        <w:trPr>
          <w:cantSplit/>
          <w:tblHeader/>
        </w:trPr>
        <w:tc>
          <w:tcPr>
            <w:tcW w:w="2837" w:type="dxa"/>
            <w:tcBorders>
              <w:top w:val="single" w:sz="4" w:space="0" w:color="auto"/>
              <w:left w:val="single" w:sz="4" w:space="0" w:color="auto"/>
            </w:tcBorders>
          </w:tcPr>
          <w:p w14:paraId="2DBDEEEF" w14:textId="77777777" w:rsidR="00F11502" w:rsidRPr="00F13073" w:rsidRDefault="00F11502" w:rsidP="008B4C50">
            <w:pPr>
              <w:suppressAutoHyphens/>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981" w:type="dxa"/>
            <w:tcBorders>
              <w:top w:val="single" w:sz="4" w:space="0" w:color="auto"/>
              <w:left w:val="single" w:sz="4" w:space="0" w:color="auto"/>
            </w:tcBorders>
          </w:tcPr>
          <w:p w14:paraId="6A841AF7" w14:textId="77777777" w:rsidR="00F11502" w:rsidRPr="00F13073" w:rsidRDefault="00F11502" w:rsidP="00C37E70">
            <w:pPr>
              <w:suppressAutoHyphens/>
              <w:jc w:val="center"/>
              <w:rPr>
                <w:sz w:val="20"/>
                <w:szCs w:val="20"/>
              </w:rPr>
            </w:pPr>
            <w:r w:rsidRPr="00F13073">
              <w:rPr>
                <w:sz w:val="20"/>
                <w:szCs w:val="20"/>
              </w:rPr>
              <w:t>79,2 ± 35,6</w:t>
            </w:r>
          </w:p>
        </w:tc>
        <w:tc>
          <w:tcPr>
            <w:tcW w:w="2986" w:type="dxa"/>
            <w:tcBorders>
              <w:top w:val="single" w:sz="4" w:space="0" w:color="auto"/>
              <w:left w:val="single" w:sz="4" w:space="0" w:color="auto"/>
              <w:right w:val="single" w:sz="4" w:space="0" w:color="auto"/>
            </w:tcBorders>
          </w:tcPr>
          <w:p w14:paraId="690B7542" w14:textId="77777777" w:rsidR="00F11502" w:rsidRPr="00F13073" w:rsidRDefault="00F11502" w:rsidP="00C37E70">
            <w:pPr>
              <w:suppressAutoHyphens/>
              <w:jc w:val="center"/>
              <w:rPr>
                <w:sz w:val="20"/>
                <w:szCs w:val="20"/>
              </w:rPr>
            </w:pPr>
            <w:r w:rsidRPr="00F13073">
              <w:rPr>
                <w:sz w:val="20"/>
                <w:szCs w:val="20"/>
              </w:rPr>
              <w:t>65,9 ± 31,3</w:t>
            </w:r>
          </w:p>
        </w:tc>
      </w:tr>
      <w:tr w:rsidR="00F11502" w:rsidRPr="00F13073" w14:paraId="536D4D1C" w14:textId="77777777" w:rsidTr="00880192">
        <w:trPr>
          <w:cantSplit/>
          <w:tblHeader/>
        </w:trPr>
        <w:tc>
          <w:tcPr>
            <w:tcW w:w="2837" w:type="dxa"/>
            <w:tcBorders>
              <w:top w:val="single" w:sz="4" w:space="0" w:color="auto"/>
              <w:left w:val="single" w:sz="4" w:space="0" w:color="auto"/>
            </w:tcBorders>
          </w:tcPr>
          <w:p w14:paraId="0DBCDF83" w14:textId="77777777" w:rsidR="00F11502" w:rsidRPr="00F13073" w:rsidRDefault="00F11502" w:rsidP="008B4C50">
            <w:pPr>
              <w:suppressAutoHyphens/>
              <w:rPr>
                <w:sz w:val="20"/>
                <w:szCs w:val="20"/>
              </w:rPr>
            </w:pPr>
            <w:r w:rsidRPr="00F13073">
              <w:rPr>
                <w:sz w:val="20"/>
                <w:szCs w:val="20"/>
              </w:rPr>
              <w:t>C</w:t>
            </w:r>
            <w:r w:rsidRPr="00F13073">
              <w:rPr>
                <w:sz w:val="20"/>
                <w:szCs w:val="20"/>
                <w:vertAlign w:val="subscript"/>
              </w:rPr>
              <w:t>średnie</w:t>
            </w:r>
            <w:r w:rsidRPr="00F13073">
              <w:rPr>
                <w:sz w:val="20"/>
                <w:szCs w:val="20"/>
              </w:rPr>
              <w:t xml:space="preserve"> (µg/mL)</w:t>
            </w:r>
          </w:p>
        </w:tc>
        <w:tc>
          <w:tcPr>
            <w:tcW w:w="2981" w:type="dxa"/>
            <w:tcBorders>
              <w:top w:val="single" w:sz="4" w:space="0" w:color="auto"/>
              <w:left w:val="single" w:sz="4" w:space="0" w:color="auto"/>
            </w:tcBorders>
          </w:tcPr>
          <w:p w14:paraId="21D76F72" w14:textId="77777777" w:rsidR="00F11502" w:rsidRPr="00F13073" w:rsidRDefault="00F11502" w:rsidP="00C37E70">
            <w:pPr>
              <w:suppressAutoHyphens/>
              <w:jc w:val="center"/>
              <w:rPr>
                <w:sz w:val="20"/>
                <w:szCs w:val="20"/>
              </w:rPr>
            </w:pPr>
            <w:r w:rsidRPr="00F13073">
              <w:rPr>
                <w:sz w:val="20"/>
                <w:szCs w:val="20"/>
              </w:rPr>
              <w:t>91,3 ± 40,4</w:t>
            </w:r>
          </w:p>
        </w:tc>
        <w:tc>
          <w:tcPr>
            <w:tcW w:w="2986" w:type="dxa"/>
            <w:tcBorders>
              <w:top w:val="single" w:sz="4" w:space="0" w:color="auto"/>
              <w:left w:val="single" w:sz="4" w:space="0" w:color="auto"/>
              <w:right w:val="single" w:sz="4" w:space="0" w:color="auto"/>
            </w:tcBorders>
          </w:tcPr>
          <w:p w14:paraId="60DB2D7F" w14:textId="77777777" w:rsidR="00F11502" w:rsidRPr="00F13073" w:rsidRDefault="00F11502" w:rsidP="00C37E70">
            <w:pPr>
              <w:suppressAutoHyphens/>
              <w:jc w:val="center"/>
              <w:rPr>
                <w:sz w:val="20"/>
                <w:szCs w:val="20"/>
              </w:rPr>
            </w:pPr>
            <w:r w:rsidRPr="00F13073">
              <w:rPr>
                <w:sz w:val="20"/>
                <w:szCs w:val="20"/>
              </w:rPr>
              <w:t>101 ± 43,2</w:t>
            </w:r>
          </w:p>
        </w:tc>
      </w:tr>
      <w:tr w:rsidR="00F11502" w:rsidRPr="00F13073" w14:paraId="3F87A219" w14:textId="77777777" w:rsidTr="00880192">
        <w:trPr>
          <w:cantSplit/>
          <w:tblHeader/>
        </w:trPr>
        <w:tc>
          <w:tcPr>
            <w:tcW w:w="2837" w:type="dxa"/>
            <w:tcBorders>
              <w:top w:val="single" w:sz="4" w:space="0" w:color="auto"/>
              <w:left w:val="single" w:sz="4" w:space="0" w:color="auto"/>
            </w:tcBorders>
          </w:tcPr>
          <w:p w14:paraId="2333FB33" w14:textId="77777777" w:rsidR="00F11502" w:rsidRPr="00F13073" w:rsidRDefault="00F11502"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max</w:t>
            </w:r>
          </w:p>
        </w:tc>
        <w:tc>
          <w:tcPr>
            <w:tcW w:w="2981" w:type="dxa"/>
            <w:tcBorders>
              <w:top w:val="single" w:sz="4" w:space="0" w:color="auto"/>
              <w:left w:val="single" w:sz="4" w:space="0" w:color="auto"/>
            </w:tcBorders>
          </w:tcPr>
          <w:p w14:paraId="1C3886B5" w14:textId="77777777" w:rsidR="00F11502" w:rsidRPr="00F13073" w:rsidRDefault="00F11502" w:rsidP="00C37E70">
            <w:pPr>
              <w:suppressAutoHyphens/>
              <w:jc w:val="center"/>
              <w:rPr>
                <w:sz w:val="20"/>
                <w:szCs w:val="20"/>
              </w:rPr>
            </w:pPr>
            <w:r w:rsidRPr="00F13073">
              <w:rPr>
                <w:sz w:val="20"/>
                <w:szCs w:val="20"/>
              </w:rPr>
              <w:t>3,66</w:t>
            </w:r>
          </w:p>
        </w:tc>
        <w:tc>
          <w:tcPr>
            <w:tcW w:w="2986" w:type="dxa"/>
            <w:tcBorders>
              <w:top w:val="single" w:sz="4" w:space="0" w:color="auto"/>
              <w:left w:val="single" w:sz="4" w:space="0" w:color="auto"/>
              <w:right w:val="single" w:sz="4" w:space="0" w:color="auto"/>
            </w:tcBorders>
          </w:tcPr>
          <w:p w14:paraId="3F94838E" w14:textId="77777777" w:rsidR="00F11502" w:rsidRPr="00F13073" w:rsidRDefault="00F11502" w:rsidP="00C37E70">
            <w:pPr>
              <w:suppressAutoHyphens/>
              <w:jc w:val="center"/>
              <w:rPr>
                <w:sz w:val="20"/>
                <w:szCs w:val="20"/>
              </w:rPr>
            </w:pPr>
            <w:r w:rsidRPr="00F13073">
              <w:rPr>
                <w:sz w:val="20"/>
                <w:szCs w:val="20"/>
              </w:rPr>
              <w:t>1,88</w:t>
            </w:r>
          </w:p>
        </w:tc>
      </w:tr>
      <w:tr w:rsidR="00F11502" w:rsidRPr="00F13073" w14:paraId="5E3B06B9" w14:textId="77777777" w:rsidTr="00880192">
        <w:trPr>
          <w:cantSplit/>
          <w:tblHeader/>
        </w:trPr>
        <w:tc>
          <w:tcPr>
            <w:tcW w:w="2837" w:type="dxa"/>
            <w:tcBorders>
              <w:top w:val="single" w:sz="4" w:space="0" w:color="auto"/>
              <w:left w:val="single" w:sz="4" w:space="0" w:color="auto"/>
            </w:tcBorders>
          </w:tcPr>
          <w:p w14:paraId="516265CF" w14:textId="77777777" w:rsidR="00F11502" w:rsidRPr="00F13073" w:rsidRDefault="00F11502"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min</w:t>
            </w:r>
          </w:p>
        </w:tc>
        <w:tc>
          <w:tcPr>
            <w:tcW w:w="2981" w:type="dxa"/>
            <w:tcBorders>
              <w:top w:val="single" w:sz="4" w:space="0" w:color="auto"/>
              <w:left w:val="single" w:sz="4" w:space="0" w:color="auto"/>
            </w:tcBorders>
          </w:tcPr>
          <w:p w14:paraId="46E8900A" w14:textId="77777777" w:rsidR="00F11502" w:rsidRPr="00F13073" w:rsidRDefault="00F11502" w:rsidP="00C37E70">
            <w:pPr>
              <w:suppressAutoHyphens/>
              <w:jc w:val="center"/>
              <w:rPr>
                <w:sz w:val="20"/>
                <w:szCs w:val="20"/>
              </w:rPr>
            </w:pPr>
            <w:r w:rsidRPr="00F13073">
              <w:rPr>
                <w:sz w:val="20"/>
                <w:szCs w:val="20"/>
              </w:rPr>
              <w:t>4,39</w:t>
            </w:r>
          </w:p>
        </w:tc>
        <w:tc>
          <w:tcPr>
            <w:tcW w:w="2986" w:type="dxa"/>
            <w:tcBorders>
              <w:top w:val="single" w:sz="4" w:space="0" w:color="auto"/>
              <w:left w:val="single" w:sz="4" w:space="0" w:color="auto"/>
              <w:right w:val="single" w:sz="4" w:space="0" w:color="auto"/>
            </w:tcBorders>
          </w:tcPr>
          <w:p w14:paraId="62EAA14E" w14:textId="77777777" w:rsidR="00F11502" w:rsidRPr="00F13073" w:rsidRDefault="00F11502" w:rsidP="00C37E70">
            <w:pPr>
              <w:suppressAutoHyphens/>
              <w:jc w:val="center"/>
              <w:rPr>
                <w:sz w:val="20"/>
                <w:szCs w:val="20"/>
              </w:rPr>
            </w:pPr>
            <w:r w:rsidRPr="00F13073">
              <w:rPr>
                <w:sz w:val="20"/>
                <w:szCs w:val="20"/>
              </w:rPr>
              <w:t>3,21</w:t>
            </w:r>
          </w:p>
        </w:tc>
      </w:tr>
      <w:tr w:rsidR="00F11502" w:rsidRPr="00F13073" w14:paraId="5AC33939" w14:textId="77777777" w:rsidTr="00880192">
        <w:trPr>
          <w:cantSplit/>
          <w:tblHeader/>
        </w:trPr>
        <w:tc>
          <w:tcPr>
            <w:tcW w:w="2837" w:type="dxa"/>
            <w:tcBorders>
              <w:top w:val="single" w:sz="4" w:space="0" w:color="auto"/>
              <w:left w:val="single" w:sz="4" w:space="0" w:color="auto"/>
              <w:bottom w:val="single" w:sz="4" w:space="0" w:color="auto"/>
            </w:tcBorders>
          </w:tcPr>
          <w:p w14:paraId="197DDBCC" w14:textId="77777777" w:rsidR="00F11502" w:rsidRPr="00F13073" w:rsidRDefault="00F11502" w:rsidP="008B4C50">
            <w:pPr>
              <w:keepNext/>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AUC</w:t>
            </w:r>
            <w:r w:rsidRPr="00F13073">
              <w:rPr>
                <w:sz w:val="20"/>
                <w:szCs w:val="20"/>
                <w:vertAlign w:val="subscript"/>
              </w:rPr>
              <w:t>τ</w:t>
            </w:r>
            <w:r w:rsidRPr="00F13073">
              <w:rPr>
                <w:sz w:val="20"/>
                <w:szCs w:val="20"/>
              </w:rPr>
              <w:t>*</w:t>
            </w:r>
          </w:p>
        </w:tc>
        <w:tc>
          <w:tcPr>
            <w:tcW w:w="2981" w:type="dxa"/>
            <w:tcBorders>
              <w:top w:val="single" w:sz="4" w:space="0" w:color="auto"/>
              <w:left w:val="single" w:sz="4" w:space="0" w:color="auto"/>
              <w:bottom w:val="single" w:sz="4" w:space="0" w:color="auto"/>
            </w:tcBorders>
          </w:tcPr>
          <w:p w14:paraId="0C65ECDE" w14:textId="77777777" w:rsidR="00F11502" w:rsidRPr="00F13073" w:rsidRDefault="00F11502" w:rsidP="00C37E70">
            <w:pPr>
              <w:keepNext/>
              <w:suppressAutoHyphens/>
              <w:jc w:val="center"/>
              <w:rPr>
                <w:sz w:val="20"/>
                <w:szCs w:val="20"/>
              </w:rPr>
            </w:pPr>
            <w:r w:rsidRPr="00F13073">
              <w:rPr>
                <w:sz w:val="20"/>
                <w:szCs w:val="20"/>
              </w:rPr>
              <w:t>4,28</w:t>
            </w:r>
          </w:p>
        </w:tc>
        <w:tc>
          <w:tcPr>
            <w:tcW w:w="2986" w:type="dxa"/>
            <w:tcBorders>
              <w:top w:val="single" w:sz="4" w:space="0" w:color="auto"/>
              <w:left w:val="single" w:sz="4" w:space="0" w:color="auto"/>
              <w:bottom w:val="single" w:sz="4" w:space="0" w:color="auto"/>
              <w:right w:val="single" w:sz="4" w:space="0" w:color="auto"/>
            </w:tcBorders>
          </w:tcPr>
          <w:p w14:paraId="3D3CA643" w14:textId="77777777" w:rsidR="00F11502" w:rsidRPr="00F13073" w:rsidRDefault="00F11502" w:rsidP="00C37E70">
            <w:pPr>
              <w:keepNext/>
              <w:suppressAutoHyphens/>
              <w:jc w:val="center"/>
              <w:rPr>
                <w:sz w:val="20"/>
                <w:szCs w:val="20"/>
              </w:rPr>
            </w:pPr>
            <w:r w:rsidRPr="00F13073">
              <w:rPr>
                <w:sz w:val="20"/>
                <w:szCs w:val="20"/>
              </w:rPr>
              <w:t>2,27</w:t>
            </w:r>
          </w:p>
        </w:tc>
      </w:tr>
    </w:tbl>
    <w:p w14:paraId="0E77143B" w14:textId="77777777" w:rsidR="00F11502" w:rsidRPr="00F13073" w:rsidRDefault="00F11502" w:rsidP="008B4C50">
      <w:pPr>
        <w:rPr>
          <w:sz w:val="18"/>
          <w:szCs w:val="18"/>
        </w:rPr>
      </w:pPr>
      <w:r w:rsidRPr="00F13073">
        <w:rPr>
          <w:sz w:val="18"/>
          <w:szCs w:val="18"/>
        </w:rPr>
        <w:t>*τ = 1 tydzień lub 2 tygodnie dla dwóch schematów podawania podskórnego</w:t>
      </w:r>
    </w:p>
    <w:p w14:paraId="094FCAB8" w14:textId="77777777" w:rsidR="002945E6" w:rsidRPr="00F13073" w:rsidRDefault="002945E6" w:rsidP="008B4C50"/>
    <w:p w14:paraId="5520998F" w14:textId="77777777" w:rsidR="00335189" w:rsidRPr="00F13073" w:rsidRDefault="00335189" w:rsidP="008B4C50">
      <w:pPr>
        <w:pStyle w:val="a4"/>
        <w:widowControl/>
        <w:spacing w:after="0"/>
        <w:rPr>
          <w:rStyle w:val="Char"/>
        </w:rPr>
      </w:pPr>
      <w:r w:rsidRPr="00F13073">
        <w:rPr>
          <w:rStyle w:val="Char"/>
        </w:rPr>
        <w:t>Po podaniu podskórnym około 90% stanu stacjonarnego osiągnięto do tygodnia 12., zarówno w schemacie dawkowania 162 mg QW, jak i Q2W.</w:t>
      </w:r>
    </w:p>
    <w:p w14:paraId="5EAFDCF0" w14:textId="77777777" w:rsidR="00335189" w:rsidRPr="00F13073" w:rsidRDefault="00335189" w:rsidP="008B4C50">
      <w:pPr>
        <w:pStyle w:val="a4"/>
        <w:widowControl/>
        <w:spacing w:after="0"/>
      </w:pPr>
    </w:p>
    <w:p w14:paraId="1BBBC2CC" w14:textId="77777777" w:rsidR="00335189" w:rsidRPr="00F13073" w:rsidRDefault="00335189" w:rsidP="008B4C50">
      <w:pPr>
        <w:pStyle w:val="a4"/>
        <w:widowControl/>
        <w:spacing w:after="0"/>
      </w:pPr>
      <w:r w:rsidRPr="00F13073">
        <w:rPr>
          <w:rStyle w:val="Char"/>
          <w:u w:val="single"/>
        </w:rPr>
        <w:t>Wchłanianie</w:t>
      </w:r>
    </w:p>
    <w:p w14:paraId="0D2CDD43" w14:textId="77777777" w:rsidR="00335189" w:rsidRPr="00F13073" w:rsidRDefault="00335189" w:rsidP="008B4C50">
      <w:pPr>
        <w:pStyle w:val="a4"/>
        <w:widowControl/>
        <w:spacing w:after="0"/>
        <w:rPr>
          <w:rStyle w:val="Char"/>
        </w:rPr>
      </w:pPr>
      <w:r w:rsidRPr="00F13073">
        <w:rPr>
          <w:rStyle w:val="Char"/>
        </w:rPr>
        <w:t>Po podskórnym podaniu leku pacjentom z uMIZS, okres półtrwania wchłaniania wyniósł około 2 dni, a biodostępność postaci podskórnej u pacjentów z uMIZS wyniosła 95%.</w:t>
      </w:r>
    </w:p>
    <w:p w14:paraId="0D30FBF4" w14:textId="77777777" w:rsidR="00335189" w:rsidRPr="00F13073" w:rsidRDefault="00335189" w:rsidP="008B4C50">
      <w:pPr>
        <w:pStyle w:val="a4"/>
        <w:widowControl/>
        <w:spacing w:after="0"/>
      </w:pPr>
    </w:p>
    <w:p w14:paraId="2B3E845A" w14:textId="77777777" w:rsidR="00335189" w:rsidRPr="00F13073" w:rsidRDefault="00335189" w:rsidP="008B4C50">
      <w:pPr>
        <w:pStyle w:val="a4"/>
        <w:widowControl/>
        <w:spacing w:after="0"/>
      </w:pPr>
      <w:r w:rsidRPr="00F13073">
        <w:rPr>
          <w:rStyle w:val="Char"/>
          <w:u w:val="single"/>
        </w:rPr>
        <w:t>Dystrybucja</w:t>
      </w:r>
    </w:p>
    <w:p w14:paraId="186839D4" w14:textId="77777777" w:rsidR="00335189" w:rsidRPr="00F13073" w:rsidRDefault="00335189" w:rsidP="008B4C50">
      <w:pPr>
        <w:pStyle w:val="a4"/>
        <w:widowControl/>
        <w:spacing w:after="0"/>
        <w:rPr>
          <w:rStyle w:val="Char"/>
        </w:rPr>
      </w:pPr>
      <w:r w:rsidRPr="00F13073">
        <w:rPr>
          <w:rStyle w:val="Char"/>
        </w:rPr>
        <w:t>U dzieci i młodzieży z uMIZS, objętość dystrybucji w kompartmencie centralnym wyniosła 1,87 l, objętość dystrybucji w kompartmencie obwodowym wyniosła 2,14 l, co w efekcie oznaczało objętość dystrybucji w stanie stacjonarnym wynoszącą 4,01 l.</w:t>
      </w:r>
    </w:p>
    <w:p w14:paraId="717F3847" w14:textId="77777777" w:rsidR="00335189" w:rsidRPr="00F13073" w:rsidRDefault="00335189" w:rsidP="008B4C50">
      <w:pPr>
        <w:pStyle w:val="a4"/>
        <w:widowControl/>
        <w:spacing w:after="0"/>
      </w:pPr>
    </w:p>
    <w:p w14:paraId="389EF9D3" w14:textId="77777777" w:rsidR="00335189" w:rsidRPr="00F13073" w:rsidRDefault="00335189" w:rsidP="008B4C50">
      <w:pPr>
        <w:pStyle w:val="a4"/>
        <w:widowControl/>
        <w:spacing w:after="0"/>
      </w:pPr>
      <w:r w:rsidRPr="00F13073">
        <w:rPr>
          <w:rStyle w:val="Char"/>
          <w:u w:val="single"/>
        </w:rPr>
        <w:t>Eliminacja</w:t>
      </w:r>
    </w:p>
    <w:p w14:paraId="45E2DB35" w14:textId="5BA351D1" w:rsidR="00335189" w:rsidRPr="00F13073" w:rsidRDefault="00335189" w:rsidP="00880192">
      <w:pPr>
        <w:pStyle w:val="a4"/>
        <w:widowControl/>
        <w:spacing w:after="0"/>
        <w:rPr>
          <w:rStyle w:val="Char"/>
        </w:rPr>
      </w:pPr>
      <w:r w:rsidRPr="00F13073">
        <w:rPr>
          <w:rStyle w:val="Char"/>
        </w:rPr>
        <w:t>Całkowity klirens tocilizumabu był zależny od stężenia i jest on sumą klirensu liniowego i nieliniowego. Klirens liniowy był szacowany jako parametr w analizie farmakokinetyki populacyjnej i wyniósł 5,7</w:t>
      </w:r>
      <w:r w:rsidR="00880192" w:rsidRPr="00F13073">
        <w:rPr>
          <w:rStyle w:val="Char"/>
        </w:rPr>
        <w:t> </w:t>
      </w:r>
      <w:r w:rsidRPr="00F13073">
        <w:rPr>
          <w:rStyle w:val="Char"/>
        </w:rPr>
        <w:t>ml/h w populacji dzieci i młodzieży z młodzieńczym idiopatycznym zapaleniem stawów o początku uogólnionym. Po podaniu podskórnym efektywny t</w:t>
      </w:r>
      <w:r w:rsidRPr="00F13073">
        <w:rPr>
          <w:rStyle w:val="Char"/>
          <w:sz w:val="14"/>
          <w:szCs w:val="14"/>
        </w:rPr>
        <w:t xml:space="preserve">1/2 </w:t>
      </w:r>
      <w:r w:rsidR="004709C2" w:rsidRPr="00F13073">
        <w:rPr>
          <w:rStyle w:val="Char"/>
        </w:rPr>
        <w:t xml:space="preserve">tocilizumabu </w:t>
      </w:r>
      <w:r w:rsidRPr="00F13073">
        <w:rPr>
          <w:rStyle w:val="Char"/>
        </w:rPr>
        <w:t>u pacjentów z uMIZS wynosi do 14 dni zarówno dla schematu dawkowania 162 mg QW, jak i Q2W w odstępie pomiędzy podaniem dawek w stanie stacjonarnym.</w:t>
      </w:r>
    </w:p>
    <w:p w14:paraId="2B006C01" w14:textId="77777777" w:rsidR="00335189" w:rsidRPr="00F13073" w:rsidRDefault="00335189" w:rsidP="008B4C50">
      <w:pPr>
        <w:pStyle w:val="a4"/>
        <w:widowControl/>
        <w:spacing w:after="0"/>
      </w:pPr>
    </w:p>
    <w:p w14:paraId="4A3C1D7B" w14:textId="77777777" w:rsidR="00335189" w:rsidRPr="00F13073" w:rsidRDefault="00335189" w:rsidP="008B4C50">
      <w:pPr>
        <w:pStyle w:val="a4"/>
        <w:widowControl/>
        <w:spacing w:after="0"/>
      </w:pPr>
      <w:r w:rsidRPr="00F13073">
        <w:rPr>
          <w:rStyle w:val="Char"/>
          <w:u w:val="single"/>
        </w:rPr>
        <w:t>wMIZS</w:t>
      </w:r>
    </w:p>
    <w:p w14:paraId="7F43DD95" w14:textId="77777777" w:rsidR="00335189" w:rsidRPr="00F13073" w:rsidRDefault="00335189" w:rsidP="008B4C50">
      <w:pPr>
        <w:pStyle w:val="a4"/>
        <w:widowControl/>
        <w:spacing w:after="0"/>
      </w:pPr>
      <w:r w:rsidRPr="00F13073">
        <w:rPr>
          <w:rStyle w:val="Char"/>
          <w:u w:val="single"/>
        </w:rPr>
        <w:t>Stosowanie podskórne</w:t>
      </w:r>
    </w:p>
    <w:p w14:paraId="69989E87" w14:textId="101379A5" w:rsidR="002945E6" w:rsidRPr="00F13073" w:rsidRDefault="00335189" w:rsidP="008B4C50">
      <w:pPr>
        <w:rPr>
          <w:rStyle w:val="Char"/>
          <w:rFonts w:eastAsia="DengXian"/>
        </w:rPr>
      </w:pPr>
      <w:r w:rsidRPr="00F13073">
        <w:rPr>
          <w:rStyle w:val="Char"/>
          <w:rFonts w:eastAsia="DengXian"/>
        </w:rPr>
        <w:t xml:space="preserve">Farmakokinetyka </w:t>
      </w:r>
      <w:r w:rsidR="004709C2" w:rsidRPr="00F13073">
        <w:rPr>
          <w:rStyle w:val="Char"/>
          <w:rFonts w:eastAsia="DengXian"/>
        </w:rPr>
        <w:t xml:space="preserve">tocilizumabu </w:t>
      </w:r>
      <w:r w:rsidRPr="00F13073">
        <w:rPr>
          <w:rStyle w:val="Char"/>
          <w:rFonts w:eastAsia="DengXian"/>
        </w:rPr>
        <w:t>u pacjentów z wMIZS została opisana metodą analizy farmakokinetyki populacyjnej, obejmującej 237 pacjentów leczonych dawką 8 mg/kg mc. podawaną dożylnie co 4 tygodnie (pacjenci ważący ≥ 30 kg), 10 mg/kg mc. podawaną dożylnie co 4 tygodnie (pacjenci ważący poniżej 30 kg), 162 mg podawaną podskórnie co 2 tygodnie (pacjenci ważący ≥ 30 kg) lub 162 mg podawaną podskórnie co 3 tygodnie (pacjenci ważący poniżej 30 kg).</w:t>
      </w:r>
    </w:p>
    <w:p w14:paraId="1F06958F" w14:textId="77777777" w:rsidR="00335189" w:rsidRPr="00F13073" w:rsidRDefault="00335189" w:rsidP="008B4C50"/>
    <w:p w14:paraId="5AA453BB" w14:textId="77777777" w:rsidR="002945E6" w:rsidRPr="00F13073" w:rsidRDefault="002945E6" w:rsidP="008B4C50">
      <w:pPr>
        <w:keepNext/>
        <w:ind w:left="1134" w:hanging="1134"/>
        <w:rPr>
          <w:i/>
          <w:iCs/>
        </w:rPr>
      </w:pPr>
      <w:r w:rsidRPr="00F13073">
        <w:rPr>
          <w:i/>
          <w:iCs/>
        </w:rPr>
        <w:t>Tab</w:t>
      </w:r>
      <w:r w:rsidR="001135DB" w:rsidRPr="00F13073">
        <w:rPr>
          <w:i/>
          <w:iCs/>
        </w:rPr>
        <w:t>e</w:t>
      </w:r>
      <w:r w:rsidRPr="00F13073">
        <w:rPr>
          <w:i/>
          <w:iCs/>
        </w:rPr>
        <w:t>l</w:t>
      </w:r>
      <w:r w:rsidR="00335189" w:rsidRPr="00F13073">
        <w:rPr>
          <w:i/>
          <w:iCs/>
        </w:rPr>
        <w:t>a</w:t>
      </w:r>
      <w:r w:rsidRPr="00F13073">
        <w:rPr>
          <w:i/>
          <w:iCs/>
        </w:rPr>
        <w:t xml:space="preserve"> 9.</w:t>
      </w:r>
      <w:r w:rsidRPr="00F13073">
        <w:rPr>
          <w:i/>
          <w:iCs/>
        </w:rPr>
        <w:tab/>
      </w:r>
      <w:r w:rsidR="0058676C" w:rsidRPr="00F13073">
        <w:rPr>
          <w:rStyle w:val="Char"/>
          <w:rFonts w:eastAsia="DengXian"/>
          <w:i/>
          <w:iCs/>
        </w:rPr>
        <w:t>Przewidywana średnia wartość ± SD parametrów farmakokinetycznych w stanie stacjonarnym po podaniu podskórnym w wMIZS</w:t>
      </w:r>
    </w:p>
    <w:p w14:paraId="6D2D2365" w14:textId="77777777" w:rsidR="002945E6" w:rsidRPr="00F13073" w:rsidRDefault="002945E6" w:rsidP="008B4C50">
      <w:pPr>
        <w:keepNext/>
        <w:ind w:left="1134" w:hanging="1134"/>
        <w:rPr>
          <w:i/>
          <w:iCs/>
        </w:rPr>
      </w:pPr>
    </w:p>
    <w:tbl>
      <w:tblPr>
        <w:tblOverlap w:val="never"/>
        <w:tblW w:w="0" w:type="auto"/>
        <w:tblInd w:w="108" w:type="dxa"/>
        <w:tblLayout w:type="fixed"/>
        <w:tblCellMar>
          <w:top w:w="28" w:type="dxa"/>
          <w:bottom w:w="28" w:type="dxa"/>
        </w:tblCellMar>
        <w:tblLook w:val="04A0" w:firstRow="1" w:lastRow="0" w:firstColumn="1" w:lastColumn="0" w:noHBand="0" w:noVBand="1"/>
      </w:tblPr>
      <w:tblGrid>
        <w:gridCol w:w="3114"/>
        <w:gridCol w:w="2814"/>
        <w:gridCol w:w="3003"/>
      </w:tblGrid>
      <w:tr w:rsidR="0058676C" w:rsidRPr="00F13073" w14:paraId="0F94BF2D" w14:textId="77777777" w:rsidTr="00880192">
        <w:trPr>
          <w:cantSplit/>
          <w:tblHeader/>
        </w:trPr>
        <w:tc>
          <w:tcPr>
            <w:tcW w:w="3114" w:type="dxa"/>
            <w:tcBorders>
              <w:top w:val="single" w:sz="4" w:space="0" w:color="auto"/>
              <w:left w:val="single" w:sz="4" w:space="0" w:color="auto"/>
            </w:tcBorders>
          </w:tcPr>
          <w:p w14:paraId="77B3BA32" w14:textId="4BF891C1" w:rsidR="0058676C" w:rsidRPr="00F13073" w:rsidRDefault="0058676C" w:rsidP="008B4C50">
            <w:pPr>
              <w:keepNext/>
              <w:suppressAutoHyphens/>
              <w:rPr>
                <w:b/>
                <w:bCs/>
                <w:sz w:val="20"/>
                <w:szCs w:val="20"/>
              </w:rPr>
            </w:pPr>
            <w:r w:rsidRPr="00F13073">
              <w:rPr>
                <w:rStyle w:val="Other"/>
                <w:rFonts w:eastAsia="DengXian"/>
                <w:b/>
                <w:bCs/>
                <w:sz w:val="20"/>
                <w:szCs w:val="20"/>
              </w:rPr>
              <w:t xml:space="preserve">Parametr farmakokinetyczny </w:t>
            </w:r>
            <w:r w:rsidR="004709C2" w:rsidRPr="00F13073">
              <w:rPr>
                <w:rStyle w:val="Other"/>
                <w:rFonts w:eastAsia="DengXian"/>
                <w:b/>
                <w:bCs/>
                <w:sz w:val="20"/>
                <w:szCs w:val="20"/>
              </w:rPr>
              <w:t>tocilizumabu</w:t>
            </w:r>
          </w:p>
        </w:tc>
        <w:tc>
          <w:tcPr>
            <w:tcW w:w="2814" w:type="dxa"/>
            <w:tcBorders>
              <w:top w:val="single" w:sz="4" w:space="0" w:color="auto"/>
              <w:left w:val="single" w:sz="4" w:space="0" w:color="auto"/>
            </w:tcBorders>
          </w:tcPr>
          <w:p w14:paraId="44FB0E91" w14:textId="77777777" w:rsidR="0058676C" w:rsidRPr="00F13073" w:rsidRDefault="0058676C" w:rsidP="00445E3B">
            <w:pPr>
              <w:keepNext/>
              <w:suppressAutoHyphens/>
              <w:jc w:val="center"/>
              <w:rPr>
                <w:b/>
                <w:bCs/>
                <w:sz w:val="20"/>
                <w:szCs w:val="20"/>
              </w:rPr>
            </w:pPr>
            <w:r w:rsidRPr="00F13073">
              <w:rPr>
                <w:b/>
                <w:bCs/>
                <w:sz w:val="20"/>
                <w:szCs w:val="20"/>
              </w:rPr>
              <w:t>162 mg Q2W ≥ 30 kg</w:t>
            </w:r>
          </w:p>
        </w:tc>
        <w:tc>
          <w:tcPr>
            <w:tcW w:w="3003" w:type="dxa"/>
            <w:tcBorders>
              <w:top w:val="single" w:sz="4" w:space="0" w:color="auto"/>
              <w:left w:val="single" w:sz="4" w:space="0" w:color="auto"/>
              <w:right w:val="single" w:sz="4" w:space="0" w:color="auto"/>
            </w:tcBorders>
          </w:tcPr>
          <w:p w14:paraId="6E6ABAFF" w14:textId="77777777" w:rsidR="0058676C" w:rsidRPr="00F13073" w:rsidRDefault="0058676C" w:rsidP="00445E3B">
            <w:pPr>
              <w:keepNext/>
              <w:suppressAutoHyphens/>
              <w:jc w:val="center"/>
              <w:rPr>
                <w:b/>
                <w:bCs/>
                <w:sz w:val="20"/>
                <w:szCs w:val="20"/>
              </w:rPr>
            </w:pPr>
            <w:r w:rsidRPr="00F13073">
              <w:rPr>
                <w:b/>
                <w:bCs/>
                <w:sz w:val="20"/>
                <w:szCs w:val="20"/>
              </w:rPr>
              <w:t xml:space="preserve">162 mg Q3W </w:t>
            </w:r>
            <w:r w:rsidRPr="00F13073">
              <w:rPr>
                <w:rStyle w:val="Other"/>
                <w:rFonts w:eastAsia="DengXian"/>
                <w:b/>
                <w:bCs/>
                <w:sz w:val="20"/>
                <w:szCs w:val="20"/>
              </w:rPr>
              <w:t xml:space="preserve">poniżej </w:t>
            </w:r>
            <w:r w:rsidRPr="00F13073">
              <w:rPr>
                <w:b/>
                <w:bCs/>
                <w:sz w:val="20"/>
                <w:szCs w:val="20"/>
              </w:rPr>
              <w:t>30 kg</w:t>
            </w:r>
          </w:p>
        </w:tc>
      </w:tr>
      <w:tr w:rsidR="0058676C" w:rsidRPr="00F13073" w14:paraId="1386E109" w14:textId="77777777" w:rsidTr="00880192">
        <w:trPr>
          <w:cantSplit/>
          <w:tblHeader/>
        </w:trPr>
        <w:tc>
          <w:tcPr>
            <w:tcW w:w="3114" w:type="dxa"/>
            <w:tcBorders>
              <w:top w:val="single" w:sz="4" w:space="0" w:color="auto"/>
              <w:left w:val="single" w:sz="4" w:space="0" w:color="auto"/>
            </w:tcBorders>
          </w:tcPr>
          <w:p w14:paraId="5876E29C" w14:textId="77777777" w:rsidR="0058676C" w:rsidRPr="00F13073" w:rsidRDefault="0058676C" w:rsidP="008B4C50">
            <w:pPr>
              <w:suppressAutoHyphens/>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814" w:type="dxa"/>
            <w:tcBorders>
              <w:top w:val="single" w:sz="4" w:space="0" w:color="auto"/>
              <w:left w:val="single" w:sz="4" w:space="0" w:color="auto"/>
            </w:tcBorders>
          </w:tcPr>
          <w:p w14:paraId="63E05C87" w14:textId="77777777" w:rsidR="0058676C" w:rsidRPr="00F13073" w:rsidRDefault="0058676C" w:rsidP="00445E3B">
            <w:pPr>
              <w:suppressAutoHyphens/>
              <w:jc w:val="center"/>
              <w:rPr>
                <w:sz w:val="20"/>
                <w:szCs w:val="20"/>
              </w:rPr>
            </w:pPr>
            <w:r w:rsidRPr="00F13073">
              <w:rPr>
                <w:sz w:val="20"/>
                <w:szCs w:val="20"/>
              </w:rPr>
              <w:t>29,4 ± 13,5</w:t>
            </w:r>
          </w:p>
        </w:tc>
        <w:tc>
          <w:tcPr>
            <w:tcW w:w="3003" w:type="dxa"/>
            <w:tcBorders>
              <w:top w:val="single" w:sz="4" w:space="0" w:color="auto"/>
              <w:left w:val="single" w:sz="4" w:space="0" w:color="auto"/>
              <w:right w:val="single" w:sz="4" w:space="0" w:color="auto"/>
            </w:tcBorders>
          </w:tcPr>
          <w:p w14:paraId="314A896D" w14:textId="77777777" w:rsidR="0058676C" w:rsidRPr="00F13073" w:rsidRDefault="0058676C" w:rsidP="00445E3B">
            <w:pPr>
              <w:suppressAutoHyphens/>
              <w:jc w:val="center"/>
              <w:rPr>
                <w:sz w:val="20"/>
                <w:szCs w:val="20"/>
              </w:rPr>
            </w:pPr>
            <w:r w:rsidRPr="00F13073">
              <w:rPr>
                <w:sz w:val="20"/>
                <w:szCs w:val="20"/>
              </w:rPr>
              <w:t>75,5 ± 24,1</w:t>
            </w:r>
          </w:p>
        </w:tc>
      </w:tr>
      <w:tr w:rsidR="0058676C" w:rsidRPr="00F13073" w14:paraId="6F210990" w14:textId="77777777" w:rsidTr="00880192">
        <w:trPr>
          <w:cantSplit/>
          <w:tblHeader/>
        </w:trPr>
        <w:tc>
          <w:tcPr>
            <w:tcW w:w="3114" w:type="dxa"/>
            <w:tcBorders>
              <w:top w:val="single" w:sz="4" w:space="0" w:color="auto"/>
              <w:left w:val="single" w:sz="4" w:space="0" w:color="auto"/>
            </w:tcBorders>
          </w:tcPr>
          <w:p w14:paraId="3873BFDB" w14:textId="77777777" w:rsidR="0058676C" w:rsidRPr="00F13073" w:rsidRDefault="0058676C" w:rsidP="008B4C50">
            <w:pPr>
              <w:suppressAutoHyphens/>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814" w:type="dxa"/>
            <w:tcBorders>
              <w:top w:val="single" w:sz="4" w:space="0" w:color="auto"/>
              <w:left w:val="single" w:sz="4" w:space="0" w:color="auto"/>
            </w:tcBorders>
          </w:tcPr>
          <w:p w14:paraId="4B940721" w14:textId="77777777" w:rsidR="0058676C" w:rsidRPr="00F13073" w:rsidRDefault="0058676C" w:rsidP="00445E3B">
            <w:pPr>
              <w:suppressAutoHyphens/>
              <w:jc w:val="center"/>
              <w:rPr>
                <w:sz w:val="20"/>
                <w:szCs w:val="20"/>
              </w:rPr>
            </w:pPr>
            <w:r w:rsidRPr="00F13073">
              <w:rPr>
                <w:sz w:val="20"/>
                <w:szCs w:val="20"/>
              </w:rPr>
              <w:t>11,8 ± 7,08</w:t>
            </w:r>
          </w:p>
        </w:tc>
        <w:tc>
          <w:tcPr>
            <w:tcW w:w="3003" w:type="dxa"/>
            <w:tcBorders>
              <w:top w:val="single" w:sz="4" w:space="0" w:color="auto"/>
              <w:left w:val="single" w:sz="4" w:space="0" w:color="auto"/>
              <w:right w:val="single" w:sz="4" w:space="0" w:color="auto"/>
            </w:tcBorders>
          </w:tcPr>
          <w:p w14:paraId="08E25D46" w14:textId="77777777" w:rsidR="0058676C" w:rsidRPr="00F13073" w:rsidRDefault="0058676C" w:rsidP="00445E3B">
            <w:pPr>
              <w:suppressAutoHyphens/>
              <w:jc w:val="center"/>
              <w:rPr>
                <w:sz w:val="20"/>
                <w:szCs w:val="20"/>
              </w:rPr>
            </w:pPr>
            <w:r w:rsidRPr="00F13073">
              <w:rPr>
                <w:sz w:val="20"/>
                <w:szCs w:val="20"/>
              </w:rPr>
              <w:t>18,4 ± 12,9</w:t>
            </w:r>
          </w:p>
        </w:tc>
      </w:tr>
      <w:tr w:rsidR="0058676C" w:rsidRPr="00F13073" w14:paraId="6762EB43" w14:textId="77777777" w:rsidTr="00880192">
        <w:trPr>
          <w:cantSplit/>
          <w:tblHeader/>
        </w:trPr>
        <w:tc>
          <w:tcPr>
            <w:tcW w:w="3114" w:type="dxa"/>
            <w:tcBorders>
              <w:top w:val="single" w:sz="4" w:space="0" w:color="auto"/>
              <w:left w:val="single" w:sz="4" w:space="0" w:color="auto"/>
            </w:tcBorders>
          </w:tcPr>
          <w:p w14:paraId="6178CFEC" w14:textId="77777777" w:rsidR="0058676C" w:rsidRPr="00F13073" w:rsidRDefault="0058676C" w:rsidP="008B4C50">
            <w:pPr>
              <w:suppressAutoHyphens/>
              <w:rPr>
                <w:sz w:val="20"/>
                <w:szCs w:val="20"/>
              </w:rPr>
            </w:pPr>
            <w:r w:rsidRPr="00F13073">
              <w:rPr>
                <w:sz w:val="20"/>
                <w:szCs w:val="20"/>
              </w:rPr>
              <w:t>C</w:t>
            </w:r>
            <w:r w:rsidRPr="00F13073">
              <w:rPr>
                <w:sz w:val="20"/>
                <w:szCs w:val="20"/>
                <w:vertAlign w:val="subscript"/>
              </w:rPr>
              <w:t>średnie</w:t>
            </w:r>
            <w:r w:rsidRPr="00F13073">
              <w:rPr>
                <w:sz w:val="20"/>
                <w:szCs w:val="20"/>
              </w:rPr>
              <w:t xml:space="preserve"> (µg/mL)</w:t>
            </w:r>
          </w:p>
        </w:tc>
        <w:tc>
          <w:tcPr>
            <w:tcW w:w="2814" w:type="dxa"/>
            <w:tcBorders>
              <w:top w:val="single" w:sz="4" w:space="0" w:color="auto"/>
              <w:left w:val="single" w:sz="4" w:space="0" w:color="auto"/>
            </w:tcBorders>
          </w:tcPr>
          <w:p w14:paraId="72CD7F40" w14:textId="77777777" w:rsidR="0058676C" w:rsidRPr="00F13073" w:rsidRDefault="0058676C" w:rsidP="00445E3B">
            <w:pPr>
              <w:suppressAutoHyphens/>
              <w:jc w:val="center"/>
              <w:rPr>
                <w:sz w:val="20"/>
                <w:szCs w:val="20"/>
              </w:rPr>
            </w:pPr>
            <w:r w:rsidRPr="00F13073">
              <w:rPr>
                <w:sz w:val="20"/>
                <w:szCs w:val="20"/>
              </w:rPr>
              <w:t>21,7 ± 10,4</w:t>
            </w:r>
          </w:p>
        </w:tc>
        <w:tc>
          <w:tcPr>
            <w:tcW w:w="3003" w:type="dxa"/>
            <w:tcBorders>
              <w:top w:val="single" w:sz="4" w:space="0" w:color="auto"/>
              <w:left w:val="single" w:sz="4" w:space="0" w:color="auto"/>
              <w:right w:val="single" w:sz="4" w:space="0" w:color="auto"/>
            </w:tcBorders>
          </w:tcPr>
          <w:p w14:paraId="5097B761" w14:textId="77777777" w:rsidR="0058676C" w:rsidRPr="00F13073" w:rsidRDefault="0058676C" w:rsidP="00445E3B">
            <w:pPr>
              <w:suppressAutoHyphens/>
              <w:jc w:val="center"/>
              <w:rPr>
                <w:sz w:val="20"/>
                <w:szCs w:val="20"/>
              </w:rPr>
            </w:pPr>
            <w:r w:rsidRPr="00F13073">
              <w:rPr>
                <w:sz w:val="20"/>
                <w:szCs w:val="20"/>
              </w:rPr>
              <w:t>45,5 ± 19,8</w:t>
            </w:r>
          </w:p>
        </w:tc>
      </w:tr>
      <w:tr w:rsidR="0058676C" w:rsidRPr="00F13073" w14:paraId="0A79B9F9" w14:textId="77777777" w:rsidTr="00880192">
        <w:trPr>
          <w:cantSplit/>
          <w:tblHeader/>
        </w:trPr>
        <w:tc>
          <w:tcPr>
            <w:tcW w:w="3114" w:type="dxa"/>
            <w:tcBorders>
              <w:top w:val="single" w:sz="4" w:space="0" w:color="auto"/>
              <w:left w:val="single" w:sz="4" w:space="0" w:color="auto"/>
            </w:tcBorders>
          </w:tcPr>
          <w:p w14:paraId="58E8602D" w14:textId="77777777" w:rsidR="0058676C" w:rsidRPr="00F13073" w:rsidRDefault="0058676C"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max</w:t>
            </w:r>
          </w:p>
        </w:tc>
        <w:tc>
          <w:tcPr>
            <w:tcW w:w="2814" w:type="dxa"/>
            <w:tcBorders>
              <w:top w:val="single" w:sz="4" w:space="0" w:color="auto"/>
              <w:left w:val="single" w:sz="4" w:space="0" w:color="auto"/>
            </w:tcBorders>
          </w:tcPr>
          <w:p w14:paraId="65BE7B55" w14:textId="77777777" w:rsidR="0058676C" w:rsidRPr="00F13073" w:rsidRDefault="0058676C" w:rsidP="00445E3B">
            <w:pPr>
              <w:suppressAutoHyphens/>
              <w:jc w:val="center"/>
              <w:rPr>
                <w:sz w:val="20"/>
                <w:szCs w:val="20"/>
              </w:rPr>
            </w:pPr>
            <w:r w:rsidRPr="00F13073">
              <w:rPr>
                <w:sz w:val="20"/>
                <w:szCs w:val="20"/>
              </w:rPr>
              <w:t>1,72</w:t>
            </w:r>
          </w:p>
        </w:tc>
        <w:tc>
          <w:tcPr>
            <w:tcW w:w="3003" w:type="dxa"/>
            <w:tcBorders>
              <w:top w:val="single" w:sz="4" w:space="0" w:color="auto"/>
              <w:left w:val="single" w:sz="4" w:space="0" w:color="auto"/>
              <w:right w:val="single" w:sz="4" w:space="0" w:color="auto"/>
            </w:tcBorders>
          </w:tcPr>
          <w:p w14:paraId="578E55AD" w14:textId="77777777" w:rsidR="0058676C" w:rsidRPr="00F13073" w:rsidRDefault="0058676C" w:rsidP="00445E3B">
            <w:pPr>
              <w:suppressAutoHyphens/>
              <w:jc w:val="center"/>
              <w:rPr>
                <w:sz w:val="20"/>
                <w:szCs w:val="20"/>
              </w:rPr>
            </w:pPr>
            <w:r w:rsidRPr="00F13073">
              <w:rPr>
                <w:sz w:val="20"/>
                <w:szCs w:val="20"/>
              </w:rPr>
              <w:t>1,32</w:t>
            </w:r>
          </w:p>
        </w:tc>
      </w:tr>
      <w:tr w:rsidR="0058676C" w:rsidRPr="00F13073" w14:paraId="3F6E2B4B" w14:textId="77777777" w:rsidTr="00880192">
        <w:trPr>
          <w:cantSplit/>
          <w:tblHeader/>
        </w:trPr>
        <w:tc>
          <w:tcPr>
            <w:tcW w:w="3114" w:type="dxa"/>
            <w:tcBorders>
              <w:top w:val="single" w:sz="4" w:space="0" w:color="auto"/>
              <w:left w:val="single" w:sz="4" w:space="0" w:color="auto"/>
            </w:tcBorders>
          </w:tcPr>
          <w:p w14:paraId="7AE03D0D" w14:textId="77777777" w:rsidR="0058676C" w:rsidRPr="00F13073" w:rsidRDefault="0058676C"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min</w:t>
            </w:r>
          </w:p>
        </w:tc>
        <w:tc>
          <w:tcPr>
            <w:tcW w:w="2814" w:type="dxa"/>
            <w:tcBorders>
              <w:top w:val="single" w:sz="4" w:space="0" w:color="auto"/>
              <w:left w:val="single" w:sz="4" w:space="0" w:color="auto"/>
            </w:tcBorders>
          </w:tcPr>
          <w:p w14:paraId="07931363" w14:textId="77777777" w:rsidR="0058676C" w:rsidRPr="00F13073" w:rsidRDefault="0058676C" w:rsidP="00445E3B">
            <w:pPr>
              <w:suppressAutoHyphens/>
              <w:jc w:val="center"/>
              <w:rPr>
                <w:sz w:val="20"/>
                <w:szCs w:val="20"/>
              </w:rPr>
            </w:pPr>
            <w:r w:rsidRPr="00F13073">
              <w:rPr>
                <w:sz w:val="20"/>
                <w:szCs w:val="20"/>
              </w:rPr>
              <w:t>3,58</w:t>
            </w:r>
          </w:p>
        </w:tc>
        <w:tc>
          <w:tcPr>
            <w:tcW w:w="3003" w:type="dxa"/>
            <w:tcBorders>
              <w:top w:val="single" w:sz="4" w:space="0" w:color="auto"/>
              <w:left w:val="single" w:sz="4" w:space="0" w:color="auto"/>
              <w:right w:val="single" w:sz="4" w:space="0" w:color="auto"/>
            </w:tcBorders>
          </w:tcPr>
          <w:p w14:paraId="305B7397" w14:textId="77777777" w:rsidR="0058676C" w:rsidRPr="00F13073" w:rsidRDefault="0058676C" w:rsidP="00445E3B">
            <w:pPr>
              <w:suppressAutoHyphens/>
              <w:jc w:val="center"/>
              <w:rPr>
                <w:sz w:val="20"/>
                <w:szCs w:val="20"/>
              </w:rPr>
            </w:pPr>
            <w:r w:rsidRPr="00F13073">
              <w:rPr>
                <w:sz w:val="20"/>
                <w:szCs w:val="20"/>
              </w:rPr>
              <w:t>2,08</w:t>
            </w:r>
          </w:p>
        </w:tc>
      </w:tr>
      <w:tr w:rsidR="0058676C" w:rsidRPr="00F13073" w14:paraId="472B0F27" w14:textId="77777777" w:rsidTr="00880192">
        <w:trPr>
          <w:cantSplit/>
          <w:tblHeader/>
        </w:trPr>
        <w:tc>
          <w:tcPr>
            <w:tcW w:w="3114" w:type="dxa"/>
            <w:tcBorders>
              <w:top w:val="single" w:sz="4" w:space="0" w:color="auto"/>
              <w:left w:val="single" w:sz="4" w:space="0" w:color="auto"/>
              <w:bottom w:val="single" w:sz="4" w:space="0" w:color="auto"/>
            </w:tcBorders>
          </w:tcPr>
          <w:p w14:paraId="007FA202" w14:textId="77777777" w:rsidR="0058676C" w:rsidRPr="00F13073" w:rsidRDefault="0058676C" w:rsidP="008B4C50">
            <w:pPr>
              <w:suppressAutoHyphens/>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AUC</w:t>
            </w:r>
            <w:r w:rsidRPr="00F13073">
              <w:rPr>
                <w:sz w:val="20"/>
                <w:szCs w:val="20"/>
                <w:vertAlign w:val="subscript"/>
              </w:rPr>
              <w:t>τ</w:t>
            </w:r>
            <w:r w:rsidRPr="00F13073">
              <w:rPr>
                <w:sz w:val="20"/>
                <w:szCs w:val="20"/>
              </w:rPr>
              <w:t xml:space="preserve"> *</w:t>
            </w:r>
          </w:p>
        </w:tc>
        <w:tc>
          <w:tcPr>
            <w:tcW w:w="2814" w:type="dxa"/>
            <w:tcBorders>
              <w:top w:val="single" w:sz="4" w:space="0" w:color="auto"/>
              <w:left w:val="single" w:sz="4" w:space="0" w:color="auto"/>
              <w:bottom w:val="single" w:sz="4" w:space="0" w:color="auto"/>
            </w:tcBorders>
          </w:tcPr>
          <w:p w14:paraId="3B76DE53" w14:textId="77777777" w:rsidR="0058676C" w:rsidRPr="00F13073" w:rsidRDefault="0058676C" w:rsidP="00445E3B">
            <w:pPr>
              <w:suppressAutoHyphens/>
              <w:jc w:val="center"/>
              <w:rPr>
                <w:sz w:val="20"/>
                <w:szCs w:val="20"/>
              </w:rPr>
            </w:pPr>
            <w:r w:rsidRPr="00F13073">
              <w:rPr>
                <w:sz w:val="20"/>
                <w:szCs w:val="20"/>
              </w:rPr>
              <w:t>2,04</w:t>
            </w:r>
          </w:p>
        </w:tc>
        <w:tc>
          <w:tcPr>
            <w:tcW w:w="3003" w:type="dxa"/>
            <w:tcBorders>
              <w:top w:val="single" w:sz="4" w:space="0" w:color="auto"/>
              <w:left w:val="single" w:sz="4" w:space="0" w:color="auto"/>
              <w:bottom w:val="single" w:sz="4" w:space="0" w:color="auto"/>
              <w:right w:val="single" w:sz="4" w:space="0" w:color="auto"/>
            </w:tcBorders>
          </w:tcPr>
          <w:p w14:paraId="5A3BE773" w14:textId="77777777" w:rsidR="0058676C" w:rsidRPr="00F13073" w:rsidRDefault="0058676C" w:rsidP="00445E3B">
            <w:pPr>
              <w:suppressAutoHyphens/>
              <w:jc w:val="center"/>
              <w:rPr>
                <w:sz w:val="20"/>
                <w:szCs w:val="20"/>
              </w:rPr>
            </w:pPr>
            <w:r w:rsidRPr="00F13073">
              <w:rPr>
                <w:sz w:val="20"/>
                <w:szCs w:val="20"/>
              </w:rPr>
              <w:t>1,46</w:t>
            </w:r>
          </w:p>
        </w:tc>
      </w:tr>
    </w:tbl>
    <w:p w14:paraId="59F125FB" w14:textId="77777777" w:rsidR="0058676C" w:rsidRPr="00F13073" w:rsidRDefault="0058676C" w:rsidP="008B4C50">
      <w:pPr>
        <w:rPr>
          <w:sz w:val="18"/>
          <w:szCs w:val="18"/>
        </w:rPr>
      </w:pPr>
      <w:r w:rsidRPr="00F13073">
        <w:rPr>
          <w:sz w:val="18"/>
          <w:szCs w:val="18"/>
        </w:rPr>
        <w:t xml:space="preserve">*τ = 2 tygodnie lub 3 tygodnie dla dwóch schematów podawania </w:t>
      </w:r>
      <w:r w:rsidR="00704D3C" w:rsidRPr="00F13073">
        <w:rPr>
          <w:sz w:val="18"/>
          <w:szCs w:val="18"/>
        </w:rPr>
        <w:t>podskórnego</w:t>
      </w:r>
    </w:p>
    <w:p w14:paraId="134AEDB8" w14:textId="77777777" w:rsidR="002945E6" w:rsidRPr="00F13073" w:rsidRDefault="002945E6" w:rsidP="008B4C50"/>
    <w:p w14:paraId="3C8E7606" w14:textId="77777777" w:rsidR="00AD531A" w:rsidRPr="00F13073" w:rsidRDefault="00AD531A" w:rsidP="008B4C50">
      <w:pPr>
        <w:pStyle w:val="a4"/>
        <w:widowControl/>
        <w:spacing w:after="0"/>
        <w:rPr>
          <w:rStyle w:val="Char"/>
        </w:rPr>
      </w:pPr>
      <w:r w:rsidRPr="00F13073">
        <w:rPr>
          <w:rStyle w:val="Char"/>
        </w:rPr>
        <w:lastRenderedPageBreak/>
        <w:t>Po podaniu dożylnym około 90% stanu stacjonarnego osiągano do tygodnia 12. dla dawki 10 mg/kg mc. (masa ciała &lt; 30 kg) i do tygodnia 16. dla dawki 8 mg/kg mc. (masa ciała ≥ 30 kg). Po podaniu podskórnym około 90% stanu stacjonarnego osiągano do tygodnia 12., zarówno w schemacie dawkowania podskórnego 162 mg Q2W, jak i Q3W.</w:t>
      </w:r>
    </w:p>
    <w:p w14:paraId="40529747" w14:textId="77777777" w:rsidR="00AD531A" w:rsidRPr="00F13073" w:rsidRDefault="00AD531A" w:rsidP="008B4C50">
      <w:pPr>
        <w:pStyle w:val="a4"/>
        <w:widowControl/>
        <w:spacing w:after="0"/>
      </w:pPr>
    </w:p>
    <w:p w14:paraId="3B824321" w14:textId="77777777" w:rsidR="00AD531A" w:rsidRPr="00F13073" w:rsidRDefault="00AD531A" w:rsidP="008B4C50">
      <w:pPr>
        <w:pStyle w:val="a4"/>
        <w:widowControl/>
        <w:spacing w:after="0"/>
      </w:pPr>
      <w:r w:rsidRPr="00F13073">
        <w:rPr>
          <w:rStyle w:val="Char"/>
          <w:u w:val="single"/>
        </w:rPr>
        <w:t>Wchłanianie</w:t>
      </w:r>
    </w:p>
    <w:p w14:paraId="0F5615A5" w14:textId="77777777" w:rsidR="00AD531A" w:rsidRPr="00F13073" w:rsidRDefault="00AD531A" w:rsidP="008B4C50">
      <w:pPr>
        <w:pStyle w:val="a4"/>
        <w:widowControl/>
        <w:spacing w:after="0"/>
        <w:rPr>
          <w:rStyle w:val="Char"/>
        </w:rPr>
      </w:pPr>
      <w:r w:rsidRPr="00F13073">
        <w:rPr>
          <w:rStyle w:val="Char"/>
        </w:rPr>
        <w:t>Po podskórnym podaniu leku pacjentom z wMIZS, okres półtrwania wchłaniania wyniósł około 2 dni, a biodostępność postaci podskórnej u pacjentów z wMIZS wyniosła 96%.</w:t>
      </w:r>
    </w:p>
    <w:p w14:paraId="74890772" w14:textId="77777777" w:rsidR="00AD531A" w:rsidRPr="00F13073" w:rsidRDefault="00AD531A" w:rsidP="008B4C50">
      <w:pPr>
        <w:pStyle w:val="a4"/>
        <w:widowControl/>
        <w:spacing w:after="0"/>
      </w:pPr>
    </w:p>
    <w:p w14:paraId="47EF9C92" w14:textId="77777777" w:rsidR="00AD531A" w:rsidRPr="00F13073" w:rsidRDefault="00AD531A" w:rsidP="008B4C50">
      <w:pPr>
        <w:pStyle w:val="a4"/>
        <w:widowControl/>
        <w:spacing w:after="0"/>
      </w:pPr>
      <w:r w:rsidRPr="00F13073">
        <w:rPr>
          <w:rStyle w:val="Char"/>
          <w:u w:val="single"/>
        </w:rPr>
        <w:t>Dystrybucja</w:t>
      </w:r>
    </w:p>
    <w:p w14:paraId="4E566621" w14:textId="77777777" w:rsidR="00AD531A" w:rsidRPr="00F13073" w:rsidRDefault="00AD531A" w:rsidP="008B4C50">
      <w:pPr>
        <w:pStyle w:val="a4"/>
        <w:widowControl/>
        <w:spacing w:after="0"/>
        <w:rPr>
          <w:rStyle w:val="Char"/>
        </w:rPr>
      </w:pPr>
      <w:r w:rsidRPr="00F13073">
        <w:rPr>
          <w:rStyle w:val="Char"/>
        </w:rPr>
        <w:t>U dzieci i młodzieży z wMIZS, objętość dystrybucji w kompartmencie centralnym wyniosła 1,97 l, objętość dystrybucji w kompartmencie obwodowym wyniosła 2,03 l, co w efekcie oznaczało objętość dystrybucji w stanie stacjonarnym wynoszącą 4,0 l.</w:t>
      </w:r>
    </w:p>
    <w:p w14:paraId="6398D8B4" w14:textId="77777777" w:rsidR="00AD531A" w:rsidRPr="00F13073" w:rsidRDefault="00AD531A" w:rsidP="008B4C50">
      <w:pPr>
        <w:pStyle w:val="a4"/>
        <w:widowControl/>
        <w:spacing w:after="0"/>
      </w:pPr>
    </w:p>
    <w:p w14:paraId="79BE4DA0" w14:textId="77777777" w:rsidR="00AD531A" w:rsidRPr="00F13073" w:rsidRDefault="00AD531A" w:rsidP="00192DA2">
      <w:pPr>
        <w:pStyle w:val="a4"/>
        <w:keepNext/>
        <w:keepLines/>
        <w:widowControl/>
        <w:spacing w:after="0"/>
        <w:rPr>
          <w:u w:val="single"/>
        </w:rPr>
      </w:pPr>
      <w:r w:rsidRPr="00F13073">
        <w:rPr>
          <w:rStyle w:val="Char"/>
          <w:u w:val="single"/>
        </w:rPr>
        <w:t>Eliminacja</w:t>
      </w:r>
    </w:p>
    <w:p w14:paraId="14B4E3F8" w14:textId="77777777" w:rsidR="00AD531A" w:rsidRPr="00F13073" w:rsidRDefault="00AD531A" w:rsidP="008B4C50">
      <w:pPr>
        <w:pStyle w:val="a4"/>
        <w:widowControl/>
        <w:spacing w:after="0"/>
        <w:rPr>
          <w:rStyle w:val="Char"/>
        </w:rPr>
      </w:pPr>
      <w:r w:rsidRPr="00F13073">
        <w:rPr>
          <w:rStyle w:val="Char"/>
        </w:rPr>
        <w:t>Analiza farmakokinetyczna populacji pacjentów z wMIZS wykazała zależność klirensu liniowego od wielkości ciała, dlatego należy wziąć pod uwagę ustalenie dawkowania z uwzględnieniem masy ciała (patrz Tabela 9).</w:t>
      </w:r>
    </w:p>
    <w:p w14:paraId="7A9A69D9" w14:textId="77777777" w:rsidR="00AD531A" w:rsidRPr="00F13073" w:rsidRDefault="00AD531A" w:rsidP="008B4C50">
      <w:pPr>
        <w:pStyle w:val="a4"/>
        <w:widowControl/>
        <w:spacing w:after="0"/>
      </w:pPr>
    </w:p>
    <w:p w14:paraId="10DB91FC" w14:textId="67078197" w:rsidR="00AD531A" w:rsidRPr="00F13073" w:rsidRDefault="00AD531A" w:rsidP="008B4C50">
      <w:pPr>
        <w:pStyle w:val="a4"/>
        <w:widowControl/>
        <w:spacing w:after="0"/>
        <w:rPr>
          <w:rStyle w:val="Char"/>
        </w:rPr>
      </w:pPr>
      <w:r w:rsidRPr="00F13073">
        <w:rPr>
          <w:rStyle w:val="Char"/>
        </w:rPr>
        <w:t>Po podaniu podskórnym efektywny okres półtrwania t</w:t>
      </w:r>
      <w:r w:rsidRPr="00F13073">
        <w:rPr>
          <w:rStyle w:val="Char"/>
          <w:vertAlign w:val="subscript"/>
        </w:rPr>
        <w:t>1/2</w:t>
      </w:r>
      <w:r w:rsidRPr="00F13073">
        <w:rPr>
          <w:rStyle w:val="Char"/>
        </w:rPr>
        <w:t xml:space="preserve"> </w:t>
      </w:r>
      <w:r w:rsidR="004709C2" w:rsidRPr="00F13073">
        <w:rPr>
          <w:rStyle w:val="Char"/>
        </w:rPr>
        <w:t xml:space="preserve">tocilizumabu </w:t>
      </w:r>
      <w:r w:rsidRPr="00F13073">
        <w:rPr>
          <w:rStyle w:val="Char"/>
        </w:rPr>
        <w:t>u pacjentów z wMIZS wynosi do 10 dni dla pacjentów o masie ciała &lt; 30 kg (162 mg podskórnie Q3W) i do 7 dni dla pacjentów o masie ciała ≥ 30 kg (162 mg podskórnie Q2W) podczas odstępu między dawkami w stanie stacjonarnym. Po podaniu dożylnym tocilizumab podlega dwufazowej eliminacji z krążenia. Całkowity klirens tocilizumabu był zależny od stężenia i jest on sumą klirensu liniowego i nieliniowego. Klirens liniowy był szacowany jako parametr w analizie farmakokinetyki populacyjnej i wyniósł 6,25 ml/h. Nieliniowy klirens zależny od stężenia odgrywa ważną rolę przy małych stężeniach tocilizumabu. Po wysyceniu szlaku klirensu nieliniowego, przy większych stężeniach tocilizumabu klirens zależy głównie od klirensu liniowego.</w:t>
      </w:r>
    </w:p>
    <w:p w14:paraId="527C369B" w14:textId="77777777" w:rsidR="00AD531A" w:rsidRPr="00F13073" w:rsidRDefault="00AD531A" w:rsidP="008B4C50">
      <w:pPr>
        <w:pStyle w:val="a4"/>
        <w:widowControl/>
        <w:spacing w:after="0"/>
      </w:pPr>
    </w:p>
    <w:p w14:paraId="0247ABC8" w14:textId="77777777" w:rsidR="00AD531A" w:rsidRPr="00F13073" w:rsidRDefault="00AD531A" w:rsidP="008B4C50">
      <w:pPr>
        <w:pStyle w:val="a4"/>
        <w:widowControl/>
        <w:spacing w:after="0"/>
      </w:pPr>
      <w:r w:rsidRPr="00F13073">
        <w:rPr>
          <w:rStyle w:val="Char"/>
          <w:u w:val="single"/>
        </w:rPr>
        <w:t>GCA</w:t>
      </w:r>
    </w:p>
    <w:p w14:paraId="1295D879" w14:textId="77777777" w:rsidR="00AD531A" w:rsidRPr="00F13073" w:rsidRDefault="00AD531A" w:rsidP="008B4C50">
      <w:pPr>
        <w:pStyle w:val="a4"/>
        <w:widowControl/>
        <w:spacing w:after="0"/>
      </w:pPr>
      <w:r w:rsidRPr="00F13073">
        <w:rPr>
          <w:rStyle w:val="Char"/>
          <w:u w:val="single"/>
        </w:rPr>
        <w:t>Stosowanie podskórne</w:t>
      </w:r>
    </w:p>
    <w:p w14:paraId="199E5202" w14:textId="1B8F484C" w:rsidR="002945E6" w:rsidRPr="00F13073" w:rsidRDefault="00AD531A" w:rsidP="006453AC">
      <w:pPr>
        <w:rPr>
          <w:rStyle w:val="Char"/>
          <w:rFonts w:eastAsia="DengXian"/>
        </w:rPr>
      </w:pPr>
      <w:r w:rsidRPr="00F13073">
        <w:rPr>
          <w:rStyle w:val="Char"/>
          <w:rFonts w:eastAsia="DengXian"/>
        </w:rPr>
        <w:t xml:space="preserve">Właściwości farmakokinetyczne </w:t>
      </w:r>
      <w:r w:rsidR="00553291" w:rsidRPr="00F13073">
        <w:rPr>
          <w:rStyle w:val="Char"/>
          <w:rFonts w:eastAsia="DengXian"/>
        </w:rPr>
        <w:t xml:space="preserve">tocilizumabu </w:t>
      </w:r>
      <w:r w:rsidRPr="00F13073">
        <w:rPr>
          <w:rStyle w:val="Char"/>
          <w:rFonts w:eastAsia="DengXian"/>
        </w:rPr>
        <w:t>u pacjentów z GCA określano za pomocą modelu farmakokinetyki populacyjnej na podstawie zbioru danych pochodzących od 149 pacjentów z GCA leczonych dawką 162 mg podawaną podskórnie raz w tygodniu lub dawką 162</w:t>
      </w:r>
      <w:r w:rsidR="006453AC" w:rsidRPr="00F13073">
        <w:rPr>
          <w:rStyle w:val="Char"/>
          <w:rFonts w:eastAsia="DengXian"/>
        </w:rPr>
        <w:t> </w:t>
      </w:r>
      <w:r w:rsidRPr="00F13073">
        <w:rPr>
          <w:rStyle w:val="Char"/>
          <w:rFonts w:eastAsia="DengXian"/>
        </w:rPr>
        <w:t>mg podawaną podskórnie raz na dwa tygodnie. Opracowany model miał taką samą strukturę jak model farmakokinetyki populacyjnej opracowany wcześniej na podstawie danych pochodzących od pacjentów z RZS (patrz Tabela 10).</w:t>
      </w:r>
    </w:p>
    <w:p w14:paraId="69BCDC1C" w14:textId="77777777" w:rsidR="00AD531A" w:rsidRPr="00F13073" w:rsidRDefault="00AD531A" w:rsidP="008B4C50"/>
    <w:p w14:paraId="0D54FFA8" w14:textId="77777777" w:rsidR="002945E6" w:rsidRPr="00F13073" w:rsidRDefault="002945E6" w:rsidP="008B4C50">
      <w:pPr>
        <w:keepNext/>
        <w:ind w:left="1134" w:hanging="1134"/>
        <w:rPr>
          <w:i/>
          <w:iCs/>
        </w:rPr>
      </w:pPr>
      <w:r w:rsidRPr="00F13073">
        <w:rPr>
          <w:i/>
          <w:iCs/>
        </w:rPr>
        <w:t>Tab</w:t>
      </w:r>
      <w:r w:rsidR="00AD531A" w:rsidRPr="00F13073">
        <w:rPr>
          <w:i/>
          <w:iCs/>
        </w:rPr>
        <w:t>e</w:t>
      </w:r>
      <w:r w:rsidRPr="00F13073">
        <w:rPr>
          <w:i/>
          <w:iCs/>
        </w:rPr>
        <w:t>l</w:t>
      </w:r>
      <w:r w:rsidR="00AD531A" w:rsidRPr="00F13073">
        <w:rPr>
          <w:i/>
          <w:iCs/>
        </w:rPr>
        <w:t>a</w:t>
      </w:r>
      <w:r w:rsidRPr="00F13073">
        <w:rPr>
          <w:i/>
          <w:iCs/>
        </w:rPr>
        <w:t xml:space="preserve"> 10.</w:t>
      </w:r>
      <w:r w:rsidRPr="00F13073">
        <w:rPr>
          <w:i/>
          <w:iCs/>
        </w:rPr>
        <w:tab/>
      </w:r>
      <w:r w:rsidR="00755EF3" w:rsidRPr="00F13073">
        <w:rPr>
          <w:i/>
          <w:iCs/>
        </w:rPr>
        <w:t>Przewidywane wartości średnie ± SD parametrów farmakokinetycznych w stanie</w:t>
      </w:r>
      <w:r w:rsidR="00574EF6" w:rsidRPr="00F13073">
        <w:rPr>
          <w:i/>
          <w:iCs/>
        </w:rPr>
        <w:t xml:space="preserve"> </w:t>
      </w:r>
      <w:r w:rsidR="00755EF3" w:rsidRPr="00F13073">
        <w:rPr>
          <w:i/>
          <w:iCs/>
        </w:rPr>
        <w:t>stacjonarnym po podskórnym podaniu dawki w GCA</w:t>
      </w:r>
    </w:p>
    <w:p w14:paraId="10E08F93" w14:textId="77777777" w:rsidR="002945E6" w:rsidRPr="00F13073" w:rsidRDefault="002945E6" w:rsidP="008B4C50">
      <w:pPr>
        <w:keepNext/>
        <w:ind w:left="1134" w:hanging="1134"/>
        <w:rPr>
          <w:i/>
          <w:iCs/>
        </w:rPr>
      </w:pPr>
    </w:p>
    <w:tbl>
      <w:tblPr>
        <w:tblOverlap w:val="never"/>
        <w:tblW w:w="4882" w:type="pct"/>
        <w:tblInd w:w="113" w:type="dxa"/>
        <w:tblLayout w:type="fixed"/>
        <w:tblCellMar>
          <w:top w:w="28" w:type="dxa"/>
          <w:left w:w="113" w:type="dxa"/>
          <w:bottom w:w="28" w:type="dxa"/>
          <w:right w:w="113" w:type="dxa"/>
        </w:tblCellMar>
        <w:tblLook w:val="04A0" w:firstRow="1" w:lastRow="0" w:firstColumn="1" w:lastColumn="0" w:noHBand="0" w:noVBand="1"/>
      </w:tblPr>
      <w:tblGrid>
        <w:gridCol w:w="4004"/>
        <w:gridCol w:w="2375"/>
        <w:gridCol w:w="2463"/>
      </w:tblGrid>
      <w:tr w:rsidR="00574EF6" w:rsidRPr="00F13073" w14:paraId="2071CDC9" w14:textId="77777777" w:rsidTr="006453AC">
        <w:trPr>
          <w:cantSplit/>
          <w:trHeight w:hRule="exact" w:val="283"/>
          <w:tblHeader/>
        </w:trPr>
        <w:tc>
          <w:tcPr>
            <w:tcW w:w="4111" w:type="dxa"/>
            <w:tcBorders>
              <w:top w:val="single" w:sz="4" w:space="0" w:color="auto"/>
              <w:left w:val="single" w:sz="4" w:space="0" w:color="auto"/>
            </w:tcBorders>
          </w:tcPr>
          <w:p w14:paraId="11F0AF14" w14:textId="77777777" w:rsidR="00574EF6" w:rsidRPr="00F13073" w:rsidRDefault="00574EF6" w:rsidP="008B4C50">
            <w:pPr>
              <w:keepNext/>
              <w:rPr>
                <w:b/>
                <w:bCs/>
                <w:sz w:val="20"/>
                <w:szCs w:val="20"/>
              </w:rPr>
            </w:pPr>
          </w:p>
        </w:tc>
        <w:tc>
          <w:tcPr>
            <w:tcW w:w="4962" w:type="dxa"/>
            <w:gridSpan w:val="2"/>
            <w:tcBorders>
              <w:top w:val="single" w:sz="4" w:space="0" w:color="auto"/>
              <w:left w:val="single" w:sz="4" w:space="0" w:color="auto"/>
              <w:right w:val="single" w:sz="4" w:space="0" w:color="auto"/>
            </w:tcBorders>
          </w:tcPr>
          <w:p w14:paraId="59796057" w14:textId="77777777" w:rsidR="00574EF6" w:rsidRPr="00F13073" w:rsidRDefault="00574EF6" w:rsidP="00C25B20">
            <w:pPr>
              <w:keepNext/>
              <w:jc w:val="center"/>
              <w:rPr>
                <w:b/>
                <w:bCs/>
                <w:sz w:val="20"/>
                <w:szCs w:val="20"/>
              </w:rPr>
            </w:pPr>
            <w:r w:rsidRPr="00F13073">
              <w:rPr>
                <w:b/>
                <w:bCs/>
                <w:sz w:val="20"/>
                <w:szCs w:val="20"/>
              </w:rPr>
              <w:t>Podanie podskórne</w:t>
            </w:r>
          </w:p>
        </w:tc>
      </w:tr>
      <w:tr w:rsidR="00574EF6" w:rsidRPr="00F13073" w14:paraId="4CCBD5B0" w14:textId="77777777" w:rsidTr="006453AC">
        <w:trPr>
          <w:cantSplit/>
          <w:trHeight w:hRule="exact" w:val="407"/>
          <w:tblHeader/>
        </w:trPr>
        <w:tc>
          <w:tcPr>
            <w:tcW w:w="4111" w:type="dxa"/>
            <w:tcBorders>
              <w:top w:val="single" w:sz="4" w:space="0" w:color="auto"/>
              <w:left w:val="single" w:sz="4" w:space="0" w:color="auto"/>
            </w:tcBorders>
          </w:tcPr>
          <w:p w14:paraId="48F06C3D" w14:textId="77777777" w:rsidR="00574EF6" w:rsidRPr="00F13073" w:rsidRDefault="00574EF6" w:rsidP="008B4C50">
            <w:pPr>
              <w:keepNext/>
              <w:rPr>
                <w:b/>
                <w:bCs/>
                <w:sz w:val="20"/>
                <w:szCs w:val="20"/>
              </w:rPr>
            </w:pPr>
            <w:r w:rsidRPr="00F13073">
              <w:rPr>
                <w:b/>
                <w:bCs/>
                <w:sz w:val="20"/>
                <w:szCs w:val="20"/>
              </w:rPr>
              <w:t>Parametr farmakokinetyczny tocilizumabu</w:t>
            </w:r>
          </w:p>
        </w:tc>
        <w:tc>
          <w:tcPr>
            <w:tcW w:w="2436" w:type="dxa"/>
            <w:tcBorders>
              <w:top w:val="single" w:sz="4" w:space="0" w:color="auto"/>
              <w:left w:val="single" w:sz="4" w:space="0" w:color="auto"/>
            </w:tcBorders>
          </w:tcPr>
          <w:p w14:paraId="4A75404B" w14:textId="77777777" w:rsidR="00574EF6" w:rsidRPr="00F13073" w:rsidRDefault="00574EF6" w:rsidP="00C25B20">
            <w:pPr>
              <w:keepNext/>
              <w:jc w:val="center"/>
              <w:rPr>
                <w:b/>
                <w:bCs/>
                <w:sz w:val="20"/>
                <w:szCs w:val="20"/>
              </w:rPr>
            </w:pPr>
            <w:r w:rsidRPr="00F13073">
              <w:rPr>
                <w:b/>
                <w:bCs/>
                <w:sz w:val="20"/>
                <w:szCs w:val="20"/>
              </w:rPr>
              <w:t>162 mg co dwa tygodnie</w:t>
            </w:r>
          </w:p>
        </w:tc>
        <w:tc>
          <w:tcPr>
            <w:tcW w:w="2526" w:type="dxa"/>
            <w:tcBorders>
              <w:top w:val="single" w:sz="4" w:space="0" w:color="auto"/>
              <w:left w:val="single" w:sz="4" w:space="0" w:color="auto"/>
              <w:right w:val="single" w:sz="4" w:space="0" w:color="auto"/>
            </w:tcBorders>
          </w:tcPr>
          <w:p w14:paraId="0F3058D0" w14:textId="77777777" w:rsidR="00574EF6" w:rsidRPr="00F13073" w:rsidRDefault="00574EF6" w:rsidP="00C25B20">
            <w:pPr>
              <w:keepNext/>
              <w:jc w:val="center"/>
              <w:rPr>
                <w:b/>
                <w:bCs/>
                <w:sz w:val="20"/>
                <w:szCs w:val="20"/>
              </w:rPr>
            </w:pPr>
            <w:r w:rsidRPr="00F13073">
              <w:rPr>
                <w:b/>
                <w:bCs/>
                <w:sz w:val="20"/>
                <w:szCs w:val="20"/>
              </w:rPr>
              <w:t>162 mg co tydzień</w:t>
            </w:r>
          </w:p>
        </w:tc>
      </w:tr>
      <w:tr w:rsidR="00574EF6" w:rsidRPr="00F13073" w14:paraId="3534BF39" w14:textId="77777777" w:rsidTr="006453AC">
        <w:trPr>
          <w:cantSplit/>
          <w:trHeight w:val="283"/>
          <w:tblHeader/>
        </w:trPr>
        <w:tc>
          <w:tcPr>
            <w:tcW w:w="4111" w:type="dxa"/>
            <w:tcBorders>
              <w:top w:val="single" w:sz="4" w:space="0" w:color="auto"/>
              <w:left w:val="single" w:sz="4" w:space="0" w:color="auto"/>
            </w:tcBorders>
          </w:tcPr>
          <w:p w14:paraId="42D1AEA2" w14:textId="77777777" w:rsidR="00574EF6" w:rsidRPr="00F13073" w:rsidRDefault="00574EF6" w:rsidP="008B4C50">
            <w:pPr>
              <w:rPr>
                <w:sz w:val="20"/>
                <w:szCs w:val="20"/>
              </w:rPr>
            </w:pPr>
            <w:r w:rsidRPr="00F13073">
              <w:rPr>
                <w:sz w:val="20"/>
                <w:szCs w:val="20"/>
              </w:rPr>
              <w:t>C</w:t>
            </w:r>
            <w:r w:rsidRPr="00F13073">
              <w:rPr>
                <w:sz w:val="20"/>
                <w:szCs w:val="20"/>
                <w:vertAlign w:val="subscript"/>
              </w:rPr>
              <w:t>max</w:t>
            </w:r>
            <w:r w:rsidRPr="00F13073">
              <w:rPr>
                <w:sz w:val="20"/>
                <w:szCs w:val="20"/>
              </w:rPr>
              <w:t xml:space="preserve"> (µg/mL)</w:t>
            </w:r>
          </w:p>
        </w:tc>
        <w:tc>
          <w:tcPr>
            <w:tcW w:w="2436" w:type="dxa"/>
            <w:tcBorders>
              <w:top w:val="single" w:sz="4" w:space="0" w:color="auto"/>
              <w:left w:val="single" w:sz="4" w:space="0" w:color="auto"/>
            </w:tcBorders>
          </w:tcPr>
          <w:p w14:paraId="012553B3" w14:textId="77777777" w:rsidR="00574EF6" w:rsidRPr="00F13073" w:rsidRDefault="00574EF6" w:rsidP="00C25B20">
            <w:pPr>
              <w:jc w:val="center"/>
              <w:rPr>
                <w:sz w:val="20"/>
                <w:szCs w:val="20"/>
              </w:rPr>
            </w:pPr>
            <w:r w:rsidRPr="00F13073">
              <w:rPr>
                <w:sz w:val="20"/>
                <w:szCs w:val="20"/>
              </w:rPr>
              <w:t>19,3 ± 12,8</w:t>
            </w:r>
          </w:p>
        </w:tc>
        <w:tc>
          <w:tcPr>
            <w:tcW w:w="2526" w:type="dxa"/>
            <w:tcBorders>
              <w:top w:val="single" w:sz="4" w:space="0" w:color="auto"/>
              <w:left w:val="single" w:sz="4" w:space="0" w:color="auto"/>
              <w:right w:val="single" w:sz="4" w:space="0" w:color="auto"/>
            </w:tcBorders>
          </w:tcPr>
          <w:p w14:paraId="10089B26" w14:textId="77777777" w:rsidR="00574EF6" w:rsidRPr="00F13073" w:rsidRDefault="00574EF6" w:rsidP="00C25B20">
            <w:pPr>
              <w:jc w:val="center"/>
              <w:rPr>
                <w:sz w:val="20"/>
                <w:szCs w:val="20"/>
              </w:rPr>
            </w:pPr>
            <w:r w:rsidRPr="00F13073">
              <w:rPr>
                <w:sz w:val="20"/>
                <w:szCs w:val="20"/>
              </w:rPr>
              <w:t>73 ± 30,4</w:t>
            </w:r>
          </w:p>
        </w:tc>
      </w:tr>
      <w:tr w:rsidR="00574EF6" w:rsidRPr="00F13073" w14:paraId="33E2D06A" w14:textId="77777777" w:rsidTr="006453AC">
        <w:trPr>
          <w:cantSplit/>
          <w:trHeight w:val="283"/>
          <w:tblHeader/>
        </w:trPr>
        <w:tc>
          <w:tcPr>
            <w:tcW w:w="4111" w:type="dxa"/>
            <w:tcBorders>
              <w:top w:val="single" w:sz="4" w:space="0" w:color="auto"/>
              <w:left w:val="single" w:sz="4" w:space="0" w:color="auto"/>
            </w:tcBorders>
          </w:tcPr>
          <w:p w14:paraId="4398B873" w14:textId="77777777" w:rsidR="00574EF6" w:rsidRPr="00F13073" w:rsidRDefault="00574EF6" w:rsidP="008B4C50">
            <w:pPr>
              <w:rPr>
                <w:sz w:val="20"/>
                <w:szCs w:val="20"/>
              </w:rPr>
            </w:pPr>
            <w:r w:rsidRPr="00F13073">
              <w:rPr>
                <w:sz w:val="20"/>
                <w:szCs w:val="20"/>
              </w:rPr>
              <w:t>C</w:t>
            </w:r>
            <w:r w:rsidRPr="00F13073">
              <w:rPr>
                <w:sz w:val="20"/>
                <w:szCs w:val="20"/>
                <w:vertAlign w:val="subscript"/>
              </w:rPr>
              <w:t>min</w:t>
            </w:r>
            <w:r w:rsidRPr="00F13073">
              <w:rPr>
                <w:sz w:val="20"/>
                <w:szCs w:val="20"/>
              </w:rPr>
              <w:t xml:space="preserve"> (µg/mL)</w:t>
            </w:r>
          </w:p>
        </w:tc>
        <w:tc>
          <w:tcPr>
            <w:tcW w:w="2436" w:type="dxa"/>
            <w:tcBorders>
              <w:top w:val="single" w:sz="4" w:space="0" w:color="auto"/>
              <w:left w:val="single" w:sz="4" w:space="0" w:color="auto"/>
            </w:tcBorders>
          </w:tcPr>
          <w:p w14:paraId="54E8E197" w14:textId="77777777" w:rsidR="00574EF6" w:rsidRPr="00F13073" w:rsidRDefault="00574EF6" w:rsidP="00C25B20">
            <w:pPr>
              <w:jc w:val="center"/>
              <w:rPr>
                <w:sz w:val="20"/>
                <w:szCs w:val="20"/>
              </w:rPr>
            </w:pPr>
            <w:r w:rsidRPr="00F13073">
              <w:rPr>
                <w:sz w:val="20"/>
                <w:szCs w:val="20"/>
              </w:rPr>
              <w:t>11,1 ± 10,3</w:t>
            </w:r>
          </w:p>
        </w:tc>
        <w:tc>
          <w:tcPr>
            <w:tcW w:w="2526" w:type="dxa"/>
            <w:tcBorders>
              <w:top w:val="single" w:sz="4" w:space="0" w:color="auto"/>
              <w:left w:val="single" w:sz="4" w:space="0" w:color="auto"/>
              <w:right w:val="single" w:sz="4" w:space="0" w:color="auto"/>
            </w:tcBorders>
          </w:tcPr>
          <w:p w14:paraId="05233CDE" w14:textId="77777777" w:rsidR="00574EF6" w:rsidRPr="00F13073" w:rsidRDefault="00574EF6" w:rsidP="00C25B20">
            <w:pPr>
              <w:jc w:val="center"/>
              <w:rPr>
                <w:sz w:val="20"/>
                <w:szCs w:val="20"/>
              </w:rPr>
            </w:pPr>
            <w:r w:rsidRPr="00F13073">
              <w:rPr>
                <w:sz w:val="20"/>
                <w:szCs w:val="20"/>
              </w:rPr>
              <w:t>68,1± 29,5</w:t>
            </w:r>
          </w:p>
        </w:tc>
      </w:tr>
      <w:tr w:rsidR="00574EF6" w:rsidRPr="00F13073" w14:paraId="0C694557" w14:textId="77777777" w:rsidTr="006453AC">
        <w:trPr>
          <w:cantSplit/>
          <w:trHeight w:val="283"/>
          <w:tblHeader/>
        </w:trPr>
        <w:tc>
          <w:tcPr>
            <w:tcW w:w="4111" w:type="dxa"/>
            <w:tcBorders>
              <w:top w:val="single" w:sz="4" w:space="0" w:color="auto"/>
              <w:left w:val="single" w:sz="4" w:space="0" w:color="auto"/>
            </w:tcBorders>
          </w:tcPr>
          <w:p w14:paraId="1F623C17" w14:textId="77777777" w:rsidR="00574EF6" w:rsidRPr="00F13073" w:rsidRDefault="00574EF6" w:rsidP="008B4C50">
            <w:pPr>
              <w:rPr>
                <w:sz w:val="20"/>
                <w:szCs w:val="20"/>
              </w:rPr>
            </w:pPr>
            <w:r w:rsidRPr="00F13073">
              <w:rPr>
                <w:sz w:val="20"/>
                <w:szCs w:val="20"/>
              </w:rPr>
              <w:t>C</w:t>
            </w:r>
            <w:r w:rsidRPr="00F13073">
              <w:rPr>
                <w:sz w:val="20"/>
                <w:szCs w:val="20"/>
                <w:vertAlign w:val="subscript"/>
              </w:rPr>
              <w:t>średnie</w:t>
            </w:r>
            <w:r w:rsidRPr="00F13073">
              <w:rPr>
                <w:sz w:val="20"/>
                <w:szCs w:val="20"/>
              </w:rPr>
              <w:t xml:space="preserve"> (µg/mL)</w:t>
            </w:r>
          </w:p>
        </w:tc>
        <w:tc>
          <w:tcPr>
            <w:tcW w:w="2436" w:type="dxa"/>
            <w:tcBorders>
              <w:top w:val="single" w:sz="4" w:space="0" w:color="auto"/>
              <w:left w:val="single" w:sz="4" w:space="0" w:color="auto"/>
            </w:tcBorders>
          </w:tcPr>
          <w:p w14:paraId="16A80012" w14:textId="77777777" w:rsidR="00574EF6" w:rsidRPr="00F13073" w:rsidRDefault="00574EF6" w:rsidP="00C25B20">
            <w:pPr>
              <w:jc w:val="center"/>
              <w:rPr>
                <w:sz w:val="20"/>
                <w:szCs w:val="20"/>
              </w:rPr>
            </w:pPr>
            <w:r w:rsidRPr="00F13073">
              <w:rPr>
                <w:sz w:val="20"/>
                <w:szCs w:val="20"/>
              </w:rPr>
              <w:t>16,2 ± 11,8</w:t>
            </w:r>
          </w:p>
        </w:tc>
        <w:tc>
          <w:tcPr>
            <w:tcW w:w="2526" w:type="dxa"/>
            <w:tcBorders>
              <w:top w:val="single" w:sz="4" w:space="0" w:color="auto"/>
              <w:left w:val="single" w:sz="4" w:space="0" w:color="auto"/>
              <w:right w:val="single" w:sz="4" w:space="0" w:color="auto"/>
            </w:tcBorders>
          </w:tcPr>
          <w:p w14:paraId="4617717B" w14:textId="77777777" w:rsidR="00574EF6" w:rsidRPr="00F13073" w:rsidRDefault="00574EF6" w:rsidP="00C25B20">
            <w:pPr>
              <w:jc w:val="center"/>
              <w:rPr>
                <w:sz w:val="20"/>
                <w:szCs w:val="20"/>
              </w:rPr>
            </w:pPr>
            <w:r w:rsidRPr="00F13073">
              <w:rPr>
                <w:sz w:val="20"/>
                <w:szCs w:val="20"/>
              </w:rPr>
              <w:t>71,3 ± 30,1</w:t>
            </w:r>
          </w:p>
        </w:tc>
      </w:tr>
      <w:tr w:rsidR="00574EF6" w:rsidRPr="00F13073" w14:paraId="0FC65365" w14:textId="77777777" w:rsidTr="006453AC">
        <w:trPr>
          <w:cantSplit/>
          <w:trHeight w:val="283"/>
          <w:tblHeader/>
        </w:trPr>
        <w:tc>
          <w:tcPr>
            <w:tcW w:w="4111" w:type="dxa"/>
            <w:tcBorders>
              <w:top w:val="single" w:sz="4" w:space="0" w:color="auto"/>
              <w:left w:val="single" w:sz="4" w:space="0" w:color="auto"/>
            </w:tcBorders>
          </w:tcPr>
          <w:p w14:paraId="3D95E349" w14:textId="77777777" w:rsidR="00574EF6" w:rsidRPr="00F13073" w:rsidRDefault="00574EF6" w:rsidP="008B4C50">
            <w:pPr>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max</w:t>
            </w:r>
          </w:p>
        </w:tc>
        <w:tc>
          <w:tcPr>
            <w:tcW w:w="2436" w:type="dxa"/>
            <w:tcBorders>
              <w:top w:val="single" w:sz="4" w:space="0" w:color="auto"/>
              <w:left w:val="single" w:sz="4" w:space="0" w:color="auto"/>
            </w:tcBorders>
          </w:tcPr>
          <w:p w14:paraId="3A3D48B4" w14:textId="77777777" w:rsidR="00574EF6" w:rsidRPr="00F13073" w:rsidRDefault="00574EF6" w:rsidP="00C25B20">
            <w:pPr>
              <w:jc w:val="center"/>
              <w:rPr>
                <w:sz w:val="20"/>
                <w:szCs w:val="20"/>
              </w:rPr>
            </w:pPr>
            <w:r w:rsidRPr="00F13073">
              <w:rPr>
                <w:sz w:val="20"/>
                <w:szCs w:val="20"/>
              </w:rPr>
              <w:t>2,18</w:t>
            </w:r>
          </w:p>
        </w:tc>
        <w:tc>
          <w:tcPr>
            <w:tcW w:w="2526" w:type="dxa"/>
            <w:tcBorders>
              <w:top w:val="single" w:sz="4" w:space="0" w:color="auto"/>
              <w:left w:val="single" w:sz="4" w:space="0" w:color="auto"/>
              <w:right w:val="single" w:sz="4" w:space="0" w:color="auto"/>
            </w:tcBorders>
          </w:tcPr>
          <w:p w14:paraId="5C1AEB6B" w14:textId="77777777" w:rsidR="00574EF6" w:rsidRPr="00F13073" w:rsidRDefault="00574EF6" w:rsidP="00C25B20">
            <w:pPr>
              <w:jc w:val="center"/>
              <w:rPr>
                <w:sz w:val="20"/>
                <w:szCs w:val="20"/>
              </w:rPr>
            </w:pPr>
            <w:r w:rsidRPr="00F13073">
              <w:rPr>
                <w:sz w:val="20"/>
                <w:szCs w:val="20"/>
              </w:rPr>
              <w:t>8,88</w:t>
            </w:r>
          </w:p>
        </w:tc>
      </w:tr>
      <w:tr w:rsidR="00574EF6" w:rsidRPr="00F13073" w14:paraId="03A6B95F" w14:textId="77777777" w:rsidTr="006453AC">
        <w:trPr>
          <w:cantSplit/>
          <w:trHeight w:val="283"/>
          <w:tblHeader/>
        </w:trPr>
        <w:tc>
          <w:tcPr>
            <w:tcW w:w="4111" w:type="dxa"/>
            <w:tcBorders>
              <w:top w:val="single" w:sz="4" w:space="0" w:color="auto"/>
              <w:left w:val="single" w:sz="4" w:space="0" w:color="auto"/>
            </w:tcBorders>
          </w:tcPr>
          <w:p w14:paraId="467A1645" w14:textId="77777777" w:rsidR="00574EF6" w:rsidRPr="00F13073" w:rsidRDefault="00574EF6" w:rsidP="008B4C50">
            <w:pPr>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min</w:t>
            </w:r>
          </w:p>
        </w:tc>
        <w:tc>
          <w:tcPr>
            <w:tcW w:w="2436" w:type="dxa"/>
            <w:tcBorders>
              <w:top w:val="single" w:sz="4" w:space="0" w:color="auto"/>
              <w:left w:val="single" w:sz="4" w:space="0" w:color="auto"/>
            </w:tcBorders>
          </w:tcPr>
          <w:p w14:paraId="54B520F8" w14:textId="77777777" w:rsidR="00574EF6" w:rsidRPr="00F13073" w:rsidRDefault="00574EF6" w:rsidP="00C25B20">
            <w:pPr>
              <w:jc w:val="center"/>
              <w:rPr>
                <w:sz w:val="20"/>
                <w:szCs w:val="20"/>
              </w:rPr>
            </w:pPr>
            <w:r w:rsidRPr="00F13073">
              <w:rPr>
                <w:sz w:val="20"/>
                <w:szCs w:val="20"/>
              </w:rPr>
              <w:t>5,61</w:t>
            </w:r>
          </w:p>
        </w:tc>
        <w:tc>
          <w:tcPr>
            <w:tcW w:w="2526" w:type="dxa"/>
            <w:tcBorders>
              <w:top w:val="single" w:sz="4" w:space="0" w:color="auto"/>
              <w:left w:val="single" w:sz="4" w:space="0" w:color="auto"/>
              <w:right w:val="single" w:sz="4" w:space="0" w:color="auto"/>
            </w:tcBorders>
          </w:tcPr>
          <w:p w14:paraId="43BEA402" w14:textId="77777777" w:rsidR="00574EF6" w:rsidRPr="00F13073" w:rsidRDefault="00574EF6" w:rsidP="00C25B20">
            <w:pPr>
              <w:jc w:val="center"/>
              <w:rPr>
                <w:sz w:val="20"/>
                <w:szCs w:val="20"/>
              </w:rPr>
            </w:pPr>
            <w:r w:rsidRPr="00F13073">
              <w:rPr>
                <w:sz w:val="20"/>
                <w:szCs w:val="20"/>
              </w:rPr>
              <w:t>9,59</w:t>
            </w:r>
          </w:p>
        </w:tc>
      </w:tr>
      <w:tr w:rsidR="00574EF6" w:rsidRPr="00F13073" w14:paraId="7915802B" w14:textId="77777777" w:rsidTr="006453AC">
        <w:trPr>
          <w:cantSplit/>
          <w:trHeight w:val="283"/>
          <w:tblHeader/>
        </w:trPr>
        <w:tc>
          <w:tcPr>
            <w:tcW w:w="4111" w:type="dxa"/>
            <w:tcBorders>
              <w:top w:val="single" w:sz="4" w:space="0" w:color="auto"/>
              <w:left w:val="single" w:sz="4" w:space="0" w:color="auto"/>
              <w:bottom w:val="single" w:sz="4" w:space="0" w:color="auto"/>
            </w:tcBorders>
          </w:tcPr>
          <w:p w14:paraId="2E22206B" w14:textId="77777777" w:rsidR="00574EF6" w:rsidRPr="00F13073" w:rsidRDefault="00574EF6" w:rsidP="008B4C50">
            <w:pPr>
              <w:keepNext/>
              <w:rPr>
                <w:sz w:val="20"/>
                <w:szCs w:val="20"/>
              </w:rPr>
            </w:pPr>
            <w:r w:rsidRPr="00F13073">
              <w:rPr>
                <w:rStyle w:val="Other"/>
                <w:rFonts w:eastAsia="DengXian"/>
                <w:sz w:val="20"/>
                <w:szCs w:val="20"/>
              </w:rPr>
              <w:t xml:space="preserve">Skumulowane </w:t>
            </w:r>
            <w:r w:rsidRPr="00F13073">
              <w:rPr>
                <w:sz w:val="20"/>
                <w:szCs w:val="20"/>
              </w:rPr>
              <w:t>C</w:t>
            </w:r>
            <w:r w:rsidRPr="00F13073">
              <w:rPr>
                <w:sz w:val="20"/>
                <w:szCs w:val="20"/>
                <w:vertAlign w:val="subscript"/>
              </w:rPr>
              <w:t>średnie</w:t>
            </w:r>
            <w:r w:rsidRPr="00F13073">
              <w:rPr>
                <w:sz w:val="20"/>
                <w:szCs w:val="20"/>
              </w:rPr>
              <w:t xml:space="preserve"> lub AUC</w:t>
            </w:r>
            <w:r w:rsidRPr="00F13073">
              <w:rPr>
                <w:sz w:val="20"/>
                <w:szCs w:val="20"/>
                <w:vertAlign w:val="subscript"/>
              </w:rPr>
              <w:t>τ</w:t>
            </w:r>
            <w:r w:rsidRPr="00F13073">
              <w:rPr>
                <w:sz w:val="20"/>
                <w:szCs w:val="20"/>
              </w:rPr>
              <w:t xml:space="preserve"> *</w:t>
            </w:r>
          </w:p>
        </w:tc>
        <w:tc>
          <w:tcPr>
            <w:tcW w:w="2436" w:type="dxa"/>
            <w:tcBorders>
              <w:top w:val="single" w:sz="4" w:space="0" w:color="auto"/>
              <w:left w:val="single" w:sz="4" w:space="0" w:color="auto"/>
              <w:bottom w:val="single" w:sz="4" w:space="0" w:color="auto"/>
            </w:tcBorders>
          </w:tcPr>
          <w:p w14:paraId="6E427778" w14:textId="77777777" w:rsidR="00574EF6" w:rsidRPr="00F13073" w:rsidRDefault="00574EF6" w:rsidP="00C25B20">
            <w:pPr>
              <w:keepNext/>
              <w:jc w:val="center"/>
              <w:rPr>
                <w:sz w:val="20"/>
                <w:szCs w:val="20"/>
              </w:rPr>
            </w:pPr>
            <w:r w:rsidRPr="00F13073">
              <w:rPr>
                <w:sz w:val="20"/>
                <w:szCs w:val="20"/>
              </w:rPr>
              <w:t>2,81</w:t>
            </w:r>
          </w:p>
        </w:tc>
        <w:tc>
          <w:tcPr>
            <w:tcW w:w="2526" w:type="dxa"/>
            <w:tcBorders>
              <w:top w:val="single" w:sz="4" w:space="0" w:color="auto"/>
              <w:left w:val="single" w:sz="4" w:space="0" w:color="auto"/>
              <w:bottom w:val="single" w:sz="4" w:space="0" w:color="auto"/>
              <w:right w:val="single" w:sz="4" w:space="0" w:color="auto"/>
            </w:tcBorders>
          </w:tcPr>
          <w:p w14:paraId="06EE2531" w14:textId="77777777" w:rsidR="00574EF6" w:rsidRPr="00F13073" w:rsidRDefault="00574EF6" w:rsidP="00C25B20">
            <w:pPr>
              <w:keepNext/>
              <w:jc w:val="center"/>
              <w:rPr>
                <w:sz w:val="20"/>
                <w:szCs w:val="20"/>
              </w:rPr>
            </w:pPr>
            <w:r w:rsidRPr="00F13073">
              <w:rPr>
                <w:sz w:val="20"/>
                <w:szCs w:val="20"/>
              </w:rPr>
              <w:t>10,91</w:t>
            </w:r>
          </w:p>
        </w:tc>
      </w:tr>
    </w:tbl>
    <w:p w14:paraId="48E2FABD" w14:textId="77777777" w:rsidR="002945E6" w:rsidRPr="00F13073" w:rsidRDefault="002945E6" w:rsidP="008B4C50">
      <w:pPr>
        <w:rPr>
          <w:sz w:val="18"/>
          <w:szCs w:val="18"/>
        </w:rPr>
      </w:pPr>
      <w:r w:rsidRPr="00F13073">
        <w:rPr>
          <w:sz w:val="18"/>
          <w:szCs w:val="18"/>
        </w:rPr>
        <w:t xml:space="preserve">*τ = </w:t>
      </w:r>
      <w:r w:rsidR="00574EF6" w:rsidRPr="00F13073">
        <w:rPr>
          <w:sz w:val="18"/>
          <w:szCs w:val="18"/>
        </w:rPr>
        <w:t>2 tydzień lub 1 tydzień dla dwóch schematów podania podskórnego</w:t>
      </w:r>
    </w:p>
    <w:p w14:paraId="46BA0E16" w14:textId="77777777" w:rsidR="002945E6" w:rsidRPr="00F13073" w:rsidRDefault="002945E6" w:rsidP="008B4C50"/>
    <w:p w14:paraId="6ABB2B45" w14:textId="20BEB5A1" w:rsidR="00574EF6" w:rsidRPr="00F13073" w:rsidRDefault="00574EF6" w:rsidP="008B4C50">
      <w:pPr>
        <w:pStyle w:val="a4"/>
        <w:widowControl/>
        <w:spacing w:after="0"/>
        <w:rPr>
          <w:rStyle w:val="Char"/>
        </w:rPr>
      </w:pPr>
      <w:r w:rsidRPr="00F13073">
        <w:rPr>
          <w:rStyle w:val="Char"/>
        </w:rPr>
        <w:t xml:space="preserve">Profil w stanie stacjonarnym po podaniu dawek </w:t>
      </w:r>
      <w:r w:rsidR="00553291" w:rsidRPr="00F13073">
        <w:rPr>
          <w:rStyle w:val="Char"/>
        </w:rPr>
        <w:t xml:space="preserve">tocilizumabu </w:t>
      </w:r>
      <w:r w:rsidRPr="00F13073">
        <w:rPr>
          <w:rStyle w:val="Char"/>
        </w:rPr>
        <w:t xml:space="preserve">z częstością raz w tygodniu był niemal płaski, z bardzo nieznacznymi wahaniami pomiędzy wartościami minimalnymi i maksymalnymi, natomiast istotne wahania występowały dla dawki </w:t>
      </w:r>
      <w:r w:rsidR="00553291" w:rsidRPr="00F13073">
        <w:rPr>
          <w:rStyle w:val="Char"/>
        </w:rPr>
        <w:t>tocilizumabu</w:t>
      </w:r>
      <w:r w:rsidRPr="00F13073">
        <w:rPr>
          <w:rStyle w:val="Char"/>
        </w:rPr>
        <w:t xml:space="preserve"> podawanej raz na dwa tygodnie. </w:t>
      </w:r>
      <w:r w:rsidRPr="00F13073">
        <w:rPr>
          <w:rStyle w:val="Char"/>
        </w:rPr>
        <w:lastRenderedPageBreak/>
        <w:t>Około 90% stanu stacjonarnego (</w:t>
      </w:r>
      <w:r w:rsidR="003014BB" w:rsidRPr="00F13073">
        <w:t>AUC</w:t>
      </w:r>
      <w:r w:rsidR="003014BB" w:rsidRPr="00F13073">
        <w:rPr>
          <w:vertAlign w:val="subscript"/>
        </w:rPr>
        <w:t>τ</w:t>
      </w:r>
      <w:r w:rsidRPr="00F13073">
        <w:rPr>
          <w:rStyle w:val="Char"/>
        </w:rPr>
        <w:t>) było osiągane do tygodnia 14. w grupie otrzymującej dawkę leku raz na dwa tygodnie i do tygodnia 17. w grupie otrzymującej dawkę leku raz na tydzień.</w:t>
      </w:r>
    </w:p>
    <w:p w14:paraId="2977E8A2" w14:textId="77777777" w:rsidR="00B541F9" w:rsidRPr="00F13073" w:rsidRDefault="00B541F9" w:rsidP="008B4C50">
      <w:pPr>
        <w:pStyle w:val="a4"/>
        <w:widowControl/>
        <w:spacing w:after="0"/>
      </w:pPr>
    </w:p>
    <w:p w14:paraId="78245E46" w14:textId="1E68A399" w:rsidR="00574EF6" w:rsidRPr="00F13073" w:rsidRDefault="00574EF6" w:rsidP="008B4C50">
      <w:pPr>
        <w:pStyle w:val="a4"/>
        <w:widowControl/>
        <w:spacing w:after="0"/>
        <w:rPr>
          <w:rStyle w:val="Char"/>
        </w:rPr>
      </w:pPr>
      <w:r w:rsidRPr="00F13073">
        <w:rPr>
          <w:rStyle w:val="Char"/>
        </w:rPr>
        <w:t xml:space="preserve">Na podstawie obecnej charakterystyki właściwości farmakokinetycznych, do 50% większe stężenia minimalne </w:t>
      </w:r>
      <w:r w:rsidR="00553291" w:rsidRPr="00F13073">
        <w:rPr>
          <w:rStyle w:val="Char"/>
        </w:rPr>
        <w:t xml:space="preserve">tocilizumabu </w:t>
      </w:r>
      <w:r w:rsidRPr="00F13073">
        <w:rPr>
          <w:rStyle w:val="Char"/>
        </w:rPr>
        <w:t>są notowane w tej populacji względem przeciętnych stężeń w dużym zbiorze danych pochodzących od populacji z RZS. Przyczyny tych różnic są nieznane. Różnicom farmakokinetycznym nie towarzyszą istotne różnice w parametrach farmakodynamicznych, dlatego ich znaczenie kliniczne jest nieznane.</w:t>
      </w:r>
    </w:p>
    <w:p w14:paraId="264191F3" w14:textId="77777777" w:rsidR="00B541F9" w:rsidRPr="00F13073" w:rsidRDefault="00B541F9" w:rsidP="008B4C50">
      <w:pPr>
        <w:pStyle w:val="a4"/>
        <w:widowControl/>
        <w:spacing w:after="0"/>
      </w:pPr>
    </w:p>
    <w:p w14:paraId="3C88EE1F" w14:textId="77777777" w:rsidR="00574EF6" w:rsidRPr="00F13073" w:rsidRDefault="00574EF6" w:rsidP="008B4C50">
      <w:pPr>
        <w:pStyle w:val="a4"/>
        <w:widowControl/>
        <w:spacing w:after="0"/>
        <w:rPr>
          <w:rStyle w:val="Char"/>
        </w:rPr>
      </w:pPr>
      <w:r w:rsidRPr="00F13073">
        <w:rPr>
          <w:rStyle w:val="Char"/>
        </w:rPr>
        <w:t>Wśród pacjentów z GCA większą ekspozycję obserwowano u pacjentów z niższą masą ciała. Dla dawki tygodniowej 162 mg, średnie stężenie w osoczu w stanie stacjonarnym było o 51% wyższe u pacjentów o masie ciała mniejszej niż 60 kg w porównaniu do pacjentów ważących od 60 do 100 kg. Dla dawki 162 mg podawanej co dwa tygodnie, średnie stężenie w osoczu w stanie stacjonarnym było o 129% wyższe u pacjentów o masie ciała mniejszej niż 60 kg w porównaniu do pacjentów ważących od 60 do 100 kg. Dane dotyczące pacjentów o masie powyżej 100 kg są ograniczone (n=7).</w:t>
      </w:r>
    </w:p>
    <w:p w14:paraId="6C23E2BE" w14:textId="77777777" w:rsidR="00B541F9" w:rsidRPr="00F13073" w:rsidRDefault="00B541F9" w:rsidP="008B4C50">
      <w:pPr>
        <w:pStyle w:val="a4"/>
        <w:widowControl/>
        <w:spacing w:after="0"/>
      </w:pPr>
    </w:p>
    <w:p w14:paraId="37BE77CE" w14:textId="77777777" w:rsidR="00574EF6" w:rsidRPr="00F13073" w:rsidRDefault="00574EF6" w:rsidP="008B4C50">
      <w:pPr>
        <w:pStyle w:val="a4"/>
        <w:widowControl/>
        <w:spacing w:after="0"/>
        <w:rPr>
          <w:rStyle w:val="Char"/>
          <w:u w:val="single"/>
        </w:rPr>
      </w:pPr>
      <w:r w:rsidRPr="00F13073">
        <w:rPr>
          <w:rStyle w:val="Char"/>
          <w:u w:val="single"/>
        </w:rPr>
        <w:t>Wchłanianie</w:t>
      </w:r>
    </w:p>
    <w:p w14:paraId="2106D927" w14:textId="33E3A567" w:rsidR="00574EF6" w:rsidRPr="00F13073" w:rsidRDefault="00574EF6" w:rsidP="008B4C50">
      <w:pPr>
        <w:pStyle w:val="a4"/>
        <w:widowControl/>
        <w:spacing w:after="0"/>
        <w:rPr>
          <w:rStyle w:val="Char"/>
        </w:rPr>
      </w:pPr>
      <w:r w:rsidRPr="00F13073">
        <w:rPr>
          <w:rStyle w:val="Char"/>
        </w:rPr>
        <w:t>Po podskórnym podaniu leku pacjentom z GCA okres półtrwania wchłaniania wyniósł około 4 dni. Biodostępność leku w postaci podskórnej wyniosła 0,8. Mediana wartości T</w:t>
      </w:r>
      <w:r w:rsidRPr="00F13073">
        <w:rPr>
          <w:rStyle w:val="Char"/>
          <w:vertAlign w:val="subscript"/>
        </w:rPr>
        <w:t>max</w:t>
      </w:r>
      <w:r w:rsidRPr="00F13073">
        <w:rPr>
          <w:rStyle w:val="Char"/>
          <w:sz w:val="14"/>
          <w:szCs w:val="14"/>
        </w:rPr>
        <w:t xml:space="preserve"> </w:t>
      </w:r>
      <w:r w:rsidRPr="00F13073">
        <w:rPr>
          <w:rStyle w:val="Char"/>
        </w:rPr>
        <w:t xml:space="preserve">wyniosła 3 dni po podaniu dawki </w:t>
      </w:r>
      <w:r w:rsidR="00AC5AAF" w:rsidRPr="00F13073">
        <w:rPr>
          <w:rStyle w:val="Char"/>
        </w:rPr>
        <w:t xml:space="preserve">tocilizumabu </w:t>
      </w:r>
      <w:r w:rsidRPr="00F13073">
        <w:rPr>
          <w:rStyle w:val="Char"/>
        </w:rPr>
        <w:t>raz w tygodniu i 4,5 dnia po podaniu dawki tocilizumabu raz na dwa tygodnie.</w:t>
      </w:r>
    </w:p>
    <w:p w14:paraId="1EC5734E" w14:textId="77777777" w:rsidR="00B541F9" w:rsidRPr="00F13073" w:rsidRDefault="00B541F9" w:rsidP="008B4C50">
      <w:pPr>
        <w:pStyle w:val="a4"/>
        <w:widowControl/>
        <w:spacing w:after="0"/>
      </w:pPr>
    </w:p>
    <w:p w14:paraId="17E52B6A" w14:textId="77777777" w:rsidR="00574EF6" w:rsidRPr="00F13073" w:rsidRDefault="00574EF6" w:rsidP="008B4C50">
      <w:pPr>
        <w:pStyle w:val="a4"/>
        <w:widowControl/>
        <w:spacing w:after="0"/>
        <w:rPr>
          <w:rStyle w:val="Char"/>
          <w:u w:val="single"/>
        </w:rPr>
      </w:pPr>
      <w:r w:rsidRPr="00F13073">
        <w:rPr>
          <w:rStyle w:val="Char"/>
          <w:u w:val="single"/>
        </w:rPr>
        <w:t>Dystrybucja</w:t>
      </w:r>
    </w:p>
    <w:p w14:paraId="4DBF3E33" w14:textId="77777777" w:rsidR="00574EF6" w:rsidRPr="00F13073" w:rsidRDefault="00574EF6" w:rsidP="008B4C50">
      <w:pPr>
        <w:pStyle w:val="a4"/>
        <w:widowControl/>
        <w:spacing w:after="0"/>
        <w:rPr>
          <w:rStyle w:val="Char"/>
        </w:rPr>
      </w:pPr>
      <w:r w:rsidRPr="00F13073">
        <w:rPr>
          <w:rStyle w:val="Char"/>
        </w:rPr>
        <w:t>U pacjentów z GCA centralna objętość dystrybucji wynosiła 4,09 l, obwodowa objętość dystrybucji wynosiła 3,37 l, co w efekcie oznaczało objętość dystrybucji w stanie równowagi wynoszącą 7,46 l.</w:t>
      </w:r>
    </w:p>
    <w:p w14:paraId="3CC20950" w14:textId="77777777" w:rsidR="00B541F9" w:rsidRPr="00F13073" w:rsidRDefault="00B541F9" w:rsidP="008B4C50">
      <w:pPr>
        <w:pStyle w:val="a4"/>
        <w:widowControl/>
        <w:spacing w:after="0"/>
      </w:pPr>
    </w:p>
    <w:p w14:paraId="7AEC1348" w14:textId="77777777" w:rsidR="00574EF6" w:rsidRPr="00F13073" w:rsidRDefault="00574EF6" w:rsidP="008B4C50">
      <w:pPr>
        <w:pStyle w:val="a4"/>
        <w:widowControl/>
        <w:spacing w:after="0"/>
        <w:rPr>
          <w:rStyle w:val="Char"/>
          <w:u w:val="single"/>
        </w:rPr>
      </w:pPr>
      <w:r w:rsidRPr="00F13073">
        <w:rPr>
          <w:rStyle w:val="Char"/>
          <w:u w:val="single"/>
        </w:rPr>
        <w:t>Eliminacja</w:t>
      </w:r>
    </w:p>
    <w:p w14:paraId="4DACAD76" w14:textId="025B3A48" w:rsidR="006920CA" w:rsidRPr="00F13073" w:rsidRDefault="00574EF6" w:rsidP="008B4C50">
      <w:pPr>
        <w:rPr>
          <w:rStyle w:val="Char"/>
          <w:rFonts w:eastAsia="DengXian"/>
        </w:rPr>
      </w:pPr>
      <w:r w:rsidRPr="00F13073">
        <w:rPr>
          <w:rStyle w:val="Char"/>
          <w:rFonts w:eastAsia="DengXian"/>
        </w:rPr>
        <w:t xml:space="preserve">Całkowity klirens </w:t>
      </w:r>
      <w:r w:rsidR="00AC5AAF" w:rsidRPr="00F13073">
        <w:rPr>
          <w:rStyle w:val="Char"/>
          <w:rFonts w:eastAsia="DengXian"/>
        </w:rPr>
        <w:t xml:space="preserve">tocilizumabu </w:t>
      </w:r>
      <w:r w:rsidRPr="00F13073">
        <w:rPr>
          <w:rStyle w:val="Char"/>
          <w:rFonts w:eastAsia="DengXian"/>
        </w:rPr>
        <w:t>był zależny od stężenia i jest on sumą klirensu liniowego i klirensu nieliniowego. Klirens liniowy był szacowany jako jeden z parametrów w analizie farmakokinetyki populacyjnej i wyniósł 6,7 mL/h u pacjentów z GCA.</w:t>
      </w:r>
    </w:p>
    <w:p w14:paraId="74876EE4" w14:textId="77777777" w:rsidR="00B541F9" w:rsidRPr="00F13073" w:rsidRDefault="00B541F9" w:rsidP="008B4C50"/>
    <w:p w14:paraId="0AB617AB" w14:textId="7058F780" w:rsidR="00B541F9" w:rsidRPr="00F13073" w:rsidRDefault="00B541F9" w:rsidP="008B4C50">
      <w:pPr>
        <w:pStyle w:val="a4"/>
        <w:widowControl/>
        <w:spacing w:after="0"/>
        <w:rPr>
          <w:rStyle w:val="Char"/>
        </w:rPr>
      </w:pPr>
      <w:r w:rsidRPr="00F13073">
        <w:rPr>
          <w:rStyle w:val="Char"/>
        </w:rPr>
        <w:t xml:space="preserve">U pacjentów z GCA w stanie stacjonarnym efektywny t </w:t>
      </w:r>
      <w:r w:rsidRPr="00F13073">
        <w:rPr>
          <w:rStyle w:val="Char"/>
          <w:vertAlign w:val="subscript"/>
        </w:rPr>
        <w:t>1/2</w:t>
      </w:r>
      <w:r w:rsidRPr="00F13073">
        <w:rPr>
          <w:rStyle w:val="Char"/>
        </w:rPr>
        <w:t xml:space="preserve"> </w:t>
      </w:r>
      <w:r w:rsidR="00AC5AAF" w:rsidRPr="00F13073">
        <w:rPr>
          <w:rStyle w:val="Char"/>
        </w:rPr>
        <w:t xml:space="preserve">tocilizumabu </w:t>
      </w:r>
      <w:r w:rsidRPr="00F13073">
        <w:rPr>
          <w:rStyle w:val="Char"/>
        </w:rPr>
        <w:t xml:space="preserve">wahał się od 18,3 do 18,9 dni dla dawki 162 mg podawanej raz w tygodniu oraz od 4,2 do 7,9 dnia dla dawki 162 mg podawanej raz na dwa tygodnie. Przy wysokich stężeniach w surowicy, gdy za klirens całkowity </w:t>
      </w:r>
      <w:r w:rsidR="00AC5AAF" w:rsidRPr="00F13073">
        <w:rPr>
          <w:rStyle w:val="Char"/>
        </w:rPr>
        <w:t xml:space="preserve">tocilizumabu </w:t>
      </w:r>
      <w:r w:rsidRPr="00F13073">
        <w:rPr>
          <w:rStyle w:val="Char"/>
        </w:rPr>
        <w:t>odpowiada przeważnie klirens liniowy, efektywny t</w:t>
      </w:r>
      <w:r w:rsidRPr="00F13073">
        <w:rPr>
          <w:rStyle w:val="Char"/>
          <w:vertAlign w:val="subscript"/>
        </w:rPr>
        <w:t>1/2</w:t>
      </w:r>
      <w:r w:rsidRPr="00F13073">
        <w:rPr>
          <w:rStyle w:val="Char"/>
        </w:rPr>
        <w:t xml:space="preserve"> wynoszący około 32 dni został ustalony na podstawie szacunków parametru populacyjnego.</w:t>
      </w:r>
    </w:p>
    <w:p w14:paraId="06B6B1E6" w14:textId="77777777" w:rsidR="00B541F9" w:rsidRPr="00F13073" w:rsidRDefault="00B541F9" w:rsidP="008B4C50">
      <w:pPr>
        <w:pStyle w:val="a4"/>
        <w:widowControl/>
        <w:spacing w:after="0"/>
      </w:pPr>
    </w:p>
    <w:p w14:paraId="29D36F91" w14:textId="77777777" w:rsidR="00B541F9" w:rsidRPr="00F13073" w:rsidRDefault="00B541F9" w:rsidP="008B4C50">
      <w:pPr>
        <w:pStyle w:val="a4"/>
        <w:widowControl/>
        <w:spacing w:after="0"/>
      </w:pPr>
      <w:r w:rsidRPr="00F13073">
        <w:rPr>
          <w:rStyle w:val="Char"/>
          <w:u w:val="single"/>
        </w:rPr>
        <w:t>Szczególne grupy pacjentów</w:t>
      </w:r>
    </w:p>
    <w:p w14:paraId="2F6BCB31" w14:textId="44B65A88" w:rsidR="00B541F9" w:rsidRPr="00F13073" w:rsidRDefault="00B541F9" w:rsidP="008B4C50">
      <w:pPr>
        <w:pStyle w:val="a4"/>
        <w:widowControl/>
        <w:spacing w:after="0"/>
        <w:rPr>
          <w:rStyle w:val="Char"/>
        </w:rPr>
      </w:pPr>
      <w:r w:rsidRPr="00F13073">
        <w:rPr>
          <w:rStyle w:val="Char"/>
          <w:i/>
          <w:iCs/>
        </w:rPr>
        <w:t>Niewydolność nerek</w:t>
      </w:r>
      <w:r w:rsidRPr="00F13073">
        <w:rPr>
          <w:rStyle w:val="Char"/>
        </w:rPr>
        <w:t xml:space="preserve">: Nie przeprowadzono żadnych formalnych badań nad wpływem zaburzonej czynności nerek na farmakokinetykę </w:t>
      </w:r>
      <w:r w:rsidR="00AC5AAF" w:rsidRPr="00F13073">
        <w:rPr>
          <w:rStyle w:val="Char"/>
        </w:rPr>
        <w:t>tocilizumabu</w:t>
      </w:r>
      <w:r w:rsidRPr="00F13073">
        <w:rPr>
          <w:rStyle w:val="Char"/>
        </w:rPr>
        <w:t xml:space="preserve">. Większość pacjentów w analizie farmakokinetyki w populacji badań z RZS i GCA charakteryzowała się normalną czynnością lub łagodną niewydolnością nerek. Łagodne zaburzenia czynności nerek (szacunkowy klirens kreatyniny wyliczony z równania Cockrofta-Gaulta) nie powodowały zmian w farmakokinetyce </w:t>
      </w:r>
      <w:r w:rsidR="00AC5AAF" w:rsidRPr="00F13073">
        <w:rPr>
          <w:rStyle w:val="Char"/>
        </w:rPr>
        <w:t>tocilizumabu</w:t>
      </w:r>
      <w:r w:rsidRPr="00F13073">
        <w:rPr>
          <w:rStyle w:val="Char"/>
        </w:rPr>
        <w:t>.</w:t>
      </w:r>
    </w:p>
    <w:p w14:paraId="555EF582" w14:textId="77777777" w:rsidR="00B541F9" w:rsidRPr="00F13073" w:rsidRDefault="00B541F9" w:rsidP="008B4C50">
      <w:pPr>
        <w:pStyle w:val="a4"/>
        <w:widowControl/>
        <w:spacing w:after="0"/>
      </w:pPr>
    </w:p>
    <w:p w14:paraId="36FD6CD8" w14:textId="204127C6" w:rsidR="00B541F9" w:rsidRPr="00F13073" w:rsidRDefault="00B541F9" w:rsidP="008B4C50">
      <w:pPr>
        <w:pStyle w:val="a4"/>
        <w:widowControl/>
        <w:spacing w:after="0"/>
        <w:rPr>
          <w:rStyle w:val="Char"/>
        </w:rPr>
      </w:pPr>
      <w:r w:rsidRPr="00F13073">
        <w:rPr>
          <w:rStyle w:val="Char"/>
        </w:rPr>
        <w:t xml:space="preserve">U około jednej trzeciej pacjentów w badaniu z GCA występowały umiarkowane zaburzenia czynności nerek przed przystąpieniem do badania (szacunkowy klirens kreatyniny: 30-59 mL/min). U tych pacjentów nie odnotowano wpływu na ekspozycję na </w:t>
      </w:r>
      <w:r w:rsidR="00AC5AAF" w:rsidRPr="00F13073">
        <w:rPr>
          <w:rStyle w:val="Char"/>
        </w:rPr>
        <w:t>tocilizumab</w:t>
      </w:r>
      <w:r w:rsidRPr="00F13073">
        <w:rPr>
          <w:rStyle w:val="Char"/>
        </w:rPr>
        <w:t>.</w:t>
      </w:r>
    </w:p>
    <w:p w14:paraId="33457489" w14:textId="77777777" w:rsidR="00B541F9" w:rsidRPr="00F13073" w:rsidRDefault="00B541F9" w:rsidP="008B4C50">
      <w:pPr>
        <w:pStyle w:val="a4"/>
        <w:widowControl/>
        <w:spacing w:after="0"/>
      </w:pPr>
    </w:p>
    <w:p w14:paraId="0A946BFD" w14:textId="77777777" w:rsidR="00B541F9" w:rsidRPr="00F13073" w:rsidRDefault="00B541F9" w:rsidP="008B4C50">
      <w:pPr>
        <w:pStyle w:val="a4"/>
        <w:widowControl/>
        <w:spacing w:after="0"/>
        <w:rPr>
          <w:rStyle w:val="Char"/>
        </w:rPr>
      </w:pPr>
      <w:r w:rsidRPr="00F13073">
        <w:rPr>
          <w:rStyle w:val="Char"/>
        </w:rPr>
        <w:t>Nie ma konieczności dostosowania dawki u pacjentów z łagodnymi lub umiarkowanymi zaburzeniami czynności nerek.</w:t>
      </w:r>
    </w:p>
    <w:p w14:paraId="7AFF6F92" w14:textId="77777777" w:rsidR="00B541F9" w:rsidRPr="00F13073" w:rsidRDefault="00B541F9" w:rsidP="008B4C50">
      <w:pPr>
        <w:pStyle w:val="a4"/>
        <w:widowControl/>
        <w:spacing w:after="0"/>
      </w:pPr>
    </w:p>
    <w:p w14:paraId="346829C1" w14:textId="4CBB04DA" w:rsidR="00B541F9" w:rsidRPr="00F13073" w:rsidRDefault="00B541F9" w:rsidP="008B4C50">
      <w:pPr>
        <w:pStyle w:val="a4"/>
        <w:widowControl/>
        <w:spacing w:after="0"/>
        <w:rPr>
          <w:rStyle w:val="Char"/>
        </w:rPr>
      </w:pPr>
      <w:r w:rsidRPr="00F13073">
        <w:rPr>
          <w:rStyle w:val="Char"/>
          <w:i/>
          <w:iCs/>
        </w:rPr>
        <w:t>Zaburzenia czynności wątroby:</w:t>
      </w:r>
      <w:r w:rsidRPr="00F13073">
        <w:rPr>
          <w:rStyle w:val="Char"/>
        </w:rPr>
        <w:t xml:space="preserve"> Nie przeprowadzono żadnych formalnych badań nad wpływem zaburzonej czynności wątroby na farmakokinetykę </w:t>
      </w:r>
      <w:r w:rsidR="00DF3C39" w:rsidRPr="00F13073">
        <w:rPr>
          <w:rStyle w:val="Char"/>
        </w:rPr>
        <w:t>tocilizumabu</w:t>
      </w:r>
      <w:r w:rsidRPr="00F13073">
        <w:rPr>
          <w:rStyle w:val="Char"/>
        </w:rPr>
        <w:t>.</w:t>
      </w:r>
    </w:p>
    <w:p w14:paraId="1B169261" w14:textId="77777777" w:rsidR="00B541F9" w:rsidRPr="00F13073" w:rsidRDefault="00B541F9" w:rsidP="008B4C50">
      <w:pPr>
        <w:pStyle w:val="a4"/>
        <w:widowControl/>
        <w:spacing w:after="0"/>
      </w:pPr>
    </w:p>
    <w:p w14:paraId="4BFA4EBB" w14:textId="0C83B8E3" w:rsidR="00B541F9" w:rsidRPr="00F13073" w:rsidRDefault="00B541F9" w:rsidP="008B4C50">
      <w:pPr>
        <w:pStyle w:val="a4"/>
        <w:widowControl/>
        <w:spacing w:after="0"/>
        <w:rPr>
          <w:rStyle w:val="Char"/>
        </w:rPr>
      </w:pPr>
      <w:r w:rsidRPr="00F13073">
        <w:rPr>
          <w:rStyle w:val="Char"/>
          <w:i/>
          <w:iCs/>
        </w:rPr>
        <w:t>Wiek, płeć i rasa:</w:t>
      </w:r>
      <w:r w:rsidRPr="00F13073">
        <w:rPr>
          <w:rStyle w:val="Char"/>
        </w:rPr>
        <w:t xml:space="preserve"> Analiza farmakokinetyki populacyjnej wykazała, że u chorych na RZS i GCA czynniki, takie jak wiek, płeć i rasa, nie miały wpływu na farmakokinetykę </w:t>
      </w:r>
      <w:r w:rsidR="000D53F6" w:rsidRPr="00F13073">
        <w:rPr>
          <w:rStyle w:val="Char"/>
        </w:rPr>
        <w:t>tocilizumabu</w:t>
      </w:r>
      <w:r w:rsidRPr="00F13073">
        <w:rPr>
          <w:rStyle w:val="Char"/>
        </w:rPr>
        <w:t>.</w:t>
      </w:r>
    </w:p>
    <w:p w14:paraId="5CAB3E50" w14:textId="77777777" w:rsidR="00B541F9" w:rsidRPr="00F13073" w:rsidRDefault="00B541F9" w:rsidP="008B4C50">
      <w:pPr>
        <w:pStyle w:val="a4"/>
        <w:widowControl/>
        <w:spacing w:after="0"/>
      </w:pPr>
    </w:p>
    <w:p w14:paraId="30826FDC" w14:textId="47BBBE03" w:rsidR="00B541F9" w:rsidRPr="00F13073" w:rsidRDefault="00B541F9" w:rsidP="008B4C50">
      <w:pPr>
        <w:pStyle w:val="a4"/>
        <w:widowControl/>
        <w:spacing w:after="0"/>
      </w:pPr>
      <w:r w:rsidRPr="00F13073">
        <w:rPr>
          <w:rStyle w:val="Char"/>
        </w:rPr>
        <w:lastRenderedPageBreak/>
        <w:t xml:space="preserve">Wyniki analizy farmakokinetyki populacyjnej dotyczącej pacjentów z uMIZS i wMIZS potwierdziły, że wielkość ciała jest jedyną współzmienną mającą dostrzegalny wpływ na farmakokinetykę </w:t>
      </w:r>
      <w:r w:rsidR="000D53F6" w:rsidRPr="00F13073">
        <w:rPr>
          <w:rStyle w:val="Char"/>
        </w:rPr>
        <w:t>tocilizumabu</w:t>
      </w:r>
      <w:r w:rsidRPr="00F13073">
        <w:rPr>
          <w:rStyle w:val="Char"/>
        </w:rPr>
        <w:t>, włączając fazę eliminacji i wchłaniania, dlatego należy wziąć pod uwagę ustalanie dawkowania z uwzględnieniem masy ciała (patrz Tabele 8 i 9).</w:t>
      </w:r>
    </w:p>
    <w:p w14:paraId="170A1AE0" w14:textId="77777777" w:rsidR="006920CA" w:rsidRPr="00F13073" w:rsidRDefault="006920CA" w:rsidP="008B4C50"/>
    <w:p w14:paraId="79B5AF94" w14:textId="77777777" w:rsidR="001E0975" w:rsidRPr="00F13073" w:rsidRDefault="001721B1" w:rsidP="008B4C50">
      <w:pPr>
        <w:keepNext/>
        <w:ind w:left="567" w:hanging="567"/>
        <w:rPr>
          <w:b/>
          <w:bCs/>
        </w:rPr>
      </w:pPr>
      <w:r w:rsidRPr="00F13073">
        <w:rPr>
          <w:b/>
          <w:bCs/>
        </w:rPr>
        <w:t>5.3</w:t>
      </w:r>
      <w:r w:rsidRPr="00F13073">
        <w:rPr>
          <w:b/>
          <w:bCs/>
        </w:rPr>
        <w:tab/>
      </w:r>
      <w:r w:rsidR="00AA704F" w:rsidRPr="00F13073">
        <w:rPr>
          <w:b/>
          <w:bCs/>
        </w:rPr>
        <w:t>Przedkliniczne dane o bezpieczeństwie</w:t>
      </w:r>
    </w:p>
    <w:p w14:paraId="4A1DC769" w14:textId="77777777" w:rsidR="006920CA" w:rsidRPr="00F13073" w:rsidRDefault="006920CA" w:rsidP="008B4C50">
      <w:pPr>
        <w:keepNext/>
        <w:ind w:left="567" w:hanging="567"/>
        <w:rPr>
          <w:b/>
          <w:bCs/>
        </w:rPr>
      </w:pPr>
    </w:p>
    <w:p w14:paraId="7377F0B7" w14:textId="77777777" w:rsidR="00AA704F" w:rsidRPr="00F13073" w:rsidRDefault="00AA704F" w:rsidP="008B4C50">
      <w:pPr>
        <w:pStyle w:val="a4"/>
        <w:widowControl/>
        <w:spacing w:after="0"/>
        <w:rPr>
          <w:rStyle w:val="Char"/>
        </w:rPr>
      </w:pPr>
      <w:r w:rsidRPr="00F13073">
        <w:rPr>
          <w:rStyle w:val="Char"/>
        </w:rPr>
        <w:t>Dane przedkliniczne, uzyskane na podstawie konwencjonalnych badań farmakologicznych dotyczących bezpieczeństwa stosowania, toksyczności po podaniu wielokrotnym, genotoksyczności oraz toksycznego wpływu na reprodukcję i rozwój nie ujawniają występowania szczególnego zagrożenia dla człowieka.</w:t>
      </w:r>
    </w:p>
    <w:p w14:paraId="5B5A9A0F" w14:textId="77777777" w:rsidR="00AA704F" w:rsidRPr="00F13073" w:rsidRDefault="00AA704F" w:rsidP="008B4C50">
      <w:pPr>
        <w:pStyle w:val="a4"/>
        <w:widowControl/>
        <w:spacing w:after="0"/>
      </w:pPr>
    </w:p>
    <w:p w14:paraId="3DD51BC6" w14:textId="77777777" w:rsidR="00AA704F" w:rsidRPr="00F13073" w:rsidRDefault="00AA704F" w:rsidP="008B4C50">
      <w:pPr>
        <w:pStyle w:val="a4"/>
        <w:widowControl/>
        <w:spacing w:after="0"/>
        <w:rPr>
          <w:rStyle w:val="Char"/>
        </w:rPr>
      </w:pPr>
      <w:r w:rsidRPr="00F13073">
        <w:rPr>
          <w:rStyle w:val="Char"/>
        </w:rPr>
        <w:t>Nie przeprowadzono badań nad potencjalnym działaniem rakotwórczym, ponieważ przeciwciała monoklonalne IgG1 nie są uważane za wykazujące działanie kancerogenne.</w:t>
      </w:r>
    </w:p>
    <w:p w14:paraId="33974B1B" w14:textId="77777777" w:rsidR="00AA704F" w:rsidRPr="00F13073" w:rsidRDefault="00AA704F" w:rsidP="008B4C50">
      <w:pPr>
        <w:pStyle w:val="a4"/>
        <w:widowControl/>
        <w:spacing w:after="0"/>
      </w:pPr>
    </w:p>
    <w:p w14:paraId="4E290BEC" w14:textId="17770C16" w:rsidR="00AA704F" w:rsidRPr="00F13073" w:rsidRDefault="00AA704F" w:rsidP="008B4C50">
      <w:pPr>
        <w:pStyle w:val="a4"/>
        <w:widowControl/>
        <w:spacing w:after="0"/>
        <w:rPr>
          <w:rStyle w:val="Char"/>
        </w:rPr>
      </w:pPr>
      <w:r w:rsidRPr="00F13073">
        <w:rPr>
          <w:rStyle w:val="Char"/>
        </w:rPr>
        <w:t xml:space="preserve">Dostępne dane przedkliniczne wykazały wpływ IL-6 na progresję złośliwego procesu nowotworowego i oporność na apoptozę różnych rodzajów raka. Wyniki te nie wskazują na względne ryzyko inicjacji i progresji zmian nowotworowych podczas leczenia </w:t>
      </w:r>
      <w:r w:rsidR="000D53F6" w:rsidRPr="00F13073">
        <w:rPr>
          <w:rStyle w:val="Char"/>
        </w:rPr>
        <w:t>tocilizumabem</w:t>
      </w:r>
      <w:r w:rsidRPr="00F13073">
        <w:rPr>
          <w:rStyle w:val="Char"/>
        </w:rPr>
        <w:t>. Ponadto nie zaobserwowano wystąpienia zmian o charakterze rozrostowym w 6-miesięcznych badaniach nad przewlekłą toksycznością przeprowadzonych na małpach Cynomolgus ani u myszy pozbawionych IL-6.</w:t>
      </w:r>
    </w:p>
    <w:p w14:paraId="17BB30A8" w14:textId="77777777" w:rsidR="00AA704F" w:rsidRPr="00F13073" w:rsidRDefault="00AA704F" w:rsidP="008B4C50">
      <w:pPr>
        <w:pStyle w:val="a4"/>
        <w:widowControl/>
        <w:spacing w:after="0"/>
      </w:pPr>
    </w:p>
    <w:p w14:paraId="0346614C" w14:textId="03D9718F" w:rsidR="00AA704F" w:rsidRPr="00F13073" w:rsidRDefault="00AA704F" w:rsidP="008B4C50">
      <w:pPr>
        <w:pStyle w:val="a4"/>
        <w:widowControl/>
        <w:spacing w:after="0"/>
        <w:rPr>
          <w:rStyle w:val="Char"/>
        </w:rPr>
      </w:pPr>
      <w:r w:rsidRPr="00F13073">
        <w:rPr>
          <w:rStyle w:val="Char"/>
        </w:rPr>
        <w:t xml:space="preserve">Dostępne dane niekliniczne nie wskazują na istnienie wpływu leczenia </w:t>
      </w:r>
      <w:r w:rsidR="00625170" w:rsidRPr="00F13073">
        <w:rPr>
          <w:rStyle w:val="Char"/>
        </w:rPr>
        <w:t>tocilizumabem</w:t>
      </w:r>
      <w:r w:rsidRPr="00F13073">
        <w:rPr>
          <w:rStyle w:val="Char"/>
        </w:rPr>
        <w:t xml:space="preserve"> na płodność. Nie zaobserwowano wpływu na narządy hormonalnie czynne i wchodzące w skład układu rozrodczego w przeprowadzonych na małpach badaniach nad toksycznością przewlekłą, jak również nie stwierdzono zaburzeń zdolności reprodukcyjnych u myszy pozbawionych IL-6. Podawanie </w:t>
      </w:r>
      <w:r w:rsidR="00625170" w:rsidRPr="00F13073">
        <w:rPr>
          <w:rStyle w:val="Char"/>
        </w:rPr>
        <w:t xml:space="preserve">tocilizumabu </w:t>
      </w:r>
      <w:r w:rsidRPr="00F13073">
        <w:rPr>
          <w:rStyle w:val="Char"/>
        </w:rPr>
        <w:t xml:space="preserve">małpom Cynomolgus w okresie wczesnej ciąży nie wiązało się z bezpośrednim ani pośrednim działaniem szkodliwym na przebieg ciąży lub rozwój zarodka. Jednakże odnotowano nieznaczne zwiększenie częstości poronień lub śmierci embrionalno-płodowej przy ekspozycji ustrojowej na wysokie dawki (&gt; 100 x narażenie u ludzi) w grupie, której podawano dawkę w wysokości 50 mg/kg mc./dobę w porównaniu do placebo lub do innych - otrzymujących niższe dawki </w:t>
      </w:r>
      <w:r w:rsidR="006157FC" w:rsidRPr="00F13073">
        <w:rPr>
          <w:rStyle w:val="Char"/>
        </w:rPr>
        <w:t>–</w:t>
      </w:r>
      <w:r w:rsidRPr="00F13073">
        <w:rPr>
          <w:rStyle w:val="Char"/>
        </w:rPr>
        <w:t xml:space="preserve"> grup badanych. Pomimo iż IL-6 nie wydaje się być cytokiną o decydującym znaczeniu dla wzrostu płodu ani dla immunologicznej kontroli matka-płód, to jednak nie można wykluczyć związku obserwowanych zdarzeń z podawaniem </w:t>
      </w:r>
      <w:r w:rsidR="00625170" w:rsidRPr="00F13073">
        <w:rPr>
          <w:rStyle w:val="Char"/>
        </w:rPr>
        <w:t>tocilizumabu</w:t>
      </w:r>
      <w:r w:rsidRPr="00F13073">
        <w:rPr>
          <w:rStyle w:val="Char"/>
        </w:rPr>
        <w:t>.</w:t>
      </w:r>
    </w:p>
    <w:p w14:paraId="3E0F3FEE" w14:textId="77777777" w:rsidR="00AA704F" w:rsidRPr="00F13073" w:rsidRDefault="00AA704F" w:rsidP="008B4C50">
      <w:pPr>
        <w:pStyle w:val="a4"/>
        <w:widowControl/>
        <w:spacing w:after="0"/>
      </w:pPr>
    </w:p>
    <w:p w14:paraId="6A146474" w14:textId="77777777" w:rsidR="00AA704F" w:rsidRPr="00F13073" w:rsidRDefault="00AA704F" w:rsidP="008B4C50">
      <w:pPr>
        <w:pStyle w:val="a4"/>
        <w:widowControl/>
        <w:spacing w:after="0"/>
        <w:rPr>
          <w:rStyle w:val="Char"/>
        </w:rPr>
      </w:pPr>
      <w:r w:rsidRPr="00F13073">
        <w:rPr>
          <w:rStyle w:val="Char"/>
        </w:rPr>
        <w:t>Leczenie mysim analogiem nie wywoływało toksyczności u młodych myszy. W szczególności nie zaobserwowano zaburzeń dotyczących wzrostu szkieletu, funkcjonowania układu odpornościowego i dojrzewania płciowego.</w:t>
      </w:r>
    </w:p>
    <w:p w14:paraId="2B5EA290" w14:textId="77777777" w:rsidR="00AA704F" w:rsidRPr="00F13073" w:rsidRDefault="00AA704F" w:rsidP="008B4C50">
      <w:pPr>
        <w:pStyle w:val="a4"/>
        <w:widowControl/>
        <w:spacing w:after="0"/>
      </w:pPr>
    </w:p>
    <w:p w14:paraId="688F41C8" w14:textId="631D0DF3" w:rsidR="00AA704F" w:rsidRPr="00F13073" w:rsidRDefault="00AA704F" w:rsidP="008B4C50">
      <w:pPr>
        <w:pStyle w:val="a4"/>
        <w:widowControl/>
        <w:spacing w:after="0"/>
      </w:pPr>
      <w:r w:rsidRPr="00F13073">
        <w:rPr>
          <w:rStyle w:val="Char"/>
        </w:rPr>
        <w:t xml:space="preserve">Niekliniczny profil bezpieczeństwa </w:t>
      </w:r>
      <w:r w:rsidR="00625170" w:rsidRPr="00F13073">
        <w:rPr>
          <w:rStyle w:val="Char"/>
        </w:rPr>
        <w:t>tocilizumabu</w:t>
      </w:r>
      <w:r w:rsidRPr="00F13073">
        <w:rPr>
          <w:rStyle w:val="Char"/>
        </w:rPr>
        <w:t>, uzyskany w badaniach na małpach Cynomolgus, nie wykazywał różnic w przypadku dożylnego i podskórnego sposobu podawania.</w:t>
      </w:r>
    </w:p>
    <w:p w14:paraId="5ADB7CD5" w14:textId="77777777" w:rsidR="006920CA" w:rsidRPr="00F13073" w:rsidRDefault="006920CA" w:rsidP="008B4C50"/>
    <w:p w14:paraId="3150D5CA" w14:textId="77777777" w:rsidR="006920CA" w:rsidRPr="00F13073" w:rsidRDefault="006920CA" w:rsidP="008B4C50"/>
    <w:p w14:paraId="05267B21" w14:textId="77777777" w:rsidR="001E0975" w:rsidRPr="00F13073" w:rsidRDefault="001721B1" w:rsidP="008B4C50">
      <w:pPr>
        <w:keepNext/>
        <w:ind w:left="567" w:hanging="567"/>
        <w:rPr>
          <w:b/>
          <w:bCs/>
        </w:rPr>
      </w:pPr>
      <w:r w:rsidRPr="00F13073">
        <w:rPr>
          <w:b/>
          <w:bCs/>
        </w:rPr>
        <w:t>6.</w:t>
      </w:r>
      <w:r w:rsidRPr="00F13073">
        <w:rPr>
          <w:b/>
          <w:bCs/>
        </w:rPr>
        <w:tab/>
      </w:r>
      <w:r w:rsidR="00F14AE1" w:rsidRPr="00F13073">
        <w:rPr>
          <w:b/>
          <w:bCs/>
        </w:rPr>
        <w:t>DANE FARMACEUTYCZNE</w:t>
      </w:r>
    </w:p>
    <w:p w14:paraId="304E652D" w14:textId="77777777" w:rsidR="006920CA" w:rsidRPr="00F13073" w:rsidRDefault="006920CA" w:rsidP="008B4C50">
      <w:pPr>
        <w:keepNext/>
        <w:ind w:left="567" w:hanging="567"/>
        <w:rPr>
          <w:b/>
          <w:bCs/>
        </w:rPr>
      </w:pPr>
    </w:p>
    <w:p w14:paraId="4A8C2E10" w14:textId="77777777" w:rsidR="001E0975" w:rsidRPr="00F13073" w:rsidRDefault="001721B1" w:rsidP="008B4C50">
      <w:pPr>
        <w:keepNext/>
        <w:ind w:left="567" w:hanging="567"/>
        <w:rPr>
          <w:b/>
          <w:bCs/>
        </w:rPr>
      </w:pPr>
      <w:r w:rsidRPr="00F13073">
        <w:rPr>
          <w:b/>
          <w:bCs/>
        </w:rPr>
        <w:t>6.1</w:t>
      </w:r>
      <w:r w:rsidRPr="00F13073">
        <w:rPr>
          <w:b/>
          <w:bCs/>
        </w:rPr>
        <w:tab/>
      </w:r>
      <w:r w:rsidR="00F14AE1" w:rsidRPr="00F13073">
        <w:rPr>
          <w:b/>
          <w:bCs/>
        </w:rPr>
        <w:t>Wykaz substancji pomocniczych</w:t>
      </w:r>
    </w:p>
    <w:p w14:paraId="7ECFF6EC" w14:textId="77777777" w:rsidR="006920CA" w:rsidRPr="00F13073" w:rsidRDefault="006920CA" w:rsidP="008B4C50">
      <w:pPr>
        <w:keepNext/>
        <w:ind w:left="567" w:hanging="567"/>
        <w:rPr>
          <w:b/>
          <w:bCs/>
        </w:rPr>
      </w:pPr>
    </w:p>
    <w:p w14:paraId="0B40B725" w14:textId="77777777" w:rsidR="00F14AE1" w:rsidRDefault="00F14AE1" w:rsidP="008B4C50">
      <w:pPr>
        <w:pStyle w:val="a4"/>
        <w:widowControl/>
        <w:spacing w:after="0"/>
        <w:rPr>
          <w:rStyle w:val="Char"/>
          <w:rFonts w:eastAsia="맑은 고딕"/>
          <w:lang w:eastAsia="ko-KR"/>
        </w:rPr>
      </w:pPr>
      <w:r w:rsidRPr="00F13073">
        <w:rPr>
          <w:rStyle w:val="Char"/>
        </w:rPr>
        <w:t>L-histydyna</w:t>
      </w:r>
    </w:p>
    <w:p w14:paraId="62E761A0" w14:textId="140F68EE" w:rsidR="008F49A7" w:rsidRPr="005F0664" w:rsidRDefault="00017E9D" w:rsidP="008B4C50">
      <w:pPr>
        <w:pStyle w:val="a4"/>
        <w:widowControl/>
        <w:spacing w:after="0"/>
        <w:rPr>
          <w:rStyle w:val="Char"/>
          <w:rFonts w:eastAsia="맑은 고딕"/>
          <w:lang w:eastAsia="ko-KR"/>
        </w:rPr>
      </w:pPr>
      <w:r w:rsidRPr="00017E9D">
        <w:rPr>
          <w:rFonts w:eastAsia="맑은 고딕" w:hint="eastAsia"/>
          <w:lang w:eastAsia="ko-KR"/>
        </w:rPr>
        <w:t>L-histydyny monochlorowodorek, monohydrat</w:t>
      </w:r>
    </w:p>
    <w:p w14:paraId="3496B354" w14:textId="4853E192" w:rsidR="009E1733" w:rsidRPr="00127FBE" w:rsidRDefault="009E1733" w:rsidP="008B4C50">
      <w:pPr>
        <w:pStyle w:val="a4"/>
        <w:widowControl/>
        <w:spacing w:after="0"/>
        <w:rPr>
          <w:rStyle w:val="Char"/>
          <w:lang w:val="en-GB"/>
        </w:rPr>
      </w:pPr>
      <w:r w:rsidRPr="00127FBE">
        <w:rPr>
          <w:rStyle w:val="Char"/>
          <w:lang w:val="en-GB"/>
        </w:rPr>
        <w:t>L-</w:t>
      </w:r>
      <w:proofErr w:type="spellStart"/>
      <w:r w:rsidRPr="00127FBE">
        <w:rPr>
          <w:rStyle w:val="Char"/>
          <w:lang w:val="en-GB"/>
        </w:rPr>
        <w:t>treonina</w:t>
      </w:r>
      <w:proofErr w:type="spellEnd"/>
    </w:p>
    <w:p w14:paraId="6346C433" w14:textId="77777777" w:rsidR="00F14AE1" w:rsidRPr="00127FBE" w:rsidRDefault="00F14AE1" w:rsidP="008B4C50">
      <w:pPr>
        <w:pStyle w:val="a4"/>
        <w:widowControl/>
        <w:spacing w:after="0"/>
        <w:rPr>
          <w:rStyle w:val="Char"/>
          <w:lang w:val="en-GB"/>
        </w:rPr>
      </w:pPr>
      <w:r w:rsidRPr="00127FBE">
        <w:rPr>
          <w:rStyle w:val="Char"/>
          <w:lang w:val="en-GB"/>
        </w:rPr>
        <w:t>L-</w:t>
      </w:r>
      <w:proofErr w:type="spellStart"/>
      <w:r w:rsidRPr="00127FBE">
        <w:rPr>
          <w:rStyle w:val="Char"/>
          <w:lang w:val="en-GB"/>
        </w:rPr>
        <w:t>metionina</w:t>
      </w:r>
      <w:proofErr w:type="spellEnd"/>
    </w:p>
    <w:p w14:paraId="2CE1C639" w14:textId="77777777" w:rsidR="00F14AE1" w:rsidRPr="00127FBE" w:rsidRDefault="00F14AE1" w:rsidP="008B4C50">
      <w:pPr>
        <w:pStyle w:val="a4"/>
        <w:widowControl/>
        <w:spacing w:after="0"/>
        <w:rPr>
          <w:rStyle w:val="Char"/>
          <w:lang w:val="en-GB"/>
        </w:rPr>
      </w:pPr>
      <w:proofErr w:type="spellStart"/>
      <w:r w:rsidRPr="00127FBE">
        <w:rPr>
          <w:rStyle w:val="Char"/>
          <w:lang w:val="en-GB"/>
        </w:rPr>
        <w:t>Polisorbat</w:t>
      </w:r>
      <w:proofErr w:type="spellEnd"/>
      <w:r w:rsidRPr="00127FBE">
        <w:rPr>
          <w:rStyle w:val="Char"/>
          <w:lang w:val="en-GB"/>
        </w:rPr>
        <w:t xml:space="preserve"> 80</w:t>
      </w:r>
    </w:p>
    <w:p w14:paraId="6C7E4F8C" w14:textId="77777777" w:rsidR="00F14AE1" w:rsidRPr="00F13073" w:rsidRDefault="00F14AE1" w:rsidP="008B4C50">
      <w:pPr>
        <w:pStyle w:val="a4"/>
        <w:widowControl/>
        <w:spacing w:after="0"/>
        <w:rPr>
          <w:rStyle w:val="Char"/>
        </w:rPr>
      </w:pPr>
      <w:r w:rsidRPr="00F13073">
        <w:rPr>
          <w:rStyle w:val="Char"/>
        </w:rPr>
        <w:t>Woda do wstrzykiwań</w:t>
      </w:r>
    </w:p>
    <w:p w14:paraId="44BE9BB4" w14:textId="77777777" w:rsidR="00F14AE1" w:rsidRPr="00F13073" w:rsidRDefault="00F14AE1" w:rsidP="008B4C50">
      <w:pPr>
        <w:pStyle w:val="a4"/>
        <w:widowControl/>
        <w:spacing w:after="0"/>
      </w:pPr>
    </w:p>
    <w:p w14:paraId="5F682D51" w14:textId="77777777" w:rsidR="00F14AE1" w:rsidRPr="00F13073" w:rsidRDefault="00F14AE1" w:rsidP="008B4C50">
      <w:pPr>
        <w:keepNext/>
        <w:ind w:left="567" w:hanging="567"/>
        <w:rPr>
          <w:b/>
          <w:bCs/>
        </w:rPr>
      </w:pPr>
      <w:r w:rsidRPr="00F13073">
        <w:rPr>
          <w:b/>
          <w:bCs/>
        </w:rPr>
        <w:t>6.2</w:t>
      </w:r>
      <w:r w:rsidRPr="00F13073">
        <w:rPr>
          <w:b/>
          <w:bCs/>
        </w:rPr>
        <w:tab/>
        <w:t>Niezgodności farmaceutyczne</w:t>
      </w:r>
    </w:p>
    <w:p w14:paraId="3A9F6FF7" w14:textId="77777777" w:rsidR="00F14AE1" w:rsidRPr="00F13073" w:rsidRDefault="00F14AE1" w:rsidP="009931C6">
      <w:pPr>
        <w:pStyle w:val="a4"/>
        <w:widowControl/>
        <w:spacing w:after="0"/>
        <w:rPr>
          <w:rStyle w:val="Char"/>
        </w:rPr>
      </w:pPr>
    </w:p>
    <w:p w14:paraId="11973405" w14:textId="77777777" w:rsidR="00F14AE1" w:rsidRPr="00F13073" w:rsidRDefault="00F14AE1" w:rsidP="008B4C50">
      <w:pPr>
        <w:pStyle w:val="a4"/>
        <w:widowControl/>
        <w:spacing w:after="0"/>
        <w:rPr>
          <w:rStyle w:val="Char"/>
        </w:rPr>
      </w:pPr>
      <w:r w:rsidRPr="00F13073">
        <w:rPr>
          <w:rStyle w:val="Char"/>
        </w:rPr>
        <w:t>Z powodu braku badań dotyczących niezgodności farmaceutycznych produktu leczniczego nie wolno mieszać z innymi produktami leczniczymi.</w:t>
      </w:r>
    </w:p>
    <w:p w14:paraId="70B35CC2" w14:textId="77777777" w:rsidR="00F14AE1" w:rsidRPr="00F13073" w:rsidRDefault="00F14AE1" w:rsidP="008B4C50">
      <w:pPr>
        <w:pStyle w:val="a4"/>
        <w:widowControl/>
        <w:spacing w:after="0"/>
      </w:pPr>
    </w:p>
    <w:p w14:paraId="2BFA807B" w14:textId="77777777" w:rsidR="001E0975" w:rsidRPr="00F13073" w:rsidRDefault="001721B1" w:rsidP="008B4C50">
      <w:pPr>
        <w:keepNext/>
        <w:ind w:left="567" w:hanging="567"/>
        <w:rPr>
          <w:b/>
          <w:bCs/>
        </w:rPr>
      </w:pPr>
      <w:r w:rsidRPr="00F13073">
        <w:rPr>
          <w:b/>
          <w:bCs/>
        </w:rPr>
        <w:t>6.3</w:t>
      </w:r>
      <w:r w:rsidRPr="00F13073">
        <w:rPr>
          <w:b/>
          <w:bCs/>
        </w:rPr>
        <w:tab/>
      </w:r>
      <w:r w:rsidR="00F14AE1" w:rsidRPr="00F13073">
        <w:rPr>
          <w:rStyle w:val="Char"/>
          <w:rFonts w:eastAsia="DengXian"/>
          <w:b/>
          <w:bCs/>
        </w:rPr>
        <w:t>Okres ważności</w:t>
      </w:r>
    </w:p>
    <w:p w14:paraId="441FA7DB" w14:textId="77777777" w:rsidR="006920CA" w:rsidRPr="00F13073" w:rsidRDefault="006920CA" w:rsidP="008B4C50">
      <w:pPr>
        <w:keepNext/>
        <w:ind w:left="567" w:hanging="567"/>
        <w:rPr>
          <w:b/>
          <w:bCs/>
        </w:rPr>
      </w:pPr>
    </w:p>
    <w:p w14:paraId="0D7746BE" w14:textId="2E393FB7" w:rsidR="00F14AE1" w:rsidRPr="00F13073" w:rsidRDefault="005975E3" w:rsidP="008B4C50">
      <w:pPr>
        <w:pStyle w:val="a4"/>
        <w:widowControl/>
        <w:spacing w:after="0"/>
        <w:rPr>
          <w:rStyle w:val="Char"/>
        </w:rPr>
      </w:pPr>
      <w:r>
        <w:rPr>
          <w:rStyle w:val="Char"/>
          <w:rFonts w:eastAsia="맑은 고딕" w:hint="eastAsia"/>
          <w:lang w:eastAsia="ko-KR"/>
        </w:rPr>
        <w:t>42</w:t>
      </w:r>
      <w:r w:rsidRPr="00F13073">
        <w:rPr>
          <w:rStyle w:val="Char"/>
        </w:rPr>
        <w:t xml:space="preserve"> </w:t>
      </w:r>
      <w:r w:rsidR="00F14AE1" w:rsidRPr="00F13073">
        <w:rPr>
          <w:rStyle w:val="Char"/>
        </w:rPr>
        <w:t>miesięcy.</w:t>
      </w:r>
    </w:p>
    <w:p w14:paraId="33E193C2" w14:textId="77777777" w:rsidR="00F14AE1" w:rsidRPr="00F13073" w:rsidRDefault="00F14AE1" w:rsidP="008B4C50">
      <w:pPr>
        <w:pStyle w:val="a4"/>
        <w:widowControl/>
        <w:spacing w:after="0"/>
      </w:pPr>
    </w:p>
    <w:p w14:paraId="6FEE3DCF" w14:textId="77777777" w:rsidR="00F14AE1" w:rsidRPr="00F13073" w:rsidRDefault="00F14AE1" w:rsidP="008B4C50">
      <w:pPr>
        <w:keepNext/>
        <w:ind w:left="567" w:hanging="567"/>
      </w:pPr>
      <w:r w:rsidRPr="00F13073">
        <w:rPr>
          <w:rStyle w:val="Char"/>
          <w:rFonts w:eastAsia="DengXian"/>
          <w:b/>
          <w:bCs/>
        </w:rPr>
        <w:t>6.4</w:t>
      </w:r>
      <w:r w:rsidRPr="00F13073">
        <w:rPr>
          <w:rStyle w:val="Char"/>
          <w:rFonts w:eastAsia="DengXian"/>
          <w:b/>
          <w:bCs/>
        </w:rPr>
        <w:tab/>
        <w:t>Specjalne środki ostrożności podczas przechowywania</w:t>
      </w:r>
    </w:p>
    <w:p w14:paraId="21C62137" w14:textId="77777777" w:rsidR="00F14AE1" w:rsidRPr="00F13073" w:rsidRDefault="00F14AE1" w:rsidP="008B4C50">
      <w:pPr>
        <w:pStyle w:val="a4"/>
        <w:widowControl/>
        <w:spacing w:after="0"/>
        <w:rPr>
          <w:rStyle w:val="Char"/>
        </w:rPr>
      </w:pPr>
    </w:p>
    <w:p w14:paraId="48F50DED" w14:textId="371E24DB" w:rsidR="00F14AE1" w:rsidRPr="00F13073" w:rsidRDefault="00F14AE1" w:rsidP="008B4C50">
      <w:pPr>
        <w:pStyle w:val="a4"/>
        <w:widowControl/>
        <w:spacing w:after="0"/>
        <w:rPr>
          <w:rStyle w:val="Char"/>
        </w:rPr>
      </w:pPr>
      <w:r w:rsidRPr="00F13073">
        <w:rPr>
          <w:rStyle w:val="Char"/>
        </w:rPr>
        <w:t>Przechowywać w lodówce (2°C</w:t>
      </w:r>
      <w:r w:rsidR="006157FC" w:rsidRPr="00F13073">
        <w:rPr>
          <w:rStyle w:val="Char"/>
        </w:rPr>
        <w:t>–</w:t>
      </w:r>
      <w:r w:rsidRPr="00F13073">
        <w:rPr>
          <w:rStyle w:val="Char"/>
        </w:rPr>
        <w:t xml:space="preserve">8°C). Nie zamrażać. Po wyjęciu z lodówki wstrzykiwacz półautomatyczny może być przechowywany do </w:t>
      </w:r>
      <w:r w:rsidR="00F77DD3" w:rsidRPr="00F13073">
        <w:rPr>
          <w:rStyle w:val="Char"/>
        </w:rPr>
        <w:t>3</w:t>
      </w:r>
      <w:r w:rsidRPr="00F13073">
        <w:rPr>
          <w:rStyle w:val="Char"/>
        </w:rPr>
        <w:t xml:space="preserve"> tygodni w temperaturze nie wyższej niż 30°C.</w:t>
      </w:r>
    </w:p>
    <w:p w14:paraId="7C2419DB" w14:textId="77777777" w:rsidR="0068260F" w:rsidRPr="00F13073" w:rsidRDefault="0068260F" w:rsidP="008B4C50">
      <w:pPr>
        <w:pStyle w:val="a4"/>
        <w:widowControl/>
        <w:spacing w:after="0"/>
      </w:pPr>
    </w:p>
    <w:p w14:paraId="1000E1D2" w14:textId="77777777" w:rsidR="00F14AE1" w:rsidRPr="00F13073" w:rsidRDefault="00F14AE1" w:rsidP="008B4C50">
      <w:pPr>
        <w:pStyle w:val="a4"/>
        <w:widowControl/>
        <w:spacing w:after="0"/>
        <w:rPr>
          <w:rStyle w:val="Char"/>
        </w:rPr>
      </w:pPr>
      <w:r w:rsidRPr="00F13073">
        <w:rPr>
          <w:rStyle w:val="Char"/>
        </w:rPr>
        <w:t>Wstrzykiwacze półautomatyczne napełnione przechowywać w opakowaniu zewnętrznym w celu ochrony przed światłem i wilgocią.</w:t>
      </w:r>
    </w:p>
    <w:p w14:paraId="0CE3E120" w14:textId="77777777" w:rsidR="0068260F" w:rsidRPr="00F13073" w:rsidRDefault="0068260F" w:rsidP="008B4C50">
      <w:pPr>
        <w:pStyle w:val="a4"/>
        <w:widowControl/>
        <w:spacing w:after="0"/>
      </w:pPr>
    </w:p>
    <w:p w14:paraId="1D404612" w14:textId="77777777" w:rsidR="00F14AE1" w:rsidRPr="00F13073" w:rsidRDefault="00F14AE1" w:rsidP="008B4C50">
      <w:pPr>
        <w:keepNext/>
        <w:ind w:left="567" w:hanging="567"/>
      </w:pPr>
      <w:r w:rsidRPr="00F13073">
        <w:rPr>
          <w:rStyle w:val="Char"/>
          <w:rFonts w:eastAsia="DengXian"/>
          <w:b/>
          <w:bCs/>
        </w:rPr>
        <w:t>6.5</w:t>
      </w:r>
      <w:r w:rsidR="0068260F" w:rsidRPr="00F13073">
        <w:rPr>
          <w:rStyle w:val="Char"/>
          <w:rFonts w:eastAsia="DengXian"/>
          <w:b/>
          <w:bCs/>
        </w:rPr>
        <w:tab/>
      </w:r>
      <w:r w:rsidRPr="00F13073">
        <w:rPr>
          <w:rStyle w:val="Char"/>
          <w:rFonts w:eastAsia="DengXian"/>
          <w:b/>
          <w:bCs/>
        </w:rPr>
        <w:t>Rodzaj i zawartość opakowania</w:t>
      </w:r>
    </w:p>
    <w:p w14:paraId="45CCD1EB" w14:textId="77777777" w:rsidR="0068260F" w:rsidRPr="00F13073" w:rsidRDefault="0068260F" w:rsidP="008B4C50">
      <w:pPr>
        <w:pStyle w:val="a4"/>
        <w:widowControl/>
        <w:spacing w:after="0"/>
        <w:rPr>
          <w:rStyle w:val="Char"/>
        </w:rPr>
      </w:pPr>
    </w:p>
    <w:p w14:paraId="5D9DF2BF" w14:textId="73AFFA6C" w:rsidR="00F14AE1" w:rsidRPr="00F13073" w:rsidRDefault="00F14AE1" w:rsidP="008B4C50">
      <w:pPr>
        <w:pStyle w:val="a4"/>
        <w:widowControl/>
        <w:spacing w:after="0"/>
        <w:rPr>
          <w:rStyle w:val="Char"/>
        </w:rPr>
      </w:pPr>
      <w:r w:rsidRPr="00F13073">
        <w:rPr>
          <w:rStyle w:val="Char"/>
        </w:rPr>
        <w:t xml:space="preserve">0,9 mL roztworu w ampułko-strzykawce (szkło typu I) z zamontowaną igłą, zawierającej 162 mg produktu leczniczego </w:t>
      </w:r>
      <w:r w:rsidR="00026375" w:rsidRPr="00F13073">
        <w:rPr>
          <w:rStyle w:val="Char"/>
        </w:rPr>
        <w:t>Avtozma</w:t>
      </w:r>
      <w:r w:rsidRPr="00F13073">
        <w:rPr>
          <w:rStyle w:val="Char"/>
        </w:rPr>
        <w:t>, stanowiącej element wstrzykiwacza półautomatycznego napełnionego. Strzykawka jest zamknięta sztywną osłoną igły (</w:t>
      </w:r>
      <w:r w:rsidR="00F77DD3" w:rsidRPr="00F13073">
        <w:rPr>
          <w:rStyle w:val="Char"/>
        </w:rPr>
        <w:t xml:space="preserve">z </w:t>
      </w:r>
      <w:r w:rsidR="00B02785" w:rsidRPr="00F13073">
        <w:rPr>
          <w:rStyle w:val="Char"/>
        </w:rPr>
        <w:t>gumy</w:t>
      </w:r>
      <w:r w:rsidR="00F77DD3" w:rsidRPr="00F13073">
        <w:rPr>
          <w:rStyle w:val="Char"/>
        </w:rPr>
        <w:t xml:space="preserve"> poliizoprenowe</w:t>
      </w:r>
      <w:r w:rsidR="00B02785" w:rsidRPr="00F13073">
        <w:rPr>
          <w:rStyle w:val="Char"/>
        </w:rPr>
        <w:t>j</w:t>
      </w:r>
      <w:r w:rsidR="00F77DD3" w:rsidRPr="00F13073">
        <w:rPr>
          <w:rStyle w:val="Char"/>
        </w:rPr>
        <w:t xml:space="preserve"> i polipropylenu</w:t>
      </w:r>
      <w:r w:rsidRPr="00F13073">
        <w:rPr>
          <w:rStyle w:val="Char"/>
        </w:rPr>
        <w:t xml:space="preserve">) i </w:t>
      </w:r>
      <w:r w:rsidR="00F77DD3" w:rsidRPr="00F13073">
        <w:rPr>
          <w:rStyle w:val="Char"/>
        </w:rPr>
        <w:t xml:space="preserve">jałowym elastomerowym </w:t>
      </w:r>
      <w:r w:rsidRPr="00F13073">
        <w:rPr>
          <w:rStyle w:val="Char"/>
        </w:rPr>
        <w:t xml:space="preserve">ogranicznikiem tłoka </w:t>
      </w:r>
      <w:r w:rsidR="00F77DD3" w:rsidRPr="00F13073">
        <w:rPr>
          <w:rStyle w:val="Char"/>
        </w:rPr>
        <w:t xml:space="preserve">pokrytym powłoką z tworzywa fluorotec </w:t>
      </w:r>
      <w:r w:rsidRPr="00F13073">
        <w:rPr>
          <w:rStyle w:val="Char"/>
        </w:rPr>
        <w:t>(</w:t>
      </w:r>
      <w:r w:rsidR="00F77DD3" w:rsidRPr="00F13073">
        <w:rPr>
          <w:rStyle w:val="Char"/>
        </w:rPr>
        <w:t>z silikonem</w:t>
      </w:r>
      <w:r w:rsidRPr="00F13073">
        <w:rPr>
          <w:rStyle w:val="Char"/>
        </w:rPr>
        <w:t>).</w:t>
      </w:r>
    </w:p>
    <w:p w14:paraId="0F766314" w14:textId="77777777" w:rsidR="0068260F" w:rsidRPr="00F13073" w:rsidRDefault="0068260F" w:rsidP="008B4C50">
      <w:pPr>
        <w:pStyle w:val="a4"/>
        <w:widowControl/>
        <w:spacing w:after="0"/>
      </w:pPr>
    </w:p>
    <w:p w14:paraId="2ACB7C21" w14:textId="0E8BC211" w:rsidR="00F77DD3" w:rsidRPr="00F13073" w:rsidRDefault="00415F34" w:rsidP="00F77DD3">
      <w:pPr>
        <w:pStyle w:val="a4"/>
        <w:widowControl/>
        <w:spacing w:after="0"/>
      </w:pPr>
      <w:r w:rsidRPr="00F13073">
        <w:t>Wstrzykiwacze półautomatyczne napełnione</w:t>
      </w:r>
      <w:r w:rsidR="00F77DD3" w:rsidRPr="00F13073">
        <w:t xml:space="preserve"> z produktem leczniczym Avtozma do stosowania u pacjentów są dostępne w opakowaniach zawierających:</w:t>
      </w:r>
    </w:p>
    <w:p w14:paraId="5B65C11F" w14:textId="7B57A911" w:rsidR="00F77DD3" w:rsidRPr="00F13073" w:rsidRDefault="00F77DD3" w:rsidP="0081094B">
      <w:pPr>
        <w:pStyle w:val="a4"/>
        <w:widowControl/>
        <w:numPr>
          <w:ilvl w:val="0"/>
          <w:numId w:val="26"/>
        </w:numPr>
        <w:spacing w:after="0"/>
        <w:ind w:left="567" w:hanging="567"/>
      </w:pPr>
      <w:r w:rsidRPr="00F13073">
        <w:t>1 </w:t>
      </w:r>
      <w:r w:rsidR="00415F34" w:rsidRPr="00F13073">
        <w:t>wstrzykiwacz półautomatyczny napełniony</w:t>
      </w:r>
    </w:p>
    <w:p w14:paraId="04C26828" w14:textId="6D95D529" w:rsidR="008D5C3E" w:rsidRPr="00F13073" w:rsidRDefault="008D5C3E" w:rsidP="008D5C3E">
      <w:pPr>
        <w:pStyle w:val="a4"/>
        <w:widowControl/>
        <w:numPr>
          <w:ilvl w:val="0"/>
          <w:numId w:val="26"/>
        </w:numPr>
        <w:spacing w:after="0"/>
        <w:ind w:left="567" w:hanging="567"/>
        <w:rPr>
          <w:ins w:id="20" w:author="만든 이"/>
        </w:rPr>
      </w:pPr>
      <w:ins w:id="21" w:author="만든 이">
        <w:r>
          <w:rPr>
            <w:rFonts w:eastAsia="맑은 고딕" w:hint="eastAsia"/>
            <w:lang w:eastAsia="ko-KR"/>
          </w:rPr>
          <w:t>2</w:t>
        </w:r>
        <w:r w:rsidRPr="00F13073">
          <w:t> wstrzykiwacze półautomatyczne napełnione</w:t>
        </w:r>
      </w:ins>
    </w:p>
    <w:p w14:paraId="69AEB8DF" w14:textId="7E2EF417" w:rsidR="00F77DD3" w:rsidRPr="00F13073" w:rsidRDefault="00F77DD3" w:rsidP="0081094B">
      <w:pPr>
        <w:pStyle w:val="a4"/>
        <w:widowControl/>
        <w:numPr>
          <w:ilvl w:val="0"/>
          <w:numId w:val="26"/>
        </w:numPr>
        <w:spacing w:after="0"/>
        <w:ind w:left="567" w:hanging="567"/>
      </w:pPr>
      <w:r w:rsidRPr="00F13073">
        <w:t>4 </w:t>
      </w:r>
      <w:r w:rsidR="00415F34" w:rsidRPr="00F13073">
        <w:t>wstrzykiwacze półautomatyczne napełnione</w:t>
      </w:r>
    </w:p>
    <w:p w14:paraId="6EF73174" w14:textId="5828C67F" w:rsidR="00F77DD3" w:rsidRPr="00F13073" w:rsidRDefault="00F77DD3" w:rsidP="0081094B">
      <w:pPr>
        <w:pStyle w:val="a4"/>
        <w:widowControl/>
        <w:numPr>
          <w:ilvl w:val="0"/>
          <w:numId w:val="26"/>
        </w:numPr>
        <w:spacing w:after="0"/>
        <w:ind w:left="567" w:hanging="567"/>
      </w:pPr>
      <w:r w:rsidRPr="00F13073">
        <w:t xml:space="preserve">12 (3 opakowania po 4 sztuki) </w:t>
      </w:r>
      <w:r w:rsidR="00415F34" w:rsidRPr="00F13073">
        <w:t xml:space="preserve">wstrzykiwacze półautomatyczne napełnione </w:t>
      </w:r>
      <w:r w:rsidRPr="00F13073">
        <w:t>(opakowanie zbiorcze)</w:t>
      </w:r>
    </w:p>
    <w:p w14:paraId="63223EC7" w14:textId="77777777" w:rsidR="00F77DD3" w:rsidRPr="00F13073" w:rsidRDefault="00F77DD3" w:rsidP="008B4C50">
      <w:pPr>
        <w:pStyle w:val="a4"/>
        <w:widowControl/>
        <w:spacing w:after="0"/>
      </w:pPr>
    </w:p>
    <w:p w14:paraId="2EC373A2" w14:textId="77777777" w:rsidR="00F14AE1" w:rsidRPr="00F13073" w:rsidRDefault="00F14AE1" w:rsidP="008B4C50">
      <w:pPr>
        <w:pStyle w:val="a4"/>
        <w:widowControl/>
        <w:spacing w:after="0"/>
        <w:rPr>
          <w:rStyle w:val="Char"/>
        </w:rPr>
      </w:pPr>
      <w:r w:rsidRPr="00F13073">
        <w:rPr>
          <w:rStyle w:val="Char"/>
        </w:rPr>
        <w:t>Nie wszystkie wielkości opakowań muszą znajdować się w obrocie.</w:t>
      </w:r>
    </w:p>
    <w:p w14:paraId="1B37DB54" w14:textId="77777777" w:rsidR="0068260F" w:rsidRPr="00F13073" w:rsidRDefault="0068260F" w:rsidP="008B4C50">
      <w:pPr>
        <w:pStyle w:val="a4"/>
        <w:widowControl/>
        <w:spacing w:after="0"/>
      </w:pPr>
    </w:p>
    <w:p w14:paraId="48E5F850" w14:textId="77777777" w:rsidR="00F14AE1" w:rsidRPr="00F13073" w:rsidRDefault="00F14AE1" w:rsidP="008B4C50">
      <w:pPr>
        <w:keepNext/>
        <w:ind w:left="567" w:hanging="567"/>
      </w:pPr>
      <w:r w:rsidRPr="00F13073">
        <w:rPr>
          <w:rStyle w:val="Char"/>
          <w:rFonts w:eastAsia="DengXian"/>
          <w:b/>
          <w:bCs/>
          <w:lang w:eastAsia="el-GR"/>
        </w:rPr>
        <w:t>6.6</w:t>
      </w:r>
      <w:r w:rsidR="0068260F" w:rsidRPr="00F13073">
        <w:rPr>
          <w:rStyle w:val="Char"/>
          <w:rFonts w:eastAsia="DengXian"/>
          <w:b/>
          <w:bCs/>
          <w:lang w:eastAsia="el-GR"/>
        </w:rPr>
        <w:tab/>
      </w:r>
      <w:r w:rsidRPr="00F13073">
        <w:rPr>
          <w:rStyle w:val="Char"/>
          <w:rFonts w:eastAsia="DengXian"/>
          <w:b/>
          <w:bCs/>
        </w:rPr>
        <w:t>Specjalne środki ostrożności dotyczące usuwania</w:t>
      </w:r>
    </w:p>
    <w:p w14:paraId="3973E3E3" w14:textId="77777777" w:rsidR="0068260F" w:rsidRPr="00F13073" w:rsidRDefault="0068260F" w:rsidP="008B4C50">
      <w:pPr>
        <w:pStyle w:val="a4"/>
        <w:widowControl/>
        <w:spacing w:after="0"/>
        <w:rPr>
          <w:rStyle w:val="Char"/>
        </w:rPr>
      </w:pPr>
    </w:p>
    <w:p w14:paraId="2DFA589A" w14:textId="7AE645CD" w:rsidR="00F14AE1" w:rsidRPr="00F13073" w:rsidRDefault="00F14AE1" w:rsidP="008B4C50">
      <w:pPr>
        <w:pStyle w:val="a4"/>
        <w:widowControl/>
        <w:spacing w:after="0"/>
        <w:rPr>
          <w:rStyle w:val="Char"/>
        </w:rPr>
      </w:pPr>
      <w:r w:rsidRPr="00F13073">
        <w:rPr>
          <w:rStyle w:val="Char"/>
        </w:rPr>
        <w:t xml:space="preserve">Produkt leczniczy </w:t>
      </w:r>
      <w:r w:rsidR="00026375" w:rsidRPr="00F13073">
        <w:rPr>
          <w:rStyle w:val="Char"/>
        </w:rPr>
        <w:t>Avtozma</w:t>
      </w:r>
      <w:r w:rsidRPr="00F13073">
        <w:rPr>
          <w:rStyle w:val="Char"/>
        </w:rPr>
        <w:t xml:space="preserve"> dostarczany jest w postaci jednorazowego wstrzykiwacza półautomatycznego napełnionego. Po wyjęciu wstrzykiwacza półautomatycznego napełnionego z lodówki należy pozwolić, by ogrzał się on do temperatury pokojowej (</w:t>
      </w:r>
      <w:r w:rsidR="00460B7C">
        <w:rPr>
          <w:rStyle w:val="Char"/>
          <w:rFonts w:eastAsia="맑은 고딕" w:hint="eastAsia"/>
          <w:lang w:eastAsia="ko-KR"/>
        </w:rPr>
        <w:t>18</w:t>
      </w:r>
      <w:r w:rsidR="00697B64" w:rsidRPr="00F13073">
        <w:rPr>
          <w:rStyle w:val="Char"/>
          <w:color w:val="1C1C1C"/>
        </w:rPr>
        <w:t xml:space="preserve">°C do </w:t>
      </w:r>
      <w:r w:rsidR="00460B7C" w:rsidRPr="00F13073">
        <w:rPr>
          <w:rStyle w:val="Char"/>
          <w:color w:val="1C1C1C"/>
        </w:rPr>
        <w:t>2</w:t>
      </w:r>
      <w:r w:rsidR="00460B7C">
        <w:rPr>
          <w:rStyle w:val="Char"/>
          <w:rFonts w:eastAsia="맑은 고딕" w:hint="eastAsia"/>
          <w:color w:val="1C1C1C"/>
          <w:lang w:eastAsia="ko-KR"/>
        </w:rPr>
        <w:t>8</w:t>
      </w:r>
      <w:r w:rsidR="00697B64" w:rsidRPr="00F13073">
        <w:rPr>
          <w:rStyle w:val="Char"/>
          <w:color w:val="1C1C1C"/>
        </w:rPr>
        <w:t>°C</w:t>
      </w:r>
      <w:r w:rsidRPr="00F13073">
        <w:rPr>
          <w:rStyle w:val="Char"/>
          <w:color w:val="1C1C1C"/>
        </w:rPr>
        <w:t>)</w:t>
      </w:r>
      <w:r w:rsidRPr="00F13073">
        <w:rPr>
          <w:rStyle w:val="Char"/>
        </w:rPr>
        <w:t xml:space="preserve">, odczekując 45 minut przed wstrzyknięciem produktu leczniczego </w:t>
      </w:r>
      <w:r w:rsidR="00026375" w:rsidRPr="00F13073">
        <w:rPr>
          <w:rStyle w:val="Char"/>
        </w:rPr>
        <w:t>Avtozma</w:t>
      </w:r>
      <w:r w:rsidRPr="00F13073">
        <w:rPr>
          <w:rStyle w:val="Char"/>
        </w:rPr>
        <w:t>. Nie należy wstrząsać wstrzykiwaczem. Zastrzyk musi być rozpoczęty w ciągu 3 minut po zdjęciu nakładki, aby zapobiec wysychaniu leku i zablokowaniu igły. W przypadku niewykonania zastrzyku w ciągu 3 minut po zdjęciu nakładki, należy wyrzucić wstrzykiwacz półautomatyczny napełniony do pojemnika odpornego na przekłucia i użyć nowego wstrzykiwacza półautomatycznego napełnionego.</w:t>
      </w:r>
    </w:p>
    <w:p w14:paraId="7825DD50" w14:textId="77777777" w:rsidR="0068260F" w:rsidRPr="00F13073" w:rsidRDefault="0068260F" w:rsidP="008B4C50">
      <w:pPr>
        <w:pStyle w:val="a4"/>
        <w:widowControl/>
        <w:spacing w:after="0"/>
      </w:pPr>
    </w:p>
    <w:p w14:paraId="5FA8504E" w14:textId="6185D12B" w:rsidR="00F14AE1" w:rsidRPr="00F13073" w:rsidRDefault="00F14AE1" w:rsidP="008B4C50">
      <w:pPr>
        <w:pStyle w:val="a4"/>
        <w:widowControl/>
        <w:spacing w:after="0"/>
        <w:rPr>
          <w:rStyle w:val="Char"/>
        </w:rPr>
      </w:pPr>
      <w:r w:rsidRPr="00F13073">
        <w:rPr>
          <w:rStyle w:val="Char"/>
        </w:rPr>
        <w:t xml:space="preserve">Jeśli po naciśnięciu </w:t>
      </w:r>
      <w:r w:rsidR="00B83189" w:rsidRPr="00F13073">
        <w:rPr>
          <w:rStyle w:val="Char"/>
        </w:rPr>
        <w:t>osłony igły pomarańczowy</w:t>
      </w:r>
      <w:r w:rsidRPr="00F13073">
        <w:rPr>
          <w:rStyle w:val="Char"/>
        </w:rPr>
        <w:t xml:space="preserve"> wskaźnik nie porusza się, należy wyrzucić wstrzykiwacz półautomatyczny napełniony do pojemnika odpornego na przekłucia. </w:t>
      </w:r>
      <w:r w:rsidRPr="00F13073">
        <w:rPr>
          <w:rStyle w:val="Char"/>
          <w:b/>
          <w:bCs/>
        </w:rPr>
        <w:t xml:space="preserve">Nie należy </w:t>
      </w:r>
      <w:r w:rsidRPr="00F13073">
        <w:rPr>
          <w:rStyle w:val="Char"/>
        </w:rPr>
        <w:t xml:space="preserve">podejmować prób ponownego użycia tego wstrzykiwacza. </w:t>
      </w:r>
      <w:r w:rsidR="00D71ADA" w:rsidRPr="00F13073">
        <w:rPr>
          <w:rStyle w:val="Char"/>
        </w:rPr>
        <w:t xml:space="preserve">Podczas próby ponownego użycia wstrzykiwacz półautomatyczny napełniony jest zablokowany, a igła </w:t>
      </w:r>
      <w:r w:rsidR="00D71ADA" w:rsidRPr="00F13073">
        <w:rPr>
          <w:rStyle w:val="Char"/>
          <w:rFonts w:eastAsia="DengXian"/>
        </w:rPr>
        <w:t>schowana wewnątrz osłony</w:t>
      </w:r>
      <w:r w:rsidR="00D71ADA" w:rsidRPr="00F13073">
        <w:rPr>
          <w:rStyle w:val="Char"/>
        </w:rPr>
        <w:t>.</w:t>
      </w:r>
      <w:r w:rsidR="00CB0D4E" w:rsidRPr="00F13073">
        <w:rPr>
          <w:rStyle w:val="Char"/>
        </w:rPr>
        <w:t xml:space="preserve"> </w:t>
      </w:r>
      <w:r w:rsidRPr="00F13073">
        <w:rPr>
          <w:rStyle w:val="Char"/>
        </w:rPr>
        <w:t>Nie należy powtarzać wstrzyknięcia przy użyciu innego wstrzykiwacza półautomatycznego napełnionego. Należy zwrócić się do lekarza po pomoc.</w:t>
      </w:r>
    </w:p>
    <w:p w14:paraId="571D9F1F" w14:textId="77777777" w:rsidR="0068260F" w:rsidRPr="00F13073" w:rsidRDefault="0068260F" w:rsidP="008B4C50">
      <w:pPr>
        <w:pStyle w:val="a4"/>
        <w:widowControl/>
        <w:spacing w:after="0"/>
      </w:pPr>
    </w:p>
    <w:p w14:paraId="266E397C" w14:textId="1FD3BCAA" w:rsidR="00F14AE1" w:rsidRPr="00F13073" w:rsidRDefault="00F14AE1" w:rsidP="008B4C50">
      <w:pPr>
        <w:pStyle w:val="a4"/>
        <w:widowControl/>
        <w:spacing w:after="0"/>
        <w:rPr>
          <w:rStyle w:val="Char"/>
        </w:rPr>
      </w:pPr>
      <w:r w:rsidRPr="00F13073">
        <w:rPr>
          <w:rStyle w:val="Char"/>
        </w:rPr>
        <w:t>Nie używać leku, jeśli jest mętny lub zawiera cząstki stałe, posiada zabarwienie inne niż bezbarwne lub żółte lub jeśli którakolwiek część wstrzykiwacza półautomatycznego napełnionego wydaje się uszkodzona.</w:t>
      </w:r>
    </w:p>
    <w:p w14:paraId="6DA01FFD" w14:textId="77777777" w:rsidR="0068260F" w:rsidRPr="00F13073" w:rsidRDefault="0068260F" w:rsidP="008B4C50">
      <w:pPr>
        <w:pStyle w:val="a4"/>
        <w:widowControl/>
        <w:spacing w:after="0"/>
      </w:pPr>
    </w:p>
    <w:p w14:paraId="32F813DD" w14:textId="18F982E7" w:rsidR="00F14AE1" w:rsidRPr="00F13073" w:rsidRDefault="00F14AE1" w:rsidP="008B4C50">
      <w:pPr>
        <w:pStyle w:val="a4"/>
        <w:widowControl/>
        <w:spacing w:after="0"/>
        <w:rPr>
          <w:rStyle w:val="Char"/>
        </w:rPr>
      </w:pPr>
      <w:r w:rsidRPr="00F13073">
        <w:rPr>
          <w:rStyle w:val="Char"/>
        </w:rPr>
        <w:t xml:space="preserve">Dokładne instrukcje dotyczące podawania produktu leczniczego </w:t>
      </w:r>
      <w:r w:rsidR="00026375" w:rsidRPr="00F13073">
        <w:rPr>
          <w:rStyle w:val="Char"/>
        </w:rPr>
        <w:t>Avtozma</w:t>
      </w:r>
      <w:r w:rsidRPr="00F13073">
        <w:rPr>
          <w:rStyle w:val="Char"/>
        </w:rPr>
        <w:t xml:space="preserve"> we wstrzykiwaczu półautomatycznym napełnionym podano w ulotce dołączonej do opakowania.</w:t>
      </w:r>
    </w:p>
    <w:p w14:paraId="721ECEF0" w14:textId="77777777" w:rsidR="0068260F" w:rsidRPr="00F13073" w:rsidRDefault="0068260F" w:rsidP="008B4C50">
      <w:pPr>
        <w:pStyle w:val="a4"/>
        <w:widowControl/>
        <w:spacing w:after="0"/>
      </w:pPr>
    </w:p>
    <w:p w14:paraId="22F5BC3C" w14:textId="77777777" w:rsidR="00F14AE1" w:rsidRPr="00F13073" w:rsidRDefault="00F14AE1" w:rsidP="008B4C50">
      <w:pPr>
        <w:pStyle w:val="a4"/>
        <w:widowControl/>
        <w:spacing w:after="0"/>
        <w:rPr>
          <w:rStyle w:val="Char"/>
        </w:rPr>
      </w:pPr>
      <w:r w:rsidRPr="00F13073">
        <w:rPr>
          <w:rStyle w:val="Char"/>
        </w:rPr>
        <w:lastRenderedPageBreak/>
        <w:t>Wszelkie resztki niewykorzystanego produktu lub jego odpady należy usunąć w sposób zgodny z lokalnymi przepisami.</w:t>
      </w:r>
    </w:p>
    <w:p w14:paraId="484304C4" w14:textId="77777777" w:rsidR="0068260F" w:rsidRPr="00F13073" w:rsidRDefault="0068260F" w:rsidP="008B4C50">
      <w:pPr>
        <w:pStyle w:val="a4"/>
        <w:widowControl/>
        <w:spacing w:after="0"/>
        <w:rPr>
          <w:rStyle w:val="Char"/>
        </w:rPr>
      </w:pPr>
    </w:p>
    <w:p w14:paraId="4E1AAB2B" w14:textId="77777777" w:rsidR="0068260F" w:rsidRPr="00F13073" w:rsidRDefault="0068260F" w:rsidP="008B4C50">
      <w:pPr>
        <w:pStyle w:val="a4"/>
        <w:widowControl/>
        <w:spacing w:after="0"/>
      </w:pPr>
    </w:p>
    <w:p w14:paraId="702573E6" w14:textId="77777777" w:rsidR="00F14AE1" w:rsidRPr="00F13073" w:rsidRDefault="00F14AE1" w:rsidP="008B4C50">
      <w:pPr>
        <w:keepNext/>
        <w:ind w:left="567" w:hanging="567"/>
      </w:pPr>
      <w:r w:rsidRPr="00F13073">
        <w:rPr>
          <w:rStyle w:val="Char"/>
          <w:rFonts w:eastAsia="DengXian"/>
          <w:b/>
          <w:bCs/>
        </w:rPr>
        <w:t>7.</w:t>
      </w:r>
      <w:r w:rsidR="0068260F" w:rsidRPr="00F13073">
        <w:rPr>
          <w:rStyle w:val="Char"/>
          <w:rFonts w:eastAsia="DengXian"/>
          <w:b/>
          <w:bCs/>
        </w:rPr>
        <w:tab/>
      </w:r>
      <w:r w:rsidRPr="00F13073">
        <w:rPr>
          <w:rStyle w:val="Char"/>
          <w:rFonts w:eastAsia="DengXian"/>
          <w:b/>
          <w:bCs/>
        </w:rPr>
        <w:t>PODMIOT ODPOWIEDZIALNY POSIADAJĄCY POZWOLENIE NA DOPUSZCZENIE DO OBROTU</w:t>
      </w:r>
    </w:p>
    <w:p w14:paraId="67DC323E" w14:textId="77777777" w:rsidR="0068260F" w:rsidRPr="00F13073" w:rsidRDefault="0068260F" w:rsidP="008B4C50">
      <w:pPr>
        <w:pStyle w:val="a4"/>
        <w:widowControl/>
        <w:spacing w:after="0"/>
        <w:rPr>
          <w:rStyle w:val="Char"/>
        </w:rPr>
      </w:pPr>
    </w:p>
    <w:p w14:paraId="5FF114BB" w14:textId="77777777" w:rsidR="00866DC6" w:rsidRPr="00127FBE" w:rsidRDefault="00866DC6" w:rsidP="00866DC6">
      <w:pPr>
        <w:keepNext/>
        <w:rPr>
          <w:lang w:val="en-GB"/>
        </w:rPr>
      </w:pPr>
      <w:r w:rsidRPr="00127FBE">
        <w:rPr>
          <w:lang w:val="en-GB"/>
        </w:rPr>
        <w:t xml:space="preserve">Celltrion Healthcare Hungary Kft. </w:t>
      </w:r>
    </w:p>
    <w:p w14:paraId="3EB52E1D" w14:textId="77777777" w:rsidR="00866DC6" w:rsidRPr="00127FBE" w:rsidRDefault="00866DC6" w:rsidP="00866DC6">
      <w:pPr>
        <w:keepNext/>
        <w:rPr>
          <w:lang w:val="en-GB"/>
        </w:rPr>
      </w:pPr>
      <w:r w:rsidRPr="00127FBE">
        <w:rPr>
          <w:lang w:val="en-GB"/>
        </w:rPr>
        <w:t>1062 Budapest</w:t>
      </w:r>
    </w:p>
    <w:p w14:paraId="47B6E2C1" w14:textId="77777777" w:rsidR="00866DC6" w:rsidRPr="00127FBE" w:rsidRDefault="00866DC6" w:rsidP="00866DC6">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4E25E63F" w14:textId="0CA53482" w:rsidR="00866DC6" w:rsidRPr="00127FBE" w:rsidRDefault="00866DC6" w:rsidP="00866DC6">
      <w:pPr>
        <w:rPr>
          <w:lang w:val="en-GB"/>
        </w:rPr>
      </w:pPr>
      <w:proofErr w:type="spellStart"/>
      <w:r w:rsidRPr="00127FBE">
        <w:rPr>
          <w:lang w:val="en-GB"/>
        </w:rPr>
        <w:t>Węgry</w:t>
      </w:r>
      <w:proofErr w:type="spellEnd"/>
    </w:p>
    <w:p w14:paraId="717EE13A" w14:textId="77777777" w:rsidR="0068260F" w:rsidRPr="00127FBE" w:rsidRDefault="0068260F" w:rsidP="008B4C50">
      <w:pPr>
        <w:pStyle w:val="a4"/>
        <w:widowControl/>
        <w:spacing w:after="0"/>
        <w:rPr>
          <w:rStyle w:val="Char"/>
          <w:b/>
          <w:bCs/>
          <w:lang w:val="en-GB"/>
        </w:rPr>
      </w:pPr>
    </w:p>
    <w:p w14:paraId="2B936F66" w14:textId="77777777" w:rsidR="0068260F" w:rsidRPr="00127FBE" w:rsidRDefault="0068260F" w:rsidP="008B4C50">
      <w:pPr>
        <w:pStyle w:val="a4"/>
        <w:widowControl/>
        <w:spacing w:after="0"/>
        <w:rPr>
          <w:rStyle w:val="Char"/>
          <w:b/>
          <w:bCs/>
          <w:lang w:val="en-GB"/>
        </w:rPr>
      </w:pPr>
    </w:p>
    <w:p w14:paraId="52256350" w14:textId="77777777" w:rsidR="00F14AE1" w:rsidRPr="00F13073" w:rsidRDefault="00F14AE1" w:rsidP="008B4C50">
      <w:pPr>
        <w:keepNext/>
        <w:ind w:left="567" w:hanging="567"/>
      </w:pPr>
      <w:r w:rsidRPr="00F13073">
        <w:rPr>
          <w:rStyle w:val="Char"/>
          <w:rFonts w:eastAsia="DengXian"/>
          <w:b/>
          <w:bCs/>
        </w:rPr>
        <w:t>8.</w:t>
      </w:r>
      <w:r w:rsidR="0068260F" w:rsidRPr="00F13073">
        <w:rPr>
          <w:rStyle w:val="Char"/>
          <w:rFonts w:eastAsia="DengXian"/>
          <w:b/>
          <w:bCs/>
        </w:rPr>
        <w:tab/>
      </w:r>
      <w:r w:rsidRPr="00F13073">
        <w:rPr>
          <w:rStyle w:val="Char"/>
          <w:rFonts w:eastAsia="DengXian"/>
          <w:b/>
          <w:bCs/>
        </w:rPr>
        <w:t>NUMER(Y) POZWOLENIA NA DOPUSZCZENIE DO OBROTU</w:t>
      </w:r>
    </w:p>
    <w:p w14:paraId="7F5FC3EF" w14:textId="77777777" w:rsidR="0068260F" w:rsidRPr="00F13073" w:rsidRDefault="0068260F" w:rsidP="008B4C50">
      <w:pPr>
        <w:pStyle w:val="a4"/>
        <w:widowControl/>
        <w:spacing w:after="0"/>
        <w:rPr>
          <w:rStyle w:val="Char"/>
        </w:rPr>
      </w:pPr>
    </w:p>
    <w:p w14:paraId="17EC99CB" w14:textId="56044ECB" w:rsidR="00F14AE1" w:rsidRPr="00F13073" w:rsidRDefault="00F14AE1" w:rsidP="008B4C50">
      <w:pPr>
        <w:pStyle w:val="a4"/>
        <w:widowControl/>
        <w:spacing w:after="0"/>
      </w:pPr>
      <w:r w:rsidRPr="00F13073">
        <w:rPr>
          <w:rStyle w:val="Char"/>
        </w:rPr>
        <w:t>EU</w:t>
      </w:r>
      <w:r w:rsidR="00AD1393" w:rsidRPr="00F13073">
        <w:t>/</w:t>
      </w:r>
      <w:r w:rsidR="00D6240A" w:rsidRPr="00F458BB">
        <w:rPr>
          <w:spacing w:val="-1"/>
          <w:lang w:val="pt-BR"/>
        </w:rPr>
        <w:t>1/24/1896/010</w:t>
      </w:r>
    </w:p>
    <w:p w14:paraId="6AD4BEDC" w14:textId="7E4FAFAA" w:rsidR="00F14AE1" w:rsidRPr="00F13073" w:rsidRDefault="00F14AE1" w:rsidP="008B4C50">
      <w:pPr>
        <w:pStyle w:val="a4"/>
        <w:widowControl/>
        <w:spacing w:after="0"/>
      </w:pPr>
      <w:r w:rsidRPr="00F13073">
        <w:rPr>
          <w:rStyle w:val="Char"/>
        </w:rPr>
        <w:t>EU/</w:t>
      </w:r>
      <w:r w:rsidR="00D6240A" w:rsidRPr="00F458BB">
        <w:rPr>
          <w:spacing w:val="-1"/>
          <w:lang w:val="pt-BR"/>
        </w:rPr>
        <w:t>1/24/1896/01</w:t>
      </w:r>
      <w:r w:rsidR="00D6240A">
        <w:rPr>
          <w:spacing w:val="-1"/>
          <w:lang w:val="pt-BR"/>
        </w:rPr>
        <w:t>1</w:t>
      </w:r>
    </w:p>
    <w:p w14:paraId="7EAAEE03" w14:textId="5212F881" w:rsidR="0068260F" w:rsidRPr="00F13073" w:rsidRDefault="00AD1393" w:rsidP="008B4C50">
      <w:pPr>
        <w:pStyle w:val="a4"/>
        <w:widowControl/>
        <w:spacing w:after="0"/>
        <w:rPr>
          <w:rStyle w:val="Char"/>
        </w:rPr>
      </w:pPr>
      <w:r w:rsidRPr="00F13073">
        <w:rPr>
          <w:rStyle w:val="Char"/>
        </w:rPr>
        <w:t>EU</w:t>
      </w:r>
      <w:r w:rsidR="00C23278" w:rsidRPr="00F13073">
        <w:rPr>
          <w:rStyle w:val="Char"/>
        </w:rPr>
        <w:t>/</w:t>
      </w:r>
      <w:r w:rsidR="00D6240A" w:rsidRPr="00F458BB">
        <w:rPr>
          <w:spacing w:val="-1"/>
          <w:lang w:val="pt-BR"/>
        </w:rPr>
        <w:t>1/24/1896/01</w:t>
      </w:r>
      <w:r w:rsidR="00D6240A">
        <w:rPr>
          <w:spacing w:val="-1"/>
          <w:lang w:val="pt-BR"/>
        </w:rPr>
        <w:t>2</w:t>
      </w:r>
    </w:p>
    <w:p w14:paraId="76CC5DE9" w14:textId="35AA543A" w:rsidR="008D5C3E" w:rsidRPr="008D5C3E" w:rsidRDefault="008D5C3E" w:rsidP="008D5C3E">
      <w:pPr>
        <w:pStyle w:val="a4"/>
        <w:widowControl/>
        <w:spacing w:after="0"/>
        <w:rPr>
          <w:ins w:id="22" w:author="만든 이"/>
          <w:rStyle w:val="Char"/>
          <w:rFonts w:eastAsia="맑은 고딕"/>
          <w:lang w:eastAsia="ko-KR"/>
          <w:rPrChange w:id="23" w:author="만든 이">
            <w:rPr>
              <w:ins w:id="24" w:author="만든 이"/>
              <w:rStyle w:val="Char"/>
            </w:rPr>
          </w:rPrChange>
        </w:rPr>
      </w:pPr>
      <w:ins w:id="25" w:author="만든 이">
        <w:r w:rsidRPr="00F13073">
          <w:rPr>
            <w:rStyle w:val="Char"/>
          </w:rPr>
          <w:t>EU/</w:t>
        </w:r>
        <w:r w:rsidRPr="00F458BB">
          <w:rPr>
            <w:spacing w:val="-1"/>
            <w:lang w:val="pt-BR"/>
          </w:rPr>
          <w:t>1/24/1896/</w:t>
        </w:r>
        <w:r w:rsidR="00D47085">
          <w:rPr>
            <w:rFonts w:eastAsia="맑은 고딕" w:hint="eastAsia"/>
            <w:spacing w:val="-1"/>
            <w:lang w:val="pt-BR" w:eastAsia="ko-KR"/>
          </w:rPr>
          <w:t>014</w:t>
        </w:r>
      </w:ins>
    </w:p>
    <w:p w14:paraId="7E79DF19" w14:textId="77777777" w:rsidR="0068260F" w:rsidRPr="00F13073" w:rsidRDefault="0068260F" w:rsidP="008B4C50">
      <w:pPr>
        <w:pStyle w:val="a4"/>
        <w:widowControl/>
        <w:spacing w:after="0"/>
        <w:rPr>
          <w:rStyle w:val="Char"/>
          <w:color w:val="1C1C1C"/>
        </w:rPr>
      </w:pPr>
    </w:p>
    <w:p w14:paraId="2BBF603A" w14:textId="77777777" w:rsidR="002F118F" w:rsidRPr="00F13073" w:rsidRDefault="002F118F" w:rsidP="008B4C50">
      <w:pPr>
        <w:pStyle w:val="a4"/>
        <w:widowControl/>
        <w:spacing w:after="0"/>
        <w:rPr>
          <w:rStyle w:val="Char"/>
          <w:color w:val="1C1C1C"/>
        </w:rPr>
      </w:pPr>
    </w:p>
    <w:p w14:paraId="2470C595" w14:textId="77777777" w:rsidR="00F14AE1" w:rsidRPr="00F13073" w:rsidRDefault="00F14AE1" w:rsidP="008B4C50">
      <w:pPr>
        <w:keepNext/>
        <w:ind w:left="567" w:hanging="567"/>
      </w:pPr>
      <w:r w:rsidRPr="00F13073">
        <w:rPr>
          <w:rStyle w:val="Char"/>
          <w:rFonts w:eastAsia="DengXian"/>
          <w:b/>
          <w:bCs/>
        </w:rPr>
        <w:t>9.</w:t>
      </w:r>
      <w:r w:rsidR="0068260F" w:rsidRPr="00F13073">
        <w:rPr>
          <w:rStyle w:val="Char"/>
          <w:rFonts w:eastAsia="DengXian"/>
          <w:b/>
          <w:bCs/>
        </w:rPr>
        <w:tab/>
      </w:r>
      <w:r w:rsidRPr="00F13073">
        <w:rPr>
          <w:rStyle w:val="Char"/>
          <w:rFonts w:eastAsia="DengXian"/>
          <w:b/>
          <w:bCs/>
        </w:rPr>
        <w:t>DATA WYDANIA PIERWSZEGO POZWOLENIA NA DOPUSZCZENIE DO OBROTU I DATA PRZEDŁUŻENIA POZWOLENIA</w:t>
      </w:r>
    </w:p>
    <w:p w14:paraId="1558B694" w14:textId="77777777" w:rsidR="0068260F" w:rsidRPr="00F13073" w:rsidRDefault="0068260F" w:rsidP="008B4C50">
      <w:pPr>
        <w:pStyle w:val="a4"/>
        <w:widowControl/>
        <w:spacing w:after="0"/>
        <w:rPr>
          <w:rStyle w:val="Char"/>
          <w:color w:val="1C1C1C"/>
        </w:rPr>
      </w:pPr>
    </w:p>
    <w:p w14:paraId="07611041" w14:textId="4268E2F5" w:rsidR="00F14AE1" w:rsidRPr="00F13073" w:rsidRDefault="00F14AE1" w:rsidP="008B4C50">
      <w:pPr>
        <w:pStyle w:val="a4"/>
        <w:widowControl/>
        <w:spacing w:after="0"/>
      </w:pPr>
      <w:r w:rsidRPr="00F13073">
        <w:rPr>
          <w:rStyle w:val="Char"/>
          <w:color w:val="1C1C1C"/>
        </w:rPr>
        <w:t xml:space="preserve">Data wydania pierwszego pozwolenia na dopuszczenie do obrotu: </w:t>
      </w:r>
      <w:r w:rsidR="00E12771">
        <w:rPr>
          <w:rStyle w:val="Char"/>
          <w:rFonts w:eastAsia="맑은 고딕" w:hint="eastAsia"/>
          <w:color w:val="1C1C1C"/>
          <w:lang w:eastAsia="ko-KR"/>
        </w:rPr>
        <w:t xml:space="preserve">14 </w:t>
      </w:r>
      <w:r w:rsidR="00673F44" w:rsidRPr="004C41FF">
        <w:t>luty</w:t>
      </w:r>
      <w:r w:rsidR="00673F44">
        <w:rPr>
          <w:rFonts w:eastAsia="맑은 고딕" w:hint="eastAsia"/>
          <w:lang w:eastAsia="ko-KR"/>
        </w:rPr>
        <w:t xml:space="preserve"> 2025</w:t>
      </w:r>
    </w:p>
    <w:p w14:paraId="2B1F9FBC" w14:textId="77777777" w:rsidR="0068260F" w:rsidRPr="00F13073" w:rsidRDefault="0068260F" w:rsidP="008B4C50">
      <w:pPr>
        <w:pStyle w:val="a4"/>
        <w:widowControl/>
        <w:spacing w:after="0"/>
        <w:rPr>
          <w:rStyle w:val="Char"/>
          <w:color w:val="1C1C1C"/>
        </w:rPr>
      </w:pPr>
    </w:p>
    <w:p w14:paraId="773FC5D6" w14:textId="77777777" w:rsidR="0068260F" w:rsidRPr="00F13073" w:rsidRDefault="0068260F" w:rsidP="008B4C50">
      <w:pPr>
        <w:pStyle w:val="a4"/>
        <w:widowControl/>
        <w:spacing w:after="0"/>
        <w:rPr>
          <w:rStyle w:val="Char"/>
          <w:color w:val="1C1C1C"/>
        </w:rPr>
      </w:pPr>
    </w:p>
    <w:p w14:paraId="64959B13" w14:textId="77777777" w:rsidR="00F14AE1" w:rsidRPr="00F13073" w:rsidRDefault="00F14AE1" w:rsidP="008B4C50">
      <w:pPr>
        <w:keepNext/>
        <w:ind w:left="567" w:hanging="567"/>
        <w:rPr>
          <w:b/>
          <w:bCs/>
        </w:rPr>
      </w:pPr>
      <w:r w:rsidRPr="00F13073">
        <w:rPr>
          <w:b/>
          <w:bCs/>
        </w:rPr>
        <w:t>10.</w:t>
      </w:r>
      <w:r w:rsidR="0068260F" w:rsidRPr="00F13073">
        <w:rPr>
          <w:b/>
          <w:bCs/>
        </w:rPr>
        <w:tab/>
      </w:r>
      <w:r w:rsidRPr="00F13073">
        <w:rPr>
          <w:b/>
          <w:bCs/>
        </w:rPr>
        <w:t>DATA ZATWIERDZENIA LUB CZĘŚCIOWEJ ZMIANY TEKSTU CHARAKTERYSTYKI PRODUKTU LECZNICZEGO</w:t>
      </w:r>
    </w:p>
    <w:p w14:paraId="5A6B1D50" w14:textId="77777777" w:rsidR="0068260F" w:rsidRPr="00F13073" w:rsidRDefault="0068260F" w:rsidP="008B4C50">
      <w:pPr>
        <w:rPr>
          <w:rStyle w:val="Char"/>
          <w:rFonts w:eastAsia="DengXian"/>
        </w:rPr>
      </w:pPr>
    </w:p>
    <w:p w14:paraId="01E21EC0" w14:textId="3E48A0B6" w:rsidR="00F03B97" w:rsidRPr="00F13073" w:rsidRDefault="00F14AE1" w:rsidP="00F03B97">
      <w:r w:rsidRPr="00F13073">
        <w:rPr>
          <w:rStyle w:val="Char"/>
          <w:rFonts w:eastAsia="DengXian"/>
        </w:rPr>
        <w:t>Szczegółowe informacje o tym produkcie leczniczym są dostępne na stronie internetowej Europejskiej Agencji Leków</w:t>
      </w:r>
      <w:r w:rsidR="00E76437" w:rsidRPr="00F13073">
        <w:t xml:space="preserve"> </w:t>
      </w:r>
      <w:hyperlink r:id="rId16" w:history="1">
        <w:r w:rsidR="003669FE" w:rsidRPr="003669FE">
          <w:rPr>
            <w:rStyle w:val="a7"/>
          </w:rPr>
          <w:t>http</w:t>
        </w:r>
        <w:r w:rsidR="003669FE" w:rsidRPr="003669FE">
          <w:rPr>
            <w:rStyle w:val="a7"/>
            <w:rFonts w:eastAsia="맑은 고딕" w:hint="eastAsia"/>
            <w:lang w:eastAsia="ko-KR"/>
          </w:rPr>
          <w:t>s</w:t>
        </w:r>
        <w:r w:rsidR="003669FE" w:rsidRPr="003669FE">
          <w:rPr>
            <w:rStyle w:val="a7"/>
          </w:rPr>
          <w:t>://www.ema.europa.eu</w:t>
        </w:r>
      </w:hyperlink>
      <w:r w:rsidR="00611033" w:rsidRPr="00F13073">
        <w:t>.</w:t>
      </w:r>
    </w:p>
    <w:p w14:paraId="5A50781A" w14:textId="46172B3A" w:rsidR="0059128B" w:rsidRPr="00F13073" w:rsidRDefault="0059128B" w:rsidP="002F118F">
      <w:pPr>
        <w:jc w:val="center"/>
      </w:pPr>
      <w:r w:rsidRPr="00F13073">
        <w:br w:type="page"/>
      </w:r>
    </w:p>
    <w:p w14:paraId="5C1C68D1" w14:textId="77777777" w:rsidR="00D02DFB" w:rsidRPr="00F13073" w:rsidRDefault="00D02DFB" w:rsidP="005D5D1B">
      <w:pPr>
        <w:jc w:val="center"/>
      </w:pPr>
    </w:p>
    <w:p w14:paraId="48EDFEEE" w14:textId="77777777" w:rsidR="00D02DFB" w:rsidRPr="00F13073" w:rsidRDefault="00D02DFB" w:rsidP="005D5D1B">
      <w:pPr>
        <w:jc w:val="center"/>
      </w:pPr>
    </w:p>
    <w:p w14:paraId="6D59C49A" w14:textId="77777777" w:rsidR="00D02DFB" w:rsidRPr="00F13073" w:rsidRDefault="00D02DFB" w:rsidP="005D5D1B">
      <w:pPr>
        <w:jc w:val="center"/>
      </w:pPr>
    </w:p>
    <w:p w14:paraId="27D8477A" w14:textId="77777777" w:rsidR="00D02DFB" w:rsidRPr="00F13073" w:rsidRDefault="00D02DFB" w:rsidP="005D5D1B">
      <w:pPr>
        <w:jc w:val="center"/>
      </w:pPr>
    </w:p>
    <w:p w14:paraId="2F3ACCCB" w14:textId="77777777" w:rsidR="00D02DFB" w:rsidRPr="00F13073" w:rsidRDefault="00D02DFB" w:rsidP="005D5D1B">
      <w:pPr>
        <w:jc w:val="center"/>
      </w:pPr>
    </w:p>
    <w:p w14:paraId="7DCF476F" w14:textId="77777777" w:rsidR="00D02DFB" w:rsidRPr="00F13073" w:rsidRDefault="00D02DFB" w:rsidP="005D5D1B">
      <w:pPr>
        <w:jc w:val="center"/>
      </w:pPr>
    </w:p>
    <w:p w14:paraId="13F4564D" w14:textId="77777777" w:rsidR="00D02DFB" w:rsidRPr="00F13073" w:rsidRDefault="00D02DFB" w:rsidP="005D5D1B">
      <w:pPr>
        <w:jc w:val="center"/>
      </w:pPr>
    </w:p>
    <w:p w14:paraId="1F9F8DE2" w14:textId="77777777" w:rsidR="00D02DFB" w:rsidRPr="00F13073" w:rsidRDefault="00D02DFB" w:rsidP="005D5D1B">
      <w:pPr>
        <w:jc w:val="center"/>
      </w:pPr>
    </w:p>
    <w:p w14:paraId="4712DCA3" w14:textId="77777777" w:rsidR="00D02DFB" w:rsidRPr="00F13073" w:rsidRDefault="00D02DFB" w:rsidP="005D5D1B">
      <w:pPr>
        <w:jc w:val="center"/>
      </w:pPr>
    </w:p>
    <w:p w14:paraId="39A72245" w14:textId="77777777" w:rsidR="00D02DFB" w:rsidRPr="00F13073" w:rsidRDefault="00D02DFB" w:rsidP="005D5D1B">
      <w:pPr>
        <w:jc w:val="center"/>
      </w:pPr>
    </w:p>
    <w:p w14:paraId="5BDA8EBA" w14:textId="77777777" w:rsidR="00D02DFB" w:rsidRPr="00F13073" w:rsidRDefault="00D02DFB" w:rsidP="005D5D1B">
      <w:pPr>
        <w:jc w:val="center"/>
      </w:pPr>
    </w:p>
    <w:p w14:paraId="6AA2515B" w14:textId="77777777" w:rsidR="00D02DFB" w:rsidRPr="00F13073" w:rsidRDefault="00D02DFB" w:rsidP="005D5D1B">
      <w:pPr>
        <w:jc w:val="center"/>
      </w:pPr>
    </w:p>
    <w:p w14:paraId="7017FD74" w14:textId="77777777" w:rsidR="00D02DFB" w:rsidRPr="00F13073" w:rsidRDefault="00D02DFB" w:rsidP="005D5D1B">
      <w:pPr>
        <w:jc w:val="center"/>
      </w:pPr>
    </w:p>
    <w:p w14:paraId="6EADF5FF" w14:textId="77777777" w:rsidR="00D02DFB" w:rsidRPr="00F13073" w:rsidRDefault="00D02DFB" w:rsidP="005D5D1B">
      <w:pPr>
        <w:jc w:val="center"/>
      </w:pPr>
    </w:p>
    <w:p w14:paraId="22C321E3" w14:textId="77777777" w:rsidR="00D02DFB" w:rsidRPr="00F13073" w:rsidRDefault="00D02DFB" w:rsidP="005D5D1B">
      <w:pPr>
        <w:jc w:val="center"/>
      </w:pPr>
    </w:p>
    <w:p w14:paraId="32F7CAD2" w14:textId="77777777" w:rsidR="00D02DFB" w:rsidRPr="00F13073" w:rsidRDefault="00D02DFB" w:rsidP="005D5D1B">
      <w:pPr>
        <w:jc w:val="center"/>
      </w:pPr>
    </w:p>
    <w:p w14:paraId="672CAD75" w14:textId="77777777" w:rsidR="00D02DFB" w:rsidRPr="00F13073" w:rsidRDefault="00D02DFB" w:rsidP="005D5D1B">
      <w:pPr>
        <w:jc w:val="center"/>
      </w:pPr>
    </w:p>
    <w:p w14:paraId="3807532C" w14:textId="77777777" w:rsidR="00D02DFB" w:rsidRPr="00F13073" w:rsidRDefault="00D02DFB" w:rsidP="005D5D1B">
      <w:pPr>
        <w:jc w:val="center"/>
      </w:pPr>
    </w:p>
    <w:p w14:paraId="0C0E8785" w14:textId="77777777" w:rsidR="00D02DFB" w:rsidRPr="00F13073" w:rsidRDefault="00D02DFB" w:rsidP="005D5D1B">
      <w:pPr>
        <w:jc w:val="center"/>
      </w:pPr>
    </w:p>
    <w:p w14:paraId="2471A633" w14:textId="77777777" w:rsidR="00D02DFB" w:rsidRPr="00F13073" w:rsidRDefault="00D02DFB" w:rsidP="005D5D1B">
      <w:pPr>
        <w:jc w:val="center"/>
      </w:pPr>
    </w:p>
    <w:p w14:paraId="3701C4CD" w14:textId="77777777" w:rsidR="00D02DFB" w:rsidRPr="00F13073" w:rsidRDefault="00D02DFB" w:rsidP="005D5D1B">
      <w:pPr>
        <w:jc w:val="center"/>
      </w:pPr>
    </w:p>
    <w:p w14:paraId="59E7B0E2" w14:textId="77777777" w:rsidR="00D02DFB" w:rsidRPr="00F13073" w:rsidRDefault="00D02DFB" w:rsidP="005D5D1B">
      <w:pPr>
        <w:jc w:val="center"/>
      </w:pPr>
    </w:p>
    <w:p w14:paraId="2879A1B9" w14:textId="77777777" w:rsidR="001E0975" w:rsidRPr="00F13073" w:rsidRDefault="00732F9F" w:rsidP="008B4C50">
      <w:pPr>
        <w:jc w:val="center"/>
        <w:rPr>
          <w:b/>
          <w:bCs/>
        </w:rPr>
      </w:pPr>
      <w:r w:rsidRPr="00F13073">
        <w:rPr>
          <w:b/>
          <w:bCs/>
        </w:rPr>
        <w:t>ANEKS</w:t>
      </w:r>
      <w:r w:rsidR="00611033" w:rsidRPr="00F13073">
        <w:rPr>
          <w:b/>
          <w:bCs/>
        </w:rPr>
        <w:t xml:space="preserve"> II</w:t>
      </w:r>
    </w:p>
    <w:p w14:paraId="5D3E04F5" w14:textId="77777777" w:rsidR="00D02DFB" w:rsidRPr="00F13073" w:rsidRDefault="00D02DFB" w:rsidP="005D5D1B">
      <w:pPr>
        <w:jc w:val="center"/>
        <w:rPr>
          <w:b/>
          <w:bCs/>
        </w:rPr>
      </w:pPr>
    </w:p>
    <w:p w14:paraId="2F51012C" w14:textId="20D5BB7C" w:rsidR="00732F9F" w:rsidRPr="00F13073" w:rsidRDefault="001721B1" w:rsidP="008479C3">
      <w:pPr>
        <w:ind w:left="1701" w:hanging="567"/>
        <w:rPr>
          <w:b/>
          <w:bCs/>
        </w:rPr>
      </w:pPr>
      <w:r w:rsidRPr="00F13073">
        <w:rPr>
          <w:b/>
          <w:bCs/>
        </w:rPr>
        <w:t>A.</w:t>
      </w:r>
      <w:r w:rsidRPr="00F13073">
        <w:rPr>
          <w:b/>
          <w:bCs/>
        </w:rPr>
        <w:tab/>
      </w:r>
      <w:r w:rsidR="00732F9F" w:rsidRPr="00F13073">
        <w:rPr>
          <w:b/>
          <w:bCs/>
        </w:rPr>
        <w:t>WYTWÓRCA BIOLOGICZNEJ SUBSTANCJI CZYNNEJ</w:t>
      </w:r>
      <w:r w:rsidR="00A0207F" w:rsidRPr="00F13073">
        <w:rPr>
          <w:b/>
          <w:bCs/>
        </w:rPr>
        <w:t xml:space="preserve"> </w:t>
      </w:r>
      <w:r w:rsidR="00732F9F" w:rsidRPr="00F13073">
        <w:rPr>
          <w:b/>
          <w:bCs/>
        </w:rPr>
        <w:t>ORAZ WYTWÓRC</w:t>
      </w:r>
      <w:r w:rsidR="00B02785" w:rsidRPr="00F13073">
        <w:rPr>
          <w:b/>
          <w:bCs/>
        </w:rPr>
        <w:t>Y</w:t>
      </w:r>
      <w:r w:rsidR="00732F9F" w:rsidRPr="00F13073">
        <w:rPr>
          <w:b/>
          <w:bCs/>
        </w:rPr>
        <w:t xml:space="preserve"> ODPOWIEDZIALN</w:t>
      </w:r>
      <w:r w:rsidR="00B02785" w:rsidRPr="00F13073">
        <w:rPr>
          <w:b/>
          <w:bCs/>
        </w:rPr>
        <w:t>I</w:t>
      </w:r>
      <w:r w:rsidR="00732F9F" w:rsidRPr="00F13073">
        <w:rPr>
          <w:b/>
          <w:bCs/>
        </w:rPr>
        <w:t xml:space="preserve"> ZA ZWOLNIENIE SERII</w:t>
      </w:r>
    </w:p>
    <w:p w14:paraId="51A6CA7A" w14:textId="77777777" w:rsidR="00D02DFB" w:rsidRPr="00F13073" w:rsidRDefault="00D02DFB" w:rsidP="008B4C50">
      <w:pPr>
        <w:ind w:left="1701" w:right="1418" w:hanging="709"/>
        <w:rPr>
          <w:b/>
          <w:bCs/>
        </w:rPr>
      </w:pPr>
    </w:p>
    <w:p w14:paraId="06B28DD4" w14:textId="77777777" w:rsidR="001E0975" w:rsidRPr="00F13073" w:rsidRDefault="001721B1" w:rsidP="008479C3">
      <w:pPr>
        <w:ind w:left="1701" w:hanging="567"/>
        <w:rPr>
          <w:b/>
          <w:bCs/>
        </w:rPr>
      </w:pPr>
      <w:r w:rsidRPr="00F13073">
        <w:rPr>
          <w:b/>
          <w:bCs/>
        </w:rPr>
        <w:t>B.</w:t>
      </w:r>
      <w:r w:rsidRPr="00F13073">
        <w:rPr>
          <w:b/>
          <w:bCs/>
        </w:rPr>
        <w:tab/>
      </w:r>
      <w:r w:rsidR="00732F9F" w:rsidRPr="00F13073">
        <w:rPr>
          <w:b/>
          <w:bCs/>
        </w:rPr>
        <w:t>WARUNKI LUB OGRANICZENIA DOTYCZĄCE ZAOPATRZENIA I STOSOWANIA</w:t>
      </w:r>
    </w:p>
    <w:p w14:paraId="0AF7B9E3" w14:textId="77777777" w:rsidR="00D02DFB" w:rsidRPr="00F13073" w:rsidRDefault="00D02DFB" w:rsidP="008B4C50">
      <w:pPr>
        <w:ind w:left="1701" w:right="1418" w:hanging="709"/>
        <w:rPr>
          <w:b/>
          <w:bCs/>
        </w:rPr>
      </w:pPr>
    </w:p>
    <w:p w14:paraId="5CA2F1F6" w14:textId="77777777" w:rsidR="001E0975" w:rsidRPr="00F13073" w:rsidRDefault="001721B1" w:rsidP="008479C3">
      <w:pPr>
        <w:ind w:left="1701" w:hanging="567"/>
        <w:rPr>
          <w:b/>
          <w:bCs/>
        </w:rPr>
      </w:pPr>
      <w:r w:rsidRPr="00F13073">
        <w:rPr>
          <w:b/>
          <w:bCs/>
        </w:rPr>
        <w:t>C.</w:t>
      </w:r>
      <w:r w:rsidRPr="00F13073">
        <w:rPr>
          <w:b/>
          <w:bCs/>
        </w:rPr>
        <w:tab/>
      </w:r>
      <w:r w:rsidR="00732F9F" w:rsidRPr="00F13073">
        <w:rPr>
          <w:b/>
          <w:bCs/>
        </w:rPr>
        <w:t>INNE WARUNKI I WYMAGANIA DOTYCZĄCE DOPUSZCZENIA DO OBROTU</w:t>
      </w:r>
    </w:p>
    <w:p w14:paraId="7229428E" w14:textId="77777777" w:rsidR="00D02DFB" w:rsidRPr="00F13073" w:rsidRDefault="00D02DFB" w:rsidP="008B4C50">
      <w:pPr>
        <w:ind w:left="1701" w:right="1418" w:hanging="709"/>
        <w:rPr>
          <w:b/>
          <w:bCs/>
        </w:rPr>
      </w:pPr>
    </w:p>
    <w:p w14:paraId="33EB39C6" w14:textId="77777777" w:rsidR="001E0975" w:rsidRPr="00F13073" w:rsidRDefault="001721B1" w:rsidP="008479C3">
      <w:pPr>
        <w:ind w:left="1701" w:hanging="567"/>
        <w:rPr>
          <w:b/>
          <w:bCs/>
        </w:rPr>
      </w:pPr>
      <w:r w:rsidRPr="00F13073">
        <w:rPr>
          <w:b/>
          <w:bCs/>
        </w:rPr>
        <w:t>D.</w:t>
      </w:r>
      <w:r w:rsidRPr="00F13073">
        <w:rPr>
          <w:b/>
          <w:bCs/>
        </w:rPr>
        <w:tab/>
      </w:r>
      <w:r w:rsidR="00732F9F" w:rsidRPr="00F13073">
        <w:rPr>
          <w:b/>
          <w:bCs/>
        </w:rPr>
        <w:t>WARUNKI LUB OGRANICZENIA DOTYCZĄCE BEZPIECZNEGO I SKUTECZNEGO STOSOWANIA PRODUKTU LECZNICZEGO</w:t>
      </w:r>
    </w:p>
    <w:p w14:paraId="621421E4" w14:textId="77777777" w:rsidR="00D02DFB" w:rsidRPr="00F13073" w:rsidRDefault="00D02DFB" w:rsidP="008B4C50"/>
    <w:p w14:paraId="75C3CED9" w14:textId="0C21A07C" w:rsidR="001E0975" w:rsidRPr="0081094B" w:rsidRDefault="00D02DFB" w:rsidP="005D5D1B">
      <w:pPr>
        <w:pStyle w:val="TitleB"/>
        <w:rPr>
          <w:lang w:val="pl-PL"/>
        </w:rPr>
      </w:pPr>
      <w:r w:rsidRPr="0081094B">
        <w:rPr>
          <w:lang w:val="pl-PL"/>
        </w:rPr>
        <w:br w:type="page"/>
      </w:r>
      <w:bookmarkStart w:id="26" w:name="bookmark2"/>
      <w:r w:rsidR="00611033" w:rsidRPr="0081094B">
        <w:rPr>
          <w:lang w:val="pl-PL"/>
        </w:rPr>
        <w:lastRenderedPageBreak/>
        <w:t>A.</w:t>
      </w:r>
      <w:r w:rsidRPr="0081094B">
        <w:rPr>
          <w:lang w:val="pl-PL"/>
        </w:rPr>
        <w:tab/>
      </w:r>
      <w:bookmarkEnd w:id="26"/>
      <w:r w:rsidR="00CF40A9" w:rsidRPr="0081094B">
        <w:rPr>
          <w:lang w:val="pl-PL"/>
        </w:rPr>
        <w:t>WYTWÓRCA BIOLOGICZNEJ SUBSTANCJI CZYNNEJ ORAZ WYTWÓRC</w:t>
      </w:r>
      <w:r w:rsidR="00B02785" w:rsidRPr="00F13073">
        <w:rPr>
          <w:lang w:val="pl-PL"/>
        </w:rPr>
        <w:t>Y</w:t>
      </w:r>
      <w:r w:rsidR="00CF40A9" w:rsidRPr="0081094B">
        <w:rPr>
          <w:lang w:val="pl-PL"/>
        </w:rPr>
        <w:t xml:space="preserve"> ODPOWIEDZIALN</w:t>
      </w:r>
      <w:r w:rsidR="00B02785" w:rsidRPr="00F13073">
        <w:rPr>
          <w:lang w:val="pl-PL"/>
        </w:rPr>
        <w:t>I</w:t>
      </w:r>
      <w:r w:rsidR="00CF40A9" w:rsidRPr="0081094B">
        <w:rPr>
          <w:lang w:val="pl-PL"/>
        </w:rPr>
        <w:t xml:space="preserve"> ZA ZWOLNIENIE SERII</w:t>
      </w:r>
    </w:p>
    <w:p w14:paraId="73E34620" w14:textId="77777777" w:rsidR="00D02DFB" w:rsidRPr="00F13073" w:rsidRDefault="00D02DFB" w:rsidP="008B4C50">
      <w:pPr>
        <w:keepNext/>
      </w:pPr>
    </w:p>
    <w:p w14:paraId="71063E05" w14:textId="77777777" w:rsidR="00CF40A9" w:rsidRPr="00F13073" w:rsidRDefault="00CF40A9" w:rsidP="008B4C50">
      <w:pPr>
        <w:pStyle w:val="a4"/>
        <w:widowControl/>
        <w:spacing w:after="0"/>
      </w:pPr>
      <w:r w:rsidRPr="00F13073">
        <w:rPr>
          <w:rStyle w:val="Char"/>
          <w:u w:val="single"/>
        </w:rPr>
        <w:t>Nazwa i adres wytwórcy biologicznej substancji czynnej</w:t>
      </w:r>
    </w:p>
    <w:p w14:paraId="17864486" w14:textId="77777777" w:rsidR="00CF40A9" w:rsidRPr="00F13073" w:rsidRDefault="00CF40A9" w:rsidP="008B4C50">
      <w:pPr>
        <w:pStyle w:val="a4"/>
        <w:widowControl/>
        <w:spacing w:after="0"/>
        <w:rPr>
          <w:rStyle w:val="Char"/>
        </w:rPr>
      </w:pPr>
    </w:p>
    <w:p w14:paraId="28BE742B" w14:textId="77777777" w:rsidR="00101060" w:rsidRPr="00127FBE" w:rsidRDefault="00101060" w:rsidP="00101060">
      <w:pPr>
        <w:keepNext/>
        <w:rPr>
          <w:lang w:val="en-GB"/>
        </w:rPr>
      </w:pPr>
      <w:proofErr w:type="spellStart"/>
      <w:r w:rsidRPr="00127FBE">
        <w:rPr>
          <w:lang w:val="en-GB"/>
        </w:rPr>
        <w:t>Binex</w:t>
      </w:r>
      <w:proofErr w:type="spellEnd"/>
      <w:r w:rsidRPr="00127FBE">
        <w:rPr>
          <w:lang w:val="en-GB"/>
        </w:rPr>
        <w:t>, Ltd,</w:t>
      </w:r>
    </w:p>
    <w:p w14:paraId="2D7B65CC" w14:textId="77777777" w:rsidR="00101060" w:rsidRPr="00127FBE" w:rsidRDefault="00101060" w:rsidP="00101060">
      <w:pPr>
        <w:keepNext/>
        <w:rPr>
          <w:lang w:val="en-GB"/>
        </w:rPr>
      </w:pPr>
      <w:r w:rsidRPr="00127FBE">
        <w:rPr>
          <w:lang w:val="en-GB"/>
        </w:rPr>
        <w:t xml:space="preserve">3, </w:t>
      </w:r>
      <w:proofErr w:type="spellStart"/>
      <w:r w:rsidRPr="00127FBE">
        <w:rPr>
          <w:lang w:val="en-GB"/>
        </w:rPr>
        <w:t>Gaetbeol-ro</w:t>
      </w:r>
      <w:proofErr w:type="spellEnd"/>
      <w:r w:rsidRPr="00127FBE">
        <w:rPr>
          <w:lang w:val="en-GB"/>
        </w:rPr>
        <w:t xml:space="preserve">, </w:t>
      </w:r>
      <w:proofErr w:type="spellStart"/>
      <w:r w:rsidRPr="00127FBE">
        <w:rPr>
          <w:lang w:val="en-GB"/>
        </w:rPr>
        <w:t>Yeonsu-gu</w:t>
      </w:r>
      <w:proofErr w:type="spellEnd"/>
      <w:r w:rsidRPr="00127FBE">
        <w:rPr>
          <w:lang w:val="en-GB"/>
        </w:rPr>
        <w:t>,</w:t>
      </w:r>
    </w:p>
    <w:p w14:paraId="71FD0438" w14:textId="0071DF72" w:rsidR="00101060" w:rsidRPr="00F13073" w:rsidRDefault="00101060" w:rsidP="00101060">
      <w:r w:rsidRPr="00F13073">
        <w:t>Incheon, Republika Korei</w:t>
      </w:r>
    </w:p>
    <w:p w14:paraId="58042771" w14:textId="77777777" w:rsidR="00CF40A9" w:rsidRPr="00F13073" w:rsidRDefault="00CF40A9" w:rsidP="008B4C50">
      <w:pPr>
        <w:pStyle w:val="a4"/>
        <w:widowControl/>
        <w:spacing w:after="0"/>
      </w:pPr>
    </w:p>
    <w:p w14:paraId="3269F71D" w14:textId="249E316E" w:rsidR="00CF40A9" w:rsidRPr="00F13073" w:rsidRDefault="00CF40A9" w:rsidP="008B4C50">
      <w:pPr>
        <w:pStyle w:val="a4"/>
        <w:widowControl/>
        <w:spacing w:after="0"/>
      </w:pPr>
      <w:r w:rsidRPr="00F13073">
        <w:rPr>
          <w:rStyle w:val="Char"/>
          <w:u w:val="single"/>
        </w:rPr>
        <w:t>Nazwa i adres wytwórc</w:t>
      </w:r>
      <w:r w:rsidR="00B02785" w:rsidRPr="00F13073">
        <w:rPr>
          <w:rStyle w:val="Char"/>
          <w:u w:val="single"/>
        </w:rPr>
        <w:t>ów</w:t>
      </w:r>
      <w:r w:rsidRPr="00F13073">
        <w:rPr>
          <w:rStyle w:val="Char"/>
          <w:u w:val="single"/>
        </w:rPr>
        <w:t xml:space="preserve"> odpowiedzialn</w:t>
      </w:r>
      <w:r w:rsidR="00B02785" w:rsidRPr="00F13073">
        <w:rPr>
          <w:rStyle w:val="Char"/>
          <w:u w:val="single"/>
        </w:rPr>
        <w:t>ych</w:t>
      </w:r>
      <w:r w:rsidRPr="00F13073">
        <w:rPr>
          <w:rStyle w:val="Char"/>
          <w:u w:val="single"/>
        </w:rPr>
        <w:t xml:space="preserve"> za zwolnienie serii</w:t>
      </w:r>
    </w:p>
    <w:p w14:paraId="2639DDF1" w14:textId="77777777" w:rsidR="00CF40A9" w:rsidRPr="00F13073" w:rsidRDefault="00CF40A9" w:rsidP="008B4C50">
      <w:pPr>
        <w:pStyle w:val="a4"/>
        <w:widowControl/>
        <w:spacing w:after="0"/>
        <w:rPr>
          <w:rStyle w:val="Char"/>
        </w:rPr>
      </w:pPr>
    </w:p>
    <w:p w14:paraId="0A38D562" w14:textId="77777777" w:rsidR="00130EE8" w:rsidRPr="00127FBE" w:rsidRDefault="00130EE8" w:rsidP="00130EE8">
      <w:pPr>
        <w:keepNext/>
        <w:rPr>
          <w:lang w:val="en-GB"/>
        </w:rPr>
      </w:pPr>
      <w:r w:rsidRPr="00127FBE">
        <w:rPr>
          <w:lang w:val="en-GB"/>
        </w:rPr>
        <w:t>Nuvisan France SARL</w:t>
      </w:r>
    </w:p>
    <w:p w14:paraId="415EC341" w14:textId="77777777" w:rsidR="00130EE8" w:rsidRPr="00127FBE" w:rsidRDefault="00130EE8" w:rsidP="00130EE8">
      <w:pPr>
        <w:keepNext/>
        <w:rPr>
          <w:lang w:val="en-GB"/>
        </w:rPr>
      </w:pPr>
      <w:r w:rsidRPr="00127FBE">
        <w:rPr>
          <w:lang w:val="en-GB"/>
        </w:rPr>
        <w:t>2400</w:t>
      </w:r>
      <w:del w:id="27" w:author="만든 이">
        <w:r w:rsidRPr="00127FBE" w:rsidDel="006A6B0C">
          <w:rPr>
            <w:lang w:val="en-GB"/>
          </w:rPr>
          <w:delText>,</w:delText>
        </w:r>
      </w:del>
      <w:r w:rsidRPr="00127FBE">
        <w:rPr>
          <w:lang w:val="en-GB"/>
        </w:rPr>
        <w:t xml:space="preserve"> Route des Colles, </w:t>
      </w:r>
    </w:p>
    <w:p w14:paraId="6B75665C" w14:textId="77777777" w:rsidR="00130EE8" w:rsidRPr="00F13073" w:rsidRDefault="00130EE8" w:rsidP="00130EE8">
      <w:pPr>
        <w:keepNext/>
      </w:pPr>
      <w:r w:rsidRPr="00F13073">
        <w:t>06410</w:t>
      </w:r>
      <w:del w:id="28" w:author="만든 이">
        <w:r w:rsidRPr="00F13073" w:rsidDel="006A6B0C">
          <w:delText>,</w:delText>
        </w:r>
      </w:del>
      <w:r w:rsidRPr="00F13073">
        <w:t xml:space="preserve"> Biot, </w:t>
      </w:r>
    </w:p>
    <w:p w14:paraId="11E4B7C8" w14:textId="4C91CAF5" w:rsidR="00130EE8" w:rsidRPr="00F13073" w:rsidRDefault="00130EE8" w:rsidP="00130EE8">
      <w:r w:rsidRPr="00F13073">
        <w:t>Franc</w:t>
      </w:r>
      <w:r w:rsidR="00C72B0B" w:rsidRPr="00F13073">
        <w:t>ja</w:t>
      </w:r>
    </w:p>
    <w:p w14:paraId="0E6B3DEA" w14:textId="77777777" w:rsidR="00130EE8" w:rsidRPr="00F13073" w:rsidRDefault="00130EE8" w:rsidP="00130EE8"/>
    <w:p w14:paraId="4332EDB5" w14:textId="77777777" w:rsidR="00130EE8" w:rsidRPr="00F13073" w:rsidRDefault="00130EE8" w:rsidP="00130EE8">
      <w:pPr>
        <w:keepNext/>
      </w:pPr>
      <w:r w:rsidRPr="00F13073">
        <w:t>Midas Pharma GmbH</w:t>
      </w:r>
    </w:p>
    <w:p w14:paraId="13D61F55" w14:textId="77777777" w:rsidR="00130EE8" w:rsidRPr="00F13073" w:rsidRDefault="00130EE8" w:rsidP="00130EE8">
      <w:pPr>
        <w:keepNext/>
      </w:pPr>
      <w:r w:rsidRPr="00F13073">
        <w:t xml:space="preserve">Rheinstr. 49, </w:t>
      </w:r>
    </w:p>
    <w:p w14:paraId="187CCCE8" w14:textId="77777777" w:rsidR="00130EE8" w:rsidRPr="00F13073" w:rsidRDefault="00130EE8" w:rsidP="00130EE8">
      <w:pPr>
        <w:keepNext/>
      </w:pPr>
      <w:r w:rsidRPr="00F13073">
        <w:t>55218 Ingelheim,</w:t>
      </w:r>
    </w:p>
    <w:p w14:paraId="06CDAFA2" w14:textId="51C2FB98" w:rsidR="00130EE8" w:rsidRPr="00F13073" w:rsidRDefault="00C72B0B" w:rsidP="00130EE8">
      <w:r w:rsidRPr="0081094B">
        <w:t>Niemcy</w:t>
      </w:r>
    </w:p>
    <w:p w14:paraId="1BD79B0B" w14:textId="77777777" w:rsidR="00130EE8" w:rsidRPr="00F13073" w:rsidRDefault="00130EE8" w:rsidP="00130EE8"/>
    <w:p w14:paraId="3963A986" w14:textId="77777777" w:rsidR="00130EE8" w:rsidRPr="00F13073" w:rsidRDefault="00130EE8" w:rsidP="00130EE8">
      <w:pPr>
        <w:keepNext/>
      </w:pPr>
      <w:r w:rsidRPr="00F13073">
        <w:t xml:space="preserve">KYMOS S.L. </w:t>
      </w:r>
    </w:p>
    <w:p w14:paraId="3F6B39D2" w14:textId="77777777" w:rsidR="00130EE8" w:rsidRPr="00127FBE" w:rsidRDefault="00130EE8" w:rsidP="00130EE8">
      <w:pPr>
        <w:keepNext/>
        <w:rPr>
          <w:lang w:val="en-GB"/>
        </w:rPr>
      </w:pPr>
      <w:r w:rsidRPr="00127FBE">
        <w:rPr>
          <w:lang w:val="en-GB"/>
        </w:rPr>
        <w:t xml:space="preserve">Ronda Can </w:t>
      </w:r>
      <w:proofErr w:type="spellStart"/>
      <w:r w:rsidRPr="00127FBE">
        <w:rPr>
          <w:lang w:val="en-GB"/>
        </w:rPr>
        <w:t>Fatjó</w:t>
      </w:r>
      <w:proofErr w:type="spellEnd"/>
      <w:r w:rsidRPr="00127FBE">
        <w:rPr>
          <w:lang w:val="en-GB"/>
        </w:rPr>
        <w:t xml:space="preserve">, 7B. </w:t>
      </w:r>
    </w:p>
    <w:p w14:paraId="0F95F35A" w14:textId="77777777" w:rsidR="00130EE8" w:rsidRPr="00127FBE" w:rsidRDefault="00130EE8" w:rsidP="00130EE8">
      <w:pPr>
        <w:keepNext/>
        <w:rPr>
          <w:lang w:val="en-GB"/>
        </w:rPr>
      </w:pPr>
      <w:r w:rsidRPr="00127FBE">
        <w:rPr>
          <w:lang w:val="en-GB"/>
        </w:rPr>
        <w:t xml:space="preserve">08290 </w:t>
      </w:r>
      <w:proofErr w:type="spellStart"/>
      <w:r w:rsidRPr="00127FBE">
        <w:rPr>
          <w:lang w:val="en-GB"/>
        </w:rPr>
        <w:t>Cerdanyola</w:t>
      </w:r>
      <w:proofErr w:type="spellEnd"/>
      <w:r w:rsidRPr="00127FBE">
        <w:rPr>
          <w:lang w:val="en-GB"/>
        </w:rPr>
        <w:t xml:space="preserve"> del </w:t>
      </w:r>
      <w:proofErr w:type="spellStart"/>
      <w:r w:rsidRPr="00127FBE">
        <w:rPr>
          <w:lang w:val="en-GB"/>
        </w:rPr>
        <w:t>Vallès</w:t>
      </w:r>
      <w:proofErr w:type="spellEnd"/>
      <w:r w:rsidRPr="00127FBE">
        <w:rPr>
          <w:lang w:val="en-GB"/>
        </w:rPr>
        <w:t xml:space="preserve">, </w:t>
      </w:r>
    </w:p>
    <w:p w14:paraId="06A570CE" w14:textId="77777777" w:rsidR="00130EE8" w:rsidRPr="00F13073" w:rsidRDefault="00130EE8" w:rsidP="00130EE8">
      <w:pPr>
        <w:keepNext/>
      </w:pPr>
      <w:r w:rsidRPr="00F13073">
        <w:t xml:space="preserve">Barcelona, </w:t>
      </w:r>
    </w:p>
    <w:p w14:paraId="77ABAE47" w14:textId="04757163" w:rsidR="00130EE8" w:rsidRPr="00F13073" w:rsidRDefault="00C72B0B" w:rsidP="00130EE8">
      <w:pPr>
        <w:pStyle w:val="a4"/>
        <w:widowControl/>
        <w:spacing w:after="0"/>
      </w:pPr>
      <w:r w:rsidRPr="00F13073">
        <w:t>Hiszpania</w:t>
      </w:r>
    </w:p>
    <w:p w14:paraId="40456027" w14:textId="77777777" w:rsidR="00D02DFB" w:rsidRPr="00F13073" w:rsidRDefault="00D02DFB" w:rsidP="008B4C50"/>
    <w:p w14:paraId="408696CD" w14:textId="77777777" w:rsidR="00D02DFB" w:rsidRPr="00F13073" w:rsidRDefault="00D02DFB" w:rsidP="008B4C50"/>
    <w:p w14:paraId="06542020" w14:textId="77777777" w:rsidR="001E0975" w:rsidRPr="0081094B" w:rsidRDefault="001721B1" w:rsidP="008B4C50">
      <w:pPr>
        <w:pStyle w:val="TitleB"/>
        <w:rPr>
          <w:lang w:val="pl-PL"/>
        </w:rPr>
      </w:pPr>
      <w:bookmarkStart w:id="29" w:name="bookmark4"/>
      <w:r w:rsidRPr="0081094B">
        <w:rPr>
          <w:lang w:val="pl-PL"/>
        </w:rPr>
        <w:t>B.</w:t>
      </w:r>
      <w:r w:rsidRPr="0081094B">
        <w:rPr>
          <w:lang w:val="pl-PL"/>
        </w:rPr>
        <w:tab/>
      </w:r>
      <w:bookmarkEnd w:id="29"/>
      <w:r w:rsidR="00CF40A9" w:rsidRPr="0081094B">
        <w:rPr>
          <w:lang w:val="pl-PL"/>
        </w:rPr>
        <w:t>WARUNKI LUB OGRANICZENIA DOTYCZĄCE ZAOPATRZENIA I STOSOWANIA</w:t>
      </w:r>
    </w:p>
    <w:p w14:paraId="64612372" w14:textId="77777777" w:rsidR="00D02DFB" w:rsidRPr="00F13073" w:rsidRDefault="00D02DFB" w:rsidP="008B4C50">
      <w:pPr>
        <w:keepNext/>
      </w:pPr>
    </w:p>
    <w:p w14:paraId="7D99B29D" w14:textId="77777777" w:rsidR="001E0975" w:rsidRPr="00F13073" w:rsidRDefault="00CF40A9" w:rsidP="008B4C50">
      <w:r w:rsidRPr="00F13073">
        <w:t>Produkt leczniczy wydawany z przepisu lekarza do zastrzeżonego stosowania (Patrz Aneks I: Charakterystyka Produktu Leczniczego, punkt 4.2).</w:t>
      </w:r>
    </w:p>
    <w:p w14:paraId="0C6627F3" w14:textId="77777777" w:rsidR="00D02DFB" w:rsidRPr="00F13073" w:rsidRDefault="00D02DFB" w:rsidP="008B4C50"/>
    <w:p w14:paraId="461752F1" w14:textId="77777777" w:rsidR="00D02DFB" w:rsidRPr="00F13073" w:rsidRDefault="00D02DFB" w:rsidP="008B4C50"/>
    <w:p w14:paraId="07D5D433" w14:textId="77777777" w:rsidR="001E0975" w:rsidRPr="0081094B" w:rsidRDefault="001721B1" w:rsidP="008B4C50">
      <w:pPr>
        <w:pStyle w:val="TitleB"/>
        <w:rPr>
          <w:lang w:val="pl-PL"/>
        </w:rPr>
      </w:pPr>
      <w:bookmarkStart w:id="30" w:name="bookmark6"/>
      <w:r w:rsidRPr="0081094B">
        <w:rPr>
          <w:lang w:val="pl-PL"/>
        </w:rPr>
        <w:t>C.</w:t>
      </w:r>
      <w:r w:rsidRPr="0081094B">
        <w:rPr>
          <w:lang w:val="pl-PL"/>
        </w:rPr>
        <w:tab/>
      </w:r>
      <w:bookmarkEnd w:id="30"/>
      <w:r w:rsidR="00CF40A9" w:rsidRPr="0081094B">
        <w:rPr>
          <w:lang w:val="pl-PL"/>
        </w:rPr>
        <w:t>INNE WARUNKI I WYMAGANIA DOTYCZĄCE DOPUSZCZENIA DO OBROTU</w:t>
      </w:r>
    </w:p>
    <w:p w14:paraId="313A6A8A" w14:textId="77777777" w:rsidR="00D02DFB" w:rsidRPr="00F13073" w:rsidRDefault="00D02DFB" w:rsidP="008B4C50">
      <w:pPr>
        <w:keepNext/>
      </w:pPr>
    </w:p>
    <w:p w14:paraId="29160AF3" w14:textId="77777777" w:rsidR="001E0975" w:rsidRPr="00127FBE" w:rsidRDefault="00CF40A9" w:rsidP="008B4C50">
      <w:pPr>
        <w:pStyle w:val="a0"/>
        <w:keepNext/>
        <w:numPr>
          <w:ilvl w:val="0"/>
          <w:numId w:val="7"/>
        </w:numPr>
        <w:ind w:left="567" w:hanging="567"/>
        <w:contextualSpacing w:val="0"/>
        <w:rPr>
          <w:lang w:val="en-GB"/>
        </w:rPr>
      </w:pPr>
      <w:r w:rsidRPr="00F13073">
        <w:t xml:space="preserve">Okresowe raporty o bezpieczeństwie stosowania (ang. </w:t>
      </w:r>
      <w:r w:rsidRPr="00127FBE">
        <w:rPr>
          <w:lang w:val="en-GB"/>
        </w:rPr>
        <w:t>Periodic safety update reports, PSURs)</w:t>
      </w:r>
    </w:p>
    <w:p w14:paraId="4DAEC572" w14:textId="77777777" w:rsidR="001E0975" w:rsidRPr="00F13073" w:rsidRDefault="00CF40A9" w:rsidP="008B4C50">
      <w:r w:rsidRPr="00F13073">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4D996F5" w14:textId="77777777" w:rsidR="00D02DFB" w:rsidRPr="00F13073" w:rsidRDefault="00D02DFB" w:rsidP="008B4C50"/>
    <w:p w14:paraId="6A810819" w14:textId="77777777" w:rsidR="00D02DFB" w:rsidRPr="00F13073" w:rsidRDefault="00D02DFB" w:rsidP="008B4C50"/>
    <w:p w14:paraId="732091C7" w14:textId="77777777" w:rsidR="001E0975" w:rsidRPr="0081094B" w:rsidRDefault="001721B1" w:rsidP="008B4C50">
      <w:pPr>
        <w:pStyle w:val="TitleB"/>
        <w:rPr>
          <w:lang w:val="pl-PL"/>
        </w:rPr>
      </w:pPr>
      <w:bookmarkStart w:id="31" w:name="bookmark8"/>
      <w:r w:rsidRPr="0081094B">
        <w:rPr>
          <w:lang w:val="pl-PL"/>
        </w:rPr>
        <w:t>D.</w:t>
      </w:r>
      <w:r w:rsidRPr="0081094B">
        <w:rPr>
          <w:lang w:val="pl-PL"/>
        </w:rPr>
        <w:tab/>
      </w:r>
      <w:bookmarkEnd w:id="31"/>
      <w:r w:rsidR="000F3B1D" w:rsidRPr="0081094B">
        <w:rPr>
          <w:lang w:val="pl-PL"/>
        </w:rPr>
        <w:t>WARUNKI LUB OGRANICZENIA DOTYCZĄCE BEZPIECZNEGO I SKUTECZNEGO STOSOWANIA PRODUKTU LECZNICZEGO</w:t>
      </w:r>
    </w:p>
    <w:p w14:paraId="4385724F" w14:textId="77777777" w:rsidR="00D02DFB" w:rsidRPr="00F13073" w:rsidRDefault="00D02DFB" w:rsidP="008B4C50">
      <w:pPr>
        <w:keepNext/>
      </w:pPr>
    </w:p>
    <w:p w14:paraId="717F13A4" w14:textId="77777777" w:rsidR="001E0975" w:rsidRPr="00F13073" w:rsidRDefault="000F3B1D" w:rsidP="008B4C50">
      <w:pPr>
        <w:pStyle w:val="a0"/>
        <w:keepNext/>
        <w:numPr>
          <w:ilvl w:val="0"/>
          <w:numId w:val="8"/>
        </w:numPr>
        <w:ind w:left="567" w:hanging="567"/>
        <w:contextualSpacing w:val="0"/>
        <w:rPr>
          <w:b/>
          <w:bCs/>
        </w:rPr>
      </w:pPr>
      <w:r w:rsidRPr="00F13073">
        <w:rPr>
          <w:b/>
          <w:bCs/>
        </w:rPr>
        <w:t>Plan zarządzania ryzykiem (ang. Risk Management Plan, RMP)</w:t>
      </w:r>
    </w:p>
    <w:p w14:paraId="33217DB4" w14:textId="77777777" w:rsidR="00D02DFB" w:rsidRPr="00F13073" w:rsidRDefault="00D02DFB" w:rsidP="008B4C50">
      <w:pPr>
        <w:keepNext/>
      </w:pPr>
    </w:p>
    <w:p w14:paraId="26E03770" w14:textId="77777777" w:rsidR="000F3B1D" w:rsidRPr="00F13073" w:rsidRDefault="000F3B1D" w:rsidP="008B4C50">
      <w:r w:rsidRPr="00F13073">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2BB7D63" w14:textId="77777777" w:rsidR="000F3B1D" w:rsidRPr="00F13073" w:rsidRDefault="000F3B1D" w:rsidP="008B4C50"/>
    <w:p w14:paraId="6DC5ED31" w14:textId="77777777" w:rsidR="00D02DFB" w:rsidRPr="00F13073" w:rsidRDefault="000F3B1D" w:rsidP="008B4C50">
      <w:r w:rsidRPr="00F13073">
        <w:t>Uaktualniony RMP należy przedstawiać:</w:t>
      </w:r>
    </w:p>
    <w:p w14:paraId="5D2973C7" w14:textId="77777777" w:rsidR="001E0975" w:rsidRPr="00F13073" w:rsidRDefault="000F3B1D" w:rsidP="008B4C50">
      <w:pPr>
        <w:pStyle w:val="a0"/>
        <w:numPr>
          <w:ilvl w:val="0"/>
          <w:numId w:val="7"/>
        </w:numPr>
        <w:ind w:left="567" w:hanging="567"/>
        <w:contextualSpacing w:val="0"/>
      </w:pPr>
      <w:r w:rsidRPr="00F13073">
        <w:t>na żądanie Europejskiej Agencji Leków;</w:t>
      </w:r>
    </w:p>
    <w:p w14:paraId="1A4B7755" w14:textId="77777777" w:rsidR="001E0975" w:rsidRPr="00F13073" w:rsidRDefault="000F3B1D" w:rsidP="008B4C50">
      <w:pPr>
        <w:pStyle w:val="a0"/>
        <w:numPr>
          <w:ilvl w:val="0"/>
          <w:numId w:val="7"/>
        </w:numPr>
        <w:ind w:left="567" w:hanging="567"/>
        <w:contextualSpacing w:val="0"/>
      </w:pPr>
      <w:r w:rsidRPr="00F13073">
        <w:rPr>
          <w:rStyle w:val="Char"/>
          <w:rFonts w:eastAsia="DengXian"/>
        </w:rPr>
        <w:t xml:space="preserve">w razie zmiany systemu zarządzania ryzykiem, zwłaszcza w wyniku uzyskania nowych informacji, które mogą istotnie wpłynąć na stosunek ryzyka do korzyści, lub w wyniku </w:t>
      </w:r>
      <w:r w:rsidRPr="00F13073">
        <w:rPr>
          <w:rStyle w:val="Char"/>
          <w:rFonts w:eastAsia="DengXian"/>
        </w:rPr>
        <w:lastRenderedPageBreak/>
        <w:t>uzyskania istotnych informacji, dotyczących bezpieczeństwa stosowania produktu leczniczego lub odnoszących się do minimalizacji ryzyka.</w:t>
      </w:r>
    </w:p>
    <w:p w14:paraId="5C2DA9C8" w14:textId="77777777" w:rsidR="00D02DFB" w:rsidRPr="00F13073" w:rsidRDefault="00D02DFB" w:rsidP="008B4C50"/>
    <w:p w14:paraId="5ED73672" w14:textId="77777777" w:rsidR="001E0975" w:rsidRPr="00F13073" w:rsidRDefault="000F3B1D" w:rsidP="008B4C50">
      <w:pPr>
        <w:ind w:left="567"/>
      </w:pPr>
      <w:r w:rsidRPr="00F13073">
        <w:rPr>
          <w:rStyle w:val="Char"/>
          <w:rFonts w:eastAsia="DengXian"/>
        </w:rPr>
        <w:t>Jeśli daty przedłożenia PSUR i aktualizacji RMP są zbliżone, raporty należy złożyć w tym samym czasie.</w:t>
      </w:r>
    </w:p>
    <w:p w14:paraId="015096A0" w14:textId="77777777" w:rsidR="00D02DFB" w:rsidRPr="00F13073" w:rsidRDefault="00D02DFB" w:rsidP="008B4C50">
      <w:pPr>
        <w:ind w:left="567"/>
      </w:pPr>
    </w:p>
    <w:p w14:paraId="0BAF181F" w14:textId="77777777" w:rsidR="001E0975" w:rsidRPr="00F13073" w:rsidRDefault="000F3B1D" w:rsidP="008B4C50">
      <w:pPr>
        <w:pStyle w:val="a0"/>
        <w:keepNext/>
        <w:numPr>
          <w:ilvl w:val="0"/>
          <w:numId w:val="8"/>
        </w:numPr>
        <w:ind w:left="567" w:hanging="567"/>
        <w:contextualSpacing w:val="0"/>
        <w:rPr>
          <w:b/>
          <w:bCs/>
        </w:rPr>
      </w:pPr>
      <w:r w:rsidRPr="00F13073">
        <w:rPr>
          <w:rStyle w:val="Char"/>
          <w:rFonts w:eastAsia="DengXian"/>
          <w:b/>
          <w:bCs/>
        </w:rPr>
        <w:t>Dodatkowe działania w celu minimalizacji ryzyka</w:t>
      </w:r>
    </w:p>
    <w:p w14:paraId="573D263E" w14:textId="77777777" w:rsidR="00F259C7" w:rsidRPr="00F13073" w:rsidRDefault="00F259C7" w:rsidP="008B4C50">
      <w:pPr>
        <w:keepNext/>
      </w:pPr>
    </w:p>
    <w:p w14:paraId="5FF0FAB7" w14:textId="211EF16F" w:rsidR="001E0975" w:rsidRPr="00F13073" w:rsidRDefault="000F3B1D" w:rsidP="008B4C50">
      <w:pPr>
        <w:keepNext/>
      </w:pPr>
      <w:r w:rsidRPr="00F13073">
        <w:rPr>
          <w:rStyle w:val="Char"/>
          <w:rFonts w:eastAsia="DengXian"/>
        </w:rPr>
        <w:t xml:space="preserve">Podmiot Odpowiedzialny (MAH) musi dostarczyć zestaw materiałów edukacyjnych odnoszących się do wskazań RZS, uMIZS, wMIZS i GCA, wszystkim lekarzom, po których spodziewane jest przepisywanie/używanie produktu leczniczego </w:t>
      </w:r>
      <w:r w:rsidR="00026375" w:rsidRPr="00F13073">
        <w:rPr>
          <w:rStyle w:val="Char"/>
          <w:rFonts w:eastAsia="DengXian"/>
        </w:rPr>
        <w:t>Avtozma</w:t>
      </w:r>
      <w:r w:rsidRPr="00F13073">
        <w:rPr>
          <w:rStyle w:val="Char"/>
          <w:rFonts w:eastAsia="DengXian"/>
        </w:rPr>
        <w:t>, zawierający elementy wymienione poniżej:</w:t>
      </w:r>
    </w:p>
    <w:p w14:paraId="3ACF2D13" w14:textId="77777777" w:rsidR="00D02DFB" w:rsidRPr="00F13073" w:rsidRDefault="00D02DFB" w:rsidP="008B4C50">
      <w:pPr>
        <w:keepNext/>
      </w:pPr>
    </w:p>
    <w:p w14:paraId="39010FA3" w14:textId="77777777" w:rsidR="001E0975" w:rsidRPr="00F13073" w:rsidRDefault="000F3B1D" w:rsidP="008B4C50">
      <w:pPr>
        <w:pStyle w:val="a0"/>
        <w:numPr>
          <w:ilvl w:val="0"/>
          <w:numId w:val="7"/>
        </w:numPr>
        <w:ind w:left="567" w:hanging="567"/>
        <w:contextualSpacing w:val="0"/>
      </w:pPr>
      <w:r w:rsidRPr="00F13073">
        <w:rPr>
          <w:rStyle w:val="Char"/>
          <w:rFonts w:eastAsia="DengXian"/>
        </w:rPr>
        <w:t>Zestaw informacji dla lekarza</w:t>
      </w:r>
    </w:p>
    <w:p w14:paraId="78C1C2F8" w14:textId="77777777" w:rsidR="001E0975" w:rsidRPr="00F13073" w:rsidRDefault="000F3B1D" w:rsidP="008B4C50">
      <w:pPr>
        <w:pStyle w:val="a0"/>
        <w:numPr>
          <w:ilvl w:val="0"/>
          <w:numId w:val="7"/>
        </w:numPr>
        <w:ind w:left="567" w:hanging="567"/>
        <w:contextualSpacing w:val="0"/>
      </w:pPr>
      <w:r w:rsidRPr="00F13073">
        <w:rPr>
          <w:rStyle w:val="Char"/>
          <w:rFonts w:eastAsia="DengXian"/>
        </w:rPr>
        <w:t>Zestaw informacji dla pielęgniarki</w:t>
      </w:r>
    </w:p>
    <w:p w14:paraId="3C618D5E" w14:textId="77777777" w:rsidR="00D02DFB" w:rsidRPr="00F13073" w:rsidRDefault="000F3B1D" w:rsidP="008B4C50">
      <w:pPr>
        <w:pStyle w:val="a0"/>
        <w:numPr>
          <w:ilvl w:val="0"/>
          <w:numId w:val="7"/>
        </w:numPr>
        <w:ind w:left="567" w:hanging="567"/>
        <w:contextualSpacing w:val="0"/>
      </w:pPr>
      <w:r w:rsidRPr="00F13073">
        <w:rPr>
          <w:rStyle w:val="Char"/>
          <w:rFonts w:eastAsia="DengXian"/>
        </w:rPr>
        <w:t>Zestaw informacji dla pacjenta</w:t>
      </w:r>
    </w:p>
    <w:p w14:paraId="057930EF" w14:textId="77777777" w:rsidR="00D02DFB" w:rsidRPr="00F13073" w:rsidRDefault="00D02DFB" w:rsidP="008B4C50"/>
    <w:p w14:paraId="1556F5E0" w14:textId="77777777" w:rsidR="000F3B1D" w:rsidRPr="00F13073" w:rsidRDefault="000F3B1D" w:rsidP="008B4C50">
      <w:pPr>
        <w:rPr>
          <w:rStyle w:val="Char"/>
          <w:rFonts w:eastAsia="DengXian"/>
        </w:rPr>
      </w:pPr>
      <w:r w:rsidRPr="00F13073">
        <w:rPr>
          <w:rStyle w:val="Char"/>
          <w:rFonts w:eastAsia="DengXian"/>
        </w:rPr>
        <w:t>Przed dystrybucją materiałów edukacyjnych Państwo Członkowskie jest zobligowane do ustalenia zawartości i formatu materiałów edukacyjnych oraz planu dotyczącego ich komunikacji (włącznie ze środkami dystrybucji) z kompetentnymi narodowymi władzami.</w:t>
      </w:r>
    </w:p>
    <w:p w14:paraId="44235CEE" w14:textId="77777777" w:rsidR="000F3B1D" w:rsidRPr="00F13073" w:rsidRDefault="000F3B1D" w:rsidP="008B4C50"/>
    <w:p w14:paraId="1BB0E60A" w14:textId="77777777" w:rsidR="001E0975" w:rsidRPr="00F13073" w:rsidRDefault="000F3B1D" w:rsidP="008B4C50">
      <w:r w:rsidRPr="00F13073">
        <w:rPr>
          <w:rStyle w:val="Char"/>
          <w:rFonts w:eastAsia="DengXian"/>
        </w:rPr>
        <w:t>Zestaw informacji dla lekarza powinien uwzględniać następujące kluczowe elementy:</w:t>
      </w:r>
    </w:p>
    <w:p w14:paraId="6C75BD5C" w14:textId="77777777" w:rsidR="001E0975" w:rsidRPr="00F13073" w:rsidRDefault="000F3B1D" w:rsidP="008B4C50">
      <w:pPr>
        <w:pStyle w:val="a0"/>
        <w:numPr>
          <w:ilvl w:val="0"/>
          <w:numId w:val="7"/>
        </w:numPr>
        <w:ind w:left="567" w:hanging="567"/>
        <w:contextualSpacing w:val="0"/>
      </w:pPr>
      <w:r w:rsidRPr="00F13073">
        <w:rPr>
          <w:rStyle w:val="Char"/>
          <w:rFonts w:eastAsia="DengXian"/>
        </w:rPr>
        <w:t>Odwołanie do Charakterystyki produktu leczniczego (np. link do strony internetowej EMA)</w:t>
      </w:r>
    </w:p>
    <w:p w14:paraId="7BEE674F" w14:textId="77777777" w:rsidR="000F3B1D" w:rsidRPr="00F13073" w:rsidRDefault="000F3B1D" w:rsidP="008B4C50">
      <w:pPr>
        <w:pStyle w:val="a0"/>
        <w:numPr>
          <w:ilvl w:val="0"/>
          <w:numId w:val="7"/>
        </w:numPr>
        <w:ind w:left="567" w:hanging="567"/>
        <w:contextualSpacing w:val="0"/>
      </w:pPr>
      <w:r w:rsidRPr="00F13073">
        <w:rPr>
          <w:rStyle w:val="Char"/>
          <w:rFonts w:eastAsia="DengXian"/>
        </w:rPr>
        <w:t>Obliczenie dawki (chorzy na RZS, uMIZS i wMIZS), przygotowanie infuzji i częstość podawania infuzji</w:t>
      </w:r>
    </w:p>
    <w:p w14:paraId="03FE2954" w14:textId="77777777" w:rsidR="000F3B1D" w:rsidRPr="00F13073" w:rsidRDefault="000F3B1D" w:rsidP="008B4C50">
      <w:pPr>
        <w:pStyle w:val="a0"/>
        <w:numPr>
          <w:ilvl w:val="0"/>
          <w:numId w:val="7"/>
        </w:numPr>
        <w:ind w:left="567" w:hanging="567"/>
        <w:contextualSpacing w:val="0"/>
      </w:pPr>
      <w:r w:rsidRPr="00F13073">
        <w:rPr>
          <w:rStyle w:val="Char"/>
          <w:rFonts w:eastAsia="DengXian"/>
        </w:rPr>
        <w:t>Ryzyko ciężkich zakażeń</w:t>
      </w:r>
    </w:p>
    <w:p w14:paraId="48843715"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Produktu nie należy podawać pacjentom z czynnym zakażeniem lub jeśli podejrzewa się występowanie zakażenia</w:t>
      </w:r>
    </w:p>
    <w:p w14:paraId="134209FB"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Produkt może osłabiać dolegliwości i objawy ostrego zakażenia opóźniając rozpoznanie</w:t>
      </w:r>
    </w:p>
    <w:p w14:paraId="6785A47E" w14:textId="77777777" w:rsidR="000F3B1D" w:rsidRPr="00F13073" w:rsidRDefault="000F3B1D" w:rsidP="008B4C50">
      <w:pPr>
        <w:pStyle w:val="a0"/>
        <w:numPr>
          <w:ilvl w:val="0"/>
          <w:numId w:val="7"/>
        </w:numPr>
        <w:ind w:left="567" w:hanging="567"/>
        <w:contextualSpacing w:val="0"/>
      </w:pPr>
      <w:r w:rsidRPr="00F13073">
        <w:rPr>
          <w:rStyle w:val="Char"/>
          <w:rFonts w:eastAsia="DengXian"/>
        </w:rPr>
        <w:t>Ryzyko hepatotoksyczności</w:t>
      </w:r>
    </w:p>
    <w:p w14:paraId="0D046C77"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Należy zachować ostrożność, jeśli rozważane jest rozpoczęcie leczenia tocilizumabem u pacjentów z podwyższoną aktywnością AlAT/AspAT powyżej 1,5x GGN. U pacjentów z aktywnością AlAT/AspAT powyżej 5x GGN leczenie nie jest zalecane.</w:t>
      </w:r>
    </w:p>
    <w:p w14:paraId="7DC1B9EA"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U chorych na RZS, GCA, uMIZS i wMIZS AlAT /AspAT należy kontrolować co 4 do 8 tygodni przez pierwsze 6 miesięcy leczenia, a następnie co 12 tygodni. Zalecenia dotyczące modyfikacji dawki, w tym przerwania podawania tocilizumabu, w oparciu o aktywności aminotransferaz - patrz punkt 4.2 ChPL.</w:t>
      </w:r>
    </w:p>
    <w:p w14:paraId="0C06380D" w14:textId="77777777" w:rsidR="000F3B1D" w:rsidRPr="00F13073" w:rsidRDefault="000F3B1D" w:rsidP="008B4C50">
      <w:pPr>
        <w:pStyle w:val="a0"/>
        <w:numPr>
          <w:ilvl w:val="0"/>
          <w:numId w:val="7"/>
        </w:numPr>
        <w:ind w:left="567" w:hanging="567"/>
        <w:contextualSpacing w:val="0"/>
      </w:pPr>
      <w:r w:rsidRPr="00F13073">
        <w:rPr>
          <w:rStyle w:val="Char"/>
          <w:rFonts w:eastAsia="DengXian"/>
        </w:rPr>
        <w:t>Ryzyko perforacji żołądkowo-jelitowych, szczególnie u pacjentów z zapaleniem uchyłków</w:t>
      </w:r>
      <w:r w:rsidR="00770308" w:rsidRPr="00F13073">
        <w:t xml:space="preserve"> </w:t>
      </w:r>
      <w:r w:rsidRPr="00F13073">
        <w:rPr>
          <w:rStyle w:val="Char"/>
          <w:rFonts w:eastAsia="DengXian"/>
        </w:rPr>
        <w:t>lub wrzodami jelitowymi w wywiadzie</w:t>
      </w:r>
    </w:p>
    <w:p w14:paraId="65A10FE1" w14:textId="77777777" w:rsidR="000F3B1D" w:rsidRPr="00F13073" w:rsidRDefault="000F3B1D" w:rsidP="008B4C50">
      <w:pPr>
        <w:pStyle w:val="a0"/>
        <w:numPr>
          <w:ilvl w:val="0"/>
          <w:numId w:val="7"/>
        </w:numPr>
        <w:ind w:left="567" w:hanging="567"/>
        <w:contextualSpacing w:val="0"/>
      </w:pPr>
      <w:r w:rsidRPr="00F13073">
        <w:rPr>
          <w:rStyle w:val="Char"/>
          <w:rFonts w:eastAsia="DengXian"/>
        </w:rPr>
        <w:t>Szczegółowe informcje dotyczące zgłaszania ciężkich działań niepożądanych</w:t>
      </w:r>
    </w:p>
    <w:p w14:paraId="6EEB1DAD" w14:textId="77777777" w:rsidR="000F3B1D" w:rsidRPr="00F13073" w:rsidRDefault="000F3B1D" w:rsidP="008B4C50">
      <w:pPr>
        <w:pStyle w:val="a0"/>
        <w:numPr>
          <w:ilvl w:val="0"/>
          <w:numId w:val="7"/>
        </w:numPr>
        <w:ind w:left="567" w:hanging="567"/>
        <w:contextualSpacing w:val="0"/>
      </w:pPr>
      <w:r w:rsidRPr="00F13073">
        <w:rPr>
          <w:rStyle w:val="Char"/>
          <w:rFonts w:eastAsia="DengXian"/>
        </w:rPr>
        <w:t>Zestaw informacji dla pacjenta (przekazywany pacjentowi przez wykwalifikowany personel medyczny)</w:t>
      </w:r>
    </w:p>
    <w:p w14:paraId="4CDE681D" w14:textId="77777777" w:rsidR="000F3B1D" w:rsidRPr="00F13073" w:rsidRDefault="000F3B1D" w:rsidP="008B4C50">
      <w:pPr>
        <w:pStyle w:val="a0"/>
        <w:numPr>
          <w:ilvl w:val="0"/>
          <w:numId w:val="7"/>
        </w:numPr>
        <w:ind w:left="567" w:hanging="567"/>
        <w:contextualSpacing w:val="0"/>
      </w:pPr>
      <w:r w:rsidRPr="00F13073">
        <w:rPr>
          <w:rStyle w:val="Char"/>
          <w:rFonts w:eastAsia="DengXian"/>
        </w:rPr>
        <w:t>Wytyczne dotyczące sposobu rozpoznawania zespołu aktywacji makrofagów u chorych na uMIZS</w:t>
      </w:r>
    </w:p>
    <w:p w14:paraId="0B4CFA87" w14:textId="77777777" w:rsidR="000F3B1D" w:rsidRPr="00F13073" w:rsidRDefault="000F3B1D" w:rsidP="008B4C50">
      <w:pPr>
        <w:pStyle w:val="a0"/>
        <w:numPr>
          <w:ilvl w:val="0"/>
          <w:numId w:val="7"/>
        </w:numPr>
        <w:ind w:left="567" w:hanging="567"/>
        <w:contextualSpacing w:val="0"/>
      </w:pPr>
      <w:r w:rsidRPr="00F13073">
        <w:rPr>
          <w:rStyle w:val="Char"/>
          <w:rFonts w:eastAsia="DengXian"/>
        </w:rPr>
        <w:t>Zalecenia dotyczące konieczności przerwania leczenia u pacjentów z uMIZS i wMIZS</w:t>
      </w:r>
    </w:p>
    <w:p w14:paraId="2333C64A" w14:textId="77777777" w:rsidR="009237F2" w:rsidRPr="00F13073" w:rsidRDefault="009237F2" w:rsidP="008B4C50">
      <w:pPr>
        <w:rPr>
          <w:rStyle w:val="Char"/>
          <w:rFonts w:eastAsia="DengXian"/>
        </w:rPr>
      </w:pPr>
    </w:p>
    <w:p w14:paraId="144AD608" w14:textId="77777777" w:rsidR="000F3B1D" w:rsidRPr="00F13073" w:rsidRDefault="000F3B1D" w:rsidP="008B4C50">
      <w:r w:rsidRPr="00F13073">
        <w:rPr>
          <w:rStyle w:val="Char"/>
          <w:rFonts w:eastAsia="DengXian"/>
        </w:rPr>
        <w:t>Zestaw informacji dla pielęgniarki powinien uwzględniać następujące kluczowe elementy:</w:t>
      </w:r>
    </w:p>
    <w:p w14:paraId="1601BFE2" w14:textId="77777777" w:rsidR="000F3B1D" w:rsidRPr="00F13073" w:rsidRDefault="000F3B1D" w:rsidP="008B4C50">
      <w:pPr>
        <w:pStyle w:val="a0"/>
        <w:numPr>
          <w:ilvl w:val="0"/>
          <w:numId w:val="7"/>
        </w:numPr>
        <w:ind w:left="567" w:hanging="567"/>
        <w:contextualSpacing w:val="0"/>
      </w:pPr>
      <w:r w:rsidRPr="00F13073">
        <w:rPr>
          <w:rStyle w:val="Char"/>
          <w:rFonts w:eastAsia="DengXian"/>
        </w:rPr>
        <w:t>Zapobieganie błędom medycznym i reakcjom związanych z wstrzyknięciem/infuzją</w:t>
      </w:r>
    </w:p>
    <w:p w14:paraId="5C2B05CF"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Przygotowanie wstrzyknięcia/infuzji</w:t>
      </w:r>
    </w:p>
    <w:p w14:paraId="798AC5B0" w14:textId="77777777" w:rsidR="000F3B1D" w:rsidRPr="00F13073" w:rsidRDefault="000F3B1D" w:rsidP="00C17304">
      <w:pPr>
        <w:pStyle w:val="a0"/>
        <w:numPr>
          <w:ilvl w:val="0"/>
          <w:numId w:val="9"/>
        </w:numPr>
        <w:tabs>
          <w:tab w:val="left" w:pos="1134"/>
        </w:tabs>
        <w:ind w:left="1134" w:hanging="567"/>
        <w:contextualSpacing w:val="0"/>
      </w:pPr>
      <w:r w:rsidRPr="00F13073">
        <w:rPr>
          <w:rStyle w:val="Char"/>
          <w:rFonts w:eastAsia="DengXian"/>
        </w:rPr>
        <w:t>Częstość podawania infuzji</w:t>
      </w:r>
    </w:p>
    <w:p w14:paraId="5BCEFBEE" w14:textId="77777777" w:rsidR="000F3B1D" w:rsidRPr="00F13073" w:rsidRDefault="000F3B1D" w:rsidP="008B4C50">
      <w:pPr>
        <w:pStyle w:val="a0"/>
        <w:numPr>
          <w:ilvl w:val="0"/>
          <w:numId w:val="7"/>
        </w:numPr>
        <w:ind w:left="567" w:hanging="567"/>
        <w:contextualSpacing w:val="0"/>
      </w:pPr>
      <w:r w:rsidRPr="00F13073">
        <w:rPr>
          <w:rStyle w:val="Char"/>
          <w:rFonts w:eastAsia="DengXian"/>
        </w:rPr>
        <w:t>Obserwacja pacjenta pod względem występowania reakcji związanych z wstrzyknięciem/infuzją</w:t>
      </w:r>
    </w:p>
    <w:p w14:paraId="2EA3B134" w14:textId="77777777" w:rsidR="000F3B1D" w:rsidRPr="00F13073" w:rsidRDefault="000F3B1D" w:rsidP="008B4C50">
      <w:pPr>
        <w:pStyle w:val="a0"/>
        <w:numPr>
          <w:ilvl w:val="0"/>
          <w:numId w:val="7"/>
        </w:numPr>
        <w:ind w:left="567" w:hanging="567"/>
        <w:contextualSpacing w:val="0"/>
      </w:pPr>
      <w:r w:rsidRPr="00F13073">
        <w:rPr>
          <w:rStyle w:val="Char"/>
          <w:rFonts w:eastAsia="DengXian"/>
        </w:rPr>
        <w:t>Szczegółowe informcje dotyczące zgłaszania ciężkich działań niepożądanych</w:t>
      </w:r>
    </w:p>
    <w:p w14:paraId="58D1E644" w14:textId="77777777" w:rsidR="009237F2" w:rsidRPr="00F13073" w:rsidRDefault="009237F2" w:rsidP="008B4C50">
      <w:pPr>
        <w:rPr>
          <w:rStyle w:val="Char"/>
          <w:rFonts w:eastAsia="DengXian"/>
        </w:rPr>
      </w:pPr>
    </w:p>
    <w:p w14:paraId="077B9865" w14:textId="77777777" w:rsidR="000F3B1D" w:rsidRPr="00F13073" w:rsidRDefault="000F3B1D" w:rsidP="008B4C50">
      <w:r w:rsidRPr="00F13073">
        <w:rPr>
          <w:rStyle w:val="Char"/>
          <w:rFonts w:eastAsia="DengXian"/>
        </w:rPr>
        <w:t>Zestaw informacji dla pacjenta powinien uwzględniać następujące kluczowe elementy:</w:t>
      </w:r>
    </w:p>
    <w:p w14:paraId="2B921E6E" w14:textId="77777777" w:rsidR="000F3B1D" w:rsidRPr="00F13073" w:rsidRDefault="000F3B1D" w:rsidP="008B4C50">
      <w:pPr>
        <w:pStyle w:val="a0"/>
        <w:numPr>
          <w:ilvl w:val="0"/>
          <w:numId w:val="7"/>
        </w:numPr>
        <w:ind w:left="567" w:hanging="567"/>
        <w:contextualSpacing w:val="0"/>
      </w:pPr>
      <w:r w:rsidRPr="00F13073">
        <w:rPr>
          <w:rStyle w:val="Char"/>
          <w:rFonts w:eastAsia="DengXian"/>
        </w:rPr>
        <w:t>Ulotkę dla pacjenta (z instrukcją użytkowania postaci podskórnych) (np. link do strony internetowej EMA)</w:t>
      </w:r>
    </w:p>
    <w:p w14:paraId="1FA61D3B" w14:textId="77777777" w:rsidR="000F3B1D" w:rsidRPr="00F13073" w:rsidRDefault="000F3B1D" w:rsidP="008B4C50">
      <w:pPr>
        <w:pStyle w:val="a0"/>
        <w:numPr>
          <w:ilvl w:val="0"/>
          <w:numId w:val="7"/>
        </w:numPr>
        <w:ind w:left="567" w:hanging="567"/>
        <w:contextualSpacing w:val="0"/>
      </w:pPr>
      <w:r w:rsidRPr="00F13073">
        <w:rPr>
          <w:rStyle w:val="Char"/>
          <w:rFonts w:eastAsia="DengXian"/>
        </w:rPr>
        <w:lastRenderedPageBreak/>
        <w:t>Kartę ostrzegawczą dla pacjenta</w:t>
      </w:r>
    </w:p>
    <w:p w14:paraId="42BC2DE9" w14:textId="77777777" w:rsidR="001E0975" w:rsidRPr="00F13073" w:rsidRDefault="009237F2" w:rsidP="00C17304">
      <w:pPr>
        <w:pStyle w:val="a0"/>
        <w:numPr>
          <w:ilvl w:val="0"/>
          <w:numId w:val="10"/>
        </w:numPr>
        <w:tabs>
          <w:tab w:val="left" w:pos="1134"/>
        </w:tabs>
        <w:ind w:left="1134" w:hanging="567"/>
        <w:contextualSpacing w:val="0"/>
      </w:pPr>
      <w:r w:rsidRPr="00F13073">
        <w:rPr>
          <w:rStyle w:val="Char"/>
          <w:rFonts w:eastAsia="DengXian"/>
        </w:rPr>
        <w:t>dla przedstawienia ryzyka rozwoju zakażeń, których przebieg w przypadku braku leczenia może być ciężki. Oprócz tego mogą się pojawić ponownie niektóre wcześniejsze zakażenia.</w:t>
      </w:r>
    </w:p>
    <w:p w14:paraId="483A1671" w14:textId="3B20EDF7" w:rsidR="001E0975" w:rsidRPr="00F13073" w:rsidRDefault="009237F2" w:rsidP="00C17304">
      <w:pPr>
        <w:pStyle w:val="a0"/>
        <w:numPr>
          <w:ilvl w:val="0"/>
          <w:numId w:val="10"/>
        </w:numPr>
        <w:tabs>
          <w:tab w:val="left" w:pos="1134"/>
        </w:tabs>
        <w:ind w:left="1134" w:hanging="567"/>
        <w:contextualSpacing w:val="0"/>
      </w:pPr>
      <w:r w:rsidRPr="00F13073">
        <w:rPr>
          <w:rStyle w:val="Char"/>
          <w:rFonts w:eastAsia="DengXian"/>
        </w:rPr>
        <w:t xml:space="preserve">dla przedstawienia ryzyka wystąpienia u pacjentów przyjmujących produkt leczniczy </w:t>
      </w:r>
      <w:r w:rsidR="00026375" w:rsidRPr="00F13073">
        <w:rPr>
          <w:rStyle w:val="Char"/>
          <w:rFonts w:eastAsia="DengXian"/>
        </w:rPr>
        <w:t>Avtozma</w:t>
      </w:r>
      <w:r w:rsidRPr="00F13073">
        <w:rPr>
          <w:rStyle w:val="Char"/>
          <w:rFonts w:eastAsia="DengXian"/>
        </w:rPr>
        <w:t xml:space="preserve"> powikłania uchyłkowatości jelit, którego przebieg przy braku leczenia może być poważny</w:t>
      </w:r>
    </w:p>
    <w:p w14:paraId="777BBBDF" w14:textId="7955F0DF" w:rsidR="001E0975" w:rsidRPr="00F13073" w:rsidRDefault="009237F2" w:rsidP="00C17304">
      <w:pPr>
        <w:pStyle w:val="a0"/>
        <w:numPr>
          <w:ilvl w:val="0"/>
          <w:numId w:val="10"/>
        </w:numPr>
        <w:tabs>
          <w:tab w:val="left" w:pos="1134"/>
        </w:tabs>
        <w:ind w:left="1134" w:hanging="567"/>
        <w:contextualSpacing w:val="0"/>
      </w:pPr>
      <w:r w:rsidRPr="00F13073">
        <w:rPr>
          <w:rStyle w:val="Char"/>
          <w:rFonts w:eastAsia="DengXian"/>
        </w:rPr>
        <w:t xml:space="preserve">dla przedstawienia ryzyka wystąpienia ciężkiego uszkodzenia wątroby u chorych przyjmujących produkt leczniczy </w:t>
      </w:r>
      <w:r w:rsidR="00026375" w:rsidRPr="00F13073">
        <w:rPr>
          <w:rStyle w:val="Char"/>
          <w:rFonts w:eastAsia="DengXian"/>
        </w:rPr>
        <w:t>Avtozma</w:t>
      </w:r>
      <w:r w:rsidRPr="00F13073">
        <w:rPr>
          <w:rStyle w:val="Char"/>
          <w:rFonts w:eastAsia="DengXian"/>
        </w:rPr>
        <w:t>. U pacjentów wykonywane będą próby czynnościowe wątroby. Pacjenci powinni niezwłocznie poinformować lekarza prowadzącego o wystąpieniu objawów przedmiotowych i podmiotowych toksycznego uszkodzenia wątroby, takich jak uczucie zmęczenia, ból brzucha i żółtaczka.</w:t>
      </w:r>
    </w:p>
    <w:p w14:paraId="60E35D82" w14:textId="77777777" w:rsidR="0059128B" w:rsidRPr="00F13073" w:rsidRDefault="0059128B" w:rsidP="008B4C50"/>
    <w:p w14:paraId="0D873C0A" w14:textId="77777777" w:rsidR="0059128B" w:rsidRPr="00F13073" w:rsidRDefault="0059128B" w:rsidP="005D5D1B">
      <w:pPr>
        <w:jc w:val="center"/>
      </w:pPr>
      <w:r w:rsidRPr="00F13073">
        <w:br w:type="page"/>
      </w:r>
    </w:p>
    <w:p w14:paraId="1817101F" w14:textId="77777777" w:rsidR="00F728AE" w:rsidRPr="00F13073" w:rsidRDefault="00F728AE" w:rsidP="005D5D1B">
      <w:pPr>
        <w:jc w:val="center"/>
      </w:pPr>
    </w:p>
    <w:p w14:paraId="47D2297D" w14:textId="77777777" w:rsidR="00F728AE" w:rsidRPr="00F13073" w:rsidRDefault="00F728AE" w:rsidP="005D5D1B">
      <w:pPr>
        <w:jc w:val="center"/>
      </w:pPr>
    </w:p>
    <w:p w14:paraId="648E6B09" w14:textId="77777777" w:rsidR="00F728AE" w:rsidRPr="00F13073" w:rsidRDefault="00F728AE" w:rsidP="005D5D1B">
      <w:pPr>
        <w:jc w:val="center"/>
      </w:pPr>
    </w:p>
    <w:p w14:paraId="46AD352D" w14:textId="77777777" w:rsidR="00F728AE" w:rsidRPr="00F13073" w:rsidRDefault="00F728AE" w:rsidP="005D5D1B">
      <w:pPr>
        <w:jc w:val="center"/>
      </w:pPr>
    </w:p>
    <w:p w14:paraId="7DDDD151" w14:textId="77777777" w:rsidR="00F728AE" w:rsidRPr="00F13073" w:rsidRDefault="00F728AE" w:rsidP="005D5D1B">
      <w:pPr>
        <w:jc w:val="center"/>
      </w:pPr>
    </w:p>
    <w:p w14:paraId="41B405B0" w14:textId="77777777" w:rsidR="00F728AE" w:rsidRPr="00F13073" w:rsidRDefault="00F728AE" w:rsidP="005D5D1B">
      <w:pPr>
        <w:jc w:val="center"/>
      </w:pPr>
    </w:p>
    <w:p w14:paraId="324B151E" w14:textId="77777777" w:rsidR="00F728AE" w:rsidRPr="00F13073" w:rsidRDefault="00F728AE" w:rsidP="005D5D1B">
      <w:pPr>
        <w:jc w:val="center"/>
      </w:pPr>
    </w:p>
    <w:p w14:paraId="0575F41F" w14:textId="77777777" w:rsidR="00F728AE" w:rsidRPr="00F13073" w:rsidRDefault="00F728AE" w:rsidP="005D5D1B">
      <w:pPr>
        <w:jc w:val="center"/>
      </w:pPr>
    </w:p>
    <w:p w14:paraId="19230309" w14:textId="77777777" w:rsidR="00F728AE" w:rsidRPr="00F13073" w:rsidRDefault="00F728AE" w:rsidP="005D5D1B">
      <w:pPr>
        <w:jc w:val="center"/>
      </w:pPr>
    </w:p>
    <w:p w14:paraId="6F382577" w14:textId="77777777" w:rsidR="00F728AE" w:rsidRPr="00F13073" w:rsidRDefault="00F728AE" w:rsidP="005D5D1B">
      <w:pPr>
        <w:jc w:val="center"/>
      </w:pPr>
    </w:p>
    <w:p w14:paraId="58024515" w14:textId="77777777" w:rsidR="00F728AE" w:rsidRPr="00F13073" w:rsidRDefault="00F728AE" w:rsidP="005D5D1B">
      <w:pPr>
        <w:jc w:val="center"/>
      </w:pPr>
    </w:p>
    <w:p w14:paraId="6A212466" w14:textId="77777777" w:rsidR="00F728AE" w:rsidRPr="00F13073" w:rsidRDefault="00F728AE" w:rsidP="005D5D1B">
      <w:pPr>
        <w:jc w:val="center"/>
      </w:pPr>
    </w:p>
    <w:p w14:paraId="147E3ADE" w14:textId="77777777" w:rsidR="00F728AE" w:rsidRPr="00F13073" w:rsidRDefault="00F728AE" w:rsidP="005D5D1B">
      <w:pPr>
        <w:jc w:val="center"/>
      </w:pPr>
    </w:p>
    <w:p w14:paraId="49A51A02" w14:textId="77777777" w:rsidR="00F728AE" w:rsidRPr="00F13073" w:rsidRDefault="00F728AE" w:rsidP="005D5D1B">
      <w:pPr>
        <w:jc w:val="center"/>
      </w:pPr>
    </w:p>
    <w:p w14:paraId="5DE3A3E1" w14:textId="77777777" w:rsidR="00F728AE" w:rsidRPr="00F13073" w:rsidRDefault="00F728AE" w:rsidP="005D5D1B">
      <w:pPr>
        <w:jc w:val="center"/>
      </w:pPr>
    </w:p>
    <w:p w14:paraId="0112D0D3" w14:textId="77777777" w:rsidR="00F728AE" w:rsidRPr="00F13073" w:rsidRDefault="00F728AE" w:rsidP="005D5D1B">
      <w:pPr>
        <w:jc w:val="center"/>
      </w:pPr>
    </w:p>
    <w:p w14:paraId="49E1D936" w14:textId="77777777" w:rsidR="00F728AE" w:rsidRPr="00F13073" w:rsidRDefault="00F728AE" w:rsidP="005D5D1B">
      <w:pPr>
        <w:jc w:val="center"/>
      </w:pPr>
    </w:p>
    <w:p w14:paraId="7856CD0C" w14:textId="77777777" w:rsidR="00F728AE" w:rsidRPr="00F13073" w:rsidRDefault="00F728AE" w:rsidP="005D5D1B">
      <w:pPr>
        <w:jc w:val="center"/>
      </w:pPr>
    </w:p>
    <w:p w14:paraId="35054843" w14:textId="77777777" w:rsidR="00F728AE" w:rsidRPr="00F13073" w:rsidRDefault="00F728AE" w:rsidP="005D5D1B">
      <w:pPr>
        <w:jc w:val="center"/>
      </w:pPr>
    </w:p>
    <w:p w14:paraId="26B1F268" w14:textId="77777777" w:rsidR="00F728AE" w:rsidRPr="00F13073" w:rsidRDefault="00F728AE" w:rsidP="005D5D1B">
      <w:pPr>
        <w:jc w:val="center"/>
      </w:pPr>
    </w:p>
    <w:p w14:paraId="7851C89A" w14:textId="77777777" w:rsidR="00F728AE" w:rsidRPr="00F13073" w:rsidRDefault="00F728AE" w:rsidP="005D5D1B">
      <w:pPr>
        <w:jc w:val="center"/>
      </w:pPr>
    </w:p>
    <w:p w14:paraId="7489A2BE" w14:textId="77777777" w:rsidR="00F728AE" w:rsidRPr="00F13073" w:rsidRDefault="00F728AE" w:rsidP="005D5D1B">
      <w:pPr>
        <w:jc w:val="center"/>
      </w:pPr>
    </w:p>
    <w:p w14:paraId="5F355B51" w14:textId="77777777" w:rsidR="001E0975" w:rsidRPr="00F13073" w:rsidRDefault="00567F8C" w:rsidP="008B4C50">
      <w:pPr>
        <w:jc w:val="center"/>
        <w:rPr>
          <w:b/>
          <w:bCs/>
        </w:rPr>
      </w:pPr>
      <w:r w:rsidRPr="00F13073">
        <w:rPr>
          <w:b/>
          <w:bCs/>
        </w:rPr>
        <w:t xml:space="preserve">ANEKS </w:t>
      </w:r>
      <w:r w:rsidR="00611033" w:rsidRPr="00F13073">
        <w:rPr>
          <w:b/>
          <w:bCs/>
        </w:rPr>
        <w:t>III</w:t>
      </w:r>
    </w:p>
    <w:p w14:paraId="1CFD1BDA" w14:textId="77777777" w:rsidR="00F728AE" w:rsidRPr="00F13073" w:rsidRDefault="00F728AE" w:rsidP="008B4C50">
      <w:pPr>
        <w:jc w:val="center"/>
        <w:rPr>
          <w:b/>
          <w:bCs/>
        </w:rPr>
      </w:pPr>
    </w:p>
    <w:p w14:paraId="3522437A" w14:textId="77777777" w:rsidR="001E0975" w:rsidRPr="00F13073" w:rsidRDefault="00567F8C" w:rsidP="008B4C50">
      <w:pPr>
        <w:jc w:val="center"/>
        <w:rPr>
          <w:b/>
          <w:bCs/>
        </w:rPr>
      </w:pPr>
      <w:r w:rsidRPr="00F13073">
        <w:rPr>
          <w:b/>
          <w:bCs/>
        </w:rPr>
        <w:t>OZNAKOWANIE OPAKOWAŃ I ULOTKA DLA PACJENTA</w:t>
      </w:r>
    </w:p>
    <w:p w14:paraId="7E836B85" w14:textId="77777777" w:rsidR="00F728AE" w:rsidRPr="00F13073" w:rsidRDefault="00F728AE" w:rsidP="005D5D1B">
      <w:pPr>
        <w:jc w:val="center"/>
      </w:pPr>
      <w:r w:rsidRPr="00F13073">
        <w:rPr>
          <w:b/>
          <w:bCs/>
        </w:rPr>
        <w:br w:type="page"/>
      </w:r>
    </w:p>
    <w:p w14:paraId="12C0C31B" w14:textId="77777777" w:rsidR="00F728AE" w:rsidRPr="00F13073" w:rsidRDefault="00F728AE" w:rsidP="005D5D1B">
      <w:pPr>
        <w:jc w:val="center"/>
      </w:pPr>
    </w:p>
    <w:p w14:paraId="0809AAF8" w14:textId="77777777" w:rsidR="00F728AE" w:rsidRPr="00F13073" w:rsidRDefault="00F728AE" w:rsidP="005D5D1B">
      <w:pPr>
        <w:jc w:val="center"/>
      </w:pPr>
    </w:p>
    <w:p w14:paraId="75F09C7F" w14:textId="77777777" w:rsidR="00F728AE" w:rsidRPr="00F13073" w:rsidRDefault="00F728AE" w:rsidP="005D5D1B">
      <w:pPr>
        <w:jc w:val="center"/>
      </w:pPr>
    </w:p>
    <w:p w14:paraId="2AB09B04" w14:textId="77777777" w:rsidR="00F728AE" w:rsidRPr="00F13073" w:rsidRDefault="00F728AE" w:rsidP="005D5D1B">
      <w:pPr>
        <w:jc w:val="center"/>
      </w:pPr>
    </w:p>
    <w:p w14:paraId="5437AB10" w14:textId="77777777" w:rsidR="00F728AE" w:rsidRPr="00F13073" w:rsidRDefault="00F728AE" w:rsidP="005D5D1B">
      <w:pPr>
        <w:jc w:val="center"/>
      </w:pPr>
    </w:p>
    <w:p w14:paraId="76AA7102" w14:textId="77777777" w:rsidR="00F728AE" w:rsidRPr="00F13073" w:rsidRDefault="00F728AE" w:rsidP="005D5D1B">
      <w:pPr>
        <w:jc w:val="center"/>
      </w:pPr>
    </w:p>
    <w:p w14:paraId="03BE3EA9" w14:textId="77777777" w:rsidR="00F728AE" w:rsidRPr="00F13073" w:rsidRDefault="00F728AE" w:rsidP="005D5D1B">
      <w:pPr>
        <w:jc w:val="center"/>
      </w:pPr>
    </w:p>
    <w:p w14:paraId="34768049" w14:textId="77777777" w:rsidR="00F728AE" w:rsidRPr="00F13073" w:rsidRDefault="00F728AE" w:rsidP="005D5D1B">
      <w:pPr>
        <w:jc w:val="center"/>
      </w:pPr>
    </w:p>
    <w:p w14:paraId="41242E69" w14:textId="77777777" w:rsidR="00F728AE" w:rsidRPr="00F13073" w:rsidRDefault="00F728AE" w:rsidP="005D5D1B">
      <w:pPr>
        <w:jc w:val="center"/>
      </w:pPr>
    </w:p>
    <w:p w14:paraId="24154D56" w14:textId="77777777" w:rsidR="00F728AE" w:rsidRPr="00F13073" w:rsidRDefault="00F728AE" w:rsidP="005D5D1B">
      <w:pPr>
        <w:jc w:val="center"/>
      </w:pPr>
    </w:p>
    <w:p w14:paraId="604491E4" w14:textId="77777777" w:rsidR="00F728AE" w:rsidRPr="00F13073" w:rsidRDefault="00F728AE" w:rsidP="005D5D1B">
      <w:pPr>
        <w:jc w:val="center"/>
      </w:pPr>
    </w:p>
    <w:p w14:paraId="419DB3C4" w14:textId="77777777" w:rsidR="00F728AE" w:rsidRPr="00F13073" w:rsidRDefault="00F728AE" w:rsidP="005D5D1B">
      <w:pPr>
        <w:jc w:val="center"/>
      </w:pPr>
    </w:p>
    <w:p w14:paraId="5A063B2C" w14:textId="77777777" w:rsidR="00F728AE" w:rsidRPr="00F13073" w:rsidRDefault="00F728AE" w:rsidP="005D5D1B">
      <w:pPr>
        <w:jc w:val="center"/>
      </w:pPr>
    </w:p>
    <w:p w14:paraId="3C18E013" w14:textId="77777777" w:rsidR="00F728AE" w:rsidRPr="00F13073" w:rsidRDefault="00F728AE" w:rsidP="005D5D1B">
      <w:pPr>
        <w:jc w:val="center"/>
      </w:pPr>
    </w:p>
    <w:p w14:paraId="2159119F" w14:textId="77777777" w:rsidR="00F728AE" w:rsidRPr="00F13073" w:rsidRDefault="00F728AE" w:rsidP="005D5D1B">
      <w:pPr>
        <w:jc w:val="center"/>
      </w:pPr>
    </w:p>
    <w:p w14:paraId="7105B6A2" w14:textId="77777777" w:rsidR="00F728AE" w:rsidRPr="00F13073" w:rsidRDefault="00F728AE" w:rsidP="005D5D1B">
      <w:pPr>
        <w:jc w:val="center"/>
      </w:pPr>
    </w:p>
    <w:p w14:paraId="033C55B3" w14:textId="77777777" w:rsidR="00F728AE" w:rsidRPr="00F13073" w:rsidRDefault="00F728AE" w:rsidP="005D5D1B">
      <w:pPr>
        <w:jc w:val="center"/>
      </w:pPr>
    </w:p>
    <w:p w14:paraId="53F02F06" w14:textId="77777777" w:rsidR="00F728AE" w:rsidRPr="00F13073" w:rsidRDefault="00F728AE" w:rsidP="005D5D1B">
      <w:pPr>
        <w:jc w:val="center"/>
      </w:pPr>
    </w:p>
    <w:p w14:paraId="4048D617" w14:textId="77777777" w:rsidR="00F728AE" w:rsidRPr="00F13073" w:rsidRDefault="00F728AE" w:rsidP="005D5D1B">
      <w:pPr>
        <w:jc w:val="center"/>
      </w:pPr>
    </w:p>
    <w:p w14:paraId="454A1330" w14:textId="77777777" w:rsidR="00F728AE" w:rsidRPr="00F13073" w:rsidRDefault="00F728AE" w:rsidP="005D5D1B">
      <w:pPr>
        <w:jc w:val="center"/>
      </w:pPr>
    </w:p>
    <w:p w14:paraId="45CEE251" w14:textId="77777777" w:rsidR="00F728AE" w:rsidRPr="00F13073" w:rsidRDefault="00F728AE" w:rsidP="005D5D1B">
      <w:pPr>
        <w:jc w:val="center"/>
      </w:pPr>
    </w:p>
    <w:p w14:paraId="2CCD1B03" w14:textId="77777777" w:rsidR="00F728AE" w:rsidRPr="00F13073" w:rsidRDefault="00F728AE" w:rsidP="005D5D1B">
      <w:pPr>
        <w:jc w:val="center"/>
      </w:pPr>
    </w:p>
    <w:p w14:paraId="539216E8" w14:textId="77777777" w:rsidR="001E0975" w:rsidRPr="00F13073" w:rsidRDefault="00611033" w:rsidP="008B4C50">
      <w:pPr>
        <w:pStyle w:val="TitleA"/>
        <w:contextualSpacing w:val="0"/>
        <w:rPr>
          <w:lang w:val="pl-PL"/>
        </w:rPr>
      </w:pPr>
      <w:bookmarkStart w:id="32" w:name="bookmark10"/>
      <w:r w:rsidRPr="00F13073">
        <w:rPr>
          <w:lang w:val="pl-PL"/>
        </w:rPr>
        <w:t xml:space="preserve">A. </w:t>
      </w:r>
      <w:bookmarkEnd w:id="32"/>
      <w:r w:rsidR="00567F8C" w:rsidRPr="00F13073">
        <w:rPr>
          <w:lang w:val="pl-PL"/>
        </w:rPr>
        <w:t>OZNAKOWANIE OPAKOWAŃ</w:t>
      </w:r>
    </w:p>
    <w:p w14:paraId="2685B3CD" w14:textId="77777777" w:rsidR="0059128B" w:rsidRPr="00F13073" w:rsidRDefault="0059128B" w:rsidP="005D5D1B">
      <w:pPr>
        <w:jc w:val="center"/>
      </w:pPr>
    </w:p>
    <w:p w14:paraId="6E0AB9A9" w14:textId="51261279" w:rsidR="00F728AE" w:rsidRPr="00F13073" w:rsidRDefault="0059128B" w:rsidP="005D5D1B">
      <w:pPr>
        <w:pBdr>
          <w:top w:val="single" w:sz="4" w:space="1" w:color="auto"/>
          <w:left w:val="single" w:sz="4" w:space="4" w:color="auto"/>
          <w:bottom w:val="single" w:sz="4" w:space="1" w:color="auto"/>
          <w:right w:val="single" w:sz="4" w:space="4" w:color="auto"/>
        </w:pBdr>
        <w:rPr>
          <w:b/>
          <w:bCs/>
        </w:rPr>
      </w:pPr>
      <w:r w:rsidRPr="00F13073">
        <w:br w:type="page"/>
      </w:r>
      <w:r w:rsidR="00567F8C" w:rsidRPr="00F13073">
        <w:rPr>
          <w:b/>
          <w:bCs/>
        </w:rPr>
        <w:lastRenderedPageBreak/>
        <w:t>INFORMACJE ZAMIESZCZANE NA OPAKOWANIACH ZEWNĘTRZNYCH</w:t>
      </w:r>
    </w:p>
    <w:p w14:paraId="2C81805B" w14:textId="77777777" w:rsidR="00F728AE" w:rsidRPr="00F13073" w:rsidRDefault="00567F8C" w:rsidP="008B4C50">
      <w:pPr>
        <w:pBdr>
          <w:top w:val="single" w:sz="4" w:space="1" w:color="auto"/>
          <w:left w:val="single" w:sz="4" w:space="4" w:color="auto"/>
          <w:bottom w:val="single" w:sz="4" w:space="1" w:color="auto"/>
          <w:right w:val="single" w:sz="4" w:space="4" w:color="auto"/>
        </w:pBdr>
        <w:rPr>
          <w:b/>
          <w:bCs/>
        </w:rPr>
      </w:pPr>
      <w:r w:rsidRPr="00F13073">
        <w:rPr>
          <w:b/>
          <w:bCs/>
        </w:rPr>
        <w:t>TEKTUROWE PUDEŁKO</w:t>
      </w:r>
    </w:p>
    <w:p w14:paraId="7F25F58D" w14:textId="77777777" w:rsidR="00F728AE" w:rsidRPr="00F13073" w:rsidRDefault="00F728AE" w:rsidP="008B4C50"/>
    <w:p w14:paraId="6E4A21E6" w14:textId="77777777" w:rsidR="00F728AE" w:rsidRPr="00F13073" w:rsidRDefault="00F728AE" w:rsidP="008B4C50"/>
    <w:p w14:paraId="2D03622D" w14:textId="77777777" w:rsidR="001E0975" w:rsidRPr="0081094B" w:rsidRDefault="001721B1" w:rsidP="008B4C50">
      <w:pPr>
        <w:pStyle w:val="BoxedHeading"/>
        <w:rPr>
          <w:lang w:val="pl-PL"/>
        </w:rPr>
      </w:pPr>
      <w:r w:rsidRPr="0081094B">
        <w:rPr>
          <w:lang w:val="pl-PL"/>
        </w:rPr>
        <w:t>1.</w:t>
      </w:r>
      <w:r w:rsidRPr="0081094B">
        <w:rPr>
          <w:lang w:val="pl-PL"/>
        </w:rPr>
        <w:tab/>
      </w:r>
      <w:r w:rsidR="00567F8C" w:rsidRPr="0081094B">
        <w:rPr>
          <w:lang w:val="pl-PL"/>
        </w:rPr>
        <w:t>NAZWA PRODUKTU LECZNICZEGO</w:t>
      </w:r>
    </w:p>
    <w:p w14:paraId="75DA284B" w14:textId="77777777" w:rsidR="00F728AE" w:rsidRPr="00F13073" w:rsidRDefault="00F728AE" w:rsidP="008B4C50"/>
    <w:p w14:paraId="4D48BE2E" w14:textId="71069A89" w:rsidR="00567F8C" w:rsidRPr="00F13073" w:rsidRDefault="00026375" w:rsidP="008B4C50">
      <w:r w:rsidRPr="00F13073">
        <w:t>Avtozma</w:t>
      </w:r>
      <w:r w:rsidR="00567F8C" w:rsidRPr="00F13073">
        <w:t xml:space="preserve"> 20 mg/mL koncentrat do sporządzania roztworu do infuzji</w:t>
      </w:r>
    </w:p>
    <w:p w14:paraId="7AB4CB24" w14:textId="77777777" w:rsidR="001E0975" w:rsidRPr="00F13073" w:rsidRDefault="00567F8C" w:rsidP="008B4C50">
      <w:r w:rsidRPr="00F13073">
        <w:t>tocilizumab</w:t>
      </w:r>
    </w:p>
    <w:p w14:paraId="04E21B85" w14:textId="77777777" w:rsidR="00F728AE" w:rsidRPr="00F13073" w:rsidRDefault="00F728AE" w:rsidP="008B4C50"/>
    <w:p w14:paraId="71465F1B" w14:textId="77777777" w:rsidR="00F728AE" w:rsidRPr="00F13073" w:rsidRDefault="00F728AE" w:rsidP="008B4C50"/>
    <w:p w14:paraId="33BB8BF1" w14:textId="77777777" w:rsidR="001E0975" w:rsidRPr="0081094B" w:rsidRDefault="001721B1" w:rsidP="008B4C50">
      <w:pPr>
        <w:pStyle w:val="BoxedHeading"/>
        <w:rPr>
          <w:lang w:val="pl-PL"/>
        </w:rPr>
      </w:pPr>
      <w:r w:rsidRPr="0081094B">
        <w:rPr>
          <w:lang w:val="pl-PL"/>
        </w:rPr>
        <w:t>2.</w:t>
      </w:r>
      <w:r w:rsidRPr="0081094B">
        <w:rPr>
          <w:lang w:val="pl-PL"/>
        </w:rPr>
        <w:tab/>
      </w:r>
      <w:r w:rsidR="00567F8C" w:rsidRPr="0081094B">
        <w:rPr>
          <w:lang w:val="pl-PL"/>
        </w:rPr>
        <w:t>ZAWARTOŚĆ SUBSTANCJI CZYNNEJ(YCH)</w:t>
      </w:r>
    </w:p>
    <w:p w14:paraId="3CF45D37" w14:textId="77777777" w:rsidR="00F728AE" w:rsidRPr="00F13073" w:rsidRDefault="00F728AE" w:rsidP="008B4C50"/>
    <w:p w14:paraId="05A8D775" w14:textId="77777777" w:rsidR="001E0975" w:rsidRPr="00F13073" w:rsidRDefault="00567F8C" w:rsidP="008B4C50">
      <w:r w:rsidRPr="00F13073">
        <w:t>1 fiolka zawiera 80 mg tocilizumabu.</w:t>
      </w:r>
    </w:p>
    <w:p w14:paraId="395E5A21" w14:textId="77777777" w:rsidR="00F728AE" w:rsidRPr="00F13073" w:rsidRDefault="00F728AE" w:rsidP="008B4C50"/>
    <w:p w14:paraId="73B4676C" w14:textId="77777777" w:rsidR="00F728AE" w:rsidRPr="00F13073" w:rsidRDefault="00F728AE" w:rsidP="008B4C50"/>
    <w:p w14:paraId="6AF0865B" w14:textId="77777777" w:rsidR="001E0975" w:rsidRPr="0081094B" w:rsidRDefault="001721B1" w:rsidP="008B4C50">
      <w:pPr>
        <w:pStyle w:val="BoxedHeading"/>
        <w:rPr>
          <w:lang w:val="pl-PL"/>
        </w:rPr>
      </w:pPr>
      <w:r w:rsidRPr="0081094B">
        <w:rPr>
          <w:lang w:val="pl-PL"/>
        </w:rPr>
        <w:t>3.</w:t>
      </w:r>
      <w:r w:rsidRPr="0081094B">
        <w:rPr>
          <w:lang w:val="pl-PL"/>
        </w:rPr>
        <w:tab/>
      </w:r>
      <w:r w:rsidR="00567F8C" w:rsidRPr="0081094B">
        <w:rPr>
          <w:lang w:val="pl-PL"/>
        </w:rPr>
        <w:t>WYKAZ SUBSTANCJI POMOCNICZYCH</w:t>
      </w:r>
    </w:p>
    <w:p w14:paraId="285F2F18" w14:textId="77777777" w:rsidR="00F728AE" w:rsidRPr="00F13073" w:rsidRDefault="00F728AE" w:rsidP="008B4C50"/>
    <w:p w14:paraId="113D85D7" w14:textId="79613E91" w:rsidR="00B02785" w:rsidRPr="00F13073" w:rsidRDefault="0033637C"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Pr>
          <w:rFonts w:eastAsia="맑은 고딕" w:hint="eastAsia"/>
          <w:lang w:eastAsia="ko-KR"/>
        </w:rPr>
        <w:t>,</w:t>
      </w:r>
      <w:r w:rsidRPr="00F13073">
        <w:t xml:space="preserve"> L-treonina, L-metionina, polisorbat 80 i woda do wstrzykiwań.</w:t>
      </w:r>
    </w:p>
    <w:p w14:paraId="669E840F" w14:textId="25637FF8" w:rsidR="001E0975" w:rsidRPr="00F13073" w:rsidRDefault="00567F8C" w:rsidP="008B4C50">
      <w:r w:rsidRPr="00F13073">
        <w:t>Dokładna informacja znajduje się w ulotce dla pacjenta.</w:t>
      </w:r>
    </w:p>
    <w:p w14:paraId="6A3D1335" w14:textId="77777777" w:rsidR="00F728AE" w:rsidRPr="00F13073" w:rsidRDefault="00F728AE" w:rsidP="008B4C50"/>
    <w:p w14:paraId="4416B757" w14:textId="77777777" w:rsidR="00F728AE" w:rsidRPr="00F13073" w:rsidRDefault="00F728AE" w:rsidP="008B4C50"/>
    <w:p w14:paraId="36844B57" w14:textId="77777777" w:rsidR="001E0975" w:rsidRPr="0081094B" w:rsidRDefault="001721B1" w:rsidP="008B4C50">
      <w:pPr>
        <w:pStyle w:val="BoxedHeading"/>
        <w:rPr>
          <w:lang w:val="pl-PL"/>
        </w:rPr>
      </w:pPr>
      <w:r w:rsidRPr="0081094B">
        <w:rPr>
          <w:lang w:val="pl-PL"/>
        </w:rPr>
        <w:t>4.</w:t>
      </w:r>
      <w:r w:rsidRPr="0081094B">
        <w:rPr>
          <w:lang w:val="pl-PL"/>
        </w:rPr>
        <w:tab/>
      </w:r>
      <w:r w:rsidR="00567F8C" w:rsidRPr="0081094B">
        <w:rPr>
          <w:lang w:val="pl-PL"/>
        </w:rPr>
        <w:t>POSTAĆ FARMACEUTYCZNA I ZAWARTOŚĆ OPAKOWANIA</w:t>
      </w:r>
    </w:p>
    <w:p w14:paraId="0C4B0E11" w14:textId="77777777" w:rsidR="00F728AE" w:rsidRPr="00F13073" w:rsidRDefault="00F728AE" w:rsidP="008B4C50"/>
    <w:p w14:paraId="36676443" w14:textId="77777777" w:rsidR="00567F8C" w:rsidRPr="00F13073" w:rsidRDefault="00567F8C" w:rsidP="008B4C50">
      <w:r w:rsidRPr="00F13073">
        <w:t>Koncentrat do sporządzania roztworu do infuzji</w:t>
      </w:r>
    </w:p>
    <w:p w14:paraId="377E401F" w14:textId="77777777" w:rsidR="00567F8C" w:rsidRPr="00F13073" w:rsidRDefault="00567F8C" w:rsidP="008B4C50">
      <w:r w:rsidRPr="00F13073">
        <w:t>80 mg/4 mL</w:t>
      </w:r>
    </w:p>
    <w:p w14:paraId="016EC0AE" w14:textId="77777777" w:rsidR="00567F8C" w:rsidRPr="00F13073" w:rsidRDefault="00567F8C" w:rsidP="008B4C50">
      <w:r w:rsidRPr="00F13073">
        <w:t>1 fiolka o pojemności 4 mL</w:t>
      </w:r>
    </w:p>
    <w:p w14:paraId="10E27768" w14:textId="77777777" w:rsidR="001E0975" w:rsidRPr="00F13073" w:rsidRDefault="00567F8C" w:rsidP="008B4C50">
      <w:r w:rsidRPr="00F13073">
        <w:t>4 fiolki o pojemności 4 mL</w:t>
      </w:r>
    </w:p>
    <w:p w14:paraId="5B0B79FE" w14:textId="77777777" w:rsidR="00F728AE" w:rsidRPr="00F13073" w:rsidRDefault="00F728AE" w:rsidP="008B4C50"/>
    <w:p w14:paraId="6253E6DE" w14:textId="77777777" w:rsidR="00F728AE" w:rsidRPr="00F13073" w:rsidRDefault="00F728AE" w:rsidP="008B4C50"/>
    <w:p w14:paraId="47CCAFDC" w14:textId="77777777" w:rsidR="001E0975" w:rsidRPr="0081094B" w:rsidRDefault="001721B1" w:rsidP="008B4C50">
      <w:pPr>
        <w:pStyle w:val="BoxedHeading"/>
        <w:rPr>
          <w:lang w:val="pl-PL"/>
        </w:rPr>
      </w:pPr>
      <w:r w:rsidRPr="0081094B">
        <w:rPr>
          <w:lang w:val="pl-PL"/>
        </w:rPr>
        <w:t>5.</w:t>
      </w:r>
      <w:r w:rsidRPr="0081094B">
        <w:rPr>
          <w:lang w:val="pl-PL"/>
        </w:rPr>
        <w:tab/>
      </w:r>
      <w:r w:rsidR="00567F8C" w:rsidRPr="0081094B">
        <w:rPr>
          <w:lang w:val="pl-PL"/>
        </w:rPr>
        <w:t>SPOSÓB I DROGA(I) PODANIA</w:t>
      </w:r>
    </w:p>
    <w:p w14:paraId="12836344" w14:textId="77777777" w:rsidR="00F728AE" w:rsidRPr="00F13073" w:rsidRDefault="00F728AE" w:rsidP="008B4C50"/>
    <w:p w14:paraId="5583E119" w14:textId="77777777" w:rsidR="00567F8C" w:rsidRPr="00F13073" w:rsidRDefault="00567F8C" w:rsidP="008B4C50">
      <w:r w:rsidRPr="00F13073">
        <w:t>Do infuzji dożylnej po rozcieńczeniu</w:t>
      </w:r>
    </w:p>
    <w:p w14:paraId="3F5F5B2B" w14:textId="77777777" w:rsidR="00567F8C" w:rsidRPr="00F13073" w:rsidRDefault="00567F8C" w:rsidP="008B4C50">
      <w:r w:rsidRPr="00F13073">
        <w:t>Lek powinien być użyty bezpośrednio po sporządzeniu roztworu</w:t>
      </w:r>
    </w:p>
    <w:p w14:paraId="4839475A" w14:textId="77777777" w:rsidR="001E0975" w:rsidRPr="00F13073" w:rsidRDefault="00567F8C" w:rsidP="008B4C50">
      <w:r w:rsidRPr="00F13073">
        <w:t>Należy zapoznać się z treścią ulotki przed zastosowaniem leku</w:t>
      </w:r>
    </w:p>
    <w:p w14:paraId="58733384" w14:textId="77777777" w:rsidR="00F728AE" w:rsidRPr="00F13073" w:rsidRDefault="00F728AE" w:rsidP="008B4C50"/>
    <w:p w14:paraId="568C3767" w14:textId="77777777" w:rsidR="00F728AE" w:rsidRPr="00F13073" w:rsidRDefault="00F728AE" w:rsidP="008B4C50"/>
    <w:p w14:paraId="5C364C33" w14:textId="77777777" w:rsidR="001E0975" w:rsidRPr="0081094B" w:rsidRDefault="001721B1" w:rsidP="008B4C50">
      <w:pPr>
        <w:pStyle w:val="BoxedHeading"/>
        <w:rPr>
          <w:lang w:val="pl-PL"/>
        </w:rPr>
      </w:pPr>
      <w:r w:rsidRPr="0081094B">
        <w:rPr>
          <w:lang w:val="pl-PL"/>
        </w:rPr>
        <w:t>6.</w:t>
      </w:r>
      <w:r w:rsidRPr="0081094B">
        <w:rPr>
          <w:lang w:val="pl-PL"/>
        </w:rPr>
        <w:tab/>
      </w:r>
      <w:r w:rsidR="00567F8C" w:rsidRPr="0081094B">
        <w:rPr>
          <w:lang w:val="pl-PL"/>
        </w:rPr>
        <w:t>OSTRZEŻENIE DOTYCZĄCE PRZECHOWYWANIA PRODUKTU LECZNICZEGO W MIEJSCU NIEWIDOCZNYM I NIEDOSTĘPNYM DLA DZIECI</w:t>
      </w:r>
    </w:p>
    <w:p w14:paraId="2A161BF1" w14:textId="77777777" w:rsidR="00F728AE" w:rsidRPr="00F13073" w:rsidRDefault="00F728AE" w:rsidP="008B4C50"/>
    <w:p w14:paraId="2D3AB71B" w14:textId="77777777" w:rsidR="001E0975" w:rsidRPr="00F13073" w:rsidRDefault="00567F8C" w:rsidP="008B4C50">
      <w:r w:rsidRPr="00F13073">
        <w:t>Lek przechowywać w miejscu niewidocznym i niedostępnym dla dzieci</w:t>
      </w:r>
    </w:p>
    <w:p w14:paraId="408F5662" w14:textId="77777777" w:rsidR="00F728AE" w:rsidRPr="00F13073" w:rsidRDefault="00F728AE" w:rsidP="008B4C50"/>
    <w:p w14:paraId="55F1C3B1" w14:textId="77777777" w:rsidR="00F728AE" w:rsidRPr="00F13073" w:rsidRDefault="00F728AE" w:rsidP="008B4C50"/>
    <w:p w14:paraId="36ED5231" w14:textId="77777777" w:rsidR="001E0975" w:rsidRPr="0081094B" w:rsidRDefault="001721B1" w:rsidP="008B4C50">
      <w:pPr>
        <w:pStyle w:val="BoxedHeading"/>
        <w:rPr>
          <w:lang w:val="pl-PL"/>
        </w:rPr>
      </w:pPr>
      <w:r w:rsidRPr="0081094B">
        <w:rPr>
          <w:lang w:val="pl-PL"/>
        </w:rPr>
        <w:t>7.</w:t>
      </w:r>
      <w:r w:rsidRPr="0081094B">
        <w:rPr>
          <w:lang w:val="pl-PL"/>
        </w:rPr>
        <w:tab/>
      </w:r>
      <w:r w:rsidR="00355C3D" w:rsidRPr="0081094B">
        <w:rPr>
          <w:lang w:val="pl-PL"/>
        </w:rPr>
        <w:t>INNE OSTRZEŻENIA SPECJALNE, JEŚLI KONIECZNE</w:t>
      </w:r>
    </w:p>
    <w:p w14:paraId="4976E310" w14:textId="77777777" w:rsidR="00F728AE" w:rsidRPr="00F13073" w:rsidRDefault="00F728AE" w:rsidP="008B4C50"/>
    <w:p w14:paraId="70F1BEAB" w14:textId="77777777" w:rsidR="00F728AE" w:rsidRPr="00F13073" w:rsidRDefault="00F728AE" w:rsidP="008B4C50"/>
    <w:p w14:paraId="052C8882" w14:textId="77777777" w:rsidR="001E0975" w:rsidRPr="0081094B" w:rsidRDefault="001721B1" w:rsidP="008B4C50">
      <w:pPr>
        <w:pStyle w:val="BoxedHeading"/>
        <w:rPr>
          <w:lang w:val="pl-PL"/>
        </w:rPr>
      </w:pPr>
      <w:r w:rsidRPr="0081094B">
        <w:rPr>
          <w:lang w:val="pl-PL"/>
        </w:rPr>
        <w:t>8.</w:t>
      </w:r>
      <w:r w:rsidRPr="0081094B">
        <w:rPr>
          <w:lang w:val="pl-PL"/>
        </w:rPr>
        <w:tab/>
      </w:r>
      <w:r w:rsidR="00355C3D" w:rsidRPr="0081094B">
        <w:rPr>
          <w:lang w:val="pl-PL"/>
        </w:rPr>
        <w:t>TERMIN WAŻNOŚCI</w:t>
      </w:r>
    </w:p>
    <w:p w14:paraId="187D8360" w14:textId="77777777" w:rsidR="00F728AE" w:rsidRPr="00F13073" w:rsidRDefault="00F728AE" w:rsidP="008B4C50"/>
    <w:p w14:paraId="2225AA6E" w14:textId="77777777" w:rsidR="001E0975" w:rsidRPr="00F13073" w:rsidRDefault="00355C3D" w:rsidP="008B4C50">
      <w:r w:rsidRPr="00F13073">
        <w:t>Termin ważności (EXP)</w:t>
      </w:r>
    </w:p>
    <w:p w14:paraId="1A080C6A" w14:textId="77777777" w:rsidR="00F728AE" w:rsidRPr="00F13073" w:rsidRDefault="00F728AE" w:rsidP="008B4C50"/>
    <w:p w14:paraId="41D0F8CD" w14:textId="77777777" w:rsidR="00F728AE" w:rsidRPr="00F13073" w:rsidRDefault="00F728AE" w:rsidP="008B4C50"/>
    <w:p w14:paraId="08E5B674" w14:textId="77777777" w:rsidR="001E0975" w:rsidRPr="0081094B" w:rsidRDefault="001721B1" w:rsidP="008B4C50">
      <w:pPr>
        <w:pStyle w:val="BoxedHeading"/>
        <w:rPr>
          <w:lang w:val="pl-PL"/>
        </w:rPr>
      </w:pPr>
      <w:r w:rsidRPr="0081094B">
        <w:rPr>
          <w:lang w:val="pl-PL"/>
        </w:rPr>
        <w:lastRenderedPageBreak/>
        <w:t>9.</w:t>
      </w:r>
      <w:r w:rsidRPr="0081094B">
        <w:rPr>
          <w:lang w:val="pl-PL"/>
        </w:rPr>
        <w:tab/>
      </w:r>
      <w:r w:rsidR="003762C2" w:rsidRPr="0081094B">
        <w:rPr>
          <w:lang w:val="pl-PL"/>
        </w:rPr>
        <w:t>WARUNKI PRZECHOWYWANIA</w:t>
      </w:r>
    </w:p>
    <w:p w14:paraId="6F953BC8" w14:textId="77777777" w:rsidR="00F728AE" w:rsidRPr="00F13073" w:rsidRDefault="00F728AE" w:rsidP="008B4C50">
      <w:pPr>
        <w:keepNext/>
      </w:pPr>
    </w:p>
    <w:p w14:paraId="4B2357F9" w14:textId="77777777" w:rsidR="003762C2" w:rsidRPr="00F13073" w:rsidRDefault="003762C2" w:rsidP="008B4C50">
      <w:pPr>
        <w:keepNext/>
      </w:pPr>
      <w:r w:rsidRPr="00F13073">
        <w:t>Przechowywać w lodówce</w:t>
      </w:r>
    </w:p>
    <w:p w14:paraId="25F2D016" w14:textId="77777777" w:rsidR="003762C2" w:rsidRPr="00F13073" w:rsidRDefault="003762C2" w:rsidP="008B4C50">
      <w:pPr>
        <w:keepNext/>
      </w:pPr>
      <w:r w:rsidRPr="00F13073">
        <w:t>Nie zamrażać</w:t>
      </w:r>
    </w:p>
    <w:p w14:paraId="6F25B3A8" w14:textId="77777777" w:rsidR="001E0975" w:rsidRPr="00F13073" w:rsidRDefault="003762C2" w:rsidP="008B4C50">
      <w:pPr>
        <w:keepNext/>
      </w:pPr>
      <w:r w:rsidRPr="00F13073">
        <w:t>Fiolkę przechowywać w opakowaniu zewnętrznym, w celu ochrony przed światłem</w:t>
      </w:r>
    </w:p>
    <w:p w14:paraId="146A21CE" w14:textId="77777777" w:rsidR="00F728AE" w:rsidRPr="00F13073" w:rsidRDefault="00F728AE" w:rsidP="008B4C50">
      <w:pPr>
        <w:keepNext/>
      </w:pPr>
    </w:p>
    <w:p w14:paraId="469F935C" w14:textId="77777777" w:rsidR="00F728AE" w:rsidRPr="00F13073" w:rsidRDefault="00F728AE" w:rsidP="008B4C50"/>
    <w:p w14:paraId="72E4FABF" w14:textId="77777777" w:rsidR="001E0975" w:rsidRPr="0081094B" w:rsidRDefault="001721B1" w:rsidP="008B4C50">
      <w:pPr>
        <w:pStyle w:val="BoxedHeading"/>
        <w:rPr>
          <w:lang w:val="pl-PL"/>
        </w:rPr>
      </w:pPr>
      <w:r w:rsidRPr="0081094B">
        <w:rPr>
          <w:lang w:val="pl-PL"/>
        </w:rPr>
        <w:t>10.</w:t>
      </w:r>
      <w:r w:rsidRPr="0081094B">
        <w:rPr>
          <w:lang w:val="pl-PL"/>
        </w:rPr>
        <w:tab/>
      </w:r>
      <w:r w:rsidR="003762C2" w:rsidRPr="0081094B">
        <w:rPr>
          <w:lang w:val="pl-PL"/>
        </w:rPr>
        <w:t>SPECJALNE ŚRODKI OSTROŻNOŚCI DOTYCZĄCE USUWANIA NIEZUŻYTEGO PRODUKTU LECZNICZEGO LUB POCHODZĄCYCH Z NIEGO ODPADÓW, JEŚLI WŁAŚCIWE</w:t>
      </w:r>
    </w:p>
    <w:p w14:paraId="557478C8" w14:textId="77777777" w:rsidR="00F728AE" w:rsidRPr="00F13073" w:rsidRDefault="00F728AE" w:rsidP="008B4C50"/>
    <w:p w14:paraId="704A732F" w14:textId="77777777" w:rsidR="00F728AE" w:rsidRPr="00F13073" w:rsidRDefault="00F728AE" w:rsidP="008B4C50"/>
    <w:p w14:paraId="7331CCCE" w14:textId="77777777" w:rsidR="001E0975" w:rsidRPr="0081094B" w:rsidRDefault="001721B1" w:rsidP="008B4C50">
      <w:pPr>
        <w:pStyle w:val="BoxedHeading"/>
        <w:rPr>
          <w:lang w:val="pl-PL"/>
        </w:rPr>
      </w:pPr>
      <w:r w:rsidRPr="0081094B">
        <w:rPr>
          <w:lang w:val="pl-PL"/>
        </w:rPr>
        <w:t>11.</w:t>
      </w:r>
      <w:r w:rsidRPr="0081094B">
        <w:rPr>
          <w:lang w:val="pl-PL"/>
        </w:rPr>
        <w:tab/>
      </w:r>
      <w:r w:rsidR="003762C2" w:rsidRPr="0081094B">
        <w:rPr>
          <w:lang w:val="pl-PL"/>
        </w:rPr>
        <w:t>NAZWA I ADRES PODMIOTU ODPOWIEDZIALNEGO</w:t>
      </w:r>
    </w:p>
    <w:p w14:paraId="588AE90E" w14:textId="77777777" w:rsidR="00F728AE" w:rsidRPr="00F13073" w:rsidRDefault="00F728AE" w:rsidP="008B4C50"/>
    <w:p w14:paraId="5EE67C82" w14:textId="77777777" w:rsidR="0033637C" w:rsidRPr="00F13073" w:rsidRDefault="0033637C" w:rsidP="0033637C">
      <w:pPr>
        <w:keepNext/>
      </w:pPr>
      <w:r w:rsidRPr="00F13073">
        <w:t xml:space="preserve">Celltrion Healthcare Hungary Kft. </w:t>
      </w:r>
    </w:p>
    <w:p w14:paraId="4B437FC9" w14:textId="77777777" w:rsidR="0033637C" w:rsidRPr="00127FBE" w:rsidRDefault="0033637C" w:rsidP="0033637C">
      <w:pPr>
        <w:keepNext/>
        <w:rPr>
          <w:lang w:val="en-GB"/>
        </w:rPr>
      </w:pPr>
      <w:r w:rsidRPr="00127FBE">
        <w:rPr>
          <w:lang w:val="en-GB"/>
        </w:rPr>
        <w:t>1062 Budapest</w:t>
      </w:r>
    </w:p>
    <w:p w14:paraId="778A25D2" w14:textId="77777777" w:rsidR="0033637C" w:rsidRPr="00127FBE" w:rsidRDefault="0033637C" w:rsidP="0033637C">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09D9E766" w14:textId="7E23F84A" w:rsidR="0033637C" w:rsidRPr="00F13073" w:rsidRDefault="0033637C" w:rsidP="0033637C">
      <w:r w:rsidRPr="0081094B">
        <w:t>Węgry</w:t>
      </w:r>
    </w:p>
    <w:p w14:paraId="37EFD316" w14:textId="77777777" w:rsidR="00F728AE" w:rsidRPr="00F13073" w:rsidRDefault="00F728AE" w:rsidP="008B4C50"/>
    <w:p w14:paraId="0681CA23" w14:textId="77777777" w:rsidR="00F728AE" w:rsidRPr="00F13073" w:rsidRDefault="00F728AE" w:rsidP="008B4C50"/>
    <w:p w14:paraId="3C345DB5" w14:textId="77777777" w:rsidR="00F728AE" w:rsidRPr="0081094B" w:rsidRDefault="001721B1" w:rsidP="008B4C50">
      <w:pPr>
        <w:pStyle w:val="BoxedHeading"/>
        <w:rPr>
          <w:lang w:val="pl-PL"/>
        </w:rPr>
      </w:pPr>
      <w:r w:rsidRPr="0081094B">
        <w:rPr>
          <w:lang w:val="pl-PL"/>
        </w:rPr>
        <w:t>12.</w:t>
      </w:r>
      <w:r w:rsidRPr="0081094B">
        <w:rPr>
          <w:lang w:val="pl-PL"/>
        </w:rPr>
        <w:tab/>
      </w:r>
      <w:r w:rsidR="003762C2" w:rsidRPr="0081094B">
        <w:rPr>
          <w:lang w:val="pl-PL"/>
        </w:rPr>
        <w:t>NUMER(Y) POZWOLENIA(Ń) NA DOPUSZCZENIE DO OBROTU</w:t>
      </w:r>
    </w:p>
    <w:p w14:paraId="3FFBBD0C" w14:textId="77777777" w:rsidR="00F728AE" w:rsidRPr="00F13073" w:rsidRDefault="00F728AE" w:rsidP="008B4C50"/>
    <w:p w14:paraId="37905C76" w14:textId="37D42B9D" w:rsidR="001E0975" w:rsidRPr="00F13073" w:rsidRDefault="00611033" w:rsidP="008B4C50">
      <w:r w:rsidRPr="00F13073">
        <w:t>EU</w:t>
      </w:r>
      <w:r w:rsidR="0033637C" w:rsidRPr="0081094B">
        <w:t>/</w:t>
      </w:r>
      <w:r w:rsidR="00B8199F" w:rsidRPr="00F458BB">
        <w:rPr>
          <w:spacing w:val="-1"/>
          <w:lang w:val="pt-BR"/>
        </w:rPr>
        <w:t>1/24/1896/00</w:t>
      </w:r>
      <w:r w:rsidR="00B8199F">
        <w:rPr>
          <w:rFonts w:eastAsia="맑은 고딕" w:hint="eastAsia"/>
          <w:spacing w:val="-1"/>
          <w:lang w:val="pt-BR" w:eastAsia="ko-KR"/>
        </w:rPr>
        <w:t>1</w:t>
      </w:r>
      <w:r w:rsidR="00B8199F">
        <w:rPr>
          <w:rFonts w:hint="eastAsia"/>
          <w:spacing w:val="-1"/>
          <w:lang w:val="pt-BR" w:eastAsia="ko-KR"/>
        </w:rPr>
        <w:t xml:space="preserve"> </w:t>
      </w:r>
      <w:r w:rsidR="00B8199F">
        <w:rPr>
          <w:spacing w:val="-1"/>
          <w:lang w:val="pt-BR" w:eastAsia="ko-KR"/>
        </w:rPr>
        <w:t>1 fiolka</w:t>
      </w:r>
    </w:p>
    <w:p w14:paraId="3837F24F" w14:textId="73EBF206" w:rsidR="001E0975" w:rsidRPr="00F13073" w:rsidRDefault="00611033" w:rsidP="008B4C50">
      <w:r w:rsidRPr="00F13073">
        <w:t>EU</w:t>
      </w:r>
      <w:r w:rsidR="008834B2">
        <w:t>/</w:t>
      </w:r>
      <w:r w:rsidR="00B8199F" w:rsidRPr="00F458BB">
        <w:rPr>
          <w:spacing w:val="-1"/>
          <w:lang w:val="pt-BR"/>
        </w:rPr>
        <w:t>1/24/1896/00</w:t>
      </w:r>
      <w:r w:rsidR="00FE79BF">
        <w:rPr>
          <w:spacing w:val="-1"/>
          <w:lang w:val="pt-BR"/>
        </w:rPr>
        <w:t>2</w:t>
      </w:r>
      <w:r w:rsidR="00B8199F">
        <w:rPr>
          <w:rFonts w:hint="eastAsia"/>
          <w:spacing w:val="-1"/>
          <w:lang w:val="pt-BR" w:eastAsia="ko-KR"/>
        </w:rPr>
        <w:t xml:space="preserve"> </w:t>
      </w:r>
      <w:r w:rsidR="00B8199F">
        <w:rPr>
          <w:spacing w:val="-1"/>
          <w:lang w:val="pt-BR" w:eastAsia="ko-KR"/>
        </w:rPr>
        <w:t>4 fiolki</w:t>
      </w:r>
    </w:p>
    <w:p w14:paraId="55579990" w14:textId="77777777" w:rsidR="00F728AE" w:rsidRPr="00F13073" w:rsidRDefault="00F728AE" w:rsidP="008B4C50"/>
    <w:p w14:paraId="1CAB137D" w14:textId="77777777" w:rsidR="00F728AE" w:rsidRPr="00F13073" w:rsidRDefault="00F728AE" w:rsidP="008B4C50"/>
    <w:p w14:paraId="6A1764A5" w14:textId="77777777" w:rsidR="001E0975" w:rsidRPr="00D209C2" w:rsidRDefault="001721B1" w:rsidP="008B4C50">
      <w:pPr>
        <w:pStyle w:val="BoxedHeading"/>
        <w:rPr>
          <w:lang w:val="pl-PL"/>
        </w:rPr>
      </w:pPr>
      <w:r w:rsidRPr="00D209C2">
        <w:rPr>
          <w:lang w:val="pl-PL"/>
        </w:rPr>
        <w:t>13.</w:t>
      </w:r>
      <w:r w:rsidRPr="00D209C2">
        <w:rPr>
          <w:lang w:val="pl-PL"/>
        </w:rPr>
        <w:tab/>
      </w:r>
      <w:r w:rsidR="003762C2" w:rsidRPr="00D209C2">
        <w:rPr>
          <w:lang w:val="pl-PL"/>
        </w:rPr>
        <w:t>NUMER SERII</w:t>
      </w:r>
    </w:p>
    <w:p w14:paraId="1E7CFDA9" w14:textId="77777777" w:rsidR="00F728AE" w:rsidRPr="00D209C2" w:rsidRDefault="00F728AE" w:rsidP="008B4C50"/>
    <w:p w14:paraId="3C1C0F91" w14:textId="77777777" w:rsidR="001E0975" w:rsidRPr="00D209C2" w:rsidRDefault="003762C2" w:rsidP="008B4C50">
      <w:r w:rsidRPr="00D209C2">
        <w:t>Nr serii (Lot)</w:t>
      </w:r>
    </w:p>
    <w:p w14:paraId="1B8DF8FB" w14:textId="77777777" w:rsidR="00F728AE" w:rsidRPr="00D209C2" w:rsidRDefault="00F728AE" w:rsidP="008B4C50"/>
    <w:p w14:paraId="30957DB7" w14:textId="77777777" w:rsidR="00F728AE" w:rsidRPr="00D209C2" w:rsidRDefault="00F728AE" w:rsidP="008B4C50"/>
    <w:p w14:paraId="7204A8B9" w14:textId="77777777" w:rsidR="001E0975" w:rsidRPr="0081094B" w:rsidRDefault="001721B1" w:rsidP="008B4C50">
      <w:pPr>
        <w:pStyle w:val="BoxedHeading"/>
        <w:rPr>
          <w:lang w:val="pl-PL"/>
        </w:rPr>
      </w:pPr>
      <w:r w:rsidRPr="0081094B">
        <w:rPr>
          <w:lang w:val="pl-PL"/>
        </w:rPr>
        <w:t>14.</w:t>
      </w:r>
      <w:r w:rsidRPr="0081094B">
        <w:rPr>
          <w:lang w:val="pl-PL"/>
        </w:rPr>
        <w:tab/>
      </w:r>
      <w:r w:rsidR="003762C2" w:rsidRPr="0081094B">
        <w:rPr>
          <w:lang w:val="pl-PL"/>
        </w:rPr>
        <w:t>OGÓLNA KATEGORIA DOSTĘPNOŚCI</w:t>
      </w:r>
    </w:p>
    <w:p w14:paraId="37C9B9D8" w14:textId="77777777" w:rsidR="00F728AE" w:rsidRPr="00F13073" w:rsidRDefault="00F728AE" w:rsidP="008B4C50"/>
    <w:p w14:paraId="50EB5807" w14:textId="77777777" w:rsidR="001E0975" w:rsidRPr="00F13073" w:rsidRDefault="003762C2" w:rsidP="008B4C50">
      <w:r>
        <w:rPr>
          <w:highlight w:val="lightGray"/>
        </w:rPr>
        <w:t>Produkt leczniczy wydawany z przepisu lekarza</w:t>
      </w:r>
    </w:p>
    <w:p w14:paraId="6F9CE619" w14:textId="77777777" w:rsidR="00F728AE" w:rsidRPr="00F13073" w:rsidRDefault="00F728AE" w:rsidP="008B4C50"/>
    <w:p w14:paraId="713439F3" w14:textId="77777777" w:rsidR="00F728AE" w:rsidRPr="00F13073" w:rsidRDefault="00F728AE" w:rsidP="008B4C50"/>
    <w:p w14:paraId="7BA01CA1" w14:textId="77777777" w:rsidR="001E0975" w:rsidRPr="0081094B" w:rsidRDefault="001721B1" w:rsidP="008B4C50">
      <w:pPr>
        <w:pStyle w:val="BoxedHeading"/>
        <w:rPr>
          <w:lang w:val="pl-PL"/>
        </w:rPr>
      </w:pPr>
      <w:r w:rsidRPr="0081094B">
        <w:rPr>
          <w:lang w:val="pl-PL"/>
        </w:rPr>
        <w:t>15.</w:t>
      </w:r>
      <w:r w:rsidRPr="0081094B">
        <w:rPr>
          <w:lang w:val="pl-PL"/>
        </w:rPr>
        <w:tab/>
      </w:r>
      <w:r w:rsidR="003762C2" w:rsidRPr="0081094B">
        <w:rPr>
          <w:lang w:val="pl-PL"/>
        </w:rPr>
        <w:t>INSTRUKCJA UŻYCIA</w:t>
      </w:r>
    </w:p>
    <w:p w14:paraId="48774858" w14:textId="77777777" w:rsidR="00F728AE" w:rsidRPr="00F13073" w:rsidRDefault="00F728AE" w:rsidP="008B4C50"/>
    <w:p w14:paraId="231F3B8D" w14:textId="77777777" w:rsidR="00F728AE" w:rsidRPr="00F13073" w:rsidRDefault="00F728AE" w:rsidP="008B4C50"/>
    <w:p w14:paraId="003C5310" w14:textId="77777777" w:rsidR="001E0975" w:rsidRPr="0081094B" w:rsidRDefault="001721B1" w:rsidP="008B4C50">
      <w:pPr>
        <w:pStyle w:val="BoxedHeading"/>
        <w:rPr>
          <w:lang w:val="pl-PL"/>
        </w:rPr>
      </w:pPr>
      <w:r w:rsidRPr="0081094B">
        <w:rPr>
          <w:lang w:val="pl-PL"/>
        </w:rPr>
        <w:t>16.</w:t>
      </w:r>
      <w:r w:rsidRPr="0081094B">
        <w:rPr>
          <w:lang w:val="pl-PL"/>
        </w:rPr>
        <w:tab/>
      </w:r>
      <w:r w:rsidR="003762C2" w:rsidRPr="0081094B">
        <w:rPr>
          <w:lang w:val="pl-PL"/>
        </w:rPr>
        <w:t>INFORMACJA PODANA SYSTEMEM BRAILLE’A</w:t>
      </w:r>
    </w:p>
    <w:p w14:paraId="254B4130" w14:textId="77777777" w:rsidR="00F728AE" w:rsidRPr="00F13073" w:rsidRDefault="00F728AE" w:rsidP="008B4C50"/>
    <w:p w14:paraId="5310A701" w14:textId="77777777" w:rsidR="001E0975" w:rsidRPr="00F13073" w:rsidRDefault="003762C2" w:rsidP="008B4C50">
      <w:r>
        <w:rPr>
          <w:highlight w:val="lightGray"/>
        </w:rPr>
        <w:t>Zaakceptowano uzasadnienie braku informacji systemem Braille’a</w:t>
      </w:r>
    </w:p>
    <w:p w14:paraId="40E3AE0D" w14:textId="77777777" w:rsidR="00F728AE" w:rsidRPr="00F13073" w:rsidRDefault="00F728AE" w:rsidP="008B4C50"/>
    <w:p w14:paraId="7998F6A5" w14:textId="77777777" w:rsidR="00F728AE" w:rsidRPr="00F13073" w:rsidRDefault="00F728AE" w:rsidP="008B4C50"/>
    <w:p w14:paraId="7C3B148B" w14:textId="77777777" w:rsidR="001E0975" w:rsidRPr="0081094B" w:rsidRDefault="001721B1" w:rsidP="008B4C50">
      <w:pPr>
        <w:pStyle w:val="BoxedHeading"/>
        <w:rPr>
          <w:lang w:val="pl-PL"/>
        </w:rPr>
      </w:pPr>
      <w:r w:rsidRPr="0081094B">
        <w:rPr>
          <w:lang w:val="pl-PL"/>
        </w:rPr>
        <w:t>17.</w:t>
      </w:r>
      <w:r w:rsidRPr="0081094B">
        <w:rPr>
          <w:lang w:val="pl-PL"/>
        </w:rPr>
        <w:tab/>
      </w:r>
      <w:r w:rsidR="003762C2" w:rsidRPr="0081094B">
        <w:rPr>
          <w:lang w:val="pl-PL"/>
        </w:rPr>
        <w:t xml:space="preserve">NIEPOWTARZALNY IDENTYFIKATOR </w:t>
      </w:r>
      <w:r w:rsidR="005D042F" w:rsidRPr="0081094B">
        <w:rPr>
          <w:lang w:val="pl-PL"/>
        </w:rPr>
        <w:t>–</w:t>
      </w:r>
      <w:r w:rsidR="003762C2" w:rsidRPr="0081094B">
        <w:rPr>
          <w:lang w:val="pl-PL"/>
        </w:rPr>
        <w:t xml:space="preserve"> KOD 2D</w:t>
      </w:r>
    </w:p>
    <w:p w14:paraId="01901B66" w14:textId="77777777" w:rsidR="00F728AE" w:rsidRPr="00F13073" w:rsidRDefault="00F728AE" w:rsidP="008B4C50"/>
    <w:p w14:paraId="1077D81F" w14:textId="77777777" w:rsidR="001E0975" w:rsidRPr="00F13073" w:rsidRDefault="003762C2" w:rsidP="008B4C50">
      <w:r>
        <w:rPr>
          <w:highlight w:val="lightGray"/>
        </w:rPr>
        <w:t>&lt;Obejmuje kod 2D będący nośnikiem niepowtarzalnego identyfikatora.&gt;</w:t>
      </w:r>
    </w:p>
    <w:p w14:paraId="60AADC5A" w14:textId="77777777" w:rsidR="00F728AE" w:rsidRPr="00F13073" w:rsidRDefault="00F728AE" w:rsidP="008B4C50"/>
    <w:p w14:paraId="15D44BCA" w14:textId="77777777" w:rsidR="00F728AE" w:rsidRPr="00F13073" w:rsidRDefault="00F728AE" w:rsidP="008B4C50"/>
    <w:p w14:paraId="0C6C5383" w14:textId="77777777" w:rsidR="001E0975" w:rsidRPr="0081094B" w:rsidRDefault="001721B1" w:rsidP="008B4C50">
      <w:pPr>
        <w:pStyle w:val="BoxedHeading"/>
        <w:rPr>
          <w:lang w:val="pl-PL"/>
        </w:rPr>
      </w:pPr>
      <w:r w:rsidRPr="0081094B">
        <w:rPr>
          <w:lang w:val="pl-PL"/>
        </w:rPr>
        <w:t>18.</w:t>
      </w:r>
      <w:r w:rsidRPr="0081094B">
        <w:rPr>
          <w:lang w:val="pl-PL"/>
        </w:rPr>
        <w:tab/>
      </w:r>
      <w:r w:rsidR="00424A26" w:rsidRPr="0081094B">
        <w:rPr>
          <w:lang w:val="pl-PL"/>
        </w:rPr>
        <w:t xml:space="preserve">NIEPOWTARZALNY IDENTYFIKATOR </w:t>
      </w:r>
      <w:r w:rsidR="000E70E8" w:rsidRPr="0081094B">
        <w:rPr>
          <w:lang w:val="pl-PL"/>
        </w:rPr>
        <w:t>–</w:t>
      </w:r>
      <w:r w:rsidR="00424A26" w:rsidRPr="0081094B">
        <w:rPr>
          <w:lang w:val="pl-PL"/>
        </w:rPr>
        <w:t xml:space="preserve"> DANE CZYTELNE DLA CZŁOWIEKA</w:t>
      </w:r>
    </w:p>
    <w:p w14:paraId="32CC74E0" w14:textId="77777777" w:rsidR="00F728AE" w:rsidRPr="00F13073" w:rsidRDefault="00F728AE" w:rsidP="008B4C50"/>
    <w:p w14:paraId="68AC7643" w14:textId="77777777" w:rsidR="00F728AE" w:rsidRPr="00F13073" w:rsidRDefault="00611033" w:rsidP="008B4C50">
      <w:r w:rsidRPr="00F13073">
        <w:t xml:space="preserve">PC </w:t>
      </w:r>
    </w:p>
    <w:p w14:paraId="3B41CDB8" w14:textId="77777777" w:rsidR="00F728AE" w:rsidRPr="00F13073" w:rsidRDefault="00611033" w:rsidP="008B4C50">
      <w:r w:rsidRPr="00F13073">
        <w:t xml:space="preserve">SN </w:t>
      </w:r>
    </w:p>
    <w:p w14:paraId="667DDC77" w14:textId="77777777" w:rsidR="001E0975" w:rsidRPr="00F13073" w:rsidRDefault="00611033" w:rsidP="008B4C50">
      <w:r w:rsidRPr="00D209C2">
        <w:rPr>
          <w:highlight w:val="lightGray"/>
        </w:rPr>
        <w:t>NN</w:t>
      </w:r>
    </w:p>
    <w:p w14:paraId="5457EBB1" w14:textId="77777777" w:rsidR="00696C80" w:rsidRPr="00F13073" w:rsidRDefault="00696C80" w:rsidP="008B4C50"/>
    <w:p w14:paraId="0DFC35BA" w14:textId="252A1716" w:rsidR="00102508" w:rsidRPr="00F13073" w:rsidRDefault="00696C80" w:rsidP="0077402C">
      <w:pPr>
        <w:pBdr>
          <w:top w:val="single" w:sz="4" w:space="1" w:color="auto"/>
          <w:left w:val="single" w:sz="4" w:space="4" w:color="auto"/>
          <w:bottom w:val="single" w:sz="4" w:space="1" w:color="auto"/>
          <w:right w:val="single" w:sz="4" w:space="4" w:color="auto"/>
        </w:pBdr>
        <w:rPr>
          <w:b/>
          <w:bCs/>
        </w:rPr>
      </w:pPr>
      <w:r w:rsidRPr="00F13073">
        <w:rPr>
          <w:b/>
          <w:bCs/>
        </w:rPr>
        <w:br w:type="page"/>
      </w:r>
      <w:r w:rsidR="00EA5CED" w:rsidRPr="00F13073">
        <w:rPr>
          <w:b/>
          <w:bCs/>
        </w:rPr>
        <w:lastRenderedPageBreak/>
        <w:t>INFORMACJE ZAMIESZCZANE NA OPAKOWANIACH ZEWNĘTRZNYCH</w:t>
      </w:r>
    </w:p>
    <w:p w14:paraId="5AC45E96" w14:textId="3A6D9827" w:rsidR="0077402C" w:rsidRPr="00F13073" w:rsidRDefault="0077402C" w:rsidP="0077402C">
      <w:pPr>
        <w:pBdr>
          <w:top w:val="single" w:sz="4" w:space="1" w:color="auto"/>
          <w:left w:val="single" w:sz="4" w:space="4" w:color="auto"/>
          <w:bottom w:val="single" w:sz="4" w:space="1" w:color="auto"/>
          <w:right w:val="single" w:sz="4" w:space="4" w:color="auto"/>
        </w:pBdr>
        <w:rPr>
          <w:b/>
          <w:bCs/>
        </w:rPr>
      </w:pPr>
      <w:r w:rsidRPr="00F13073">
        <w:rPr>
          <w:b/>
          <w:bCs/>
        </w:rPr>
        <w:t>TEKTUROWE PUDEŁKO</w:t>
      </w:r>
    </w:p>
    <w:p w14:paraId="3A9EC12F" w14:textId="77777777" w:rsidR="00102508" w:rsidRPr="00F13073" w:rsidRDefault="00102508" w:rsidP="008B4C50"/>
    <w:p w14:paraId="7765F685" w14:textId="77777777" w:rsidR="00102508" w:rsidRPr="00F13073" w:rsidRDefault="00102508" w:rsidP="008B4C50"/>
    <w:p w14:paraId="1DAF5357" w14:textId="77777777" w:rsidR="00EA5CED" w:rsidRPr="0081094B" w:rsidRDefault="00EA5CED" w:rsidP="008B4C50">
      <w:pPr>
        <w:pStyle w:val="BoxedHeading"/>
        <w:rPr>
          <w:lang w:val="pl-PL"/>
        </w:rPr>
      </w:pPr>
      <w:r w:rsidRPr="0081094B">
        <w:rPr>
          <w:lang w:val="pl-PL"/>
        </w:rPr>
        <w:t>1.</w:t>
      </w:r>
      <w:r w:rsidRPr="0081094B">
        <w:rPr>
          <w:lang w:val="pl-PL"/>
        </w:rPr>
        <w:tab/>
        <w:t>NAZWA PRODUKTU LECZNICZEGO</w:t>
      </w:r>
    </w:p>
    <w:p w14:paraId="6A1CF05E" w14:textId="77777777" w:rsidR="00EA5CED" w:rsidRPr="00F13073" w:rsidRDefault="00EA5CED" w:rsidP="008B4C50"/>
    <w:p w14:paraId="733E3617" w14:textId="6A0C38AA" w:rsidR="00EA5CED" w:rsidRPr="00F13073" w:rsidRDefault="00026375" w:rsidP="008B4C50">
      <w:r w:rsidRPr="00F13073">
        <w:t>Avtozma</w:t>
      </w:r>
      <w:r w:rsidR="00EA5CED" w:rsidRPr="00F13073">
        <w:t xml:space="preserve"> 20 mg/mL koncentrat do sporządzania roztworu do infuzji</w:t>
      </w:r>
    </w:p>
    <w:p w14:paraId="34ADF86F" w14:textId="77777777" w:rsidR="00EA5CED" w:rsidRPr="00F13073" w:rsidRDefault="00EA5CED" w:rsidP="008B4C50">
      <w:r w:rsidRPr="00F13073">
        <w:t>tocilizumab</w:t>
      </w:r>
    </w:p>
    <w:p w14:paraId="11207958" w14:textId="77777777" w:rsidR="00EA5CED" w:rsidRPr="00F13073" w:rsidRDefault="00EA5CED" w:rsidP="008B4C50"/>
    <w:p w14:paraId="25DBCF3B" w14:textId="77777777" w:rsidR="00EA5CED" w:rsidRPr="00F13073" w:rsidRDefault="00EA5CED" w:rsidP="008B4C50"/>
    <w:p w14:paraId="7CA9CEFD" w14:textId="77777777" w:rsidR="00EA5CED" w:rsidRPr="0081094B" w:rsidRDefault="00EA5CED" w:rsidP="008B4C50">
      <w:pPr>
        <w:pStyle w:val="BoxedHeading"/>
        <w:rPr>
          <w:lang w:val="pl-PL"/>
        </w:rPr>
      </w:pPr>
      <w:r w:rsidRPr="0081094B">
        <w:rPr>
          <w:lang w:val="pl-PL"/>
        </w:rPr>
        <w:t>2.</w:t>
      </w:r>
      <w:r w:rsidRPr="0081094B">
        <w:rPr>
          <w:lang w:val="pl-PL"/>
        </w:rPr>
        <w:tab/>
        <w:t>ZAWARTOŚĆ SUBSTANCJI CZYNNEJ(YCH)</w:t>
      </w:r>
    </w:p>
    <w:p w14:paraId="1976C7D5" w14:textId="77777777" w:rsidR="00EA5CED" w:rsidRPr="00F13073" w:rsidRDefault="00EA5CED" w:rsidP="008B4C50"/>
    <w:p w14:paraId="7CDCFD08" w14:textId="77777777" w:rsidR="00EA5CED" w:rsidRPr="00F13073" w:rsidRDefault="00EA5CED" w:rsidP="008B4C50">
      <w:r w:rsidRPr="00F13073">
        <w:t>1 fiolka zawiera 200 mg tocilizumabu.</w:t>
      </w:r>
    </w:p>
    <w:p w14:paraId="44E42720" w14:textId="77777777" w:rsidR="00EA5CED" w:rsidRPr="00F13073" w:rsidRDefault="00EA5CED" w:rsidP="008B4C50"/>
    <w:p w14:paraId="7FBDBCFB" w14:textId="77777777" w:rsidR="00EA5CED" w:rsidRPr="00F13073" w:rsidRDefault="00EA5CED" w:rsidP="008B4C50"/>
    <w:p w14:paraId="2D07D887" w14:textId="77777777" w:rsidR="00EA5CED" w:rsidRPr="0081094B" w:rsidRDefault="00EA5CED" w:rsidP="008B4C50">
      <w:pPr>
        <w:pStyle w:val="BoxedHeading"/>
        <w:rPr>
          <w:lang w:val="pl-PL"/>
        </w:rPr>
      </w:pPr>
      <w:r w:rsidRPr="0081094B">
        <w:rPr>
          <w:lang w:val="pl-PL"/>
        </w:rPr>
        <w:t>3.</w:t>
      </w:r>
      <w:r w:rsidRPr="0081094B">
        <w:rPr>
          <w:lang w:val="pl-PL"/>
        </w:rPr>
        <w:tab/>
        <w:t>WYKAZ SUBSTANCJI POMOCNICZYCH</w:t>
      </w:r>
    </w:p>
    <w:p w14:paraId="210A89E3" w14:textId="77777777" w:rsidR="00EA5CED" w:rsidRPr="00F13073" w:rsidRDefault="00EA5CED" w:rsidP="008B4C50"/>
    <w:p w14:paraId="2C5890F3" w14:textId="11CFBEC0" w:rsidR="00EA5CED" w:rsidRPr="00F13073" w:rsidRDefault="00696C80"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r w:rsidRPr="00F13073" w:rsidDel="00696C80">
        <w:t xml:space="preserve"> </w:t>
      </w:r>
      <w:r w:rsidR="00EA5CED" w:rsidRPr="00F13073">
        <w:t>Dokładna informacja znajduje się w ulotce dla pacjenta.</w:t>
      </w:r>
    </w:p>
    <w:p w14:paraId="5CBD78B1" w14:textId="77777777" w:rsidR="00EA5CED" w:rsidRPr="00F13073" w:rsidRDefault="00EA5CED" w:rsidP="008B4C50"/>
    <w:p w14:paraId="6BCC03E7" w14:textId="77777777" w:rsidR="00EA5CED" w:rsidRPr="00F13073" w:rsidRDefault="00EA5CED" w:rsidP="008B4C50"/>
    <w:p w14:paraId="0CBE9A73" w14:textId="77777777" w:rsidR="00EA5CED" w:rsidRPr="0081094B" w:rsidRDefault="00EA5CED" w:rsidP="008B4C50">
      <w:pPr>
        <w:pStyle w:val="BoxedHeading"/>
        <w:rPr>
          <w:lang w:val="pl-PL"/>
        </w:rPr>
      </w:pPr>
      <w:r w:rsidRPr="0081094B">
        <w:rPr>
          <w:lang w:val="pl-PL"/>
        </w:rPr>
        <w:t>4.</w:t>
      </w:r>
      <w:r w:rsidRPr="0081094B">
        <w:rPr>
          <w:lang w:val="pl-PL"/>
        </w:rPr>
        <w:tab/>
        <w:t>POSTAĆ FARMACEUTYCZNA I ZAWARTOŚĆ OPAKOWANIA</w:t>
      </w:r>
    </w:p>
    <w:p w14:paraId="0737E60D" w14:textId="77777777" w:rsidR="00EA5CED" w:rsidRPr="00F13073" w:rsidRDefault="00EA5CED" w:rsidP="008B4C50"/>
    <w:p w14:paraId="06814403" w14:textId="77777777" w:rsidR="00EA5CED" w:rsidRPr="00F13073" w:rsidRDefault="00EA5CED" w:rsidP="008B4C50">
      <w:r w:rsidRPr="00F13073">
        <w:t>Koncentrat do sporządzania roztworu do infuzji</w:t>
      </w:r>
    </w:p>
    <w:p w14:paraId="281ADEEA" w14:textId="77777777" w:rsidR="00EA5CED" w:rsidRPr="00F13073" w:rsidRDefault="00EA5CED" w:rsidP="008B4C50">
      <w:r w:rsidRPr="00F13073">
        <w:t>200 mg/10 mL</w:t>
      </w:r>
    </w:p>
    <w:p w14:paraId="29E676D9" w14:textId="77777777" w:rsidR="00EA5CED" w:rsidRPr="00F13073" w:rsidRDefault="00EA5CED" w:rsidP="008B4C50">
      <w:r w:rsidRPr="00F13073">
        <w:t>1 fiolka o pojemności 10 mL</w:t>
      </w:r>
    </w:p>
    <w:p w14:paraId="096A3362" w14:textId="77777777" w:rsidR="00EA5CED" w:rsidRPr="00F13073" w:rsidRDefault="00EA5CED" w:rsidP="008B4C50">
      <w:r w:rsidRPr="00F13073">
        <w:t>4 fiolki o pojemności 10 mL</w:t>
      </w:r>
    </w:p>
    <w:p w14:paraId="4A41F431" w14:textId="77777777" w:rsidR="00EA5CED" w:rsidRPr="00F13073" w:rsidRDefault="00EA5CED" w:rsidP="008B4C50"/>
    <w:p w14:paraId="5F41E17A" w14:textId="77777777" w:rsidR="00EA5CED" w:rsidRPr="00F13073" w:rsidRDefault="00EA5CED" w:rsidP="008B4C50"/>
    <w:p w14:paraId="7D73F1D0" w14:textId="77777777" w:rsidR="00EA5CED" w:rsidRPr="0081094B" w:rsidRDefault="00EA5CED" w:rsidP="008B4C50">
      <w:pPr>
        <w:pStyle w:val="BoxedHeading"/>
        <w:rPr>
          <w:lang w:val="pl-PL"/>
        </w:rPr>
      </w:pPr>
      <w:r w:rsidRPr="0081094B">
        <w:rPr>
          <w:lang w:val="pl-PL"/>
        </w:rPr>
        <w:t>5.</w:t>
      </w:r>
      <w:r w:rsidRPr="0081094B">
        <w:rPr>
          <w:lang w:val="pl-PL"/>
        </w:rPr>
        <w:tab/>
        <w:t>SPOSÓB I DROGA(I) PODANIA</w:t>
      </w:r>
    </w:p>
    <w:p w14:paraId="6410B95D" w14:textId="77777777" w:rsidR="00EA5CED" w:rsidRPr="00F13073" w:rsidRDefault="00EA5CED" w:rsidP="008B4C50"/>
    <w:p w14:paraId="70A407EA" w14:textId="77777777" w:rsidR="00EA5CED" w:rsidRPr="00F13073" w:rsidRDefault="00EA5CED" w:rsidP="008B4C50">
      <w:r w:rsidRPr="00F13073">
        <w:t>Do infuzji dożylnej po rozcieńczeniu</w:t>
      </w:r>
    </w:p>
    <w:p w14:paraId="5FD081C2" w14:textId="77777777" w:rsidR="00EA5CED" w:rsidRPr="00F13073" w:rsidRDefault="00EA5CED" w:rsidP="008B4C50">
      <w:r w:rsidRPr="00F13073">
        <w:t>Lek powinien być użyty bezpośrednio po sporządzeniu roztworu</w:t>
      </w:r>
    </w:p>
    <w:p w14:paraId="5D0EE317" w14:textId="77777777" w:rsidR="00EA5CED" w:rsidRPr="00F13073" w:rsidRDefault="00EA5CED" w:rsidP="008B4C50">
      <w:r w:rsidRPr="00F13073">
        <w:t>Należy zapoznać się z treścią ulotki przed zastosowaniem leku</w:t>
      </w:r>
    </w:p>
    <w:p w14:paraId="1F2ACD9D" w14:textId="77777777" w:rsidR="00EA5CED" w:rsidRPr="00F13073" w:rsidRDefault="00EA5CED" w:rsidP="008B4C50"/>
    <w:p w14:paraId="481EB4DC" w14:textId="77777777" w:rsidR="00EA5CED" w:rsidRPr="00F13073" w:rsidRDefault="00EA5CED" w:rsidP="008B4C50"/>
    <w:p w14:paraId="5D0D37EF" w14:textId="77777777" w:rsidR="00EA5CED" w:rsidRPr="0081094B" w:rsidRDefault="00EA5CED" w:rsidP="008B4C50">
      <w:pPr>
        <w:pStyle w:val="BoxedHeading"/>
        <w:rPr>
          <w:lang w:val="pl-PL"/>
        </w:rPr>
      </w:pPr>
      <w:r w:rsidRPr="0081094B">
        <w:rPr>
          <w:lang w:val="pl-PL"/>
        </w:rPr>
        <w:t>6.</w:t>
      </w:r>
      <w:r w:rsidRPr="0081094B">
        <w:rPr>
          <w:lang w:val="pl-PL"/>
        </w:rPr>
        <w:tab/>
        <w:t>OSTRZEŻENIE DOTYCZĄCE PRZECHOWYWANIA PRODUKTU LECZNICZEGO W MIEJSCU NIEWIDOCZNYM I NIEDOSTĘPNYM DLA DZIECI</w:t>
      </w:r>
    </w:p>
    <w:p w14:paraId="5F27A7C2" w14:textId="77777777" w:rsidR="00EA5CED" w:rsidRPr="00F13073" w:rsidRDefault="00EA5CED" w:rsidP="008B4C50"/>
    <w:p w14:paraId="0F5BB8D0" w14:textId="77777777" w:rsidR="00EA5CED" w:rsidRPr="00F13073" w:rsidRDefault="00EA5CED" w:rsidP="008B4C50">
      <w:r w:rsidRPr="00F13073">
        <w:t>Lek przechowywać w miejscu niewidocznym i niedostępnym dla dzieci</w:t>
      </w:r>
    </w:p>
    <w:p w14:paraId="4CCDB64A" w14:textId="77777777" w:rsidR="00EA5CED" w:rsidRPr="00F13073" w:rsidRDefault="00EA5CED" w:rsidP="008B4C50"/>
    <w:p w14:paraId="0AD70D9A" w14:textId="77777777" w:rsidR="00EA5CED" w:rsidRPr="00F13073" w:rsidRDefault="00EA5CED" w:rsidP="008B4C50"/>
    <w:p w14:paraId="773182D1" w14:textId="77777777" w:rsidR="00EA5CED" w:rsidRPr="0081094B" w:rsidRDefault="00EA5CED" w:rsidP="008B4C50">
      <w:pPr>
        <w:pStyle w:val="BoxedHeading"/>
        <w:rPr>
          <w:lang w:val="pl-PL"/>
        </w:rPr>
      </w:pPr>
      <w:r w:rsidRPr="0081094B">
        <w:rPr>
          <w:lang w:val="pl-PL"/>
        </w:rPr>
        <w:t>7.</w:t>
      </w:r>
      <w:r w:rsidRPr="0081094B">
        <w:rPr>
          <w:lang w:val="pl-PL"/>
        </w:rPr>
        <w:tab/>
        <w:t>INNE OSTRZEŻENIA SPECJALNE, JEŚLI KONIECZNE</w:t>
      </w:r>
    </w:p>
    <w:p w14:paraId="41747CC5" w14:textId="77777777" w:rsidR="00EA5CED" w:rsidRPr="00F13073" w:rsidRDefault="00EA5CED" w:rsidP="008B4C50"/>
    <w:p w14:paraId="2CE35A53" w14:textId="77777777" w:rsidR="00EA5CED" w:rsidRPr="00F13073" w:rsidRDefault="00EA5CED" w:rsidP="008B4C50"/>
    <w:p w14:paraId="290CE3F1" w14:textId="77777777" w:rsidR="00EA5CED" w:rsidRPr="0081094B" w:rsidRDefault="00EA5CED" w:rsidP="008B4C50">
      <w:pPr>
        <w:pStyle w:val="BoxedHeading"/>
        <w:rPr>
          <w:lang w:val="pl-PL"/>
        </w:rPr>
      </w:pPr>
      <w:r w:rsidRPr="0081094B">
        <w:rPr>
          <w:lang w:val="pl-PL"/>
        </w:rPr>
        <w:t>8.</w:t>
      </w:r>
      <w:r w:rsidRPr="0081094B">
        <w:rPr>
          <w:lang w:val="pl-PL"/>
        </w:rPr>
        <w:tab/>
        <w:t>TERMIN WAŻNOŚCI</w:t>
      </w:r>
    </w:p>
    <w:p w14:paraId="6E915A75" w14:textId="77777777" w:rsidR="00EA5CED" w:rsidRPr="00F13073" w:rsidRDefault="00EA5CED" w:rsidP="008B4C50"/>
    <w:p w14:paraId="59482666" w14:textId="77777777" w:rsidR="00EA5CED" w:rsidRPr="00F13073" w:rsidRDefault="00EA5CED" w:rsidP="008B4C50">
      <w:r w:rsidRPr="00F13073">
        <w:t>Termin ważności (EXP)</w:t>
      </w:r>
    </w:p>
    <w:p w14:paraId="3FF60679" w14:textId="77777777" w:rsidR="0059128B" w:rsidRPr="00F13073" w:rsidRDefault="0059128B" w:rsidP="008B4C50"/>
    <w:p w14:paraId="5C632D9E" w14:textId="77777777" w:rsidR="00102508" w:rsidRPr="00F13073" w:rsidRDefault="00102508" w:rsidP="008B4C50"/>
    <w:p w14:paraId="63D9E22F" w14:textId="77777777" w:rsidR="00EA5CED" w:rsidRPr="0081094B" w:rsidRDefault="00EA5CED" w:rsidP="008B4C50">
      <w:pPr>
        <w:pStyle w:val="BoxedHeading"/>
        <w:rPr>
          <w:lang w:val="pl-PL"/>
        </w:rPr>
      </w:pPr>
      <w:r w:rsidRPr="0081094B">
        <w:rPr>
          <w:lang w:val="pl-PL"/>
        </w:rPr>
        <w:lastRenderedPageBreak/>
        <w:t>9.</w:t>
      </w:r>
      <w:r w:rsidRPr="0081094B">
        <w:rPr>
          <w:lang w:val="pl-PL"/>
        </w:rPr>
        <w:tab/>
        <w:t>WARUNKI PRZECHOWYWANIA</w:t>
      </w:r>
    </w:p>
    <w:p w14:paraId="38C71278" w14:textId="77777777" w:rsidR="00EA5CED" w:rsidRPr="00F13073" w:rsidRDefault="00EA5CED" w:rsidP="008B4C50">
      <w:pPr>
        <w:keepNext/>
      </w:pPr>
    </w:p>
    <w:p w14:paraId="481C66ED" w14:textId="77777777" w:rsidR="00EA5CED" w:rsidRPr="00F13073" w:rsidRDefault="00EA5CED" w:rsidP="008B4C50">
      <w:pPr>
        <w:keepNext/>
      </w:pPr>
      <w:r w:rsidRPr="00F13073">
        <w:t>Przechowywać w lodówce</w:t>
      </w:r>
    </w:p>
    <w:p w14:paraId="04A56A11" w14:textId="77777777" w:rsidR="00EA5CED" w:rsidRPr="00F13073" w:rsidRDefault="00EA5CED" w:rsidP="008B4C50">
      <w:pPr>
        <w:keepNext/>
      </w:pPr>
      <w:r w:rsidRPr="00F13073">
        <w:t>Nie zamrażać</w:t>
      </w:r>
    </w:p>
    <w:p w14:paraId="58E2CB17" w14:textId="2809E8D2" w:rsidR="00EA5CED" w:rsidRPr="00F13073" w:rsidRDefault="00EA5CED" w:rsidP="008B4C50">
      <w:pPr>
        <w:keepNext/>
      </w:pPr>
      <w:r w:rsidRPr="00F13073">
        <w:t>Fiolkę przechowywać w opakowaniu zewnętrznym w celu ochrony przed światłem</w:t>
      </w:r>
    </w:p>
    <w:p w14:paraId="0F96250C" w14:textId="77777777" w:rsidR="00EA5CED" w:rsidRPr="00F13073" w:rsidRDefault="00EA5CED" w:rsidP="008B4C50">
      <w:pPr>
        <w:keepNext/>
      </w:pPr>
    </w:p>
    <w:p w14:paraId="0E180239" w14:textId="77777777" w:rsidR="00EA5CED" w:rsidRPr="00F13073" w:rsidRDefault="00EA5CED" w:rsidP="008B4C50"/>
    <w:p w14:paraId="4A19F569" w14:textId="77777777" w:rsidR="00EA5CED" w:rsidRPr="0081094B" w:rsidRDefault="00EA5CED"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60E89988" w14:textId="77777777" w:rsidR="00EA5CED" w:rsidRPr="00F13073" w:rsidRDefault="00EA5CED" w:rsidP="008B4C50"/>
    <w:p w14:paraId="5656CED2" w14:textId="77777777" w:rsidR="00EA5CED" w:rsidRPr="00F13073" w:rsidRDefault="00EA5CED" w:rsidP="008B4C50"/>
    <w:p w14:paraId="5B493504" w14:textId="77777777" w:rsidR="00EA5CED" w:rsidRPr="0081094B" w:rsidRDefault="00EA5CED" w:rsidP="008B4C50">
      <w:pPr>
        <w:pStyle w:val="BoxedHeading"/>
        <w:rPr>
          <w:lang w:val="pl-PL"/>
        </w:rPr>
      </w:pPr>
      <w:r w:rsidRPr="0081094B">
        <w:rPr>
          <w:lang w:val="pl-PL"/>
        </w:rPr>
        <w:t>11.</w:t>
      </w:r>
      <w:r w:rsidRPr="0081094B">
        <w:rPr>
          <w:lang w:val="pl-PL"/>
        </w:rPr>
        <w:tab/>
        <w:t>NAZWA I ADRES PODMIOTU ODPOWIEDZIALNEGO</w:t>
      </w:r>
    </w:p>
    <w:p w14:paraId="2283B56B" w14:textId="77777777" w:rsidR="00EA5CED" w:rsidRPr="00F13073" w:rsidRDefault="00EA5CED" w:rsidP="008B4C50"/>
    <w:p w14:paraId="17BD4886" w14:textId="77777777" w:rsidR="0087086F" w:rsidRPr="00F13073" w:rsidRDefault="0087086F" w:rsidP="0087086F">
      <w:pPr>
        <w:keepNext/>
      </w:pPr>
      <w:r w:rsidRPr="00F13073">
        <w:t xml:space="preserve">Celltrion Healthcare Hungary Kft. </w:t>
      </w:r>
    </w:p>
    <w:p w14:paraId="53940DE7" w14:textId="77777777" w:rsidR="0087086F" w:rsidRPr="00127FBE" w:rsidRDefault="0087086F" w:rsidP="0087086F">
      <w:pPr>
        <w:keepNext/>
        <w:rPr>
          <w:lang w:val="en-GB"/>
        </w:rPr>
      </w:pPr>
      <w:r w:rsidRPr="00127FBE">
        <w:rPr>
          <w:lang w:val="en-GB"/>
        </w:rPr>
        <w:t>1062 Budapest</w:t>
      </w:r>
    </w:p>
    <w:p w14:paraId="71E62CDC" w14:textId="77777777" w:rsidR="0087086F" w:rsidRPr="00127FBE" w:rsidRDefault="0087086F" w:rsidP="0087086F">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2653DAE0" w14:textId="55F86B9A" w:rsidR="0087086F" w:rsidRPr="00F13073" w:rsidRDefault="0087086F" w:rsidP="0087086F">
      <w:r w:rsidRPr="00F13073">
        <w:t>Wę</w:t>
      </w:r>
      <w:r w:rsidRPr="0081094B">
        <w:t>gry</w:t>
      </w:r>
    </w:p>
    <w:p w14:paraId="5DA8DE09" w14:textId="77777777" w:rsidR="00EA5CED" w:rsidRPr="00F13073" w:rsidRDefault="00EA5CED" w:rsidP="008B4C50"/>
    <w:p w14:paraId="325AD5E3" w14:textId="77777777" w:rsidR="00EA5CED" w:rsidRPr="00F13073" w:rsidRDefault="00EA5CED" w:rsidP="008B4C50"/>
    <w:p w14:paraId="61CC3E67" w14:textId="77777777" w:rsidR="00EA5CED" w:rsidRPr="0081094B" w:rsidRDefault="00EA5CED" w:rsidP="008B4C50">
      <w:pPr>
        <w:pStyle w:val="BoxedHeading"/>
        <w:rPr>
          <w:lang w:val="pl-PL"/>
        </w:rPr>
      </w:pPr>
      <w:r w:rsidRPr="0081094B">
        <w:rPr>
          <w:lang w:val="pl-PL"/>
        </w:rPr>
        <w:t>12.</w:t>
      </w:r>
      <w:r w:rsidRPr="0081094B">
        <w:rPr>
          <w:lang w:val="pl-PL"/>
        </w:rPr>
        <w:tab/>
        <w:t>NUMER(Y) POZWOLENIA(Ń) NA DOPUSZCZENIE DO OBROTU</w:t>
      </w:r>
    </w:p>
    <w:p w14:paraId="7382E68F" w14:textId="77777777" w:rsidR="00EA5CED" w:rsidRPr="00F13073" w:rsidRDefault="00EA5CED" w:rsidP="008B4C50"/>
    <w:p w14:paraId="7FD3E06D" w14:textId="3DB0C7FE" w:rsidR="00EA5CED" w:rsidRPr="00F13073" w:rsidRDefault="00EA5CED" w:rsidP="008B4C50">
      <w:r w:rsidRPr="00F13073">
        <w:t>EU</w:t>
      </w:r>
      <w:r w:rsidR="0087086F" w:rsidRPr="00F13073">
        <w:t>/</w:t>
      </w:r>
      <w:r w:rsidR="00C91618" w:rsidRPr="00F458BB">
        <w:rPr>
          <w:spacing w:val="-1"/>
          <w:lang w:val="pt-BR"/>
        </w:rPr>
        <w:t>1/24/1896/00</w:t>
      </w:r>
      <w:r w:rsidR="00C91618">
        <w:rPr>
          <w:rFonts w:eastAsia="맑은 고딕"/>
          <w:spacing w:val="-1"/>
          <w:lang w:val="pt-BR" w:eastAsia="ko-KR"/>
        </w:rPr>
        <w:t>3 1 fiolka</w:t>
      </w:r>
    </w:p>
    <w:p w14:paraId="7E55A5C3" w14:textId="41F51FD5" w:rsidR="00EA5CED" w:rsidRPr="00F13073" w:rsidRDefault="00EA5CED" w:rsidP="008B4C50">
      <w:r w:rsidRPr="00F13073">
        <w:t>EU</w:t>
      </w:r>
      <w:r w:rsidR="0087086F" w:rsidRPr="00F13073">
        <w:t>/</w:t>
      </w:r>
      <w:r w:rsidR="00C91618" w:rsidRPr="00F458BB">
        <w:rPr>
          <w:spacing w:val="-1"/>
          <w:lang w:val="pt-BR"/>
        </w:rPr>
        <w:t>1/24/1896/00</w:t>
      </w:r>
      <w:r w:rsidR="00C91618">
        <w:rPr>
          <w:rFonts w:eastAsia="맑은 고딕"/>
          <w:spacing w:val="-1"/>
          <w:lang w:val="pt-BR" w:eastAsia="ko-KR"/>
        </w:rPr>
        <w:t>4 4 fiolki</w:t>
      </w:r>
    </w:p>
    <w:p w14:paraId="36C526E5" w14:textId="77777777" w:rsidR="00EA5CED" w:rsidRPr="00F13073" w:rsidRDefault="00EA5CED" w:rsidP="008B4C50"/>
    <w:p w14:paraId="4471FF2D" w14:textId="77777777" w:rsidR="00EA5CED" w:rsidRPr="00F13073" w:rsidRDefault="00EA5CED" w:rsidP="008B4C50"/>
    <w:p w14:paraId="64572EF9" w14:textId="77777777" w:rsidR="00EA5CED" w:rsidRPr="00D209C2" w:rsidRDefault="00EA5CED" w:rsidP="008B4C50">
      <w:pPr>
        <w:pStyle w:val="BoxedHeading"/>
        <w:rPr>
          <w:lang w:val="pl-PL"/>
        </w:rPr>
      </w:pPr>
      <w:r w:rsidRPr="00D209C2">
        <w:rPr>
          <w:lang w:val="pl-PL"/>
        </w:rPr>
        <w:t>13.</w:t>
      </w:r>
      <w:r w:rsidRPr="00D209C2">
        <w:rPr>
          <w:lang w:val="pl-PL"/>
        </w:rPr>
        <w:tab/>
        <w:t>NUMER SERII</w:t>
      </w:r>
    </w:p>
    <w:p w14:paraId="7FB1E730" w14:textId="77777777" w:rsidR="00EA5CED" w:rsidRPr="00D209C2" w:rsidRDefault="00EA5CED" w:rsidP="008B4C50"/>
    <w:p w14:paraId="66FF0962" w14:textId="77777777" w:rsidR="00EA5CED" w:rsidRPr="00D209C2" w:rsidRDefault="00EA5CED" w:rsidP="008B4C50">
      <w:r w:rsidRPr="00D209C2">
        <w:t>Nr serii (Lot)</w:t>
      </w:r>
    </w:p>
    <w:p w14:paraId="6117D2A3" w14:textId="77777777" w:rsidR="00EA5CED" w:rsidRPr="00D209C2" w:rsidRDefault="00EA5CED" w:rsidP="008B4C50"/>
    <w:p w14:paraId="69F88F7A" w14:textId="77777777" w:rsidR="00EA5CED" w:rsidRPr="00D209C2" w:rsidRDefault="00EA5CED" w:rsidP="008B4C50"/>
    <w:p w14:paraId="7FA53A78" w14:textId="77777777" w:rsidR="00EA5CED" w:rsidRPr="0081094B" w:rsidRDefault="00EA5CED" w:rsidP="008B4C50">
      <w:pPr>
        <w:pStyle w:val="BoxedHeading"/>
        <w:rPr>
          <w:lang w:val="pl-PL"/>
        </w:rPr>
      </w:pPr>
      <w:r w:rsidRPr="0081094B">
        <w:rPr>
          <w:lang w:val="pl-PL"/>
        </w:rPr>
        <w:t>14.</w:t>
      </w:r>
      <w:r w:rsidRPr="0081094B">
        <w:rPr>
          <w:lang w:val="pl-PL"/>
        </w:rPr>
        <w:tab/>
        <w:t>OGÓLNA KATEGORIA DOSTĘPNOŚCI</w:t>
      </w:r>
    </w:p>
    <w:p w14:paraId="00C1172B" w14:textId="77777777" w:rsidR="00EA5CED" w:rsidRPr="00F13073" w:rsidRDefault="00EA5CED" w:rsidP="008B4C50"/>
    <w:p w14:paraId="0AA26C9E" w14:textId="77777777" w:rsidR="00EA5CED" w:rsidRPr="00F13073" w:rsidRDefault="00EA5CED" w:rsidP="008B4C50">
      <w:r>
        <w:rPr>
          <w:highlight w:val="lightGray"/>
        </w:rPr>
        <w:t>Produkt leczniczy wydawany z przepisu lekarza</w:t>
      </w:r>
    </w:p>
    <w:p w14:paraId="142DB262" w14:textId="77777777" w:rsidR="00EA5CED" w:rsidRPr="00F13073" w:rsidRDefault="00EA5CED" w:rsidP="008B4C50"/>
    <w:p w14:paraId="3821156F" w14:textId="77777777" w:rsidR="00EA5CED" w:rsidRPr="00F13073" w:rsidRDefault="00EA5CED" w:rsidP="008B4C50"/>
    <w:p w14:paraId="68400B84" w14:textId="77777777" w:rsidR="00EA5CED" w:rsidRPr="0081094B" w:rsidRDefault="00EA5CED" w:rsidP="008B4C50">
      <w:pPr>
        <w:pStyle w:val="BoxedHeading"/>
        <w:rPr>
          <w:lang w:val="pl-PL"/>
        </w:rPr>
      </w:pPr>
      <w:r w:rsidRPr="0081094B">
        <w:rPr>
          <w:lang w:val="pl-PL"/>
        </w:rPr>
        <w:t>15.</w:t>
      </w:r>
      <w:r w:rsidRPr="0081094B">
        <w:rPr>
          <w:lang w:val="pl-PL"/>
        </w:rPr>
        <w:tab/>
        <w:t>INSTRUKCJA UŻYCIA</w:t>
      </w:r>
    </w:p>
    <w:p w14:paraId="7C06B458" w14:textId="77777777" w:rsidR="00EA5CED" w:rsidRPr="00F13073" w:rsidRDefault="00EA5CED" w:rsidP="008B4C50"/>
    <w:p w14:paraId="28419BAA" w14:textId="77777777" w:rsidR="00EA5CED" w:rsidRPr="00F13073" w:rsidRDefault="00EA5CED" w:rsidP="008B4C50"/>
    <w:p w14:paraId="77FDA0CC" w14:textId="77777777" w:rsidR="00EA5CED" w:rsidRPr="0081094B" w:rsidRDefault="00EA5CED" w:rsidP="008B4C50">
      <w:pPr>
        <w:pStyle w:val="BoxedHeading"/>
        <w:rPr>
          <w:lang w:val="pl-PL"/>
        </w:rPr>
      </w:pPr>
      <w:r w:rsidRPr="0081094B">
        <w:rPr>
          <w:lang w:val="pl-PL"/>
        </w:rPr>
        <w:t>16.</w:t>
      </w:r>
      <w:r w:rsidRPr="0081094B">
        <w:rPr>
          <w:lang w:val="pl-PL"/>
        </w:rPr>
        <w:tab/>
        <w:t>INFORMACJA PODANA SYSTEMEM BRAILLE’A</w:t>
      </w:r>
    </w:p>
    <w:p w14:paraId="580E9C5B" w14:textId="77777777" w:rsidR="00EA5CED" w:rsidRPr="00F13073" w:rsidRDefault="00EA5CED" w:rsidP="008B4C50"/>
    <w:p w14:paraId="43913EC7" w14:textId="77777777" w:rsidR="00EA5CED" w:rsidRPr="00F13073" w:rsidRDefault="00EA5CED" w:rsidP="008B4C50">
      <w:r>
        <w:rPr>
          <w:highlight w:val="lightGray"/>
        </w:rPr>
        <w:t>Zaakceptowano uzasadnienie braku informacji systemem Braille’a</w:t>
      </w:r>
    </w:p>
    <w:p w14:paraId="36222B77" w14:textId="77777777" w:rsidR="00EA5CED" w:rsidRPr="00F13073" w:rsidRDefault="00EA5CED" w:rsidP="008B4C50"/>
    <w:p w14:paraId="57EA3F88" w14:textId="77777777" w:rsidR="00EA5CED" w:rsidRPr="00F13073" w:rsidRDefault="00EA5CED" w:rsidP="008B4C50"/>
    <w:p w14:paraId="5094334D" w14:textId="77777777" w:rsidR="00EA5CED" w:rsidRPr="0081094B" w:rsidRDefault="00EA5CED"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6080E437" w14:textId="77777777" w:rsidR="00EA5CED" w:rsidRPr="00F13073" w:rsidRDefault="00EA5CED" w:rsidP="008B4C50"/>
    <w:p w14:paraId="4BC00A9D" w14:textId="77777777" w:rsidR="00EA5CED" w:rsidRPr="00F13073" w:rsidRDefault="00EA5CED" w:rsidP="008B4C50">
      <w:r>
        <w:rPr>
          <w:highlight w:val="lightGray"/>
        </w:rPr>
        <w:t>&lt;Obejmuje kod 2D będący nośnikiem niepowtarzalnego identyfikatora.&gt;</w:t>
      </w:r>
    </w:p>
    <w:p w14:paraId="216413CF" w14:textId="77777777" w:rsidR="00EA5CED" w:rsidRPr="00F13073" w:rsidRDefault="00EA5CED" w:rsidP="008B4C50"/>
    <w:p w14:paraId="1758BFD2" w14:textId="77777777" w:rsidR="00EA5CED" w:rsidRPr="00F13073" w:rsidRDefault="00EA5CED" w:rsidP="008B4C50"/>
    <w:p w14:paraId="42C3AA0A" w14:textId="77777777" w:rsidR="00EA5CED" w:rsidRPr="0081094B" w:rsidRDefault="00EA5CED"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675F17CC" w14:textId="77777777" w:rsidR="00102508" w:rsidRPr="00F13073" w:rsidRDefault="00102508" w:rsidP="008B4C50"/>
    <w:p w14:paraId="4620E8F7" w14:textId="77777777" w:rsidR="00102508" w:rsidRPr="00F13073" w:rsidRDefault="00102508" w:rsidP="008B4C50">
      <w:r w:rsidRPr="00F13073">
        <w:t xml:space="preserve">PC </w:t>
      </w:r>
    </w:p>
    <w:p w14:paraId="77962F3B" w14:textId="77777777" w:rsidR="00102508" w:rsidRPr="00F13073" w:rsidRDefault="00102508" w:rsidP="008B4C50">
      <w:r w:rsidRPr="00F13073">
        <w:t xml:space="preserve">SN </w:t>
      </w:r>
    </w:p>
    <w:p w14:paraId="46B78FAD" w14:textId="119B2827" w:rsidR="0087086F" w:rsidRPr="00F13073" w:rsidRDefault="00102508" w:rsidP="008B4C50">
      <w:r w:rsidRPr="00D209C2">
        <w:rPr>
          <w:highlight w:val="lightGray"/>
        </w:rPr>
        <w:t>NN</w:t>
      </w:r>
    </w:p>
    <w:p w14:paraId="463CEB8F" w14:textId="77777777" w:rsidR="0087086F" w:rsidRPr="00F13073" w:rsidRDefault="0087086F" w:rsidP="008B4C50"/>
    <w:p w14:paraId="7243517A" w14:textId="433F02DE" w:rsidR="00102508" w:rsidRPr="00F13073" w:rsidRDefault="00B469B0" w:rsidP="003B67CB">
      <w:pPr>
        <w:pBdr>
          <w:top w:val="single" w:sz="4" w:space="1" w:color="auto"/>
          <w:left w:val="single" w:sz="4" w:space="4" w:color="auto"/>
          <w:bottom w:val="single" w:sz="4" w:space="1" w:color="auto"/>
          <w:right w:val="single" w:sz="4" w:space="4" w:color="auto"/>
        </w:pBdr>
        <w:rPr>
          <w:b/>
          <w:bCs/>
        </w:rPr>
      </w:pPr>
      <w:r w:rsidRPr="00F13073">
        <w:br w:type="page"/>
      </w:r>
      <w:r w:rsidR="00CF1D21" w:rsidRPr="00F13073">
        <w:rPr>
          <w:b/>
          <w:bCs/>
        </w:rPr>
        <w:lastRenderedPageBreak/>
        <w:t>INFORMACJE ZAMIESZCZANE NA OPAKOWANIACH ZEWNĘTRZNYCH</w:t>
      </w:r>
    </w:p>
    <w:p w14:paraId="1B99A963" w14:textId="77777777" w:rsidR="00102508" w:rsidRPr="00F13073" w:rsidRDefault="00CF1D21" w:rsidP="008B4C50">
      <w:pPr>
        <w:pBdr>
          <w:top w:val="single" w:sz="4" w:space="1" w:color="auto"/>
          <w:left w:val="single" w:sz="4" w:space="4" w:color="auto"/>
          <w:bottom w:val="single" w:sz="4" w:space="1" w:color="auto"/>
          <w:right w:val="single" w:sz="4" w:space="4" w:color="auto"/>
        </w:pBdr>
        <w:rPr>
          <w:b/>
          <w:bCs/>
        </w:rPr>
      </w:pPr>
      <w:r w:rsidRPr="00F13073">
        <w:rPr>
          <w:b/>
          <w:bCs/>
        </w:rPr>
        <w:t>TEKTUROWE PUDEŁKO</w:t>
      </w:r>
    </w:p>
    <w:p w14:paraId="7103FC60" w14:textId="77777777" w:rsidR="00102508" w:rsidRPr="00F13073" w:rsidRDefault="00102508" w:rsidP="008B4C50"/>
    <w:p w14:paraId="40F5DEAB" w14:textId="77777777" w:rsidR="00102508" w:rsidRPr="00F13073" w:rsidRDefault="00102508" w:rsidP="008B4C50"/>
    <w:p w14:paraId="336C2043" w14:textId="77777777" w:rsidR="00CF1D21" w:rsidRPr="0081094B" w:rsidRDefault="00CF1D21" w:rsidP="008B4C50">
      <w:pPr>
        <w:pStyle w:val="BoxedHeading"/>
        <w:rPr>
          <w:lang w:val="pl-PL"/>
        </w:rPr>
      </w:pPr>
      <w:r w:rsidRPr="0081094B">
        <w:rPr>
          <w:lang w:val="pl-PL"/>
        </w:rPr>
        <w:t>1.</w:t>
      </w:r>
      <w:r w:rsidRPr="0081094B">
        <w:rPr>
          <w:lang w:val="pl-PL"/>
        </w:rPr>
        <w:tab/>
        <w:t>NAZWA PRODUKTU LECZNICZEGO</w:t>
      </w:r>
    </w:p>
    <w:p w14:paraId="561E7185" w14:textId="77777777" w:rsidR="00CF1D21" w:rsidRPr="00F13073" w:rsidRDefault="00CF1D21" w:rsidP="008B4C50"/>
    <w:p w14:paraId="68F5EA95" w14:textId="635DE91F" w:rsidR="00CF1D21" w:rsidRPr="00F13073" w:rsidRDefault="00026375" w:rsidP="008B4C50">
      <w:r w:rsidRPr="00F13073">
        <w:t>Avtozma</w:t>
      </w:r>
      <w:r w:rsidR="00CF1D21" w:rsidRPr="00F13073">
        <w:t xml:space="preserve"> 20 mg/mL koncentrat do sporządzania roztworu do infuzji</w:t>
      </w:r>
    </w:p>
    <w:p w14:paraId="3D354C37" w14:textId="77777777" w:rsidR="00CF1D21" w:rsidRPr="00F13073" w:rsidRDefault="00CF1D21" w:rsidP="008B4C50">
      <w:r w:rsidRPr="00F13073">
        <w:t>tocilizumab</w:t>
      </w:r>
    </w:p>
    <w:p w14:paraId="40B9BE03" w14:textId="77777777" w:rsidR="00CF1D21" w:rsidRPr="00F13073" w:rsidRDefault="00CF1D21" w:rsidP="008B4C50"/>
    <w:p w14:paraId="30BB3F60" w14:textId="77777777" w:rsidR="00CF1D21" w:rsidRPr="00F13073" w:rsidRDefault="00CF1D21" w:rsidP="008B4C50"/>
    <w:p w14:paraId="1A7B07E4" w14:textId="77777777" w:rsidR="00CF1D21" w:rsidRPr="0081094B" w:rsidRDefault="00CF1D21" w:rsidP="008B4C50">
      <w:pPr>
        <w:pStyle w:val="BoxedHeading"/>
        <w:rPr>
          <w:lang w:val="pl-PL"/>
        </w:rPr>
      </w:pPr>
      <w:r w:rsidRPr="0081094B">
        <w:rPr>
          <w:lang w:val="pl-PL"/>
        </w:rPr>
        <w:t>2.</w:t>
      </w:r>
      <w:r w:rsidRPr="0081094B">
        <w:rPr>
          <w:lang w:val="pl-PL"/>
        </w:rPr>
        <w:tab/>
        <w:t>ZAWARTOŚĆ SUBSTANCJI CZYNNEJ(YCH)</w:t>
      </w:r>
    </w:p>
    <w:p w14:paraId="7CEA6A46" w14:textId="77777777" w:rsidR="00CF1D21" w:rsidRPr="00F13073" w:rsidRDefault="00CF1D21" w:rsidP="008B4C50"/>
    <w:p w14:paraId="47FC0554" w14:textId="77777777" w:rsidR="00CF1D21" w:rsidRPr="00F13073" w:rsidRDefault="00CF1D21" w:rsidP="008B4C50">
      <w:r w:rsidRPr="00F13073">
        <w:t>1 fiolka zawiera 400 mg tocilizumabu.</w:t>
      </w:r>
    </w:p>
    <w:p w14:paraId="2A6531C5" w14:textId="77777777" w:rsidR="00CF1D21" w:rsidRPr="00F13073" w:rsidRDefault="00CF1D21" w:rsidP="008B4C50"/>
    <w:p w14:paraId="07332CA2" w14:textId="77777777" w:rsidR="00CF1D21" w:rsidRPr="00F13073" w:rsidRDefault="00CF1D21" w:rsidP="008B4C50"/>
    <w:p w14:paraId="51440310" w14:textId="77777777" w:rsidR="00CF1D21" w:rsidRPr="0081094B" w:rsidRDefault="00CF1D21" w:rsidP="008B4C50">
      <w:pPr>
        <w:pStyle w:val="BoxedHeading"/>
        <w:rPr>
          <w:lang w:val="pl-PL"/>
        </w:rPr>
      </w:pPr>
      <w:r w:rsidRPr="0081094B">
        <w:rPr>
          <w:lang w:val="pl-PL"/>
        </w:rPr>
        <w:t>3.</w:t>
      </w:r>
      <w:r w:rsidRPr="0081094B">
        <w:rPr>
          <w:lang w:val="pl-PL"/>
        </w:rPr>
        <w:tab/>
        <w:t>WYKAZ SUBSTANCJI POMOCNICZYCH</w:t>
      </w:r>
    </w:p>
    <w:p w14:paraId="0537B807" w14:textId="77777777" w:rsidR="00B02785" w:rsidRPr="00F13073" w:rsidRDefault="00B02785" w:rsidP="008B4C50"/>
    <w:p w14:paraId="63B18A17" w14:textId="29DD35E9" w:rsidR="00B469B0" w:rsidRPr="00F13073" w:rsidRDefault="00B469B0"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r w:rsidRPr="00F13073" w:rsidDel="00B469B0">
        <w:t xml:space="preserve"> </w:t>
      </w:r>
    </w:p>
    <w:p w14:paraId="787B4A3D" w14:textId="3DA0FA5D" w:rsidR="00CF1D21" w:rsidRPr="00F13073" w:rsidRDefault="00CF1D21" w:rsidP="008B4C50">
      <w:r w:rsidRPr="00F13073">
        <w:t>Dokładna informacja znajduje się w ulotce dla pacjenta.</w:t>
      </w:r>
    </w:p>
    <w:p w14:paraId="2CDBEDB6" w14:textId="77777777" w:rsidR="00CF1D21" w:rsidRPr="00F13073" w:rsidRDefault="00CF1D21" w:rsidP="008B4C50"/>
    <w:p w14:paraId="0C3B3A29" w14:textId="77777777" w:rsidR="00CF1D21" w:rsidRPr="00F13073" w:rsidRDefault="00CF1D21" w:rsidP="008B4C50"/>
    <w:p w14:paraId="5732DE9B" w14:textId="77777777" w:rsidR="00CF1D21" w:rsidRPr="0081094B" w:rsidRDefault="00CF1D21" w:rsidP="008B4C50">
      <w:pPr>
        <w:pStyle w:val="BoxedHeading"/>
        <w:rPr>
          <w:lang w:val="pl-PL"/>
        </w:rPr>
      </w:pPr>
      <w:r w:rsidRPr="0081094B">
        <w:rPr>
          <w:lang w:val="pl-PL"/>
        </w:rPr>
        <w:t>4.</w:t>
      </w:r>
      <w:r w:rsidRPr="0081094B">
        <w:rPr>
          <w:lang w:val="pl-PL"/>
        </w:rPr>
        <w:tab/>
        <w:t>POSTAĆ FARMACEUTYCZNA I ZAWARTOŚĆ OPAKOWANIA</w:t>
      </w:r>
    </w:p>
    <w:p w14:paraId="5592C47D" w14:textId="77777777" w:rsidR="00CF1D21" w:rsidRPr="00F13073" w:rsidRDefault="00CF1D21" w:rsidP="008B4C50"/>
    <w:p w14:paraId="7A88C3A0" w14:textId="77777777" w:rsidR="00CF1D21" w:rsidRPr="00F13073" w:rsidRDefault="00CF1D21" w:rsidP="008B4C50">
      <w:r w:rsidRPr="00F13073">
        <w:t>Koncentrat do sporządzania roztworu do infuzji</w:t>
      </w:r>
    </w:p>
    <w:p w14:paraId="6BC5D79E" w14:textId="77777777" w:rsidR="00CF1D21" w:rsidRPr="00F13073" w:rsidRDefault="00CF1D21" w:rsidP="008B4C50">
      <w:r w:rsidRPr="00F13073">
        <w:t>400 mg/20 mL</w:t>
      </w:r>
    </w:p>
    <w:p w14:paraId="1FEDCA67" w14:textId="77777777" w:rsidR="00CF1D21" w:rsidRPr="00F13073" w:rsidRDefault="00CF1D21" w:rsidP="008B4C50">
      <w:r w:rsidRPr="00F13073">
        <w:t>1 fiolka o pojemności 20 mL</w:t>
      </w:r>
    </w:p>
    <w:p w14:paraId="007A8A98" w14:textId="77777777" w:rsidR="00CF1D21" w:rsidRPr="00F13073" w:rsidRDefault="00CF1D21" w:rsidP="008B4C50">
      <w:r w:rsidRPr="00F13073">
        <w:t>4 fiolki o pojemności 20 mL</w:t>
      </w:r>
    </w:p>
    <w:p w14:paraId="78238D08" w14:textId="77777777" w:rsidR="00CF1D21" w:rsidRPr="00F13073" w:rsidRDefault="00CF1D21" w:rsidP="008B4C50"/>
    <w:p w14:paraId="06E6655F" w14:textId="77777777" w:rsidR="00CF1D21" w:rsidRPr="00F13073" w:rsidRDefault="00CF1D21" w:rsidP="008B4C50"/>
    <w:p w14:paraId="4FCB9719" w14:textId="77777777" w:rsidR="00CF1D21" w:rsidRPr="0081094B" w:rsidRDefault="00CF1D21" w:rsidP="008B4C50">
      <w:pPr>
        <w:pStyle w:val="BoxedHeading"/>
        <w:rPr>
          <w:lang w:val="pl-PL"/>
        </w:rPr>
      </w:pPr>
      <w:r w:rsidRPr="0081094B">
        <w:rPr>
          <w:lang w:val="pl-PL"/>
        </w:rPr>
        <w:t>5.</w:t>
      </w:r>
      <w:r w:rsidRPr="0081094B">
        <w:rPr>
          <w:lang w:val="pl-PL"/>
        </w:rPr>
        <w:tab/>
        <w:t>SPOSÓB I DROGA(I) PODANIA</w:t>
      </w:r>
    </w:p>
    <w:p w14:paraId="50706CA7" w14:textId="77777777" w:rsidR="00CF1D21" w:rsidRPr="00F13073" w:rsidRDefault="00CF1D21" w:rsidP="008B4C50"/>
    <w:p w14:paraId="040522F4" w14:textId="77777777" w:rsidR="00CF1D21" w:rsidRPr="00F13073" w:rsidRDefault="00CF1D21" w:rsidP="008B4C50">
      <w:r w:rsidRPr="00F13073">
        <w:t>Do infuzji dożylnej po rozcieńczeniu</w:t>
      </w:r>
    </w:p>
    <w:p w14:paraId="541AADC7" w14:textId="77777777" w:rsidR="00CF1D21" w:rsidRPr="00F13073" w:rsidRDefault="00CF1D21" w:rsidP="008B4C50">
      <w:r w:rsidRPr="00F13073">
        <w:t>Lek powinien być użyty bezpośrednio po sporządzeniu roztworu</w:t>
      </w:r>
    </w:p>
    <w:p w14:paraId="1E897B8B" w14:textId="77777777" w:rsidR="00CF1D21" w:rsidRPr="00F13073" w:rsidRDefault="00CF1D21" w:rsidP="008B4C50">
      <w:r w:rsidRPr="00F13073">
        <w:t>Należy zapoznać się z treścią ulotki przed zastosowaniem leku</w:t>
      </w:r>
    </w:p>
    <w:p w14:paraId="1B554B94" w14:textId="77777777" w:rsidR="00CF1D21" w:rsidRPr="00F13073" w:rsidRDefault="00CF1D21" w:rsidP="008B4C50"/>
    <w:p w14:paraId="32413C91" w14:textId="77777777" w:rsidR="00CF1D21" w:rsidRPr="00F13073" w:rsidRDefault="00CF1D21" w:rsidP="008B4C50"/>
    <w:p w14:paraId="0BBD4B50" w14:textId="77777777" w:rsidR="00CF1D21" w:rsidRPr="0081094B" w:rsidRDefault="00CF1D21" w:rsidP="008B4C50">
      <w:pPr>
        <w:pStyle w:val="BoxedHeading"/>
        <w:rPr>
          <w:lang w:val="pl-PL"/>
        </w:rPr>
      </w:pPr>
      <w:r w:rsidRPr="0081094B">
        <w:rPr>
          <w:lang w:val="pl-PL"/>
        </w:rPr>
        <w:t>6.</w:t>
      </w:r>
      <w:r w:rsidRPr="0081094B">
        <w:rPr>
          <w:lang w:val="pl-PL"/>
        </w:rPr>
        <w:tab/>
        <w:t>OSTRZEŻENIE DOTYCZĄCE PRZECHOWYWANIA PRODUKTU LECZNICZEGO W MIEJSCU NIEWIDOCZNYM I NIEDOSTĘPNYM DLA DZIECI</w:t>
      </w:r>
    </w:p>
    <w:p w14:paraId="77FEFE39" w14:textId="77777777" w:rsidR="00CF1D21" w:rsidRPr="00F13073" w:rsidRDefault="00CF1D21" w:rsidP="008B4C50"/>
    <w:p w14:paraId="0C6BB976" w14:textId="77777777" w:rsidR="00CF1D21" w:rsidRPr="00F13073" w:rsidRDefault="00CF1D21" w:rsidP="008B4C50">
      <w:r w:rsidRPr="00F13073">
        <w:t>Lek przechowywać w miejscu niewidocznym i niedostępnym dla dzieci</w:t>
      </w:r>
    </w:p>
    <w:p w14:paraId="1BB694F3" w14:textId="77777777" w:rsidR="00CF1D21" w:rsidRPr="00F13073" w:rsidRDefault="00CF1D21" w:rsidP="008B4C50"/>
    <w:p w14:paraId="467CE0C7" w14:textId="77777777" w:rsidR="00CF1D21" w:rsidRPr="00F13073" w:rsidRDefault="00CF1D21" w:rsidP="008B4C50"/>
    <w:p w14:paraId="3FC81C77" w14:textId="77777777" w:rsidR="00CF1D21" w:rsidRPr="0081094B" w:rsidRDefault="00CF1D21" w:rsidP="008B4C50">
      <w:pPr>
        <w:pStyle w:val="BoxedHeading"/>
        <w:rPr>
          <w:lang w:val="pl-PL"/>
        </w:rPr>
      </w:pPr>
      <w:r w:rsidRPr="0081094B">
        <w:rPr>
          <w:lang w:val="pl-PL"/>
        </w:rPr>
        <w:t>7.</w:t>
      </w:r>
      <w:r w:rsidRPr="0081094B">
        <w:rPr>
          <w:lang w:val="pl-PL"/>
        </w:rPr>
        <w:tab/>
        <w:t>INNE OSTRZEŻENIA SPECJALNE, JEŚLI KONIECZNE</w:t>
      </w:r>
    </w:p>
    <w:p w14:paraId="7AF8E9D4" w14:textId="77777777" w:rsidR="00CF1D21" w:rsidRPr="00F13073" w:rsidRDefault="00CF1D21" w:rsidP="008B4C50"/>
    <w:p w14:paraId="3A2F59BC" w14:textId="77777777" w:rsidR="00CF1D21" w:rsidRPr="00F13073" w:rsidRDefault="00CF1D21" w:rsidP="008B4C50"/>
    <w:p w14:paraId="4592548B" w14:textId="77777777" w:rsidR="00CF1D21" w:rsidRPr="0081094B" w:rsidRDefault="00CF1D21" w:rsidP="008B4C50">
      <w:pPr>
        <w:pStyle w:val="BoxedHeading"/>
        <w:rPr>
          <w:lang w:val="pl-PL"/>
        </w:rPr>
      </w:pPr>
      <w:r w:rsidRPr="0081094B">
        <w:rPr>
          <w:lang w:val="pl-PL"/>
        </w:rPr>
        <w:t>8.</w:t>
      </w:r>
      <w:r w:rsidRPr="0081094B">
        <w:rPr>
          <w:lang w:val="pl-PL"/>
        </w:rPr>
        <w:tab/>
        <w:t>TERMIN WAŻNOŚCI</w:t>
      </w:r>
    </w:p>
    <w:p w14:paraId="19C22AC5" w14:textId="77777777" w:rsidR="00CF1D21" w:rsidRPr="00F13073" w:rsidRDefault="00CF1D21" w:rsidP="008B4C50"/>
    <w:p w14:paraId="48EF8BFA" w14:textId="77777777" w:rsidR="00CF1D21" w:rsidRPr="00F13073" w:rsidRDefault="00CF1D21" w:rsidP="008B4C50">
      <w:r w:rsidRPr="00F13073">
        <w:t>Termin ważności (EXP)</w:t>
      </w:r>
    </w:p>
    <w:p w14:paraId="28D9C971" w14:textId="77777777" w:rsidR="00102508" w:rsidRPr="00F13073" w:rsidRDefault="00102508" w:rsidP="008B4C50"/>
    <w:p w14:paraId="4611C2CD" w14:textId="77777777" w:rsidR="00102508" w:rsidRPr="00F13073" w:rsidRDefault="00102508" w:rsidP="008B4C50"/>
    <w:p w14:paraId="326B08A4" w14:textId="77777777" w:rsidR="00CF1D21" w:rsidRPr="0081094B" w:rsidRDefault="00CF1D21" w:rsidP="008B4C50">
      <w:pPr>
        <w:pStyle w:val="BoxedHeading"/>
        <w:rPr>
          <w:lang w:val="pl-PL"/>
        </w:rPr>
      </w:pPr>
      <w:r w:rsidRPr="0081094B">
        <w:rPr>
          <w:lang w:val="pl-PL"/>
        </w:rPr>
        <w:lastRenderedPageBreak/>
        <w:t>9.</w:t>
      </w:r>
      <w:r w:rsidRPr="0081094B">
        <w:rPr>
          <w:lang w:val="pl-PL"/>
        </w:rPr>
        <w:tab/>
        <w:t>WARUNKI PRZECHOWYWANIA</w:t>
      </w:r>
    </w:p>
    <w:p w14:paraId="4F375112" w14:textId="77777777" w:rsidR="00CF1D21" w:rsidRPr="00F13073" w:rsidRDefault="00CF1D21" w:rsidP="008B4C50">
      <w:pPr>
        <w:keepNext/>
      </w:pPr>
    </w:p>
    <w:p w14:paraId="182E030C" w14:textId="77777777" w:rsidR="00CF1D21" w:rsidRPr="00F13073" w:rsidRDefault="00CF1D21" w:rsidP="008B4C50">
      <w:pPr>
        <w:keepNext/>
      </w:pPr>
      <w:r w:rsidRPr="00F13073">
        <w:t>Przechowywać w lodówce</w:t>
      </w:r>
    </w:p>
    <w:p w14:paraId="38379F3A" w14:textId="77777777" w:rsidR="00CF1D21" w:rsidRPr="00F13073" w:rsidRDefault="00CF1D21" w:rsidP="008B4C50">
      <w:pPr>
        <w:keepNext/>
      </w:pPr>
      <w:r w:rsidRPr="00F13073">
        <w:t>Nie zamrażać</w:t>
      </w:r>
    </w:p>
    <w:p w14:paraId="48E452EE" w14:textId="515FDDB3" w:rsidR="00CF1D21" w:rsidRPr="00F13073" w:rsidRDefault="00CF1D21" w:rsidP="008B4C50">
      <w:pPr>
        <w:keepNext/>
      </w:pPr>
      <w:r w:rsidRPr="00F13073">
        <w:t>Fiolkę przechowywać w opakowaniu zewnętrznym w celu ochrony przed światłem</w:t>
      </w:r>
    </w:p>
    <w:p w14:paraId="7A4E4CA6" w14:textId="77777777" w:rsidR="00CF1D21" w:rsidRPr="00F13073" w:rsidRDefault="00CF1D21" w:rsidP="008B4C50">
      <w:pPr>
        <w:keepNext/>
      </w:pPr>
    </w:p>
    <w:p w14:paraId="28DF747E" w14:textId="77777777" w:rsidR="00CF1D21" w:rsidRPr="00F13073" w:rsidRDefault="00CF1D21" w:rsidP="008B4C50"/>
    <w:p w14:paraId="1F84C6BD" w14:textId="77777777" w:rsidR="00CF1D21" w:rsidRPr="0081094B" w:rsidRDefault="00CF1D21"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43C906A5" w14:textId="77777777" w:rsidR="00CF1D21" w:rsidRPr="00F13073" w:rsidRDefault="00CF1D21" w:rsidP="008B4C50"/>
    <w:p w14:paraId="1210B472" w14:textId="77777777" w:rsidR="00CF1D21" w:rsidRPr="00F13073" w:rsidRDefault="00CF1D21" w:rsidP="008B4C50"/>
    <w:p w14:paraId="25E73E5A" w14:textId="77777777" w:rsidR="00CF1D21" w:rsidRPr="0081094B" w:rsidRDefault="00CF1D21" w:rsidP="008B4C50">
      <w:pPr>
        <w:pStyle w:val="BoxedHeading"/>
        <w:rPr>
          <w:lang w:val="pl-PL"/>
        </w:rPr>
      </w:pPr>
      <w:r w:rsidRPr="0081094B">
        <w:rPr>
          <w:lang w:val="pl-PL"/>
        </w:rPr>
        <w:t>11.</w:t>
      </w:r>
      <w:r w:rsidRPr="0081094B">
        <w:rPr>
          <w:lang w:val="pl-PL"/>
        </w:rPr>
        <w:tab/>
        <w:t>NAZWA I ADRES PODMIOTU ODPOWIEDZIALNEGO</w:t>
      </w:r>
    </w:p>
    <w:p w14:paraId="334FBA5E" w14:textId="77777777" w:rsidR="00CF1D21" w:rsidRPr="00F13073" w:rsidRDefault="00CF1D21" w:rsidP="008B4C50"/>
    <w:p w14:paraId="459688B3" w14:textId="77777777" w:rsidR="00A913CA" w:rsidRPr="00F13073" w:rsidRDefault="00A913CA" w:rsidP="00A913CA">
      <w:pPr>
        <w:keepNext/>
      </w:pPr>
      <w:r w:rsidRPr="00F13073">
        <w:t xml:space="preserve">Celltrion Healthcare Hungary Kft. </w:t>
      </w:r>
    </w:p>
    <w:p w14:paraId="3B070E0C" w14:textId="77777777" w:rsidR="00A913CA" w:rsidRPr="00127FBE" w:rsidRDefault="00A913CA" w:rsidP="00A913CA">
      <w:pPr>
        <w:keepNext/>
        <w:rPr>
          <w:lang w:val="en-GB"/>
        </w:rPr>
      </w:pPr>
      <w:r w:rsidRPr="00127FBE">
        <w:rPr>
          <w:lang w:val="en-GB"/>
        </w:rPr>
        <w:t>1062 Budapest</w:t>
      </w:r>
    </w:p>
    <w:p w14:paraId="18B2C617" w14:textId="77777777" w:rsidR="00A913CA" w:rsidRPr="00127FBE" w:rsidRDefault="00A913CA" w:rsidP="00A913CA">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1D663121" w14:textId="686BE8D2" w:rsidR="00A913CA" w:rsidRPr="00F13073" w:rsidRDefault="00A913CA" w:rsidP="00A913CA">
      <w:r w:rsidRPr="00F13073">
        <w:t>Węgry</w:t>
      </w:r>
    </w:p>
    <w:p w14:paraId="3C368E80" w14:textId="77777777" w:rsidR="00CF1D21" w:rsidRPr="00F13073" w:rsidRDefault="00CF1D21" w:rsidP="008B4C50"/>
    <w:p w14:paraId="14059B32" w14:textId="77777777" w:rsidR="00CF1D21" w:rsidRPr="00F13073" w:rsidRDefault="00CF1D21" w:rsidP="008B4C50"/>
    <w:p w14:paraId="361F86B6" w14:textId="77777777" w:rsidR="00CF1D21" w:rsidRPr="0081094B" w:rsidRDefault="00CF1D21" w:rsidP="008B4C50">
      <w:pPr>
        <w:pStyle w:val="BoxedHeading"/>
        <w:rPr>
          <w:lang w:val="pl-PL"/>
        </w:rPr>
      </w:pPr>
      <w:r w:rsidRPr="0081094B">
        <w:rPr>
          <w:lang w:val="pl-PL"/>
        </w:rPr>
        <w:t>12.</w:t>
      </w:r>
      <w:r w:rsidRPr="0081094B">
        <w:rPr>
          <w:lang w:val="pl-PL"/>
        </w:rPr>
        <w:tab/>
        <w:t>NUMER(Y) POZWOLENIA(Ń) NA DOPUSZCZENIE DO OBROTU</w:t>
      </w:r>
    </w:p>
    <w:p w14:paraId="727FBAC6" w14:textId="77777777" w:rsidR="00CF1D21" w:rsidRPr="00F13073" w:rsidRDefault="00CF1D21" w:rsidP="008B4C50"/>
    <w:p w14:paraId="292D22C9" w14:textId="73D30FEF" w:rsidR="00CF1D21" w:rsidRPr="00F13073" w:rsidRDefault="00CF1D21" w:rsidP="0081094B">
      <w:pPr>
        <w:keepNext/>
      </w:pPr>
      <w:r w:rsidRPr="00F13073">
        <w:t>EU</w:t>
      </w:r>
      <w:r w:rsidR="00A913CA" w:rsidRPr="00F13073">
        <w:t>/</w:t>
      </w:r>
      <w:r w:rsidR="0040032C" w:rsidRPr="00F458BB">
        <w:rPr>
          <w:spacing w:val="-1"/>
          <w:lang w:val="pt-BR"/>
        </w:rPr>
        <w:t>1/24/1896/00</w:t>
      </w:r>
      <w:r w:rsidR="0040032C">
        <w:rPr>
          <w:rFonts w:eastAsia="맑은 고딕"/>
          <w:spacing w:val="-1"/>
          <w:lang w:val="pt-BR" w:eastAsia="ko-KR"/>
        </w:rPr>
        <w:t>5 1 fiolka</w:t>
      </w:r>
    </w:p>
    <w:p w14:paraId="439C3F61" w14:textId="031730B3" w:rsidR="00CF1D21" w:rsidRPr="00F13073" w:rsidRDefault="00CF1D21" w:rsidP="0081094B">
      <w:pPr>
        <w:keepNext/>
      </w:pPr>
      <w:r w:rsidRPr="00F13073">
        <w:t>EU</w:t>
      </w:r>
      <w:r w:rsidR="00A913CA" w:rsidRPr="00F13073">
        <w:t>/</w:t>
      </w:r>
      <w:r w:rsidR="0040032C" w:rsidRPr="00F458BB">
        <w:rPr>
          <w:spacing w:val="-1"/>
          <w:lang w:val="pt-BR"/>
        </w:rPr>
        <w:t>1/24/1896/00</w:t>
      </w:r>
      <w:r w:rsidR="0040032C">
        <w:rPr>
          <w:rFonts w:eastAsia="맑은 고딕"/>
          <w:spacing w:val="-1"/>
          <w:lang w:val="pt-BR" w:eastAsia="ko-KR"/>
        </w:rPr>
        <w:t>6 4 fiolki</w:t>
      </w:r>
    </w:p>
    <w:p w14:paraId="5C383538" w14:textId="77777777" w:rsidR="00CF1D21" w:rsidRPr="00F13073" w:rsidRDefault="00CF1D21" w:rsidP="008B4C50"/>
    <w:p w14:paraId="735E7C08" w14:textId="77777777" w:rsidR="00CF1D21" w:rsidRPr="00F13073" w:rsidRDefault="00CF1D21" w:rsidP="008B4C50"/>
    <w:p w14:paraId="0AC9452E" w14:textId="77777777" w:rsidR="00CF1D21" w:rsidRPr="00D209C2" w:rsidRDefault="00CF1D21" w:rsidP="008B4C50">
      <w:pPr>
        <w:pStyle w:val="BoxedHeading"/>
        <w:rPr>
          <w:lang w:val="pl-PL"/>
        </w:rPr>
      </w:pPr>
      <w:r w:rsidRPr="00D209C2">
        <w:rPr>
          <w:lang w:val="pl-PL"/>
        </w:rPr>
        <w:t>13.</w:t>
      </w:r>
      <w:r w:rsidRPr="00D209C2">
        <w:rPr>
          <w:lang w:val="pl-PL"/>
        </w:rPr>
        <w:tab/>
        <w:t>NUMER SERII</w:t>
      </w:r>
    </w:p>
    <w:p w14:paraId="666FBC5E" w14:textId="77777777" w:rsidR="00CF1D21" w:rsidRPr="00D209C2" w:rsidRDefault="00CF1D21" w:rsidP="008B4C50"/>
    <w:p w14:paraId="679A4700" w14:textId="77777777" w:rsidR="00CF1D21" w:rsidRPr="00D209C2" w:rsidRDefault="00CF1D21" w:rsidP="008B4C50">
      <w:r w:rsidRPr="00D209C2">
        <w:t>Nr serii (Lot)</w:t>
      </w:r>
    </w:p>
    <w:p w14:paraId="24A2B793" w14:textId="77777777" w:rsidR="00CF1D21" w:rsidRPr="00D209C2" w:rsidRDefault="00CF1D21" w:rsidP="008B4C50"/>
    <w:p w14:paraId="11693D73" w14:textId="77777777" w:rsidR="00CF1D21" w:rsidRPr="00D209C2" w:rsidRDefault="00CF1D21" w:rsidP="008B4C50"/>
    <w:p w14:paraId="0D671D5A" w14:textId="77777777" w:rsidR="00CF1D21" w:rsidRPr="0081094B" w:rsidRDefault="00CF1D21" w:rsidP="008B4C50">
      <w:pPr>
        <w:pStyle w:val="BoxedHeading"/>
        <w:rPr>
          <w:lang w:val="pl-PL"/>
        </w:rPr>
      </w:pPr>
      <w:r w:rsidRPr="0081094B">
        <w:rPr>
          <w:lang w:val="pl-PL"/>
        </w:rPr>
        <w:t>14.</w:t>
      </w:r>
      <w:r w:rsidRPr="0081094B">
        <w:rPr>
          <w:lang w:val="pl-PL"/>
        </w:rPr>
        <w:tab/>
        <w:t>OGÓLNA KATEGORIA DOSTĘPNOŚCI</w:t>
      </w:r>
    </w:p>
    <w:p w14:paraId="47DDBE7E" w14:textId="77777777" w:rsidR="00CF1D21" w:rsidRPr="00F13073" w:rsidRDefault="00CF1D21" w:rsidP="008B4C50"/>
    <w:p w14:paraId="20E1B57A" w14:textId="77777777" w:rsidR="00CF1D21" w:rsidRPr="00F13073" w:rsidRDefault="00CF1D21" w:rsidP="008B4C50">
      <w:r>
        <w:rPr>
          <w:highlight w:val="lightGray"/>
        </w:rPr>
        <w:t>Produkt leczniczy wydawany z przepisu lekarza</w:t>
      </w:r>
    </w:p>
    <w:p w14:paraId="0DFBCAA9" w14:textId="77777777" w:rsidR="00CF1D21" w:rsidRPr="00F13073" w:rsidRDefault="00CF1D21" w:rsidP="008B4C50"/>
    <w:p w14:paraId="0F9A77DC" w14:textId="77777777" w:rsidR="00CF1D21" w:rsidRPr="00F13073" w:rsidRDefault="00CF1D21" w:rsidP="008B4C50"/>
    <w:p w14:paraId="33F4EAD2" w14:textId="77777777" w:rsidR="00CF1D21" w:rsidRPr="0081094B" w:rsidRDefault="00CF1D21" w:rsidP="008B4C50">
      <w:pPr>
        <w:pStyle w:val="BoxedHeading"/>
        <w:rPr>
          <w:lang w:val="pl-PL"/>
        </w:rPr>
      </w:pPr>
      <w:r w:rsidRPr="0081094B">
        <w:rPr>
          <w:lang w:val="pl-PL"/>
        </w:rPr>
        <w:t>15.</w:t>
      </w:r>
      <w:r w:rsidRPr="0081094B">
        <w:rPr>
          <w:lang w:val="pl-PL"/>
        </w:rPr>
        <w:tab/>
        <w:t>INSTRUKCJA UŻYCIA</w:t>
      </w:r>
    </w:p>
    <w:p w14:paraId="55E14118" w14:textId="77777777" w:rsidR="00CF1D21" w:rsidRPr="00F13073" w:rsidRDefault="00CF1D21" w:rsidP="008B4C50"/>
    <w:p w14:paraId="3D8B2882" w14:textId="77777777" w:rsidR="00CF1D21" w:rsidRPr="00F13073" w:rsidRDefault="00CF1D21" w:rsidP="008B4C50"/>
    <w:p w14:paraId="1E9DE78F" w14:textId="77777777" w:rsidR="00CF1D21" w:rsidRPr="0081094B" w:rsidRDefault="00CF1D21" w:rsidP="008B4C50">
      <w:pPr>
        <w:pStyle w:val="BoxedHeading"/>
        <w:rPr>
          <w:lang w:val="pl-PL"/>
        </w:rPr>
      </w:pPr>
      <w:r w:rsidRPr="0081094B">
        <w:rPr>
          <w:lang w:val="pl-PL"/>
        </w:rPr>
        <w:t>16.</w:t>
      </w:r>
      <w:r w:rsidRPr="0081094B">
        <w:rPr>
          <w:lang w:val="pl-PL"/>
        </w:rPr>
        <w:tab/>
        <w:t>INFORMACJA PODANA SYSTEMEM BRAILLE’A</w:t>
      </w:r>
    </w:p>
    <w:p w14:paraId="2AC914BE" w14:textId="77777777" w:rsidR="00CF1D21" w:rsidRPr="00F13073" w:rsidRDefault="00CF1D21" w:rsidP="008B4C50"/>
    <w:p w14:paraId="7F2D94E9" w14:textId="77777777" w:rsidR="00CF1D21" w:rsidRPr="00F13073" w:rsidRDefault="00CF1D21" w:rsidP="008B4C50">
      <w:r>
        <w:rPr>
          <w:highlight w:val="lightGray"/>
        </w:rPr>
        <w:t>Zaakceptowano uzasadnienie braku informacji systemem Braille’a</w:t>
      </w:r>
    </w:p>
    <w:p w14:paraId="12B6B153" w14:textId="77777777" w:rsidR="00CF1D21" w:rsidRPr="00F13073" w:rsidRDefault="00CF1D21" w:rsidP="008B4C50"/>
    <w:p w14:paraId="05BD683D" w14:textId="77777777" w:rsidR="00CF1D21" w:rsidRPr="00F13073" w:rsidRDefault="00CF1D21" w:rsidP="008B4C50"/>
    <w:p w14:paraId="4E54B0A5" w14:textId="77777777" w:rsidR="00CF1D21" w:rsidRPr="0081094B" w:rsidRDefault="00CF1D21"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22098488" w14:textId="77777777" w:rsidR="00CF1D21" w:rsidRPr="00F13073" w:rsidRDefault="00CF1D21" w:rsidP="008B4C50"/>
    <w:p w14:paraId="622E2008" w14:textId="77777777" w:rsidR="00CF1D21" w:rsidRPr="00F13073" w:rsidRDefault="00CF1D21" w:rsidP="008B4C50">
      <w:r>
        <w:rPr>
          <w:highlight w:val="lightGray"/>
        </w:rPr>
        <w:t>&lt;Obejmuje kod 2D będący nośnikiem niepowtarzalnego identyfikatora.&gt;</w:t>
      </w:r>
    </w:p>
    <w:p w14:paraId="1E8FCFD0" w14:textId="77777777" w:rsidR="00CF1D21" w:rsidRPr="00F13073" w:rsidRDefault="00CF1D21" w:rsidP="008B4C50"/>
    <w:p w14:paraId="0E24308A" w14:textId="77777777" w:rsidR="00CF1D21" w:rsidRPr="00F13073" w:rsidRDefault="00CF1D21" w:rsidP="008B4C50"/>
    <w:p w14:paraId="1D66C6AC" w14:textId="77777777" w:rsidR="00CF1D21" w:rsidRPr="0081094B" w:rsidRDefault="00CF1D21"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0AE0723B" w14:textId="77777777" w:rsidR="00AD0B24" w:rsidRPr="00F13073" w:rsidRDefault="00AD0B24" w:rsidP="008B4C50"/>
    <w:p w14:paraId="5F8AE852" w14:textId="77777777" w:rsidR="00102508" w:rsidRPr="00F13073" w:rsidRDefault="00102508" w:rsidP="008B4C50">
      <w:r w:rsidRPr="00F13073">
        <w:t xml:space="preserve">PC </w:t>
      </w:r>
    </w:p>
    <w:p w14:paraId="6EFF760A" w14:textId="77777777" w:rsidR="00102508" w:rsidRPr="00F13073" w:rsidRDefault="00102508" w:rsidP="008B4C50">
      <w:r w:rsidRPr="00F13073">
        <w:t xml:space="preserve">SN </w:t>
      </w:r>
    </w:p>
    <w:p w14:paraId="59605F2F" w14:textId="77777777" w:rsidR="00102508" w:rsidRPr="00F13073" w:rsidRDefault="00102508" w:rsidP="008B4C50">
      <w:r w:rsidRPr="00D209C2">
        <w:rPr>
          <w:highlight w:val="lightGray"/>
        </w:rPr>
        <w:t>NN</w:t>
      </w:r>
    </w:p>
    <w:p w14:paraId="0E5955F3" w14:textId="1685BAB3" w:rsidR="00A913CA" w:rsidRPr="00F13073" w:rsidRDefault="00A913CA" w:rsidP="008B4C50">
      <w:r w:rsidRPr="00F13073">
        <w:rPr>
          <w:b/>
          <w:bCs/>
        </w:rPr>
        <w:br w:type="page"/>
      </w:r>
    </w:p>
    <w:p w14:paraId="196589CD" w14:textId="192AB59B" w:rsidR="00A3477F" w:rsidRPr="00F13073" w:rsidRDefault="00CF1D21" w:rsidP="008B4C50">
      <w:pPr>
        <w:pBdr>
          <w:top w:val="single" w:sz="4" w:space="1" w:color="auto"/>
          <w:left w:val="single" w:sz="4" w:space="4" w:color="auto"/>
          <w:bottom w:val="single" w:sz="4" w:space="1" w:color="auto"/>
          <w:right w:val="single" w:sz="4" w:space="4" w:color="auto"/>
        </w:pBdr>
        <w:rPr>
          <w:b/>
          <w:bCs/>
        </w:rPr>
      </w:pPr>
      <w:r w:rsidRPr="00F13073">
        <w:rPr>
          <w:b/>
          <w:bCs/>
        </w:rPr>
        <w:lastRenderedPageBreak/>
        <w:t>INFORMACJE ZAMIESZCZANE NA OPAKOWANIACH ZEWNĘTRZNYCH</w:t>
      </w:r>
    </w:p>
    <w:p w14:paraId="67644E51" w14:textId="77777777" w:rsidR="00A3477F" w:rsidRPr="00F13073" w:rsidRDefault="00CF1D21" w:rsidP="008B4C50">
      <w:pPr>
        <w:pBdr>
          <w:top w:val="single" w:sz="4" w:space="1" w:color="auto"/>
          <w:left w:val="single" w:sz="4" w:space="4" w:color="auto"/>
          <w:bottom w:val="single" w:sz="4" w:space="1" w:color="auto"/>
          <w:right w:val="single" w:sz="4" w:space="4" w:color="auto"/>
        </w:pBdr>
        <w:rPr>
          <w:b/>
          <w:bCs/>
        </w:rPr>
      </w:pPr>
      <w:r w:rsidRPr="00F13073">
        <w:rPr>
          <w:b/>
          <w:bCs/>
        </w:rPr>
        <w:t>OPAKOWANIE AMPUŁKO-STRZYKAWKI</w:t>
      </w:r>
    </w:p>
    <w:p w14:paraId="0E1D7942" w14:textId="77777777" w:rsidR="00A3477F" w:rsidRPr="00F13073" w:rsidRDefault="00A3477F" w:rsidP="008B4C50"/>
    <w:p w14:paraId="1BC187CF" w14:textId="77777777" w:rsidR="00A3477F" w:rsidRPr="00F13073" w:rsidRDefault="00A3477F" w:rsidP="008B4C50"/>
    <w:p w14:paraId="6A83D7D4" w14:textId="77777777" w:rsidR="001E0975" w:rsidRPr="0081094B" w:rsidRDefault="001721B1" w:rsidP="008B4C50">
      <w:pPr>
        <w:pStyle w:val="BoxedHeading"/>
        <w:rPr>
          <w:lang w:val="pl-PL"/>
        </w:rPr>
      </w:pPr>
      <w:r w:rsidRPr="0081094B">
        <w:rPr>
          <w:lang w:val="pl-PL"/>
        </w:rPr>
        <w:t>1.</w:t>
      </w:r>
      <w:r w:rsidRPr="0081094B">
        <w:rPr>
          <w:lang w:val="pl-PL"/>
        </w:rPr>
        <w:tab/>
      </w:r>
      <w:r w:rsidR="00CF1D21" w:rsidRPr="0081094B">
        <w:rPr>
          <w:lang w:val="pl-PL"/>
        </w:rPr>
        <w:t>NAZWA PRODUKTU LECZNICZEGO</w:t>
      </w:r>
    </w:p>
    <w:p w14:paraId="5EFBD2BB" w14:textId="77777777" w:rsidR="00A3477F" w:rsidRPr="00F13073" w:rsidRDefault="00A3477F" w:rsidP="008B4C50"/>
    <w:p w14:paraId="7DD02D4A" w14:textId="21C08A1A" w:rsidR="00A3477F" w:rsidRPr="00F13073" w:rsidRDefault="00026375" w:rsidP="008B4C50">
      <w:r w:rsidRPr="00F13073">
        <w:t>Avtozma</w:t>
      </w:r>
      <w:r w:rsidR="00CF1D21" w:rsidRPr="00F13073">
        <w:t xml:space="preserve"> 162 mg roztwór do wstrzykiwań w ampułko-strzykawce</w:t>
      </w:r>
    </w:p>
    <w:p w14:paraId="36667C86" w14:textId="77777777" w:rsidR="001E0975" w:rsidRPr="00F13073" w:rsidRDefault="00611033" w:rsidP="008B4C50">
      <w:r w:rsidRPr="00F13073">
        <w:t>tocilizumab</w:t>
      </w:r>
    </w:p>
    <w:p w14:paraId="14C3F846" w14:textId="77777777" w:rsidR="00A3477F" w:rsidRPr="00F13073" w:rsidRDefault="00A3477F" w:rsidP="008B4C50"/>
    <w:p w14:paraId="3D1855DE" w14:textId="77777777" w:rsidR="00A3477F" w:rsidRPr="00F13073" w:rsidRDefault="00A3477F" w:rsidP="008B4C50"/>
    <w:p w14:paraId="69A30794" w14:textId="77777777" w:rsidR="001E0975" w:rsidRPr="0081094B" w:rsidRDefault="001721B1" w:rsidP="008B4C50">
      <w:pPr>
        <w:pStyle w:val="BoxedHeading"/>
        <w:rPr>
          <w:lang w:val="pl-PL"/>
        </w:rPr>
      </w:pPr>
      <w:r w:rsidRPr="0081094B">
        <w:rPr>
          <w:lang w:val="pl-PL"/>
        </w:rPr>
        <w:t>2.</w:t>
      </w:r>
      <w:r w:rsidRPr="0081094B">
        <w:rPr>
          <w:lang w:val="pl-PL"/>
        </w:rPr>
        <w:tab/>
      </w:r>
      <w:r w:rsidR="00CF1D21" w:rsidRPr="0081094B">
        <w:rPr>
          <w:lang w:val="pl-PL"/>
        </w:rPr>
        <w:t>ZAWARTOŚĆ SUBSTANCJI CZYNNEJ (CZYNNYCH)</w:t>
      </w:r>
    </w:p>
    <w:p w14:paraId="2E66A21E" w14:textId="77777777" w:rsidR="00A3477F" w:rsidRPr="00F13073" w:rsidRDefault="00A3477F" w:rsidP="008B4C50"/>
    <w:p w14:paraId="32661B36" w14:textId="77777777" w:rsidR="001E0975" w:rsidRPr="00F13073" w:rsidRDefault="00CF1D21" w:rsidP="008B4C50">
      <w:r w:rsidRPr="00F13073">
        <w:t>1 ampułko-strzykawka zawiera 162 mg tocilizumabu.</w:t>
      </w:r>
    </w:p>
    <w:p w14:paraId="122EB6F2" w14:textId="77777777" w:rsidR="00A3477F" w:rsidRPr="00F13073" w:rsidRDefault="00A3477F" w:rsidP="008B4C50"/>
    <w:p w14:paraId="252D0A9A" w14:textId="77777777" w:rsidR="00A3477F" w:rsidRPr="00F13073" w:rsidRDefault="00A3477F" w:rsidP="008B4C50"/>
    <w:p w14:paraId="4BFC819F" w14:textId="77777777" w:rsidR="001E0975" w:rsidRPr="0081094B" w:rsidRDefault="001721B1" w:rsidP="008B4C50">
      <w:pPr>
        <w:pStyle w:val="BoxedHeading"/>
        <w:rPr>
          <w:lang w:val="pl-PL"/>
        </w:rPr>
      </w:pPr>
      <w:r w:rsidRPr="0081094B">
        <w:rPr>
          <w:lang w:val="pl-PL"/>
        </w:rPr>
        <w:t>3.</w:t>
      </w:r>
      <w:r w:rsidRPr="0081094B">
        <w:rPr>
          <w:lang w:val="pl-PL"/>
        </w:rPr>
        <w:tab/>
      </w:r>
      <w:r w:rsidR="00CF1D21" w:rsidRPr="0081094B">
        <w:rPr>
          <w:lang w:val="pl-PL"/>
        </w:rPr>
        <w:t>WYKAZ SUBSTANCJI POMOCNICZYCH</w:t>
      </w:r>
    </w:p>
    <w:p w14:paraId="31059C23" w14:textId="77777777" w:rsidR="00A3477F" w:rsidRPr="00F13073" w:rsidRDefault="00A3477F" w:rsidP="008B4C50"/>
    <w:p w14:paraId="51ACD8BA" w14:textId="2E296EDB" w:rsidR="00B02785" w:rsidRPr="00F13073" w:rsidRDefault="00A627CD" w:rsidP="00A627CD">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p>
    <w:p w14:paraId="316DDC0A" w14:textId="43954CB7" w:rsidR="00A627CD" w:rsidRPr="00F13073" w:rsidRDefault="00A627CD" w:rsidP="00A627CD">
      <w:r w:rsidRPr="00F13073">
        <w:t>Dokładna informacja znajduje się w ulotce dla pacjenta.</w:t>
      </w:r>
    </w:p>
    <w:p w14:paraId="21C4DC35" w14:textId="77777777" w:rsidR="00A3477F" w:rsidRPr="00F13073" w:rsidRDefault="00A3477F" w:rsidP="008B4C50"/>
    <w:p w14:paraId="1840900F" w14:textId="77777777" w:rsidR="00A3477F" w:rsidRPr="00F13073" w:rsidRDefault="00A3477F" w:rsidP="008B4C50"/>
    <w:p w14:paraId="7FE348C4" w14:textId="77777777" w:rsidR="001E0975" w:rsidRPr="0081094B" w:rsidRDefault="001721B1" w:rsidP="008B4C50">
      <w:pPr>
        <w:pStyle w:val="BoxedHeading"/>
        <w:rPr>
          <w:lang w:val="pl-PL"/>
        </w:rPr>
      </w:pPr>
      <w:r w:rsidRPr="0081094B">
        <w:rPr>
          <w:lang w:val="pl-PL"/>
        </w:rPr>
        <w:t>4.</w:t>
      </w:r>
      <w:r w:rsidRPr="0081094B">
        <w:rPr>
          <w:lang w:val="pl-PL"/>
        </w:rPr>
        <w:tab/>
      </w:r>
      <w:r w:rsidR="00CF1D21" w:rsidRPr="0081094B">
        <w:rPr>
          <w:lang w:val="pl-PL"/>
        </w:rPr>
        <w:t>POSTAĆ FARMACEUTYCZNA I ZAWARTOŚĆ OPAKOWANIA</w:t>
      </w:r>
    </w:p>
    <w:p w14:paraId="4D6B85AE" w14:textId="77777777" w:rsidR="00A3477F" w:rsidRPr="00F13073" w:rsidRDefault="00A3477F" w:rsidP="008B4C50"/>
    <w:p w14:paraId="30F4556E" w14:textId="77777777" w:rsidR="00CF1D21" w:rsidRPr="00F13073" w:rsidRDefault="00CF1D21" w:rsidP="008B4C50">
      <w:r w:rsidRPr="00F13073">
        <w:t>Roztwór do wstrzykiwań w ampułko-strzykawce</w:t>
      </w:r>
    </w:p>
    <w:p w14:paraId="61E58995" w14:textId="3F8B0D9C" w:rsidR="00A627CD" w:rsidRPr="00F13073" w:rsidRDefault="00A627CD" w:rsidP="008B4C50">
      <w:r w:rsidRPr="00F13073">
        <w:t>1 ampułko-strzykawka</w:t>
      </w:r>
    </w:p>
    <w:p w14:paraId="70E9FAF9" w14:textId="0C858AF4" w:rsidR="008D5C3E" w:rsidRPr="00F13073" w:rsidRDefault="008D5C3E" w:rsidP="008D5C3E">
      <w:pPr>
        <w:rPr>
          <w:ins w:id="33" w:author="만든 이"/>
        </w:rPr>
      </w:pPr>
      <w:ins w:id="34" w:author="만든 이">
        <w:r>
          <w:rPr>
            <w:rFonts w:eastAsia="맑은 고딕" w:hint="eastAsia"/>
            <w:lang w:eastAsia="ko-KR"/>
          </w:rPr>
          <w:t>2</w:t>
        </w:r>
        <w:r w:rsidRPr="00F13073">
          <w:t xml:space="preserve"> ampułko-strzykawki</w:t>
        </w:r>
      </w:ins>
    </w:p>
    <w:p w14:paraId="287E220C" w14:textId="24DA330F" w:rsidR="00CF1D21" w:rsidRPr="00F13073" w:rsidRDefault="00CF1D21" w:rsidP="008B4C50">
      <w:r w:rsidRPr="00F13073">
        <w:t>4 ampułko-strzykawki</w:t>
      </w:r>
    </w:p>
    <w:p w14:paraId="09ECEBF9" w14:textId="77777777" w:rsidR="001E0975" w:rsidRPr="00F13073" w:rsidRDefault="00CF1D21" w:rsidP="008B4C50">
      <w:r w:rsidRPr="00F13073">
        <w:t>162 mg/0,9 mL</w:t>
      </w:r>
    </w:p>
    <w:p w14:paraId="6125591E" w14:textId="77777777" w:rsidR="00A3477F" w:rsidRPr="00F13073" w:rsidRDefault="00A3477F" w:rsidP="008B4C50"/>
    <w:p w14:paraId="70D8AD6F" w14:textId="77777777" w:rsidR="00A3477F" w:rsidRPr="00F13073" w:rsidRDefault="00A3477F" w:rsidP="008B4C50"/>
    <w:p w14:paraId="43827DD9" w14:textId="77777777" w:rsidR="001E0975" w:rsidRPr="0081094B" w:rsidRDefault="001721B1" w:rsidP="008B4C50">
      <w:pPr>
        <w:pStyle w:val="BoxedHeading"/>
        <w:rPr>
          <w:lang w:val="pl-PL"/>
        </w:rPr>
      </w:pPr>
      <w:r w:rsidRPr="0081094B">
        <w:rPr>
          <w:lang w:val="pl-PL"/>
        </w:rPr>
        <w:t>5.</w:t>
      </w:r>
      <w:r w:rsidRPr="0081094B">
        <w:rPr>
          <w:lang w:val="pl-PL"/>
        </w:rPr>
        <w:tab/>
      </w:r>
      <w:r w:rsidR="00CF1D21" w:rsidRPr="0081094B">
        <w:rPr>
          <w:lang w:val="pl-PL"/>
        </w:rPr>
        <w:t>SPOSÓB I DROGA (DROGI) PODANIA</w:t>
      </w:r>
    </w:p>
    <w:p w14:paraId="0022D7DC" w14:textId="77777777" w:rsidR="00A3477F" w:rsidRPr="00F13073" w:rsidRDefault="00A3477F" w:rsidP="008B4C50"/>
    <w:p w14:paraId="53BFC739" w14:textId="77777777" w:rsidR="00CF1D21" w:rsidRPr="00F13073" w:rsidRDefault="00CF1D21" w:rsidP="008B4C50">
      <w:r w:rsidRPr="00F13073">
        <w:t>Stosowanie podskórne</w:t>
      </w:r>
    </w:p>
    <w:p w14:paraId="7F4AA74D" w14:textId="77777777" w:rsidR="001E0975" w:rsidRPr="00F13073" w:rsidRDefault="00CF1D21" w:rsidP="008B4C50">
      <w:r w:rsidRPr="00F13073">
        <w:t>Należy zapoznać się z treścią ulotki przed zastosowaniem leku</w:t>
      </w:r>
    </w:p>
    <w:p w14:paraId="6E013C24" w14:textId="77777777" w:rsidR="00A3477F" w:rsidRPr="00F13073" w:rsidRDefault="00A3477F" w:rsidP="008B4C50"/>
    <w:p w14:paraId="406D24FE" w14:textId="77777777" w:rsidR="00A3477F" w:rsidRPr="00F13073" w:rsidRDefault="00A3477F" w:rsidP="008B4C50"/>
    <w:p w14:paraId="3630FE1D" w14:textId="4A71C13A" w:rsidR="00A23A01" w:rsidRPr="0081094B" w:rsidRDefault="00A23A01" w:rsidP="008B4C50">
      <w:pPr>
        <w:pStyle w:val="BoxedHeading"/>
        <w:rPr>
          <w:lang w:val="pl-PL"/>
        </w:rPr>
      </w:pPr>
      <w:r w:rsidRPr="0081094B">
        <w:rPr>
          <w:lang w:val="pl-PL"/>
        </w:rPr>
        <w:t>6.</w:t>
      </w:r>
      <w:r w:rsidRPr="0081094B">
        <w:rPr>
          <w:lang w:val="pl-PL"/>
        </w:rPr>
        <w:tab/>
        <w:t>OSTRZEŻENIE DOTYCZĄCE PRZECHOWYWANIA PRODUKTU LECZNICZEGO W MIEJSCU NIEDOSTĘPNYM</w:t>
      </w:r>
      <w:r w:rsidR="001B16C5" w:rsidRPr="0081094B">
        <w:rPr>
          <w:lang w:val="pl-PL"/>
        </w:rPr>
        <w:t xml:space="preserve"> I NIEWIDOCZNYM </w:t>
      </w:r>
      <w:r w:rsidRPr="0081094B">
        <w:rPr>
          <w:lang w:val="pl-PL"/>
        </w:rPr>
        <w:t>DLA DZIECI</w:t>
      </w:r>
    </w:p>
    <w:p w14:paraId="10917036" w14:textId="77777777" w:rsidR="00A23A01" w:rsidRPr="00F13073" w:rsidRDefault="00A23A01" w:rsidP="008B4C50"/>
    <w:p w14:paraId="368A7AA5" w14:textId="77777777" w:rsidR="00A23A01" w:rsidRPr="00F13073" w:rsidRDefault="00A23A01" w:rsidP="008B4C50">
      <w:r w:rsidRPr="00F13073">
        <w:t>Lek przechowywać w miejscu niewidocznym i niedostępnym dla dzieci</w:t>
      </w:r>
    </w:p>
    <w:p w14:paraId="798FDA2A" w14:textId="77777777" w:rsidR="00A23A01" w:rsidRPr="00F13073" w:rsidRDefault="00A23A01" w:rsidP="008B4C50"/>
    <w:p w14:paraId="1EB16F60" w14:textId="77777777" w:rsidR="00A23A01" w:rsidRPr="00F13073" w:rsidRDefault="00A23A01" w:rsidP="008B4C50"/>
    <w:p w14:paraId="180A81EE" w14:textId="77777777" w:rsidR="00A23A01" w:rsidRPr="0081094B" w:rsidRDefault="00A23A01" w:rsidP="008B4C50">
      <w:pPr>
        <w:pStyle w:val="BoxedHeading"/>
        <w:rPr>
          <w:lang w:val="pl-PL"/>
        </w:rPr>
      </w:pPr>
      <w:r w:rsidRPr="0081094B">
        <w:rPr>
          <w:lang w:val="pl-PL"/>
        </w:rPr>
        <w:t>7.</w:t>
      </w:r>
      <w:r w:rsidRPr="0081094B">
        <w:rPr>
          <w:lang w:val="pl-PL"/>
        </w:rPr>
        <w:tab/>
        <w:t>INNE OSTRZEŻENIA SPECJALNE, JEŚLI KONIECZNE</w:t>
      </w:r>
    </w:p>
    <w:p w14:paraId="662748F2" w14:textId="77777777" w:rsidR="00A23A01" w:rsidRPr="00F13073" w:rsidRDefault="00A23A01" w:rsidP="008B4C50"/>
    <w:p w14:paraId="0C2662AE" w14:textId="11D8AE58" w:rsidR="00A23A01" w:rsidRPr="00F13073" w:rsidRDefault="00A23A01" w:rsidP="008B4C50">
      <w:r w:rsidRPr="00F13073">
        <w:t>Przed użyciem ampułko-strzykawkę należy wyjąć z opakowania i umieścić w temperaturze pokojowej na co najmniej 30 minut</w:t>
      </w:r>
    </w:p>
    <w:p w14:paraId="37A45CDE" w14:textId="77777777" w:rsidR="00A23A01" w:rsidRPr="00F13073" w:rsidRDefault="00A23A01" w:rsidP="008B4C50"/>
    <w:p w14:paraId="378B7835" w14:textId="77777777" w:rsidR="00A23A01" w:rsidRPr="00F13073" w:rsidRDefault="00A23A01" w:rsidP="008B4C50"/>
    <w:p w14:paraId="7C8F4EA2" w14:textId="77777777" w:rsidR="00A23A01" w:rsidRPr="0081094B" w:rsidRDefault="00A23A01" w:rsidP="008B4C50">
      <w:pPr>
        <w:pStyle w:val="BoxedHeading"/>
        <w:rPr>
          <w:lang w:val="pl-PL"/>
        </w:rPr>
      </w:pPr>
      <w:r w:rsidRPr="0081094B">
        <w:rPr>
          <w:lang w:val="pl-PL"/>
        </w:rPr>
        <w:t>8.</w:t>
      </w:r>
      <w:r w:rsidRPr="0081094B">
        <w:rPr>
          <w:lang w:val="pl-PL"/>
        </w:rPr>
        <w:tab/>
        <w:t>TERMIN WAŻNOŚCI</w:t>
      </w:r>
    </w:p>
    <w:p w14:paraId="20C8A4B3" w14:textId="77777777" w:rsidR="00A23A01" w:rsidRPr="00F13073" w:rsidRDefault="00A23A01" w:rsidP="008B4C50"/>
    <w:p w14:paraId="4C6326A4" w14:textId="77777777" w:rsidR="00A23A01" w:rsidRPr="00F13073" w:rsidRDefault="00A23A01" w:rsidP="008B4C50">
      <w:r w:rsidRPr="00F13073">
        <w:t>Termin ważności (EXP)</w:t>
      </w:r>
    </w:p>
    <w:p w14:paraId="12CE4396" w14:textId="77777777" w:rsidR="00A3477F" w:rsidRPr="00F13073" w:rsidRDefault="00A3477F" w:rsidP="008B4C50"/>
    <w:p w14:paraId="0E039B73" w14:textId="77777777" w:rsidR="00D953D6" w:rsidRPr="00F13073" w:rsidRDefault="00D953D6" w:rsidP="008B4C50"/>
    <w:p w14:paraId="3B6F48F8" w14:textId="77777777" w:rsidR="00A3477F" w:rsidRPr="0081094B" w:rsidRDefault="00A3477F" w:rsidP="008B4C50">
      <w:pPr>
        <w:pStyle w:val="BoxedHeading"/>
        <w:rPr>
          <w:lang w:val="pl-PL"/>
        </w:rPr>
      </w:pPr>
      <w:r w:rsidRPr="0081094B">
        <w:rPr>
          <w:lang w:val="pl-PL"/>
        </w:rPr>
        <w:lastRenderedPageBreak/>
        <w:t>9.</w:t>
      </w:r>
      <w:r w:rsidRPr="0081094B">
        <w:rPr>
          <w:lang w:val="pl-PL"/>
        </w:rPr>
        <w:tab/>
      </w:r>
      <w:r w:rsidR="00001D1D" w:rsidRPr="0081094B">
        <w:rPr>
          <w:lang w:val="pl-PL"/>
        </w:rPr>
        <w:t>WARUNKI PRZECHOWYWANIA</w:t>
      </w:r>
    </w:p>
    <w:p w14:paraId="374F22CB" w14:textId="77777777" w:rsidR="00A3477F" w:rsidRPr="00F13073" w:rsidRDefault="00A3477F" w:rsidP="008B4C50">
      <w:pPr>
        <w:keepNext/>
      </w:pPr>
    </w:p>
    <w:p w14:paraId="71F69145" w14:textId="77777777" w:rsidR="00001D1D" w:rsidRPr="00F13073" w:rsidRDefault="00001D1D" w:rsidP="008B4C50">
      <w:pPr>
        <w:keepNext/>
      </w:pPr>
      <w:r w:rsidRPr="00F13073">
        <w:t>Przechowywać w lodówce</w:t>
      </w:r>
    </w:p>
    <w:p w14:paraId="1B3007DE" w14:textId="77777777" w:rsidR="00001D1D" w:rsidRPr="00F13073" w:rsidRDefault="00001D1D" w:rsidP="008B4C50">
      <w:pPr>
        <w:keepNext/>
      </w:pPr>
      <w:r w:rsidRPr="00F13073">
        <w:t>Nie zamrażać</w:t>
      </w:r>
    </w:p>
    <w:p w14:paraId="1CAA969C" w14:textId="40A51027" w:rsidR="00001D1D" w:rsidRPr="00F13073" w:rsidRDefault="00001D1D" w:rsidP="008B4C50">
      <w:pPr>
        <w:keepNext/>
      </w:pPr>
      <w:r w:rsidRPr="00F13073">
        <w:t xml:space="preserve">Po wyjęciu z lodówki ampułko-strzykawka może być przechowywana do </w:t>
      </w:r>
      <w:r w:rsidR="008239A8" w:rsidRPr="00F13073">
        <w:t>3</w:t>
      </w:r>
      <w:r w:rsidRPr="00F13073">
        <w:t xml:space="preserve"> tygodni w temperaturze nie wyższej niż 30°C</w:t>
      </w:r>
    </w:p>
    <w:p w14:paraId="576092AC" w14:textId="77777777" w:rsidR="001E0975" w:rsidRPr="00F13073" w:rsidRDefault="00001D1D" w:rsidP="008B4C50">
      <w:pPr>
        <w:keepNext/>
      </w:pPr>
      <w:r w:rsidRPr="00F13073">
        <w:t>Ampułko-strzykawkę należy przechowywać w opakowaniu zewnętrznym w celu ochrony przed światłem i wilgocią</w:t>
      </w:r>
    </w:p>
    <w:p w14:paraId="2EE7AC93" w14:textId="77777777" w:rsidR="00A3477F" w:rsidRPr="00F13073" w:rsidRDefault="00A3477F" w:rsidP="008B4C50">
      <w:pPr>
        <w:keepNext/>
      </w:pPr>
    </w:p>
    <w:p w14:paraId="08D43FF3" w14:textId="77777777" w:rsidR="00A3477F" w:rsidRPr="00F13073" w:rsidRDefault="00A3477F" w:rsidP="008B4C50"/>
    <w:p w14:paraId="51A5F7C3" w14:textId="77777777" w:rsidR="00001D1D" w:rsidRPr="0081094B" w:rsidRDefault="00001D1D"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671ECD4D" w14:textId="77777777" w:rsidR="00001D1D" w:rsidRPr="00F13073" w:rsidRDefault="00001D1D" w:rsidP="008B4C50"/>
    <w:p w14:paraId="23B6FE88" w14:textId="77777777" w:rsidR="00001D1D" w:rsidRPr="00F13073" w:rsidRDefault="00001D1D" w:rsidP="008B4C50"/>
    <w:p w14:paraId="3E4F6F0A" w14:textId="77777777" w:rsidR="00001D1D" w:rsidRPr="0081094B" w:rsidRDefault="00001D1D" w:rsidP="008B4C50">
      <w:pPr>
        <w:pStyle w:val="BoxedHeading"/>
        <w:rPr>
          <w:lang w:val="pl-PL"/>
        </w:rPr>
      </w:pPr>
      <w:r w:rsidRPr="0081094B">
        <w:rPr>
          <w:lang w:val="pl-PL"/>
        </w:rPr>
        <w:t>11.</w:t>
      </w:r>
      <w:r w:rsidRPr="0081094B">
        <w:rPr>
          <w:lang w:val="pl-PL"/>
        </w:rPr>
        <w:tab/>
        <w:t>NAZWA I ADRES PODMIOTU ODPOWIEDZIALNEGO</w:t>
      </w:r>
    </w:p>
    <w:p w14:paraId="08639EFD" w14:textId="77777777" w:rsidR="00001D1D" w:rsidRPr="00F13073" w:rsidRDefault="00001D1D" w:rsidP="008B4C50"/>
    <w:p w14:paraId="1A4D9B58" w14:textId="77777777" w:rsidR="008239A8" w:rsidRPr="00F13073" w:rsidRDefault="008239A8" w:rsidP="008239A8">
      <w:pPr>
        <w:keepNext/>
      </w:pPr>
      <w:r w:rsidRPr="00F13073">
        <w:t xml:space="preserve">Celltrion Healthcare Hungary Kft. </w:t>
      </w:r>
    </w:p>
    <w:p w14:paraId="2E4D2E10" w14:textId="77777777" w:rsidR="008239A8" w:rsidRPr="00127FBE" w:rsidRDefault="008239A8" w:rsidP="008239A8">
      <w:pPr>
        <w:keepNext/>
        <w:rPr>
          <w:lang w:val="en-GB"/>
        </w:rPr>
      </w:pPr>
      <w:r w:rsidRPr="00127FBE">
        <w:rPr>
          <w:lang w:val="en-GB"/>
        </w:rPr>
        <w:t>1062 Budapest</w:t>
      </w:r>
    </w:p>
    <w:p w14:paraId="61ECE8A6" w14:textId="77777777" w:rsidR="008239A8" w:rsidRPr="00127FBE" w:rsidRDefault="008239A8" w:rsidP="008239A8">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58A61FC7" w14:textId="1880E67E" w:rsidR="008239A8" w:rsidRPr="00F13073" w:rsidRDefault="008239A8" w:rsidP="008239A8">
      <w:r w:rsidRPr="00F13073">
        <w:t>W</w:t>
      </w:r>
      <w:r w:rsidRPr="0081094B">
        <w:t>ęgry</w:t>
      </w:r>
    </w:p>
    <w:p w14:paraId="4DE8DBC1" w14:textId="77777777" w:rsidR="00A3477F" w:rsidRPr="00F13073" w:rsidRDefault="00A3477F" w:rsidP="008B4C50"/>
    <w:p w14:paraId="79436476" w14:textId="77777777" w:rsidR="00A3477F" w:rsidRPr="00F13073" w:rsidRDefault="00A3477F" w:rsidP="008B4C50"/>
    <w:p w14:paraId="2971EB8B" w14:textId="77777777" w:rsidR="001E0975" w:rsidRPr="0081094B" w:rsidRDefault="001721B1" w:rsidP="008B4C50">
      <w:pPr>
        <w:pStyle w:val="BoxedHeading"/>
        <w:rPr>
          <w:lang w:val="pl-PL"/>
        </w:rPr>
      </w:pPr>
      <w:r w:rsidRPr="0081094B">
        <w:rPr>
          <w:lang w:val="pl-PL"/>
        </w:rPr>
        <w:t>12.</w:t>
      </w:r>
      <w:r w:rsidRPr="0081094B">
        <w:rPr>
          <w:lang w:val="pl-PL"/>
        </w:rPr>
        <w:tab/>
      </w:r>
      <w:r w:rsidR="00001D1D" w:rsidRPr="0081094B">
        <w:rPr>
          <w:lang w:val="pl-PL"/>
        </w:rPr>
        <w:t>NUMER (NUMERY) POZWOLENIA NA DOPUSZCZENIE DO OBROTU</w:t>
      </w:r>
    </w:p>
    <w:p w14:paraId="126603E6" w14:textId="77777777" w:rsidR="00A3477F" w:rsidRPr="00F13073" w:rsidRDefault="00A3477F" w:rsidP="008B4C50"/>
    <w:p w14:paraId="6EB03E35" w14:textId="2BB3F3A8" w:rsidR="001E0975" w:rsidRPr="00F13073" w:rsidRDefault="00611033" w:rsidP="008B4C50">
      <w:r w:rsidRPr="00F13073">
        <w:t>EU</w:t>
      </w:r>
      <w:r w:rsidR="008239A8" w:rsidRPr="00F13073">
        <w:t>/</w:t>
      </w:r>
      <w:r w:rsidR="0040032C" w:rsidRPr="00F458BB">
        <w:rPr>
          <w:spacing w:val="-1"/>
          <w:lang w:val="pt-BR"/>
        </w:rPr>
        <w:t>1/24/1896/00</w:t>
      </w:r>
      <w:r w:rsidR="0040032C">
        <w:rPr>
          <w:rFonts w:eastAsia="맑은 고딕"/>
          <w:spacing w:val="-1"/>
          <w:lang w:val="pt-BR" w:eastAsia="ko-KR"/>
        </w:rPr>
        <w:t>7 1 ampułko-strzykawka</w:t>
      </w:r>
    </w:p>
    <w:p w14:paraId="08732E31" w14:textId="31974974" w:rsidR="008239A8" w:rsidRPr="00F13073" w:rsidRDefault="008239A8" w:rsidP="008B4C50">
      <w:r w:rsidRPr="00F13073">
        <w:t>EU/</w:t>
      </w:r>
      <w:r w:rsidR="0040032C" w:rsidRPr="00F458BB">
        <w:rPr>
          <w:spacing w:val="-1"/>
          <w:lang w:val="pt-BR"/>
        </w:rPr>
        <w:t>1/24/1896/00</w:t>
      </w:r>
      <w:r w:rsidR="002201FD">
        <w:rPr>
          <w:rFonts w:eastAsia="맑은 고딕"/>
          <w:spacing w:val="-1"/>
          <w:lang w:val="pt-BR" w:eastAsia="ko-KR"/>
        </w:rPr>
        <w:t>8</w:t>
      </w:r>
      <w:r w:rsidR="0040032C">
        <w:rPr>
          <w:rFonts w:eastAsia="맑은 고딕"/>
          <w:spacing w:val="-1"/>
          <w:lang w:val="pt-BR" w:eastAsia="ko-KR"/>
        </w:rPr>
        <w:t> 4 ampułko-strzykawki</w:t>
      </w:r>
    </w:p>
    <w:p w14:paraId="19B30BD5" w14:textId="752CCF30" w:rsidR="008D5C3E" w:rsidRPr="00F13073" w:rsidRDefault="008D5C3E" w:rsidP="008D5C3E">
      <w:pPr>
        <w:rPr>
          <w:ins w:id="35" w:author="만든 이"/>
        </w:rPr>
      </w:pPr>
      <w:ins w:id="36" w:author="만든 이">
        <w:r w:rsidRPr="00F13073">
          <w:t>EU/</w:t>
        </w:r>
        <w:r w:rsidRPr="00F458BB">
          <w:rPr>
            <w:spacing w:val="-1"/>
            <w:lang w:val="pt-BR"/>
          </w:rPr>
          <w:t>1/24/1896/</w:t>
        </w:r>
        <w:r w:rsidR="00D47085">
          <w:rPr>
            <w:rFonts w:eastAsia="맑은 고딕" w:hint="eastAsia"/>
            <w:spacing w:val="-1"/>
            <w:lang w:val="pt-BR" w:eastAsia="ko-KR"/>
          </w:rPr>
          <w:t>013</w:t>
        </w:r>
        <w:r>
          <w:rPr>
            <w:rFonts w:eastAsia="맑은 고딕"/>
            <w:spacing w:val="-1"/>
            <w:lang w:val="pt-BR" w:eastAsia="ko-KR"/>
          </w:rPr>
          <w:t> </w:t>
        </w:r>
        <w:r>
          <w:rPr>
            <w:rFonts w:eastAsia="맑은 고딕" w:hint="eastAsia"/>
            <w:spacing w:val="-1"/>
            <w:lang w:val="pt-BR" w:eastAsia="ko-KR"/>
          </w:rPr>
          <w:t>2</w:t>
        </w:r>
        <w:r>
          <w:rPr>
            <w:rFonts w:eastAsia="맑은 고딕"/>
            <w:spacing w:val="-1"/>
            <w:lang w:val="pt-BR" w:eastAsia="ko-KR"/>
          </w:rPr>
          <w:t> ampułko-strzykawki</w:t>
        </w:r>
      </w:ins>
    </w:p>
    <w:p w14:paraId="7A4F652C" w14:textId="77777777" w:rsidR="00A3477F" w:rsidRPr="00F13073" w:rsidRDefault="00A3477F" w:rsidP="008B4C50"/>
    <w:p w14:paraId="52E934CE" w14:textId="77777777" w:rsidR="00A3477F" w:rsidRPr="00F13073" w:rsidRDefault="00A3477F" w:rsidP="008B4C50"/>
    <w:p w14:paraId="579BAB5C" w14:textId="77777777" w:rsidR="00001D1D" w:rsidRPr="00127FBE" w:rsidRDefault="00001D1D" w:rsidP="008B4C50">
      <w:pPr>
        <w:pStyle w:val="BoxedHeading"/>
        <w:rPr>
          <w:lang w:val="en-GB"/>
        </w:rPr>
      </w:pPr>
      <w:r w:rsidRPr="00127FBE">
        <w:rPr>
          <w:lang w:val="en-GB"/>
        </w:rPr>
        <w:t>13.</w:t>
      </w:r>
      <w:r w:rsidRPr="00127FBE">
        <w:rPr>
          <w:lang w:val="en-GB"/>
        </w:rPr>
        <w:tab/>
        <w:t>NUMER SERII</w:t>
      </w:r>
    </w:p>
    <w:p w14:paraId="0A09D12D" w14:textId="77777777" w:rsidR="00001D1D" w:rsidRPr="00127FBE" w:rsidRDefault="00001D1D" w:rsidP="008B4C50">
      <w:pPr>
        <w:rPr>
          <w:lang w:val="en-GB"/>
        </w:rPr>
      </w:pPr>
    </w:p>
    <w:p w14:paraId="35AA5C47" w14:textId="77777777" w:rsidR="00001D1D" w:rsidRPr="00127FBE" w:rsidRDefault="00001D1D" w:rsidP="008B4C50">
      <w:pPr>
        <w:rPr>
          <w:lang w:val="en-GB"/>
        </w:rPr>
      </w:pPr>
      <w:r w:rsidRPr="00127FBE">
        <w:rPr>
          <w:lang w:val="en-GB"/>
        </w:rPr>
        <w:t xml:space="preserve">Nr </w:t>
      </w:r>
      <w:proofErr w:type="spellStart"/>
      <w:r w:rsidRPr="00127FBE">
        <w:rPr>
          <w:lang w:val="en-GB"/>
        </w:rPr>
        <w:t>serii</w:t>
      </w:r>
      <w:proofErr w:type="spellEnd"/>
      <w:r w:rsidRPr="00127FBE">
        <w:rPr>
          <w:lang w:val="en-GB"/>
        </w:rPr>
        <w:t xml:space="preserve"> (Lot)</w:t>
      </w:r>
    </w:p>
    <w:p w14:paraId="63A2DAB8" w14:textId="77777777" w:rsidR="00001D1D" w:rsidRPr="00127FBE" w:rsidRDefault="00001D1D" w:rsidP="008B4C50">
      <w:pPr>
        <w:rPr>
          <w:lang w:val="en-GB"/>
        </w:rPr>
      </w:pPr>
    </w:p>
    <w:p w14:paraId="79ADB742" w14:textId="77777777" w:rsidR="00001D1D" w:rsidRPr="00127FBE" w:rsidRDefault="00001D1D" w:rsidP="008B4C50">
      <w:pPr>
        <w:rPr>
          <w:lang w:val="en-GB"/>
        </w:rPr>
      </w:pPr>
    </w:p>
    <w:p w14:paraId="185C46D4" w14:textId="77777777" w:rsidR="00001D1D" w:rsidRPr="0081094B" w:rsidRDefault="00001D1D" w:rsidP="008B4C50">
      <w:pPr>
        <w:pStyle w:val="BoxedHeading"/>
        <w:rPr>
          <w:lang w:val="pl-PL"/>
        </w:rPr>
      </w:pPr>
      <w:r w:rsidRPr="0081094B">
        <w:rPr>
          <w:lang w:val="pl-PL"/>
        </w:rPr>
        <w:t>14.</w:t>
      </w:r>
      <w:r w:rsidRPr="0081094B">
        <w:rPr>
          <w:lang w:val="pl-PL"/>
        </w:rPr>
        <w:tab/>
        <w:t>KATEGORIA DOSTĘPNOŚCI</w:t>
      </w:r>
    </w:p>
    <w:p w14:paraId="27160391" w14:textId="77777777" w:rsidR="00001D1D" w:rsidRPr="00F13073" w:rsidRDefault="00001D1D" w:rsidP="008B4C50"/>
    <w:p w14:paraId="12938F45" w14:textId="77777777" w:rsidR="00001D1D" w:rsidRPr="00F13073" w:rsidRDefault="00001D1D" w:rsidP="008B4C50"/>
    <w:p w14:paraId="41EC0962" w14:textId="77777777" w:rsidR="00001D1D" w:rsidRPr="0081094B" w:rsidRDefault="00001D1D" w:rsidP="008B4C50">
      <w:pPr>
        <w:pStyle w:val="BoxedHeading"/>
        <w:rPr>
          <w:lang w:val="pl-PL"/>
        </w:rPr>
      </w:pPr>
      <w:r w:rsidRPr="0081094B">
        <w:rPr>
          <w:lang w:val="pl-PL"/>
        </w:rPr>
        <w:t>15.</w:t>
      </w:r>
      <w:r w:rsidRPr="0081094B">
        <w:rPr>
          <w:lang w:val="pl-PL"/>
        </w:rPr>
        <w:tab/>
        <w:t>INSTRUKCJA UŻYCIA</w:t>
      </w:r>
    </w:p>
    <w:p w14:paraId="1730BABD" w14:textId="77777777" w:rsidR="00001D1D" w:rsidRPr="00F13073" w:rsidRDefault="00001D1D" w:rsidP="008B4C50"/>
    <w:p w14:paraId="437898BC" w14:textId="77777777" w:rsidR="00001D1D" w:rsidRPr="00F13073" w:rsidRDefault="00001D1D" w:rsidP="008B4C50"/>
    <w:p w14:paraId="0488475B" w14:textId="77777777" w:rsidR="00001D1D" w:rsidRPr="0081094B" w:rsidRDefault="00001D1D" w:rsidP="008B4C50">
      <w:pPr>
        <w:pStyle w:val="BoxedHeading"/>
        <w:rPr>
          <w:lang w:val="pl-PL"/>
        </w:rPr>
      </w:pPr>
      <w:r w:rsidRPr="0081094B">
        <w:rPr>
          <w:lang w:val="pl-PL"/>
        </w:rPr>
        <w:t>16.</w:t>
      </w:r>
      <w:r w:rsidRPr="0081094B">
        <w:rPr>
          <w:lang w:val="pl-PL"/>
        </w:rPr>
        <w:tab/>
        <w:t>INFORMACJA PODANA SYSTEMEM BRAILLE’A</w:t>
      </w:r>
    </w:p>
    <w:p w14:paraId="7B26267A" w14:textId="77777777" w:rsidR="00001D1D" w:rsidRPr="00F13073" w:rsidRDefault="00001D1D" w:rsidP="008B4C50"/>
    <w:p w14:paraId="019F0DE9" w14:textId="39BDAF4B" w:rsidR="00001D1D" w:rsidRPr="00F13073" w:rsidRDefault="004C3BAC" w:rsidP="008B4C50">
      <w:r w:rsidRPr="00F13073">
        <w:t>a</w:t>
      </w:r>
      <w:r w:rsidR="00026375" w:rsidRPr="00F13073">
        <w:t>vtozma</w:t>
      </w:r>
      <w:r w:rsidR="00001D1D" w:rsidRPr="00F13073">
        <w:t xml:space="preserve"> 162 mg</w:t>
      </w:r>
    </w:p>
    <w:p w14:paraId="4DE55339" w14:textId="77777777" w:rsidR="00001D1D" w:rsidRPr="00F13073" w:rsidRDefault="00001D1D" w:rsidP="008B4C50"/>
    <w:p w14:paraId="71B698A8" w14:textId="77777777" w:rsidR="00001D1D" w:rsidRPr="00F13073" w:rsidRDefault="00001D1D" w:rsidP="008B4C50"/>
    <w:p w14:paraId="050B605E" w14:textId="77777777" w:rsidR="00001D1D" w:rsidRPr="0081094B" w:rsidRDefault="00001D1D"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207CA907" w14:textId="77777777" w:rsidR="00001D1D" w:rsidRPr="00F13073" w:rsidRDefault="00001D1D" w:rsidP="008B4C50"/>
    <w:p w14:paraId="696D31D4" w14:textId="77777777" w:rsidR="00001D1D" w:rsidRPr="00F13073" w:rsidRDefault="00001D1D" w:rsidP="008B4C50">
      <w:r>
        <w:rPr>
          <w:highlight w:val="lightGray"/>
        </w:rPr>
        <w:t>&lt;Obejmuje kod 2D będący nośnikiem niepowtarzalnego identyfikatora.&gt;</w:t>
      </w:r>
    </w:p>
    <w:p w14:paraId="1D1D8C60" w14:textId="77777777" w:rsidR="00001D1D" w:rsidRPr="00F13073" w:rsidRDefault="00001D1D" w:rsidP="008B4C50"/>
    <w:p w14:paraId="119F0A1B" w14:textId="77777777" w:rsidR="00001D1D" w:rsidRPr="00F13073" w:rsidRDefault="00001D1D" w:rsidP="008B4C50"/>
    <w:p w14:paraId="1D536F60" w14:textId="77777777" w:rsidR="00001D1D" w:rsidRPr="0081094B" w:rsidRDefault="00001D1D"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24E466E1" w14:textId="77777777" w:rsidR="00001D1D" w:rsidRPr="00F13073" w:rsidRDefault="00001D1D" w:rsidP="008B4C50"/>
    <w:p w14:paraId="694B97A2" w14:textId="77777777" w:rsidR="00A3477F" w:rsidRPr="00F13073" w:rsidRDefault="00A3477F" w:rsidP="008B4C50">
      <w:r w:rsidRPr="00F13073">
        <w:t xml:space="preserve">PC </w:t>
      </w:r>
    </w:p>
    <w:p w14:paraId="14051026" w14:textId="77777777" w:rsidR="00A3477F" w:rsidRPr="00F13073" w:rsidRDefault="00A3477F" w:rsidP="008B4C50">
      <w:r w:rsidRPr="00F13073">
        <w:t xml:space="preserve">SN </w:t>
      </w:r>
    </w:p>
    <w:p w14:paraId="4D75DD6B" w14:textId="2072C823" w:rsidR="004C3BAC" w:rsidRPr="00F13073" w:rsidRDefault="00A3477F" w:rsidP="008B4C50">
      <w:r w:rsidRPr="00D209C2">
        <w:rPr>
          <w:highlight w:val="lightGray"/>
        </w:rPr>
        <w:lastRenderedPageBreak/>
        <w:t>NN</w:t>
      </w:r>
      <w:r w:rsidR="004C3BAC" w:rsidRPr="00F13073">
        <w:br w:type="page"/>
      </w:r>
    </w:p>
    <w:p w14:paraId="12B5C400" w14:textId="620A51B9" w:rsidR="00AD0B24" w:rsidRPr="00F13073" w:rsidRDefault="00AD0B24" w:rsidP="008B4C50"/>
    <w:p w14:paraId="622CF569" w14:textId="77777777" w:rsidR="001E0975" w:rsidRPr="00F13073" w:rsidRDefault="00F31CD5" w:rsidP="008B4C50">
      <w:pPr>
        <w:pBdr>
          <w:top w:val="single" w:sz="4" w:space="1" w:color="auto"/>
          <w:left w:val="single" w:sz="4" w:space="4" w:color="auto"/>
          <w:bottom w:val="single" w:sz="4" w:space="1" w:color="auto"/>
          <w:right w:val="single" w:sz="4" w:space="4" w:color="auto"/>
        </w:pBdr>
        <w:rPr>
          <w:b/>
          <w:bCs/>
        </w:rPr>
      </w:pPr>
      <w:r w:rsidRPr="00F13073">
        <w:rPr>
          <w:b/>
          <w:bCs/>
        </w:rPr>
        <w:t>INFORMACJE ZAMIESZCZANE NA OPAKOWANIACH ZEWNĘTRZNYCH</w:t>
      </w:r>
    </w:p>
    <w:p w14:paraId="71CFACEF"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472A4D53" w14:textId="77777777" w:rsidR="001E0975" w:rsidRPr="00F13073" w:rsidRDefault="00F31CD5" w:rsidP="008B4C50">
      <w:pPr>
        <w:pBdr>
          <w:top w:val="single" w:sz="4" w:space="1" w:color="auto"/>
          <w:left w:val="single" w:sz="4" w:space="4" w:color="auto"/>
          <w:bottom w:val="single" w:sz="4" w:space="1" w:color="auto"/>
          <w:right w:val="single" w:sz="4" w:space="4" w:color="auto"/>
        </w:pBdr>
        <w:rPr>
          <w:b/>
          <w:bCs/>
        </w:rPr>
      </w:pPr>
      <w:r w:rsidRPr="00F13073">
        <w:rPr>
          <w:b/>
          <w:bCs/>
        </w:rPr>
        <w:t>OPAKOWANIE AMPUŁKO-STRZYKAWKI (z Blue Box) – opakowanie zbiorcze</w:t>
      </w:r>
    </w:p>
    <w:p w14:paraId="3CE556C6" w14:textId="77777777" w:rsidR="00A3477F" w:rsidRPr="00F13073" w:rsidRDefault="00A3477F" w:rsidP="008B4C50"/>
    <w:p w14:paraId="453EB9CE" w14:textId="77777777" w:rsidR="00F31CD5" w:rsidRPr="00F13073" w:rsidRDefault="00F31CD5" w:rsidP="008B4C50"/>
    <w:p w14:paraId="126ADF71" w14:textId="77777777" w:rsidR="00F31CD5" w:rsidRPr="0081094B" w:rsidRDefault="00F31CD5" w:rsidP="008B4C50">
      <w:pPr>
        <w:pStyle w:val="BoxedHeading"/>
        <w:rPr>
          <w:lang w:val="pl-PL"/>
        </w:rPr>
      </w:pPr>
      <w:r w:rsidRPr="0081094B">
        <w:rPr>
          <w:lang w:val="pl-PL"/>
        </w:rPr>
        <w:t>1.</w:t>
      </w:r>
      <w:r w:rsidRPr="0081094B">
        <w:rPr>
          <w:lang w:val="pl-PL"/>
        </w:rPr>
        <w:tab/>
        <w:t>NAZWA PRODUKTU LECZNICZEGO</w:t>
      </w:r>
    </w:p>
    <w:p w14:paraId="290AB018" w14:textId="77777777" w:rsidR="00F31CD5" w:rsidRPr="00F13073" w:rsidRDefault="00F31CD5" w:rsidP="008B4C50"/>
    <w:p w14:paraId="1A124B7C" w14:textId="3CFAA630" w:rsidR="00F31CD5" w:rsidRPr="00F13073" w:rsidRDefault="00026375" w:rsidP="008B4C50">
      <w:r w:rsidRPr="00F13073">
        <w:t>Avtozma</w:t>
      </w:r>
      <w:r w:rsidR="00F31CD5" w:rsidRPr="00F13073">
        <w:t xml:space="preserve"> 162 mg roztwór do wstrzykiwań w ampułko-strzykawce</w:t>
      </w:r>
    </w:p>
    <w:p w14:paraId="4AE68174" w14:textId="77777777" w:rsidR="00F31CD5" w:rsidRPr="00F13073" w:rsidRDefault="00F31CD5" w:rsidP="008B4C50">
      <w:r w:rsidRPr="00F13073">
        <w:t>tocilizumab</w:t>
      </w:r>
    </w:p>
    <w:p w14:paraId="08011BD5" w14:textId="77777777" w:rsidR="00F31CD5" w:rsidRPr="00F13073" w:rsidRDefault="00F31CD5" w:rsidP="008B4C50"/>
    <w:p w14:paraId="2D9561F1" w14:textId="77777777" w:rsidR="00F31CD5" w:rsidRPr="00F13073" w:rsidRDefault="00F31CD5" w:rsidP="008B4C50"/>
    <w:p w14:paraId="56DB30CB" w14:textId="77777777" w:rsidR="00F31CD5" w:rsidRPr="0081094B" w:rsidRDefault="00F31CD5" w:rsidP="008B4C50">
      <w:pPr>
        <w:pStyle w:val="BoxedHeading"/>
        <w:rPr>
          <w:lang w:val="pl-PL"/>
        </w:rPr>
      </w:pPr>
      <w:r w:rsidRPr="0081094B">
        <w:rPr>
          <w:lang w:val="pl-PL"/>
        </w:rPr>
        <w:t>2.</w:t>
      </w:r>
      <w:r w:rsidRPr="0081094B">
        <w:rPr>
          <w:lang w:val="pl-PL"/>
        </w:rPr>
        <w:tab/>
        <w:t>ZAWARTOŚĆ SUBSTANCJI CZYNNEJ (CZYNNYCH)</w:t>
      </w:r>
    </w:p>
    <w:p w14:paraId="31EBB835" w14:textId="77777777" w:rsidR="00F31CD5" w:rsidRPr="00F13073" w:rsidRDefault="00F31CD5" w:rsidP="008B4C50"/>
    <w:p w14:paraId="3B06A8A3" w14:textId="77777777" w:rsidR="00F31CD5" w:rsidRPr="00F13073" w:rsidRDefault="00F31CD5" w:rsidP="008B4C50">
      <w:r w:rsidRPr="00F13073">
        <w:t>1 ampułko-strzykawka zawiera 162 mg tocilizumabu.</w:t>
      </w:r>
    </w:p>
    <w:p w14:paraId="098057D3" w14:textId="77777777" w:rsidR="00F31CD5" w:rsidRPr="00F13073" w:rsidRDefault="00F31CD5" w:rsidP="008B4C50"/>
    <w:p w14:paraId="1BB5EEA1" w14:textId="77777777" w:rsidR="00F31CD5" w:rsidRPr="00F13073" w:rsidRDefault="00F31CD5" w:rsidP="008B4C50"/>
    <w:p w14:paraId="2D905A13" w14:textId="77777777" w:rsidR="00F31CD5" w:rsidRPr="0081094B" w:rsidRDefault="00F31CD5" w:rsidP="008B4C50">
      <w:pPr>
        <w:pStyle w:val="BoxedHeading"/>
        <w:rPr>
          <w:lang w:val="pl-PL"/>
        </w:rPr>
      </w:pPr>
      <w:r w:rsidRPr="0081094B">
        <w:rPr>
          <w:lang w:val="pl-PL"/>
        </w:rPr>
        <w:t>3.</w:t>
      </w:r>
      <w:r w:rsidRPr="0081094B">
        <w:rPr>
          <w:lang w:val="pl-PL"/>
        </w:rPr>
        <w:tab/>
        <w:t>WYKAZ SUBSTANCJI POMOCNICZYCH</w:t>
      </w:r>
    </w:p>
    <w:p w14:paraId="15DC5E9A" w14:textId="77777777" w:rsidR="00F31CD5" w:rsidRPr="00F13073" w:rsidRDefault="00F31CD5" w:rsidP="008B4C50"/>
    <w:p w14:paraId="58A7BD8E" w14:textId="1DAA1915" w:rsidR="00B02785" w:rsidRPr="00F13073" w:rsidRDefault="009F1698" w:rsidP="009F1698">
      <w:r w:rsidRPr="00F13073">
        <w:t xml:space="preserve">Substancje pomocnicze: L-histydyna, </w:t>
      </w:r>
      <w:r w:rsidR="00017E9D" w:rsidRPr="00017E9D">
        <w:rPr>
          <w:rFonts w:hint="eastAsia"/>
        </w:rPr>
        <w:t>L-histydyny monochlorowodorek, monohydrat</w:t>
      </w:r>
      <w:r w:rsidR="00E265AD" w:rsidRPr="00E265AD">
        <w:t xml:space="preserve">, </w:t>
      </w:r>
      <w:r w:rsidRPr="00F13073">
        <w:t>L-treonina, L-metionina, polisorbat</w:t>
      </w:r>
      <w:r w:rsidR="00B02785" w:rsidRPr="00F13073">
        <w:t> </w:t>
      </w:r>
      <w:r w:rsidRPr="00F13073">
        <w:t>80 i woda do wstrzykiwań.</w:t>
      </w:r>
    </w:p>
    <w:p w14:paraId="3B00D83E" w14:textId="3F0C5F10" w:rsidR="009F1698" w:rsidRPr="00F13073" w:rsidRDefault="009F1698" w:rsidP="009F1698">
      <w:r w:rsidRPr="00F13073">
        <w:t>Dokładna informacja znajduje się w ulotce dla pacjenta.</w:t>
      </w:r>
    </w:p>
    <w:p w14:paraId="43740105" w14:textId="77777777" w:rsidR="00F31CD5" w:rsidRPr="00F13073" w:rsidRDefault="00F31CD5" w:rsidP="008B4C50"/>
    <w:p w14:paraId="5457F2AF" w14:textId="77777777" w:rsidR="00F31CD5" w:rsidRPr="00F13073" w:rsidRDefault="00F31CD5" w:rsidP="008B4C50"/>
    <w:p w14:paraId="4D06038F" w14:textId="77777777" w:rsidR="00F31CD5" w:rsidRPr="0081094B" w:rsidRDefault="00F31CD5" w:rsidP="008B4C50">
      <w:pPr>
        <w:pStyle w:val="BoxedHeading"/>
        <w:rPr>
          <w:lang w:val="pl-PL"/>
        </w:rPr>
      </w:pPr>
      <w:r w:rsidRPr="0081094B">
        <w:rPr>
          <w:lang w:val="pl-PL"/>
        </w:rPr>
        <w:t>4.</w:t>
      </w:r>
      <w:r w:rsidRPr="0081094B">
        <w:rPr>
          <w:lang w:val="pl-PL"/>
        </w:rPr>
        <w:tab/>
        <w:t>POSTAĆ FARMACEUTYCZNA I ZAWARTOŚĆ OPAKOWANIA</w:t>
      </w:r>
    </w:p>
    <w:p w14:paraId="7AC35292" w14:textId="77777777" w:rsidR="00F31CD5" w:rsidRPr="00F13073" w:rsidRDefault="00F31CD5" w:rsidP="008B4C50"/>
    <w:p w14:paraId="3243B223" w14:textId="77777777" w:rsidR="00F31CD5" w:rsidRPr="00F13073" w:rsidRDefault="00F31CD5" w:rsidP="008B4C50">
      <w:r w:rsidRPr="00F13073">
        <w:t>Roztwór do wstrzykiwań w ampułko-strzykawce</w:t>
      </w:r>
    </w:p>
    <w:p w14:paraId="6A15AF5F" w14:textId="77777777" w:rsidR="00F31CD5" w:rsidRPr="00F13073" w:rsidRDefault="00F31CD5" w:rsidP="008B4C50">
      <w:r w:rsidRPr="00F13073">
        <w:t>Opakowanie zbiorcze: 12 (3 opakowania po 4) ampułko-strzykawek</w:t>
      </w:r>
    </w:p>
    <w:p w14:paraId="5CF5B45D" w14:textId="77777777" w:rsidR="00F31CD5" w:rsidRPr="00F13073" w:rsidRDefault="00F31CD5" w:rsidP="008B4C50">
      <w:r w:rsidRPr="00F13073">
        <w:t>162 mg/0,9 mL</w:t>
      </w:r>
    </w:p>
    <w:p w14:paraId="5915405B" w14:textId="77777777" w:rsidR="00F31CD5" w:rsidRPr="00F13073" w:rsidRDefault="00F31CD5" w:rsidP="008B4C50"/>
    <w:p w14:paraId="1F52C478" w14:textId="77777777" w:rsidR="00F31CD5" w:rsidRPr="00F13073" w:rsidRDefault="00F31CD5" w:rsidP="008B4C50"/>
    <w:p w14:paraId="4547E82A" w14:textId="77777777" w:rsidR="00F31CD5" w:rsidRPr="0081094B" w:rsidRDefault="00F31CD5" w:rsidP="008B4C50">
      <w:pPr>
        <w:pStyle w:val="BoxedHeading"/>
        <w:rPr>
          <w:lang w:val="pl-PL"/>
        </w:rPr>
      </w:pPr>
      <w:r w:rsidRPr="0081094B">
        <w:rPr>
          <w:lang w:val="pl-PL"/>
        </w:rPr>
        <w:t>5.</w:t>
      </w:r>
      <w:r w:rsidRPr="0081094B">
        <w:rPr>
          <w:lang w:val="pl-PL"/>
        </w:rPr>
        <w:tab/>
        <w:t>SPOSÓB I DROGA (DROGI) PODANIA</w:t>
      </w:r>
    </w:p>
    <w:p w14:paraId="72A2726A" w14:textId="77777777" w:rsidR="00F31CD5" w:rsidRPr="00F13073" w:rsidRDefault="00F31CD5" w:rsidP="008B4C50"/>
    <w:p w14:paraId="5D0C4092" w14:textId="77777777" w:rsidR="00F31CD5" w:rsidRPr="00F13073" w:rsidRDefault="00F31CD5" w:rsidP="008B4C50">
      <w:r w:rsidRPr="00F13073">
        <w:t>Stosowanie podskórne</w:t>
      </w:r>
    </w:p>
    <w:p w14:paraId="3A1608D1" w14:textId="77777777" w:rsidR="00F31CD5" w:rsidRPr="00F13073" w:rsidRDefault="00F31CD5" w:rsidP="008B4C50">
      <w:r w:rsidRPr="00F13073">
        <w:t>Należy zapoznać się z treścią ulotki przed zastosowaniem leku</w:t>
      </w:r>
    </w:p>
    <w:p w14:paraId="7A5D035A" w14:textId="77777777" w:rsidR="00F31CD5" w:rsidRPr="00F13073" w:rsidRDefault="00F31CD5" w:rsidP="008B4C50"/>
    <w:p w14:paraId="5D569432" w14:textId="77777777" w:rsidR="00F31CD5" w:rsidRPr="00F13073" w:rsidRDefault="00F31CD5" w:rsidP="008B4C50"/>
    <w:p w14:paraId="5D802FC8" w14:textId="12BF4F3F" w:rsidR="00F31CD5" w:rsidRPr="0081094B" w:rsidRDefault="00F31CD5" w:rsidP="008B4C50">
      <w:pPr>
        <w:pStyle w:val="BoxedHeading"/>
        <w:rPr>
          <w:lang w:val="pl-PL"/>
        </w:rPr>
      </w:pPr>
      <w:r w:rsidRPr="0081094B">
        <w:rPr>
          <w:lang w:val="pl-PL"/>
        </w:rPr>
        <w:t>6.</w:t>
      </w:r>
      <w:r w:rsidRPr="0081094B">
        <w:rPr>
          <w:lang w:val="pl-PL"/>
        </w:rPr>
        <w:tab/>
        <w:t xml:space="preserve">OSTRZEŻENIE DOTYCZĄCE PRZECHOWYWANIA PRODUKTU LECZNICZEGO W MIEJSCU </w:t>
      </w:r>
      <w:r w:rsidR="001B16C5" w:rsidRPr="0081094B">
        <w:rPr>
          <w:lang w:val="pl-PL"/>
        </w:rPr>
        <w:t xml:space="preserve">NIEDOSTĘPNYM I NIEWIDOCZNYM </w:t>
      </w:r>
      <w:r w:rsidRPr="0081094B">
        <w:rPr>
          <w:lang w:val="pl-PL"/>
        </w:rPr>
        <w:t>DLA DZIECI</w:t>
      </w:r>
    </w:p>
    <w:p w14:paraId="19B601E5" w14:textId="77777777" w:rsidR="00F31CD5" w:rsidRPr="00F13073" w:rsidRDefault="00F31CD5" w:rsidP="008B4C50"/>
    <w:p w14:paraId="767379CB" w14:textId="77777777" w:rsidR="00F31CD5" w:rsidRPr="00F13073" w:rsidRDefault="00F31CD5" w:rsidP="008B4C50">
      <w:r w:rsidRPr="00F13073">
        <w:t>Lek przechowywać w miejscu niewidocznym i niedostępnym dla dzieci</w:t>
      </w:r>
    </w:p>
    <w:p w14:paraId="47144526" w14:textId="77777777" w:rsidR="00F31CD5" w:rsidRPr="00F13073" w:rsidRDefault="00F31CD5" w:rsidP="008B4C50"/>
    <w:p w14:paraId="6FADABED" w14:textId="77777777" w:rsidR="00F31CD5" w:rsidRPr="00F13073" w:rsidRDefault="00F31CD5" w:rsidP="008B4C50"/>
    <w:p w14:paraId="74A99D3A" w14:textId="77777777" w:rsidR="00F31CD5" w:rsidRPr="0081094B" w:rsidRDefault="00F31CD5" w:rsidP="008B4C50">
      <w:pPr>
        <w:pStyle w:val="BoxedHeading"/>
        <w:rPr>
          <w:lang w:val="pl-PL"/>
        </w:rPr>
      </w:pPr>
      <w:r w:rsidRPr="0081094B">
        <w:rPr>
          <w:lang w:val="pl-PL"/>
        </w:rPr>
        <w:t>7.</w:t>
      </w:r>
      <w:r w:rsidRPr="0081094B">
        <w:rPr>
          <w:lang w:val="pl-PL"/>
        </w:rPr>
        <w:tab/>
        <w:t>INNE OSTRZEŻENIA SPECJALNE, JEŚLI KONIECZNE</w:t>
      </w:r>
    </w:p>
    <w:p w14:paraId="2A01BD45" w14:textId="77777777" w:rsidR="00F31CD5" w:rsidRPr="00F13073" w:rsidRDefault="00F31CD5" w:rsidP="008B4C50"/>
    <w:p w14:paraId="1FC6DC01" w14:textId="6895738F" w:rsidR="00F31CD5" w:rsidRPr="00F13073" w:rsidRDefault="00F31CD5" w:rsidP="008B4C50">
      <w:r w:rsidRPr="00F13073">
        <w:t>Przed użyciem ampułko-strzykawkę należy wyjąć z opakowania i umieścić w temperaturze pokojowej na co najmniej 30 minut</w:t>
      </w:r>
    </w:p>
    <w:p w14:paraId="2AF2E755" w14:textId="77777777" w:rsidR="00F31CD5" w:rsidRPr="00F13073" w:rsidRDefault="00F31CD5" w:rsidP="008B4C50"/>
    <w:p w14:paraId="43A180F8" w14:textId="77777777" w:rsidR="00F31CD5" w:rsidRPr="00F13073" w:rsidRDefault="00F31CD5" w:rsidP="008B4C50"/>
    <w:p w14:paraId="25DD82D0" w14:textId="77777777" w:rsidR="00F31CD5" w:rsidRPr="0081094B" w:rsidRDefault="00F31CD5" w:rsidP="008B4C50">
      <w:pPr>
        <w:pStyle w:val="BoxedHeading"/>
        <w:rPr>
          <w:lang w:val="pl-PL"/>
        </w:rPr>
      </w:pPr>
      <w:r w:rsidRPr="0081094B">
        <w:rPr>
          <w:lang w:val="pl-PL"/>
        </w:rPr>
        <w:t>8.</w:t>
      </w:r>
      <w:r w:rsidRPr="0081094B">
        <w:rPr>
          <w:lang w:val="pl-PL"/>
        </w:rPr>
        <w:tab/>
        <w:t>TERMIN WAŻNOŚCI</w:t>
      </w:r>
    </w:p>
    <w:p w14:paraId="3DF01B70" w14:textId="77777777" w:rsidR="00F31CD5" w:rsidRPr="00F13073" w:rsidRDefault="00F31CD5" w:rsidP="008B4C50"/>
    <w:p w14:paraId="3F59622B" w14:textId="77777777" w:rsidR="00F31CD5" w:rsidRPr="00F13073" w:rsidRDefault="00F31CD5" w:rsidP="008B4C50">
      <w:r w:rsidRPr="00F13073">
        <w:t>Termin ważności (EXP)</w:t>
      </w:r>
    </w:p>
    <w:p w14:paraId="6317D43A" w14:textId="77777777" w:rsidR="00AD0B24" w:rsidRPr="00F13073" w:rsidRDefault="00AD0B24" w:rsidP="008B4C50"/>
    <w:p w14:paraId="24358F49" w14:textId="77777777" w:rsidR="00A3477F" w:rsidRPr="00F13073" w:rsidRDefault="00A3477F" w:rsidP="008B4C50"/>
    <w:p w14:paraId="35C6B1AC" w14:textId="77777777" w:rsidR="00D922E1" w:rsidRPr="0081094B" w:rsidRDefault="00D922E1" w:rsidP="008B4C50">
      <w:pPr>
        <w:pStyle w:val="BoxedHeading"/>
        <w:rPr>
          <w:lang w:val="pl-PL"/>
        </w:rPr>
      </w:pPr>
      <w:r w:rsidRPr="0081094B">
        <w:rPr>
          <w:lang w:val="pl-PL"/>
        </w:rPr>
        <w:lastRenderedPageBreak/>
        <w:t>9.</w:t>
      </w:r>
      <w:r w:rsidRPr="0081094B">
        <w:rPr>
          <w:lang w:val="pl-PL"/>
        </w:rPr>
        <w:tab/>
        <w:t>WARUNKI PRZECHOWYWANIA</w:t>
      </w:r>
    </w:p>
    <w:p w14:paraId="229AD845" w14:textId="77777777" w:rsidR="00D922E1" w:rsidRPr="00F13073" w:rsidRDefault="00D922E1" w:rsidP="008B4C50">
      <w:pPr>
        <w:keepNext/>
      </w:pPr>
    </w:p>
    <w:p w14:paraId="29679F2B" w14:textId="77777777" w:rsidR="00D922E1" w:rsidRPr="00F13073" w:rsidRDefault="00D922E1" w:rsidP="008B4C50">
      <w:pPr>
        <w:keepNext/>
      </w:pPr>
      <w:r w:rsidRPr="00F13073">
        <w:t>Przechowywać w lodówce</w:t>
      </w:r>
    </w:p>
    <w:p w14:paraId="0751EEC5" w14:textId="77777777" w:rsidR="00D922E1" w:rsidRPr="00F13073" w:rsidRDefault="00D922E1" w:rsidP="008B4C50">
      <w:pPr>
        <w:keepNext/>
      </w:pPr>
      <w:r w:rsidRPr="00F13073">
        <w:t>Nie zamrażać</w:t>
      </w:r>
    </w:p>
    <w:p w14:paraId="6D41AD3E" w14:textId="487F2557" w:rsidR="00D922E1" w:rsidRPr="00F13073" w:rsidRDefault="00D922E1" w:rsidP="008B4C50">
      <w:pPr>
        <w:keepNext/>
      </w:pPr>
      <w:r w:rsidRPr="00F13073">
        <w:t xml:space="preserve">Po wyjęciu z lodówki ampułko-strzykawka może być przechowywana do </w:t>
      </w:r>
      <w:r w:rsidR="009F1698" w:rsidRPr="00F13073">
        <w:t>3</w:t>
      </w:r>
      <w:r w:rsidRPr="00F13073">
        <w:t xml:space="preserve"> tygodni w temperaturze nie wyższej niż 30°C</w:t>
      </w:r>
    </w:p>
    <w:p w14:paraId="0BA00DC6" w14:textId="77777777" w:rsidR="00D922E1" w:rsidRPr="00F13073" w:rsidRDefault="00D922E1" w:rsidP="008B4C50">
      <w:pPr>
        <w:keepNext/>
      </w:pPr>
      <w:r w:rsidRPr="00F13073">
        <w:t>Ampułko-strzykawkę należy przechowywać w opakowaniu zewnętrznym w celu ochrony przed światłem i wilgocią</w:t>
      </w:r>
    </w:p>
    <w:p w14:paraId="163D2E4A" w14:textId="77777777" w:rsidR="00D922E1" w:rsidRPr="00F13073" w:rsidRDefault="00D922E1" w:rsidP="008B4C50">
      <w:pPr>
        <w:keepNext/>
      </w:pPr>
    </w:p>
    <w:p w14:paraId="442579B1" w14:textId="77777777" w:rsidR="00D922E1" w:rsidRPr="00F13073" w:rsidRDefault="00D922E1" w:rsidP="008B4C50"/>
    <w:p w14:paraId="6CBA469A" w14:textId="77777777" w:rsidR="00D922E1" w:rsidRPr="0081094B" w:rsidRDefault="00D922E1"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413370D7" w14:textId="77777777" w:rsidR="00D922E1" w:rsidRPr="00F13073" w:rsidRDefault="00D922E1" w:rsidP="008B4C50"/>
    <w:p w14:paraId="6D7CBB59" w14:textId="77777777" w:rsidR="00D922E1" w:rsidRPr="00F13073" w:rsidRDefault="00D922E1" w:rsidP="008B4C50"/>
    <w:p w14:paraId="652C3DF7" w14:textId="77777777" w:rsidR="00D922E1" w:rsidRPr="0081094B" w:rsidRDefault="00D922E1" w:rsidP="008B4C50">
      <w:pPr>
        <w:pStyle w:val="BoxedHeading"/>
        <w:rPr>
          <w:lang w:val="pl-PL"/>
        </w:rPr>
      </w:pPr>
      <w:r w:rsidRPr="0081094B">
        <w:rPr>
          <w:lang w:val="pl-PL"/>
        </w:rPr>
        <w:t>11.</w:t>
      </w:r>
      <w:r w:rsidRPr="0081094B">
        <w:rPr>
          <w:lang w:val="pl-PL"/>
        </w:rPr>
        <w:tab/>
        <w:t>NAZWA I ADRES PODMIOTU ODPOWIEDZIALNEGO</w:t>
      </w:r>
    </w:p>
    <w:p w14:paraId="6D5217A7" w14:textId="77777777" w:rsidR="00D922E1" w:rsidRPr="00F13073" w:rsidRDefault="00D922E1" w:rsidP="008B4C50"/>
    <w:p w14:paraId="49CD4506" w14:textId="77777777" w:rsidR="00095258" w:rsidRPr="00F13073" w:rsidRDefault="00095258" w:rsidP="00095258">
      <w:pPr>
        <w:keepNext/>
      </w:pPr>
      <w:r w:rsidRPr="00F13073">
        <w:t xml:space="preserve">Celltrion Healthcare Hungary Kft. </w:t>
      </w:r>
    </w:p>
    <w:p w14:paraId="62DDE21A" w14:textId="77777777" w:rsidR="00095258" w:rsidRPr="00127FBE" w:rsidRDefault="00095258" w:rsidP="00095258">
      <w:pPr>
        <w:keepNext/>
        <w:rPr>
          <w:lang w:val="en-GB"/>
        </w:rPr>
      </w:pPr>
      <w:r w:rsidRPr="00127FBE">
        <w:rPr>
          <w:lang w:val="en-GB"/>
        </w:rPr>
        <w:t>1062 Budapest</w:t>
      </w:r>
    </w:p>
    <w:p w14:paraId="7537E100" w14:textId="77777777" w:rsidR="00095258" w:rsidRPr="00127FBE" w:rsidRDefault="00095258" w:rsidP="00095258">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7BBFA9DE" w14:textId="5C259036" w:rsidR="00095258" w:rsidRPr="00F13073" w:rsidRDefault="00095258" w:rsidP="00095258">
      <w:r w:rsidRPr="0081094B">
        <w:t>Węgry</w:t>
      </w:r>
    </w:p>
    <w:p w14:paraId="5BC0B56D" w14:textId="77777777" w:rsidR="00D922E1" w:rsidRPr="00F13073" w:rsidRDefault="00D922E1" w:rsidP="008B4C50"/>
    <w:p w14:paraId="0AFD0C9D" w14:textId="77777777" w:rsidR="00D922E1" w:rsidRPr="00F13073" w:rsidRDefault="00D922E1" w:rsidP="008B4C50"/>
    <w:p w14:paraId="28D999BC" w14:textId="77777777" w:rsidR="00D922E1" w:rsidRPr="0081094B" w:rsidRDefault="00D922E1" w:rsidP="008B4C50">
      <w:pPr>
        <w:pStyle w:val="BoxedHeading"/>
        <w:rPr>
          <w:lang w:val="pl-PL"/>
        </w:rPr>
      </w:pPr>
      <w:r w:rsidRPr="0081094B">
        <w:rPr>
          <w:lang w:val="pl-PL"/>
        </w:rPr>
        <w:t>12.</w:t>
      </w:r>
      <w:r w:rsidRPr="0081094B">
        <w:rPr>
          <w:lang w:val="pl-PL"/>
        </w:rPr>
        <w:tab/>
        <w:t>NUMER (NUMERY) POZWOLENIA NA DOPUSZCZENIE DO OBROTU</w:t>
      </w:r>
    </w:p>
    <w:p w14:paraId="3EEB8BB3" w14:textId="77777777" w:rsidR="00D922E1" w:rsidRPr="00F13073" w:rsidRDefault="00D922E1" w:rsidP="008B4C50"/>
    <w:p w14:paraId="6D5B3A06" w14:textId="13E9B452" w:rsidR="00D922E1" w:rsidRPr="00F430E0" w:rsidRDefault="00D922E1" w:rsidP="008B4C50">
      <w:r w:rsidRPr="00F430E0">
        <w:t>EU/</w:t>
      </w:r>
      <w:r w:rsidR="00126097" w:rsidRPr="00F458BB">
        <w:rPr>
          <w:spacing w:val="-1"/>
          <w:lang w:val="pt-BR"/>
        </w:rPr>
        <w:t>1/24/1896/00</w:t>
      </w:r>
      <w:r w:rsidR="00F430E0">
        <w:rPr>
          <w:rFonts w:eastAsia="맑은 고딕"/>
          <w:spacing w:val="-1"/>
          <w:lang w:val="pt-BR" w:eastAsia="ko-KR"/>
        </w:rPr>
        <w:t xml:space="preserve">9 </w:t>
      </w:r>
      <w:r w:rsidR="00FE79BF">
        <w:rPr>
          <w:rFonts w:eastAsia="맑은 고딕"/>
          <w:spacing w:val="-1"/>
          <w:lang w:val="pt-BR" w:eastAsia="ko-KR"/>
        </w:rPr>
        <w:t xml:space="preserve">12 </w:t>
      </w:r>
      <w:r w:rsidR="00F430E0">
        <w:rPr>
          <w:rFonts w:eastAsia="맑은 고딕"/>
          <w:spacing w:val="-1"/>
          <w:lang w:val="pt-BR" w:eastAsia="ko-KR"/>
        </w:rPr>
        <w:t>(3 x 4)</w:t>
      </w:r>
      <w:r w:rsidR="00126097">
        <w:rPr>
          <w:rFonts w:eastAsia="맑은 고딕"/>
          <w:spacing w:val="-1"/>
          <w:lang w:val="pt-BR" w:eastAsia="ko-KR"/>
        </w:rPr>
        <w:t> ampułko-strzykawk</w:t>
      </w:r>
      <w:r w:rsidR="00F430E0">
        <w:rPr>
          <w:rFonts w:eastAsia="맑은 고딕"/>
          <w:spacing w:val="-1"/>
          <w:lang w:val="pt-BR" w:eastAsia="ko-KR"/>
        </w:rPr>
        <w:t>i (opakowanie zbiorcze)</w:t>
      </w:r>
    </w:p>
    <w:p w14:paraId="5FCDFCE0" w14:textId="77777777" w:rsidR="00D922E1" w:rsidRPr="00F430E0" w:rsidRDefault="00D922E1" w:rsidP="008B4C50"/>
    <w:p w14:paraId="7C6B1196" w14:textId="77777777" w:rsidR="00D922E1" w:rsidRPr="00F430E0" w:rsidRDefault="00D922E1" w:rsidP="008B4C50"/>
    <w:p w14:paraId="328E9D21" w14:textId="77777777" w:rsidR="00D922E1" w:rsidRPr="00127FBE" w:rsidRDefault="00D922E1" w:rsidP="008B4C50">
      <w:pPr>
        <w:pStyle w:val="BoxedHeading"/>
        <w:rPr>
          <w:lang w:val="en-GB"/>
        </w:rPr>
      </w:pPr>
      <w:r w:rsidRPr="00127FBE">
        <w:rPr>
          <w:lang w:val="en-GB"/>
        </w:rPr>
        <w:t>13.</w:t>
      </w:r>
      <w:r w:rsidRPr="00127FBE">
        <w:rPr>
          <w:lang w:val="en-GB"/>
        </w:rPr>
        <w:tab/>
        <w:t>NUMER SERII</w:t>
      </w:r>
    </w:p>
    <w:p w14:paraId="242EDBB9" w14:textId="77777777" w:rsidR="00D922E1" w:rsidRPr="00127FBE" w:rsidRDefault="00D922E1" w:rsidP="008B4C50">
      <w:pPr>
        <w:rPr>
          <w:lang w:val="en-GB"/>
        </w:rPr>
      </w:pPr>
    </w:p>
    <w:p w14:paraId="34B00ECA" w14:textId="77777777" w:rsidR="00D922E1" w:rsidRPr="00D209C2" w:rsidRDefault="00D922E1" w:rsidP="008B4C50">
      <w:pPr>
        <w:rPr>
          <w:lang w:val="en-GB"/>
        </w:rPr>
      </w:pPr>
      <w:r w:rsidRPr="00D209C2">
        <w:rPr>
          <w:lang w:val="en-GB"/>
        </w:rPr>
        <w:t xml:space="preserve">Nr </w:t>
      </w:r>
      <w:proofErr w:type="spellStart"/>
      <w:r w:rsidRPr="00D209C2">
        <w:rPr>
          <w:lang w:val="en-GB"/>
        </w:rPr>
        <w:t>serii</w:t>
      </w:r>
      <w:proofErr w:type="spellEnd"/>
      <w:r w:rsidRPr="00D209C2">
        <w:rPr>
          <w:lang w:val="en-GB"/>
        </w:rPr>
        <w:t xml:space="preserve"> (Lot)</w:t>
      </w:r>
    </w:p>
    <w:p w14:paraId="61343944" w14:textId="77777777" w:rsidR="00D922E1" w:rsidRPr="00D209C2" w:rsidRDefault="00D922E1" w:rsidP="008B4C50">
      <w:pPr>
        <w:rPr>
          <w:lang w:val="en-GB"/>
        </w:rPr>
      </w:pPr>
    </w:p>
    <w:p w14:paraId="2B85D666" w14:textId="77777777" w:rsidR="00D922E1" w:rsidRPr="00D209C2" w:rsidRDefault="00D922E1" w:rsidP="008B4C50">
      <w:pPr>
        <w:rPr>
          <w:lang w:val="en-GB"/>
        </w:rPr>
      </w:pPr>
    </w:p>
    <w:p w14:paraId="487EC1B9" w14:textId="77777777" w:rsidR="00D922E1" w:rsidRPr="0081094B" w:rsidRDefault="00D922E1" w:rsidP="008B4C50">
      <w:pPr>
        <w:pStyle w:val="BoxedHeading"/>
        <w:rPr>
          <w:lang w:val="pl-PL"/>
        </w:rPr>
      </w:pPr>
      <w:r w:rsidRPr="0081094B">
        <w:rPr>
          <w:lang w:val="pl-PL"/>
        </w:rPr>
        <w:t>14.</w:t>
      </w:r>
      <w:r w:rsidRPr="0081094B">
        <w:rPr>
          <w:lang w:val="pl-PL"/>
        </w:rPr>
        <w:tab/>
        <w:t>KATEGORIA DOSTĘPNOŚCI</w:t>
      </w:r>
    </w:p>
    <w:p w14:paraId="41DAB8AA" w14:textId="77777777" w:rsidR="00D922E1" w:rsidRPr="00F13073" w:rsidRDefault="00D922E1" w:rsidP="008B4C50"/>
    <w:p w14:paraId="7EEB1F28" w14:textId="77777777" w:rsidR="00D922E1" w:rsidRPr="00F13073" w:rsidRDefault="00D922E1" w:rsidP="008B4C50"/>
    <w:p w14:paraId="1D1733B9" w14:textId="77777777" w:rsidR="00D922E1" w:rsidRPr="0081094B" w:rsidRDefault="00D922E1" w:rsidP="008B4C50">
      <w:pPr>
        <w:pStyle w:val="BoxedHeading"/>
        <w:rPr>
          <w:lang w:val="pl-PL"/>
        </w:rPr>
      </w:pPr>
      <w:r w:rsidRPr="0081094B">
        <w:rPr>
          <w:lang w:val="pl-PL"/>
        </w:rPr>
        <w:t>15.</w:t>
      </w:r>
      <w:r w:rsidRPr="0081094B">
        <w:rPr>
          <w:lang w:val="pl-PL"/>
        </w:rPr>
        <w:tab/>
        <w:t>INSTRUKCJA UŻYCIA</w:t>
      </w:r>
    </w:p>
    <w:p w14:paraId="1E281328" w14:textId="77777777" w:rsidR="00D922E1" w:rsidRPr="00F13073" w:rsidRDefault="00D922E1" w:rsidP="008B4C50"/>
    <w:p w14:paraId="02739BEF" w14:textId="77777777" w:rsidR="00D922E1" w:rsidRPr="00F13073" w:rsidRDefault="00D922E1" w:rsidP="008B4C50"/>
    <w:p w14:paraId="2831CE5B" w14:textId="77777777" w:rsidR="00D922E1" w:rsidRPr="0081094B" w:rsidRDefault="00D922E1" w:rsidP="008B4C50">
      <w:pPr>
        <w:pStyle w:val="BoxedHeading"/>
        <w:rPr>
          <w:lang w:val="pl-PL"/>
        </w:rPr>
      </w:pPr>
      <w:r w:rsidRPr="0081094B">
        <w:rPr>
          <w:lang w:val="pl-PL"/>
        </w:rPr>
        <w:t>16.</w:t>
      </w:r>
      <w:r w:rsidRPr="0081094B">
        <w:rPr>
          <w:lang w:val="pl-PL"/>
        </w:rPr>
        <w:tab/>
        <w:t>INFORMACJA PODANA SYSTEMEM BRAILLE’A</w:t>
      </w:r>
    </w:p>
    <w:p w14:paraId="19C64B2F" w14:textId="77777777" w:rsidR="00D922E1" w:rsidRPr="00F13073" w:rsidRDefault="00D922E1" w:rsidP="008B4C50"/>
    <w:p w14:paraId="673F178C" w14:textId="025B0BD6" w:rsidR="00D922E1" w:rsidRPr="00F13073" w:rsidRDefault="00095258" w:rsidP="008B4C50">
      <w:r w:rsidRPr="00F13073">
        <w:t>a</w:t>
      </w:r>
      <w:r w:rsidR="00026375" w:rsidRPr="00F13073">
        <w:t>vtozma</w:t>
      </w:r>
      <w:r w:rsidR="00D922E1" w:rsidRPr="00F13073">
        <w:t xml:space="preserve"> 162 mg</w:t>
      </w:r>
    </w:p>
    <w:p w14:paraId="7A774F04" w14:textId="77777777" w:rsidR="00D922E1" w:rsidRPr="00F13073" w:rsidRDefault="00D922E1" w:rsidP="008B4C50"/>
    <w:p w14:paraId="4E1F41A4" w14:textId="77777777" w:rsidR="00D922E1" w:rsidRPr="00F13073" w:rsidRDefault="00D922E1" w:rsidP="008B4C50"/>
    <w:p w14:paraId="20260DB7" w14:textId="77777777" w:rsidR="00D922E1" w:rsidRPr="0081094B" w:rsidRDefault="00D922E1"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6EE8F6DA" w14:textId="77777777" w:rsidR="00D922E1" w:rsidRPr="00F13073" w:rsidRDefault="00D922E1" w:rsidP="008B4C50"/>
    <w:p w14:paraId="7A52ED12" w14:textId="77777777" w:rsidR="00D922E1" w:rsidRPr="00F13073" w:rsidRDefault="00D922E1" w:rsidP="008B4C50">
      <w:r>
        <w:rPr>
          <w:highlight w:val="lightGray"/>
        </w:rPr>
        <w:t>&lt;Obejmuje kod 2D będący nośnikiem niepowtarzalnego identyfikatora.&gt;</w:t>
      </w:r>
    </w:p>
    <w:p w14:paraId="5A5DD0AF" w14:textId="77777777" w:rsidR="00D922E1" w:rsidRPr="00F13073" w:rsidRDefault="00D922E1" w:rsidP="008B4C50"/>
    <w:p w14:paraId="5C1BC13C" w14:textId="77777777" w:rsidR="00D922E1" w:rsidRPr="00F13073" w:rsidRDefault="00D922E1" w:rsidP="008B4C50"/>
    <w:p w14:paraId="2FD0F7B6" w14:textId="77777777" w:rsidR="00D922E1" w:rsidRPr="0081094B" w:rsidRDefault="00D922E1"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7EBBBD95" w14:textId="77777777" w:rsidR="00AD0B24" w:rsidRPr="00F13073" w:rsidRDefault="00AD0B24" w:rsidP="008B4C50"/>
    <w:p w14:paraId="0364ED60" w14:textId="77777777" w:rsidR="00A3477F" w:rsidRPr="00F13073" w:rsidRDefault="00A3477F" w:rsidP="008B4C50">
      <w:r w:rsidRPr="00F13073">
        <w:t xml:space="preserve">PC </w:t>
      </w:r>
    </w:p>
    <w:p w14:paraId="51F3333F" w14:textId="77777777" w:rsidR="00A3477F" w:rsidRPr="00F13073" w:rsidRDefault="00A3477F" w:rsidP="008B4C50">
      <w:r w:rsidRPr="00F13073">
        <w:t xml:space="preserve">SN </w:t>
      </w:r>
    </w:p>
    <w:p w14:paraId="7A01DAA4" w14:textId="77777777" w:rsidR="00A3477F" w:rsidRPr="00F13073" w:rsidRDefault="00A3477F" w:rsidP="008B4C50">
      <w:r w:rsidRPr="00D209C2">
        <w:rPr>
          <w:highlight w:val="lightGray"/>
        </w:rPr>
        <w:t>NN</w:t>
      </w:r>
    </w:p>
    <w:p w14:paraId="342DAEDA" w14:textId="51549327" w:rsidR="00AD0B24" w:rsidRPr="00F13073" w:rsidRDefault="00095258" w:rsidP="00442587">
      <w:r w:rsidRPr="00F13073">
        <w:br w:type="page"/>
      </w:r>
    </w:p>
    <w:p w14:paraId="5799C2FA" w14:textId="77777777" w:rsidR="001E0975" w:rsidRPr="00F13073" w:rsidRDefault="002847BB" w:rsidP="008B4C50">
      <w:pPr>
        <w:pBdr>
          <w:top w:val="single" w:sz="4" w:space="1" w:color="auto"/>
          <w:left w:val="single" w:sz="4" w:space="4" w:color="auto"/>
          <w:bottom w:val="single" w:sz="4" w:space="1" w:color="auto"/>
          <w:right w:val="single" w:sz="4" w:space="4" w:color="auto"/>
        </w:pBdr>
        <w:rPr>
          <w:b/>
          <w:bCs/>
        </w:rPr>
      </w:pPr>
      <w:r w:rsidRPr="00F13073">
        <w:rPr>
          <w:b/>
          <w:bCs/>
        </w:rPr>
        <w:lastRenderedPageBreak/>
        <w:t>INFORMACJE ZAMIESZCZANE NA OPAKOWANIACH ZEWNĘTRZNYCH</w:t>
      </w:r>
    </w:p>
    <w:p w14:paraId="40D9CC3C"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7E7CE459" w14:textId="77777777" w:rsidR="001E0975" w:rsidRPr="00F13073" w:rsidRDefault="002847BB" w:rsidP="008B4C50">
      <w:pPr>
        <w:pBdr>
          <w:top w:val="single" w:sz="4" w:space="1" w:color="auto"/>
          <w:left w:val="single" w:sz="4" w:space="4" w:color="auto"/>
          <w:bottom w:val="single" w:sz="4" w:space="1" w:color="auto"/>
          <w:right w:val="single" w:sz="4" w:space="4" w:color="auto"/>
        </w:pBdr>
        <w:rPr>
          <w:b/>
          <w:bCs/>
        </w:rPr>
      </w:pPr>
      <w:r w:rsidRPr="00F13073">
        <w:rPr>
          <w:b/>
          <w:bCs/>
        </w:rPr>
        <w:t>OPAKOWANIE AMPUŁKO-STRZYKAWKI (bez Blue Box) – opakowanie zbiorcze</w:t>
      </w:r>
    </w:p>
    <w:p w14:paraId="18512046" w14:textId="77777777" w:rsidR="00A3477F" w:rsidRPr="00F13073" w:rsidRDefault="00A3477F" w:rsidP="008B4C50"/>
    <w:p w14:paraId="7B4FCD4E" w14:textId="77777777" w:rsidR="00A3477F" w:rsidRPr="00F13073" w:rsidRDefault="00A3477F" w:rsidP="008B4C50"/>
    <w:p w14:paraId="3F842C29" w14:textId="77777777" w:rsidR="002847BB" w:rsidRPr="0081094B" w:rsidRDefault="002847BB" w:rsidP="008B4C50">
      <w:pPr>
        <w:pStyle w:val="BoxedHeading"/>
        <w:rPr>
          <w:lang w:val="pl-PL"/>
        </w:rPr>
      </w:pPr>
      <w:r w:rsidRPr="0081094B">
        <w:rPr>
          <w:lang w:val="pl-PL"/>
        </w:rPr>
        <w:t>1.</w:t>
      </w:r>
      <w:r w:rsidRPr="0081094B">
        <w:rPr>
          <w:lang w:val="pl-PL"/>
        </w:rPr>
        <w:tab/>
        <w:t>NAZWA PRODUKTU LECZNICZEGO</w:t>
      </w:r>
    </w:p>
    <w:p w14:paraId="4C9F006D" w14:textId="77777777" w:rsidR="002847BB" w:rsidRPr="00F13073" w:rsidRDefault="002847BB" w:rsidP="008B4C50"/>
    <w:p w14:paraId="0AE04625" w14:textId="79E1B29B" w:rsidR="002847BB" w:rsidRPr="00F13073" w:rsidRDefault="00026375" w:rsidP="008B4C50">
      <w:r w:rsidRPr="00F13073">
        <w:t>Avtozma</w:t>
      </w:r>
      <w:r w:rsidR="002847BB" w:rsidRPr="00F13073">
        <w:t xml:space="preserve"> 162 mg roztwór do wstrzykiwań w ampułko-strzykawce</w:t>
      </w:r>
    </w:p>
    <w:p w14:paraId="58EFA62C" w14:textId="77777777" w:rsidR="002847BB" w:rsidRPr="00F13073" w:rsidRDefault="002847BB" w:rsidP="008B4C50">
      <w:r w:rsidRPr="00F13073">
        <w:t>tocilizumab</w:t>
      </w:r>
    </w:p>
    <w:p w14:paraId="7CC6D0AE" w14:textId="77777777" w:rsidR="002847BB" w:rsidRPr="00F13073" w:rsidRDefault="002847BB" w:rsidP="008B4C50"/>
    <w:p w14:paraId="72409639" w14:textId="77777777" w:rsidR="002847BB" w:rsidRPr="00F13073" w:rsidRDefault="002847BB" w:rsidP="008B4C50"/>
    <w:p w14:paraId="32D00204" w14:textId="77777777" w:rsidR="002847BB" w:rsidRPr="0081094B" w:rsidRDefault="002847BB" w:rsidP="008B4C50">
      <w:pPr>
        <w:pStyle w:val="BoxedHeading"/>
        <w:rPr>
          <w:lang w:val="pl-PL"/>
        </w:rPr>
      </w:pPr>
      <w:r w:rsidRPr="0081094B">
        <w:rPr>
          <w:lang w:val="pl-PL"/>
        </w:rPr>
        <w:t>2.</w:t>
      </w:r>
      <w:r w:rsidRPr="0081094B">
        <w:rPr>
          <w:lang w:val="pl-PL"/>
        </w:rPr>
        <w:tab/>
        <w:t>ZAWARTOŚĆ SUBSTANCJI CZYNNEJ (CZYNNYCH)</w:t>
      </w:r>
    </w:p>
    <w:p w14:paraId="70EA3049" w14:textId="77777777" w:rsidR="002847BB" w:rsidRPr="00F13073" w:rsidRDefault="002847BB" w:rsidP="008B4C50"/>
    <w:p w14:paraId="634B62BE" w14:textId="77777777" w:rsidR="002847BB" w:rsidRPr="00F13073" w:rsidRDefault="002847BB" w:rsidP="008B4C50">
      <w:r w:rsidRPr="00F13073">
        <w:t>1 ampułko-strzykawka zawiera 162 mg tocilizumabu.</w:t>
      </w:r>
    </w:p>
    <w:p w14:paraId="5E180789" w14:textId="77777777" w:rsidR="002847BB" w:rsidRPr="00F13073" w:rsidRDefault="002847BB" w:rsidP="008B4C50"/>
    <w:p w14:paraId="5AE5FDEA" w14:textId="77777777" w:rsidR="002847BB" w:rsidRPr="00F13073" w:rsidRDefault="002847BB" w:rsidP="008B4C50"/>
    <w:p w14:paraId="444AF078" w14:textId="77777777" w:rsidR="002847BB" w:rsidRPr="0081094B" w:rsidRDefault="002847BB" w:rsidP="008B4C50">
      <w:pPr>
        <w:pStyle w:val="BoxedHeading"/>
        <w:rPr>
          <w:lang w:val="pl-PL"/>
        </w:rPr>
      </w:pPr>
      <w:r w:rsidRPr="0081094B">
        <w:rPr>
          <w:lang w:val="pl-PL"/>
        </w:rPr>
        <w:t>3.</w:t>
      </w:r>
      <w:r w:rsidRPr="0081094B">
        <w:rPr>
          <w:lang w:val="pl-PL"/>
        </w:rPr>
        <w:tab/>
        <w:t>WYKAZ SUBSTANCJI POMOCNICZYCH</w:t>
      </w:r>
    </w:p>
    <w:p w14:paraId="09F80C1B" w14:textId="77777777" w:rsidR="002847BB" w:rsidRPr="00F13073" w:rsidRDefault="002847BB" w:rsidP="008B4C50"/>
    <w:p w14:paraId="04429FDA" w14:textId="52678250" w:rsidR="00B02785" w:rsidRPr="00F13073" w:rsidRDefault="00BE69F6"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p>
    <w:p w14:paraId="66EB8717" w14:textId="7919D789" w:rsidR="008834B2" w:rsidRPr="00F13073" w:rsidRDefault="00BE69F6" w:rsidP="008B4C50">
      <w:r w:rsidRPr="00F13073">
        <w:t>Dokładna informacja znajduje się w ulotce dla pacjenta.</w:t>
      </w:r>
    </w:p>
    <w:p w14:paraId="54DF944B" w14:textId="77777777" w:rsidR="002847BB" w:rsidRPr="00F13073" w:rsidRDefault="002847BB" w:rsidP="008B4C50"/>
    <w:p w14:paraId="2048F0D1" w14:textId="77777777" w:rsidR="002847BB" w:rsidRPr="00F13073" w:rsidRDefault="002847BB" w:rsidP="008B4C50"/>
    <w:p w14:paraId="294B4729" w14:textId="77777777" w:rsidR="002847BB" w:rsidRPr="0081094B" w:rsidRDefault="002847BB" w:rsidP="008B4C50">
      <w:pPr>
        <w:pStyle w:val="BoxedHeading"/>
        <w:rPr>
          <w:lang w:val="pl-PL"/>
        </w:rPr>
      </w:pPr>
      <w:r w:rsidRPr="0081094B">
        <w:rPr>
          <w:lang w:val="pl-PL"/>
        </w:rPr>
        <w:t>4.</w:t>
      </w:r>
      <w:r w:rsidRPr="0081094B">
        <w:rPr>
          <w:lang w:val="pl-PL"/>
        </w:rPr>
        <w:tab/>
        <w:t>POSTAĆ FARMACEUTYCZNA I ZAWARTOŚĆ OPAKOWANIA</w:t>
      </w:r>
    </w:p>
    <w:p w14:paraId="47F5C370" w14:textId="77777777" w:rsidR="002847BB" w:rsidRPr="00F13073" w:rsidRDefault="002847BB" w:rsidP="008B4C50"/>
    <w:p w14:paraId="3A578DD5" w14:textId="6E818947" w:rsidR="002847BB" w:rsidRPr="00F13073" w:rsidRDefault="002847BB" w:rsidP="008B4C50">
      <w:r w:rsidRPr="00F13073">
        <w:t>Roztwór do wstrzykiwa</w:t>
      </w:r>
      <w:r w:rsidR="00A74A50" w:rsidRPr="00F13073">
        <w:t>ć</w:t>
      </w:r>
      <w:r w:rsidRPr="00F13073">
        <w:t xml:space="preserve"> w ampułko-strzykawce</w:t>
      </w:r>
    </w:p>
    <w:p w14:paraId="4BE8FEAB" w14:textId="77777777" w:rsidR="002847BB" w:rsidRPr="00F13073" w:rsidRDefault="002847BB" w:rsidP="008B4C50">
      <w:r w:rsidRPr="00F13073">
        <w:t>4 ampułko-strzykawki. Części składowe opakowania zbiorczego nie mogą być sprzedawane osobno.</w:t>
      </w:r>
    </w:p>
    <w:p w14:paraId="447EBB3D" w14:textId="77777777" w:rsidR="002847BB" w:rsidRPr="00F13073" w:rsidRDefault="002847BB" w:rsidP="008B4C50">
      <w:r w:rsidRPr="00F13073">
        <w:t>162 mg/0,9 mL</w:t>
      </w:r>
    </w:p>
    <w:p w14:paraId="4CE1FA30" w14:textId="77777777" w:rsidR="002847BB" w:rsidRPr="00F13073" w:rsidRDefault="002847BB" w:rsidP="008B4C50"/>
    <w:p w14:paraId="1447D3EA" w14:textId="77777777" w:rsidR="002847BB" w:rsidRPr="00F13073" w:rsidRDefault="002847BB" w:rsidP="008B4C50"/>
    <w:p w14:paraId="22996EA2" w14:textId="77777777" w:rsidR="002847BB" w:rsidRPr="0081094B" w:rsidRDefault="002847BB" w:rsidP="008B4C50">
      <w:pPr>
        <w:pStyle w:val="BoxedHeading"/>
        <w:rPr>
          <w:lang w:val="pl-PL"/>
        </w:rPr>
      </w:pPr>
      <w:r w:rsidRPr="0081094B">
        <w:rPr>
          <w:lang w:val="pl-PL"/>
        </w:rPr>
        <w:t>5.</w:t>
      </w:r>
      <w:r w:rsidRPr="0081094B">
        <w:rPr>
          <w:lang w:val="pl-PL"/>
        </w:rPr>
        <w:tab/>
        <w:t>SPOSÓB I DROGA (DROGI) PODANIA</w:t>
      </w:r>
    </w:p>
    <w:p w14:paraId="73360049" w14:textId="77777777" w:rsidR="002847BB" w:rsidRPr="00F13073" w:rsidRDefault="002847BB" w:rsidP="008B4C50"/>
    <w:p w14:paraId="79B5DCA3" w14:textId="77777777" w:rsidR="002847BB" w:rsidRPr="00F13073" w:rsidRDefault="002847BB" w:rsidP="008B4C50">
      <w:r w:rsidRPr="00F13073">
        <w:t>Stosowanie podskórne</w:t>
      </w:r>
    </w:p>
    <w:p w14:paraId="50DE5D9D" w14:textId="77777777" w:rsidR="002847BB" w:rsidRPr="00F13073" w:rsidRDefault="002847BB" w:rsidP="008B4C50">
      <w:r w:rsidRPr="00F13073">
        <w:t>Należy zapoznać się z treścią ulotki przed zastosowaniem leku</w:t>
      </w:r>
    </w:p>
    <w:p w14:paraId="7DBA285F" w14:textId="77777777" w:rsidR="002847BB" w:rsidRPr="00F13073" w:rsidRDefault="002847BB" w:rsidP="008B4C50"/>
    <w:p w14:paraId="69ABCAA2" w14:textId="77777777" w:rsidR="002847BB" w:rsidRPr="00F13073" w:rsidRDefault="002847BB" w:rsidP="008B4C50"/>
    <w:p w14:paraId="7E898815" w14:textId="6D404314" w:rsidR="002847BB" w:rsidRPr="0081094B" w:rsidRDefault="002847BB" w:rsidP="008B4C50">
      <w:pPr>
        <w:pStyle w:val="BoxedHeading"/>
        <w:rPr>
          <w:lang w:val="pl-PL"/>
        </w:rPr>
      </w:pPr>
      <w:r w:rsidRPr="0081094B">
        <w:rPr>
          <w:lang w:val="pl-PL"/>
        </w:rPr>
        <w:t>6.</w:t>
      </w:r>
      <w:r w:rsidRPr="0081094B">
        <w:rPr>
          <w:lang w:val="pl-PL"/>
        </w:rPr>
        <w:tab/>
        <w:t xml:space="preserve">OSTRZEŻENIE DOTYCZĄCE PRZECHOWYWANIA PRODUKTU LECZNICZEGO W MIEJSCU </w:t>
      </w:r>
      <w:r w:rsidR="009B3D92" w:rsidRPr="0081094B">
        <w:rPr>
          <w:lang w:val="pl-PL"/>
        </w:rPr>
        <w:t xml:space="preserve">NIEDOSTĘPNYM I NIEWIDOCZNYM </w:t>
      </w:r>
      <w:r w:rsidRPr="0081094B">
        <w:rPr>
          <w:lang w:val="pl-PL"/>
        </w:rPr>
        <w:t>DLA DZIECI</w:t>
      </w:r>
    </w:p>
    <w:p w14:paraId="7D3688A8" w14:textId="77777777" w:rsidR="002847BB" w:rsidRPr="00F13073" w:rsidRDefault="002847BB" w:rsidP="008B4C50"/>
    <w:p w14:paraId="30259F20" w14:textId="77777777" w:rsidR="002847BB" w:rsidRPr="00F13073" w:rsidRDefault="002847BB" w:rsidP="008B4C50">
      <w:r w:rsidRPr="00F13073">
        <w:t>Lek przechowywać w miejscu niewidocznym i niedostępnym dla dzieci</w:t>
      </w:r>
    </w:p>
    <w:p w14:paraId="2E565F79" w14:textId="77777777" w:rsidR="002847BB" w:rsidRPr="00F13073" w:rsidRDefault="002847BB" w:rsidP="008B4C50"/>
    <w:p w14:paraId="42997E6C" w14:textId="77777777" w:rsidR="002847BB" w:rsidRPr="00F13073" w:rsidRDefault="002847BB" w:rsidP="008B4C50"/>
    <w:p w14:paraId="1593CA6E" w14:textId="77777777" w:rsidR="002847BB" w:rsidRPr="0081094B" w:rsidRDefault="002847BB" w:rsidP="008B4C50">
      <w:pPr>
        <w:pStyle w:val="BoxedHeading"/>
        <w:rPr>
          <w:lang w:val="pl-PL"/>
        </w:rPr>
      </w:pPr>
      <w:r w:rsidRPr="0081094B">
        <w:rPr>
          <w:lang w:val="pl-PL"/>
        </w:rPr>
        <w:t>7.</w:t>
      </w:r>
      <w:r w:rsidRPr="0081094B">
        <w:rPr>
          <w:lang w:val="pl-PL"/>
        </w:rPr>
        <w:tab/>
        <w:t>INNE OSTRZEŻENIA SPECJALNE, JEŚLI KONIECZNE</w:t>
      </w:r>
    </w:p>
    <w:p w14:paraId="61C9A597" w14:textId="77777777" w:rsidR="002847BB" w:rsidRPr="00F13073" w:rsidRDefault="002847BB" w:rsidP="008B4C50"/>
    <w:p w14:paraId="0FE28493" w14:textId="6F6EA957" w:rsidR="002847BB" w:rsidRPr="00F13073" w:rsidRDefault="002847BB" w:rsidP="008B4C50">
      <w:r w:rsidRPr="00F13073">
        <w:t>Przed użyciem ampułko-strzykawkę należy wyjąć z opakowania i umieścić w temperaturze pokojowej na co najmniej 30 minut</w:t>
      </w:r>
    </w:p>
    <w:p w14:paraId="0004B267" w14:textId="77777777" w:rsidR="002847BB" w:rsidRPr="00F13073" w:rsidRDefault="002847BB" w:rsidP="008B4C50"/>
    <w:p w14:paraId="4F3CD955" w14:textId="77777777" w:rsidR="002847BB" w:rsidRPr="00F13073" w:rsidRDefault="002847BB" w:rsidP="008B4C50"/>
    <w:p w14:paraId="6C6A6965" w14:textId="77777777" w:rsidR="002847BB" w:rsidRPr="0081094B" w:rsidRDefault="002847BB" w:rsidP="008B4C50">
      <w:pPr>
        <w:pStyle w:val="BoxedHeading"/>
        <w:rPr>
          <w:lang w:val="pl-PL"/>
        </w:rPr>
      </w:pPr>
      <w:r w:rsidRPr="0081094B">
        <w:rPr>
          <w:lang w:val="pl-PL"/>
        </w:rPr>
        <w:t>8.</w:t>
      </w:r>
      <w:r w:rsidRPr="0081094B">
        <w:rPr>
          <w:lang w:val="pl-PL"/>
        </w:rPr>
        <w:tab/>
        <w:t>TERMIN WAŻNOŚCI</w:t>
      </w:r>
    </w:p>
    <w:p w14:paraId="495A3563" w14:textId="77777777" w:rsidR="002847BB" w:rsidRPr="00F13073" w:rsidRDefault="002847BB" w:rsidP="008B4C50"/>
    <w:p w14:paraId="24BEEDCF" w14:textId="77777777" w:rsidR="002847BB" w:rsidRPr="00F13073" w:rsidRDefault="002847BB" w:rsidP="008B4C50">
      <w:r w:rsidRPr="00F13073">
        <w:t>Termin ważności (EXP)</w:t>
      </w:r>
    </w:p>
    <w:p w14:paraId="4BB5E5AE" w14:textId="77777777" w:rsidR="00AD0B24" w:rsidRPr="00F13073" w:rsidRDefault="00AD0B24" w:rsidP="008B4C50"/>
    <w:p w14:paraId="1C3928FE" w14:textId="77777777" w:rsidR="00A3477F" w:rsidRPr="00F13073" w:rsidRDefault="00A3477F" w:rsidP="008B4C50"/>
    <w:p w14:paraId="57E65783" w14:textId="77777777" w:rsidR="008E1A51" w:rsidRPr="0081094B" w:rsidRDefault="008E1A51" w:rsidP="008B4C50">
      <w:pPr>
        <w:pStyle w:val="BoxedHeading"/>
        <w:rPr>
          <w:lang w:val="pl-PL"/>
        </w:rPr>
      </w:pPr>
      <w:r w:rsidRPr="0081094B">
        <w:rPr>
          <w:lang w:val="pl-PL"/>
        </w:rPr>
        <w:lastRenderedPageBreak/>
        <w:t>9.</w:t>
      </w:r>
      <w:r w:rsidRPr="0081094B">
        <w:rPr>
          <w:lang w:val="pl-PL"/>
        </w:rPr>
        <w:tab/>
        <w:t>WARUNKI PRZECHOWYWANIA</w:t>
      </w:r>
    </w:p>
    <w:p w14:paraId="3AB8221E" w14:textId="77777777" w:rsidR="008E1A51" w:rsidRPr="00F13073" w:rsidRDefault="008E1A51" w:rsidP="008B4C50">
      <w:pPr>
        <w:keepNext/>
      </w:pPr>
    </w:p>
    <w:p w14:paraId="4501B775" w14:textId="77777777" w:rsidR="008E1A51" w:rsidRPr="00F13073" w:rsidRDefault="008E1A51" w:rsidP="008B4C50">
      <w:pPr>
        <w:keepNext/>
      </w:pPr>
      <w:r w:rsidRPr="00F13073">
        <w:t>Przechowywać w lodówce</w:t>
      </w:r>
    </w:p>
    <w:p w14:paraId="6DE7E62F" w14:textId="77777777" w:rsidR="008E1A51" w:rsidRPr="00F13073" w:rsidRDefault="008E1A51" w:rsidP="008B4C50">
      <w:pPr>
        <w:keepNext/>
      </w:pPr>
      <w:r w:rsidRPr="00F13073">
        <w:t>Nie zamrażać</w:t>
      </w:r>
    </w:p>
    <w:p w14:paraId="74767B61" w14:textId="03635124" w:rsidR="008E1A51" w:rsidRPr="00F13073" w:rsidRDefault="008E1A51" w:rsidP="008B4C50">
      <w:pPr>
        <w:keepNext/>
      </w:pPr>
      <w:r w:rsidRPr="00F13073">
        <w:t xml:space="preserve">Po wyjęciu z lodówki ampułko-strzykawka może być przechowywana do </w:t>
      </w:r>
      <w:r w:rsidR="00496C2F" w:rsidRPr="00F13073">
        <w:t>3</w:t>
      </w:r>
      <w:r w:rsidRPr="00F13073">
        <w:t xml:space="preserve"> tygodni w temperaturze nie wyższej niż 30°C</w:t>
      </w:r>
    </w:p>
    <w:p w14:paraId="00681E12" w14:textId="77777777" w:rsidR="008E1A51" w:rsidRPr="00F13073" w:rsidRDefault="008E1A51" w:rsidP="008B4C50">
      <w:pPr>
        <w:keepNext/>
      </w:pPr>
      <w:r w:rsidRPr="00F13073">
        <w:t>Ampułko-strzykawkę należy przechowywać w opakowaniu zewnętrznym w celu ochrony przed światłem i wilgocią</w:t>
      </w:r>
    </w:p>
    <w:p w14:paraId="35564652" w14:textId="77777777" w:rsidR="008E1A51" w:rsidRPr="00F13073" w:rsidRDefault="008E1A51" w:rsidP="008B4C50">
      <w:pPr>
        <w:keepNext/>
      </w:pPr>
    </w:p>
    <w:p w14:paraId="49D490F4" w14:textId="77777777" w:rsidR="008E1A51" w:rsidRPr="00F13073" w:rsidRDefault="008E1A51" w:rsidP="008B4C50"/>
    <w:p w14:paraId="7AC9CEB5" w14:textId="77777777" w:rsidR="008E1A51" w:rsidRPr="0081094B" w:rsidRDefault="008E1A51"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2B0BEF70" w14:textId="77777777" w:rsidR="008E1A51" w:rsidRPr="00F13073" w:rsidRDefault="008E1A51" w:rsidP="008B4C50"/>
    <w:p w14:paraId="03ED74EE" w14:textId="77777777" w:rsidR="008E1A51" w:rsidRPr="00F13073" w:rsidRDefault="008E1A51" w:rsidP="008B4C50"/>
    <w:p w14:paraId="47AB8EC0" w14:textId="77777777" w:rsidR="008E1A51" w:rsidRPr="0081094B" w:rsidRDefault="008E1A51" w:rsidP="008B4C50">
      <w:pPr>
        <w:pStyle w:val="BoxedHeading"/>
        <w:rPr>
          <w:lang w:val="pl-PL"/>
        </w:rPr>
      </w:pPr>
      <w:r w:rsidRPr="0081094B">
        <w:rPr>
          <w:lang w:val="pl-PL"/>
        </w:rPr>
        <w:t>11.</w:t>
      </w:r>
      <w:r w:rsidRPr="0081094B">
        <w:rPr>
          <w:lang w:val="pl-PL"/>
        </w:rPr>
        <w:tab/>
        <w:t>NAZWA I ADRES PODMIOTU ODPOWIEDZIALNEGO</w:t>
      </w:r>
    </w:p>
    <w:p w14:paraId="1B902FBF" w14:textId="77777777" w:rsidR="008E1A51" w:rsidRPr="00F13073" w:rsidRDefault="008E1A51" w:rsidP="008B4C50"/>
    <w:p w14:paraId="204FD60E" w14:textId="77777777" w:rsidR="005E36C7" w:rsidRPr="00F13073" w:rsidRDefault="005E36C7" w:rsidP="005E36C7">
      <w:pPr>
        <w:keepNext/>
      </w:pPr>
      <w:r w:rsidRPr="00F13073">
        <w:t xml:space="preserve">Celltrion Healthcare Hungary Kft. </w:t>
      </w:r>
    </w:p>
    <w:p w14:paraId="31D3A8E9" w14:textId="77777777" w:rsidR="005E36C7" w:rsidRPr="00127FBE" w:rsidRDefault="005E36C7" w:rsidP="005E36C7">
      <w:pPr>
        <w:keepNext/>
        <w:rPr>
          <w:lang w:val="en-GB"/>
        </w:rPr>
      </w:pPr>
      <w:r w:rsidRPr="00127FBE">
        <w:rPr>
          <w:lang w:val="en-GB"/>
        </w:rPr>
        <w:t>1062 Budapest</w:t>
      </w:r>
    </w:p>
    <w:p w14:paraId="2003B39C" w14:textId="77777777" w:rsidR="005E36C7" w:rsidRPr="00127FBE" w:rsidRDefault="005E36C7" w:rsidP="005E36C7">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490E2DA8" w14:textId="33A8092E" w:rsidR="005E36C7" w:rsidRPr="00F13073" w:rsidRDefault="005E36C7" w:rsidP="005E36C7">
      <w:r w:rsidRPr="00F13073">
        <w:t>Węg</w:t>
      </w:r>
      <w:r w:rsidRPr="0081094B">
        <w:t>ry</w:t>
      </w:r>
    </w:p>
    <w:p w14:paraId="7DB21317" w14:textId="77777777" w:rsidR="008E1A51" w:rsidRPr="00F13073" w:rsidRDefault="008E1A51" w:rsidP="008B4C50"/>
    <w:p w14:paraId="339367F2" w14:textId="77777777" w:rsidR="008E1A51" w:rsidRPr="00F13073" w:rsidRDefault="008E1A51" w:rsidP="008B4C50"/>
    <w:p w14:paraId="39077BDE" w14:textId="77777777" w:rsidR="008E1A51" w:rsidRPr="0081094B" w:rsidRDefault="008E1A51" w:rsidP="008B4C50">
      <w:pPr>
        <w:pStyle w:val="BoxedHeading"/>
        <w:rPr>
          <w:lang w:val="pl-PL"/>
        </w:rPr>
      </w:pPr>
      <w:r w:rsidRPr="0081094B">
        <w:rPr>
          <w:lang w:val="pl-PL"/>
        </w:rPr>
        <w:t>12.</w:t>
      </w:r>
      <w:r w:rsidRPr="0081094B">
        <w:rPr>
          <w:lang w:val="pl-PL"/>
        </w:rPr>
        <w:tab/>
        <w:t>NUMER (NUMERY) POZWOLENIA NA DOPUSZCZENIE DO OBROTU</w:t>
      </w:r>
    </w:p>
    <w:p w14:paraId="6F27BC07" w14:textId="77777777" w:rsidR="008E1A51" w:rsidRPr="00F13073" w:rsidRDefault="008E1A51" w:rsidP="008B4C50"/>
    <w:p w14:paraId="62654437" w14:textId="07B764B7" w:rsidR="008E1A51" w:rsidRPr="00BA3A49" w:rsidRDefault="008E1A51" w:rsidP="008B4C50">
      <w:r w:rsidRPr="00BA3A49">
        <w:t>EU/</w:t>
      </w:r>
      <w:r w:rsidR="00BA3A49" w:rsidRPr="00F458BB">
        <w:rPr>
          <w:spacing w:val="-1"/>
          <w:lang w:val="pt-BR"/>
        </w:rPr>
        <w:t>1/24/1896/00</w:t>
      </w:r>
      <w:r w:rsidR="00BA3A49">
        <w:rPr>
          <w:rFonts w:eastAsia="맑은 고딕"/>
          <w:spacing w:val="-1"/>
          <w:lang w:val="pt-BR" w:eastAsia="ko-KR"/>
        </w:rPr>
        <w:t xml:space="preserve">9 </w:t>
      </w:r>
      <w:r w:rsidR="00FE79BF">
        <w:rPr>
          <w:rFonts w:eastAsia="맑은 고딕"/>
          <w:spacing w:val="-1"/>
          <w:lang w:val="pt-BR" w:eastAsia="ko-KR"/>
        </w:rPr>
        <w:t xml:space="preserve">12 </w:t>
      </w:r>
      <w:r w:rsidR="00BA3A49">
        <w:rPr>
          <w:rFonts w:eastAsia="맑은 고딕"/>
          <w:spacing w:val="-1"/>
          <w:lang w:val="pt-BR" w:eastAsia="ko-KR"/>
        </w:rPr>
        <w:t>(3 x 4) ampułko-strzykawki (opakowanie zbiorcze)</w:t>
      </w:r>
    </w:p>
    <w:p w14:paraId="61F6CC91" w14:textId="77777777" w:rsidR="008E1A51" w:rsidRPr="00BA3A49" w:rsidRDefault="008E1A51" w:rsidP="008B4C50"/>
    <w:p w14:paraId="5412C7AB" w14:textId="77777777" w:rsidR="008E1A51" w:rsidRPr="00BA3A49" w:rsidRDefault="008E1A51" w:rsidP="008B4C50"/>
    <w:p w14:paraId="6F82C1A9" w14:textId="77777777" w:rsidR="008E1A51" w:rsidRPr="00127FBE" w:rsidRDefault="008E1A51" w:rsidP="008B4C50">
      <w:pPr>
        <w:pStyle w:val="BoxedHeading"/>
        <w:rPr>
          <w:lang w:val="en-GB"/>
        </w:rPr>
      </w:pPr>
      <w:r w:rsidRPr="00127FBE">
        <w:rPr>
          <w:lang w:val="en-GB"/>
        </w:rPr>
        <w:t>13.</w:t>
      </w:r>
      <w:r w:rsidRPr="00127FBE">
        <w:rPr>
          <w:lang w:val="en-GB"/>
        </w:rPr>
        <w:tab/>
        <w:t>NUMER SERII</w:t>
      </w:r>
    </w:p>
    <w:p w14:paraId="064C68BC" w14:textId="77777777" w:rsidR="008E1A51" w:rsidRPr="00127FBE" w:rsidRDefault="008E1A51" w:rsidP="008B4C50">
      <w:pPr>
        <w:rPr>
          <w:lang w:val="en-GB"/>
        </w:rPr>
      </w:pPr>
    </w:p>
    <w:p w14:paraId="3C5A9CFC" w14:textId="77777777" w:rsidR="008E1A51" w:rsidRPr="00D209C2" w:rsidRDefault="008E1A51" w:rsidP="008B4C50">
      <w:pPr>
        <w:rPr>
          <w:lang w:val="en-GB"/>
        </w:rPr>
      </w:pPr>
      <w:r w:rsidRPr="00D209C2">
        <w:rPr>
          <w:lang w:val="en-GB"/>
        </w:rPr>
        <w:t xml:space="preserve">Nr </w:t>
      </w:r>
      <w:proofErr w:type="spellStart"/>
      <w:r w:rsidRPr="00D209C2">
        <w:rPr>
          <w:lang w:val="en-GB"/>
        </w:rPr>
        <w:t>serii</w:t>
      </w:r>
      <w:proofErr w:type="spellEnd"/>
      <w:r w:rsidRPr="00D209C2">
        <w:rPr>
          <w:lang w:val="en-GB"/>
        </w:rPr>
        <w:t xml:space="preserve"> (Lot)</w:t>
      </w:r>
    </w:p>
    <w:p w14:paraId="7B453B39" w14:textId="77777777" w:rsidR="008E1A51" w:rsidRPr="00D209C2" w:rsidRDefault="008E1A51" w:rsidP="008B4C50">
      <w:pPr>
        <w:rPr>
          <w:lang w:val="en-GB"/>
        </w:rPr>
      </w:pPr>
    </w:p>
    <w:p w14:paraId="29FDE515" w14:textId="77777777" w:rsidR="008E1A51" w:rsidRPr="00D209C2" w:rsidRDefault="008E1A51" w:rsidP="008B4C50">
      <w:pPr>
        <w:rPr>
          <w:lang w:val="en-GB"/>
        </w:rPr>
      </w:pPr>
    </w:p>
    <w:p w14:paraId="0C4A1559" w14:textId="77777777" w:rsidR="008E1A51" w:rsidRPr="0081094B" w:rsidRDefault="008E1A51" w:rsidP="008B4C50">
      <w:pPr>
        <w:pStyle w:val="BoxedHeading"/>
        <w:rPr>
          <w:lang w:val="pl-PL"/>
        </w:rPr>
      </w:pPr>
      <w:r w:rsidRPr="0081094B">
        <w:rPr>
          <w:lang w:val="pl-PL"/>
        </w:rPr>
        <w:t>14.</w:t>
      </w:r>
      <w:r w:rsidRPr="0081094B">
        <w:rPr>
          <w:lang w:val="pl-PL"/>
        </w:rPr>
        <w:tab/>
        <w:t>KATEGORIA DOSTĘPNOŚCI</w:t>
      </w:r>
    </w:p>
    <w:p w14:paraId="1121AC16" w14:textId="77777777" w:rsidR="008E1A51" w:rsidRPr="00F13073" w:rsidRDefault="008E1A51" w:rsidP="008B4C50"/>
    <w:p w14:paraId="53D376AC" w14:textId="77777777" w:rsidR="008E1A51" w:rsidRPr="00F13073" w:rsidRDefault="008E1A51" w:rsidP="008B4C50"/>
    <w:p w14:paraId="727C848A" w14:textId="77777777" w:rsidR="008E1A51" w:rsidRPr="0081094B" w:rsidRDefault="008E1A51" w:rsidP="008B4C50">
      <w:pPr>
        <w:pStyle w:val="BoxedHeading"/>
        <w:rPr>
          <w:lang w:val="pl-PL"/>
        </w:rPr>
      </w:pPr>
      <w:r w:rsidRPr="0081094B">
        <w:rPr>
          <w:lang w:val="pl-PL"/>
        </w:rPr>
        <w:t>15.</w:t>
      </w:r>
      <w:r w:rsidRPr="0081094B">
        <w:rPr>
          <w:lang w:val="pl-PL"/>
        </w:rPr>
        <w:tab/>
        <w:t>INSTRUKCJA UŻYCIA</w:t>
      </w:r>
    </w:p>
    <w:p w14:paraId="2DF59D17" w14:textId="77777777" w:rsidR="008E1A51" w:rsidRPr="00F13073" w:rsidRDefault="008E1A51" w:rsidP="008B4C50"/>
    <w:p w14:paraId="4298580B" w14:textId="77777777" w:rsidR="008E1A51" w:rsidRPr="00F13073" w:rsidRDefault="008E1A51" w:rsidP="008B4C50"/>
    <w:p w14:paraId="69766BEB" w14:textId="77777777" w:rsidR="008E1A51" w:rsidRPr="0081094B" w:rsidRDefault="008E1A51" w:rsidP="008B4C50">
      <w:pPr>
        <w:pStyle w:val="BoxedHeading"/>
        <w:rPr>
          <w:lang w:val="pl-PL"/>
        </w:rPr>
      </w:pPr>
      <w:r w:rsidRPr="0081094B">
        <w:rPr>
          <w:lang w:val="pl-PL"/>
        </w:rPr>
        <w:t>16.</w:t>
      </w:r>
      <w:r w:rsidRPr="0081094B">
        <w:rPr>
          <w:lang w:val="pl-PL"/>
        </w:rPr>
        <w:tab/>
        <w:t>INFORMACJA PODANA SYSTEMEM BRAILLE’A</w:t>
      </w:r>
    </w:p>
    <w:p w14:paraId="7F1712F9" w14:textId="77777777" w:rsidR="008E1A51" w:rsidRPr="00F13073" w:rsidRDefault="008E1A51" w:rsidP="008B4C50"/>
    <w:p w14:paraId="333FDD48" w14:textId="34691034" w:rsidR="008E1A51" w:rsidRPr="00F13073" w:rsidRDefault="005E36C7" w:rsidP="008B4C50">
      <w:r w:rsidRPr="00F13073">
        <w:t>a</w:t>
      </w:r>
      <w:r w:rsidR="00026375" w:rsidRPr="00F13073">
        <w:t>vtozma</w:t>
      </w:r>
      <w:r w:rsidR="008E1A51" w:rsidRPr="00F13073">
        <w:t xml:space="preserve"> 162 mg</w:t>
      </w:r>
    </w:p>
    <w:p w14:paraId="3418F2B1" w14:textId="77777777" w:rsidR="008E1A51" w:rsidRPr="00F13073" w:rsidRDefault="008E1A51" w:rsidP="008B4C50"/>
    <w:p w14:paraId="3C233A7B" w14:textId="77777777" w:rsidR="008E1A51" w:rsidRPr="00F13073" w:rsidRDefault="008E1A51" w:rsidP="008B4C50"/>
    <w:p w14:paraId="2E8753C8" w14:textId="77777777" w:rsidR="008E1A51" w:rsidRPr="0081094B" w:rsidRDefault="008E1A51"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18A5E3FE" w14:textId="77777777" w:rsidR="008E1A51" w:rsidRPr="00F13073" w:rsidRDefault="008E1A51" w:rsidP="008B4C50"/>
    <w:p w14:paraId="2F2853ED" w14:textId="77777777" w:rsidR="008E1A51" w:rsidRPr="00F13073" w:rsidRDefault="008E1A51" w:rsidP="008B4C50">
      <w:r>
        <w:rPr>
          <w:highlight w:val="lightGray"/>
        </w:rPr>
        <w:t>&lt;Obejmuje kod 2D będący nośnikiem niepowtarzalnego identyfikatora.&gt;</w:t>
      </w:r>
    </w:p>
    <w:p w14:paraId="39287DF8" w14:textId="77777777" w:rsidR="008E1A51" w:rsidRPr="00F13073" w:rsidRDefault="008E1A51" w:rsidP="008B4C50"/>
    <w:p w14:paraId="617568E3" w14:textId="77777777" w:rsidR="008E1A51" w:rsidRPr="00F13073" w:rsidRDefault="008E1A51" w:rsidP="008B4C50"/>
    <w:p w14:paraId="7045A57A" w14:textId="77777777" w:rsidR="008E1A51" w:rsidRPr="0081094B" w:rsidRDefault="008E1A51"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3AEA316E" w14:textId="77777777" w:rsidR="00AD0B24" w:rsidRPr="00F13073" w:rsidRDefault="00AD0B24" w:rsidP="008B4C50"/>
    <w:p w14:paraId="66861757" w14:textId="77777777" w:rsidR="005E36C7" w:rsidRPr="00F13073" w:rsidRDefault="005E36C7" w:rsidP="008B4C50"/>
    <w:p w14:paraId="05023B89" w14:textId="3D9F6824" w:rsidR="001E0975" w:rsidRPr="00F13073" w:rsidRDefault="005E36C7" w:rsidP="008B4C50">
      <w:pPr>
        <w:pBdr>
          <w:top w:val="single" w:sz="4" w:space="1" w:color="auto"/>
          <w:left w:val="single" w:sz="4" w:space="4" w:color="auto"/>
          <w:bottom w:val="single" w:sz="4" w:space="1" w:color="auto"/>
          <w:right w:val="single" w:sz="4" w:space="4" w:color="auto"/>
        </w:pBdr>
        <w:rPr>
          <w:b/>
          <w:bCs/>
        </w:rPr>
      </w:pPr>
      <w:r w:rsidRPr="00F13073">
        <w:br w:type="page"/>
      </w:r>
      <w:r w:rsidR="002D432E" w:rsidRPr="00F13073">
        <w:rPr>
          <w:b/>
          <w:bCs/>
        </w:rPr>
        <w:lastRenderedPageBreak/>
        <w:t>INFORMACJE ZAMIESZCZANE NA OPAKOWANIACH ZEWNĘTRZNYCH</w:t>
      </w:r>
    </w:p>
    <w:p w14:paraId="41B2B88F"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005F0BDD" w14:textId="77777777" w:rsidR="001E0975" w:rsidRPr="00F13073" w:rsidRDefault="002D432E" w:rsidP="008B4C50">
      <w:pPr>
        <w:pBdr>
          <w:top w:val="single" w:sz="4" w:space="1" w:color="auto"/>
          <w:left w:val="single" w:sz="4" w:space="4" w:color="auto"/>
          <w:bottom w:val="single" w:sz="4" w:space="1" w:color="auto"/>
          <w:right w:val="single" w:sz="4" w:space="4" w:color="auto"/>
        </w:pBdr>
        <w:rPr>
          <w:b/>
          <w:bCs/>
        </w:rPr>
      </w:pPr>
      <w:r w:rsidRPr="00F13073">
        <w:rPr>
          <w:b/>
          <w:bCs/>
        </w:rPr>
        <w:t>OPAKOWANIE WSTRZYKIWACZA PÓŁAUTOMATYCZNEGO NAPEŁNIONEGO</w:t>
      </w:r>
    </w:p>
    <w:p w14:paraId="5956BC74" w14:textId="77777777" w:rsidR="00A3477F" w:rsidRPr="00F13073" w:rsidRDefault="00A3477F" w:rsidP="008B4C50"/>
    <w:p w14:paraId="6F889D8F" w14:textId="77777777" w:rsidR="00A3477F" w:rsidRPr="00F13073" w:rsidRDefault="00A3477F" w:rsidP="008B4C50"/>
    <w:p w14:paraId="671162FE" w14:textId="77777777" w:rsidR="002D432E" w:rsidRPr="0081094B" w:rsidRDefault="002D432E" w:rsidP="008B4C50">
      <w:pPr>
        <w:pStyle w:val="BoxedHeading"/>
        <w:rPr>
          <w:lang w:val="pl-PL"/>
        </w:rPr>
      </w:pPr>
      <w:r w:rsidRPr="0081094B">
        <w:rPr>
          <w:lang w:val="pl-PL"/>
        </w:rPr>
        <w:t>1.</w:t>
      </w:r>
      <w:r w:rsidRPr="0081094B">
        <w:rPr>
          <w:lang w:val="pl-PL"/>
        </w:rPr>
        <w:tab/>
        <w:t>NAZWA PRODUKTU LECZNICZEGO</w:t>
      </w:r>
    </w:p>
    <w:p w14:paraId="210FA7C8" w14:textId="77777777" w:rsidR="002D432E" w:rsidRPr="00F13073" w:rsidRDefault="002D432E" w:rsidP="008B4C50"/>
    <w:p w14:paraId="70A460A5" w14:textId="276B1156" w:rsidR="002D432E" w:rsidRPr="00F13073" w:rsidRDefault="00026375" w:rsidP="008B4C50">
      <w:r w:rsidRPr="00F13073">
        <w:t>Avtozma</w:t>
      </w:r>
      <w:r w:rsidR="002D432E" w:rsidRPr="00F13073">
        <w:t xml:space="preserve"> 162 mg roztwór do wstrzykiwań we wstrzykiwaczu półautomatycznym napełnionym</w:t>
      </w:r>
    </w:p>
    <w:p w14:paraId="6D1C9499" w14:textId="77777777" w:rsidR="002D432E" w:rsidRPr="00F13073" w:rsidRDefault="002D432E" w:rsidP="008B4C50">
      <w:r w:rsidRPr="00F13073">
        <w:t>tocilizumab</w:t>
      </w:r>
    </w:p>
    <w:p w14:paraId="7C7D98C1" w14:textId="77777777" w:rsidR="002D432E" w:rsidRPr="00F13073" w:rsidRDefault="002D432E" w:rsidP="008B4C50"/>
    <w:p w14:paraId="795A28F5" w14:textId="77777777" w:rsidR="002D432E" w:rsidRPr="00F13073" w:rsidRDefault="002D432E" w:rsidP="008B4C50"/>
    <w:p w14:paraId="12E24128" w14:textId="77777777" w:rsidR="002D432E" w:rsidRPr="0081094B" w:rsidRDefault="002D432E" w:rsidP="008B4C50">
      <w:pPr>
        <w:pStyle w:val="BoxedHeading"/>
        <w:rPr>
          <w:lang w:val="pl-PL"/>
        </w:rPr>
      </w:pPr>
      <w:r w:rsidRPr="0081094B">
        <w:rPr>
          <w:lang w:val="pl-PL"/>
        </w:rPr>
        <w:t>2.</w:t>
      </w:r>
      <w:r w:rsidRPr="0081094B">
        <w:rPr>
          <w:lang w:val="pl-PL"/>
        </w:rPr>
        <w:tab/>
        <w:t>ZAWARTOŚĆ SUBSTANCJI CZYNNEJ (CZYNNYCH)</w:t>
      </w:r>
    </w:p>
    <w:p w14:paraId="0CEA62A4" w14:textId="77777777" w:rsidR="002D432E" w:rsidRPr="00F13073" w:rsidRDefault="002D432E" w:rsidP="008B4C50"/>
    <w:p w14:paraId="16D6EF85" w14:textId="77777777" w:rsidR="002D432E" w:rsidRPr="00F13073" w:rsidRDefault="002D432E" w:rsidP="008B4C50">
      <w:r w:rsidRPr="00F13073">
        <w:t>1 wstrzykiwacz półautomatyczny napełniony zawiera 162 mg tocilizumabu.</w:t>
      </w:r>
    </w:p>
    <w:p w14:paraId="4EAF6ECC" w14:textId="77777777" w:rsidR="002D432E" w:rsidRPr="00F13073" w:rsidRDefault="002D432E" w:rsidP="008B4C50"/>
    <w:p w14:paraId="3B3A6BC4" w14:textId="77777777" w:rsidR="002D432E" w:rsidRPr="00F13073" w:rsidRDefault="002D432E" w:rsidP="008B4C50"/>
    <w:p w14:paraId="4B450802" w14:textId="77777777" w:rsidR="002D432E" w:rsidRPr="0081094B" w:rsidRDefault="002D432E" w:rsidP="008B4C50">
      <w:pPr>
        <w:pStyle w:val="BoxedHeading"/>
        <w:rPr>
          <w:lang w:val="pl-PL"/>
        </w:rPr>
      </w:pPr>
      <w:r w:rsidRPr="0081094B">
        <w:rPr>
          <w:lang w:val="pl-PL"/>
        </w:rPr>
        <w:t>3.</w:t>
      </w:r>
      <w:r w:rsidRPr="0081094B">
        <w:rPr>
          <w:lang w:val="pl-PL"/>
        </w:rPr>
        <w:tab/>
        <w:t>WYKAZ SUBSTANCJI POMOCNICZYCH</w:t>
      </w:r>
    </w:p>
    <w:p w14:paraId="32510B58" w14:textId="77777777" w:rsidR="002D432E" w:rsidRPr="00F13073" w:rsidRDefault="002D432E" w:rsidP="008B4C50"/>
    <w:p w14:paraId="51AE9FF4" w14:textId="169A8340" w:rsidR="00B02785" w:rsidRPr="00F13073" w:rsidRDefault="00D773ED"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 monohydrat</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p>
    <w:p w14:paraId="4053F3A9" w14:textId="6D88F92F" w:rsidR="008834B2" w:rsidRPr="00F13073" w:rsidRDefault="00D773ED" w:rsidP="008B4C50">
      <w:r w:rsidRPr="00F13073">
        <w:t>Dokładna informacja znajduje się w ulotce dla pacjenta.</w:t>
      </w:r>
      <w:r w:rsidRPr="00F13073" w:rsidDel="00D773ED">
        <w:t xml:space="preserve"> </w:t>
      </w:r>
    </w:p>
    <w:p w14:paraId="5C95406C" w14:textId="77777777" w:rsidR="002D432E" w:rsidRPr="00F13073" w:rsidRDefault="002D432E" w:rsidP="008B4C50"/>
    <w:p w14:paraId="64D553B6" w14:textId="77777777" w:rsidR="002D432E" w:rsidRPr="00F13073" w:rsidRDefault="002D432E" w:rsidP="008B4C50"/>
    <w:p w14:paraId="66F95D35" w14:textId="77777777" w:rsidR="002D432E" w:rsidRPr="0081094B" w:rsidRDefault="002D432E" w:rsidP="008B4C50">
      <w:pPr>
        <w:pStyle w:val="BoxedHeading"/>
        <w:rPr>
          <w:lang w:val="pl-PL"/>
        </w:rPr>
      </w:pPr>
      <w:r w:rsidRPr="0081094B">
        <w:rPr>
          <w:lang w:val="pl-PL"/>
        </w:rPr>
        <w:t>4.</w:t>
      </w:r>
      <w:r w:rsidRPr="0081094B">
        <w:rPr>
          <w:lang w:val="pl-PL"/>
        </w:rPr>
        <w:tab/>
        <w:t>POSTAĆ FARMACEUTYCZNA I ZAWARTOŚĆ OPAKOWANIA</w:t>
      </w:r>
    </w:p>
    <w:p w14:paraId="0779B045" w14:textId="77777777" w:rsidR="002D432E" w:rsidRPr="00F13073" w:rsidRDefault="002D432E" w:rsidP="008B4C50"/>
    <w:p w14:paraId="626BFDC3" w14:textId="52B271EB" w:rsidR="002D432E" w:rsidRPr="00F13073" w:rsidRDefault="002D432E" w:rsidP="008B4C50">
      <w:r w:rsidRPr="00F13073">
        <w:t>Roztwór do wstrzykiwań we wstrzykiwaczu półautomatycznym napełnionym</w:t>
      </w:r>
    </w:p>
    <w:p w14:paraId="0BB1EFBC" w14:textId="11E0771A" w:rsidR="00D773ED" w:rsidRPr="00F13073" w:rsidRDefault="00D773ED" w:rsidP="00D773ED">
      <w:r w:rsidRPr="00F13073">
        <w:t>1 wstrzykiwacz półautomatyczny napełniony</w:t>
      </w:r>
    </w:p>
    <w:p w14:paraId="4462AC13" w14:textId="25BBC5F3" w:rsidR="008D5C3E" w:rsidRPr="00F13073" w:rsidRDefault="008D5C3E" w:rsidP="008D5C3E">
      <w:pPr>
        <w:rPr>
          <w:ins w:id="37" w:author="만든 이"/>
        </w:rPr>
      </w:pPr>
      <w:ins w:id="38" w:author="만든 이">
        <w:r>
          <w:rPr>
            <w:rFonts w:eastAsia="맑은 고딕" w:hint="eastAsia"/>
            <w:lang w:eastAsia="ko-KR"/>
          </w:rPr>
          <w:t>2</w:t>
        </w:r>
        <w:r w:rsidRPr="00F13073">
          <w:t xml:space="preserve"> wstrzykiwacze półautomatyczne napełnione</w:t>
        </w:r>
      </w:ins>
    </w:p>
    <w:p w14:paraId="63F3129B" w14:textId="77777777" w:rsidR="002D432E" w:rsidRPr="00F13073" w:rsidRDefault="002D432E" w:rsidP="008B4C50">
      <w:r w:rsidRPr="00F13073">
        <w:t>4 wstrzykiwacze półautomatyczne napełnione</w:t>
      </w:r>
    </w:p>
    <w:p w14:paraId="7F1DAC4E" w14:textId="77777777" w:rsidR="002D432E" w:rsidRPr="00F13073" w:rsidRDefault="002D432E" w:rsidP="008B4C50">
      <w:r w:rsidRPr="00F13073">
        <w:t>162 mg/0,9 mL</w:t>
      </w:r>
    </w:p>
    <w:p w14:paraId="30683109" w14:textId="77777777" w:rsidR="002D432E" w:rsidRPr="00F13073" w:rsidRDefault="002D432E" w:rsidP="008B4C50"/>
    <w:p w14:paraId="282DF41F" w14:textId="77777777" w:rsidR="002D432E" w:rsidRPr="00F13073" w:rsidRDefault="002D432E" w:rsidP="008B4C50"/>
    <w:p w14:paraId="05FB188A" w14:textId="77777777" w:rsidR="002D432E" w:rsidRPr="0081094B" w:rsidRDefault="002D432E" w:rsidP="008B4C50">
      <w:pPr>
        <w:pStyle w:val="BoxedHeading"/>
        <w:rPr>
          <w:lang w:val="pl-PL"/>
        </w:rPr>
      </w:pPr>
      <w:r w:rsidRPr="0081094B">
        <w:rPr>
          <w:lang w:val="pl-PL"/>
        </w:rPr>
        <w:t>5.</w:t>
      </w:r>
      <w:r w:rsidRPr="0081094B">
        <w:rPr>
          <w:lang w:val="pl-PL"/>
        </w:rPr>
        <w:tab/>
        <w:t>SPOSÓB I DROGA (DROGI) PODANIA</w:t>
      </w:r>
    </w:p>
    <w:p w14:paraId="0CE9205B" w14:textId="77777777" w:rsidR="002D432E" w:rsidRPr="00F13073" w:rsidRDefault="002D432E" w:rsidP="008B4C50"/>
    <w:p w14:paraId="668AFBB4" w14:textId="77777777" w:rsidR="002D432E" w:rsidRPr="00F13073" w:rsidRDefault="002D432E" w:rsidP="008B4C50">
      <w:r w:rsidRPr="00F13073">
        <w:t>Stosowanie podskórne</w:t>
      </w:r>
    </w:p>
    <w:p w14:paraId="7CE70E84" w14:textId="77777777" w:rsidR="002D432E" w:rsidRPr="00F13073" w:rsidRDefault="002D432E" w:rsidP="008B4C50">
      <w:r w:rsidRPr="00F13073">
        <w:t>Należy zapoznać się z treścią ulotki przed zastosowaniem leku</w:t>
      </w:r>
    </w:p>
    <w:p w14:paraId="4724CDE5" w14:textId="77777777" w:rsidR="002D432E" w:rsidRPr="00F13073" w:rsidRDefault="002D432E" w:rsidP="008B4C50"/>
    <w:p w14:paraId="69FBB26A" w14:textId="77777777" w:rsidR="002D432E" w:rsidRPr="00F13073" w:rsidRDefault="002D432E" w:rsidP="008B4C50"/>
    <w:p w14:paraId="77F87FBF" w14:textId="39939180" w:rsidR="002D432E" w:rsidRPr="0081094B" w:rsidRDefault="002D432E" w:rsidP="008B4C50">
      <w:pPr>
        <w:pStyle w:val="BoxedHeading"/>
        <w:rPr>
          <w:lang w:val="pl-PL"/>
        </w:rPr>
      </w:pPr>
      <w:r w:rsidRPr="0081094B">
        <w:rPr>
          <w:lang w:val="pl-PL"/>
        </w:rPr>
        <w:t>6.</w:t>
      </w:r>
      <w:r w:rsidRPr="0081094B">
        <w:rPr>
          <w:lang w:val="pl-PL"/>
        </w:rPr>
        <w:tab/>
        <w:t xml:space="preserve">OSTRZEŻENIE DOTYCZĄCE PRZECHOWYWANIA PRODUKTU LECZNICZEGO W MIEJSCU </w:t>
      </w:r>
      <w:r w:rsidR="007B5868" w:rsidRPr="0081094B">
        <w:rPr>
          <w:lang w:val="pl-PL"/>
        </w:rPr>
        <w:t xml:space="preserve">NIEDOSTĘPNYM I NIEWIDOCZNYM </w:t>
      </w:r>
      <w:r w:rsidRPr="0081094B">
        <w:rPr>
          <w:lang w:val="pl-PL"/>
        </w:rPr>
        <w:t>DLA DZIECI</w:t>
      </w:r>
    </w:p>
    <w:p w14:paraId="1349AA2A" w14:textId="77777777" w:rsidR="002D432E" w:rsidRPr="00F13073" w:rsidRDefault="002D432E" w:rsidP="008B4C50"/>
    <w:p w14:paraId="0C11D6C4" w14:textId="77777777" w:rsidR="002D432E" w:rsidRPr="00F13073" w:rsidRDefault="002D432E" w:rsidP="008B4C50">
      <w:r w:rsidRPr="00F13073">
        <w:t>Lek przechowywać w miejscu niewidocznym i niedostępnym dla dzieci</w:t>
      </w:r>
    </w:p>
    <w:p w14:paraId="2368D7F3" w14:textId="77777777" w:rsidR="002D432E" w:rsidRPr="00F13073" w:rsidRDefault="002D432E" w:rsidP="008B4C50"/>
    <w:p w14:paraId="08314858" w14:textId="77777777" w:rsidR="002D432E" w:rsidRPr="00F13073" w:rsidRDefault="002D432E" w:rsidP="008B4C50"/>
    <w:p w14:paraId="65B0FAE2" w14:textId="77777777" w:rsidR="002D432E" w:rsidRPr="0081094B" w:rsidRDefault="002D432E" w:rsidP="008B4C50">
      <w:pPr>
        <w:pStyle w:val="BoxedHeading"/>
        <w:rPr>
          <w:lang w:val="pl-PL"/>
        </w:rPr>
      </w:pPr>
      <w:r w:rsidRPr="0081094B">
        <w:rPr>
          <w:lang w:val="pl-PL"/>
        </w:rPr>
        <w:t>7.</w:t>
      </w:r>
      <w:r w:rsidRPr="0081094B">
        <w:rPr>
          <w:lang w:val="pl-PL"/>
        </w:rPr>
        <w:tab/>
        <w:t>INNE OSTRZEŻENIA SPECJALNE, JEŚLI KONIECZNE</w:t>
      </w:r>
    </w:p>
    <w:p w14:paraId="5195A2AB" w14:textId="77777777" w:rsidR="002D432E" w:rsidRPr="00F13073" w:rsidRDefault="002D432E" w:rsidP="008B4C50"/>
    <w:p w14:paraId="748E498B" w14:textId="77777777" w:rsidR="002D432E" w:rsidRPr="00F13073" w:rsidRDefault="007A4AE6" w:rsidP="008B4C50">
      <w:r w:rsidRPr="00F13073">
        <w:t>Przed użyciem wstrzykiwacz półautomatyczny napełniony należy wyjąć z opakowania i umieścić w temperaturze pokojowej na 45 minut</w:t>
      </w:r>
    </w:p>
    <w:p w14:paraId="11A84805" w14:textId="77777777" w:rsidR="002D432E" w:rsidRPr="00F13073" w:rsidRDefault="002D432E" w:rsidP="008B4C50"/>
    <w:p w14:paraId="7FDF984B" w14:textId="77777777" w:rsidR="002D432E" w:rsidRPr="00F13073" w:rsidRDefault="002D432E" w:rsidP="008B4C50"/>
    <w:p w14:paraId="3FE26317" w14:textId="77777777" w:rsidR="002D432E" w:rsidRPr="0081094B" w:rsidRDefault="002D432E" w:rsidP="008B4C50">
      <w:pPr>
        <w:pStyle w:val="BoxedHeading"/>
        <w:rPr>
          <w:lang w:val="pl-PL"/>
        </w:rPr>
      </w:pPr>
      <w:r w:rsidRPr="0081094B">
        <w:rPr>
          <w:lang w:val="pl-PL"/>
        </w:rPr>
        <w:t>8.</w:t>
      </w:r>
      <w:r w:rsidRPr="0081094B">
        <w:rPr>
          <w:lang w:val="pl-PL"/>
        </w:rPr>
        <w:tab/>
        <w:t>TERMIN WAŻNOŚCI</w:t>
      </w:r>
    </w:p>
    <w:p w14:paraId="6B004E48" w14:textId="77777777" w:rsidR="002D432E" w:rsidRPr="00F13073" w:rsidRDefault="002D432E" w:rsidP="008B4C50"/>
    <w:p w14:paraId="05C813B3" w14:textId="77777777" w:rsidR="002D432E" w:rsidRPr="00F13073" w:rsidRDefault="002D432E" w:rsidP="008B4C50">
      <w:r w:rsidRPr="00F13073">
        <w:t>Termin ważności (EXP)</w:t>
      </w:r>
    </w:p>
    <w:p w14:paraId="67A87119" w14:textId="77777777" w:rsidR="00AD0B24" w:rsidRPr="00F13073" w:rsidRDefault="00AD0B24" w:rsidP="008B4C50"/>
    <w:p w14:paraId="4407B954" w14:textId="77777777" w:rsidR="00A3477F" w:rsidRPr="00F13073" w:rsidRDefault="00A3477F" w:rsidP="008B4C50"/>
    <w:p w14:paraId="775D9EE8" w14:textId="77777777" w:rsidR="007A4AE6" w:rsidRPr="0081094B" w:rsidRDefault="007A4AE6" w:rsidP="008B4C50">
      <w:pPr>
        <w:pStyle w:val="BoxedHeading"/>
        <w:rPr>
          <w:lang w:val="pl-PL"/>
        </w:rPr>
      </w:pPr>
      <w:r w:rsidRPr="0081094B">
        <w:rPr>
          <w:lang w:val="pl-PL"/>
        </w:rPr>
        <w:lastRenderedPageBreak/>
        <w:t>9.</w:t>
      </w:r>
      <w:r w:rsidRPr="0081094B">
        <w:rPr>
          <w:lang w:val="pl-PL"/>
        </w:rPr>
        <w:tab/>
        <w:t>WARUNKI PRZECHOWYWANIA</w:t>
      </w:r>
    </w:p>
    <w:p w14:paraId="5DA630DA" w14:textId="77777777" w:rsidR="007A4AE6" w:rsidRPr="00F13073" w:rsidRDefault="007A4AE6" w:rsidP="008B4C50">
      <w:pPr>
        <w:keepNext/>
      </w:pPr>
    </w:p>
    <w:p w14:paraId="4BACFDBA" w14:textId="77777777" w:rsidR="007A4AE6" w:rsidRPr="00F13073" w:rsidRDefault="007A4AE6" w:rsidP="008B4C50">
      <w:pPr>
        <w:keepNext/>
      </w:pPr>
      <w:r w:rsidRPr="00F13073">
        <w:t>Przechowywać w lodówce</w:t>
      </w:r>
    </w:p>
    <w:p w14:paraId="468E9CF1" w14:textId="77777777" w:rsidR="007A4AE6" w:rsidRPr="00F13073" w:rsidRDefault="007A4AE6" w:rsidP="008B4C50">
      <w:pPr>
        <w:keepNext/>
      </w:pPr>
      <w:r w:rsidRPr="00F13073">
        <w:t>Nie zamrażać</w:t>
      </w:r>
    </w:p>
    <w:p w14:paraId="68279141" w14:textId="22C9246E" w:rsidR="007A4AE6" w:rsidRPr="00F13073" w:rsidRDefault="007A4AE6" w:rsidP="008B4C50">
      <w:pPr>
        <w:keepNext/>
      </w:pPr>
      <w:r w:rsidRPr="00F13073">
        <w:t xml:space="preserve">Po wyjęciu z lodówki wstrzykiwacz półautomatyczny może być przechowywany do </w:t>
      </w:r>
      <w:r w:rsidR="00B02785" w:rsidRPr="00F13073">
        <w:t>3 </w:t>
      </w:r>
      <w:r w:rsidRPr="00F13073">
        <w:t>tygodni w temperaturze nie wyższej niż 30°C</w:t>
      </w:r>
    </w:p>
    <w:p w14:paraId="50FC644C" w14:textId="77777777" w:rsidR="007A4AE6" w:rsidRPr="00F13073" w:rsidRDefault="007A4AE6" w:rsidP="008B4C50">
      <w:pPr>
        <w:keepNext/>
      </w:pPr>
      <w:r w:rsidRPr="00F13073">
        <w:t>Wstrzykiwacz półautomatyczny napełniony należy przechowywać w opakowaniu zewnętrznym w celu ochrony przed światłem i wilgocią</w:t>
      </w:r>
    </w:p>
    <w:p w14:paraId="7DA090D8" w14:textId="77777777" w:rsidR="007A4AE6" w:rsidRPr="00F13073" w:rsidRDefault="007A4AE6" w:rsidP="008B4C50">
      <w:pPr>
        <w:keepNext/>
      </w:pPr>
    </w:p>
    <w:p w14:paraId="13E1BB7D" w14:textId="77777777" w:rsidR="007A4AE6" w:rsidRPr="00F13073" w:rsidRDefault="007A4AE6" w:rsidP="008B4C50"/>
    <w:p w14:paraId="55E25831" w14:textId="77777777" w:rsidR="007A4AE6" w:rsidRPr="0081094B" w:rsidRDefault="007A4AE6"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675E28F7" w14:textId="77777777" w:rsidR="007A4AE6" w:rsidRPr="00F13073" w:rsidRDefault="007A4AE6" w:rsidP="008B4C50"/>
    <w:p w14:paraId="22566B6B" w14:textId="77777777" w:rsidR="007A4AE6" w:rsidRPr="00F13073" w:rsidRDefault="007A4AE6" w:rsidP="008B4C50"/>
    <w:p w14:paraId="6863999F" w14:textId="77777777" w:rsidR="007A4AE6" w:rsidRPr="0081094B" w:rsidRDefault="007A4AE6" w:rsidP="008B4C50">
      <w:pPr>
        <w:pStyle w:val="BoxedHeading"/>
        <w:rPr>
          <w:lang w:val="pl-PL"/>
        </w:rPr>
      </w:pPr>
      <w:r w:rsidRPr="0081094B">
        <w:rPr>
          <w:lang w:val="pl-PL"/>
        </w:rPr>
        <w:t>11.</w:t>
      </w:r>
      <w:r w:rsidRPr="0081094B">
        <w:rPr>
          <w:lang w:val="pl-PL"/>
        </w:rPr>
        <w:tab/>
        <w:t>NAZWA I ADRES PODMIOTU ODPOWIEDZIALNEGO</w:t>
      </w:r>
    </w:p>
    <w:p w14:paraId="500959FA" w14:textId="77777777" w:rsidR="007A4AE6" w:rsidRPr="00F13073" w:rsidRDefault="007A4AE6" w:rsidP="008B4C50"/>
    <w:p w14:paraId="6DFC8E33" w14:textId="77777777" w:rsidR="00D773ED" w:rsidRPr="00F13073" w:rsidRDefault="00D773ED" w:rsidP="00D773ED">
      <w:pPr>
        <w:keepNext/>
      </w:pPr>
      <w:r w:rsidRPr="00F13073">
        <w:t xml:space="preserve">Celltrion Healthcare Hungary Kft. </w:t>
      </w:r>
    </w:p>
    <w:p w14:paraId="0CE83EB4" w14:textId="77777777" w:rsidR="00D773ED" w:rsidRPr="00127FBE" w:rsidRDefault="00D773ED" w:rsidP="00D773ED">
      <w:pPr>
        <w:keepNext/>
        <w:rPr>
          <w:lang w:val="en-GB"/>
        </w:rPr>
      </w:pPr>
      <w:r w:rsidRPr="00127FBE">
        <w:rPr>
          <w:lang w:val="en-GB"/>
        </w:rPr>
        <w:t>1062 Budapest</w:t>
      </w:r>
    </w:p>
    <w:p w14:paraId="44BA42C0" w14:textId="77777777" w:rsidR="00D773ED" w:rsidRPr="00127FBE" w:rsidRDefault="00D773ED" w:rsidP="00D773ED">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389FA4E7" w14:textId="0EB073EB" w:rsidR="00D773ED" w:rsidRPr="00F13073" w:rsidRDefault="00D773ED" w:rsidP="00D773ED">
      <w:r w:rsidRPr="0081094B">
        <w:t>Węgry</w:t>
      </w:r>
    </w:p>
    <w:p w14:paraId="5E254062" w14:textId="77777777" w:rsidR="007A4AE6" w:rsidRPr="00F13073" w:rsidRDefault="007A4AE6" w:rsidP="008B4C50"/>
    <w:p w14:paraId="5623D979" w14:textId="77777777" w:rsidR="007A4AE6" w:rsidRPr="00F13073" w:rsidRDefault="007A4AE6" w:rsidP="008B4C50"/>
    <w:p w14:paraId="385AEA0C" w14:textId="77777777" w:rsidR="007A4AE6" w:rsidRPr="0081094B" w:rsidRDefault="007A4AE6" w:rsidP="008B4C50">
      <w:pPr>
        <w:pStyle w:val="BoxedHeading"/>
        <w:rPr>
          <w:lang w:val="pl-PL"/>
        </w:rPr>
      </w:pPr>
      <w:r w:rsidRPr="0081094B">
        <w:rPr>
          <w:lang w:val="pl-PL"/>
        </w:rPr>
        <w:t>12.</w:t>
      </w:r>
      <w:r w:rsidRPr="0081094B">
        <w:rPr>
          <w:lang w:val="pl-PL"/>
        </w:rPr>
        <w:tab/>
        <w:t>NUMER (NUMERY) POZWOLENIA NA DOPUSZCZENIE DO OBROTU</w:t>
      </w:r>
    </w:p>
    <w:p w14:paraId="12D1A834" w14:textId="77777777" w:rsidR="007A4AE6" w:rsidRPr="00F13073" w:rsidRDefault="007A4AE6" w:rsidP="008B4C50"/>
    <w:p w14:paraId="102E7E34" w14:textId="219F796E" w:rsidR="007A4AE6" w:rsidRPr="00F13073" w:rsidRDefault="007A4AE6" w:rsidP="008B4C50">
      <w:r w:rsidRPr="00F13073">
        <w:t>EU/</w:t>
      </w:r>
      <w:r w:rsidR="00113BAD" w:rsidRPr="00F458BB">
        <w:rPr>
          <w:spacing w:val="-1"/>
          <w:lang w:val="pt-BR"/>
        </w:rPr>
        <w:t>1/24/1896/0</w:t>
      </w:r>
      <w:r w:rsidR="00113BAD">
        <w:rPr>
          <w:spacing w:val="-1"/>
          <w:lang w:val="pt-BR"/>
        </w:rPr>
        <w:t>10 1 wstrzykiwacz półautomatyczny napełniony</w:t>
      </w:r>
    </w:p>
    <w:p w14:paraId="4B23898D" w14:textId="7E02263B" w:rsidR="00D773ED" w:rsidRPr="00F13073" w:rsidRDefault="00D773ED" w:rsidP="00D773ED">
      <w:r w:rsidRPr="00F13073">
        <w:t>EU/</w:t>
      </w:r>
      <w:r w:rsidR="00113BAD" w:rsidRPr="00F458BB">
        <w:rPr>
          <w:spacing w:val="-1"/>
          <w:lang w:val="pt-BR"/>
        </w:rPr>
        <w:t>1/24/1896/0</w:t>
      </w:r>
      <w:r w:rsidR="00113BAD">
        <w:rPr>
          <w:spacing w:val="-1"/>
          <w:lang w:val="pt-BR"/>
        </w:rPr>
        <w:t>1</w:t>
      </w:r>
      <w:r w:rsidR="00092BF6">
        <w:rPr>
          <w:spacing w:val="-1"/>
          <w:lang w:val="pt-BR"/>
        </w:rPr>
        <w:t>1</w:t>
      </w:r>
      <w:r w:rsidR="00113BAD">
        <w:rPr>
          <w:spacing w:val="-1"/>
          <w:lang w:val="pt-BR"/>
        </w:rPr>
        <w:t> 4 wstrzykiwacze półautomatyczne napełnione</w:t>
      </w:r>
    </w:p>
    <w:p w14:paraId="62AC43EA" w14:textId="69ACED30" w:rsidR="007A4AE6" w:rsidRPr="00F13073" w:rsidRDefault="008D5C3E" w:rsidP="008B4C50">
      <w:ins w:id="39" w:author="만든 이">
        <w:r w:rsidRPr="00F13073">
          <w:t>EU/</w:t>
        </w:r>
        <w:r w:rsidRPr="00F458BB">
          <w:rPr>
            <w:spacing w:val="-1"/>
            <w:lang w:val="pt-BR"/>
          </w:rPr>
          <w:t>1/24/1896/</w:t>
        </w:r>
        <w:r w:rsidR="00D47085">
          <w:rPr>
            <w:rFonts w:eastAsia="맑은 고딕" w:hint="eastAsia"/>
            <w:spacing w:val="-1"/>
            <w:lang w:val="pt-BR" w:eastAsia="ko-KR"/>
          </w:rPr>
          <w:t>014</w:t>
        </w:r>
        <w:r>
          <w:rPr>
            <w:spacing w:val="-1"/>
            <w:lang w:val="pt-BR"/>
          </w:rPr>
          <w:t> </w:t>
        </w:r>
        <w:r>
          <w:rPr>
            <w:rFonts w:eastAsia="맑은 고딕" w:hint="eastAsia"/>
            <w:spacing w:val="-1"/>
            <w:lang w:val="pt-BR" w:eastAsia="ko-KR"/>
          </w:rPr>
          <w:t>2</w:t>
        </w:r>
        <w:r>
          <w:rPr>
            <w:spacing w:val="-1"/>
            <w:lang w:val="pt-BR"/>
          </w:rPr>
          <w:t> wstrzykiwacze półautomatyczne napełnione</w:t>
        </w:r>
      </w:ins>
    </w:p>
    <w:p w14:paraId="05B65C9A" w14:textId="77777777" w:rsidR="007A4AE6" w:rsidRPr="00F13073" w:rsidRDefault="007A4AE6" w:rsidP="008B4C50"/>
    <w:p w14:paraId="400B2556" w14:textId="77777777" w:rsidR="007A4AE6" w:rsidRPr="00127FBE" w:rsidRDefault="007A4AE6" w:rsidP="008B4C50">
      <w:pPr>
        <w:pStyle w:val="BoxedHeading"/>
        <w:rPr>
          <w:lang w:val="en-GB"/>
        </w:rPr>
      </w:pPr>
      <w:r w:rsidRPr="00127FBE">
        <w:rPr>
          <w:lang w:val="en-GB"/>
        </w:rPr>
        <w:t>13.</w:t>
      </w:r>
      <w:r w:rsidRPr="00127FBE">
        <w:rPr>
          <w:lang w:val="en-GB"/>
        </w:rPr>
        <w:tab/>
        <w:t>NUMER SERII</w:t>
      </w:r>
    </w:p>
    <w:p w14:paraId="06A42039" w14:textId="77777777" w:rsidR="007A4AE6" w:rsidRPr="00127FBE" w:rsidRDefault="007A4AE6" w:rsidP="008B4C50">
      <w:pPr>
        <w:rPr>
          <w:lang w:val="en-GB"/>
        </w:rPr>
      </w:pPr>
    </w:p>
    <w:p w14:paraId="6174E539" w14:textId="77777777" w:rsidR="007A4AE6" w:rsidRPr="00127FBE" w:rsidRDefault="007A4AE6" w:rsidP="008B4C50">
      <w:pPr>
        <w:rPr>
          <w:lang w:val="en-GB"/>
        </w:rPr>
      </w:pPr>
      <w:r w:rsidRPr="00127FBE">
        <w:rPr>
          <w:lang w:val="en-GB"/>
        </w:rPr>
        <w:t xml:space="preserve">Nr </w:t>
      </w:r>
      <w:proofErr w:type="spellStart"/>
      <w:r w:rsidRPr="00127FBE">
        <w:rPr>
          <w:lang w:val="en-GB"/>
        </w:rPr>
        <w:t>serii</w:t>
      </w:r>
      <w:proofErr w:type="spellEnd"/>
      <w:r w:rsidRPr="00127FBE">
        <w:rPr>
          <w:lang w:val="en-GB"/>
        </w:rPr>
        <w:t xml:space="preserve"> (Lot)</w:t>
      </w:r>
    </w:p>
    <w:p w14:paraId="5C8AB697" w14:textId="77777777" w:rsidR="007A4AE6" w:rsidRPr="00127FBE" w:rsidRDefault="007A4AE6" w:rsidP="008B4C50">
      <w:pPr>
        <w:rPr>
          <w:lang w:val="en-GB"/>
        </w:rPr>
      </w:pPr>
    </w:p>
    <w:p w14:paraId="508B947F" w14:textId="77777777" w:rsidR="007A4AE6" w:rsidRPr="00127FBE" w:rsidRDefault="007A4AE6" w:rsidP="008B4C50">
      <w:pPr>
        <w:rPr>
          <w:lang w:val="en-GB"/>
        </w:rPr>
      </w:pPr>
    </w:p>
    <w:p w14:paraId="15CCBD95" w14:textId="77777777" w:rsidR="007A4AE6" w:rsidRPr="0081094B" w:rsidRDefault="007A4AE6" w:rsidP="008B4C50">
      <w:pPr>
        <w:pStyle w:val="BoxedHeading"/>
        <w:rPr>
          <w:lang w:val="pl-PL"/>
        </w:rPr>
      </w:pPr>
      <w:r w:rsidRPr="0081094B">
        <w:rPr>
          <w:lang w:val="pl-PL"/>
        </w:rPr>
        <w:t>14.</w:t>
      </w:r>
      <w:r w:rsidRPr="0081094B">
        <w:rPr>
          <w:lang w:val="pl-PL"/>
        </w:rPr>
        <w:tab/>
        <w:t>KATEGORIA DOSTĘPNOŚCI</w:t>
      </w:r>
    </w:p>
    <w:p w14:paraId="6A91B0C1" w14:textId="77777777" w:rsidR="007A4AE6" w:rsidRPr="00F13073" w:rsidRDefault="007A4AE6" w:rsidP="008B4C50"/>
    <w:p w14:paraId="7236BBB8" w14:textId="77777777" w:rsidR="007A4AE6" w:rsidRPr="00F13073" w:rsidRDefault="007A4AE6" w:rsidP="008B4C50"/>
    <w:p w14:paraId="38CC795B" w14:textId="77777777" w:rsidR="007A4AE6" w:rsidRPr="0081094B" w:rsidRDefault="007A4AE6" w:rsidP="008B4C50">
      <w:pPr>
        <w:pStyle w:val="BoxedHeading"/>
        <w:rPr>
          <w:lang w:val="pl-PL"/>
        </w:rPr>
      </w:pPr>
      <w:r w:rsidRPr="0081094B">
        <w:rPr>
          <w:lang w:val="pl-PL"/>
        </w:rPr>
        <w:t>15.</w:t>
      </w:r>
      <w:r w:rsidRPr="0081094B">
        <w:rPr>
          <w:lang w:val="pl-PL"/>
        </w:rPr>
        <w:tab/>
        <w:t>INSTRUKCJA UŻYCIA</w:t>
      </w:r>
    </w:p>
    <w:p w14:paraId="1758671C" w14:textId="77777777" w:rsidR="007A4AE6" w:rsidRPr="00F13073" w:rsidRDefault="007A4AE6" w:rsidP="008B4C50"/>
    <w:p w14:paraId="357868DA" w14:textId="77777777" w:rsidR="007A4AE6" w:rsidRPr="00F13073" w:rsidRDefault="007A4AE6" w:rsidP="008B4C50"/>
    <w:p w14:paraId="675B3834" w14:textId="77777777" w:rsidR="007A4AE6" w:rsidRPr="0081094B" w:rsidRDefault="007A4AE6" w:rsidP="008B4C50">
      <w:pPr>
        <w:pStyle w:val="BoxedHeading"/>
        <w:rPr>
          <w:lang w:val="pl-PL"/>
        </w:rPr>
      </w:pPr>
      <w:r w:rsidRPr="0081094B">
        <w:rPr>
          <w:lang w:val="pl-PL"/>
        </w:rPr>
        <w:t>16.</w:t>
      </w:r>
      <w:r w:rsidRPr="0081094B">
        <w:rPr>
          <w:lang w:val="pl-PL"/>
        </w:rPr>
        <w:tab/>
        <w:t>INFORMACJA PODANA SYSTEMEM BRAILLE’A</w:t>
      </w:r>
    </w:p>
    <w:p w14:paraId="318807E5" w14:textId="77777777" w:rsidR="007A4AE6" w:rsidRPr="00F13073" w:rsidRDefault="007A4AE6" w:rsidP="008B4C50"/>
    <w:p w14:paraId="4AA3B056" w14:textId="3381AB42" w:rsidR="007A4AE6" w:rsidRPr="00F13073" w:rsidRDefault="00D773ED" w:rsidP="008B4C50">
      <w:r w:rsidRPr="00F13073">
        <w:t>a</w:t>
      </w:r>
      <w:r w:rsidR="00026375" w:rsidRPr="00F13073">
        <w:t>vtozma</w:t>
      </w:r>
      <w:r w:rsidR="007A4AE6" w:rsidRPr="00F13073">
        <w:t xml:space="preserve"> 162 mg</w:t>
      </w:r>
    </w:p>
    <w:p w14:paraId="04B0AC69" w14:textId="77777777" w:rsidR="007A4AE6" w:rsidRPr="00F13073" w:rsidRDefault="007A4AE6" w:rsidP="008B4C50"/>
    <w:p w14:paraId="08D2F178" w14:textId="77777777" w:rsidR="007A4AE6" w:rsidRPr="00F13073" w:rsidRDefault="007A4AE6" w:rsidP="008B4C50"/>
    <w:p w14:paraId="1F863A59" w14:textId="77777777" w:rsidR="007A4AE6" w:rsidRPr="0081094B" w:rsidRDefault="007A4AE6"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7B79332F" w14:textId="77777777" w:rsidR="007A4AE6" w:rsidRPr="00F13073" w:rsidRDefault="007A4AE6" w:rsidP="008B4C50"/>
    <w:p w14:paraId="73AD7D85" w14:textId="77777777" w:rsidR="007A4AE6" w:rsidRPr="00F13073" w:rsidRDefault="007A4AE6" w:rsidP="008B4C50">
      <w:r>
        <w:rPr>
          <w:highlight w:val="lightGray"/>
        </w:rPr>
        <w:t>&lt;Obejmuje kod 2D będący nośnikiem niepowtarzalnego identyfikatora.&gt;</w:t>
      </w:r>
    </w:p>
    <w:p w14:paraId="61B54370" w14:textId="77777777" w:rsidR="007A4AE6" w:rsidRPr="00F13073" w:rsidRDefault="007A4AE6" w:rsidP="008B4C50"/>
    <w:p w14:paraId="01E8FDBA" w14:textId="77777777" w:rsidR="007A4AE6" w:rsidRPr="00F13073" w:rsidRDefault="007A4AE6" w:rsidP="008B4C50"/>
    <w:p w14:paraId="625A7A79" w14:textId="77777777" w:rsidR="007A4AE6" w:rsidRPr="0081094B" w:rsidRDefault="007A4AE6"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44194CC0" w14:textId="77777777" w:rsidR="00AD0B24" w:rsidRPr="00F13073" w:rsidRDefault="00AD0B24" w:rsidP="008B4C50"/>
    <w:p w14:paraId="19A23599" w14:textId="77777777" w:rsidR="00D352CD" w:rsidRPr="00F13073" w:rsidRDefault="00D352CD" w:rsidP="008B4C50">
      <w:r w:rsidRPr="00F13073">
        <w:t xml:space="preserve">PC </w:t>
      </w:r>
    </w:p>
    <w:p w14:paraId="75B12FD9" w14:textId="0EC42801" w:rsidR="0086170D" w:rsidRPr="00F13073" w:rsidRDefault="00D352CD" w:rsidP="008B4C50">
      <w:r w:rsidRPr="00F13073">
        <w:t xml:space="preserve">SN </w:t>
      </w:r>
    </w:p>
    <w:p w14:paraId="3E824D67" w14:textId="6449128A" w:rsidR="00AD0B24" w:rsidRPr="00F13073" w:rsidRDefault="003669FE" w:rsidP="00442587">
      <w:r w:rsidRPr="00D209C2">
        <w:rPr>
          <w:rFonts w:eastAsia="맑은 고딕"/>
          <w:highlight w:val="lightGray"/>
          <w:lang w:eastAsia="ko-KR"/>
        </w:rPr>
        <w:t>NN</w:t>
      </w:r>
      <w:r w:rsidR="0086170D" w:rsidRPr="00F13073">
        <w:br w:type="page"/>
      </w:r>
    </w:p>
    <w:p w14:paraId="27E04854" w14:textId="77777777" w:rsidR="001E0975" w:rsidRPr="00F13073" w:rsidRDefault="007A4AE6" w:rsidP="008B4C50">
      <w:pPr>
        <w:pBdr>
          <w:top w:val="single" w:sz="4" w:space="1" w:color="auto"/>
          <w:left w:val="single" w:sz="4" w:space="4" w:color="auto"/>
          <w:bottom w:val="single" w:sz="4" w:space="1" w:color="auto"/>
          <w:right w:val="single" w:sz="4" w:space="4" w:color="auto"/>
        </w:pBdr>
        <w:rPr>
          <w:b/>
          <w:bCs/>
        </w:rPr>
      </w:pPr>
      <w:r w:rsidRPr="00F13073">
        <w:rPr>
          <w:b/>
          <w:bCs/>
        </w:rPr>
        <w:lastRenderedPageBreak/>
        <w:t>INFORMACJE ZAMIESZCZANE NA OPAKOWANIACH ZEWNĘTRZNYCH</w:t>
      </w:r>
    </w:p>
    <w:p w14:paraId="6243852C"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5358CDD6" w14:textId="729590AE" w:rsidR="001E0975" w:rsidRPr="00F13073" w:rsidRDefault="007A4AE6" w:rsidP="00D54C8A">
      <w:pPr>
        <w:pBdr>
          <w:top w:val="single" w:sz="4" w:space="1" w:color="auto"/>
          <w:left w:val="single" w:sz="4" w:space="4" w:color="auto"/>
          <w:bottom w:val="single" w:sz="4" w:space="1" w:color="auto"/>
          <w:right w:val="single" w:sz="4" w:space="4" w:color="auto"/>
        </w:pBdr>
        <w:rPr>
          <w:b/>
          <w:bCs/>
        </w:rPr>
      </w:pPr>
      <w:r w:rsidRPr="00F13073">
        <w:rPr>
          <w:b/>
          <w:bCs/>
        </w:rPr>
        <w:t>OPAKOWANIE WSTRZYKIWACZA PÓŁAUTOMATYCZNEGO NAPEŁNIONEGO (Z</w:t>
      </w:r>
      <w:r w:rsidR="00D54C8A" w:rsidRPr="00F13073">
        <w:rPr>
          <w:b/>
          <w:bCs/>
        </w:rPr>
        <w:t> </w:t>
      </w:r>
      <w:r w:rsidRPr="00F13073">
        <w:rPr>
          <w:b/>
          <w:bCs/>
        </w:rPr>
        <w:t>BLUE BOX) – opakowanie zbiorcze</w:t>
      </w:r>
    </w:p>
    <w:p w14:paraId="10DD7751" w14:textId="77777777" w:rsidR="00D352CD" w:rsidRPr="00F13073" w:rsidRDefault="00D352CD" w:rsidP="008B4C50"/>
    <w:p w14:paraId="1B371979" w14:textId="77777777" w:rsidR="00D352CD" w:rsidRPr="00F13073" w:rsidRDefault="00D352CD" w:rsidP="008B4C50"/>
    <w:p w14:paraId="2BD8EF88" w14:textId="77777777" w:rsidR="0033413F" w:rsidRPr="0081094B" w:rsidRDefault="0033413F" w:rsidP="008B4C50">
      <w:pPr>
        <w:pStyle w:val="BoxedHeading"/>
        <w:rPr>
          <w:lang w:val="pl-PL"/>
        </w:rPr>
      </w:pPr>
      <w:r w:rsidRPr="0081094B">
        <w:rPr>
          <w:lang w:val="pl-PL"/>
        </w:rPr>
        <w:t>1.</w:t>
      </w:r>
      <w:r w:rsidRPr="0081094B">
        <w:rPr>
          <w:lang w:val="pl-PL"/>
        </w:rPr>
        <w:tab/>
        <w:t>NAZWA PRODUKTU LECZNICZEGO</w:t>
      </w:r>
    </w:p>
    <w:p w14:paraId="3C69ED34" w14:textId="77777777" w:rsidR="0033413F" w:rsidRPr="00F13073" w:rsidRDefault="0033413F" w:rsidP="008B4C50"/>
    <w:p w14:paraId="46BDB197" w14:textId="778C8CD7" w:rsidR="0033413F" w:rsidRPr="00F13073" w:rsidRDefault="00026375" w:rsidP="008B4C50">
      <w:r w:rsidRPr="00F13073">
        <w:t>Avtozma</w:t>
      </w:r>
      <w:r w:rsidR="0033413F" w:rsidRPr="00F13073">
        <w:t xml:space="preserve"> 162 mg roztwór do wstrzykiwań we wstrzykiwaczu półautomatycznym napełnionym</w:t>
      </w:r>
    </w:p>
    <w:p w14:paraId="7652D58E" w14:textId="77777777" w:rsidR="0033413F" w:rsidRPr="00F13073" w:rsidRDefault="0033413F" w:rsidP="008B4C50">
      <w:r w:rsidRPr="00F13073">
        <w:t>tocilizumab</w:t>
      </w:r>
    </w:p>
    <w:p w14:paraId="62D79169" w14:textId="77777777" w:rsidR="0033413F" w:rsidRPr="00F13073" w:rsidRDefault="0033413F" w:rsidP="008B4C50"/>
    <w:p w14:paraId="02F2477C" w14:textId="77777777" w:rsidR="0033413F" w:rsidRPr="00F13073" w:rsidRDefault="0033413F" w:rsidP="008B4C50"/>
    <w:p w14:paraId="23AD0776" w14:textId="77777777" w:rsidR="0033413F" w:rsidRPr="0081094B" w:rsidRDefault="0033413F" w:rsidP="008B4C50">
      <w:pPr>
        <w:pStyle w:val="BoxedHeading"/>
        <w:rPr>
          <w:lang w:val="pl-PL"/>
        </w:rPr>
      </w:pPr>
      <w:r w:rsidRPr="0081094B">
        <w:rPr>
          <w:lang w:val="pl-PL"/>
        </w:rPr>
        <w:t>2.</w:t>
      </w:r>
      <w:r w:rsidRPr="0081094B">
        <w:rPr>
          <w:lang w:val="pl-PL"/>
        </w:rPr>
        <w:tab/>
        <w:t>ZAWARTOŚĆ SUBSTANCJI CZYNNEJ (CZYNNYCH)</w:t>
      </w:r>
    </w:p>
    <w:p w14:paraId="4004022D" w14:textId="77777777" w:rsidR="0033413F" w:rsidRPr="00F13073" w:rsidRDefault="0033413F" w:rsidP="008B4C50"/>
    <w:p w14:paraId="74D44DB0" w14:textId="77777777" w:rsidR="0033413F" w:rsidRPr="00F13073" w:rsidRDefault="0033413F" w:rsidP="008B4C50">
      <w:r w:rsidRPr="00F13073">
        <w:t>1 wstrzykiwacz półautomatyczny napełniony zawiera 162 mg tocilizumabu.</w:t>
      </w:r>
    </w:p>
    <w:p w14:paraId="0FB554DF" w14:textId="77777777" w:rsidR="0033413F" w:rsidRPr="00F13073" w:rsidRDefault="0033413F" w:rsidP="008B4C50"/>
    <w:p w14:paraId="3A85B346" w14:textId="77777777" w:rsidR="0033413F" w:rsidRPr="00F13073" w:rsidRDefault="0033413F" w:rsidP="008B4C50"/>
    <w:p w14:paraId="363B4A1D" w14:textId="77777777" w:rsidR="0033413F" w:rsidRPr="0081094B" w:rsidRDefault="0033413F" w:rsidP="008B4C50">
      <w:pPr>
        <w:pStyle w:val="BoxedHeading"/>
        <w:rPr>
          <w:lang w:val="pl-PL"/>
        </w:rPr>
      </w:pPr>
      <w:r w:rsidRPr="0081094B">
        <w:rPr>
          <w:lang w:val="pl-PL"/>
        </w:rPr>
        <w:t>3.</w:t>
      </w:r>
      <w:r w:rsidRPr="0081094B">
        <w:rPr>
          <w:lang w:val="pl-PL"/>
        </w:rPr>
        <w:tab/>
        <w:t>WYKAZ SUBSTANCJI POMOCNICZYCH</w:t>
      </w:r>
    </w:p>
    <w:p w14:paraId="1B971188" w14:textId="77777777" w:rsidR="0033413F" w:rsidRPr="00F13073" w:rsidRDefault="0033413F" w:rsidP="008B4C50"/>
    <w:p w14:paraId="7A6A88EF" w14:textId="011BA334" w:rsidR="00B02785" w:rsidRPr="00F13073" w:rsidRDefault="0086170D" w:rsidP="008B4C50">
      <w:r w:rsidRPr="00F13073">
        <w:t>Substancje pomocnicze: L-histydyna,</w:t>
      </w:r>
      <w:r w:rsidR="00E265AD" w:rsidRPr="00E265AD">
        <w:rPr>
          <w:rFonts w:ascii="Roboto" w:hAnsi="Roboto"/>
          <w:color w:val="3C4043"/>
          <w:sz w:val="27"/>
          <w:szCs w:val="27"/>
          <w:shd w:val="clear" w:color="auto" w:fill="F5F5F5"/>
        </w:rPr>
        <w:t xml:space="preserve"> </w:t>
      </w:r>
      <w:r w:rsidR="00017E9D" w:rsidRPr="00017E9D">
        <w:rPr>
          <w:rFonts w:eastAsia="맑은 고딕" w:hint="eastAsia"/>
          <w:lang w:eastAsia="ko-KR"/>
        </w:rPr>
        <w:t>L-histydyny monochlorowodorek</w:t>
      </w:r>
      <w:r w:rsidR="00E265AD" w:rsidRPr="00E265AD">
        <w:t>,</w:t>
      </w:r>
      <w:r w:rsidRPr="00F13073">
        <w:t xml:space="preserve"> L-treonina, L-metionina, polisorbat</w:t>
      </w:r>
      <w:r w:rsidR="00B02785" w:rsidRPr="00F13073">
        <w:t> </w:t>
      </w:r>
      <w:r w:rsidRPr="00F13073">
        <w:t>80 i woda do wstrzykiwań.</w:t>
      </w:r>
    </w:p>
    <w:p w14:paraId="4C46C2A4" w14:textId="46E4DCED" w:rsidR="008834B2" w:rsidRPr="00F13073" w:rsidRDefault="0086170D" w:rsidP="008B4C50">
      <w:r w:rsidRPr="00F13073">
        <w:t>Dokładna informacja znajduje się w ulotce dla pacjenta.</w:t>
      </w:r>
    </w:p>
    <w:p w14:paraId="3EAAB467" w14:textId="77777777" w:rsidR="0033413F" w:rsidRPr="00F13073" w:rsidRDefault="0033413F" w:rsidP="008B4C50"/>
    <w:p w14:paraId="35D7B9C5" w14:textId="77777777" w:rsidR="0033413F" w:rsidRPr="00F13073" w:rsidRDefault="0033413F" w:rsidP="008B4C50"/>
    <w:p w14:paraId="2FFE990D" w14:textId="77777777" w:rsidR="0033413F" w:rsidRPr="0081094B" w:rsidRDefault="0033413F" w:rsidP="008B4C50">
      <w:pPr>
        <w:pStyle w:val="BoxedHeading"/>
        <w:rPr>
          <w:lang w:val="pl-PL"/>
        </w:rPr>
      </w:pPr>
      <w:r w:rsidRPr="0081094B">
        <w:rPr>
          <w:lang w:val="pl-PL"/>
        </w:rPr>
        <w:t>4.</w:t>
      </w:r>
      <w:r w:rsidRPr="0081094B">
        <w:rPr>
          <w:lang w:val="pl-PL"/>
        </w:rPr>
        <w:tab/>
        <w:t>POSTAĆ FARMACEUTYCZNA I ZAWARTOŚĆ OPAKOWANIA</w:t>
      </w:r>
    </w:p>
    <w:p w14:paraId="5542636F" w14:textId="77777777" w:rsidR="0033413F" w:rsidRPr="00F13073" w:rsidRDefault="0033413F" w:rsidP="008B4C50"/>
    <w:p w14:paraId="6EED7FC0" w14:textId="6F485B5D" w:rsidR="0033413F" w:rsidRPr="00F13073" w:rsidRDefault="0033413F" w:rsidP="008B4C50">
      <w:r w:rsidRPr="00F13073">
        <w:t>Roztwór do wstrzykiwań we wstrzykiwaczu półautomatycznym napełnionym</w:t>
      </w:r>
    </w:p>
    <w:p w14:paraId="284ACE34" w14:textId="77777777" w:rsidR="0033413F" w:rsidRPr="00F13073" w:rsidRDefault="0033413F" w:rsidP="008B4C50">
      <w:r w:rsidRPr="00F13073">
        <w:t>Opakowanie zbiorcze: 12 (3 opakowania po 4) wstrzykiwaczy półautomatycznych napełnionych</w:t>
      </w:r>
    </w:p>
    <w:p w14:paraId="58D578A1" w14:textId="77777777" w:rsidR="0033413F" w:rsidRPr="00F13073" w:rsidRDefault="0033413F" w:rsidP="008B4C50">
      <w:r w:rsidRPr="00F13073">
        <w:t>162 mg/0,9 mL</w:t>
      </w:r>
    </w:p>
    <w:p w14:paraId="1081AD3B" w14:textId="77777777" w:rsidR="0033413F" w:rsidRPr="00F13073" w:rsidRDefault="0033413F" w:rsidP="008B4C50"/>
    <w:p w14:paraId="59DF63C2" w14:textId="77777777" w:rsidR="0033413F" w:rsidRPr="00F13073" w:rsidRDefault="0033413F" w:rsidP="008B4C50"/>
    <w:p w14:paraId="6A02F393" w14:textId="77777777" w:rsidR="0033413F" w:rsidRPr="0081094B" w:rsidRDefault="0033413F" w:rsidP="008B4C50">
      <w:pPr>
        <w:pStyle w:val="BoxedHeading"/>
        <w:rPr>
          <w:lang w:val="pl-PL"/>
        </w:rPr>
      </w:pPr>
      <w:r w:rsidRPr="0081094B">
        <w:rPr>
          <w:lang w:val="pl-PL"/>
        </w:rPr>
        <w:t>5.</w:t>
      </w:r>
      <w:r w:rsidRPr="0081094B">
        <w:rPr>
          <w:lang w:val="pl-PL"/>
        </w:rPr>
        <w:tab/>
        <w:t>SPOSÓB I DROGA (DROGI) PODANIA</w:t>
      </w:r>
    </w:p>
    <w:p w14:paraId="0E47300A" w14:textId="77777777" w:rsidR="0033413F" w:rsidRPr="00F13073" w:rsidRDefault="0033413F" w:rsidP="008B4C50"/>
    <w:p w14:paraId="5C0A96BE" w14:textId="77777777" w:rsidR="0033413F" w:rsidRPr="00F13073" w:rsidRDefault="0033413F" w:rsidP="008B4C50">
      <w:r w:rsidRPr="00F13073">
        <w:t>Stosowanie podskórne</w:t>
      </w:r>
    </w:p>
    <w:p w14:paraId="1D45F02F" w14:textId="77777777" w:rsidR="0033413F" w:rsidRPr="00F13073" w:rsidRDefault="0033413F" w:rsidP="008B4C50">
      <w:r w:rsidRPr="00F13073">
        <w:t>Należy zapoznać się z treścią ulotki przed zastosowaniem leku</w:t>
      </w:r>
    </w:p>
    <w:p w14:paraId="1F1C09E7" w14:textId="77777777" w:rsidR="0033413F" w:rsidRPr="00F13073" w:rsidRDefault="0033413F" w:rsidP="008B4C50"/>
    <w:p w14:paraId="11B499B2" w14:textId="77777777" w:rsidR="0033413F" w:rsidRPr="00F13073" w:rsidRDefault="0033413F" w:rsidP="008B4C50"/>
    <w:p w14:paraId="5878ECAC" w14:textId="2A734C25" w:rsidR="0033413F" w:rsidRPr="0081094B" w:rsidRDefault="0033413F" w:rsidP="008B4C50">
      <w:pPr>
        <w:pStyle w:val="BoxedHeading"/>
        <w:rPr>
          <w:lang w:val="pl-PL"/>
        </w:rPr>
      </w:pPr>
      <w:r w:rsidRPr="0081094B">
        <w:rPr>
          <w:lang w:val="pl-PL"/>
        </w:rPr>
        <w:t>6.</w:t>
      </w:r>
      <w:r w:rsidRPr="0081094B">
        <w:rPr>
          <w:lang w:val="pl-PL"/>
        </w:rPr>
        <w:tab/>
        <w:t xml:space="preserve">OSTRZEŻENIE DOTYCZĄCE PRZECHOWYWANIA PRODUKTU LECZNICZEGO W MIEJSCU </w:t>
      </w:r>
      <w:r w:rsidR="007B5868" w:rsidRPr="0081094B">
        <w:rPr>
          <w:lang w:val="pl-PL"/>
        </w:rPr>
        <w:t xml:space="preserve">NIEDOSTĘPNYM I NIEWIDOCZNYM </w:t>
      </w:r>
      <w:r w:rsidRPr="0081094B">
        <w:rPr>
          <w:lang w:val="pl-PL"/>
        </w:rPr>
        <w:t>DLA DZIECI</w:t>
      </w:r>
    </w:p>
    <w:p w14:paraId="321C665D" w14:textId="77777777" w:rsidR="0033413F" w:rsidRPr="00F13073" w:rsidRDefault="0033413F" w:rsidP="008B4C50"/>
    <w:p w14:paraId="068FDC80" w14:textId="77777777" w:rsidR="0033413F" w:rsidRPr="00F13073" w:rsidRDefault="0033413F" w:rsidP="008B4C50">
      <w:r w:rsidRPr="00F13073">
        <w:t>Lek przechowywać w miejscu niewidocznym i niedostępnym dla dzieci</w:t>
      </w:r>
    </w:p>
    <w:p w14:paraId="580ABE64" w14:textId="77777777" w:rsidR="0033413F" w:rsidRPr="00F13073" w:rsidRDefault="0033413F" w:rsidP="008B4C50"/>
    <w:p w14:paraId="2F36DC65" w14:textId="77777777" w:rsidR="0033413F" w:rsidRPr="00F13073" w:rsidRDefault="0033413F" w:rsidP="008B4C50"/>
    <w:p w14:paraId="66B1CEE7" w14:textId="77777777" w:rsidR="0033413F" w:rsidRPr="0081094B" w:rsidRDefault="0033413F" w:rsidP="008B4C50">
      <w:pPr>
        <w:pStyle w:val="BoxedHeading"/>
        <w:rPr>
          <w:lang w:val="pl-PL"/>
        </w:rPr>
      </w:pPr>
      <w:r w:rsidRPr="0081094B">
        <w:rPr>
          <w:lang w:val="pl-PL"/>
        </w:rPr>
        <w:t>7.</w:t>
      </w:r>
      <w:r w:rsidRPr="0081094B">
        <w:rPr>
          <w:lang w:val="pl-PL"/>
        </w:rPr>
        <w:tab/>
        <w:t>INNE OSTRZEŻENIA SPECJALNE, JEŚLI KONIECZNE</w:t>
      </w:r>
    </w:p>
    <w:p w14:paraId="4E5B674F" w14:textId="77777777" w:rsidR="0033413F" w:rsidRPr="00F13073" w:rsidRDefault="0033413F" w:rsidP="008B4C50"/>
    <w:p w14:paraId="2397110D" w14:textId="77777777" w:rsidR="0033413F" w:rsidRPr="00F13073" w:rsidRDefault="0033413F" w:rsidP="008B4C50">
      <w:r w:rsidRPr="00F13073">
        <w:t>Przed użyciem wstrzykiwacz półautomatyczny napełniony należy wyjąć z opakowania i umieścić w temperaturze pokojowej na 45 minut</w:t>
      </w:r>
    </w:p>
    <w:p w14:paraId="7575E0E8" w14:textId="77777777" w:rsidR="0033413F" w:rsidRPr="00F13073" w:rsidRDefault="0033413F" w:rsidP="008B4C50"/>
    <w:p w14:paraId="46422588" w14:textId="77777777" w:rsidR="0033413F" w:rsidRPr="00F13073" w:rsidRDefault="0033413F" w:rsidP="008B4C50"/>
    <w:p w14:paraId="72A6B8FB" w14:textId="77777777" w:rsidR="0033413F" w:rsidRPr="0081094B" w:rsidRDefault="0033413F" w:rsidP="008B4C50">
      <w:pPr>
        <w:pStyle w:val="BoxedHeading"/>
        <w:rPr>
          <w:lang w:val="pl-PL"/>
        </w:rPr>
      </w:pPr>
      <w:r w:rsidRPr="0081094B">
        <w:rPr>
          <w:lang w:val="pl-PL"/>
        </w:rPr>
        <w:t>8.</w:t>
      </w:r>
      <w:r w:rsidRPr="0081094B">
        <w:rPr>
          <w:lang w:val="pl-PL"/>
        </w:rPr>
        <w:tab/>
        <w:t>TERMIN WAŻNOŚCI</w:t>
      </w:r>
    </w:p>
    <w:p w14:paraId="01136894" w14:textId="77777777" w:rsidR="0033413F" w:rsidRPr="00F13073" w:rsidRDefault="0033413F" w:rsidP="008B4C50"/>
    <w:p w14:paraId="609F9EC0" w14:textId="77777777" w:rsidR="0033413F" w:rsidRPr="00F13073" w:rsidRDefault="0033413F" w:rsidP="008B4C50">
      <w:r w:rsidRPr="00F13073">
        <w:t>Termin ważności (EXP)</w:t>
      </w:r>
    </w:p>
    <w:p w14:paraId="669A134D" w14:textId="77777777" w:rsidR="00AD0B24" w:rsidRPr="00F13073" w:rsidRDefault="00AD0B24" w:rsidP="008B4C50"/>
    <w:p w14:paraId="3FE35753" w14:textId="77777777" w:rsidR="00D352CD" w:rsidRPr="00F13073" w:rsidRDefault="00D352CD" w:rsidP="008B4C50"/>
    <w:p w14:paraId="0F99E9A4" w14:textId="77777777" w:rsidR="00F374CF" w:rsidRPr="0081094B" w:rsidRDefault="00F374CF" w:rsidP="008B4C50">
      <w:pPr>
        <w:pStyle w:val="BoxedHeading"/>
        <w:rPr>
          <w:lang w:val="pl-PL"/>
        </w:rPr>
      </w:pPr>
      <w:r w:rsidRPr="0081094B">
        <w:rPr>
          <w:lang w:val="pl-PL"/>
        </w:rPr>
        <w:lastRenderedPageBreak/>
        <w:t>9.</w:t>
      </w:r>
      <w:r w:rsidRPr="0081094B">
        <w:rPr>
          <w:lang w:val="pl-PL"/>
        </w:rPr>
        <w:tab/>
        <w:t>WARUNKI PRZECHOWYWANIA</w:t>
      </w:r>
    </w:p>
    <w:p w14:paraId="1EA4EDEE" w14:textId="77777777" w:rsidR="00F374CF" w:rsidRPr="00F13073" w:rsidRDefault="00F374CF" w:rsidP="008B4C50">
      <w:pPr>
        <w:keepNext/>
      </w:pPr>
    </w:p>
    <w:p w14:paraId="38488387" w14:textId="77777777" w:rsidR="00F374CF" w:rsidRPr="00F13073" w:rsidRDefault="00F374CF" w:rsidP="008B4C50">
      <w:pPr>
        <w:keepNext/>
      </w:pPr>
      <w:r w:rsidRPr="00F13073">
        <w:t>Przechowywać w lodówce</w:t>
      </w:r>
    </w:p>
    <w:p w14:paraId="50EA9122" w14:textId="77777777" w:rsidR="00F374CF" w:rsidRPr="00F13073" w:rsidRDefault="00F374CF" w:rsidP="008B4C50">
      <w:pPr>
        <w:keepNext/>
      </w:pPr>
      <w:r w:rsidRPr="00F13073">
        <w:t>Nie zamrażać</w:t>
      </w:r>
    </w:p>
    <w:p w14:paraId="51CE9CF1" w14:textId="45E5F0AD" w:rsidR="00F374CF" w:rsidRPr="00F13073" w:rsidRDefault="00F374CF" w:rsidP="008B4C50">
      <w:pPr>
        <w:keepNext/>
      </w:pPr>
      <w:r w:rsidRPr="00F13073">
        <w:t xml:space="preserve">Po wyjęciu z lodówki wstrzykiwacz półautomatyczny może być przechowywany do </w:t>
      </w:r>
      <w:r w:rsidR="0086170D" w:rsidRPr="00F13073">
        <w:t>3</w:t>
      </w:r>
      <w:r w:rsidRPr="00F13073">
        <w:t xml:space="preserve"> tygodni w temperaturze nie wyższej niż 30°C</w:t>
      </w:r>
    </w:p>
    <w:p w14:paraId="7E67B059" w14:textId="77777777" w:rsidR="00F374CF" w:rsidRPr="00F13073" w:rsidRDefault="00F374CF" w:rsidP="008B4C50">
      <w:pPr>
        <w:keepNext/>
      </w:pPr>
      <w:r w:rsidRPr="00F13073">
        <w:t>Wstrzykiwacz półautomatyczny napełniony należy przechowywać w opakowaniu zewnętrznym w celu ochrony przed światłem i wilgocią</w:t>
      </w:r>
    </w:p>
    <w:p w14:paraId="6AE54EA0" w14:textId="77777777" w:rsidR="00F374CF" w:rsidRPr="00F13073" w:rsidRDefault="00F374CF" w:rsidP="008B4C50">
      <w:pPr>
        <w:keepNext/>
      </w:pPr>
    </w:p>
    <w:p w14:paraId="7A06398C" w14:textId="77777777" w:rsidR="00F374CF" w:rsidRPr="00F13073" w:rsidRDefault="00F374CF" w:rsidP="008B4C50"/>
    <w:p w14:paraId="5BDA9F93" w14:textId="77777777" w:rsidR="00F374CF" w:rsidRPr="0081094B" w:rsidRDefault="00F374CF"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6D28C402" w14:textId="77777777" w:rsidR="00F374CF" w:rsidRPr="00F13073" w:rsidRDefault="00F374CF" w:rsidP="008B4C50"/>
    <w:p w14:paraId="4FF4795C" w14:textId="77777777" w:rsidR="00F374CF" w:rsidRPr="00F13073" w:rsidRDefault="00F374CF" w:rsidP="008B4C50"/>
    <w:p w14:paraId="70E0A958" w14:textId="77777777" w:rsidR="00F374CF" w:rsidRPr="0081094B" w:rsidRDefault="00F374CF" w:rsidP="008B4C50">
      <w:pPr>
        <w:pStyle w:val="BoxedHeading"/>
        <w:rPr>
          <w:lang w:val="pl-PL"/>
        </w:rPr>
      </w:pPr>
      <w:r w:rsidRPr="0081094B">
        <w:rPr>
          <w:lang w:val="pl-PL"/>
        </w:rPr>
        <w:t>11.</w:t>
      </w:r>
      <w:r w:rsidRPr="0081094B">
        <w:rPr>
          <w:lang w:val="pl-PL"/>
        </w:rPr>
        <w:tab/>
        <w:t>NAZWA I ADRES PODMIOTU ODPOWIEDZIALNEGO</w:t>
      </w:r>
    </w:p>
    <w:p w14:paraId="75CD7686" w14:textId="77777777" w:rsidR="00F374CF" w:rsidRPr="00F13073" w:rsidRDefault="00F374CF" w:rsidP="008B4C50"/>
    <w:p w14:paraId="6AA0B3C4" w14:textId="77777777" w:rsidR="0086170D" w:rsidRPr="00F13073" w:rsidRDefault="0086170D" w:rsidP="0086170D">
      <w:pPr>
        <w:keepNext/>
      </w:pPr>
      <w:r w:rsidRPr="00F13073">
        <w:t xml:space="preserve">Celltrion Healthcare Hungary Kft. </w:t>
      </w:r>
    </w:p>
    <w:p w14:paraId="321D5E50" w14:textId="77777777" w:rsidR="0086170D" w:rsidRPr="00127FBE" w:rsidRDefault="0086170D" w:rsidP="0086170D">
      <w:pPr>
        <w:keepNext/>
        <w:rPr>
          <w:lang w:val="en-GB"/>
        </w:rPr>
      </w:pPr>
      <w:r w:rsidRPr="00127FBE">
        <w:rPr>
          <w:lang w:val="en-GB"/>
        </w:rPr>
        <w:t>1062 Budapest</w:t>
      </w:r>
    </w:p>
    <w:p w14:paraId="2BB8036C" w14:textId="77777777" w:rsidR="0086170D" w:rsidRPr="00127FBE" w:rsidRDefault="0086170D" w:rsidP="0086170D">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4D681057" w14:textId="42A28A07" w:rsidR="0086170D" w:rsidRPr="00F13073" w:rsidRDefault="0086170D" w:rsidP="0086170D">
      <w:r w:rsidRPr="00F13073">
        <w:t>Węgry</w:t>
      </w:r>
    </w:p>
    <w:p w14:paraId="5B5078F2" w14:textId="77777777" w:rsidR="00F374CF" w:rsidRPr="00F13073" w:rsidRDefault="00F374CF" w:rsidP="008B4C50"/>
    <w:p w14:paraId="393CB78D" w14:textId="77777777" w:rsidR="00F374CF" w:rsidRPr="00F13073" w:rsidRDefault="00F374CF" w:rsidP="008B4C50"/>
    <w:p w14:paraId="695A7BAE" w14:textId="77777777" w:rsidR="00F374CF" w:rsidRPr="0081094B" w:rsidRDefault="00F374CF" w:rsidP="008B4C50">
      <w:pPr>
        <w:pStyle w:val="BoxedHeading"/>
        <w:rPr>
          <w:lang w:val="pl-PL"/>
        </w:rPr>
      </w:pPr>
      <w:r w:rsidRPr="0081094B">
        <w:rPr>
          <w:lang w:val="pl-PL"/>
        </w:rPr>
        <w:t>12.</w:t>
      </w:r>
      <w:r w:rsidRPr="0081094B">
        <w:rPr>
          <w:lang w:val="pl-PL"/>
        </w:rPr>
        <w:tab/>
        <w:t>NUMER (NUMERY) POZWOLENIA NA DOPUSZCZENIE DO OBROTU</w:t>
      </w:r>
    </w:p>
    <w:p w14:paraId="4F47ABC9" w14:textId="77777777" w:rsidR="00F374CF" w:rsidRPr="00F13073" w:rsidRDefault="00F374CF" w:rsidP="008B4C50"/>
    <w:p w14:paraId="0B96153D" w14:textId="1093C657" w:rsidR="00F374CF" w:rsidRPr="00092BF6" w:rsidRDefault="00F374CF" w:rsidP="008B4C50">
      <w:r w:rsidRPr="00092BF6">
        <w:t>EU/</w:t>
      </w:r>
      <w:r w:rsidR="00092BF6" w:rsidRPr="00F458BB">
        <w:rPr>
          <w:spacing w:val="-1"/>
          <w:lang w:val="pt-BR"/>
        </w:rPr>
        <w:t>1/24/1896/0</w:t>
      </w:r>
      <w:r w:rsidR="00092BF6">
        <w:rPr>
          <w:spacing w:val="-1"/>
          <w:lang w:val="pt-BR"/>
        </w:rPr>
        <w:t>12 12 (3 x 4) wstrzykiwacze półautomatyczne napełnione (opakowanie zbiorcze)</w:t>
      </w:r>
    </w:p>
    <w:p w14:paraId="17B9891F" w14:textId="77777777" w:rsidR="00F374CF" w:rsidRPr="00092BF6" w:rsidRDefault="00F374CF" w:rsidP="008B4C50"/>
    <w:p w14:paraId="43CE3A6F" w14:textId="77777777" w:rsidR="00F374CF" w:rsidRPr="00092BF6" w:rsidRDefault="00F374CF" w:rsidP="008B4C50"/>
    <w:p w14:paraId="59A49BCD" w14:textId="77777777" w:rsidR="00F374CF" w:rsidRPr="00127FBE" w:rsidRDefault="00F374CF" w:rsidP="008B4C50">
      <w:pPr>
        <w:pStyle w:val="BoxedHeading"/>
        <w:rPr>
          <w:lang w:val="en-GB"/>
        </w:rPr>
      </w:pPr>
      <w:r w:rsidRPr="00127FBE">
        <w:rPr>
          <w:lang w:val="en-GB"/>
        </w:rPr>
        <w:t>13.</w:t>
      </w:r>
      <w:r w:rsidRPr="00127FBE">
        <w:rPr>
          <w:lang w:val="en-GB"/>
        </w:rPr>
        <w:tab/>
        <w:t>NUMER SERII</w:t>
      </w:r>
    </w:p>
    <w:p w14:paraId="1AF9DB65" w14:textId="77777777" w:rsidR="00F374CF" w:rsidRPr="00127FBE" w:rsidRDefault="00F374CF" w:rsidP="008B4C50">
      <w:pPr>
        <w:rPr>
          <w:lang w:val="en-GB"/>
        </w:rPr>
      </w:pPr>
    </w:p>
    <w:p w14:paraId="7E6275F3" w14:textId="77777777" w:rsidR="00F374CF" w:rsidRPr="00D209C2" w:rsidRDefault="00F374CF" w:rsidP="008B4C50">
      <w:pPr>
        <w:rPr>
          <w:lang w:val="en-GB"/>
        </w:rPr>
      </w:pPr>
      <w:r w:rsidRPr="00D209C2">
        <w:rPr>
          <w:lang w:val="en-GB"/>
        </w:rPr>
        <w:t xml:space="preserve">Nr </w:t>
      </w:r>
      <w:proofErr w:type="spellStart"/>
      <w:r w:rsidRPr="00D209C2">
        <w:rPr>
          <w:lang w:val="en-GB"/>
        </w:rPr>
        <w:t>serii</w:t>
      </w:r>
      <w:proofErr w:type="spellEnd"/>
      <w:r w:rsidRPr="00D209C2">
        <w:rPr>
          <w:lang w:val="en-GB"/>
        </w:rPr>
        <w:t xml:space="preserve"> (Lot)</w:t>
      </w:r>
    </w:p>
    <w:p w14:paraId="2253D753" w14:textId="77777777" w:rsidR="00F374CF" w:rsidRPr="00D209C2" w:rsidRDefault="00F374CF" w:rsidP="008B4C50">
      <w:pPr>
        <w:rPr>
          <w:lang w:val="en-GB"/>
        </w:rPr>
      </w:pPr>
    </w:p>
    <w:p w14:paraId="0578624C" w14:textId="77777777" w:rsidR="00F374CF" w:rsidRPr="00D209C2" w:rsidRDefault="00F374CF" w:rsidP="008B4C50">
      <w:pPr>
        <w:rPr>
          <w:lang w:val="en-GB"/>
        </w:rPr>
      </w:pPr>
    </w:p>
    <w:p w14:paraId="765FBA99" w14:textId="77777777" w:rsidR="00F374CF" w:rsidRPr="0081094B" w:rsidRDefault="00F374CF" w:rsidP="008B4C50">
      <w:pPr>
        <w:pStyle w:val="BoxedHeading"/>
        <w:rPr>
          <w:lang w:val="pl-PL"/>
        </w:rPr>
      </w:pPr>
      <w:r w:rsidRPr="0081094B">
        <w:rPr>
          <w:lang w:val="pl-PL"/>
        </w:rPr>
        <w:t>14.</w:t>
      </w:r>
      <w:r w:rsidRPr="0081094B">
        <w:rPr>
          <w:lang w:val="pl-PL"/>
        </w:rPr>
        <w:tab/>
        <w:t>KATEGORIA DOSTĘPNOŚCI</w:t>
      </w:r>
    </w:p>
    <w:p w14:paraId="51867A3D" w14:textId="77777777" w:rsidR="00F374CF" w:rsidRPr="00F13073" w:rsidRDefault="00F374CF" w:rsidP="008B4C50"/>
    <w:p w14:paraId="2F0C5D56" w14:textId="77777777" w:rsidR="00F374CF" w:rsidRPr="00F13073" w:rsidRDefault="00F374CF" w:rsidP="008B4C50"/>
    <w:p w14:paraId="08658AA8" w14:textId="77777777" w:rsidR="00F374CF" w:rsidRPr="0081094B" w:rsidRDefault="00F374CF" w:rsidP="008B4C50">
      <w:pPr>
        <w:pStyle w:val="BoxedHeading"/>
        <w:rPr>
          <w:lang w:val="pl-PL"/>
        </w:rPr>
      </w:pPr>
      <w:r w:rsidRPr="0081094B">
        <w:rPr>
          <w:lang w:val="pl-PL"/>
        </w:rPr>
        <w:t>15.</w:t>
      </w:r>
      <w:r w:rsidRPr="0081094B">
        <w:rPr>
          <w:lang w:val="pl-PL"/>
        </w:rPr>
        <w:tab/>
        <w:t>INSTRUKCJA UŻYCIA</w:t>
      </w:r>
    </w:p>
    <w:p w14:paraId="3A84FD6A" w14:textId="77777777" w:rsidR="00F374CF" w:rsidRPr="00F13073" w:rsidRDefault="00F374CF" w:rsidP="008B4C50"/>
    <w:p w14:paraId="1AFA8FB2" w14:textId="77777777" w:rsidR="00F374CF" w:rsidRPr="00F13073" w:rsidRDefault="00F374CF" w:rsidP="008B4C50"/>
    <w:p w14:paraId="19675E62" w14:textId="77777777" w:rsidR="00F374CF" w:rsidRPr="0081094B" w:rsidRDefault="00F374CF" w:rsidP="008B4C50">
      <w:pPr>
        <w:pStyle w:val="BoxedHeading"/>
        <w:rPr>
          <w:lang w:val="pl-PL"/>
        </w:rPr>
      </w:pPr>
      <w:r w:rsidRPr="0081094B">
        <w:rPr>
          <w:lang w:val="pl-PL"/>
        </w:rPr>
        <w:t>16.</w:t>
      </w:r>
      <w:r w:rsidRPr="0081094B">
        <w:rPr>
          <w:lang w:val="pl-PL"/>
        </w:rPr>
        <w:tab/>
        <w:t>INFORMACJA PODANA SYSTEMEM BRAILLE’A</w:t>
      </w:r>
    </w:p>
    <w:p w14:paraId="2D9C8A5A" w14:textId="77777777" w:rsidR="00F374CF" w:rsidRPr="00F13073" w:rsidRDefault="00F374CF" w:rsidP="008B4C50"/>
    <w:p w14:paraId="697473BD" w14:textId="102CB666" w:rsidR="00F374CF" w:rsidRPr="00F13073" w:rsidRDefault="0086170D" w:rsidP="008B4C50">
      <w:r w:rsidRPr="00F13073">
        <w:t>a</w:t>
      </w:r>
      <w:r w:rsidR="00026375" w:rsidRPr="00F13073">
        <w:t>vtozma</w:t>
      </w:r>
      <w:r w:rsidR="00F374CF" w:rsidRPr="00F13073">
        <w:t xml:space="preserve"> 162 mg</w:t>
      </w:r>
    </w:p>
    <w:p w14:paraId="3388F9B8" w14:textId="77777777" w:rsidR="00F374CF" w:rsidRPr="00F13073" w:rsidRDefault="00F374CF" w:rsidP="008B4C50"/>
    <w:p w14:paraId="28E0DC71" w14:textId="77777777" w:rsidR="00F374CF" w:rsidRPr="00F13073" w:rsidRDefault="00F374CF" w:rsidP="008B4C50"/>
    <w:p w14:paraId="5575914C" w14:textId="77777777" w:rsidR="00F374CF" w:rsidRPr="0081094B" w:rsidRDefault="00F374CF"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1A53FDEF" w14:textId="77777777" w:rsidR="00F374CF" w:rsidRPr="00F13073" w:rsidRDefault="00F374CF" w:rsidP="008B4C50"/>
    <w:p w14:paraId="23416DD4" w14:textId="77777777" w:rsidR="00F374CF" w:rsidRPr="00F13073" w:rsidRDefault="00F374CF" w:rsidP="008B4C50">
      <w:r>
        <w:rPr>
          <w:highlight w:val="lightGray"/>
        </w:rPr>
        <w:t>&lt;Obejmuje kod 2D będący nośnikiem niepowtarzalnego identyfikatora.&gt;</w:t>
      </w:r>
    </w:p>
    <w:p w14:paraId="201F13BE" w14:textId="77777777" w:rsidR="00F374CF" w:rsidRPr="00F13073" w:rsidRDefault="00F374CF" w:rsidP="008B4C50"/>
    <w:p w14:paraId="63451C90" w14:textId="77777777" w:rsidR="00F374CF" w:rsidRPr="00F13073" w:rsidRDefault="00F374CF" w:rsidP="008B4C50"/>
    <w:p w14:paraId="6D65B785" w14:textId="77777777" w:rsidR="00F374CF" w:rsidRPr="0081094B" w:rsidRDefault="00F374CF"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723E6924" w14:textId="77777777" w:rsidR="00AD0B24" w:rsidRPr="00F13073" w:rsidRDefault="00AD0B24" w:rsidP="008B4C50"/>
    <w:p w14:paraId="5F5485C8" w14:textId="77777777" w:rsidR="00D352CD" w:rsidRPr="00F13073" w:rsidRDefault="00D352CD" w:rsidP="008B4C50">
      <w:r w:rsidRPr="00F13073">
        <w:t xml:space="preserve">PC </w:t>
      </w:r>
    </w:p>
    <w:p w14:paraId="489D45AA" w14:textId="77777777" w:rsidR="00D352CD" w:rsidRPr="00F13073" w:rsidRDefault="00D352CD" w:rsidP="008B4C50">
      <w:r w:rsidRPr="00F13073">
        <w:t xml:space="preserve">SN </w:t>
      </w:r>
    </w:p>
    <w:p w14:paraId="548655D6" w14:textId="78A3539C" w:rsidR="00D352CD" w:rsidRPr="00D209C2" w:rsidRDefault="003669FE" w:rsidP="008B4C50">
      <w:pPr>
        <w:rPr>
          <w:rFonts w:eastAsia="맑은 고딕"/>
          <w:lang w:eastAsia="ko-KR"/>
        </w:rPr>
      </w:pPr>
      <w:r w:rsidRPr="00D209C2">
        <w:rPr>
          <w:rFonts w:eastAsia="맑은 고딕"/>
          <w:highlight w:val="lightGray"/>
          <w:lang w:eastAsia="ko-KR"/>
        </w:rPr>
        <w:t>NN</w:t>
      </w:r>
    </w:p>
    <w:p w14:paraId="4097CCBB" w14:textId="02B099A8" w:rsidR="00AD0B24" w:rsidRPr="00F13073" w:rsidRDefault="0086170D" w:rsidP="00442587">
      <w:r w:rsidRPr="00F13073">
        <w:br w:type="page"/>
      </w:r>
    </w:p>
    <w:p w14:paraId="1A96018B" w14:textId="77777777" w:rsidR="001E0975" w:rsidRPr="00F13073" w:rsidRDefault="00F374CF" w:rsidP="008B4C50">
      <w:pPr>
        <w:pBdr>
          <w:top w:val="single" w:sz="4" w:space="1" w:color="auto"/>
          <w:left w:val="single" w:sz="4" w:space="4" w:color="auto"/>
          <w:bottom w:val="single" w:sz="4" w:space="1" w:color="auto"/>
          <w:right w:val="single" w:sz="4" w:space="4" w:color="auto"/>
        </w:pBdr>
        <w:rPr>
          <w:b/>
          <w:bCs/>
        </w:rPr>
      </w:pPr>
      <w:r w:rsidRPr="00F13073">
        <w:rPr>
          <w:b/>
          <w:bCs/>
        </w:rPr>
        <w:lastRenderedPageBreak/>
        <w:t>INFORMACJE ZAMIESZCZANE NA OPAKOWANIACH ZEWNĘTRZNYCH</w:t>
      </w:r>
    </w:p>
    <w:p w14:paraId="07C602A6"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526042EA" w14:textId="696954F1" w:rsidR="001E0975" w:rsidRPr="00F13073" w:rsidRDefault="00F374CF" w:rsidP="00D54C8A">
      <w:pPr>
        <w:pBdr>
          <w:top w:val="single" w:sz="4" w:space="1" w:color="auto"/>
          <w:left w:val="single" w:sz="4" w:space="4" w:color="auto"/>
          <w:bottom w:val="single" w:sz="4" w:space="1" w:color="auto"/>
          <w:right w:val="single" w:sz="4" w:space="4" w:color="auto"/>
        </w:pBdr>
        <w:rPr>
          <w:b/>
          <w:bCs/>
        </w:rPr>
      </w:pPr>
      <w:r w:rsidRPr="00F13073">
        <w:rPr>
          <w:b/>
          <w:bCs/>
        </w:rPr>
        <w:t>OPAKOWANIE WSTRZYKIWACZA PÓŁAUTOMATYCZNEGO NAPEŁNIONEGO (BEZ</w:t>
      </w:r>
      <w:r w:rsidR="00D54C8A" w:rsidRPr="00F13073">
        <w:rPr>
          <w:b/>
          <w:bCs/>
        </w:rPr>
        <w:t> </w:t>
      </w:r>
      <w:r w:rsidRPr="00F13073">
        <w:rPr>
          <w:b/>
          <w:bCs/>
        </w:rPr>
        <w:t>BLUE BOX) – opakowanie zbiorcze</w:t>
      </w:r>
    </w:p>
    <w:p w14:paraId="51F3F614" w14:textId="77777777" w:rsidR="00D352CD" w:rsidRPr="00F13073" w:rsidRDefault="00D352CD" w:rsidP="008B4C50"/>
    <w:p w14:paraId="17344CC3" w14:textId="77777777" w:rsidR="00D352CD" w:rsidRPr="00F13073" w:rsidRDefault="00D352CD" w:rsidP="008B4C50"/>
    <w:p w14:paraId="4C71931B" w14:textId="77777777" w:rsidR="00CF6BE0" w:rsidRPr="0081094B" w:rsidRDefault="00CF6BE0" w:rsidP="008B4C50">
      <w:pPr>
        <w:pStyle w:val="BoxedHeading"/>
        <w:rPr>
          <w:lang w:val="pl-PL"/>
        </w:rPr>
      </w:pPr>
      <w:r w:rsidRPr="0081094B">
        <w:rPr>
          <w:lang w:val="pl-PL"/>
        </w:rPr>
        <w:t>1.</w:t>
      </w:r>
      <w:r w:rsidRPr="0081094B">
        <w:rPr>
          <w:lang w:val="pl-PL"/>
        </w:rPr>
        <w:tab/>
        <w:t>NAZWA PRODUKTU LECZNICZEGO</w:t>
      </w:r>
    </w:p>
    <w:p w14:paraId="3C254A7A" w14:textId="77777777" w:rsidR="00CF6BE0" w:rsidRPr="00F13073" w:rsidRDefault="00CF6BE0" w:rsidP="008B4C50"/>
    <w:p w14:paraId="7DA6F1B9" w14:textId="77ED11FA" w:rsidR="00CF6BE0" w:rsidRPr="00F13073" w:rsidRDefault="00026375" w:rsidP="008B4C50">
      <w:r w:rsidRPr="00F13073">
        <w:t>Avtozma</w:t>
      </w:r>
      <w:r w:rsidR="00CF6BE0" w:rsidRPr="00F13073">
        <w:t xml:space="preserve"> 162 mg roztwór do wstrzykiwań we wstrzykiwaczu półautomatycznym napełnionym</w:t>
      </w:r>
    </w:p>
    <w:p w14:paraId="08944A62" w14:textId="77777777" w:rsidR="00CF6BE0" w:rsidRPr="00F13073" w:rsidRDefault="00CF6BE0" w:rsidP="008B4C50">
      <w:r w:rsidRPr="00F13073">
        <w:t>tocilizumab</w:t>
      </w:r>
    </w:p>
    <w:p w14:paraId="3BF654F6" w14:textId="77777777" w:rsidR="00CF6BE0" w:rsidRPr="00F13073" w:rsidRDefault="00CF6BE0" w:rsidP="008B4C50"/>
    <w:p w14:paraId="74264684" w14:textId="77777777" w:rsidR="00CF6BE0" w:rsidRPr="00F13073" w:rsidRDefault="00CF6BE0" w:rsidP="008B4C50"/>
    <w:p w14:paraId="7B6C3E65" w14:textId="77777777" w:rsidR="00CF6BE0" w:rsidRPr="0081094B" w:rsidRDefault="00CF6BE0" w:rsidP="008B4C50">
      <w:pPr>
        <w:pStyle w:val="BoxedHeading"/>
        <w:rPr>
          <w:lang w:val="pl-PL"/>
        </w:rPr>
      </w:pPr>
      <w:r w:rsidRPr="0081094B">
        <w:rPr>
          <w:lang w:val="pl-PL"/>
        </w:rPr>
        <w:t>2.</w:t>
      </w:r>
      <w:r w:rsidRPr="0081094B">
        <w:rPr>
          <w:lang w:val="pl-PL"/>
        </w:rPr>
        <w:tab/>
        <w:t>ZAWARTOŚĆ SUBSTANCJI CZYNNEJ (CZYNNYCH)</w:t>
      </w:r>
    </w:p>
    <w:p w14:paraId="02A2A00E" w14:textId="77777777" w:rsidR="00CF6BE0" w:rsidRPr="00F13073" w:rsidRDefault="00CF6BE0" w:rsidP="008B4C50"/>
    <w:p w14:paraId="33E2FA33" w14:textId="77777777" w:rsidR="00CF6BE0" w:rsidRPr="00F13073" w:rsidRDefault="00CF6BE0" w:rsidP="008B4C50">
      <w:r w:rsidRPr="00F13073">
        <w:t>1 wstrzykiwacz półautomatyczny napełniony zawiera 162 mg tocilizumabu.</w:t>
      </w:r>
    </w:p>
    <w:p w14:paraId="25A54A74" w14:textId="77777777" w:rsidR="00CF6BE0" w:rsidRPr="00F13073" w:rsidRDefault="00CF6BE0" w:rsidP="008B4C50"/>
    <w:p w14:paraId="5125F90A" w14:textId="77777777" w:rsidR="00CF6BE0" w:rsidRPr="00F13073" w:rsidRDefault="00CF6BE0" w:rsidP="008B4C50"/>
    <w:p w14:paraId="38CFD79D" w14:textId="77777777" w:rsidR="00CF6BE0" w:rsidRPr="0081094B" w:rsidRDefault="00CF6BE0" w:rsidP="008B4C50">
      <w:pPr>
        <w:pStyle w:val="BoxedHeading"/>
        <w:rPr>
          <w:lang w:val="pl-PL"/>
        </w:rPr>
      </w:pPr>
      <w:r w:rsidRPr="0081094B">
        <w:rPr>
          <w:lang w:val="pl-PL"/>
        </w:rPr>
        <w:t>3.</w:t>
      </w:r>
      <w:r w:rsidRPr="0081094B">
        <w:rPr>
          <w:lang w:val="pl-PL"/>
        </w:rPr>
        <w:tab/>
        <w:t>WYKAZ SUBSTANCJI POMOCNICZYCH</w:t>
      </w:r>
    </w:p>
    <w:p w14:paraId="188F79DB" w14:textId="77777777" w:rsidR="00CF6BE0" w:rsidRPr="00F13073" w:rsidRDefault="00CF6BE0" w:rsidP="008B4C50"/>
    <w:p w14:paraId="547EFFF6" w14:textId="1C1C9650" w:rsidR="00B02785" w:rsidRPr="00F13073" w:rsidRDefault="0067500D" w:rsidP="008B4C50">
      <w:r w:rsidRPr="00F13073">
        <w:t>Substancje pomocnicze: L-histydyna,</w:t>
      </w:r>
      <w:r w:rsidR="00E265AD">
        <w:rPr>
          <w:rFonts w:eastAsia="맑은 고딕" w:hint="eastAsia"/>
          <w:lang w:eastAsia="ko-KR"/>
        </w:rPr>
        <w:t xml:space="preserve"> </w:t>
      </w:r>
      <w:r w:rsidR="00017E9D" w:rsidRPr="00017E9D">
        <w:rPr>
          <w:rFonts w:eastAsia="맑은 고딕" w:hint="eastAsia"/>
          <w:lang w:eastAsia="ko-KR"/>
        </w:rPr>
        <w:t>L-histydyny monochlorowodorek</w:t>
      </w:r>
      <w:r w:rsidR="00E265AD" w:rsidRPr="00E265AD">
        <w:rPr>
          <w:rFonts w:eastAsia="맑은 고딕"/>
          <w:lang w:eastAsia="ko-KR"/>
        </w:rPr>
        <w:t>,</w:t>
      </w:r>
      <w:r w:rsidRPr="00F13073">
        <w:t xml:space="preserve"> L-treonina, L-metionina, polisorbat</w:t>
      </w:r>
      <w:r w:rsidR="00B02785" w:rsidRPr="00F13073">
        <w:t> </w:t>
      </w:r>
      <w:r w:rsidRPr="00F13073">
        <w:t>80 i woda do wstrzykiwań.</w:t>
      </w:r>
    </w:p>
    <w:p w14:paraId="09A3AC6A" w14:textId="56F8D4B8" w:rsidR="008834B2" w:rsidRPr="00F13073" w:rsidRDefault="0067500D" w:rsidP="008B4C50">
      <w:r w:rsidRPr="00F13073">
        <w:t>Dokładna informacja znajduje się w ulotce dla pacjenta.</w:t>
      </w:r>
    </w:p>
    <w:p w14:paraId="37A404B4" w14:textId="77777777" w:rsidR="00CF6BE0" w:rsidRPr="00F13073" w:rsidRDefault="00CF6BE0" w:rsidP="008B4C50"/>
    <w:p w14:paraId="2A553181" w14:textId="77777777" w:rsidR="00CF6BE0" w:rsidRPr="00F13073" w:rsidRDefault="00CF6BE0" w:rsidP="008B4C50"/>
    <w:p w14:paraId="2158D99D" w14:textId="77777777" w:rsidR="00CF6BE0" w:rsidRPr="0081094B" w:rsidRDefault="00CF6BE0" w:rsidP="008B4C50">
      <w:pPr>
        <w:pStyle w:val="BoxedHeading"/>
        <w:rPr>
          <w:lang w:val="pl-PL"/>
        </w:rPr>
      </w:pPr>
      <w:r w:rsidRPr="0081094B">
        <w:rPr>
          <w:lang w:val="pl-PL"/>
        </w:rPr>
        <w:t>4.</w:t>
      </w:r>
      <w:r w:rsidRPr="0081094B">
        <w:rPr>
          <w:lang w:val="pl-PL"/>
        </w:rPr>
        <w:tab/>
        <w:t>POSTAĆ FARMACEUTYCZNA I ZAWARTOŚĆ OPAKOWANIA</w:t>
      </w:r>
    </w:p>
    <w:p w14:paraId="68A114E7" w14:textId="77777777" w:rsidR="00CF6BE0" w:rsidRPr="00F13073" w:rsidRDefault="00CF6BE0" w:rsidP="008B4C50"/>
    <w:p w14:paraId="06ABDCF4" w14:textId="257B3BD2" w:rsidR="00CF6BE0" w:rsidRPr="00F13073" w:rsidRDefault="00CF6BE0" w:rsidP="008B4C50">
      <w:r w:rsidRPr="00F13073">
        <w:t>Roztwór do wstrzykiwań we wstrzykiwaczu półautomatycznym napełnionym</w:t>
      </w:r>
    </w:p>
    <w:p w14:paraId="0A4839DC" w14:textId="77777777" w:rsidR="00CF6BE0" w:rsidRPr="00F13073" w:rsidRDefault="00CF6BE0" w:rsidP="008B4C50">
      <w:r w:rsidRPr="00F13073">
        <w:t>4 wstrzykiwacze półautomatyczne napełnione. Części składowe opakowania zbiorczego nie mogą być sprzedawane osobno.</w:t>
      </w:r>
    </w:p>
    <w:p w14:paraId="0FE06FC3" w14:textId="77777777" w:rsidR="00CF6BE0" w:rsidRPr="00F13073" w:rsidRDefault="00CF6BE0" w:rsidP="008B4C50">
      <w:r w:rsidRPr="00F13073">
        <w:t>162 mg/0,9 mL</w:t>
      </w:r>
    </w:p>
    <w:p w14:paraId="302C4037" w14:textId="77777777" w:rsidR="00CF6BE0" w:rsidRPr="00F13073" w:rsidRDefault="00CF6BE0" w:rsidP="008B4C50"/>
    <w:p w14:paraId="2CA8568C" w14:textId="77777777" w:rsidR="00CF6BE0" w:rsidRPr="00F13073" w:rsidRDefault="00CF6BE0" w:rsidP="008B4C50"/>
    <w:p w14:paraId="510D0729" w14:textId="77777777" w:rsidR="00CF6BE0" w:rsidRPr="0081094B" w:rsidRDefault="00CF6BE0" w:rsidP="008B4C50">
      <w:pPr>
        <w:pStyle w:val="BoxedHeading"/>
        <w:rPr>
          <w:lang w:val="pl-PL"/>
        </w:rPr>
      </w:pPr>
      <w:r w:rsidRPr="0081094B">
        <w:rPr>
          <w:lang w:val="pl-PL"/>
        </w:rPr>
        <w:t>5.</w:t>
      </w:r>
      <w:r w:rsidRPr="0081094B">
        <w:rPr>
          <w:lang w:val="pl-PL"/>
        </w:rPr>
        <w:tab/>
        <w:t>SPOSÓB I DROGA (DROGI) PODANIA</w:t>
      </w:r>
    </w:p>
    <w:p w14:paraId="7BD8829D" w14:textId="77777777" w:rsidR="00CF6BE0" w:rsidRPr="00F13073" w:rsidRDefault="00CF6BE0" w:rsidP="008B4C50"/>
    <w:p w14:paraId="3C17AF41" w14:textId="77777777" w:rsidR="00CF6BE0" w:rsidRPr="00F13073" w:rsidRDefault="00CF6BE0" w:rsidP="008B4C50">
      <w:r w:rsidRPr="00F13073">
        <w:t>Stosowanie podskórne</w:t>
      </w:r>
    </w:p>
    <w:p w14:paraId="73AB31F1" w14:textId="77777777" w:rsidR="00CF6BE0" w:rsidRPr="00F13073" w:rsidRDefault="00CF6BE0" w:rsidP="008B4C50">
      <w:r w:rsidRPr="00F13073">
        <w:t>Należy zapoznać się z treścią ulotki przed zastosowaniem leku</w:t>
      </w:r>
    </w:p>
    <w:p w14:paraId="09A7E8E2" w14:textId="77777777" w:rsidR="00CF6BE0" w:rsidRPr="00F13073" w:rsidRDefault="00CF6BE0" w:rsidP="008B4C50"/>
    <w:p w14:paraId="099DE32C" w14:textId="77777777" w:rsidR="00CF6BE0" w:rsidRPr="00F13073" w:rsidRDefault="00CF6BE0" w:rsidP="008B4C50"/>
    <w:p w14:paraId="0920C3E3" w14:textId="515EB03C" w:rsidR="00CF6BE0" w:rsidRPr="0081094B" w:rsidRDefault="00CF6BE0" w:rsidP="008B4C50">
      <w:pPr>
        <w:pStyle w:val="BoxedHeading"/>
        <w:rPr>
          <w:lang w:val="pl-PL"/>
        </w:rPr>
      </w:pPr>
      <w:r w:rsidRPr="0081094B">
        <w:rPr>
          <w:lang w:val="pl-PL"/>
        </w:rPr>
        <w:t>6.</w:t>
      </w:r>
      <w:r w:rsidRPr="0081094B">
        <w:rPr>
          <w:lang w:val="pl-PL"/>
        </w:rPr>
        <w:tab/>
        <w:t xml:space="preserve">OSTRZEŻENIE DOTYCZĄCE PRZECHOWYWANIA PRODUKTU LECZNICZEGO W MIEJSCU </w:t>
      </w:r>
      <w:r w:rsidR="007B5868" w:rsidRPr="0081094B">
        <w:rPr>
          <w:lang w:val="pl-PL"/>
        </w:rPr>
        <w:t xml:space="preserve">NIEDOSTĘPNYM I NIEWIDOCZNYM </w:t>
      </w:r>
      <w:r w:rsidRPr="0081094B">
        <w:rPr>
          <w:lang w:val="pl-PL"/>
        </w:rPr>
        <w:t>DLA DZIECI</w:t>
      </w:r>
    </w:p>
    <w:p w14:paraId="49079815" w14:textId="77777777" w:rsidR="00CF6BE0" w:rsidRPr="00F13073" w:rsidRDefault="00CF6BE0" w:rsidP="008B4C50"/>
    <w:p w14:paraId="43623572" w14:textId="77777777" w:rsidR="00CF6BE0" w:rsidRPr="00F13073" w:rsidRDefault="00CF6BE0" w:rsidP="008B4C50">
      <w:r w:rsidRPr="00F13073">
        <w:t>Lek przechowywać w miejscu niewidocznym i niedostępnym dla dzieci</w:t>
      </w:r>
    </w:p>
    <w:p w14:paraId="29A92BC2" w14:textId="77777777" w:rsidR="00CF6BE0" w:rsidRPr="00F13073" w:rsidRDefault="00CF6BE0" w:rsidP="008B4C50"/>
    <w:p w14:paraId="5A00870B" w14:textId="77777777" w:rsidR="00CF6BE0" w:rsidRPr="00F13073" w:rsidRDefault="00CF6BE0" w:rsidP="008B4C50"/>
    <w:p w14:paraId="61499B78" w14:textId="77777777" w:rsidR="00CF6BE0" w:rsidRPr="0081094B" w:rsidRDefault="00CF6BE0" w:rsidP="008B4C50">
      <w:pPr>
        <w:pStyle w:val="BoxedHeading"/>
        <w:rPr>
          <w:lang w:val="pl-PL"/>
        </w:rPr>
      </w:pPr>
      <w:r w:rsidRPr="0081094B">
        <w:rPr>
          <w:lang w:val="pl-PL"/>
        </w:rPr>
        <w:t>7.</w:t>
      </w:r>
      <w:r w:rsidRPr="0081094B">
        <w:rPr>
          <w:lang w:val="pl-PL"/>
        </w:rPr>
        <w:tab/>
        <w:t>INNE OSTRZEŻENIA SPECJALNE, JEŚLI KONIECZNE</w:t>
      </w:r>
    </w:p>
    <w:p w14:paraId="5FDE28B4" w14:textId="77777777" w:rsidR="00CF6BE0" w:rsidRPr="00F13073" w:rsidRDefault="00CF6BE0" w:rsidP="008B4C50"/>
    <w:p w14:paraId="68CC609F" w14:textId="77777777" w:rsidR="00CF6BE0" w:rsidRPr="00F13073" w:rsidRDefault="00CF6BE0" w:rsidP="008B4C50">
      <w:r w:rsidRPr="00F13073">
        <w:t>Przed użyciem wstrzykiwacz półautomatyczny napełniony należy wyjąć z opakowania i umieścić w temperaturze pokojowej na 45 minut</w:t>
      </w:r>
    </w:p>
    <w:p w14:paraId="03A3AECC" w14:textId="77777777" w:rsidR="00CF6BE0" w:rsidRPr="00F13073" w:rsidRDefault="00CF6BE0" w:rsidP="008B4C50"/>
    <w:p w14:paraId="39758554" w14:textId="77777777" w:rsidR="00CF6BE0" w:rsidRPr="00F13073" w:rsidRDefault="00CF6BE0" w:rsidP="008B4C50"/>
    <w:p w14:paraId="6C88AA59" w14:textId="77777777" w:rsidR="00CF6BE0" w:rsidRPr="0081094B" w:rsidRDefault="00CF6BE0" w:rsidP="008B4C50">
      <w:pPr>
        <w:pStyle w:val="BoxedHeading"/>
        <w:rPr>
          <w:lang w:val="pl-PL"/>
        </w:rPr>
      </w:pPr>
      <w:r w:rsidRPr="0081094B">
        <w:rPr>
          <w:lang w:val="pl-PL"/>
        </w:rPr>
        <w:t>8.</w:t>
      </w:r>
      <w:r w:rsidRPr="0081094B">
        <w:rPr>
          <w:lang w:val="pl-PL"/>
        </w:rPr>
        <w:tab/>
        <w:t>TERMIN WAŻNOŚCI</w:t>
      </w:r>
    </w:p>
    <w:p w14:paraId="51FC196F" w14:textId="77777777" w:rsidR="00CF6BE0" w:rsidRPr="00F13073" w:rsidRDefault="00CF6BE0" w:rsidP="008B4C50"/>
    <w:p w14:paraId="4F688FF7" w14:textId="77777777" w:rsidR="00CF6BE0" w:rsidRPr="00F13073" w:rsidRDefault="00CF6BE0" w:rsidP="008B4C50">
      <w:r w:rsidRPr="00F13073">
        <w:t>Termin ważności (EXP)</w:t>
      </w:r>
    </w:p>
    <w:p w14:paraId="7967CBFF" w14:textId="77777777" w:rsidR="00554ED8" w:rsidRPr="00F13073" w:rsidRDefault="00554ED8" w:rsidP="008B4C50"/>
    <w:p w14:paraId="1E09EA9A" w14:textId="77777777" w:rsidR="00D352CD" w:rsidRPr="00F13073" w:rsidRDefault="00D352CD" w:rsidP="008B4C50"/>
    <w:p w14:paraId="7D79DE3F" w14:textId="77777777" w:rsidR="00CF6BE0" w:rsidRPr="0081094B" w:rsidRDefault="00CF6BE0" w:rsidP="008B4C50">
      <w:pPr>
        <w:pStyle w:val="BoxedHeading"/>
        <w:rPr>
          <w:lang w:val="pl-PL"/>
        </w:rPr>
      </w:pPr>
      <w:r w:rsidRPr="0081094B">
        <w:rPr>
          <w:lang w:val="pl-PL"/>
        </w:rPr>
        <w:lastRenderedPageBreak/>
        <w:t>9.</w:t>
      </w:r>
      <w:r w:rsidRPr="0081094B">
        <w:rPr>
          <w:lang w:val="pl-PL"/>
        </w:rPr>
        <w:tab/>
        <w:t>WARUNKI PRZECHOWYWANIA</w:t>
      </w:r>
    </w:p>
    <w:p w14:paraId="475021F4" w14:textId="77777777" w:rsidR="00CF6BE0" w:rsidRPr="00F13073" w:rsidRDefault="00CF6BE0" w:rsidP="008B4C50">
      <w:pPr>
        <w:keepNext/>
      </w:pPr>
    </w:p>
    <w:p w14:paraId="68336C46" w14:textId="77777777" w:rsidR="00CF6BE0" w:rsidRPr="00F13073" w:rsidRDefault="00CF6BE0" w:rsidP="008B4C50">
      <w:pPr>
        <w:keepNext/>
      </w:pPr>
      <w:r w:rsidRPr="00F13073">
        <w:t>Przechowywać w lodówce</w:t>
      </w:r>
    </w:p>
    <w:p w14:paraId="17CDA315" w14:textId="77777777" w:rsidR="00CF6BE0" w:rsidRPr="00F13073" w:rsidRDefault="00CF6BE0" w:rsidP="008B4C50">
      <w:pPr>
        <w:keepNext/>
      </w:pPr>
      <w:r w:rsidRPr="00F13073">
        <w:t>Nie zamrażać</w:t>
      </w:r>
    </w:p>
    <w:p w14:paraId="46F61473" w14:textId="03B2BCB6" w:rsidR="00CF6BE0" w:rsidRPr="00F13073" w:rsidRDefault="00CF6BE0" w:rsidP="008B4C50">
      <w:pPr>
        <w:keepNext/>
      </w:pPr>
      <w:r w:rsidRPr="00F13073">
        <w:t xml:space="preserve">Po wyjęciu z lodówki wstrzykiwacz półautomatyczny może być przechowywany do </w:t>
      </w:r>
      <w:r w:rsidR="0067500D" w:rsidRPr="00F13073">
        <w:t>3</w:t>
      </w:r>
      <w:r w:rsidRPr="00F13073">
        <w:t xml:space="preserve"> tygodni w temperaturze nie wyższej niż 30°C</w:t>
      </w:r>
    </w:p>
    <w:p w14:paraId="697B65FA" w14:textId="77777777" w:rsidR="00CF6BE0" w:rsidRPr="00F13073" w:rsidRDefault="00CF6BE0" w:rsidP="008B4C50">
      <w:pPr>
        <w:keepNext/>
      </w:pPr>
      <w:r w:rsidRPr="00F13073">
        <w:t>Wstrzykiwacz półautomatyczny napełniony należy przechowywać w opakowaniu zewnętrznym w celu ochrony przed światłem i wilgocią</w:t>
      </w:r>
    </w:p>
    <w:p w14:paraId="3E041EBB" w14:textId="77777777" w:rsidR="00CF6BE0" w:rsidRPr="00F13073" w:rsidRDefault="00CF6BE0" w:rsidP="008B4C50">
      <w:pPr>
        <w:keepNext/>
      </w:pPr>
    </w:p>
    <w:p w14:paraId="3F1BCFE3" w14:textId="77777777" w:rsidR="00CF6BE0" w:rsidRPr="00F13073" w:rsidRDefault="00CF6BE0" w:rsidP="008B4C50"/>
    <w:p w14:paraId="29031D25" w14:textId="77777777" w:rsidR="00CF6BE0" w:rsidRPr="0081094B" w:rsidRDefault="00CF6BE0" w:rsidP="008B4C50">
      <w:pPr>
        <w:pStyle w:val="BoxedHeading"/>
        <w:rPr>
          <w:lang w:val="pl-PL"/>
        </w:rPr>
      </w:pPr>
      <w:r w:rsidRPr="0081094B">
        <w:rPr>
          <w:lang w:val="pl-PL"/>
        </w:rPr>
        <w:t>10.</w:t>
      </w:r>
      <w:r w:rsidRPr="0081094B">
        <w:rPr>
          <w:lang w:val="pl-PL"/>
        </w:rPr>
        <w:tab/>
        <w:t>SPECJALNE ŚRODKI OSTROŻNOŚCI DOTYCZĄCE USUWANIA NIEZUŻYTEGO PRODUKTU LECZNICZEGO LUB POCHODZĄCYCH Z NIEGO ODPADÓW, JEŚLI WŁAŚCIWE</w:t>
      </w:r>
    </w:p>
    <w:p w14:paraId="7781DA92" w14:textId="77777777" w:rsidR="00CF6BE0" w:rsidRPr="00F13073" w:rsidRDefault="00CF6BE0" w:rsidP="008B4C50"/>
    <w:p w14:paraId="4BAB13D7" w14:textId="77777777" w:rsidR="00CF6BE0" w:rsidRPr="00F13073" w:rsidRDefault="00CF6BE0" w:rsidP="008B4C50"/>
    <w:p w14:paraId="7D25023B" w14:textId="77777777" w:rsidR="00CF6BE0" w:rsidRPr="0081094B" w:rsidRDefault="00CF6BE0" w:rsidP="008B4C50">
      <w:pPr>
        <w:pStyle w:val="BoxedHeading"/>
        <w:rPr>
          <w:lang w:val="pl-PL"/>
        </w:rPr>
      </w:pPr>
      <w:r w:rsidRPr="0081094B">
        <w:rPr>
          <w:lang w:val="pl-PL"/>
        </w:rPr>
        <w:t>11.</w:t>
      </w:r>
      <w:r w:rsidRPr="0081094B">
        <w:rPr>
          <w:lang w:val="pl-PL"/>
        </w:rPr>
        <w:tab/>
        <w:t>NAZWA I ADRES PODMIOTU ODPOWIEDZIALNEGO</w:t>
      </w:r>
    </w:p>
    <w:p w14:paraId="0FD39D8E" w14:textId="77777777" w:rsidR="00CF6BE0" w:rsidRPr="00F13073" w:rsidRDefault="00CF6BE0" w:rsidP="008B4C50"/>
    <w:p w14:paraId="2F1ECE06" w14:textId="77777777" w:rsidR="0067500D" w:rsidRPr="00F13073" w:rsidRDefault="0067500D" w:rsidP="0067500D">
      <w:pPr>
        <w:keepNext/>
      </w:pPr>
      <w:r w:rsidRPr="00F13073">
        <w:t xml:space="preserve">Celltrion Healthcare Hungary Kft. </w:t>
      </w:r>
    </w:p>
    <w:p w14:paraId="4BD28F93" w14:textId="77777777" w:rsidR="0067500D" w:rsidRPr="00127FBE" w:rsidRDefault="0067500D" w:rsidP="0067500D">
      <w:pPr>
        <w:keepNext/>
        <w:rPr>
          <w:lang w:val="en-GB"/>
        </w:rPr>
      </w:pPr>
      <w:r w:rsidRPr="00127FBE">
        <w:rPr>
          <w:lang w:val="en-GB"/>
        </w:rPr>
        <w:t>1062 Budapest</w:t>
      </w:r>
    </w:p>
    <w:p w14:paraId="67DADA9C" w14:textId="77777777" w:rsidR="0067500D" w:rsidRPr="00127FBE" w:rsidRDefault="0067500D" w:rsidP="0067500D">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52017534" w14:textId="268C9802" w:rsidR="0067500D" w:rsidRPr="00F13073" w:rsidRDefault="0067500D" w:rsidP="0067500D">
      <w:r w:rsidRPr="00F13073">
        <w:t>W</w:t>
      </w:r>
      <w:r w:rsidRPr="0081094B">
        <w:t>ęgry</w:t>
      </w:r>
    </w:p>
    <w:p w14:paraId="47BCB9C5" w14:textId="77777777" w:rsidR="00CF6BE0" w:rsidRPr="00F13073" w:rsidRDefault="00CF6BE0" w:rsidP="008B4C50"/>
    <w:p w14:paraId="2E2F8F89" w14:textId="77777777" w:rsidR="00CF6BE0" w:rsidRPr="00F13073" w:rsidRDefault="00CF6BE0" w:rsidP="008B4C50"/>
    <w:p w14:paraId="71A253DB" w14:textId="77777777" w:rsidR="00CF6BE0" w:rsidRPr="0081094B" w:rsidRDefault="00CF6BE0" w:rsidP="008B4C50">
      <w:pPr>
        <w:pStyle w:val="BoxedHeading"/>
        <w:rPr>
          <w:lang w:val="pl-PL"/>
        </w:rPr>
      </w:pPr>
      <w:r w:rsidRPr="0081094B">
        <w:rPr>
          <w:lang w:val="pl-PL"/>
        </w:rPr>
        <w:t>12.</w:t>
      </w:r>
      <w:r w:rsidRPr="0081094B">
        <w:rPr>
          <w:lang w:val="pl-PL"/>
        </w:rPr>
        <w:tab/>
        <w:t>NUMER (NUMERY) POZWOLENIA NA DOPUSZCZENIE DO OBROTU</w:t>
      </w:r>
    </w:p>
    <w:p w14:paraId="7B77F7A2" w14:textId="77777777" w:rsidR="00CF6BE0" w:rsidRPr="00F13073" w:rsidRDefault="00CF6BE0" w:rsidP="008B4C50"/>
    <w:p w14:paraId="44640474" w14:textId="1E5E22C6" w:rsidR="00CF6BE0" w:rsidRPr="0049411F" w:rsidRDefault="00CF6BE0" w:rsidP="008B4C50">
      <w:r w:rsidRPr="0049411F">
        <w:t>EU/</w:t>
      </w:r>
      <w:r w:rsidR="0049411F" w:rsidRPr="00F458BB">
        <w:rPr>
          <w:spacing w:val="-1"/>
          <w:lang w:val="pt-BR"/>
        </w:rPr>
        <w:t>1/24/1896/0</w:t>
      </w:r>
      <w:r w:rsidR="0049411F">
        <w:rPr>
          <w:spacing w:val="-1"/>
          <w:lang w:val="pt-BR"/>
        </w:rPr>
        <w:t>12 12 (3 x 4) wstrzykiwacze półautomatyczne napełnione (opakowanie zbiorcze)</w:t>
      </w:r>
    </w:p>
    <w:p w14:paraId="4C0BA0B2" w14:textId="77777777" w:rsidR="00CF6BE0" w:rsidRPr="0049411F" w:rsidRDefault="00CF6BE0" w:rsidP="008B4C50"/>
    <w:p w14:paraId="75209C3C" w14:textId="77777777" w:rsidR="00CF6BE0" w:rsidRPr="0049411F" w:rsidRDefault="00CF6BE0" w:rsidP="008B4C50"/>
    <w:p w14:paraId="7F16A640" w14:textId="77777777" w:rsidR="00CF6BE0" w:rsidRPr="00127FBE" w:rsidRDefault="00CF6BE0" w:rsidP="008B4C50">
      <w:pPr>
        <w:pStyle w:val="BoxedHeading"/>
        <w:rPr>
          <w:lang w:val="en-GB"/>
        </w:rPr>
      </w:pPr>
      <w:r w:rsidRPr="00127FBE">
        <w:rPr>
          <w:lang w:val="en-GB"/>
        </w:rPr>
        <w:t>13.</w:t>
      </w:r>
      <w:r w:rsidRPr="00127FBE">
        <w:rPr>
          <w:lang w:val="en-GB"/>
        </w:rPr>
        <w:tab/>
        <w:t>NUMER SERII</w:t>
      </w:r>
    </w:p>
    <w:p w14:paraId="22F4DA37" w14:textId="77777777" w:rsidR="00CF6BE0" w:rsidRPr="00127FBE" w:rsidRDefault="00CF6BE0" w:rsidP="008B4C50">
      <w:pPr>
        <w:rPr>
          <w:lang w:val="en-GB"/>
        </w:rPr>
      </w:pPr>
    </w:p>
    <w:p w14:paraId="2664384A" w14:textId="77777777" w:rsidR="00CF6BE0" w:rsidRPr="00D209C2" w:rsidRDefault="00CF6BE0" w:rsidP="008B4C50">
      <w:pPr>
        <w:rPr>
          <w:lang w:val="en-GB"/>
        </w:rPr>
      </w:pPr>
      <w:r w:rsidRPr="00D209C2">
        <w:rPr>
          <w:lang w:val="en-GB"/>
        </w:rPr>
        <w:t xml:space="preserve">Nr </w:t>
      </w:r>
      <w:proofErr w:type="spellStart"/>
      <w:r w:rsidRPr="00D209C2">
        <w:rPr>
          <w:lang w:val="en-GB"/>
        </w:rPr>
        <w:t>serii</w:t>
      </w:r>
      <w:proofErr w:type="spellEnd"/>
      <w:r w:rsidRPr="00D209C2">
        <w:rPr>
          <w:lang w:val="en-GB"/>
        </w:rPr>
        <w:t xml:space="preserve"> (Lot)</w:t>
      </w:r>
    </w:p>
    <w:p w14:paraId="6DD02D38" w14:textId="77777777" w:rsidR="00CF6BE0" w:rsidRPr="00D209C2" w:rsidRDefault="00CF6BE0" w:rsidP="008B4C50">
      <w:pPr>
        <w:rPr>
          <w:lang w:val="en-GB"/>
        </w:rPr>
      </w:pPr>
    </w:p>
    <w:p w14:paraId="6663C257" w14:textId="77777777" w:rsidR="00CF6BE0" w:rsidRPr="00D209C2" w:rsidRDefault="00CF6BE0" w:rsidP="008B4C50">
      <w:pPr>
        <w:rPr>
          <w:lang w:val="en-GB"/>
        </w:rPr>
      </w:pPr>
    </w:p>
    <w:p w14:paraId="1C236D55" w14:textId="77777777" w:rsidR="00CF6BE0" w:rsidRPr="0081094B" w:rsidRDefault="00CF6BE0" w:rsidP="008B4C50">
      <w:pPr>
        <w:pStyle w:val="BoxedHeading"/>
        <w:rPr>
          <w:lang w:val="pl-PL"/>
        </w:rPr>
      </w:pPr>
      <w:r w:rsidRPr="0081094B">
        <w:rPr>
          <w:lang w:val="pl-PL"/>
        </w:rPr>
        <w:t>14.</w:t>
      </w:r>
      <w:r w:rsidRPr="0081094B">
        <w:rPr>
          <w:lang w:val="pl-PL"/>
        </w:rPr>
        <w:tab/>
        <w:t>KATEGORIA DOSTĘPNOŚCI</w:t>
      </w:r>
    </w:p>
    <w:p w14:paraId="162614AC" w14:textId="77777777" w:rsidR="00CF6BE0" w:rsidRPr="00F13073" w:rsidRDefault="00CF6BE0" w:rsidP="008B4C50"/>
    <w:p w14:paraId="4DF3C634" w14:textId="77777777" w:rsidR="00CF6BE0" w:rsidRPr="00F13073" w:rsidRDefault="00CF6BE0" w:rsidP="008B4C50"/>
    <w:p w14:paraId="1C0789D1" w14:textId="77777777" w:rsidR="00CF6BE0" w:rsidRPr="0081094B" w:rsidRDefault="00CF6BE0" w:rsidP="008B4C50">
      <w:pPr>
        <w:pStyle w:val="BoxedHeading"/>
        <w:rPr>
          <w:lang w:val="pl-PL"/>
        </w:rPr>
      </w:pPr>
      <w:r w:rsidRPr="0081094B">
        <w:rPr>
          <w:lang w:val="pl-PL"/>
        </w:rPr>
        <w:t>15.</w:t>
      </w:r>
      <w:r w:rsidRPr="0081094B">
        <w:rPr>
          <w:lang w:val="pl-PL"/>
        </w:rPr>
        <w:tab/>
        <w:t>INSTRUKCJA UŻYCIA</w:t>
      </w:r>
    </w:p>
    <w:p w14:paraId="683ED0FE" w14:textId="77777777" w:rsidR="00CF6BE0" w:rsidRPr="00F13073" w:rsidRDefault="00CF6BE0" w:rsidP="008B4C50"/>
    <w:p w14:paraId="4CE497B5" w14:textId="77777777" w:rsidR="00CF6BE0" w:rsidRPr="00F13073" w:rsidRDefault="00CF6BE0" w:rsidP="008B4C50"/>
    <w:p w14:paraId="789CE91F" w14:textId="77777777" w:rsidR="00CF6BE0" w:rsidRPr="0081094B" w:rsidRDefault="00CF6BE0" w:rsidP="008B4C50">
      <w:pPr>
        <w:pStyle w:val="BoxedHeading"/>
        <w:rPr>
          <w:lang w:val="pl-PL"/>
        </w:rPr>
      </w:pPr>
      <w:r w:rsidRPr="0081094B">
        <w:rPr>
          <w:lang w:val="pl-PL"/>
        </w:rPr>
        <w:t>16.</w:t>
      </w:r>
      <w:r w:rsidRPr="0081094B">
        <w:rPr>
          <w:lang w:val="pl-PL"/>
        </w:rPr>
        <w:tab/>
        <w:t>INFORMACJA PODANA SYSTEMEM BRAILLE’A</w:t>
      </w:r>
    </w:p>
    <w:p w14:paraId="36A83975" w14:textId="77777777" w:rsidR="00CF6BE0" w:rsidRPr="00F13073" w:rsidRDefault="00CF6BE0" w:rsidP="008B4C50"/>
    <w:p w14:paraId="6EB10642" w14:textId="1C68D6DB" w:rsidR="00CF6BE0" w:rsidRPr="00F13073" w:rsidRDefault="0067500D" w:rsidP="008B4C50">
      <w:r w:rsidRPr="00F13073">
        <w:t>a</w:t>
      </w:r>
      <w:r w:rsidR="00026375" w:rsidRPr="00F13073">
        <w:t>vtozma</w:t>
      </w:r>
      <w:r w:rsidR="00CF6BE0" w:rsidRPr="00F13073">
        <w:t xml:space="preserve"> 162 mg</w:t>
      </w:r>
    </w:p>
    <w:p w14:paraId="1849FA21" w14:textId="77777777" w:rsidR="00CF6BE0" w:rsidRPr="00F13073" w:rsidRDefault="00CF6BE0" w:rsidP="008B4C50"/>
    <w:p w14:paraId="690D8A0B" w14:textId="77777777" w:rsidR="00CF6BE0" w:rsidRPr="00F13073" w:rsidRDefault="00CF6BE0" w:rsidP="008B4C50"/>
    <w:p w14:paraId="4775C1D4" w14:textId="77777777" w:rsidR="00CF6BE0" w:rsidRPr="0081094B" w:rsidRDefault="00CF6BE0" w:rsidP="008B4C50">
      <w:pPr>
        <w:pStyle w:val="BoxedHeading"/>
        <w:rPr>
          <w:lang w:val="pl-PL"/>
        </w:rPr>
      </w:pPr>
      <w:r w:rsidRPr="0081094B">
        <w:rPr>
          <w:lang w:val="pl-PL"/>
        </w:rPr>
        <w:t>17.</w:t>
      </w:r>
      <w:r w:rsidRPr="0081094B">
        <w:rPr>
          <w:lang w:val="pl-PL"/>
        </w:rPr>
        <w:tab/>
        <w:t xml:space="preserve">NIEPOWTARZALNY IDENTYFIKATOR </w:t>
      </w:r>
      <w:r w:rsidR="005D042F" w:rsidRPr="0081094B">
        <w:rPr>
          <w:lang w:val="pl-PL"/>
        </w:rPr>
        <w:t>–</w:t>
      </w:r>
      <w:r w:rsidRPr="0081094B">
        <w:rPr>
          <w:lang w:val="pl-PL"/>
        </w:rPr>
        <w:t xml:space="preserve"> KOD 2D</w:t>
      </w:r>
    </w:p>
    <w:p w14:paraId="0B99C932" w14:textId="77777777" w:rsidR="00CF6BE0" w:rsidRPr="00F13073" w:rsidRDefault="00CF6BE0" w:rsidP="008B4C50"/>
    <w:p w14:paraId="25C83B36" w14:textId="77777777" w:rsidR="00CF6BE0" w:rsidRPr="00F13073" w:rsidRDefault="00CF6BE0" w:rsidP="008B4C50">
      <w:r>
        <w:rPr>
          <w:highlight w:val="lightGray"/>
        </w:rPr>
        <w:t>&lt;Obejmuje kod 2D będący nośnikiem niepowtarzalnego identyfikatora.&gt;</w:t>
      </w:r>
    </w:p>
    <w:p w14:paraId="0D945B5D" w14:textId="77777777" w:rsidR="00CF6BE0" w:rsidRPr="00F13073" w:rsidRDefault="00CF6BE0" w:rsidP="008B4C50"/>
    <w:p w14:paraId="0F81C2F9" w14:textId="77777777" w:rsidR="00CF6BE0" w:rsidRPr="00F13073" w:rsidRDefault="00CF6BE0" w:rsidP="008B4C50"/>
    <w:p w14:paraId="0021892D" w14:textId="77777777" w:rsidR="00CF6BE0" w:rsidRPr="0081094B" w:rsidRDefault="00CF6BE0" w:rsidP="008B4C50">
      <w:pPr>
        <w:pStyle w:val="BoxedHeading"/>
        <w:rPr>
          <w:lang w:val="pl-PL"/>
        </w:rPr>
      </w:pPr>
      <w:r w:rsidRPr="0081094B">
        <w:rPr>
          <w:lang w:val="pl-PL"/>
        </w:rPr>
        <w:t>18.</w:t>
      </w:r>
      <w:r w:rsidRPr="0081094B">
        <w:rPr>
          <w:lang w:val="pl-PL"/>
        </w:rPr>
        <w:tab/>
        <w:t xml:space="preserve">NIEPOWTARZALNY IDENTYFIKATOR </w:t>
      </w:r>
      <w:r w:rsidR="000E70E8" w:rsidRPr="0081094B">
        <w:rPr>
          <w:lang w:val="pl-PL"/>
        </w:rPr>
        <w:t>–</w:t>
      </w:r>
      <w:r w:rsidRPr="0081094B">
        <w:rPr>
          <w:lang w:val="pl-PL"/>
        </w:rPr>
        <w:t xml:space="preserve"> DANE CZYTELNE DLA CZŁOWIEKA</w:t>
      </w:r>
    </w:p>
    <w:p w14:paraId="21983819" w14:textId="77777777" w:rsidR="00554ED8" w:rsidRPr="00F13073" w:rsidRDefault="00554ED8" w:rsidP="008B4C50"/>
    <w:p w14:paraId="7D05AE50" w14:textId="4580B486" w:rsidR="00554ED8" w:rsidRPr="00F13073" w:rsidRDefault="00B02785" w:rsidP="008B4C50">
      <w:r w:rsidRPr="00F13073">
        <w:br w:type="page"/>
      </w:r>
    </w:p>
    <w:p w14:paraId="5DFD228E" w14:textId="77777777" w:rsidR="007771A6" w:rsidRPr="00F13073" w:rsidRDefault="00CF6BE0" w:rsidP="008B4C50">
      <w:pPr>
        <w:pBdr>
          <w:top w:val="single" w:sz="4" w:space="1" w:color="auto"/>
          <w:left w:val="single" w:sz="4" w:space="4" w:color="auto"/>
          <w:bottom w:val="single" w:sz="4" w:space="1" w:color="auto"/>
          <w:right w:val="single" w:sz="4" w:space="4" w:color="auto"/>
        </w:pBdr>
        <w:rPr>
          <w:b/>
          <w:bCs/>
        </w:rPr>
      </w:pPr>
      <w:r w:rsidRPr="00F13073">
        <w:rPr>
          <w:b/>
          <w:bCs/>
        </w:rPr>
        <w:lastRenderedPageBreak/>
        <w:t>MINIMUM INFORMACJI ZAMIESZCZANYCH NA MAŁYCH OPAKOWANIACH BEZPOŚREDNICH</w:t>
      </w:r>
    </w:p>
    <w:p w14:paraId="53238637"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14E0C3A6" w14:textId="77777777" w:rsidR="001E0975" w:rsidRPr="00F13073" w:rsidRDefault="00CF6BE0" w:rsidP="008B4C50">
      <w:pPr>
        <w:pBdr>
          <w:top w:val="single" w:sz="4" w:space="1" w:color="auto"/>
          <w:left w:val="single" w:sz="4" w:space="4" w:color="auto"/>
          <w:bottom w:val="single" w:sz="4" w:space="1" w:color="auto"/>
          <w:right w:val="single" w:sz="4" w:space="4" w:color="auto"/>
        </w:pBdr>
        <w:rPr>
          <w:b/>
          <w:bCs/>
        </w:rPr>
      </w:pPr>
      <w:r w:rsidRPr="00F13073">
        <w:rPr>
          <w:b/>
          <w:bCs/>
        </w:rPr>
        <w:t>FIOLKA</w:t>
      </w:r>
    </w:p>
    <w:p w14:paraId="0DBE7EB7" w14:textId="77777777" w:rsidR="007771A6" w:rsidRPr="00F13073" w:rsidRDefault="007771A6" w:rsidP="008B4C50"/>
    <w:p w14:paraId="600FE9ED" w14:textId="77777777" w:rsidR="007771A6" w:rsidRPr="00F13073" w:rsidRDefault="007771A6" w:rsidP="008B4C50"/>
    <w:p w14:paraId="5D8E12D2" w14:textId="02285A07" w:rsidR="00F1301B" w:rsidRPr="0081094B" w:rsidRDefault="00F1301B" w:rsidP="008B4C50">
      <w:pPr>
        <w:pStyle w:val="BoxedHeading"/>
        <w:rPr>
          <w:lang w:val="pl-PL"/>
        </w:rPr>
      </w:pPr>
      <w:r w:rsidRPr="0081094B">
        <w:rPr>
          <w:lang w:val="pl-PL"/>
        </w:rPr>
        <w:t>1.</w:t>
      </w:r>
      <w:r w:rsidRPr="0081094B">
        <w:rPr>
          <w:lang w:val="pl-PL"/>
        </w:rPr>
        <w:tab/>
        <w:t xml:space="preserve">NAZWA </w:t>
      </w:r>
      <w:r w:rsidR="005F4079" w:rsidRPr="0081094B">
        <w:rPr>
          <w:lang w:val="pl-PL"/>
        </w:rPr>
        <w:t>PRODUKTU LECZNICZEGO I DROGA(I) PODANIA</w:t>
      </w:r>
    </w:p>
    <w:p w14:paraId="2E74E772" w14:textId="77777777" w:rsidR="00F1301B" w:rsidRPr="00F13073" w:rsidRDefault="00F1301B" w:rsidP="008B4C50"/>
    <w:p w14:paraId="55DFBC22" w14:textId="6B580863" w:rsidR="00F1301B" w:rsidRPr="00F13073" w:rsidRDefault="00026375" w:rsidP="008B4C50">
      <w:r w:rsidRPr="00F13073">
        <w:t>Avtozma</w:t>
      </w:r>
      <w:r w:rsidR="00F1301B" w:rsidRPr="00F13073">
        <w:t xml:space="preserve"> 20 mg/mL jałowy koncentrat</w:t>
      </w:r>
    </w:p>
    <w:p w14:paraId="03413547" w14:textId="77777777" w:rsidR="00F1301B" w:rsidRPr="00F13073" w:rsidRDefault="00F1301B" w:rsidP="008B4C50">
      <w:r w:rsidRPr="00F13073">
        <w:t>tocilizumab</w:t>
      </w:r>
    </w:p>
    <w:p w14:paraId="77A59EDC" w14:textId="77777777" w:rsidR="00F1301B" w:rsidRPr="00F13073" w:rsidRDefault="00F1301B" w:rsidP="008B4C50">
      <w:r w:rsidRPr="00F13073">
        <w:t>iv.</w:t>
      </w:r>
    </w:p>
    <w:p w14:paraId="27CC555D" w14:textId="77777777" w:rsidR="00F1301B" w:rsidRPr="00F13073" w:rsidRDefault="00F1301B" w:rsidP="008B4C50"/>
    <w:p w14:paraId="64F38981" w14:textId="77777777" w:rsidR="00F1301B" w:rsidRPr="00F13073" w:rsidRDefault="00F1301B" w:rsidP="008B4C50"/>
    <w:p w14:paraId="6DEF06F5" w14:textId="77777777" w:rsidR="00F1301B" w:rsidRPr="0081094B" w:rsidRDefault="00F1301B" w:rsidP="008B4C50">
      <w:pPr>
        <w:pStyle w:val="BoxedHeading"/>
        <w:rPr>
          <w:lang w:val="pl-PL"/>
        </w:rPr>
      </w:pPr>
      <w:r w:rsidRPr="0081094B">
        <w:rPr>
          <w:lang w:val="pl-PL"/>
        </w:rPr>
        <w:t>2.</w:t>
      </w:r>
      <w:r w:rsidRPr="0081094B">
        <w:rPr>
          <w:lang w:val="pl-PL"/>
        </w:rPr>
        <w:tab/>
        <w:t>SPOSÓB PODAWANIA</w:t>
      </w:r>
    </w:p>
    <w:p w14:paraId="05EAD0D4" w14:textId="77777777" w:rsidR="00F1301B" w:rsidRPr="00F13073" w:rsidRDefault="00F1301B" w:rsidP="008B4C50"/>
    <w:p w14:paraId="1C5A172E" w14:textId="2B46A1EC" w:rsidR="00F1301B" w:rsidRPr="00F13073" w:rsidRDefault="00100627" w:rsidP="008B4C50">
      <w:r w:rsidRPr="00F13073">
        <w:t xml:space="preserve">Podanie </w:t>
      </w:r>
      <w:r w:rsidR="00F1301B" w:rsidRPr="00F13073">
        <w:t>iv.</w:t>
      </w:r>
    </w:p>
    <w:p w14:paraId="47380219" w14:textId="77777777" w:rsidR="00F1301B" w:rsidRPr="00F13073" w:rsidRDefault="00F1301B" w:rsidP="008B4C50"/>
    <w:p w14:paraId="4AB55060" w14:textId="77777777" w:rsidR="00F1301B" w:rsidRPr="00F13073" w:rsidRDefault="00F1301B" w:rsidP="008B4C50"/>
    <w:p w14:paraId="28D93DCE" w14:textId="77777777" w:rsidR="00F1301B" w:rsidRPr="0081094B" w:rsidRDefault="00F1301B" w:rsidP="008B4C50">
      <w:pPr>
        <w:pStyle w:val="BoxedHeading"/>
        <w:rPr>
          <w:lang w:val="pl-PL"/>
        </w:rPr>
      </w:pPr>
      <w:r w:rsidRPr="0081094B">
        <w:rPr>
          <w:lang w:val="pl-PL"/>
        </w:rPr>
        <w:t>3.</w:t>
      </w:r>
      <w:r w:rsidRPr="0081094B">
        <w:rPr>
          <w:lang w:val="pl-PL"/>
        </w:rPr>
        <w:tab/>
      </w:r>
      <w:r w:rsidR="00652D73" w:rsidRPr="0081094B">
        <w:rPr>
          <w:lang w:val="pl-PL"/>
        </w:rPr>
        <w:t>TERMIN WAŻNOŚCI</w:t>
      </w:r>
    </w:p>
    <w:p w14:paraId="3124D3E4" w14:textId="77777777" w:rsidR="00F1301B" w:rsidRPr="00F13073" w:rsidRDefault="00F1301B" w:rsidP="008B4C50"/>
    <w:p w14:paraId="6CE19350" w14:textId="77777777" w:rsidR="00F1301B" w:rsidRPr="00F13073" w:rsidRDefault="00652D73" w:rsidP="008B4C50">
      <w:r w:rsidRPr="00F13073">
        <w:t>EXP</w:t>
      </w:r>
    </w:p>
    <w:p w14:paraId="24DD5AD3" w14:textId="77777777" w:rsidR="00F1301B" w:rsidRPr="00F13073" w:rsidRDefault="00F1301B" w:rsidP="008B4C50"/>
    <w:p w14:paraId="5AF226BE" w14:textId="77777777" w:rsidR="00F1301B" w:rsidRPr="00F13073" w:rsidRDefault="00F1301B" w:rsidP="008B4C50"/>
    <w:p w14:paraId="16C53BEA" w14:textId="77777777" w:rsidR="00F1301B" w:rsidRPr="0081094B" w:rsidRDefault="00F1301B" w:rsidP="008B4C50">
      <w:pPr>
        <w:pStyle w:val="BoxedHeading"/>
        <w:rPr>
          <w:lang w:val="pl-PL"/>
        </w:rPr>
      </w:pPr>
      <w:r w:rsidRPr="0081094B">
        <w:rPr>
          <w:lang w:val="pl-PL"/>
        </w:rPr>
        <w:t>4.</w:t>
      </w:r>
      <w:r w:rsidRPr="0081094B">
        <w:rPr>
          <w:lang w:val="pl-PL"/>
        </w:rPr>
        <w:tab/>
      </w:r>
      <w:r w:rsidR="00652D73" w:rsidRPr="0081094B">
        <w:rPr>
          <w:lang w:val="pl-PL"/>
        </w:rPr>
        <w:t>NUMER SERII</w:t>
      </w:r>
    </w:p>
    <w:p w14:paraId="27984146" w14:textId="77777777" w:rsidR="00F1301B" w:rsidRPr="00F13073" w:rsidRDefault="00F1301B" w:rsidP="008B4C50"/>
    <w:p w14:paraId="170CD5ED" w14:textId="77777777" w:rsidR="00F1301B" w:rsidRPr="00F13073" w:rsidRDefault="00652D73" w:rsidP="008B4C50">
      <w:r w:rsidRPr="00F13073">
        <w:t>Lot</w:t>
      </w:r>
    </w:p>
    <w:p w14:paraId="6277A11D" w14:textId="77777777" w:rsidR="00F1301B" w:rsidRPr="00F13073" w:rsidRDefault="00F1301B" w:rsidP="008B4C50"/>
    <w:p w14:paraId="226CC255" w14:textId="77777777" w:rsidR="00F1301B" w:rsidRPr="00F13073" w:rsidRDefault="00F1301B" w:rsidP="008B4C50"/>
    <w:p w14:paraId="416806D4" w14:textId="77777777" w:rsidR="00F1301B" w:rsidRPr="0081094B" w:rsidRDefault="00F1301B" w:rsidP="008B4C50">
      <w:pPr>
        <w:pStyle w:val="BoxedHeading"/>
        <w:rPr>
          <w:lang w:val="pl-PL"/>
        </w:rPr>
      </w:pPr>
      <w:r w:rsidRPr="0081094B">
        <w:rPr>
          <w:lang w:val="pl-PL"/>
        </w:rPr>
        <w:t>5.</w:t>
      </w:r>
      <w:r w:rsidRPr="0081094B">
        <w:rPr>
          <w:lang w:val="pl-PL"/>
        </w:rPr>
        <w:tab/>
      </w:r>
      <w:r w:rsidR="00652D73" w:rsidRPr="0081094B">
        <w:rPr>
          <w:lang w:val="pl-PL"/>
        </w:rPr>
        <w:t>ZAWARTOŚĆ OPAKOWANIA Z PODANIEM MASY, OBJĘTOŚCI LUB LICZBY JEDNOSTEK</w:t>
      </w:r>
    </w:p>
    <w:p w14:paraId="4EDAC596" w14:textId="77777777" w:rsidR="00F1301B" w:rsidRPr="00F13073" w:rsidRDefault="00F1301B" w:rsidP="008B4C50"/>
    <w:p w14:paraId="39DAEBC7" w14:textId="77777777" w:rsidR="00F1301B" w:rsidRPr="00F13073" w:rsidRDefault="00652D73" w:rsidP="008B4C50">
      <w:r w:rsidRPr="00F13073">
        <w:t>80 mg/4 mL</w:t>
      </w:r>
    </w:p>
    <w:p w14:paraId="1E93F46E" w14:textId="77777777" w:rsidR="00F1301B" w:rsidRPr="00F13073" w:rsidRDefault="00F1301B" w:rsidP="008B4C50"/>
    <w:p w14:paraId="2D14F036" w14:textId="77777777" w:rsidR="00F1301B" w:rsidRPr="00F13073" w:rsidRDefault="00F1301B" w:rsidP="008B4C50"/>
    <w:p w14:paraId="17500FB3" w14:textId="77777777" w:rsidR="00F1301B" w:rsidRPr="0081094B" w:rsidRDefault="00F1301B" w:rsidP="008B4C50">
      <w:pPr>
        <w:pStyle w:val="BoxedHeading"/>
        <w:rPr>
          <w:lang w:val="pl-PL"/>
        </w:rPr>
      </w:pPr>
      <w:r w:rsidRPr="0081094B">
        <w:rPr>
          <w:lang w:val="pl-PL"/>
        </w:rPr>
        <w:t>6.</w:t>
      </w:r>
      <w:r w:rsidRPr="0081094B">
        <w:rPr>
          <w:lang w:val="pl-PL"/>
        </w:rPr>
        <w:tab/>
      </w:r>
      <w:r w:rsidR="00652D73" w:rsidRPr="0081094B">
        <w:rPr>
          <w:lang w:val="pl-PL"/>
        </w:rPr>
        <w:t>INNE</w:t>
      </w:r>
    </w:p>
    <w:p w14:paraId="757715D3" w14:textId="77777777" w:rsidR="00F1301B" w:rsidRPr="00F13073" w:rsidRDefault="00F1301B" w:rsidP="008B4C50"/>
    <w:p w14:paraId="748D2AA6" w14:textId="77777777" w:rsidR="00F1301B" w:rsidRPr="00F13073" w:rsidRDefault="00F1301B" w:rsidP="008B4C50"/>
    <w:p w14:paraId="246E4FD8" w14:textId="6112832D" w:rsidR="007771A6" w:rsidRPr="00F13073" w:rsidRDefault="00554ED8" w:rsidP="005F4079">
      <w:pPr>
        <w:pBdr>
          <w:top w:val="single" w:sz="4" w:space="1" w:color="auto"/>
          <w:left w:val="single" w:sz="4" w:space="4" w:color="auto"/>
          <w:bottom w:val="single" w:sz="4" w:space="1" w:color="auto"/>
          <w:right w:val="single" w:sz="4" w:space="4" w:color="auto"/>
        </w:pBdr>
        <w:rPr>
          <w:b/>
          <w:bCs/>
        </w:rPr>
      </w:pPr>
      <w:r w:rsidRPr="00F13073">
        <w:br w:type="page"/>
      </w:r>
      <w:r w:rsidR="00565452" w:rsidRPr="00F13073">
        <w:rPr>
          <w:b/>
          <w:bCs/>
        </w:rPr>
        <w:lastRenderedPageBreak/>
        <w:t>MINIMUM INFORMACJI ZAMIESZCZANYCH NA MAŁYCH OPAKOWANIACH BEZPOŚREDNICH</w:t>
      </w:r>
    </w:p>
    <w:p w14:paraId="36F9C95E"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27AEE1F5" w14:textId="77777777" w:rsidR="001E0975" w:rsidRPr="00F13073" w:rsidRDefault="00565452" w:rsidP="008B4C50">
      <w:pPr>
        <w:pBdr>
          <w:top w:val="single" w:sz="4" w:space="1" w:color="auto"/>
          <w:left w:val="single" w:sz="4" w:space="4" w:color="auto"/>
          <w:bottom w:val="single" w:sz="4" w:space="1" w:color="auto"/>
          <w:right w:val="single" w:sz="4" w:space="4" w:color="auto"/>
        </w:pBdr>
        <w:rPr>
          <w:b/>
          <w:bCs/>
        </w:rPr>
      </w:pPr>
      <w:r w:rsidRPr="00F13073">
        <w:rPr>
          <w:b/>
          <w:bCs/>
        </w:rPr>
        <w:t>FIOLKA</w:t>
      </w:r>
    </w:p>
    <w:p w14:paraId="7B1F406D" w14:textId="77777777" w:rsidR="007771A6" w:rsidRPr="00F13073" w:rsidRDefault="007771A6" w:rsidP="008B4C50"/>
    <w:p w14:paraId="78F7A049" w14:textId="77777777" w:rsidR="007771A6" w:rsidRPr="00F13073" w:rsidRDefault="007771A6" w:rsidP="008B4C50"/>
    <w:p w14:paraId="4ECD191D" w14:textId="25B19D45" w:rsidR="00565452" w:rsidRPr="0081094B" w:rsidRDefault="00565452" w:rsidP="005F4079">
      <w:pPr>
        <w:pStyle w:val="BoxedHeading"/>
        <w:rPr>
          <w:lang w:val="pl-PL"/>
        </w:rPr>
      </w:pPr>
      <w:r w:rsidRPr="0081094B">
        <w:rPr>
          <w:lang w:val="pl-PL"/>
        </w:rPr>
        <w:t>1.</w:t>
      </w:r>
      <w:r w:rsidRPr="0081094B">
        <w:rPr>
          <w:lang w:val="pl-PL"/>
        </w:rPr>
        <w:tab/>
        <w:t xml:space="preserve">NAZWA </w:t>
      </w:r>
      <w:r w:rsidR="005F4079" w:rsidRPr="0081094B">
        <w:rPr>
          <w:lang w:val="pl-PL"/>
        </w:rPr>
        <w:t>PRODUKTU LECZNICZEGO I DROGA(I) PODANIA</w:t>
      </w:r>
    </w:p>
    <w:p w14:paraId="2D494C79" w14:textId="77777777" w:rsidR="00565452" w:rsidRPr="00F13073" w:rsidRDefault="00565452" w:rsidP="008B4C50"/>
    <w:p w14:paraId="700776C0" w14:textId="4FBE9A33" w:rsidR="00565452" w:rsidRPr="00F13073" w:rsidRDefault="00026375" w:rsidP="008B4C50">
      <w:r w:rsidRPr="00F13073">
        <w:t>Avtozma</w:t>
      </w:r>
      <w:r w:rsidR="00565452" w:rsidRPr="00F13073">
        <w:t xml:space="preserve"> 20 mg/mL jałowy koncentrat</w:t>
      </w:r>
    </w:p>
    <w:p w14:paraId="696397D0" w14:textId="77777777" w:rsidR="00565452" w:rsidRPr="00F13073" w:rsidRDefault="00565452" w:rsidP="008B4C50">
      <w:r w:rsidRPr="00F13073">
        <w:t>tocilizumab</w:t>
      </w:r>
    </w:p>
    <w:p w14:paraId="2CC3EE57" w14:textId="77777777" w:rsidR="00565452" w:rsidRPr="00F13073" w:rsidRDefault="00565452" w:rsidP="008B4C50">
      <w:r w:rsidRPr="00F13073">
        <w:t>iv.</w:t>
      </w:r>
    </w:p>
    <w:p w14:paraId="739B4908" w14:textId="77777777" w:rsidR="00565452" w:rsidRPr="00F13073" w:rsidRDefault="00565452" w:rsidP="008B4C50"/>
    <w:p w14:paraId="274DB869" w14:textId="77777777" w:rsidR="00565452" w:rsidRPr="00F13073" w:rsidRDefault="00565452" w:rsidP="008B4C50"/>
    <w:p w14:paraId="6BA85B66" w14:textId="77777777" w:rsidR="00565452" w:rsidRPr="0081094B" w:rsidRDefault="00565452" w:rsidP="008B4C50">
      <w:pPr>
        <w:pStyle w:val="BoxedHeading"/>
        <w:rPr>
          <w:lang w:val="pl-PL"/>
        </w:rPr>
      </w:pPr>
      <w:r w:rsidRPr="0081094B">
        <w:rPr>
          <w:lang w:val="pl-PL"/>
        </w:rPr>
        <w:t>2.</w:t>
      </w:r>
      <w:r w:rsidRPr="0081094B">
        <w:rPr>
          <w:lang w:val="pl-PL"/>
        </w:rPr>
        <w:tab/>
        <w:t>SPOSÓB PODAWANIA</w:t>
      </w:r>
    </w:p>
    <w:p w14:paraId="34C74E4B" w14:textId="77777777" w:rsidR="00565452" w:rsidRPr="00F13073" w:rsidRDefault="00565452" w:rsidP="008B4C50"/>
    <w:p w14:paraId="5D135EFF" w14:textId="5E2E6A98" w:rsidR="00565452" w:rsidRPr="00F13073" w:rsidRDefault="00100627" w:rsidP="008B4C50">
      <w:r w:rsidRPr="00F13073">
        <w:t>Podanie</w:t>
      </w:r>
      <w:r w:rsidR="00565452" w:rsidRPr="00F13073">
        <w:t xml:space="preserve"> iv.</w:t>
      </w:r>
    </w:p>
    <w:p w14:paraId="4B304EFA" w14:textId="77777777" w:rsidR="00565452" w:rsidRPr="00F13073" w:rsidRDefault="00565452" w:rsidP="008B4C50"/>
    <w:p w14:paraId="1752ADB5" w14:textId="77777777" w:rsidR="00565452" w:rsidRPr="00F13073" w:rsidRDefault="00565452" w:rsidP="008B4C50"/>
    <w:p w14:paraId="59DEA6E9" w14:textId="77777777" w:rsidR="00565452" w:rsidRPr="0081094B" w:rsidRDefault="00565452" w:rsidP="008B4C50">
      <w:pPr>
        <w:pStyle w:val="BoxedHeading"/>
        <w:rPr>
          <w:lang w:val="pl-PL"/>
        </w:rPr>
      </w:pPr>
      <w:r w:rsidRPr="0081094B">
        <w:rPr>
          <w:lang w:val="pl-PL"/>
        </w:rPr>
        <w:t>3.</w:t>
      </w:r>
      <w:r w:rsidRPr="0081094B">
        <w:rPr>
          <w:lang w:val="pl-PL"/>
        </w:rPr>
        <w:tab/>
        <w:t>TERMIN WAŻNOŚCI</w:t>
      </w:r>
    </w:p>
    <w:p w14:paraId="4DB60E49" w14:textId="77777777" w:rsidR="00565452" w:rsidRPr="00F13073" w:rsidRDefault="00565452" w:rsidP="008B4C50"/>
    <w:p w14:paraId="5C4EF7F6" w14:textId="77777777" w:rsidR="00565452" w:rsidRPr="00F13073" w:rsidRDefault="00565452" w:rsidP="008B4C50">
      <w:r w:rsidRPr="00F13073">
        <w:t>EXP</w:t>
      </w:r>
    </w:p>
    <w:p w14:paraId="5C8B725B" w14:textId="77777777" w:rsidR="00565452" w:rsidRPr="00F13073" w:rsidRDefault="00565452" w:rsidP="008B4C50"/>
    <w:p w14:paraId="6CAEECAA" w14:textId="77777777" w:rsidR="00565452" w:rsidRPr="00F13073" w:rsidRDefault="00565452" w:rsidP="008B4C50"/>
    <w:p w14:paraId="0DBA2D46" w14:textId="77777777" w:rsidR="00565452" w:rsidRPr="0081094B" w:rsidRDefault="00565452" w:rsidP="008B4C50">
      <w:pPr>
        <w:pStyle w:val="BoxedHeading"/>
        <w:rPr>
          <w:lang w:val="pl-PL"/>
        </w:rPr>
      </w:pPr>
      <w:r w:rsidRPr="0081094B">
        <w:rPr>
          <w:lang w:val="pl-PL"/>
        </w:rPr>
        <w:t>4.</w:t>
      </w:r>
      <w:r w:rsidRPr="0081094B">
        <w:rPr>
          <w:lang w:val="pl-PL"/>
        </w:rPr>
        <w:tab/>
        <w:t>NUMER SERII</w:t>
      </w:r>
    </w:p>
    <w:p w14:paraId="3A677F1E" w14:textId="77777777" w:rsidR="00565452" w:rsidRPr="00F13073" w:rsidRDefault="00565452" w:rsidP="008B4C50"/>
    <w:p w14:paraId="2F846D94" w14:textId="77777777" w:rsidR="00565452" w:rsidRPr="00F13073" w:rsidRDefault="00565452" w:rsidP="008B4C50">
      <w:r w:rsidRPr="00F13073">
        <w:t>Lot</w:t>
      </w:r>
    </w:p>
    <w:p w14:paraId="066C8BC7" w14:textId="77777777" w:rsidR="00565452" w:rsidRPr="00F13073" w:rsidRDefault="00565452" w:rsidP="008B4C50"/>
    <w:p w14:paraId="0D3B0FF0" w14:textId="77777777" w:rsidR="00565452" w:rsidRPr="00F13073" w:rsidRDefault="00565452" w:rsidP="008B4C50"/>
    <w:p w14:paraId="2DDF17F8" w14:textId="77777777" w:rsidR="00565452" w:rsidRPr="0081094B" w:rsidRDefault="00565452" w:rsidP="008B4C50">
      <w:pPr>
        <w:pStyle w:val="BoxedHeading"/>
        <w:rPr>
          <w:lang w:val="pl-PL"/>
        </w:rPr>
      </w:pPr>
      <w:r w:rsidRPr="0081094B">
        <w:rPr>
          <w:lang w:val="pl-PL"/>
        </w:rPr>
        <w:t>5.</w:t>
      </w:r>
      <w:r w:rsidRPr="0081094B">
        <w:rPr>
          <w:lang w:val="pl-PL"/>
        </w:rPr>
        <w:tab/>
        <w:t>ZAWARTOŚĆ OPAKOWANIA Z PODANIEM MASY, OBJĘTOŚCI LUB LICZBY JEDNOSTEK</w:t>
      </w:r>
    </w:p>
    <w:p w14:paraId="62A75E42" w14:textId="77777777" w:rsidR="00565452" w:rsidRPr="00F13073" w:rsidRDefault="00565452" w:rsidP="008B4C50"/>
    <w:p w14:paraId="49D7E9A9" w14:textId="77777777" w:rsidR="00565452" w:rsidRPr="00F13073" w:rsidRDefault="00565452" w:rsidP="008B4C50">
      <w:r w:rsidRPr="00F13073">
        <w:t>200 mg/10 mL</w:t>
      </w:r>
    </w:p>
    <w:p w14:paraId="7B2BD082" w14:textId="77777777" w:rsidR="00565452" w:rsidRPr="00F13073" w:rsidRDefault="00565452" w:rsidP="008B4C50"/>
    <w:p w14:paraId="5AEAFC71" w14:textId="77777777" w:rsidR="00565452" w:rsidRPr="00F13073" w:rsidRDefault="00565452" w:rsidP="008B4C50"/>
    <w:p w14:paraId="03E36694" w14:textId="77777777" w:rsidR="00565452" w:rsidRPr="0081094B" w:rsidRDefault="00565452" w:rsidP="008B4C50">
      <w:pPr>
        <w:pStyle w:val="BoxedHeading"/>
        <w:rPr>
          <w:lang w:val="pl-PL"/>
        </w:rPr>
      </w:pPr>
      <w:r w:rsidRPr="0081094B">
        <w:rPr>
          <w:lang w:val="pl-PL"/>
        </w:rPr>
        <w:t>6.</w:t>
      </w:r>
      <w:r w:rsidRPr="0081094B">
        <w:rPr>
          <w:lang w:val="pl-PL"/>
        </w:rPr>
        <w:tab/>
        <w:t>INNE</w:t>
      </w:r>
    </w:p>
    <w:p w14:paraId="45E2E1FB" w14:textId="77777777" w:rsidR="00554ED8" w:rsidRPr="00F13073" w:rsidRDefault="00554ED8" w:rsidP="008B4C50"/>
    <w:p w14:paraId="3635F3E8" w14:textId="1C7B7827" w:rsidR="007771A6" w:rsidRPr="00F13073" w:rsidRDefault="00554ED8" w:rsidP="00F2572D">
      <w:pPr>
        <w:pBdr>
          <w:top w:val="single" w:sz="4" w:space="1" w:color="auto"/>
          <w:left w:val="single" w:sz="4" w:space="4" w:color="auto"/>
          <w:bottom w:val="single" w:sz="4" w:space="1" w:color="auto"/>
          <w:right w:val="single" w:sz="4" w:space="4" w:color="auto"/>
        </w:pBdr>
        <w:rPr>
          <w:b/>
          <w:bCs/>
        </w:rPr>
      </w:pPr>
      <w:r w:rsidRPr="00F13073">
        <w:br w:type="page"/>
      </w:r>
      <w:r w:rsidR="00BD4E2B" w:rsidRPr="00F13073">
        <w:rPr>
          <w:b/>
          <w:bCs/>
        </w:rPr>
        <w:lastRenderedPageBreak/>
        <w:t>MINIMUM INFORMACJI ZAMIESZCZANYCH NA MAŁYCH OPAKOWANIACH BEZPOŚREDNICH</w:t>
      </w:r>
    </w:p>
    <w:p w14:paraId="4EDAE3EC"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3E66AA01" w14:textId="77777777" w:rsidR="007771A6" w:rsidRPr="00F13073" w:rsidRDefault="00BD4E2B" w:rsidP="008B4C50">
      <w:pPr>
        <w:pBdr>
          <w:top w:val="single" w:sz="4" w:space="1" w:color="auto"/>
          <w:left w:val="single" w:sz="4" w:space="4" w:color="auto"/>
          <w:bottom w:val="single" w:sz="4" w:space="1" w:color="auto"/>
          <w:right w:val="single" w:sz="4" w:space="4" w:color="auto"/>
        </w:pBdr>
        <w:rPr>
          <w:b/>
          <w:bCs/>
        </w:rPr>
      </w:pPr>
      <w:r w:rsidRPr="00F13073">
        <w:rPr>
          <w:b/>
          <w:bCs/>
        </w:rPr>
        <w:t>FIOLKA</w:t>
      </w:r>
    </w:p>
    <w:p w14:paraId="0394B6F8" w14:textId="77777777" w:rsidR="007771A6" w:rsidRPr="00F13073" w:rsidRDefault="007771A6" w:rsidP="008B4C50"/>
    <w:p w14:paraId="7B3BE9F5" w14:textId="77777777" w:rsidR="007771A6" w:rsidRPr="00F13073" w:rsidRDefault="007771A6" w:rsidP="008B4C50"/>
    <w:p w14:paraId="448B601A" w14:textId="77777777" w:rsidR="00BD4E2B" w:rsidRPr="0081094B" w:rsidRDefault="00BD4E2B" w:rsidP="008B4C50">
      <w:pPr>
        <w:pStyle w:val="BoxedHeading"/>
        <w:rPr>
          <w:lang w:val="pl-PL"/>
        </w:rPr>
      </w:pPr>
      <w:r w:rsidRPr="0081094B">
        <w:rPr>
          <w:lang w:val="pl-PL"/>
        </w:rPr>
        <w:t>1.</w:t>
      </w:r>
      <w:r w:rsidRPr="0081094B">
        <w:rPr>
          <w:lang w:val="pl-PL"/>
        </w:rPr>
        <w:tab/>
        <w:t>NAZWA PRODUKTU LECZNICZEGO I DROGA(I) PODANIA</w:t>
      </w:r>
    </w:p>
    <w:p w14:paraId="31F2A847" w14:textId="77777777" w:rsidR="00BD4E2B" w:rsidRPr="00F13073" w:rsidRDefault="00BD4E2B" w:rsidP="008B4C50"/>
    <w:p w14:paraId="452E75AC" w14:textId="35BC41C8" w:rsidR="00BD4E2B" w:rsidRPr="00F13073" w:rsidRDefault="00026375" w:rsidP="008B4C50">
      <w:r w:rsidRPr="00F13073">
        <w:t>Avtozma</w:t>
      </w:r>
      <w:r w:rsidR="00BD4E2B" w:rsidRPr="00F13073">
        <w:t xml:space="preserve"> 20 mg/mL jałowy koncentrat</w:t>
      </w:r>
    </w:p>
    <w:p w14:paraId="22652512" w14:textId="77777777" w:rsidR="00BD4E2B" w:rsidRPr="00F13073" w:rsidRDefault="00BD4E2B" w:rsidP="008B4C50">
      <w:r w:rsidRPr="00F13073">
        <w:t>tocilizumab</w:t>
      </w:r>
    </w:p>
    <w:p w14:paraId="1D4BF85C" w14:textId="77777777" w:rsidR="00BD4E2B" w:rsidRPr="00F13073" w:rsidRDefault="00BD4E2B" w:rsidP="008B4C50">
      <w:r w:rsidRPr="00F13073">
        <w:t>iv.</w:t>
      </w:r>
    </w:p>
    <w:p w14:paraId="0683AC94" w14:textId="77777777" w:rsidR="00BD4E2B" w:rsidRPr="00F13073" w:rsidRDefault="00BD4E2B" w:rsidP="008B4C50"/>
    <w:p w14:paraId="0480645D" w14:textId="77777777" w:rsidR="00BD4E2B" w:rsidRPr="00F13073" w:rsidRDefault="00BD4E2B" w:rsidP="008B4C50"/>
    <w:p w14:paraId="4C96F8E9" w14:textId="77777777" w:rsidR="00BD4E2B" w:rsidRPr="0081094B" w:rsidRDefault="00BD4E2B" w:rsidP="008B4C50">
      <w:pPr>
        <w:pStyle w:val="BoxedHeading"/>
        <w:rPr>
          <w:lang w:val="pl-PL"/>
        </w:rPr>
      </w:pPr>
      <w:r w:rsidRPr="0081094B">
        <w:rPr>
          <w:lang w:val="pl-PL"/>
        </w:rPr>
        <w:t>2.</w:t>
      </w:r>
      <w:r w:rsidRPr="0081094B">
        <w:rPr>
          <w:lang w:val="pl-PL"/>
        </w:rPr>
        <w:tab/>
        <w:t>SPOSÓB PODAWANIA</w:t>
      </w:r>
    </w:p>
    <w:p w14:paraId="56D7D42A" w14:textId="77777777" w:rsidR="00BD4E2B" w:rsidRPr="00F13073" w:rsidRDefault="00BD4E2B" w:rsidP="008B4C50"/>
    <w:p w14:paraId="30F34113" w14:textId="7D0749A0" w:rsidR="00BD4E2B" w:rsidRPr="00F13073" w:rsidRDefault="00610A2D" w:rsidP="008B4C50">
      <w:r>
        <w:t>Podanie</w:t>
      </w:r>
      <w:r w:rsidR="00BD4E2B" w:rsidRPr="00F13073">
        <w:t xml:space="preserve"> iv.</w:t>
      </w:r>
    </w:p>
    <w:p w14:paraId="7F144C5E" w14:textId="77777777" w:rsidR="00BD4E2B" w:rsidRPr="00F13073" w:rsidRDefault="00BD4E2B" w:rsidP="008B4C50"/>
    <w:p w14:paraId="48C2A384" w14:textId="77777777" w:rsidR="00BD4E2B" w:rsidRPr="00F13073" w:rsidRDefault="00BD4E2B" w:rsidP="008B4C50"/>
    <w:p w14:paraId="6E07D20C" w14:textId="77777777" w:rsidR="00BD4E2B" w:rsidRPr="0081094B" w:rsidRDefault="00BD4E2B" w:rsidP="008B4C50">
      <w:pPr>
        <w:pStyle w:val="BoxedHeading"/>
        <w:rPr>
          <w:lang w:val="pl-PL"/>
        </w:rPr>
      </w:pPr>
      <w:r w:rsidRPr="0081094B">
        <w:rPr>
          <w:lang w:val="pl-PL"/>
        </w:rPr>
        <w:t>3.</w:t>
      </w:r>
      <w:r w:rsidRPr="0081094B">
        <w:rPr>
          <w:lang w:val="pl-PL"/>
        </w:rPr>
        <w:tab/>
        <w:t>TERMIN WAŻNOŚCI</w:t>
      </w:r>
    </w:p>
    <w:p w14:paraId="3D12010F" w14:textId="77777777" w:rsidR="00BD4E2B" w:rsidRPr="00F13073" w:rsidRDefault="00BD4E2B" w:rsidP="008B4C50"/>
    <w:p w14:paraId="76BF6919" w14:textId="77777777" w:rsidR="00BD4E2B" w:rsidRPr="00F13073" w:rsidRDefault="00BD4E2B" w:rsidP="008B4C50">
      <w:r w:rsidRPr="00F13073">
        <w:t>EXP</w:t>
      </w:r>
    </w:p>
    <w:p w14:paraId="282FDD51" w14:textId="77777777" w:rsidR="00BD4E2B" w:rsidRPr="00F13073" w:rsidRDefault="00BD4E2B" w:rsidP="008B4C50"/>
    <w:p w14:paraId="4F4A425E" w14:textId="77777777" w:rsidR="00BD4E2B" w:rsidRPr="00F13073" w:rsidRDefault="00BD4E2B" w:rsidP="008B4C50"/>
    <w:p w14:paraId="6EE0F719" w14:textId="77777777" w:rsidR="00BD4E2B" w:rsidRPr="0081094B" w:rsidRDefault="00BD4E2B" w:rsidP="008B4C50">
      <w:pPr>
        <w:pStyle w:val="BoxedHeading"/>
        <w:rPr>
          <w:lang w:val="pl-PL"/>
        </w:rPr>
      </w:pPr>
      <w:r w:rsidRPr="0081094B">
        <w:rPr>
          <w:lang w:val="pl-PL"/>
        </w:rPr>
        <w:t>4.</w:t>
      </w:r>
      <w:r w:rsidRPr="0081094B">
        <w:rPr>
          <w:lang w:val="pl-PL"/>
        </w:rPr>
        <w:tab/>
        <w:t>NUMER SERII</w:t>
      </w:r>
    </w:p>
    <w:p w14:paraId="477469F3" w14:textId="77777777" w:rsidR="00BD4E2B" w:rsidRPr="00F13073" w:rsidRDefault="00BD4E2B" w:rsidP="008B4C50"/>
    <w:p w14:paraId="58117075" w14:textId="77777777" w:rsidR="00BD4E2B" w:rsidRPr="00F13073" w:rsidRDefault="00BD4E2B" w:rsidP="008B4C50">
      <w:r w:rsidRPr="00F13073">
        <w:t>Lot</w:t>
      </w:r>
    </w:p>
    <w:p w14:paraId="301428E6" w14:textId="77777777" w:rsidR="00BD4E2B" w:rsidRPr="00F13073" w:rsidRDefault="00BD4E2B" w:rsidP="008B4C50"/>
    <w:p w14:paraId="1071C4B7" w14:textId="77777777" w:rsidR="00BD4E2B" w:rsidRPr="00F13073" w:rsidRDefault="00BD4E2B" w:rsidP="008B4C50"/>
    <w:p w14:paraId="77946D0E" w14:textId="77777777" w:rsidR="00BD4E2B" w:rsidRPr="0081094B" w:rsidRDefault="00BD4E2B" w:rsidP="008B4C50">
      <w:pPr>
        <w:pStyle w:val="BoxedHeading"/>
        <w:rPr>
          <w:lang w:val="pl-PL"/>
        </w:rPr>
      </w:pPr>
      <w:r w:rsidRPr="0081094B">
        <w:rPr>
          <w:lang w:val="pl-PL"/>
        </w:rPr>
        <w:t>5.</w:t>
      </w:r>
      <w:r w:rsidRPr="0081094B">
        <w:rPr>
          <w:lang w:val="pl-PL"/>
        </w:rPr>
        <w:tab/>
        <w:t>ZAWARTOŚĆ OPAKOWANIA Z PODANIEM MASY, OBJĘTOŚCI LUB LICZBY JEDNOSTEK</w:t>
      </w:r>
    </w:p>
    <w:p w14:paraId="1428A45B" w14:textId="77777777" w:rsidR="00BD4E2B" w:rsidRPr="00F13073" w:rsidRDefault="00BD4E2B" w:rsidP="008B4C50"/>
    <w:p w14:paraId="7635EAAE" w14:textId="77777777" w:rsidR="00BD4E2B" w:rsidRPr="00F13073" w:rsidRDefault="00BD4E2B" w:rsidP="008B4C50">
      <w:r w:rsidRPr="00F13073">
        <w:t>400 mg/20 mL</w:t>
      </w:r>
    </w:p>
    <w:p w14:paraId="0D791B30" w14:textId="77777777" w:rsidR="00BD4E2B" w:rsidRPr="00F13073" w:rsidRDefault="00BD4E2B" w:rsidP="008B4C50"/>
    <w:p w14:paraId="7A14AB38" w14:textId="77777777" w:rsidR="00BD4E2B" w:rsidRPr="00F13073" w:rsidRDefault="00BD4E2B" w:rsidP="008B4C50"/>
    <w:p w14:paraId="05F978AF" w14:textId="77777777" w:rsidR="00BD4E2B" w:rsidRPr="0081094B" w:rsidRDefault="00BD4E2B" w:rsidP="008B4C50">
      <w:pPr>
        <w:pStyle w:val="BoxedHeading"/>
        <w:rPr>
          <w:lang w:val="pl-PL"/>
        </w:rPr>
      </w:pPr>
      <w:r w:rsidRPr="0081094B">
        <w:rPr>
          <w:lang w:val="pl-PL"/>
        </w:rPr>
        <w:t>6.</w:t>
      </w:r>
      <w:r w:rsidRPr="0081094B">
        <w:rPr>
          <w:lang w:val="pl-PL"/>
        </w:rPr>
        <w:tab/>
        <w:t>INNE</w:t>
      </w:r>
    </w:p>
    <w:p w14:paraId="4E97966F" w14:textId="77777777" w:rsidR="00554ED8" w:rsidRPr="00F13073" w:rsidRDefault="00554ED8" w:rsidP="008B4C50"/>
    <w:p w14:paraId="5D8993B7" w14:textId="5D85ED6D" w:rsidR="007771A6" w:rsidRPr="00F13073" w:rsidRDefault="00554ED8" w:rsidP="00F2572D">
      <w:pPr>
        <w:pBdr>
          <w:top w:val="single" w:sz="4" w:space="1" w:color="auto"/>
          <w:left w:val="single" w:sz="4" w:space="4" w:color="auto"/>
          <w:bottom w:val="single" w:sz="4" w:space="1" w:color="auto"/>
          <w:right w:val="single" w:sz="4" w:space="4" w:color="auto"/>
        </w:pBdr>
        <w:rPr>
          <w:b/>
          <w:bCs/>
        </w:rPr>
      </w:pPr>
      <w:r w:rsidRPr="00F13073">
        <w:br w:type="page"/>
      </w:r>
      <w:r w:rsidR="00BD4E2B" w:rsidRPr="00F13073">
        <w:rPr>
          <w:b/>
          <w:bCs/>
        </w:rPr>
        <w:lastRenderedPageBreak/>
        <w:t>MINIMUM INFORMACJI ZAMIESZCZANYCH NA MAŁYCH OPAKOWANIACH BEZPOŚREDNICH</w:t>
      </w:r>
    </w:p>
    <w:p w14:paraId="01F4ABE6"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227356EC" w14:textId="77777777" w:rsidR="001E0975" w:rsidRPr="00F13073" w:rsidRDefault="00BD4E2B" w:rsidP="008B4C50">
      <w:pPr>
        <w:pBdr>
          <w:top w:val="single" w:sz="4" w:space="1" w:color="auto"/>
          <w:left w:val="single" w:sz="4" w:space="4" w:color="auto"/>
          <w:bottom w:val="single" w:sz="4" w:space="1" w:color="auto"/>
          <w:right w:val="single" w:sz="4" w:space="4" w:color="auto"/>
        </w:pBdr>
        <w:rPr>
          <w:b/>
          <w:bCs/>
        </w:rPr>
      </w:pPr>
      <w:r w:rsidRPr="00F13073">
        <w:rPr>
          <w:b/>
          <w:bCs/>
        </w:rPr>
        <w:t>ETYKIETA AMPUŁKO-STRZYKAWKI</w:t>
      </w:r>
    </w:p>
    <w:p w14:paraId="3DDA5056" w14:textId="77777777" w:rsidR="007771A6" w:rsidRPr="00F13073" w:rsidRDefault="007771A6" w:rsidP="008B4C50"/>
    <w:p w14:paraId="7B48D159" w14:textId="77777777" w:rsidR="007771A6" w:rsidRPr="00F13073" w:rsidRDefault="007771A6" w:rsidP="008B4C50"/>
    <w:p w14:paraId="339448EE" w14:textId="77777777" w:rsidR="00BD4E2B" w:rsidRPr="0081094B" w:rsidRDefault="00BD4E2B" w:rsidP="008B4C50">
      <w:pPr>
        <w:pStyle w:val="BoxedHeading"/>
        <w:rPr>
          <w:lang w:val="pl-PL"/>
        </w:rPr>
      </w:pPr>
      <w:r w:rsidRPr="0081094B">
        <w:rPr>
          <w:lang w:val="pl-PL"/>
        </w:rPr>
        <w:t>1.</w:t>
      </w:r>
      <w:r w:rsidRPr="0081094B">
        <w:rPr>
          <w:lang w:val="pl-PL"/>
        </w:rPr>
        <w:tab/>
        <w:t>NAZWA PRODUKTU LECZNICZEGO I DROGA (DROGI) PODANIA</w:t>
      </w:r>
    </w:p>
    <w:p w14:paraId="5ABEA734" w14:textId="77777777" w:rsidR="00BD4E2B" w:rsidRPr="00F13073" w:rsidRDefault="00BD4E2B" w:rsidP="008B4C50"/>
    <w:p w14:paraId="5F216070" w14:textId="1234531A" w:rsidR="00BD4E2B" w:rsidRPr="00F13073" w:rsidRDefault="00026375" w:rsidP="008B4C50">
      <w:r w:rsidRPr="00F13073">
        <w:t>Avtozma</w:t>
      </w:r>
      <w:r w:rsidR="00BD4E2B" w:rsidRPr="00F13073">
        <w:t xml:space="preserve"> 162 mg zastrzyk</w:t>
      </w:r>
    </w:p>
    <w:p w14:paraId="1E7D8DC5" w14:textId="77777777" w:rsidR="00BD4E2B" w:rsidRPr="00F13073" w:rsidRDefault="00BD4E2B" w:rsidP="008B4C50">
      <w:r w:rsidRPr="00F13073">
        <w:t>tocilizumab</w:t>
      </w:r>
    </w:p>
    <w:p w14:paraId="51B47351" w14:textId="77777777" w:rsidR="00BD4E2B" w:rsidRPr="00F13073" w:rsidRDefault="00BD4E2B" w:rsidP="008B4C50">
      <w:r w:rsidRPr="00F13073">
        <w:t>sc.</w:t>
      </w:r>
    </w:p>
    <w:p w14:paraId="12B8BF79" w14:textId="77777777" w:rsidR="00BD4E2B" w:rsidRPr="00F13073" w:rsidRDefault="00BD4E2B" w:rsidP="008B4C50"/>
    <w:p w14:paraId="54963EA7" w14:textId="77777777" w:rsidR="00BD4E2B" w:rsidRPr="00F13073" w:rsidRDefault="00BD4E2B" w:rsidP="008B4C50"/>
    <w:p w14:paraId="22EE6144" w14:textId="38A2EDB4" w:rsidR="00BD4E2B" w:rsidRPr="0081094B" w:rsidRDefault="00BD4E2B" w:rsidP="008B4C50">
      <w:pPr>
        <w:pStyle w:val="BoxedHeading"/>
        <w:rPr>
          <w:lang w:val="pl-PL"/>
        </w:rPr>
      </w:pPr>
      <w:r w:rsidRPr="0081094B">
        <w:rPr>
          <w:lang w:val="pl-PL"/>
        </w:rPr>
        <w:t>2.</w:t>
      </w:r>
      <w:r w:rsidRPr="0081094B">
        <w:rPr>
          <w:lang w:val="pl-PL"/>
        </w:rPr>
        <w:tab/>
        <w:t>SPOSÓB PODANIA</w:t>
      </w:r>
    </w:p>
    <w:p w14:paraId="2E1623F4" w14:textId="77777777" w:rsidR="00BD4E2B" w:rsidRPr="00F13073" w:rsidRDefault="00BD4E2B" w:rsidP="008B4C50"/>
    <w:p w14:paraId="226E0E9A" w14:textId="77777777" w:rsidR="00BD4E2B" w:rsidRPr="00F13073" w:rsidRDefault="00BD4E2B" w:rsidP="008B4C50"/>
    <w:p w14:paraId="7332DDF1" w14:textId="77777777" w:rsidR="00BD4E2B" w:rsidRPr="0081094B" w:rsidRDefault="00BD4E2B" w:rsidP="008B4C50">
      <w:pPr>
        <w:pStyle w:val="BoxedHeading"/>
        <w:rPr>
          <w:lang w:val="pl-PL"/>
        </w:rPr>
      </w:pPr>
      <w:r w:rsidRPr="0081094B">
        <w:rPr>
          <w:lang w:val="pl-PL"/>
        </w:rPr>
        <w:t>3.</w:t>
      </w:r>
      <w:r w:rsidRPr="0081094B">
        <w:rPr>
          <w:lang w:val="pl-PL"/>
        </w:rPr>
        <w:tab/>
        <w:t>TERMIN WAŻNOŚCI</w:t>
      </w:r>
    </w:p>
    <w:p w14:paraId="01796901" w14:textId="77777777" w:rsidR="00BD4E2B" w:rsidRPr="00F13073" w:rsidRDefault="00BD4E2B" w:rsidP="008B4C50"/>
    <w:p w14:paraId="29BE07FB" w14:textId="77777777" w:rsidR="00BD4E2B" w:rsidRPr="00F13073" w:rsidRDefault="00BD4E2B" w:rsidP="008B4C50">
      <w:r w:rsidRPr="00F13073">
        <w:t>EXP</w:t>
      </w:r>
    </w:p>
    <w:p w14:paraId="7A44FFFF" w14:textId="77777777" w:rsidR="00BD4E2B" w:rsidRPr="00F13073" w:rsidRDefault="00BD4E2B" w:rsidP="008B4C50"/>
    <w:p w14:paraId="441DE0D8" w14:textId="77777777" w:rsidR="00BD4E2B" w:rsidRPr="00F13073" w:rsidRDefault="00BD4E2B" w:rsidP="008B4C50"/>
    <w:p w14:paraId="4947A2CC" w14:textId="77777777" w:rsidR="00BD4E2B" w:rsidRPr="0081094B" w:rsidRDefault="00BD4E2B" w:rsidP="008B4C50">
      <w:pPr>
        <w:pStyle w:val="BoxedHeading"/>
        <w:rPr>
          <w:lang w:val="pl-PL"/>
        </w:rPr>
      </w:pPr>
      <w:r w:rsidRPr="0081094B">
        <w:rPr>
          <w:lang w:val="pl-PL"/>
        </w:rPr>
        <w:t>4.</w:t>
      </w:r>
      <w:r w:rsidRPr="0081094B">
        <w:rPr>
          <w:lang w:val="pl-PL"/>
        </w:rPr>
        <w:tab/>
        <w:t>NUMER SERII</w:t>
      </w:r>
    </w:p>
    <w:p w14:paraId="5C3D4E44" w14:textId="77777777" w:rsidR="00BD4E2B" w:rsidRPr="00F13073" w:rsidRDefault="00BD4E2B" w:rsidP="008B4C50"/>
    <w:p w14:paraId="36F05E98" w14:textId="77777777" w:rsidR="00BD4E2B" w:rsidRPr="00F13073" w:rsidRDefault="00BD4E2B" w:rsidP="008B4C50">
      <w:r w:rsidRPr="00F13073">
        <w:t>Lot</w:t>
      </w:r>
    </w:p>
    <w:p w14:paraId="3E69C988" w14:textId="77777777" w:rsidR="00BD4E2B" w:rsidRPr="00F13073" w:rsidRDefault="00BD4E2B" w:rsidP="008B4C50"/>
    <w:p w14:paraId="7B6537DA" w14:textId="77777777" w:rsidR="00BD4E2B" w:rsidRPr="00F13073" w:rsidRDefault="00BD4E2B" w:rsidP="008B4C50"/>
    <w:p w14:paraId="751C910A" w14:textId="77777777" w:rsidR="00BD4E2B" w:rsidRPr="0081094B" w:rsidRDefault="00BD4E2B" w:rsidP="008B4C50">
      <w:pPr>
        <w:pStyle w:val="BoxedHeading"/>
        <w:rPr>
          <w:lang w:val="pl-PL"/>
        </w:rPr>
      </w:pPr>
      <w:r w:rsidRPr="0081094B">
        <w:rPr>
          <w:lang w:val="pl-PL"/>
        </w:rPr>
        <w:t>5.</w:t>
      </w:r>
      <w:r w:rsidRPr="0081094B">
        <w:rPr>
          <w:lang w:val="pl-PL"/>
        </w:rPr>
        <w:tab/>
        <w:t>ZAWARTOŚĆ OPAKOWANIA Z PODANIEM MASY, OBJĘTOŚCI LUB LICZBY JEDNOSTEK</w:t>
      </w:r>
    </w:p>
    <w:p w14:paraId="63F52DBB" w14:textId="77777777" w:rsidR="00BD4E2B" w:rsidRPr="00F13073" w:rsidRDefault="00BD4E2B" w:rsidP="008B4C50"/>
    <w:p w14:paraId="4FE85DF0" w14:textId="77777777" w:rsidR="00BD4E2B" w:rsidRPr="00F13073" w:rsidRDefault="00BD4E2B" w:rsidP="008B4C50">
      <w:r w:rsidRPr="00F13073">
        <w:t>162 mg/0,9 mL</w:t>
      </w:r>
    </w:p>
    <w:p w14:paraId="20689575" w14:textId="77777777" w:rsidR="00BD4E2B" w:rsidRPr="00F13073" w:rsidRDefault="00BD4E2B" w:rsidP="008B4C50"/>
    <w:p w14:paraId="673A781A" w14:textId="77777777" w:rsidR="00BD4E2B" w:rsidRPr="00F13073" w:rsidRDefault="00BD4E2B" w:rsidP="008B4C50"/>
    <w:p w14:paraId="491E6C0A" w14:textId="77777777" w:rsidR="00BD4E2B" w:rsidRPr="0081094B" w:rsidRDefault="00BD4E2B" w:rsidP="008B4C50">
      <w:pPr>
        <w:pStyle w:val="BoxedHeading"/>
        <w:rPr>
          <w:lang w:val="pl-PL"/>
        </w:rPr>
      </w:pPr>
      <w:r w:rsidRPr="0081094B">
        <w:rPr>
          <w:lang w:val="pl-PL"/>
        </w:rPr>
        <w:t>6.</w:t>
      </w:r>
      <w:r w:rsidRPr="0081094B">
        <w:rPr>
          <w:lang w:val="pl-PL"/>
        </w:rPr>
        <w:tab/>
        <w:t>INNE</w:t>
      </w:r>
    </w:p>
    <w:p w14:paraId="2F23995F" w14:textId="77777777" w:rsidR="00554ED8" w:rsidRPr="00F13073" w:rsidRDefault="00554ED8" w:rsidP="008B4C50"/>
    <w:p w14:paraId="66B3C031" w14:textId="7F09DE0C" w:rsidR="007771A6" w:rsidRPr="00F13073" w:rsidRDefault="00554ED8" w:rsidP="00F2572D">
      <w:pPr>
        <w:pBdr>
          <w:top w:val="single" w:sz="4" w:space="1" w:color="auto"/>
          <w:left w:val="single" w:sz="4" w:space="4" w:color="auto"/>
          <w:bottom w:val="single" w:sz="4" w:space="1" w:color="auto"/>
          <w:right w:val="single" w:sz="4" w:space="4" w:color="auto"/>
        </w:pBdr>
        <w:rPr>
          <w:b/>
          <w:bCs/>
        </w:rPr>
      </w:pPr>
      <w:r w:rsidRPr="00F13073">
        <w:br w:type="page"/>
      </w:r>
      <w:r w:rsidR="003557C3" w:rsidRPr="00F13073">
        <w:rPr>
          <w:b/>
          <w:bCs/>
        </w:rPr>
        <w:lastRenderedPageBreak/>
        <w:t>MINIMUM INFORMACJI ZAMIESZCZANYCH NA MAŁYCH OPAKOWANIACH BEZPOŚREDNICH</w:t>
      </w:r>
    </w:p>
    <w:p w14:paraId="18E0F983" w14:textId="77777777" w:rsidR="007771A6" w:rsidRPr="00F13073" w:rsidRDefault="007771A6" w:rsidP="008B4C50">
      <w:pPr>
        <w:pBdr>
          <w:top w:val="single" w:sz="4" w:space="1" w:color="auto"/>
          <w:left w:val="single" w:sz="4" w:space="4" w:color="auto"/>
          <w:bottom w:val="single" w:sz="4" w:space="1" w:color="auto"/>
          <w:right w:val="single" w:sz="4" w:space="4" w:color="auto"/>
        </w:pBdr>
        <w:rPr>
          <w:b/>
          <w:bCs/>
        </w:rPr>
      </w:pPr>
    </w:p>
    <w:p w14:paraId="09D0C4AD" w14:textId="77777777" w:rsidR="007771A6" w:rsidRPr="00F13073" w:rsidRDefault="003557C3" w:rsidP="008B4C50">
      <w:pPr>
        <w:pBdr>
          <w:top w:val="single" w:sz="4" w:space="1" w:color="auto"/>
          <w:left w:val="single" w:sz="4" w:space="4" w:color="auto"/>
          <w:bottom w:val="single" w:sz="4" w:space="1" w:color="auto"/>
          <w:right w:val="single" w:sz="4" w:space="4" w:color="auto"/>
        </w:pBdr>
        <w:rPr>
          <w:b/>
          <w:bCs/>
        </w:rPr>
      </w:pPr>
      <w:r w:rsidRPr="00F13073">
        <w:rPr>
          <w:b/>
          <w:bCs/>
        </w:rPr>
        <w:t>ETYKIETA WSTRZYKIWACZA PÓŁAUTOMATYCZNEGO NAPEŁNIONEGO</w:t>
      </w:r>
    </w:p>
    <w:p w14:paraId="2915C929" w14:textId="77777777" w:rsidR="007771A6" w:rsidRPr="00F13073" w:rsidRDefault="007771A6" w:rsidP="008B4C50"/>
    <w:p w14:paraId="43D2F918" w14:textId="77777777" w:rsidR="00554ED8" w:rsidRPr="00F13073" w:rsidRDefault="00554ED8" w:rsidP="008B4C50"/>
    <w:p w14:paraId="0FAAE756" w14:textId="77777777" w:rsidR="003557C3" w:rsidRPr="0081094B" w:rsidRDefault="003557C3" w:rsidP="008B4C50">
      <w:pPr>
        <w:pStyle w:val="BoxedHeading"/>
        <w:rPr>
          <w:lang w:val="pl-PL"/>
        </w:rPr>
      </w:pPr>
      <w:r w:rsidRPr="0081094B">
        <w:rPr>
          <w:lang w:val="pl-PL"/>
        </w:rPr>
        <w:t>1.</w:t>
      </w:r>
      <w:r w:rsidRPr="0081094B">
        <w:rPr>
          <w:lang w:val="pl-PL"/>
        </w:rPr>
        <w:tab/>
        <w:t>NAZWA PRODUKTU LECZNICZEGO I DROGA (DROGI) PODANIA</w:t>
      </w:r>
    </w:p>
    <w:p w14:paraId="2A798B03" w14:textId="77777777" w:rsidR="003557C3" w:rsidRPr="00F13073" w:rsidRDefault="003557C3" w:rsidP="008B4C50"/>
    <w:p w14:paraId="13D6B17B" w14:textId="7C64BDD2" w:rsidR="003557C3" w:rsidRPr="00F13073" w:rsidRDefault="00026375" w:rsidP="008B4C50">
      <w:r w:rsidRPr="00F13073">
        <w:t>Avtozma</w:t>
      </w:r>
      <w:r w:rsidR="003557C3" w:rsidRPr="00F13073">
        <w:t xml:space="preserve"> 162 mg zastrzyk</w:t>
      </w:r>
    </w:p>
    <w:p w14:paraId="2E6388C9" w14:textId="77777777" w:rsidR="003557C3" w:rsidRPr="00F13073" w:rsidRDefault="003557C3" w:rsidP="008B4C50">
      <w:r w:rsidRPr="00F13073">
        <w:t>tocilizumab</w:t>
      </w:r>
    </w:p>
    <w:p w14:paraId="3B835D56" w14:textId="77777777" w:rsidR="003557C3" w:rsidRPr="00F13073" w:rsidRDefault="003557C3" w:rsidP="008B4C50">
      <w:r w:rsidRPr="00F13073">
        <w:t>sc.</w:t>
      </w:r>
    </w:p>
    <w:p w14:paraId="39A08FAC" w14:textId="77777777" w:rsidR="003557C3" w:rsidRPr="00F13073" w:rsidRDefault="003557C3" w:rsidP="008B4C50"/>
    <w:p w14:paraId="5FB494BF" w14:textId="77777777" w:rsidR="003557C3" w:rsidRPr="00F13073" w:rsidRDefault="003557C3" w:rsidP="008B4C50"/>
    <w:p w14:paraId="2DBB465E" w14:textId="55F7F936" w:rsidR="003557C3" w:rsidRPr="0081094B" w:rsidRDefault="003557C3" w:rsidP="008B4C50">
      <w:pPr>
        <w:pStyle w:val="BoxedHeading"/>
        <w:rPr>
          <w:lang w:val="pl-PL"/>
        </w:rPr>
      </w:pPr>
      <w:r w:rsidRPr="0081094B">
        <w:rPr>
          <w:lang w:val="pl-PL"/>
        </w:rPr>
        <w:t>2.</w:t>
      </w:r>
      <w:r w:rsidRPr="0081094B">
        <w:rPr>
          <w:lang w:val="pl-PL"/>
        </w:rPr>
        <w:tab/>
        <w:t>SPOSÓB PODANIA</w:t>
      </w:r>
    </w:p>
    <w:p w14:paraId="04875BF8" w14:textId="77777777" w:rsidR="003557C3" w:rsidRPr="00F13073" w:rsidRDefault="003557C3" w:rsidP="008B4C50"/>
    <w:p w14:paraId="57DFE813" w14:textId="77777777" w:rsidR="003557C3" w:rsidRPr="00F13073" w:rsidRDefault="003557C3" w:rsidP="008B4C50"/>
    <w:p w14:paraId="43D6F678" w14:textId="77777777" w:rsidR="003557C3" w:rsidRPr="0081094B" w:rsidRDefault="003557C3" w:rsidP="008B4C50">
      <w:pPr>
        <w:pStyle w:val="BoxedHeading"/>
        <w:rPr>
          <w:lang w:val="pl-PL"/>
        </w:rPr>
      </w:pPr>
      <w:r w:rsidRPr="0081094B">
        <w:rPr>
          <w:lang w:val="pl-PL"/>
        </w:rPr>
        <w:t>3.</w:t>
      </w:r>
      <w:r w:rsidRPr="0081094B">
        <w:rPr>
          <w:lang w:val="pl-PL"/>
        </w:rPr>
        <w:tab/>
        <w:t>TERMIN WAŻNOŚCI</w:t>
      </w:r>
    </w:p>
    <w:p w14:paraId="28BA4412" w14:textId="77777777" w:rsidR="003557C3" w:rsidRPr="00F13073" w:rsidRDefault="003557C3" w:rsidP="008B4C50"/>
    <w:p w14:paraId="0CD21E4A" w14:textId="77777777" w:rsidR="003557C3" w:rsidRPr="00F13073" w:rsidRDefault="003557C3" w:rsidP="008B4C50">
      <w:r w:rsidRPr="00F13073">
        <w:t>EXP</w:t>
      </w:r>
    </w:p>
    <w:p w14:paraId="73E0B5C0" w14:textId="77777777" w:rsidR="003557C3" w:rsidRPr="00F13073" w:rsidRDefault="003557C3" w:rsidP="008B4C50"/>
    <w:p w14:paraId="0EA981C9" w14:textId="77777777" w:rsidR="003557C3" w:rsidRPr="00F13073" w:rsidRDefault="003557C3" w:rsidP="008B4C50"/>
    <w:p w14:paraId="17E4B963" w14:textId="77777777" w:rsidR="003557C3" w:rsidRPr="0081094B" w:rsidRDefault="003557C3" w:rsidP="008B4C50">
      <w:pPr>
        <w:pStyle w:val="BoxedHeading"/>
        <w:rPr>
          <w:lang w:val="pl-PL"/>
        </w:rPr>
      </w:pPr>
      <w:r w:rsidRPr="0081094B">
        <w:rPr>
          <w:lang w:val="pl-PL"/>
        </w:rPr>
        <w:t>4.</w:t>
      </w:r>
      <w:r w:rsidRPr="0081094B">
        <w:rPr>
          <w:lang w:val="pl-PL"/>
        </w:rPr>
        <w:tab/>
        <w:t>NUMER SERII</w:t>
      </w:r>
    </w:p>
    <w:p w14:paraId="3CA8DBBD" w14:textId="77777777" w:rsidR="003557C3" w:rsidRPr="00F13073" w:rsidRDefault="003557C3" w:rsidP="008B4C50"/>
    <w:p w14:paraId="3502B428" w14:textId="77777777" w:rsidR="003557C3" w:rsidRPr="00F13073" w:rsidRDefault="003557C3" w:rsidP="008B4C50">
      <w:r w:rsidRPr="00F13073">
        <w:t>Lot</w:t>
      </w:r>
    </w:p>
    <w:p w14:paraId="43C63BD9" w14:textId="77777777" w:rsidR="003557C3" w:rsidRPr="00F13073" w:rsidRDefault="003557C3" w:rsidP="008B4C50"/>
    <w:p w14:paraId="26F2BB17" w14:textId="77777777" w:rsidR="003557C3" w:rsidRPr="00F13073" w:rsidRDefault="003557C3" w:rsidP="008B4C50"/>
    <w:p w14:paraId="4900313B" w14:textId="77777777" w:rsidR="003557C3" w:rsidRPr="0081094B" w:rsidRDefault="003557C3" w:rsidP="008B4C50">
      <w:pPr>
        <w:pStyle w:val="BoxedHeading"/>
        <w:rPr>
          <w:lang w:val="pl-PL"/>
        </w:rPr>
      </w:pPr>
      <w:r w:rsidRPr="0081094B">
        <w:rPr>
          <w:lang w:val="pl-PL"/>
        </w:rPr>
        <w:t>5.</w:t>
      </w:r>
      <w:r w:rsidRPr="0081094B">
        <w:rPr>
          <w:lang w:val="pl-PL"/>
        </w:rPr>
        <w:tab/>
        <w:t>ZAWARTOŚĆ OPAKOWANIA Z PODANIEM MASY, OBJĘTOŚCI LUB LICZBY JEDNOSTEK</w:t>
      </w:r>
    </w:p>
    <w:p w14:paraId="276D700A" w14:textId="77777777" w:rsidR="003557C3" w:rsidRPr="00F13073" w:rsidRDefault="003557C3" w:rsidP="008B4C50"/>
    <w:p w14:paraId="2C6FEDAD" w14:textId="77777777" w:rsidR="003557C3" w:rsidRPr="00F13073" w:rsidRDefault="003557C3" w:rsidP="008B4C50">
      <w:r w:rsidRPr="00F13073">
        <w:t>162 mg/0,9 mL</w:t>
      </w:r>
    </w:p>
    <w:p w14:paraId="5CFDC89B" w14:textId="77777777" w:rsidR="003557C3" w:rsidRPr="00F13073" w:rsidRDefault="003557C3" w:rsidP="008B4C50"/>
    <w:p w14:paraId="0F05DC72" w14:textId="77777777" w:rsidR="003557C3" w:rsidRPr="00F13073" w:rsidRDefault="003557C3" w:rsidP="008B4C50"/>
    <w:p w14:paraId="6EE6B7BC" w14:textId="77777777" w:rsidR="003557C3" w:rsidRPr="0081094B" w:rsidRDefault="003557C3" w:rsidP="008B4C50">
      <w:pPr>
        <w:pStyle w:val="BoxedHeading"/>
        <w:rPr>
          <w:lang w:val="pl-PL"/>
        </w:rPr>
      </w:pPr>
      <w:r w:rsidRPr="0081094B">
        <w:rPr>
          <w:lang w:val="pl-PL"/>
        </w:rPr>
        <w:t>6.</w:t>
      </w:r>
      <w:r w:rsidRPr="0081094B">
        <w:rPr>
          <w:lang w:val="pl-PL"/>
        </w:rPr>
        <w:tab/>
        <w:t>INNE</w:t>
      </w:r>
    </w:p>
    <w:p w14:paraId="24239B96" w14:textId="77777777" w:rsidR="00554ED8" w:rsidRPr="00F13073" w:rsidRDefault="00554ED8" w:rsidP="008B4C50"/>
    <w:p w14:paraId="05149FBD" w14:textId="77777777" w:rsidR="00554ED8" w:rsidRPr="00F13073" w:rsidRDefault="00554ED8" w:rsidP="008B4C50">
      <w:r w:rsidRPr="00F13073">
        <w:br w:type="page"/>
      </w:r>
    </w:p>
    <w:p w14:paraId="0340CBC3" w14:textId="77777777" w:rsidR="00554ED8" w:rsidRPr="00F13073" w:rsidRDefault="00554ED8" w:rsidP="008B4C50"/>
    <w:p w14:paraId="67D5B0DC" w14:textId="77777777" w:rsidR="007771A6" w:rsidRPr="00F13073" w:rsidRDefault="007771A6" w:rsidP="008B4C50">
      <w:bookmarkStart w:id="40" w:name="bookmark12"/>
    </w:p>
    <w:p w14:paraId="0BEECA89" w14:textId="77777777" w:rsidR="007771A6" w:rsidRPr="00F13073" w:rsidRDefault="007771A6" w:rsidP="008B4C50"/>
    <w:p w14:paraId="62DC8F62" w14:textId="77777777" w:rsidR="007771A6" w:rsidRPr="00F13073" w:rsidRDefault="007771A6" w:rsidP="008B4C50"/>
    <w:p w14:paraId="4275837C" w14:textId="77777777" w:rsidR="007771A6" w:rsidRPr="00F13073" w:rsidRDefault="007771A6" w:rsidP="008B4C50"/>
    <w:p w14:paraId="31420091" w14:textId="77777777" w:rsidR="007771A6" w:rsidRPr="00F13073" w:rsidRDefault="007771A6" w:rsidP="008B4C50"/>
    <w:p w14:paraId="4C1C9052" w14:textId="77777777" w:rsidR="007771A6" w:rsidRPr="00F13073" w:rsidRDefault="007771A6" w:rsidP="008B4C50"/>
    <w:p w14:paraId="7ED964DD" w14:textId="77777777" w:rsidR="007771A6" w:rsidRPr="00F13073" w:rsidRDefault="007771A6" w:rsidP="008B4C50"/>
    <w:p w14:paraId="74FF72A2" w14:textId="77777777" w:rsidR="007771A6" w:rsidRPr="00F13073" w:rsidRDefault="007771A6" w:rsidP="008B4C50"/>
    <w:p w14:paraId="06DDB6E7" w14:textId="77777777" w:rsidR="007771A6" w:rsidRPr="00F13073" w:rsidRDefault="007771A6" w:rsidP="008B4C50"/>
    <w:p w14:paraId="02BE6DC0" w14:textId="77777777" w:rsidR="007771A6" w:rsidRPr="00F13073" w:rsidRDefault="007771A6" w:rsidP="008B4C50"/>
    <w:p w14:paraId="5E850A35" w14:textId="77777777" w:rsidR="007771A6" w:rsidRPr="00F13073" w:rsidRDefault="007771A6" w:rsidP="008B4C50"/>
    <w:p w14:paraId="30E57A95" w14:textId="77777777" w:rsidR="007771A6" w:rsidRPr="00F13073" w:rsidRDefault="007771A6" w:rsidP="008B4C50"/>
    <w:p w14:paraId="055ED956" w14:textId="77777777" w:rsidR="007771A6" w:rsidRPr="00F13073" w:rsidRDefault="007771A6" w:rsidP="008B4C50"/>
    <w:p w14:paraId="22C47E01" w14:textId="77777777" w:rsidR="007771A6" w:rsidRPr="00F13073" w:rsidRDefault="007771A6" w:rsidP="008B4C50"/>
    <w:p w14:paraId="6722A3F5" w14:textId="77777777" w:rsidR="007771A6" w:rsidRPr="00F13073" w:rsidRDefault="007771A6" w:rsidP="008B4C50"/>
    <w:p w14:paraId="36F8E5AA" w14:textId="77777777" w:rsidR="007771A6" w:rsidRPr="00F13073" w:rsidRDefault="007771A6" w:rsidP="008B4C50"/>
    <w:p w14:paraId="058F87AC" w14:textId="77777777" w:rsidR="007771A6" w:rsidRPr="00F13073" w:rsidRDefault="007771A6" w:rsidP="008B4C50"/>
    <w:p w14:paraId="6E548DF3" w14:textId="77777777" w:rsidR="007771A6" w:rsidRPr="00F13073" w:rsidRDefault="007771A6" w:rsidP="008B4C50"/>
    <w:p w14:paraId="3CD69385" w14:textId="77777777" w:rsidR="007771A6" w:rsidRPr="00F13073" w:rsidRDefault="007771A6" w:rsidP="008B4C50"/>
    <w:p w14:paraId="0EE6330E" w14:textId="77777777" w:rsidR="007771A6" w:rsidRPr="00F13073" w:rsidRDefault="007771A6" w:rsidP="008B4C50"/>
    <w:p w14:paraId="30415C7B" w14:textId="77777777" w:rsidR="007771A6" w:rsidRPr="00F13073" w:rsidRDefault="007771A6" w:rsidP="008B4C50"/>
    <w:p w14:paraId="56859D98" w14:textId="77777777" w:rsidR="001E0975" w:rsidRPr="00F13073" w:rsidRDefault="00611033" w:rsidP="008B4C50">
      <w:pPr>
        <w:pStyle w:val="TitleA"/>
        <w:contextualSpacing w:val="0"/>
        <w:rPr>
          <w:lang w:val="pl-PL"/>
        </w:rPr>
      </w:pPr>
      <w:r w:rsidRPr="00F13073">
        <w:rPr>
          <w:lang w:val="pl-PL"/>
        </w:rPr>
        <w:t xml:space="preserve">B. </w:t>
      </w:r>
      <w:bookmarkEnd w:id="40"/>
      <w:r w:rsidR="003557C3" w:rsidRPr="00F13073">
        <w:rPr>
          <w:lang w:val="pl-PL"/>
        </w:rPr>
        <w:t>ULOTKA DLA PACJENTA</w:t>
      </w:r>
    </w:p>
    <w:p w14:paraId="78E5A58A" w14:textId="461045D7" w:rsidR="00E67137" w:rsidRPr="00F13073" w:rsidRDefault="007771A6" w:rsidP="00F2572D">
      <w:pPr>
        <w:jc w:val="center"/>
        <w:rPr>
          <w:b/>
          <w:bCs/>
        </w:rPr>
      </w:pPr>
      <w:r w:rsidRPr="00F13073">
        <w:br w:type="page"/>
      </w:r>
      <w:r w:rsidR="00E67137" w:rsidRPr="00F13073">
        <w:rPr>
          <w:b/>
          <w:bCs/>
        </w:rPr>
        <w:lastRenderedPageBreak/>
        <w:t>Ulotka dołączona do opakowania: informacja dla użytkownika</w:t>
      </w:r>
    </w:p>
    <w:p w14:paraId="1D0C942C" w14:textId="77777777" w:rsidR="00E67137" w:rsidRPr="00F13073" w:rsidRDefault="00E67137" w:rsidP="008B4C50">
      <w:pPr>
        <w:jc w:val="center"/>
        <w:rPr>
          <w:b/>
          <w:bCs/>
        </w:rPr>
      </w:pPr>
    </w:p>
    <w:p w14:paraId="069D2B56" w14:textId="3FD31607" w:rsidR="0069637C" w:rsidRPr="00F13073" w:rsidRDefault="00026375" w:rsidP="008B4C50">
      <w:pPr>
        <w:jc w:val="center"/>
        <w:rPr>
          <w:b/>
          <w:bCs/>
        </w:rPr>
      </w:pPr>
      <w:r w:rsidRPr="00F13073">
        <w:rPr>
          <w:b/>
          <w:bCs/>
        </w:rPr>
        <w:t>Avtozma</w:t>
      </w:r>
      <w:r w:rsidR="00E67137" w:rsidRPr="00F13073">
        <w:rPr>
          <w:b/>
          <w:bCs/>
        </w:rPr>
        <w:t xml:space="preserve"> 20 mg/mL koncentrat do sporządzania roztworu do infuzji</w:t>
      </w:r>
    </w:p>
    <w:p w14:paraId="5694436E" w14:textId="77777777" w:rsidR="001E0975" w:rsidRPr="00F13073" w:rsidRDefault="00611033" w:rsidP="008B4C50">
      <w:pPr>
        <w:jc w:val="center"/>
      </w:pPr>
      <w:r w:rsidRPr="00F13073">
        <w:t>tocilizumab</w:t>
      </w:r>
    </w:p>
    <w:p w14:paraId="10EBADDA" w14:textId="77777777" w:rsidR="0069637C" w:rsidRPr="00F13073" w:rsidRDefault="0069637C" w:rsidP="008B4C50"/>
    <w:p w14:paraId="334C87EE" w14:textId="4C6C4100" w:rsidR="00323AB9" w:rsidRPr="00F13073" w:rsidRDefault="004929A7" w:rsidP="008B4C50">
      <w:r>
        <w:rPr>
          <w:noProof/>
          <w:lang w:val="en-US" w:eastAsia="ko-KR"/>
        </w:rPr>
        <w:drawing>
          <wp:inline distT="0" distB="0" distL="0" distR="0" wp14:anchorId="61300D81" wp14:editId="4A417682">
            <wp:extent cx="190500" cy="180975"/>
            <wp:effectExtent l="0" t="0" r="0"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323AB9" w:rsidRPr="00F13073">
        <w:t xml:space="preserve">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w:t>
      </w:r>
      <w:r w:rsidR="00FA3CE5" w:rsidRPr="00F13073">
        <w:t>—</w:t>
      </w:r>
      <w:r w:rsidR="00323AB9" w:rsidRPr="00F13073">
        <w:t xml:space="preserve"> patrz punkt 4.</w:t>
      </w:r>
    </w:p>
    <w:p w14:paraId="1CF48DEE" w14:textId="77777777" w:rsidR="00323AB9" w:rsidRPr="00F13073" w:rsidRDefault="00323AB9" w:rsidP="008B4C50">
      <w:pPr>
        <w:rPr>
          <w:b/>
          <w:bCs/>
        </w:rPr>
      </w:pPr>
    </w:p>
    <w:p w14:paraId="3C794456" w14:textId="0B38CBF1" w:rsidR="001E0975" w:rsidRPr="00F13073" w:rsidRDefault="00E67137" w:rsidP="008B4C50">
      <w:pPr>
        <w:rPr>
          <w:b/>
          <w:bCs/>
        </w:rPr>
      </w:pPr>
      <w:r w:rsidRPr="00F13073">
        <w:rPr>
          <w:b/>
          <w:bCs/>
        </w:rPr>
        <w:t>Należy uważnie zapoznać się z treścią ulotki przed zastosowaniem leku, ponieważ zawiera ona informacje ważne dla pacjenta</w:t>
      </w:r>
      <w:r w:rsidR="00F2572D" w:rsidRPr="00F13073">
        <w:rPr>
          <w:b/>
          <w:bCs/>
        </w:rPr>
        <w:t>.</w:t>
      </w:r>
    </w:p>
    <w:p w14:paraId="133F5D4E" w14:textId="77777777" w:rsidR="0069637C" w:rsidRPr="00F13073" w:rsidRDefault="0069637C" w:rsidP="008B4C50">
      <w:pPr>
        <w:rPr>
          <w:b/>
          <w:bCs/>
        </w:rPr>
      </w:pPr>
    </w:p>
    <w:p w14:paraId="00EB2672" w14:textId="77777777" w:rsidR="001E0975" w:rsidRPr="00F13073" w:rsidRDefault="004C65A2" w:rsidP="008B4C50">
      <w:pPr>
        <w:pStyle w:val="a0"/>
        <w:numPr>
          <w:ilvl w:val="0"/>
          <w:numId w:val="7"/>
        </w:numPr>
        <w:ind w:left="567" w:hanging="567"/>
        <w:contextualSpacing w:val="0"/>
        <w:rPr>
          <w:rStyle w:val="Char"/>
          <w:rFonts w:eastAsia="DengXian"/>
        </w:rPr>
      </w:pPr>
      <w:r w:rsidRPr="00F13073">
        <w:rPr>
          <w:rStyle w:val="Char"/>
          <w:rFonts w:eastAsia="DengXian"/>
        </w:rPr>
        <w:t>Należy zachować tę ulotkę, aby w razie potrzeby móc ją ponownie przeczytać.</w:t>
      </w:r>
    </w:p>
    <w:p w14:paraId="582EA43A" w14:textId="77777777" w:rsidR="004C65A2" w:rsidRPr="00F13073" w:rsidRDefault="004C65A2" w:rsidP="008B4C50">
      <w:pPr>
        <w:pStyle w:val="a0"/>
        <w:numPr>
          <w:ilvl w:val="0"/>
          <w:numId w:val="7"/>
        </w:numPr>
        <w:ind w:left="567" w:hanging="567"/>
        <w:contextualSpacing w:val="0"/>
        <w:rPr>
          <w:rStyle w:val="Char"/>
          <w:rFonts w:eastAsia="DengXian"/>
        </w:rPr>
      </w:pPr>
      <w:r w:rsidRPr="00F13073">
        <w:rPr>
          <w:rStyle w:val="Char"/>
          <w:rFonts w:eastAsia="DengXian"/>
        </w:rPr>
        <w:t>W razie jakichkolwiek wątpliwości należy zwrócić się do lekarza lub pielęgniarki.</w:t>
      </w:r>
    </w:p>
    <w:p w14:paraId="105F237C" w14:textId="77777777" w:rsidR="00E67137" w:rsidRPr="00F13073" w:rsidRDefault="00E67137" w:rsidP="008B4C50">
      <w:pPr>
        <w:pStyle w:val="a0"/>
        <w:numPr>
          <w:ilvl w:val="0"/>
          <w:numId w:val="7"/>
        </w:numPr>
        <w:ind w:left="567" w:hanging="567"/>
        <w:contextualSpacing w:val="0"/>
      </w:pPr>
      <w:r w:rsidRPr="00F13073">
        <w:rPr>
          <w:rStyle w:val="Char"/>
          <w:rFonts w:eastAsia="DengXian"/>
        </w:rPr>
        <w:t>Lek ten przepisano ściśle określonej osobie.</w:t>
      </w:r>
    </w:p>
    <w:p w14:paraId="2CE105E5" w14:textId="77777777" w:rsidR="004C65A2" w:rsidRPr="00F13073" w:rsidRDefault="00E67137" w:rsidP="008B4C50">
      <w:pPr>
        <w:pStyle w:val="a0"/>
        <w:numPr>
          <w:ilvl w:val="0"/>
          <w:numId w:val="7"/>
        </w:numPr>
        <w:ind w:left="567" w:hanging="567"/>
        <w:contextualSpacing w:val="0"/>
        <w:rPr>
          <w:rStyle w:val="Char"/>
          <w:rFonts w:eastAsia="DengXian"/>
        </w:rPr>
      </w:pPr>
      <w:r w:rsidRPr="00F13073">
        <w:rPr>
          <w:rStyle w:val="Char"/>
          <w:rFonts w:eastAsia="DengXian"/>
        </w:rPr>
        <w:t>Jeśli u pacjenta wystąpią jakiekolwiek objawy niepożądane, w tym wszelkie możliwe objawy niepożądane niewymienione w ulotce, należy powiedzieć o tym lekarzowi lub pielęgniarce. Patrz punkt 4.</w:t>
      </w:r>
    </w:p>
    <w:p w14:paraId="4FABDE5C" w14:textId="77777777" w:rsidR="0069637C" w:rsidRPr="00F13073" w:rsidRDefault="0069637C" w:rsidP="008B4C50"/>
    <w:p w14:paraId="0F7E43CB" w14:textId="2000E462" w:rsidR="001E0975" w:rsidRPr="00F13073" w:rsidRDefault="00FD478B" w:rsidP="008B4C50">
      <w:r w:rsidRPr="00F13073">
        <w:rPr>
          <w:rStyle w:val="Char"/>
          <w:rFonts w:eastAsia="DengXian"/>
        </w:rPr>
        <w:t xml:space="preserve">Oprócz tej ulotki pacjent otrzyma od lekarza </w:t>
      </w:r>
      <w:r w:rsidRPr="00F13073">
        <w:rPr>
          <w:rStyle w:val="Char"/>
          <w:rFonts w:eastAsia="DengXian"/>
          <w:b/>
          <w:bCs/>
        </w:rPr>
        <w:t>Kartę Ostrzegawczą dla Pacjenta</w:t>
      </w:r>
      <w:r w:rsidRPr="00F13073">
        <w:rPr>
          <w:rStyle w:val="Char"/>
          <w:rFonts w:eastAsia="DengXian"/>
        </w:rPr>
        <w:t xml:space="preserve">, która zawiera ważne informacje dotyczące bezpieczeństwa, o których chory powinien wiedzieć przed leczeniem i w trakcie leczenia lekiem </w:t>
      </w:r>
      <w:r w:rsidR="00026375" w:rsidRPr="00F13073">
        <w:rPr>
          <w:rStyle w:val="Char"/>
          <w:rFonts w:eastAsia="DengXian"/>
        </w:rPr>
        <w:t>Avtozma</w:t>
      </w:r>
      <w:r w:rsidRPr="00F13073">
        <w:rPr>
          <w:rStyle w:val="Char"/>
          <w:rFonts w:eastAsia="DengXian"/>
        </w:rPr>
        <w:t>.</w:t>
      </w:r>
    </w:p>
    <w:p w14:paraId="79FB8A73" w14:textId="77777777" w:rsidR="0051060F" w:rsidRPr="00F13073" w:rsidRDefault="0051060F" w:rsidP="008B4C50"/>
    <w:p w14:paraId="41FB5776" w14:textId="77777777" w:rsidR="001E0975" w:rsidRPr="00F13073" w:rsidRDefault="00FD478B" w:rsidP="008B4C50">
      <w:pPr>
        <w:keepNext/>
        <w:rPr>
          <w:b/>
          <w:bCs/>
        </w:rPr>
      </w:pPr>
      <w:r w:rsidRPr="00F13073">
        <w:rPr>
          <w:b/>
          <w:bCs/>
        </w:rPr>
        <w:t>Spis treści ulotki</w:t>
      </w:r>
      <w:r w:rsidR="00611033" w:rsidRPr="00F13073">
        <w:rPr>
          <w:b/>
          <w:bCs/>
        </w:rPr>
        <w:t>:</w:t>
      </w:r>
    </w:p>
    <w:p w14:paraId="6257231B" w14:textId="5D465546" w:rsidR="001E0975" w:rsidRPr="00F13073" w:rsidRDefault="00FD478B" w:rsidP="008B4C50">
      <w:pPr>
        <w:pStyle w:val="a0"/>
        <w:numPr>
          <w:ilvl w:val="0"/>
          <w:numId w:val="11"/>
        </w:numPr>
        <w:ind w:left="567" w:hanging="567"/>
        <w:contextualSpacing w:val="0"/>
        <w:rPr>
          <w:rStyle w:val="Char"/>
          <w:rFonts w:eastAsia="DengXian"/>
        </w:rPr>
      </w:pPr>
      <w:r w:rsidRPr="00F13073">
        <w:rPr>
          <w:rStyle w:val="Char"/>
          <w:rFonts w:eastAsia="DengXian"/>
        </w:rPr>
        <w:t xml:space="preserve">Co to jest lek </w:t>
      </w:r>
      <w:r w:rsidR="00026375" w:rsidRPr="00F13073">
        <w:rPr>
          <w:rStyle w:val="Char"/>
          <w:rFonts w:eastAsia="DengXian"/>
        </w:rPr>
        <w:t>Avtozma</w:t>
      </w:r>
      <w:r w:rsidRPr="00F13073">
        <w:rPr>
          <w:rStyle w:val="Char"/>
          <w:rFonts w:eastAsia="DengXian"/>
        </w:rPr>
        <w:t xml:space="preserve"> i w jakim celu się go stosuje</w:t>
      </w:r>
    </w:p>
    <w:p w14:paraId="43EAA976" w14:textId="6E4237D1" w:rsidR="00FD478B" w:rsidRPr="00F13073" w:rsidRDefault="00FD478B" w:rsidP="008B4C50">
      <w:pPr>
        <w:pStyle w:val="a0"/>
        <w:numPr>
          <w:ilvl w:val="0"/>
          <w:numId w:val="11"/>
        </w:numPr>
        <w:ind w:left="567" w:hanging="567"/>
        <w:contextualSpacing w:val="0"/>
        <w:rPr>
          <w:rStyle w:val="Char"/>
          <w:rFonts w:eastAsia="DengXian"/>
        </w:rPr>
      </w:pPr>
      <w:r w:rsidRPr="00F13073">
        <w:rPr>
          <w:rStyle w:val="Char"/>
          <w:rFonts w:eastAsia="DengXian"/>
        </w:rPr>
        <w:t xml:space="preserve">Informacje ważne przed zastosowaniem leku </w:t>
      </w:r>
      <w:r w:rsidR="00026375" w:rsidRPr="00F13073">
        <w:rPr>
          <w:rStyle w:val="Char"/>
          <w:rFonts w:eastAsia="DengXian"/>
        </w:rPr>
        <w:t>Avtozma</w:t>
      </w:r>
    </w:p>
    <w:p w14:paraId="1C73E7DD" w14:textId="7D644183" w:rsidR="00FD478B" w:rsidRPr="00F13073" w:rsidRDefault="00FD478B" w:rsidP="008B4C50">
      <w:pPr>
        <w:pStyle w:val="a0"/>
        <w:numPr>
          <w:ilvl w:val="0"/>
          <w:numId w:val="11"/>
        </w:numPr>
        <w:ind w:left="567" w:hanging="567"/>
        <w:contextualSpacing w:val="0"/>
        <w:rPr>
          <w:rStyle w:val="Char"/>
          <w:rFonts w:eastAsia="DengXian"/>
        </w:rPr>
      </w:pPr>
      <w:r w:rsidRPr="00F13073">
        <w:rPr>
          <w:rStyle w:val="Char"/>
          <w:rFonts w:eastAsia="DengXian"/>
        </w:rPr>
        <w:t xml:space="preserve">Jak stosować lek </w:t>
      </w:r>
      <w:r w:rsidR="00026375" w:rsidRPr="00F13073">
        <w:rPr>
          <w:rStyle w:val="Char"/>
          <w:rFonts w:eastAsia="DengXian"/>
        </w:rPr>
        <w:t>Avtozma</w:t>
      </w:r>
    </w:p>
    <w:p w14:paraId="2592D484" w14:textId="77777777" w:rsidR="00FD478B" w:rsidRPr="00F13073" w:rsidRDefault="00FD478B" w:rsidP="008B4C50">
      <w:pPr>
        <w:pStyle w:val="a0"/>
        <w:numPr>
          <w:ilvl w:val="0"/>
          <w:numId w:val="11"/>
        </w:numPr>
        <w:ind w:left="567" w:hanging="567"/>
        <w:contextualSpacing w:val="0"/>
        <w:rPr>
          <w:rStyle w:val="Char"/>
          <w:rFonts w:eastAsia="DengXian"/>
        </w:rPr>
      </w:pPr>
      <w:r w:rsidRPr="00F13073">
        <w:rPr>
          <w:rStyle w:val="Char"/>
          <w:rFonts w:eastAsia="DengXian"/>
        </w:rPr>
        <w:t>Możliwe działania niepożądane</w:t>
      </w:r>
    </w:p>
    <w:p w14:paraId="0CEF8D85" w14:textId="0A3230B6" w:rsidR="00FD478B" w:rsidRPr="00F13073" w:rsidRDefault="00FD478B" w:rsidP="008B4C50">
      <w:pPr>
        <w:pStyle w:val="a0"/>
        <w:numPr>
          <w:ilvl w:val="0"/>
          <w:numId w:val="11"/>
        </w:numPr>
        <w:ind w:left="567" w:hanging="567"/>
        <w:contextualSpacing w:val="0"/>
      </w:pPr>
      <w:r w:rsidRPr="00F13073">
        <w:rPr>
          <w:rStyle w:val="Char"/>
          <w:rFonts w:eastAsia="DengXian"/>
        </w:rPr>
        <w:t xml:space="preserve">Jak przechowywać lek </w:t>
      </w:r>
      <w:r w:rsidR="00026375" w:rsidRPr="00F13073">
        <w:rPr>
          <w:rStyle w:val="Char"/>
          <w:rFonts w:eastAsia="DengXian"/>
        </w:rPr>
        <w:t>Avtozma</w:t>
      </w:r>
    </w:p>
    <w:p w14:paraId="5D14D851" w14:textId="77777777" w:rsidR="001E0975" w:rsidRPr="00F13073" w:rsidRDefault="00FD478B" w:rsidP="008B4C50">
      <w:pPr>
        <w:pStyle w:val="a0"/>
        <w:numPr>
          <w:ilvl w:val="0"/>
          <w:numId w:val="11"/>
        </w:numPr>
        <w:ind w:left="567" w:hanging="567"/>
        <w:contextualSpacing w:val="0"/>
      </w:pPr>
      <w:r w:rsidRPr="00F13073">
        <w:rPr>
          <w:rStyle w:val="Char"/>
          <w:rFonts w:eastAsia="DengXian"/>
        </w:rPr>
        <w:t>Zawartość opakowania i inne informacje</w:t>
      </w:r>
    </w:p>
    <w:p w14:paraId="03BB93B1" w14:textId="77777777" w:rsidR="0051060F" w:rsidRPr="00F13073" w:rsidRDefault="0051060F" w:rsidP="008B4C50"/>
    <w:p w14:paraId="4E1D8EDE" w14:textId="77777777" w:rsidR="0051060F" w:rsidRPr="00F13073" w:rsidRDefault="0051060F" w:rsidP="008B4C50"/>
    <w:p w14:paraId="5EFEC2DF" w14:textId="42835BCE" w:rsidR="001E0975" w:rsidRPr="00F13073" w:rsidRDefault="001721B1" w:rsidP="008B4C50">
      <w:pPr>
        <w:keepNext/>
        <w:ind w:left="567" w:hanging="567"/>
        <w:rPr>
          <w:b/>
          <w:bCs/>
        </w:rPr>
      </w:pPr>
      <w:r w:rsidRPr="00F13073">
        <w:rPr>
          <w:b/>
          <w:bCs/>
        </w:rPr>
        <w:t>1.</w:t>
      </w:r>
      <w:r w:rsidRPr="00F13073">
        <w:rPr>
          <w:b/>
          <w:bCs/>
        </w:rPr>
        <w:tab/>
      </w:r>
      <w:r w:rsidR="000108A4" w:rsidRPr="00F13073">
        <w:rPr>
          <w:b/>
          <w:bCs/>
        </w:rPr>
        <w:t xml:space="preserve">Co to jest lek </w:t>
      </w:r>
      <w:r w:rsidR="00026375" w:rsidRPr="00F13073">
        <w:rPr>
          <w:b/>
          <w:bCs/>
        </w:rPr>
        <w:t>Avtozma</w:t>
      </w:r>
      <w:r w:rsidR="000108A4" w:rsidRPr="00F13073">
        <w:rPr>
          <w:b/>
          <w:bCs/>
        </w:rPr>
        <w:t xml:space="preserve"> i w jakim celu się go stosuje</w:t>
      </w:r>
    </w:p>
    <w:p w14:paraId="6E86D840" w14:textId="77777777" w:rsidR="0051060F" w:rsidRPr="00F13073" w:rsidRDefault="0051060F" w:rsidP="008B4C50">
      <w:pPr>
        <w:keepNext/>
        <w:ind w:left="567" w:hanging="567"/>
        <w:rPr>
          <w:b/>
          <w:bCs/>
        </w:rPr>
      </w:pPr>
    </w:p>
    <w:p w14:paraId="4622F707" w14:textId="16AB6643" w:rsidR="001E0975" w:rsidRPr="00F13073" w:rsidRDefault="000108A4" w:rsidP="008B4C50">
      <w:pPr>
        <w:keepNext/>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zawiera substancję czynną o nazwie tocilizumab. Jest to białko (przeciwciało monoklonalne) otrzymywane z pewnych komórek układu odpornościowego, które blokuje działanie konkretnego białka (cytokiny) - interleukiny-6. Białko to bierze udział w procesach zapalnych w organizmie, a jego zablokowanie może zmniejszać stan zapalny. Lek </w:t>
      </w:r>
      <w:r w:rsidR="00026375" w:rsidRPr="00F13073">
        <w:rPr>
          <w:rStyle w:val="Char"/>
          <w:rFonts w:eastAsia="DengXian"/>
        </w:rPr>
        <w:t>Avtozma</w:t>
      </w:r>
      <w:r w:rsidRPr="00F13073">
        <w:rPr>
          <w:rStyle w:val="Char"/>
          <w:rFonts w:eastAsia="DengXian"/>
        </w:rPr>
        <w:t xml:space="preserve"> pomaga złagodzić objawy takie jak ból i obrzęk stawów oraz może również poprawić sprawność pacjenta w radzeniu sobie z codziennymi czynnościami. Lek </w:t>
      </w:r>
      <w:r w:rsidR="00026375" w:rsidRPr="00F13073">
        <w:rPr>
          <w:rStyle w:val="Char"/>
          <w:rFonts w:eastAsia="DengXian"/>
        </w:rPr>
        <w:t>Avtozma</w:t>
      </w:r>
      <w:r w:rsidRPr="00F13073">
        <w:rPr>
          <w:rStyle w:val="Char"/>
          <w:rFonts w:eastAsia="DengXian"/>
        </w:rPr>
        <w:t xml:space="preserve"> spowalnia postęp uszkodzenia chrząstki i kości stawów spowodowany przez chorobę oraz powoduje poprawę zdolności pacjenta do wykonywania codziennych aktywności.</w:t>
      </w:r>
    </w:p>
    <w:p w14:paraId="466B910C" w14:textId="77777777" w:rsidR="0051060F" w:rsidRPr="00F13073" w:rsidRDefault="0051060F" w:rsidP="008B4C50">
      <w:pPr>
        <w:keepNext/>
      </w:pPr>
    </w:p>
    <w:p w14:paraId="27A85A78" w14:textId="7581BBAB" w:rsidR="000108A4"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b/>
          <w:bCs/>
        </w:rPr>
        <w:t xml:space="preserve">Lek </w:t>
      </w:r>
      <w:r w:rsidR="00026375" w:rsidRPr="00F13073">
        <w:rPr>
          <w:rStyle w:val="Char"/>
          <w:rFonts w:eastAsia="DengXian"/>
          <w:b/>
          <w:bCs/>
        </w:rPr>
        <w:t>Avtozma</w:t>
      </w:r>
      <w:r w:rsidRPr="00F13073">
        <w:rPr>
          <w:rStyle w:val="Char"/>
          <w:rFonts w:eastAsia="DengXian"/>
          <w:b/>
          <w:bCs/>
        </w:rPr>
        <w:t xml:space="preserve"> stosuje się w leczeniu dorosłych </w:t>
      </w:r>
      <w:r w:rsidRPr="00F13073">
        <w:rPr>
          <w:rStyle w:val="Char"/>
          <w:rFonts w:eastAsia="DengXian"/>
        </w:rPr>
        <w:t xml:space="preserve">z czynnym, o nasileniu umiarkowanym do ciężkiego, reumatoidalnym zapaleniem stawów (RZS), chorobą autoimmunologiczną, u których wcześniejsze leczenie nie powiodło się. Lek </w:t>
      </w:r>
      <w:r w:rsidR="00026375" w:rsidRPr="00F13073">
        <w:rPr>
          <w:rStyle w:val="Char"/>
          <w:rFonts w:eastAsia="DengXian"/>
        </w:rPr>
        <w:t>Avtozma</w:t>
      </w:r>
      <w:r w:rsidRPr="00F13073">
        <w:rPr>
          <w:rStyle w:val="Char"/>
          <w:rFonts w:eastAsia="DengXian"/>
        </w:rPr>
        <w:t xml:space="preserve"> jest podawany zwykle w skojarzeniu z metotreksatem. Lek </w:t>
      </w:r>
      <w:r w:rsidR="00026375" w:rsidRPr="00F13073">
        <w:rPr>
          <w:rStyle w:val="Char"/>
          <w:rFonts w:eastAsia="DengXian"/>
        </w:rPr>
        <w:t>Avtozma</w:t>
      </w:r>
      <w:r w:rsidRPr="00F13073">
        <w:rPr>
          <w:rStyle w:val="Char"/>
          <w:rFonts w:eastAsia="DengXian"/>
        </w:rPr>
        <w:t xml:space="preserve"> może być podawany również w monoterapii, jeżeli lekarz prowadzący stwierdzi, że leczenie metotreksatem jest niewskazane.</w:t>
      </w:r>
    </w:p>
    <w:p w14:paraId="00A370A9" w14:textId="77777777" w:rsidR="000108A4" w:rsidRPr="00F13073" w:rsidRDefault="000108A4" w:rsidP="008B4C50"/>
    <w:p w14:paraId="1925A650" w14:textId="0D097507" w:rsidR="000108A4"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może być również stosowany w leczeniu dorosłych nieotrzymujących wcześniej leczenia metotreksatem, którzy mają czynne postępujące RZS o ciężkim nasileniu.</w:t>
      </w:r>
    </w:p>
    <w:p w14:paraId="546A1744" w14:textId="77777777" w:rsidR="000108A4" w:rsidRPr="00F13073" w:rsidRDefault="000108A4" w:rsidP="008B4C50">
      <w:pPr>
        <w:pStyle w:val="a0"/>
      </w:pPr>
    </w:p>
    <w:p w14:paraId="050B66A2" w14:textId="7C882C6A" w:rsidR="000108A4"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b/>
          <w:bCs/>
        </w:rPr>
        <w:t xml:space="preserve">Lek </w:t>
      </w:r>
      <w:r w:rsidR="00026375" w:rsidRPr="00F13073">
        <w:rPr>
          <w:rStyle w:val="Char"/>
          <w:rFonts w:eastAsia="DengXian"/>
          <w:b/>
          <w:bCs/>
        </w:rPr>
        <w:t>Avtozma</w:t>
      </w:r>
      <w:r w:rsidRPr="00F13073">
        <w:rPr>
          <w:rStyle w:val="Char"/>
          <w:rFonts w:eastAsia="DengXian"/>
          <w:b/>
          <w:bCs/>
        </w:rPr>
        <w:t xml:space="preserve"> jest także stosowany w leczeniu dzieci </w:t>
      </w:r>
      <w:r w:rsidRPr="00F13073">
        <w:rPr>
          <w:rStyle w:val="Char"/>
          <w:rFonts w:eastAsia="DengXian"/>
        </w:rPr>
        <w:t xml:space="preserve">w wieku co najmniej 2 lat </w:t>
      </w:r>
      <w:r w:rsidRPr="00F13073">
        <w:rPr>
          <w:rStyle w:val="Char"/>
          <w:rFonts w:eastAsia="DengXian"/>
          <w:b/>
          <w:bCs/>
          <w:i/>
          <w:iCs/>
        </w:rPr>
        <w:t>z czynnym młodzieńczym idiopatycznym zapaleniem stawów o początku uogólnionym (uMIZS)</w:t>
      </w:r>
      <w:r w:rsidRPr="00F13073">
        <w:rPr>
          <w:rStyle w:val="Char"/>
          <w:rFonts w:eastAsia="DengXian"/>
        </w:rPr>
        <w:t xml:space="preserve">. Jest to choroba zapalna, która powoduje ból i obrzęki w obrębie co najmniej jednego stawu oraz </w:t>
      </w:r>
      <w:r w:rsidRPr="00F13073">
        <w:rPr>
          <w:rStyle w:val="Char"/>
          <w:rFonts w:eastAsia="DengXian"/>
        </w:rPr>
        <w:lastRenderedPageBreak/>
        <w:t xml:space="preserve">wywołuje gorączkę i wysypkę. Lek </w:t>
      </w:r>
      <w:r w:rsidR="00026375" w:rsidRPr="00F13073">
        <w:rPr>
          <w:rStyle w:val="Char"/>
          <w:rFonts w:eastAsia="DengXian"/>
        </w:rPr>
        <w:t>Avtozma</w:t>
      </w:r>
      <w:r w:rsidRPr="00F13073">
        <w:rPr>
          <w:rStyle w:val="Char"/>
          <w:rFonts w:eastAsia="DengXian"/>
        </w:rPr>
        <w:t xml:space="preserve"> jest stosowany w celu łagodzenia objawów uMIZS w monoterapii lub w skojarzeniu z metotreksatem.</w:t>
      </w:r>
    </w:p>
    <w:p w14:paraId="216D0542" w14:textId="77777777" w:rsidR="000108A4" w:rsidRPr="00F13073" w:rsidRDefault="000108A4" w:rsidP="008B4C50">
      <w:pPr>
        <w:pStyle w:val="a0"/>
      </w:pPr>
    </w:p>
    <w:p w14:paraId="6E6F757D" w14:textId="63256C04" w:rsidR="000108A4"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b/>
          <w:bCs/>
        </w:rPr>
        <w:t xml:space="preserve">Lek </w:t>
      </w:r>
      <w:r w:rsidR="00026375" w:rsidRPr="00F13073">
        <w:rPr>
          <w:rStyle w:val="Char"/>
          <w:rFonts w:eastAsia="DengXian"/>
          <w:b/>
          <w:bCs/>
        </w:rPr>
        <w:t>Avtozma</w:t>
      </w:r>
      <w:r w:rsidRPr="00F13073">
        <w:rPr>
          <w:rStyle w:val="Char"/>
          <w:rFonts w:eastAsia="DengXian"/>
          <w:b/>
          <w:bCs/>
        </w:rPr>
        <w:t xml:space="preserve"> jest także stosowany w leczeniu dzieci </w:t>
      </w:r>
      <w:r w:rsidRPr="00F13073">
        <w:rPr>
          <w:rStyle w:val="Char"/>
          <w:rFonts w:eastAsia="DengXian"/>
        </w:rPr>
        <w:t xml:space="preserve">w wieku co najmniej 2 lat </w:t>
      </w:r>
      <w:r w:rsidRPr="00F13073">
        <w:rPr>
          <w:rStyle w:val="Char"/>
          <w:rFonts w:eastAsia="DengXian"/>
          <w:b/>
          <w:bCs/>
          <w:i/>
          <w:iCs/>
        </w:rPr>
        <w:t>z czynnym wielostawowym młodzieńczym idiopatycznym zapaleniem stawów (wMIZS)</w:t>
      </w:r>
      <w:r w:rsidRPr="00F13073">
        <w:rPr>
          <w:rStyle w:val="Char"/>
          <w:rFonts w:eastAsia="DengXian"/>
        </w:rPr>
        <w:t xml:space="preserve">. Jest to choroba zapalna, która powoduje ból i obrzęki w obrębie co najmniej jednego stawu. Lek </w:t>
      </w:r>
      <w:r w:rsidR="00026375" w:rsidRPr="00F13073">
        <w:rPr>
          <w:rStyle w:val="Char"/>
          <w:rFonts w:eastAsia="DengXian"/>
        </w:rPr>
        <w:t>Avtozma</w:t>
      </w:r>
      <w:r w:rsidRPr="00F13073">
        <w:rPr>
          <w:rStyle w:val="Char"/>
          <w:rFonts w:eastAsia="DengXian"/>
        </w:rPr>
        <w:t xml:space="preserve"> stosuje się w celu łagodzenia objawów wMIZS w monoterapii lub w skojarzeniu z metotreksatem.</w:t>
      </w:r>
    </w:p>
    <w:p w14:paraId="44FB254F" w14:textId="77777777" w:rsidR="00E96935" w:rsidRPr="00F13073" w:rsidRDefault="00E96935" w:rsidP="008B4C50">
      <w:pPr>
        <w:pStyle w:val="a0"/>
      </w:pPr>
    </w:p>
    <w:p w14:paraId="71D32CED" w14:textId="2DADBC8E" w:rsidR="000108A4"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b/>
          <w:bCs/>
        </w:rPr>
        <w:t xml:space="preserve">Lek </w:t>
      </w:r>
      <w:r w:rsidR="00026375" w:rsidRPr="00F13073">
        <w:rPr>
          <w:rStyle w:val="Char"/>
          <w:rFonts w:eastAsia="DengXian"/>
          <w:b/>
          <w:bCs/>
        </w:rPr>
        <w:t>Avtozma</w:t>
      </w:r>
      <w:r w:rsidRPr="00F13073">
        <w:rPr>
          <w:rStyle w:val="Char"/>
          <w:rFonts w:eastAsia="DengXian"/>
          <w:b/>
          <w:bCs/>
        </w:rPr>
        <w:t xml:space="preserve"> jest stosowany w leczeniu dorosłych i dzieci </w:t>
      </w:r>
      <w:r w:rsidRPr="00F13073">
        <w:rPr>
          <w:rStyle w:val="Char"/>
          <w:rFonts w:eastAsia="DengXian"/>
        </w:rPr>
        <w:t xml:space="preserve">w wieku co najmniej 2 lat </w:t>
      </w:r>
      <w:r w:rsidRPr="00F13073">
        <w:rPr>
          <w:rStyle w:val="Char"/>
          <w:rFonts w:eastAsia="DengXian"/>
          <w:b/>
          <w:bCs/>
        </w:rPr>
        <w:t xml:space="preserve">z </w:t>
      </w:r>
      <w:r w:rsidRPr="00F13073">
        <w:rPr>
          <w:rStyle w:val="Char"/>
          <w:rFonts w:eastAsia="DengXian"/>
        </w:rPr>
        <w:t xml:space="preserve">ciężkim lub zagrażającym życiu </w:t>
      </w:r>
      <w:r w:rsidRPr="00F13073">
        <w:rPr>
          <w:rStyle w:val="Char"/>
          <w:rFonts w:eastAsia="DengXian"/>
          <w:b/>
          <w:bCs/>
        </w:rPr>
        <w:t>zespołem uwalniania cytokin (CRS)</w:t>
      </w:r>
      <w:r w:rsidRPr="00F13073">
        <w:rPr>
          <w:rStyle w:val="Char"/>
          <w:rFonts w:eastAsia="DengXian"/>
        </w:rPr>
        <w:t>, działaniem niepożądanym u pacjentów leczonych terapiami wykorzystującymi limfocyty T zawierające chimeryczny receptor antygenowy (CAR), które stosuje się w przypadku niektórych rodzajów nowotworów.</w:t>
      </w:r>
    </w:p>
    <w:p w14:paraId="4D6F6926" w14:textId="77777777" w:rsidR="00E96935" w:rsidRPr="00F13073" w:rsidRDefault="00E96935" w:rsidP="008B4C50">
      <w:pPr>
        <w:pStyle w:val="a0"/>
      </w:pPr>
    </w:p>
    <w:p w14:paraId="4621A3C2" w14:textId="7D276B06" w:rsidR="0051060F" w:rsidRPr="00F13073" w:rsidRDefault="000108A4" w:rsidP="008B4C50">
      <w:pPr>
        <w:pStyle w:val="a0"/>
        <w:numPr>
          <w:ilvl w:val="0"/>
          <w:numId w:val="7"/>
        </w:numPr>
        <w:ind w:left="567" w:hanging="567"/>
        <w:contextualSpacing w:val="0"/>
        <w:rPr>
          <w:rStyle w:val="Char"/>
          <w:rFonts w:eastAsia="DengXian"/>
        </w:rPr>
      </w:pPr>
      <w:r w:rsidRPr="00F13073">
        <w:rPr>
          <w:rStyle w:val="Char"/>
          <w:rFonts w:eastAsia="DengXian"/>
          <w:b/>
          <w:bCs/>
        </w:rPr>
        <w:t xml:space="preserve">Lek </w:t>
      </w:r>
      <w:r w:rsidR="00026375" w:rsidRPr="00F13073">
        <w:rPr>
          <w:rStyle w:val="Char"/>
          <w:rFonts w:eastAsia="DengXian"/>
          <w:b/>
          <w:bCs/>
        </w:rPr>
        <w:t>Avtozma</w:t>
      </w:r>
      <w:r w:rsidRPr="00F13073">
        <w:rPr>
          <w:rStyle w:val="Char"/>
          <w:rFonts w:eastAsia="DengXian"/>
          <w:b/>
          <w:bCs/>
        </w:rPr>
        <w:t xml:space="preserve"> jest stosowany w leczeniu dorosłych </w:t>
      </w:r>
      <w:r w:rsidRPr="00F13073">
        <w:rPr>
          <w:rStyle w:val="Char"/>
          <w:rFonts w:eastAsia="DengXian"/>
        </w:rPr>
        <w:t>z chorobą koronawirusową 2019 (COVID-19), otrzymujących kortykosteroidy o działaniu układowym i wymagających uzupełniającej tlenoterapii lub wentylacji mechanicznej.</w:t>
      </w:r>
    </w:p>
    <w:p w14:paraId="139411DC" w14:textId="77777777" w:rsidR="00E96935" w:rsidRPr="00F13073" w:rsidRDefault="00E96935" w:rsidP="008B4C50">
      <w:pPr>
        <w:pStyle w:val="a0"/>
      </w:pPr>
    </w:p>
    <w:p w14:paraId="327DEA3B" w14:textId="77777777" w:rsidR="0051060F" w:rsidRPr="00F13073" w:rsidRDefault="0051060F" w:rsidP="008B4C50"/>
    <w:p w14:paraId="238FB3F3" w14:textId="6C41C468" w:rsidR="001E0975" w:rsidRPr="00F13073" w:rsidRDefault="001721B1" w:rsidP="008B4C50">
      <w:pPr>
        <w:keepNext/>
        <w:ind w:left="567" w:hanging="567"/>
        <w:rPr>
          <w:b/>
          <w:bCs/>
        </w:rPr>
      </w:pPr>
      <w:r w:rsidRPr="00F13073">
        <w:rPr>
          <w:b/>
          <w:bCs/>
        </w:rPr>
        <w:t>2.</w:t>
      </w:r>
      <w:r w:rsidRPr="00F13073">
        <w:rPr>
          <w:b/>
          <w:bCs/>
        </w:rPr>
        <w:tab/>
      </w:r>
      <w:r w:rsidR="00CA782C" w:rsidRPr="00F13073">
        <w:rPr>
          <w:b/>
          <w:bCs/>
        </w:rPr>
        <w:t xml:space="preserve">Informacje ważne przed zastosowaniem leku </w:t>
      </w:r>
      <w:r w:rsidR="00026375" w:rsidRPr="00F13073">
        <w:rPr>
          <w:b/>
          <w:bCs/>
        </w:rPr>
        <w:t>Avtozma</w:t>
      </w:r>
    </w:p>
    <w:p w14:paraId="5AF734F0" w14:textId="77777777" w:rsidR="0051060F" w:rsidRPr="00F13073" w:rsidRDefault="0051060F" w:rsidP="008B4C50">
      <w:pPr>
        <w:keepNext/>
        <w:ind w:left="567" w:hanging="567"/>
        <w:rPr>
          <w:b/>
          <w:bCs/>
        </w:rPr>
      </w:pPr>
    </w:p>
    <w:p w14:paraId="58B6B5D9" w14:textId="3218B41B" w:rsidR="001E0975" w:rsidRPr="00F13073" w:rsidRDefault="00CA782C" w:rsidP="008B4C50">
      <w:pPr>
        <w:keepNext/>
        <w:rPr>
          <w:b/>
          <w:bCs/>
        </w:rPr>
      </w:pPr>
      <w:r w:rsidRPr="00F13073">
        <w:rPr>
          <w:rStyle w:val="Char"/>
          <w:rFonts w:eastAsia="DengXian"/>
          <w:b/>
          <w:bCs/>
        </w:rPr>
        <w:t xml:space="preserve">Kiedy nie stosować leku </w:t>
      </w:r>
      <w:r w:rsidR="00026375" w:rsidRPr="00F13073">
        <w:rPr>
          <w:rStyle w:val="Char"/>
          <w:rFonts w:eastAsia="DengXian"/>
          <w:b/>
          <w:bCs/>
        </w:rPr>
        <w:t>Avtozma</w:t>
      </w:r>
    </w:p>
    <w:p w14:paraId="746B3DCA" w14:textId="3599FA5A" w:rsidR="001E0975" w:rsidRPr="00F13073" w:rsidRDefault="00CA782C" w:rsidP="008B4C50">
      <w:pPr>
        <w:pStyle w:val="a0"/>
        <w:numPr>
          <w:ilvl w:val="0"/>
          <w:numId w:val="7"/>
        </w:numPr>
        <w:ind w:left="567" w:hanging="567"/>
        <w:contextualSpacing w:val="0"/>
      </w:pPr>
      <w:r w:rsidRPr="00F13073">
        <w:rPr>
          <w:rStyle w:val="Char"/>
          <w:rFonts w:eastAsia="DengXian"/>
        </w:rPr>
        <w:t xml:space="preserve">jeśli pacjent ma </w:t>
      </w:r>
      <w:r w:rsidRPr="00F13073">
        <w:rPr>
          <w:rStyle w:val="Char"/>
          <w:rFonts w:eastAsia="DengXian"/>
          <w:b/>
          <w:bCs/>
        </w:rPr>
        <w:t xml:space="preserve">uczulenie </w:t>
      </w:r>
      <w:r w:rsidRPr="00F13073">
        <w:rPr>
          <w:rStyle w:val="Char"/>
          <w:rFonts w:eastAsia="DengXian"/>
        </w:rPr>
        <w:t>na tocilizumab lub którykolwiek z pozostałych składników tego leku (wymienionych w punkcie 6).</w:t>
      </w:r>
      <w:r w:rsidR="00D720B4">
        <w:rPr>
          <w:rStyle w:val="Char"/>
          <w:rFonts w:eastAsia="DengXian"/>
        </w:rPr>
        <w:t xml:space="preserve"> </w:t>
      </w:r>
      <w:r w:rsidR="00BB5649" w:rsidRPr="00F13073">
        <w:rPr>
          <w:rStyle w:val="Char"/>
          <w:rFonts w:eastAsia="DengXian"/>
        </w:rPr>
        <w:t>(Patrz ostrzeżenia specjalne na końcu tego punktu, w podpunkcie zatytułowanym „Lek Avtozma zawiera polisorbat”).</w:t>
      </w:r>
    </w:p>
    <w:p w14:paraId="512E672B" w14:textId="77777777" w:rsidR="001E0975" w:rsidRPr="00F13073" w:rsidRDefault="00CA782C" w:rsidP="008B4C50">
      <w:pPr>
        <w:pStyle w:val="a0"/>
        <w:numPr>
          <w:ilvl w:val="0"/>
          <w:numId w:val="7"/>
        </w:numPr>
        <w:ind w:left="567" w:hanging="567"/>
        <w:contextualSpacing w:val="0"/>
      </w:pPr>
      <w:r w:rsidRPr="00F13073">
        <w:rPr>
          <w:rStyle w:val="Char"/>
          <w:rFonts w:eastAsia="DengXian"/>
        </w:rPr>
        <w:t>jeśli u pacjenta występuje czynne, ciężkie zakażenie.</w:t>
      </w:r>
    </w:p>
    <w:p w14:paraId="7C38AEF7" w14:textId="77777777" w:rsidR="00CA782C" w:rsidRPr="00F13073" w:rsidRDefault="00CA782C" w:rsidP="008B4C50">
      <w:pPr>
        <w:pStyle w:val="a4"/>
        <w:widowControl/>
        <w:spacing w:after="0"/>
        <w:rPr>
          <w:rStyle w:val="Char"/>
        </w:rPr>
      </w:pPr>
      <w:r w:rsidRPr="00F13073">
        <w:rPr>
          <w:rStyle w:val="Char"/>
        </w:rPr>
        <w:t>Jeśli któraś z powyższych sytuacji dotyczy pacjenta, należy poinformować o tym lekarza lub pielęgniarkę podającą lek.</w:t>
      </w:r>
    </w:p>
    <w:p w14:paraId="259D2B79" w14:textId="77777777" w:rsidR="00CA782C" w:rsidRPr="00F13073" w:rsidRDefault="00CA782C" w:rsidP="008B4C50">
      <w:pPr>
        <w:pStyle w:val="a4"/>
        <w:widowControl/>
        <w:spacing w:after="0"/>
      </w:pPr>
    </w:p>
    <w:p w14:paraId="1999909C" w14:textId="77777777" w:rsidR="00CA782C" w:rsidRPr="00F13073" w:rsidRDefault="00CA782C" w:rsidP="008B4C50">
      <w:pPr>
        <w:pStyle w:val="a4"/>
        <w:widowControl/>
        <w:spacing w:after="0"/>
        <w:jc w:val="both"/>
      </w:pPr>
      <w:r w:rsidRPr="00F13073">
        <w:rPr>
          <w:rStyle w:val="Char"/>
          <w:b/>
          <w:bCs/>
        </w:rPr>
        <w:t>Ostrzeżenia i środki ostrożności</w:t>
      </w:r>
    </w:p>
    <w:p w14:paraId="334D675F" w14:textId="78C2400E" w:rsidR="00CA782C" w:rsidRPr="00F13073" w:rsidRDefault="00CA782C" w:rsidP="008B4C50">
      <w:pPr>
        <w:pStyle w:val="a4"/>
        <w:widowControl/>
        <w:spacing w:after="0"/>
        <w:rPr>
          <w:rStyle w:val="Char"/>
        </w:rPr>
      </w:pPr>
      <w:r w:rsidRPr="00F13073">
        <w:rPr>
          <w:rStyle w:val="Char"/>
        </w:rPr>
        <w:t xml:space="preserve">Przed rozpoczęciem stosowania leku </w:t>
      </w:r>
      <w:r w:rsidR="00026375" w:rsidRPr="00F13073">
        <w:rPr>
          <w:rStyle w:val="Char"/>
        </w:rPr>
        <w:t>Avtozma</w:t>
      </w:r>
      <w:r w:rsidRPr="00F13073">
        <w:rPr>
          <w:rStyle w:val="Char"/>
        </w:rPr>
        <w:t xml:space="preserve"> należy omówić z lekarzem lub pielęgniarką:</w:t>
      </w:r>
    </w:p>
    <w:p w14:paraId="3B8371EB" w14:textId="77777777" w:rsidR="00CA782C" w:rsidRPr="00F13073" w:rsidRDefault="00CA782C" w:rsidP="008B4C50">
      <w:pPr>
        <w:pStyle w:val="a4"/>
        <w:widowControl/>
        <w:spacing w:after="0"/>
      </w:pPr>
    </w:p>
    <w:p w14:paraId="3CB60602" w14:textId="77777777"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podczas podawania lub po podaniu leku u pacjenta wystąpiła </w:t>
      </w:r>
      <w:r w:rsidRPr="00F13073">
        <w:rPr>
          <w:rStyle w:val="Char"/>
          <w:rFonts w:eastAsia="DengXian"/>
          <w:b/>
          <w:bCs/>
        </w:rPr>
        <w:t xml:space="preserve">reakcja alergiczna </w:t>
      </w:r>
      <w:r w:rsidRPr="00F13073">
        <w:rPr>
          <w:rStyle w:val="Char"/>
          <w:rFonts w:eastAsia="DengXian"/>
        </w:rPr>
        <w:t xml:space="preserve">w postaci, np.: uczucia ściskania w klatce piersiowej, świszczącego oddechu, ciężkich zawrotów głowy, obrzęku warg lub wysypki na skórze, należy </w:t>
      </w:r>
      <w:r w:rsidRPr="00F13073">
        <w:rPr>
          <w:rStyle w:val="Char"/>
          <w:rFonts w:eastAsia="DengXian"/>
          <w:b/>
          <w:bCs/>
        </w:rPr>
        <w:t>niezwłocznie powiadomić o tym lekarza prowadzącego</w:t>
      </w:r>
      <w:r w:rsidRPr="00F13073">
        <w:rPr>
          <w:rStyle w:val="Char"/>
          <w:rFonts w:eastAsia="DengXian"/>
        </w:rPr>
        <w:t>.</w:t>
      </w:r>
    </w:p>
    <w:p w14:paraId="2E115910" w14:textId="77777777" w:rsidR="00021E1F" w:rsidRPr="00F13073" w:rsidRDefault="00021E1F" w:rsidP="008B4C50"/>
    <w:p w14:paraId="6A928896" w14:textId="4F204788"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pacjent ma jakiekolwiek </w:t>
      </w:r>
      <w:r w:rsidRPr="00F13073">
        <w:rPr>
          <w:rStyle w:val="Char"/>
          <w:rFonts w:eastAsia="DengXian"/>
          <w:b/>
          <w:bCs/>
        </w:rPr>
        <w:t>zakażenie</w:t>
      </w:r>
      <w:r w:rsidRPr="00F13073">
        <w:rPr>
          <w:rStyle w:val="Char"/>
          <w:rFonts w:eastAsia="DengXian"/>
        </w:rPr>
        <w:t xml:space="preserve">, trwające krótko lub długo, lub gdy często powtarzają się zakażenia. </w:t>
      </w:r>
      <w:r w:rsidRPr="00F13073">
        <w:rPr>
          <w:rStyle w:val="Char"/>
          <w:rFonts w:eastAsia="DengXian"/>
          <w:b/>
          <w:bCs/>
        </w:rPr>
        <w:t xml:space="preserve">Należy niezwłocznie powiadomić lekarza </w:t>
      </w:r>
      <w:r w:rsidRPr="00F13073">
        <w:rPr>
          <w:rStyle w:val="Char"/>
          <w:rFonts w:eastAsia="DengXian"/>
        </w:rPr>
        <w:t xml:space="preserve">o złym samopoczuciu. Lek </w:t>
      </w:r>
      <w:r w:rsidR="00026375" w:rsidRPr="00F13073">
        <w:rPr>
          <w:rStyle w:val="Char"/>
          <w:rFonts w:eastAsia="DengXian"/>
        </w:rPr>
        <w:t>Avtozma</w:t>
      </w:r>
      <w:r w:rsidRPr="00F13073">
        <w:rPr>
          <w:rStyle w:val="Char"/>
          <w:rFonts w:eastAsia="DengXian"/>
        </w:rPr>
        <w:t xml:space="preserve"> może osłabiać zdolność organizmu do zwalczania zakażeń, co może spowodować nasilenie toczącego się zakażenia lub zwiększyć prawdopodobieństwo wystąpienia nowego zakażenia.</w:t>
      </w:r>
    </w:p>
    <w:p w14:paraId="128ED12A" w14:textId="77777777" w:rsidR="00021E1F" w:rsidRPr="00F13073" w:rsidRDefault="00021E1F" w:rsidP="008B4C50">
      <w:pPr>
        <w:pStyle w:val="a0"/>
      </w:pPr>
    </w:p>
    <w:p w14:paraId="0BFAF69A" w14:textId="2464FC5B"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pacjent choruje na </w:t>
      </w:r>
      <w:r w:rsidRPr="00F13073">
        <w:rPr>
          <w:rStyle w:val="Char"/>
          <w:rFonts w:eastAsia="DengXian"/>
          <w:b/>
          <w:bCs/>
        </w:rPr>
        <w:t xml:space="preserve">gruźlicę </w:t>
      </w:r>
      <w:r w:rsidRPr="00F13073">
        <w:rPr>
          <w:rStyle w:val="Char"/>
          <w:rFonts w:eastAsia="DengXian"/>
        </w:rPr>
        <w:t xml:space="preserve">należy o tym powiadomić lekarza prowadzącego. Lekarz zbada pacjenta pod kątem objawów gruźlicy przed rozpoczęciem podawania leku </w:t>
      </w:r>
      <w:r w:rsidR="00026375" w:rsidRPr="00F13073">
        <w:rPr>
          <w:rStyle w:val="Char"/>
          <w:rFonts w:eastAsia="DengXian"/>
        </w:rPr>
        <w:t>Avtozma</w:t>
      </w:r>
      <w:r w:rsidRPr="00F13073">
        <w:rPr>
          <w:rStyle w:val="Char"/>
          <w:rFonts w:eastAsia="DengXian"/>
        </w:rPr>
        <w:t>. Jeśli w trakcie lub po terapii wystąpią objawy gruźlicy (uporczywy kaszel, zmniejszenie masy ciała, apatia, niewielka gorączka) lub objawy jakiegokolwiek innego zakażenia należy natychmiast powiadomić lekarza.</w:t>
      </w:r>
    </w:p>
    <w:p w14:paraId="35D32A38" w14:textId="77777777" w:rsidR="00021E1F" w:rsidRPr="00F13073" w:rsidRDefault="00021E1F" w:rsidP="008B4C50"/>
    <w:p w14:paraId="010769A2" w14:textId="77777777"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u pacjenta </w:t>
      </w:r>
      <w:r w:rsidRPr="00F13073">
        <w:rPr>
          <w:rStyle w:val="Char"/>
          <w:rFonts w:eastAsia="DengXian"/>
          <w:b/>
          <w:bCs/>
        </w:rPr>
        <w:t>występowały wrzody jelitowe lub zapalenie uchyłków jelita</w:t>
      </w:r>
      <w:r w:rsidRPr="00F13073">
        <w:rPr>
          <w:rStyle w:val="Char"/>
          <w:rFonts w:eastAsia="DengXian"/>
        </w:rPr>
        <w:t>, należy o tym powiadomić lekarza prowadzącego. Objawy tych schorzeń - to m.in.: ból brzucha i niewyjaśnione zmiany w rytmie wypróżnień z towarzyszącą gorączką.</w:t>
      </w:r>
    </w:p>
    <w:p w14:paraId="146C23AD" w14:textId="77777777" w:rsidR="00021E1F" w:rsidRPr="00F13073" w:rsidRDefault="00021E1F" w:rsidP="008B4C50"/>
    <w:p w14:paraId="13A163B1" w14:textId="513201A1"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u pacjenta stwierdzono </w:t>
      </w:r>
      <w:r w:rsidRPr="00F13073">
        <w:rPr>
          <w:rStyle w:val="Char"/>
          <w:rFonts w:eastAsia="DengXian"/>
          <w:b/>
          <w:bCs/>
        </w:rPr>
        <w:t>chorobę wątroby</w:t>
      </w:r>
      <w:r w:rsidRPr="00F13073">
        <w:rPr>
          <w:rStyle w:val="Char"/>
          <w:rFonts w:eastAsia="DengXian"/>
        </w:rPr>
        <w:t xml:space="preserve">, należy o tym powiadomić lekarza prowadzącego. Lekarz może podjąć decyzję o wykonaniu badania krwi w celu sprawdzenia czynności wątroby przed rozpoczęciem podawania leku </w:t>
      </w:r>
      <w:r w:rsidR="00026375" w:rsidRPr="00F13073">
        <w:rPr>
          <w:rStyle w:val="Char"/>
          <w:rFonts w:eastAsia="DengXian"/>
        </w:rPr>
        <w:t>Avtozma</w:t>
      </w:r>
      <w:r w:rsidRPr="00F13073">
        <w:rPr>
          <w:rStyle w:val="Char"/>
          <w:rFonts w:eastAsia="DengXian"/>
        </w:rPr>
        <w:t>.</w:t>
      </w:r>
    </w:p>
    <w:p w14:paraId="317A32FD" w14:textId="77777777" w:rsidR="00021E1F" w:rsidRPr="00F13073" w:rsidRDefault="00021E1F" w:rsidP="008B4C50">
      <w:pPr>
        <w:pStyle w:val="a0"/>
      </w:pPr>
    </w:p>
    <w:p w14:paraId="3802E027" w14:textId="5F9B3810"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pacjent (dorosły lub dziecko) </w:t>
      </w:r>
      <w:r w:rsidRPr="00F13073">
        <w:rPr>
          <w:rStyle w:val="Char"/>
          <w:rFonts w:eastAsia="DengXian"/>
          <w:b/>
          <w:bCs/>
        </w:rPr>
        <w:t xml:space="preserve">został niedawno zaszczepiony </w:t>
      </w:r>
      <w:r w:rsidRPr="00F13073">
        <w:rPr>
          <w:rStyle w:val="Char"/>
          <w:rFonts w:eastAsia="DengXian"/>
        </w:rPr>
        <w:t xml:space="preserve">lub planuje poddać się szczepieniu, należy o tym powiadomić lekarza prowadzącego. Zaleca się, aby przed rozpoczęciem leczenia lekiem </w:t>
      </w:r>
      <w:r w:rsidR="00026375" w:rsidRPr="00F13073">
        <w:rPr>
          <w:rStyle w:val="Char"/>
          <w:rFonts w:eastAsia="DengXian"/>
        </w:rPr>
        <w:t>Avtozma</w:t>
      </w:r>
      <w:r w:rsidRPr="00F13073">
        <w:rPr>
          <w:rStyle w:val="Char"/>
          <w:rFonts w:eastAsia="DengXian"/>
        </w:rPr>
        <w:t xml:space="preserve"> u wszystkich pacjentów, a w szczególności u dzieci, uzupełnić wszystkie brakujące szczepienia, chyba, że wymagane jest pilne rozpoczęcie leczenia. Niektórych rodzajów szczepionek nie należy podawać w trakcie leczenia lekiem </w:t>
      </w:r>
      <w:r w:rsidR="00026375" w:rsidRPr="00F13073">
        <w:rPr>
          <w:rStyle w:val="Char"/>
          <w:rFonts w:eastAsia="DengXian"/>
        </w:rPr>
        <w:t>Avtozma</w:t>
      </w:r>
      <w:r w:rsidRPr="00F13073">
        <w:rPr>
          <w:rStyle w:val="Char"/>
          <w:rFonts w:eastAsia="DengXian"/>
        </w:rPr>
        <w:t>.</w:t>
      </w:r>
    </w:p>
    <w:p w14:paraId="615DF7E5" w14:textId="77777777" w:rsidR="00021E1F" w:rsidRPr="00F13073" w:rsidRDefault="00021E1F" w:rsidP="008B4C50">
      <w:pPr>
        <w:pStyle w:val="a0"/>
      </w:pPr>
    </w:p>
    <w:p w14:paraId="6CFBE581" w14:textId="60C2B46C"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pacjent ma </w:t>
      </w:r>
      <w:r w:rsidRPr="00F13073">
        <w:rPr>
          <w:rStyle w:val="Char"/>
          <w:rFonts w:eastAsia="DengXian"/>
          <w:b/>
          <w:bCs/>
        </w:rPr>
        <w:t>chorobę nowotworową</w:t>
      </w:r>
      <w:r w:rsidRPr="00F13073">
        <w:rPr>
          <w:rStyle w:val="Char"/>
          <w:rFonts w:eastAsia="DengXian"/>
        </w:rPr>
        <w:t xml:space="preserve">, należy o tym powiadomić lekarza prowadzącego. Lekarz zadecyduje, czy pacjent może, mimo to, nadal przyjmować lek </w:t>
      </w:r>
      <w:r w:rsidR="00026375" w:rsidRPr="00F13073">
        <w:rPr>
          <w:rStyle w:val="Char"/>
          <w:rFonts w:eastAsia="DengXian"/>
        </w:rPr>
        <w:t>Avtozma</w:t>
      </w:r>
      <w:r w:rsidRPr="00F13073">
        <w:rPr>
          <w:rStyle w:val="Char"/>
          <w:rFonts w:eastAsia="DengXian"/>
        </w:rPr>
        <w:t>.</w:t>
      </w:r>
    </w:p>
    <w:p w14:paraId="16A0737C" w14:textId="77777777" w:rsidR="00021E1F" w:rsidRPr="00F13073" w:rsidRDefault="00021E1F" w:rsidP="008B4C50"/>
    <w:p w14:paraId="247B2BFF" w14:textId="289081AE"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czynniki ryzyka chorób układu krążenia</w:t>
      </w:r>
      <w:r w:rsidRPr="00F13073">
        <w:rPr>
          <w:rStyle w:val="Char"/>
          <w:rFonts w:eastAsia="DengXian"/>
        </w:rPr>
        <w:t xml:space="preserve">, takie jak podwyższone ciśnienie tętnicze krwi i podwyższone stężenie cholesterolu, należy o tym powiadomić lekarza prowadzącego. Parametry te należy kontrolować w trakcie leczenia lekiem </w:t>
      </w:r>
      <w:r w:rsidR="00026375" w:rsidRPr="00F13073">
        <w:rPr>
          <w:rStyle w:val="Char"/>
          <w:rFonts w:eastAsia="DengXian"/>
        </w:rPr>
        <w:t>Avtozma</w:t>
      </w:r>
      <w:r w:rsidRPr="00F13073">
        <w:rPr>
          <w:rStyle w:val="Char"/>
          <w:rFonts w:eastAsia="DengXian"/>
        </w:rPr>
        <w:t>.</w:t>
      </w:r>
    </w:p>
    <w:p w14:paraId="2453A836" w14:textId="77777777" w:rsidR="00021E1F" w:rsidRPr="00F13073" w:rsidRDefault="00021E1F" w:rsidP="008B4C50">
      <w:pPr>
        <w:pStyle w:val="a0"/>
      </w:pPr>
    </w:p>
    <w:p w14:paraId="3868D98A" w14:textId="77777777"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 xml:space="preserve">zaburzenia czynności nerek </w:t>
      </w:r>
      <w:r w:rsidRPr="00F13073">
        <w:rPr>
          <w:rStyle w:val="Char"/>
          <w:rFonts w:eastAsia="DengXian"/>
        </w:rPr>
        <w:t>o nasileniu umiarkowanym lub ciężkim, lekarz prowadzący będzie kontrolował stan pacjenta.</w:t>
      </w:r>
    </w:p>
    <w:p w14:paraId="296E4645" w14:textId="77777777" w:rsidR="003159F5" w:rsidRPr="00F13073" w:rsidRDefault="003159F5" w:rsidP="008B4C50">
      <w:pPr>
        <w:pStyle w:val="a0"/>
      </w:pPr>
    </w:p>
    <w:p w14:paraId="068A9552" w14:textId="77777777" w:rsidR="00CA782C" w:rsidRPr="00F13073" w:rsidRDefault="00CA782C" w:rsidP="008B4C50">
      <w:pPr>
        <w:pStyle w:val="a0"/>
        <w:numPr>
          <w:ilvl w:val="0"/>
          <w:numId w:val="7"/>
        </w:numPr>
        <w:ind w:left="567" w:hanging="567"/>
        <w:contextualSpacing w:val="0"/>
        <w:rPr>
          <w:rStyle w:val="Char"/>
          <w:rFonts w:eastAsia="DengXian"/>
        </w:rPr>
      </w:pPr>
      <w:r w:rsidRPr="00F13073">
        <w:rPr>
          <w:rStyle w:val="Char"/>
          <w:rFonts w:eastAsia="DengXian"/>
        </w:rPr>
        <w:t xml:space="preserve">Jeśli pacjent ma uporczywe </w:t>
      </w:r>
      <w:r w:rsidRPr="00F13073">
        <w:rPr>
          <w:rStyle w:val="Char"/>
          <w:rFonts w:eastAsia="DengXian"/>
          <w:b/>
          <w:bCs/>
        </w:rPr>
        <w:t>bóle głowy.</w:t>
      </w:r>
    </w:p>
    <w:p w14:paraId="0D8F0C83" w14:textId="77777777" w:rsidR="003159F5" w:rsidRPr="00F13073" w:rsidRDefault="003159F5" w:rsidP="008B4C50">
      <w:pPr>
        <w:pStyle w:val="a0"/>
      </w:pPr>
    </w:p>
    <w:p w14:paraId="43DFA706" w14:textId="4ACBC002" w:rsidR="00CA782C" w:rsidRPr="00F13073" w:rsidRDefault="00CA782C" w:rsidP="008B4C50">
      <w:pPr>
        <w:rPr>
          <w:rStyle w:val="Char"/>
          <w:rFonts w:eastAsia="DengXian"/>
        </w:rPr>
      </w:pPr>
      <w:r w:rsidRPr="00F13073">
        <w:rPr>
          <w:rStyle w:val="Char"/>
          <w:rFonts w:eastAsia="DengXian"/>
        </w:rPr>
        <w:t xml:space="preserve">Przed podaniem leku </w:t>
      </w:r>
      <w:r w:rsidR="00026375" w:rsidRPr="00F13073">
        <w:rPr>
          <w:rStyle w:val="Char"/>
          <w:rFonts w:eastAsia="DengXian"/>
        </w:rPr>
        <w:t>Avtozma</w:t>
      </w:r>
      <w:r w:rsidRPr="00F13073">
        <w:rPr>
          <w:rStyle w:val="Char"/>
          <w:rFonts w:eastAsia="DengXian"/>
        </w:rPr>
        <w:t xml:space="preserve"> i podczas terapii lekarz prowadzący będzie zlecać badania krwi, aby sprawdzić, czy u pacjenta nie występuje niska liczba białych krwinek lub płytek krwi albo zwiększona aktywność enzymów wątrobowych.</w:t>
      </w:r>
    </w:p>
    <w:p w14:paraId="76177C2D" w14:textId="77777777" w:rsidR="003159F5" w:rsidRPr="00F13073" w:rsidRDefault="003159F5" w:rsidP="008B4C50"/>
    <w:p w14:paraId="7E03B2DF" w14:textId="77777777" w:rsidR="00CA782C" w:rsidRPr="00F13073" w:rsidRDefault="00CA782C" w:rsidP="008B4C50">
      <w:pPr>
        <w:pStyle w:val="a4"/>
        <w:widowControl/>
        <w:spacing w:after="0"/>
        <w:jc w:val="both"/>
      </w:pPr>
      <w:r w:rsidRPr="00F13073">
        <w:rPr>
          <w:rStyle w:val="Char"/>
          <w:b/>
          <w:bCs/>
        </w:rPr>
        <w:t>Dzieci i młodzież</w:t>
      </w:r>
    </w:p>
    <w:p w14:paraId="6EF1FDD5" w14:textId="0591F7BA" w:rsidR="00CA782C" w:rsidRPr="00F13073" w:rsidRDefault="00CA782C" w:rsidP="008B4C50">
      <w:pPr>
        <w:pStyle w:val="a4"/>
        <w:widowControl/>
        <w:spacing w:after="0"/>
        <w:jc w:val="both"/>
        <w:rPr>
          <w:rStyle w:val="Char"/>
        </w:rPr>
      </w:pPr>
      <w:r w:rsidRPr="00F13073">
        <w:rPr>
          <w:rStyle w:val="Char"/>
        </w:rPr>
        <w:t xml:space="preserve">Lek </w:t>
      </w:r>
      <w:r w:rsidR="00026375" w:rsidRPr="00F13073">
        <w:rPr>
          <w:rStyle w:val="Char"/>
        </w:rPr>
        <w:t>Avtozma</w:t>
      </w:r>
      <w:r w:rsidRPr="00F13073">
        <w:rPr>
          <w:rStyle w:val="Char"/>
        </w:rPr>
        <w:t xml:space="preserve"> nie jest zalecany do stosowania w leczeniu pacjentów w wieku poniżej 2 lat.</w:t>
      </w:r>
    </w:p>
    <w:p w14:paraId="54A3D913" w14:textId="77777777" w:rsidR="003159F5" w:rsidRPr="00F13073" w:rsidRDefault="003159F5" w:rsidP="008B4C50">
      <w:pPr>
        <w:pStyle w:val="a4"/>
        <w:widowControl/>
        <w:spacing w:after="0"/>
        <w:jc w:val="both"/>
      </w:pPr>
    </w:p>
    <w:p w14:paraId="2CCBA21E" w14:textId="4BD95CBB" w:rsidR="00CA782C" w:rsidRPr="00F13073" w:rsidRDefault="00CA782C" w:rsidP="008B4C50">
      <w:pPr>
        <w:pStyle w:val="a4"/>
        <w:widowControl/>
        <w:spacing w:after="0"/>
      </w:pPr>
      <w:r w:rsidRPr="00F13073">
        <w:rPr>
          <w:rStyle w:val="Char"/>
        </w:rPr>
        <w:t xml:space="preserve">Jeśli w przeszłości u dziecka wystąpił </w:t>
      </w:r>
      <w:r w:rsidRPr="00F13073">
        <w:rPr>
          <w:rStyle w:val="Char"/>
          <w:b/>
          <w:bCs/>
          <w:i/>
          <w:iCs/>
        </w:rPr>
        <w:t>zespół aktywacji makrofagów</w:t>
      </w:r>
      <w:r w:rsidRPr="00F13073">
        <w:rPr>
          <w:rStyle w:val="Char"/>
        </w:rPr>
        <w:t xml:space="preserve"> (polegający na aktywacji i niekontrolowanym namnażaniu się pewnych komórek krwi) należy zgłosić to lekarzowi. Lekarz zadecyduje, czy pacjent mimo to może przyjmować lek </w:t>
      </w:r>
      <w:r w:rsidR="00026375" w:rsidRPr="00F13073">
        <w:rPr>
          <w:rStyle w:val="Char"/>
        </w:rPr>
        <w:t>Avtozma</w:t>
      </w:r>
      <w:r w:rsidRPr="00F13073">
        <w:rPr>
          <w:rStyle w:val="Char"/>
        </w:rPr>
        <w:t>.</w:t>
      </w:r>
    </w:p>
    <w:p w14:paraId="1B17282D" w14:textId="77777777" w:rsidR="003159F5" w:rsidRPr="00F13073" w:rsidRDefault="003159F5" w:rsidP="008B4C50">
      <w:pPr>
        <w:pStyle w:val="a4"/>
        <w:widowControl/>
        <w:spacing w:after="0"/>
        <w:jc w:val="both"/>
        <w:rPr>
          <w:rStyle w:val="Char"/>
          <w:b/>
          <w:bCs/>
        </w:rPr>
      </w:pPr>
    </w:p>
    <w:p w14:paraId="626D0091" w14:textId="6CC75AAE" w:rsidR="00CA782C" w:rsidRPr="00F13073" w:rsidRDefault="00CA782C" w:rsidP="008B4C50">
      <w:pPr>
        <w:pStyle w:val="a4"/>
        <w:widowControl/>
        <w:spacing w:after="0"/>
        <w:jc w:val="both"/>
      </w:pPr>
      <w:r w:rsidRPr="00F13073">
        <w:rPr>
          <w:rStyle w:val="Char"/>
          <w:b/>
          <w:bCs/>
        </w:rPr>
        <w:t xml:space="preserve">Lek </w:t>
      </w:r>
      <w:r w:rsidR="00026375" w:rsidRPr="00F13073">
        <w:rPr>
          <w:rStyle w:val="Char"/>
          <w:b/>
          <w:bCs/>
        </w:rPr>
        <w:t>Avtozma</w:t>
      </w:r>
      <w:r w:rsidRPr="00F13073">
        <w:rPr>
          <w:rStyle w:val="Char"/>
          <w:b/>
          <w:bCs/>
        </w:rPr>
        <w:t xml:space="preserve"> a inne leki</w:t>
      </w:r>
    </w:p>
    <w:p w14:paraId="0ABB99B0" w14:textId="36EEC2DE" w:rsidR="00CA782C" w:rsidRPr="00F13073" w:rsidRDefault="00CA782C" w:rsidP="008B4C50">
      <w:pPr>
        <w:pStyle w:val="a4"/>
        <w:widowControl/>
        <w:spacing w:after="0"/>
        <w:rPr>
          <w:rStyle w:val="Char"/>
        </w:rPr>
      </w:pPr>
      <w:r w:rsidRPr="00F13073">
        <w:rPr>
          <w:rStyle w:val="Char"/>
        </w:rPr>
        <w:t xml:space="preserve">Należy powiedzieć lekarzowi o wszystkich lekach przyjmowanych przez pacjenta obecnie lub ostatnio, a także o lekach, które pacjent planuje przyjmować (rodzice/opiekunowie powinni powiedzieć lekarzowi o lekach, jakie przyjmuje dziecko, jeżeli jest pacjentem), w tym także leki wydawane bez recepty. Lek </w:t>
      </w:r>
      <w:r w:rsidR="00026375" w:rsidRPr="00F13073">
        <w:rPr>
          <w:rStyle w:val="Char"/>
        </w:rPr>
        <w:t>Avtozma</w:t>
      </w:r>
      <w:r w:rsidRPr="00F13073">
        <w:rPr>
          <w:rStyle w:val="Char"/>
        </w:rPr>
        <w:t xml:space="preserve"> może zmieniać działanie innych leków, tak że może zajść konieczność zmiany ich dawek. Pacjenci dorośli oraz rodzice/opiekunowie chorych na uMIZS i wMIZS powinni </w:t>
      </w:r>
      <w:r w:rsidRPr="00F13073">
        <w:rPr>
          <w:rStyle w:val="Char"/>
          <w:b/>
          <w:bCs/>
        </w:rPr>
        <w:t xml:space="preserve">poinformować lekarza prowadzącego </w:t>
      </w:r>
      <w:r w:rsidRPr="00F13073">
        <w:rPr>
          <w:rStyle w:val="Char"/>
        </w:rPr>
        <w:t>o wszystkich przyjmowanych lekach zawierających następujące substancje czynne:</w:t>
      </w:r>
    </w:p>
    <w:p w14:paraId="5A03B4B3" w14:textId="77777777" w:rsidR="003159F5" w:rsidRPr="00F13073" w:rsidRDefault="003159F5" w:rsidP="008B4C50">
      <w:pPr>
        <w:pStyle w:val="a4"/>
        <w:widowControl/>
        <w:spacing w:after="0"/>
      </w:pPr>
    </w:p>
    <w:p w14:paraId="5B3826F8" w14:textId="77777777" w:rsidR="00CA782C" w:rsidRPr="00F13073" w:rsidRDefault="00CA782C" w:rsidP="008B4C50">
      <w:pPr>
        <w:pStyle w:val="a0"/>
        <w:numPr>
          <w:ilvl w:val="0"/>
          <w:numId w:val="7"/>
        </w:numPr>
        <w:ind w:left="567" w:hanging="567"/>
        <w:contextualSpacing w:val="0"/>
      </w:pPr>
      <w:r w:rsidRPr="00F13073">
        <w:rPr>
          <w:rStyle w:val="Char"/>
          <w:rFonts w:eastAsia="DengXian"/>
        </w:rPr>
        <w:t>metyloprednizolon, deksametazon - stosowane w celu zmniejszenia zapalenia</w:t>
      </w:r>
    </w:p>
    <w:p w14:paraId="143BE02C"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symwastatyna, atorwastatyna - stosowane w celu zmniejszenia </w:t>
      </w:r>
      <w:r w:rsidRPr="00F13073">
        <w:rPr>
          <w:rStyle w:val="Char"/>
          <w:rFonts w:eastAsia="DengXian"/>
          <w:b/>
          <w:bCs/>
        </w:rPr>
        <w:t>stężenia cholesterolu</w:t>
      </w:r>
    </w:p>
    <w:p w14:paraId="5813B6EC"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antagoniści kanału wapniowego (np. amlodypina) - leki stosowane w leczeniu </w:t>
      </w:r>
      <w:r w:rsidRPr="00F13073">
        <w:rPr>
          <w:rStyle w:val="Char"/>
          <w:rFonts w:eastAsia="DengXian"/>
          <w:b/>
          <w:bCs/>
        </w:rPr>
        <w:t>podwyższonego</w:t>
      </w:r>
      <w:r w:rsidR="003159F5" w:rsidRPr="00F13073">
        <w:t xml:space="preserve"> </w:t>
      </w:r>
      <w:r w:rsidRPr="00F13073">
        <w:rPr>
          <w:rStyle w:val="Char"/>
          <w:rFonts w:eastAsia="DengXian"/>
          <w:b/>
          <w:bCs/>
        </w:rPr>
        <w:t>ciśnienia tętniczego krwi</w:t>
      </w:r>
    </w:p>
    <w:p w14:paraId="075D6BC2"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teofilina - stosowana w leczeniu </w:t>
      </w:r>
      <w:r w:rsidRPr="00F13073">
        <w:rPr>
          <w:rStyle w:val="Char"/>
          <w:rFonts w:eastAsia="DengXian"/>
          <w:b/>
          <w:bCs/>
        </w:rPr>
        <w:t>astmy</w:t>
      </w:r>
    </w:p>
    <w:p w14:paraId="25FB93CC"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warfaryna lub fenprokumon - stosowane jako </w:t>
      </w:r>
      <w:r w:rsidRPr="00F13073">
        <w:rPr>
          <w:rStyle w:val="Char"/>
          <w:rFonts w:eastAsia="DengXian"/>
          <w:b/>
          <w:bCs/>
        </w:rPr>
        <w:t>leki przeciwkrzepliwe</w:t>
      </w:r>
    </w:p>
    <w:p w14:paraId="3F61B3EE"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fenytoina - stosowana w leczeniu </w:t>
      </w:r>
      <w:r w:rsidRPr="00F13073">
        <w:rPr>
          <w:rStyle w:val="Char"/>
          <w:rFonts w:eastAsia="DengXian"/>
          <w:b/>
          <w:bCs/>
        </w:rPr>
        <w:t>drgawek</w:t>
      </w:r>
    </w:p>
    <w:p w14:paraId="22407B7E"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cyklosporyna - stosowana w celu </w:t>
      </w:r>
      <w:r w:rsidRPr="00F13073">
        <w:rPr>
          <w:rStyle w:val="Char"/>
          <w:rFonts w:eastAsia="DengXian"/>
          <w:b/>
          <w:bCs/>
        </w:rPr>
        <w:t xml:space="preserve">osłabienia układu odpornościowego </w:t>
      </w:r>
      <w:r w:rsidRPr="00F13073">
        <w:rPr>
          <w:rStyle w:val="Char"/>
          <w:rFonts w:eastAsia="DengXian"/>
        </w:rPr>
        <w:t>podczas przeszczepiania</w:t>
      </w:r>
      <w:r w:rsidR="003159F5" w:rsidRPr="00F13073">
        <w:t xml:space="preserve"> </w:t>
      </w:r>
      <w:r w:rsidRPr="00F13073">
        <w:rPr>
          <w:rStyle w:val="Char"/>
          <w:rFonts w:eastAsia="DengXian"/>
        </w:rPr>
        <w:t>narządów</w:t>
      </w:r>
    </w:p>
    <w:p w14:paraId="1ECE55EF" w14:textId="77777777" w:rsidR="00CA782C" w:rsidRPr="00F13073" w:rsidRDefault="00CA782C" w:rsidP="008B4C50">
      <w:pPr>
        <w:pStyle w:val="a0"/>
        <w:numPr>
          <w:ilvl w:val="0"/>
          <w:numId w:val="7"/>
        </w:numPr>
        <w:ind w:left="567" w:hanging="567"/>
        <w:contextualSpacing w:val="0"/>
      </w:pPr>
      <w:r w:rsidRPr="00F13073">
        <w:rPr>
          <w:rStyle w:val="Char"/>
          <w:rFonts w:eastAsia="DengXian"/>
        </w:rPr>
        <w:t xml:space="preserve">benzodiazepiny (np. temazepam) - leki stosowane w celu </w:t>
      </w:r>
      <w:r w:rsidRPr="00F13073">
        <w:rPr>
          <w:rStyle w:val="Char"/>
          <w:rFonts w:eastAsia="DengXian"/>
          <w:b/>
          <w:bCs/>
        </w:rPr>
        <w:t>zmniejszenia lęku.</w:t>
      </w:r>
    </w:p>
    <w:p w14:paraId="6CC37E66" w14:textId="77777777" w:rsidR="006C3617" w:rsidRPr="00F13073" w:rsidRDefault="006C3617" w:rsidP="008B4C50">
      <w:pPr>
        <w:rPr>
          <w:rStyle w:val="Char"/>
          <w:rFonts w:eastAsia="DengXian"/>
        </w:rPr>
      </w:pPr>
    </w:p>
    <w:p w14:paraId="22D50153" w14:textId="75CB9EB0" w:rsidR="0051060F" w:rsidRPr="00F13073" w:rsidRDefault="00CA782C" w:rsidP="008B4C50">
      <w:r w:rsidRPr="00F13073">
        <w:rPr>
          <w:rStyle w:val="Char"/>
          <w:rFonts w:eastAsia="DengXian"/>
        </w:rPr>
        <w:t xml:space="preserve">Z powodu braku badań klinicznych nie należy stosować </w:t>
      </w:r>
      <w:r w:rsidR="00C515D2" w:rsidRPr="00F13073">
        <w:rPr>
          <w:rStyle w:val="Char"/>
          <w:rFonts w:eastAsia="DengXian"/>
        </w:rPr>
        <w:t>tocilizumabu</w:t>
      </w:r>
      <w:r w:rsidRPr="00F13073">
        <w:rPr>
          <w:rStyle w:val="Char"/>
          <w:rFonts w:eastAsia="DengXian"/>
        </w:rPr>
        <w:t xml:space="preserve"> z innymi lekami biologicznymi stosowanymi w leczeniu RZS i uMIZS lub wMIZS.</w:t>
      </w:r>
    </w:p>
    <w:p w14:paraId="60A080C7" w14:textId="77777777" w:rsidR="006C3617" w:rsidRPr="00F13073" w:rsidRDefault="006C3617" w:rsidP="008B4C50">
      <w:pPr>
        <w:keepNext/>
        <w:rPr>
          <w:b/>
          <w:bCs/>
        </w:rPr>
      </w:pPr>
    </w:p>
    <w:p w14:paraId="087931E8" w14:textId="77777777" w:rsidR="001E0975" w:rsidRPr="00F13073" w:rsidRDefault="00007001" w:rsidP="008B4C50">
      <w:pPr>
        <w:keepNext/>
        <w:rPr>
          <w:b/>
          <w:bCs/>
        </w:rPr>
      </w:pPr>
      <w:r w:rsidRPr="00F13073">
        <w:rPr>
          <w:b/>
          <w:bCs/>
        </w:rPr>
        <w:t>Ciąża, karmienie piersią i wpływ na płodność</w:t>
      </w:r>
    </w:p>
    <w:p w14:paraId="2C7C3C11" w14:textId="1F93A9AC" w:rsidR="00585218" w:rsidRPr="00F13073" w:rsidRDefault="00585218" w:rsidP="008B4C50">
      <w:pPr>
        <w:pStyle w:val="a4"/>
        <w:widowControl/>
        <w:spacing w:after="0"/>
        <w:rPr>
          <w:rStyle w:val="Char"/>
        </w:rPr>
      </w:pPr>
      <w:r w:rsidRPr="00F13073">
        <w:rPr>
          <w:rStyle w:val="Char"/>
          <w:b/>
          <w:bCs/>
        </w:rPr>
        <w:t xml:space="preserve">Leku </w:t>
      </w:r>
      <w:r w:rsidR="00026375" w:rsidRPr="00F13073">
        <w:rPr>
          <w:rStyle w:val="Char"/>
          <w:b/>
          <w:bCs/>
        </w:rPr>
        <w:t>Avtozma</w:t>
      </w:r>
      <w:r w:rsidRPr="00F13073">
        <w:rPr>
          <w:rStyle w:val="Char"/>
          <w:b/>
          <w:bCs/>
        </w:rPr>
        <w:t xml:space="preserve"> nie należy stosować w czasie ciąży</w:t>
      </w:r>
      <w:r w:rsidRPr="00F13073">
        <w:rPr>
          <w:rStyle w:val="Char"/>
        </w:rPr>
        <w:t>, z wyjątkiem sytuacji, gdy jego podawanie jest bezwzględnie konieczne. Jeśli pacjentka jest w ciąży, przypuszcza że może być w ciąży lub gdy planuje mieć dziecko powinna poinformować lekarza prowadzącego.</w:t>
      </w:r>
    </w:p>
    <w:p w14:paraId="35192727" w14:textId="77777777" w:rsidR="00007001" w:rsidRPr="00F13073" w:rsidRDefault="00007001" w:rsidP="008B4C50">
      <w:pPr>
        <w:pStyle w:val="a4"/>
        <w:widowControl/>
        <w:spacing w:after="0"/>
      </w:pPr>
    </w:p>
    <w:p w14:paraId="20FFC7E1" w14:textId="7EE0E181" w:rsidR="00585218" w:rsidRPr="00F13073" w:rsidRDefault="00585218" w:rsidP="008B4C50">
      <w:pPr>
        <w:pStyle w:val="a4"/>
        <w:widowControl/>
        <w:spacing w:after="0"/>
        <w:rPr>
          <w:rStyle w:val="Char"/>
        </w:rPr>
      </w:pPr>
      <w:r w:rsidRPr="00F13073">
        <w:rPr>
          <w:rStyle w:val="Char"/>
          <w:b/>
          <w:bCs/>
        </w:rPr>
        <w:t xml:space="preserve">Kobiety w wieku rozrodczym </w:t>
      </w:r>
      <w:r w:rsidRPr="00F13073">
        <w:rPr>
          <w:rStyle w:val="Char"/>
        </w:rPr>
        <w:t xml:space="preserve">powinny stosować skuteczną antykoncepcję w trakcie leczenia lekiem </w:t>
      </w:r>
      <w:r w:rsidR="00026375" w:rsidRPr="00F13073">
        <w:rPr>
          <w:rStyle w:val="Char"/>
        </w:rPr>
        <w:t>Avtozma</w:t>
      </w:r>
      <w:r w:rsidRPr="00F13073">
        <w:rPr>
          <w:rStyle w:val="Char"/>
        </w:rPr>
        <w:t xml:space="preserve"> i przez 3 miesiące po zakończeniu leczenia.</w:t>
      </w:r>
    </w:p>
    <w:p w14:paraId="0FA3CBDF" w14:textId="77777777" w:rsidR="00007001" w:rsidRPr="00F13073" w:rsidRDefault="00007001" w:rsidP="008B4C50">
      <w:pPr>
        <w:pStyle w:val="a4"/>
        <w:widowControl/>
        <w:spacing w:after="0"/>
      </w:pPr>
    </w:p>
    <w:p w14:paraId="19D0E848" w14:textId="45E34A4E" w:rsidR="00585218" w:rsidRPr="00F13073" w:rsidRDefault="00585218" w:rsidP="008B4C50">
      <w:pPr>
        <w:pStyle w:val="a4"/>
        <w:widowControl/>
        <w:spacing w:after="0"/>
        <w:rPr>
          <w:rStyle w:val="Char"/>
        </w:rPr>
      </w:pPr>
      <w:r w:rsidRPr="00F13073">
        <w:rPr>
          <w:rStyle w:val="Char"/>
          <w:b/>
          <w:bCs/>
        </w:rPr>
        <w:t xml:space="preserve">Należy przerwać karmienie piersią </w:t>
      </w:r>
      <w:r w:rsidRPr="00F13073">
        <w:rPr>
          <w:rStyle w:val="Char"/>
        </w:rPr>
        <w:t xml:space="preserve">i poinformować lekarza, </w:t>
      </w:r>
      <w:r w:rsidRPr="00F13073">
        <w:rPr>
          <w:rStyle w:val="Char"/>
          <w:b/>
          <w:bCs/>
        </w:rPr>
        <w:t xml:space="preserve">jeśli pacjentka ma otrzymać lek </w:t>
      </w:r>
      <w:r w:rsidR="00026375" w:rsidRPr="00F13073">
        <w:rPr>
          <w:rStyle w:val="Char"/>
          <w:b/>
          <w:bCs/>
        </w:rPr>
        <w:t>Avtozma</w:t>
      </w:r>
      <w:r w:rsidRPr="00F13073">
        <w:rPr>
          <w:rStyle w:val="Char"/>
          <w:b/>
          <w:bCs/>
        </w:rPr>
        <w:t xml:space="preserve">. </w:t>
      </w:r>
      <w:r w:rsidRPr="00F13073">
        <w:rPr>
          <w:rStyle w:val="Char"/>
        </w:rPr>
        <w:t xml:space="preserve">Po zakończeniu leczenia należy odczekać co najmniej 3 miesiące przed rozpoczęciem karmienia piersią. Nie wiadomo, czy lek </w:t>
      </w:r>
      <w:r w:rsidR="00026375" w:rsidRPr="00F13073">
        <w:rPr>
          <w:rStyle w:val="Char"/>
        </w:rPr>
        <w:t>Avtozma</w:t>
      </w:r>
      <w:r w:rsidRPr="00F13073">
        <w:rPr>
          <w:rStyle w:val="Char"/>
        </w:rPr>
        <w:t xml:space="preserve"> przenika do mleka matki.</w:t>
      </w:r>
    </w:p>
    <w:p w14:paraId="7E6BC375" w14:textId="77777777" w:rsidR="00007001" w:rsidRPr="00F13073" w:rsidRDefault="00007001" w:rsidP="008B4C50">
      <w:pPr>
        <w:pStyle w:val="a4"/>
        <w:widowControl/>
        <w:spacing w:after="0"/>
      </w:pPr>
    </w:p>
    <w:p w14:paraId="07364D47" w14:textId="77777777" w:rsidR="00585218" w:rsidRPr="00F13073" w:rsidRDefault="00585218" w:rsidP="008B4C50">
      <w:pPr>
        <w:pStyle w:val="a4"/>
        <w:widowControl/>
        <w:spacing w:after="0"/>
        <w:rPr>
          <w:rStyle w:val="Char"/>
        </w:rPr>
      </w:pPr>
      <w:r w:rsidRPr="00F13073">
        <w:rPr>
          <w:rStyle w:val="Char"/>
        </w:rPr>
        <w:t>Dostępne dotychczas dane niekliniczne nie wskazują na występowanie wpływu leczenia tocilizumabem na płodność.</w:t>
      </w:r>
    </w:p>
    <w:p w14:paraId="493F5451" w14:textId="77777777" w:rsidR="00007001" w:rsidRPr="00F13073" w:rsidRDefault="00007001" w:rsidP="008B4C50">
      <w:pPr>
        <w:pStyle w:val="a4"/>
        <w:widowControl/>
        <w:spacing w:after="0"/>
      </w:pPr>
    </w:p>
    <w:p w14:paraId="1D9271C2" w14:textId="77777777" w:rsidR="00585218" w:rsidRPr="00F13073" w:rsidRDefault="00585218" w:rsidP="008B4C50">
      <w:pPr>
        <w:pStyle w:val="a4"/>
        <w:widowControl/>
        <w:spacing w:after="0"/>
      </w:pPr>
      <w:r w:rsidRPr="00F13073">
        <w:rPr>
          <w:rStyle w:val="Char"/>
          <w:b/>
          <w:bCs/>
        </w:rPr>
        <w:t>Prowadzenie pojazdów i obsługiwanie maszyn</w:t>
      </w:r>
    </w:p>
    <w:p w14:paraId="1622DA26" w14:textId="3BA66D4D" w:rsidR="00585218" w:rsidRPr="00F13073" w:rsidRDefault="00585218"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może powodować zawroty głowy. Pacjentom, u których występują zawroty głowy, nie zaleca się prowadzenia pojazdów ani obsługiwania maszyn.</w:t>
      </w:r>
    </w:p>
    <w:p w14:paraId="52179FE5" w14:textId="77777777" w:rsidR="00007001" w:rsidRPr="00F13073" w:rsidRDefault="00007001" w:rsidP="008B4C50">
      <w:pPr>
        <w:pStyle w:val="a4"/>
        <w:widowControl/>
        <w:spacing w:after="0"/>
      </w:pPr>
    </w:p>
    <w:p w14:paraId="6F5E07F4" w14:textId="160FE992" w:rsidR="00585218" w:rsidRPr="00F13073" w:rsidRDefault="00585218" w:rsidP="008B4C50">
      <w:pPr>
        <w:pStyle w:val="a4"/>
        <w:widowControl/>
        <w:spacing w:after="0"/>
      </w:pPr>
      <w:r w:rsidRPr="00F13073">
        <w:rPr>
          <w:rStyle w:val="Char"/>
          <w:b/>
          <w:bCs/>
        </w:rPr>
        <w:t xml:space="preserve">Lek </w:t>
      </w:r>
      <w:r w:rsidR="00026375" w:rsidRPr="00F13073">
        <w:rPr>
          <w:rStyle w:val="Char"/>
          <w:b/>
          <w:bCs/>
        </w:rPr>
        <w:t>Avtozma</w:t>
      </w:r>
      <w:r w:rsidRPr="00F13073">
        <w:rPr>
          <w:rStyle w:val="Char"/>
          <w:b/>
          <w:bCs/>
        </w:rPr>
        <w:t xml:space="preserve"> zawiera </w:t>
      </w:r>
      <w:r w:rsidR="008D49F7" w:rsidRPr="00F13073">
        <w:rPr>
          <w:rStyle w:val="Char"/>
          <w:b/>
          <w:bCs/>
        </w:rPr>
        <w:t>polisorbat</w:t>
      </w:r>
    </w:p>
    <w:p w14:paraId="05640DD6" w14:textId="27F0F41D" w:rsidR="00585218" w:rsidRPr="00F13073" w:rsidRDefault="006373CE" w:rsidP="008B4C50">
      <w:pPr>
        <w:pStyle w:val="a4"/>
        <w:widowControl/>
        <w:spacing w:after="0"/>
        <w:rPr>
          <w:rStyle w:val="Char"/>
        </w:rPr>
      </w:pPr>
      <w:r w:rsidRPr="00F13073">
        <w:rPr>
          <w:rStyle w:val="Char"/>
        </w:rPr>
        <w:t>Ten lek</w:t>
      </w:r>
      <w:r w:rsidR="00585218" w:rsidRPr="00F13073">
        <w:rPr>
          <w:rStyle w:val="Char"/>
        </w:rPr>
        <w:t xml:space="preserve"> zawiera </w:t>
      </w:r>
      <w:r w:rsidR="00323630" w:rsidRPr="00F13073">
        <w:rPr>
          <w:rStyle w:val="Char"/>
        </w:rPr>
        <w:t>0,5 mg polisorbatu 80 w każdym ml</w:t>
      </w:r>
      <w:r w:rsidR="00C5373E" w:rsidRPr="00F13073">
        <w:rPr>
          <w:rStyle w:val="Char"/>
        </w:rPr>
        <w:t>. Polisorbaty mogą powodować reakcje alergiczne. Należy poinformować lekarza, jeśli u pacjenta występują znane reakcje alergiczne.</w:t>
      </w:r>
    </w:p>
    <w:p w14:paraId="6A737752" w14:textId="77777777" w:rsidR="00007001" w:rsidRPr="00F13073" w:rsidRDefault="00007001" w:rsidP="008B4C50">
      <w:pPr>
        <w:pStyle w:val="a4"/>
        <w:widowControl/>
        <w:spacing w:after="0"/>
      </w:pPr>
    </w:p>
    <w:p w14:paraId="6AB587E9" w14:textId="77777777" w:rsidR="00431FC3" w:rsidRPr="00F13073" w:rsidRDefault="00431FC3" w:rsidP="008B4C50">
      <w:pPr>
        <w:pStyle w:val="a4"/>
        <w:widowControl/>
        <w:spacing w:after="0"/>
      </w:pPr>
    </w:p>
    <w:p w14:paraId="512BF0E7" w14:textId="61D1C357" w:rsidR="00431FC3" w:rsidRPr="00F13073" w:rsidRDefault="00431FC3" w:rsidP="008B4C50">
      <w:pPr>
        <w:keepNext/>
        <w:ind w:left="567" w:hanging="567"/>
        <w:rPr>
          <w:b/>
          <w:bCs/>
        </w:rPr>
      </w:pPr>
      <w:r w:rsidRPr="00F13073">
        <w:rPr>
          <w:b/>
          <w:bCs/>
        </w:rPr>
        <w:t>3.</w:t>
      </w:r>
      <w:r w:rsidRPr="00F13073">
        <w:rPr>
          <w:b/>
          <w:bCs/>
        </w:rPr>
        <w:tab/>
      </w:r>
      <w:r w:rsidRPr="00F13073">
        <w:rPr>
          <w:rStyle w:val="Char"/>
          <w:rFonts w:eastAsia="DengXian"/>
          <w:b/>
          <w:bCs/>
        </w:rPr>
        <w:t xml:space="preserve">Jak stosować lek </w:t>
      </w:r>
      <w:r w:rsidR="00026375" w:rsidRPr="00F13073">
        <w:rPr>
          <w:rStyle w:val="Char"/>
          <w:rFonts w:eastAsia="DengXian"/>
          <w:b/>
          <w:bCs/>
        </w:rPr>
        <w:t>Avtozma</w:t>
      </w:r>
    </w:p>
    <w:p w14:paraId="1DC5A00B" w14:textId="77777777" w:rsidR="00431FC3" w:rsidRPr="00F13073" w:rsidRDefault="00431FC3" w:rsidP="008B4C50">
      <w:pPr>
        <w:pStyle w:val="a4"/>
        <w:widowControl/>
        <w:spacing w:after="0"/>
      </w:pPr>
    </w:p>
    <w:p w14:paraId="41997C78" w14:textId="473FD365" w:rsidR="00585218" w:rsidRPr="00F13073" w:rsidRDefault="00585218"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jest wydawany z przepisu lekarza do zastrzeżonego stosowania.</w:t>
      </w:r>
    </w:p>
    <w:p w14:paraId="3848E375" w14:textId="77777777" w:rsidR="00431FC3" w:rsidRPr="00F13073" w:rsidRDefault="00431FC3" w:rsidP="008B4C50">
      <w:pPr>
        <w:pStyle w:val="a4"/>
        <w:widowControl/>
        <w:spacing w:after="0"/>
      </w:pPr>
    </w:p>
    <w:p w14:paraId="5F4ACD81" w14:textId="769DAE04" w:rsidR="00585218" w:rsidRPr="00F13073" w:rsidRDefault="00585218" w:rsidP="008B4C50">
      <w:pPr>
        <w:pStyle w:val="a4"/>
        <w:widowControl/>
        <w:spacing w:after="0"/>
      </w:pPr>
      <w:r w:rsidRPr="00F13073">
        <w:rPr>
          <w:rStyle w:val="Char"/>
        </w:rPr>
        <w:t xml:space="preserve">Lek </w:t>
      </w:r>
      <w:r w:rsidR="00026375" w:rsidRPr="00F13073">
        <w:rPr>
          <w:rStyle w:val="Char"/>
        </w:rPr>
        <w:t>Avtozma</w:t>
      </w:r>
      <w:r w:rsidRPr="00F13073">
        <w:rPr>
          <w:rStyle w:val="Char"/>
        </w:rPr>
        <w:t xml:space="preserve"> jest podawany </w:t>
      </w:r>
      <w:r w:rsidRPr="00F13073">
        <w:rPr>
          <w:rStyle w:val="Char"/>
          <w:b/>
          <w:bCs/>
        </w:rPr>
        <w:t>w postaci kroplówki dożylnej przez lekarza lub pielęgniarkę.</w:t>
      </w:r>
    </w:p>
    <w:p w14:paraId="53BAAB13" w14:textId="77777777" w:rsidR="00585218" w:rsidRPr="00F13073" w:rsidRDefault="00585218" w:rsidP="008B4C50">
      <w:pPr>
        <w:pStyle w:val="a4"/>
        <w:widowControl/>
        <w:spacing w:after="0"/>
        <w:rPr>
          <w:rStyle w:val="Char"/>
        </w:rPr>
      </w:pPr>
      <w:r w:rsidRPr="00F13073">
        <w:rPr>
          <w:rStyle w:val="Char"/>
        </w:rPr>
        <w:t>Lekarz lub pielęgniarka rozcieńczy roztwór, poda wlew i będzie obserwować pacjenta podczas wlewu i po nim.</w:t>
      </w:r>
    </w:p>
    <w:p w14:paraId="3B41D03E" w14:textId="77777777" w:rsidR="00431FC3" w:rsidRPr="00F13073" w:rsidRDefault="00431FC3" w:rsidP="008B4C50">
      <w:pPr>
        <w:pStyle w:val="a4"/>
        <w:widowControl/>
        <w:spacing w:after="0"/>
      </w:pPr>
    </w:p>
    <w:p w14:paraId="66DEBA48" w14:textId="77777777" w:rsidR="00585218" w:rsidRPr="00F13073" w:rsidRDefault="00585218" w:rsidP="008B4C50">
      <w:pPr>
        <w:pStyle w:val="a4"/>
        <w:widowControl/>
        <w:spacing w:after="0"/>
      </w:pPr>
      <w:r w:rsidRPr="00F13073">
        <w:rPr>
          <w:rStyle w:val="Char"/>
          <w:b/>
          <w:bCs/>
        </w:rPr>
        <w:t>Dorośli chorzy na RZS</w:t>
      </w:r>
    </w:p>
    <w:p w14:paraId="099D3B3E" w14:textId="1A29D7FA" w:rsidR="00585218" w:rsidRPr="00F13073" w:rsidRDefault="00585218" w:rsidP="008B4C50">
      <w:pPr>
        <w:pStyle w:val="a4"/>
        <w:widowControl/>
        <w:spacing w:after="0"/>
        <w:rPr>
          <w:rStyle w:val="Char"/>
        </w:rPr>
      </w:pPr>
      <w:r w:rsidRPr="00F13073">
        <w:rPr>
          <w:rStyle w:val="Char"/>
        </w:rPr>
        <w:t xml:space="preserve">Zazwyczaj stosowana dawka leku </w:t>
      </w:r>
      <w:r w:rsidR="00026375" w:rsidRPr="00F13073">
        <w:rPr>
          <w:rStyle w:val="Char"/>
        </w:rPr>
        <w:t>Avtozma</w:t>
      </w:r>
      <w:r w:rsidRPr="00F13073">
        <w:rPr>
          <w:rStyle w:val="Char"/>
        </w:rPr>
        <w:t xml:space="preserve"> dla dorosłego pacjenta wynosi 8 mg na kg masy ciała.</w:t>
      </w:r>
      <w:r w:rsidR="00431FC3" w:rsidRPr="00F13073">
        <w:rPr>
          <w:rStyle w:val="Char"/>
        </w:rPr>
        <w:t xml:space="preserve"> </w:t>
      </w:r>
      <w:r w:rsidRPr="00F13073">
        <w:rPr>
          <w:rStyle w:val="Char"/>
        </w:rPr>
        <w:t>W zależności od odpowiedzi na leczenie lekarz może zmniejszyć dawkę do 4 mg/kg mc., a następnie z powrotem zwiększyć dawkę do 8 mg/kg mc., gdy jest to konieczne.</w:t>
      </w:r>
    </w:p>
    <w:p w14:paraId="6FF68041" w14:textId="77777777" w:rsidR="00431FC3" w:rsidRPr="00F13073" w:rsidRDefault="00431FC3" w:rsidP="008B4C50">
      <w:pPr>
        <w:pStyle w:val="a4"/>
        <w:widowControl/>
        <w:spacing w:after="0"/>
      </w:pPr>
    </w:p>
    <w:p w14:paraId="5EA3296F" w14:textId="524F437F" w:rsidR="00585218" w:rsidRPr="00F13073" w:rsidRDefault="00585218"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jest podawany pacjentom dorosłym raz na 4 tygodnie, w postaci wlewu kroplowego do jednej z żył (wlew dożylny) przez okres jednej godziny.</w:t>
      </w:r>
    </w:p>
    <w:p w14:paraId="34796FDA" w14:textId="77777777" w:rsidR="00431FC3" w:rsidRPr="00F13073" w:rsidRDefault="00431FC3" w:rsidP="008B4C50">
      <w:pPr>
        <w:pStyle w:val="a4"/>
        <w:widowControl/>
        <w:spacing w:after="0"/>
      </w:pPr>
    </w:p>
    <w:p w14:paraId="31C4C095" w14:textId="77777777" w:rsidR="00585218" w:rsidRPr="00F13073" w:rsidRDefault="00585218" w:rsidP="008B4C50">
      <w:pPr>
        <w:pStyle w:val="a4"/>
        <w:widowControl/>
        <w:spacing w:after="0"/>
      </w:pPr>
      <w:r w:rsidRPr="00F13073">
        <w:rPr>
          <w:rStyle w:val="Char"/>
          <w:b/>
          <w:bCs/>
          <w:u w:val="single"/>
        </w:rPr>
        <w:t>Dzieci z uMIZS (w wieku 2 lat i starsze)</w:t>
      </w:r>
    </w:p>
    <w:p w14:paraId="641CEB6B" w14:textId="45DD4963" w:rsidR="00585218" w:rsidRPr="00F13073" w:rsidRDefault="00585218" w:rsidP="008B4C50">
      <w:pPr>
        <w:pStyle w:val="a4"/>
        <w:widowControl/>
        <w:spacing w:after="0"/>
        <w:rPr>
          <w:rStyle w:val="Char"/>
        </w:rPr>
      </w:pPr>
      <w:r w:rsidRPr="00F13073">
        <w:rPr>
          <w:rStyle w:val="Char"/>
        </w:rPr>
        <w:t xml:space="preserve">Prawidłowa dawka leku </w:t>
      </w:r>
      <w:r w:rsidR="00026375" w:rsidRPr="00F13073">
        <w:rPr>
          <w:rStyle w:val="Char"/>
        </w:rPr>
        <w:t>Avtozma</w:t>
      </w:r>
      <w:r w:rsidRPr="00F13073">
        <w:rPr>
          <w:rStyle w:val="Char"/>
        </w:rPr>
        <w:t xml:space="preserve"> zależy od masy ciała.</w:t>
      </w:r>
    </w:p>
    <w:p w14:paraId="4480592A" w14:textId="77777777" w:rsidR="00431FC3" w:rsidRPr="00F13073" w:rsidRDefault="00431FC3" w:rsidP="008B4C50">
      <w:pPr>
        <w:pStyle w:val="a0"/>
        <w:numPr>
          <w:ilvl w:val="0"/>
          <w:numId w:val="7"/>
        </w:numPr>
        <w:ind w:left="567" w:hanging="567"/>
        <w:contextualSpacing w:val="0"/>
      </w:pPr>
      <w:r w:rsidRPr="00F13073">
        <w:rPr>
          <w:rStyle w:val="Char"/>
          <w:rFonts w:eastAsia="DengXian"/>
        </w:rPr>
        <w:t xml:space="preserve">Dla osób ważących mniej niż 30 kg: dawka wynosi </w:t>
      </w:r>
      <w:r w:rsidRPr="00F13073">
        <w:rPr>
          <w:rStyle w:val="Char"/>
          <w:rFonts w:eastAsia="DengXian"/>
          <w:b/>
          <w:bCs/>
        </w:rPr>
        <w:t>12 mg na każdy kilogram masy ciała.</w:t>
      </w:r>
    </w:p>
    <w:p w14:paraId="0AE96C50" w14:textId="77777777" w:rsidR="00431FC3" w:rsidRPr="00F13073" w:rsidRDefault="00431FC3" w:rsidP="008B4C50">
      <w:pPr>
        <w:pStyle w:val="a0"/>
        <w:numPr>
          <w:ilvl w:val="0"/>
          <w:numId w:val="7"/>
        </w:numPr>
        <w:ind w:left="567" w:hanging="567"/>
        <w:contextualSpacing w:val="0"/>
      </w:pPr>
      <w:r w:rsidRPr="00F13073">
        <w:rPr>
          <w:rStyle w:val="Char"/>
          <w:rFonts w:eastAsia="DengXian"/>
        </w:rPr>
        <w:t xml:space="preserve">Dla osób ważących 30 kg lub więcej: dawka wynosi </w:t>
      </w:r>
      <w:r w:rsidRPr="00F13073">
        <w:rPr>
          <w:rStyle w:val="Char"/>
          <w:rFonts w:eastAsia="DengXian"/>
          <w:b/>
          <w:bCs/>
        </w:rPr>
        <w:t>8 mg na każdy kilogram masy ciała</w:t>
      </w:r>
      <w:r w:rsidRPr="00F13073">
        <w:rPr>
          <w:rStyle w:val="Char"/>
          <w:rFonts w:eastAsia="DengXian"/>
        </w:rPr>
        <w:t>.</w:t>
      </w:r>
    </w:p>
    <w:p w14:paraId="37ECFA8D" w14:textId="77777777" w:rsidR="00585218" w:rsidRPr="00F13073" w:rsidRDefault="00585218" w:rsidP="008B4C50">
      <w:pPr>
        <w:pStyle w:val="a4"/>
        <w:widowControl/>
        <w:tabs>
          <w:tab w:val="left" w:pos="1530"/>
        </w:tabs>
        <w:spacing w:after="0"/>
        <w:rPr>
          <w:rStyle w:val="Char"/>
        </w:rPr>
      </w:pPr>
      <w:r w:rsidRPr="00F13073">
        <w:rPr>
          <w:rStyle w:val="Char"/>
        </w:rPr>
        <w:t>Dawka ta jest obliczana w oparciu o masę ciała przed każdym podaniem.</w:t>
      </w:r>
    </w:p>
    <w:p w14:paraId="1954C3A0" w14:textId="77777777" w:rsidR="00431FC3" w:rsidRPr="00F13073" w:rsidRDefault="00431FC3" w:rsidP="008B4C50">
      <w:pPr>
        <w:pStyle w:val="a4"/>
        <w:widowControl/>
        <w:tabs>
          <w:tab w:val="left" w:pos="1530"/>
        </w:tabs>
        <w:spacing w:after="0"/>
      </w:pPr>
    </w:p>
    <w:p w14:paraId="63E180C7" w14:textId="5555242B" w:rsidR="001E0975" w:rsidRPr="00F13073" w:rsidRDefault="00585218" w:rsidP="008B4C50">
      <w:r w:rsidRPr="00F13073">
        <w:rPr>
          <w:rStyle w:val="Char"/>
          <w:rFonts w:eastAsia="DengXian"/>
        </w:rPr>
        <w:t xml:space="preserve">Dzieciom z uMIZS lek </w:t>
      </w:r>
      <w:r w:rsidR="00026375" w:rsidRPr="00F13073">
        <w:rPr>
          <w:rStyle w:val="Char"/>
          <w:rFonts w:eastAsia="DengXian"/>
        </w:rPr>
        <w:t>Avtozma</w:t>
      </w:r>
      <w:r w:rsidRPr="00F13073">
        <w:rPr>
          <w:rStyle w:val="Char"/>
          <w:rFonts w:eastAsia="DengXian"/>
        </w:rPr>
        <w:t xml:space="preserve"> podaje się raz na 2 tygodnie poprzez zestaw do przetoczeń dożylnych (wlew dożylny) przez okres jednej godziny.</w:t>
      </w:r>
    </w:p>
    <w:p w14:paraId="5D164036" w14:textId="77777777" w:rsidR="00FC7077" w:rsidRPr="00F13073" w:rsidRDefault="00FC7077" w:rsidP="008B4C50"/>
    <w:p w14:paraId="39AA435D" w14:textId="77777777" w:rsidR="00665D21" w:rsidRPr="00F13073" w:rsidRDefault="00665D21" w:rsidP="008B4C50">
      <w:pPr>
        <w:pStyle w:val="a4"/>
        <w:widowControl/>
        <w:spacing w:after="0"/>
      </w:pPr>
      <w:r w:rsidRPr="00F13073">
        <w:rPr>
          <w:rStyle w:val="Char"/>
          <w:b/>
          <w:bCs/>
          <w:u w:val="single"/>
        </w:rPr>
        <w:t>Dzieci z wMIZS (w wieku 2 lat i starsze)</w:t>
      </w:r>
    </w:p>
    <w:p w14:paraId="53E72844" w14:textId="3E597138" w:rsidR="00665D21" w:rsidRPr="00F13073" w:rsidRDefault="00665D21" w:rsidP="008B4C50">
      <w:pPr>
        <w:pStyle w:val="a4"/>
        <w:widowControl/>
        <w:spacing w:after="0"/>
      </w:pPr>
      <w:r w:rsidRPr="00F13073">
        <w:rPr>
          <w:rStyle w:val="Char"/>
        </w:rPr>
        <w:t xml:space="preserve">Prawidłowa dawka leku </w:t>
      </w:r>
      <w:r w:rsidR="00026375" w:rsidRPr="00F13073">
        <w:rPr>
          <w:rStyle w:val="Char"/>
        </w:rPr>
        <w:t>Avtozma</w:t>
      </w:r>
      <w:r w:rsidRPr="00F13073">
        <w:rPr>
          <w:rStyle w:val="Char"/>
        </w:rPr>
        <w:t xml:space="preserve"> zależy od masy ciała.</w:t>
      </w:r>
    </w:p>
    <w:p w14:paraId="66009E9B" w14:textId="77777777" w:rsidR="00665D21" w:rsidRPr="00F13073" w:rsidRDefault="00665D21" w:rsidP="008B4C50">
      <w:pPr>
        <w:pStyle w:val="a0"/>
        <w:numPr>
          <w:ilvl w:val="0"/>
          <w:numId w:val="7"/>
        </w:numPr>
        <w:ind w:left="567" w:hanging="567"/>
        <w:contextualSpacing w:val="0"/>
      </w:pPr>
      <w:r w:rsidRPr="00F13073">
        <w:rPr>
          <w:rStyle w:val="Char"/>
          <w:rFonts w:eastAsia="DengXian"/>
        </w:rPr>
        <w:t xml:space="preserve">Dla osób ważących mniej niż 30 kg: dawka wynosi </w:t>
      </w:r>
      <w:r w:rsidRPr="00F13073">
        <w:rPr>
          <w:rStyle w:val="Char"/>
          <w:rFonts w:eastAsia="DengXian"/>
          <w:b/>
          <w:bCs/>
        </w:rPr>
        <w:t>10 mg na każdy kilogram masy ciała.</w:t>
      </w:r>
    </w:p>
    <w:p w14:paraId="40D17B59" w14:textId="77777777" w:rsidR="00665D21" w:rsidRPr="00F13073" w:rsidRDefault="00665D21" w:rsidP="008B4C50">
      <w:pPr>
        <w:pStyle w:val="a0"/>
        <w:numPr>
          <w:ilvl w:val="0"/>
          <w:numId w:val="7"/>
        </w:numPr>
        <w:ind w:left="567" w:hanging="567"/>
        <w:contextualSpacing w:val="0"/>
      </w:pPr>
      <w:r w:rsidRPr="00F13073">
        <w:rPr>
          <w:rStyle w:val="Char"/>
          <w:rFonts w:eastAsia="DengXian"/>
        </w:rPr>
        <w:t xml:space="preserve">Dla osób ważących 30 kg lub więcej: dawka wynosi </w:t>
      </w:r>
      <w:r w:rsidRPr="00F13073">
        <w:rPr>
          <w:rStyle w:val="Char"/>
          <w:rFonts w:eastAsia="DengXian"/>
          <w:b/>
          <w:bCs/>
        </w:rPr>
        <w:t>8 mg na każdy kilogram masy ciała</w:t>
      </w:r>
      <w:r w:rsidRPr="00F13073">
        <w:rPr>
          <w:rStyle w:val="Char"/>
          <w:rFonts w:eastAsia="DengXian"/>
        </w:rPr>
        <w:t>.</w:t>
      </w:r>
    </w:p>
    <w:p w14:paraId="3F75D368" w14:textId="77777777" w:rsidR="00665D21" w:rsidRPr="00F13073" w:rsidRDefault="00665D21" w:rsidP="008B4C50">
      <w:pPr>
        <w:pStyle w:val="a4"/>
        <w:widowControl/>
        <w:spacing w:after="0"/>
        <w:rPr>
          <w:rStyle w:val="Char"/>
        </w:rPr>
      </w:pPr>
      <w:r w:rsidRPr="00F13073">
        <w:rPr>
          <w:rStyle w:val="Char"/>
        </w:rPr>
        <w:t>Dawka ta jest obliczana w oparciu o masę ciała przed każdym podaniem.</w:t>
      </w:r>
    </w:p>
    <w:p w14:paraId="263C20F6" w14:textId="77777777" w:rsidR="00675B84" w:rsidRPr="00F13073" w:rsidRDefault="00675B84" w:rsidP="008B4C50">
      <w:pPr>
        <w:pStyle w:val="a4"/>
        <w:widowControl/>
        <w:spacing w:after="0"/>
      </w:pPr>
    </w:p>
    <w:p w14:paraId="6BC95196" w14:textId="085944E4" w:rsidR="00665D21" w:rsidRPr="00F13073" w:rsidRDefault="00665D21" w:rsidP="008B4C50">
      <w:pPr>
        <w:pStyle w:val="a4"/>
        <w:widowControl/>
        <w:spacing w:after="0"/>
        <w:rPr>
          <w:rStyle w:val="Char"/>
        </w:rPr>
      </w:pPr>
      <w:r w:rsidRPr="00F13073">
        <w:rPr>
          <w:rStyle w:val="Char"/>
        </w:rPr>
        <w:lastRenderedPageBreak/>
        <w:t xml:space="preserve">Dzieciom z wMIZS lek </w:t>
      </w:r>
      <w:r w:rsidR="00026375" w:rsidRPr="00F13073">
        <w:rPr>
          <w:rStyle w:val="Char"/>
        </w:rPr>
        <w:t>Avtozma</w:t>
      </w:r>
      <w:r w:rsidRPr="00F13073">
        <w:rPr>
          <w:rStyle w:val="Char"/>
        </w:rPr>
        <w:t xml:space="preserve"> podaje się raz na 4 tygodnie poprzez zestaw do przetoczeń dożylnych (wlew dożylny) przez okres jednej godziny.</w:t>
      </w:r>
    </w:p>
    <w:p w14:paraId="254BC7A1" w14:textId="77777777" w:rsidR="00675B84" w:rsidRPr="00F13073" w:rsidRDefault="00675B84" w:rsidP="008B4C50">
      <w:pPr>
        <w:pStyle w:val="a4"/>
        <w:widowControl/>
        <w:spacing w:after="0"/>
      </w:pPr>
    </w:p>
    <w:p w14:paraId="673620C3" w14:textId="77777777" w:rsidR="00665D21" w:rsidRPr="00F13073" w:rsidRDefault="00665D21" w:rsidP="008B4C50">
      <w:pPr>
        <w:pStyle w:val="a4"/>
        <w:widowControl/>
        <w:spacing w:after="0"/>
      </w:pPr>
      <w:r w:rsidRPr="00F13073">
        <w:rPr>
          <w:rStyle w:val="Char"/>
          <w:b/>
          <w:bCs/>
        </w:rPr>
        <w:t>Pacjenci z CRS</w:t>
      </w:r>
    </w:p>
    <w:p w14:paraId="2293B84D" w14:textId="63B4A69C" w:rsidR="00665D21" w:rsidRPr="00F13073" w:rsidRDefault="00665D21" w:rsidP="008B4C50">
      <w:pPr>
        <w:pStyle w:val="a4"/>
        <w:widowControl/>
        <w:spacing w:after="0"/>
        <w:rPr>
          <w:rStyle w:val="Char"/>
        </w:rPr>
      </w:pPr>
      <w:r w:rsidRPr="00F13073">
        <w:rPr>
          <w:rStyle w:val="Char"/>
        </w:rPr>
        <w:t xml:space="preserve">Zazwyczaj dawka leku </w:t>
      </w:r>
      <w:r w:rsidR="00026375" w:rsidRPr="00F13073">
        <w:rPr>
          <w:rStyle w:val="Char"/>
        </w:rPr>
        <w:t>Avtozma</w:t>
      </w:r>
      <w:r w:rsidRPr="00F13073">
        <w:rPr>
          <w:rStyle w:val="Char"/>
        </w:rPr>
        <w:t xml:space="preserve"> wynosi </w:t>
      </w:r>
      <w:r w:rsidRPr="00F13073">
        <w:rPr>
          <w:rStyle w:val="Char"/>
          <w:b/>
          <w:bCs/>
        </w:rPr>
        <w:t>8 mg na kilogram masy ciała u osób o wadze co najmniej 30 kg</w:t>
      </w:r>
      <w:r w:rsidRPr="00F13073">
        <w:rPr>
          <w:rStyle w:val="Char"/>
        </w:rPr>
        <w:t>.</w:t>
      </w:r>
    </w:p>
    <w:p w14:paraId="18122530" w14:textId="77777777" w:rsidR="00665D21" w:rsidRPr="00F13073" w:rsidRDefault="00665D21" w:rsidP="008B4C50">
      <w:pPr>
        <w:pStyle w:val="a4"/>
        <w:widowControl/>
        <w:spacing w:after="0"/>
      </w:pPr>
      <w:r w:rsidRPr="00F13073">
        <w:rPr>
          <w:rStyle w:val="Char"/>
        </w:rPr>
        <w:t xml:space="preserve">Dawka wynosi </w:t>
      </w:r>
      <w:r w:rsidRPr="00F13073">
        <w:rPr>
          <w:rStyle w:val="Char"/>
          <w:b/>
          <w:bCs/>
        </w:rPr>
        <w:t>12 mg na kilogram masy ciała u osób ważących poniżej 30 kg</w:t>
      </w:r>
      <w:r w:rsidRPr="00F13073">
        <w:rPr>
          <w:rStyle w:val="Char"/>
        </w:rPr>
        <w:t>.</w:t>
      </w:r>
    </w:p>
    <w:p w14:paraId="0B29534B" w14:textId="246888F6" w:rsidR="00665D21" w:rsidRPr="00F13073" w:rsidRDefault="00665D21"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można podawać niezależnie lub w skojarzeniu z kortykosteroidami.</w:t>
      </w:r>
    </w:p>
    <w:p w14:paraId="4B6D2835" w14:textId="77777777" w:rsidR="00675B84" w:rsidRPr="00F13073" w:rsidRDefault="00675B84" w:rsidP="008B4C50">
      <w:pPr>
        <w:pStyle w:val="a4"/>
        <w:widowControl/>
        <w:spacing w:after="0"/>
      </w:pPr>
    </w:p>
    <w:p w14:paraId="35AC496E" w14:textId="77777777" w:rsidR="00665D21" w:rsidRPr="00F13073" w:rsidRDefault="00665D21" w:rsidP="008B4C50">
      <w:pPr>
        <w:pStyle w:val="a4"/>
        <w:widowControl/>
        <w:spacing w:after="0"/>
      </w:pPr>
      <w:r w:rsidRPr="00F13073">
        <w:rPr>
          <w:rStyle w:val="Char"/>
          <w:b/>
          <w:bCs/>
        </w:rPr>
        <w:t>Pacjenci z COVID-19</w:t>
      </w:r>
    </w:p>
    <w:p w14:paraId="2D89C213" w14:textId="595B1A7C" w:rsidR="00665D21" w:rsidRPr="00F13073" w:rsidRDefault="00665D21" w:rsidP="008B4C50">
      <w:pPr>
        <w:pStyle w:val="a4"/>
        <w:widowControl/>
        <w:spacing w:after="0"/>
        <w:rPr>
          <w:rStyle w:val="Char"/>
        </w:rPr>
      </w:pPr>
      <w:r w:rsidRPr="00F13073">
        <w:rPr>
          <w:rStyle w:val="Char"/>
        </w:rPr>
        <w:t xml:space="preserve">Zazwyczaj dawka leku </w:t>
      </w:r>
      <w:r w:rsidR="00026375" w:rsidRPr="00F13073">
        <w:rPr>
          <w:rStyle w:val="Char"/>
        </w:rPr>
        <w:t>Avtozma</w:t>
      </w:r>
      <w:r w:rsidRPr="00F13073">
        <w:rPr>
          <w:rStyle w:val="Char"/>
        </w:rPr>
        <w:t xml:space="preserve"> wynosi </w:t>
      </w:r>
      <w:r w:rsidRPr="00F13073">
        <w:rPr>
          <w:rStyle w:val="Char"/>
          <w:b/>
          <w:bCs/>
        </w:rPr>
        <w:t>8 mg na każdy kilogram masy ciała</w:t>
      </w:r>
      <w:r w:rsidRPr="00F13073">
        <w:rPr>
          <w:rStyle w:val="Char"/>
        </w:rPr>
        <w:t>. Może zajść konieczność podania drugiej dawki.</w:t>
      </w:r>
    </w:p>
    <w:p w14:paraId="18E726D3" w14:textId="77777777" w:rsidR="00675B84" w:rsidRPr="00F13073" w:rsidRDefault="00675B84" w:rsidP="008B4C50">
      <w:pPr>
        <w:pStyle w:val="a4"/>
        <w:widowControl/>
        <w:spacing w:after="0"/>
      </w:pPr>
    </w:p>
    <w:p w14:paraId="76C930E9" w14:textId="1713EE13" w:rsidR="00665D21" w:rsidRPr="00F13073" w:rsidRDefault="00665D21" w:rsidP="008B4C50">
      <w:pPr>
        <w:pStyle w:val="a4"/>
        <w:widowControl/>
        <w:spacing w:after="0"/>
      </w:pPr>
      <w:r w:rsidRPr="00F13073">
        <w:rPr>
          <w:rStyle w:val="Char"/>
          <w:b/>
          <w:bCs/>
        </w:rPr>
        <w:t xml:space="preserve">Zastosowanie większej niż zalecana dawki leku </w:t>
      </w:r>
      <w:r w:rsidR="00026375" w:rsidRPr="00F13073">
        <w:rPr>
          <w:rStyle w:val="Char"/>
          <w:b/>
          <w:bCs/>
        </w:rPr>
        <w:t>Avtozma</w:t>
      </w:r>
    </w:p>
    <w:p w14:paraId="1F6646B2" w14:textId="72A11F5F" w:rsidR="00665D21" w:rsidRPr="00F13073" w:rsidRDefault="00665D21" w:rsidP="008B4C50">
      <w:pPr>
        <w:pStyle w:val="a4"/>
        <w:widowControl/>
        <w:spacing w:after="0"/>
        <w:rPr>
          <w:rStyle w:val="Char"/>
        </w:rPr>
      </w:pPr>
      <w:r w:rsidRPr="00F13073">
        <w:rPr>
          <w:rStyle w:val="Char"/>
        </w:rPr>
        <w:t xml:space="preserve">Ponieważ lek </w:t>
      </w:r>
      <w:r w:rsidR="00026375" w:rsidRPr="00F13073">
        <w:rPr>
          <w:rStyle w:val="Char"/>
        </w:rPr>
        <w:t>Avtozma</w:t>
      </w:r>
      <w:r w:rsidRPr="00F13073">
        <w:rPr>
          <w:rStyle w:val="Char"/>
        </w:rPr>
        <w:t xml:space="preserve"> jest podawany przez lekarza lub pielęgniarkę, podanie większej niż zalecana dawki leku jest mało prawdopodobne. Jednakże, jeśli pacjent jest zaniepokojony taką możliwością, należy zwrócić się do lekarza prowadzącego.</w:t>
      </w:r>
    </w:p>
    <w:p w14:paraId="31B2CB72" w14:textId="77777777" w:rsidR="00675B84" w:rsidRPr="00F13073" w:rsidRDefault="00675B84" w:rsidP="008B4C50">
      <w:pPr>
        <w:pStyle w:val="a4"/>
        <w:widowControl/>
        <w:spacing w:after="0"/>
      </w:pPr>
    </w:p>
    <w:p w14:paraId="33339168" w14:textId="2A3D82DD" w:rsidR="00665D21" w:rsidRPr="00F13073" w:rsidRDefault="00665D21" w:rsidP="008B4C50">
      <w:pPr>
        <w:pStyle w:val="a4"/>
        <w:widowControl/>
        <w:spacing w:after="0"/>
      </w:pPr>
      <w:r w:rsidRPr="00F13073">
        <w:rPr>
          <w:rStyle w:val="Char"/>
          <w:b/>
          <w:bCs/>
        </w:rPr>
        <w:t xml:space="preserve">Pominięcie zastosowania leku </w:t>
      </w:r>
      <w:r w:rsidR="00026375" w:rsidRPr="00F13073">
        <w:rPr>
          <w:rStyle w:val="Char"/>
          <w:b/>
          <w:bCs/>
        </w:rPr>
        <w:t>Avtozma</w:t>
      </w:r>
    </w:p>
    <w:p w14:paraId="5C5E1713" w14:textId="14D21BCC" w:rsidR="00665D21" w:rsidRPr="00F13073" w:rsidRDefault="00665D21" w:rsidP="008B4C50">
      <w:pPr>
        <w:pStyle w:val="a4"/>
        <w:widowControl/>
        <w:spacing w:after="0"/>
        <w:rPr>
          <w:rStyle w:val="Char"/>
        </w:rPr>
      </w:pPr>
      <w:r w:rsidRPr="00F13073">
        <w:rPr>
          <w:rStyle w:val="Char"/>
        </w:rPr>
        <w:t xml:space="preserve">Ponieważ lek </w:t>
      </w:r>
      <w:r w:rsidR="00026375" w:rsidRPr="00F13073">
        <w:rPr>
          <w:rStyle w:val="Char"/>
        </w:rPr>
        <w:t>Avtozma</w:t>
      </w:r>
      <w:r w:rsidRPr="00F13073">
        <w:rPr>
          <w:rStyle w:val="Char"/>
        </w:rPr>
        <w:t xml:space="preserve"> jest podawany przez lekarza lub pielęgniarkę, pominięcie podania zalecanej dawki leku jest mało prawdopodobne. Jednakże, jeśli pacjent jest zaniepokojony taką możliwością, należy zwrócić się do lekarza prowadzącego lub pielęgniarki.</w:t>
      </w:r>
    </w:p>
    <w:p w14:paraId="20A81B02" w14:textId="77777777" w:rsidR="00675B84" w:rsidRPr="00F13073" w:rsidRDefault="00675B84" w:rsidP="008B4C50">
      <w:pPr>
        <w:pStyle w:val="a4"/>
        <w:widowControl/>
        <w:spacing w:after="0"/>
      </w:pPr>
    </w:p>
    <w:p w14:paraId="6C20CCCD" w14:textId="5B812DD6" w:rsidR="00665D21" w:rsidRPr="00F13073" w:rsidRDefault="00665D21" w:rsidP="008B4C50">
      <w:pPr>
        <w:pStyle w:val="a4"/>
        <w:widowControl/>
        <w:spacing w:after="0"/>
      </w:pPr>
      <w:r w:rsidRPr="00F13073">
        <w:rPr>
          <w:rStyle w:val="Char"/>
          <w:b/>
          <w:bCs/>
        </w:rPr>
        <w:t xml:space="preserve">Przerwanie stosowania leku </w:t>
      </w:r>
      <w:r w:rsidR="00026375" w:rsidRPr="00F13073">
        <w:rPr>
          <w:rStyle w:val="Char"/>
          <w:b/>
          <w:bCs/>
        </w:rPr>
        <w:t>Avtozma</w:t>
      </w:r>
    </w:p>
    <w:p w14:paraId="415DD3B3" w14:textId="05C84496" w:rsidR="00665D21" w:rsidRPr="00F13073" w:rsidRDefault="00665D21" w:rsidP="008B4C50">
      <w:pPr>
        <w:pStyle w:val="a4"/>
        <w:widowControl/>
        <w:spacing w:after="0"/>
        <w:rPr>
          <w:rStyle w:val="Char"/>
        </w:rPr>
      </w:pPr>
      <w:r w:rsidRPr="00F13073">
        <w:rPr>
          <w:rStyle w:val="Char"/>
        </w:rPr>
        <w:t xml:space="preserve">Nie należy przerywać przyjmowania leku </w:t>
      </w:r>
      <w:r w:rsidR="00026375" w:rsidRPr="00F13073">
        <w:rPr>
          <w:rStyle w:val="Char"/>
        </w:rPr>
        <w:t>Avtozma</w:t>
      </w:r>
      <w:r w:rsidRPr="00F13073">
        <w:rPr>
          <w:rStyle w:val="Char"/>
        </w:rPr>
        <w:t xml:space="preserve"> bez konsultacji z lekarzem.</w:t>
      </w:r>
    </w:p>
    <w:p w14:paraId="478F645A" w14:textId="77777777" w:rsidR="00675B84" w:rsidRPr="00F13073" w:rsidRDefault="00675B84" w:rsidP="008B4C50">
      <w:pPr>
        <w:pStyle w:val="a4"/>
        <w:widowControl/>
        <w:spacing w:after="0"/>
      </w:pPr>
    </w:p>
    <w:p w14:paraId="6309A0DE" w14:textId="6EFBD9CC" w:rsidR="00665D21" w:rsidRPr="00F13073" w:rsidRDefault="00665D21" w:rsidP="008B4C50">
      <w:pPr>
        <w:pStyle w:val="a4"/>
        <w:widowControl/>
        <w:spacing w:after="0"/>
        <w:rPr>
          <w:rStyle w:val="Char"/>
        </w:rPr>
      </w:pPr>
      <w:r w:rsidRPr="00F13073">
        <w:rPr>
          <w:rStyle w:val="Char"/>
        </w:rPr>
        <w:t xml:space="preserve">W razie wątpliwości związanych ze stosowaniem leku </w:t>
      </w:r>
      <w:r w:rsidR="00026375" w:rsidRPr="00F13073">
        <w:rPr>
          <w:rStyle w:val="Char"/>
        </w:rPr>
        <w:t>Avtozma</w:t>
      </w:r>
      <w:r w:rsidRPr="00F13073">
        <w:rPr>
          <w:rStyle w:val="Char"/>
        </w:rPr>
        <w:t>, należy zwrócić się do lekarza lub pielęgniarki.</w:t>
      </w:r>
    </w:p>
    <w:p w14:paraId="036D4C21" w14:textId="77777777" w:rsidR="00675B84" w:rsidRPr="00F13073" w:rsidRDefault="00675B84" w:rsidP="008B4C50">
      <w:pPr>
        <w:pStyle w:val="a4"/>
        <w:widowControl/>
        <w:spacing w:after="0"/>
      </w:pPr>
    </w:p>
    <w:p w14:paraId="130E3B8C" w14:textId="77777777" w:rsidR="00675B84" w:rsidRPr="00F13073" w:rsidRDefault="00675B84" w:rsidP="008B4C50">
      <w:pPr>
        <w:pStyle w:val="a4"/>
        <w:widowControl/>
        <w:spacing w:after="0"/>
      </w:pPr>
    </w:p>
    <w:p w14:paraId="240F2E1F" w14:textId="77777777" w:rsidR="00665D21" w:rsidRPr="00F13073" w:rsidRDefault="00665D21" w:rsidP="008B4C50">
      <w:pPr>
        <w:keepNext/>
        <w:ind w:left="567" w:hanging="567"/>
        <w:rPr>
          <w:b/>
          <w:bCs/>
        </w:rPr>
      </w:pPr>
      <w:r w:rsidRPr="00F13073">
        <w:rPr>
          <w:b/>
          <w:bCs/>
        </w:rPr>
        <w:t>4.</w:t>
      </w:r>
      <w:r w:rsidR="00675B84" w:rsidRPr="00F13073">
        <w:rPr>
          <w:b/>
          <w:bCs/>
        </w:rPr>
        <w:tab/>
      </w:r>
      <w:r w:rsidRPr="00F13073">
        <w:rPr>
          <w:b/>
          <w:bCs/>
        </w:rPr>
        <w:t>Możliwe działania niepożądane</w:t>
      </w:r>
    </w:p>
    <w:p w14:paraId="756920F1" w14:textId="77777777" w:rsidR="00055E59" w:rsidRPr="00F13073" w:rsidRDefault="00055E59" w:rsidP="008B4C50">
      <w:pPr>
        <w:pStyle w:val="a4"/>
        <w:widowControl/>
        <w:spacing w:after="0"/>
        <w:rPr>
          <w:rStyle w:val="Char"/>
        </w:rPr>
      </w:pPr>
    </w:p>
    <w:p w14:paraId="5D21BAE8" w14:textId="6B79FA95" w:rsidR="00665D21" w:rsidRPr="00F13073" w:rsidRDefault="00665D21" w:rsidP="008B4C50">
      <w:pPr>
        <w:pStyle w:val="a4"/>
        <w:widowControl/>
        <w:spacing w:after="0"/>
        <w:rPr>
          <w:rStyle w:val="Char"/>
        </w:rPr>
      </w:pPr>
      <w:r w:rsidRPr="00F13073">
        <w:rPr>
          <w:rStyle w:val="Char"/>
        </w:rPr>
        <w:t xml:space="preserve">Jak każdy lek, </w:t>
      </w:r>
      <w:r w:rsidR="00026375" w:rsidRPr="00F13073">
        <w:rPr>
          <w:rStyle w:val="Char"/>
        </w:rPr>
        <w:t>Avtozma</w:t>
      </w:r>
      <w:r w:rsidRPr="00F13073">
        <w:rPr>
          <w:rStyle w:val="Char"/>
        </w:rPr>
        <w:t xml:space="preserve"> może powodować działania niepożądane, chociaż nie u każdego one wystąpią. Działania niepożądane mogą wystąpić w ciągu co najmniej 3 miesięcy po otrzymaniu ostatniej dawki leku </w:t>
      </w:r>
      <w:r w:rsidR="00026375" w:rsidRPr="00F13073">
        <w:rPr>
          <w:rStyle w:val="Char"/>
        </w:rPr>
        <w:t>Avtozma</w:t>
      </w:r>
      <w:r w:rsidRPr="00F13073">
        <w:rPr>
          <w:rStyle w:val="Char"/>
        </w:rPr>
        <w:t>.</w:t>
      </w:r>
    </w:p>
    <w:p w14:paraId="720C2BC6" w14:textId="77777777" w:rsidR="00055E59" w:rsidRPr="00F13073" w:rsidRDefault="00055E59" w:rsidP="008B4C50">
      <w:pPr>
        <w:pStyle w:val="a4"/>
        <w:widowControl/>
        <w:spacing w:after="0"/>
      </w:pPr>
    </w:p>
    <w:p w14:paraId="57F82E6F" w14:textId="77777777" w:rsidR="00665D21" w:rsidRPr="00F13073" w:rsidRDefault="00665D21" w:rsidP="008B4C50">
      <w:pPr>
        <w:pStyle w:val="a4"/>
        <w:widowControl/>
        <w:spacing w:after="0"/>
      </w:pPr>
      <w:r w:rsidRPr="00F13073">
        <w:rPr>
          <w:rStyle w:val="Char"/>
          <w:b/>
          <w:bCs/>
        </w:rPr>
        <w:t>Możliwe ciężkie działania niepożądane: należy natychmiast zgłosić lekarzowi.</w:t>
      </w:r>
    </w:p>
    <w:p w14:paraId="671A3A8E" w14:textId="77777777" w:rsidR="00665D21" w:rsidRPr="00F13073" w:rsidRDefault="00665D21" w:rsidP="008B4C50">
      <w:pPr>
        <w:pStyle w:val="a4"/>
        <w:widowControl/>
        <w:spacing w:after="0"/>
        <w:rPr>
          <w:rStyle w:val="Char"/>
          <w:i/>
          <w:iCs/>
        </w:rPr>
      </w:pPr>
      <w:r w:rsidRPr="00F13073">
        <w:rPr>
          <w:rStyle w:val="Char"/>
          <w:i/>
          <w:iCs/>
        </w:rPr>
        <w:t>Są częste, mogą wystąpić u 1 na każde 10 leczonych osób</w:t>
      </w:r>
    </w:p>
    <w:p w14:paraId="74453871" w14:textId="77777777" w:rsidR="00055E59" w:rsidRPr="00F13073" w:rsidRDefault="00055E59" w:rsidP="008B4C50">
      <w:pPr>
        <w:pStyle w:val="a4"/>
        <w:widowControl/>
        <w:spacing w:after="0"/>
      </w:pPr>
    </w:p>
    <w:p w14:paraId="1E93459B" w14:textId="77777777" w:rsidR="00665D21" w:rsidRPr="00F13073" w:rsidRDefault="00665D21" w:rsidP="008B4C50">
      <w:pPr>
        <w:pStyle w:val="a4"/>
        <w:widowControl/>
        <w:spacing w:after="0"/>
      </w:pPr>
      <w:r w:rsidRPr="00F13073">
        <w:rPr>
          <w:rStyle w:val="Char"/>
          <w:b/>
          <w:bCs/>
        </w:rPr>
        <w:t xml:space="preserve">Reakcje alergiczne </w:t>
      </w:r>
      <w:r w:rsidRPr="00F13073">
        <w:rPr>
          <w:rStyle w:val="Char"/>
        </w:rPr>
        <w:t>podczas lub po infuzji:</w:t>
      </w:r>
    </w:p>
    <w:p w14:paraId="12E21D35" w14:textId="77777777" w:rsidR="00665D21" w:rsidRPr="00F13073" w:rsidRDefault="00665D21" w:rsidP="008B4C50">
      <w:pPr>
        <w:pStyle w:val="a0"/>
        <w:numPr>
          <w:ilvl w:val="0"/>
          <w:numId w:val="7"/>
        </w:numPr>
        <w:ind w:left="567" w:hanging="567"/>
        <w:contextualSpacing w:val="0"/>
      </w:pPr>
      <w:r w:rsidRPr="00F13073">
        <w:rPr>
          <w:rStyle w:val="Char"/>
          <w:rFonts w:eastAsia="DengXian"/>
        </w:rPr>
        <w:t>trudności w oddychaniu, ucisk w klatce piersiowej lub zawroty głowy</w:t>
      </w:r>
    </w:p>
    <w:p w14:paraId="07874230" w14:textId="77777777" w:rsidR="00665D21" w:rsidRPr="00F13073" w:rsidRDefault="00665D21" w:rsidP="008B4C50">
      <w:pPr>
        <w:pStyle w:val="a0"/>
        <w:numPr>
          <w:ilvl w:val="0"/>
          <w:numId w:val="7"/>
        </w:numPr>
        <w:ind w:left="567" w:hanging="567"/>
        <w:contextualSpacing w:val="0"/>
      </w:pPr>
      <w:r w:rsidRPr="00F13073">
        <w:rPr>
          <w:rStyle w:val="Char"/>
          <w:rFonts w:eastAsia="DengXian"/>
        </w:rPr>
        <w:t>wysypka, swędzenie, pokrzywka, obrzęk warg, języka lub twarzy</w:t>
      </w:r>
    </w:p>
    <w:p w14:paraId="6B02ED4C" w14:textId="77777777" w:rsidR="00055E59" w:rsidRPr="00F13073" w:rsidRDefault="00055E59" w:rsidP="008B4C50">
      <w:pPr>
        <w:pStyle w:val="a4"/>
        <w:widowControl/>
        <w:spacing w:after="0"/>
        <w:rPr>
          <w:rStyle w:val="Char"/>
        </w:rPr>
      </w:pPr>
    </w:p>
    <w:p w14:paraId="6A566FD9" w14:textId="77777777" w:rsidR="00665D21" w:rsidRPr="00F13073" w:rsidRDefault="00665D21" w:rsidP="008B4C50">
      <w:pPr>
        <w:pStyle w:val="a4"/>
        <w:widowControl/>
        <w:spacing w:after="0"/>
        <w:rPr>
          <w:rStyle w:val="Char"/>
        </w:rPr>
      </w:pPr>
      <w:r w:rsidRPr="00F13073">
        <w:rPr>
          <w:rStyle w:val="Char"/>
        </w:rPr>
        <w:t xml:space="preserve">Jeśli pacjent zauważy którykolwiek z powyższych objawów, powinien </w:t>
      </w:r>
      <w:r w:rsidRPr="00F13073">
        <w:rPr>
          <w:rStyle w:val="Char"/>
          <w:b/>
          <w:bCs/>
        </w:rPr>
        <w:t xml:space="preserve">niezwłocznie </w:t>
      </w:r>
      <w:r w:rsidRPr="00F13073">
        <w:rPr>
          <w:rStyle w:val="Char"/>
        </w:rPr>
        <w:t>powiadomić lekarza.</w:t>
      </w:r>
    </w:p>
    <w:p w14:paraId="110DBFC3" w14:textId="77777777" w:rsidR="00055E59" w:rsidRPr="00F13073" w:rsidRDefault="00055E59" w:rsidP="008B4C50">
      <w:pPr>
        <w:pStyle w:val="a4"/>
        <w:widowControl/>
        <w:spacing w:after="0"/>
      </w:pPr>
    </w:p>
    <w:p w14:paraId="57824CD8" w14:textId="77777777" w:rsidR="00665D21" w:rsidRPr="00F13073" w:rsidRDefault="00665D21" w:rsidP="008B4C50">
      <w:pPr>
        <w:pStyle w:val="a4"/>
        <w:widowControl/>
        <w:spacing w:after="0"/>
      </w:pPr>
      <w:r w:rsidRPr="00F13073">
        <w:rPr>
          <w:rStyle w:val="Char"/>
          <w:b/>
          <w:bCs/>
        </w:rPr>
        <w:t>Objawy ciężkiego zakażenia:</w:t>
      </w:r>
    </w:p>
    <w:p w14:paraId="3CCACC5E"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gorączka i dreszcze</w:t>
      </w:r>
    </w:p>
    <w:p w14:paraId="4B0EFA14"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pęcherze w jamie ustnej lub</w:t>
      </w:r>
      <w:r w:rsidR="00055E59" w:rsidRPr="00F13073">
        <w:rPr>
          <w:rStyle w:val="Char"/>
          <w:rFonts w:eastAsia="DengXian"/>
        </w:rPr>
        <w:t xml:space="preserve"> </w:t>
      </w:r>
      <w:r w:rsidRPr="00F13073">
        <w:rPr>
          <w:rStyle w:val="Char"/>
          <w:rFonts w:eastAsia="DengXian"/>
        </w:rPr>
        <w:t>na skórze</w:t>
      </w:r>
    </w:p>
    <w:p w14:paraId="189CB97E" w14:textId="77777777" w:rsidR="00665D21" w:rsidRPr="00F13073" w:rsidRDefault="00665D21" w:rsidP="008B4C50">
      <w:pPr>
        <w:pStyle w:val="a0"/>
        <w:numPr>
          <w:ilvl w:val="0"/>
          <w:numId w:val="7"/>
        </w:numPr>
        <w:ind w:left="567" w:hanging="567"/>
        <w:contextualSpacing w:val="0"/>
      </w:pPr>
      <w:r w:rsidRPr="00F13073">
        <w:rPr>
          <w:rStyle w:val="Char"/>
          <w:rFonts w:eastAsia="DengXian"/>
        </w:rPr>
        <w:t>ból brzucha</w:t>
      </w:r>
    </w:p>
    <w:p w14:paraId="4F84E3A6" w14:textId="77777777" w:rsidR="008D6341" w:rsidRPr="00F13073" w:rsidRDefault="008D6341" w:rsidP="008B4C50">
      <w:pPr>
        <w:pStyle w:val="a4"/>
        <w:widowControl/>
        <w:spacing w:after="0"/>
        <w:rPr>
          <w:rStyle w:val="Char"/>
          <w:b/>
          <w:bCs/>
        </w:rPr>
      </w:pPr>
    </w:p>
    <w:p w14:paraId="381E3F15" w14:textId="77777777" w:rsidR="00665D21" w:rsidRPr="00F13073" w:rsidRDefault="00665D21" w:rsidP="008B4C50">
      <w:pPr>
        <w:pStyle w:val="a4"/>
        <w:widowControl/>
        <w:spacing w:after="0"/>
      </w:pPr>
      <w:r w:rsidRPr="00F13073">
        <w:rPr>
          <w:rStyle w:val="Char"/>
          <w:b/>
          <w:bCs/>
        </w:rPr>
        <w:t>Objawy przedmiotowe i podmiotowe toksycznego uszkodzenia wątroby:</w:t>
      </w:r>
    </w:p>
    <w:p w14:paraId="7B66D20E" w14:textId="77777777" w:rsidR="00665D21" w:rsidRPr="00F13073" w:rsidRDefault="00665D21" w:rsidP="008B4C50">
      <w:pPr>
        <w:pStyle w:val="a4"/>
        <w:widowControl/>
        <w:tabs>
          <w:tab w:val="center" w:pos="3836"/>
        </w:tabs>
        <w:spacing w:after="0"/>
      </w:pPr>
      <w:r w:rsidRPr="00F13073">
        <w:rPr>
          <w:rStyle w:val="Char"/>
          <w:i/>
          <w:iCs/>
        </w:rPr>
        <w:t>Mogą wystąpić u 1 na każde</w:t>
      </w:r>
      <w:r w:rsidR="008D6341" w:rsidRPr="00F13073">
        <w:rPr>
          <w:rStyle w:val="Char"/>
          <w:i/>
          <w:iCs/>
        </w:rPr>
        <w:t xml:space="preserve"> </w:t>
      </w:r>
      <w:r w:rsidRPr="00F13073">
        <w:rPr>
          <w:rStyle w:val="Char"/>
          <w:i/>
          <w:iCs/>
        </w:rPr>
        <w:t>1000 leczonych osób</w:t>
      </w:r>
    </w:p>
    <w:p w14:paraId="32956397"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uczucie zmęczenia</w:t>
      </w:r>
    </w:p>
    <w:p w14:paraId="281A5F1D"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ból brzucha</w:t>
      </w:r>
    </w:p>
    <w:p w14:paraId="16BFAB69" w14:textId="77777777" w:rsidR="00665D21" w:rsidRPr="00F13073" w:rsidRDefault="00665D21" w:rsidP="008B4C50">
      <w:pPr>
        <w:pStyle w:val="a0"/>
        <w:numPr>
          <w:ilvl w:val="0"/>
          <w:numId w:val="7"/>
        </w:numPr>
        <w:ind w:left="567" w:hanging="567"/>
        <w:contextualSpacing w:val="0"/>
      </w:pPr>
      <w:r w:rsidRPr="00F13073">
        <w:rPr>
          <w:rStyle w:val="Char"/>
          <w:rFonts w:eastAsia="DengXian"/>
        </w:rPr>
        <w:t>żółtaczka (żółte zabarwienie skóry</w:t>
      </w:r>
      <w:r w:rsidR="008D6341" w:rsidRPr="00F13073">
        <w:rPr>
          <w:rStyle w:val="Char"/>
          <w:rFonts w:eastAsia="DengXian"/>
        </w:rPr>
        <w:t xml:space="preserve"> </w:t>
      </w:r>
      <w:r w:rsidRPr="00F13073">
        <w:rPr>
          <w:rStyle w:val="Char"/>
          <w:rFonts w:eastAsia="DengXian"/>
        </w:rPr>
        <w:t>lub białek oczu)</w:t>
      </w:r>
    </w:p>
    <w:p w14:paraId="521FA6BF" w14:textId="77777777" w:rsidR="008D6341" w:rsidRPr="00F13073" w:rsidRDefault="008D6341" w:rsidP="008B4C50">
      <w:pPr>
        <w:pStyle w:val="a4"/>
        <w:widowControl/>
        <w:spacing w:after="0"/>
        <w:rPr>
          <w:rStyle w:val="Char"/>
        </w:rPr>
      </w:pPr>
    </w:p>
    <w:p w14:paraId="234CD1CB" w14:textId="77777777" w:rsidR="00665D21" w:rsidRPr="00F13073" w:rsidRDefault="00665D21" w:rsidP="008B4C50">
      <w:pPr>
        <w:pStyle w:val="a4"/>
        <w:widowControl/>
        <w:spacing w:after="0"/>
        <w:rPr>
          <w:rStyle w:val="Char"/>
          <w:b/>
          <w:bCs/>
        </w:rPr>
      </w:pPr>
      <w:r w:rsidRPr="00F13073">
        <w:rPr>
          <w:rStyle w:val="Char"/>
        </w:rPr>
        <w:lastRenderedPageBreak/>
        <w:t xml:space="preserve">W przypadku wystąpienia któregokolwiek z powyższych objawów należy poinformować lekarza </w:t>
      </w:r>
      <w:r w:rsidRPr="00F13073">
        <w:rPr>
          <w:rStyle w:val="Char"/>
          <w:b/>
          <w:bCs/>
        </w:rPr>
        <w:t>tak szybko, jak to możliwe.</w:t>
      </w:r>
    </w:p>
    <w:p w14:paraId="55191B82" w14:textId="77777777" w:rsidR="008D6341" w:rsidRPr="00F13073" w:rsidRDefault="008D6341" w:rsidP="008B4C50">
      <w:pPr>
        <w:pStyle w:val="a4"/>
        <w:widowControl/>
        <w:spacing w:after="0"/>
      </w:pPr>
    </w:p>
    <w:p w14:paraId="3F411DFF" w14:textId="77777777" w:rsidR="00665D21" w:rsidRPr="00F13073" w:rsidRDefault="00665D21" w:rsidP="008B4C50">
      <w:pPr>
        <w:pStyle w:val="a4"/>
        <w:widowControl/>
        <w:spacing w:after="0"/>
      </w:pPr>
      <w:r w:rsidRPr="00F13073">
        <w:rPr>
          <w:rStyle w:val="Char"/>
          <w:b/>
          <w:bCs/>
        </w:rPr>
        <w:t>Działania niepożądane występujące bardzo często</w:t>
      </w:r>
      <w:r w:rsidRPr="00F13073">
        <w:rPr>
          <w:rStyle w:val="Char"/>
        </w:rPr>
        <w:t>:</w:t>
      </w:r>
    </w:p>
    <w:p w14:paraId="40289C53" w14:textId="77777777" w:rsidR="00665D21" w:rsidRPr="00F13073" w:rsidRDefault="00665D21" w:rsidP="008B4C50">
      <w:pPr>
        <w:pStyle w:val="a4"/>
        <w:widowControl/>
        <w:spacing w:after="0"/>
      </w:pPr>
      <w:r w:rsidRPr="00F13073">
        <w:rPr>
          <w:rStyle w:val="Char"/>
          <w:i/>
          <w:iCs/>
        </w:rPr>
        <w:t>Mogą wystąpić częściej niż u 1 na każde 10 leczonych osób</w:t>
      </w:r>
    </w:p>
    <w:p w14:paraId="7101EA13" w14:textId="77777777" w:rsidR="00665D21" w:rsidRPr="00F13073" w:rsidRDefault="00665D21" w:rsidP="008B4C50">
      <w:pPr>
        <w:pStyle w:val="a0"/>
        <w:numPr>
          <w:ilvl w:val="0"/>
          <w:numId w:val="7"/>
        </w:numPr>
        <w:ind w:left="567" w:hanging="567"/>
        <w:contextualSpacing w:val="0"/>
      </w:pPr>
      <w:r w:rsidRPr="00F13073">
        <w:rPr>
          <w:rStyle w:val="Char"/>
          <w:rFonts w:eastAsia="DengXian"/>
        </w:rPr>
        <w:t>zakażenia górnych dróg oddechowych, z typowymi objawami takimi jak kaszel, zatkany nos, katar, ból gardła i ból głowy</w:t>
      </w:r>
    </w:p>
    <w:p w14:paraId="717DD781" w14:textId="77777777" w:rsidR="00665D21" w:rsidRPr="00F13073" w:rsidRDefault="00665D21" w:rsidP="008B4C50">
      <w:pPr>
        <w:pStyle w:val="a0"/>
        <w:numPr>
          <w:ilvl w:val="0"/>
          <w:numId w:val="7"/>
        </w:numPr>
        <w:ind w:left="567" w:hanging="567"/>
        <w:contextualSpacing w:val="0"/>
      </w:pPr>
      <w:r w:rsidRPr="00F13073">
        <w:rPr>
          <w:rStyle w:val="Char"/>
          <w:rFonts w:eastAsia="DengXian"/>
        </w:rPr>
        <w:t>wysokie stężenie tłuszczów (cholesterolu) we krwi</w:t>
      </w:r>
    </w:p>
    <w:p w14:paraId="03C172C4" w14:textId="77777777" w:rsidR="003945B4" w:rsidRPr="00F13073" w:rsidRDefault="003945B4" w:rsidP="008B4C50">
      <w:pPr>
        <w:pStyle w:val="a4"/>
        <w:widowControl/>
        <w:spacing w:after="0"/>
        <w:rPr>
          <w:rStyle w:val="Char"/>
          <w:b/>
          <w:bCs/>
        </w:rPr>
      </w:pPr>
    </w:p>
    <w:p w14:paraId="2F5C8945" w14:textId="77777777" w:rsidR="00665D21" w:rsidRPr="00F13073" w:rsidRDefault="00665D21" w:rsidP="008B4C50">
      <w:pPr>
        <w:pStyle w:val="a4"/>
        <w:widowControl/>
        <w:spacing w:after="0"/>
      </w:pPr>
      <w:r w:rsidRPr="00F13073">
        <w:rPr>
          <w:rStyle w:val="Char"/>
          <w:b/>
          <w:bCs/>
        </w:rPr>
        <w:t>Działania niepożądane występujące często</w:t>
      </w:r>
      <w:r w:rsidRPr="00F13073">
        <w:rPr>
          <w:rStyle w:val="Char"/>
        </w:rPr>
        <w:t>:</w:t>
      </w:r>
    </w:p>
    <w:p w14:paraId="0C0ADB29" w14:textId="77777777" w:rsidR="00665D21" w:rsidRPr="00F13073" w:rsidRDefault="00665D21" w:rsidP="008B4C50">
      <w:pPr>
        <w:pStyle w:val="a4"/>
        <w:widowControl/>
        <w:spacing w:after="0"/>
      </w:pPr>
      <w:r w:rsidRPr="00F13073">
        <w:rPr>
          <w:rStyle w:val="Char"/>
          <w:i/>
          <w:iCs/>
        </w:rPr>
        <w:t>Mogą wystąpić u 1 na 10 leczonych osób</w:t>
      </w:r>
    </w:p>
    <w:p w14:paraId="17866520"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zakażenie płuc (zapalenie płuc)</w:t>
      </w:r>
    </w:p>
    <w:p w14:paraId="19E23D11"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półpasiec (zmiany spowodowane wirusem herpes zoster)</w:t>
      </w:r>
    </w:p>
    <w:p w14:paraId="174D70BF"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zmiany na wargach (opryszczka wargowa, zmiany spowodowane wirusem herpes simplex),</w:t>
      </w:r>
      <w:r w:rsidR="003945B4" w:rsidRPr="00F13073">
        <w:rPr>
          <w:rStyle w:val="Char"/>
          <w:rFonts w:eastAsia="DengXian"/>
        </w:rPr>
        <w:t xml:space="preserve"> </w:t>
      </w:r>
      <w:r w:rsidRPr="00F13073">
        <w:rPr>
          <w:rStyle w:val="Char"/>
          <w:rFonts w:eastAsia="DengXian"/>
        </w:rPr>
        <w:t>pęcherze</w:t>
      </w:r>
    </w:p>
    <w:p w14:paraId="10EB1260"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zakażenia skóry (zapalenie tkanki podskórnej) czasami z towarzyszącą gorączką i dreszczami</w:t>
      </w:r>
      <w:r w:rsidR="003945B4" w:rsidRPr="00F13073">
        <w:rPr>
          <w:rStyle w:val="Char"/>
          <w:rFonts w:eastAsia="DengXian"/>
        </w:rPr>
        <w:t xml:space="preserve"> </w:t>
      </w:r>
      <w:r w:rsidRPr="00F13073">
        <w:rPr>
          <w:rStyle w:val="Char"/>
          <w:rFonts w:eastAsia="DengXian"/>
        </w:rPr>
        <w:t>wysypka i świąd skóry, pokrzywka</w:t>
      </w:r>
    </w:p>
    <w:p w14:paraId="252CAF30"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reakcje alergiczne (nadwrażliwości)</w:t>
      </w:r>
    </w:p>
    <w:p w14:paraId="3E4994C3"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zakażenie w obrębie oka (zapalenie spojówek)</w:t>
      </w:r>
    </w:p>
    <w:p w14:paraId="27DCCBE4"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ból głowy, zawroty głowy, wysokie ciśnienie tętnicze krwi</w:t>
      </w:r>
    </w:p>
    <w:p w14:paraId="5C86B581"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owrzodzenie jamy ustnej, ból brzucha</w:t>
      </w:r>
    </w:p>
    <w:p w14:paraId="36EE013D"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zatrzymanie wody w organizmie (obrzęki podudzi), zwiększenie masy ciała</w:t>
      </w:r>
      <w:r w:rsidR="003945B4" w:rsidRPr="00F13073">
        <w:rPr>
          <w:rStyle w:val="Char"/>
          <w:rFonts w:eastAsia="DengXian"/>
        </w:rPr>
        <w:t xml:space="preserve"> </w:t>
      </w:r>
      <w:r w:rsidRPr="00F13073">
        <w:rPr>
          <w:rStyle w:val="Char"/>
          <w:rFonts w:eastAsia="DengXian"/>
        </w:rPr>
        <w:t>kaszel, duszność</w:t>
      </w:r>
    </w:p>
    <w:p w14:paraId="63B23FCC"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mała liczba białych krwinek w badaniach krwi (neutropenia, leukopenia)</w:t>
      </w:r>
    </w:p>
    <w:p w14:paraId="48466F9E"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nieprawidłowe wyniki testów czynnościowych wątroby (wzrost aktywności aminotransferaz wątrobowych)</w:t>
      </w:r>
    </w:p>
    <w:p w14:paraId="5134D990"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zwiększone stężenie bilirubiny w badaniach krwi</w:t>
      </w:r>
    </w:p>
    <w:p w14:paraId="738B48FE" w14:textId="77777777" w:rsidR="00665D21" w:rsidRPr="00F13073" w:rsidRDefault="00665D21" w:rsidP="008B4C50">
      <w:pPr>
        <w:pStyle w:val="a0"/>
        <w:numPr>
          <w:ilvl w:val="0"/>
          <w:numId w:val="7"/>
        </w:numPr>
        <w:ind w:left="567" w:hanging="567"/>
        <w:contextualSpacing w:val="0"/>
      </w:pPr>
      <w:r w:rsidRPr="00F13073">
        <w:rPr>
          <w:rStyle w:val="Char"/>
          <w:rFonts w:eastAsia="DengXian"/>
        </w:rPr>
        <w:t>małe stężenie fibrynogenu we krwi (białka uczestniczącego w krzepnięciu krwi)</w:t>
      </w:r>
    </w:p>
    <w:p w14:paraId="417C36C1" w14:textId="77777777" w:rsidR="003945B4" w:rsidRPr="00F13073" w:rsidRDefault="003945B4" w:rsidP="008B4C50">
      <w:pPr>
        <w:pStyle w:val="a4"/>
        <w:widowControl/>
        <w:spacing w:after="0"/>
        <w:rPr>
          <w:rStyle w:val="Char"/>
          <w:b/>
          <w:bCs/>
        </w:rPr>
      </w:pPr>
    </w:p>
    <w:p w14:paraId="554D54F7" w14:textId="77777777" w:rsidR="00665D21" w:rsidRPr="00F13073" w:rsidRDefault="00665D21" w:rsidP="008B4C50">
      <w:pPr>
        <w:pStyle w:val="a4"/>
        <w:widowControl/>
        <w:spacing w:after="0"/>
      </w:pPr>
      <w:r w:rsidRPr="00F13073">
        <w:rPr>
          <w:rStyle w:val="Char"/>
          <w:b/>
          <w:bCs/>
        </w:rPr>
        <w:t>Działania niepożądane występujące niezbyt często</w:t>
      </w:r>
      <w:r w:rsidRPr="00F13073">
        <w:rPr>
          <w:rStyle w:val="Char"/>
        </w:rPr>
        <w:t>:</w:t>
      </w:r>
    </w:p>
    <w:p w14:paraId="12C1732E" w14:textId="77777777" w:rsidR="00665D21" w:rsidRPr="00F13073" w:rsidRDefault="00665D21" w:rsidP="008B4C50">
      <w:pPr>
        <w:pStyle w:val="a4"/>
        <w:widowControl/>
        <w:spacing w:after="0"/>
      </w:pPr>
      <w:r w:rsidRPr="00F13073">
        <w:rPr>
          <w:rStyle w:val="Char"/>
          <w:i/>
          <w:iCs/>
        </w:rPr>
        <w:t>Mogą wystąpić u 1 na 100 leczonych osób</w:t>
      </w:r>
    </w:p>
    <w:p w14:paraId="226C7152"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zapalenie uchyłków jelita (gorączka, nudności, biegunka, zaparcia, ból brzucha)</w:t>
      </w:r>
    </w:p>
    <w:p w14:paraId="354426D0"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zaczerwienione i obrzmiałe (zmienione zapalnie) obszary w jamie ustnej</w:t>
      </w:r>
    </w:p>
    <w:p w14:paraId="1291D31B"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duże stężenie lipidów (triglicerydów) we krwi</w:t>
      </w:r>
    </w:p>
    <w:p w14:paraId="7F5C689B"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wrzód żołądka</w:t>
      </w:r>
    </w:p>
    <w:p w14:paraId="1725EC2F"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kamica nerkowa</w:t>
      </w:r>
    </w:p>
    <w:p w14:paraId="24E293E1" w14:textId="77777777" w:rsidR="00665D21" w:rsidRPr="00F13073" w:rsidRDefault="00665D21" w:rsidP="008B4C50">
      <w:pPr>
        <w:pStyle w:val="a0"/>
        <w:numPr>
          <w:ilvl w:val="0"/>
          <w:numId w:val="7"/>
        </w:numPr>
        <w:ind w:left="567" w:hanging="567"/>
        <w:contextualSpacing w:val="0"/>
      </w:pPr>
      <w:r w:rsidRPr="00F13073">
        <w:rPr>
          <w:rStyle w:val="Char"/>
          <w:rFonts w:eastAsia="DengXian"/>
        </w:rPr>
        <w:t>niedoczynność tarczycy</w:t>
      </w:r>
    </w:p>
    <w:p w14:paraId="234FD92F" w14:textId="77777777" w:rsidR="00531F5D" w:rsidRPr="00F13073" w:rsidRDefault="00531F5D" w:rsidP="008B4C50">
      <w:pPr>
        <w:pStyle w:val="a4"/>
        <w:widowControl/>
        <w:spacing w:after="0"/>
        <w:rPr>
          <w:rStyle w:val="Char"/>
          <w:b/>
          <w:bCs/>
        </w:rPr>
      </w:pPr>
    </w:p>
    <w:p w14:paraId="494BADA0" w14:textId="77777777" w:rsidR="00665D21" w:rsidRPr="00F13073" w:rsidRDefault="00665D21" w:rsidP="008B4C50">
      <w:pPr>
        <w:pStyle w:val="a4"/>
        <w:widowControl/>
        <w:spacing w:after="0"/>
      </w:pPr>
      <w:r w:rsidRPr="00F13073">
        <w:rPr>
          <w:rStyle w:val="Char"/>
          <w:b/>
          <w:bCs/>
        </w:rPr>
        <w:t>Działania niepożądane występujące rzadko</w:t>
      </w:r>
      <w:r w:rsidRPr="00F13073">
        <w:rPr>
          <w:rStyle w:val="Char"/>
        </w:rPr>
        <w:t>:</w:t>
      </w:r>
    </w:p>
    <w:p w14:paraId="7750ACE3" w14:textId="77777777" w:rsidR="00665D21" w:rsidRPr="00F13073" w:rsidRDefault="00665D21" w:rsidP="008B4C50">
      <w:pPr>
        <w:pStyle w:val="a4"/>
        <w:widowControl/>
        <w:spacing w:after="0"/>
      </w:pPr>
      <w:r w:rsidRPr="00F13073">
        <w:rPr>
          <w:rStyle w:val="Char"/>
          <w:i/>
          <w:iCs/>
        </w:rPr>
        <w:t>Mogą wystąpić u 1 na 1000 leczonych osób</w:t>
      </w:r>
    </w:p>
    <w:p w14:paraId="6D057187"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zespół Stevensa-Johnsona (wysypka na skórze, która może prowadzić do powstania pęcherzy i</w:t>
      </w:r>
      <w:r w:rsidR="00531F5D" w:rsidRPr="00F13073">
        <w:rPr>
          <w:rStyle w:val="Char"/>
          <w:rFonts w:eastAsia="DengXian"/>
        </w:rPr>
        <w:t xml:space="preserve"> </w:t>
      </w:r>
      <w:r w:rsidRPr="00F13073">
        <w:rPr>
          <w:rStyle w:val="Char"/>
          <w:rFonts w:eastAsia="DengXian"/>
        </w:rPr>
        <w:t>łuszczenia skóry)</w:t>
      </w:r>
    </w:p>
    <w:p w14:paraId="04E14BFF"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reakcje alergiczne prowadzące do zgonu (anafilaksja [skutek śmiertelny])</w:t>
      </w:r>
    </w:p>
    <w:p w14:paraId="522D242B" w14:textId="77777777" w:rsidR="00665D21" w:rsidRPr="00F13073" w:rsidRDefault="00665D21" w:rsidP="008B4C50">
      <w:pPr>
        <w:pStyle w:val="a0"/>
        <w:numPr>
          <w:ilvl w:val="0"/>
          <w:numId w:val="7"/>
        </w:numPr>
        <w:ind w:left="567" w:hanging="567"/>
        <w:contextualSpacing w:val="0"/>
      </w:pPr>
      <w:r w:rsidRPr="00F13073">
        <w:rPr>
          <w:rStyle w:val="Char"/>
          <w:rFonts w:eastAsia="DengXian"/>
        </w:rPr>
        <w:t>zapalenie wątroby, żółtaczka</w:t>
      </w:r>
    </w:p>
    <w:p w14:paraId="28D157BF" w14:textId="77777777" w:rsidR="00531F5D" w:rsidRPr="00F13073" w:rsidRDefault="00531F5D" w:rsidP="008B4C50">
      <w:pPr>
        <w:pStyle w:val="a4"/>
        <w:widowControl/>
        <w:spacing w:after="0"/>
        <w:rPr>
          <w:rStyle w:val="Char"/>
          <w:b/>
          <w:bCs/>
        </w:rPr>
      </w:pPr>
    </w:p>
    <w:p w14:paraId="021FF0DD" w14:textId="77777777" w:rsidR="00665D21" w:rsidRPr="00F13073" w:rsidRDefault="00665D21" w:rsidP="008B4C50">
      <w:pPr>
        <w:pStyle w:val="a4"/>
        <w:widowControl/>
        <w:spacing w:after="0"/>
      </w:pPr>
      <w:r w:rsidRPr="00F13073">
        <w:rPr>
          <w:rStyle w:val="Char"/>
          <w:b/>
          <w:bCs/>
        </w:rPr>
        <w:t>Działania niepożądane występujące bardzo rzadko</w:t>
      </w:r>
      <w:r w:rsidRPr="00F13073">
        <w:rPr>
          <w:rStyle w:val="Char"/>
        </w:rPr>
        <w:t>:</w:t>
      </w:r>
    </w:p>
    <w:p w14:paraId="1E6803C9" w14:textId="77777777" w:rsidR="00665D21" w:rsidRPr="00F13073" w:rsidRDefault="00665D21" w:rsidP="008B4C50">
      <w:pPr>
        <w:pStyle w:val="a4"/>
        <w:widowControl/>
        <w:spacing w:after="0"/>
      </w:pPr>
      <w:r w:rsidRPr="00F13073">
        <w:rPr>
          <w:rStyle w:val="Char"/>
          <w:i/>
          <w:iCs/>
        </w:rPr>
        <w:t>Mogą wystąpić najwyżej u 1 na 10 000 leczonych osób</w:t>
      </w:r>
    </w:p>
    <w:p w14:paraId="17660406" w14:textId="77777777" w:rsidR="00665D21" w:rsidRPr="00F13073" w:rsidRDefault="00665D21" w:rsidP="008B4C50">
      <w:pPr>
        <w:pStyle w:val="a0"/>
        <w:numPr>
          <w:ilvl w:val="0"/>
          <w:numId w:val="7"/>
        </w:numPr>
        <w:ind w:left="567" w:hanging="567"/>
        <w:contextualSpacing w:val="0"/>
        <w:rPr>
          <w:rStyle w:val="Char"/>
          <w:rFonts w:eastAsia="DengXian"/>
        </w:rPr>
      </w:pPr>
      <w:r w:rsidRPr="00F13073">
        <w:rPr>
          <w:rStyle w:val="Char"/>
          <w:rFonts w:eastAsia="DengXian"/>
        </w:rPr>
        <w:t>mała liczba białych krwinek, czerwonych krwinek oraz płytek krwi w badaniach krwi</w:t>
      </w:r>
    </w:p>
    <w:p w14:paraId="3FB52808" w14:textId="77777777" w:rsidR="00665D21" w:rsidRPr="00F13073" w:rsidRDefault="00665D21" w:rsidP="008B4C50">
      <w:pPr>
        <w:pStyle w:val="a0"/>
        <w:numPr>
          <w:ilvl w:val="0"/>
          <w:numId w:val="7"/>
        </w:numPr>
        <w:ind w:left="567" w:hanging="567"/>
        <w:contextualSpacing w:val="0"/>
      </w:pPr>
      <w:r w:rsidRPr="00F13073">
        <w:rPr>
          <w:rStyle w:val="Char"/>
          <w:rFonts w:eastAsia="DengXian"/>
        </w:rPr>
        <w:t>niewydolność wątroby</w:t>
      </w:r>
    </w:p>
    <w:p w14:paraId="23CD8A2F" w14:textId="77777777" w:rsidR="005A3A5B" w:rsidRPr="00F13073" w:rsidRDefault="005A3A5B" w:rsidP="008B4C50"/>
    <w:p w14:paraId="1F3AE74C" w14:textId="77777777" w:rsidR="000239CF" w:rsidRPr="00F13073" w:rsidRDefault="000239CF" w:rsidP="008B4C50">
      <w:pPr>
        <w:pStyle w:val="a4"/>
        <w:widowControl/>
        <w:spacing w:after="0"/>
      </w:pPr>
      <w:r w:rsidRPr="00F13073">
        <w:rPr>
          <w:rStyle w:val="Char"/>
          <w:b/>
          <w:bCs/>
        </w:rPr>
        <w:t>Zgłaszanie działań niepożądanych</w:t>
      </w:r>
    </w:p>
    <w:p w14:paraId="31C80742" w14:textId="77777777" w:rsidR="000239CF" w:rsidRPr="00F13073" w:rsidRDefault="000239CF" w:rsidP="008B4C50">
      <w:pPr>
        <w:pStyle w:val="a4"/>
        <w:widowControl/>
        <w:spacing w:after="0"/>
        <w:rPr>
          <w:rStyle w:val="Char"/>
        </w:rPr>
      </w:pPr>
      <w:r w:rsidRPr="00F13073">
        <w:rPr>
          <w:rStyle w:val="Char"/>
        </w:rPr>
        <w:t xml:space="preserve">Jeśli wystąpią jakiekolwiek objawy niepożądane, w tym wszelkie objawy niepożądane niewymienione w ulotce, należy powiedzieć o tym lekarzowi, farmaceucie lub pielęgniarce. Działania niepożądane można zgłaszać bezpośrednio do </w:t>
      </w:r>
      <w:r>
        <w:rPr>
          <w:rStyle w:val="Char"/>
          <w:highlight w:val="lightGray"/>
        </w:rPr>
        <w:t>„krajowego systemu zgłaszania” wymienionego w</w:t>
      </w:r>
      <w:r w:rsidR="005A3A5B">
        <w:rPr>
          <w:highlight w:val="lightGray"/>
        </w:rPr>
        <w:t xml:space="preserve"> </w:t>
      </w:r>
      <w:hyperlink r:id="rId17" w:history="1">
        <w:r>
          <w:rPr>
            <w:rStyle w:val="a7"/>
            <w:highlight w:val="lightGray"/>
          </w:rPr>
          <w:t>załączniku V</w:t>
        </w:r>
      </w:hyperlink>
      <w:r w:rsidR="005A3A5B" w:rsidRPr="00F13073">
        <w:t>.</w:t>
      </w:r>
      <w:r w:rsidR="00611033" w:rsidRPr="00F13073">
        <w:t xml:space="preserve"> </w:t>
      </w:r>
      <w:r w:rsidRPr="00F13073">
        <w:rPr>
          <w:rStyle w:val="Char"/>
        </w:rPr>
        <w:t>Dzięki zgłaszaniu działań niepożądanych można będzie zgromadzić więcej informacji na temat bezpieczeństwa stosowania leku.</w:t>
      </w:r>
    </w:p>
    <w:p w14:paraId="61CB2EBD" w14:textId="77777777" w:rsidR="00534666" w:rsidRPr="00F13073" w:rsidRDefault="00534666" w:rsidP="008B4C50">
      <w:pPr>
        <w:pStyle w:val="a4"/>
        <w:widowControl/>
        <w:spacing w:after="0"/>
      </w:pPr>
    </w:p>
    <w:p w14:paraId="4ACCF89A" w14:textId="77777777" w:rsidR="000239CF" w:rsidRPr="00F13073" w:rsidRDefault="000239CF" w:rsidP="008B4C50">
      <w:pPr>
        <w:pStyle w:val="a4"/>
        <w:widowControl/>
        <w:spacing w:after="0"/>
      </w:pPr>
      <w:r w:rsidRPr="00F13073">
        <w:rPr>
          <w:rStyle w:val="Char"/>
          <w:b/>
          <w:bCs/>
        </w:rPr>
        <w:t>Dzieci z uMIZS</w:t>
      </w:r>
    </w:p>
    <w:p w14:paraId="346A1406" w14:textId="77777777" w:rsidR="000239CF" w:rsidRPr="00F13073" w:rsidRDefault="000239CF" w:rsidP="008B4C50">
      <w:pPr>
        <w:pStyle w:val="a4"/>
        <w:widowControl/>
        <w:spacing w:after="0"/>
        <w:rPr>
          <w:rStyle w:val="Char"/>
        </w:rPr>
      </w:pPr>
      <w:r w:rsidRPr="00F13073">
        <w:rPr>
          <w:rStyle w:val="Char"/>
        </w:rPr>
        <w:t>Na ogół działania niepożądane u chorych na uMIZS były podobne do działań występujących u dorosłych chorych na RZS. Niektóre działania niepożądane były obserwowane częściej: zapalenie nosa i gardła, biegunka, zmniejszenie liczby białych krwinek, zwiększenie aktywności aminotransferaz wątrobowych.</w:t>
      </w:r>
    </w:p>
    <w:p w14:paraId="648EE91E" w14:textId="77777777" w:rsidR="00534666" w:rsidRPr="00F13073" w:rsidRDefault="00534666" w:rsidP="008B4C50">
      <w:pPr>
        <w:pStyle w:val="a4"/>
        <w:widowControl/>
        <w:spacing w:after="0"/>
      </w:pPr>
    </w:p>
    <w:p w14:paraId="599213EA" w14:textId="77777777" w:rsidR="000239CF" w:rsidRPr="00F13073" w:rsidRDefault="000239CF" w:rsidP="00D624FD">
      <w:pPr>
        <w:pStyle w:val="a4"/>
        <w:keepNext/>
        <w:widowControl/>
        <w:spacing w:after="0"/>
      </w:pPr>
      <w:r w:rsidRPr="00F13073">
        <w:rPr>
          <w:rStyle w:val="Char"/>
          <w:b/>
          <w:bCs/>
        </w:rPr>
        <w:t>Dzieci z wMIZS</w:t>
      </w:r>
    </w:p>
    <w:p w14:paraId="5412E70D" w14:textId="77777777" w:rsidR="000239CF" w:rsidRPr="00F13073" w:rsidRDefault="000239CF" w:rsidP="008B4C50">
      <w:pPr>
        <w:pStyle w:val="a4"/>
        <w:widowControl/>
        <w:spacing w:after="0"/>
      </w:pPr>
      <w:r w:rsidRPr="00F13073">
        <w:rPr>
          <w:rStyle w:val="Char"/>
        </w:rPr>
        <w:t>Na ogół działania niepożądane u chorych na wMIZS były podobne do działań występujących u dorosłych chorych na RZS. Niektóre działania niepożądane były obserwowane częściej: zapalenie nosa i gardła, ból głowy, nudności i zmniejszenia liczby białych krwinek.</w:t>
      </w:r>
    </w:p>
    <w:p w14:paraId="7436BEE7" w14:textId="77777777" w:rsidR="00DC09F2" w:rsidRPr="00F13073" w:rsidRDefault="00DC09F2" w:rsidP="008B4C50"/>
    <w:p w14:paraId="7346944F" w14:textId="77777777" w:rsidR="00DC09F2" w:rsidRPr="00F13073" w:rsidRDefault="00DC09F2" w:rsidP="008B4C50"/>
    <w:p w14:paraId="75B48638" w14:textId="418F1F37" w:rsidR="001E0975" w:rsidRPr="00F13073" w:rsidRDefault="001721B1" w:rsidP="008B4C50">
      <w:pPr>
        <w:keepNext/>
        <w:ind w:left="567" w:hanging="567"/>
        <w:rPr>
          <w:b/>
          <w:bCs/>
        </w:rPr>
      </w:pPr>
      <w:r w:rsidRPr="00F13073">
        <w:rPr>
          <w:b/>
          <w:bCs/>
        </w:rPr>
        <w:t>5.</w:t>
      </w:r>
      <w:r w:rsidRPr="00F13073">
        <w:rPr>
          <w:b/>
          <w:bCs/>
        </w:rPr>
        <w:tab/>
      </w:r>
      <w:r w:rsidR="00B32624" w:rsidRPr="00F13073">
        <w:rPr>
          <w:rStyle w:val="Char"/>
          <w:rFonts w:eastAsia="DengXian"/>
          <w:b/>
          <w:bCs/>
        </w:rPr>
        <w:t xml:space="preserve">Jak przechowywać lek </w:t>
      </w:r>
      <w:r w:rsidR="00026375" w:rsidRPr="00F13073">
        <w:rPr>
          <w:rStyle w:val="Char"/>
          <w:rFonts w:eastAsia="DengXian"/>
          <w:b/>
          <w:bCs/>
        </w:rPr>
        <w:t>Avtozma</w:t>
      </w:r>
    </w:p>
    <w:p w14:paraId="298E055C" w14:textId="77777777" w:rsidR="00DC09F2" w:rsidRPr="00F13073" w:rsidRDefault="00DC09F2" w:rsidP="008B4C50">
      <w:pPr>
        <w:keepNext/>
        <w:ind w:left="567" w:hanging="567"/>
        <w:rPr>
          <w:b/>
          <w:bCs/>
        </w:rPr>
      </w:pPr>
    </w:p>
    <w:p w14:paraId="48706D5E" w14:textId="1076EBD5" w:rsidR="00B32624" w:rsidRPr="00F13073" w:rsidRDefault="00B32624" w:rsidP="008B4C50">
      <w:pPr>
        <w:pStyle w:val="a4"/>
        <w:widowControl/>
        <w:spacing w:after="0"/>
        <w:rPr>
          <w:rStyle w:val="Char"/>
        </w:rPr>
      </w:pPr>
      <w:r w:rsidRPr="00F13073">
        <w:rPr>
          <w:rStyle w:val="Char"/>
        </w:rPr>
        <w:t xml:space="preserve">Lek </w:t>
      </w:r>
      <w:r w:rsidR="008D350C" w:rsidRPr="0081094B">
        <w:t>Avtozma</w:t>
      </w:r>
      <w:r w:rsidR="008D350C" w:rsidRPr="00F13073">
        <w:rPr>
          <w:rStyle w:val="Char"/>
        </w:rPr>
        <w:t xml:space="preserve"> </w:t>
      </w:r>
      <w:r w:rsidRPr="00F13073">
        <w:rPr>
          <w:rStyle w:val="Char"/>
        </w:rPr>
        <w:t>należy przechowywać w miejscu niewidocznym i niedostępnym dla dzieci.</w:t>
      </w:r>
    </w:p>
    <w:p w14:paraId="1C208BEA" w14:textId="77777777" w:rsidR="00B32624" w:rsidRPr="00F13073" w:rsidRDefault="00B32624" w:rsidP="008B4C50">
      <w:pPr>
        <w:pStyle w:val="a4"/>
        <w:widowControl/>
        <w:spacing w:after="0"/>
      </w:pPr>
    </w:p>
    <w:p w14:paraId="27A43E8A" w14:textId="19DF077A" w:rsidR="00B32624" w:rsidRPr="00F13073" w:rsidRDefault="00B32624" w:rsidP="008B4C50">
      <w:pPr>
        <w:pStyle w:val="a4"/>
        <w:widowControl/>
        <w:spacing w:after="0"/>
        <w:rPr>
          <w:rStyle w:val="Char"/>
        </w:rPr>
      </w:pPr>
      <w:r w:rsidRPr="00F13073">
        <w:rPr>
          <w:rStyle w:val="Char"/>
        </w:rPr>
        <w:t>Nie stosować tego leku po upływie terminu ważności zamieszczonego na pudełku.</w:t>
      </w:r>
      <w:r w:rsidR="00122F6D" w:rsidRPr="00F13073">
        <w:rPr>
          <w:rStyle w:val="Char"/>
        </w:rPr>
        <w:t xml:space="preserve"> </w:t>
      </w:r>
      <w:r w:rsidR="00122F6D" w:rsidRPr="00F13073">
        <w:t>Termin ważności oznacza ostatni dzień podanego miesiąca.</w:t>
      </w:r>
    </w:p>
    <w:p w14:paraId="63000641" w14:textId="77777777" w:rsidR="00B32624" w:rsidRPr="00F13073" w:rsidRDefault="00B32624" w:rsidP="008B4C50">
      <w:pPr>
        <w:pStyle w:val="a4"/>
        <w:widowControl/>
        <w:spacing w:after="0"/>
      </w:pPr>
    </w:p>
    <w:p w14:paraId="12FCC874" w14:textId="77777777" w:rsidR="00B32624" w:rsidRPr="00F13073" w:rsidRDefault="00B32624" w:rsidP="008B4C50">
      <w:pPr>
        <w:pStyle w:val="a4"/>
        <w:widowControl/>
        <w:spacing w:after="0"/>
        <w:rPr>
          <w:rStyle w:val="Char"/>
        </w:rPr>
      </w:pPr>
      <w:r w:rsidRPr="00F13073">
        <w:rPr>
          <w:rStyle w:val="Char"/>
        </w:rPr>
        <w:t>Przechowywać w lodówce (2°C - 8°C). Nie zamrażać.</w:t>
      </w:r>
    </w:p>
    <w:p w14:paraId="06A2BFA5" w14:textId="77777777" w:rsidR="00B32624" w:rsidRPr="00F13073" w:rsidRDefault="00B32624" w:rsidP="008B4C50">
      <w:pPr>
        <w:pStyle w:val="a4"/>
        <w:widowControl/>
        <w:spacing w:after="0"/>
      </w:pPr>
    </w:p>
    <w:p w14:paraId="2C9EC494" w14:textId="77777777" w:rsidR="00B32624" w:rsidRPr="00F13073" w:rsidRDefault="00B32624" w:rsidP="008B4C50">
      <w:pPr>
        <w:pStyle w:val="a4"/>
        <w:widowControl/>
        <w:spacing w:after="0"/>
        <w:rPr>
          <w:rStyle w:val="Char"/>
        </w:rPr>
      </w:pPr>
      <w:r w:rsidRPr="00F13073">
        <w:rPr>
          <w:rStyle w:val="Char"/>
        </w:rPr>
        <w:t>Przechowywać fiolki w opakowaniu zewnętrznym w celu ochrony przed światłem.</w:t>
      </w:r>
    </w:p>
    <w:p w14:paraId="0D9621E5" w14:textId="10DAD736" w:rsidR="009102EF" w:rsidRPr="00F13073" w:rsidRDefault="009102EF" w:rsidP="008B4C50">
      <w:pPr>
        <w:pStyle w:val="a4"/>
        <w:widowControl/>
        <w:spacing w:after="0"/>
        <w:rPr>
          <w:rStyle w:val="Char"/>
        </w:rPr>
      </w:pPr>
      <w:r w:rsidRPr="00F13073">
        <w:rPr>
          <w:rStyle w:val="Char"/>
        </w:rPr>
        <w:t xml:space="preserve">Jeśli zachodzi taka potrzeba, roztwór do infuzji </w:t>
      </w:r>
      <w:r w:rsidR="0037058B" w:rsidRPr="00F13073">
        <w:rPr>
          <w:rStyle w:val="Char"/>
        </w:rPr>
        <w:t xml:space="preserve">rozcieńczony roztworem </w:t>
      </w:r>
      <w:r w:rsidRPr="00F13073">
        <w:rPr>
          <w:rStyle w:val="Char"/>
        </w:rPr>
        <w:t>chlor</w:t>
      </w:r>
      <w:r w:rsidR="0037058B" w:rsidRPr="00F13073">
        <w:rPr>
          <w:rStyle w:val="Char"/>
        </w:rPr>
        <w:t xml:space="preserve">ku </w:t>
      </w:r>
      <w:r w:rsidRPr="00F13073">
        <w:rPr>
          <w:rStyle w:val="Char"/>
        </w:rPr>
        <w:t xml:space="preserve">sodu do wstrzykiwań o stężeniu 0,9% lub </w:t>
      </w:r>
      <w:r w:rsidR="0037058B" w:rsidRPr="00F13073">
        <w:rPr>
          <w:rStyle w:val="Char"/>
        </w:rPr>
        <w:t>chlorku sodu</w:t>
      </w:r>
      <w:r w:rsidRPr="00F13073">
        <w:rPr>
          <w:rStyle w:val="Char"/>
        </w:rPr>
        <w:t xml:space="preserve"> do wstrzykiwań o stężeniu 0,45% można przechowywać w lodówce przez </w:t>
      </w:r>
      <w:r w:rsidR="00FA4979" w:rsidRPr="00F13073">
        <w:rPr>
          <w:rStyle w:val="Char"/>
        </w:rPr>
        <w:t>okres do</w:t>
      </w:r>
      <w:r w:rsidRPr="00F13073">
        <w:rPr>
          <w:rStyle w:val="Char"/>
        </w:rPr>
        <w:t xml:space="preserve"> 1 miesiąc</w:t>
      </w:r>
      <w:r w:rsidR="00FA4979" w:rsidRPr="00F13073">
        <w:rPr>
          <w:rStyle w:val="Char"/>
        </w:rPr>
        <w:t>a</w:t>
      </w:r>
      <w:r w:rsidRPr="00F13073">
        <w:rPr>
          <w:rStyle w:val="Char"/>
        </w:rPr>
        <w:t xml:space="preserve"> lub w temperaturze pokojowej do 30°C przez maksymalnie 48 godzin.</w:t>
      </w:r>
    </w:p>
    <w:p w14:paraId="61E83EFA" w14:textId="77777777" w:rsidR="00B32624" w:rsidRPr="00F13073" w:rsidRDefault="00B32624" w:rsidP="008B4C50">
      <w:pPr>
        <w:pStyle w:val="a4"/>
        <w:widowControl/>
        <w:spacing w:after="0"/>
      </w:pPr>
    </w:p>
    <w:p w14:paraId="25C4D52A" w14:textId="593CD819" w:rsidR="00B32624" w:rsidRPr="00F13073" w:rsidRDefault="00FA4979" w:rsidP="008B4C50">
      <w:pPr>
        <w:pStyle w:val="a4"/>
        <w:widowControl/>
        <w:spacing w:after="0"/>
      </w:pPr>
      <w:r w:rsidRPr="00F13073">
        <w:t>Leków nie należy wyrzucać do kanalizacji ani domowych pojemników na odpadki. Należy zapytać farmaceutę, jak usunąć leki, których się już nie używa. Takie postępowanie pomoże chronić środowisko.</w:t>
      </w:r>
    </w:p>
    <w:p w14:paraId="5F4F5C75" w14:textId="77777777" w:rsidR="00FA4979" w:rsidRPr="00F13073" w:rsidRDefault="00FA4979" w:rsidP="008B4C50">
      <w:pPr>
        <w:pStyle w:val="a4"/>
        <w:widowControl/>
        <w:spacing w:after="0"/>
      </w:pPr>
    </w:p>
    <w:p w14:paraId="66381875" w14:textId="77777777" w:rsidR="00A65F2D" w:rsidRPr="00F13073" w:rsidRDefault="00A65F2D" w:rsidP="008B4C50">
      <w:pPr>
        <w:pStyle w:val="a4"/>
        <w:widowControl/>
        <w:spacing w:after="0"/>
      </w:pPr>
    </w:p>
    <w:p w14:paraId="0B3265A8" w14:textId="77777777" w:rsidR="00B32624" w:rsidRPr="00F13073" w:rsidRDefault="00B32624" w:rsidP="008B4C50">
      <w:pPr>
        <w:keepNext/>
        <w:ind w:left="567" w:hanging="567"/>
      </w:pPr>
      <w:r w:rsidRPr="00F13073">
        <w:rPr>
          <w:rStyle w:val="Char"/>
          <w:rFonts w:eastAsia="DengXian"/>
          <w:b/>
          <w:bCs/>
        </w:rPr>
        <w:t>6.</w:t>
      </w:r>
      <w:r w:rsidRPr="00F13073">
        <w:rPr>
          <w:rStyle w:val="Char"/>
          <w:rFonts w:eastAsia="DengXian"/>
          <w:b/>
          <w:bCs/>
        </w:rPr>
        <w:tab/>
        <w:t>Zawartość opakowania i inne informacje</w:t>
      </w:r>
    </w:p>
    <w:p w14:paraId="277296C1" w14:textId="77777777" w:rsidR="00B32624" w:rsidRPr="00F13073" w:rsidRDefault="00B32624" w:rsidP="008B4C50">
      <w:pPr>
        <w:pStyle w:val="a4"/>
        <w:widowControl/>
        <w:spacing w:after="0"/>
        <w:rPr>
          <w:rStyle w:val="Char"/>
          <w:b/>
          <w:bCs/>
        </w:rPr>
      </w:pPr>
    </w:p>
    <w:p w14:paraId="720E30D8" w14:textId="2AAD48D7" w:rsidR="00B32624" w:rsidRPr="00F13073" w:rsidRDefault="00B32624" w:rsidP="008B4C50">
      <w:pPr>
        <w:pStyle w:val="a4"/>
        <w:widowControl/>
        <w:spacing w:after="0"/>
      </w:pPr>
      <w:r w:rsidRPr="00F13073">
        <w:rPr>
          <w:rStyle w:val="Char"/>
          <w:b/>
          <w:bCs/>
        </w:rPr>
        <w:t xml:space="preserve">Co zawiera lek </w:t>
      </w:r>
      <w:r w:rsidR="00026375" w:rsidRPr="00F13073">
        <w:rPr>
          <w:rStyle w:val="Char"/>
          <w:b/>
          <w:bCs/>
        </w:rPr>
        <w:t>Avtozma</w:t>
      </w:r>
    </w:p>
    <w:p w14:paraId="2574BA4B" w14:textId="77777777" w:rsidR="00B32624" w:rsidRPr="00F13073" w:rsidRDefault="00B32624" w:rsidP="008B4C50">
      <w:pPr>
        <w:pStyle w:val="a0"/>
        <w:numPr>
          <w:ilvl w:val="0"/>
          <w:numId w:val="7"/>
        </w:numPr>
        <w:ind w:left="567" w:hanging="567"/>
        <w:contextualSpacing w:val="0"/>
      </w:pPr>
      <w:r w:rsidRPr="00F13073">
        <w:rPr>
          <w:rStyle w:val="Char"/>
          <w:rFonts w:eastAsia="DengXian"/>
        </w:rPr>
        <w:t>Substancją czynną leku jest tocilizumab.</w:t>
      </w:r>
    </w:p>
    <w:p w14:paraId="0A1B9169" w14:textId="77777777" w:rsidR="00B32624" w:rsidRPr="00F13073" w:rsidRDefault="00B32624" w:rsidP="008B4C50">
      <w:pPr>
        <w:ind w:left="567"/>
      </w:pPr>
      <w:r w:rsidRPr="00F13073">
        <w:t>Każda fiolka 4 mL zawiera 80 mg tocilizumabu (20 mg/mL).</w:t>
      </w:r>
    </w:p>
    <w:p w14:paraId="5EA62B88" w14:textId="77777777" w:rsidR="00B32624" w:rsidRPr="00F13073" w:rsidRDefault="00B32624" w:rsidP="008B4C50">
      <w:pPr>
        <w:ind w:left="567"/>
      </w:pPr>
      <w:r w:rsidRPr="00F13073">
        <w:t>Każda fiolka 10 mL zawiera 200 mg tocilizumabu (20 mg/mL).</w:t>
      </w:r>
    </w:p>
    <w:p w14:paraId="27E0D7B3" w14:textId="77777777" w:rsidR="00B32624" w:rsidRPr="00F13073" w:rsidRDefault="00B32624" w:rsidP="008B4C50">
      <w:pPr>
        <w:ind w:left="567"/>
      </w:pPr>
      <w:r w:rsidRPr="00F13073">
        <w:t>Każda fiolka 20 mL zawiera 400 mg tocilizumabu (20 mg/mL).</w:t>
      </w:r>
    </w:p>
    <w:p w14:paraId="77BFB8F4" w14:textId="77777777" w:rsidR="00B32624" w:rsidRPr="00F13073" w:rsidRDefault="00B32624" w:rsidP="008B4C50">
      <w:pPr>
        <w:ind w:left="567"/>
      </w:pPr>
    </w:p>
    <w:p w14:paraId="11275B0F" w14:textId="58EF7C68" w:rsidR="00B32624" w:rsidRPr="00F13073" w:rsidRDefault="00B32624" w:rsidP="008B4C50">
      <w:pPr>
        <w:pStyle w:val="a0"/>
        <w:numPr>
          <w:ilvl w:val="0"/>
          <w:numId w:val="7"/>
        </w:numPr>
        <w:ind w:left="567" w:hanging="567"/>
        <w:contextualSpacing w:val="0"/>
      </w:pPr>
      <w:r w:rsidRPr="00F13073">
        <w:rPr>
          <w:rStyle w:val="Char"/>
          <w:rFonts w:eastAsia="DengXian"/>
        </w:rPr>
        <w:t xml:space="preserve">Pozostałe składniki to: </w:t>
      </w:r>
      <w:r w:rsidR="007903B4" w:rsidRPr="00F13073">
        <w:rPr>
          <w:rStyle w:val="Char"/>
          <w:rFonts w:eastAsia="DengXian"/>
        </w:rPr>
        <w:t>L-histydyna,</w:t>
      </w:r>
      <w:r w:rsidR="00E265AD">
        <w:rPr>
          <w:rStyle w:val="Char"/>
          <w:rFonts w:eastAsia="맑은 고딕" w:hint="eastAsia"/>
          <w:lang w:eastAsia="ko-KR"/>
        </w:rPr>
        <w:t xml:space="preserve"> </w:t>
      </w:r>
      <w:r w:rsidR="00017E9D" w:rsidRPr="00017E9D">
        <w:rPr>
          <w:rFonts w:eastAsia="맑은 고딕" w:hint="eastAsia"/>
          <w:lang w:eastAsia="ko-KR"/>
        </w:rPr>
        <w:t>L-histydyny monochlorowodorek</w:t>
      </w:r>
      <w:r w:rsidR="00E265AD" w:rsidRPr="00E265AD">
        <w:rPr>
          <w:rFonts w:eastAsia="맑은 고딕"/>
          <w:lang w:eastAsia="ko-KR"/>
        </w:rPr>
        <w:t>,</w:t>
      </w:r>
      <w:r w:rsidR="007903B4" w:rsidRPr="00F13073">
        <w:rPr>
          <w:rStyle w:val="Char"/>
          <w:rFonts w:eastAsia="DengXian"/>
        </w:rPr>
        <w:t xml:space="preserve"> L-treonina, L-metionina, </w:t>
      </w:r>
      <w:r w:rsidRPr="00F13073">
        <w:rPr>
          <w:rStyle w:val="Char"/>
          <w:rFonts w:eastAsia="DengXian"/>
        </w:rPr>
        <w:t>polisorbat 80</w:t>
      </w:r>
      <w:r w:rsidR="007903B4" w:rsidRPr="00F13073">
        <w:rPr>
          <w:rStyle w:val="Char"/>
          <w:rFonts w:eastAsia="DengXian"/>
        </w:rPr>
        <w:t xml:space="preserve"> </w:t>
      </w:r>
      <w:r w:rsidRPr="00F13073">
        <w:rPr>
          <w:rStyle w:val="Char"/>
          <w:rFonts w:eastAsia="DengXian"/>
        </w:rPr>
        <w:t>i wod</w:t>
      </w:r>
      <w:r w:rsidR="0037058B" w:rsidRPr="00F13073">
        <w:rPr>
          <w:rStyle w:val="Char"/>
          <w:rFonts w:eastAsia="DengXian"/>
        </w:rPr>
        <w:t>a</w:t>
      </w:r>
      <w:r w:rsidRPr="00F13073">
        <w:rPr>
          <w:rStyle w:val="Char"/>
          <w:rFonts w:eastAsia="DengXian"/>
        </w:rPr>
        <w:t xml:space="preserve"> do wstrzykiwań.</w:t>
      </w:r>
    </w:p>
    <w:p w14:paraId="2DDD1003" w14:textId="77777777" w:rsidR="00B32624" w:rsidRPr="00F13073" w:rsidRDefault="00B32624" w:rsidP="008B4C50"/>
    <w:p w14:paraId="14BC1A76" w14:textId="360EE10A" w:rsidR="00B32624" w:rsidRPr="00F13073" w:rsidRDefault="00B32624" w:rsidP="008B4C50">
      <w:pPr>
        <w:pStyle w:val="a4"/>
        <w:widowControl/>
        <w:spacing w:after="0"/>
      </w:pPr>
      <w:r w:rsidRPr="00F13073">
        <w:rPr>
          <w:rStyle w:val="Char"/>
          <w:b/>
          <w:bCs/>
        </w:rPr>
        <w:t xml:space="preserve">Jak wygląda lek </w:t>
      </w:r>
      <w:r w:rsidR="00026375" w:rsidRPr="00F13073">
        <w:rPr>
          <w:rStyle w:val="Char"/>
          <w:b/>
          <w:bCs/>
        </w:rPr>
        <w:t>Avtozma</w:t>
      </w:r>
      <w:r w:rsidRPr="00F13073">
        <w:rPr>
          <w:rStyle w:val="Char"/>
          <w:b/>
          <w:bCs/>
        </w:rPr>
        <w:t xml:space="preserve"> i co zawiera opakowanie</w:t>
      </w:r>
    </w:p>
    <w:p w14:paraId="0F4FCC67" w14:textId="543161D5" w:rsidR="00B32624" w:rsidRPr="00F13073" w:rsidRDefault="00B32624" w:rsidP="008B4C50">
      <w:pPr>
        <w:pStyle w:val="a4"/>
        <w:widowControl/>
        <w:spacing w:after="0"/>
      </w:pPr>
      <w:r w:rsidRPr="00F13073">
        <w:rPr>
          <w:rStyle w:val="Char"/>
        </w:rPr>
        <w:t xml:space="preserve">Lek </w:t>
      </w:r>
      <w:r w:rsidR="00026375" w:rsidRPr="00F13073">
        <w:rPr>
          <w:rStyle w:val="Char"/>
        </w:rPr>
        <w:t>Avtozma</w:t>
      </w:r>
      <w:r w:rsidRPr="00F13073">
        <w:rPr>
          <w:rStyle w:val="Char"/>
        </w:rPr>
        <w:t xml:space="preserve"> jest koncentratem do sporządzania roztworu do infuzji. Koncentrat jest bezbarwnym lub </w:t>
      </w:r>
      <w:r w:rsidR="002052FE" w:rsidRPr="00F13073">
        <w:rPr>
          <w:rStyle w:val="Char"/>
        </w:rPr>
        <w:t xml:space="preserve">lekko opalizującym, przezroczystym lub </w:t>
      </w:r>
      <w:r w:rsidRPr="00F13073">
        <w:rPr>
          <w:rStyle w:val="Char"/>
        </w:rPr>
        <w:t>bladożółtym płynem.</w:t>
      </w:r>
    </w:p>
    <w:p w14:paraId="0361535A" w14:textId="058310D5" w:rsidR="00B32624" w:rsidRPr="00F13073" w:rsidRDefault="00B32624"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jest dostarczany w fiolkach zawierających 4 mL, 10 mL lub 20 mL koncentratu do sporządzania roztworu do infuzji. Opakowania zawierają 1 lub 4 fiolki. Nie wszystkie rodzaje opakowań muszą znajdować się w obrocie.</w:t>
      </w:r>
    </w:p>
    <w:p w14:paraId="47C7658F" w14:textId="77777777" w:rsidR="001414D2" w:rsidRPr="00F13073" w:rsidRDefault="001414D2" w:rsidP="008B4C50">
      <w:pPr>
        <w:pStyle w:val="a4"/>
        <w:widowControl/>
        <w:spacing w:after="0"/>
      </w:pPr>
    </w:p>
    <w:p w14:paraId="478FEBD3" w14:textId="77777777" w:rsidR="00B32624" w:rsidRPr="00F13073" w:rsidRDefault="00B32624" w:rsidP="00A65F2D">
      <w:pPr>
        <w:pStyle w:val="a4"/>
        <w:keepNext/>
        <w:keepLines/>
        <w:widowControl/>
        <w:spacing w:after="0"/>
      </w:pPr>
      <w:r w:rsidRPr="00F13073">
        <w:rPr>
          <w:rStyle w:val="Char"/>
          <w:b/>
          <w:bCs/>
        </w:rPr>
        <w:t>Podmiot odpowiedzialny</w:t>
      </w:r>
    </w:p>
    <w:p w14:paraId="3A0523A5" w14:textId="77777777" w:rsidR="00CF28B1" w:rsidRPr="00F13073" w:rsidRDefault="00CF28B1" w:rsidP="00CF28B1">
      <w:pPr>
        <w:keepNext/>
      </w:pPr>
      <w:r w:rsidRPr="00F13073">
        <w:t xml:space="preserve">Celltrion Healthcare Hungary Kft. </w:t>
      </w:r>
    </w:p>
    <w:p w14:paraId="723537AC" w14:textId="77777777" w:rsidR="00CF28B1" w:rsidRPr="00127FBE" w:rsidRDefault="00CF28B1" w:rsidP="00CF28B1">
      <w:pPr>
        <w:keepNext/>
        <w:rPr>
          <w:lang w:val="en-GB"/>
        </w:rPr>
      </w:pPr>
      <w:r w:rsidRPr="00127FBE">
        <w:rPr>
          <w:lang w:val="en-GB"/>
        </w:rPr>
        <w:t>1062 Budapest</w:t>
      </w:r>
    </w:p>
    <w:p w14:paraId="7EA5AD4D" w14:textId="77777777" w:rsidR="00CF28B1" w:rsidRPr="00127FBE" w:rsidRDefault="00CF28B1" w:rsidP="00CF28B1">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34F671DD" w14:textId="48914D41" w:rsidR="00CF28B1" w:rsidRPr="00127FBE" w:rsidRDefault="00CF28B1" w:rsidP="00CF28B1">
      <w:pPr>
        <w:rPr>
          <w:lang w:val="en-GB"/>
        </w:rPr>
      </w:pPr>
      <w:proofErr w:type="spellStart"/>
      <w:r w:rsidRPr="00127FBE">
        <w:rPr>
          <w:lang w:val="en-GB"/>
        </w:rPr>
        <w:t>Węgry</w:t>
      </w:r>
      <w:proofErr w:type="spellEnd"/>
    </w:p>
    <w:p w14:paraId="4E8A6933" w14:textId="77777777" w:rsidR="001414D2" w:rsidRPr="00127FBE" w:rsidRDefault="001414D2" w:rsidP="008B4C50">
      <w:pPr>
        <w:rPr>
          <w:lang w:val="en-GB"/>
        </w:rPr>
      </w:pPr>
    </w:p>
    <w:p w14:paraId="2EF2B041" w14:textId="77777777" w:rsidR="005A3A5B" w:rsidRPr="00127FBE" w:rsidRDefault="001414D2" w:rsidP="008B4C50">
      <w:pPr>
        <w:keepNext/>
        <w:rPr>
          <w:b/>
          <w:bCs/>
          <w:lang w:val="en-GB"/>
        </w:rPr>
      </w:pPr>
      <w:proofErr w:type="spellStart"/>
      <w:r w:rsidRPr="00127FBE">
        <w:rPr>
          <w:b/>
          <w:bCs/>
          <w:lang w:val="en-GB"/>
        </w:rPr>
        <w:lastRenderedPageBreak/>
        <w:t>Wytwórca</w:t>
      </w:r>
      <w:proofErr w:type="spellEnd"/>
    </w:p>
    <w:p w14:paraId="091104C1" w14:textId="77777777" w:rsidR="00CF28B1" w:rsidRPr="00127FBE" w:rsidRDefault="00CF28B1" w:rsidP="00CF28B1">
      <w:pPr>
        <w:keepNext/>
        <w:rPr>
          <w:lang w:val="en-GB"/>
        </w:rPr>
      </w:pPr>
      <w:r w:rsidRPr="00127FBE">
        <w:rPr>
          <w:lang w:val="en-GB"/>
        </w:rPr>
        <w:t>Nuvisan France SARL</w:t>
      </w:r>
    </w:p>
    <w:p w14:paraId="6CF01AEE" w14:textId="77777777" w:rsidR="00CF28B1" w:rsidRPr="00127FBE" w:rsidRDefault="00CF28B1" w:rsidP="00CF28B1">
      <w:pPr>
        <w:keepNext/>
        <w:rPr>
          <w:lang w:val="en-GB"/>
        </w:rPr>
      </w:pPr>
      <w:r w:rsidRPr="00127FBE">
        <w:rPr>
          <w:lang w:val="en-GB"/>
        </w:rPr>
        <w:t>2400</w:t>
      </w:r>
      <w:del w:id="41" w:author="만든 이">
        <w:r w:rsidRPr="00127FBE" w:rsidDel="006A6B0C">
          <w:rPr>
            <w:lang w:val="en-GB"/>
          </w:rPr>
          <w:delText>,</w:delText>
        </w:r>
      </w:del>
      <w:r w:rsidRPr="00127FBE">
        <w:rPr>
          <w:lang w:val="en-GB"/>
        </w:rPr>
        <w:t xml:space="preserve"> Route des Colles, </w:t>
      </w:r>
    </w:p>
    <w:p w14:paraId="52460CDA" w14:textId="77777777" w:rsidR="00CF28B1" w:rsidRPr="00F13073" w:rsidRDefault="00CF28B1" w:rsidP="00CF28B1">
      <w:pPr>
        <w:keepNext/>
      </w:pPr>
      <w:r w:rsidRPr="00F13073">
        <w:t>06410</w:t>
      </w:r>
      <w:del w:id="42" w:author="만든 이">
        <w:r w:rsidRPr="00F13073" w:rsidDel="006A6B0C">
          <w:delText>,</w:delText>
        </w:r>
      </w:del>
      <w:r w:rsidRPr="00F13073">
        <w:t xml:space="preserve"> Biot, </w:t>
      </w:r>
    </w:p>
    <w:p w14:paraId="6467F2B7" w14:textId="7A3481A8" w:rsidR="00CF28B1" w:rsidRPr="00F13073" w:rsidRDefault="00CF28B1" w:rsidP="00CF28B1">
      <w:r w:rsidRPr="00F13073">
        <w:t>Francja</w:t>
      </w:r>
    </w:p>
    <w:p w14:paraId="02D7496D" w14:textId="77777777" w:rsidR="00CF28B1" w:rsidRPr="00F13073" w:rsidRDefault="00CF28B1" w:rsidP="00CF28B1"/>
    <w:p w14:paraId="18288024" w14:textId="77777777" w:rsidR="00CF28B1" w:rsidRPr="00F13073" w:rsidRDefault="00CF28B1" w:rsidP="00CF28B1">
      <w:pPr>
        <w:keepNext/>
      </w:pPr>
      <w:r w:rsidRPr="00F13073">
        <w:t>Midas Pharma GmbH</w:t>
      </w:r>
    </w:p>
    <w:p w14:paraId="64C898A1" w14:textId="77777777" w:rsidR="00CF28B1" w:rsidRPr="00F13073" w:rsidRDefault="00CF28B1" w:rsidP="00CF28B1">
      <w:pPr>
        <w:keepNext/>
      </w:pPr>
      <w:r w:rsidRPr="00F13073">
        <w:t xml:space="preserve">Rheinstr. 49, </w:t>
      </w:r>
    </w:p>
    <w:p w14:paraId="7E944821" w14:textId="77777777" w:rsidR="00CF28B1" w:rsidRPr="00F13073" w:rsidRDefault="00CF28B1" w:rsidP="00CF28B1">
      <w:pPr>
        <w:keepNext/>
      </w:pPr>
      <w:r w:rsidRPr="00F13073">
        <w:t>55218 Ingelheim,</w:t>
      </w:r>
    </w:p>
    <w:p w14:paraId="19A00C8E" w14:textId="47DBDF5C" w:rsidR="00CF28B1" w:rsidRPr="00F13073" w:rsidRDefault="00CF28B1" w:rsidP="00CF28B1">
      <w:r w:rsidRPr="00F13073">
        <w:t>Niemcy</w:t>
      </w:r>
    </w:p>
    <w:p w14:paraId="2C0E7316" w14:textId="77777777" w:rsidR="00CF28B1" w:rsidRPr="00F13073" w:rsidRDefault="00CF28B1" w:rsidP="00CF28B1"/>
    <w:p w14:paraId="4161E21E" w14:textId="77777777" w:rsidR="00CF28B1" w:rsidRPr="00F13073" w:rsidRDefault="00CF28B1" w:rsidP="00CF28B1">
      <w:pPr>
        <w:keepNext/>
      </w:pPr>
      <w:r w:rsidRPr="00F13073">
        <w:t xml:space="preserve">KYMOS S.L. </w:t>
      </w:r>
    </w:p>
    <w:p w14:paraId="632C6B8B" w14:textId="77777777" w:rsidR="00CF28B1" w:rsidRPr="00127FBE" w:rsidRDefault="00CF28B1" w:rsidP="00CF28B1">
      <w:pPr>
        <w:keepNext/>
        <w:rPr>
          <w:lang w:val="en-GB"/>
        </w:rPr>
      </w:pPr>
      <w:r w:rsidRPr="00127FBE">
        <w:rPr>
          <w:lang w:val="en-GB"/>
        </w:rPr>
        <w:t xml:space="preserve">Ronda Can </w:t>
      </w:r>
      <w:proofErr w:type="spellStart"/>
      <w:r w:rsidRPr="00127FBE">
        <w:rPr>
          <w:lang w:val="en-GB"/>
        </w:rPr>
        <w:t>Fatjó</w:t>
      </w:r>
      <w:proofErr w:type="spellEnd"/>
      <w:r w:rsidRPr="00127FBE">
        <w:rPr>
          <w:lang w:val="en-GB"/>
        </w:rPr>
        <w:t xml:space="preserve">, 7B. </w:t>
      </w:r>
    </w:p>
    <w:p w14:paraId="3A269ABF" w14:textId="77777777" w:rsidR="00CF28B1" w:rsidRPr="00127FBE" w:rsidRDefault="00CF28B1" w:rsidP="00CF28B1">
      <w:pPr>
        <w:keepNext/>
        <w:rPr>
          <w:lang w:val="en-GB"/>
        </w:rPr>
      </w:pPr>
      <w:r w:rsidRPr="00127FBE">
        <w:rPr>
          <w:lang w:val="en-GB"/>
        </w:rPr>
        <w:t xml:space="preserve">08290 </w:t>
      </w:r>
      <w:proofErr w:type="spellStart"/>
      <w:r w:rsidRPr="00127FBE">
        <w:rPr>
          <w:lang w:val="en-GB"/>
        </w:rPr>
        <w:t>Cerdanyola</w:t>
      </w:r>
      <w:proofErr w:type="spellEnd"/>
      <w:r w:rsidRPr="00127FBE">
        <w:rPr>
          <w:lang w:val="en-GB"/>
        </w:rPr>
        <w:t xml:space="preserve"> del </w:t>
      </w:r>
      <w:proofErr w:type="spellStart"/>
      <w:r w:rsidRPr="00127FBE">
        <w:rPr>
          <w:lang w:val="en-GB"/>
        </w:rPr>
        <w:t>Vallès</w:t>
      </w:r>
      <w:proofErr w:type="spellEnd"/>
      <w:r w:rsidRPr="00127FBE">
        <w:rPr>
          <w:lang w:val="en-GB"/>
        </w:rPr>
        <w:t xml:space="preserve">, </w:t>
      </w:r>
    </w:p>
    <w:p w14:paraId="760B76C3" w14:textId="77777777" w:rsidR="00CF28B1" w:rsidRPr="00F13073" w:rsidRDefault="00CF28B1" w:rsidP="00CF28B1">
      <w:pPr>
        <w:keepNext/>
      </w:pPr>
      <w:r w:rsidRPr="00F13073">
        <w:t xml:space="preserve">Barcelona, </w:t>
      </w:r>
    </w:p>
    <w:p w14:paraId="30D80DD4" w14:textId="31C4B550" w:rsidR="00CF28B1" w:rsidRPr="00F13073" w:rsidRDefault="00CF28B1" w:rsidP="00CF28B1">
      <w:r w:rsidRPr="00F13073">
        <w:t>Hiszpania</w:t>
      </w:r>
    </w:p>
    <w:p w14:paraId="108F2EF0" w14:textId="77777777" w:rsidR="00DC09F2" w:rsidRPr="00F13073" w:rsidRDefault="00DC09F2" w:rsidP="008B4C50"/>
    <w:p w14:paraId="60087724" w14:textId="77777777" w:rsidR="005A3A5B" w:rsidRPr="00F13073" w:rsidRDefault="001414D2" w:rsidP="008B4C50">
      <w:pPr>
        <w:keepNext/>
      </w:pPr>
      <w:r w:rsidRPr="00F13073">
        <w:rPr>
          <w:rStyle w:val="Char"/>
          <w:rFonts w:eastAsia="DengXian"/>
        </w:rPr>
        <w:t>W celu uzyskania bardziej szczegółowych informacji należy zwrócić się do miejscowego przedstawiciela podmiotu odpowiedzialnego:</w:t>
      </w:r>
    </w:p>
    <w:p w14:paraId="3FCF84A2" w14:textId="77777777" w:rsidR="00DC09F2" w:rsidRPr="00F13073" w:rsidRDefault="00DC09F2" w:rsidP="008B4C50">
      <w:pPr>
        <w:keepNext/>
      </w:pPr>
    </w:p>
    <w:tbl>
      <w:tblPr>
        <w:tblW w:w="5000" w:type="pct"/>
        <w:tblLayout w:type="fixed"/>
        <w:tblCellMar>
          <w:top w:w="28" w:type="dxa"/>
          <w:bottom w:w="28" w:type="dxa"/>
        </w:tblCellMar>
        <w:tblLook w:val="04A0" w:firstRow="1" w:lastRow="0" w:firstColumn="1" w:lastColumn="0" w:noHBand="0" w:noVBand="1"/>
      </w:tblPr>
      <w:tblGrid>
        <w:gridCol w:w="4533"/>
        <w:gridCol w:w="4533"/>
      </w:tblGrid>
      <w:tr w:rsidR="00A06126" w:rsidRPr="00F13073" w14:paraId="40146D16" w14:textId="77777777">
        <w:trPr>
          <w:cantSplit/>
        </w:trPr>
        <w:tc>
          <w:tcPr>
            <w:tcW w:w="2500" w:type="pct"/>
            <w:hideMark/>
          </w:tcPr>
          <w:p w14:paraId="25A9514E" w14:textId="77777777" w:rsidR="00E41874" w:rsidRPr="00127FBE" w:rsidRDefault="00E41874">
            <w:pPr>
              <w:suppressAutoHyphens/>
              <w:rPr>
                <w:b/>
                <w:lang w:val="en-GB" w:eastAsia="fr-FR"/>
              </w:rPr>
            </w:pPr>
            <w:proofErr w:type="spellStart"/>
            <w:r w:rsidRPr="00127FBE">
              <w:rPr>
                <w:rFonts w:eastAsia="맑은 고딕"/>
                <w:b/>
                <w:lang w:val="en-GB" w:eastAsia="fr-FR"/>
              </w:rPr>
              <w:t>België</w:t>
            </w:r>
            <w:proofErr w:type="spellEnd"/>
            <w:r w:rsidRPr="00127FBE">
              <w:rPr>
                <w:rFonts w:eastAsia="맑은 고딕"/>
                <w:b/>
                <w:lang w:val="en-GB" w:eastAsia="fr-FR"/>
              </w:rPr>
              <w:t>/Belgique/</w:t>
            </w:r>
            <w:proofErr w:type="spellStart"/>
            <w:r w:rsidRPr="00127FBE">
              <w:rPr>
                <w:rFonts w:eastAsia="맑은 고딕"/>
                <w:b/>
                <w:lang w:val="en-GB" w:eastAsia="fr-FR"/>
              </w:rPr>
              <w:t>Belgien</w:t>
            </w:r>
            <w:proofErr w:type="spellEnd"/>
          </w:p>
          <w:p w14:paraId="6BA0D60E" w14:textId="77777777" w:rsidR="00E41874" w:rsidRPr="00127FBE" w:rsidRDefault="00E41874">
            <w:pPr>
              <w:suppressAutoHyphens/>
              <w:rPr>
                <w:rFonts w:eastAsia="맑은 고딕"/>
                <w:lang w:val="en-GB" w:eastAsia="fr-FR"/>
              </w:rPr>
            </w:pPr>
            <w:r w:rsidRPr="00127FBE">
              <w:rPr>
                <w:rFonts w:eastAsia="맑은 고딕"/>
                <w:lang w:val="en-GB" w:eastAsia="fr-FR"/>
              </w:rPr>
              <w:t>Celltrion Healthcare Belgium BVBA</w:t>
            </w:r>
          </w:p>
          <w:p w14:paraId="1440C42F" w14:textId="77777777" w:rsidR="00E41874" w:rsidRPr="00F13073" w:rsidRDefault="00E41874">
            <w:pPr>
              <w:suppressAutoHyphens/>
              <w:rPr>
                <w:b/>
                <w:lang w:eastAsia="fr-FR"/>
              </w:rPr>
            </w:pPr>
            <w:r w:rsidRPr="00F13073">
              <w:rPr>
                <w:rFonts w:eastAsia="맑은 고딕"/>
                <w:lang w:eastAsia="fr-FR"/>
              </w:rPr>
              <w:t>Tél/Tel: +32 2 643 71 81</w:t>
            </w:r>
          </w:p>
          <w:p w14:paraId="13B30489" w14:textId="77777777" w:rsidR="00E41874" w:rsidRPr="00F13073" w:rsidRDefault="00E41874">
            <w:pPr>
              <w:suppressAutoHyphens/>
              <w:rPr>
                <w:rFonts w:eastAsia="맑은 고딕"/>
                <w:lang w:eastAsia="fr-FR"/>
              </w:rPr>
            </w:pPr>
            <w:r w:rsidRPr="00F13073">
              <w:rPr>
                <w:rFonts w:eastAsia="맑은 고딕"/>
                <w:lang w:eastAsia="fr-FR"/>
              </w:rPr>
              <w:t>BEinfo@celltrionhc.com</w:t>
            </w:r>
          </w:p>
          <w:p w14:paraId="55C1BDDB" w14:textId="77777777" w:rsidR="00E41874" w:rsidRPr="00F13073" w:rsidRDefault="00E41874">
            <w:pPr>
              <w:suppressAutoHyphens/>
              <w:rPr>
                <w:rFonts w:eastAsia="맑은 고딕"/>
                <w:lang w:eastAsia="ko-KR"/>
              </w:rPr>
            </w:pPr>
          </w:p>
        </w:tc>
        <w:tc>
          <w:tcPr>
            <w:tcW w:w="2500" w:type="pct"/>
          </w:tcPr>
          <w:p w14:paraId="049D5C58" w14:textId="77777777" w:rsidR="00E41874" w:rsidRPr="00127FBE" w:rsidRDefault="00E41874">
            <w:pPr>
              <w:tabs>
                <w:tab w:val="left" w:pos="-720"/>
              </w:tabs>
              <w:suppressAutoHyphens/>
              <w:rPr>
                <w:b/>
                <w:lang w:val="en-GB" w:eastAsia="fr-FR"/>
              </w:rPr>
            </w:pPr>
            <w:r w:rsidRPr="00127FBE">
              <w:rPr>
                <w:b/>
                <w:lang w:val="en-GB" w:eastAsia="fr-FR"/>
              </w:rPr>
              <w:t>Lietuva</w:t>
            </w:r>
          </w:p>
          <w:p w14:paraId="23EC5105"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3BECF75F" w14:textId="77777777" w:rsidR="00E41874" w:rsidRPr="00F13073" w:rsidRDefault="00E41874">
            <w:pPr>
              <w:suppressAutoHyphens/>
              <w:autoSpaceDE w:val="0"/>
              <w:autoSpaceDN w:val="0"/>
              <w:adjustRightInd w:val="0"/>
              <w:rPr>
                <w:lang w:eastAsia="fr-FR"/>
              </w:rPr>
            </w:pPr>
            <w:r w:rsidRPr="00F13073">
              <w:rPr>
                <w:rFonts w:eastAsia="맑은 고딕"/>
                <w:lang w:eastAsia="fr-FR"/>
              </w:rPr>
              <w:t>Tel.: +36 1 231 0493</w:t>
            </w:r>
          </w:p>
          <w:p w14:paraId="0CDAC717" w14:textId="77777777" w:rsidR="00E41874" w:rsidRPr="00F13073" w:rsidRDefault="00E41874">
            <w:pPr>
              <w:suppressAutoHyphens/>
              <w:autoSpaceDE w:val="0"/>
              <w:autoSpaceDN w:val="0"/>
              <w:adjustRightInd w:val="0"/>
              <w:rPr>
                <w:lang w:eastAsia="fr-FR"/>
              </w:rPr>
            </w:pPr>
          </w:p>
        </w:tc>
      </w:tr>
      <w:tr w:rsidR="00A06126" w:rsidRPr="00F13073" w14:paraId="25905EE5" w14:textId="77777777">
        <w:trPr>
          <w:cantSplit/>
        </w:trPr>
        <w:tc>
          <w:tcPr>
            <w:tcW w:w="2500" w:type="pct"/>
          </w:tcPr>
          <w:p w14:paraId="6AA9B384" w14:textId="77777777" w:rsidR="00E41874" w:rsidRPr="00127FBE" w:rsidRDefault="00E41874">
            <w:pPr>
              <w:suppressAutoHyphens/>
              <w:rPr>
                <w:rFonts w:eastAsia="맑은 고딕"/>
                <w:b/>
                <w:lang w:val="en-GB" w:eastAsia="fr-FR"/>
              </w:rPr>
            </w:pPr>
            <w:r w:rsidRPr="00F13073">
              <w:rPr>
                <w:b/>
                <w:bCs/>
              </w:rPr>
              <w:t>България</w:t>
            </w:r>
          </w:p>
          <w:p w14:paraId="0B58B695"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65612D9F" w14:textId="77777777" w:rsidR="00E41874" w:rsidRPr="00F13073" w:rsidRDefault="00E41874">
            <w:pPr>
              <w:suppressAutoHyphens/>
              <w:rPr>
                <w:rFonts w:eastAsia="맑은 고딕"/>
                <w:lang w:eastAsia="fr-FR"/>
              </w:rPr>
            </w:pPr>
            <w:r w:rsidRPr="00F13073">
              <w:rPr>
                <w:rFonts w:eastAsia="맑은 고딕"/>
                <w:lang w:eastAsia="fr-FR"/>
              </w:rPr>
              <w:t>Teл.: +36 1 231 0493</w:t>
            </w:r>
          </w:p>
          <w:p w14:paraId="5C200F24" w14:textId="77777777" w:rsidR="00E41874" w:rsidRPr="00F13073" w:rsidRDefault="00E41874">
            <w:pPr>
              <w:suppressAutoHyphens/>
              <w:rPr>
                <w:lang w:eastAsia="fr-FR"/>
              </w:rPr>
            </w:pPr>
          </w:p>
        </w:tc>
        <w:tc>
          <w:tcPr>
            <w:tcW w:w="2500" w:type="pct"/>
            <w:hideMark/>
          </w:tcPr>
          <w:p w14:paraId="54F1C4E0" w14:textId="77777777" w:rsidR="00E41874" w:rsidRPr="00127FBE" w:rsidRDefault="00E41874">
            <w:pPr>
              <w:tabs>
                <w:tab w:val="left" w:pos="-720"/>
              </w:tabs>
              <w:suppressAutoHyphens/>
              <w:rPr>
                <w:lang w:val="en-GB" w:eastAsia="fr-FR"/>
              </w:rPr>
            </w:pPr>
            <w:r w:rsidRPr="00127FBE">
              <w:rPr>
                <w:rFonts w:eastAsia="맑은 고딕"/>
                <w:b/>
                <w:lang w:val="en-GB" w:eastAsia="fr-FR"/>
              </w:rPr>
              <w:t>Luxembourg/Luxemburg</w:t>
            </w:r>
          </w:p>
          <w:p w14:paraId="5A1A9552" w14:textId="77777777" w:rsidR="00E41874" w:rsidRPr="00127FBE" w:rsidRDefault="00E41874">
            <w:pPr>
              <w:suppressAutoHyphens/>
              <w:rPr>
                <w:rFonts w:eastAsia="맑은 고딕"/>
                <w:lang w:val="en-GB" w:eastAsia="fr-FR"/>
              </w:rPr>
            </w:pPr>
            <w:r w:rsidRPr="00127FBE">
              <w:rPr>
                <w:rFonts w:eastAsia="맑은 고딕"/>
                <w:lang w:val="en-GB" w:eastAsia="fr-FR"/>
              </w:rPr>
              <w:t>Celltrion Healthcare Belgium BVBA</w:t>
            </w:r>
          </w:p>
          <w:p w14:paraId="48DF63B9" w14:textId="77777777" w:rsidR="00E41874" w:rsidRPr="0081094B" w:rsidRDefault="00E41874">
            <w:pPr>
              <w:tabs>
                <w:tab w:val="left" w:pos="-720"/>
              </w:tabs>
              <w:suppressAutoHyphens/>
              <w:rPr>
                <w:rFonts w:eastAsia="맑은 고딕"/>
                <w:lang w:eastAsia="fr-FR"/>
              </w:rPr>
            </w:pPr>
            <w:r w:rsidRPr="0081094B">
              <w:rPr>
                <w:rFonts w:eastAsia="맑은 고딕"/>
                <w:lang w:eastAsia="fr-FR"/>
              </w:rPr>
              <w:t>Tél/Tel: +32 2 643 71 81</w:t>
            </w:r>
          </w:p>
          <w:p w14:paraId="3D01907E" w14:textId="77777777" w:rsidR="00E41874" w:rsidRPr="0081094B" w:rsidRDefault="00E41874">
            <w:pPr>
              <w:suppressAutoHyphens/>
              <w:rPr>
                <w:rFonts w:eastAsia="맑은 고딕"/>
                <w:lang w:eastAsia="ko-KR"/>
              </w:rPr>
            </w:pPr>
            <w:r w:rsidRPr="0081094B">
              <w:rPr>
                <w:rFonts w:eastAsia="맑은 고딕"/>
                <w:lang w:eastAsia="fr-FR"/>
              </w:rPr>
              <w:t>BEinfo@celltrionhc.com</w:t>
            </w:r>
          </w:p>
          <w:p w14:paraId="0010F4EA" w14:textId="77777777" w:rsidR="00E41874" w:rsidRPr="0081094B" w:rsidRDefault="00E41874">
            <w:pPr>
              <w:tabs>
                <w:tab w:val="left" w:pos="-720"/>
              </w:tabs>
              <w:suppressAutoHyphens/>
              <w:rPr>
                <w:rFonts w:eastAsia="맑은 고딕"/>
                <w:lang w:eastAsia="ko-KR"/>
              </w:rPr>
            </w:pPr>
          </w:p>
        </w:tc>
      </w:tr>
      <w:tr w:rsidR="00A06126" w:rsidRPr="00F13073" w14:paraId="29436C1E" w14:textId="77777777">
        <w:trPr>
          <w:cantSplit/>
        </w:trPr>
        <w:tc>
          <w:tcPr>
            <w:tcW w:w="2500" w:type="pct"/>
            <w:hideMark/>
          </w:tcPr>
          <w:p w14:paraId="2E953F46" w14:textId="77777777" w:rsidR="00E41874" w:rsidRPr="00127FBE" w:rsidRDefault="00E41874">
            <w:pPr>
              <w:tabs>
                <w:tab w:val="left" w:pos="-720"/>
              </w:tabs>
              <w:suppressAutoHyphens/>
              <w:rPr>
                <w:rFonts w:eastAsia="맑은 고딕"/>
                <w:b/>
                <w:lang w:val="en-GB" w:eastAsia="fr-FR"/>
              </w:rPr>
            </w:pPr>
            <w:proofErr w:type="spellStart"/>
            <w:r w:rsidRPr="00127FBE">
              <w:rPr>
                <w:rFonts w:eastAsia="맑은 고딕"/>
                <w:b/>
                <w:lang w:val="en-GB" w:eastAsia="fr-FR"/>
              </w:rPr>
              <w:t>Česká</w:t>
            </w:r>
            <w:proofErr w:type="spellEnd"/>
            <w:r w:rsidRPr="00127FBE">
              <w:rPr>
                <w:rFonts w:eastAsia="맑은 고딕"/>
                <w:b/>
                <w:lang w:val="en-GB" w:eastAsia="fr-FR"/>
              </w:rPr>
              <w:t xml:space="preserve"> </w:t>
            </w:r>
            <w:proofErr w:type="spellStart"/>
            <w:r w:rsidRPr="00127FBE">
              <w:rPr>
                <w:rFonts w:eastAsia="맑은 고딕"/>
                <w:b/>
                <w:lang w:val="en-GB" w:eastAsia="fr-FR"/>
              </w:rPr>
              <w:t>republika</w:t>
            </w:r>
            <w:proofErr w:type="spellEnd"/>
          </w:p>
          <w:p w14:paraId="2EA93DDE"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2DB73488" w14:textId="77777777" w:rsidR="00E41874" w:rsidRPr="00F13073" w:rsidRDefault="00E41874">
            <w:pPr>
              <w:tabs>
                <w:tab w:val="left" w:pos="-720"/>
              </w:tabs>
              <w:suppressAutoHyphens/>
              <w:rPr>
                <w:rFonts w:eastAsia="맑은 고딕"/>
                <w:lang w:eastAsia="fr-FR"/>
              </w:rPr>
            </w:pPr>
            <w:r w:rsidRPr="00F13073">
              <w:rPr>
                <w:rFonts w:eastAsia="맑은 고딕"/>
                <w:lang w:eastAsia="fr-FR"/>
              </w:rPr>
              <w:t>Tel: +36 1 231 0493</w:t>
            </w:r>
          </w:p>
          <w:p w14:paraId="686718CD" w14:textId="77777777" w:rsidR="00E41874" w:rsidRPr="00F13073" w:rsidRDefault="00E41874">
            <w:pPr>
              <w:tabs>
                <w:tab w:val="left" w:pos="-720"/>
              </w:tabs>
              <w:suppressAutoHyphens/>
              <w:rPr>
                <w:lang w:eastAsia="fr-FR"/>
              </w:rPr>
            </w:pPr>
          </w:p>
        </w:tc>
        <w:tc>
          <w:tcPr>
            <w:tcW w:w="2500" w:type="pct"/>
          </w:tcPr>
          <w:p w14:paraId="562F50AE" w14:textId="77777777" w:rsidR="00E41874" w:rsidRPr="00127FBE" w:rsidRDefault="00E41874">
            <w:pPr>
              <w:suppressAutoHyphens/>
              <w:rPr>
                <w:rFonts w:eastAsia="맑은 고딕"/>
                <w:b/>
                <w:lang w:val="en-GB" w:eastAsia="fr-FR"/>
              </w:rPr>
            </w:pPr>
            <w:proofErr w:type="spellStart"/>
            <w:r w:rsidRPr="00127FBE">
              <w:rPr>
                <w:b/>
                <w:lang w:val="en-GB"/>
              </w:rPr>
              <w:t>Magyarország</w:t>
            </w:r>
            <w:proofErr w:type="spellEnd"/>
          </w:p>
          <w:p w14:paraId="703705BD"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09E41E65" w14:textId="77777777" w:rsidR="00E41874" w:rsidRPr="00F13073" w:rsidRDefault="00E41874">
            <w:pPr>
              <w:suppressAutoHyphens/>
              <w:rPr>
                <w:rFonts w:eastAsia="맑은 고딕"/>
                <w:lang w:eastAsia="fr-FR"/>
              </w:rPr>
            </w:pPr>
            <w:r w:rsidRPr="00F13073">
              <w:rPr>
                <w:rFonts w:eastAsia="맑은 고딕"/>
                <w:lang w:eastAsia="fr-FR"/>
              </w:rPr>
              <w:t>Tel:. +36 1 231 0493</w:t>
            </w:r>
          </w:p>
          <w:p w14:paraId="0F6ED08D" w14:textId="77777777" w:rsidR="00E41874" w:rsidRPr="00F13073" w:rsidRDefault="00E41874">
            <w:pPr>
              <w:suppressAutoHyphens/>
              <w:rPr>
                <w:rFonts w:eastAsia="맑은 고딕"/>
                <w:lang w:eastAsia="ko-KR"/>
              </w:rPr>
            </w:pPr>
          </w:p>
        </w:tc>
      </w:tr>
      <w:tr w:rsidR="00A06126" w:rsidRPr="00FE78F1" w14:paraId="602A5F22" w14:textId="77777777">
        <w:trPr>
          <w:cantSplit/>
        </w:trPr>
        <w:tc>
          <w:tcPr>
            <w:tcW w:w="2500" w:type="pct"/>
            <w:hideMark/>
          </w:tcPr>
          <w:p w14:paraId="1A978BE6" w14:textId="76847A1E" w:rsidR="00E41874" w:rsidRPr="00127FBE" w:rsidRDefault="00E41874">
            <w:pPr>
              <w:tabs>
                <w:tab w:val="left" w:pos="-720"/>
              </w:tabs>
              <w:suppressAutoHyphens/>
              <w:rPr>
                <w:b/>
                <w:bCs/>
                <w:i/>
                <w:iCs/>
                <w:lang w:val="en-GB" w:eastAsia="fr-FR"/>
              </w:rPr>
            </w:pPr>
            <w:r w:rsidRPr="00127FBE">
              <w:rPr>
                <w:b/>
                <w:lang w:val="en-GB"/>
              </w:rPr>
              <w:t>D</w:t>
            </w:r>
            <w:r w:rsidR="000F2F0E">
              <w:rPr>
                <w:b/>
                <w:lang w:val="en-GB"/>
              </w:rPr>
              <w:t>e</w:t>
            </w:r>
            <w:r w:rsidRPr="00127FBE">
              <w:rPr>
                <w:b/>
                <w:lang w:val="en-GB"/>
              </w:rPr>
              <w:t>nmark</w:t>
            </w:r>
          </w:p>
          <w:p w14:paraId="42DEB798" w14:textId="534DD705" w:rsidR="00E41874" w:rsidRPr="005F0664" w:rsidRDefault="00E41874">
            <w:pPr>
              <w:tabs>
                <w:tab w:val="left" w:pos="-720"/>
              </w:tabs>
              <w:suppressAutoHyphens/>
              <w:rPr>
                <w:rFonts w:eastAsia="맑은 고딕"/>
                <w:noProof/>
                <w:lang w:eastAsia="fr-FR"/>
              </w:rPr>
            </w:pPr>
            <w:r w:rsidRPr="00127FBE">
              <w:rPr>
                <w:rFonts w:eastAsia="맑은 고딕"/>
                <w:lang w:val="en-GB" w:eastAsia="fr-FR"/>
              </w:rPr>
              <w:t xml:space="preserve">Celltrion Healthcare </w:t>
            </w:r>
            <w:r w:rsidR="000F2F0E">
              <w:rPr>
                <w:rFonts w:eastAsia="맑은 고딕" w:hint="eastAsia"/>
                <w:noProof/>
                <w:lang w:eastAsia="ko-KR"/>
              </w:rPr>
              <w:t>Denmark ApS</w:t>
            </w:r>
          </w:p>
          <w:p w14:paraId="4D10F1E9" w14:textId="1A1FA77B" w:rsidR="000F2F0E" w:rsidRDefault="00E41874" w:rsidP="000F2F0E">
            <w:pPr>
              <w:tabs>
                <w:tab w:val="left" w:pos="-720"/>
              </w:tabs>
              <w:suppressAutoHyphens/>
              <w:rPr>
                <w:rFonts w:eastAsia="맑은 고딕"/>
                <w:noProof/>
                <w:lang w:eastAsia="ko-KR"/>
              </w:rPr>
            </w:pPr>
            <w:r w:rsidRPr="00F13073">
              <w:rPr>
                <w:rFonts w:eastAsia="맑은 고딕"/>
                <w:lang w:eastAsia="fr-FR"/>
              </w:rPr>
              <w:t>Tlf: +</w:t>
            </w:r>
            <w:r w:rsidR="000F2F0E">
              <w:rPr>
                <w:rFonts w:eastAsia="맑은 고딕" w:hint="eastAsia"/>
                <w:noProof/>
                <w:lang w:eastAsia="ko-KR"/>
              </w:rPr>
              <w:t>45 3535 2989</w:t>
            </w:r>
          </w:p>
          <w:p w14:paraId="4B68C883" w14:textId="7654AEC5" w:rsidR="000F2F0E" w:rsidRDefault="000F2F0E" w:rsidP="000F2F0E">
            <w:pPr>
              <w:tabs>
                <w:tab w:val="left" w:pos="-720"/>
              </w:tabs>
              <w:suppressAutoHyphens/>
              <w:rPr>
                <w:rFonts w:eastAsia="맑은 고딕"/>
                <w:noProof/>
                <w:lang w:eastAsia="ko-KR"/>
              </w:rPr>
            </w:pPr>
            <w:r w:rsidRPr="002738BB">
              <w:rPr>
                <w:rFonts w:eastAsia="맑은 고딕"/>
                <w:noProof/>
                <w:lang w:eastAsia="ko-KR"/>
              </w:rPr>
              <w:t>Contact_dk@celltrionhc.com</w:t>
            </w:r>
          </w:p>
          <w:p w14:paraId="75360F2B" w14:textId="6C3EBA0C" w:rsidR="00E41874" w:rsidRPr="00F13073" w:rsidRDefault="00E41874">
            <w:pPr>
              <w:tabs>
                <w:tab w:val="left" w:pos="-720"/>
              </w:tabs>
              <w:suppressAutoHyphens/>
              <w:rPr>
                <w:rFonts w:eastAsia="맑은 고딕"/>
                <w:lang w:eastAsia="fr-FR"/>
              </w:rPr>
            </w:pPr>
          </w:p>
        </w:tc>
        <w:tc>
          <w:tcPr>
            <w:tcW w:w="2500" w:type="pct"/>
          </w:tcPr>
          <w:p w14:paraId="35F0D35E" w14:textId="77777777" w:rsidR="00E41874" w:rsidRPr="00127FBE" w:rsidRDefault="00E41874">
            <w:pPr>
              <w:suppressAutoHyphens/>
              <w:rPr>
                <w:lang w:val="en-GB" w:eastAsia="fr-FR"/>
              </w:rPr>
            </w:pPr>
            <w:r w:rsidRPr="00127FBE">
              <w:rPr>
                <w:rFonts w:eastAsia="맑은 고딕"/>
                <w:b/>
                <w:lang w:val="en-GB" w:eastAsia="fr-FR"/>
              </w:rPr>
              <w:t>Malta</w:t>
            </w:r>
          </w:p>
          <w:p w14:paraId="72E9829B"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Mint Health Ltd.</w:t>
            </w:r>
          </w:p>
          <w:p w14:paraId="03445CC3" w14:textId="77777777" w:rsidR="00E41874" w:rsidRPr="00127FBE" w:rsidRDefault="00E41874">
            <w:pPr>
              <w:suppressAutoHyphens/>
              <w:rPr>
                <w:rFonts w:eastAsia="맑은 고딕"/>
                <w:lang w:val="en-GB" w:eastAsia="ko-KR"/>
              </w:rPr>
            </w:pPr>
            <w:r w:rsidRPr="00127FBE">
              <w:rPr>
                <w:rFonts w:eastAsia="맑은 고딕"/>
                <w:lang w:val="en-GB" w:eastAsia="fr-FR"/>
              </w:rPr>
              <w:t>Tel: +356 2093 9800</w:t>
            </w:r>
          </w:p>
          <w:p w14:paraId="70A76068" w14:textId="77777777" w:rsidR="00E41874" w:rsidRPr="00127FBE" w:rsidRDefault="00E41874">
            <w:pPr>
              <w:suppressAutoHyphens/>
              <w:rPr>
                <w:rFonts w:eastAsia="맑은 고딕"/>
                <w:lang w:val="en-GB" w:eastAsia="ko-KR"/>
              </w:rPr>
            </w:pPr>
          </w:p>
        </w:tc>
      </w:tr>
      <w:tr w:rsidR="00A06126" w:rsidRPr="00F13073" w14:paraId="5C04C8E5" w14:textId="77777777">
        <w:trPr>
          <w:cantSplit/>
        </w:trPr>
        <w:tc>
          <w:tcPr>
            <w:tcW w:w="2500" w:type="pct"/>
            <w:hideMark/>
          </w:tcPr>
          <w:p w14:paraId="549074BD" w14:textId="77777777" w:rsidR="00E41874" w:rsidRPr="00127FBE" w:rsidRDefault="00E41874">
            <w:pPr>
              <w:suppressAutoHyphens/>
              <w:rPr>
                <w:b/>
                <w:lang w:val="en-GB" w:eastAsia="fr-FR"/>
              </w:rPr>
            </w:pPr>
            <w:r w:rsidRPr="00127FBE">
              <w:rPr>
                <w:rFonts w:eastAsia="맑은 고딕"/>
                <w:b/>
                <w:lang w:val="en-GB" w:eastAsia="fr-FR"/>
              </w:rPr>
              <w:t>Deutschland</w:t>
            </w:r>
          </w:p>
          <w:p w14:paraId="44DB6B40"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Deutschland GmbH</w:t>
            </w:r>
          </w:p>
          <w:p w14:paraId="30AE4201"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Tel: +49(0)30 346494150</w:t>
            </w:r>
          </w:p>
          <w:p w14:paraId="2826EC58" w14:textId="77777777" w:rsidR="00E41874" w:rsidRPr="0081094B" w:rsidRDefault="00E41874">
            <w:pPr>
              <w:tabs>
                <w:tab w:val="left" w:pos="-720"/>
              </w:tabs>
              <w:suppressAutoHyphens/>
              <w:rPr>
                <w:rFonts w:eastAsia="맑은 고딕"/>
                <w:lang w:eastAsia="fr-FR"/>
              </w:rPr>
            </w:pPr>
            <w:r w:rsidRPr="0081094B">
              <w:rPr>
                <w:rFonts w:eastAsia="맑은 고딕"/>
                <w:lang w:eastAsia="fr-FR"/>
              </w:rPr>
              <w:t>infoDE@celltrionhc.com</w:t>
            </w:r>
          </w:p>
          <w:p w14:paraId="7845A67C" w14:textId="77777777" w:rsidR="00E41874" w:rsidRPr="0081094B" w:rsidRDefault="00E41874">
            <w:pPr>
              <w:tabs>
                <w:tab w:val="left" w:pos="-720"/>
              </w:tabs>
              <w:suppressAutoHyphens/>
              <w:rPr>
                <w:rFonts w:eastAsia="맑은 고딕"/>
                <w:lang w:eastAsia="fr-FR"/>
              </w:rPr>
            </w:pPr>
          </w:p>
        </w:tc>
        <w:tc>
          <w:tcPr>
            <w:tcW w:w="2500" w:type="pct"/>
          </w:tcPr>
          <w:p w14:paraId="2310DDEE" w14:textId="77777777" w:rsidR="00E41874" w:rsidRPr="00127FBE" w:rsidRDefault="00E41874">
            <w:pPr>
              <w:suppressAutoHyphens/>
              <w:rPr>
                <w:lang w:val="en-GB" w:eastAsia="fr-FR"/>
              </w:rPr>
            </w:pPr>
            <w:r w:rsidRPr="00127FBE">
              <w:rPr>
                <w:rFonts w:eastAsia="맑은 고딕"/>
                <w:b/>
                <w:lang w:val="en-GB" w:eastAsia="fr-FR"/>
              </w:rPr>
              <w:t>Nederland</w:t>
            </w:r>
          </w:p>
          <w:p w14:paraId="591EC91A" w14:textId="77777777" w:rsidR="00E41874" w:rsidRPr="00127FBE" w:rsidRDefault="00E41874">
            <w:pPr>
              <w:suppressAutoHyphens/>
              <w:rPr>
                <w:rFonts w:eastAsia="맑은 고딕"/>
                <w:lang w:val="en-GB" w:eastAsia="fr-FR"/>
              </w:rPr>
            </w:pPr>
            <w:r w:rsidRPr="00127FBE">
              <w:rPr>
                <w:rFonts w:eastAsia="맑은 고딕"/>
                <w:lang w:val="en-GB" w:eastAsia="fr-FR"/>
              </w:rPr>
              <w:t>Celltrion Healthcare Netherlands B.V.</w:t>
            </w:r>
          </w:p>
          <w:p w14:paraId="0D15DBE4" w14:textId="77777777" w:rsidR="00E41874" w:rsidRPr="00F13073" w:rsidRDefault="00E41874">
            <w:pPr>
              <w:suppressAutoHyphens/>
              <w:rPr>
                <w:rFonts w:eastAsia="맑은 고딕"/>
                <w:lang w:eastAsia="fr-FR"/>
              </w:rPr>
            </w:pPr>
            <w:r w:rsidRPr="00F13073">
              <w:rPr>
                <w:rFonts w:eastAsia="맑은 고딕"/>
                <w:lang w:eastAsia="fr-FR"/>
              </w:rPr>
              <w:t>Tel: + 31 20 888 7300</w:t>
            </w:r>
          </w:p>
          <w:p w14:paraId="1AA16D75" w14:textId="77777777" w:rsidR="00E41874" w:rsidRPr="00F13073" w:rsidRDefault="00E41874">
            <w:pPr>
              <w:suppressAutoHyphens/>
              <w:rPr>
                <w:rFonts w:eastAsia="맑은 고딕"/>
                <w:lang w:eastAsia="fr-FR"/>
              </w:rPr>
            </w:pPr>
            <w:hyperlink r:id="rId18" w:history="1">
              <w:r w:rsidRPr="00F13073">
                <w:rPr>
                  <w:rStyle w:val="a7"/>
                  <w:rFonts w:eastAsia="맑은 고딕"/>
                  <w:lang w:eastAsia="fr-FR"/>
                </w:rPr>
                <w:t>NLinfo@celltrionh</w:t>
              </w:r>
              <w:r w:rsidRPr="00F13073">
                <w:rPr>
                  <w:rStyle w:val="a7"/>
                </w:rPr>
                <w:t>c</w:t>
              </w:r>
              <w:r w:rsidRPr="00F13073">
                <w:rPr>
                  <w:rStyle w:val="a7"/>
                  <w:rFonts w:eastAsia="맑은 고딕"/>
                  <w:lang w:eastAsia="fr-FR"/>
                </w:rPr>
                <w:t>.com</w:t>
              </w:r>
            </w:hyperlink>
          </w:p>
          <w:p w14:paraId="3DF0DAC0" w14:textId="77777777" w:rsidR="00E41874" w:rsidRPr="00F13073" w:rsidRDefault="00E41874">
            <w:pPr>
              <w:suppressAutoHyphens/>
              <w:rPr>
                <w:rFonts w:eastAsia="맑은 고딕"/>
                <w:lang w:eastAsia="fr-FR"/>
              </w:rPr>
            </w:pPr>
          </w:p>
        </w:tc>
      </w:tr>
      <w:tr w:rsidR="00A06126" w:rsidRPr="00F13073" w14:paraId="0B0EAC43" w14:textId="77777777">
        <w:trPr>
          <w:cantSplit/>
        </w:trPr>
        <w:tc>
          <w:tcPr>
            <w:tcW w:w="2500" w:type="pct"/>
            <w:hideMark/>
          </w:tcPr>
          <w:p w14:paraId="3E9BEE88" w14:textId="77777777" w:rsidR="00E41874" w:rsidRPr="00127FBE" w:rsidRDefault="00E41874">
            <w:pPr>
              <w:tabs>
                <w:tab w:val="left" w:pos="-720"/>
                <w:tab w:val="left" w:pos="4536"/>
              </w:tabs>
              <w:suppressAutoHyphens/>
              <w:rPr>
                <w:b/>
                <w:lang w:val="en-GB" w:eastAsia="fr-FR"/>
              </w:rPr>
            </w:pPr>
            <w:proofErr w:type="spellStart"/>
            <w:r w:rsidRPr="00127FBE">
              <w:rPr>
                <w:rFonts w:eastAsia="맑은 고딕"/>
                <w:b/>
                <w:lang w:val="en-GB" w:eastAsia="fr-FR"/>
              </w:rPr>
              <w:t>Eesti</w:t>
            </w:r>
            <w:proofErr w:type="spellEnd"/>
          </w:p>
          <w:p w14:paraId="7F1A9C1D"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3AE3F407" w14:textId="77777777" w:rsidR="00E41874" w:rsidRPr="00F13073" w:rsidRDefault="00E41874">
            <w:pPr>
              <w:tabs>
                <w:tab w:val="left" w:pos="-720"/>
              </w:tabs>
              <w:suppressAutoHyphens/>
              <w:rPr>
                <w:rFonts w:eastAsia="맑은 고딕"/>
                <w:lang w:eastAsia="fr-FR"/>
              </w:rPr>
            </w:pPr>
            <w:r w:rsidRPr="00F13073">
              <w:rPr>
                <w:rFonts w:eastAsia="맑은 고딕"/>
                <w:lang w:eastAsia="fr-FR"/>
              </w:rPr>
              <w:t>Tel: +36 1 231 0493</w:t>
            </w:r>
          </w:p>
          <w:p w14:paraId="5615952C" w14:textId="77777777" w:rsidR="00E41874" w:rsidRPr="0081094B" w:rsidRDefault="00E41874">
            <w:pPr>
              <w:tabs>
                <w:tab w:val="left" w:pos="-720"/>
              </w:tabs>
              <w:suppressAutoHyphens/>
              <w:rPr>
                <w:rFonts w:eastAsia="맑은 고딕"/>
                <w:lang w:eastAsia="ko-KR"/>
              </w:rPr>
            </w:pPr>
          </w:p>
        </w:tc>
        <w:tc>
          <w:tcPr>
            <w:tcW w:w="2500" w:type="pct"/>
          </w:tcPr>
          <w:p w14:paraId="150890A7" w14:textId="77777777" w:rsidR="00E41874" w:rsidRPr="00127FBE" w:rsidRDefault="00E41874">
            <w:pPr>
              <w:tabs>
                <w:tab w:val="left" w:pos="-720"/>
              </w:tabs>
              <w:suppressAutoHyphens/>
              <w:rPr>
                <w:lang w:val="en-GB" w:eastAsia="fr-FR"/>
              </w:rPr>
            </w:pPr>
            <w:r w:rsidRPr="00127FBE">
              <w:rPr>
                <w:rFonts w:eastAsia="맑은 고딕"/>
                <w:b/>
                <w:lang w:val="en-GB" w:eastAsia="fr-FR"/>
              </w:rPr>
              <w:t>Norge</w:t>
            </w:r>
          </w:p>
          <w:p w14:paraId="332FFAE3" w14:textId="3396350F" w:rsidR="000F2F0E" w:rsidRDefault="00E41874">
            <w:pPr>
              <w:tabs>
                <w:tab w:val="left" w:pos="-720"/>
              </w:tabs>
              <w:suppressAutoHyphens/>
              <w:rPr>
                <w:rFonts w:eastAsia="맑은 고딕"/>
                <w:lang w:val="en-GB" w:eastAsia="fr-FR"/>
              </w:rPr>
            </w:pPr>
            <w:r w:rsidRPr="00127FBE">
              <w:rPr>
                <w:rFonts w:eastAsia="맑은 고딕"/>
                <w:lang w:val="en-GB" w:eastAsia="fr-FR"/>
              </w:rPr>
              <w:t xml:space="preserve">Celltrion Healthcare </w:t>
            </w:r>
            <w:r w:rsidR="000F2F0E">
              <w:rPr>
                <w:rFonts w:eastAsia="맑은 고딕" w:hint="eastAsia"/>
                <w:noProof/>
                <w:lang w:eastAsia="ko-KR"/>
              </w:rPr>
              <w:t>Norway AS</w:t>
            </w:r>
            <w:r w:rsidR="000F2F0E" w:rsidRPr="00127FBE" w:rsidDel="000F2F0E">
              <w:rPr>
                <w:rFonts w:eastAsia="맑은 고딕"/>
                <w:lang w:val="en-GB" w:eastAsia="fr-FR"/>
              </w:rPr>
              <w:t xml:space="preserve"> </w:t>
            </w:r>
          </w:p>
          <w:p w14:paraId="5A689CB6" w14:textId="247E5139" w:rsidR="00E41874" w:rsidRPr="00F13073" w:rsidRDefault="000F2F0E">
            <w:pPr>
              <w:tabs>
                <w:tab w:val="left" w:pos="-720"/>
              </w:tabs>
              <w:suppressAutoHyphens/>
              <w:rPr>
                <w:rFonts w:eastAsia="맑은 고딕"/>
                <w:lang w:eastAsia="ko-KR"/>
              </w:rPr>
            </w:pPr>
            <w:r>
              <w:rPr>
                <w:rFonts w:eastAsia="맑은 고딕" w:hint="eastAsia"/>
                <w:noProof/>
                <w:lang w:eastAsia="ko-KR"/>
              </w:rPr>
              <w:t>Contact_no@celltrionhs.com</w:t>
            </w:r>
          </w:p>
          <w:p w14:paraId="7A50DBD6" w14:textId="77777777" w:rsidR="00E41874" w:rsidRPr="00F13073" w:rsidRDefault="00E41874">
            <w:pPr>
              <w:tabs>
                <w:tab w:val="left" w:pos="-720"/>
              </w:tabs>
              <w:suppressAutoHyphens/>
              <w:rPr>
                <w:rFonts w:eastAsia="맑은 고딕"/>
                <w:lang w:eastAsia="ko-KR"/>
              </w:rPr>
            </w:pPr>
          </w:p>
        </w:tc>
      </w:tr>
      <w:tr w:rsidR="00A06126" w:rsidRPr="00F13073" w14:paraId="79A4D600" w14:textId="77777777">
        <w:trPr>
          <w:cantSplit/>
        </w:trPr>
        <w:tc>
          <w:tcPr>
            <w:tcW w:w="2500" w:type="pct"/>
            <w:hideMark/>
          </w:tcPr>
          <w:p w14:paraId="4CF34235" w14:textId="77777777" w:rsidR="00E41874" w:rsidRPr="00127FBE" w:rsidRDefault="00E41874">
            <w:pPr>
              <w:suppressAutoHyphens/>
              <w:rPr>
                <w:lang w:val="en-GB" w:eastAsia="fr-FR"/>
              </w:rPr>
            </w:pPr>
            <w:r w:rsidRPr="00127FBE">
              <w:rPr>
                <w:b/>
                <w:lang w:val="en-GB"/>
              </w:rPr>
              <w:t>España</w:t>
            </w:r>
          </w:p>
          <w:p w14:paraId="2B3FCA1D" w14:textId="77777777" w:rsidR="00E41874" w:rsidRPr="00127FBE" w:rsidRDefault="00E41874">
            <w:pPr>
              <w:suppressAutoHyphens/>
              <w:rPr>
                <w:rFonts w:eastAsia="맑은 고딕"/>
                <w:lang w:val="en-GB" w:eastAsia="fr-FR"/>
              </w:rPr>
            </w:pPr>
            <w:r w:rsidRPr="00127FBE">
              <w:rPr>
                <w:rFonts w:eastAsia="맑은 고딕"/>
                <w:lang w:val="en-GB" w:eastAsia="fr-FR"/>
              </w:rPr>
              <w:t>CELLTRION FARMACEUTICA (ESPAÑA) S.L..</w:t>
            </w:r>
          </w:p>
          <w:p w14:paraId="493992BA" w14:textId="7AFBDA67" w:rsidR="00E41874" w:rsidRPr="00F13073" w:rsidRDefault="00E41874">
            <w:pPr>
              <w:suppressAutoHyphens/>
              <w:rPr>
                <w:rFonts w:eastAsia="맑은 고딕"/>
                <w:lang w:eastAsia="fr-FR"/>
              </w:rPr>
            </w:pPr>
            <w:r w:rsidRPr="00F13073">
              <w:rPr>
                <w:rFonts w:eastAsia="맑은 고딕"/>
                <w:lang w:eastAsia="fr-FR"/>
              </w:rPr>
              <w:t xml:space="preserve">Tel: +34 </w:t>
            </w:r>
            <w:r w:rsidR="00A65502">
              <w:rPr>
                <w:rFonts w:eastAsia="맑은 고딕"/>
                <w:lang w:eastAsia="fr-FR"/>
              </w:rPr>
              <w:t>910 498 478</w:t>
            </w:r>
          </w:p>
          <w:p w14:paraId="40BEBB64" w14:textId="77777777" w:rsidR="00E41874" w:rsidRPr="00F13073" w:rsidRDefault="00E41874">
            <w:pPr>
              <w:suppressAutoHyphens/>
              <w:rPr>
                <w:b/>
                <w:lang w:eastAsia="fr-FR"/>
              </w:rPr>
            </w:pPr>
          </w:p>
        </w:tc>
        <w:tc>
          <w:tcPr>
            <w:tcW w:w="2500" w:type="pct"/>
          </w:tcPr>
          <w:p w14:paraId="7027D2A7" w14:textId="77777777" w:rsidR="00E41874" w:rsidRPr="0081094B" w:rsidRDefault="00E41874">
            <w:pPr>
              <w:suppressAutoHyphens/>
              <w:rPr>
                <w:lang w:eastAsia="fr-FR"/>
              </w:rPr>
            </w:pPr>
            <w:r w:rsidRPr="0081094B">
              <w:rPr>
                <w:b/>
              </w:rPr>
              <w:t>Österreich</w:t>
            </w:r>
          </w:p>
          <w:p w14:paraId="42C93D04" w14:textId="77777777" w:rsidR="00E41874" w:rsidRPr="0081094B" w:rsidRDefault="00E41874">
            <w:pPr>
              <w:suppressAutoHyphens/>
              <w:rPr>
                <w:rFonts w:eastAsia="맑은 고딕"/>
                <w:lang w:eastAsia="ko-KR"/>
              </w:rPr>
            </w:pPr>
            <w:r w:rsidRPr="0081094B">
              <w:rPr>
                <w:rFonts w:eastAsia="맑은 고딕"/>
                <w:lang w:eastAsia="fr-FR"/>
              </w:rPr>
              <w:t>Astro-Pharma GmbH</w:t>
            </w:r>
          </w:p>
          <w:p w14:paraId="3D368F1B" w14:textId="77777777" w:rsidR="00E41874" w:rsidRPr="0081094B" w:rsidRDefault="00E41874">
            <w:pPr>
              <w:tabs>
                <w:tab w:val="left" w:pos="-720"/>
              </w:tabs>
              <w:suppressAutoHyphens/>
              <w:rPr>
                <w:rFonts w:eastAsia="맑은 고딕"/>
                <w:lang w:eastAsia="fr-FR"/>
              </w:rPr>
            </w:pPr>
            <w:r w:rsidRPr="0081094B">
              <w:rPr>
                <w:rFonts w:eastAsia="맑은 고딕"/>
                <w:lang w:eastAsia="fr-FR"/>
              </w:rPr>
              <w:t>Tel: +43 1 97 99 860</w:t>
            </w:r>
          </w:p>
          <w:p w14:paraId="711CD1AD" w14:textId="77777777" w:rsidR="00E41874" w:rsidRPr="0081094B" w:rsidRDefault="00E41874">
            <w:pPr>
              <w:tabs>
                <w:tab w:val="left" w:pos="-720"/>
              </w:tabs>
              <w:suppressAutoHyphens/>
              <w:rPr>
                <w:lang w:eastAsia="fr-FR"/>
              </w:rPr>
            </w:pPr>
          </w:p>
        </w:tc>
      </w:tr>
      <w:tr w:rsidR="00A06126" w:rsidRPr="00F13073" w14:paraId="1572F613" w14:textId="77777777">
        <w:trPr>
          <w:cantSplit/>
        </w:trPr>
        <w:tc>
          <w:tcPr>
            <w:tcW w:w="2500" w:type="pct"/>
          </w:tcPr>
          <w:p w14:paraId="43B2BD74" w14:textId="77777777" w:rsidR="00E41874" w:rsidRPr="0081094B" w:rsidRDefault="00E41874">
            <w:pPr>
              <w:suppressAutoHyphens/>
              <w:rPr>
                <w:b/>
                <w:lang w:eastAsia="fr-FR"/>
              </w:rPr>
            </w:pPr>
            <w:r w:rsidRPr="0081094B">
              <w:rPr>
                <w:b/>
                <w:lang w:eastAsia="fr-FR"/>
              </w:rPr>
              <w:lastRenderedPageBreak/>
              <w:t>Ελλάδα</w:t>
            </w:r>
          </w:p>
          <w:p w14:paraId="3B1AE3EE" w14:textId="77777777" w:rsidR="00E41874" w:rsidRPr="0081094B" w:rsidRDefault="00E41874">
            <w:pPr>
              <w:suppressAutoHyphens/>
              <w:rPr>
                <w:lang w:eastAsia="fr-FR"/>
              </w:rPr>
            </w:pPr>
            <w:r w:rsidRPr="0081094B">
              <w:rPr>
                <w:lang w:eastAsia="fr-FR"/>
              </w:rPr>
              <w:t>ΒΙΑΝΕΞ Α.Ε.</w:t>
            </w:r>
          </w:p>
          <w:p w14:paraId="11A704AB" w14:textId="77777777" w:rsidR="00E41874" w:rsidRPr="0081094B" w:rsidRDefault="00E41874">
            <w:pPr>
              <w:suppressAutoHyphens/>
              <w:rPr>
                <w:lang w:eastAsia="fr-FR"/>
              </w:rPr>
            </w:pPr>
            <w:r w:rsidRPr="0081094B">
              <w:rPr>
                <w:lang w:eastAsia="fr-FR"/>
              </w:rPr>
              <w:t xml:space="preserve">Τηλ: +30 210 8009111 </w:t>
            </w:r>
          </w:p>
          <w:p w14:paraId="4F6ADA7A" w14:textId="77777777" w:rsidR="00E41874" w:rsidRPr="0081094B" w:rsidRDefault="00E41874">
            <w:pPr>
              <w:suppressAutoHyphens/>
              <w:rPr>
                <w:rFonts w:eastAsia="맑은 고딕"/>
                <w:lang w:eastAsia="fr-FR"/>
              </w:rPr>
            </w:pPr>
          </w:p>
        </w:tc>
        <w:tc>
          <w:tcPr>
            <w:tcW w:w="2500" w:type="pct"/>
          </w:tcPr>
          <w:p w14:paraId="514C69AA" w14:textId="77777777" w:rsidR="00E41874" w:rsidRPr="00127FBE" w:rsidRDefault="00E41874">
            <w:pPr>
              <w:suppressAutoHyphens/>
              <w:rPr>
                <w:rFonts w:eastAsia="맑은 고딕"/>
                <w:b/>
                <w:lang w:val="en-GB" w:eastAsia="fr-FR"/>
              </w:rPr>
            </w:pPr>
            <w:r w:rsidRPr="00127FBE">
              <w:rPr>
                <w:rFonts w:eastAsia="맑은 고딕"/>
                <w:b/>
                <w:lang w:val="en-GB" w:eastAsia="fr-FR"/>
              </w:rPr>
              <w:t>Polska</w:t>
            </w:r>
          </w:p>
          <w:p w14:paraId="7B7E7572"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3D6C9CB0" w14:textId="77777777" w:rsidR="00E41874" w:rsidRPr="00F13073" w:rsidRDefault="00E41874">
            <w:pPr>
              <w:suppressAutoHyphens/>
              <w:rPr>
                <w:rFonts w:eastAsia="맑은 고딕"/>
                <w:lang w:eastAsia="fr-FR"/>
              </w:rPr>
            </w:pPr>
            <w:r w:rsidRPr="00F13073">
              <w:rPr>
                <w:rFonts w:eastAsia="맑은 고딕"/>
                <w:lang w:eastAsia="fr-FR"/>
              </w:rPr>
              <w:t>Tel.: +36 1 231 0493</w:t>
            </w:r>
          </w:p>
          <w:p w14:paraId="0AC3D299" w14:textId="77777777" w:rsidR="00E41874" w:rsidRPr="00F13073" w:rsidRDefault="00E41874">
            <w:pPr>
              <w:suppressAutoHyphens/>
              <w:rPr>
                <w:b/>
              </w:rPr>
            </w:pPr>
          </w:p>
        </w:tc>
      </w:tr>
      <w:tr w:rsidR="00A06126" w:rsidRPr="00F13073" w14:paraId="28C9B32B" w14:textId="77777777">
        <w:trPr>
          <w:cantSplit/>
        </w:trPr>
        <w:tc>
          <w:tcPr>
            <w:tcW w:w="2500" w:type="pct"/>
          </w:tcPr>
          <w:p w14:paraId="7656FD1B" w14:textId="77777777" w:rsidR="00E41874" w:rsidRPr="00127FBE" w:rsidRDefault="00E41874">
            <w:pPr>
              <w:suppressAutoHyphens/>
              <w:rPr>
                <w:b/>
                <w:lang w:val="en-GB" w:eastAsia="ko-KR"/>
              </w:rPr>
            </w:pPr>
            <w:r w:rsidRPr="00127FBE">
              <w:rPr>
                <w:b/>
                <w:lang w:val="en-GB" w:eastAsia="ko-KR"/>
              </w:rPr>
              <w:t>France</w:t>
            </w:r>
          </w:p>
          <w:p w14:paraId="0238FC95" w14:textId="77777777" w:rsidR="00E41874" w:rsidRPr="00127FBE" w:rsidRDefault="00E41874">
            <w:pPr>
              <w:suppressAutoHyphens/>
              <w:rPr>
                <w:lang w:val="en-GB" w:eastAsia="ko-KR"/>
              </w:rPr>
            </w:pPr>
            <w:r w:rsidRPr="00127FBE">
              <w:rPr>
                <w:lang w:val="en-GB" w:eastAsia="ko-KR"/>
              </w:rPr>
              <w:t>Celltrion Healthcare France SAS</w:t>
            </w:r>
          </w:p>
          <w:p w14:paraId="5F3E98B3" w14:textId="77777777" w:rsidR="00E41874" w:rsidRPr="00127FBE" w:rsidRDefault="00E41874">
            <w:pPr>
              <w:suppressAutoHyphens/>
              <w:rPr>
                <w:rFonts w:eastAsia="맑은 고딕"/>
                <w:lang w:val="en-GB" w:eastAsia="ko-KR"/>
              </w:rPr>
            </w:pPr>
            <w:proofErr w:type="spellStart"/>
            <w:r w:rsidRPr="00127FBE">
              <w:rPr>
                <w:lang w:val="en-GB" w:eastAsia="ko-KR"/>
              </w:rPr>
              <w:t>T</w:t>
            </w:r>
            <w:r w:rsidRPr="00127FBE">
              <w:rPr>
                <w:lang w:val="en-GB"/>
              </w:rPr>
              <w:t>é</w:t>
            </w:r>
            <w:r w:rsidRPr="00127FBE">
              <w:rPr>
                <w:lang w:val="en-GB" w:eastAsia="ko-KR"/>
              </w:rPr>
              <w:t>l</w:t>
            </w:r>
            <w:proofErr w:type="spellEnd"/>
            <w:r w:rsidRPr="00127FBE">
              <w:rPr>
                <w:lang w:val="en-GB" w:eastAsia="ko-KR"/>
              </w:rPr>
              <w:t>.: +33 (0)1 71 25 27 00</w:t>
            </w:r>
          </w:p>
          <w:p w14:paraId="7F74EA2F" w14:textId="77777777" w:rsidR="00E41874" w:rsidRPr="00127FBE" w:rsidRDefault="00E41874">
            <w:pPr>
              <w:suppressAutoHyphens/>
              <w:rPr>
                <w:rFonts w:eastAsia="맑은 고딕"/>
                <w:lang w:val="en-GB" w:eastAsia="fr-FR"/>
              </w:rPr>
            </w:pPr>
          </w:p>
        </w:tc>
        <w:tc>
          <w:tcPr>
            <w:tcW w:w="2500" w:type="pct"/>
          </w:tcPr>
          <w:p w14:paraId="43491824" w14:textId="77777777" w:rsidR="00E41874" w:rsidRPr="00127FBE" w:rsidRDefault="00E41874">
            <w:pPr>
              <w:suppressAutoHyphens/>
              <w:autoSpaceDE w:val="0"/>
              <w:autoSpaceDN w:val="0"/>
              <w:adjustRightInd w:val="0"/>
              <w:rPr>
                <w:lang w:val="en-GB" w:eastAsia="fr-FR"/>
              </w:rPr>
            </w:pPr>
            <w:r w:rsidRPr="00127FBE">
              <w:rPr>
                <w:rFonts w:eastAsia="맑은 고딕"/>
                <w:b/>
                <w:lang w:val="en-GB" w:eastAsia="fr-FR"/>
              </w:rPr>
              <w:t>Portugal</w:t>
            </w:r>
          </w:p>
          <w:p w14:paraId="662FFBB6" w14:textId="77777777" w:rsidR="00E41874" w:rsidRPr="00127FBE" w:rsidRDefault="00E41874">
            <w:pPr>
              <w:suppressAutoHyphens/>
              <w:autoSpaceDE w:val="0"/>
              <w:autoSpaceDN w:val="0"/>
              <w:adjustRightInd w:val="0"/>
              <w:rPr>
                <w:rFonts w:eastAsia="맑은 고딕"/>
                <w:lang w:val="en-GB" w:eastAsia="ko-KR"/>
              </w:rPr>
            </w:pPr>
            <w:r w:rsidRPr="00127FBE">
              <w:rPr>
                <w:rFonts w:eastAsia="맑은 고딕"/>
                <w:lang w:val="en-GB" w:eastAsia="fr-FR"/>
              </w:rPr>
              <w:t>CELLTRION PORTUGAL, UNIPESSOAL LDA.</w:t>
            </w:r>
          </w:p>
          <w:p w14:paraId="59D85EC4" w14:textId="77777777" w:rsidR="00E41874" w:rsidRPr="00F13073" w:rsidRDefault="00E41874">
            <w:pPr>
              <w:suppressAutoHyphens/>
              <w:rPr>
                <w:b/>
              </w:rPr>
            </w:pPr>
            <w:r w:rsidRPr="00F13073">
              <w:t xml:space="preserve">Tel: </w:t>
            </w:r>
            <w:r w:rsidRPr="0081094B">
              <w:rPr>
                <w:rFonts w:eastAsia="맑은 고딕"/>
                <w:lang w:eastAsia="fr-FR"/>
              </w:rPr>
              <w:t>+351 21 936 8542</w:t>
            </w:r>
          </w:p>
          <w:p w14:paraId="5CB86363" w14:textId="77777777" w:rsidR="00E41874" w:rsidRPr="00F13073" w:rsidRDefault="00E41874">
            <w:pPr>
              <w:suppressAutoHyphens/>
              <w:rPr>
                <w:b/>
              </w:rPr>
            </w:pPr>
          </w:p>
        </w:tc>
      </w:tr>
      <w:tr w:rsidR="00A06126" w:rsidRPr="00F13073" w14:paraId="13A3E1B5" w14:textId="77777777">
        <w:trPr>
          <w:cantSplit/>
        </w:trPr>
        <w:tc>
          <w:tcPr>
            <w:tcW w:w="2500" w:type="pct"/>
          </w:tcPr>
          <w:p w14:paraId="5CEB492B" w14:textId="77777777" w:rsidR="00E41874" w:rsidRPr="0081094B" w:rsidRDefault="00E41874">
            <w:pPr>
              <w:suppressAutoHyphens/>
              <w:rPr>
                <w:b/>
                <w:lang w:eastAsia="ko-KR"/>
              </w:rPr>
            </w:pPr>
            <w:r w:rsidRPr="0081094B">
              <w:rPr>
                <w:b/>
                <w:lang w:eastAsia="ko-KR"/>
              </w:rPr>
              <w:t>Hrvatska</w:t>
            </w:r>
          </w:p>
          <w:p w14:paraId="4962DA93" w14:textId="77777777" w:rsidR="00E41874" w:rsidRPr="0081094B" w:rsidRDefault="00E41874">
            <w:pPr>
              <w:suppressAutoHyphens/>
              <w:rPr>
                <w:lang w:eastAsia="ko-KR"/>
              </w:rPr>
            </w:pPr>
            <w:r w:rsidRPr="0081094B">
              <w:rPr>
                <w:lang w:eastAsia="ko-KR"/>
              </w:rPr>
              <w:t>Oktal Pharma d.o.o.</w:t>
            </w:r>
          </w:p>
          <w:p w14:paraId="70681F14" w14:textId="77777777" w:rsidR="00E41874" w:rsidRPr="00F13073" w:rsidRDefault="00E41874">
            <w:pPr>
              <w:suppressAutoHyphens/>
              <w:rPr>
                <w:lang w:eastAsia="ko-KR"/>
              </w:rPr>
            </w:pPr>
            <w:r w:rsidRPr="00F13073">
              <w:rPr>
                <w:lang w:eastAsia="ko-KR"/>
              </w:rPr>
              <w:t>Tel: +385 1 6595 777</w:t>
            </w:r>
          </w:p>
          <w:p w14:paraId="657D2EC3" w14:textId="77777777" w:rsidR="00E41874" w:rsidRPr="00F13073" w:rsidRDefault="00E41874">
            <w:pPr>
              <w:suppressAutoHyphens/>
              <w:rPr>
                <w:rFonts w:eastAsia="맑은 고딕"/>
                <w:lang w:eastAsia="fr-FR"/>
              </w:rPr>
            </w:pPr>
          </w:p>
        </w:tc>
        <w:tc>
          <w:tcPr>
            <w:tcW w:w="2500" w:type="pct"/>
          </w:tcPr>
          <w:p w14:paraId="0E77C948" w14:textId="77777777" w:rsidR="00E41874" w:rsidRPr="00127FBE" w:rsidRDefault="00E41874">
            <w:pPr>
              <w:tabs>
                <w:tab w:val="left" w:pos="-720"/>
              </w:tabs>
              <w:suppressAutoHyphens/>
              <w:rPr>
                <w:rFonts w:eastAsia="맑은 고딕"/>
                <w:b/>
                <w:lang w:val="en-GB" w:eastAsia="fr-FR"/>
              </w:rPr>
            </w:pPr>
            <w:proofErr w:type="spellStart"/>
            <w:r w:rsidRPr="00127FBE">
              <w:rPr>
                <w:b/>
                <w:lang w:val="en-GB"/>
              </w:rPr>
              <w:t>România</w:t>
            </w:r>
            <w:proofErr w:type="spellEnd"/>
          </w:p>
          <w:p w14:paraId="24718BDA"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330EE29E" w14:textId="77777777" w:rsidR="00E41874" w:rsidRPr="00F13073" w:rsidRDefault="00E41874">
            <w:pPr>
              <w:suppressAutoHyphens/>
              <w:rPr>
                <w:rFonts w:eastAsia="맑은 고딕"/>
                <w:lang w:eastAsia="fr-FR"/>
              </w:rPr>
            </w:pPr>
            <w:r w:rsidRPr="00F13073">
              <w:rPr>
                <w:rFonts w:eastAsia="맑은 고딕"/>
                <w:lang w:eastAsia="fr-FR"/>
              </w:rPr>
              <w:t>Tel: +36 1 231 0493</w:t>
            </w:r>
          </w:p>
          <w:p w14:paraId="5D18989F" w14:textId="77777777" w:rsidR="00E41874" w:rsidRPr="00F13073" w:rsidRDefault="00E41874">
            <w:pPr>
              <w:suppressAutoHyphens/>
              <w:rPr>
                <w:b/>
              </w:rPr>
            </w:pPr>
          </w:p>
        </w:tc>
      </w:tr>
      <w:tr w:rsidR="00A06126" w:rsidRPr="00F13073" w14:paraId="27F15827" w14:textId="77777777">
        <w:trPr>
          <w:cantSplit/>
        </w:trPr>
        <w:tc>
          <w:tcPr>
            <w:tcW w:w="2500" w:type="pct"/>
          </w:tcPr>
          <w:p w14:paraId="11169D58" w14:textId="77777777" w:rsidR="00E41874" w:rsidRPr="00127FBE" w:rsidRDefault="00E41874">
            <w:pPr>
              <w:tabs>
                <w:tab w:val="left" w:pos="-720"/>
              </w:tabs>
              <w:suppressAutoHyphens/>
              <w:rPr>
                <w:lang w:val="en-GB" w:eastAsia="fr-FR"/>
              </w:rPr>
            </w:pPr>
            <w:r w:rsidRPr="00127FBE">
              <w:rPr>
                <w:rFonts w:eastAsia="맑은 고딕"/>
                <w:b/>
                <w:lang w:val="en-GB" w:eastAsia="fr-FR"/>
              </w:rPr>
              <w:t>Ireland</w:t>
            </w:r>
          </w:p>
          <w:p w14:paraId="2B9F027A" w14:textId="77777777" w:rsidR="00E41874" w:rsidRPr="00127FBE" w:rsidRDefault="00E41874">
            <w:pPr>
              <w:suppressAutoHyphens/>
              <w:rPr>
                <w:rFonts w:eastAsia="맑은 고딕"/>
                <w:lang w:val="en-GB" w:eastAsia="fr-FR"/>
              </w:rPr>
            </w:pPr>
            <w:r w:rsidRPr="00127FBE">
              <w:rPr>
                <w:rFonts w:eastAsia="맑은 고딕"/>
                <w:lang w:val="en-GB" w:eastAsia="fr-FR"/>
              </w:rPr>
              <w:t>Celltrion Healthcare Ireland Limited</w:t>
            </w:r>
          </w:p>
          <w:p w14:paraId="0E2EBD11" w14:textId="77777777" w:rsidR="00E41874" w:rsidRPr="00127FBE" w:rsidRDefault="00E41874">
            <w:pPr>
              <w:suppressAutoHyphens/>
              <w:rPr>
                <w:rFonts w:eastAsia="맑은 고딕"/>
                <w:lang w:val="en-GB" w:eastAsia="fr-FR"/>
              </w:rPr>
            </w:pPr>
            <w:r w:rsidRPr="00127FBE">
              <w:rPr>
                <w:rFonts w:eastAsia="맑은 고딕"/>
                <w:lang w:val="en-GB" w:eastAsia="fr-FR"/>
              </w:rPr>
              <w:t>Tel: +353 1 223 4026</w:t>
            </w:r>
          </w:p>
          <w:p w14:paraId="3217F83D" w14:textId="77777777" w:rsidR="00E41874" w:rsidRPr="00127FBE" w:rsidRDefault="00E41874">
            <w:pPr>
              <w:suppressAutoHyphens/>
              <w:rPr>
                <w:rFonts w:eastAsia="맑은 고딕"/>
                <w:lang w:val="en-GB" w:eastAsia="fr-FR"/>
              </w:rPr>
            </w:pPr>
          </w:p>
        </w:tc>
        <w:tc>
          <w:tcPr>
            <w:tcW w:w="2500" w:type="pct"/>
          </w:tcPr>
          <w:p w14:paraId="5C9B0570" w14:textId="77777777" w:rsidR="00E41874" w:rsidRPr="00127FBE" w:rsidRDefault="00E41874">
            <w:pPr>
              <w:suppressAutoHyphens/>
              <w:rPr>
                <w:rFonts w:eastAsia="맑은 고딕"/>
                <w:b/>
                <w:lang w:val="en-GB" w:eastAsia="fr-FR"/>
              </w:rPr>
            </w:pPr>
            <w:r w:rsidRPr="00127FBE">
              <w:rPr>
                <w:rFonts w:eastAsia="맑은 고딕"/>
                <w:b/>
                <w:lang w:val="en-GB" w:eastAsia="fr-FR"/>
              </w:rPr>
              <w:t>Slovenija</w:t>
            </w:r>
          </w:p>
          <w:p w14:paraId="422C8C41" w14:textId="77777777" w:rsidR="00E41874" w:rsidRPr="00127FBE" w:rsidRDefault="00E41874">
            <w:pPr>
              <w:suppressAutoHyphens/>
              <w:rPr>
                <w:rFonts w:eastAsia="맑은 고딕"/>
                <w:lang w:val="en-GB" w:eastAsia="fr-FR"/>
              </w:rPr>
            </w:pPr>
            <w:r w:rsidRPr="00127FBE">
              <w:rPr>
                <w:rFonts w:eastAsia="맑은 고딕"/>
                <w:lang w:val="en-GB" w:eastAsia="fr-FR"/>
              </w:rPr>
              <w:t xml:space="preserve">OPH </w:t>
            </w:r>
            <w:proofErr w:type="spellStart"/>
            <w:r w:rsidRPr="00127FBE">
              <w:rPr>
                <w:rFonts w:eastAsia="맑은 고딕"/>
                <w:lang w:val="en-GB" w:eastAsia="fr-FR"/>
              </w:rPr>
              <w:t>Oktal</w:t>
            </w:r>
            <w:proofErr w:type="spellEnd"/>
            <w:r w:rsidRPr="00127FBE">
              <w:rPr>
                <w:rFonts w:eastAsia="맑은 고딕"/>
                <w:lang w:val="en-GB" w:eastAsia="fr-FR"/>
              </w:rPr>
              <w:t xml:space="preserve"> Pharma d.o.o.</w:t>
            </w:r>
          </w:p>
          <w:p w14:paraId="420D690A" w14:textId="77777777" w:rsidR="00E41874" w:rsidRPr="00F13073" w:rsidRDefault="00E41874">
            <w:pPr>
              <w:suppressAutoHyphens/>
              <w:rPr>
                <w:rFonts w:eastAsia="맑은 고딕"/>
                <w:lang w:eastAsia="fr-FR"/>
              </w:rPr>
            </w:pPr>
            <w:r w:rsidRPr="00F13073">
              <w:rPr>
                <w:rFonts w:eastAsia="맑은 고딕"/>
                <w:lang w:eastAsia="fr-FR"/>
              </w:rPr>
              <w:t>Tel.: +386 1 519 29 22</w:t>
            </w:r>
          </w:p>
          <w:p w14:paraId="17836CCB" w14:textId="77777777" w:rsidR="00E41874" w:rsidRPr="00F13073" w:rsidRDefault="00E41874">
            <w:pPr>
              <w:suppressAutoHyphens/>
              <w:rPr>
                <w:b/>
              </w:rPr>
            </w:pPr>
          </w:p>
        </w:tc>
      </w:tr>
      <w:tr w:rsidR="00A06126" w:rsidRPr="00F13073" w14:paraId="28EB9028" w14:textId="77777777">
        <w:trPr>
          <w:cantSplit/>
        </w:trPr>
        <w:tc>
          <w:tcPr>
            <w:tcW w:w="2500" w:type="pct"/>
          </w:tcPr>
          <w:p w14:paraId="70CF90AE" w14:textId="77777777" w:rsidR="00E41874" w:rsidRPr="00127FBE" w:rsidRDefault="00E41874">
            <w:pPr>
              <w:suppressAutoHyphens/>
              <w:rPr>
                <w:rFonts w:eastAsia="맑은 고딕"/>
                <w:lang w:val="en-GB" w:eastAsia="fr-FR"/>
              </w:rPr>
            </w:pPr>
            <w:proofErr w:type="spellStart"/>
            <w:r w:rsidRPr="00127FBE">
              <w:rPr>
                <w:rFonts w:eastAsia="맑은 고딕"/>
                <w:b/>
                <w:lang w:val="en-GB" w:eastAsia="fr-FR"/>
              </w:rPr>
              <w:t>Ísland</w:t>
            </w:r>
            <w:proofErr w:type="spellEnd"/>
          </w:p>
          <w:p w14:paraId="65EE4C1C"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01EAB367" w14:textId="77777777" w:rsidR="00E41874" w:rsidRPr="00F13073" w:rsidRDefault="00E41874">
            <w:pPr>
              <w:suppressAutoHyphens/>
              <w:rPr>
                <w:rFonts w:eastAsia="맑은 고딕"/>
                <w:lang w:eastAsia="fr-FR"/>
              </w:rPr>
            </w:pPr>
            <w:r w:rsidRPr="00F13073">
              <w:rPr>
                <w:rFonts w:eastAsia="맑은 고딕"/>
                <w:lang w:eastAsia="fr-FR"/>
              </w:rPr>
              <w:t>Sími: +36 1 231 0493</w:t>
            </w:r>
          </w:p>
          <w:p w14:paraId="23F1391B" w14:textId="77777777" w:rsidR="00E41874" w:rsidRPr="00F13073" w:rsidRDefault="00E41874">
            <w:pPr>
              <w:suppressAutoHyphens/>
              <w:rPr>
                <w:rFonts w:eastAsia="맑은 고딕"/>
                <w:lang w:eastAsia="fr-FR"/>
              </w:rPr>
            </w:pPr>
          </w:p>
        </w:tc>
        <w:tc>
          <w:tcPr>
            <w:tcW w:w="2500" w:type="pct"/>
          </w:tcPr>
          <w:p w14:paraId="78288D9C" w14:textId="77777777" w:rsidR="00E41874" w:rsidRPr="00127FBE" w:rsidRDefault="00E41874">
            <w:pPr>
              <w:suppressAutoHyphens/>
              <w:rPr>
                <w:rFonts w:eastAsia="맑은 고딕"/>
                <w:b/>
                <w:lang w:val="en-GB" w:eastAsia="fr-FR"/>
              </w:rPr>
            </w:pPr>
            <w:proofErr w:type="spellStart"/>
            <w:r w:rsidRPr="00127FBE">
              <w:rPr>
                <w:b/>
                <w:lang w:val="en-GB"/>
              </w:rPr>
              <w:t>Slovenská</w:t>
            </w:r>
            <w:proofErr w:type="spellEnd"/>
            <w:r w:rsidRPr="00127FBE">
              <w:rPr>
                <w:b/>
                <w:lang w:val="en-GB"/>
              </w:rPr>
              <w:t xml:space="preserve"> </w:t>
            </w:r>
            <w:proofErr w:type="spellStart"/>
            <w:r w:rsidRPr="00127FBE">
              <w:rPr>
                <w:b/>
                <w:lang w:val="en-GB"/>
              </w:rPr>
              <w:t>republika</w:t>
            </w:r>
            <w:proofErr w:type="spellEnd"/>
          </w:p>
          <w:p w14:paraId="46CD917B"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5753069B" w14:textId="77777777" w:rsidR="00E41874" w:rsidRPr="00F13073" w:rsidRDefault="00E41874">
            <w:pPr>
              <w:suppressAutoHyphens/>
              <w:rPr>
                <w:rFonts w:eastAsia="맑은 고딕"/>
                <w:lang w:eastAsia="fr-FR"/>
              </w:rPr>
            </w:pPr>
            <w:r w:rsidRPr="00F13073">
              <w:rPr>
                <w:rFonts w:eastAsia="맑은 고딕"/>
                <w:lang w:eastAsia="fr-FR"/>
              </w:rPr>
              <w:t>Tel: +36 1 231 0493</w:t>
            </w:r>
          </w:p>
          <w:p w14:paraId="273149DE" w14:textId="77777777" w:rsidR="00E41874" w:rsidRPr="00F13073" w:rsidRDefault="00E41874">
            <w:pPr>
              <w:suppressAutoHyphens/>
              <w:rPr>
                <w:rFonts w:eastAsia="맑은 고딕"/>
                <w:b/>
                <w:lang w:eastAsia="fr-FR"/>
              </w:rPr>
            </w:pPr>
          </w:p>
        </w:tc>
      </w:tr>
      <w:tr w:rsidR="00A06126" w:rsidRPr="00F13073" w14:paraId="62EF0E35" w14:textId="77777777">
        <w:trPr>
          <w:cantSplit/>
        </w:trPr>
        <w:tc>
          <w:tcPr>
            <w:tcW w:w="2500" w:type="pct"/>
          </w:tcPr>
          <w:p w14:paraId="70062572" w14:textId="77777777" w:rsidR="00E41874" w:rsidRPr="00127FBE" w:rsidRDefault="00E41874">
            <w:pPr>
              <w:suppressAutoHyphens/>
              <w:rPr>
                <w:lang w:val="en-GB" w:eastAsia="fr-FR"/>
              </w:rPr>
            </w:pPr>
            <w:r w:rsidRPr="00127FBE">
              <w:rPr>
                <w:rFonts w:eastAsia="맑은 고딕"/>
                <w:b/>
                <w:lang w:val="en-GB" w:eastAsia="fr-FR"/>
              </w:rPr>
              <w:t>Italia</w:t>
            </w:r>
          </w:p>
          <w:p w14:paraId="36D77B3A" w14:textId="77777777" w:rsidR="00E41874" w:rsidRPr="00127FBE" w:rsidRDefault="00E41874">
            <w:pPr>
              <w:suppressAutoHyphens/>
              <w:rPr>
                <w:rFonts w:eastAsia="맑은 고딕"/>
                <w:lang w:val="en-GB" w:eastAsia="fr-FR"/>
              </w:rPr>
            </w:pPr>
            <w:r w:rsidRPr="00127FBE">
              <w:rPr>
                <w:rFonts w:eastAsia="맑은 고딕"/>
                <w:lang w:val="en-GB" w:eastAsia="fr-FR"/>
              </w:rPr>
              <w:t xml:space="preserve">Celltrion Healthcare Italy </w:t>
            </w:r>
            <w:proofErr w:type="spellStart"/>
            <w:r w:rsidRPr="00127FBE">
              <w:rPr>
                <w:rFonts w:eastAsia="맑은 고딕"/>
                <w:lang w:val="en-GB" w:eastAsia="fr-FR"/>
              </w:rPr>
              <w:t>S.r.l</w:t>
            </w:r>
            <w:proofErr w:type="spellEnd"/>
            <w:r w:rsidRPr="00127FBE">
              <w:rPr>
                <w:rFonts w:eastAsia="맑은 고딕"/>
                <w:lang w:val="en-GB" w:eastAsia="fr-FR"/>
              </w:rPr>
              <w:t>.</w:t>
            </w:r>
          </w:p>
          <w:p w14:paraId="039F40CF" w14:textId="77777777" w:rsidR="00E41874" w:rsidRPr="00F13073" w:rsidRDefault="00E41874">
            <w:pPr>
              <w:suppressAutoHyphens/>
              <w:rPr>
                <w:rFonts w:eastAsia="맑은 고딕"/>
                <w:lang w:eastAsia="fr-FR"/>
              </w:rPr>
            </w:pPr>
            <w:r w:rsidRPr="00F13073">
              <w:rPr>
                <w:rFonts w:eastAsia="맑은 고딕"/>
                <w:lang w:eastAsia="fr-FR"/>
              </w:rPr>
              <w:t>Tel: +39 02 47927040</w:t>
            </w:r>
          </w:p>
          <w:p w14:paraId="0F85E56C" w14:textId="77777777" w:rsidR="00E41874" w:rsidRPr="00F13073" w:rsidRDefault="00E41874">
            <w:pPr>
              <w:suppressAutoHyphens/>
              <w:rPr>
                <w:rFonts w:eastAsia="맑은 고딕"/>
                <w:lang w:eastAsia="fr-FR"/>
              </w:rPr>
            </w:pPr>
          </w:p>
        </w:tc>
        <w:tc>
          <w:tcPr>
            <w:tcW w:w="2500" w:type="pct"/>
          </w:tcPr>
          <w:p w14:paraId="1EBF17C2" w14:textId="77777777" w:rsidR="00E41874" w:rsidRPr="00127FBE" w:rsidRDefault="00E41874">
            <w:pPr>
              <w:suppressAutoHyphens/>
              <w:rPr>
                <w:lang w:val="en-GB" w:eastAsia="fr-FR"/>
              </w:rPr>
            </w:pPr>
            <w:r w:rsidRPr="00127FBE">
              <w:rPr>
                <w:rFonts w:eastAsia="맑은 고딕"/>
                <w:b/>
                <w:lang w:val="en-GB" w:eastAsia="fr-FR"/>
              </w:rPr>
              <w:t>Suomi/Finland</w:t>
            </w:r>
          </w:p>
          <w:p w14:paraId="23FF37CF"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 xml:space="preserve">Celltrion Healthcare Finland Oy. </w:t>
            </w:r>
          </w:p>
          <w:p w14:paraId="110CBADF" w14:textId="1CFECA35" w:rsidR="00E41874" w:rsidRDefault="00E41874">
            <w:pPr>
              <w:suppressAutoHyphens/>
              <w:autoSpaceDE w:val="0"/>
              <w:autoSpaceDN w:val="0"/>
              <w:adjustRightInd w:val="0"/>
              <w:rPr>
                <w:rFonts w:eastAsia="맑은 고딕"/>
                <w:lang w:eastAsia="fr-FR"/>
              </w:rPr>
            </w:pPr>
            <w:r w:rsidRPr="00F13073">
              <w:rPr>
                <w:rFonts w:eastAsia="맑은 고딕"/>
                <w:lang w:eastAsia="fr-FR"/>
              </w:rPr>
              <w:t>Tel: +358 29 170 7755</w:t>
            </w:r>
          </w:p>
          <w:p w14:paraId="4387E729" w14:textId="5B016578" w:rsidR="000F2F0E" w:rsidRPr="000F2F0E" w:rsidRDefault="000F2F0E">
            <w:pPr>
              <w:suppressAutoHyphens/>
              <w:autoSpaceDE w:val="0"/>
              <w:autoSpaceDN w:val="0"/>
              <w:adjustRightInd w:val="0"/>
              <w:rPr>
                <w:rFonts w:eastAsia="맑은 고딕"/>
                <w:lang w:eastAsia="fr-FR"/>
              </w:rPr>
            </w:pPr>
            <w:r w:rsidRPr="005F0664">
              <w:rPr>
                <w:rFonts w:eastAsia="맑은 고딕"/>
                <w:noProof/>
                <w:lang w:eastAsia="ko-KR"/>
              </w:rPr>
              <w:t>contact_fi@celltrionhc.com</w:t>
            </w:r>
          </w:p>
          <w:p w14:paraId="3069B91B" w14:textId="77777777" w:rsidR="00E41874" w:rsidRPr="0081094B" w:rsidRDefault="00E41874">
            <w:pPr>
              <w:suppressAutoHyphens/>
              <w:autoSpaceDE w:val="0"/>
              <w:autoSpaceDN w:val="0"/>
              <w:adjustRightInd w:val="0"/>
              <w:rPr>
                <w:rFonts w:eastAsia="맑은 고딕"/>
                <w:lang w:eastAsia="ko-KR"/>
              </w:rPr>
            </w:pPr>
          </w:p>
        </w:tc>
      </w:tr>
      <w:tr w:rsidR="00A06126" w:rsidRPr="00F13073" w14:paraId="4BD210A1" w14:textId="77777777">
        <w:trPr>
          <w:cantSplit/>
        </w:trPr>
        <w:tc>
          <w:tcPr>
            <w:tcW w:w="2500" w:type="pct"/>
          </w:tcPr>
          <w:p w14:paraId="0800F973" w14:textId="77777777" w:rsidR="00E41874" w:rsidRPr="0081094B" w:rsidRDefault="00E41874">
            <w:pPr>
              <w:tabs>
                <w:tab w:val="left" w:pos="-720"/>
              </w:tabs>
              <w:suppressAutoHyphens/>
              <w:rPr>
                <w:b/>
                <w:bCs/>
                <w:lang w:eastAsia="fr-FR"/>
              </w:rPr>
            </w:pPr>
            <w:r w:rsidRPr="00F13073">
              <w:rPr>
                <w:b/>
              </w:rPr>
              <w:t>Κύπρος</w:t>
            </w:r>
          </w:p>
          <w:p w14:paraId="286E5D5D" w14:textId="77777777" w:rsidR="00E41874" w:rsidRPr="0081094B" w:rsidRDefault="00E41874">
            <w:pPr>
              <w:tabs>
                <w:tab w:val="left" w:pos="-720"/>
              </w:tabs>
              <w:suppressAutoHyphens/>
              <w:rPr>
                <w:rFonts w:eastAsia="맑은 고딕"/>
                <w:lang w:eastAsia="ko-KR"/>
              </w:rPr>
            </w:pPr>
            <w:r w:rsidRPr="0081094B">
              <w:rPr>
                <w:rFonts w:eastAsia="맑은 고딕"/>
                <w:lang w:eastAsia="fr-FR"/>
              </w:rPr>
              <w:t>C.A. Papaellinas Ltd</w:t>
            </w:r>
          </w:p>
          <w:p w14:paraId="2D006F2F" w14:textId="77777777" w:rsidR="00E41874" w:rsidRPr="0081094B" w:rsidRDefault="00E41874">
            <w:pPr>
              <w:suppressAutoHyphens/>
              <w:autoSpaceDE w:val="0"/>
              <w:autoSpaceDN w:val="0"/>
              <w:adjustRightInd w:val="0"/>
              <w:rPr>
                <w:rFonts w:eastAsia="맑은 고딕"/>
                <w:b/>
                <w:bCs/>
                <w:lang w:eastAsia="fr-FR"/>
              </w:rPr>
            </w:pPr>
            <w:r w:rsidRPr="00F13073">
              <w:t>Τηλ</w:t>
            </w:r>
            <w:r w:rsidRPr="0081094B">
              <w:t xml:space="preserve">: </w:t>
            </w:r>
            <w:r w:rsidRPr="0081094B">
              <w:rPr>
                <w:rFonts w:eastAsia="맑은 고딕"/>
                <w:lang w:eastAsia="fr-FR"/>
              </w:rPr>
              <w:t>+357 22741741</w:t>
            </w:r>
          </w:p>
          <w:p w14:paraId="04B632F9" w14:textId="77777777" w:rsidR="00E41874" w:rsidRPr="0081094B" w:rsidRDefault="00E41874">
            <w:pPr>
              <w:suppressAutoHyphens/>
              <w:autoSpaceDE w:val="0"/>
              <w:autoSpaceDN w:val="0"/>
              <w:adjustRightInd w:val="0"/>
              <w:rPr>
                <w:rFonts w:eastAsia="맑은 고딕"/>
                <w:b/>
                <w:lang w:eastAsia="fr-FR"/>
              </w:rPr>
            </w:pPr>
          </w:p>
        </w:tc>
        <w:tc>
          <w:tcPr>
            <w:tcW w:w="2500" w:type="pct"/>
          </w:tcPr>
          <w:p w14:paraId="5CCE2637" w14:textId="77777777" w:rsidR="00E41874" w:rsidRPr="00127FBE" w:rsidRDefault="00E41874">
            <w:pPr>
              <w:tabs>
                <w:tab w:val="left" w:pos="-720"/>
              </w:tabs>
              <w:suppressAutoHyphens/>
              <w:rPr>
                <w:b/>
                <w:lang w:val="en-GB" w:eastAsia="fr-FR"/>
              </w:rPr>
            </w:pPr>
            <w:r w:rsidRPr="00127FBE">
              <w:rPr>
                <w:b/>
                <w:lang w:val="en-GB"/>
              </w:rPr>
              <w:t>Sverige</w:t>
            </w:r>
          </w:p>
          <w:p w14:paraId="483C094E" w14:textId="5793CDB5" w:rsidR="00915D3C" w:rsidRDefault="00915D3C" w:rsidP="00915D3C">
            <w:pPr>
              <w:tabs>
                <w:tab w:val="left" w:pos="-720"/>
              </w:tabs>
              <w:suppressAutoHyphens/>
              <w:rPr>
                <w:rFonts w:eastAsia="맑은 고딕"/>
                <w:lang w:val="en-GB" w:eastAsia="fr-FR"/>
              </w:rPr>
            </w:pPr>
            <w:r w:rsidRPr="00915D3C">
              <w:rPr>
                <w:rFonts w:eastAsia="맑은 고딕"/>
                <w:lang w:val="en-GB" w:eastAsia="fr-FR"/>
              </w:rPr>
              <w:t>Celltrion Sweden AB</w:t>
            </w:r>
          </w:p>
          <w:p w14:paraId="5C47883F" w14:textId="11620B17" w:rsidR="000F2F0E" w:rsidRPr="00915D3C" w:rsidRDefault="000F2F0E" w:rsidP="00915D3C">
            <w:pPr>
              <w:tabs>
                <w:tab w:val="left" w:pos="-720"/>
              </w:tabs>
              <w:suppressAutoHyphens/>
              <w:rPr>
                <w:rFonts w:eastAsia="맑은 고딕"/>
                <w:lang w:val="en-GB" w:eastAsia="fr-FR"/>
              </w:rPr>
            </w:pPr>
            <w:r>
              <w:rPr>
                <w:rFonts w:eastAsia="맑은 고딕" w:hint="eastAsia"/>
                <w:noProof/>
                <w:lang w:eastAsia="ko-KR"/>
              </w:rPr>
              <w:t>Tel: +46 8 80 11 77</w:t>
            </w:r>
          </w:p>
          <w:p w14:paraId="765F9488" w14:textId="75A00634" w:rsidR="00E41874" w:rsidRPr="00915D3C" w:rsidRDefault="000F2F0E">
            <w:pPr>
              <w:tabs>
                <w:tab w:val="left" w:pos="-720"/>
              </w:tabs>
              <w:suppressAutoHyphens/>
              <w:rPr>
                <w:rFonts w:eastAsia="맑은 고딕"/>
                <w:b/>
                <w:lang w:eastAsia="fr-FR"/>
              </w:rPr>
            </w:pPr>
            <w:r>
              <w:rPr>
                <w:rFonts w:eastAsia="맑은 고딕"/>
                <w:lang w:val="en-GB" w:eastAsia="fr-FR"/>
              </w:rPr>
              <w:t>C</w:t>
            </w:r>
            <w:r w:rsidR="00915D3C" w:rsidRPr="00915D3C">
              <w:rPr>
                <w:rFonts w:eastAsia="맑은 고딕"/>
                <w:lang w:val="en-GB" w:eastAsia="fr-FR"/>
              </w:rPr>
              <w:t>ontact_se@celltrionhc.com</w:t>
            </w:r>
          </w:p>
        </w:tc>
      </w:tr>
      <w:tr w:rsidR="00A06126" w:rsidRPr="00F13073" w14:paraId="591A0496" w14:textId="77777777">
        <w:trPr>
          <w:cantSplit/>
        </w:trPr>
        <w:tc>
          <w:tcPr>
            <w:tcW w:w="2500" w:type="pct"/>
          </w:tcPr>
          <w:p w14:paraId="54D4C7A1" w14:textId="77777777" w:rsidR="00E41874" w:rsidRPr="00127FBE" w:rsidRDefault="00E41874">
            <w:pPr>
              <w:suppressAutoHyphens/>
              <w:rPr>
                <w:rFonts w:eastAsia="맑은 고딕"/>
                <w:b/>
                <w:lang w:val="en-GB" w:eastAsia="fr-FR"/>
              </w:rPr>
            </w:pPr>
            <w:proofErr w:type="spellStart"/>
            <w:r w:rsidRPr="00127FBE">
              <w:rPr>
                <w:rFonts w:eastAsia="맑은 고딕"/>
                <w:b/>
                <w:lang w:val="en-GB" w:eastAsia="fr-FR"/>
              </w:rPr>
              <w:t>Latvija</w:t>
            </w:r>
            <w:proofErr w:type="spellEnd"/>
          </w:p>
          <w:p w14:paraId="01FB4ED9" w14:textId="77777777" w:rsidR="00E41874" w:rsidRPr="00127FBE" w:rsidRDefault="00E41874">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210C88C4" w14:textId="77777777" w:rsidR="00E41874" w:rsidRPr="00F13073" w:rsidRDefault="00E41874">
            <w:pPr>
              <w:suppressAutoHyphens/>
              <w:autoSpaceDE w:val="0"/>
              <w:autoSpaceDN w:val="0"/>
              <w:adjustRightInd w:val="0"/>
              <w:rPr>
                <w:rFonts w:eastAsia="맑은 고딕"/>
                <w:lang w:eastAsia="fr-FR"/>
              </w:rPr>
            </w:pPr>
            <w:r w:rsidRPr="00F13073">
              <w:rPr>
                <w:rFonts w:eastAsia="맑은 고딕"/>
                <w:lang w:eastAsia="fr-FR"/>
              </w:rPr>
              <w:t>Tālr.: +36 1 231 0493</w:t>
            </w:r>
          </w:p>
          <w:p w14:paraId="78E787F1" w14:textId="77777777" w:rsidR="00E41874" w:rsidRPr="00F13073" w:rsidRDefault="00E41874">
            <w:pPr>
              <w:suppressAutoHyphens/>
              <w:autoSpaceDE w:val="0"/>
              <w:autoSpaceDN w:val="0"/>
              <w:adjustRightInd w:val="0"/>
              <w:rPr>
                <w:rFonts w:eastAsia="맑은 고딕"/>
                <w:b/>
                <w:bCs/>
                <w:lang w:eastAsia="fr-FR"/>
              </w:rPr>
            </w:pPr>
          </w:p>
        </w:tc>
        <w:tc>
          <w:tcPr>
            <w:tcW w:w="2500" w:type="pct"/>
          </w:tcPr>
          <w:p w14:paraId="655716FE" w14:textId="77777777" w:rsidR="00E41874" w:rsidRPr="00F13073" w:rsidRDefault="00E41874">
            <w:pPr>
              <w:tabs>
                <w:tab w:val="left" w:pos="-720"/>
              </w:tabs>
              <w:suppressAutoHyphens/>
              <w:rPr>
                <w:rFonts w:eastAsia="맑은 고딕"/>
                <w:b/>
                <w:lang w:eastAsia="fr-FR"/>
              </w:rPr>
            </w:pPr>
          </w:p>
        </w:tc>
      </w:tr>
    </w:tbl>
    <w:p w14:paraId="1179FE24" w14:textId="77777777" w:rsidR="001E0975" w:rsidRPr="00F13073" w:rsidRDefault="001E0975" w:rsidP="008B4C50"/>
    <w:p w14:paraId="101771AA" w14:textId="77777777" w:rsidR="001414D2" w:rsidRPr="00F13073" w:rsidRDefault="001414D2" w:rsidP="008B4C50">
      <w:pPr>
        <w:pStyle w:val="a4"/>
        <w:widowControl/>
        <w:spacing w:after="0"/>
      </w:pPr>
      <w:r w:rsidRPr="00F13073">
        <w:rPr>
          <w:rStyle w:val="Char"/>
          <w:b/>
          <w:bCs/>
        </w:rPr>
        <w:t>Data ostatniej aktualizacji ulotki:</w:t>
      </w:r>
    </w:p>
    <w:p w14:paraId="6E703E47" w14:textId="77777777" w:rsidR="001414D2" w:rsidRPr="00F13073" w:rsidRDefault="001414D2" w:rsidP="008B4C50">
      <w:pPr>
        <w:pStyle w:val="a4"/>
        <w:widowControl/>
        <w:spacing w:after="0"/>
        <w:rPr>
          <w:rStyle w:val="Char"/>
          <w:b/>
          <w:bCs/>
        </w:rPr>
      </w:pPr>
    </w:p>
    <w:p w14:paraId="63121A7C" w14:textId="77777777" w:rsidR="001414D2" w:rsidRPr="00F13073" w:rsidRDefault="001414D2" w:rsidP="008B4C50">
      <w:pPr>
        <w:pStyle w:val="a4"/>
        <w:widowControl/>
        <w:spacing w:after="0"/>
      </w:pPr>
      <w:r w:rsidRPr="00F13073">
        <w:rPr>
          <w:rStyle w:val="Char"/>
          <w:b/>
          <w:bCs/>
        </w:rPr>
        <w:t>Inne źródła informacji</w:t>
      </w:r>
    </w:p>
    <w:p w14:paraId="488EE814" w14:textId="48D873A8" w:rsidR="001E0975" w:rsidRPr="00F13073" w:rsidRDefault="001414D2" w:rsidP="008B4C50">
      <w:r w:rsidRPr="00F13073">
        <w:rPr>
          <w:rStyle w:val="Char"/>
          <w:rFonts w:eastAsia="DengXian"/>
        </w:rPr>
        <w:t>Szczegółowe informacje o tym leku znajdują się na stronie internetowej Europejskiej Agencji Leków</w:t>
      </w:r>
      <w:r w:rsidR="00611033" w:rsidRPr="00F13073">
        <w:t xml:space="preserve"> </w:t>
      </w:r>
      <w:hyperlink r:id="rId19" w:history="1">
        <w:r w:rsidR="00915D3C" w:rsidRPr="00915D3C">
          <w:rPr>
            <w:rStyle w:val="a7"/>
          </w:rPr>
          <w:t>http</w:t>
        </w:r>
        <w:r w:rsidR="00915D3C" w:rsidRPr="00915D3C">
          <w:rPr>
            <w:rStyle w:val="a7"/>
            <w:rFonts w:eastAsia="맑은 고딕" w:hint="eastAsia"/>
            <w:lang w:eastAsia="ko-KR"/>
          </w:rPr>
          <w:t>s</w:t>
        </w:r>
        <w:r w:rsidR="00915D3C" w:rsidRPr="00915D3C">
          <w:rPr>
            <w:rStyle w:val="a7"/>
          </w:rPr>
          <w:t>://www.ema.europa.eu/</w:t>
        </w:r>
      </w:hyperlink>
      <w:r w:rsidR="008F13C3" w:rsidRPr="00F13073">
        <w:t>.</w:t>
      </w:r>
    </w:p>
    <w:p w14:paraId="2D6A29B9" w14:textId="77777777" w:rsidR="008F13C3" w:rsidRPr="00F13073" w:rsidRDefault="008F13C3" w:rsidP="008B4C50"/>
    <w:p w14:paraId="1C600B80" w14:textId="30585C4A" w:rsidR="00997186" w:rsidRPr="00F13073" w:rsidRDefault="008F13C3" w:rsidP="00684ABF">
      <w:pPr>
        <w:pStyle w:val="a4"/>
        <w:widowControl/>
        <w:spacing w:after="0"/>
        <w:rPr>
          <w:rStyle w:val="Char"/>
          <w:b/>
          <w:bCs/>
        </w:rPr>
      </w:pPr>
      <w:r w:rsidRPr="00F13073">
        <w:br w:type="page"/>
      </w:r>
      <w:r w:rsidR="00997186" w:rsidRPr="00F13073">
        <w:rPr>
          <w:rStyle w:val="Char"/>
          <w:b/>
          <w:bCs/>
        </w:rPr>
        <w:lastRenderedPageBreak/>
        <w:t>Poniższe informacje przeznaczone są wyłącznie dla fachowego personelu medycznego:</w:t>
      </w:r>
    </w:p>
    <w:p w14:paraId="2BA60072" w14:textId="77777777" w:rsidR="00997186" w:rsidRPr="00F13073" w:rsidRDefault="00997186" w:rsidP="008B4C50">
      <w:pPr>
        <w:pStyle w:val="a4"/>
        <w:widowControl/>
        <w:spacing w:after="0"/>
      </w:pPr>
    </w:p>
    <w:p w14:paraId="1A6BF22E" w14:textId="77777777" w:rsidR="00997186" w:rsidRPr="00F13073" w:rsidRDefault="00997186" w:rsidP="008B4C50">
      <w:pPr>
        <w:pStyle w:val="a4"/>
        <w:widowControl/>
        <w:spacing w:after="0"/>
      </w:pPr>
      <w:r w:rsidRPr="00F13073">
        <w:rPr>
          <w:rStyle w:val="Char"/>
          <w:b/>
          <w:bCs/>
        </w:rPr>
        <w:t>Zalecenia dotyczące rozcieńczenia przed podaniem</w:t>
      </w:r>
    </w:p>
    <w:p w14:paraId="3A367D3E" w14:textId="34F8920A" w:rsidR="00997186" w:rsidRPr="00F13073" w:rsidRDefault="00997186" w:rsidP="00127FBE">
      <w:pPr>
        <w:rPr>
          <w:rStyle w:val="Char"/>
          <w:rFonts w:eastAsia="DengXian"/>
        </w:rPr>
      </w:pPr>
      <w:r w:rsidRPr="00F13073">
        <w:rPr>
          <w:rStyle w:val="Char"/>
          <w:rFonts w:eastAsia="DengXian"/>
        </w:rPr>
        <w:t xml:space="preserve">Leki przeznaczone do podawania drogą pozajelitową (parenteralną) powinny przed podaniem zostać ocenione wzrokowo na obecność cząstek lub zmiany zabarwienia. Do rozcieńczenia nadaje się wyłącznie roztwór przezroczysty do </w:t>
      </w:r>
      <w:r w:rsidR="00181886">
        <w:rPr>
          <w:rStyle w:val="Char"/>
          <w:rFonts w:eastAsia="DengXian"/>
        </w:rPr>
        <w:t xml:space="preserve">lekko </w:t>
      </w:r>
      <w:r w:rsidRPr="00F13073">
        <w:rPr>
          <w:rStyle w:val="Char"/>
          <w:rFonts w:eastAsia="DengXian"/>
        </w:rPr>
        <w:t xml:space="preserve">opalizującego, o kolorze od bezbarwnego do bladożółtego i pozbawiony widocznych nierozpuszczonych cząstek. Do przygotowania leku </w:t>
      </w:r>
      <w:r w:rsidR="00026375" w:rsidRPr="00F13073">
        <w:rPr>
          <w:rStyle w:val="Char"/>
          <w:rFonts w:eastAsia="DengXian"/>
        </w:rPr>
        <w:t>Avtozma</w:t>
      </w:r>
      <w:r w:rsidRPr="00F13073">
        <w:rPr>
          <w:rStyle w:val="Char"/>
          <w:rFonts w:eastAsia="DengXian"/>
        </w:rPr>
        <w:t xml:space="preserve"> należy użyć sterylnej igły i strzykawki.</w:t>
      </w:r>
      <w:r w:rsidR="00181886">
        <w:rPr>
          <w:rStyle w:val="Char"/>
          <w:rFonts w:eastAsia="DengXian"/>
        </w:rPr>
        <w:t xml:space="preserve"> </w:t>
      </w:r>
      <w:r w:rsidR="00181886" w:rsidRPr="00F13073">
        <w:t>W przypadku worków infuzyjnych wykonanych z polichlorku winylu (PVC) należy stosować worki infuzyjne niezawierające ftalanu di-(2-etyloheksylu) (DEHP).</w:t>
      </w:r>
    </w:p>
    <w:p w14:paraId="576F85A5" w14:textId="77777777" w:rsidR="00997186" w:rsidRPr="00F13073" w:rsidRDefault="00997186" w:rsidP="008B4C50">
      <w:pPr>
        <w:pStyle w:val="a4"/>
        <w:widowControl/>
        <w:spacing w:after="0"/>
      </w:pPr>
    </w:p>
    <w:p w14:paraId="6C66E7C6" w14:textId="7A2B8E01" w:rsidR="00997186" w:rsidRPr="00F13073" w:rsidRDefault="00997186" w:rsidP="008B4C50">
      <w:pPr>
        <w:pStyle w:val="a4"/>
        <w:widowControl/>
        <w:spacing w:after="0"/>
      </w:pPr>
      <w:r w:rsidRPr="00F13073">
        <w:rPr>
          <w:rStyle w:val="Char"/>
          <w:b/>
          <w:bCs/>
        </w:rPr>
        <w:t>Dorośli chorzy na RZS, COVID-19 i CRS (</w:t>
      </w:r>
      <w:r w:rsidR="00684ABF" w:rsidRPr="00F13073">
        <w:rPr>
          <w:rStyle w:val="Char"/>
          <w:b/>
          <w:bCs/>
        </w:rPr>
        <w:t>≥</w:t>
      </w:r>
      <w:r w:rsidRPr="00F13073">
        <w:rPr>
          <w:rStyle w:val="Char"/>
          <w:b/>
          <w:bCs/>
        </w:rPr>
        <w:t xml:space="preserve"> 30 kg)</w:t>
      </w:r>
    </w:p>
    <w:p w14:paraId="42D69928" w14:textId="501C93EC" w:rsidR="00997186" w:rsidRPr="00F13073" w:rsidRDefault="00997186" w:rsidP="008B4C50">
      <w:pPr>
        <w:pStyle w:val="a4"/>
        <w:widowControl/>
        <w:spacing w:after="0"/>
        <w:rPr>
          <w:rStyle w:val="Char"/>
        </w:rPr>
      </w:pPr>
      <w:r w:rsidRPr="00F13073">
        <w:rPr>
          <w:rStyle w:val="Char"/>
        </w:rPr>
        <w:t xml:space="preserve">Z worka do infuzji pojemności 100 mL należy, z zachowaniem zasad aseptyki, usunąć ilość jałowego, apirogennego roztworu do wstrzykiwań chlorku sodu 9 mg/mL (0,9%) </w:t>
      </w:r>
      <w:r w:rsidR="00915D3C">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potrzebnej na dawkę dla pacjenta. Potrzebną ilość koncentratu </w:t>
      </w:r>
      <w:r w:rsidR="00026375" w:rsidRPr="00F13073">
        <w:rPr>
          <w:rStyle w:val="Char"/>
        </w:rPr>
        <w:t>Avtozma</w:t>
      </w:r>
      <w:r w:rsidRPr="00F13073">
        <w:rPr>
          <w:rStyle w:val="Char"/>
        </w:rPr>
        <w:t xml:space="preserve"> (0,4 mL/kg mc.) należy pobrać z fiolki i wstrzyknąć do tego worka do infuzji o pojemności 100 mL. Końcowa objętość powinna wynosić 100 mL. W celu wymieszania roztworu należy delikatnie obrócić worek do infuzji, unikając spienienia.</w:t>
      </w:r>
    </w:p>
    <w:p w14:paraId="3DBE61AF" w14:textId="77777777" w:rsidR="00997186" w:rsidRPr="00F13073" w:rsidRDefault="00997186" w:rsidP="008B4C50">
      <w:pPr>
        <w:pStyle w:val="a4"/>
        <w:widowControl/>
        <w:spacing w:after="0"/>
      </w:pPr>
    </w:p>
    <w:p w14:paraId="4BB63B5C" w14:textId="77777777" w:rsidR="00997186" w:rsidRPr="00F13073" w:rsidRDefault="00997186" w:rsidP="008B4C50">
      <w:pPr>
        <w:pStyle w:val="a4"/>
        <w:widowControl/>
        <w:spacing w:after="0"/>
      </w:pPr>
      <w:r w:rsidRPr="00F13073">
        <w:rPr>
          <w:rStyle w:val="Char"/>
          <w:b/>
          <w:bCs/>
        </w:rPr>
        <w:t>Stosowanie u dzieci i młodzieży</w:t>
      </w:r>
    </w:p>
    <w:p w14:paraId="29100886" w14:textId="77777777" w:rsidR="000354F3" w:rsidRPr="00F13073" w:rsidRDefault="000354F3" w:rsidP="008B4C50">
      <w:pPr>
        <w:pStyle w:val="a4"/>
        <w:widowControl/>
        <w:spacing w:after="0"/>
        <w:rPr>
          <w:rStyle w:val="Char"/>
          <w:b/>
          <w:bCs/>
        </w:rPr>
      </w:pPr>
    </w:p>
    <w:p w14:paraId="6723B6D2" w14:textId="77777777" w:rsidR="00997186" w:rsidRPr="00F13073" w:rsidRDefault="00997186" w:rsidP="008B4C50">
      <w:pPr>
        <w:pStyle w:val="a4"/>
        <w:widowControl/>
        <w:spacing w:after="0"/>
      </w:pPr>
      <w:r w:rsidRPr="00F13073">
        <w:rPr>
          <w:rStyle w:val="Char"/>
          <w:b/>
          <w:bCs/>
        </w:rPr>
        <w:t>Chorzy na uMIZS. wMIZS i CRS ≥ 30 kg</w:t>
      </w:r>
    </w:p>
    <w:p w14:paraId="602994B1" w14:textId="6138A0F5" w:rsidR="00997186" w:rsidRPr="00F13073" w:rsidRDefault="00997186" w:rsidP="008B4C50">
      <w:pPr>
        <w:pStyle w:val="a4"/>
        <w:widowControl/>
        <w:spacing w:after="0"/>
      </w:pPr>
      <w:r w:rsidRPr="00F13073">
        <w:rPr>
          <w:rStyle w:val="Char"/>
        </w:rPr>
        <w:t xml:space="preserve">Z worka do infuzji o pojemności 100 mL należy z zachowaniem zasad aseptyki usunąć ilość jałowego, apirogennego roztworu do wstrzykiwań chlorku sodu 9 mg/mL (0,9%) </w:t>
      </w:r>
      <w:r w:rsidR="008A46C5">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wymaganej do uzyskania dawki dla pacjenta. Potrzebną ilość koncentratu </w:t>
      </w:r>
      <w:r w:rsidR="00026375" w:rsidRPr="00F13073">
        <w:rPr>
          <w:rStyle w:val="Char"/>
        </w:rPr>
        <w:t>Avtozma</w:t>
      </w:r>
      <w:r w:rsidRPr="00F13073">
        <w:rPr>
          <w:rStyle w:val="Char"/>
        </w:rPr>
        <w:t xml:space="preserve"> (</w:t>
      </w:r>
      <w:r w:rsidRPr="00F13073">
        <w:rPr>
          <w:rStyle w:val="Char"/>
          <w:b/>
          <w:bCs/>
        </w:rPr>
        <w:t>0,4</w:t>
      </w:r>
      <w:r w:rsidR="00D624FD" w:rsidRPr="00F13073">
        <w:rPr>
          <w:rStyle w:val="Char"/>
          <w:b/>
          <w:bCs/>
        </w:rPr>
        <w:t> </w:t>
      </w:r>
      <w:r w:rsidRPr="00F13073">
        <w:rPr>
          <w:rStyle w:val="Char"/>
          <w:b/>
          <w:bCs/>
        </w:rPr>
        <w:t>mL/kg</w:t>
      </w:r>
      <w:r w:rsidRPr="00F13073">
        <w:rPr>
          <w:rStyle w:val="Char"/>
        </w:rPr>
        <w:t>) należy pobrać z fiolki i wstrzyknąć do tego worka do infuzji o pojemności 100 mL.</w:t>
      </w:r>
    </w:p>
    <w:p w14:paraId="363A348D" w14:textId="77777777" w:rsidR="00997186" w:rsidRPr="00F13073" w:rsidRDefault="00997186" w:rsidP="008B4C50">
      <w:pPr>
        <w:pStyle w:val="a4"/>
        <w:widowControl/>
        <w:spacing w:after="0"/>
        <w:rPr>
          <w:rStyle w:val="Char"/>
        </w:rPr>
      </w:pPr>
      <w:r w:rsidRPr="00F13073">
        <w:rPr>
          <w:rStyle w:val="Char"/>
        </w:rPr>
        <w:t>Końcowa objętość powinna wynosić 100 mL. W celu wymieszania roztworu należy delikatnie obrócić worek do infuzji, unikając spienienia.</w:t>
      </w:r>
    </w:p>
    <w:p w14:paraId="71FECE6D" w14:textId="77777777" w:rsidR="00997186" w:rsidRPr="00F13073" w:rsidRDefault="00997186" w:rsidP="008B4C50">
      <w:pPr>
        <w:pStyle w:val="a4"/>
        <w:widowControl/>
        <w:spacing w:after="0"/>
      </w:pPr>
    </w:p>
    <w:p w14:paraId="57421732" w14:textId="77777777" w:rsidR="00997186" w:rsidRPr="00F13073" w:rsidRDefault="00997186" w:rsidP="008B4C50">
      <w:pPr>
        <w:pStyle w:val="a4"/>
        <w:widowControl/>
        <w:spacing w:after="0"/>
      </w:pPr>
      <w:r w:rsidRPr="00F13073">
        <w:rPr>
          <w:rStyle w:val="Char"/>
          <w:b/>
          <w:bCs/>
        </w:rPr>
        <w:t>Chorzy na uMIZS i CRS &lt; 30 kg</w:t>
      </w:r>
    </w:p>
    <w:p w14:paraId="1D80ACB6" w14:textId="24CE47D1" w:rsidR="00997186" w:rsidRPr="00F13073" w:rsidRDefault="00997186" w:rsidP="008B4C50">
      <w:pPr>
        <w:pStyle w:val="a4"/>
        <w:widowControl/>
        <w:spacing w:after="0"/>
        <w:rPr>
          <w:rStyle w:val="Char"/>
        </w:rPr>
      </w:pPr>
      <w:r w:rsidRPr="00F13073">
        <w:rPr>
          <w:rStyle w:val="Char"/>
        </w:rPr>
        <w:t xml:space="preserve">Z worka do infuzji o pojemności 50 mL należy z zachowaniem zasad aseptyki usunąć ilość jałowego, apirogennego roztworu do wstrzykiwań chlorku sodu 9 mg/mL (0,9%) </w:t>
      </w:r>
      <w:r w:rsidR="006C135F">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wymaganej do uzyskania dawki dla pacjenta. Potrzebną ilość koncentratu </w:t>
      </w:r>
      <w:r w:rsidR="00026375" w:rsidRPr="00F13073">
        <w:rPr>
          <w:rStyle w:val="Char"/>
        </w:rPr>
        <w:t>Avtozma</w:t>
      </w:r>
      <w:r w:rsidRPr="00F13073">
        <w:rPr>
          <w:rStyle w:val="Char"/>
        </w:rPr>
        <w:t xml:space="preserve"> (</w:t>
      </w:r>
      <w:r w:rsidRPr="00F13073">
        <w:rPr>
          <w:rStyle w:val="Char"/>
          <w:b/>
          <w:bCs/>
        </w:rPr>
        <w:t>0,6</w:t>
      </w:r>
      <w:r w:rsidR="00D624FD" w:rsidRPr="00F13073">
        <w:rPr>
          <w:rStyle w:val="Char"/>
          <w:b/>
          <w:bCs/>
        </w:rPr>
        <w:t> </w:t>
      </w:r>
      <w:r w:rsidRPr="00F13073">
        <w:rPr>
          <w:rStyle w:val="Char"/>
          <w:b/>
          <w:bCs/>
        </w:rPr>
        <w:t>mL/kg</w:t>
      </w:r>
      <w:r w:rsidRPr="00F13073">
        <w:rPr>
          <w:rStyle w:val="Char"/>
        </w:rPr>
        <w:t>) należy pobrać z fiolki i wstrzyknąć do tego worka do infuzji o pojemności 50 mL. Końcowa objętość powinna wynosić 50 mL. W celu wymieszania roztworu należy delikatnie obrócić worek do infuzji, unikając spienienia.</w:t>
      </w:r>
    </w:p>
    <w:p w14:paraId="6C6E89E5" w14:textId="77777777" w:rsidR="00997186" w:rsidRPr="00F13073" w:rsidRDefault="00997186" w:rsidP="008B4C50">
      <w:pPr>
        <w:pStyle w:val="a4"/>
        <w:widowControl/>
        <w:spacing w:after="0"/>
      </w:pPr>
    </w:p>
    <w:p w14:paraId="67AD16D7" w14:textId="77777777" w:rsidR="00997186" w:rsidRPr="00F13073" w:rsidRDefault="00997186" w:rsidP="008B4C50">
      <w:pPr>
        <w:pStyle w:val="a4"/>
        <w:widowControl/>
        <w:spacing w:after="0"/>
      </w:pPr>
      <w:r w:rsidRPr="00F13073">
        <w:rPr>
          <w:rStyle w:val="Char"/>
          <w:b/>
          <w:bCs/>
        </w:rPr>
        <w:t>Chorzy na wMIZS &lt; 30 kg</w:t>
      </w:r>
    </w:p>
    <w:p w14:paraId="765231A9" w14:textId="5B5CBC25" w:rsidR="00997186" w:rsidRPr="00F13073" w:rsidRDefault="00997186" w:rsidP="008B4C50">
      <w:pPr>
        <w:pStyle w:val="a4"/>
        <w:widowControl/>
        <w:spacing w:after="0"/>
        <w:rPr>
          <w:rStyle w:val="Char"/>
        </w:rPr>
      </w:pPr>
      <w:r w:rsidRPr="00F13073">
        <w:rPr>
          <w:rStyle w:val="Char"/>
        </w:rPr>
        <w:t xml:space="preserve">Z worka do infuzji o pojemności 50 mL należy z zachowaniem zasad aseptyki usunąć ilość jałowego, apirogennego roztworu do wstrzykiwań chlorku sodu 9 mg/mL (0,9%) </w:t>
      </w:r>
      <w:r w:rsidR="006C135F">
        <w:rPr>
          <w:rStyle w:val="Char"/>
        </w:rPr>
        <w:t xml:space="preserve">lub 4,5 mg/ml (0,45%) </w:t>
      </w:r>
      <w:r w:rsidRPr="00F13073">
        <w:rPr>
          <w:rStyle w:val="Char"/>
        </w:rPr>
        <w:t xml:space="preserve">równą objętości koncentratu </w:t>
      </w:r>
      <w:r w:rsidR="00026375" w:rsidRPr="00F13073">
        <w:rPr>
          <w:rStyle w:val="Char"/>
        </w:rPr>
        <w:t>Avtozma</w:t>
      </w:r>
      <w:r w:rsidRPr="00F13073">
        <w:rPr>
          <w:rStyle w:val="Char"/>
        </w:rPr>
        <w:t xml:space="preserve"> wymaganej do uzyskania dawki dla pacjenta. Potrzebną ilość koncentratu </w:t>
      </w:r>
      <w:r w:rsidR="00026375" w:rsidRPr="00F13073">
        <w:rPr>
          <w:rStyle w:val="Char"/>
        </w:rPr>
        <w:t>Avtozma</w:t>
      </w:r>
      <w:r w:rsidRPr="00F13073">
        <w:rPr>
          <w:rStyle w:val="Char"/>
        </w:rPr>
        <w:t xml:space="preserve"> (</w:t>
      </w:r>
      <w:r w:rsidRPr="00F13073">
        <w:rPr>
          <w:rStyle w:val="Char"/>
          <w:b/>
          <w:bCs/>
        </w:rPr>
        <w:t>0,5</w:t>
      </w:r>
      <w:r w:rsidR="00D624FD" w:rsidRPr="00F13073">
        <w:rPr>
          <w:rStyle w:val="Char"/>
          <w:b/>
          <w:bCs/>
        </w:rPr>
        <w:t> </w:t>
      </w:r>
      <w:r w:rsidRPr="00F13073">
        <w:rPr>
          <w:rStyle w:val="Char"/>
          <w:b/>
          <w:bCs/>
        </w:rPr>
        <w:t>mL/kg</w:t>
      </w:r>
      <w:r w:rsidRPr="00F13073">
        <w:rPr>
          <w:rStyle w:val="Char"/>
        </w:rPr>
        <w:t>) należy pobrać z fiolki i wstrzyknąć do worka do infuzji o pojemności 50 mL. Końcowa objętość powinna wynosić 50 mL. W celu wymieszania roztworu należy delikatnie obrócić worek do infuzji, unikając spienienia.</w:t>
      </w:r>
    </w:p>
    <w:p w14:paraId="4A480E64" w14:textId="77777777" w:rsidR="00997186" w:rsidRPr="00F13073" w:rsidRDefault="00997186" w:rsidP="008B4C50">
      <w:pPr>
        <w:pStyle w:val="a4"/>
        <w:widowControl/>
        <w:spacing w:after="0"/>
      </w:pPr>
    </w:p>
    <w:p w14:paraId="495CDEAE" w14:textId="1EC3D4C6" w:rsidR="00997186" w:rsidRPr="00F13073" w:rsidRDefault="00997186" w:rsidP="008B4C50">
      <w:pPr>
        <w:pStyle w:val="a4"/>
        <w:widowControl/>
        <w:spacing w:after="0"/>
        <w:rPr>
          <w:rStyle w:val="Char"/>
        </w:rPr>
      </w:pPr>
      <w:r w:rsidRPr="00F13073">
        <w:rPr>
          <w:rStyle w:val="Char"/>
        </w:rPr>
        <w:t xml:space="preserve">Produkt </w:t>
      </w:r>
      <w:r w:rsidR="00026375" w:rsidRPr="00F13073">
        <w:rPr>
          <w:rStyle w:val="Char"/>
        </w:rPr>
        <w:t>Avtozma</w:t>
      </w:r>
      <w:r w:rsidRPr="00F13073">
        <w:rPr>
          <w:rStyle w:val="Char"/>
        </w:rPr>
        <w:t xml:space="preserve"> jest przeznaczony tylko do jednorazowego użytku.</w:t>
      </w:r>
    </w:p>
    <w:p w14:paraId="0AD79693" w14:textId="77777777" w:rsidR="00997186" w:rsidRPr="00F13073" w:rsidRDefault="00997186" w:rsidP="008B4C50">
      <w:pPr>
        <w:pStyle w:val="a4"/>
        <w:widowControl/>
        <w:spacing w:after="0"/>
      </w:pPr>
    </w:p>
    <w:p w14:paraId="0BB84552" w14:textId="77777777" w:rsidR="001E0975" w:rsidRPr="00F13073" w:rsidRDefault="00997186" w:rsidP="008B4C50">
      <w:r w:rsidRPr="00F13073">
        <w:rPr>
          <w:rStyle w:val="Char"/>
          <w:rFonts w:eastAsia="DengXian"/>
        </w:rPr>
        <w:t>Wszelkie resztki niewykorzystanego produktu lub jego odpady należy usunąć w sposób zgodny z lokalnymi przepisami</w:t>
      </w:r>
      <w:r w:rsidR="00611033" w:rsidRPr="00F13073">
        <w:t>.</w:t>
      </w:r>
    </w:p>
    <w:p w14:paraId="37480BF1" w14:textId="77777777" w:rsidR="00F91B5C" w:rsidRPr="00F13073" w:rsidRDefault="00F91B5C" w:rsidP="008B4C50"/>
    <w:p w14:paraId="0E2521A8" w14:textId="02363598" w:rsidR="00997186" w:rsidRPr="00F13073" w:rsidRDefault="00F91B5C" w:rsidP="00D775AA">
      <w:pPr>
        <w:pStyle w:val="a4"/>
        <w:widowControl/>
        <w:spacing w:after="0"/>
        <w:jc w:val="center"/>
        <w:rPr>
          <w:rStyle w:val="Char"/>
          <w:b/>
          <w:bCs/>
        </w:rPr>
      </w:pPr>
      <w:r w:rsidRPr="00F13073">
        <w:br w:type="page"/>
      </w:r>
      <w:r w:rsidR="00997186" w:rsidRPr="00F13073">
        <w:rPr>
          <w:rStyle w:val="Char"/>
          <w:b/>
          <w:bCs/>
        </w:rPr>
        <w:lastRenderedPageBreak/>
        <w:t>Ulotka dołączona do opakowania: Informacja dla użytkownika</w:t>
      </w:r>
    </w:p>
    <w:p w14:paraId="4188ECA5" w14:textId="77777777" w:rsidR="00DC5AA9" w:rsidRPr="00F13073" w:rsidRDefault="00DC5AA9" w:rsidP="008B4C50">
      <w:pPr>
        <w:pStyle w:val="a4"/>
        <w:widowControl/>
        <w:spacing w:after="0"/>
        <w:jc w:val="center"/>
      </w:pPr>
    </w:p>
    <w:p w14:paraId="3CEB3BC6" w14:textId="59C681FA" w:rsidR="00997186" w:rsidRPr="00F13073" w:rsidRDefault="00026375" w:rsidP="008B4C50">
      <w:pPr>
        <w:pStyle w:val="a4"/>
        <w:widowControl/>
        <w:spacing w:after="0"/>
        <w:jc w:val="center"/>
        <w:rPr>
          <w:rStyle w:val="Char"/>
        </w:rPr>
      </w:pPr>
      <w:r w:rsidRPr="00F13073">
        <w:rPr>
          <w:rStyle w:val="Char"/>
          <w:b/>
          <w:bCs/>
        </w:rPr>
        <w:t>Avtozma</w:t>
      </w:r>
      <w:r w:rsidR="00997186" w:rsidRPr="00F13073">
        <w:rPr>
          <w:rStyle w:val="Char"/>
          <w:b/>
          <w:bCs/>
        </w:rPr>
        <w:t xml:space="preserve"> 162 mg roztwór do wstrzykiwań w ampułko-strzykawce</w:t>
      </w:r>
      <w:r w:rsidR="00997186" w:rsidRPr="00F13073">
        <w:rPr>
          <w:rStyle w:val="Char"/>
          <w:b/>
          <w:bCs/>
        </w:rPr>
        <w:br/>
      </w:r>
      <w:r w:rsidR="00997186" w:rsidRPr="00F13073">
        <w:rPr>
          <w:rStyle w:val="Char"/>
        </w:rPr>
        <w:t>tocilizumab</w:t>
      </w:r>
    </w:p>
    <w:p w14:paraId="2760FFDC" w14:textId="77777777" w:rsidR="00DC5AA9" w:rsidRPr="00F13073" w:rsidRDefault="00DC5AA9" w:rsidP="008B4C50">
      <w:pPr>
        <w:pStyle w:val="a4"/>
        <w:widowControl/>
        <w:spacing w:after="0"/>
        <w:jc w:val="center"/>
      </w:pPr>
    </w:p>
    <w:p w14:paraId="3C2722DB" w14:textId="63DEEA07" w:rsidR="00323AB9" w:rsidRPr="00F13073" w:rsidRDefault="004929A7" w:rsidP="00323AB9">
      <w:pPr>
        <w:pStyle w:val="a4"/>
        <w:widowControl/>
        <w:spacing w:after="0"/>
      </w:pPr>
      <w:r>
        <w:rPr>
          <w:noProof/>
          <w:lang w:val="en-US" w:eastAsia="ko-KR"/>
        </w:rPr>
        <w:drawing>
          <wp:inline distT="0" distB="0" distL="0" distR="0" wp14:anchorId="0B6E2094" wp14:editId="52ECDCC9">
            <wp:extent cx="190500" cy="180975"/>
            <wp:effectExtent l="0" t="0" r="0" b="0"/>
            <wp:docPr id="6" name="그림 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323AB9" w:rsidRPr="00F13073">
        <w:t xml:space="preserve">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w:t>
      </w:r>
      <w:r w:rsidR="00FA3CE5" w:rsidRPr="00F13073">
        <w:t>—</w:t>
      </w:r>
      <w:r w:rsidR="00323AB9" w:rsidRPr="00F13073">
        <w:t xml:space="preserve"> patrz punkt 4.</w:t>
      </w:r>
    </w:p>
    <w:p w14:paraId="1D8B5A66" w14:textId="77777777" w:rsidR="00323AB9" w:rsidRPr="00F13073" w:rsidRDefault="00323AB9" w:rsidP="0081094B">
      <w:pPr>
        <w:pStyle w:val="a4"/>
        <w:widowControl/>
        <w:spacing w:after="0"/>
      </w:pPr>
    </w:p>
    <w:p w14:paraId="4F446819" w14:textId="77777777" w:rsidR="00997186" w:rsidRPr="00F13073" w:rsidRDefault="00997186" w:rsidP="008B4C50">
      <w:pPr>
        <w:pStyle w:val="a4"/>
        <w:widowControl/>
        <w:spacing w:after="0"/>
        <w:rPr>
          <w:rStyle w:val="Char"/>
          <w:b/>
          <w:bCs/>
        </w:rPr>
      </w:pPr>
      <w:r w:rsidRPr="00F13073">
        <w:rPr>
          <w:rStyle w:val="Char"/>
          <w:b/>
          <w:bCs/>
        </w:rPr>
        <w:t>Należy uważnie zapoznać się z treścią ulotki przed zastosowaniem leku, ponieważ zawiera ona informacje ważne dla pacjenta.</w:t>
      </w:r>
    </w:p>
    <w:p w14:paraId="0E5A645F" w14:textId="77777777" w:rsidR="00DC5AA9" w:rsidRPr="00F13073" w:rsidRDefault="00DC5AA9" w:rsidP="008B4C50">
      <w:pPr>
        <w:pStyle w:val="a4"/>
        <w:widowControl/>
        <w:spacing w:after="0"/>
      </w:pPr>
    </w:p>
    <w:p w14:paraId="3CC94975" w14:textId="77777777" w:rsidR="00997186" w:rsidRPr="00F13073" w:rsidRDefault="00997186" w:rsidP="008B4C50">
      <w:pPr>
        <w:pStyle w:val="a0"/>
        <w:numPr>
          <w:ilvl w:val="0"/>
          <w:numId w:val="14"/>
        </w:numPr>
        <w:ind w:left="567" w:hanging="567"/>
        <w:contextualSpacing w:val="0"/>
      </w:pPr>
      <w:r w:rsidRPr="00F13073">
        <w:t>Należy zachować tę ulotkę, aby w razie potrzeby móc ją ponownie przeczytać.</w:t>
      </w:r>
    </w:p>
    <w:p w14:paraId="1113E925" w14:textId="77777777" w:rsidR="00997186" w:rsidRPr="00F13073" w:rsidRDefault="00997186" w:rsidP="008B4C50">
      <w:pPr>
        <w:pStyle w:val="a0"/>
        <w:numPr>
          <w:ilvl w:val="0"/>
          <w:numId w:val="14"/>
        </w:numPr>
        <w:ind w:left="567" w:hanging="567"/>
        <w:contextualSpacing w:val="0"/>
      </w:pPr>
      <w:r w:rsidRPr="00F13073">
        <w:t>W razie jakichkolwiek wątpliwości należy zwrócić się do lekarza lub farmaceuty.</w:t>
      </w:r>
    </w:p>
    <w:p w14:paraId="43E3E989" w14:textId="77777777" w:rsidR="00997186" w:rsidRPr="00F13073" w:rsidRDefault="00997186" w:rsidP="008B4C50">
      <w:pPr>
        <w:pStyle w:val="a0"/>
        <w:numPr>
          <w:ilvl w:val="0"/>
          <w:numId w:val="14"/>
        </w:numPr>
        <w:ind w:left="567" w:hanging="567"/>
        <w:contextualSpacing w:val="0"/>
      </w:pPr>
      <w:r w:rsidRPr="00F13073">
        <w:t>Lek ten przepisano ściśle określonej osobie. Nie należy go przekazywać innym. Lek może zaszkodzić innej osobie, nawet jeśli objawy jej choroby są takie same.</w:t>
      </w:r>
    </w:p>
    <w:p w14:paraId="19831659" w14:textId="77777777" w:rsidR="00997186" w:rsidRPr="00F13073" w:rsidRDefault="00997186" w:rsidP="008B4C50">
      <w:pPr>
        <w:pStyle w:val="a0"/>
        <w:numPr>
          <w:ilvl w:val="0"/>
          <w:numId w:val="14"/>
        </w:numPr>
        <w:ind w:left="567" w:hanging="567"/>
        <w:contextualSpacing w:val="0"/>
      </w:pPr>
      <w:r w:rsidRPr="00F13073">
        <w:t>Jeśli u pacjenta wystąpią jakiekolwiek objawy niepożądane, w tym wszelkie objawy niepożądane niewymienione</w:t>
      </w:r>
      <w:r w:rsidRPr="00F13073">
        <w:rPr>
          <w:rStyle w:val="Char"/>
          <w:rFonts w:eastAsia="DengXian"/>
        </w:rPr>
        <w:t xml:space="preserve"> w tej ulotce, należy powiedzieć o tym lekarzowi, farmaceucie lub pielęgniarce. Patrz punkt 4.</w:t>
      </w:r>
    </w:p>
    <w:p w14:paraId="54FD052F" w14:textId="77777777" w:rsidR="00DC5AA9" w:rsidRPr="00F13073" w:rsidRDefault="00DC5AA9" w:rsidP="008B4C50">
      <w:pPr>
        <w:pStyle w:val="a4"/>
        <w:widowControl/>
        <w:spacing w:after="0"/>
        <w:rPr>
          <w:rStyle w:val="Char"/>
        </w:rPr>
      </w:pPr>
    </w:p>
    <w:p w14:paraId="09BCC667" w14:textId="2F7529B1" w:rsidR="00997186" w:rsidRPr="00F13073" w:rsidRDefault="00997186" w:rsidP="008B4C50">
      <w:pPr>
        <w:pStyle w:val="a4"/>
        <w:widowControl/>
        <w:spacing w:after="0"/>
        <w:rPr>
          <w:rStyle w:val="Char"/>
        </w:rPr>
      </w:pPr>
      <w:r w:rsidRPr="00F13073">
        <w:rPr>
          <w:rStyle w:val="Char"/>
        </w:rPr>
        <w:t xml:space="preserve">Oprócz tej ulotki pacjent otrzyma od lekarza </w:t>
      </w:r>
      <w:r w:rsidRPr="00F13073">
        <w:rPr>
          <w:rStyle w:val="Char"/>
          <w:b/>
          <w:bCs/>
        </w:rPr>
        <w:t>Kartę ostrzegawczą dla pacjenta</w:t>
      </w:r>
      <w:r w:rsidRPr="00F13073">
        <w:rPr>
          <w:rStyle w:val="Char"/>
        </w:rPr>
        <w:t xml:space="preserve">, która zawiera ważne informacje dotyczące bezpieczeństwa, o których chory powinien wiedzieć przed leczeniem i w trakcie leczenia lekiem </w:t>
      </w:r>
      <w:r w:rsidR="00026375" w:rsidRPr="00F13073">
        <w:rPr>
          <w:rStyle w:val="Char"/>
        </w:rPr>
        <w:t>Avtozma</w:t>
      </w:r>
      <w:r w:rsidRPr="00F13073">
        <w:rPr>
          <w:rStyle w:val="Char"/>
        </w:rPr>
        <w:t>.</w:t>
      </w:r>
    </w:p>
    <w:p w14:paraId="2A14073B" w14:textId="77777777" w:rsidR="00DC5AA9" w:rsidRPr="00F13073" w:rsidRDefault="00DC5AA9" w:rsidP="008B4C50">
      <w:pPr>
        <w:pStyle w:val="a4"/>
        <w:widowControl/>
        <w:spacing w:after="0"/>
      </w:pPr>
    </w:p>
    <w:p w14:paraId="5D66238B" w14:textId="77777777" w:rsidR="00997186" w:rsidRPr="00F13073" w:rsidRDefault="00997186" w:rsidP="008B4C50">
      <w:pPr>
        <w:pStyle w:val="a4"/>
        <w:widowControl/>
        <w:spacing w:after="0"/>
      </w:pPr>
      <w:r w:rsidRPr="00F13073">
        <w:rPr>
          <w:rStyle w:val="Char"/>
          <w:b/>
          <w:bCs/>
        </w:rPr>
        <w:t>Spis treści ulotki:</w:t>
      </w:r>
    </w:p>
    <w:p w14:paraId="326E85C8" w14:textId="3CCD24EC" w:rsidR="00997186" w:rsidRPr="00F13073" w:rsidRDefault="00997186" w:rsidP="0037058B">
      <w:pPr>
        <w:pStyle w:val="a0"/>
        <w:numPr>
          <w:ilvl w:val="0"/>
          <w:numId w:val="13"/>
        </w:numPr>
        <w:ind w:left="567" w:hanging="567"/>
        <w:contextualSpacing w:val="0"/>
      </w:pPr>
      <w:r w:rsidRPr="00F13073">
        <w:t xml:space="preserve">Co to jest lek </w:t>
      </w:r>
      <w:r w:rsidR="00026375" w:rsidRPr="00F13073">
        <w:t>Avtozma</w:t>
      </w:r>
      <w:r w:rsidRPr="00F13073">
        <w:t xml:space="preserve"> i w jakim celu się go stosuje</w:t>
      </w:r>
    </w:p>
    <w:p w14:paraId="550F0DEA" w14:textId="250E3F5D" w:rsidR="00997186" w:rsidRPr="00F13073" w:rsidRDefault="00997186" w:rsidP="0037058B">
      <w:pPr>
        <w:pStyle w:val="a0"/>
        <w:numPr>
          <w:ilvl w:val="0"/>
          <w:numId w:val="13"/>
        </w:numPr>
        <w:ind w:left="567" w:hanging="567"/>
        <w:contextualSpacing w:val="0"/>
        <w:rPr>
          <w:rStyle w:val="Char"/>
          <w:rFonts w:eastAsia="DengXian"/>
        </w:rPr>
      </w:pPr>
      <w:r w:rsidRPr="00F13073">
        <w:rPr>
          <w:rStyle w:val="Char"/>
          <w:rFonts w:eastAsia="DengXian"/>
        </w:rPr>
        <w:t xml:space="preserve">Informacje ważne przed zastosowaniem leku </w:t>
      </w:r>
      <w:r w:rsidR="00026375" w:rsidRPr="00F13073">
        <w:rPr>
          <w:rStyle w:val="Char"/>
          <w:rFonts w:eastAsia="DengXian"/>
        </w:rPr>
        <w:t>Avtozma</w:t>
      </w:r>
    </w:p>
    <w:p w14:paraId="3D95B60E" w14:textId="2EA18D28" w:rsidR="00997186" w:rsidRPr="00F13073" w:rsidRDefault="00997186" w:rsidP="0037058B">
      <w:pPr>
        <w:pStyle w:val="a0"/>
        <w:numPr>
          <w:ilvl w:val="0"/>
          <w:numId w:val="13"/>
        </w:numPr>
        <w:ind w:left="567" w:hanging="567"/>
        <w:contextualSpacing w:val="0"/>
      </w:pPr>
      <w:r w:rsidRPr="00F13073">
        <w:rPr>
          <w:rStyle w:val="Char"/>
          <w:rFonts w:eastAsia="DengXian"/>
        </w:rPr>
        <w:t xml:space="preserve">Jak stosować lek </w:t>
      </w:r>
      <w:r w:rsidR="00026375" w:rsidRPr="00F13073">
        <w:rPr>
          <w:rStyle w:val="Char"/>
          <w:rFonts w:eastAsia="DengXian"/>
        </w:rPr>
        <w:t>Avtozma</w:t>
      </w:r>
    </w:p>
    <w:p w14:paraId="33760E14" w14:textId="77777777" w:rsidR="00997186" w:rsidRPr="00F13073" w:rsidRDefault="00997186" w:rsidP="0081094B">
      <w:pPr>
        <w:pStyle w:val="a4"/>
        <w:widowControl/>
        <w:tabs>
          <w:tab w:val="left" w:pos="515"/>
        </w:tabs>
        <w:spacing w:after="0"/>
        <w:ind w:left="567" w:hanging="567"/>
      </w:pPr>
      <w:r w:rsidRPr="00F13073">
        <w:rPr>
          <w:rStyle w:val="Char"/>
        </w:rPr>
        <w:t>4.</w:t>
      </w:r>
      <w:r w:rsidRPr="00F13073">
        <w:rPr>
          <w:rStyle w:val="Char"/>
        </w:rPr>
        <w:tab/>
        <w:t>Możliwe działania niepożądane</w:t>
      </w:r>
    </w:p>
    <w:p w14:paraId="5306EAAF" w14:textId="06B0FE1E" w:rsidR="00997186" w:rsidRPr="00F13073" w:rsidRDefault="00997186" w:rsidP="0081094B">
      <w:pPr>
        <w:pStyle w:val="a4"/>
        <w:widowControl/>
        <w:tabs>
          <w:tab w:val="left" w:pos="515"/>
        </w:tabs>
        <w:spacing w:after="0"/>
        <w:ind w:left="567" w:hanging="567"/>
      </w:pPr>
      <w:r w:rsidRPr="00F13073">
        <w:rPr>
          <w:rStyle w:val="Char"/>
        </w:rPr>
        <w:t>5.</w:t>
      </w:r>
      <w:r w:rsidRPr="00F13073">
        <w:rPr>
          <w:rStyle w:val="Char"/>
        </w:rPr>
        <w:tab/>
        <w:t xml:space="preserve">Jak przechowywać lek </w:t>
      </w:r>
      <w:r w:rsidR="00026375" w:rsidRPr="00F13073">
        <w:rPr>
          <w:rStyle w:val="Char"/>
        </w:rPr>
        <w:t>Avtozma</w:t>
      </w:r>
    </w:p>
    <w:p w14:paraId="4B66181C" w14:textId="77777777" w:rsidR="00997186" w:rsidRDefault="00997186" w:rsidP="0081094B">
      <w:pPr>
        <w:pStyle w:val="a4"/>
        <w:widowControl/>
        <w:tabs>
          <w:tab w:val="left" w:pos="515"/>
        </w:tabs>
        <w:spacing w:after="0"/>
        <w:ind w:left="567" w:hanging="567"/>
        <w:rPr>
          <w:rStyle w:val="Char"/>
        </w:rPr>
      </w:pPr>
      <w:r w:rsidRPr="00F13073">
        <w:rPr>
          <w:rStyle w:val="Char"/>
        </w:rPr>
        <w:t>6.</w:t>
      </w:r>
      <w:r w:rsidRPr="00F13073">
        <w:rPr>
          <w:rStyle w:val="Char"/>
        </w:rPr>
        <w:tab/>
        <w:t>Zawartość opakowania i inne informacje</w:t>
      </w:r>
    </w:p>
    <w:p w14:paraId="3AFE8885" w14:textId="298039F5" w:rsidR="00636203" w:rsidRPr="00F13073" w:rsidRDefault="00636203" w:rsidP="0081094B">
      <w:pPr>
        <w:pStyle w:val="a4"/>
        <w:widowControl/>
        <w:tabs>
          <w:tab w:val="left" w:pos="515"/>
        </w:tabs>
        <w:spacing w:after="0"/>
        <w:ind w:left="567" w:hanging="567"/>
      </w:pPr>
      <w:r>
        <w:rPr>
          <w:rStyle w:val="Char"/>
        </w:rPr>
        <w:t>7.</w:t>
      </w:r>
      <w:r>
        <w:rPr>
          <w:rStyle w:val="Char"/>
        </w:rPr>
        <w:tab/>
        <w:t>Instrukcja użycia</w:t>
      </w:r>
    </w:p>
    <w:p w14:paraId="26B7D087" w14:textId="77777777" w:rsidR="00DC5AA9" w:rsidRPr="00F13073" w:rsidRDefault="00DC5AA9" w:rsidP="008B4C50">
      <w:pPr>
        <w:pStyle w:val="a4"/>
        <w:widowControl/>
        <w:spacing w:after="0"/>
        <w:rPr>
          <w:rStyle w:val="Char"/>
          <w:b/>
          <w:bCs/>
        </w:rPr>
      </w:pPr>
    </w:p>
    <w:p w14:paraId="74C78329" w14:textId="77777777" w:rsidR="00DC5AA9" w:rsidRPr="00F13073" w:rsidRDefault="00DC5AA9" w:rsidP="008B4C50">
      <w:pPr>
        <w:pStyle w:val="a4"/>
        <w:widowControl/>
        <w:spacing w:after="0"/>
        <w:rPr>
          <w:rStyle w:val="Char"/>
          <w:b/>
          <w:bCs/>
        </w:rPr>
      </w:pPr>
    </w:p>
    <w:p w14:paraId="24FFBDF9" w14:textId="4F117C6B" w:rsidR="00DC5AA9" w:rsidRPr="00F13073" w:rsidRDefault="00DC5AA9" w:rsidP="008B4C50">
      <w:pPr>
        <w:keepNext/>
        <w:ind w:left="567" w:hanging="567"/>
        <w:rPr>
          <w:b/>
          <w:bCs/>
        </w:rPr>
      </w:pPr>
      <w:r w:rsidRPr="00F13073">
        <w:rPr>
          <w:b/>
          <w:bCs/>
        </w:rPr>
        <w:t>1.</w:t>
      </w:r>
      <w:r w:rsidRPr="00F13073">
        <w:rPr>
          <w:b/>
          <w:bCs/>
        </w:rPr>
        <w:tab/>
      </w:r>
      <w:r w:rsidRPr="00F13073">
        <w:rPr>
          <w:rStyle w:val="Char"/>
          <w:rFonts w:eastAsia="DengXian"/>
          <w:b/>
          <w:bCs/>
        </w:rPr>
        <w:t xml:space="preserve">Co to jest lek </w:t>
      </w:r>
      <w:r w:rsidR="00026375" w:rsidRPr="00F13073">
        <w:rPr>
          <w:rStyle w:val="Char"/>
          <w:rFonts w:eastAsia="DengXian"/>
          <w:b/>
          <w:bCs/>
        </w:rPr>
        <w:t>Avtozma</w:t>
      </w:r>
      <w:r w:rsidRPr="00F13073">
        <w:rPr>
          <w:rStyle w:val="Char"/>
          <w:rFonts w:eastAsia="DengXian"/>
          <w:b/>
          <w:bCs/>
        </w:rPr>
        <w:t xml:space="preserve"> i w jakim celu się go stosuje</w:t>
      </w:r>
    </w:p>
    <w:p w14:paraId="0227B986" w14:textId="77777777" w:rsidR="00997186" w:rsidRPr="00F13073" w:rsidRDefault="00997186" w:rsidP="008B4C50">
      <w:pPr>
        <w:pStyle w:val="a4"/>
        <w:widowControl/>
        <w:spacing w:after="0"/>
      </w:pPr>
    </w:p>
    <w:p w14:paraId="490508C5" w14:textId="42E54658" w:rsidR="00997186" w:rsidRPr="00F13073" w:rsidRDefault="00997186"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zawiera substancję czynną o nazwie tocilizumab, która jest białkiem otrzymywanym ze specyficznych komórek odpornościowych (przeciwciało monoklonalne) blokującym działanie specyficznego białka (cytokiny) zwanego interleukiną-6. Interleukina-6 bierze udział w procesach zapalnych w organizmie, a jej zablokowanie może zmniejszać stan zapalny. Lek </w:t>
      </w:r>
      <w:r w:rsidR="00026375" w:rsidRPr="00F13073">
        <w:rPr>
          <w:rStyle w:val="Char"/>
        </w:rPr>
        <w:t>Avtozma</w:t>
      </w:r>
      <w:r w:rsidRPr="00F13073">
        <w:rPr>
          <w:rStyle w:val="Char"/>
        </w:rPr>
        <w:t xml:space="preserve"> jest stosowany w leczeniu:</w:t>
      </w:r>
    </w:p>
    <w:p w14:paraId="612E4529" w14:textId="77777777" w:rsidR="00DC5AA9" w:rsidRPr="00F13073" w:rsidRDefault="00DC5AA9" w:rsidP="008B4C50">
      <w:pPr>
        <w:pStyle w:val="a4"/>
        <w:widowControl/>
        <w:spacing w:after="0"/>
      </w:pPr>
    </w:p>
    <w:p w14:paraId="47200D56" w14:textId="77777777" w:rsidR="00997186" w:rsidRPr="00F13073" w:rsidRDefault="00997186" w:rsidP="008B4C50">
      <w:pPr>
        <w:pStyle w:val="a0"/>
        <w:numPr>
          <w:ilvl w:val="0"/>
          <w:numId w:val="14"/>
        </w:numPr>
        <w:ind w:left="567" w:hanging="567"/>
        <w:contextualSpacing w:val="0"/>
      </w:pPr>
      <w:r w:rsidRPr="00F13073">
        <w:rPr>
          <w:rStyle w:val="Char"/>
          <w:rFonts w:eastAsia="DengXian"/>
          <w:b/>
          <w:bCs/>
        </w:rPr>
        <w:t>dorosłych z czynnym reumatoidalnym zapaleniem stawów (RZS)</w:t>
      </w:r>
      <w:r w:rsidRPr="00F13073">
        <w:rPr>
          <w:rStyle w:val="Char"/>
          <w:rFonts w:eastAsia="DengXian"/>
        </w:rPr>
        <w:t xml:space="preserve">, chorobą autoimmunologiczną, </w:t>
      </w:r>
      <w:r w:rsidRPr="00F13073">
        <w:rPr>
          <w:rStyle w:val="Char"/>
          <w:rFonts w:eastAsia="DengXian"/>
          <w:b/>
          <w:bCs/>
        </w:rPr>
        <w:t>o nasileniu umiarkowanym do ciężkiego</w:t>
      </w:r>
      <w:r w:rsidRPr="00F13073">
        <w:rPr>
          <w:rStyle w:val="Char"/>
          <w:rFonts w:eastAsia="DengXian"/>
        </w:rPr>
        <w:t>, u których wcześniejsze leczenie nie powiodło się.</w:t>
      </w:r>
    </w:p>
    <w:p w14:paraId="33AC751C" w14:textId="77777777" w:rsidR="004E577E" w:rsidRPr="00F13073" w:rsidRDefault="004E577E" w:rsidP="008B4C50">
      <w:pPr>
        <w:pStyle w:val="a4"/>
        <w:widowControl/>
        <w:spacing w:after="0"/>
        <w:rPr>
          <w:rStyle w:val="Char"/>
          <w:sz w:val="24"/>
          <w:szCs w:val="24"/>
        </w:rPr>
      </w:pPr>
    </w:p>
    <w:p w14:paraId="7A1576FB" w14:textId="77777777" w:rsidR="00997186" w:rsidRPr="00F13073" w:rsidRDefault="00997186" w:rsidP="008B4C50">
      <w:pPr>
        <w:pStyle w:val="a0"/>
        <w:numPr>
          <w:ilvl w:val="0"/>
          <w:numId w:val="14"/>
        </w:numPr>
        <w:ind w:left="567" w:hanging="567"/>
        <w:contextualSpacing w:val="0"/>
      </w:pPr>
      <w:r w:rsidRPr="00F13073">
        <w:rPr>
          <w:rStyle w:val="Char"/>
          <w:rFonts w:eastAsia="DengXian"/>
          <w:b/>
          <w:bCs/>
        </w:rPr>
        <w:t xml:space="preserve">dorosłych z czynnym, postępującym reumatoidalnym zapaleniem stawów (RZS) o nasileniu ciężkim, </w:t>
      </w:r>
      <w:r w:rsidRPr="00F13073">
        <w:rPr>
          <w:rStyle w:val="Char"/>
          <w:rFonts w:eastAsia="DengXian"/>
        </w:rPr>
        <w:t>którzy wcześniej nie byli leczeni metotreksatem.</w:t>
      </w:r>
    </w:p>
    <w:p w14:paraId="248263C9" w14:textId="77777777" w:rsidR="000354F3" w:rsidRPr="00F13073" w:rsidRDefault="000354F3" w:rsidP="008B4C50">
      <w:pPr>
        <w:pStyle w:val="a4"/>
        <w:widowControl/>
        <w:spacing w:after="0"/>
        <w:rPr>
          <w:rStyle w:val="Char"/>
        </w:rPr>
      </w:pPr>
    </w:p>
    <w:p w14:paraId="393ADF60" w14:textId="56F682DE" w:rsidR="00997186" w:rsidRPr="00F13073" w:rsidRDefault="00997186" w:rsidP="000354F3">
      <w:pPr>
        <w:pStyle w:val="a4"/>
        <w:widowControl/>
        <w:spacing w:after="0"/>
        <w:ind w:left="567"/>
        <w:rPr>
          <w:rStyle w:val="Char"/>
        </w:rPr>
      </w:pPr>
      <w:r w:rsidRPr="00F13073">
        <w:rPr>
          <w:rStyle w:val="Char"/>
        </w:rPr>
        <w:t xml:space="preserve">Lek </w:t>
      </w:r>
      <w:r w:rsidR="00026375" w:rsidRPr="00F13073">
        <w:rPr>
          <w:rStyle w:val="Char"/>
        </w:rPr>
        <w:t>Avtozma</w:t>
      </w:r>
      <w:r w:rsidRPr="00F13073">
        <w:rPr>
          <w:rStyle w:val="Char"/>
        </w:rPr>
        <w:t xml:space="preserve"> pomaga złagodzić objawy RZS, takie jak ból i obrzęk stawów, oraz może również poprawić sprawność pacjenta w radzeniu sobie z codziennymi czynnościami. Wykazano, że lek </w:t>
      </w:r>
      <w:r w:rsidR="00026375" w:rsidRPr="00F13073">
        <w:rPr>
          <w:rStyle w:val="Char"/>
        </w:rPr>
        <w:t>Avtozma</w:t>
      </w:r>
      <w:r w:rsidRPr="00F13073">
        <w:rPr>
          <w:rStyle w:val="Char"/>
        </w:rPr>
        <w:t xml:space="preserve"> spowalnia postęp uszkodzenia chrząstki i kości stawów spowodowany przez chorobę oraz powoduje poprawę zdolności pacjenta do wykonywania codziennych aktywności.</w:t>
      </w:r>
    </w:p>
    <w:p w14:paraId="2298390C" w14:textId="77777777" w:rsidR="004E577E" w:rsidRPr="00F13073" w:rsidRDefault="004E577E" w:rsidP="000354F3">
      <w:pPr>
        <w:pStyle w:val="a4"/>
        <w:widowControl/>
        <w:spacing w:after="0"/>
        <w:ind w:left="567"/>
      </w:pPr>
    </w:p>
    <w:p w14:paraId="44D14CAA" w14:textId="19E861E8" w:rsidR="00997186" w:rsidRPr="00F13073" w:rsidRDefault="00997186" w:rsidP="000354F3">
      <w:pPr>
        <w:pStyle w:val="a4"/>
        <w:widowControl/>
        <w:spacing w:after="0"/>
        <w:ind w:left="567"/>
        <w:rPr>
          <w:rStyle w:val="Char"/>
        </w:rPr>
      </w:pPr>
      <w:r w:rsidRPr="00F13073">
        <w:rPr>
          <w:rStyle w:val="Char"/>
        </w:rPr>
        <w:lastRenderedPageBreak/>
        <w:t xml:space="preserve">Lek </w:t>
      </w:r>
      <w:r w:rsidR="00026375" w:rsidRPr="00F13073">
        <w:rPr>
          <w:rStyle w:val="Char"/>
        </w:rPr>
        <w:t>Avtozma</w:t>
      </w:r>
      <w:r w:rsidRPr="00F13073">
        <w:rPr>
          <w:rStyle w:val="Char"/>
        </w:rPr>
        <w:t xml:space="preserve"> podaje się zwykle w skojarzeniu z innym lekiem stosowanym w RZS zwanym metotreksatem. Jeżeli lekarz stwierdzi, że leczenie metotreksatem nie jest wskazane, lek </w:t>
      </w:r>
      <w:r w:rsidR="00026375" w:rsidRPr="00F13073">
        <w:rPr>
          <w:rStyle w:val="Char"/>
        </w:rPr>
        <w:t>Avtozma</w:t>
      </w:r>
      <w:r w:rsidRPr="00F13073">
        <w:rPr>
          <w:rStyle w:val="Char"/>
        </w:rPr>
        <w:t xml:space="preserve"> może być podawany w monoterapii.</w:t>
      </w:r>
    </w:p>
    <w:p w14:paraId="2C76DE4A" w14:textId="77777777" w:rsidR="004E577E" w:rsidRPr="00F13073" w:rsidRDefault="004E577E" w:rsidP="008B4C50">
      <w:pPr>
        <w:pStyle w:val="a4"/>
        <w:widowControl/>
        <w:spacing w:after="0"/>
      </w:pPr>
    </w:p>
    <w:p w14:paraId="673A9020" w14:textId="77777777" w:rsidR="004E577E" w:rsidRPr="00F13073" w:rsidRDefault="00997186" w:rsidP="008B4C50">
      <w:pPr>
        <w:pStyle w:val="a0"/>
        <w:numPr>
          <w:ilvl w:val="0"/>
          <w:numId w:val="14"/>
        </w:numPr>
        <w:ind w:left="567" w:hanging="567"/>
        <w:contextualSpacing w:val="0"/>
        <w:rPr>
          <w:rStyle w:val="Char"/>
          <w:rFonts w:eastAsia="DengXian"/>
        </w:rPr>
      </w:pPr>
      <w:r w:rsidRPr="00F13073">
        <w:rPr>
          <w:rStyle w:val="Char"/>
          <w:rFonts w:eastAsia="DengXian"/>
          <w:b/>
          <w:bCs/>
        </w:rPr>
        <w:t xml:space="preserve">dorosłych z chorobą tętnic zwaną olbrzymiokomórkowym zapaleniem tętnic (GCA) </w:t>
      </w:r>
      <w:r w:rsidRPr="00F13073">
        <w:rPr>
          <w:rStyle w:val="Char"/>
          <w:rFonts w:eastAsia="DengXian"/>
        </w:rPr>
        <w:t>spowodowaną zapaleniem największych tętnic w organizmie, zwłaszcza tych dostarczających krew do głowy i szyi. Objawy obejmują ból głowy, uczucie zmęczenia i ból szczęki. Skutkiem GCA mogą być udary i ślepota</w:t>
      </w:r>
    </w:p>
    <w:p w14:paraId="4CB81442" w14:textId="77777777" w:rsidR="00306421" w:rsidRPr="00F13073" w:rsidRDefault="00306421" w:rsidP="006C369E">
      <w:pPr>
        <w:ind w:left="567" w:hanging="567"/>
        <w:rPr>
          <w:b/>
          <w:bCs/>
        </w:rPr>
      </w:pPr>
    </w:p>
    <w:p w14:paraId="4CEE12C0" w14:textId="0300D248" w:rsidR="004E577E" w:rsidRPr="00F13073" w:rsidRDefault="004E577E" w:rsidP="006238FF">
      <w:pPr>
        <w:pStyle w:val="Headerorfooter0"/>
        <w:widowControl/>
        <w:ind w:left="567"/>
        <w:rPr>
          <w:sz w:val="22"/>
          <w:szCs w:val="22"/>
        </w:rPr>
      </w:pPr>
      <w:r w:rsidRPr="00F13073">
        <w:rPr>
          <w:rStyle w:val="Headerorfooter"/>
          <w:rFonts w:ascii="Times New Roman" w:eastAsia="Times New Roman" w:hAnsi="Times New Roman" w:cs="Times New Roman"/>
          <w:sz w:val="22"/>
          <w:szCs w:val="22"/>
        </w:rPr>
        <w:t xml:space="preserve">Lek </w:t>
      </w:r>
      <w:r w:rsidR="00026375" w:rsidRPr="00F13073">
        <w:rPr>
          <w:rStyle w:val="Headerorfooter"/>
          <w:rFonts w:ascii="Times New Roman" w:eastAsia="Times New Roman" w:hAnsi="Times New Roman" w:cs="Times New Roman"/>
          <w:sz w:val="22"/>
          <w:szCs w:val="22"/>
        </w:rPr>
        <w:t>Avtozma</w:t>
      </w:r>
      <w:r w:rsidRPr="00F13073">
        <w:rPr>
          <w:rStyle w:val="Headerorfooter"/>
          <w:rFonts w:ascii="Times New Roman" w:eastAsia="Times New Roman" w:hAnsi="Times New Roman" w:cs="Times New Roman"/>
          <w:sz w:val="22"/>
          <w:szCs w:val="22"/>
        </w:rPr>
        <w:t xml:space="preserve"> może redukować ból i opuchnięcie w tętnicach i żyłach głowy, szyi i ramion.</w:t>
      </w:r>
    </w:p>
    <w:p w14:paraId="6452235E" w14:textId="77777777" w:rsidR="001E0975" w:rsidRPr="00F13073" w:rsidRDefault="001E0975" w:rsidP="006238FF">
      <w:pPr>
        <w:keepNext/>
        <w:ind w:left="567"/>
      </w:pPr>
    </w:p>
    <w:p w14:paraId="3E23C243" w14:textId="518FD531" w:rsidR="004E577E" w:rsidRPr="00F13073" w:rsidRDefault="004E577E" w:rsidP="006238FF">
      <w:pPr>
        <w:pStyle w:val="a4"/>
        <w:widowControl/>
        <w:spacing w:after="0"/>
        <w:ind w:left="567"/>
      </w:pPr>
      <w:r w:rsidRPr="00F13073">
        <w:rPr>
          <w:rStyle w:val="Char"/>
        </w:rPr>
        <w:t xml:space="preserve">W terapii GCA są często stosowane leki zwane steroidami. Są one zazwyczaj skuteczne, ale mogą powodować działania niepożądane, jeśli są stosowane w dużych dawkach przez długi czas. Zmniejszenie dawki steroidów może jednak prowadzić do zaostrzenia GCA. Dołączenie leku </w:t>
      </w:r>
      <w:r w:rsidR="00026375" w:rsidRPr="00F13073">
        <w:rPr>
          <w:rStyle w:val="Char"/>
        </w:rPr>
        <w:t>Avtozma</w:t>
      </w:r>
      <w:r w:rsidRPr="00F13073">
        <w:rPr>
          <w:rStyle w:val="Char"/>
        </w:rPr>
        <w:t xml:space="preserve"> do terapii oznacza, że steroidy będą mogły być stosowane krócej, przy zachowaniu kontroli nad GCA.</w:t>
      </w:r>
    </w:p>
    <w:p w14:paraId="7CE05A81" w14:textId="77777777" w:rsidR="00306421" w:rsidRPr="00F13073" w:rsidRDefault="00306421" w:rsidP="006238FF">
      <w:pPr>
        <w:keepNext/>
        <w:ind w:left="567"/>
      </w:pPr>
    </w:p>
    <w:p w14:paraId="45FD02B8" w14:textId="77777777" w:rsidR="001E0975" w:rsidRPr="00F13073" w:rsidRDefault="004E577E" w:rsidP="008B4C50">
      <w:pPr>
        <w:pStyle w:val="a0"/>
        <w:numPr>
          <w:ilvl w:val="0"/>
          <w:numId w:val="14"/>
        </w:numPr>
        <w:ind w:left="567" w:hanging="567"/>
        <w:contextualSpacing w:val="0"/>
      </w:pPr>
      <w:r w:rsidRPr="00F13073">
        <w:rPr>
          <w:rStyle w:val="Char"/>
          <w:rFonts w:eastAsia="DengXian"/>
          <w:b/>
          <w:bCs/>
        </w:rPr>
        <w:t>dzieci i młodzieży, w wieku 1 roku i starszych, z czynnym młodzieńczym idiopatycznym zapaleniem stawów o początku uogólnionym (uMIZS)</w:t>
      </w:r>
      <w:r w:rsidRPr="00F13073">
        <w:rPr>
          <w:rStyle w:val="Char"/>
          <w:rFonts w:eastAsia="DengXian"/>
          <w:b/>
          <w:bCs/>
          <w:i/>
          <w:iCs/>
        </w:rPr>
        <w:t>.</w:t>
      </w:r>
      <w:r w:rsidRPr="00F13073">
        <w:rPr>
          <w:rStyle w:val="Char"/>
          <w:rFonts w:eastAsia="DengXian"/>
        </w:rPr>
        <w:t xml:space="preserve"> Jest to choroba zapalna powodująca ból i opuchnięcie jednego lub większej liczby stawów, a także gorączkę i wysypkę.</w:t>
      </w:r>
    </w:p>
    <w:p w14:paraId="165E306D" w14:textId="77777777" w:rsidR="00306421" w:rsidRPr="00F13073" w:rsidRDefault="00306421" w:rsidP="008B4C50"/>
    <w:p w14:paraId="3674886F" w14:textId="15F2AC1F" w:rsidR="004E577E" w:rsidRPr="00F13073" w:rsidRDefault="004E577E" w:rsidP="008B4C50">
      <w:pPr>
        <w:ind w:left="567"/>
        <w:rPr>
          <w:rStyle w:val="Char"/>
          <w:rFonts w:eastAsia="DengXian"/>
        </w:rPr>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jest stosowany w celu poprawy w zakresie objawów uMIZS. Lek może być podawany w skojarzeniu z metotreksatem lub samodzielnie.</w:t>
      </w:r>
    </w:p>
    <w:p w14:paraId="2FA2E510" w14:textId="77777777" w:rsidR="004E577E" w:rsidRPr="00F13073" w:rsidRDefault="004E577E" w:rsidP="008B4C50">
      <w:pPr>
        <w:pStyle w:val="a4"/>
        <w:widowControl/>
        <w:spacing w:after="0"/>
      </w:pPr>
    </w:p>
    <w:p w14:paraId="173A6F61" w14:textId="77777777" w:rsidR="004E577E" w:rsidRPr="00F13073" w:rsidRDefault="004E577E" w:rsidP="008B4C50">
      <w:pPr>
        <w:pStyle w:val="a0"/>
        <w:numPr>
          <w:ilvl w:val="0"/>
          <w:numId w:val="14"/>
        </w:numPr>
        <w:ind w:left="567" w:hanging="567"/>
        <w:contextualSpacing w:val="0"/>
        <w:rPr>
          <w:rStyle w:val="Char"/>
          <w:rFonts w:eastAsia="DengXian"/>
        </w:rPr>
      </w:pPr>
      <w:r w:rsidRPr="00F13073">
        <w:rPr>
          <w:rStyle w:val="Char"/>
          <w:rFonts w:eastAsia="DengXian"/>
          <w:b/>
          <w:bCs/>
        </w:rPr>
        <w:t xml:space="preserve">dzieci i młodzieży, w wieku 2 lat i starszych, z czynnym </w:t>
      </w:r>
      <w:r w:rsidRPr="00F13073">
        <w:rPr>
          <w:rStyle w:val="Char"/>
          <w:rFonts w:eastAsia="DengXian"/>
          <w:b/>
          <w:bCs/>
          <w:i/>
          <w:iCs/>
        </w:rPr>
        <w:t>wielostawowym młodzieńczym idiopatycznym zapaleniem stawów (wMIZS).</w:t>
      </w:r>
      <w:r w:rsidRPr="00F13073">
        <w:rPr>
          <w:rStyle w:val="Char"/>
          <w:rFonts w:eastAsia="DengXian"/>
        </w:rPr>
        <w:t xml:space="preserve"> Jest to choroba zapalna powodująca ból i opuchnięcie jednego lub większej liczby stawów.</w:t>
      </w:r>
    </w:p>
    <w:p w14:paraId="37CFAA8A" w14:textId="77777777" w:rsidR="004E577E" w:rsidRPr="00F13073" w:rsidRDefault="004E577E" w:rsidP="008B4C50">
      <w:pPr>
        <w:pStyle w:val="a0"/>
        <w:ind w:firstLine="0"/>
      </w:pPr>
    </w:p>
    <w:p w14:paraId="34CE42DB" w14:textId="19C1DA49" w:rsidR="004E577E" w:rsidRPr="00F13073" w:rsidRDefault="004E577E" w:rsidP="008B4C50">
      <w:pPr>
        <w:ind w:left="567"/>
      </w:pPr>
      <w:r w:rsidRPr="00F13073">
        <w:t>Lek</w:t>
      </w:r>
      <w:r w:rsidRPr="00F13073">
        <w:rPr>
          <w:rStyle w:val="Char"/>
          <w:rFonts w:eastAsia="DengXian"/>
        </w:rPr>
        <w:t xml:space="preserve"> </w:t>
      </w:r>
      <w:r w:rsidR="00026375" w:rsidRPr="00F13073">
        <w:rPr>
          <w:rStyle w:val="Char"/>
          <w:rFonts w:eastAsia="DengXian"/>
        </w:rPr>
        <w:t>Avtozma</w:t>
      </w:r>
      <w:r w:rsidRPr="00F13073">
        <w:rPr>
          <w:rStyle w:val="Char"/>
          <w:rFonts w:eastAsia="DengXian"/>
        </w:rPr>
        <w:t xml:space="preserve"> jest stosowany w celu złagodzenia objawów wMIZS. Lek może być podawany w skojarzeniu z metotreksatem lub samodzielnie.</w:t>
      </w:r>
    </w:p>
    <w:p w14:paraId="67E7936A" w14:textId="77777777" w:rsidR="00306421" w:rsidRPr="00F13073" w:rsidRDefault="00306421" w:rsidP="008B4C50">
      <w:pPr>
        <w:keepNext/>
      </w:pPr>
    </w:p>
    <w:p w14:paraId="3A0F2AC4" w14:textId="77777777" w:rsidR="004E577E" w:rsidRPr="00F13073" w:rsidRDefault="004E577E" w:rsidP="002A18B0">
      <w:pPr>
        <w:keepNext/>
      </w:pPr>
    </w:p>
    <w:p w14:paraId="72E87233" w14:textId="3CDFDEC3" w:rsidR="001E0975" w:rsidRPr="00F13073" w:rsidRDefault="001721B1" w:rsidP="008B4C50">
      <w:pPr>
        <w:keepNext/>
        <w:ind w:left="567" w:hanging="567"/>
        <w:rPr>
          <w:b/>
          <w:bCs/>
        </w:rPr>
      </w:pPr>
      <w:r w:rsidRPr="00F13073">
        <w:rPr>
          <w:b/>
          <w:bCs/>
        </w:rPr>
        <w:t>2.</w:t>
      </w:r>
      <w:r w:rsidRPr="00F13073">
        <w:rPr>
          <w:b/>
          <w:bCs/>
        </w:rPr>
        <w:tab/>
      </w:r>
      <w:r w:rsidR="004E577E" w:rsidRPr="00F13073">
        <w:rPr>
          <w:rStyle w:val="Char"/>
          <w:rFonts w:eastAsia="DengXian"/>
          <w:b/>
          <w:bCs/>
        </w:rPr>
        <w:t xml:space="preserve">Informacje ważne przed przyjęciem leku </w:t>
      </w:r>
      <w:r w:rsidR="00026375" w:rsidRPr="00F13073">
        <w:rPr>
          <w:rStyle w:val="Char"/>
          <w:rFonts w:eastAsia="DengXian"/>
          <w:b/>
          <w:bCs/>
        </w:rPr>
        <w:t>Avtozma</w:t>
      </w:r>
    </w:p>
    <w:p w14:paraId="5A71F5ED" w14:textId="77777777" w:rsidR="00306421" w:rsidRPr="00F13073" w:rsidRDefault="00306421" w:rsidP="008B4C50">
      <w:pPr>
        <w:keepNext/>
        <w:ind w:left="567" w:hanging="567"/>
        <w:rPr>
          <w:b/>
          <w:bCs/>
        </w:rPr>
      </w:pPr>
    </w:p>
    <w:p w14:paraId="60F47869" w14:textId="7371BA2D" w:rsidR="001E0975" w:rsidRPr="00F13073" w:rsidRDefault="004E577E" w:rsidP="008B4C50">
      <w:pPr>
        <w:keepNext/>
        <w:rPr>
          <w:b/>
          <w:bCs/>
        </w:rPr>
      </w:pPr>
      <w:r w:rsidRPr="00F13073">
        <w:rPr>
          <w:rStyle w:val="Char"/>
          <w:rFonts w:eastAsia="DengXian"/>
          <w:b/>
          <w:bCs/>
        </w:rPr>
        <w:t xml:space="preserve">Kiedy nie stosować leku </w:t>
      </w:r>
      <w:r w:rsidR="00026375" w:rsidRPr="00F13073">
        <w:rPr>
          <w:rStyle w:val="Char"/>
          <w:rFonts w:eastAsia="DengXian"/>
          <w:b/>
          <w:bCs/>
        </w:rPr>
        <w:t>Avtozma</w:t>
      </w:r>
      <w:r w:rsidRPr="00F13073">
        <w:rPr>
          <w:rStyle w:val="Char"/>
          <w:rFonts w:eastAsia="DengXian"/>
          <w:b/>
          <w:bCs/>
        </w:rPr>
        <w:t>:</w:t>
      </w:r>
    </w:p>
    <w:p w14:paraId="1DBC42E4" w14:textId="498555DC" w:rsidR="001E0975" w:rsidRPr="00F13073" w:rsidRDefault="004E577E" w:rsidP="008B4C50">
      <w:pPr>
        <w:pStyle w:val="a0"/>
        <w:numPr>
          <w:ilvl w:val="0"/>
          <w:numId w:val="14"/>
        </w:numPr>
        <w:ind w:left="567" w:hanging="567"/>
        <w:contextualSpacing w:val="0"/>
      </w:pPr>
      <w:r w:rsidRPr="00F13073">
        <w:rPr>
          <w:rStyle w:val="Char"/>
          <w:rFonts w:eastAsia="DengXian"/>
        </w:rPr>
        <w:t>jeśli pacjent ma uczulenie (nadwrażliwość) na tocilizumab lub którykolwiek z pozostałych składników leku (wymienione w punkcie 6).</w:t>
      </w:r>
      <w:r w:rsidR="00E85927" w:rsidRPr="00F13073">
        <w:rPr>
          <w:rStyle w:val="Char"/>
          <w:rFonts w:eastAsia="DengXian"/>
        </w:rPr>
        <w:t xml:space="preserve"> </w:t>
      </w:r>
      <w:r w:rsidR="000175CA" w:rsidRPr="00F13073">
        <w:rPr>
          <w:rStyle w:val="Char"/>
          <w:rFonts w:eastAsia="DengXian"/>
        </w:rPr>
        <w:t>(Patrz ostrzeżenia specjalne na końcu tego punktu, w pod</w:t>
      </w:r>
      <w:r w:rsidR="00460FD6" w:rsidRPr="00F13073">
        <w:rPr>
          <w:rStyle w:val="Char"/>
          <w:rFonts w:eastAsia="DengXian"/>
        </w:rPr>
        <w:t>punkcie zatytułowanym</w:t>
      </w:r>
      <w:r w:rsidR="000175CA" w:rsidRPr="00F13073">
        <w:rPr>
          <w:rStyle w:val="Char"/>
          <w:rFonts w:eastAsia="DengXian"/>
        </w:rPr>
        <w:t xml:space="preserve"> „</w:t>
      </w:r>
      <w:r w:rsidR="00460FD6" w:rsidRPr="00F13073">
        <w:rPr>
          <w:rStyle w:val="Char"/>
          <w:rFonts w:eastAsia="DengXian"/>
        </w:rPr>
        <w:t xml:space="preserve">Lek </w:t>
      </w:r>
      <w:r w:rsidR="000175CA" w:rsidRPr="00F13073">
        <w:rPr>
          <w:rStyle w:val="Char"/>
          <w:rFonts w:eastAsia="DengXian"/>
        </w:rPr>
        <w:t>Avtozma zawiera polisorbat”)</w:t>
      </w:r>
      <w:r w:rsidR="00E64AB5" w:rsidRPr="00F13073">
        <w:rPr>
          <w:rStyle w:val="Char"/>
          <w:rFonts w:eastAsia="DengXian"/>
        </w:rPr>
        <w:t>.</w:t>
      </w:r>
    </w:p>
    <w:p w14:paraId="5A5EEA23" w14:textId="77777777" w:rsidR="001E0975" w:rsidRPr="00F13073" w:rsidRDefault="004E577E" w:rsidP="008B4C50">
      <w:pPr>
        <w:pStyle w:val="a0"/>
        <w:numPr>
          <w:ilvl w:val="0"/>
          <w:numId w:val="14"/>
        </w:numPr>
        <w:ind w:left="567" w:hanging="567"/>
        <w:contextualSpacing w:val="0"/>
      </w:pPr>
      <w:r w:rsidRPr="00F13073">
        <w:rPr>
          <w:rStyle w:val="Char"/>
          <w:rFonts w:eastAsia="DengXian"/>
        </w:rPr>
        <w:t>jeśli u pacjenta występuje czynne, ciężkie zakażenie.</w:t>
      </w:r>
    </w:p>
    <w:p w14:paraId="06491B3B" w14:textId="77777777" w:rsidR="00306421" w:rsidRPr="00F13073" w:rsidRDefault="00306421" w:rsidP="008B4C50"/>
    <w:p w14:paraId="3DA66A18" w14:textId="6D003A4B" w:rsidR="004E577E" w:rsidRPr="00F13073" w:rsidRDefault="004E577E" w:rsidP="008B4C50">
      <w:pPr>
        <w:pStyle w:val="a4"/>
        <w:widowControl/>
        <w:spacing w:after="0"/>
        <w:rPr>
          <w:rStyle w:val="Char"/>
        </w:rPr>
      </w:pPr>
      <w:r w:rsidRPr="00F13073">
        <w:rPr>
          <w:rStyle w:val="Char"/>
        </w:rPr>
        <w:t xml:space="preserve">Jeśli któraś z powyższych sytuacji dotyczy pacjenta, należy poinformować lekarza. Nie stosować leku </w:t>
      </w:r>
      <w:r w:rsidR="00026375" w:rsidRPr="00F13073">
        <w:rPr>
          <w:rStyle w:val="Char"/>
        </w:rPr>
        <w:t>Avtozma</w:t>
      </w:r>
      <w:r w:rsidRPr="00F13073">
        <w:rPr>
          <w:rStyle w:val="Char"/>
        </w:rPr>
        <w:t>.</w:t>
      </w:r>
    </w:p>
    <w:p w14:paraId="3440F562" w14:textId="77777777" w:rsidR="004E577E" w:rsidRPr="00F13073" w:rsidRDefault="004E577E" w:rsidP="008B4C50">
      <w:pPr>
        <w:pStyle w:val="a4"/>
        <w:widowControl/>
        <w:spacing w:after="0"/>
      </w:pPr>
    </w:p>
    <w:p w14:paraId="3B128233" w14:textId="77777777" w:rsidR="004E577E" w:rsidRPr="00F13073" w:rsidRDefault="004E577E" w:rsidP="008B4C50">
      <w:pPr>
        <w:pStyle w:val="a4"/>
        <w:widowControl/>
        <w:spacing w:after="0"/>
      </w:pPr>
      <w:r w:rsidRPr="00F13073">
        <w:rPr>
          <w:rStyle w:val="Char"/>
          <w:b/>
          <w:bCs/>
        </w:rPr>
        <w:t>Ostrzeżenia i środki ostrożności</w:t>
      </w:r>
    </w:p>
    <w:p w14:paraId="5019B0F3" w14:textId="77777777" w:rsidR="004E577E" w:rsidRPr="00F13073" w:rsidRDefault="004E577E" w:rsidP="008B4C50">
      <w:pPr>
        <w:pStyle w:val="a4"/>
        <w:widowControl/>
        <w:spacing w:after="0"/>
        <w:rPr>
          <w:rStyle w:val="Char"/>
        </w:rPr>
      </w:pPr>
    </w:p>
    <w:p w14:paraId="04A62CA1" w14:textId="3CC94974" w:rsidR="004E577E" w:rsidRPr="00F13073" w:rsidRDefault="004E577E" w:rsidP="008B4C50">
      <w:pPr>
        <w:pStyle w:val="a4"/>
        <w:widowControl/>
        <w:spacing w:after="0"/>
      </w:pPr>
      <w:r w:rsidRPr="00F13073">
        <w:rPr>
          <w:rStyle w:val="Char"/>
        </w:rPr>
        <w:t xml:space="preserve">Przed rozpoczęciem stosowania leku </w:t>
      </w:r>
      <w:r w:rsidR="00026375" w:rsidRPr="00F13073">
        <w:rPr>
          <w:rStyle w:val="Char"/>
        </w:rPr>
        <w:t>Avtozma</w:t>
      </w:r>
      <w:r w:rsidRPr="00F13073">
        <w:rPr>
          <w:rStyle w:val="Char"/>
        </w:rPr>
        <w:t xml:space="preserve"> należy omówić to z lekarzem, farmaceutą lub pielęgniarką.</w:t>
      </w:r>
    </w:p>
    <w:p w14:paraId="760AC180" w14:textId="77777777" w:rsidR="004E577E" w:rsidRPr="00F13073" w:rsidRDefault="004E577E" w:rsidP="008B4C50">
      <w:pPr>
        <w:pStyle w:val="a4"/>
        <w:widowControl/>
        <w:spacing w:after="0"/>
        <w:ind w:left="560" w:hanging="560"/>
        <w:rPr>
          <w:rStyle w:val="Char"/>
          <w:sz w:val="24"/>
          <w:szCs w:val="24"/>
        </w:rPr>
      </w:pPr>
    </w:p>
    <w:p w14:paraId="15AE415D" w14:textId="77777777" w:rsidR="004E577E" w:rsidRPr="00F13073" w:rsidRDefault="004E577E"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wystąpiła </w:t>
      </w:r>
      <w:r w:rsidRPr="00F13073">
        <w:rPr>
          <w:rStyle w:val="Char"/>
          <w:rFonts w:eastAsia="DengXian"/>
          <w:b/>
          <w:bCs/>
        </w:rPr>
        <w:t xml:space="preserve">reakcja alergiczna, </w:t>
      </w:r>
      <w:r w:rsidRPr="00F13073">
        <w:rPr>
          <w:rStyle w:val="Char"/>
          <w:rFonts w:eastAsia="DengXian"/>
        </w:rPr>
        <w:t xml:space="preserve">w postaci np.: uczucia ściskania w klatce piersiowej, świszczącego oddechu, ciężkich zawrotów głowy lub oszołomienia, obrzęku warg, języka lub twarzy lub świądu skóry, pokrzywki lub wysypki na skórze podczas lub po podaniu leku, </w:t>
      </w:r>
      <w:r w:rsidRPr="00F13073">
        <w:rPr>
          <w:rStyle w:val="Char"/>
          <w:rFonts w:eastAsia="DengXian"/>
          <w:b/>
          <w:bCs/>
        </w:rPr>
        <w:t>należy niezwłocznie powiadomić o tym lekarza.</w:t>
      </w:r>
    </w:p>
    <w:p w14:paraId="590E5BFC" w14:textId="77777777" w:rsidR="004E577E" w:rsidRPr="00F13073" w:rsidRDefault="004E577E" w:rsidP="008B4C50">
      <w:pPr>
        <w:pStyle w:val="a0"/>
        <w:ind w:firstLine="0"/>
      </w:pPr>
    </w:p>
    <w:p w14:paraId="16EBAC2A" w14:textId="1113CAE0" w:rsidR="004E577E" w:rsidRPr="00F13073" w:rsidRDefault="004E577E" w:rsidP="008B4C50">
      <w:pPr>
        <w:pStyle w:val="a0"/>
        <w:numPr>
          <w:ilvl w:val="0"/>
          <w:numId w:val="14"/>
        </w:numPr>
        <w:ind w:left="567" w:hanging="567"/>
        <w:contextualSpacing w:val="0"/>
        <w:rPr>
          <w:rStyle w:val="Char"/>
          <w:rFonts w:eastAsia="DengXian"/>
        </w:rPr>
      </w:pPr>
      <w:r w:rsidRPr="00F13073">
        <w:rPr>
          <w:rStyle w:val="Char"/>
          <w:rFonts w:eastAsia="DengXian"/>
        </w:rPr>
        <w:t xml:space="preserve">W przypadku wystąpienia reakcji alergicznej po podaniu leku </w:t>
      </w:r>
      <w:r w:rsidR="00026375" w:rsidRPr="00F13073">
        <w:rPr>
          <w:rStyle w:val="Char"/>
          <w:rFonts w:eastAsia="DengXian"/>
        </w:rPr>
        <w:t>Avtozma</w:t>
      </w:r>
      <w:r w:rsidRPr="00F13073">
        <w:rPr>
          <w:rStyle w:val="Char"/>
          <w:rFonts w:eastAsia="DengXian"/>
        </w:rPr>
        <w:t xml:space="preserve"> nie należy przyjmować kolejnej dawki, do momentu poinformowania lekarza i wyrażenia przez niego zgody na przyjęcie kolejnej dawki.</w:t>
      </w:r>
    </w:p>
    <w:p w14:paraId="6A388406" w14:textId="77777777" w:rsidR="004E577E" w:rsidRPr="00F13073" w:rsidRDefault="004E577E" w:rsidP="008B4C50"/>
    <w:p w14:paraId="152DBFEF" w14:textId="3F5A9DC9" w:rsidR="001E0975" w:rsidRPr="00F13073" w:rsidRDefault="004E577E" w:rsidP="008B4C50">
      <w:pPr>
        <w:pStyle w:val="a0"/>
        <w:numPr>
          <w:ilvl w:val="0"/>
          <w:numId w:val="14"/>
        </w:numPr>
        <w:ind w:left="567" w:hanging="567"/>
        <w:contextualSpacing w:val="0"/>
      </w:pPr>
      <w:r w:rsidRPr="00F13073">
        <w:rPr>
          <w:rStyle w:val="Char"/>
          <w:rFonts w:eastAsia="DengXian"/>
        </w:rPr>
        <w:lastRenderedPageBreak/>
        <w:t xml:space="preserve">Jeśli pacjent ma jakiekolwiek </w:t>
      </w:r>
      <w:r w:rsidRPr="00F13073">
        <w:rPr>
          <w:rStyle w:val="Char"/>
          <w:rFonts w:eastAsia="DengXian"/>
          <w:b/>
          <w:bCs/>
        </w:rPr>
        <w:t>zakażenie</w:t>
      </w:r>
      <w:r w:rsidRPr="00F13073">
        <w:rPr>
          <w:rStyle w:val="Char"/>
          <w:rFonts w:eastAsia="DengXian"/>
        </w:rPr>
        <w:t>, trwające krótko lub długo, lub gdy często powtarzają</w:t>
      </w:r>
      <w:r w:rsidR="005814A8" w:rsidRPr="00F13073">
        <w:rPr>
          <w:rStyle w:val="Char"/>
          <w:rFonts w:eastAsia="DengXian"/>
        </w:rPr>
        <w:t xml:space="preserve"> </w:t>
      </w:r>
      <w:r w:rsidRPr="00F13073">
        <w:rPr>
          <w:rStyle w:val="Char"/>
          <w:rFonts w:eastAsia="DengXian"/>
        </w:rPr>
        <w:t xml:space="preserve">się zakażenia. </w:t>
      </w:r>
      <w:r w:rsidRPr="00F13073">
        <w:rPr>
          <w:rStyle w:val="Char"/>
          <w:rFonts w:eastAsia="DengXian"/>
          <w:b/>
          <w:bCs/>
        </w:rPr>
        <w:t xml:space="preserve">Należy niezwłocznie powiadomić lekarza </w:t>
      </w:r>
      <w:r w:rsidRPr="00F13073">
        <w:rPr>
          <w:rStyle w:val="Char"/>
          <w:rFonts w:eastAsia="DengXian"/>
        </w:rPr>
        <w:t xml:space="preserve">o złym samopoczuciu. Lek </w:t>
      </w:r>
      <w:r w:rsidR="00026375" w:rsidRPr="00F13073">
        <w:rPr>
          <w:rStyle w:val="Char"/>
          <w:rFonts w:eastAsia="DengXian"/>
        </w:rPr>
        <w:t>Avtozma</w:t>
      </w:r>
      <w:r w:rsidRPr="00F13073">
        <w:rPr>
          <w:rStyle w:val="Char"/>
          <w:rFonts w:eastAsia="DengXian"/>
        </w:rPr>
        <w:t xml:space="preserve"> może osłabiać zdolność organizmu do zwalczania zakażeń, co może spowodować nasilenie toczącego się zakażenia lub zwiększyć prawdopodobieństwo wystąpienia nowego zakażenia.</w:t>
      </w:r>
    </w:p>
    <w:p w14:paraId="172900EE" w14:textId="77777777" w:rsidR="00306421" w:rsidRPr="00F13073" w:rsidRDefault="00306421" w:rsidP="008B4C50"/>
    <w:p w14:paraId="1B155A6B" w14:textId="1263FA85"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pacjent choruje na </w:t>
      </w:r>
      <w:r w:rsidRPr="00F13073">
        <w:rPr>
          <w:rStyle w:val="Char"/>
          <w:rFonts w:eastAsia="DengXian"/>
          <w:b/>
          <w:bCs/>
        </w:rPr>
        <w:t xml:space="preserve">gruźlicę </w:t>
      </w:r>
      <w:r w:rsidRPr="00F13073">
        <w:rPr>
          <w:rStyle w:val="Char"/>
          <w:rFonts w:eastAsia="DengXian"/>
        </w:rPr>
        <w:t xml:space="preserve">należy o tym powiadomić lekarza. Lekarz zbada pacjenta pod kątem objawów gruźlicy przed rozpoczęciem podawania leku </w:t>
      </w:r>
      <w:r w:rsidR="00026375" w:rsidRPr="00F13073">
        <w:rPr>
          <w:rStyle w:val="Char"/>
          <w:rFonts w:eastAsia="DengXian"/>
        </w:rPr>
        <w:t>Avtozma</w:t>
      </w:r>
      <w:r w:rsidRPr="00F13073">
        <w:rPr>
          <w:rStyle w:val="Char"/>
          <w:rFonts w:eastAsia="DengXian"/>
        </w:rPr>
        <w:t>. Jeśli objawy gruźlicy (uporczywy kaszel, utrata masy ciała, apatia, łagodna gorączka) lub innego zakażenia występują w czasie lub po zakończeniu terapii, należy niezwłocznie powiadomić o tym lekarza.</w:t>
      </w:r>
    </w:p>
    <w:p w14:paraId="1D3A77F1" w14:textId="77777777" w:rsidR="00B868CC" w:rsidRPr="00F13073" w:rsidRDefault="00B868CC" w:rsidP="008B4C50">
      <w:pPr>
        <w:pStyle w:val="a0"/>
        <w:ind w:firstLine="0"/>
      </w:pPr>
    </w:p>
    <w:p w14:paraId="67180D73" w14:textId="77777777"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występowały </w:t>
      </w:r>
      <w:r w:rsidRPr="00F13073">
        <w:rPr>
          <w:rStyle w:val="Char"/>
          <w:rFonts w:eastAsia="DengXian"/>
          <w:b/>
          <w:bCs/>
        </w:rPr>
        <w:t xml:space="preserve">wrzody jelitowe </w:t>
      </w:r>
      <w:r w:rsidRPr="00F13073">
        <w:rPr>
          <w:rStyle w:val="Char"/>
          <w:rFonts w:eastAsia="DengXian"/>
        </w:rPr>
        <w:t xml:space="preserve">lub </w:t>
      </w:r>
      <w:r w:rsidRPr="00F13073">
        <w:rPr>
          <w:rStyle w:val="Char"/>
          <w:rFonts w:eastAsia="DengXian"/>
          <w:b/>
          <w:bCs/>
        </w:rPr>
        <w:t>zapalenie uchyłków jelita</w:t>
      </w:r>
      <w:r w:rsidRPr="00F13073">
        <w:rPr>
          <w:rStyle w:val="Char"/>
          <w:rFonts w:eastAsia="DengXian"/>
        </w:rPr>
        <w:t>, należy o tym powiadomić lekarza. Objawy tych schorzeń - to m.in.: ból brzucha i niewyjaśnione zmiany w rytmie wypróżnień z towarzyszącą gorączką.</w:t>
      </w:r>
    </w:p>
    <w:p w14:paraId="20C8D7C3" w14:textId="77777777" w:rsidR="00B868CC" w:rsidRPr="00F13073" w:rsidRDefault="00B868CC" w:rsidP="008B4C50"/>
    <w:p w14:paraId="540A054B" w14:textId="208E7345"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stwierdzono </w:t>
      </w:r>
      <w:r w:rsidRPr="00F13073">
        <w:rPr>
          <w:rStyle w:val="Char"/>
          <w:rFonts w:eastAsia="DengXian"/>
          <w:b/>
          <w:bCs/>
        </w:rPr>
        <w:t>chorobę wątroby</w:t>
      </w:r>
      <w:r w:rsidRPr="00F13073">
        <w:rPr>
          <w:rStyle w:val="Char"/>
          <w:rFonts w:eastAsia="DengXian"/>
        </w:rPr>
        <w:t xml:space="preserve">, należy o tym powiadomić lekarza. Lekarz może podjąć decyzję o zbadaniu czynności wątroby przed rozpoczęciem podawania leku </w:t>
      </w:r>
      <w:r w:rsidR="00026375" w:rsidRPr="00F13073">
        <w:rPr>
          <w:rStyle w:val="Char"/>
          <w:rFonts w:eastAsia="DengXian"/>
        </w:rPr>
        <w:t>Avtozma</w:t>
      </w:r>
      <w:r w:rsidRPr="00F13073">
        <w:rPr>
          <w:rStyle w:val="Char"/>
          <w:rFonts w:eastAsia="DengXian"/>
        </w:rPr>
        <w:t>.</w:t>
      </w:r>
    </w:p>
    <w:p w14:paraId="1F79E397" w14:textId="77777777" w:rsidR="00B868CC" w:rsidRPr="00F13073" w:rsidRDefault="00B868CC" w:rsidP="008B4C50"/>
    <w:p w14:paraId="221CED6D" w14:textId="68B27106"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b/>
          <w:bCs/>
        </w:rPr>
        <w:t xml:space="preserve">Jeśli pacjent został zaszczepiony niedawno </w:t>
      </w:r>
      <w:r w:rsidRPr="00F13073">
        <w:rPr>
          <w:rStyle w:val="Char"/>
          <w:rFonts w:eastAsia="DengXian"/>
        </w:rPr>
        <w:t xml:space="preserve">lub planuje poddać się szczepieniu, należy o tym powiadomić lekarza. Wszyscy pacjenci powinni posiadać aktualne szczepienia przed rozpoczęciem leczenia lekiem </w:t>
      </w:r>
      <w:r w:rsidR="00026375" w:rsidRPr="00F13073">
        <w:rPr>
          <w:rStyle w:val="Char"/>
          <w:rFonts w:eastAsia="DengXian"/>
        </w:rPr>
        <w:t>Avtozma</w:t>
      </w:r>
      <w:r w:rsidRPr="00F13073">
        <w:rPr>
          <w:rStyle w:val="Char"/>
          <w:rFonts w:eastAsia="DengXian"/>
        </w:rPr>
        <w:t xml:space="preserve">. Niektórych rodzajów szczepionek nie należy podawać w trakcie leczenia lekiem </w:t>
      </w:r>
      <w:r w:rsidR="00026375" w:rsidRPr="00F13073">
        <w:rPr>
          <w:rStyle w:val="Char"/>
          <w:rFonts w:eastAsia="DengXian"/>
        </w:rPr>
        <w:t>Avtozma</w:t>
      </w:r>
      <w:r w:rsidRPr="00F13073">
        <w:rPr>
          <w:rStyle w:val="Char"/>
          <w:rFonts w:eastAsia="DengXian"/>
        </w:rPr>
        <w:t>.</w:t>
      </w:r>
    </w:p>
    <w:p w14:paraId="4ACD32B5" w14:textId="77777777" w:rsidR="00B868CC" w:rsidRPr="00F13073" w:rsidRDefault="00B868CC" w:rsidP="008B4C50"/>
    <w:p w14:paraId="3D1F27DD" w14:textId="20A6E526"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pacjent ma </w:t>
      </w:r>
      <w:r w:rsidRPr="00F13073">
        <w:rPr>
          <w:rStyle w:val="Char"/>
          <w:rFonts w:eastAsia="DengXian"/>
          <w:b/>
          <w:bCs/>
        </w:rPr>
        <w:t>chorobę nowotworową</w:t>
      </w:r>
      <w:r w:rsidRPr="00F13073">
        <w:rPr>
          <w:rStyle w:val="Char"/>
          <w:rFonts w:eastAsia="DengXian"/>
        </w:rPr>
        <w:t xml:space="preserve">, należy o tym powiadomić lekarza prowadzącego. Lekarz zadecyduje, czy pacjent może, mimo to, nadal przyjmować lek </w:t>
      </w:r>
      <w:r w:rsidR="00026375" w:rsidRPr="00F13073">
        <w:rPr>
          <w:rStyle w:val="Char"/>
          <w:rFonts w:eastAsia="DengXian"/>
        </w:rPr>
        <w:t>Avtozma</w:t>
      </w:r>
      <w:r w:rsidRPr="00F13073">
        <w:rPr>
          <w:rStyle w:val="Char"/>
          <w:rFonts w:eastAsia="DengXian"/>
        </w:rPr>
        <w:t>.</w:t>
      </w:r>
    </w:p>
    <w:p w14:paraId="6F492884" w14:textId="77777777" w:rsidR="00B868CC" w:rsidRPr="00F13073" w:rsidRDefault="00B868CC" w:rsidP="008B4C50"/>
    <w:p w14:paraId="64A44AFC" w14:textId="3DB1A0D9"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czynniki ryzyka chorób układu krążenia</w:t>
      </w:r>
      <w:r w:rsidRPr="00F13073">
        <w:rPr>
          <w:rStyle w:val="Char"/>
          <w:rFonts w:eastAsia="DengXian"/>
        </w:rPr>
        <w:t xml:space="preserve">, takie jak podwyższone ciśnienie tętnicze krwi i podwyższone stężenie cholesterolu, należy o tym powiadomić lekarza. Parametry te należy kontrolować w trakcie leczenia lekiem </w:t>
      </w:r>
      <w:r w:rsidR="00026375" w:rsidRPr="00F13073">
        <w:rPr>
          <w:rStyle w:val="Char"/>
          <w:rFonts w:eastAsia="DengXian"/>
        </w:rPr>
        <w:t>Avtozma</w:t>
      </w:r>
      <w:r w:rsidRPr="00F13073">
        <w:rPr>
          <w:rStyle w:val="Char"/>
          <w:rFonts w:eastAsia="DengXian"/>
        </w:rPr>
        <w:t>.</w:t>
      </w:r>
    </w:p>
    <w:p w14:paraId="0DDD8948" w14:textId="77777777" w:rsidR="00B868CC" w:rsidRPr="00F13073" w:rsidRDefault="00B868CC" w:rsidP="008B4C50"/>
    <w:p w14:paraId="06E83992" w14:textId="77777777"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 xml:space="preserve">zaburzenia czynności nerek </w:t>
      </w:r>
      <w:r w:rsidRPr="00F13073">
        <w:rPr>
          <w:rStyle w:val="Char"/>
          <w:rFonts w:eastAsia="DengXian"/>
        </w:rPr>
        <w:t>o nasileniu umiarkowanym lub ciężkim, lekarz będzie kontrolował stan pacjenta.</w:t>
      </w:r>
    </w:p>
    <w:p w14:paraId="15F5422D" w14:textId="77777777" w:rsidR="00B868CC" w:rsidRPr="00F13073" w:rsidRDefault="00B868CC" w:rsidP="008B4C50"/>
    <w:p w14:paraId="7CF86B4C" w14:textId="77777777"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uporczywe bóle głowy</w:t>
      </w:r>
      <w:r w:rsidRPr="00F13073">
        <w:rPr>
          <w:rStyle w:val="Char"/>
          <w:rFonts w:eastAsia="DengXian"/>
        </w:rPr>
        <w:t>.</w:t>
      </w:r>
    </w:p>
    <w:p w14:paraId="6139303A" w14:textId="77777777" w:rsidR="00B868CC" w:rsidRPr="00F13073" w:rsidRDefault="00B868CC" w:rsidP="008B4C50"/>
    <w:p w14:paraId="69FC1761" w14:textId="62746797" w:rsidR="00B868CC" w:rsidRPr="00F13073" w:rsidRDefault="00B868CC" w:rsidP="008B4C50">
      <w:pPr>
        <w:rPr>
          <w:rStyle w:val="Char"/>
          <w:rFonts w:eastAsia="DengXian"/>
        </w:rPr>
      </w:pPr>
      <w:r w:rsidRPr="00F13073">
        <w:rPr>
          <w:rStyle w:val="Char"/>
          <w:rFonts w:eastAsia="DengXian"/>
        </w:rPr>
        <w:t xml:space="preserve">Przed podaniem leku </w:t>
      </w:r>
      <w:r w:rsidR="00026375" w:rsidRPr="00F13073">
        <w:rPr>
          <w:rStyle w:val="Char"/>
          <w:rFonts w:eastAsia="DengXian"/>
        </w:rPr>
        <w:t>Avtozma</w:t>
      </w:r>
      <w:r w:rsidRPr="00F13073">
        <w:rPr>
          <w:rStyle w:val="Char"/>
          <w:rFonts w:eastAsia="DengXian"/>
        </w:rPr>
        <w:t xml:space="preserve"> lekarz zleci badanie krwi, by ocenić, czy u pacjenta nie występuje niska liczba białych krwinek lub płytek krwi albo zwiększona aktywność enzymów wątrobowych.</w:t>
      </w:r>
    </w:p>
    <w:p w14:paraId="0719DD2D" w14:textId="77777777" w:rsidR="00B868CC" w:rsidRPr="00F13073" w:rsidRDefault="00B868CC" w:rsidP="008B4C50"/>
    <w:p w14:paraId="0646C145" w14:textId="77777777" w:rsidR="00B868CC" w:rsidRPr="00F13073" w:rsidRDefault="00B868CC" w:rsidP="008B4C50">
      <w:pPr>
        <w:pStyle w:val="a4"/>
        <w:widowControl/>
        <w:spacing w:after="0"/>
      </w:pPr>
      <w:r w:rsidRPr="00F13073">
        <w:rPr>
          <w:rStyle w:val="Char"/>
          <w:b/>
          <w:bCs/>
        </w:rPr>
        <w:t>Dzieci i młodzież</w:t>
      </w:r>
    </w:p>
    <w:p w14:paraId="63713733" w14:textId="26B705FE" w:rsidR="00B868CC" w:rsidRPr="00F13073" w:rsidRDefault="00B868CC" w:rsidP="008B4C50">
      <w:pPr>
        <w:pStyle w:val="a4"/>
        <w:widowControl/>
        <w:spacing w:after="0"/>
      </w:pPr>
      <w:r w:rsidRPr="00F13073">
        <w:rPr>
          <w:rStyle w:val="Char"/>
        </w:rPr>
        <w:t xml:space="preserve">Lek </w:t>
      </w:r>
      <w:r w:rsidR="00026375" w:rsidRPr="00F13073">
        <w:rPr>
          <w:rStyle w:val="Char"/>
        </w:rPr>
        <w:t>Avtozma</w:t>
      </w:r>
      <w:r w:rsidRPr="00F13073">
        <w:rPr>
          <w:rStyle w:val="Char"/>
        </w:rPr>
        <w:t xml:space="preserve"> podawany we wstrzyknięciu podskórnym nie jest zalecany do stosowania w leczeniu dzieci w wieku poniżej 1 roku życia.</w:t>
      </w:r>
    </w:p>
    <w:p w14:paraId="095F9624" w14:textId="566D9798" w:rsidR="00B868CC" w:rsidRPr="00F13073" w:rsidRDefault="00B868CC" w:rsidP="008B4C50">
      <w:pPr>
        <w:pStyle w:val="a4"/>
        <w:widowControl/>
        <w:spacing w:after="0"/>
        <w:rPr>
          <w:rStyle w:val="Char"/>
        </w:rPr>
      </w:pPr>
      <w:r w:rsidRPr="00F13073">
        <w:rPr>
          <w:rStyle w:val="Char"/>
        </w:rPr>
        <w:t xml:space="preserve">Nie należy podawać leku </w:t>
      </w:r>
      <w:r w:rsidR="00026375" w:rsidRPr="00F13073">
        <w:rPr>
          <w:rStyle w:val="Char"/>
        </w:rPr>
        <w:t>Avtozma</w:t>
      </w:r>
      <w:r w:rsidRPr="00F13073">
        <w:rPr>
          <w:rStyle w:val="Char"/>
        </w:rPr>
        <w:t xml:space="preserve"> dzieciom z uMIZS, których masa ciała wynosi mniej niż 10 kg.</w:t>
      </w:r>
    </w:p>
    <w:p w14:paraId="330FAB29" w14:textId="77777777" w:rsidR="004B14CC" w:rsidRPr="00F13073" w:rsidRDefault="004B14CC" w:rsidP="008B4C50">
      <w:pPr>
        <w:pStyle w:val="a4"/>
        <w:widowControl/>
        <w:spacing w:after="0"/>
      </w:pPr>
    </w:p>
    <w:p w14:paraId="7B2613B1" w14:textId="455D9682" w:rsidR="00B868CC" w:rsidRPr="00F13073" w:rsidRDefault="00B868CC" w:rsidP="008B4C50">
      <w:pPr>
        <w:pStyle w:val="a4"/>
        <w:widowControl/>
        <w:spacing w:after="0"/>
        <w:rPr>
          <w:rStyle w:val="Char"/>
        </w:rPr>
      </w:pPr>
      <w:r w:rsidRPr="00F13073">
        <w:rPr>
          <w:rStyle w:val="Char"/>
        </w:rPr>
        <w:t xml:space="preserve">Jeśli u dziecka występuje w wywiadzie </w:t>
      </w:r>
      <w:r w:rsidRPr="00F13073">
        <w:rPr>
          <w:rStyle w:val="Char"/>
          <w:b/>
          <w:bCs/>
          <w:i/>
          <w:iCs/>
        </w:rPr>
        <w:t>zespół aktywacji makrofagów</w:t>
      </w:r>
      <w:r w:rsidRPr="00F13073">
        <w:rPr>
          <w:rStyle w:val="Char"/>
        </w:rPr>
        <w:t xml:space="preserve"> (aktywacja i niekontrolowane namnażanie się specyficznych komórek krwi), należy powiedzieć o tym lekarzowi prowadzącemu. Lekarz prowadzący zdecyduje, czy pacjent nadal może otrzymywać lek </w:t>
      </w:r>
      <w:r w:rsidR="00026375" w:rsidRPr="00F13073">
        <w:rPr>
          <w:rStyle w:val="Char"/>
        </w:rPr>
        <w:t>Avtozma</w:t>
      </w:r>
      <w:r w:rsidRPr="00F13073">
        <w:rPr>
          <w:rStyle w:val="Char"/>
        </w:rPr>
        <w:t>.</w:t>
      </w:r>
    </w:p>
    <w:p w14:paraId="7ECE584B" w14:textId="77777777" w:rsidR="004B14CC" w:rsidRPr="00F13073" w:rsidRDefault="004B14CC" w:rsidP="008B4C50">
      <w:pPr>
        <w:pStyle w:val="a4"/>
        <w:widowControl/>
        <w:spacing w:after="0"/>
      </w:pPr>
    </w:p>
    <w:p w14:paraId="4D1E4422" w14:textId="3263CF78" w:rsidR="00B868CC" w:rsidRPr="00F13073" w:rsidRDefault="00B868CC" w:rsidP="008B4C50">
      <w:pPr>
        <w:pStyle w:val="a4"/>
        <w:widowControl/>
        <w:spacing w:after="0"/>
      </w:pPr>
      <w:r w:rsidRPr="00F13073">
        <w:rPr>
          <w:rStyle w:val="Char"/>
          <w:b/>
          <w:bCs/>
        </w:rPr>
        <w:t xml:space="preserve">Lek </w:t>
      </w:r>
      <w:r w:rsidR="00026375" w:rsidRPr="00F13073">
        <w:rPr>
          <w:rStyle w:val="Char"/>
          <w:b/>
          <w:bCs/>
        </w:rPr>
        <w:t>Avtozma</w:t>
      </w:r>
      <w:r w:rsidRPr="00F13073">
        <w:rPr>
          <w:rStyle w:val="Char"/>
          <w:b/>
          <w:bCs/>
        </w:rPr>
        <w:t xml:space="preserve"> a inne leki</w:t>
      </w:r>
    </w:p>
    <w:p w14:paraId="1D28B52E" w14:textId="3A1B0B0E" w:rsidR="00B868CC" w:rsidRPr="00F13073" w:rsidRDefault="00B868CC" w:rsidP="008B4C50">
      <w:pPr>
        <w:pStyle w:val="a4"/>
        <w:widowControl/>
        <w:spacing w:after="0"/>
        <w:rPr>
          <w:rStyle w:val="Char"/>
        </w:rPr>
      </w:pPr>
      <w:r w:rsidRPr="00F13073">
        <w:rPr>
          <w:rStyle w:val="Char"/>
        </w:rPr>
        <w:t xml:space="preserve">Należy powiedzieć lekarzowi o wszystkich lekach przyjmowanych przez pacjenta obecnie lub ostatnio, a także o lekach, które pacjent planuje przyjmować. Lek </w:t>
      </w:r>
      <w:r w:rsidR="00026375" w:rsidRPr="00F13073">
        <w:rPr>
          <w:rStyle w:val="Char"/>
        </w:rPr>
        <w:t>Avtozma</w:t>
      </w:r>
      <w:r w:rsidRPr="00F13073">
        <w:rPr>
          <w:rStyle w:val="Char"/>
        </w:rPr>
        <w:t xml:space="preserve"> może zmieniać działanie innych leków, a dawki tych leków mogą wymagać odpowiedniego dostosowania. </w:t>
      </w:r>
      <w:r w:rsidRPr="00F13073">
        <w:rPr>
          <w:rStyle w:val="Char"/>
          <w:b/>
          <w:bCs/>
        </w:rPr>
        <w:t xml:space="preserve">Pacjent powinien poinformować lekarza </w:t>
      </w:r>
      <w:r w:rsidRPr="00F13073">
        <w:rPr>
          <w:rStyle w:val="Char"/>
        </w:rPr>
        <w:t>o wszystkich lekach zawierających następujące substancje czynne:</w:t>
      </w:r>
    </w:p>
    <w:p w14:paraId="3DBB5D9C" w14:textId="77777777" w:rsidR="00B868CC" w:rsidRPr="00F13073" w:rsidRDefault="00B868CC" w:rsidP="008B4C50">
      <w:pPr>
        <w:pStyle w:val="a0"/>
        <w:numPr>
          <w:ilvl w:val="0"/>
          <w:numId w:val="14"/>
        </w:numPr>
        <w:ind w:left="567" w:hanging="567"/>
        <w:contextualSpacing w:val="0"/>
      </w:pPr>
      <w:r w:rsidRPr="00F13073">
        <w:rPr>
          <w:rStyle w:val="Char"/>
          <w:rFonts w:eastAsia="DengXian"/>
        </w:rPr>
        <w:t>metyloprednizolon, deksametazon - stosowane w celu redukcji zapalenia</w:t>
      </w:r>
    </w:p>
    <w:p w14:paraId="5802F07A" w14:textId="77777777" w:rsidR="00B868CC" w:rsidRPr="00F13073" w:rsidRDefault="00B868CC" w:rsidP="008B4C50">
      <w:pPr>
        <w:pStyle w:val="a0"/>
        <w:numPr>
          <w:ilvl w:val="0"/>
          <w:numId w:val="14"/>
        </w:numPr>
        <w:ind w:left="567" w:hanging="567"/>
        <w:contextualSpacing w:val="0"/>
        <w:rPr>
          <w:rStyle w:val="Char"/>
          <w:rFonts w:eastAsia="DengXian"/>
        </w:rPr>
      </w:pPr>
      <w:r w:rsidRPr="00F13073">
        <w:rPr>
          <w:rStyle w:val="Char"/>
          <w:rFonts w:eastAsia="DengXian"/>
        </w:rPr>
        <w:t>symwastatyna, atorwastatyna - stosowane w celu zmniejszenia stężenia cholesterolu</w:t>
      </w:r>
    </w:p>
    <w:p w14:paraId="03D06B1D" w14:textId="77777777" w:rsidR="004B14CC" w:rsidRPr="00F13073" w:rsidRDefault="004B14CC" w:rsidP="008B4C50">
      <w:pPr>
        <w:pStyle w:val="a0"/>
        <w:numPr>
          <w:ilvl w:val="0"/>
          <w:numId w:val="14"/>
        </w:numPr>
        <w:ind w:left="567" w:hanging="567"/>
        <w:contextualSpacing w:val="0"/>
        <w:rPr>
          <w:rStyle w:val="Char"/>
          <w:rFonts w:eastAsia="DengXian"/>
        </w:rPr>
      </w:pPr>
      <w:r w:rsidRPr="00F13073">
        <w:rPr>
          <w:rStyle w:val="Char"/>
          <w:rFonts w:eastAsia="DengXian"/>
        </w:rPr>
        <w:t>antagoniści kanału wapniowego (np. amlodypina) - leki stosowane w leczeniu podwyższonego ciśnienia krwi</w:t>
      </w:r>
    </w:p>
    <w:p w14:paraId="6DA9F580" w14:textId="77777777" w:rsidR="004B14CC" w:rsidRPr="00F13073" w:rsidRDefault="004B14CC" w:rsidP="008B4C50">
      <w:pPr>
        <w:pStyle w:val="a0"/>
        <w:numPr>
          <w:ilvl w:val="0"/>
          <w:numId w:val="14"/>
        </w:numPr>
        <w:ind w:left="567" w:hanging="567"/>
        <w:contextualSpacing w:val="0"/>
        <w:rPr>
          <w:rStyle w:val="Char"/>
          <w:rFonts w:eastAsia="DengXian"/>
        </w:rPr>
      </w:pPr>
      <w:r w:rsidRPr="00F13073">
        <w:rPr>
          <w:rStyle w:val="Char"/>
          <w:rFonts w:eastAsia="DengXian"/>
        </w:rPr>
        <w:t>teofilina - stosowana w leczeniu astmy</w:t>
      </w:r>
    </w:p>
    <w:p w14:paraId="2C3C11A8" w14:textId="77777777" w:rsidR="004B14CC" w:rsidRPr="00F13073" w:rsidRDefault="004B14CC" w:rsidP="008B4C50">
      <w:pPr>
        <w:pStyle w:val="a0"/>
        <w:numPr>
          <w:ilvl w:val="0"/>
          <w:numId w:val="14"/>
        </w:numPr>
        <w:ind w:left="567" w:hanging="567"/>
        <w:contextualSpacing w:val="0"/>
        <w:rPr>
          <w:rStyle w:val="Char"/>
          <w:rFonts w:eastAsia="DengXian"/>
        </w:rPr>
      </w:pPr>
      <w:r w:rsidRPr="00F13073">
        <w:rPr>
          <w:rStyle w:val="Char"/>
          <w:rFonts w:eastAsia="DengXian"/>
        </w:rPr>
        <w:lastRenderedPageBreak/>
        <w:t>warfaryna, fenprokumon - stosowane jako leki przeciwkrzepliwe</w:t>
      </w:r>
    </w:p>
    <w:p w14:paraId="177E3213" w14:textId="77777777" w:rsidR="004B14CC" w:rsidRPr="00F13073" w:rsidRDefault="004B14CC" w:rsidP="008B4C50">
      <w:pPr>
        <w:pStyle w:val="a0"/>
        <w:numPr>
          <w:ilvl w:val="0"/>
          <w:numId w:val="14"/>
        </w:numPr>
        <w:ind w:left="567" w:hanging="567"/>
        <w:contextualSpacing w:val="0"/>
        <w:rPr>
          <w:rStyle w:val="Char"/>
          <w:rFonts w:eastAsia="DengXian"/>
        </w:rPr>
      </w:pPr>
      <w:r w:rsidRPr="00F13073">
        <w:rPr>
          <w:rStyle w:val="Char"/>
          <w:rFonts w:eastAsia="DengXian"/>
        </w:rPr>
        <w:t>fenytoina - stosowana do leczenia drgawek</w:t>
      </w:r>
    </w:p>
    <w:p w14:paraId="5F53C6C9" w14:textId="77777777" w:rsidR="004B14CC" w:rsidRPr="00F13073" w:rsidRDefault="004B14CC" w:rsidP="008B4C50">
      <w:pPr>
        <w:pStyle w:val="a0"/>
        <w:numPr>
          <w:ilvl w:val="0"/>
          <w:numId w:val="14"/>
        </w:numPr>
        <w:ind w:left="567" w:hanging="567"/>
        <w:contextualSpacing w:val="0"/>
        <w:rPr>
          <w:rStyle w:val="Char"/>
          <w:rFonts w:eastAsia="DengXian"/>
        </w:rPr>
      </w:pPr>
      <w:r w:rsidRPr="00F13073">
        <w:rPr>
          <w:rStyle w:val="Char"/>
          <w:rFonts w:eastAsia="DengXian"/>
        </w:rPr>
        <w:t>cyklosporyna - stosowana w celu osłabienia układu odpornościowego podczas przeszczepu narządów</w:t>
      </w:r>
    </w:p>
    <w:p w14:paraId="2BFDFC97" w14:textId="77777777" w:rsidR="00B868CC" w:rsidRPr="00F13073" w:rsidRDefault="00B868CC" w:rsidP="008B4C50">
      <w:pPr>
        <w:pStyle w:val="a0"/>
        <w:numPr>
          <w:ilvl w:val="0"/>
          <w:numId w:val="14"/>
        </w:numPr>
        <w:ind w:left="567" w:hanging="567"/>
        <w:contextualSpacing w:val="0"/>
      </w:pPr>
      <w:r w:rsidRPr="00F13073">
        <w:rPr>
          <w:rStyle w:val="Char"/>
          <w:rFonts w:eastAsia="DengXian"/>
        </w:rPr>
        <w:t>benzodiazepiny (np. temazepam) - leki stosowane w celu zmniejszenia lęku.</w:t>
      </w:r>
    </w:p>
    <w:p w14:paraId="49CFF217" w14:textId="77777777" w:rsidR="004B14CC" w:rsidRPr="00F13073" w:rsidRDefault="004B14CC" w:rsidP="008B4C50">
      <w:pPr>
        <w:pStyle w:val="a4"/>
        <w:widowControl/>
        <w:spacing w:after="0"/>
        <w:rPr>
          <w:rStyle w:val="Char"/>
        </w:rPr>
      </w:pPr>
    </w:p>
    <w:p w14:paraId="49872FE6" w14:textId="73B99932" w:rsidR="00B868CC" w:rsidRPr="00F13073" w:rsidRDefault="00B868CC" w:rsidP="008B4C50">
      <w:pPr>
        <w:pStyle w:val="a4"/>
        <w:widowControl/>
        <w:spacing w:after="0"/>
        <w:rPr>
          <w:rStyle w:val="Char"/>
        </w:rPr>
      </w:pPr>
      <w:r w:rsidRPr="00F13073">
        <w:rPr>
          <w:rStyle w:val="Char"/>
        </w:rPr>
        <w:t xml:space="preserve">Z powodu braku badań klinicznych nie należy stosować </w:t>
      </w:r>
      <w:r w:rsidR="009C0B01" w:rsidRPr="00F13073">
        <w:rPr>
          <w:rStyle w:val="Char"/>
        </w:rPr>
        <w:t>tocilizumabu</w:t>
      </w:r>
      <w:r w:rsidRPr="00F13073">
        <w:rPr>
          <w:rStyle w:val="Char"/>
        </w:rPr>
        <w:t xml:space="preserve"> z innymi lekami biologicznymi stosowanymi w leczeniu RZS, uMIZS, wMIZS lub GCA.</w:t>
      </w:r>
    </w:p>
    <w:p w14:paraId="624578B3" w14:textId="77777777" w:rsidR="004B14CC" w:rsidRPr="00F13073" w:rsidRDefault="004B14CC" w:rsidP="008B4C50">
      <w:pPr>
        <w:pStyle w:val="a4"/>
        <w:widowControl/>
        <w:spacing w:after="0"/>
      </w:pPr>
    </w:p>
    <w:p w14:paraId="1E344551" w14:textId="77777777" w:rsidR="00B868CC" w:rsidRPr="00F13073" w:rsidRDefault="00B868CC" w:rsidP="008B4C50">
      <w:pPr>
        <w:pStyle w:val="a4"/>
        <w:widowControl/>
        <w:spacing w:after="0"/>
      </w:pPr>
      <w:r w:rsidRPr="00F13073">
        <w:rPr>
          <w:rStyle w:val="Char"/>
          <w:b/>
          <w:bCs/>
        </w:rPr>
        <w:t>Ciąża, karmienie piersią i płodność</w:t>
      </w:r>
    </w:p>
    <w:p w14:paraId="5654098B" w14:textId="77777777" w:rsidR="004B14CC" w:rsidRPr="00F13073" w:rsidRDefault="004B14CC" w:rsidP="008B4C50">
      <w:pPr>
        <w:pStyle w:val="a4"/>
        <w:widowControl/>
        <w:spacing w:after="0"/>
        <w:rPr>
          <w:rStyle w:val="Char"/>
          <w:b/>
          <w:bCs/>
        </w:rPr>
      </w:pPr>
    </w:p>
    <w:p w14:paraId="70FF0085" w14:textId="323714DE" w:rsidR="00B868CC" w:rsidRPr="00F13073" w:rsidRDefault="00B868CC" w:rsidP="008B4C50">
      <w:pPr>
        <w:pStyle w:val="a4"/>
        <w:widowControl/>
        <w:spacing w:after="0"/>
        <w:rPr>
          <w:rStyle w:val="Char"/>
        </w:rPr>
      </w:pPr>
      <w:r w:rsidRPr="00F13073">
        <w:rPr>
          <w:rStyle w:val="Char"/>
          <w:b/>
          <w:bCs/>
        </w:rPr>
        <w:t xml:space="preserve">Leku </w:t>
      </w:r>
      <w:r w:rsidR="00026375" w:rsidRPr="00F13073">
        <w:rPr>
          <w:rStyle w:val="Char"/>
          <w:b/>
          <w:bCs/>
        </w:rPr>
        <w:t>Avtozma</w:t>
      </w:r>
      <w:r w:rsidRPr="00F13073">
        <w:rPr>
          <w:rStyle w:val="Char"/>
          <w:b/>
          <w:bCs/>
        </w:rPr>
        <w:t xml:space="preserve"> nie należy stosować w czasie ciąży</w:t>
      </w:r>
      <w:r w:rsidRPr="00F13073">
        <w:rPr>
          <w:rStyle w:val="Char"/>
        </w:rPr>
        <w:t>, chyba że jest to bezwzględnie konieczne. Jeśli pacjentka jest w ciąży, przypuszcza, że może być w ciąży lub gdy planuje mieć dziecko, powinna poradzić się lekarza.</w:t>
      </w:r>
    </w:p>
    <w:p w14:paraId="01C3E528" w14:textId="77777777" w:rsidR="004B14CC" w:rsidRPr="00F13073" w:rsidRDefault="004B14CC" w:rsidP="008B4C50">
      <w:pPr>
        <w:pStyle w:val="a4"/>
        <w:widowControl/>
        <w:spacing w:after="0"/>
      </w:pPr>
    </w:p>
    <w:p w14:paraId="533AE64E" w14:textId="77777777" w:rsidR="00B868CC" w:rsidRPr="00F13073" w:rsidRDefault="00B868CC" w:rsidP="008B4C50">
      <w:pPr>
        <w:pStyle w:val="a4"/>
        <w:widowControl/>
        <w:spacing w:after="0"/>
        <w:rPr>
          <w:rStyle w:val="Char"/>
        </w:rPr>
      </w:pPr>
      <w:r w:rsidRPr="00F13073">
        <w:rPr>
          <w:rStyle w:val="Char"/>
          <w:b/>
          <w:bCs/>
        </w:rPr>
        <w:t xml:space="preserve">Kobiety w wieku rozrodczym muszą </w:t>
      </w:r>
      <w:r w:rsidRPr="00F13073">
        <w:rPr>
          <w:rStyle w:val="Char"/>
        </w:rPr>
        <w:t>stosować skuteczną antykoncepcję w trakcie leczenia i do 3 miesięcy po jego zakończeniu.</w:t>
      </w:r>
    </w:p>
    <w:p w14:paraId="15A20FB7" w14:textId="77777777" w:rsidR="004B14CC" w:rsidRPr="00F13073" w:rsidRDefault="004B14CC" w:rsidP="008B4C50">
      <w:pPr>
        <w:pStyle w:val="a4"/>
        <w:widowControl/>
        <w:spacing w:after="0"/>
      </w:pPr>
    </w:p>
    <w:p w14:paraId="05418DA4" w14:textId="53044D5D" w:rsidR="00B868CC" w:rsidRPr="00F13073" w:rsidRDefault="00B868CC" w:rsidP="008B4C50">
      <w:pPr>
        <w:pStyle w:val="a4"/>
        <w:widowControl/>
        <w:spacing w:after="0"/>
        <w:rPr>
          <w:rStyle w:val="Char"/>
        </w:rPr>
      </w:pPr>
      <w:r w:rsidRPr="00F13073">
        <w:rPr>
          <w:rStyle w:val="Char"/>
          <w:b/>
          <w:bCs/>
        </w:rPr>
        <w:t xml:space="preserve">Należy przerwać karmienie piersią </w:t>
      </w:r>
      <w:r w:rsidRPr="00F13073">
        <w:rPr>
          <w:rStyle w:val="Char"/>
        </w:rPr>
        <w:t xml:space="preserve">i poinformować lekarza, </w:t>
      </w:r>
      <w:r w:rsidRPr="00F13073">
        <w:rPr>
          <w:rStyle w:val="Char"/>
          <w:b/>
          <w:bCs/>
        </w:rPr>
        <w:t xml:space="preserve">jeśli pacjentka ma otrzymać lek </w:t>
      </w:r>
      <w:r w:rsidR="00026375" w:rsidRPr="00F13073">
        <w:rPr>
          <w:rStyle w:val="Char"/>
          <w:b/>
          <w:bCs/>
        </w:rPr>
        <w:t>Avtozma</w:t>
      </w:r>
      <w:r w:rsidRPr="00F13073">
        <w:rPr>
          <w:rStyle w:val="Char"/>
          <w:b/>
          <w:bCs/>
        </w:rPr>
        <w:t xml:space="preserve">. </w:t>
      </w:r>
      <w:r w:rsidRPr="00F13073">
        <w:rPr>
          <w:rStyle w:val="Char"/>
        </w:rPr>
        <w:t xml:space="preserve">Po zakończeniu leczenia należy odczekać co najmniej 3 miesiące przed rozpoczęciem karmienia piersią. Nie wiadomo, czy lek </w:t>
      </w:r>
      <w:r w:rsidR="00026375" w:rsidRPr="00F13073">
        <w:rPr>
          <w:rStyle w:val="Char"/>
        </w:rPr>
        <w:t>Avtozma</w:t>
      </w:r>
      <w:r w:rsidRPr="00F13073">
        <w:rPr>
          <w:rStyle w:val="Char"/>
        </w:rPr>
        <w:t xml:space="preserve"> przenika do mleka matki.</w:t>
      </w:r>
    </w:p>
    <w:p w14:paraId="3EE37BDC" w14:textId="77777777" w:rsidR="004B14CC" w:rsidRPr="00F13073" w:rsidRDefault="004B14CC" w:rsidP="008B4C50">
      <w:pPr>
        <w:pStyle w:val="a4"/>
        <w:widowControl/>
        <w:spacing w:after="0"/>
      </w:pPr>
    </w:p>
    <w:p w14:paraId="38137200" w14:textId="77777777" w:rsidR="00B868CC" w:rsidRPr="00F13073" w:rsidRDefault="00B868CC" w:rsidP="008B4C50">
      <w:pPr>
        <w:pStyle w:val="a4"/>
        <w:widowControl/>
        <w:spacing w:after="0"/>
      </w:pPr>
      <w:r w:rsidRPr="00F13073">
        <w:rPr>
          <w:rStyle w:val="Char"/>
          <w:b/>
          <w:bCs/>
        </w:rPr>
        <w:t>Prowadzenie pojazdów i obsługa maszyn</w:t>
      </w:r>
    </w:p>
    <w:p w14:paraId="5D0943FD" w14:textId="77777777" w:rsidR="00306421" w:rsidRPr="00F13073" w:rsidRDefault="00B868CC" w:rsidP="008B4C50">
      <w:pPr>
        <w:pStyle w:val="a0"/>
        <w:ind w:left="0" w:firstLine="0"/>
      </w:pPr>
      <w:r w:rsidRPr="00F13073">
        <w:rPr>
          <w:rStyle w:val="Char"/>
          <w:rFonts w:eastAsia="DengXian"/>
        </w:rPr>
        <w:t>Ten lek może powodować zawroty głowy. Nie należy prowadzić pojazdów i obsługiwać maszyn, jeśli pojawią się zawroty głowy.</w:t>
      </w:r>
    </w:p>
    <w:p w14:paraId="47822085" w14:textId="77777777" w:rsidR="00306421" w:rsidRPr="00F13073" w:rsidRDefault="00306421" w:rsidP="008B4C50"/>
    <w:p w14:paraId="33FA1E65" w14:textId="77777777" w:rsidR="00E01C3A" w:rsidRPr="00F13073" w:rsidRDefault="00E01C3A" w:rsidP="00E01C3A">
      <w:pPr>
        <w:pStyle w:val="a4"/>
        <w:widowControl/>
        <w:spacing w:after="0"/>
      </w:pPr>
      <w:r w:rsidRPr="00F13073">
        <w:rPr>
          <w:rStyle w:val="Char"/>
          <w:b/>
          <w:bCs/>
        </w:rPr>
        <w:t>Lek Avtozma zawiera polisorbat</w:t>
      </w:r>
    </w:p>
    <w:p w14:paraId="7942AD71" w14:textId="6506958C" w:rsidR="00E01C3A" w:rsidRPr="00F13073" w:rsidRDefault="00E01C3A" w:rsidP="00E01C3A">
      <w:r w:rsidRPr="00F13073">
        <w:rPr>
          <w:rStyle w:val="Char"/>
          <w:rFonts w:eastAsia="DengXian"/>
        </w:rPr>
        <w:t>Ten lek zawiera 0,2 mg polisorbatu 80 w każdej ampułko-strzykawce. Polisorbaty mogą powodować reakcje alergiczne. Należy poinformować lekarza, jeśli u pacjenta występują znane reakcje alergiczne.</w:t>
      </w:r>
    </w:p>
    <w:p w14:paraId="66265F76" w14:textId="77777777" w:rsidR="00306421" w:rsidRPr="00F13073" w:rsidRDefault="00306421" w:rsidP="008B4C50"/>
    <w:p w14:paraId="29E8A485" w14:textId="77777777" w:rsidR="008B33B8" w:rsidRPr="00F13073" w:rsidRDefault="008B33B8" w:rsidP="008B4C50"/>
    <w:p w14:paraId="69292734" w14:textId="6718BA61" w:rsidR="001E0975" w:rsidRPr="00F13073" w:rsidRDefault="001721B1" w:rsidP="008B4C50">
      <w:pPr>
        <w:keepNext/>
        <w:ind w:left="567" w:hanging="567"/>
        <w:rPr>
          <w:b/>
          <w:bCs/>
        </w:rPr>
      </w:pPr>
      <w:r w:rsidRPr="00F13073">
        <w:rPr>
          <w:b/>
          <w:bCs/>
        </w:rPr>
        <w:t>3.</w:t>
      </w:r>
      <w:r w:rsidRPr="00F13073">
        <w:rPr>
          <w:b/>
          <w:bCs/>
        </w:rPr>
        <w:tab/>
      </w:r>
      <w:r w:rsidR="001A0CBA" w:rsidRPr="00F13073">
        <w:rPr>
          <w:rStyle w:val="Char"/>
          <w:rFonts w:eastAsia="DengXian"/>
          <w:b/>
          <w:bCs/>
        </w:rPr>
        <w:t xml:space="preserve">Jak przyjmować lek </w:t>
      </w:r>
      <w:r w:rsidR="00026375" w:rsidRPr="00F13073">
        <w:rPr>
          <w:rStyle w:val="Char"/>
          <w:rFonts w:eastAsia="DengXian"/>
          <w:b/>
          <w:bCs/>
        </w:rPr>
        <w:t>Avtozma</w:t>
      </w:r>
    </w:p>
    <w:p w14:paraId="6AD1E0F6" w14:textId="77777777" w:rsidR="00306421" w:rsidRPr="00F13073" w:rsidRDefault="00306421" w:rsidP="008B4C50">
      <w:pPr>
        <w:keepNext/>
        <w:ind w:left="567" w:hanging="567"/>
        <w:rPr>
          <w:b/>
          <w:bCs/>
        </w:rPr>
      </w:pPr>
    </w:p>
    <w:p w14:paraId="10B02CDD" w14:textId="77777777" w:rsidR="001A0CBA" w:rsidRPr="00F13073" w:rsidRDefault="001A0CBA" w:rsidP="008B4C50">
      <w:pPr>
        <w:pStyle w:val="a4"/>
        <w:widowControl/>
        <w:spacing w:after="0"/>
        <w:rPr>
          <w:rStyle w:val="Char"/>
        </w:rPr>
      </w:pPr>
      <w:r w:rsidRPr="00F13073">
        <w:rPr>
          <w:rStyle w:val="Char"/>
        </w:rPr>
        <w:t>Ten lek należy zawsze stosować zgodnie z zaleceniami lekarza, farmaceuty lub pielęgniarki. W razie wątpliwości należy zwrócić się do lekarza, farmaceuty lub pielęgniarki.</w:t>
      </w:r>
    </w:p>
    <w:p w14:paraId="51B5D88D" w14:textId="77777777" w:rsidR="001A0CBA" w:rsidRPr="00F13073" w:rsidRDefault="001A0CBA" w:rsidP="008B4C50">
      <w:pPr>
        <w:pStyle w:val="a4"/>
        <w:widowControl/>
        <w:spacing w:after="0"/>
      </w:pPr>
    </w:p>
    <w:p w14:paraId="484170E3" w14:textId="77777777" w:rsidR="001A0CBA" w:rsidRPr="00F13073" w:rsidRDefault="001A0CBA" w:rsidP="008B4C50">
      <w:pPr>
        <w:pStyle w:val="a4"/>
        <w:widowControl/>
        <w:spacing w:after="0"/>
        <w:rPr>
          <w:rStyle w:val="Char"/>
        </w:rPr>
      </w:pPr>
      <w:r w:rsidRPr="00F13073">
        <w:rPr>
          <w:rStyle w:val="Char"/>
        </w:rPr>
        <w:t>Leczenie będzie przepisywane i rozpoczynane przez lekarza doświadczonego w rozpoznawaniu i leczeniu RZS, uMIZS, wMIZS lub GCA.</w:t>
      </w:r>
    </w:p>
    <w:p w14:paraId="1194A23D" w14:textId="77777777" w:rsidR="001A0CBA" w:rsidRPr="00F13073" w:rsidRDefault="001A0CBA" w:rsidP="008B4C50">
      <w:pPr>
        <w:pStyle w:val="a4"/>
        <w:widowControl/>
        <w:spacing w:after="0"/>
      </w:pPr>
    </w:p>
    <w:p w14:paraId="0E20B59C" w14:textId="77777777" w:rsidR="001A0CBA" w:rsidRPr="00F13073" w:rsidRDefault="001A0CBA" w:rsidP="008B4C50">
      <w:pPr>
        <w:pStyle w:val="a4"/>
        <w:widowControl/>
        <w:spacing w:after="0"/>
      </w:pPr>
      <w:r w:rsidRPr="00F13073">
        <w:rPr>
          <w:rStyle w:val="Char"/>
          <w:b/>
          <w:bCs/>
        </w:rPr>
        <w:t>Zalecana dawka</w:t>
      </w:r>
    </w:p>
    <w:p w14:paraId="17E3E509" w14:textId="77777777" w:rsidR="001A0CBA" w:rsidRPr="00F13073" w:rsidRDefault="001A0CBA" w:rsidP="008B4C50">
      <w:pPr>
        <w:pStyle w:val="a4"/>
        <w:widowControl/>
        <w:spacing w:after="0"/>
        <w:rPr>
          <w:rStyle w:val="Char"/>
        </w:rPr>
      </w:pPr>
      <w:r w:rsidRPr="00F13073">
        <w:rPr>
          <w:rStyle w:val="Char"/>
        </w:rPr>
        <w:t>Dawka dla dorosłych pacjentów z RZS i GCA to 162 mg (zawartość jednej ampułko-strzykawki), podawana raz w tygodniu.</w:t>
      </w:r>
    </w:p>
    <w:p w14:paraId="1CD64910" w14:textId="77777777" w:rsidR="001A0CBA" w:rsidRPr="00F13073" w:rsidRDefault="001A0CBA" w:rsidP="008B4C50">
      <w:pPr>
        <w:pStyle w:val="a4"/>
        <w:widowControl/>
        <w:spacing w:after="0"/>
      </w:pPr>
    </w:p>
    <w:p w14:paraId="63BDA687" w14:textId="77777777" w:rsidR="001A0CBA" w:rsidRPr="00F13073" w:rsidRDefault="001A0CBA" w:rsidP="008B4C50">
      <w:pPr>
        <w:pStyle w:val="a4"/>
        <w:widowControl/>
        <w:spacing w:after="0"/>
      </w:pPr>
      <w:r w:rsidRPr="00F13073">
        <w:rPr>
          <w:rStyle w:val="Char"/>
          <w:b/>
          <w:bCs/>
        </w:rPr>
        <w:t>Dzieci i młodzież z uMIZS (w wieku 1 rok i starsi)</w:t>
      </w:r>
    </w:p>
    <w:p w14:paraId="7DAA8053" w14:textId="3AB31406" w:rsidR="001A0CBA" w:rsidRPr="00F13073" w:rsidRDefault="001A0CBA" w:rsidP="008B4C50">
      <w:pPr>
        <w:pStyle w:val="a4"/>
        <w:widowControl/>
        <w:spacing w:after="0"/>
        <w:rPr>
          <w:rStyle w:val="Char"/>
          <w:b/>
          <w:bCs/>
        </w:rPr>
      </w:pPr>
      <w:r w:rsidRPr="00F13073">
        <w:rPr>
          <w:rStyle w:val="Char"/>
          <w:b/>
          <w:bCs/>
        </w:rPr>
        <w:t xml:space="preserve">Zazwyczaj stosowana dawka leku </w:t>
      </w:r>
      <w:r w:rsidR="00026375" w:rsidRPr="00F13073">
        <w:rPr>
          <w:rStyle w:val="Char"/>
          <w:b/>
          <w:bCs/>
        </w:rPr>
        <w:t>Avtozma</w:t>
      </w:r>
      <w:r w:rsidRPr="00F13073">
        <w:rPr>
          <w:rStyle w:val="Char"/>
          <w:b/>
          <w:bCs/>
        </w:rPr>
        <w:t xml:space="preserve"> zależy od masy ciała pacjenta.</w:t>
      </w:r>
    </w:p>
    <w:p w14:paraId="1109F6F4" w14:textId="77777777"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pacjent waży </w:t>
      </w:r>
      <w:r w:rsidRPr="00F13073">
        <w:rPr>
          <w:rStyle w:val="Char"/>
          <w:rFonts w:eastAsia="DengXian"/>
          <w:b/>
          <w:bCs/>
        </w:rPr>
        <w:t>mniej niż 30 kg</w:t>
      </w:r>
      <w:r w:rsidRPr="00F13073">
        <w:rPr>
          <w:rStyle w:val="Char"/>
          <w:rFonts w:eastAsia="DengXian"/>
        </w:rPr>
        <w:t>: dawka wynosi 162 mg (zawartość jednej ampułko- strzykawki), raz na 2 tygodnie.</w:t>
      </w:r>
    </w:p>
    <w:p w14:paraId="4653996D" w14:textId="77777777"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pacjent waży </w:t>
      </w:r>
      <w:r w:rsidRPr="00F13073">
        <w:rPr>
          <w:rStyle w:val="Char"/>
          <w:rFonts w:eastAsia="DengXian"/>
          <w:b/>
          <w:bCs/>
        </w:rPr>
        <w:t>30 kg lub więcej</w:t>
      </w:r>
      <w:r w:rsidRPr="00F13073">
        <w:rPr>
          <w:rStyle w:val="Char"/>
          <w:rFonts w:eastAsia="DengXian"/>
        </w:rPr>
        <w:t>: dawka wynosi 162 mg (zawartość jednej ampułko- strzykawki), raz na tydzień.</w:t>
      </w:r>
    </w:p>
    <w:p w14:paraId="1031B993" w14:textId="77777777" w:rsidR="001A0CBA" w:rsidRPr="00F13073" w:rsidRDefault="001A0CBA" w:rsidP="008B4C50">
      <w:pPr>
        <w:pStyle w:val="a4"/>
        <w:widowControl/>
        <w:spacing w:after="0"/>
        <w:rPr>
          <w:rStyle w:val="Char"/>
          <w:b/>
          <w:bCs/>
        </w:rPr>
      </w:pPr>
    </w:p>
    <w:p w14:paraId="5EA9011C" w14:textId="77777777" w:rsidR="001A0CBA" w:rsidRPr="00F13073" w:rsidRDefault="001A0CBA" w:rsidP="008B33B8">
      <w:pPr>
        <w:pStyle w:val="a4"/>
        <w:keepNext/>
        <w:widowControl/>
        <w:spacing w:after="0"/>
      </w:pPr>
      <w:r w:rsidRPr="00F13073">
        <w:rPr>
          <w:rStyle w:val="Char"/>
          <w:b/>
          <w:bCs/>
        </w:rPr>
        <w:t>Dzieci i młodzież z wMIZS (w wieku 2 lata i starsi)</w:t>
      </w:r>
    </w:p>
    <w:p w14:paraId="149C7EAB" w14:textId="0313FC88" w:rsidR="001A0CBA" w:rsidRPr="00F13073" w:rsidRDefault="001A0CBA" w:rsidP="008B4C50">
      <w:pPr>
        <w:pStyle w:val="a4"/>
        <w:widowControl/>
        <w:spacing w:after="0"/>
      </w:pPr>
      <w:r w:rsidRPr="00F13073">
        <w:rPr>
          <w:rStyle w:val="Char"/>
          <w:b/>
          <w:bCs/>
        </w:rPr>
        <w:t xml:space="preserve">Zazwyczaj stosowana dawka leku </w:t>
      </w:r>
      <w:r w:rsidR="00026375" w:rsidRPr="00F13073">
        <w:rPr>
          <w:rStyle w:val="Char"/>
          <w:b/>
          <w:bCs/>
        </w:rPr>
        <w:t>Avtozma</w:t>
      </w:r>
      <w:r w:rsidRPr="00F13073">
        <w:rPr>
          <w:rStyle w:val="Char"/>
          <w:b/>
          <w:bCs/>
        </w:rPr>
        <w:t xml:space="preserve"> zależy od masy ciała pacjenta.</w:t>
      </w:r>
    </w:p>
    <w:p w14:paraId="52B42463" w14:textId="77777777"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pacjent waży </w:t>
      </w:r>
      <w:r w:rsidRPr="00F13073">
        <w:rPr>
          <w:rStyle w:val="Char"/>
          <w:rFonts w:eastAsia="DengXian"/>
          <w:b/>
          <w:bCs/>
        </w:rPr>
        <w:t>mniej niż 30 kg</w:t>
      </w:r>
      <w:r w:rsidRPr="00F13073">
        <w:rPr>
          <w:rStyle w:val="Char"/>
          <w:rFonts w:eastAsia="DengXian"/>
        </w:rPr>
        <w:t xml:space="preserve">: dawka wynosi 162 mg (zawartość jednej ampułko- strzykawki), </w:t>
      </w:r>
      <w:r w:rsidRPr="00F13073">
        <w:rPr>
          <w:rStyle w:val="Char"/>
          <w:rFonts w:eastAsia="DengXian"/>
          <w:b/>
          <w:bCs/>
        </w:rPr>
        <w:t>raz na 3 tygodnie.</w:t>
      </w:r>
    </w:p>
    <w:p w14:paraId="63E4C1A1" w14:textId="77777777"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pacjent waży </w:t>
      </w:r>
      <w:r w:rsidRPr="00F13073">
        <w:rPr>
          <w:rStyle w:val="Char"/>
          <w:rFonts w:eastAsia="DengXian"/>
          <w:b/>
          <w:bCs/>
        </w:rPr>
        <w:t>30 kg lub więcej</w:t>
      </w:r>
      <w:r w:rsidRPr="00F13073">
        <w:rPr>
          <w:rStyle w:val="Char"/>
          <w:rFonts w:eastAsia="DengXian"/>
        </w:rPr>
        <w:t xml:space="preserve">: dawka wynosi 162 mg (zawartość jednej ampułko- strzykawki), </w:t>
      </w:r>
      <w:r w:rsidRPr="00F13073">
        <w:rPr>
          <w:rStyle w:val="Char"/>
          <w:rFonts w:eastAsia="DengXian"/>
          <w:b/>
          <w:bCs/>
        </w:rPr>
        <w:t>raz na 2 tygodnie.</w:t>
      </w:r>
    </w:p>
    <w:p w14:paraId="59E52B42" w14:textId="77777777" w:rsidR="001A0CBA" w:rsidRPr="00F13073" w:rsidRDefault="001A0CBA" w:rsidP="008B4C50">
      <w:pPr>
        <w:pStyle w:val="a4"/>
        <w:widowControl/>
        <w:spacing w:after="0"/>
        <w:rPr>
          <w:rStyle w:val="Char"/>
        </w:rPr>
      </w:pPr>
    </w:p>
    <w:p w14:paraId="47B960C9" w14:textId="60BC336C" w:rsidR="001A0CBA" w:rsidRPr="00F13073" w:rsidRDefault="001A0CBA" w:rsidP="008B4C50">
      <w:pPr>
        <w:pStyle w:val="a4"/>
        <w:widowControl/>
        <w:spacing w:after="0"/>
        <w:rPr>
          <w:rStyle w:val="Char"/>
        </w:rPr>
      </w:pPr>
      <w:r w:rsidRPr="00F13073">
        <w:rPr>
          <w:rStyle w:val="Char"/>
        </w:rPr>
        <w:lastRenderedPageBreak/>
        <w:t xml:space="preserve">Lek </w:t>
      </w:r>
      <w:r w:rsidR="00026375" w:rsidRPr="00F13073">
        <w:rPr>
          <w:rStyle w:val="Char"/>
        </w:rPr>
        <w:t>Avtozma</w:t>
      </w:r>
      <w:r w:rsidRPr="00F13073">
        <w:rPr>
          <w:rStyle w:val="Char"/>
        </w:rPr>
        <w:t xml:space="preserve"> podaje się w iniekcji podskórnej </w:t>
      </w:r>
      <w:r w:rsidRPr="00F13073">
        <w:rPr>
          <w:rStyle w:val="Char"/>
          <w:i/>
          <w:iCs/>
        </w:rPr>
        <w:t>(podskórnie</w:t>
      </w:r>
      <w:r w:rsidRPr="00F13073">
        <w:rPr>
          <w:rStyle w:val="Char"/>
        </w:rPr>
        <w:t xml:space="preserve">). Początkowo lek </w:t>
      </w:r>
      <w:r w:rsidR="00026375" w:rsidRPr="00F13073">
        <w:rPr>
          <w:rStyle w:val="Char"/>
        </w:rPr>
        <w:t>Avtozma</w:t>
      </w:r>
      <w:r w:rsidRPr="00F13073">
        <w:rPr>
          <w:rStyle w:val="Char"/>
        </w:rPr>
        <w:t xml:space="preserve"> może być podawany przez lekarza lub pielęgniarkę. Lekarz może jednak zdecydować, że pacjent może dokonywać wstrzykiwania leku </w:t>
      </w:r>
      <w:r w:rsidR="00026375" w:rsidRPr="00F13073">
        <w:rPr>
          <w:rStyle w:val="Char"/>
        </w:rPr>
        <w:t>Avtozma</w:t>
      </w:r>
      <w:r w:rsidRPr="00F13073">
        <w:rPr>
          <w:rStyle w:val="Char"/>
        </w:rPr>
        <w:t xml:space="preserve"> samodzielnie. W takim przypadku pacjent zostanie przeszkolony w zakresie samodzielnego wstrzykiwania leku </w:t>
      </w:r>
      <w:r w:rsidR="00026375" w:rsidRPr="00F13073">
        <w:rPr>
          <w:rStyle w:val="Char"/>
        </w:rPr>
        <w:t>Avtozma</w:t>
      </w:r>
      <w:r w:rsidRPr="00F13073">
        <w:rPr>
          <w:rStyle w:val="Char"/>
        </w:rPr>
        <w:t xml:space="preserve">. Rodzice i opiekunowie zostaną przeszkoleni w zakresie sposobu wstrzykiwania leku </w:t>
      </w:r>
      <w:r w:rsidR="00026375" w:rsidRPr="00F13073">
        <w:rPr>
          <w:rStyle w:val="Char"/>
        </w:rPr>
        <w:t>Avtozma</w:t>
      </w:r>
      <w:r w:rsidRPr="00F13073">
        <w:rPr>
          <w:rStyle w:val="Char"/>
        </w:rPr>
        <w:t>, jeśli samodzielne podanie leku przez pacjenta jest niemożliwe, np. w przypadku dzieci.</w:t>
      </w:r>
    </w:p>
    <w:p w14:paraId="2DC2E8BF" w14:textId="77777777" w:rsidR="001A0CBA" w:rsidRPr="00F13073" w:rsidRDefault="001A0CBA" w:rsidP="008B4C50">
      <w:pPr>
        <w:pStyle w:val="a4"/>
        <w:widowControl/>
        <w:spacing w:after="0"/>
      </w:pPr>
    </w:p>
    <w:p w14:paraId="2967A62E" w14:textId="3814C6CA" w:rsidR="001A0CBA" w:rsidRPr="00F13073" w:rsidRDefault="001A0CBA" w:rsidP="008B4C50">
      <w:pPr>
        <w:pStyle w:val="a4"/>
        <w:widowControl/>
        <w:spacing w:after="0"/>
        <w:rPr>
          <w:rStyle w:val="Char"/>
        </w:rPr>
      </w:pPr>
      <w:r w:rsidRPr="00F13073">
        <w:rPr>
          <w:rStyle w:val="Char"/>
        </w:rPr>
        <w:t>Należy zwrócić się do lekarza, jeśli ma się wątpliwości dotyczące samodzielnego wykonywania zastrzyków. Szczegółowe „Instrukcje podawania” znajdują się na końcu tej ulotki.</w:t>
      </w:r>
    </w:p>
    <w:p w14:paraId="085EEE6F" w14:textId="77777777" w:rsidR="001A0CBA" w:rsidRPr="00F13073" w:rsidRDefault="001A0CBA" w:rsidP="008B4C50">
      <w:pPr>
        <w:pStyle w:val="a4"/>
        <w:widowControl/>
        <w:spacing w:after="0"/>
      </w:pPr>
    </w:p>
    <w:p w14:paraId="3CEDC2E2" w14:textId="101AFC11" w:rsidR="001A0CBA" w:rsidRPr="00F13073" w:rsidRDefault="001A0CBA" w:rsidP="006C369E">
      <w:pPr>
        <w:pStyle w:val="a4"/>
        <w:keepNext/>
        <w:widowControl/>
        <w:spacing w:after="0"/>
      </w:pPr>
      <w:r w:rsidRPr="00F13073">
        <w:rPr>
          <w:rStyle w:val="Char"/>
          <w:b/>
          <w:bCs/>
        </w:rPr>
        <w:t xml:space="preserve">Zastosowanie większej niż zalecana dawki leku </w:t>
      </w:r>
      <w:r w:rsidR="00026375" w:rsidRPr="00F13073">
        <w:rPr>
          <w:rStyle w:val="Char"/>
          <w:b/>
          <w:bCs/>
        </w:rPr>
        <w:t>Avtozma</w:t>
      </w:r>
    </w:p>
    <w:p w14:paraId="085A388A" w14:textId="7644D2FE" w:rsidR="001A0CBA" w:rsidRPr="00F13073" w:rsidRDefault="001A0CBA" w:rsidP="008B4C50">
      <w:pPr>
        <w:pStyle w:val="a4"/>
        <w:widowControl/>
        <w:spacing w:after="0"/>
      </w:pPr>
      <w:r w:rsidRPr="00F13073">
        <w:rPr>
          <w:rStyle w:val="Char"/>
        </w:rPr>
        <w:t xml:space="preserve">Ponieważ lek </w:t>
      </w:r>
      <w:r w:rsidR="00026375" w:rsidRPr="00F13073">
        <w:rPr>
          <w:rStyle w:val="Char"/>
        </w:rPr>
        <w:t>Avtozma</w:t>
      </w:r>
      <w:r w:rsidRPr="00F13073">
        <w:rPr>
          <w:rStyle w:val="Char"/>
        </w:rPr>
        <w:t xml:space="preserve"> jest podawany z pojedynczej ampułko-strzykawki, podanie większej niż zalecana dawki leku jest mało prawdopodobne.</w:t>
      </w:r>
    </w:p>
    <w:p w14:paraId="0837B0D8" w14:textId="77777777" w:rsidR="001A0CBA" w:rsidRPr="00F13073" w:rsidRDefault="001A0CBA" w:rsidP="008B4C50">
      <w:pPr>
        <w:pStyle w:val="a4"/>
        <w:widowControl/>
        <w:spacing w:after="0"/>
        <w:rPr>
          <w:rStyle w:val="Char"/>
        </w:rPr>
      </w:pPr>
      <w:r w:rsidRPr="00F13073">
        <w:rPr>
          <w:rStyle w:val="Char"/>
        </w:rPr>
        <w:t>Jednakże w razie wątpliwości, należy zwrócić się do lekarza, farmaceuty lub pielęgniarki.</w:t>
      </w:r>
    </w:p>
    <w:p w14:paraId="5B881679" w14:textId="77777777" w:rsidR="007309A2" w:rsidRPr="00F13073" w:rsidRDefault="007309A2" w:rsidP="008B4C50">
      <w:pPr>
        <w:pStyle w:val="a4"/>
        <w:widowControl/>
        <w:spacing w:after="0"/>
      </w:pPr>
    </w:p>
    <w:p w14:paraId="0ED30F27" w14:textId="77777777" w:rsidR="001A0CBA" w:rsidRPr="00F13073" w:rsidRDefault="001A0CBA" w:rsidP="008B4C50">
      <w:pPr>
        <w:pStyle w:val="a4"/>
        <w:widowControl/>
        <w:spacing w:after="0"/>
      </w:pPr>
      <w:r w:rsidRPr="00F13073">
        <w:rPr>
          <w:rStyle w:val="Char"/>
          <w:b/>
          <w:bCs/>
        </w:rPr>
        <w:t>Jeśli osoba dorosła z RZS lub GCA bądź dziecko lub młodzież z uMIZS pominie lub zapomni przyjąć dawkę</w:t>
      </w:r>
    </w:p>
    <w:p w14:paraId="51F913EC" w14:textId="495F4AAA" w:rsidR="001A0CBA" w:rsidRPr="00F13073" w:rsidRDefault="001A0CBA" w:rsidP="008B4C50">
      <w:pPr>
        <w:pStyle w:val="a4"/>
        <w:widowControl/>
        <w:spacing w:after="0"/>
      </w:pPr>
      <w:r w:rsidRPr="00F13073">
        <w:rPr>
          <w:rStyle w:val="Char"/>
        </w:rPr>
        <w:t xml:space="preserve">Bardzo ważne jest, aby stosować lek </w:t>
      </w:r>
      <w:r w:rsidR="00026375" w:rsidRPr="00F13073">
        <w:rPr>
          <w:rStyle w:val="Char"/>
        </w:rPr>
        <w:t>Avtozma</w:t>
      </w:r>
      <w:r w:rsidRPr="00F13073">
        <w:rPr>
          <w:rStyle w:val="Char"/>
        </w:rPr>
        <w:t xml:space="preserve"> dokładnie tak, jak to zalecił lekarz prowadzący.</w:t>
      </w:r>
    </w:p>
    <w:p w14:paraId="5B7E2CE2" w14:textId="77777777" w:rsidR="001A0CBA" w:rsidRPr="00F13073" w:rsidRDefault="001A0CBA" w:rsidP="008B4C50">
      <w:pPr>
        <w:pStyle w:val="a4"/>
        <w:widowControl/>
        <w:spacing w:after="0"/>
      </w:pPr>
      <w:r w:rsidRPr="00F13073">
        <w:rPr>
          <w:rStyle w:val="Char"/>
        </w:rPr>
        <w:t>Należy odnotowywać przyjęcie następnej dawki leku.</w:t>
      </w:r>
    </w:p>
    <w:p w14:paraId="128CC660" w14:textId="77777777" w:rsidR="001A0CBA" w:rsidRPr="00F13073" w:rsidRDefault="001A0CBA" w:rsidP="008B4C50">
      <w:pPr>
        <w:pStyle w:val="a0"/>
        <w:numPr>
          <w:ilvl w:val="0"/>
          <w:numId w:val="14"/>
        </w:numPr>
        <w:ind w:left="567" w:hanging="567"/>
        <w:contextualSpacing w:val="0"/>
      </w:pPr>
      <w:r w:rsidRPr="00F13073">
        <w:rPr>
          <w:rStyle w:val="Char"/>
          <w:rFonts w:eastAsia="DengXian"/>
        </w:rPr>
        <w:t>Jeśli pacjent pominie cotygodniową dawkę leku i od tego czasu upłynie nie więcej niż 7 dni, należy przyjąć dawkę w następnym wyznaczonym dniu.</w:t>
      </w:r>
    </w:p>
    <w:p w14:paraId="3DA31669" w14:textId="77777777" w:rsidR="001A0CBA" w:rsidRPr="00F13073" w:rsidRDefault="001A0CBA" w:rsidP="008B4C50">
      <w:pPr>
        <w:pStyle w:val="a0"/>
        <w:numPr>
          <w:ilvl w:val="0"/>
          <w:numId w:val="14"/>
        </w:numPr>
        <w:ind w:left="567" w:hanging="567"/>
        <w:contextualSpacing w:val="0"/>
        <w:rPr>
          <w:rStyle w:val="Char"/>
          <w:rFonts w:eastAsia="DengXian"/>
        </w:rPr>
      </w:pPr>
      <w:r w:rsidRPr="00F13073">
        <w:rPr>
          <w:rStyle w:val="Char"/>
          <w:rFonts w:eastAsia="DengXian"/>
        </w:rPr>
        <w:t>Jeśli pacjent pominie dawkę leku przyjmowaną raz na dwa tygodnie i od tego czasu upłynie nie więcej niż 7 dni, należy jak najszybciej wstrzyknąć pominiętą dawkę i przyjąć kolejną dawkę w wyznaczonym terminie.</w:t>
      </w:r>
    </w:p>
    <w:p w14:paraId="349F8333" w14:textId="67C04747"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pacjent pominie dawkę leku i od tego czasu upłynie więcej niż 7 dni lub jeśli pacjent nie jest pewien, kiedy należy wstrzyknąć lek </w:t>
      </w:r>
      <w:r w:rsidR="00026375" w:rsidRPr="00F13073">
        <w:rPr>
          <w:rStyle w:val="Char"/>
          <w:rFonts w:eastAsia="DengXian"/>
        </w:rPr>
        <w:t>Avtozma</w:t>
      </w:r>
      <w:r w:rsidRPr="00F13073">
        <w:rPr>
          <w:rStyle w:val="Char"/>
          <w:rFonts w:eastAsia="DengXian"/>
        </w:rPr>
        <w:t>, należy skontaktować się z lekarzem lub farmaceutą.</w:t>
      </w:r>
    </w:p>
    <w:p w14:paraId="66791930" w14:textId="77777777" w:rsidR="00601D3E" w:rsidRPr="00F13073" w:rsidRDefault="00601D3E" w:rsidP="008B4C50">
      <w:pPr>
        <w:pStyle w:val="a4"/>
        <w:widowControl/>
        <w:spacing w:after="0"/>
        <w:rPr>
          <w:rStyle w:val="Char"/>
          <w:b/>
          <w:bCs/>
        </w:rPr>
      </w:pPr>
    </w:p>
    <w:p w14:paraId="4EC82239" w14:textId="77777777" w:rsidR="001A0CBA" w:rsidRPr="00F13073" w:rsidRDefault="001A0CBA" w:rsidP="008B4C50">
      <w:pPr>
        <w:pStyle w:val="a4"/>
        <w:widowControl/>
        <w:spacing w:after="0"/>
      </w:pPr>
      <w:r w:rsidRPr="00F13073">
        <w:rPr>
          <w:rStyle w:val="Char"/>
          <w:b/>
          <w:bCs/>
        </w:rPr>
        <w:t>Jeśli dziecko lub młodzież z wMIZS pominie lub zapomni przyjąć dawkę leku</w:t>
      </w:r>
    </w:p>
    <w:p w14:paraId="6ED5D21A" w14:textId="567B61BB" w:rsidR="001A0CBA" w:rsidRPr="00F13073" w:rsidRDefault="001A0CBA" w:rsidP="008B4C50">
      <w:pPr>
        <w:pStyle w:val="a4"/>
        <w:widowControl/>
        <w:spacing w:after="0"/>
      </w:pPr>
      <w:r w:rsidRPr="00F13073">
        <w:rPr>
          <w:rStyle w:val="Char"/>
        </w:rPr>
        <w:t xml:space="preserve">Bardzo ważne jest, aby stosować lek </w:t>
      </w:r>
      <w:r w:rsidR="00026375" w:rsidRPr="00F13073">
        <w:rPr>
          <w:rStyle w:val="Char"/>
        </w:rPr>
        <w:t>Avtozma</w:t>
      </w:r>
      <w:r w:rsidRPr="00F13073">
        <w:rPr>
          <w:rStyle w:val="Char"/>
        </w:rPr>
        <w:t xml:space="preserve"> dokładnie tak, jak to zalecił lekarz prowadzący.</w:t>
      </w:r>
    </w:p>
    <w:p w14:paraId="1BEA10C8" w14:textId="77777777" w:rsidR="001A0CBA" w:rsidRPr="00F13073" w:rsidRDefault="001A0CBA" w:rsidP="008B4C50">
      <w:pPr>
        <w:pStyle w:val="a4"/>
        <w:widowControl/>
        <w:spacing w:after="0"/>
      </w:pPr>
      <w:r w:rsidRPr="00F13073">
        <w:rPr>
          <w:rStyle w:val="Char"/>
        </w:rPr>
        <w:t>Należy odnotowywać przyjęcie następnej dawki leku.</w:t>
      </w:r>
    </w:p>
    <w:p w14:paraId="7D927A55" w14:textId="77777777" w:rsidR="001A0CBA" w:rsidRPr="00F13073" w:rsidRDefault="001A0CBA" w:rsidP="008B4C50">
      <w:pPr>
        <w:pStyle w:val="a0"/>
        <w:numPr>
          <w:ilvl w:val="0"/>
          <w:numId w:val="14"/>
        </w:numPr>
        <w:ind w:left="567" w:hanging="567"/>
        <w:contextualSpacing w:val="0"/>
        <w:rPr>
          <w:rStyle w:val="Char"/>
          <w:rFonts w:eastAsia="DengXian"/>
        </w:rPr>
      </w:pPr>
      <w:r w:rsidRPr="00F13073">
        <w:rPr>
          <w:rStyle w:val="Char"/>
          <w:rFonts w:eastAsia="DengXian"/>
        </w:rPr>
        <w:t>Jeśli dawka leku zostanie pominięta i od tego czasu upłynie nie więcej niż 7 dni, należy przyjąć lek jak najszybciej, a kolejną dawkę podać w zaplanowanym wcześniej terminie.</w:t>
      </w:r>
    </w:p>
    <w:p w14:paraId="776BF920" w14:textId="56613533" w:rsidR="001A0CBA" w:rsidRPr="00F13073" w:rsidRDefault="001A0CBA" w:rsidP="008B4C50">
      <w:pPr>
        <w:pStyle w:val="a0"/>
        <w:numPr>
          <w:ilvl w:val="0"/>
          <w:numId w:val="14"/>
        </w:numPr>
        <w:ind w:left="567" w:hanging="567"/>
        <w:contextualSpacing w:val="0"/>
      </w:pPr>
      <w:r w:rsidRPr="00F13073">
        <w:rPr>
          <w:rStyle w:val="Char"/>
          <w:rFonts w:eastAsia="DengXian"/>
        </w:rPr>
        <w:t xml:space="preserve">Jeśli dawka zostanie pominięta o więcej niż 7 dni lub jeśli istnieją wątpliwości kiedy wstrzyknąć lek </w:t>
      </w:r>
      <w:r w:rsidR="00026375" w:rsidRPr="00F13073">
        <w:rPr>
          <w:rStyle w:val="Char"/>
          <w:rFonts w:eastAsia="DengXian"/>
        </w:rPr>
        <w:t>Avtozma</w:t>
      </w:r>
      <w:r w:rsidRPr="00F13073">
        <w:rPr>
          <w:rStyle w:val="Char"/>
          <w:rFonts w:eastAsia="DengXian"/>
        </w:rPr>
        <w:t>, należy skontaktować się z lekarzem lub farmaceutą.</w:t>
      </w:r>
    </w:p>
    <w:p w14:paraId="04413059" w14:textId="77777777" w:rsidR="00601D3E" w:rsidRPr="00F13073" w:rsidRDefault="00601D3E" w:rsidP="008B4C50">
      <w:pPr>
        <w:pStyle w:val="a4"/>
        <w:widowControl/>
        <w:spacing w:after="0"/>
        <w:rPr>
          <w:rStyle w:val="Char"/>
          <w:b/>
          <w:bCs/>
        </w:rPr>
      </w:pPr>
    </w:p>
    <w:p w14:paraId="53E87337" w14:textId="6A42BF70" w:rsidR="001A0CBA" w:rsidRPr="00F13073" w:rsidRDefault="001A0CBA" w:rsidP="008B4C50">
      <w:pPr>
        <w:pStyle w:val="a4"/>
        <w:widowControl/>
        <w:spacing w:after="0"/>
      </w:pPr>
      <w:r w:rsidRPr="00F13073">
        <w:rPr>
          <w:rStyle w:val="Char"/>
          <w:b/>
          <w:bCs/>
        </w:rPr>
        <w:t xml:space="preserve">Przerwanie stosowania leku </w:t>
      </w:r>
      <w:r w:rsidR="00026375" w:rsidRPr="00F13073">
        <w:rPr>
          <w:rStyle w:val="Char"/>
          <w:b/>
          <w:bCs/>
        </w:rPr>
        <w:t>Avtozma</w:t>
      </w:r>
    </w:p>
    <w:p w14:paraId="1798D741" w14:textId="1DB72AB2" w:rsidR="001A0CBA" w:rsidRPr="00F13073" w:rsidRDefault="001A0CBA" w:rsidP="008B4C50">
      <w:pPr>
        <w:pStyle w:val="a4"/>
        <w:widowControl/>
        <w:spacing w:after="0"/>
      </w:pPr>
      <w:r w:rsidRPr="00F13073">
        <w:rPr>
          <w:rStyle w:val="Char"/>
        </w:rPr>
        <w:t xml:space="preserve">Nie należy przerywać przyjmowania leku </w:t>
      </w:r>
      <w:r w:rsidR="00026375" w:rsidRPr="00F13073">
        <w:rPr>
          <w:rStyle w:val="Char"/>
        </w:rPr>
        <w:t>Avtozma</w:t>
      </w:r>
      <w:r w:rsidRPr="00F13073">
        <w:rPr>
          <w:rStyle w:val="Char"/>
        </w:rPr>
        <w:t xml:space="preserve"> bez wcześniejszego omówienia tego z lekarzem.</w:t>
      </w:r>
    </w:p>
    <w:p w14:paraId="5D869D05" w14:textId="77777777" w:rsidR="00601D3E" w:rsidRPr="00F13073" w:rsidRDefault="00601D3E" w:rsidP="008B4C50">
      <w:pPr>
        <w:pStyle w:val="a4"/>
        <w:widowControl/>
        <w:spacing w:after="0"/>
        <w:rPr>
          <w:rStyle w:val="Char"/>
        </w:rPr>
      </w:pPr>
    </w:p>
    <w:p w14:paraId="1042C2CE" w14:textId="77777777" w:rsidR="001A0CBA" w:rsidRPr="00F13073" w:rsidRDefault="001A0CBA" w:rsidP="008B4C50">
      <w:pPr>
        <w:pStyle w:val="a4"/>
        <w:widowControl/>
        <w:spacing w:after="0"/>
      </w:pPr>
      <w:r w:rsidRPr="00F13073">
        <w:rPr>
          <w:rStyle w:val="Char"/>
        </w:rPr>
        <w:t>W razie jakichkolwiek dalszych wątpliwości związanych ze stosowaniem tego leku należy zwrócić się do lekarza, farmaceuty lub pielęgniarki.</w:t>
      </w:r>
    </w:p>
    <w:p w14:paraId="6C380138" w14:textId="77777777" w:rsidR="00306421" w:rsidRPr="00F13073" w:rsidRDefault="00306421" w:rsidP="008B4C50"/>
    <w:p w14:paraId="3B93BDE0" w14:textId="77777777" w:rsidR="00601D3E" w:rsidRPr="00F13073" w:rsidRDefault="00601D3E" w:rsidP="008B4C50"/>
    <w:p w14:paraId="2DE81005" w14:textId="77777777" w:rsidR="001E0975" w:rsidRPr="00F13073" w:rsidRDefault="001721B1" w:rsidP="008B4C50">
      <w:pPr>
        <w:keepNext/>
        <w:ind w:left="567" w:hanging="567"/>
        <w:rPr>
          <w:b/>
          <w:bCs/>
        </w:rPr>
      </w:pPr>
      <w:r w:rsidRPr="00F13073">
        <w:rPr>
          <w:b/>
          <w:bCs/>
        </w:rPr>
        <w:t>4.</w:t>
      </w:r>
      <w:r w:rsidRPr="00F13073">
        <w:rPr>
          <w:b/>
          <w:bCs/>
        </w:rPr>
        <w:tab/>
      </w:r>
      <w:r w:rsidR="00601D3E" w:rsidRPr="00F13073">
        <w:rPr>
          <w:rStyle w:val="Char"/>
          <w:rFonts w:eastAsia="DengXian"/>
          <w:b/>
          <w:bCs/>
        </w:rPr>
        <w:t>Możliwe działania niepożądane</w:t>
      </w:r>
    </w:p>
    <w:p w14:paraId="3ABB5AE5" w14:textId="77777777" w:rsidR="00020BC4" w:rsidRPr="00F13073" w:rsidRDefault="00020BC4" w:rsidP="008B4C50">
      <w:pPr>
        <w:keepNext/>
        <w:ind w:left="567" w:hanging="567"/>
        <w:rPr>
          <w:b/>
          <w:bCs/>
        </w:rPr>
      </w:pPr>
    </w:p>
    <w:p w14:paraId="409ADD2E" w14:textId="34C2B8A4" w:rsidR="00601D3E" w:rsidRPr="00F13073" w:rsidRDefault="00601D3E" w:rsidP="008B4C50">
      <w:pPr>
        <w:pStyle w:val="a4"/>
        <w:widowControl/>
        <w:spacing w:after="0"/>
        <w:rPr>
          <w:rStyle w:val="Char"/>
        </w:rPr>
      </w:pPr>
      <w:r w:rsidRPr="00F13073">
        <w:rPr>
          <w:rStyle w:val="Char"/>
        </w:rPr>
        <w:t xml:space="preserve">Jak każdy lek, lek </w:t>
      </w:r>
      <w:r w:rsidR="00E85253" w:rsidRPr="00F13073">
        <w:rPr>
          <w:lang w:eastAsia="ko-KR"/>
        </w:rPr>
        <w:t xml:space="preserve">Avtozma </w:t>
      </w:r>
      <w:r w:rsidRPr="00F13073">
        <w:rPr>
          <w:rStyle w:val="Char"/>
        </w:rPr>
        <w:t xml:space="preserve">może powodować działania niepożądane, chociaż nie u każdego one wystąpią. Działania niepożądane mogą wystąpić nawet po 3 lub więcej miesiącach po otrzymaniu ostatniej dawki leku </w:t>
      </w:r>
      <w:r w:rsidR="00026375" w:rsidRPr="00F13073">
        <w:rPr>
          <w:rStyle w:val="Char"/>
        </w:rPr>
        <w:t>Avtozma</w:t>
      </w:r>
      <w:r w:rsidRPr="00F13073">
        <w:rPr>
          <w:rStyle w:val="Char"/>
        </w:rPr>
        <w:t>.</w:t>
      </w:r>
    </w:p>
    <w:p w14:paraId="10240D53" w14:textId="77777777" w:rsidR="00601D3E" w:rsidRPr="00F13073" w:rsidRDefault="00601D3E" w:rsidP="008B4C50">
      <w:pPr>
        <w:pStyle w:val="a4"/>
        <w:widowControl/>
        <w:spacing w:after="0"/>
      </w:pPr>
    </w:p>
    <w:p w14:paraId="521FD3F0" w14:textId="77777777" w:rsidR="00601D3E" w:rsidRPr="00F13073" w:rsidRDefault="00601D3E" w:rsidP="008B4C50">
      <w:pPr>
        <w:pStyle w:val="a4"/>
        <w:widowControl/>
        <w:spacing w:after="0"/>
      </w:pPr>
      <w:r w:rsidRPr="00F13073">
        <w:rPr>
          <w:rStyle w:val="Char"/>
          <w:b/>
          <w:bCs/>
        </w:rPr>
        <w:t>Możliwe ciężkie działania niepożądane: należy natychmiast zgłosić lekarzowi.</w:t>
      </w:r>
    </w:p>
    <w:p w14:paraId="2A126D2A" w14:textId="77777777" w:rsidR="00F83341" w:rsidRPr="00F13073" w:rsidRDefault="00F83341" w:rsidP="008B4C50">
      <w:pPr>
        <w:pStyle w:val="a4"/>
        <w:widowControl/>
        <w:spacing w:after="0"/>
        <w:rPr>
          <w:rStyle w:val="Char"/>
          <w:i/>
          <w:iCs/>
        </w:rPr>
      </w:pPr>
      <w:r w:rsidRPr="00F13073">
        <w:rPr>
          <w:rStyle w:val="Char"/>
          <w:i/>
          <w:iCs/>
        </w:rPr>
        <w:t>Są częste, mogą wystąpić u 1 na każde 10 leczonych osób</w:t>
      </w:r>
    </w:p>
    <w:p w14:paraId="1FF2A8F8" w14:textId="77777777" w:rsidR="00F83341" w:rsidRPr="00F13073" w:rsidRDefault="00F83341" w:rsidP="008B4C50">
      <w:pPr>
        <w:pStyle w:val="a4"/>
        <w:widowControl/>
        <w:spacing w:after="0"/>
      </w:pPr>
    </w:p>
    <w:p w14:paraId="3B48FB39" w14:textId="77777777" w:rsidR="00F83341" w:rsidRPr="00F13073" w:rsidRDefault="00F83341" w:rsidP="008B4C50">
      <w:pPr>
        <w:pStyle w:val="a4"/>
        <w:widowControl/>
        <w:spacing w:after="0"/>
      </w:pPr>
      <w:r w:rsidRPr="00F13073">
        <w:rPr>
          <w:rStyle w:val="Char"/>
          <w:b/>
          <w:bCs/>
        </w:rPr>
        <w:t xml:space="preserve">Reakcje alergiczne </w:t>
      </w:r>
      <w:r w:rsidRPr="00F13073">
        <w:rPr>
          <w:rStyle w:val="Char"/>
        </w:rPr>
        <w:t>w trakcie lub po zakończeniu wstrzykiwania:</w:t>
      </w:r>
    </w:p>
    <w:p w14:paraId="79DA9E55"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trudności z oddychaniem, ucisk w klatce piersiowej lub zawroty głowy,</w:t>
      </w:r>
    </w:p>
    <w:p w14:paraId="52F920E8" w14:textId="77777777" w:rsidR="00F83341" w:rsidRPr="00F13073" w:rsidRDefault="00F83341" w:rsidP="008B33B8">
      <w:pPr>
        <w:pStyle w:val="a0"/>
        <w:numPr>
          <w:ilvl w:val="0"/>
          <w:numId w:val="14"/>
        </w:numPr>
        <w:ind w:left="567" w:hanging="567"/>
        <w:contextualSpacing w:val="0"/>
      </w:pPr>
      <w:r w:rsidRPr="00F13073">
        <w:rPr>
          <w:rStyle w:val="Char"/>
          <w:rFonts w:eastAsia="DengXian"/>
        </w:rPr>
        <w:t>wysypka, świąd skóry, bąble pokrzywkowe, obrzęk warg, języka lub twarzy.</w:t>
      </w:r>
    </w:p>
    <w:p w14:paraId="3A705234" w14:textId="77777777" w:rsidR="00F83341" w:rsidRPr="00F13073" w:rsidRDefault="00F83341" w:rsidP="008B4C50">
      <w:pPr>
        <w:pStyle w:val="a4"/>
        <w:widowControl/>
        <w:spacing w:after="0"/>
      </w:pPr>
      <w:r w:rsidRPr="00F13073">
        <w:rPr>
          <w:rStyle w:val="Char"/>
        </w:rPr>
        <w:t xml:space="preserve">Należy </w:t>
      </w:r>
      <w:r w:rsidRPr="00F13073">
        <w:rPr>
          <w:rStyle w:val="Char"/>
          <w:b/>
          <w:bCs/>
        </w:rPr>
        <w:t xml:space="preserve">natychmiast </w:t>
      </w:r>
      <w:r w:rsidRPr="00F13073">
        <w:rPr>
          <w:rStyle w:val="Char"/>
        </w:rPr>
        <w:t>poinformować lekarza, jeśli wystąpi którykolwiek z tych objawów.</w:t>
      </w:r>
    </w:p>
    <w:p w14:paraId="020E5A47" w14:textId="77777777" w:rsidR="00F83341" w:rsidRPr="00F13073" w:rsidRDefault="00F83341" w:rsidP="008B4C50">
      <w:pPr>
        <w:pStyle w:val="a4"/>
        <w:widowControl/>
        <w:spacing w:after="0"/>
        <w:rPr>
          <w:rStyle w:val="Char"/>
          <w:b/>
          <w:bCs/>
        </w:rPr>
      </w:pPr>
    </w:p>
    <w:p w14:paraId="7BAA10E8" w14:textId="77777777" w:rsidR="00F83341" w:rsidRPr="00F13073" w:rsidRDefault="00F83341" w:rsidP="008B4C50">
      <w:pPr>
        <w:pStyle w:val="a4"/>
        <w:widowControl/>
        <w:spacing w:after="0"/>
      </w:pPr>
      <w:r w:rsidRPr="00F13073">
        <w:rPr>
          <w:rStyle w:val="Char"/>
          <w:b/>
          <w:bCs/>
        </w:rPr>
        <w:lastRenderedPageBreak/>
        <w:t>Objawy ciężkiego zakażenia:</w:t>
      </w:r>
    </w:p>
    <w:p w14:paraId="4657A08D"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gorączka i dreszcze</w:t>
      </w:r>
    </w:p>
    <w:p w14:paraId="2AB70CFA"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pęcherze w jamie ustnej</w:t>
      </w:r>
      <w:r w:rsidRPr="00F13073">
        <w:rPr>
          <w:rStyle w:val="Char"/>
          <w:rFonts w:eastAsia="DengXian"/>
        </w:rPr>
        <w:tab/>
        <w:t>lub na skórze</w:t>
      </w:r>
    </w:p>
    <w:p w14:paraId="4B799ECC" w14:textId="77777777" w:rsidR="00F83341" w:rsidRPr="00F13073" w:rsidRDefault="00F83341" w:rsidP="008B33B8">
      <w:pPr>
        <w:pStyle w:val="a0"/>
        <w:numPr>
          <w:ilvl w:val="0"/>
          <w:numId w:val="14"/>
        </w:numPr>
        <w:ind w:left="567" w:hanging="567"/>
        <w:contextualSpacing w:val="0"/>
      </w:pPr>
      <w:r w:rsidRPr="00F13073">
        <w:rPr>
          <w:rStyle w:val="Char"/>
          <w:rFonts w:eastAsia="DengXian"/>
        </w:rPr>
        <w:t>ból brzucha</w:t>
      </w:r>
    </w:p>
    <w:p w14:paraId="13CDD8FF" w14:textId="77777777" w:rsidR="00F83341" w:rsidRPr="00F13073" w:rsidRDefault="00F83341" w:rsidP="008B4C50">
      <w:pPr>
        <w:pStyle w:val="a4"/>
        <w:widowControl/>
        <w:spacing w:after="0"/>
        <w:rPr>
          <w:rStyle w:val="Char"/>
          <w:b/>
          <w:bCs/>
        </w:rPr>
      </w:pPr>
    </w:p>
    <w:p w14:paraId="5B0A5CCB" w14:textId="77777777" w:rsidR="00F83341" w:rsidRPr="00F13073" w:rsidRDefault="00F83341" w:rsidP="008B4C50">
      <w:pPr>
        <w:pStyle w:val="a4"/>
        <w:widowControl/>
        <w:spacing w:after="0"/>
      </w:pPr>
      <w:r w:rsidRPr="00F13073">
        <w:rPr>
          <w:rStyle w:val="Char"/>
          <w:b/>
          <w:bCs/>
        </w:rPr>
        <w:t>Objawy przedmiotowe i podmiotowe toksycznego uszkodzenia wątroby:</w:t>
      </w:r>
    </w:p>
    <w:p w14:paraId="3796AD64" w14:textId="77777777" w:rsidR="00F83341" w:rsidRPr="00F13073" w:rsidRDefault="00F83341" w:rsidP="008B4C50">
      <w:pPr>
        <w:pStyle w:val="a4"/>
        <w:widowControl/>
        <w:tabs>
          <w:tab w:val="right" w:pos="3936"/>
          <w:tab w:val="left" w:pos="4141"/>
        </w:tabs>
        <w:spacing w:after="0"/>
      </w:pPr>
      <w:r w:rsidRPr="00F13073">
        <w:rPr>
          <w:rStyle w:val="Char"/>
          <w:i/>
          <w:iCs/>
        </w:rPr>
        <w:t>Mogą wystąpić u 1 na każde 1000</w:t>
      </w:r>
      <w:r w:rsidRPr="00F13073">
        <w:rPr>
          <w:rStyle w:val="Char"/>
          <w:i/>
          <w:iCs/>
        </w:rPr>
        <w:tab/>
        <w:t>leczonych osób</w:t>
      </w:r>
    </w:p>
    <w:p w14:paraId="2A86A068" w14:textId="77777777" w:rsidR="00F83341" w:rsidRPr="00F13073" w:rsidRDefault="00F83341" w:rsidP="008B33B8">
      <w:pPr>
        <w:pStyle w:val="a4"/>
        <w:widowControl/>
        <w:numPr>
          <w:ilvl w:val="0"/>
          <w:numId w:val="14"/>
        </w:numPr>
        <w:tabs>
          <w:tab w:val="left" w:pos="499"/>
        </w:tabs>
        <w:spacing w:after="0"/>
        <w:ind w:left="567" w:hanging="567"/>
      </w:pPr>
      <w:r w:rsidRPr="00F13073">
        <w:rPr>
          <w:rStyle w:val="Char"/>
        </w:rPr>
        <w:t>uczucie zmęczenia</w:t>
      </w:r>
    </w:p>
    <w:p w14:paraId="09C48FC6" w14:textId="77777777" w:rsidR="00F83341" w:rsidRPr="00F13073" w:rsidRDefault="00F83341" w:rsidP="008B33B8">
      <w:pPr>
        <w:pStyle w:val="a4"/>
        <w:widowControl/>
        <w:numPr>
          <w:ilvl w:val="0"/>
          <w:numId w:val="14"/>
        </w:numPr>
        <w:tabs>
          <w:tab w:val="left" w:pos="499"/>
        </w:tabs>
        <w:spacing w:after="0"/>
        <w:ind w:left="567" w:hanging="567"/>
      </w:pPr>
      <w:r w:rsidRPr="00F13073">
        <w:rPr>
          <w:rStyle w:val="Char"/>
        </w:rPr>
        <w:t>ból brzucha</w:t>
      </w:r>
    </w:p>
    <w:p w14:paraId="54CC582D" w14:textId="77777777" w:rsidR="00F83341" w:rsidRPr="00F13073" w:rsidRDefault="00F83341" w:rsidP="008B33B8">
      <w:pPr>
        <w:pStyle w:val="a4"/>
        <w:widowControl/>
        <w:numPr>
          <w:ilvl w:val="0"/>
          <w:numId w:val="14"/>
        </w:numPr>
        <w:tabs>
          <w:tab w:val="left" w:pos="499"/>
          <w:tab w:val="left" w:pos="4107"/>
        </w:tabs>
        <w:spacing w:after="0"/>
        <w:ind w:left="567" w:hanging="567"/>
      </w:pPr>
      <w:r w:rsidRPr="00F13073">
        <w:rPr>
          <w:rStyle w:val="Char"/>
        </w:rPr>
        <w:t>żółtaczka (żółte zabarwienie skóry lub</w:t>
      </w:r>
      <w:r w:rsidRPr="00F13073">
        <w:rPr>
          <w:rStyle w:val="Char"/>
        </w:rPr>
        <w:tab/>
        <w:t>białek oczu)</w:t>
      </w:r>
    </w:p>
    <w:p w14:paraId="3E5F877F" w14:textId="77777777" w:rsidR="00F83341" w:rsidRPr="00F13073" w:rsidRDefault="00F83341" w:rsidP="008B4C50">
      <w:pPr>
        <w:pStyle w:val="a4"/>
        <w:widowControl/>
        <w:spacing w:after="0"/>
        <w:rPr>
          <w:rStyle w:val="Char"/>
        </w:rPr>
      </w:pPr>
    </w:p>
    <w:p w14:paraId="71DDE21C" w14:textId="77777777" w:rsidR="00F83341" w:rsidRPr="00F13073" w:rsidRDefault="00F83341" w:rsidP="008B4C50">
      <w:pPr>
        <w:pStyle w:val="a4"/>
        <w:widowControl/>
        <w:spacing w:after="0"/>
      </w:pPr>
      <w:r w:rsidRPr="00F13073">
        <w:rPr>
          <w:rStyle w:val="Char"/>
        </w:rPr>
        <w:t xml:space="preserve">Należy </w:t>
      </w:r>
      <w:r w:rsidRPr="00F13073">
        <w:rPr>
          <w:rStyle w:val="Char"/>
          <w:b/>
          <w:bCs/>
        </w:rPr>
        <w:t xml:space="preserve">natychmiast </w:t>
      </w:r>
      <w:r w:rsidRPr="00F13073">
        <w:rPr>
          <w:rStyle w:val="Char"/>
        </w:rPr>
        <w:t>poinformować lekarza, jeśli wystąpi którykolwiek z tych objawów.</w:t>
      </w:r>
    </w:p>
    <w:p w14:paraId="6838373E" w14:textId="77777777" w:rsidR="00F83341" w:rsidRPr="00F13073" w:rsidRDefault="00F83341" w:rsidP="008B4C50">
      <w:pPr>
        <w:pStyle w:val="a4"/>
        <w:widowControl/>
        <w:spacing w:after="0"/>
        <w:rPr>
          <w:rStyle w:val="Char"/>
          <w:b/>
          <w:bCs/>
        </w:rPr>
      </w:pPr>
    </w:p>
    <w:p w14:paraId="4FAC3517" w14:textId="77777777" w:rsidR="00F83341" w:rsidRPr="00F13073" w:rsidRDefault="00F83341" w:rsidP="008B4C50">
      <w:pPr>
        <w:pStyle w:val="a4"/>
        <w:widowControl/>
        <w:spacing w:after="0"/>
      </w:pPr>
      <w:r w:rsidRPr="00F13073">
        <w:rPr>
          <w:rStyle w:val="Char"/>
          <w:b/>
          <w:bCs/>
        </w:rPr>
        <w:t>Działania niepożądane występujące bardzo często</w:t>
      </w:r>
      <w:r w:rsidRPr="00F13073">
        <w:rPr>
          <w:rStyle w:val="Char"/>
        </w:rPr>
        <w:t>:</w:t>
      </w:r>
    </w:p>
    <w:p w14:paraId="1C7D9EF4" w14:textId="77777777" w:rsidR="00F83341" w:rsidRPr="00F13073" w:rsidRDefault="00F83341" w:rsidP="008B4C50">
      <w:pPr>
        <w:pStyle w:val="a4"/>
        <w:widowControl/>
        <w:spacing w:after="0"/>
      </w:pPr>
      <w:r w:rsidRPr="00F13073">
        <w:rPr>
          <w:rStyle w:val="Char"/>
          <w:i/>
          <w:iCs/>
        </w:rPr>
        <w:t>Mogą wystąpić częściej niż u 1 na każde 10 leczonych osób</w:t>
      </w:r>
    </w:p>
    <w:p w14:paraId="1A47CA30" w14:textId="77777777" w:rsidR="00F83341" w:rsidRPr="00F13073" w:rsidRDefault="00F83341" w:rsidP="008B33B8">
      <w:pPr>
        <w:pStyle w:val="a0"/>
        <w:numPr>
          <w:ilvl w:val="0"/>
          <w:numId w:val="14"/>
        </w:numPr>
        <w:ind w:left="567" w:hanging="567"/>
        <w:contextualSpacing w:val="0"/>
      </w:pPr>
      <w:r w:rsidRPr="00F13073">
        <w:rPr>
          <w:rStyle w:val="Char"/>
          <w:rFonts w:eastAsia="DengXian"/>
        </w:rPr>
        <w:t>zakażenia górnych dróg oddechowych, z typowymi objawami takimi jak kaszel, zatkany nos, wodnisty katar, ból gardła i bóle głowy</w:t>
      </w:r>
    </w:p>
    <w:p w14:paraId="4F245B38"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wysokie stężenie tłuszczu we krwi (cholesterolu)</w:t>
      </w:r>
    </w:p>
    <w:p w14:paraId="40CC4DA2" w14:textId="77777777" w:rsidR="00F83341" w:rsidRPr="00F13073" w:rsidRDefault="00F83341" w:rsidP="008B33B8">
      <w:pPr>
        <w:pStyle w:val="a0"/>
        <w:numPr>
          <w:ilvl w:val="0"/>
          <w:numId w:val="14"/>
        </w:numPr>
        <w:ind w:left="567" w:hanging="567"/>
        <w:contextualSpacing w:val="0"/>
      </w:pPr>
      <w:r w:rsidRPr="00F13073">
        <w:rPr>
          <w:rStyle w:val="Char"/>
          <w:rFonts w:eastAsia="DengXian"/>
        </w:rPr>
        <w:t>reakcje w miejscu wstrzyknięcia</w:t>
      </w:r>
    </w:p>
    <w:p w14:paraId="78CB14F8" w14:textId="77777777" w:rsidR="00F83341" w:rsidRPr="00F13073" w:rsidRDefault="00F83341" w:rsidP="008B4C50">
      <w:pPr>
        <w:pStyle w:val="a4"/>
        <w:widowControl/>
        <w:spacing w:after="0"/>
        <w:rPr>
          <w:rStyle w:val="Char"/>
          <w:b/>
          <w:bCs/>
        </w:rPr>
      </w:pPr>
    </w:p>
    <w:p w14:paraId="21F0551F" w14:textId="77777777" w:rsidR="00F83341" w:rsidRPr="00F13073" w:rsidRDefault="00F83341" w:rsidP="008B4C50">
      <w:pPr>
        <w:pStyle w:val="a4"/>
        <w:widowControl/>
        <w:spacing w:after="0"/>
      </w:pPr>
      <w:r w:rsidRPr="00F13073">
        <w:rPr>
          <w:rStyle w:val="Char"/>
          <w:b/>
          <w:bCs/>
        </w:rPr>
        <w:t>Działania niepożądane występujące często</w:t>
      </w:r>
      <w:r w:rsidRPr="00F13073">
        <w:rPr>
          <w:rStyle w:val="Char"/>
        </w:rPr>
        <w:t>:</w:t>
      </w:r>
    </w:p>
    <w:p w14:paraId="1BFE56D0" w14:textId="77777777" w:rsidR="00F83341" w:rsidRPr="00F13073" w:rsidRDefault="00F83341" w:rsidP="008B4C50">
      <w:pPr>
        <w:pStyle w:val="a4"/>
        <w:widowControl/>
        <w:spacing w:after="0"/>
      </w:pPr>
      <w:r w:rsidRPr="00F13073">
        <w:rPr>
          <w:rStyle w:val="Char"/>
          <w:i/>
          <w:iCs/>
        </w:rPr>
        <w:t>Mogą wystąpić u 1 na 10 leczonych osób</w:t>
      </w:r>
    </w:p>
    <w:p w14:paraId="07552728"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zakażenia płuc (zapalenie płuc)</w:t>
      </w:r>
    </w:p>
    <w:p w14:paraId="68CBE8D8"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półpasiec</w:t>
      </w:r>
    </w:p>
    <w:p w14:paraId="71B092F6"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opryszczka wargowa (zmiany spowodowane zakażeniem wirusem Herpes simplex), pęcherze</w:t>
      </w:r>
    </w:p>
    <w:p w14:paraId="1E02E82C"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zakażenie skóry (zapalenie tkanki łącznej), czasami z gorączką i dreszczami</w:t>
      </w:r>
    </w:p>
    <w:p w14:paraId="70919CC0"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wysypka i świąd, pokrzywka</w:t>
      </w:r>
    </w:p>
    <w:p w14:paraId="1D375781"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reakcje alergiczne (nadwrażliwości)</w:t>
      </w:r>
    </w:p>
    <w:p w14:paraId="6F24BD1D"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zakażenie oczu (zapalenie spojówek)</w:t>
      </w:r>
    </w:p>
    <w:p w14:paraId="6F77E5C9"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ból i zawroty głowy, wysokie ciśnienie krwi</w:t>
      </w:r>
    </w:p>
    <w:p w14:paraId="65B751B8"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owrzodzenie jamy ustnej, ból brzucha</w:t>
      </w:r>
    </w:p>
    <w:p w14:paraId="44C6E9DE"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zatrzymanie wody w organizmie (obrzęki) w kończynach dolnych, zwiększenie masy ciała</w:t>
      </w:r>
    </w:p>
    <w:p w14:paraId="1E06C450"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kaszel, trudności z oddychaniem</w:t>
      </w:r>
    </w:p>
    <w:p w14:paraId="04A602AA"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mała liczba białych krwinek ujawniona w trakcie badania krwi (neutropenia, leukopenia)</w:t>
      </w:r>
    </w:p>
    <w:p w14:paraId="6FC0DFD0"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nieprawidłowe wyniki testów czynnościowych wątroby (zwiększenie aktywności aminotransferaz)</w:t>
      </w:r>
    </w:p>
    <w:p w14:paraId="55572745" w14:textId="77777777" w:rsidR="00F83341" w:rsidRPr="00F13073" w:rsidRDefault="00F83341" w:rsidP="008B33B8">
      <w:pPr>
        <w:pStyle w:val="a0"/>
        <w:numPr>
          <w:ilvl w:val="0"/>
          <w:numId w:val="14"/>
        </w:numPr>
        <w:ind w:left="567" w:hanging="567"/>
        <w:contextualSpacing w:val="0"/>
        <w:rPr>
          <w:rStyle w:val="Char"/>
          <w:rFonts w:eastAsia="DengXian"/>
        </w:rPr>
      </w:pPr>
      <w:r w:rsidRPr="00F13073">
        <w:rPr>
          <w:rStyle w:val="Char"/>
          <w:rFonts w:eastAsia="DengXian"/>
        </w:rPr>
        <w:t>zwiększone stężenie bilirubiny w badaniach krwi</w:t>
      </w:r>
    </w:p>
    <w:p w14:paraId="0B8A73E3" w14:textId="77777777" w:rsidR="00F83341" w:rsidRPr="00F13073" w:rsidRDefault="00F83341" w:rsidP="008B33B8">
      <w:pPr>
        <w:pStyle w:val="a0"/>
        <w:numPr>
          <w:ilvl w:val="0"/>
          <w:numId w:val="14"/>
        </w:numPr>
        <w:ind w:left="567" w:hanging="567"/>
        <w:contextualSpacing w:val="0"/>
      </w:pPr>
      <w:r w:rsidRPr="00F13073">
        <w:rPr>
          <w:rStyle w:val="Char"/>
          <w:rFonts w:eastAsia="DengXian"/>
        </w:rPr>
        <w:t>małe stężenie fibrynogenu we krwi (białka uczestniczącego w krzepnięciu krwi)</w:t>
      </w:r>
    </w:p>
    <w:p w14:paraId="598C7B91" w14:textId="77777777" w:rsidR="00F83341" w:rsidRPr="00F13073" w:rsidRDefault="00F83341" w:rsidP="008B4C50">
      <w:pPr>
        <w:pStyle w:val="a4"/>
        <w:widowControl/>
        <w:spacing w:after="0"/>
        <w:rPr>
          <w:rStyle w:val="Char"/>
          <w:b/>
          <w:bCs/>
        </w:rPr>
      </w:pPr>
    </w:p>
    <w:p w14:paraId="7D6D5B0A" w14:textId="77777777" w:rsidR="00F83341" w:rsidRPr="00F13073" w:rsidRDefault="00F83341" w:rsidP="008B4C50">
      <w:pPr>
        <w:pStyle w:val="a4"/>
        <w:widowControl/>
        <w:spacing w:after="0"/>
      </w:pPr>
      <w:r w:rsidRPr="00F13073">
        <w:rPr>
          <w:rStyle w:val="Char"/>
          <w:b/>
          <w:bCs/>
        </w:rPr>
        <w:t>Działania niepożądane występujące niezbyt często</w:t>
      </w:r>
      <w:r w:rsidRPr="00F13073">
        <w:rPr>
          <w:rStyle w:val="Char"/>
        </w:rPr>
        <w:t>:</w:t>
      </w:r>
    </w:p>
    <w:p w14:paraId="674A8804" w14:textId="77777777" w:rsidR="00F83341" w:rsidRPr="00F13073" w:rsidRDefault="00F83341" w:rsidP="008B4C50">
      <w:pPr>
        <w:pStyle w:val="a4"/>
        <w:widowControl/>
        <w:spacing w:after="0"/>
      </w:pPr>
      <w:r w:rsidRPr="00F13073">
        <w:rPr>
          <w:rStyle w:val="Char"/>
          <w:i/>
          <w:iCs/>
        </w:rPr>
        <w:t>Mogą wystąpić u 1 na 100 leczonych osób</w:t>
      </w:r>
    </w:p>
    <w:p w14:paraId="3150E52F"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zapalenie uchyłków jelita (gorączka, nudności, biegunka, zaparcia, bóle brzucha)</w:t>
      </w:r>
    </w:p>
    <w:p w14:paraId="07750CDA"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zaczerwienione, obrzęknięte obszary w ustach</w:t>
      </w:r>
    </w:p>
    <w:p w14:paraId="307AB354"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wysokie stężenia tłuszczów we krwi (trójglicerydów)</w:t>
      </w:r>
    </w:p>
    <w:p w14:paraId="6E3E76D4"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wrzody żołądka</w:t>
      </w:r>
    </w:p>
    <w:p w14:paraId="6D6190A2"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kamienie nerkowe</w:t>
      </w:r>
    </w:p>
    <w:p w14:paraId="52F68D2A" w14:textId="77777777" w:rsidR="00F83341" w:rsidRPr="00F13073" w:rsidRDefault="00F83341" w:rsidP="008B4C50">
      <w:pPr>
        <w:pStyle w:val="a0"/>
        <w:numPr>
          <w:ilvl w:val="0"/>
          <w:numId w:val="14"/>
        </w:numPr>
        <w:ind w:left="567" w:hanging="567"/>
        <w:contextualSpacing w:val="0"/>
      </w:pPr>
      <w:r w:rsidRPr="00F13073">
        <w:rPr>
          <w:rStyle w:val="Char"/>
          <w:rFonts w:eastAsia="DengXian"/>
        </w:rPr>
        <w:t>niedoczynność tarczycy</w:t>
      </w:r>
    </w:p>
    <w:p w14:paraId="579256E7" w14:textId="77777777" w:rsidR="00F83341" w:rsidRPr="00F13073" w:rsidRDefault="00F83341" w:rsidP="008B4C50">
      <w:pPr>
        <w:pStyle w:val="a4"/>
        <w:widowControl/>
        <w:spacing w:after="0"/>
        <w:rPr>
          <w:rStyle w:val="Char"/>
          <w:b/>
          <w:bCs/>
        </w:rPr>
      </w:pPr>
    </w:p>
    <w:p w14:paraId="241CC32C" w14:textId="77777777" w:rsidR="00F83341" w:rsidRPr="00F13073" w:rsidRDefault="00F83341" w:rsidP="008B4C50">
      <w:pPr>
        <w:pStyle w:val="a4"/>
        <w:widowControl/>
        <w:spacing w:after="0"/>
      </w:pPr>
      <w:r w:rsidRPr="00F13073">
        <w:rPr>
          <w:rStyle w:val="Char"/>
          <w:b/>
          <w:bCs/>
        </w:rPr>
        <w:t>Działania niepożądane występujące rzadko</w:t>
      </w:r>
      <w:r w:rsidRPr="00F13073">
        <w:rPr>
          <w:rStyle w:val="Char"/>
        </w:rPr>
        <w:t>:</w:t>
      </w:r>
    </w:p>
    <w:p w14:paraId="7E782DFF" w14:textId="77777777" w:rsidR="00F83341" w:rsidRPr="00F13073" w:rsidRDefault="00F83341" w:rsidP="008B4C50">
      <w:pPr>
        <w:pStyle w:val="a4"/>
        <w:widowControl/>
        <w:spacing w:after="0"/>
      </w:pPr>
      <w:r w:rsidRPr="00F13073">
        <w:rPr>
          <w:rStyle w:val="Char"/>
          <w:i/>
          <w:iCs/>
        </w:rPr>
        <w:t>Mogą wystąpić u 1 na 1000 leczonych osób</w:t>
      </w:r>
    </w:p>
    <w:p w14:paraId="6389869F"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zespół Stevensa-Johnsona (wysypka na skórze, która może prowadzić do powstania pęcherzy i łuszczenia skóry)</w:t>
      </w:r>
    </w:p>
    <w:p w14:paraId="2DFE6CB0"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reakcje alergiczne prowadzące do zgonu (anafilaksja [skutek śmiertelny])</w:t>
      </w:r>
    </w:p>
    <w:p w14:paraId="149C5722" w14:textId="77777777" w:rsidR="00F83341" w:rsidRPr="00F13073" w:rsidRDefault="00F83341" w:rsidP="008B4C50">
      <w:pPr>
        <w:pStyle w:val="a0"/>
        <w:numPr>
          <w:ilvl w:val="0"/>
          <w:numId w:val="14"/>
        </w:numPr>
        <w:ind w:left="567" w:hanging="567"/>
        <w:contextualSpacing w:val="0"/>
      </w:pPr>
      <w:r w:rsidRPr="00F13073">
        <w:rPr>
          <w:rStyle w:val="Char"/>
          <w:rFonts w:eastAsia="DengXian"/>
        </w:rPr>
        <w:t>zapalenie wątroby, żółtaczka</w:t>
      </w:r>
    </w:p>
    <w:p w14:paraId="4CC779DC" w14:textId="77777777" w:rsidR="00F83341" w:rsidRPr="00F13073" w:rsidRDefault="00F83341" w:rsidP="008B4C50">
      <w:pPr>
        <w:pStyle w:val="a4"/>
        <w:widowControl/>
        <w:spacing w:after="0"/>
        <w:rPr>
          <w:rStyle w:val="Char"/>
          <w:b/>
          <w:bCs/>
        </w:rPr>
      </w:pPr>
    </w:p>
    <w:p w14:paraId="1B9AC3D7" w14:textId="77777777" w:rsidR="00F83341" w:rsidRPr="00F13073" w:rsidRDefault="00F83341" w:rsidP="008B4C50">
      <w:pPr>
        <w:pStyle w:val="a4"/>
        <w:widowControl/>
        <w:spacing w:after="0"/>
      </w:pPr>
      <w:r w:rsidRPr="00F13073">
        <w:rPr>
          <w:rStyle w:val="Char"/>
          <w:b/>
          <w:bCs/>
        </w:rPr>
        <w:lastRenderedPageBreak/>
        <w:t>Działania niepożądane występujące bardzo rzadko</w:t>
      </w:r>
      <w:r w:rsidRPr="00F13073">
        <w:rPr>
          <w:rStyle w:val="Char"/>
        </w:rPr>
        <w:t>:</w:t>
      </w:r>
    </w:p>
    <w:p w14:paraId="1B57DD8F" w14:textId="77777777" w:rsidR="00F83341" w:rsidRPr="00F13073" w:rsidRDefault="00F83341" w:rsidP="008B4C50">
      <w:pPr>
        <w:pStyle w:val="a4"/>
        <w:widowControl/>
        <w:spacing w:after="0"/>
      </w:pPr>
      <w:r w:rsidRPr="00F13073">
        <w:rPr>
          <w:rStyle w:val="Char"/>
          <w:i/>
          <w:iCs/>
        </w:rPr>
        <w:t>Mogą wystąpić najwyżej u 1 na 10 000 osób leczonych</w:t>
      </w:r>
    </w:p>
    <w:p w14:paraId="14DB713F" w14:textId="77777777" w:rsidR="00F83341" w:rsidRPr="00F13073" w:rsidRDefault="00F83341" w:rsidP="008B4C50">
      <w:pPr>
        <w:pStyle w:val="a0"/>
        <w:numPr>
          <w:ilvl w:val="0"/>
          <w:numId w:val="14"/>
        </w:numPr>
        <w:ind w:left="567" w:hanging="567"/>
        <w:contextualSpacing w:val="0"/>
        <w:rPr>
          <w:rStyle w:val="Char"/>
          <w:rFonts w:eastAsia="DengXian"/>
        </w:rPr>
      </w:pPr>
      <w:r w:rsidRPr="00F13073">
        <w:rPr>
          <w:rStyle w:val="Char"/>
          <w:rFonts w:eastAsia="DengXian"/>
        </w:rPr>
        <w:t>mała liczba białych krwinek, czerwonych krwinek i płytek krwi w badaniu morfologii krwi</w:t>
      </w:r>
    </w:p>
    <w:p w14:paraId="41943D80" w14:textId="77777777" w:rsidR="00F83341" w:rsidRPr="00F13073" w:rsidRDefault="00F83341" w:rsidP="008B4C50">
      <w:pPr>
        <w:pStyle w:val="a0"/>
        <w:numPr>
          <w:ilvl w:val="0"/>
          <w:numId w:val="14"/>
        </w:numPr>
        <w:ind w:left="567" w:hanging="567"/>
        <w:contextualSpacing w:val="0"/>
      </w:pPr>
      <w:r w:rsidRPr="00F13073">
        <w:rPr>
          <w:rStyle w:val="Char"/>
          <w:rFonts w:eastAsia="DengXian"/>
        </w:rPr>
        <w:t>niewydolność wątroby</w:t>
      </w:r>
    </w:p>
    <w:p w14:paraId="6F083981" w14:textId="77777777" w:rsidR="00F83341" w:rsidRPr="00F13073" w:rsidRDefault="00F83341" w:rsidP="008B4C50">
      <w:pPr>
        <w:pStyle w:val="a4"/>
        <w:widowControl/>
        <w:spacing w:after="0"/>
        <w:rPr>
          <w:rStyle w:val="Char"/>
          <w:b/>
          <w:bCs/>
        </w:rPr>
      </w:pPr>
    </w:p>
    <w:p w14:paraId="2992FA2F" w14:textId="77777777" w:rsidR="00F83341" w:rsidRPr="00F13073" w:rsidRDefault="00F83341" w:rsidP="008B4C50">
      <w:pPr>
        <w:pStyle w:val="a4"/>
        <w:widowControl/>
        <w:spacing w:after="0"/>
      </w:pPr>
      <w:r w:rsidRPr="00F13073">
        <w:rPr>
          <w:rStyle w:val="Char"/>
          <w:b/>
          <w:bCs/>
        </w:rPr>
        <w:t>Działania niepożądane występujące u dzieci i młodzieży z uMIZS lub wMIZS</w:t>
      </w:r>
    </w:p>
    <w:p w14:paraId="06949B58" w14:textId="77777777" w:rsidR="00F83341" w:rsidRPr="00F13073" w:rsidRDefault="00F83341" w:rsidP="008B4C50">
      <w:pPr>
        <w:pStyle w:val="a4"/>
        <w:widowControl/>
        <w:spacing w:after="0"/>
        <w:rPr>
          <w:rStyle w:val="Char"/>
        </w:rPr>
      </w:pPr>
      <w:r w:rsidRPr="00F13073">
        <w:rPr>
          <w:rStyle w:val="Char"/>
        </w:rPr>
        <w:t>Działania niepożądane występujące u dzieci i młodzieży z uMIZS lub wMIZS są na ogół podobne do tych występujących u pacjentów dorosłych. Niektóre działania niepożądane obserwuje się częściej u dzieci i młodzieży: zapalenie błony śluzowej nosa i gardła, ból głowy, nudności i zmniejszenie liczby białych krwinek.</w:t>
      </w:r>
    </w:p>
    <w:p w14:paraId="0E183046" w14:textId="77777777" w:rsidR="009F2AFD" w:rsidRPr="00F13073" w:rsidRDefault="009F2AFD" w:rsidP="008B4C50">
      <w:pPr>
        <w:pStyle w:val="a4"/>
        <w:widowControl/>
        <w:spacing w:after="0"/>
      </w:pPr>
    </w:p>
    <w:p w14:paraId="5100B4D6" w14:textId="77777777" w:rsidR="00F83341" w:rsidRPr="00F13073" w:rsidRDefault="00F83341" w:rsidP="008B4C50">
      <w:pPr>
        <w:pStyle w:val="a4"/>
        <w:widowControl/>
        <w:spacing w:after="0"/>
        <w:rPr>
          <w:rStyle w:val="Char"/>
        </w:rPr>
      </w:pPr>
      <w:r w:rsidRPr="00F13073">
        <w:rPr>
          <w:rStyle w:val="Char"/>
        </w:rPr>
        <w:t>Jeśli u pacjenta wystąpią jakiekolwiek objawy niepożądane, w tym wszelkie objawy niepożądane niewymienione w tej ulotce, należy powiedzieć o tym lekarzowi, farmaceucie lub pielęgniarce. Dotyczy to też objawów niepożądanych, których nie wymieniono w tej ulotce.</w:t>
      </w:r>
    </w:p>
    <w:p w14:paraId="2326538E" w14:textId="77777777" w:rsidR="009F2AFD" w:rsidRPr="00F13073" w:rsidRDefault="009F2AFD" w:rsidP="008B4C50">
      <w:pPr>
        <w:pStyle w:val="a4"/>
        <w:widowControl/>
        <w:spacing w:after="0"/>
      </w:pPr>
    </w:p>
    <w:p w14:paraId="106031F3" w14:textId="77777777" w:rsidR="00520CE9" w:rsidRPr="00F13073" w:rsidRDefault="00520CE9" w:rsidP="008B4C50">
      <w:pPr>
        <w:pStyle w:val="a4"/>
        <w:widowControl/>
        <w:spacing w:after="0"/>
      </w:pPr>
      <w:r w:rsidRPr="00F13073">
        <w:rPr>
          <w:rStyle w:val="Char"/>
          <w:b/>
          <w:bCs/>
        </w:rPr>
        <w:t>Zgłaszanie działań niepożądanych</w:t>
      </w:r>
    </w:p>
    <w:p w14:paraId="5568F611" w14:textId="77777777" w:rsidR="001E0975" w:rsidRPr="00F13073" w:rsidRDefault="00520CE9" w:rsidP="008B4C50">
      <w:r w:rsidRPr="00F13073">
        <w:rPr>
          <w:rStyle w:val="Char"/>
          <w:rFonts w:eastAsia="DengXian"/>
        </w:rPr>
        <w:t xml:space="preserve">Jeśli u pacjenta wystąpią jakiekolwiek objawy niepożądane, w tym wszelkie objawy niepożądane niewymienione w tej ulotce, należy powiedzieć o tym lekarzowi, farmaceucie lub pielęgniarce. Działania niepożądane można zgłaszać bezpośrednio do </w:t>
      </w:r>
      <w:r>
        <w:rPr>
          <w:rStyle w:val="Char"/>
          <w:rFonts w:eastAsia="DengXian"/>
          <w:highlight w:val="lightGray"/>
        </w:rPr>
        <w:t>„krajowego systemu zgłaszania” wymienionego w</w:t>
      </w:r>
      <w:r w:rsidR="00695C4D">
        <w:rPr>
          <w:highlight w:val="lightGray"/>
        </w:rPr>
        <w:t xml:space="preserve"> </w:t>
      </w:r>
      <w:hyperlink r:id="rId20" w:history="1">
        <w:r>
          <w:rPr>
            <w:rStyle w:val="a7"/>
            <w:highlight w:val="lightGray"/>
          </w:rPr>
          <w:t>załączniku V</w:t>
        </w:r>
      </w:hyperlink>
      <w:r w:rsidR="00020BC4" w:rsidRPr="00F13073">
        <w:t>.</w:t>
      </w:r>
      <w:r w:rsidR="00611033" w:rsidRPr="00F13073">
        <w:t xml:space="preserve"> </w:t>
      </w:r>
      <w:r w:rsidRPr="00F13073">
        <w:t>Dzięki zgłaszaniu działań niepożądanych można będzie zgromadzić więcej informacji na temat bezpieczeństwa stosowania leku.</w:t>
      </w:r>
    </w:p>
    <w:p w14:paraId="36B4CC42" w14:textId="77777777" w:rsidR="00020BC4" w:rsidRPr="00F13073" w:rsidRDefault="00020BC4" w:rsidP="008B4C50"/>
    <w:p w14:paraId="510CD0E6" w14:textId="77777777" w:rsidR="00020BC4" w:rsidRPr="00F13073" w:rsidRDefault="00020BC4" w:rsidP="008B4C50"/>
    <w:p w14:paraId="73B6E7FC" w14:textId="2D3233CF" w:rsidR="001E0975" w:rsidRPr="00F13073" w:rsidRDefault="001721B1" w:rsidP="008B4C50">
      <w:pPr>
        <w:keepNext/>
        <w:ind w:left="567" w:hanging="567"/>
        <w:rPr>
          <w:b/>
          <w:bCs/>
        </w:rPr>
      </w:pPr>
      <w:r w:rsidRPr="00F13073">
        <w:rPr>
          <w:b/>
          <w:bCs/>
        </w:rPr>
        <w:t>5.</w:t>
      </w:r>
      <w:r w:rsidRPr="00F13073">
        <w:rPr>
          <w:b/>
          <w:bCs/>
        </w:rPr>
        <w:tab/>
      </w:r>
      <w:r w:rsidR="00EA78DA" w:rsidRPr="00F13073">
        <w:rPr>
          <w:rStyle w:val="Char"/>
          <w:rFonts w:eastAsia="DengXian"/>
          <w:b/>
          <w:bCs/>
        </w:rPr>
        <w:t xml:space="preserve">Jak przechowywać lek </w:t>
      </w:r>
      <w:r w:rsidR="00026375" w:rsidRPr="00F13073">
        <w:rPr>
          <w:rStyle w:val="Char"/>
          <w:rFonts w:eastAsia="DengXian"/>
          <w:b/>
          <w:bCs/>
        </w:rPr>
        <w:t>Avtozma</w:t>
      </w:r>
    </w:p>
    <w:p w14:paraId="4AEEA5FB" w14:textId="77777777" w:rsidR="00020BC4" w:rsidRPr="00F13073" w:rsidRDefault="00020BC4" w:rsidP="008B4C50">
      <w:pPr>
        <w:keepNext/>
        <w:ind w:left="567" w:hanging="567"/>
        <w:rPr>
          <w:b/>
          <w:bCs/>
        </w:rPr>
      </w:pPr>
    </w:p>
    <w:p w14:paraId="40627CB4" w14:textId="77777777" w:rsidR="00EA78DA" w:rsidRPr="00F13073" w:rsidRDefault="00EA78DA" w:rsidP="008B4C50">
      <w:pPr>
        <w:pStyle w:val="a4"/>
        <w:widowControl/>
        <w:spacing w:after="0"/>
        <w:rPr>
          <w:rStyle w:val="Char"/>
        </w:rPr>
      </w:pPr>
      <w:r w:rsidRPr="00F13073">
        <w:rPr>
          <w:rStyle w:val="Char"/>
        </w:rPr>
        <w:t>Ten lek należy przechowywać w miejscu niewidocznym i niedostępnym dla dzieci.</w:t>
      </w:r>
    </w:p>
    <w:p w14:paraId="1D56DC29" w14:textId="77777777" w:rsidR="00EA78DA" w:rsidRPr="00F13073" w:rsidRDefault="00EA78DA" w:rsidP="008B4C50">
      <w:pPr>
        <w:pStyle w:val="a4"/>
        <w:widowControl/>
        <w:spacing w:after="0"/>
      </w:pPr>
    </w:p>
    <w:p w14:paraId="2848D169" w14:textId="77777777" w:rsidR="00EA78DA" w:rsidRPr="00F13073" w:rsidRDefault="00EA78DA" w:rsidP="008B4C50">
      <w:pPr>
        <w:pStyle w:val="a4"/>
        <w:widowControl/>
        <w:spacing w:after="0"/>
        <w:rPr>
          <w:rStyle w:val="Char"/>
        </w:rPr>
      </w:pPr>
      <w:r w:rsidRPr="00F13073">
        <w:rPr>
          <w:rStyle w:val="Char"/>
        </w:rPr>
        <w:t>Nie stosować tego leku po upływie terminu ważności zamieszczonego na ampułko-strzykawce i opakowaniu (EXP). Termin ważności oznacza ostatni dzień podanego miesiąca.</w:t>
      </w:r>
    </w:p>
    <w:p w14:paraId="0C966BAF" w14:textId="77777777" w:rsidR="00EA78DA" w:rsidRPr="00F13073" w:rsidRDefault="00EA78DA" w:rsidP="008B4C50">
      <w:pPr>
        <w:pStyle w:val="a4"/>
        <w:widowControl/>
        <w:spacing w:after="0"/>
      </w:pPr>
    </w:p>
    <w:p w14:paraId="01ADD771" w14:textId="79FA69EE" w:rsidR="00EA78DA" w:rsidRPr="00F13073" w:rsidRDefault="00EA78DA" w:rsidP="008B4C50">
      <w:pPr>
        <w:pStyle w:val="a4"/>
        <w:widowControl/>
        <w:spacing w:after="0"/>
        <w:rPr>
          <w:rStyle w:val="Char"/>
        </w:rPr>
      </w:pPr>
      <w:r w:rsidRPr="00F13073">
        <w:rPr>
          <w:rStyle w:val="Char"/>
        </w:rPr>
        <w:t xml:space="preserve">Przechowywać w lodówce (2°C - 8°C ). Nie zamrażać. Po wyjęciu z lodówki ampułko-strzykawka może być przechowywana do </w:t>
      </w:r>
      <w:r w:rsidR="00E85253" w:rsidRPr="00F13073">
        <w:rPr>
          <w:rStyle w:val="Char"/>
        </w:rPr>
        <w:t>3</w:t>
      </w:r>
      <w:r w:rsidRPr="00F13073">
        <w:rPr>
          <w:rStyle w:val="Char"/>
        </w:rPr>
        <w:t xml:space="preserve"> tygodni w temperaturze nie wyższej niż 30°C.</w:t>
      </w:r>
    </w:p>
    <w:p w14:paraId="052ECCBE" w14:textId="77777777" w:rsidR="00EA78DA" w:rsidRPr="00F13073" w:rsidRDefault="00EA78DA" w:rsidP="008B4C50">
      <w:pPr>
        <w:pStyle w:val="a4"/>
        <w:widowControl/>
        <w:spacing w:after="0"/>
      </w:pPr>
    </w:p>
    <w:p w14:paraId="6F713B76" w14:textId="77777777" w:rsidR="00EA78DA" w:rsidRPr="00F13073" w:rsidRDefault="00EA78DA" w:rsidP="008B4C50">
      <w:pPr>
        <w:pStyle w:val="a4"/>
        <w:widowControl/>
        <w:spacing w:after="0"/>
        <w:rPr>
          <w:rStyle w:val="Char"/>
        </w:rPr>
      </w:pPr>
      <w:r w:rsidRPr="00F13073">
        <w:rPr>
          <w:rStyle w:val="Char"/>
        </w:rPr>
        <w:t>Ampułko-strzykawki przechowywać w opakowaniu zewnętrznym, w celu ochrony przed światłem i wilgocią.</w:t>
      </w:r>
    </w:p>
    <w:p w14:paraId="660315AB" w14:textId="77777777" w:rsidR="00EA78DA" w:rsidRPr="00F13073" w:rsidRDefault="00EA78DA" w:rsidP="008B4C50">
      <w:pPr>
        <w:pStyle w:val="a4"/>
        <w:widowControl/>
        <w:spacing w:after="0"/>
      </w:pPr>
    </w:p>
    <w:p w14:paraId="1F631CC3" w14:textId="16BED895" w:rsidR="00EA78DA" w:rsidRPr="00F13073" w:rsidRDefault="00EA78DA" w:rsidP="008B4C50">
      <w:pPr>
        <w:pStyle w:val="a4"/>
        <w:widowControl/>
        <w:spacing w:after="0"/>
        <w:rPr>
          <w:rStyle w:val="Char"/>
        </w:rPr>
      </w:pPr>
      <w:r w:rsidRPr="00F13073">
        <w:rPr>
          <w:rStyle w:val="Char"/>
        </w:rPr>
        <w:t>Nie używać leku, jeśli jest mętny lub zawiera cząstki stałe, posiada zabarwienie inne niż bezbarwne lub żółt</w:t>
      </w:r>
      <w:r w:rsidR="00A306AA" w:rsidRPr="00F13073">
        <w:rPr>
          <w:rStyle w:val="Char"/>
        </w:rPr>
        <w:t>e</w:t>
      </w:r>
      <w:r w:rsidRPr="00F13073">
        <w:rPr>
          <w:rStyle w:val="Char"/>
        </w:rPr>
        <w:t xml:space="preserve"> lub jeśli którakolwiek część ampułko-strzykawki jest uszkodzona.</w:t>
      </w:r>
    </w:p>
    <w:p w14:paraId="38531DF0" w14:textId="77777777" w:rsidR="00EA78DA" w:rsidRPr="00F13073" w:rsidRDefault="00EA78DA" w:rsidP="008B4C50">
      <w:pPr>
        <w:pStyle w:val="a4"/>
        <w:widowControl/>
        <w:spacing w:after="0"/>
      </w:pPr>
    </w:p>
    <w:p w14:paraId="67B04365" w14:textId="77777777" w:rsidR="00EA78DA" w:rsidRPr="00F13073" w:rsidRDefault="00EA78DA" w:rsidP="008B4C50">
      <w:pPr>
        <w:pStyle w:val="a4"/>
        <w:widowControl/>
        <w:spacing w:after="0"/>
        <w:rPr>
          <w:rStyle w:val="Char"/>
        </w:rPr>
      </w:pPr>
      <w:r w:rsidRPr="00F13073">
        <w:rPr>
          <w:rStyle w:val="Char"/>
        </w:rPr>
        <w:t>Nie należy wstrząsać ampułko-strzykawką. Zastrzyk trzeba wykonać w ciągu 5 minut po zdjęciu nakładki, aby zapobiec wysychaniu leku i zablokowaniu igły. W przypadku niewykonania zastrzyku w ciągu 5 minut po zdjęciu nakładki, należy wyrzucić ampułko-strzykawkę do pojemnika odpornego na przekłucia i użyć nowej ampułko-strzykawki.</w:t>
      </w:r>
    </w:p>
    <w:p w14:paraId="70167745" w14:textId="77777777" w:rsidR="00EA78DA" w:rsidRPr="00F13073" w:rsidRDefault="00EA78DA" w:rsidP="008B4C50">
      <w:pPr>
        <w:pStyle w:val="a4"/>
        <w:widowControl/>
        <w:spacing w:after="0"/>
      </w:pPr>
    </w:p>
    <w:p w14:paraId="28EA7C64" w14:textId="77777777" w:rsidR="00EA78DA" w:rsidRPr="00F13073" w:rsidRDefault="00EA78DA" w:rsidP="008B4C50">
      <w:pPr>
        <w:pStyle w:val="a4"/>
        <w:widowControl/>
        <w:spacing w:after="0"/>
        <w:rPr>
          <w:rStyle w:val="Char"/>
        </w:rPr>
      </w:pPr>
      <w:r w:rsidRPr="00F13073">
        <w:rPr>
          <w:rStyle w:val="Char"/>
        </w:rPr>
        <w:t>Jeśli po wkłuciu igły nie jest możliwe naciśnięcie tłoczka strzykawki, należy wyrzucić ampułko-strzykawkę do pojemnika odpornego na przekłucia i użyć nowej ampułko-strzykawki.</w:t>
      </w:r>
    </w:p>
    <w:p w14:paraId="46B2D894" w14:textId="77777777" w:rsidR="00EA78DA" w:rsidRPr="00F13073" w:rsidRDefault="00EA78DA" w:rsidP="008B4C50">
      <w:pPr>
        <w:pStyle w:val="a4"/>
        <w:widowControl/>
        <w:spacing w:after="0"/>
      </w:pPr>
    </w:p>
    <w:p w14:paraId="562B6DD8" w14:textId="77777777" w:rsidR="00EA78DA" w:rsidRPr="00F13073" w:rsidRDefault="00EA78DA" w:rsidP="008B4C50">
      <w:pPr>
        <w:pStyle w:val="a4"/>
        <w:widowControl/>
        <w:spacing w:after="0"/>
      </w:pPr>
    </w:p>
    <w:p w14:paraId="5B21EDA1" w14:textId="77777777" w:rsidR="00EA78DA" w:rsidRPr="00F13073" w:rsidRDefault="00EA78DA" w:rsidP="008B4C50">
      <w:pPr>
        <w:keepNext/>
        <w:ind w:left="567" w:hanging="567"/>
      </w:pPr>
      <w:r w:rsidRPr="00F13073">
        <w:rPr>
          <w:rStyle w:val="Char"/>
          <w:rFonts w:eastAsia="DengXian"/>
          <w:b/>
          <w:bCs/>
        </w:rPr>
        <w:t>6.</w:t>
      </w:r>
      <w:r w:rsidRPr="00F13073">
        <w:rPr>
          <w:rStyle w:val="Char"/>
          <w:rFonts w:eastAsia="DengXian"/>
          <w:b/>
          <w:bCs/>
        </w:rPr>
        <w:tab/>
        <w:t>Zawartość opakowania i inne informacje</w:t>
      </w:r>
    </w:p>
    <w:p w14:paraId="3FA6247C" w14:textId="77777777" w:rsidR="00EA78DA" w:rsidRPr="00F13073" w:rsidRDefault="00EA78DA" w:rsidP="008B4C50">
      <w:pPr>
        <w:pStyle w:val="a4"/>
        <w:widowControl/>
        <w:spacing w:after="0"/>
        <w:rPr>
          <w:rStyle w:val="Char"/>
          <w:b/>
          <w:bCs/>
        </w:rPr>
      </w:pPr>
    </w:p>
    <w:p w14:paraId="63D29192" w14:textId="32878F31" w:rsidR="00EA78DA" w:rsidRPr="00F13073" w:rsidRDefault="00EA78DA" w:rsidP="008B4C50">
      <w:pPr>
        <w:pStyle w:val="a4"/>
        <w:widowControl/>
        <w:spacing w:after="0"/>
      </w:pPr>
      <w:r w:rsidRPr="00F13073">
        <w:rPr>
          <w:rStyle w:val="Char"/>
          <w:b/>
          <w:bCs/>
        </w:rPr>
        <w:t xml:space="preserve">Co zawiera lek </w:t>
      </w:r>
      <w:r w:rsidR="00026375" w:rsidRPr="00F13073">
        <w:rPr>
          <w:rStyle w:val="Char"/>
          <w:b/>
          <w:bCs/>
        </w:rPr>
        <w:t>Avtozma</w:t>
      </w:r>
    </w:p>
    <w:p w14:paraId="202776CB" w14:textId="77777777" w:rsidR="00EA78DA" w:rsidRPr="00F13073" w:rsidRDefault="00EA78DA" w:rsidP="008B4C50">
      <w:pPr>
        <w:pStyle w:val="a0"/>
        <w:numPr>
          <w:ilvl w:val="0"/>
          <w:numId w:val="14"/>
        </w:numPr>
        <w:ind w:left="567" w:hanging="567"/>
        <w:contextualSpacing w:val="0"/>
      </w:pPr>
      <w:r w:rsidRPr="00F13073">
        <w:rPr>
          <w:rStyle w:val="Char"/>
          <w:rFonts w:eastAsia="DengXian"/>
        </w:rPr>
        <w:t>Substancją czynną leku jest tocilizumab.</w:t>
      </w:r>
    </w:p>
    <w:p w14:paraId="2504FAAD" w14:textId="158D1415" w:rsidR="00EA78DA" w:rsidRPr="00F13073" w:rsidRDefault="00EA78DA" w:rsidP="008B4C50">
      <w:pPr>
        <w:pStyle w:val="a4"/>
        <w:widowControl/>
        <w:spacing w:after="0"/>
        <w:ind w:firstLine="580"/>
        <w:rPr>
          <w:rStyle w:val="Char"/>
        </w:rPr>
      </w:pPr>
      <w:r w:rsidRPr="00F13073">
        <w:rPr>
          <w:rStyle w:val="Char"/>
        </w:rPr>
        <w:t>Każda ampułko-strzykawka 0,9 mL zawiera 162 mg tocilizumabu.</w:t>
      </w:r>
    </w:p>
    <w:p w14:paraId="4B1189C7" w14:textId="77777777" w:rsidR="005C5F20" w:rsidRPr="00F13073" w:rsidRDefault="005C5F20" w:rsidP="008B4C50">
      <w:pPr>
        <w:pStyle w:val="a4"/>
        <w:widowControl/>
        <w:spacing w:after="0"/>
        <w:ind w:firstLine="580"/>
      </w:pPr>
    </w:p>
    <w:p w14:paraId="7ADF6358" w14:textId="076F90D4" w:rsidR="00EA78DA" w:rsidRPr="00F13073" w:rsidRDefault="00EA78DA" w:rsidP="008B4C50">
      <w:pPr>
        <w:pStyle w:val="a0"/>
        <w:numPr>
          <w:ilvl w:val="0"/>
          <w:numId w:val="14"/>
        </w:numPr>
        <w:ind w:left="567" w:hanging="567"/>
        <w:contextualSpacing w:val="0"/>
      </w:pPr>
      <w:r w:rsidRPr="00F13073">
        <w:rPr>
          <w:rStyle w:val="Char"/>
          <w:rFonts w:eastAsia="DengXian"/>
        </w:rPr>
        <w:t>Pozostałe składniki to: L-histydyna,</w:t>
      </w:r>
      <w:r w:rsidR="00E265AD">
        <w:rPr>
          <w:rStyle w:val="Char"/>
          <w:rFonts w:eastAsia="맑은 고딕" w:hint="eastAsia"/>
          <w:lang w:eastAsia="ko-KR"/>
        </w:rPr>
        <w:t xml:space="preserve"> </w:t>
      </w:r>
      <w:r w:rsidR="00017E9D" w:rsidRPr="00017E9D">
        <w:rPr>
          <w:rFonts w:eastAsia="맑은 고딕" w:hint="eastAsia"/>
          <w:lang w:eastAsia="ko-KR"/>
        </w:rPr>
        <w:t>L-histydyny monochlorowodorek</w:t>
      </w:r>
      <w:r w:rsidR="00E265AD" w:rsidRPr="00E265AD">
        <w:rPr>
          <w:rFonts w:eastAsia="맑은 고딕"/>
          <w:lang w:eastAsia="ko-KR"/>
        </w:rPr>
        <w:t>,</w:t>
      </w:r>
      <w:r w:rsidRPr="00F13073">
        <w:rPr>
          <w:rStyle w:val="Char"/>
          <w:rFonts w:eastAsia="DengXian"/>
        </w:rPr>
        <w:t xml:space="preserve"> </w:t>
      </w:r>
      <w:r w:rsidR="0003021A" w:rsidRPr="00F13073">
        <w:rPr>
          <w:rStyle w:val="Char"/>
          <w:rFonts w:eastAsia="DengXian"/>
        </w:rPr>
        <w:t xml:space="preserve">L-treonina, </w:t>
      </w:r>
      <w:r w:rsidR="0040738D" w:rsidRPr="00F13073">
        <w:rPr>
          <w:rStyle w:val="Char"/>
          <w:rFonts w:eastAsia="DengXian"/>
        </w:rPr>
        <w:t xml:space="preserve">L-metionina, </w:t>
      </w:r>
      <w:r w:rsidRPr="00F13073">
        <w:rPr>
          <w:rStyle w:val="Char"/>
          <w:rFonts w:eastAsia="DengXian"/>
        </w:rPr>
        <w:t>polisorbat</w:t>
      </w:r>
      <w:r w:rsidR="0037058B" w:rsidRPr="00F13073">
        <w:rPr>
          <w:rStyle w:val="Char"/>
          <w:rFonts w:eastAsia="DengXian"/>
        </w:rPr>
        <w:t> </w:t>
      </w:r>
      <w:r w:rsidRPr="00F13073">
        <w:rPr>
          <w:rStyle w:val="Char"/>
          <w:rFonts w:eastAsia="DengXian"/>
        </w:rPr>
        <w:t>80 i woda do wstrzykiwań.</w:t>
      </w:r>
    </w:p>
    <w:p w14:paraId="66F30ED1" w14:textId="77777777" w:rsidR="005C5F20" w:rsidRPr="00F13073" w:rsidRDefault="005C5F20" w:rsidP="008B4C50">
      <w:pPr>
        <w:pStyle w:val="a4"/>
        <w:widowControl/>
        <w:spacing w:after="0"/>
        <w:rPr>
          <w:rStyle w:val="Char"/>
          <w:b/>
          <w:bCs/>
        </w:rPr>
      </w:pPr>
    </w:p>
    <w:p w14:paraId="158C5ED7" w14:textId="10D9D5FF" w:rsidR="00EA78DA" w:rsidRPr="00F13073" w:rsidRDefault="00EA78DA" w:rsidP="008B4C50">
      <w:pPr>
        <w:pStyle w:val="a4"/>
        <w:widowControl/>
        <w:spacing w:after="0"/>
      </w:pPr>
      <w:r w:rsidRPr="00F13073">
        <w:rPr>
          <w:rStyle w:val="Char"/>
          <w:b/>
          <w:bCs/>
        </w:rPr>
        <w:lastRenderedPageBreak/>
        <w:t xml:space="preserve">Jak wygląda lek </w:t>
      </w:r>
      <w:r w:rsidR="00026375" w:rsidRPr="00F13073">
        <w:rPr>
          <w:rStyle w:val="Char"/>
          <w:b/>
          <w:bCs/>
        </w:rPr>
        <w:t>Avtozma</w:t>
      </w:r>
      <w:r w:rsidRPr="00F13073">
        <w:rPr>
          <w:rStyle w:val="Char"/>
          <w:b/>
          <w:bCs/>
        </w:rPr>
        <w:t xml:space="preserve"> i co zawiera opakowanie</w:t>
      </w:r>
    </w:p>
    <w:p w14:paraId="451F1BB2" w14:textId="6CAAFA20" w:rsidR="00EA78DA" w:rsidRPr="00F13073" w:rsidRDefault="00EA78DA"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to roztwór do wstrzykiwań. Roztwór jest bezbarwny lub żółt</w:t>
      </w:r>
      <w:r w:rsidR="0037058B" w:rsidRPr="00F13073">
        <w:rPr>
          <w:rStyle w:val="Char"/>
        </w:rPr>
        <w:t>y</w:t>
      </w:r>
      <w:r w:rsidRPr="00F13073">
        <w:rPr>
          <w:rStyle w:val="Char"/>
        </w:rPr>
        <w:t>.</w:t>
      </w:r>
    </w:p>
    <w:p w14:paraId="55766157" w14:textId="77777777" w:rsidR="005C5F20" w:rsidRPr="00F13073" w:rsidRDefault="005C5F20" w:rsidP="008B4C50">
      <w:pPr>
        <w:pStyle w:val="a4"/>
        <w:widowControl/>
        <w:spacing w:after="0"/>
      </w:pPr>
    </w:p>
    <w:p w14:paraId="3981331A" w14:textId="764A82DA" w:rsidR="00020BC4" w:rsidRPr="00F13073" w:rsidRDefault="00EA78DA" w:rsidP="008B4C50">
      <w:pPr>
        <w:rPr>
          <w:rStyle w:val="Char"/>
          <w:rFonts w:eastAsia="DengXian"/>
        </w:rPr>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dostarczany jest w postaci ampułko-strzykawki 0,9 mL, zawierającej 162 mg tocilizumabu w postaci roztworu do wstrzykiwań</w:t>
      </w:r>
      <w:r w:rsidR="002B178B" w:rsidRPr="00F13073">
        <w:rPr>
          <w:rStyle w:val="Char"/>
          <w:rFonts w:eastAsia="DengXian"/>
        </w:rPr>
        <w:t>.</w:t>
      </w:r>
    </w:p>
    <w:p w14:paraId="4AFA06A0" w14:textId="77777777" w:rsidR="0003021A" w:rsidRPr="00F13073" w:rsidRDefault="0003021A" w:rsidP="008B4C50">
      <w:pPr>
        <w:rPr>
          <w:rStyle w:val="Char"/>
          <w:rFonts w:eastAsia="DengXian"/>
        </w:rPr>
      </w:pPr>
    </w:p>
    <w:p w14:paraId="360AA74A" w14:textId="1122E819" w:rsidR="0003021A" w:rsidRPr="00F13073" w:rsidRDefault="0003021A" w:rsidP="0003021A">
      <w:pPr>
        <w:pStyle w:val="a4"/>
        <w:widowControl/>
        <w:spacing w:after="0"/>
      </w:pPr>
      <w:r w:rsidRPr="00F13073">
        <w:t xml:space="preserve">Ampułko-strzykawki z </w:t>
      </w:r>
      <w:r w:rsidR="00C13083" w:rsidRPr="00F13073">
        <w:t>lekiem</w:t>
      </w:r>
      <w:r w:rsidRPr="00F13073">
        <w:t xml:space="preserve"> Avtozma do stosowania u pacjentów są dostępne w opakowaniach zawierających:</w:t>
      </w:r>
    </w:p>
    <w:p w14:paraId="51C08F96" w14:textId="77777777" w:rsidR="0003021A" w:rsidRPr="00F13073" w:rsidRDefault="0003021A" w:rsidP="0081094B">
      <w:pPr>
        <w:pStyle w:val="a4"/>
        <w:widowControl/>
        <w:numPr>
          <w:ilvl w:val="0"/>
          <w:numId w:val="26"/>
        </w:numPr>
        <w:spacing w:after="0"/>
        <w:ind w:left="567" w:hanging="567"/>
      </w:pPr>
      <w:r w:rsidRPr="00F13073">
        <w:t>1 ampułko-strzykawkę</w:t>
      </w:r>
    </w:p>
    <w:p w14:paraId="01A3A663" w14:textId="77777777" w:rsidR="00231829" w:rsidRPr="00231829" w:rsidRDefault="00231829" w:rsidP="0081094B">
      <w:pPr>
        <w:pStyle w:val="a4"/>
        <w:widowControl/>
        <w:numPr>
          <w:ilvl w:val="0"/>
          <w:numId w:val="26"/>
        </w:numPr>
        <w:spacing w:after="0"/>
        <w:ind w:left="567" w:hanging="567"/>
        <w:rPr>
          <w:ins w:id="43" w:author="만든 이"/>
          <w:rPrChange w:id="44" w:author="만든 이">
            <w:rPr>
              <w:ins w:id="45" w:author="만든 이"/>
              <w:rFonts w:eastAsia="맑은 고딕"/>
              <w:lang w:eastAsia="ko-KR"/>
            </w:rPr>
          </w:rPrChange>
        </w:rPr>
      </w:pPr>
      <w:ins w:id="46" w:author="만든 이">
        <w:r>
          <w:rPr>
            <w:rFonts w:eastAsia="맑은 고딕" w:hint="eastAsia"/>
            <w:lang w:eastAsia="ko-KR"/>
          </w:rPr>
          <w:t>2</w:t>
        </w:r>
        <w:r w:rsidRPr="00F13073">
          <w:t xml:space="preserve"> ampułko-strzykawki </w:t>
        </w:r>
      </w:ins>
    </w:p>
    <w:p w14:paraId="635145D5" w14:textId="63E274B1" w:rsidR="0003021A" w:rsidRPr="00F13073" w:rsidRDefault="0003021A" w:rsidP="0081094B">
      <w:pPr>
        <w:pStyle w:val="a4"/>
        <w:widowControl/>
        <w:numPr>
          <w:ilvl w:val="0"/>
          <w:numId w:val="26"/>
        </w:numPr>
        <w:spacing w:after="0"/>
        <w:ind w:left="567" w:hanging="567"/>
      </w:pPr>
      <w:r w:rsidRPr="00F13073">
        <w:t>4 ampułko-strzykawki</w:t>
      </w:r>
    </w:p>
    <w:p w14:paraId="5FFA74E4" w14:textId="7B34175B" w:rsidR="0003021A" w:rsidRPr="00F13073" w:rsidRDefault="0003021A" w:rsidP="0081094B">
      <w:pPr>
        <w:pStyle w:val="a4"/>
        <w:widowControl/>
        <w:numPr>
          <w:ilvl w:val="0"/>
          <w:numId w:val="26"/>
        </w:numPr>
        <w:spacing w:after="0"/>
        <w:ind w:left="567" w:hanging="567"/>
        <w:rPr>
          <w:rStyle w:val="Char"/>
          <w:rFonts w:eastAsia="DengXian"/>
        </w:rPr>
      </w:pPr>
      <w:r w:rsidRPr="00F13073">
        <w:t>12 (3 opakowania po 4 sztuki) ampułko-strzykawek (opakowanie zbiorcze)</w:t>
      </w:r>
    </w:p>
    <w:p w14:paraId="2C9246E3" w14:textId="77777777" w:rsidR="002B178B" w:rsidRPr="00F13073" w:rsidRDefault="002B178B" w:rsidP="008B4C50"/>
    <w:p w14:paraId="02B62F29" w14:textId="22898C10" w:rsidR="002B178B" w:rsidRPr="00F13073" w:rsidRDefault="002B178B" w:rsidP="008B4C50">
      <w:pPr>
        <w:pStyle w:val="a4"/>
        <w:widowControl/>
        <w:spacing w:after="0"/>
        <w:rPr>
          <w:b/>
          <w:bCs/>
        </w:rPr>
      </w:pPr>
      <w:r w:rsidRPr="00F13073">
        <w:rPr>
          <w:rStyle w:val="Char"/>
          <w:b/>
          <w:bCs/>
        </w:rPr>
        <w:t>Nie wszystkie wielkości opakowań muszą znajdować się w obrocie.</w:t>
      </w:r>
    </w:p>
    <w:p w14:paraId="223BF051" w14:textId="77777777" w:rsidR="002B178B" w:rsidRPr="00F13073" w:rsidRDefault="002B178B" w:rsidP="008B4C50"/>
    <w:p w14:paraId="707F24A6" w14:textId="77777777" w:rsidR="001E0975" w:rsidRPr="00F13073" w:rsidRDefault="002B178B" w:rsidP="008B4C50">
      <w:pPr>
        <w:keepNext/>
        <w:rPr>
          <w:b/>
          <w:bCs/>
        </w:rPr>
      </w:pPr>
      <w:r w:rsidRPr="00F13073">
        <w:rPr>
          <w:rStyle w:val="Char"/>
          <w:rFonts w:eastAsia="DengXian"/>
          <w:b/>
          <w:bCs/>
        </w:rPr>
        <w:t>Podmiot odpowiedzialny</w:t>
      </w:r>
    </w:p>
    <w:p w14:paraId="58F42748" w14:textId="77777777" w:rsidR="009A524B" w:rsidRPr="00F13073" w:rsidRDefault="009A524B" w:rsidP="009A524B">
      <w:pPr>
        <w:keepNext/>
      </w:pPr>
      <w:r w:rsidRPr="00F13073">
        <w:t>Celltrion Healthcare Hungary Kft.</w:t>
      </w:r>
    </w:p>
    <w:p w14:paraId="2993DEF5" w14:textId="77777777" w:rsidR="009A524B" w:rsidRPr="00127FBE" w:rsidRDefault="009A524B" w:rsidP="009A524B">
      <w:pPr>
        <w:keepNext/>
        <w:rPr>
          <w:lang w:val="en-GB"/>
        </w:rPr>
      </w:pPr>
      <w:r w:rsidRPr="00127FBE">
        <w:rPr>
          <w:lang w:val="en-GB"/>
        </w:rPr>
        <w:t>1062 Budapest</w:t>
      </w:r>
    </w:p>
    <w:p w14:paraId="28DD22C4" w14:textId="77777777" w:rsidR="009A524B" w:rsidRPr="00127FBE" w:rsidRDefault="009A524B" w:rsidP="009A524B">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468B70CD" w14:textId="0F0C0126" w:rsidR="009A524B" w:rsidRPr="00127FBE" w:rsidRDefault="009A524B" w:rsidP="009A524B">
      <w:pPr>
        <w:rPr>
          <w:lang w:val="en-GB"/>
        </w:rPr>
      </w:pPr>
      <w:proofErr w:type="spellStart"/>
      <w:r w:rsidRPr="00127FBE">
        <w:rPr>
          <w:lang w:val="en-GB"/>
        </w:rPr>
        <w:t>Węgry</w:t>
      </w:r>
      <w:proofErr w:type="spellEnd"/>
    </w:p>
    <w:p w14:paraId="6419A567" w14:textId="77777777" w:rsidR="002B178B" w:rsidRPr="00127FBE" w:rsidRDefault="002B178B" w:rsidP="008B4C50">
      <w:pPr>
        <w:rPr>
          <w:lang w:val="en-GB"/>
        </w:rPr>
      </w:pPr>
    </w:p>
    <w:p w14:paraId="46EB4D24" w14:textId="77777777" w:rsidR="001E0975" w:rsidRPr="00127FBE" w:rsidRDefault="002B178B" w:rsidP="008B4C50">
      <w:pPr>
        <w:keepNext/>
        <w:rPr>
          <w:b/>
          <w:bCs/>
          <w:lang w:val="en-GB"/>
        </w:rPr>
      </w:pPr>
      <w:proofErr w:type="spellStart"/>
      <w:r w:rsidRPr="00127FBE">
        <w:rPr>
          <w:b/>
          <w:bCs/>
          <w:lang w:val="en-GB"/>
        </w:rPr>
        <w:t>Wytwórca</w:t>
      </w:r>
      <w:proofErr w:type="spellEnd"/>
    </w:p>
    <w:p w14:paraId="60849ED6" w14:textId="77777777" w:rsidR="009A524B" w:rsidRPr="00127FBE" w:rsidRDefault="009A524B" w:rsidP="009A524B">
      <w:pPr>
        <w:keepNext/>
        <w:rPr>
          <w:lang w:val="en-GB"/>
        </w:rPr>
      </w:pPr>
      <w:r w:rsidRPr="00127FBE">
        <w:rPr>
          <w:lang w:val="en-GB"/>
        </w:rPr>
        <w:t>Nuvisan France SARL</w:t>
      </w:r>
    </w:p>
    <w:p w14:paraId="5ACE533A" w14:textId="77777777" w:rsidR="009A524B" w:rsidRPr="00127FBE" w:rsidRDefault="009A524B" w:rsidP="009A524B">
      <w:pPr>
        <w:keepNext/>
        <w:rPr>
          <w:lang w:val="en-GB"/>
        </w:rPr>
      </w:pPr>
      <w:r w:rsidRPr="00127FBE">
        <w:rPr>
          <w:lang w:val="en-GB"/>
        </w:rPr>
        <w:t>2400</w:t>
      </w:r>
      <w:del w:id="47" w:author="만든 이">
        <w:r w:rsidRPr="00127FBE" w:rsidDel="006A6B0C">
          <w:rPr>
            <w:lang w:val="en-GB"/>
          </w:rPr>
          <w:delText>,</w:delText>
        </w:r>
      </w:del>
      <w:r w:rsidRPr="00127FBE">
        <w:rPr>
          <w:lang w:val="en-GB"/>
        </w:rPr>
        <w:t xml:space="preserve"> Route des Colles, </w:t>
      </w:r>
    </w:p>
    <w:p w14:paraId="385BCFF5" w14:textId="77777777" w:rsidR="009A524B" w:rsidRPr="00F13073" w:rsidRDefault="009A524B" w:rsidP="009A524B">
      <w:pPr>
        <w:keepNext/>
      </w:pPr>
      <w:r w:rsidRPr="00F13073">
        <w:t>06410</w:t>
      </w:r>
      <w:del w:id="48" w:author="만든 이">
        <w:r w:rsidRPr="00F13073" w:rsidDel="006A6B0C">
          <w:delText>,</w:delText>
        </w:r>
      </w:del>
      <w:r w:rsidRPr="00F13073">
        <w:t xml:space="preserve"> Biot, </w:t>
      </w:r>
    </w:p>
    <w:p w14:paraId="3545B575" w14:textId="32B828D5" w:rsidR="009A524B" w:rsidRPr="00F13073" w:rsidRDefault="009A524B" w:rsidP="009A524B">
      <w:r w:rsidRPr="00F13073">
        <w:t>Francja</w:t>
      </w:r>
    </w:p>
    <w:p w14:paraId="4E4F1FF8" w14:textId="77777777" w:rsidR="009A524B" w:rsidRPr="00F13073" w:rsidRDefault="009A524B" w:rsidP="009A524B"/>
    <w:p w14:paraId="4C8A5E76" w14:textId="77777777" w:rsidR="009A524B" w:rsidRPr="00F13073" w:rsidRDefault="009A524B" w:rsidP="009A524B">
      <w:pPr>
        <w:keepNext/>
      </w:pPr>
      <w:r w:rsidRPr="00F13073">
        <w:t>Midas Pharma GmbH</w:t>
      </w:r>
    </w:p>
    <w:p w14:paraId="7356A7E3" w14:textId="77777777" w:rsidR="009A524B" w:rsidRPr="00F13073" w:rsidRDefault="009A524B" w:rsidP="009A524B">
      <w:pPr>
        <w:keepNext/>
      </w:pPr>
      <w:r w:rsidRPr="00F13073">
        <w:t xml:space="preserve">Rheinstr. 49, </w:t>
      </w:r>
    </w:p>
    <w:p w14:paraId="5E739331" w14:textId="77777777" w:rsidR="009A524B" w:rsidRPr="00F13073" w:rsidRDefault="009A524B" w:rsidP="009A524B">
      <w:pPr>
        <w:keepNext/>
      </w:pPr>
      <w:r w:rsidRPr="00F13073">
        <w:t>55218 Ingelheim,</w:t>
      </w:r>
    </w:p>
    <w:p w14:paraId="12E2B604" w14:textId="7AE64764" w:rsidR="009A524B" w:rsidRPr="00F13073" w:rsidRDefault="009A524B" w:rsidP="009A524B">
      <w:r w:rsidRPr="00F13073">
        <w:t>Niemcy</w:t>
      </w:r>
    </w:p>
    <w:p w14:paraId="1E6D6A8E" w14:textId="77777777" w:rsidR="009A524B" w:rsidRPr="00F13073" w:rsidRDefault="009A524B" w:rsidP="009A524B"/>
    <w:p w14:paraId="669D9EC7" w14:textId="77777777" w:rsidR="009A524B" w:rsidRPr="00F13073" w:rsidRDefault="009A524B" w:rsidP="009A524B">
      <w:pPr>
        <w:keepNext/>
      </w:pPr>
      <w:r w:rsidRPr="00F13073">
        <w:t xml:space="preserve">KYMOS S.L. </w:t>
      </w:r>
    </w:p>
    <w:p w14:paraId="47E1264A" w14:textId="77777777" w:rsidR="009A524B" w:rsidRPr="00127FBE" w:rsidRDefault="009A524B" w:rsidP="009A524B">
      <w:pPr>
        <w:keepNext/>
        <w:rPr>
          <w:lang w:val="en-GB"/>
        </w:rPr>
      </w:pPr>
      <w:r w:rsidRPr="00127FBE">
        <w:rPr>
          <w:lang w:val="en-GB"/>
        </w:rPr>
        <w:t xml:space="preserve">Ronda Can </w:t>
      </w:r>
      <w:proofErr w:type="spellStart"/>
      <w:r w:rsidRPr="00127FBE">
        <w:rPr>
          <w:lang w:val="en-GB"/>
        </w:rPr>
        <w:t>Fatjó</w:t>
      </w:r>
      <w:proofErr w:type="spellEnd"/>
      <w:r w:rsidRPr="00127FBE">
        <w:rPr>
          <w:lang w:val="en-GB"/>
        </w:rPr>
        <w:t xml:space="preserve">, 7B. </w:t>
      </w:r>
    </w:p>
    <w:p w14:paraId="2386B13D" w14:textId="77777777" w:rsidR="009A524B" w:rsidRPr="00127FBE" w:rsidRDefault="009A524B" w:rsidP="009A524B">
      <w:pPr>
        <w:keepNext/>
        <w:rPr>
          <w:lang w:val="en-GB"/>
        </w:rPr>
      </w:pPr>
      <w:r w:rsidRPr="00127FBE">
        <w:rPr>
          <w:lang w:val="en-GB"/>
        </w:rPr>
        <w:t xml:space="preserve">08290 </w:t>
      </w:r>
      <w:proofErr w:type="spellStart"/>
      <w:r w:rsidRPr="00127FBE">
        <w:rPr>
          <w:lang w:val="en-GB"/>
        </w:rPr>
        <w:t>Cerdanyola</w:t>
      </w:r>
      <w:proofErr w:type="spellEnd"/>
      <w:r w:rsidRPr="00127FBE">
        <w:rPr>
          <w:lang w:val="en-GB"/>
        </w:rPr>
        <w:t xml:space="preserve"> del </w:t>
      </w:r>
      <w:proofErr w:type="spellStart"/>
      <w:r w:rsidRPr="00127FBE">
        <w:rPr>
          <w:lang w:val="en-GB"/>
        </w:rPr>
        <w:t>Vallès</w:t>
      </w:r>
      <w:proofErr w:type="spellEnd"/>
      <w:r w:rsidRPr="00127FBE">
        <w:rPr>
          <w:lang w:val="en-GB"/>
        </w:rPr>
        <w:t xml:space="preserve">, </w:t>
      </w:r>
    </w:p>
    <w:p w14:paraId="014A2829" w14:textId="77777777" w:rsidR="009A524B" w:rsidRPr="00F13073" w:rsidRDefault="009A524B" w:rsidP="009A524B">
      <w:pPr>
        <w:keepNext/>
      </w:pPr>
      <w:r w:rsidRPr="00F13073">
        <w:t xml:space="preserve">Barcelona, </w:t>
      </w:r>
    </w:p>
    <w:p w14:paraId="14F36CD0" w14:textId="49183058" w:rsidR="009A524B" w:rsidRPr="00F13073" w:rsidRDefault="009A524B" w:rsidP="009A524B">
      <w:r w:rsidRPr="00F13073">
        <w:t>Hiszpania</w:t>
      </w:r>
    </w:p>
    <w:p w14:paraId="636F3887" w14:textId="77777777" w:rsidR="00480338" w:rsidRPr="00F13073" w:rsidRDefault="00480338" w:rsidP="008B4C50"/>
    <w:p w14:paraId="3CD87F9D" w14:textId="77777777" w:rsidR="001E0975" w:rsidRPr="00F13073" w:rsidRDefault="002B178B" w:rsidP="008B4C50">
      <w:pPr>
        <w:keepNext/>
        <w:rPr>
          <w:rStyle w:val="Char"/>
          <w:rFonts w:eastAsia="DengXian"/>
        </w:rPr>
      </w:pPr>
      <w:r w:rsidRPr="00F13073">
        <w:rPr>
          <w:rStyle w:val="Char"/>
          <w:rFonts w:eastAsia="DengXian"/>
        </w:rPr>
        <w:t>W celu uzyskania bardziej szczegółowych informacji należy zwrócić się do miejscowego przedstawiciela podmiotu odpowiedzialnego:</w:t>
      </w:r>
    </w:p>
    <w:p w14:paraId="0196C235" w14:textId="77777777" w:rsidR="009A524B" w:rsidRPr="00F13073" w:rsidRDefault="009A524B" w:rsidP="008B4C50">
      <w:pPr>
        <w:keepNext/>
      </w:pPr>
    </w:p>
    <w:tbl>
      <w:tblPr>
        <w:tblW w:w="5000" w:type="pct"/>
        <w:tblLayout w:type="fixed"/>
        <w:tblCellMar>
          <w:top w:w="28" w:type="dxa"/>
          <w:bottom w:w="28" w:type="dxa"/>
        </w:tblCellMar>
        <w:tblLook w:val="04A0" w:firstRow="1" w:lastRow="0" w:firstColumn="1" w:lastColumn="0" w:noHBand="0" w:noVBand="1"/>
      </w:tblPr>
      <w:tblGrid>
        <w:gridCol w:w="4533"/>
        <w:gridCol w:w="4533"/>
      </w:tblGrid>
      <w:tr w:rsidR="00A06126" w:rsidRPr="00F13073" w14:paraId="48481385" w14:textId="77777777">
        <w:trPr>
          <w:cantSplit/>
        </w:trPr>
        <w:tc>
          <w:tcPr>
            <w:tcW w:w="2500" w:type="pct"/>
            <w:hideMark/>
          </w:tcPr>
          <w:p w14:paraId="278D01FE" w14:textId="77777777" w:rsidR="009A524B" w:rsidRPr="00127FBE" w:rsidRDefault="009A524B">
            <w:pPr>
              <w:suppressAutoHyphens/>
              <w:rPr>
                <w:b/>
                <w:lang w:val="en-GB" w:eastAsia="fr-FR"/>
              </w:rPr>
            </w:pPr>
            <w:proofErr w:type="spellStart"/>
            <w:r w:rsidRPr="00127FBE">
              <w:rPr>
                <w:rFonts w:eastAsia="맑은 고딕"/>
                <w:b/>
                <w:lang w:val="en-GB" w:eastAsia="fr-FR"/>
              </w:rPr>
              <w:t>België</w:t>
            </w:r>
            <w:proofErr w:type="spellEnd"/>
            <w:r w:rsidRPr="00127FBE">
              <w:rPr>
                <w:rFonts w:eastAsia="맑은 고딕"/>
                <w:b/>
                <w:lang w:val="en-GB" w:eastAsia="fr-FR"/>
              </w:rPr>
              <w:t>/Belgique/</w:t>
            </w:r>
            <w:proofErr w:type="spellStart"/>
            <w:r w:rsidRPr="00127FBE">
              <w:rPr>
                <w:rFonts w:eastAsia="맑은 고딕"/>
                <w:b/>
                <w:lang w:val="en-GB" w:eastAsia="fr-FR"/>
              </w:rPr>
              <w:t>Belgien</w:t>
            </w:r>
            <w:proofErr w:type="spellEnd"/>
          </w:p>
          <w:p w14:paraId="679239EC" w14:textId="77777777" w:rsidR="009A524B" w:rsidRPr="00127FBE" w:rsidRDefault="009A524B">
            <w:pPr>
              <w:suppressAutoHyphens/>
              <w:rPr>
                <w:rFonts w:eastAsia="맑은 고딕"/>
                <w:lang w:val="en-GB" w:eastAsia="fr-FR"/>
              </w:rPr>
            </w:pPr>
            <w:r w:rsidRPr="00127FBE">
              <w:rPr>
                <w:rFonts w:eastAsia="맑은 고딕"/>
                <w:lang w:val="en-GB" w:eastAsia="fr-FR"/>
              </w:rPr>
              <w:t>Celltrion Healthcare Belgium BVBA</w:t>
            </w:r>
          </w:p>
          <w:p w14:paraId="6FC50BF7" w14:textId="77777777" w:rsidR="009A524B" w:rsidRPr="00F13073" w:rsidRDefault="009A524B">
            <w:pPr>
              <w:suppressAutoHyphens/>
              <w:rPr>
                <w:rFonts w:eastAsia="맑은 고딕"/>
                <w:lang w:eastAsia="fr-FR"/>
              </w:rPr>
            </w:pPr>
            <w:r w:rsidRPr="00F13073">
              <w:rPr>
                <w:rFonts w:eastAsia="맑은 고딕"/>
                <w:lang w:eastAsia="fr-FR"/>
              </w:rPr>
              <w:t xml:space="preserve">Tél/Tel: </w:t>
            </w:r>
            <w:r w:rsidRPr="0081094B">
              <w:rPr>
                <w:rFonts w:eastAsia="맑은 고딕"/>
                <w:lang w:eastAsia="fr-FR"/>
              </w:rPr>
              <w:t>+32 2 643 71 81</w:t>
            </w:r>
          </w:p>
          <w:p w14:paraId="7568FEE2" w14:textId="77777777" w:rsidR="009A524B" w:rsidRPr="00F13073" w:rsidRDefault="009A524B">
            <w:pPr>
              <w:suppressAutoHyphens/>
              <w:rPr>
                <w:rFonts w:eastAsia="맑은 고딕"/>
                <w:lang w:eastAsia="fr-FR"/>
              </w:rPr>
            </w:pPr>
            <w:r w:rsidRPr="00F13073">
              <w:rPr>
                <w:rFonts w:eastAsia="맑은 고딕"/>
                <w:lang w:eastAsia="fr-FR"/>
              </w:rPr>
              <w:t>BEinfo@celltrionhc.com</w:t>
            </w:r>
          </w:p>
          <w:p w14:paraId="5807238E" w14:textId="77777777" w:rsidR="009A524B" w:rsidRPr="00F13073" w:rsidRDefault="009A524B">
            <w:pPr>
              <w:suppressAutoHyphens/>
              <w:rPr>
                <w:rFonts w:eastAsia="맑은 고딕"/>
                <w:lang w:eastAsia="ko-KR"/>
              </w:rPr>
            </w:pPr>
          </w:p>
        </w:tc>
        <w:tc>
          <w:tcPr>
            <w:tcW w:w="2500" w:type="pct"/>
          </w:tcPr>
          <w:p w14:paraId="24EBD761" w14:textId="77777777" w:rsidR="009A524B" w:rsidRPr="00127FBE" w:rsidRDefault="009A524B">
            <w:pPr>
              <w:tabs>
                <w:tab w:val="left" w:pos="-720"/>
              </w:tabs>
              <w:suppressAutoHyphens/>
              <w:rPr>
                <w:b/>
                <w:lang w:val="en-GB" w:eastAsia="fr-FR"/>
              </w:rPr>
            </w:pPr>
            <w:r w:rsidRPr="00127FBE">
              <w:rPr>
                <w:b/>
                <w:lang w:val="en-GB" w:eastAsia="fr-FR"/>
              </w:rPr>
              <w:t>Lietuva</w:t>
            </w:r>
          </w:p>
          <w:p w14:paraId="06B26115"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044328FE" w14:textId="77777777" w:rsidR="009A524B" w:rsidRPr="00F13073" w:rsidRDefault="009A524B">
            <w:pPr>
              <w:suppressAutoHyphens/>
              <w:autoSpaceDE w:val="0"/>
              <w:autoSpaceDN w:val="0"/>
              <w:adjustRightInd w:val="0"/>
              <w:rPr>
                <w:lang w:eastAsia="fr-FR"/>
              </w:rPr>
            </w:pPr>
            <w:r w:rsidRPr="00F13073">
              <w:rPr>
                <w:rFonts w:eastAsia="맑은 고딕"/>
                <w:lang w:eastAsia="fr-FR"/>
              </w:rPr>
              <w:t>Tel.: +36 1 231 0493</w:t>
            </w:r>
          </w:p>
          <w:p w14:paraId="1F883AE5" w14:textId="77777777" w:rsidR="009A524B" w:rsidRPr="00F13073" w:rsidRDefault="009A524B">
            <w:pPr>
              <w:suppressAutoHyphens/>
              <w:autoSpaceDE w:val="0"/>
              <w:autoSpaceDN w:val="0"/>
              <w:adjustRightInd w:val="0"/>
              <w:rPr>
                <w:lang w:eastAsia="fr-FR"/>
              </w:rPr>
            </w:pPr>
          </w:p>
        </w:tc>
      </w:tr>
      <w:tr w:rsidR="00A06126" w:rsidRPr="00F13073" w14:paraId="2D704653" w14:textId="77777777">
        <w:trPr>
          <w:cantSplit/>
        </w:trPr>
        <w:tc>
          <w:tcPr>
            <w:tcW w:w="2500" w:type="pct"/>
          </w:tcPr>
          <w:p w14:paraId="1021B53A" w14:textId="77777777" w:rsidR="009A524B" w:rsidRPr="00127FBE" w:rsidRDefault="009A524B">
            <w:pPr>
              <w:suppressAutoHyphens/>
              <w:rPr>
                <w:rFonts w:eastAsia="맑은 고딕"/>
                <w:b/>
                <w:lang w:val="en-GB" w:eastAsia="fr-FR"/>
              </w:rPr>
            </w:pPr>
            <w:r w:rsidRPr="00F13073">
              <w:rPr>
                <w:b/>
                <w:bCs/>
              </w:rPr>
              <w:t>България</w:t>
            </w:r>
          </w:p>
          <w:p w14:paraId="783238B9"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39B71C6D" w14:textId="77777777" w:rsidR="009A524B" w:rsidRPr="00F13073" w:rsidRDefault="009A524B">
            <w:pPr>
              <w:suppressAutoHyphens/>
              <w:rPr>
                <w:rFonts w:eastAsia="맑은 고딕"/>
                <w:lang w:eastAsia="fr-FR"/>
              </w:rPr>
            </w:pPr>
            <w:r w:rsidRPr="00F13073">
              <w:rPr>
                <w:rFonts w:eastAsia="맑은 고딕"/>
                <w:lang w:eastAsia="fr-FR"/>
              </w:rPr>
              <w:t>Teл.: +36 1 231 0493</w:t>
            </w:r>
          </w:p>
          <w:p w14:paraId="40CA47F5" w14:textId="77777777" w:rsidR="009A524B" w:rsidRPr="00F13073" w:rsidRDefault="009A524B">
            <w:pPr>
              <w:suppressAutoHyphens/>
              <w:rPr>
                <w:lang w:eastAsia="fr-FR"/>
              </w:rPr>
            </w:pPr>
          </w:p>
        </w:tc>
        <w:tc>
          <w:tcPr>
            <w:tcW w:w="2500" w:type="pct"/>
            <w:hideMark/>
          </w:tcPr>
          <w:p w14:paraId="2B374AFC" w14:textId="77777777" w:rsidR="009A524B" w:rsidRPr="00127FBE" w:rsidRDefault="009A524B">
            <w:pPr>
              <w:tabs>
                <w:tab w:val="left" w:pos="-720"/>
              </w:tabs>
              <w:suppressAutoHyphens/>
              <w:rPr>
                <w:lang w:val="en-GB" w:eastAsia="fr-FR"/>
              </w:rPr>
            </w:pPr>
            <w:r w:rsidRPr="00127FBE">
              <w:rPr>
                <w:rFonts w:eastAsia="맑은 고딕"/>
                <w:b/>
                <w:lang w:val="en-GB" w:eastAsia="fr-FR"/>
              </w:rPr>
              <w:t>Luxembourg/Luxemburg</w:t>
            </w:r>
          </w:p>
          <w:p w14:paraId="03447C3E" w14:textId="77777777" w:rsidR="009A524B" w:rsidRPr="00127FBE" w:rsidRDefault="009A524B">
            <w:pPr>
              <w:suppressAutoHyphens/>
              <w:rPr>
                <w:rFonts w:eastAsia="맑은 고딕"/>
                <w:lang w:val="en-GB" w:eastAsia="fr-FR"/>
              </w:rPr>
            </w:pPr>
            <w:r w:rsidRPr="00127FBE">
              <w:rPr>
                <w:rFonts w:eastAsia="맑은 고딕"/>
                <w:lang w:val="en-GB" w:eastAsia="fr-FR"/>
              </w:rPr>
              <w:t>Celltrion Healthcare Belgium BVBA</w:t>
            </w:r>
          </w:p>
          <w:p w14:paraId="755F1011" w14:textId="77777777" w:rsidR="009A524B" w:rsidRPr="0081094B" w:rsidRDefault="009A524B">
            <w:pPr>
              <w:tabs>
                <w:tab w:val="left" w:pos="-720"/>
              </w:tabs>
              <w:suppressAutoHyphens/>
              <w:rPr>
                <w:rFonts w:eastAsia="맑은 고딕"/>
                <w:lang w:eastAsia="ko-KR"/>
              </w:rPr>
            </w:pPr>
            <w:r w:rsidRPr="0081094B">
              <w:rPr>
                <w:rFonts w:eastAsia="맑은 고딕"/>
                <w:lang w:eastAsia="fr-FR"/>
              </w:rPr>
              <w:t>Tél/Tel: +32 2 643 71 81</w:t>
            </w:r>
          </w:p>
          <w:p w14:paraId="5AF84933" w14:textId="77777777" w:rsidR="009A524B" w:rsidRPr="00F13073" w:rsidRDefault="009A524B">
            <w:pPr>
              <w:suppressAutoHyphens/>
              <w:rPr>
                <w:rFonts w:eastAsia="맑은 고딕"/>
                <w:lang w:eastAsia="fr-FR"/>
              </w:rPr>
            </w:pPr>
            <w:r w:rsidRPr="00F13073">
              <w:rPr>
                <w:rFonts w:eastAsia="맑은 고딕"/>
                <w:lang w:eastAsia="fr-FR"/>
              </w:rPr>
              <w:t>BEinfo@celltrionhc.com</w:t>
            </w:r>
          </w:p>
          <w:p w14:paraId="021CFF06" w14:textId="77777777" w:rsidR="009A524B" w:rsidRPr="0081094B" w:rsidRDefault="009A524B">
            <w:pPr>
              <w:tabs>
                <w:tab w:val="left" w:pos="-720"/>
              </w:tabs>
              <w:suppressAutoHyphens/>
              <w:rPr>
                <w:rFonts w:eastAsia="맑은 고딕"/>
                <w:lang w:eastAsia="ko-KR"/>
              </w:rPr>
            </w:pPr>
          </w:p>
        </w:tc>
      </w:tr>
      <w:tr w:rsidR="00A06126" w:rsidRPr="00F13073" w14:paraId="1F56F2CD" w14:textId="77777777">
        <w:trPr>
          <w:cantSplit/>
        </w:trPr>
        <w:tc>
          <w:tcPr>
            <w:tcW w:w="2500" w:type="pct"/>
            <w:hideMark/>
          </w:tcPr>
          <w:p w14:paraId="47469A06" w14:textId="77777777" w:rsidR="009A524B" w:rsidRPr="00127FBE" w:rsidRDefault="009A524B">
            <w:pPr>
              <w:tabs>
                <w:tab w:val="left" w:pos="-720"/>
              </w:tabs>
              <w:suppressAutoHyphens/>
              <w:rPr>
                <w:rFonts w:eastAsia="맑은 고딕"/>
                <w:b/>
                <w:lang w:val="en-GB" w:eastAsia="fr-FR"/>
              </w:rPr>
            </w:pPr>
            <w:proofErr w:type="spellStart"/>
            <w:r w:rsidRPr="00127FBE">
              <w:rPr>
                <w:rFonts w:eastAsia="맑은 고딕"/>
                <w:b/>
                <w:lang w:val="en-GB" w:eastAsia="fr-FR"/>
              </w:rPr>
              <w:t>Česká</w:t>
            </w:r>
            <w:proofErr w:type="spellEnd"/>
            <w:r w:rsidRPr="00127FBE">
              <w:rPr>
                <w:rFonts w:eastAsia="맑은 고딕"/>
                <w:b/>
                <w:lang w:val="en-GB" w:eastAsia="fr-FR"/>
              </w:rPr>
              <w:t xml:space="preserve"> </w:t>
            </w:r>
            <w:proofErr w:type="spellStart"/>
            <w:r w:rsidRPr="00127FBE">
              <w:rPr>
                <w:rFonts w:eastAsia="맑은 고딕"/>
                <w:b/>
                <w:lang w:val="en-GB" w:eastAsia="fr-FR"/>
              </w:rPr>
              <w:t>republika</w:t>
            </w:r>
            <w:proofErr w:type="spellEnd"/>
          </w:p>
          <w:p w14:paraId="7A8FA7AD"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74208D55" w14:textId="77777777" w:rsidR="009A524B" w:rsidRPr="00F13073" w:rsidRDefault="009A524B">
            <w:pPr>
              <w:tabs>
                <w:tab w:val="left" w:pos="-720"/>
              </w:tabs>
              <w:suppressAutoHyphens/>
              <w:rPr>
                <w:rFonts w:eastAsia="맑은 고딕"/>
                <w:lang w:eastAsia="fr-FR"/>
              </w:rPr>
            </w:pPr>
            <w:r w:rsidRPr="00F13073">
              <w:rPr>
                <w:rFonts w:eastAsia="맑은 고딕"/>
                <w:lang w:eastAsia="fr-FR"/>
              </w:rPr>
              <w:t>Tel: +36 1 231 0493</w:t>
            </w:r>
          </w:p>
          <w:p w14:paraId="1FDAEEE4" w14:textId="77777777" w:rsidR="009A524B" w:rsidRPr="00F13073" w:rsidRDefault="009A524B">
            <w:pPr>
              <w:tabs>
                <w:tab w:val="left" w:pos="-720"/>
              </w:tabs>
              <w:suppressAutoHyphens/>
              <w:rPr>
                <w:lang w:eastAsia="fr-FR"/>
              </w:rPr>
            </w:pPr>
          </w:p>
        </w:tc>
        <w:tc>
          <w:tcPr>
            <w:tcW w:w="2500" w:type="pct"/>
          </w:tcPr>
          <w:p w14:paraId="2D0B61CB" w14:textId="77777777" w:rsidR="009A524B" w:rsidRPr="00127FBE" w:rsidRDefault="009A524B">
            <w:pPr>
              <w:suppressAutoHyphens/>
              <w:rPr>
                <w:rFonts w:eastAsia="맑은 고딕"/>
                <w:b/>
                <w:lang w:val="en-GB" w:eastAsia="fr-FR"/>
              </w:rPr>
            </w:pPr>
            <w:proofErr w:type="spellStart"/>
            <w:r w:rsidRPr="00127FBE">
              <w:rPr>
                <w:b/>
                <w:lang w:val="en-GB"/>
              </w:rPr>
              <w:t>Magyarország</w:t>
            </w:r>
            <w:proofErr w:type="spellEnd"/>
          </w:p>
          <w:p w14:paraId="28B36EBB"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06ABC870" w14:textId="77777777" w:rsidR="009A524B" w:rsidRPr="00F13073" w:rsidRDefault="009A524B">
            <w:pPr>
              <w:suppressAutoHyphens/>
              <w:rPr>
                <w:rFonts w:eastAsia="맑은 고딕"/>
                <w:lang w:eastAsia="fr-FR"/>
              </w:rPr>
            </w:pPr>
            <w:r w:rsidRPr="00F13073">
              <w:rPr>
                <w:rFonts w:eastAsia="맑은 고딕"/>
                <w:lang w:eastAsia="fr-FR"/>
              </w:rPr>
              <w:t>Tel:. +36 1 231 0493</w:t>
            </w:r>
          </w:p>
          <w:p w14:paraId="073535A0" w14:textId="77777777" w:rsidR="009A524B" w:rsidRPr="00F13073" w:rsidRDefault="009A524B">
            <w:pPr>
              <w:suppressAutoHyphens/>
              <w:rPr>
                <w:rFonts w:eastAsia="맑은 고딕"/>
                <w:lang w:eastAsia="ko-KR"/>
              </w:rPr>
            </w:pPr>
          </w:p>
        </w:tc>
      </w:tr>
      <w:tr w:rsidR="00A06126" w:rsidRPr="00FE78F1" w14:paraId="6E31583B" w14:textId="77777777">
        <w:trPr>
          <w:cantSplit/>
        </w:trPr>
        <w:tc>
          <w:tcPr>
            <w:tcW w:w="2500" w:type="pct"/>
            <w:hideMark/>
          </w:tcPr>
          <w:p w14:paraId="65AD545F" w14:textId="5E13BFB9" w:rsidR="009A524B" w:rsidRPr="00127FBE" w:rsidRDefault="009A524B">
            <w:pPr>
              <w:tabs>
                <w:tab w:val="left" w:pos="-720"/>
              </w:tabs>
              <w:suppressAutoHyphens/>
              <w:rPr>
                <w:b/>
                <w:bCs/>
                <w:i/>
                <w:iCs/>
                <w:lang w:val="en-GB" w:eastAsia="fr-FR"/>
              </w:rPr>
            </w:pPr>
            <w:r w:rsidRPr="00127FBE">
              <w:rPr>
                <w:b/>
                <w:lang w:val="en-GB"/>
              </w:rPr>
              <w:lastRenderedPageBreak/>
              <w:t>D</w:t>
            </w:r>
            <w:r w:rsidR="000F2F0E">
              <w:rPr>
                <w:b/>
                <w:lang w:val="en-GB"/>
              </w:rPr>
              <w:t>e</w:t>
            </w:r>
            <w:r w:rsidRPr="00127FBE">
              <w:rPr>
                <w:b/>
                <w:lang w:val="en-GB"/>
              </w:rPr>
              <w:t>nmark</w:t>
            </w:r>
          </w:p>
          <w:p w14:paraId="458ABFAA" w14:textId="36AF0A94"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 xml:space="preserve">Celltrion Healthcare </w:t>
            </w:r>
            <w:r w:rsidR="000F2F0E" w:rsidRPr="00204A91">
              <w:rPr>
                <w:rFonts w:eastAsia="맑은 고딕"/>
                <w:noProof/>
                <w:lang w:eastAsia="fr-FR"/>
              </w:rPr>
              <w:t>Denmark ApS</w:t>
            </w:r>
          </w:p>
          <w:p w14:paraId="5B03FC89" w14:textId="77777777" w:rsidR="000F2F0E" w:rsidRDefault="000F2F0E" w:rsidP="000F2F0E">
            <w:pPr>
              <w:tabs>
                <w:tab w:val="left" w:pos="-720"/>
              </w:tabs>
              <w:suppressAutoHyphens/>
              <w:rPr>
                <w:rFonts w:eastAsia="맑은 고딕"/>
                <w:noProof/>
                <w:lang w:eastAsia="fr-FR"/>
              </w:rPr>
            </w:pPr>
            <w:r w:rsidRPr="00204A91">
              <w:rPr>
                <w:rFonts w:eastAsia="맑은 고딕"/>
                <w:noProof/>
                <w:lang w:eastAsia="fr-FR"/>
              </w:rPr>
              <w:t>Tel: + 45 3535 2989</w:t>
            </w:r>
          </w:p>
          <w:p w14:paraId="7738996A" w14:textId="74359898" w:rsidR="009A524B" w:rsidRDefault="000F2F0E" w:rsidP="000F2F0E">
            <w:pPr>
              <w:tabs>
                <w:tab w:val="left" w:pos="-720"/>
              </w:tabs>
              <w:suppressAutoHyphens/>
              <w:rPr>
                <w:rFonts w:eastAsia="맑은 고딕"/>
                <w:lang w:eastAsia="fr-FR"/>
              </w:rPr>
            </w:pPr>
            <w:r w:rsidRPr="00204A91">
              <w:rPr>
                <w:rFonts w:eastAsia="맑은 고딕"/>
                <w:noProof/>
                <w:lang w:eastAsia="fr-FR"/>
              </w:rPr>
              <w:t>Contact_dk@celltrionhc.com</w:t>
            </w:r>
          </w:p>
          <w:p w14:paraId="76E7BFF6" w14:textId="6FF35CCE" w:rsidR="000F2F0E" w:rsidRPr="000F2F0E" w:rsidRDefault="000F2F0E" w:rsidP="000F2F0E">
            <w:pPr>
              <w:tabs>
                <w:tab w:val="left" w:pos="-720"/>
              </w:tabs>
              <w:suppressAutoHyphens/>
              <w:rPr>
                <w:rFonts w:eastAsia="맑은 고딕"/>
                <w:lang w:eastAsia="fr-FR"/>
              </w:rPr>
            </w:pPr>
          </w:p>
        </w:tc>
        <w:tc>
          <w:tcPr>
            <w:tcW w:w="2500" w:type="pct"/>
          </w:tcPr>
          <w:p w14:paraId="33BC2D17" w14:textId="77777777" w:rsidR="009A524B" w:rsidRPr="00127FBE" w:rsidRDefault="009A524B">
            <w:pPr>
              <w:suppressAutoHyphens/>
              <w:rPr>
                <w:lang w:val="en-GB" w:eastAsia="fr-FR"/>
              </w:rPr>
            </w:pPr>
            <w:r w:rsidRPr="00127FBE">
              <w:rPr>
                <w:rFonts w:eastAsia="맑은 고딕"/>
                <w:b/>
                <w:lang w:val="en-GB" w:eastAsia="fr-FR"/>
              </w:rPr>
              <w:t>Malta</w:t>
            </w:r>
          </w:p>
          <w:p w14:paraId="551A9469"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Mint Health Ltd.</w:t>
            </w:r>
          </w:p>
          <w:p w14:paraId="77BC5DCD" w14:textId="77777777" w:rsidR="009A524B" w:rsidRPr="00127FBE" w:rsidRDefault="009A524B">
            <w:pPr>
              <w:suppressAutoHyphens/>
              <w:rPr>
                <w:rFonts w:eastAsia="맑은 고딕"/>
                <w:lang w:val="en-GB" w:eastAsia="ko-KR"/>
              </w:rPr>
            </w:pPr>
            <w:r w:rsidRPr="00127FBE">
              <w:rPr>
                <w:rFonts w:eastAsia="맑은 고딕"/>
                <w:lang w:val="en-GB" w:eastAsia="fr-FR"/>
              </w:rPr>
              <w:t>Tel: +356 2093 9800</w:t>
            </w:r>
          </w:p>
          <w:p w14:paraId="106783A0" w14:textId="77777777" w:rsidR="009A524B" w:rsidRPr="00127FBE" w:rsidRDefault="009A524B">
            <w:pPr>
              <w:suppressAutoHyphens/>
              <w:rPr>
                <w:rFonts w:eastAsia="맑은 고딕"/>
                <w:lang w:val="en-GB" w:eastAsia="ko-KR"/>
              </w:rPr>
            </w:pPr>
          </w:p>
        </w:tc>
      </w:tr>
      <w:tr w:rsidR="00A06126" w:rsidRPr="00F13073" w14:paraId="02878EC9" w14:textId="77777777">
        <w:trPr>
          <w:cantSplit/>
        </w:trPr>
        <w:tc>
          <w:tcPr>
            <w:tcW w:w="2500" w:type="pct"/>
            <w:hideMark/>
          </w:tcPr>
          <w:p w14:paraId="7612B7BB" w14:textId="77777777" w:rsidR="009A524B" w:rsidRPr="00127FBE" w:rsidRDefault="009A524B">
            <w:pPr>
              <w:suppressAutoHyphens/>
              <w:rPr>
                <w:b/>
                <w:lang w:val="en-GB"/>
              </w:rPr>
            </w:pPr>
            <w:r w:rsidRPr="00127FBE">
              <w:rPr>
                <w:b/>
                <w:lang w:val="en-GB"/>
              </w:rPr>
              <w:t>Deutschland</w:t>
            </w:r>
          </w:p>
          <w:p w14:paraId="471F7B24" w14:textId="77777777" w:rsidR="009A524B" w:rsidRPr="00127FBE" w:rsidRDefault="009A524B">
            <w:pPr>
              <w:tabs>
                <w:tab w:val="left" w:pos="-720"/>
              </w:tabs>
              <w:suppressAutoHyphens/>
              <w:rPr>
                <w:lang w:val="en-GB"/>
              </w:rPr>
            </w:pPr>
            <w:r w:rsidRPr="00127FBE">
              <w:rPr>
                <w:lang w:val="en-GB"/>
              </w:rPr>
              <w:t xml:space="preserve">Celltrion Healthcare Deutschland </w:t>
            </w:r>
            <w:r w:rsidRPr="00127FBE">
              <w:rPr>
                <w:rFonts w:eastAsia="맑은 고딕"/>
                <w:lang w:val="en-GB" w:eastAsia="fr-FR"/>
              </w:rPr>
              <w:t>GmbH</w:t>
            </w:r>
          </w:p>
          <w:p w14:paraId="1DC3F7CF" w14:textId="77777777" w:rsidR="009A524B" w:rsidRPr="00127FBE" w:rsidRDefault="009A524B">
            <w:pPr>
              <w:tabs>
                <w:tab w:val="left" w:pos="-720"/>
              </w:tabs>
              <w:suppressAutoHyphens/>
              <w:rPr>
                <w:rFonts w:eastAsia="맑은 고딕"/>
                <w:lang w:val="en-GB" w:eastAsia="fr-FR"/>
              </w:rPr>
            </w:pPr>
            <w:r w:rsidRPr="00127FBE">
              <w:rPr>
                <w:lang w:val="en-GB"/>
              </w:rPr>
              <w:t xml:space="preserve">Tel: </w:t>
            </w:r>
            <w:r w:rsidRPr="00127FBE">
              <w:rPr>
                <w:rFonts w:eastAsia="맑은 고딕"/>
                <w:lang w:val="en-GB" w:eastAsia="fr-FR"/>
              </w:rPr>
              <w:t>+49 (0)30 346494150</w:t>
            </w:r>
          </w:p>
          <w:p w14:paraId="020690FA" w14:textId="77777777" w:rsidR="009A524B" w:rsidRPr="0081094B" w:rsidRDefault="009A524B">
            <w:pPr>
              <w:tabs>
                <w:tab w:val="left" w:pos="-720"/>
              </w:tabs>
              <w:suppressAutoHyphens/>
              <w:rPr>
                <w:rFonts w:eastAsia="맑은 고딕"/>
                <w:lang w:eastAsia="fr-FR"/>
              </w:rPr>
            </w:pPr>
            <w:r w:rsidRPr="0081094B">
              <w:rPr>
                <w:rFonts w:eastAsia="맑은 고딕"/>
                <w:lang w:eastAsia="fr-FR"/>
              </w:rPr>
              <w:t>infoDE@celltrionhc.com</w:t>
            </w:r>
          </w:p>
        </w:tc>
        <w:tc>
          <w:tcPr>
            <w:tcW w:w="2500" w:type="pct"/>
          </w:tcPr>
          <w:p w14:paraId="50F472F4" w14:textId="77777777" w:rsidR="009A524B" w:rsidRPr="00127FBE" w:rsidRDefault="009A524B">
            <w:pPr>
              <w:suppressAutoHyphens/>
              <w:rPr>
                <w:lang w:val="en-GB" w:eastAsia="fr-FR"/>
              </w:rPr>
            </w:pPr>
            <w:r w:rsidRPr="00127FBE">
              <w:rPr>
                <w:rFonts w:eastAsia="맑은 고딕"/>
                <w:b/>
                <w:lang w:val="en-GB" w:eastAsia="fr-FR"/>
              </w:rPr>
              <w:t>Nederland</w:t>
            </w:r>
          </w:p>
          <w:p w14:paraId="4CEAD3F5" w14:textId="77777777" w:rsidR="009A524B" w:rsidRPr="00127FBE" w:rsidRDefault="009A524B">
            <w:pPr>
              <w:suppressAutoHyphens/>
              <w:rPr>
                <w:rFonts w:eastAsia="맑은 고딕"/>
                <w:lang w:val="en-GB" w:eastAsia="fr-FR"/>
              </w:rPr>
            </w:pPr>
            <w:r w:rsidRPr="00127FBE">
              <w:rPr>
                <w:rFonts w:eastAsia="맑은 고딕"/>
                <w:lang w:val="en-GB" w:eastAsia="fr-FR"/>
              </w:rPr>
              <w:t>Celltrion Healthcare Netherlands B.V.</w:t>
            </w:r>
          </w:p>
          <w:p w14:paraId="67D23C43" w14:textId="77777777" w:rsidR="009A524B" w:rsidRPr="00F13073" w:rsidRDefault="009A524B">
            <w:pPr>
              <w:suppressAutoHyphens/>
              <w:rPr>
                <w:rFonts w:eastAsia="맑은 고딕"/>
                <w:lang w:eastAsia="fr-FR"/>
              </w:rPr>
            </w:pPr>
            <w:r w:rsidRPr="00F13073">
              <w:rPr>
                <w:rFonts w:eastAsia="맑은 고딕"/>
                <w:lang w:eastAsia="fr-FR"/>
              </w:rPr>
              <w:t>Tel: + 31 20 888 7300</w:t>
            </w:r>
          </w:p>
          <w:p w14:paraId="075EC384" w14:textId="77777777" w:rsidR="009A524B" w:rsidRPr="00F13073" w:rsidRDefault="009A524B">
            <w:pPr>
              <w:suppressAutoHyphens/>
              <w:rPr>
                <w:rFonts w:eastAsia="맑은 고딕"/>
                <w:lang w:eastAsia="fr-FR"/>
              </w:rPr>
            </w:pPr>
            <w:hyperlink r:id="rId21" w:history="1">
              <w:r w:rsidRPr="00F13073">
                <w:rPr>
                  <w:rStyle w:val="a7"/>
                  <w:rFonts w:eastAsia="맑은 고딕"/>
                  <w:lang w:eastAsia="fr-FR"/>
                </w:rPr>
                <w:t>NLinfo@celltrionh</w:t>
              </w:r>
              <w:r w:rsidRPr="00F13073">
                <w:rPr>
                  <w:rStyle w:val="a7"/>
                </w:rPr>
                <w:t>c</w:t>
              </w:r>
              <w:r w:rsidRPr="00F13073">
                <w:rPr>
                  <w:rStyle w:val="a7"/>
                  <w:rFonts w:eastAsia="맑은 고딕"/>
                  <w:lang w:eastAsia="fr-FR"/>
                </w:rPr>
                <w:t>.com</w:t>
              </w:r>
            </w:hyperlink>
          </w:p>
          <w:p w14:paraId="597F4504" w14:textId="77777777" w:rsidR="009A524B" w:rsidRPr="00F13073" w:rsidRDefault="009A524B">
            <w:pPr>
              <w:suppressAutoHyphens/>
              <w:rPr>
                <w:rFonts w:eastAsia="맑은 고딕"/>
                <w:lang w:eastAsia="fr-FR"/>
              </w:rPr>
            </w:pPr>
          </w:p>
        </w:tc>
      </w:tr>
      <w:tr w:rsidR="00A06126" w:rsidRPr="00F13073" w14:paraId="3165B746" w14:textId="77777777">
        <w:trPr>
          <w:cantSplit/>
        </w:trPr>
        <w:tc>
          <w:tcPr>
            <w:tcW w:w="2500" w:type="pct"/>
            <w:hideMark/>
          </w:tcPr>
          <w:p w14:paraId="257D70D0" w14:textId="77777777" w:rsidR="009A524B" w:rsidRPr="00127FBE" w:rsidRDefault="009A524B">
            <w:pPr>
              <w:tabs>
                <w:tab w:val="left" w:pos="-720"/>
                <w:tab w:val="left" w:pos="4536"/>
              </w:tabs>
              <w:suppressAutoHyphens/>
              <w:rPr>
                <w:b/>
                <w:lang w:val="en-GB" w:eastAsia="fr-FR"/>
              </w:rPr>
            </w:pPr>
            <w:proofErr w:type="spellStart"/>
            <w:r w:rsidRPr="00127FBE">
              <w:rPr>
                <w:rFonts w:eastAsia="맑은 고딕"/>
                <w:b/>
                <w:lang w:val="en-GB" w:eastAsia="fr-FR"/>
              </w:rPr>
              <w:t>Eesti</w:t>
            </w:r>
            <w:proofErr w:type="spellEnd"/>
          </w:p>
          <w:p w14:paraId="585DB374"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1DBA5C75" w14:textId="77777777" w:rsidR="009A524B" w:rsidRPr="00F13073" w:rsidRDefault="009A524B">
            <w:pPr>
              <w:tabs>
                <w:tab w:val="left" w:pos="-720"/>
              </w:tabs>
              <w:suppressAutoHyphens/>
              <w:rPr>
                <w:rFonts w:eastAsia="맑은 고딕"/>
                <w:lang w:eastAsia="fr-FR"/>
              </w:rPr>
            </w:pPr>
            <w:r w:rsidRPr="00F13073">
              <w:rPr>
                <w:rFonts w:eastAsia="맑은 고딕"/>
                <w:lang w:eastAsia="fr-FR"/>
              </w:rPr>
              <w:t>Tel: +36 1 231 0493</w:t>
            </w:r>
          </w:p>
          <w:p w14:paraId="1179BCE3" w14:textId="77777777" w:rsidR="009A524B" w:rsidRPr="0081094B" w:rsidRDefault="009A524B">
            <w:pPr>
              <w:tabs>
                <w:tab w:val="left" w:pos="-720"/>
              </w:tabs>
              <w:suppressAutoHyphens/>
              <w:rPr>
                <w:rFonts w:eastAsia="맑은 고딕"/>
                <w:lang w:eastAsia="ko-KR"/>
              </w:rPr>
            </w:pPr>
          </w:p>
        </w:tc>
        <w:tc>
          <w:tcPr>
            <w:tcW w:w="2500" w:type="pct"/>
          </w:tcPr>
          <w:p w14:paraId="065015C7" w14:textId="77777777" w:rsidR="009A524B" w:rsidRPr="00127FBE" w:rsidRDefault="009A524B">
            <w:pPr>
              <w:tabs>
                <w:tab w:val="left" w:pos="-720"/>
              </w:tabs>
              <w:suppressAutoHyphens/>
              <w:rPr>
                <w:lang w:val="en-GB" w:eastAsia="fr-FR"/>
              </w:rPr>
            </w:pPr>
            <w:r w:rsidRPr="00127FBE">
              <w:rPr>
                <w:rFonts w:eastAsia="맑은 고딕"/>
                <w:b/>
                <w:lang w:val="en-GB" w:eastAsia="fr-FR"/>
              </w:rPr>
              <w:t>Norge</w:t>
            </w:r>
          </w:p>
          <w:p w14:paraId="49602771" w14:textId="472BEE56"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 xml:space="preserve">Celltrion Healthcare </w:t>
            </w:r>
            <w:r w:rsidR="000F2F0E">
              <w:rPr>
                <w:rFonts w:eastAsia="맑은 고딕" w:hint="eastAsia"/>
                <w:noProof/>
                <w:lang w:eastAsia="ko-KR"/>
              </w:rPr>
              <w:t>Norway AS</w:t>
            </w:r>
          </w:p>
          <w:p w14:paraId="08D60414" w14:textId="7B634177" w:rsidR="009A524B" w:rsidRPr="00F13073" w:rsidRDefault="000F2F0E">
            <w:pPr>
              <w:tabs>
                <w:tab w:val="left" w:pos="-720"/>
              </w:tabs>
              <w:suppressAutoHyphens/>
              <w:rPr>
                <w:rFonts w:eastAsia="맑은 고딕"/>
                <w:lang w:eastAsia="ko-KR"/>
              </w:rPr>
            </w:pPr>
            <w:r w:rsidRPr="006F04E0">
              <w:rPr>
                <w:rFonts w:eastAsia="맑은 고딕"/>
                <w:noProof/>
                <w:lang w:eastAsia="fr-FR"/>
              </w:rPr>
              <w:t>Contact_no@celltrionhc.com</w:t>
            </w:r>
          </w:p>
          <w:p w14:paraId="15672792" w14:textId="77777777" w:rsidR="009A524B" w:rsidRPr="00F13073" w:rsidRDefault="009A524B">
            <w:pPr>
              <w:tabs>
                <w:tab w:val="left" w:pos="-720"/>
              </w:tabs>
              <w:suppressAutoHyphens/>
              <w:rPr>
                <w:rFonts w:eastAsia="맑은 고딕"/>
                <w:lang w:eastAsia="ko-KR"/>
              </w:rPr>
            </w:pPr>
          </w:p>
        </w:tc>
      </w:tr>
      <w:tr w:rsidR="00A06126" w:rsidRPr="00F13073" w14:paraId="0FC31BA7" w14:textId="77777777">
        <w:trPr>
          <w:cantSplit/>
        </w:trPr>
        <w:tc>
          <w:tcPr>
            <w:tcW w:w="2500" w:type="pct"/>
            <w:hideMark/>
          </w:tcPr>
          <w:p w14:paraId="2634CADA" w14:textId="77777777" w:rsidR="009A524B" w:rsidRPr="00127FBE" w:rsidRDefault="009A524B">
            <w:pPr>
              <w:suppressAutoHyphens/>
              <w:rPr>
                <w:lang w:val="en-GB" w:eastAsia="fr-FR"/>
              </w:rPr>
            </w:pPr>
            <w:r w:rsidRPr="00127FBE">
              <w:rPr>
                <w:b/>
                <w:lang w:val="en-GB"/>
              </w:rPr>
              <w:t>España</w:t>
            </w:r>
          </w:p>
          <w:p w14:paraId="5256DF8A" w14:textId="77777777" w:rsidR="009A524B" w:rsidRPr="00127FBE" w:rsidRDefault="009A524B">
            <w:pPr>
              <w:suppressAutoHyphens/>
              <w:rPr>
                <w:rFonts w:eastAsia="맑은 고딕"/>
                <w:lang w:val="en-GB" w:eastAsia="fr-FR"/>
              </w:rPr>
            </w:pPr>
            <w:r w:rsidRPr="00127FBE">
              <w:rPr>
                <w:rFonts w:eastAsia="맑은 고딕"/>
                <w:lang w:val="en-GB" w:eastAsia="fr-FR"/>
              </w:rPr>
              <w:t>CELLTRION FARMACEUTICA (ESPAÑA) S.L..</w:t>
            </w:r>
          </w:p>
          <w:p w14:paraId="69CAA2DF" w14:textId="2AF68DFE" w:rsidR="009A524B" w:rsidRPr="00F13073" w:rsidRDefault="009A524B">
            <w:pPr>
              <w:suppressAutoHyphens/>
              <w:rPr>
                <w:rFonts w:eastAsia="맑은 고딕"/>
                <w:lang w:eastAsia="fr-FR"/>
              </w:rPr>
            </w:pPr>
            <w:r w:rsidRPr="00F13073">
              <w:rPr>
                <w:rFonts w:eastAsia="맑은 고딕"/>
                <w:lang w:eastAsia="fr-FR"/>
              </w:rPr>
              <w:t xml:space="preserve">Tel: +34 </w:t>
            </w:r>
            <w:r w:rsidR="00A65502">
              <w:rPr>
                <w:rFonts w:eastAsia="맑은 고딕"/>
                <w:lang w:eastAsia="fr-FR"/>
              </w:rPr>
              <w:t>910 498 478</w:t>
            </w:r>
          </w:p>
          <w:p w14:paraId="1DD73AE0" w14:textId="77777777" w:rsidR="009A524B" w:rsidRPr="00F13073" w:rsidRDefault="009A524B">
            <w:pPr>
              <w:suppressAutoHyphens/>
              <w:rPr>
                <w:b/>
                <w:lang w:eastAsia="fr-FR"/>
              </w:rPr>
            </w:pPr>
          </w:p>
        </w:tc>
        <w:tc>
          <w:tcPr>
            <w:tcW w:w="2500" w:type="pct"/>
          </w:tcPr>
          <w:p w14:paraId="64FA727F" w14:textId="77777777" w:rsidR="009A524B" w:rsidRPr="0081094B" w:rsidRDefault="009A524B">
            <w:pPr>
              <w:suppressAutoHyphens/>
              <w:rPr>
                <w:lang w:eastAsia="fr-FR"/>
              </w:rPr>
            </w:pPr>
            <w:r w:rsidRPr="0081094B">
              <w:rPr>
                <w:b/>
              </w:rPr>
              <w:t>Österreich</w:t>
            </w:r>
          </w:p>
          <w:p w14:paraId="77076B25" w14:textId="77777777" w:rsidR="009A524B" w:rsidRPr="0081094B" w:rsidRDefault="009A524B">
            <w:pPr>
              <w:suppressAutoHyphens/>
              <w:rPr>
                <w:rFonts w:eastAsia="맑은 고딕"/>
                <w:lang w:eastAsia="ko-KR"/>
              </w:rPr>
            </w:pPr>
            <w:r w:rsidRPr="0081094B">
              <w:rPr>
                <w:rFonts w:eastAsia="맑은 고딕"/>
                <w:lang w:eastAsia="fr-FR"/>
              </w:rPr>
              <w:t>Astro-Pharma GmbH</w:t>
            </w:r>
          </w:p>
          <w:p w14:paraId="72A651B1" w14:textId="77777777" w:rsidR="009A524B" w:rsidRPr="0081094B" w:rsidRDefault="009A524B">
            <w:pPr>
              <w:tabs>
                <w:tab w:val="left" w:pos="-720"/>
              </w:tabs>
              <w:suppressAutoHyphens/>
              <w:rPr>
                <w:rFonts w:eastAsia="맑은 고딕"/>
                <w:lang w:eastAsia="fr-FR"/>
              </w:rPr>
            </w:pPr>
            <w:r w:rsidRPr="0081094B">
              <w:rPr>
                <w:rFonts w:eastAsia="맑은 고딕"/>
                <w:lang w:eastAsia="fr-FR"/>
              </w:rPr>
              <w:t>Tel: +43 1 97 99 860</w:t>
            </w:r>
          </w:p>
          <w:p w14:paraId="7198D8D3" w14:textId="77777777" w:rsidR="009A524B" w:rsidRPr="0081094B" w:rsidRDefault="009A524B">
            <w:pPr>
              <w:tabs>
                <w:tab w:val="left" w:pos="-720"/>
              </w:tabs>
              <w:suppressAutoHyphens/>
              <w:rPr>
                <w:lang w:eastAsia="fr-FR"/>
              </w:rPr>
            </w:pPr>
          </w:p>
        </w:tc>
      </w:tr>
      <w:tr w:rsidR="00A06126" w:rsidRPr="00F13073" w14:paraId="197E43EE" w14:textId="77777777">
        <w:trPr>
          <w:cantSplit/>
        </w:trPr>
        <w:tc>
          <w:tcPr>
            <w:tcW w:w="2500" w:type="pct"/>
          </w:tcPr>
          <w:p w14:paraId="4B089907" w14:textId="77777777" w:rsidR="009A524B" w:rsidRPr="0081094B" w:rsidRDefault="009A524B">
            <w:pPr>
              <w:suppressAutoHyphens/>
              <w:rPr>
                <w:b/>
                <w:lang w:eastAsia="fr-FR"/>
              </w:rPr>
            </w:pPr>
            <w:r w:rsidRPr="0081094B">
              <w:rPr>
                <w:b/>
                <w:lang w:eastAsia="fr-FR"/>
              </w:rPr>
              <w:t>Ελλάδα</w:t>
            </w:r>
          </w:p>
          <w:p w14:paraId="23E386B3" w14:textId="77777777" w:rsidR="009A524B" w:rsidRPr="0081094B" w:rsidRDefault="009A524B">
            <w:pPr>
              <w:suppressAutoHyphens/>
              <w:rPr>
                <w:lang w:eastAsia="fr-FR"/>
              </w:rPr>
            </w:pPr>
            <w:r w:rsidRPr="0081094B">
              <w:rPr>
                <w:lang w:eastAsia="fr-FR"/>
              </w:rPr>
              <w:t>ΒΙΑΝΕΞ Α.Ε.</w:t>
            </w:r>
          </w:p>
          <w:p w14:paraId="6AB33CBE" w14:textId="77777777" w:rsidR="009A524B" w:rsidRPr="0081094B" w:rsidRDefault="009A524B">
            <w:pPr>
              <w:suppressAutoHyphens/>
              <w:rPr>
                <w:lang w:eastAsia="fr-FR"/>
              </w:rPr>
            </w:pPr>
            <w:r w:rsidRPr="0081094B">
              <w:rPr>
                <w:lang w:eastAsia="fr-FR"/>
              </w:rPr>
              <w:t xml:space="preserve">Τηλ: +30 210 8009111 </w:t>
            </w:r>
          </w:p>
          <w:p w14:paraId="792E3C4E" w14:textId="77777777" w:rsidR="009A524B" w:rsidRPr="0081094B" w:rsidRDefault="009A524B">
            <w:pPr>
              <w:suppressAutoHyphens/>
              <w:rPr>
                <w:rFonts w:eastAsia="맑은 고딕"/>
                <w:lang w:eastAsia="fr-FR"/>
              </w:rPr>
            </w:pPr>
          </w:p>
        </w:tc>
        <w:tc>
          <w:tcPr>
            <w:tcW w:w="2500" w:type="pct"/>
          </w:tcPr>
          <w:p w14:paraId="7DCC8321" w14:textId="77777777" w:rsidR="009A524B" w:rsidRPr="00127FBE" w:rsidRDefault="009A524B">
            <w:pPr>
              <w:suppressAutoHyphens/>
              <w:rPr>
                <w:rFonts w:eastAsia="맑은 고딕"/>
                <w:b/>
                <w:lang w:val="en-GB" w:eastAsia="fr-FR"/>
              </w:rPr>
            </w:pPr>
            <w:r w:rsidRPr="00127FBE">
              <w:rPr>
                <w:rFonts w:eastAsia="맑은 고딕"/>
                <w:b/>
                <w:lang w:val="en-GB" w:eastAsia="fr-FR"/>
              </w:rPr>
              <w:t>Polska</w:t>
            </w:r>
          </w:p>
          <w:p w14:paraId="29CF8080"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18817D8D" w14:textId="77777777" w:rsidR="009A524B" w:rsidRPr="00F13073" w:rsidRDefault="009A524B">
            <w:pPr>
              <w:suppressAutoHyphens/>
              <w:rPr>
                <w:rFonts w:eastAsia="맑은 고딕"/>
                <w:lang w:eastAsia="fr-FR"/>
              </w:rPr>
            </w:pPr>
            <w:r w:rsidRPr="00F13073">
              <w:rPr>
                <w:rFonts w:eastAsia="맑은 고딕"/>
                <w:lang w:eastAsia="fr-FR"/>
              </w:rPr>
              <w:t>Tel.: +36 1 231 0493</w:t>
            </w:r>
          </w:p>
          <w:p w14:paraId="3ABA55E7" w14:textId="77777777" w:rsidR="009A524B" w:rsidRPr="00F13073" w:rsidRDefault="009A524B">
            <w:pPr>
              <w:suppressAutoHyphens/>
              <w:rPr>
                <w:b/>
              </w:rPr>
            </w:pPr>
          </w:p>
        </w:tc>
      </w:tr>
      <w:tr w:rsidR="00A06126" w:rsidRPr="00F13073" w14:paraId="48A8CF3D" w14:textId="77777777">
        <w:trPr>
          <w:cantSplit/>
        </w:trPr>
        <w:tc>
          <w:tcPr>
            <w:tcW w:w="2500" w:type="pct"/>
          </w:tcPr>
          <w:p w14:paraId="1C00C01A" w14:textId="77777777" w:rsidR="009A524B" w:rsidRPr="00127FBE" w:rsidRDefault="009A524B">
            <w:pPr>
              <w:suppressAutoHyphens/>
              <w:rPr>
                <w:b/>
                <w:lang w:val="en-GB" w:eastAsia="ko-KR"/>
              </w:rPr>
            </w:pPr>
            <w:r w:rsidRPr="00127FBE">
              <w:rPr>
                <w:b/>
                <w:lang w:val="en-GB" w:eastAsia="ko-KR"/>
              </w:rPr>
              <w:t>France</w:t>
            </w:r>
          </w:p>
          <w:p w14:paraId="63D67997" w14:textId="77777777" w:rsidR="009A524B" w:rsidRPr="00127FBE" w:rsidRDefault="009A524B">
            <w:pPr>
              <w:suppressAutoHyphens/>
              <w:rPr>
                <w:lang w:val="en-GB" w:eastAsia="ko-KR"/>
              </w:rPr>
            </w:pPr>
            <w:r w:rsidRPr="00127FBE">
              <w:rPr>
                <w:lang w:val="en-GB" w:eastAsia="ko-KR"/>
              </w:rPr>
              <w:t>Celltrion Healthcare France SAS</w:t>
            </w:r>
          </w:p>
          <w:p w14:paraId="36036F05" w14:textId="77777777" w:rsidR="009A524B" w:rsidRPr="00127FBE" w:rsidRDefault="009A524B">
            <w:pPr>
              <w:suppressAutoHyphens/>
              <w:rPr>
                <w:rFonts w:eastAsia="맑은 고딕"/>
                <w:lang w:val="en-GB" w:eastAsia="ko-KR"/>
              </w:rPr>
            </w:pPr>
            <w:proofErr w:type="spellStart"/>
            <w:r w:rsidRPr="00127FBE">
              <w:rPr>
                <w:lang w:val="en-GB" w:eastAsia="ko-KR"/>
              </w:rPr>
              <w:t>T</w:t>
            </w:r>
            <w:r w:rsidRPr="00127FBE">
              <w:rPr>
                <w:lang w:val="en-GB"/>
              </w:rPr>
              <w:t>é</w:t>
            </w:r>
            <w:r w:rsidRPr="00127FBE">
              <w:rPr>
                <w:lang w:val="en-GB" w:eastAsia="ko-KR"/>
              </w:rPr>
              <w:t>l</w:t>
            </w:r>
            <w:proofErr w:type="spellEnd"/>
            <w:r w:rsidRPr="00127FBE">
              <w:rPr>
                <w:lang w:val="en-GB" w:eastAsia="ko-KR"/>
              </w:rPr>
              <w:t>.: +33 (0)1 71 25 27 00</w:t>
            </w:r>
          </w:p>
          <w:p w14:paraId="3CC6F280" w14:textId="77777777" w:rsidR="009A524B" w:rsidRPr="00127FBE" w:rsidRDefault="009A524B">
            <w:pPr>
              <w:suppressAutoHyphens/>
              <w:rPr>
                <w:rFonts w:eastAsia="맑은 고딕"/>
                <w:lang w:val="en-GB" w:eastAsia="fr-FR"/>
              </w:rPr>
            </w:pPr>
          </w:p>
        </w:tc>
        <w:tc>
          <w:tcPr>
            <w:tcW w:w="2500" w:type="pct"/>
          </w:tcPr>
          <w:p w14:paraId="3751F09E" w14:textId="77777777" w:rsidR="009A524B" w:rsidRPr="00127FBE" w:rsidRDefault="009A524B">
            <w:pPr>
              <w:suppressAutoHyphens/>
              <w:autoSpaceDE w:val="0"/>
              <w:autoSpaceDN w:val="0"/>
              <w:adjustRightInd w:val="0"/>
              <w:rPr>
                <w:lang w:val="en-GB" w:eastAsia="fr-FR"/>
              </w:rPr>
            </w:pPr>
            <w:r w:rsidRPr="00127FBE">
              <w:rPr>
                <w:rFonts w:eastAsia="맑은 고딕"/>
                <w:b/>
                <w:lang w:val="en-GB" w:eastAsia="fr-FR"/>
              </w:rPr>
              <w:t>Portugal</w:t>
            </w:r>
          </w:p>
          <w:p w14:paraId="5D88A840" w14:textId="77777777" w:rsidR="009A524B" w:rsidRPr="00127FBE" w:rsidRDefault="009A524B">
            <w:pPr>
              <w:suppressAutoHyphens/>
              <w:autoSpaceDE w:val="0"/>
              <w:autoSpaceDN w:val="0"/>
              <w:adjustRightInd w:val="0"/>
              <w:rPr>
                <w:rFonts w:eastAsia="맑은 고딕"/>
                <w:lang w:val="en-GB" w:eastAsia="ko-KR"/>
              </w:rPr>
            </w:pPr>
            <w:r w:rsidRPr="00127FBE">
              <w:rPr>
                <w:rFonts w:eastAsia="맑은 고딕"/>
                <w:lang w:val="en-GB" w:eastAsia="fr-FR"/>
              </w:rPr>
              <w:t>CELLTRION PORTUGAL, UNIPESSOAL LDA.</w:t>
            </w:r>
          </w:p>
          <w:p w14:paraId="5EAB8AB2" w14:textId="77777777" w:rsidR="009A524B" w:rsidRPr="00F13073" w:rsidRDefault="009A524B">
            <w:pPr>
              <w:suppressAutoHyphens/>
              <w:rPr>
                <w:b/>
              </w:rPr>
            </w:pPr>
            <w:r w:rsidRPr="00F13073">
              <w:t xml:space="preserve">Tel: </w:t>
            </w:r>
            <w:r w:rsidRPr="0081094B">
              <w:rPr>
                <w:rFonts w:eastAsia="맑은 고딕"/>
                <w:lang w:eastAsia="fr-FR"/>
              </w:rPr>
              <w:t>+351 21 936 8542</w:t>
            </w:r>
          </w:p>
          <w:p w14:paraId="75F4BAA2" w14:textId="77777777" w:rsidR="009A524B" w:rsidRPr="00F13073" w:rsidRDefault="009A524B">
            <w:pPr>
              <w:suppressAutoHyphens/>
              <w:rPr>
                <w:b/>
              </w:rPr>
            </w:pPr>
          </w:p>
        </w:tc>
      </w:tr>
      <w:tr w:rsidR="00A06126" w:rsidRPr="00F13073" w14:paraId="4F5D4E6F" w14:textId="77777777">
        <w:trPr>
          <w:cantSplit/>
        </w:trPr>
        <w:tc>
          <w:tcPr>
            <w:tcW w:w="2500" w:type="pct"/>
          </w:tcPr>
          <w:p w14:paraId="0F2330B4" w14:textId="77777777" w:rsidR="009A524B" w:rsidRPr="0081094B" w:rsidRDefault="009A524B">
            <w:pPr>
              <w:suppressAutoHyphens/>
              <w:rPr>
                <w:b/>
                <w:lang w:eastAsia="ko-KR"/>
              </w:rPr>
            </w:pPr>
            <w:r w:rsidRPr="0081094B">
              <w:rPr>
                <w:b/>
                <w:lang w:eastAsia="ko-KR"/>
              </w:rPr>
              <w:t>Hrvatska</w:t>
            </w:r>
          </w:p>
          <w:p w14:paraId="54101F30" w14:textId="77777777" w:rsidR="009A524B" w:rsidRPr="0081094B" w:rsidRDefault="009A524B">
            <w:pPr>
              <w:suppressAutoHyphens/>
              <w:rPr>
                <w:lang w:eastAsia="ko-KR"/>
              </w:rPr>
            </w:pPr>
            <w:r w:rsidRPr="0081094B">
              <w:rPr>
                <w:lang w:eastAsia="ko-KR"/>
              </w:rPr>
              <w:t>Oktal Pharma d.o.o.</w:t>
            </w:r>
          </w:p>
          <w:p w14:paraId="09895E51" w14:textId="77777777" w:rsidR="009A524B" w:rsidRPr="00F13073" w:rsidRDefault="009A524B">
            <w:pPr>
              <w:suppressAutoHyphens/>
              <w:rPr>
                <w:lang w:eastAsia="ko-KR"/>
              </w:rPr>
            </w:pPr>
            <w:r w:rsidRPr="00F13073">
              <w:rPr>
                <w:lang w:eastAsia="ko-KR"/>
              </w:rPr>
              <w:t>Tel: +385 1 6595 777</w:t>
            </w:r>
          </w:p>
          <w:p w14:paraId="75F3EFC9" w14:textId="77777777" w:rsidR="009A524B" w:rsidRPr="00F13073" w:rsidRDefault="009A524B">
            <w:pPr>
              <w:suppressAutoHyphens/>
              <w:rPr>
                <w:rFonts w:eastAsia="맑은 고딕"/>
                <w:lang w:eastAsia="fr-FR"/>
              </w:rPr>
            </w:pPr>
          </w:p>
        </w:tc>
        <w:tc>
          <w:tcPr>
            <w:tcW w:w="2500" w:type="pct"/>
          </w:tcPr>
          <w:p w14:paraId="2A42F239" w14:textId="77777777" w:rsidR="009A524B" w:rsidRPr="00127FBE" w:rsidRDefault="009A524B">
            <w:pPr>
              <w:tabs>
                <w:tab w:val="left" w:pos="-720"/>
              </w:tabs>
              <w:suppressAutoHyphens/>
              <w:rPr>
                <w:rFonts w:eastAsia="맑은 고딕"/>
                <w:b/>
                <w:lang w:val="en-GB" w:eastAsia="fr-FR"/>
              </w:rPr>
            </w:pPr>
            <w:proofErr w:type="spellStart"/>
            <w:r w:rsidRPr="00127FBE">
              <w:rPr>
                <w:b/>
                <w:lang w:val="en-GB"/>
              </w:rPr>
              <w:t>România</w:t>
            </w:r>
            <w:proofErr w:type="spellEnd"/>
          </w:p>
          <w:p w14:paraId="65534674"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46C2B080" w14:textId="77777777" w:rsidR="009A524B" w:rsidRPr="00F13073" w:rsidRDefault="009A524B">
            <w:pPr>
              <w:suppressAutoHyphens/>
              <w:rPr>
                <w:rFonts w:eastAsia="맑은 고딕"/>
                <w:lang w:eastAsia="fr-FR"/>
              </w:rPr>
            </w:pPr>
            <w:r w:rsidRPr="00F13073">
              <w:rPr>
                <w:rFonts w:eastAsia="맑은 고딕"/>
                <w:lang w:eastAsia="fr-FR"/>
              </w:rPr>
              <w:t>Tel: +36 1 231 0493</w:t>
            </w:r>
          </w:p>
          <w:p w14:paraId="35F9E89B" w14:textId="77777777" w:rsidR="009A524B" w:rsidRPr="00F13073" w:rsidRDefault="009A524B">
            <w:pPr>
              <w:suppressAutoHyphens/>
              <w:rPr>
                <w:b/>
              </w:rPr>
            </w:pPr>
          </w:p>
        </w:tc>
      </w:tr>
      <w:tr w:rsidR="00A06126" w:rsidRPr="00F13073" w14:paraId="1FFD6BE2" w14:textId="77777777">
        <w:trPr>
          <w:cantSplit/>
        </w:trPr>
        <w:tc>
          <w:tcPr>
            <w:tcW w:w="2500" w:type="pct"/>
          </w:tcPr>
          <w:p w14:paraId="4996E725" w14:textId="77777777" w:rsidR="009A524B" w:rsidRPr="00127FBE" w:rsidRDefault="009A524B">
            <w:pPr>
              <w:tabs>
                <w:tab w:val="left" w:pos="-720"/>
              </w:tabs>
              <w:suppressAutoHyphens/>
              <w:rPr>
                <w:lang w:val="en-GB" w:eastAsia="fr-FR"/>
              </w:rPr>
            </w:pPr>
            <w:r w:rsidRPr="00127FBE">
              <w:rPr>
                <w:rFonts w:eastAsia="맑은 고딕"/>
                <w:b/>
                <w:lang w:val="en-GB" w:eastAsia="fr-FR"/>
              </w:rPr>
              <w:t>Ireland</w:t>
            </w:r>
          </w:p>
          <w:p w14:paraId="3D2E42B8" w14:textId="77777777" w:rsidR="009A524B" w:rsidRPr="00127FBE" w:rsidRDefault="009A524B">
            <w:pPr>
              <w:suppressAutoHyphens/>
              <w:rPr>
                <w:rFonts w:eastAsia="맑은 고딕"/>
                <w:lang w:val="en-GB" w:eastAsia="fr-FR"/>
              </w:rPr>
            </w:pPr>
            <w:r w:rsidRPr="00127FBE">
              <w:rPr>
                <w:rFonts w:eastAsia="맑은 고딕"/>
                <w:lang w:val="en-GB" w:eastAsia="fr-FR"/>
              </w:rPr>
              <w:t>Celltrion Healthcare Ireland Limited</w:t>
            </w:r>
          </w:p>
          <w:p w14:paraId="32C2633D" w14:textId="77777777" w:rsidR="009A524B" w:rsidRPr="00127FBE" w:rsidRDefault="009A524B">
            <w:pPr>
              <w:suppressAutoHyphens/>
              <w:rPr>
                <w:rFonts w:eastAsia="맑은 고딕"/>
                <w:lang w:val="en-GB" w:eastAsia="fr-FR"/>
              </w:rPr>
            </w:pPr>
            <w:r w:rsidRPr="00127FBE">
              <w:rPr>
                <w:rFonts w:eastAsia="맑은 고딕"/>
                <w:lang w:val="en-GB" w:eastAsia="fr-FR"/>
              </w:rPr>
              <w:t>Tel: +353 1 223 4026</w:t>
            </w:r>
          </w:p>
          <w:p w14:paraId="6665DF31" w14:textId="77777777" w:rsidR="009A524B" w:rsidRPr="00127FBE" w:rsidRDefault="009A524B">
            <w:pPr>
              <w:suppressAutoHyphens/>
              <w:rPr>
                <w:rFonts w:eastAsia="맑은 고딕"/>
                <w:lang w:val="en-GB" w:eastAsia="fr-FR"/>
              </w:rPr>
            </w:pPr>
          </w:p>
        </w:tc>
        <w:tc>
          <w:tcPr>
            <w:tcW w:w="2500" w:type="pct"/>
          </w:tcPr>
          <w:p w14:paraId="6D30584E" w14:textId="77777777" w:rsidR="009A524B" w:rsidRPr="00127FBE" w:rsidRDefault="009A524B">
            <w:pPr>
              <w:suppressAutoHyphens/>
              <w:rPr>
                <w:rFonts w:eastAsia="맑은 고딕"/>
                <w:b/>
                <w:lang w:val="en-GB" w:eastAsia="fr-FR"/>
              </w:rPr>
            </w:pPr>
            <w:r w:rsidRPr="00127FBE">
              <w:rPr>
                <w:rFonts w:eastAsia="맑은 고딕"/>
                <w:b/>
                <w:lang w:val="en-GB" w:eastAsia="fr-FR"/>
              </w:rPr>
              <w:t>Slovenija</w:t>
            </w:r>
          </w:p>
          <w:p w14:paraId="72B88BB0" w14:textId="77777777" w:rsidR="009A524B" w:rsidRPr="00127FBE" w:rsidRDefault="009A524B">
            <w:pPr>
              <w:suppressAutoHyphens/>
              <w:rPr>
                <w:rFonts w:eastAsia="맑은 고딕"/>
                <w:lang w:val="en-GB" w:eastAsia="fr-FR"/>
              </w:rPr>
            </w:pPr>
            <w:r w:rsidRPr="00127FBE">
              <w:rPr>
                <w:rFonts w:eastAsia="맑은 고딕"/>
                <w:lang w:val="en-GB" w:eastAsia="fr-FR"/>
              </w:rPr>
              <w:t xml:space="preserve">OPH </w:t>
            </w:r>
            <w:proofErr w:type="spellStart"/>
            <w:r w:rsidRPr="00127FBE">
              <w:rPr>
                <w:rFonts w:eastAsia="맑은 고딕"/>
                <w:lang w:val="en-GB" w:eastAsia="fr-FR"/>
              </w:rPr>
              <w:t>Oktal</w:t>
            </w:r>
            <w:proofErr w:type="spellEnd"/>
            <w:r w:rsidRPr="00127FBE">
              <w:rPr>
                <w:rFonts w:eastAsia="맑은 고딕"/>
                <w:lang w:val="en-GB" w:eastAsia="fr-FR"/>
              </w:rPr>
              <w:t xml:space="preserve"> Pharma d.o.o.</w:t>
            </w:r>
          </w:p>
          <w:p w14:paraId="2CD3D9BF" w14:textId="77777777" w:rsidR="009A524B" w:rsidRPr="00F13073" w:rsidRDefault="009A524B">
            <w:pPr>
              <w:suppressAutoHyphens/>
              <w:rPr>
                <w:rFonts w:eastAsia="맑은 고딕"/>
                <w:lang w:eastAsia="fr-FR"/>
              </w:rPr>
            </w:pPr>
            <w:r w:rsidRPr="00F13073">
              <w:rPr>
                <w:rFonts w:eastAsia="맑은 고딕"/>
                <w:lang w:eastAsia="fr-FR"/>
              </w:rPr>
              <w:t>Tel.: +386 1 519 29 22</w:t>
            </w:r>
          </w:p>
          <w:p w14:paraId="56554323" w14:textId="77777777" w:rsidR="009A524B" w:rsidRPr="00F13073" w:rsidRDefault="009A524B">
            <w:pPr>
              <w:suppressAutoHyphens/>
              <w:rPr>
                <w:b/>
              </w:rPr>
            </w:pPr>
          </w:p>
        </w:tc>
      </w:tr>
      <w:tr w:rsidR="00A06126" w:rsidRPr="00F13073" w14:paraId="4FF56432" w14:textId="77777777">
        <w:trPr>
          <w:cantSplit/>
        </w:trPr>
        <w:tc>
          <w:tcPr>
            <w:tcW w:w="2500" w:type="pct"/>
          </w:tcPr>
          <w:p w14:paraId="58209298" w14:textId="77777777" w:rsidR="009A524B" w:rsidRPr="00127FBE" w:rsidRDefault="009A524B">
            <w:pPr>
              <w:suppressAutoHyphens/>
              <w:rPr>
                <w:rFonts w:eastAsia="맑은 고딕"/>
                <w:lang w:val="en-GB" w:eastAsia="fr-FR"/>
              </w:rPr>
            </w:pPr>
            <w:proofErr w:type="spellStart"/>
            <w:r w:rsidRPr="00127FBE">
              <w:rPr>
                <w:rFonts w:eastAsia="맑은 고딕"/>
                <w:b/>
                <w:lang w:val="en-GB" w:eastAsia="fr-FR"/>
              </w:rPr>
              <w:t>Ísland</w:t>
            </w:r>
            <w:proofErr w:type="spellEnd"/>
          </w:p>
          <w:p w14:paraId="74A4B4B8"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6DB5FF70" w14:textId="77777777" w:rsidR="009A524B" w:rsidRPr="00F13073" w:rsidRDefault="009A524B">
            <w:pPr>
              <w:suppressAutoHyphens/>
              <w:rPr>
                <w:rFonts w:eastAsia="맑은 고딕"/>
                <w:lang w:eastAsia="fr-FR"/>
              </w:rPr>
            </w:pPr>
            <w:r w:rsidRPr="00F13073">
              <w:rPr>
                <w:rFonts w:eastAsia="맑은 고딕"/>
                <w:lang w:eastAsia="fr-FR"/>
              </w:rPr>
              <w:t>Sími: +36 1 231 0493</w:t>
            </w:r>
          </w:p>
          <w:p w14:paraId="7A154A9E" w14:textId="77777777" w:rsidR="009A524B" w:rsidRPr="00F13073" w:rsidRDefault="009A524B">
            <w:pPr>
              <w:suppressAutoHyphens/>
              <w:rPr>
                <w:rFonts w:eastAsia="맑은 고딕"/>
                <w:lang w:eastAsia="fr-FR"/>
              </w:rPr>
            </w:pPr>
          </w:p>
        </w:tc>
        <w:tc>
          <w:tcPr>
            <w:tcW w:w="2500" w:type="pct"/>
          </w:tcPr>
          <w:p w14:paraId="1DDC94FF" w14:textId="77777777" w:rsidR="009A524B" w:rsidRPr="00127FBE" w:rsidRDefault="009A524B">
            <w:pPr>
              <w:suppressAutoHyphens/>
              <w:rPr>
                <w:rFonts w:eastAsia="맑은 고딕"/>
                <w:b/>
                <w:lang w:val="en-GB" w:eastAsia="fr-FR"/>
              </w:rPr>
            </w:pPr>
            <w:proofErr w:type="spellStart"/>
            <w:r w:rsidRPr="00127FBE">
              <w:rPr>
                <w:b/>
                <w:lang w:val="en-GB"/>
              </w:rPr>
              <w:t>Slovenská</w:t>
            </w:r>
            <w:proofErr w:type="spellEnd"/>
            <w:r w:rsidRPr="00127FBE">
              <w:rPr>
                <w:b/>
                <w:lang w:val="en-GB"/>
              </w:rPr>
              <w:t xml:space="preserve"> </w:t>
            </w:r>
            <w:proofErr w:type="spellStart"/>
            <w:r w:rsidRPr="00127FBE">
              <w:rPr>
                <w:b/>
                <w:lang w:val="en-GB"/>
              </w:rPr>
              <w:t>republika</w:t>
            </w:r>
            <w:proofErr w:type="spellEnd"/>
          </w:p>
          <w:p w14:paraId="324CCF62"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47BCA6C9" w14:textId="77777777" w:rsidR="009A524B" w:rsidRPr="00F13073" w:rsidRDefault="009A524B">
            <w:pPr>
              <w:suppressAutoHyphens/>
              <w:rPr>
                <w:rFonts w:eastAsia="맑은 고딕"/>
                <w:lang w:eastAsia="fr-FR"/>
              </w:rPr>
            </w:pPr>
            <w:r w:rsidRPr="00F13073">
              <w:rPr>
                <w:rFonts w:eastAsia="맑은 고딕"/>
                <w:lang w:eastAsia="fr-FR"/>
              </w:rPr>
              <w:t>Tel: +36 1 231 0493</w:t>
            </w:r>
          </w:p>
          <w:p w14:paraId="2B575219" w14:textId="77777777" w:rsidR="009A524B" w:rsidRPr="00F13073" w:rsidRDefault="009A524B">
            <w:pPr>
              <w:suppressAutoHyphens/>
              <w:rPr>
                <w:rFonts w:eastAsia="맑은 고딕"/>
                <w:b/>
                <w:lang w:eastAsia="fr-FR"/>
              </w:rPr>
            </w:pPr>
          </w:p>
        </w:tc>
      </w:tr>
      <w:tr w:rsidR="00A06126" w:rsidRPr="00F13073" w14:paraId="4A6B35DD" w14:textId="77777777">
        <w:trPr>
          <w:cantSplit/>
        </w:trPr>
        <w:tc>
          <w:tcPr>
            <w:tcW w:w="2500" w:type="pct"/>
          </w:tcPr>
          <w:p w14:paraId="1411A736" w14:textId="77777777" w:rsidR="009A524B" w:rsidRPr="00127FBE" w:rsidRDefault="009A524B">
            <w:pPr>
              <w:suppressAutoHyphens/>
              <w:rPr>
                <w:lang w:val="en-GB" w:eastAsia="fr-FR"/>
              </w:rPr>
            </w:pPr>
            <w:r w:rsidRPr="00127FBE">
              <w:rPr>
                <w:rFonts w:eastAsia="맑은 고딕"/>
                <w:b/>
                <w:lang w:val="en-GB" w:eastAsia="fr-FR"/>
              </w:rPr>
              <w:t>Italia</w:t>
            </w:r>
          </w:p>
          <w:p w14:paraId="04487C51" w14:textId="77777777" w:rsidR="009A524B" w:rsidRPr="00127FBE" w:rsidRDefault="009A524B">
            <w:pPr>
              <w:suppressAutoHyphens/>
              <w:rPr>
                <w:rFonts w:eastAsia="맑은 고딕"/>
                <w:lang w:val="en-GB" w:eastAsia="fr-FR"/>
              </w:rPr>
            </w:pPr>
            <w:r w:rsidRPr="00127FBE">
              <w:rPr>
                <w:rFonts w:eastAsia="맑은 고딕"/>
                <w:lang w:val="en-GB" w:eastAsia="fr-FR"/>
              </w:rPr>
              <w:t xml:space="preserve">Celltrion Healthcare Italy </w:t>
            </w:r>
            <w:proofErr w:type="spellStart"/>
            <w:r w:rsidRPr="00127FBE">
              <w:rPr>
                <w:rFonts w:eastAsia="맑은 고딕"/>
                <w:lang w:val="en-GB" w:eastAsia="fr-FR"/>
              </w:rPr>
              <w:t>S.r.l</w:t>
            </w:r>
            <w:proofErr w:type="spellEnd"/>
            <w:r w:rsidRPr="00127FBE">
              <w:rPr>
                <w:rFonts w:eastAsia="맑은 고딕"/>
                <w:lang w:val="en-GB" w:eastAsia="fr-FR"/>
              </w:rPr>
              <w:t>.</w:t>
            </w:r>
          </w:p>
          <w:p w14:paraId="6BD5DDA7" w14:textId="77777777" w:rsidR="009A524B" w:rsidRPr="00F13073" w:rsidRDefault="009A524B">
            <w:pPr>
              <w:suppressAutoHyphens/>
              <w:rPr>
                <w:rFonts w:eastAsia="맑은 고딕"/>
                <w:lang w:eastAsia="fr-FR"/>
              </w:rPr>
            </w:pPr>
            <w:r w:rsidRPr="00F13073">
              <w:rPr>
                <w:rFonts w:eastAsia="맑은 고딕"/>
                <w:lang w:eastAsia="fr-FR"/>
              </w:rPr>
              <w:t>Tel: +39 02 47927040</w:t>
            </w:r>
          </w:p>
          <w:p w14:paraId="06A552A5" w14:textId="77777777" w:rsidR="009A524B" w:rsidRPr="00F13073" w:rsidRDefault="009A524B">
            <w:pPr>
              <w:suppressAutoHyphens/>
              <w:rPr>
                <w:rFonts w:eastAsia="맑은 고딕"/>
                <w:lang w:eastAsia="fr-FR"/>
              </w:rPr>
            </w:pPr>
          </w:p>
        </w:tc>
        <w:tc>
          <w:tcPr>
            <w:tcW w:w="2500" w:type="pct"/>
          </w:tcPr>
          <w:p w14:paraId="0F604AE7" w14:textId="77777777" w:rsidR="009A524B" w:rsidRPr="00127FBE" w:rsidRDefault="009A524B">
            <w:pPr>
              <w:suppressAutoHyphens/>
              <w:rPr>
                <w:lang w:val="en-GB" w:eastAsia="fr-FR"/>
              </w:rPr>
            </w:pPr>
            <w:r w:rsidRPr="00127FBE">
              <w:rPr>
                <w:rFonts w:eastAsia="맑은 고딕"/>
                <w:b/>
                <w:lang w:val="en-GB" w:eastAsia="fr-FR"/>
              </w:rPr>
              <w:t>Suomi/Finland</w:t>
            </w:r>
          </w:p>
          <w:p w14:paraId="7C2633EA"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 xml:space="preserve">Celltrion Healthcare Finland Oy. </w:t>
            </w:r>
          </w:p>
          <w:p w14:paraId="60A29A75" w14:textId="29D36579" w:rsidR="009A524B" w:rsidRPr="00F13073" w:rsidRDefault="009A524B">
            <w:pPr>
              <w:suppressAutoHyphens/>
              <w:autoSpaceDE w:val="0"/>
              <w:autoSpaceDN w:val="0"/>
              <w:adjustRightInd w:val="0"/>
              <w:rPr>
                <w:rFonts w:eastAsia="맑은 고딕"/>
                <w:lang w:eastAsia="fr-FR"/>
              </w:rPr>
            </w:pPr>
            <w:r w:rsidRPr="00F13073">
              <w:rPr>
                <w:rFonts w:eastAsia="맑은 고딕"/>
                <w:lang w:eastAsia="fr-FR"/>
              </w:rPr>
              <w:t>Tel: +358 29 170 7755</w:t>
            </w:r>
          </w:p>
          <w:p w14:paraId="3096A1A8" w14:textId="4FD53AA2" w:rsidR="009A524B" w:rsidRDefault="000F2F0E">
            <w:pPr>
              <w:suppressAutoHyphens/>
              <w:autoSpaceDE w:val="0"/>
              <w:autoSpaceDN w:val="0"/>
              <w:adjustRightInd w:val="0"/>
              <w:rPr>
                <w:rFonts w:eastAsia="맑은 고딕"/>
                <w:lang w:eastAsia="ko-KR"/>
              </w:rPr>
            </w:pPr>
            <w:r w:rsidRPr="00204A91">
              <w:rPr>
                <w:rFonts w:eastAsia="맑은 고딕"/>
                <w:noProof/>
                <w:lang w:val="en-GB" w:eastAsia="ko-KR"/>
              </w:rPr>
              <w:t>contact_fi@celltrionhc.com</w:t>
            </w:r>
          </w:p>
          <w:p w14:paraId="590C5D7C" w14:textId="556220F1" w:rsidR="000F2F0E" w:rsidRPr="0081094B" w:rsidRDefault="000F2F0E">
            <w:pPr>
              <w:suppressAutoHyphens/>
              <w:autoSpaceDE w:val="0"/>
              <w:autoSpaceDN w:val="0"/>
              <w:adjustRightInd w:val="0"/>
              <w:rPr>
                <w:rFonts w:eastAsia="맑은 고딕"/>
                <w:lang w:eastAsia="ko-KR"/>
              </w:rPr>
            </w:pPr>
          </w:p>
        </w:tc>
      </w:tr>
      <w:tr w:rsidR="00A06126" w:rsidRPr="00F13073" w14:paraId="7829626B" w14:textId="77777777">
        <w:trPr>
          <w:cantSplit/>
        </w:trPr>
        <w:tc>
          <w:tcPr>
            <w:tcW w:w="2500" w:type="pct"/>
          </w:tcPr>
          <w:p w14:paraId="0DFE34A2" w14:textId="77777777" w:rsidR="009A524B" w:rsidRPr="0081094B" w:rsidRDefault="009A524B">
            <w:pPr>
              <w:tabs>
                <w:tab w:val="left" w:pos="-720"/>
              </w:tabs>
              <w:suppressAutoHyphens/>
              <w:rPr>
                <w:b/>
                <w:bCs/>
                <w:lang w:eastAsia="fr-FR"/>
              </w:rPr>
            </w:pPr>
            <w:r w:rsidRPr="00F13073">
              <w:rPr>
                <w:b/>
              </w:rPr>
              <w:t>Κύπρος</w:t>
            </w:r>
          </w:p>
          <w:p w14:paraId="6C35DA0E" w14:textId="77777777" w:rsidR="009A524B" w:rsidRPr="0081094B" w:rsidRDefault="009A524B">
            <w:pPr>
              <w:tabs>
                <w:tab w:val="left" w:pos="-720"/>
              </w:tabs>
              <w:suppressAutoHyphens/>
              <w:rPr>
                <w:rFonts w:eastAsia="맑은 고딕"/>
                <w:lang w:eastAsia="ko-KR"/>
              </w:rPr>
            </w:pPr>
            <w:r w:rsidRPr="0081094B">
              <w:rPr>
                <w:rFonts w:eastAsia="맑은 고딕"/>
                <w:lang w:eastAsia="fr-FR"/>
              </w:rPr>
              <w:t>C.A. Papaellinas Ltd</w:t>
            </w:r>
          </w:p>
          <w:p w14:paraId="68FB358F" w14:textId="77777777" w:rsidR="009A524B" w:rsidRPr="00F13073" w:rsidRDefault="009A524B">
            <w:pPr>
              <w:suppressAutoHyphens/>
              <w:autoSpaceDE w:val="0"/>
              <w:autoSpaceDN w:val="0"/>
              <w:adjustRightInd w:val="0"/>
              <w:rPr>
                <w:rFonts w:eastAsia="맑은 고딕"/>
                <w:b/>
                <w:bCs/>
                <w:lang w:eastAsia="fr-FR"/>
              </w:rPr>
            </w:pPr>
            <w:r w:rsidRPr="00F13073">
              <w:t xml:space="preserve">Τηλ: </w:t>
            </w:r>
            <w:r w:rsidRPr="00F13073">
              <w:rPr>
                <w:rFonts w:eastAsia="맑은 고딕"/>
                <w:lang w:eastAsia="fr-FR"/>
              </w:rPr>
              <w:t>+357 22741741</w:t>
            </w:r>
          </w:p>
          <w:p w14:paraId="08428D23" w14:textId="77777777" w:rsidR="009A524B" w:rsidRPr="00F13073" w:rsidRDefault="009A524B">
            <w:pPr>
              <w:suppressAutoHyphens/>
              <w:autoSpaceDE w:val="0"/>
              <w:autoSpaceDN w:val="0"/>
              <w:adjustRightInd w:val="0"/>
              <w:rPr>
                <w:rFonts w:eastAsia="맑은 고딕"/>
                <w:b/>
                <w:lang w:eastAsia="fr-FR"/>
              </w:rPr>
            </w:pPr>
          </w:p>
        </w:tc>
        <w:tc>
          <w:tcPr>
            <w:tcW w:w="2500" w:type="pct"/>
          </w:tcPr>
          <w:p w14:paraId="7C2D378D" w14:textId="77777777" w:rsidR="009A524B" w:rsidRPr="00127FBE" w:rsidRDefault="009A524B">
            <w:pPr>
              <w:tabs>
                <w:tab w:val="left" w:pos="-720"/>
              </w:tabs>
              <w:suppressAutoHyphens/>
              <w:rPr>
                <w:b/>
                <w:lang w:val="en-GB" w:eastAsia="fr-FR"/>
              </w:rPr>
            </w:pPr>
            <w:r w:rsidRPr="00127FBE">
              <w:rPr>
                <w:b/>
                <w:lang w:val="en-GB"/>
              </w:rPr>
              <w:t>Sverige</w:t>
            </w:r>
          </w:p>
          <w:p w14:paraId="7A285F36" w14:textId="67087EB5" w:rsidR="00915D3C" w:rsidRDefault="00915D3C" w:rsidP="00915D3C">
            <w:pPr>
              <w:tabs>
                <w:tab w:val="left" w:pos="-720"/>
              </w:tabs>
              <w:suppressAutoHyphens/>
              <w:rPr>
                <w:rFonts w:eastAsia="맑은 고딕"/>
                <w:lang w:val="en-GB" w:eastAsia="fr-FR"/>
              </w:rPr>
            </w:pPr>
            <w:r w:rsidRPr="00915D3C">
              <w:rPr>
                <w:rFonts w:eastAsia="맑은 고딕"/>
                <w:lang w:val="en-GB" w:eastAsia="fr-FR"/>
              </w:rPr>
              <w:t>Celltrion Sweden AB</w:t>
            </w:r>
          </w:p>
          <w:p w14:paraId="4BF1D552" w14:textId="2CBC8D82" w:rsidR="000F2F0E" w:rsidRPr="005F0664" w:rsidRDefault="000F2F0E" w:rsidP="00915D3C">
            <w:pPr>
              <w:tabs>
                <w:tab w:val="left" w:pos="-720"/>
              </w:tabs>
              <w:suppressAutoHyphens/>
              <w:rPr>
                <w:rFonts w:eastAsia="맑은 고딕"/>
                <w:noProof/>
                <w:lang w:eastAsia="fr-FR"/>
              </w:rPr>
            </w:pPr>
            <w:r w:rsidRPr="006F04E0">
              <w:rPr>
                <w:rFonts w:eastAsia="맑은 고딕"/>
                <w:noProof/>
                <w:lang w:eastAsia="fr-FR"/>
              </w:rPr>
              <w:t>Tel: +46 8 80 11 77</w:t>
            </w:r>
          </w:p>
          <w:p w14:paraId="1262ECF6" w14:textId="2DE89485" w:rsidR="009A524B" w:rsidRPr="00915D3C" w:rsidRDefault="000F2F0E">
            <w:pPr>
              <w:tabs>
                <w:tab w:val="left" w:pos="-720"/>
              </w:tabs>
              <w:suppressAutoHyphens/>
              <w:rPr>
                <w:rFonts w:eastAsia="맑은 고딕"/>
                <w:b/>
                <w:lang w:eastAsia="fr-FR"/>
              </w:rPr>
            </w:pPr>
            <w:r w:rsidRPr="005F0664">
              <w:rPr>
                <w:rFonts w:eastAsia="맑은 고딕"/>
                <w:lang w:eastAsia="fr-FR"/>
              </w:rPr>
              <w:t>C</w:t>
            </w:r>
            <w:r w:rsidR="00915D3C" w:rsidRPr="005F0664">
              <w:rPr>
                <w:rFonts w:eastAsia="맑은 고딕"/>
                <w:lang w:eastAsia="fr-FR"/>
              </w:rPr>
              <w:t>ontact_se@celltrionhc.com</w:t>
            </w:r>
          </w:p>
        </w:tc>
      </w:tr>
      <w:tr w:rsidR="00A06126" w:rsidRPr="00F13073" w14:paraId="071CE491" w14:textId="77777777">
        <w:trPr>
          <w:cantSplit/>
        </w:trPr>
        <w:tc>
          <w:tcPr>
            <w:tcW w:w="2500" w:type="pct"/>
          </w:tcPr>
          <w:p w14:paraId="66B1A6E5" w14:textId="77777777" w:rsidR="009A524B" w:rsidRPr="00127FBE" w:rsidRDefault="009A524B">
            <w:pPr>
              <w:suppressAutoHyphens/>
              <w:rPr>
                <w:rFonts w:eastAsia="맑은 고딕"/>
                <w:b/>
                <w:lang w:val="en-GB" w:eastAsia="fr-FR"/>
              </w:rPr>
            </w:pPr>
            <w:proofErr w:type="spellStart"/>
            <w:r w:rsidRPr="00127FBE">
              <w:rPr>
                <w:rFonts w:eastAsia="맑은 고딕"/>
                <w:b/>
                <w:lang w:val="en-GB" w:eastAsia="fr-FR"/>
              </w:rPr>
              <w:t>Latvija</w:t>
            </w:r>
            <w:proofErr w:type="spellEnd"/>
          </w:p>
          <w:p w14:paraId="485C7B21" w14:textId="77777777" w:rsidR="009A524B" w:rsidRPr="00127FBE" w:rsidRDefault="009A524B">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1EEC75F6" w14:textId="77777777" w:rsidR="009A524B" w:rsidRPr="00F13073" w:rsidRDefault="009A524B">
            <w:pPr>
              <w:suppressAutoHyphens/>
              <w:autoSpaceDE w:val="0"/>
              <w:autoSpaceDN w:val="0"/>
              <w:adjustRightInd w:val="0"/>
              <w:rPr>
                <w:rFonts w:eastAsia="맑은 고딕"/>
                <w:lang w:eastAsia="fr-FR"/>
              </w:rPr>
            </w:pPr>
            <w:r w:rsidRPr="00F13073">
              <w:rPr>
                <w:rFonts w:eastAsia="맑은 고딕"/>
                <w:lang w:eastAsia="fr-FR"/>
              </w:rPr>
              <w:t>Tālr.: +36 1 231 0493</w:t>
            </w:r>
          </w:p>
          <w:p w14:paraId="70761117" w14:textId="77777777" w:rsidR="009A524B" w:rsidRPr="00F13073" w:rsidRDefault="009A524B">
            <w:pPr>
              <w:suppressAutoHyphens/>
              <w:autoSpaceDE w:val="0"/>
              <w:autoSpaceDN w:val="0"/>
              <w:adjustRightInd w:val="0"/>
              <w:rPr>
                <w:rFonts w:eastAsia="맑은 고딕"/>
                <w:b/>
                <w:bCs/>
                <w:lang w:eastAsia="fr-FR"/>
              </w:rPr>
            </w:pPr>
          </w:p>
        </w:tc>
        <w:tc>
          <w:tcPr>
            <w:tcW w:w="2500" w:type="pct"/>
          </w:tcPr>
          <w:p w14:paraId="7C7A9E6E" w14:textId="77777777" w:rsidR="009A524B" w:rsidRPr="00F13073" w:rsidRDefault="009A524B">
            <w:pPr>
              <w:tabs>
                <w:tab w:val="left" w:pos="-720"/>
              </w:tabs>
              <w:suppressAutoHyphens/>
              <w:rPr>
                <w:rFonts w:eastAsia="맑은 고딕"/>
                <w:b/>
                <w:lang w:eastAsia="fr-FR"/>
              </w:rPr>
            </w:pPr>
          </w:p>
        </w:tc>
      </w:tr>
    </w:tbl>
    <w:p w14:paraId="12AA1BBC" w14:textId="77777777" w:rsidR="008F13C3" w:rsidRPr="00F13073" w:rsidRDefault="008F13C3" w:rsidP="008B4C50"/>
    <w:p w14:paraId="22F6BE36" w14:textId="77777777" w:rsidR="002B178B" w:rsidRPr="00F13073" w:rsidRDefault="002B178B" w:rsidP="008B4C50">
      <w:pPr>
        <w:pStyle w:val="a4"/>
        <w:widowControl/>
        <w:spacing w:after="0"/>
      </w:pPr>
      <w:r w:rsidRPr="00F13073">
        <w:rPr>
          <w:rStyle w:val="Char"/>
          <w:b/>
          <w:bCs/>
        </w:rPr>
        <w:lastRenderedPageBreak/>
        <w:t>Data ostatniej aktualizacji ulotki:</w:t>
      </w:r>
    </w:p>
    <w:p w14:paraId="6EEBD8F5" w14:textId="77777777" w:rsidR="006C369E" w:rsidRPr="00F13073" w:rsidRDefault="006C369E" w:rsidP="008B4C50">
      <w:pPr>
        <w:pStyle w:val="a4"/>
        <w:widowControl/>
        <w:spacing w:after="0"/>
        <w:rPr>
          <w:rStyle w:val="Char"/>
          <w:b/>
          <w:bCs/>
        </w:rPr>
      </w:pPr>
    </w:p>
    <w:p w14:paraId="68EF29CF" w14:textId="77777777" w:rsidR="002B178B" w:rsidRPr="00F13073" w:rsidRDefault="002B178B" w:rsidP="008B4C50">
      <w:pPr>
        <w:pStyle w:val="a4"/>
        <w:widowControl/>
        <w:spacing w:after="0"/>
      </w:pPr>
      <w:r w:rsidRPr="00F13073">
        <w:rPr>
          <w:rStyle w:val="Char"/>
          <w:b/>
          <w:bCs/>
        </w:rPr>
        <w:t>Inne źródła informacji</w:t>
      </w:r>
    </w:p>
    <w:p w14:paraId="3A23DF50" w14:textId="08D1F9A2" w:rsidR="001E0975" w:rsidRPr="00F13073" w:rsidRDefault="002B178B" w:rsidP="008B4C50">
      <w:r w:rsidRPr="00F13073">
        <w:rPr>
          <w:rStyle w:val="Char"/>
          <w:rFonts w:eastAsia="DengXian"/>
        </w:rPr>
        <w:t xml:space="preserve">Szczegółowe informacje o tym leku są dostępne na stronie internetowej Europejskiej Agencji Leków </w:t>
      </w:r>
      <w:r w:rsidR="00915D3C">
        <w:fldChar w:fldCharType="begin"/>
      </w:r>
      <w:r w:rsidR="00915D3C">
        <w:instrText>HYPERLINK "https://www.ema.europa.eu/"</w:instrText>
      </w:r>
      <w:r w:rsidR="00915D3C">
        <w:fldChar w:fldCharType="separate"/>
      </w:r>
      <w:r w:rsidR="00915D3C" w:rsidRPr="00915D3C">
        <w:rPr>
          <w:rStyle w:val="a7"/>
        </w:rPr>
        <w:t>http</w:t>
      </w:r>
      <w:r w:rsidR="00915D3C" w:rsidRPr="00915D3C">
        <w:rPr>
          <w:rStyle w:val="a7"/>
          <w:rFonts w:eastAsia="맑은 고딕" w:hint="eastAsia"/>
          <w:lang w:eastAsia="ko-KR"/>
        </w:rPr>
        <w:t>s</w:t>
      </w:r>
      <w:r w:rsidR="00915D3C" w:rsidRPr="00915D3C">
        <w:rPr>
          <w:rStyle w:val="a7"/>
        </w:rPr>
        <w:t>://www.ema.europa.eu/</w:t>
      </w:r>
      <w:r w:rsidR="00915D3C">
        <w:fldChar w:fldCharType="end"/>
      </w:r>
      <w:r w:rsidR="00480338" w:rsidRPr="00F13073">
        <w:t>.</w:t>
      </w:r>
    </w:p>
    <w:p w14:paraId="0D3AD63C" w14:textId="77777777" w:rsidR="00480338" w:rsidRPr="00F13073" w:rsidRDefault="00480338" w:rsidP="008B4C50"/>
    <w:p w14:paraId="7418A5B8" w14:textId="77777777" w:rsidR="00D025AF" w:rsidRPr="00F13073" w:rsidRDefault="008F13C3" w:rsidP="00D025AF">
      <w:pPr>
        <w:keepNext/>
        <w:ind w:left="567" w:hanging="567"/>
        <w:rPr>
          <w:b/>
          <w:bCs/>
        </w:rPr>
      </w:pPr>
      <w:r w:rsidRPr="00F13073">
        <w:br w:type="page"/>
      </w:r>
      <w:r w:rsidR="00D025AF" w:rsidRPr="00F13073">
        <w:rPr>
          <w:b/>
        </w:rPr>
        <w:lastRenderedPageBreak/>
        <w:t>7.</w:t>
      </w:r>
      <w:r w:rsidR="00D025AF" w:rsidRPr="00F13073">
        <w:rPr>
          <w:b/>
        </w:rPr>
        <w:tab/>
        <w:t>Instrukcja użycia</w:t>
      </w:r>
    </w:p>
    <w:p w14:paraId="709A8312" w14:textId="77777777" w:rsidR="00D025AF" w:rsidRPr="00F13073" w:rsidRDefault="00D025AF" w:rsidP="00D025AF">
      <w:pPr>
        <w:keepNext/>
      </w:pPr>
      <w:bookmarkStart w:id="49" w:name="_Hlk146283329"/>
    </w:p>
    <w:p w14:paraId="72A333DC" w14:textId="71DA2747" w:rsidR="00D025AF" w:rsidRPr="00F13073" w:rsidRDefault="00D025AF" w:rsidP="00D025AF">
      <w:r w:rsidRPr="00F13073">
        <w:t xml:space="preserve">Przed rozpoczęciem stosowania leku Avtozma i za każdym razem po zakupie nowego opakowania </w:t>
      </w:r>
      <w:r w:rsidR="00113E87" w:rsidRPr="00F13073">
        <w:t>l</w:t>
      </w:r>
      <w:r w:rsidRPr="00F13073">
        <w:t xml:space="preserve">eku należy zapoznać się z instrukcją użycia dołączoną do ampułko-strzykawki z lekiem Avtozma i postępować zgodnie z nią. Mogą pojawić się nowe informacje. Przed wstrzyknięciem leku Avtozma należy uzyskać instrukcje </w:t>
      </w:r>
      <w:r w:rsidR="00FE78F1">
        <w:t xml:space="preserve">na temat jego </w:t>
      </w:r>
      <w:r w:rsidRPr="00F13073">
        <w:t>prawidłowego sposobu stosowania od fachowego personelu medycznego.</w:t>
      </w:r>
    </w:p>
    <w:bookmarkEnd w:id="49"/>
    <w:p w14:paraId="7A097588" w14:textId="77777777" w:rsidR="00D025AF" w:rsidRPr="00F13073" w:rsidRDefault="00D025AF" w:rsidP="00D025AF"/>
    <w:p w14:paraId="57EED0ED" w14:textId="77777777" w:rsidR="00D025AF" w:rsidRPr="00F13073" w:rsidRDefault="00D025AF" w:rsidP="00D025AF">
      <w:pPr>
        <w:keepNext/>
        <w:rPr>
          <w:b/>
          <w:bCs/>
        </w:rPr>
      </w:pPr>
      <w:r w:rsidRPr="00F13073">
        <w:rPr>
          <w:b/>
        </w:rPr>
        <w:t>Ważne informacje</w:t>
      </w:r>
    </w:p>
    <w:p w14:paraId="7FD1EAF0" w14:textId="77777777" w:rsidR="00D025AF" w:rsidRPr="00F13073" w:rsidRDefault="00D025AF" w:rsidP="00D025AF">
      <w:pPr>
        <w:keepNext/>
        <w:rPr>
          <w:b/>
          <w:bCs/>
        </w:rPr>
      </w:pPr>
    </w:p>
    <w:p w14:paraId="332EE709" w14:textId="77777777" w:rsidR="00D025AF" w:rsidRPr="00F13073" w:rsidRDefault="00D025AF" w:rsidP="00113E87">
      <w:pPr>
        <w:widowControl w:val="0"/>
        <w:numPr>
          <w:ilvl w:val="2"/>
          <w:numId w:val="27"/>
        </w:numPr>
        <w:tabs>
          <w:tab w:val="left" w:pos="567"/>
        </w:tabs>
        <w:ind w:left="567" w:hanging="567"/>
        <w:rPr>
          <w:rFonts w:eastAsia="Times New Roman"/>
          <w:bCs/>
        </w:rPr>
      </w:pPr>
      <w:r w:rsidRPr="00F13073">
        <w:rPr>
          <w:b/>
        </w:rPr>
        <w:t>Nie należy</w:t>
      </w:r>
      <w:r w:rsidRPr="00F13073">
        <w:t xml:space="preserve"> zdejmować nasadki z </w:t>
      </w:r>
      <w:r w:rsidRPr="00F13073">
        <w:rPr>
          <w:color w:val="231F20"/>
        </w:rPr>
        <w:t>ampułko-strzykawki</w:t>
      </w:r>
      <w:r w:rsidRPr="00F13073">
        <w:t xml:space="preserve"> do chwili, kiedy pacjent będzie gotowy do wstrzyknięcia leku </w:t>
      </w:r>
      <w:r w:rsidRPr="00F13073">
        <w:rPr>
          <w:color w:val="231F20"/>
        </w:rPr>
        <w:t>Avtozma</w:t>
      </w:r>
      <w:r w:rsidRPr="00F13073">
        <w:t>.</w:t>
      </w:r>
    </w:p>
    <w:p w14:paraId="296202D6" w14:textId="77777777" w:rsidR="00D025AF" w:rsidRPr="00F13073" w:rsidRDefault="00D025AF" w:rsidP="00113E87">
      <w:pPr>
        <w:pStyle w:val="1"/>
        <w:widowControl w:val="0"/>
        <w:numPr>
          <w:ilvl w:val="2"/>
          <w:numId w:val="27"/>
        </w:numPr>
        <w:tabs>
          <w:tab w:val="left" w:pos="567"/>
        </w:tabs>
        <w:ind w:left="567" w:hanging="567"/>
        <w:contextualSpacing w:val="0"/>
        <w:rPr>
          <w:rFonts w:eastAsia="Times New Roman"/>
          <w:bCs/>
        </w:rPr>
      </w:pPr>
      <w:r w:rsidRPr="00F13073">
        <w:t>W żadnym momencie nie wolno próbować rozmontowywać ampułko-strzykawki.</w:t>
      </w:r>
    </w:p>
    <w:p w14:paraId="301398EB" w14:textId="77777777" w:rsidR="00D025AF" w:rsidRPr="00F13073" w:rsidRDefault="00D025AF" w:rsidP="00113E87">
      <w:pPr>
        <w:widowControl w:val="0"/>
        <w:numPr>
          <w:ilvl w:val="2"/>
          <w:numId w:val="27"/>
        </w:numPr>
        <w:tabs>
          <w:tab w:val="left" w:pos="567"/>
        </w:tabs>
        <w:ind w:left="567" w:hanging="567"/>
        <w:rPr>
          <w:rFonts w:eastAsia="Times New Roman"/>
          <w:bCs/>
        </w:rPr>
      </w:pPr>
      <w:r w:rsidRPr="00F13073">
        <w:rPr>
          <w:b/>
        </w:rPr>
        <w:t xml:space="preserve">Nie wolno </w:t>
      </w:r>
      <w:r w:rsidRPr="00F13073">
        <w:t>używać ponownie tej samej strzykawki.</w:t>
      </w:r>
    </w:p>
    <w:p w14:paraId="7ADE4CA7" w14:textId="534756E8" w:rsidR="00D025AF" w:rsidRPr="00F13073" w:rsidRDefault="00D025AF" w:rsidP="00113E87">
      <w:pPr>
        <w:widowControl w:val="0"/>
        <w:numPr>
          <w:ilvl w:val="2"/>
          <w:numId w:val="27"/>
        </w:numPr>
        <w:tabs>
          <w:tab w:val="left" w:pos="567"/>
        </w:tabs>
        <w:ind w:left="567" w:hanging="567"/>
        <w:rPr>
          <w:rFonts w:eastAsia="Times New Roman"/>
        </w:rPr>
      </w:pPr>
      <w:r w:rsidRPr="00F13073">
        <w:rPr>
          <w:b/>
        </w:rPr>
        <w:t xml:space="preserve">Nie </w:t>
      </w:r>
      <w:r w:rsidR="003445BF" w:rsidRPr="00F13073">
        <w:t>wstrząsać</w:t>
      </w:r>
      <w:r w:rsidRPr="00F13073">
        <w:t xml:space="preserve"> ampułko-strzykawką.</w:t>
      </w:r>
    </w:p>
    <w:p w14:paraId="3D2FA857" w14:textId="77777777" w:rsidR="00D025AF" w:rsidRPr="00F13073" w:rsidRDefault="00D025AF" w:rsidP="00113E87">
      <w:pPr>
        <w:widowControl w:val="0"/>
        <w:numPr>
          <w:ilvl w:val="2"/>
          <w:numId w:val="27"/>
        </w:numPr>
        <w:tabs>
          <w:tab w:val="left" w:pos="567"/>
        </w:tabs>
        <w:ind w:left="567" w:hanging="567"/>
        <w:rPr>
          <w:rFonts w:eastAsia="Times New Roman"/>
        </w:rPr>
      </w:pPr>
      <w:r w:rsidRPr="00F13073">
        <w:rPr>
          <w:b/>
        </w:rPr>
        <w:t>Nie</w:t>
      </w:r>
      <w:r w:rsidRPr="00F13073">
        <w:t xml:space="preserve"> </w:t>
      </w:r>
      <w:r w:rsidRPr="00F13073">
        <w:rPr>
          <w:b/>
          <w:bCs/>
        </w:rPr>
        <w:t>należy</w:t>
      </w:r>
      <w:r w:rsidRPr="00F13073">
        <w:t xml:space="preserve"> używać ampułko-strzykawki, jeśli została upuszczona lub uszkodzona.</w:t>
      </w:r>
    </w:p>
    <w:p w14:paraId="6859ED3E" w14:textId="61E21EC9" w:rsidR="00D025AF" w:rsidRPr="00F13073" w:rsidRDefault="00D025AF" w:rsidP="00113E87">
      <w:pPr>
        <w:widowControl w:val="0"/>
        <w:numPr>
          <w:ilvl w:val="2"/>
          <w:numId w:val="27"/>
        </w:numPr>
        <w:tabs>
          <w:tab w:val="left" w:pos="567"/>
        </w:tabs>
        <w:ind w:left="567" w:hanging="567"/>
        <w:rPr>
          <w:rFonts w:eastAsia="Times New Roman"/>
          <w:bCs/>
        </w:rPr>
      </w:pPr>
      <w:r w:rsidRPr="00F13073">
        <w:rPr>
          <w:b/>
        </w:rPr>
        <w:t xml:space="preserve">Zalecenia dla pacjentów dotyczące reakcji nadwrażliwości (lub anafilaksji): </w:t>
      </w:r>
      <w:r w:rsidRPr="00F13073">
        <w:t>Jeśli u pacjenta wystąpią takie objawy, jak wysypka skórna, świąd, dreszcze, obrzęk twarzy, warg, języka lub gardła, ból w klatce piersiowej, świszczący oddech, trudności w oddychaniu lub połykaniu, zawroty głowy lub omdlenia</w:t>
      </w:r>
      <w:r w:rsidR="00E91C7F">
        <w:t>,</w:t>
      </w:r>
      <w:r w:rsidRPr="00F13073">
        <w:t xml:space="preserve"> w dowolnym momencie, kiedy pacjent przebywa poza</w:t>
      </w:r>
      <w:r w:rsidR="00E91C7F">
        <w:t xml:space="preserve"> </w:t>
      </w:r>
      <w:r w:rsidRPr="00F13073">
        <w:t xml:space="preserve"> przychodnią, w trakcie wstrzyknięcia lub po wstrzyknięciu, należy bezzwłocznie zwrócić się o pomoc </w:t>
      </w:r>
      <w:r w:rsidR="00E91C7F">
        <w:t xml:space="preserve">jak </w:t>
      </w:r>
      <w:r w:rsidRPr="00F13073">
        <w:t>w nagłych wypadkach.</w:t>
      </w:r>
    </w:p>
    <w:p w14:paraId="5CEF42FB" w14:textId="77777777" w:rsidR="00D025AF" w:rsidRPr="00F13073" w:rsidRDefault="00D025AF" w:rsidP="00D025AF"/>
    <w:p w14:paraId="61E980C1" w14:textId="77777777" w:rsidR="00D025AF" w:rsidRPr="00F13073" w:rsidRDefault="00D025AF" w:rsidP="00D025AF">
      <w:pPr>
        <w:keepNext/>
        <w:rPr>
          <w:b/>
          <w:bCs/>
        </w:rPr>
      </w:pPr>
      <w:r w:rsidRPr="00F13073">
        <w:rPr>
          <w:b/>
        </w:rPr>
        <w:t>Przechowywanie leku Avtozma</w:t>
      </w:r>
    </w:p>
    <w:p w14:paraId="55FD69B1" w14:textId="77777777" w:rsidR="00D025AF" w:rsidRPr="00F13073" w:rsidRDefault="00D025AF" w:rsidP="00D025AF">
      <w:pPr>
        <w:keepNext/>
        <w:rPr>
          <w:b/>
          <w:bCs/>
        </w:rPr>
      </w:pPr>
    </w:p>
    <w:p w14:paraId="75CC959F" w14:textId="77777777" w:rsidR="00D025AF" w:rsidRPr="00F13073" w:rsidRDefault="00D025AF" w:rsidP="00D025AF">
      <w:pPr>
        <w:pStyle w:val="a0"/>
        <w:numPr>
          <w:ilvl w:val="0"/>
          <w:numId w:val="46"/>
        </w:numPr>
        <w:ind w:left="567" w:hanging="567"/>
        <w:contextualSpacing w:val="0"/>
      </w:pPr>
      <w:r w:rsidRPr="00F13073">
        <w:t xml:space="preserve">Niewykorzystaną ampułko-strzykawkę należy przechowywać w oryginalnym opakowaniu w lodówce w temperaturze od 2°C do 8°C. </w:t>
      </w:r>
      <w:r w:rsidRPr="00F13073">
        <w:rPr>
          <w:b/>
        </w:rPr>
        <w:t xml:space="preserve">Nie </w:t>
      </w:r>
      <w:r w:rsidRPr="00F13073">
        <w:t>zamrażać.</w:t>
      </w:r>
    </w:p>
    <w:p w14:paraId="4494EB4C" w14:textId="1BA07690" w:rsidR="00D025AF" w:rsidRPr="00F13073" w:rsidRDefault="00D025AF" w:rsidP="00D025AF">
      <w:pPr>
        <w:pStyle w:val="a0"/>
        <w:numPr>
          <w:ilvl w:val="0"/>
          <w:numId w:val="46"/>
        </w:numPr>
        <w:ind w:left="567" w:hanging="567"/>
        <w:contextualSpacing w:val="0"/>
      </w:pPr>
      <w:r w:rsidRPr="00F13073">
        <w:t xml:space="preserve">Po wyjęciu z lodówki lek Avtozma można przechowywać przez okres do 3 tygodni w temperaturze 30°C lub niższej. Jeśli lek Avtozma nie zostanie zużyty w ciągu </w:t>
      </w:r>
      <w:r w:rsidR="00E6067F">
        <w:t>3</w:t>
      </w:r>
      <w:r w:rsidRPr="00F13073">
        <w:t xml:space="preserve"> tygodni, należy go wyrzucić.  </w:t>
      </w:r>
    </w:p>
    <w:p w14:paraId="2013AA3D" w14:textId="77777777" w:rsidR="00D025AF" w:rsidRPr="00F13073" w:rsidRDefault="00D025AF" w:rsidP="00D025AF">
      <w:pPr>
        <w:pStyle w:val="a0"/>
        <w:numPr>
          <w:ilvl w:val="0"/>
          <w:numId w:val="46"/>
        </w:numPr>
        <w:ind w:left="567" w:hanging="567"/>
        <w:contextualSpacing w:val="0"/>
      </w:pPr>
      <w:r w:rsidRPr="00F13073">
        <w:t>Ampułko-strzykawkę należy przechowywać z dala od bezpośredniego światła słonecznego.</w:t>
      </w:r>
    </w:p>
    <w:p w14:paraId="2D76A1A8" w14:textId="77777777" w:rsidR="00D025AF" w:rsidRPr="00F13073" w:rsidRDefault="00D025AF" w:rsidP="00D025AF">
      <w:pPr>
        <w:pStyle w:val="a0"/>
        <w:numPr>
          <w:ilvl w:val="0"/>
          <w:numId w:val="46"/>
        </w:numPr>
        <w:ind w:left="567" w:hanging="567"/>
        <w:contextualSpacing w:val="0"/>
      </w:pPr>
      <w:r w:rsidRPr="00F13073">
        <w:rPr>
          <w:b/>
        </w:rPr>
        <w:t xml:space="preserve">Nie </w:t>
      </w:r>
      <w:r w:rsidRPr="00F13073">
        <w:rPr>
          <w:b/>
          <w:bCs/>
        </w:rPr>
        <w:t>należy</w:t>
      </w:r>
      <w:r w:rsidRPr="00F13073">
        <w:t xml:space="preserve"> wyjmować ampułko-strzykawki z oryginalnego opakowania podczas przechowywania.</w:t>
      </w:r>
    </w:p>
    <w:p w14:paraId="3B24660D" w14:textId="77777777" w:rsidR="00D025AF" w:rsidRPr="00F13073" w:rsidRDefault="00D025AF" w:rsidP="00D025AF">
      <w:pPr>
        <w:pStyle w:val="a0"/>
        <w:numPr>
          <w:ilvl w:val="0"/>
          <w:numId w:val="46"/>
        </w:numPr>
        <w:ind w:left="567" w:hanging="567"/>
        <w:contextualSpacing w:val="0"/>
      </w:pPr>
      <w:r w:rsidRPr="00F13073">
        <w:rPr>
          <w:b/>
        </w:rPr>
        <w:t xml:space="preserve">Nie należy </w:t>
      </w:r>
      <w:r w:rsidRPr="00F13073">
        <w:t>pozostawiać ampułko-strzykawki bez nadzoru.</w:t>
      </w:r>
    </w:p>
    <w:p w14:paraId="7E6BC727" w14:textId="16376F6C" w:rsidR="00D025AF" w:rsidRPr="00F13073" w:rsidRDefault="00D025AF" w:rsidP="00D025AF">
      <w:pPr>
        <w:pStyle w:val="a0"/>
        <w:numPr>
          <w:ilvl w:val="0"/>
          <w:numId w:val="46"/>
        </w:numPr>
        <w:ind w:left="567" w:hanging="567"/>
        <w:contextualSpacing w:val="0"/>
      </w:pPr>
      <w:r w:rsidRPr="00F13073">
        <w:t>Ampułko-strzykawkę przechowywać w miejscu niedostępnym dla dzieci. Zawiera małe elementy.</w:t>
      </w:r>
    </w:p>
    <w:p w14:paraId="07C4197C" w14:textId="77777777" w:rsidR="00D025AF" w:rsidRPr="00F13073" w:rsidRDefault="00D025AF" w:rsidP="00D025AF">
      <w:pPr>
        <w:tabs>
          <w:tab w:val="left" w:pos="832"/>
        </w:tabs>
        <w:spacing w:before="143"/>
        <w:ind w:left="830"/>
        <w:rPr>
          <w:bCs/>
        </w:rPr>
      </w:pPr>
      <w:r w:rsidRPr="00F13073">
        <w:br w:type="page"/>
      </w:r>
    </w:p>
    <w:p w14:paraId="09125655" w14:textId="77777777" w:rsidR="00D025AF" w:rsidRPr="00F13073" w:rsidRDefault="00D025AF" w:rsidP="00D025AF">
      <w:pPr>
        <w:keepNext/>
        <w:rPr>
          <w:b/>
          <w:bCs/>
        </w:rPr>
      </w:pPr>
      <w:r w:rsidRPr="00F13073">
        <w:rPr>
          <w:b/>
        </w:rPr>
        <w:lastRenderedPageBreak/>
        <w:t>Elementy ampułko-strzykawki (patrz rysunek A).</w:t>
      </w:r>
    </w:p>
    <w:p w14:paraId="1F86BBC5" w14:textId="77777777" w:rsidR="00D025AF" w:rsidRPr="00F13073" w:rsidRDefault="00D025AF" w:rsidP="00D025AF">
      <w:pPr>
        <w:keepNext/>
      </w:pPr>
    </w:p>
    <w:p w14:paraId="0EDE3396" w14:textId="7FBCDCCB" w:rsidR="00D025AF" w:rsidRPr="00F13073" w:rsidRDefault="004929A7" w:rsidP="00D025AF">
      <w:pPr>
        <w:spacing w:line="200" w:lineRule="atLeast"/>
        <w:ind w:left="316"/>
      </w:pPr>
      <w:r>
        <w:rPr>
          <w:noProof/>
          <w:lang w:val="en-US" w:eastAsia="ko-KR"/>
        </w:rPr>
        <mc:AlternateContent>
          <mc:Choice Requires="wps">
            <w:drawing>
              <wp:anchor distT="0" distB="0" distL="114300" distR="114300" simplePos="0" relativeHeight="251639808" behindDoc="0" locked="0" layoutInCell="1" allowOverlap="1" wp14:anchorId="2B341528" wp14:editId="24879070">
                <wp:simplePos x="0" y="0"/>
                <wp:positionH relativeFrom="column">
                  <wp:posOffset>2571115</wp:posOffset>
                </wp:positionH>
                <wp:positionV relativeFrom="paragraph">
                  <wp:posOffset>4393565</wp:posOffset>
                </wp:positionV>
                <wp:extent cx="901065" cy="549910"/>
                <wp:effectExtent l="0" t="0" r="0" b="0"/>
                <wp:wrapNone/>
                <wp:docPr id="38802611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549910"/>
                        </a:xfrm>
                        <a:prstGeom prst="rect">
                          <a:avLst/>
                        </a:prstGeom>
                        <a:noFill/>
                        <a:ln>
                          <a:noFill/>
                        </a:ln>
                      </wps:spPr>
                      <wps:txbx>
                        <w:txbxContent>
                          <w:p w14:paraId="7B8CFADA" w14:textId="5A223FE2" w:rsidR="00FE78F1" w:rsidRPr="00442587" w:rsidRDefault="00FE78F1" w:rsidP="00D025AF">
                            <w:pPr>
                              <w:pStyle w:val="StyleArialNarrow8pts"/>
                              <w:jc w:val="center"/>
                              <w:rPr>
                                <w:rFonts w:ascii="Arial" w:hAnsi="Arial" w:cs="Arial"/>
                                <w:b/>
                                <w:bCs/>
                                <w:sz w:val="28"/>
                                <w:szCs w:val="28"/>
                              </w:rPr>
                            </w:pPr>
                            <w:r w:rsidRPr="00442587">
                              <w:rPr>
                                <w:rFonts w:ascii="Arial" w:hAnsi="Arial"/>
                                <w:b/>
                                <w:sz w:val="28"/>
                                <w:szCs w:val="14"/>
                              </w:rPr>
                              <w:t>Nasadka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41528" id="_x0000_t202" coordsize="21600,21600" o:spt="202" path="m,l,21600r21600,l21600,xe">
                <v:stroke joinstyle="miter"/>
                <v:path gradientshapeok="t" o:connecttype="rect"/>
              </v:shapetype>
              <v:shape id="Text Box 119" o:spid="_x0000_s1026" type="#_x0000_t202" style="position:absolute;left:0;text-align:left;margin-left:202.45pt;margin-top:345.95pt;width:70.95pt;height:43.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" filled="f" stroked="f">
                <v:textbox inset=".5mm,.5mm,.5mm,.5mm">
                  <w:txbxContent>
                    <w:p w14:paraId="7B8CFADA" w14:textId="5A223FE2" w:rsidR="00FE78F1" w:rsidRPr="00442587" w:rsidRDefault="00FE78F1" w:rsidP="00D025AF">
                      <w:pPr>
                        <w:pStyle w:val="StyleArialNarrow8pts"/>
                        <w:jc w:val="center"/>
                        <w:rPr>
                          <w:rFonts w:ascii="Arial" w:hAnsi="Arial" w:cs="Arial"/>
                          <w:b/>
                          <w:bCs/>
                          <w:sz w:val="28"/>
                          <w:szCs w:val="28"/>
                        </w:rPr>
                      </w:pPr>
                      <w:r w:rsidRPr="00442587">
                        <w:rPr>
                          <w:rFonts w:ascii="Arial" w:hAnsi="Arial"/>
                          <w:b/>
                          <w:sz w:val="28"/>
                          <w:szCs w:val="14"/>
                        </w:rPr>
                        <w:t>Nasadka</w:t>
                      </w:r>
                    </w:p>
                  </w:txbxContent>
                </v:textbox>
              </v:shape>
            </w:pict>
          </mc:Fallback>
        </mc:AlternateContent>
      </w:r>
      <w:r>
        <w:rPr>
          <w:noProof/>
          <w:lang w:val="en-US" w:eastAsia="ko-KR"/>
        </w:rPr>
        <mc:AlternateContent>
          <mc:Choice Requires="wps">
            <w:drawing>
              <wp:anchor distT="0" distB="0" distL="114300" distR="114300" simplePos="0" relativeHeight="251635712" behindDoc="0" locked="0" layoutInCell="1" allowOverlap="1" wp14:anchorId="3F955053" wp14:editId="229D49A0">
                <wp:simplePos x="0" y="0"/>
                <wp:positionH relativeFrom="column">
                  <wp:posOffset>2346325</wp:posOffset>
                </wp:positionH>
                <wp:positionV relativeFrom="paragraph">
                  <wp:posOffset>3118485</wp:posOffset>
                </wp:positionV>
                <wp:extent cx="1332230" cy="636270"/>
                <wp:effectExtent l="0" t="0" r="0" b="0"/>
                <wp:wrapNone/>
                <wp:docPr id="92892832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636270"/>
                        </a:xfrm>
                        <a:prstGeom prst="rect">
                          <a:avLst/>
                        </a:prstGeom>
                        <a:noFill/>
                        <a:ln>
                          <a:noFill/>
                        </a:ln>
                      </wps:spPr>
                      <wps:txbx>
                        <w:txbxContent>
                          <w:p w14:paraId="316A46CA" w14:textId="0098233A" w:rsidR="00FE78F1" w:rsidRPr="00151F2F" w:rsidRDefault="00FE78F1" w:rsidP="00D025AF">
                            <w:pPr>
                              <w:pStyle w:val="StyleArialNarrow8pts"/>
                              <w:jc w:val="center"/>
                              <w:rPr>
                                <w:rFonts w:ascii="Arial" w:hAnsi="Arial" w:cs="Arial"/>
                                <w:b/>
                                <w:bCs/>
                                <w:sz w:val="32"/>
                                <w:szCs w:val="32"/>
                              </w:rPr>
                            </w:pPr>
                            <w:r w:rsidRPr="00BF4216">
                              <w:rPr>
                                <w:rFonts w:ascii="Arial" w:hAnsi="Arial"/>
                                <w:b/>
                                <w:sz w:val="32"/>
                              </w:rPr>
                              <w:t>Zabezpieczenie igły</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55053" id="Text Box 117" o:spid="_x0000_s1027" type="#_x0000_t202" style="position:absolute;left:0;text-align:left;margin-left:184.75pt;margin-top:245.55pt;width:104.9pt;height:50.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" filled="f" stroked="f">
                <v:textbox inset=".5mm,.5mm,.5mm,.5mm">
                  <w:txbxContent>
                    <w:p w14:paraId="316A46CA" w14:textId="0098233A" w:rsidR="00FE78F1" w:rsidRPr="00151F2F" w:rsidRDefault="00FE78F1" w:rsidP="00D025AF">
                      <w:pPr>
                        <w:pStyle w:val="StyleArialNarrow8pts"/>
                        <w:jc w:val="center"/>
                        <w:rPr>
                          <w:rFonts w:ascii="Arial" w:hAnsi="Arial" w:cs="Arial"/>
                          <w:b/>
                          <w:bCs/>
                          <w:sz w:val="32"/>
                          <w:szCs w:val="32"/>
                        </w:rPr>
                      </w:pPr>
                      <w:r w:rsidRPr="00BF4216">
                        <w:rPr>
                          <w:rFonts w:ascii="Arial" w:hAnsi="Arial"/>
                          <w:b/>
                          <w:sz w:val="32"/>
                        </w:rPr>
                        <w:t>Zabezpieczenie igły</w:t>
                      </w:r>
                    </w:p>
                  </w:txbxContent>
                </v:textbox>
              </v:shape>
            </w:pict>
          </mc:Fallback>
        </mc:AlternateContent>
      </w:r>
      <w:r>
        <w:rPr>
          <w:noProof/>
          <w:lang w:val="en-US" w:eastAsia="ko-KR"/>
        </w:rPr>
        <mc:AlternateContent>
          <mc:Choice Requires="wps">
            <w:drawing>
              <wp:anchor distT="0" distB="0" distL="114300" distR="114300" simplePos="0" relativeHeight="251633664" behindDoc="0" locked="0" layoutInCell="1" allowOverlap="1" wp14:anchorId="460921DA" wp14:editId="336C3DB5">
                <wp:simplePos x="0" y="0"/>
                <wp:positionH relativeFrom="column">
                  <wp:posOffset>2445385</wp:posOffset>
                </wp:positionH>
                <wp:positionV relativeFrom="paragraph">
                  <wp:posOffset>1554480</wp:posOffset>
                </wp:positionV>
                <wp:extent cx="1117600" cy="763270"/>
                <wp:effectExtent l="0" t="0" r="0" b="0"/>
                <wp:wrapNone/>
                <wp:docPr id="30171838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763270"/>
                        </a:xfrm>
                        <a:prstGeom prst="rect">
                          <a:avLst/>
                        </a:prstGeom>
                        <a:noFill/>
                        <a:ln>
                          <a:noFill/>
                        </a:ln>
                      </wps:spPr>
                      <wps:txbx>
                        <w:txbxContent>
                          <w:p w14:paraId="58EF1E1E" w14:textId="4358E006" w:rsidR="00FE78F1" w:rsidRPr="00151F2F" w:rsidRDefault="00FE78F1" w:rsidP="00D025AF">
                            <w:pPr>
                              <w:pStyle w:val="StyleArialNarrow8pts"/>
                              <w:jc w:val="center"/>
                              <w:rPr>
                                <w:rFonts w:ascii="Arial" w:hAnsi="Arial" w:cs="Arial"/>
                                <w:b/>
                                <w:bCs/>
                                <w:sz w:val="32"/>
                                <w:szCs w:val="32"/>
                              </w:rPr>
                            </w:pPr>
                            <w:r w:rsidRPr="00FC16CC">
                              <w:rPr>
                                <w:rFonts w:ascii="Arial" w:hAnsi="Arial"/>
                                <w:b/>
                                <w:sz w:val="32"/>
                              </w:rPr>
                              <w:t>Białe oparcie dla palców</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921DA" id="Text Box 115" o:spid="_x0000_s1028" type="#_x0000_t202" style="position:absolute;left:0;text-align:left;margin-left:192.55pt;margin-top:122.4pt;width:88pt;height:60.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" filled="f" stroked="f">
                <v:textbox inset=".5mm,.5mm,.5mm,.5mm">
                  <w:txbxContent>
                    <w:p w14:paraId="58EF1E1E" w14:textId="4358E006" w:rsidR="00FE78F1" w:rsidRPr="00151F2F" w:rsidRDefault="00FE78F1" w:rsidP="00D025AF">
                      <w:pPr>
                        <w:pStyle w:val="StyleArialNarrow8pts"/>
                        <w:jc w:val="center"/>
                        <w:rPr>
                          <w:rFonts w:ascii="Arial" w:hAnsi="Arial" w:cs="Arial"/>
                          <w:b/>
                          <w:bCs/>
                          <w:sz w:val="32"/>
                          <w:szCs w:val="32"/>
                        </w:rPr>
                      </w:pPr>
                      <w:r w:rsidRPr="00FC16CC">
                        <w:rPr>
                          <w:rFonts w:ascii="Arial" w:hAnsi="Arial"/>
                          <w:b/>
                          <w:sz w:val="32"/>
                        </w:rPr>
                        <w:t>Białe oparcie dla palców</w:t>
                      </w:r>
                    </w:p>
                  </w:txbxContent>
                </v:textbox>
              </v:shape>
            </w:pict>
          </mc:Fallback>
        </mc:AlternateContent>
      </w:r>
      <w:r>
        <w:rPr>
          <w:noProof/>
          <w:lang w:val="en-US" w:eastAsia="ko-KR"/>
        </w:rPr>
        <mc:AlternateContent>
          <mc:Choice Requires="wps">
            <w:drawing>
              <wp:anchor distT="0" distB="0" distL="114300" distR="114300" simplePos="0" relativeHeight="251638784" behindDoc="0" locked="0" layoutInCell="1" allowOverlap="1" wp14:anchorId="19114F75" wp14:editId="4B434B35">
                <wp:simplePos x="0" y="0"/>
                <wp:positionH relativeFrom="column">
                  <wp:posOffset>4699635</wp:posOffset>
                </wp:positionH>
                <wp:positionV relativeFrom="paragraph">
                  <wp:posOffset>2809875</wp:posOffset>
                </wp:positionV>
                <wp:extent cx="1117600" cy="636270"/>
                <wp:effectExtent l="0" t="0" r="0" b="0"/>
                <wp:wrapNone/>
                <wp:docPr id="48153565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6A80651E" w14:textId="6A6DCCD4" w:rsidR="00FE78F1" w:rsidRPr="00151F2F" w:rsidRDefault="00FE78F1" w:rsidP="00D025AF">
                            <w:pPr>
                              <w:pStyle w:val="StyleArialNarrow8pts"/>
                              <w:rPr>
                                <w:rFonts w:ascii="Arial" w:hAnsi="Arial" w:cs="Arial"/>
                                <w:b/>
                                <w:bCs/>
                                <w:sz w:val="32"/>
                                <w:szCs w:val="32"/>
                              </w:rPr>
                            </w:pPr>
                            <w:r w:rsidRPr="009C7FFE">
                              <w:rPr>
                                <w:rFonts w:ascii="Arial" w:hAnsi="Arial"/>
                                <w:b/>
                                <w:sz w:val="32"/>
                              </w:rPr>
                              <w:t>Igła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4F75" id="Text Box 113" o:spid="_x0000_s1029" type="#_x0000_t202" style="position:absolute;left:0;text-align:left;margin-left:370.05pt;margin-top:221.25pt;width:88pt;height:50.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" filled="f" stroked="f">
                <v:textbox inset=".5mm,.5mm,.5mm,.5mm">
                  <w:txbxContent>
                    <w:p w14:paraId="6A80651E" w14:textId="6A6DCCD4" w:rsidR="00FE78F1" w:rsidRPr="00151F2F" w:rsidRDefault="00FE78F1" w:rsidP="00D025AF">
                      <w:pPr>
                        <w:pStyle w:val="StyleArialNarrow8pts"/>
                        <w:rPr>
                          <w:rFonts w:ascii="Arial" w:hAnsi="Arial" w:cs="Arial"/>
                          <w:b/>
                          <w:bCs/>
                          <w:sz w:val="32"/>
                          <w:szCs w:val="32"/>
                        </w:rPr>
                      </w:pPr>
                      <w:r w:rsidRPr="009C7FFE">
                        <w:rPr>
                          <w:rFonts w:ascii="Arial" w:hAnsi="Arial"/>
                          <w:b/>
                          <w:sz w:val="32"/>
                        </w:rPr>
                        <w:t>Igła</w:t>
                      </w:r>
                    </w:p>
                  </w:txbxContent>
                </v:textbox>
              </v:shape>
            </w:pict>
          </mc:Fallback>
        </mc:AlternateContent>
      </w:r>
      <w:r>
        <w:rPr>
          <w:noProof/>
          <w:lang w:val="en-US" w:eastAsia="ko-KR"/>
        </w:rPr>
        <mc:AlternateContent>
          <mc:Choice Requires="wps">
            <w:drawing>
              <wp:anchor distT="0" distB="0" distL="114300" distR="114300" simplePos="0" relativeHeight="251637760" behindDoc="0" locked="0" layoutInCell="1" allowOverlap="1" wp14:anchorId="5801BF3A" wp14:editId="1492D552">
                <wp:simplePos x="0" y="0"/>
                <wp:positionH relativeFrom="column">
                  <wp:posOffset>220980</wp:posOffset>
                </wp:positionH>
                <wp:positionV relativeFrom="paragraph">
                  <wp:posOffset>2800350</wp:posOffset>
                </wp:positionV>
                <wp:extent cx="1117600" cy="636270"/>
                <wp:effectExtent l="0" t="0" r="0" b="0"/>
                <wp:wrapNone/>
                <wp:docPr id="158691173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5AB42DB4" w14:textId="4F84E983" w:rsidR="00FE78F1" w:rsidRPr="00151F2F" w:rsidRDefault="00FE78F1" w:rsidP="00D025AF">
                            <w:pPr>
                              <w:pStyle w:val="StyleArialNarrow8pts"/>
                              <w:jc w:val="right"/>
                              <w:rPr>
                                <w:rFonts w:ascii="Arial" w:hAnsi="Arial" w:cs="Arial"/>
                                <w:b/>
                                <w:bCs/>
                                <w:sz w:val="32"/>
                                <w:szCs w:val="32"/>
                              </w:rPr>
                            </w:pPr>
                            <w:r w:rsidRPr="00FC16CC">
                              <w:rPr>
                                <w:rFonts w:ascii="Arial" w:hAnsi="Arial"/>
                                <w:b/>
                                <w:sz w:val="32"/>
                              </w:rPr>
                              <w:t>Lek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1BF3A" id="Text Box 111" o:spid="_x0000_s1030" type="#_x0000_t202" style="position:absolute;left:0;text-align:left;margin-left:17.4pt;margin-top:220.5pt;width:88pt;height:50.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" filled="f" stroked="f">
                <v:textbox inset=".5mm,.5mm,.5mm,.5mm">
                  <w:txbxContent>
                    <w:p w14:paraId="5AB42DB4" w14:textId="4F84E983" w:rsidR="00FE78F1" w:rsidRPr="00151F2F" w:rsidRDefault="00FE78F1" w:rsidP="00D025AF">
                      <w:pPr>
                        <w:pStyle w:val="StyleArialNarrow8pts"/>
                        <w:jc w:val="right"/>
                        <w:rPr>
                          <w:rFonts w:ascii="Arial" w:hAnsi="Arial" w:cs="Arial"/>
                          <w:b/>
                          <w:bCs/>
                          <w:sz w:val="32"/>
                          <w:szCs w:val="32"/>
                        </w:rPr>
                      </w:pPr>
                      <w:r w:rsidRPr="00FC16CC">
                        <w:rPr>
                          <w:rFonts w:ascii="Arial" w:hAnsi="Arial"/>
                          <w:b/>
                          <w:sz w:val="32"/>
                        </w:rPr>
                        <w:t>Lek</w:t>
                      </w:r>
                    </w:p>
                  </w:txbxContent>
                </v:textbox>
              </v:shape>
            </w:pict>
          </mc:Fallback>
        </mc:AlternateContent>
      </w:r>
      <w:r>
        <w:rPr>
          <w:noProof/>
          <w:lang w:val="en-US" w:eastAsia="ko-KR"/>
        </w:rPr>
        <mc:AlternateContent>
          <mc:Choice Requires="wps">
            <w:drawing>
              <wp:anchor distT="0" distB="0" distL="114300" distR="114300" simplePos="0" relativeHeight="251636736" behindDoc="0" locked="0" layoutInCell="1" allowOverlap="1" wp14:anchorId="1312AA32" wp14:editId="10B6D40C">
                <wp:simplePos x="0" y="0"/>
                <wp:positionH relativeFrom="column">
                  <wp:posOffset>2437130</wp:posOffset>
                </wp:positionH>
                <wp:positionV relativeFrom="paragraph">
                  <wp:posOffset>3690620</wp:posOffset>
                </wp:positionV>
                <wp:extent cx="1117600" cy="636270"/>
                <wp:effectExtent l="0" t="0" r="0" b="0"/>
                <wp:wrapNone/>
                <wp:docPr id="104782673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4D4A2B41" w14:textId="19EB7C42" w:rsidR="00FE78F1" w:rsidRPr="00151F2F" w:rsidRDefault="00FE78F1" w:rsidP="00D025AF">
                            <w:pPr>
                              <w:pStyle w:val="StyleArialNarrow8pts"/>
                              <w:jc w:val="center"/>
                              <w:rPr>
                                <w:rFonts w:ascii="Arial" w:hAnsi="Arial" w:cs="Arial"/>
                                <w:b/>
                                <w:bCs/>
                                <w:sz w:val="32"/>
                                <w:szCs w:val="32"/>
                              </w:rPr>
                            </w:pPr>
                            <w:r w:rsidRPr="009C7FFE">
                              <w:rPr>
                                <w:rFonts w:ascii="Arial" w:hAnsi="Arial"/>
                                <w:b/>
                                <w:sz w:val="32"/>
                              </w:rPr>
                              <w:t>Igła</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2AA32" id="Text Box 109" o:spid="_x0000_s1031" type="#_x0000_t202" style="position:absolute;left:0;text-align:left;margin-left:191.9pt;margin-top:290.6pt;width:88pt;height:5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" filled="f" stroked="f">
                <v:textbox inset=".5mm,.5mm,.5mm,.5mm">
                  <w:txbxContent>
                    <w:p w14:paraId="4D4A2B41" w14:textId="19EB7C42" w:rsidR="00FE78F1" w:rsidRPr="00151F2F" w:rsidRDefault="00FE78F1" w:rsidP="00D025AF">
                      <w:pPr>
                        <w:pStyle w:val="StyleArialNarrow8pts"/>
                        <w:jc w:val="center"/>
                        <w:rPr>
                          <w:rFonts w:ascii="Arial" w:hAnsi="Arial" w:cs="Arial"/>
                          <w:b/>
                          <w:bCs/>
                          <w:sz w:val="32"/>
                          <w:szCs w:val="32"/>
                        </w:rPr>
                      </w:pPr>
                      <w:r w:rsidRPr="009C7FFE">
                        <w:rPr>
                          <w:rFonts w:ascii="Arial" w:hAnsi="Arial"/>
                          <w:b/>
                          <w:sz w:val="32"/>
                        </w:rPr>
                        <w:t>Igła</w:t>
                      </w:r>
                    </w:p>
                  </w:txbxContent>
                </v:textbox>
              </v:shape>
            </w:pict>
          </mc:Fallback>
        </mc:AlternateContent>
      </w:r>
      <w:r>
        <w:rPr>
          <w:noProof/>
          <w:lang w:val="en-US" w:eastAsia="ko-KR"/>
        </w:rPr>
        <mc:AlternateContent>
          <mc:Choice Requires="wps">
            <w:drawing>
              <wp:anchor distT="0" distB="0" distL="114300" distR="114300" simplePos="0" relativeHeight="251634688" behindDoc="0" locked="0" layoutInCell="1" allowOverlap="1" wp14:anchorId="39A94315" wp14:editId="413E7DC7">
                <wp:simplePos x="0" y="0"/>
                <wp:positionH relativeFrom="column">
                  <wp:posOffset>2437130</wp:posOffset>
                </wp:positionH>
                <wp:positionV relativeFrom="paragraph">
                  <wp:posOffset>2505075</wp:posOffset>
                </wp:positionV>
                <wp:extent cx="1117600" cy="636270"/>
                <wp:effectExtent l="0" t="0" r="0" b="0"/>
                <wp:wrapNone/>
                <wp:docPr id="96610457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552A759E" w14:textId="5C2B22E0" w:rsidR="00FE78F1" w:rsidRPr="00151F2F" w:rsidRDefault="00FE78F1" w:rsidP="00D025AF">
                            <w:pPr>
                              <w:pStyle w:val="StyleArialNarrow8pts"/>
                              <w:jc w:val="center"/>
                              <w:rPr>
                                <w:rFonts w:ascii="Arial" w:hAnsi="Arial" w:cs="Arial"/>
                                <w:b/>
                                <w:bCs/>
                                <w:sz w:val="32"/>
                                <w:szCs w:val="32"/>
                              </w:rPr>
                            </w:pPr>
                            <w:r w:rsidRPr="00BF4216">
                              <w:rPr>
                                <w:rFonts w:ascii="Arial" w:hAnsi="Arial"/>
                                <w:b/>
                                <w:sz w:val="32"/>
                              </w:rPr>
                              <w:t>Okienko</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94315" id="Text Box 107" o:spid="_x0000_s1032" type="#_x0000_t202" style="position:absolute;left:0;text-align:left;margin-left:191.9pt;margin-top:197.25pt;width:88pt;height:50.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" filled="f" stroked="f">
                <v:textbox inset=".5mm,.5mm,.5mm,.5mm">
                  <w:txbxContent>
                    <w:p w14:paraId="552A759E" w14:textId="5C2B22E0" w:rsidR="00FE78F1" w:rsidRPr="00151F2F" w:rsidRDefault="00FE78F1" w:rsidP="00D025AF">
                      <w:pPr>
                        <w:pStyle w:val="StyleArialNarrow8pts"/>
                        <w:jc w:val="center"/>
                        <w:rPr>
                          <w:rFonts w:ascii="Arial" w:hAnsi="Arial" w:cs="Arial"/>
                          <w:b/>
                          <w:bCs/>
                          <w:sz w:val="32"/>
                          <w:szCs w:val="32"/>
                        </w:rPr>
                      </w:pPr>
                      <w:r w:rsidRPr="00BF4216">
                        <w:rPr>
                          <w:rFonts w:ascii="Arial" w:hAnsi="Arial"/>
                          <w:b/>
                          <w:sz w:val="32"/>
                        </w:rPr>
                        <w:t>Okienko</w:t>
                      </w:r>
                    </w:p>
                  </w:txbxContent>
                </v:textbox>
              </v:shape>
            </w:pict>
          </mc:Fallback>
        </mc:AlternateContent>
      </w:r>
      <w:r>
        <w:rPr>
          <w:noProof/>
          <w:lang w:val="en-US" w:eastAsia="ko-KR"/>
        </w:rPr>
        <mc:AlternateContent>
          <mc:Choice Requires="wps">
            <w:drawing>
              <wp:anchor distT="0" distB="0" distL="114300" distR="114300" simplePos="0" relativeHeight="251632640" behindDoc="0" locked="0" layoutInCell="1" allowOverlap="1" wp14:anchorId="3F38A06C" wp14:editId="7EE4E205">
                <wp:simplePos x="0" y="0"/>
                <wp:positionH relativeFrom="column">
                  <wp:posOffset>2038985</wp:posOffset>
                </wp:positionH>
                <wp:positionV relativeFrom="paragraph">
                  <wp:posOffset>868680</wp:posOffset>
                </wp:positionV>
                <wp:extent cx="1924685" cy="763270"/>
                <wp:effectExtent l="0" t="0" r="0" b="0"/>
                <wp:wrapNone/>
                <wp:docPr id="19399625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63270"/>
                        </a:xfrm>
                        <a:prstGeom prst="rect">
                          <a:avLst/>
                        </a:prstGeom>
                        <a:noFill/>
                        <a:ln>
                          <a:noFill/>
                        </a:ln>
                      </wps:spPr>
                      <wps:txbx>
                        <w:txbxContent>
                          <w:p w14:paraId="416AD5D8" w14:textId="016B8479" w:rsidR="00FE78F1" w:rsidRPr="00151F2F" w:rsidRDefault="00FE78F1" w:rsidP="00D025AF">
                            <w:pPr>
                              <w:pStyle w:val="StyleArialNarrow8pts"/>
                              <w:jc w:val="center"/>
                              <w:rPr>
                                <w:rFonts w:ascii="Arial" w:hAnsi="Arial" w:cs="Arial"/>
                                <w:b/>
                                <w:bCs/>
                                <w:sz w:val="32"/>
                                <w:szCs w:val="32"/>
                              </w:rPr>
                            </w:pPr>
                            <w:r w:rsidRPr="00FC16CC">
                              <w:rPr>
                                <w:rFonts w:ascii="Arial" w:hAnsi="Arial"/>
                                <w:b/>
                                <w:sz w:val="32"/>
                              </w:rPr>
                              <w:t>Pomarańczowy tłok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8A06C" id="Text Box 105" o:spid="_x0000_s1033" type="#_x0000_t202" style="position:absolute;left:0;text-align:left;margin-left:160.55pt;margin-top:68.4pt;width:151.55pt;height:60.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" filled="f" stroked="f">
                <v:textbox inset=".5mm,.5mm,.5mm,.5mm">
                  <w:txbxContent>
                    <w:p w14:paraId="416AD5D8" w14:textId="016B8479" w:rsidR="00FE78F1" w:rsidRPr="00151F2F" w:rsidRDefault="00FE78F1" w:rsidP="00D025AF">
                      <w:pPr>
                        <w:pStyle w:val="StyleArialNarrow8pts"/>
                        <w:jc w:val="center"/>
                        <w:rPr>
                          <w:rFonts w:ascii="Arial" w:hAnsi="Arial" w:cs="Arial"/>
                          <w:b/>
                          <w:bCs/>
                          <w:sz w:val="32"/>
                          <w:szCs w:val="32"/>
                        </w:rPr>
                      </w:pPr>
                      <w:r w:rsidRPr="00FC16CC">
                        <w:rPr>
                          <w:rFonts w:ascii="Arial" w:hAnsi="Arial"/>
                          <w:b/>
                          <w:sz w:val="32"/>
                        </w:rPr>
                        <w:t>Pomarańczowy tłok</w:t>
                      </w:r>
                    </w:p>
                  </w:txbxContent>
                </v:textbox>
              </v:shape>
            </w:pict>
          </mc:Fallback>
        </mc:AlternateContent>
      </w:r>
      <w:r>
        <w:rPr>
          <w:noProof/>
          <w:lang w:val="en-US" w:eastAsia="ko-KR"/>
        </w:rPr>
        <mc:AlternateContent>
          <mc:Choice Requires="wps">
            <w:drawing>
              <wp:anchor distT="0" distB="0" distL="114300" distR="114300" simplePos="0" relativeHeight="251630592" behindDoc="0" locked="0" layoutInCell="1" allowOverlap="1" wp14:anchorId="1CF33E25" wp14:editId="0C212211">
                <wp:simplePos x="0" y="0"/>
                <wp:positionH relativeFrom="column">
                  <wp:posOffset>848360</wp:posOffset>
                </wp:positionH>
                <wp:positionV relativeFrom="paragraph">
                  <wp:posOffset>97790</wp:posOffset>
                </wp:positionV>
                <wp:extent cx="1924685" cy="721360"/>
                <wp:effectExtent l="0" t="0" r="0" b="0"/>
                <wp:wrapNone/>
                <wp:docPr id="71916613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3A9A8800" w14:textId="63C00216" w:rsidR="00FE78F1" w:rsidRPr="00151F2F" w:rsidRDefault="00FE78F1" w:rsidP="00D025AF">
                            <w:pPr>
                              <w:pStyle w:val="StyleArialNarrow8pts"/>
                              <w:jc w:val="center"/>
                              <w:rPr>
                                <w:rFonts w:ascii="Arial" w:hAnsi="Arial" w:cs="Arial"/>
                                <w:b/>
                                <w:bCs/>
                                <w:sz w:val="40"/>
                                <w:szCs w:val="40"/>
                              </w:rPr>
                            </w:pPr>
                            <w:r w:rsidRPr="00FC16CC">
                              <w:rPr>
                                <w:rFonts w:ascii="Arial" w:hAnsi="Arial"/>
                                <w:b/>
                                <w:sz w:val="40"/>
                              </w:rPr>
                              <w:t>Przed użyciem</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33E25" id="Text Box 103" o:spid="_x0000_s1034" type="#_x0000_t202" style="position:absolute;left:0;text-align:left;margin-left:66.8pt;margin-top:7.7pt;width:151.55pt;height:56.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" filled="f" stroked="f">
                <v:textbox inset=".5mm,.5mm,.5mm,.5mm">
                  <w:txbxContent>
                    <w:p w14:paraId="3A9A8800" w14:textId="63C00216" w:rsidR="00FE78F1" w:rsidRPr="00151F2F" w:rsidRDefault="00FE78F1" w:rsidP="00D025AF">
                      <w:pPr>
                        <w:pStyle w:val="StyleArialNarrow8pts"/>
                        <w:jc w:val="center"/>
                        <w:rPr>
                          <w:rFonts w:ascii="Arial" w:hAnsi="Arial" w:cs="Arial"/>
                          <w:b/>
                          <w:bCs/>
                          <w:sz w:val="40"/>
                          <w:szCs w:val="40"/>
                        </w:rPr>
                      </w:pPr>
                      <w:r w:rsidRPr="00FC16CC">
                        <w:rPr>
                          <w:rFonts w:ascii="Arial" w:hAnsi="Arial"/>
                          <w:b/>
                          <w:sz w:val="40"/>
                        </w:rPr>
                        <w:t>Przed użyciem</w:t>
                      </w:r>
                    </w:p>
                  </w:txbxContent>
                </v:textbox>
              </v:shape>
            </w:pict>
          </mc:Fallback>
        </mc:AlternateContent>
      </w:r>
      <w:r>
        <w:rPr>
          <w:noProof/>
          <w:lang w:val="en-US" w:eastAsia="ko-KR"/>
        </w:rPr>
        <mc:AlternateContent>
          <mc:Choice Requires="wps">
            <w:drawing>
              <wp:anchor distT="0" distB="0" distL="114300" distR="114300" simplePos="0" relativeHeight="251631616" behindDoc="0" locked="0" layoutInCell="1" allowOverlap="1" wp14:anchorId="5DEBC456" wp14:editId="67410932">
                <wp:simplePos x="0" y="0"/>
                <wp:positionH relativeFrom="column">
                  <wp:posOffset>3227705</wp:posOffset>
                </wp:positionH>
                <wp:positionV relativeFrom="paragraph">
                  <wp:posOffset>90170</wp:posOffset>
                </wp:positionV>
                <wp:extent cx="1924685" cy="649605"/>
                <wp:effectExtent l="0" t="0" r="0" b="0"/>
                <wp:wrapNone/>
                <wp:docPr id="136723328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55603B3F" w14:textId="79B91036" w:rsidR="00FE78F1" w:rsidRPr="00151F2F" w:rsidRDefault="00FE78F1" w:rsidP="00D025AF">
                            <w:pPr>
                              <w:pStyle w:val="StyleArialNarrow8pts"/>
                              <w:jc w:val="center"/>
                              <w:rPr>
                                <w:rFonts w:ascii="Arial" w:hAnsi="Arial" w:cs="Arial"/>
                                <w:b/>
                                <w:bCs/>
                                <w:sz w:val="40"/>
                                <w:szCs w:val="40"/>
                              </w:rPr>
                            </w:pPr>
                            <w:r w:rsidRPr="00FC16CC">
                              <w:rPr>
                                <w:rFonts w:ascii="Arial" w:hAnsi="Arial"/>
                                <w:b/>
                                <w:sz w:val="40"/>
                              </w:rPr>
                              <w:t>Po użyciu</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BC456" id="Text Box 101" o:spid="_x0000_s1035" type="#_x0000_t202" style="position:absolute;left:0;text-align:left;margin-left:254.15pt;margin-top:7.1pt;width:151.55pt;height:51.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" filled="f" stroked="f">
                <v:textbox inset=".5mm,.5mm,.5mm,.5mm">
                  <w:txbxContent>
                    <w:p w14:paraId="55603B3F" w14:textId="79B91036" w:rsidR="00FE78F1" w:rsidRPr="00151F2F" w:rsidRDefault="00FE78F1" w:rsidP="00D025AF">
                      <w:pPr>
                        <w:pStyle w:val="StyleArialNarrow8pts"/>
                        <w:jc w:val="center"/>
                        <w:rPr>
                          <w:rFonts w:ascii="Arial" w:hAnsi="Arial" w:cs="Arial"/>
                          <w:b/>
                          <w:bCs/>
                          <w:sz w:val="40"/>
                          <w:szCs w:val="40"/>
                        </w:rPr>
                      </w:pPr>
                      <w:r w:rsidRPr="00FC16CC">
                        <w:rPr>
                          <w:rFonts w:ascii="Arial" w:hAnsi="Arial"/>
                          <w:b/>
                          <w:sz w:val="40"/>
                        </w:rPr>
                        <w:t>Po użyciu</w:t>
                      </w:r>
                    </w:p>
                  </w:txbxContent>
                </v:textbox>
              </v:shape>
            </w:pict>
          </mc:Fallback>
        </mc:AlternateContent>
      </w:r>
      <w:r>
        <w:rPr>
          <w:noProof/>
          <w:sz w:val="20"/>
          <w:lang w:val="en-US" w:eastAsia="ko-KR"/>
        </w:rPr>
        <w:drawing>
          <wp:inline distT="0" distB="0" distL="0" distR="0" wp14:anchorId="5F260EB6" wp14:editId="6E08ADB3">
            <wp:extent cx="5464175" cy="5435600"/>
            <wp:effectExtent l="0" t="0" r="0" b="0"/>
            <wp:docPr id="7" name="그림 240734435"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0734435" descr="텍스트, 도표이(가) 표시된 사진&#10;&#10;자동 생성된 설명"/>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4175" cy="5435600"/>
                    </a:xfrm>
                    <a:prstGeom prst="rect">
                      <a:avLst/>
                    </a:prstGeom>
                    <a:noFill/>
                    <a:ln>
                      <a:noFill/>
                    </a:ln>
                  </pic:spPr>
                </pic:pic>
              </a:graphicData>
            </a:graphic>
          </wp:inline>
        </w:drawing>
      </w:r>
    </w:p>
    <w:p w14:paraId="7D6DABC0" w14:textId="77777777" w:rsidR="00D025AF" w:rsidRPr="00F13073" w:rsidRDefault="00D025AF" w:rsidP="00D025AF">
      <w:pPr>
        <w:jc w:val="center"/>
        <w:rPr>
          <w:b/>
          <w:bCs/>
        </w:rPr>
      </w:pPr>
      <w:r w:rsidRPr="00F13073">
        <w:rPr>
          <w:b/>
        </w:rPr>
        <w:t>Rysunek A</w:t>
      </w:r>
    </w:p>
    <w:p w14:paraId="7362CFAB" w14:textId="77777777" w:rsidR="00D025AF" w:rsidRPr="00F13073" w:rsidRDefault="00D025AF" w:rsidP="00D025AF">
      <w:r w:rsidRPr="00F13073">
        <w:br w:type="page"/>
      </w:r>
    </w:p>
    <w:p w14:paraId="30C5DB1E" w14:textId="77777777" w:rsidR="00D025AF" w:rsidRPr="00F13073" w:rsidRDefault="00D025AF" w:rsidP="00D025AF">
      <w:pPr>
        <w:keepNext/>
        <w:rPr>
          <w:b/>
          <w:bCs/>
        </w:rPr>
      </w:pPr>
      <w:r w:rsidRPr="00F13073">
        <w:rPr>
          <w:b/>
        </w:rPr>
        <w:lastRenderedPageBreak/>
        <w:t>Przygotowanie do wykonania wstrzyknięcia</w:t>
      </w:r>
    </w:p>
    <w:p w14:paraId="3173DB73" w14:textId="77777777" w:rsidR="00D025AF" w:rsidRPr="00F13073" w:rsidRDefault="00D025AF" w:rsidP="00D025AF">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6AF299DE" w14:textId="77777777">
        <w:trPr>
          <w:cantSplit/>
        </w:trPr>
        <w:tc>
          <w:tcPr>
            <w:tcW w:w="3539" w:type="dxa"/>
          </w:tcPr>
          <w:p w14:paraId="44B6A48B" w14:textId="002CD07A" w:rsidR="00D025AF" w:rsidRPr="00F13073" w:rsidRDefault="000F2F0E" w:rsidP="005F0664">
            <w:pPr>
              <w:pStyle w:val="af0"/>
            </w:pPr>
            <w:bookmarkStart w:id="50" w:name="_Hlk197599741"/>
            <w:r>
              <w:rPr>
                <w:noProof/>
              </w:rPr>
              <w:drawing>
                <wp:inline distT="0" distB="0" distL="0" distR="0" wp14:anchorId="267E7336" wp14:editId="701F1BB6">
                  <wp:extent cx="2182398" cy="3315336"/>
                  <wp:effectExtent l="0" t="0" r="8890" b="0"/>
                  <wp:docPr id="37" name="그림 37" descr="C:\Users\2501570\Desktop\PFS-S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501570\Desktop\PFS-S figure B clea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047" cy="3326956"/>
                          </a:xfrm>
                          <a:prstGeom prst="rect">
                            <a:avLst/>
                          </a:prstGeom>
                          <a:noFill/>
                          <a:ln>
                            <a:noFill/>
                          </a:ln>
                        </pic:spPr>
                      </pic:pic>
                    </a:graphicData>
                  </a:graphic>
                </wp:inline>
              </w:drawing>
            </w:r>
          </w:p>
          <w:p w14:paraId="2DD33333" w14:textId="6ED0C640" w:rsidR="00D025AF" w:rsidRPr="00F13073" w:rsidRDefault="004929A7">
            <w:pPr>
              <w:jc w:val="right"/>
              <w:rPr>
                <w:b/>
                <w:bCs/>
              </w:rPr>
            </w:pPr>
            <w:r>
              <w:rPr>
                <w:noProof/>
                <w:lang w:val="en-US" w:eastAsia="ko-KR"/>
              </w:rPr>
              <mc:AlternateContent>
                <mc:Choice Requires="wps">
                  <w:drawing>
                    <wp:anchor distT="45720" distB="45720" distL="114300" distR="114300" simplePos="0" relativeHeight="251640832" behindDoc="0" locked="1" layoutInCell="1" allowOverlap="1" wp14:anchorId="1D46C84B" wp14:editId="4ABA796A">
                      <wp:simplePos x="0" y="0"/>
                      <wp:positionH relativeFrom="column">
                        <wp:posOffset>1097915</wp:posOffset>
                      </wp:positionH>
                      <wp:positionV relativeFrom="page">
                        <wp:posOffset>172720</wp:posOffset>
                      </wp:positionV>
                      <wp:extent cx="880745" cy="930910"/>
                      <wp:effectExtent l="0" t="0" r="0" b="0"/>
                      <wp:wrapNone/>
                      <wp:docPr id="213325919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930910"/>
                              </a:xfrm>
                              <a:prstGeom prst="rect">
                                <a:avLst/>
                              </a:prstGeom>
                              <a:noFill/>
                              <a:ln>
                                <a:noFill/>
                              </a:ln>
                            </wps:spPr>
                            <wps:txbx>
                              <w:txbxContent>
                                <w:p w14:paraId="67CDB228" w14:textId="4FB388A5" w:rsidR="00FE78F1" w:rsidRPr="00151F2F" w:rsidRDefault="00FE78F1" w:rsidP="00D025AF">
                                  <w:pPr>
                                    <w:rPr>
                                      <w:rFonts w:ascii="Arial" w:hAnsi="Arial" w:cs="Arial"/>
                                      <w:sz w:val="23"/>
                                      <w:szCs w:val="23"/>
                                    </w:rPr>
                                  </w:pPr>
                                  <w:r w:rsidRPr="00AC463E">
                                    <w:rPr>
                                      <w:rFonts w:ascii="Arial" w:hAnsi="Arial"/>
                                      <w:sz w:val="23"/>
                                    </w:rPr>
                                    <w:t>Pudełko zawierające ampułko-strzykawkę</w:t>
                                  </w:r>
                                </w:p>
                                <w:p w14:paraId="5938934E" w14:textId="77777777" w:rsidR="00FE78F1" w:rsidRPr="0081094B" w:rsidRDefault="00FE78F1" w:rsidP="00D025AF">
                                  <w:pPr>
                                    <w:rPr>
                                      <w:rFonts w:ascii="Arial" w:hAnsi="Arial" w:cs="Arial"/>
                                      <w:sz w:val="23"/>
                                      <w:szCs w:val="23"/>
                                    </w:rPr>
                                  </w:pP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46C84B" id="Text Box 99" o:spid="_x0000_s1036" type="#_x0000_t202" style="position:absolute;left:0;text-align:left;margin-left:86.45pt;margin-top:13.6pt;width:69.35pt;height:73.3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" filled="f" stroked="f">
                      <v:textbox style="mso-fit-shape-to-text:t" inset="0,,0">
                        <w:txbxContent>
                          <w:p w14:paraId="67CDB228" w14:textId="4FB388A5" w:rsidR="00FE78F1" w:rsidRPr="00151F2F" w:rsidRDefault="00FE78F1" w:rsidP="00D025AF">
                            <w:pPr>
                              <w:rPr>
                                <w:rFonts w:ascii="Arial" w:hAnsi="Arial" w:cs="Arial"/>
                                <w:sz w:val="23"/>
                                <w:szCs w:val="23"/>
                              </w:rPr>
                            </w:pPr>
                            <w:r w:rsidRPr="00AC463E">
                              <w:rPr>
                                <w:rFonts w:ascii="Arial" w:hAnsi="Arial"/>
                                <w:sz w:val="23"/>
                              </w:rPr>
                              <w:t>Pudełko zawierające ampułko-strzykawkę</w:t>
                            </w:r>
                          </w:p>
                          <w:p w14:paraId="5938934E" w14:textId="77777777" w:rsidR="00FE78F1" w:rsidRPr="0081094B" w:rsidRDefault="00FE78F1" w:rsidP="00D025AF">
                            <w:pPr>
                              <w:rPr>
                                <w:rFonts w:ascii="Arial" w:hAnsi="Arial" w:cs="Arial"/>
                                <w:sz w:val="23"/>
                                <w:szCs w:val="23"/>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41856" behindDoc="0" locked="1" layoutInCell="1" allowOverlap="1" wp14:anchorId="56F9130C" wp14:editId="3C4228C0">
                      <wp:simplePos x="0" y="0"/>
                      <wp:positionH relativeFrom="column">
                        <wp:posOffset>1049020</wp:posOffset>
                      </wp:positionH>
                      <wp:positionV relativeFrom="page">
                        <wp:posOffset>1059815</wp:posOffset>
                      </wp:positionV>
                      <wp:extent cx="1024890" cy="930910"/>
                      <wp:effectExtent l="0" t="0" r="0" b="0"/>
                      <wp:wrapNone/>
                      <wp:docPr id="192740164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30910"/>
                              </a:xfrm>
                              <a:prstGeom prst="rect">
                                <a:avLst/>
                              </a:prstGeom>
                              <a:noFill/>
                              <a:ln>
                                <a:noFill/>
                              </a:ln>
                            </wps:spPr>
                            <wps:txbx>
                              <w:txbxContent>
                                <w:p w14:paraId="6A77EAF4" w14:textId="0F380029" w:rsidR="00FE78F1" w:rsidRPr="0081094B" w:rsidRDefault="00FE78F1" w:rsidP="00D025AF">
                                  <w:pPr>
                                    <w:rPr>
                                      <w:rFonts w:ascii="Arial" w:hAnsi="Arial" w:cs="Arial"/>
                                      <w:sz w:val="23"/>
                                      <w:szCs w:val="23"/>
                                    </w:rPr>
                                  </w:pPr>
                                  <w:r w:rsidRPr="0081094B">
                                    <w:rPr>
                                      <w:rFonts w:ascii="Arial" w:hAnsi="Arial"/>
                                      <w:sz w:val="23"/>
                                    </w:rPr>
                                    <w:t>Wacik lub gazik oraz gazik nasączony alkoholem</w:t>
                                  </w:r>
                                </w:p>
                                <w:p w14:paraId="157D87C2" w14:textId="77777777" w:rsidR="00FE78F1" w:rsidRPr="0081094B" w:rsidRDefault="00FE78F1" w:rsidP="00D025AF">
                                  <w:pPr>
                                    <w:rPr>
                                      <w:rFonts w:ascii="Arial" w:hAnsi="Arial" w:cs="Arial"/>
                                      <w:sz w:val="23"/>
                                      <w:szCs w:val="23"/>
                                    </w:rPr>
                                  </w:pP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F9130C" id="Text Box 97" o:spid="_x0000_s1037" type="#_x0000_t202" style="position:absolute;left:0;text-align:left;margin-left:82.6pt;margin-top:83.45pt;width:80.7pt;height:73.3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" filled="f" stroked="f">
                      <v:textbox style="mso-fit-shape-to-text:t" inset="0,,0">
                        <w:txbxContent>
                          <w:p w14:paraId="6A77EAF4" w14:textId="0F380029" w:rsidR="00FE78F1" w:rsidRPr="0081094B" w:rsidRDefault="00FE78F1" w:rsidP="00D025AF">
                            <w:pPr>
                              <w:rPr>
                                <w:rFonts w:ascii="Arial" w:hAnsi="Arial" w:cs="Arial"/>
                                <w:sz w:val="23"/>
                                <w:szCs w:val="23"/>
                              </w:rPr>
                            </w:pPr>
                            <w:r w:rsidRPr="0081094B">
                              <w:rPr>
                                <w:rFonts w:ascii="Arial" w:hAnsi="Arial"/>
                                <w:sz w:val="23"/>
                              </w:rPr>
                              <w:t>Wacik lub gazik oraz gazik nasączony alkoholem</w:t>
                            </w:r>
                          </w:p>
                          <w:p w14:paraId="157D87C2" w14:textId="77777777" w:rsidR="00FE78F1" w:rsidRPr="0081094B" w:rsidRDefault="00FE78F1" w:rsidP="00D025AF">
                            <w:pPr>
                              <w:rPr>
                                <w:rFonts w:ascii="Arial" w:hAnsi="Arial" w:cs="Arial"/>
                                <w:sz w:val="23"/>
                                <w:szCs w:val="23"/>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42880" behindDoc="0" locked="1" layoutInCell="1" allowOverlap="1" wp14:anchorId="36497B5D" wp14:editId="4B116062">
                      <wp:simplePos x="0" y="0"/>
                      <wp:positionH relativeFrom="column">
                        <wp:posOffset>1049020</wp:posOffset>
                      </wp:positionH>
                      <wp:positionV relativeFrom="page">
                        <wp:posOffset>1847850</wp:posOffset>
                      </wp:positionV>
                      <wp:extent cx="1024890" cy="594995"/>
                      <wp:effectExtent l="0" t="0" r="0" b="0"/>
                      <wp:wrapNone/>
                      <wp:docPr id="199976748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594995"/>
                              </a:xfrm>
                              <a:prstGeom prst="rect">
                                <a:avLst/>
                              </a:prstGeom>
                              <a:noFill/>
                              <a:ln>
                                <a:noFill/>
                              </a:ln>
                            </wps:spPr>
                            <wps:txbx>
                              <w:txbxContent>
                                <w:p w14:paraId="0BCDCD49" w14:textId="5C941280" w:rsidR="00FE78F1" w:rsidRPr="00151F2F" w:rsidRDefault="00FE78F1" w:rsidP="00D025AF">
                                  <w:pPr>
                                    <w:rPr>
                                      <w:rFonts w:ascii="Arial" w:hAnsi="Arial" w:cs="Arial"/>
                                      <w:sz w:val="23"/>
                                      <w:szCs w:val="23"/>
                                    </w:rPr>
                                  </w:pPr>
                                  <w:r w:rsidRPr="007E2B5A">
                                    <w:rPr>
                                      <w:rFonts w:ascii="Arial" w:hAnsi="Arial"/>
                                      <w:sz w:val="23"/>
                                    </w:rPr>
                                    <w:t>Opatrunek samoprzylepny</w:t>
                                  </w:r>
                                </w:p>
                                <w:p w14:paraId="714918A6" w14:textId="77777777" w:rsidR="00FE78F1" w:rsidRPr="0081094B" w:rsidRDefault="00FE78F1" w:rsidP="00D025AF">
                                  <w:pPr>
                                    <w:rPr>
                                      <w:rFonts w:ascii="Arial" w:hAnsi="Arial" w:cs="Arial"/>
                                      <w:sz w:val="23"/>
                                      <w:szCs w:val="23"/>
                                    </w:rPr>
                                  </w:pP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497B5D" id="Text Box 95" o:spid="_x0000_s1038" type="#_x0000_t202" style="position:absolute;left:0;text-align:left;margin-left:82.6pt;margin-top:145.5pt;width:80.7pt;height:46.85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" filled="f" stroked="f">
                      <v:textbox style="mso-fit-shape-to-text:t" inset="0,,0">
                        <w:txbxContent>
                          <w:p w14:paraId="0BCDCD49" w14:textId="5C941280" w:rsidR="00FE78F1" w:rsidRPr="00151F2F" w:rsidRDefault="00FE78F1" w:rsidP="00D025AF">
                            <w:pPr>
                              <w:rPr>
                                <w:rFonts w:ascii="Arial" w:hAnsi="Arial" w:cs="Arial"/>
                                <w:sz w:val="23"/>
                                <w:szCs w:val="23"/>
                              </w:rPr>
                            </w:pPr>
                            <w:r w:rsidRPr="007E2B5A">
                              <w:rPr>
                                <w:rFonts w:ascii="Arial" w:hAnsi="Arial"/>
                                <w:sz w:val="23"/>
                              </w:rPr>
                              <w:t>Opatrunek samoprzylepny</w:t>
                            </w:r>
                          </w:p>
                          <w:p w14:paraId="714918A6" w14:textId="77777777" w:rsidR="00FE78F1" w:rsidRPr="0081094B" w:rsidRDefault="00FE78F1" w:rsidP="00D025AF">
                            <w:pPr>
                              <w:rPr>
                                <w:rFonts w:ascii="Arial" w:hAnsi="Arial" w:cs="Arial"/>
                                <w:sz w:val="23"/>
                                <w:szCs w:val="23"/>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43904" behindDoc="0" locked="1" layoutInCell="1" allowOverlap="1" wp14:anchorId="5C9F6DAC" wp14:editId="3F962446">
                      <wp:simplePos x="0" y="0"/>
                      <wp:positionH relativeFrom="column">
                        <wp:posOffset>1049020</wp:posOffset>
                      </wp:positionH>
                      <wp:positionV relativeFrom="page">
                        <wp:posOffset>2511425</wp:posOffset>
                      </wp:positionV>
                      <wp:extent cx="867410" cy="763270"/>
                      <wp:effectExtent l="0" t="0" r="0" b="0"/>
                      <wp:wrapNone/>
                      <wp:docPr id="175849668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763270"/>
                              </a:xfrm>
                              <a:prstGeom prst="rect">
                                <a:avLst/>
                              </a:prstGeom>
                              <a:noFill/>
                              <a:ln>
                                <a:noFill/>
                              </a:ln>
                            </wps:spPr>
                            <wps:txbx>
                              <w:txbxContent>
                                <w:p w14:paraId="1C437BD0" w14:textId="092C39D0" w:rsidR="00FE78F1" w:rsidRPr="00151F2F" w:rsidRDefault="00FE78F1" w:rsidP="00D025AF">
                                  <w:pPr>
                                    <w:rPr>
                                      <w:rFonts w:ascii="Arial" w:hAnsi="Arial" w:cs="Arial"/>
                                      <w:sz w:val="23"/>
                                      <w:szCs w:val="23"/>
                                    </w:rPr>
                                  </w:pPr>
                                  <w:r w:rsidRPr="007E2B5A">
                                    <w:rPr>
                                      <w:rFonts w:ascii="Arial" w:hAnsi="Arial"/>
                                      <w:sz w:val="23"/>
                                    </w:rPr>
                                    <w:t>Pojemnik na ostre odpady medyczne</w:t>
                                  </w:r>
                                </w:p>
                                <w:p w14:paraId="63F1966E" w14:textId="77777777" w:rsidR="00FE78F1" w:rsidRPr="0081094B" w:rsidRDefault="00FE78F1" w:rsidP="00D025AF">
                                  <w:pPr>
                                    <w:rPr>
                                      <w:rFonts w:ascii="Arial" w:hAnsi="Arial" w:cs="Arial"/>
                                      <w:sz w:val="23"/>
                                      <w:szCs w:val="23"/>
                                    </w:rPr>
                                  </w:pP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9F6DAC" id="Text Box 93" o:spid="_x0000_s1039" type="#_x0000_t202" style="position:absolute;left:0;text-align:left;margin-left:82.6pt;margin-top:197.75pt;width:68.3pt;height:60.1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" filled="f" stroked="f">
                      <v:textbox style="mso-fit-shape-to-text:t" inset="0,,0">
                        <w:txbxContent>
                          <w:p w14:paraId="1C437BD0" w14:textId="092C39D0" w:rsidR="00FE78F1" w:rsidRPr="00151F2F" w:rsidRDefault="00FE78F1" w:rsidP="00D025AF">
                            <w:pPr>
                              <w:rPr>
                                <w:rFonts w:ascii="Arial" w:hAnsi="Arial" w:cs="Arial"/>
                                <w:sz w:val="23"/>
                                <w:szCs w:val="23"/>
                              </w:rPr>
                            </w:pPr>
                            <w:r w:rsidRPr="007E2B5A">
                              <w:rPr>
                                <w:rFonts w:ascii="Arial" w:hAnsi="Arial"/>
                                <w:sz w:val="23"/>
                              </w:rPr>
                              <w:t>Pojemnik na ostre odpady medyczne</w:t>
                            </w:r>
                          </w:p>
                          <w:p w14:paraId="63F1966E" w14:textId="77777777" w:rsidR="00FE78F1" w:rsidRPr="0081094B" w:rsidRDefault="00FE78F1" w:rsidP="00D025AF">
                            <w:pPr>
                              <w:rPr>
                                <w:rFonts w:ascii="Arial" w:hAnsi="Arial" w:cs="Arial"/>
                                <w:sz w:val="23"/>
                                <w:szCs w:val="23"/>
                              </w:rPr>
                            </w:pPr>
                          </w:p>
                        </w:txbxContent>
                      </v:textbox>
                      <w10:wrap anchory="page"/>
                      <w10:anchorlock/>
                    </v:shape>
                  </w:pict>
                </mc:Fallback>
              </mc:AlternateContent>
            </w:r>
            <w:r w:rsidR="00D025AF" w:rsidRPr="00F13073">
              <w:rPr>
                <w:b/>
              </w:rPr>
              <w:t>Rysunek B</w:t>
            </w:r>
          </w:p>
        </w:tc>
        <w:tc>
          <w:tcPr>
            <w:tcW w:w="5517" w:type="dxa"/>
          </w:tcPr>
          <w:p w14:paraId="1A60090A" w14:textId="77777777" w:rsidR="00D025AF" w:rsidRPr="00F13073" w:rsidRDefault="00D025AF">
            <w:pPr>
              <w:widowControl w:val="0"/>
              <w:numPr>
                <w:ilvl w:val="0"/>
                <w:numId w:val="30"/>
              </w:numPr>
              <w:suppressAutoHyphens/>
              <w:ind w:left="567" w:hanging="567"/>
              <w:rPr>
                <w:rFonts w:eastAsia="Times New Roman"/>
                <w:b/>
              </w:rPr>
            </w:pPr>
            <w:r w:rsidRPr="00F13073">
              <w:rPr>
                <w:b/>
              </w:rPr>
              <w:t>Przygotować materiały niezbędne do wykonania wstrzyknięcia.</w:t>
            </w:r>
          </w:p>
          <w:p w14:paraId="7147927B" w14:textId="77777777" w:rsidR="00D025AF" w:rsidRPr="00F13073" w:rsidRDefault="00D025AF">
            <w:pPr>
              <w:suppressAutoHyphens/>
              <w:ind w:left="567" w:hanging="567"/>
              <w:rPr>
                <w:rFonts w:eastAsia="Times New Roman"/>
                <w:b/>
                <w:lang w:eastAsia="en-US"/>
              </w:rPr>
            </w:pPr>
          </w:p>
          <w:p w14:paraId="61CB6E52" w14:textId="77B1E066" w:rsidR="00D025AF" w:rsidRPr="00F13073" w:rsidRDefault="00D025AF">
            <w:pPr>
              <w:widowControl w:val="0"/>
              <w:numPr>
                <w:ilvl w:val="0"/>
                <w:numId w:val="31"/>
              </w:numPr>
              <w:suppressAutoHyphens/>
              <w:ind w:left="567" w:hanging="567"/>
              <w:rPr>
                <w:rFonts w:eastAsia="Times New Roman"/>
                <w:bCs/>
              </w:rPr>
            </w:pPr>
            <w:r w:rsidRPr="00F13073">
              <w:t xml:space="preserve">Przygotować czystą, płaską powierzchnię, np. stół lub blat, w dobrze oświetlonym </w:t>
            </w:r>
            <w:r w:rsidR="003445BF" w:rsidRPr="00F13073">
              <w:t>miejscu</w:t>
            </w:r>
            <w:r w:rsidRPr="00F13073">
              <w:t>.</w:t>
            </w:r>
          </w:p>
          <w:p w14:paraId="54542085" w14:textId="395DCDA6" w:rsidR="00D025AF" w:rsidRPr="00F13073" w:rsidRDefault="003445BF">
            <w:pPr>
              <w:widowControl w:val="0"/>
              <w:numPr>
                <w:ilvl w:val="0"/>
                <w:numId w:val="31"/>
              </w:numPr>
              <w:suppressAutoHyphens/>
              <w:ind w:left="567" w:hanging="567"/>
              <w:rPr>
                <w:rFonts w:eastAsia="Times New Roman"/>
                <w:bCs/>
              </w:rPr>
            </w:pPr>
            <w:r w:rsidRPr="00F13073">
              <w:t xml:space="preserve">Wyjąć z lodówki pudełko zawierające </w:t>
            </w:r>
            <w:r w:rsidR="00D025AF" w:rsidRPr="00F13073">
              <w:t>ampułko-strzykawk</w:t>
            </w:r>
            <w:r w:rsidRPr="00F13073">
              <w:t>ę</w:t>
            </w:r>
            <w:r w:rsidR="00D025AF" w:rsidRPr="00F13073">
              <w:t>.</w:t>
            </w:r>
          </w:p>
          <w:p w14:paraId="3A707B43" w14:textId="1475C927" w:rsidR="00D025AF" w:rsidRPr="00F13073" w:rsidRDefault="00D025AF">
            <w:pPr>
              <w:widowControl w:val="0"/>
              <w:numPr>
                <w:ilvl w:val="0"/>
                <w:numId w:val="31"/>
              </w:numPr>
              <w:suppressAutoHyphens/>
              <w:ind w:left="567" w:hanging="567"/>
              <w:rPr>
                <w:rFonts w:eastAsia="Times New Roman"/>
                <w:bCs/>
              </w:rPr>
            </w:pPr>
            <w:r w:rsidRPr="00F13073">
              <w:t xml:space="preserve">Upewnić się, że przygotowano następujące </w:t>
            </w:r>
            <w:r w:rsidR="003445BF" w:rsidRPr="00F13073">
              <w:t>materiały</w:t>
            </w:r>
            <w:r w:rsidRPr="00F13073">
              <w:t xml:space="preserve"> (patrz </w:t>
            </w:r>
            <w:r w:rsidRPr="00F13073">
              <w:rPr>
                <w:b/>
                <w:bCs/>
              </w:rPr>
              <w:t>rysunek B</w:t>
            </w:r>
            <w:r w:rsidRPr="00F13073">
              <w:t>):</w:t>
            </w:r>
          </w:p>
          <w:p w14:paraId="0835973B" w14:textId="1E5678D4" w:rsidR="00D025AF" w:rsidRPr="00F13073" w:rsidRDefault="00D025AF">
            <w:pPr>
              <w:suppressAutoHyphens/>
              <w:rPr>
                <w:rFonts w:eastAsia="Times New Roman"/>
              </w:rPr>
            </w:pPr>
            <w:r w:rsidRPr="00F13073">
              <w:t xml:space="preserve">- </w:t>
            </w:r>
            <w:r w:rsidR="003445BF" w:rsidRPr="00F13073">
              <w:t>Pudełko</w:t>
            </w:r>
            <w:r w:rsidRPr="00F13073">
              <w:t xml:space="preserve"> zawierające </w:t>
            </w:r>
            <w:r w:rsidRPr="00F13073">
              <w:rPr>
                <w:color w:val="231F20"/>
              </w:rPr>
              <w:t xml:space="preserve">ampułko-strzykawkę z lekiem </w:t>
            </w:r>
            <w:r w:rsidRPr="00F13073">
              <w:t>Avtozma</w:t>
            </w:r>
          </w:p>
          <w:p w14:paraId="0AF75667" w14:textId="77777777" w:rsidR="00D025AF" w:rsidRPr="00F13073" w:rsidRDefault="00D025AF" w:rsidP="00D854D5"/>
          <w:p w14:paraId="4DBA6816" w14:textId="5E1D0336" w:rsidR="00D025AF" w:rsidRPr="00F13073" w:rsidRDefault="003445BF">
            <w:pPr>
              <w:suppressAutoHyphens/>
              <w:rPr>
                <w:rFonts w:eastAsia="Times New Roman"/>
                <w:b/>
              </w:rPr>
            </w:pPr>
            <w:r w:rsidRPr="00F13073">
              <w:rPr>
                <w:b/>
              </w:rPr>
              <w:t>Materiały</w:t>
            </w:r>
            <w:r w:rsidR="00D025AF" w:rsidRPr="00F13073">
              <w:rPr>
                <w:b/>
              </w:rPr>
              <w:t xml:space="preserve"> niedołączone do opakowania:</w:t>
            </w:r>
          </w:p>
          <w:p w14:paraId="0337F674" w14:textId="0B9D7441" w:rsidR="00D025AF" w:rsidRPr="00F13073" w:rsidRDefault="00D025AF">
            <w:pPr>
              <w:suppressAutoHyphens/>
              <w:rPr>
                <w:rFonts w:eastAsia="Times New Roman"/>
              </w:rPr>
            </w:pPr>
            <w:r w:rsidRPr="00F13073">
              <w:t xml:space="preserve">- </w:t>
            </w:r>
            <w:r w:rsidR="003445BF" w:rsidRPr="00F13073">
              <w:t>Wacik</w:t>
            </w:r>
            <w:r w:rsidRPr="00F13073">
              <w:t xml:space="preserve"> lub gazik</w:t>
            </w:r>
          </w:p>
          <w:p w14:paraId="14F6672E" w14:textId="77777777" w:rsidR="00D025AF" w:rsidRPr="00F13073" w:rsidRDefault="00D025AF">
            <w:pPr>
              <w:suppressAutoHyphens/>
              <w:rPr>
                <w:rFonts w:eastAsia="Times New Roman"/>
              </w:rPr>
            </w:pPr>
            <w:r w:rsidRPr="00F13073">
              <w:t>- Opatrunek samoprzylepny</w:t>
            </w:r>
          </w:p>
          <w:p w14:paraId="4BE11B8A" w14:textId="77777777" w:rsidR="00D025AF" w:rsidRPr="00F13073" w:rsidRDefault="00D025AF">
            <w:pPr>
              <w:suppressAutoHyphens/>
              <w:rPr>
                <w:rFonts w:eastAsia="Times New Roman"/>
              </w:rPr>
            </w:pPr>
            <w:r w:rsidRPr="00F13073">
              <w:t>- Pojemnik na ostre odpady medyczne</w:t>
            </w:r>
          </w:p>
          <w:p w14:paraId="15EA6716" w14:textId="77777777" w:rsidR="00D025AF" w:rsidRPr="00F13073" w:rsidRDefault="00D025AF">
            <w:pPr>
              <w:suppressAutoHyphens/>
              <w:rPr>
                <w:rFonts w:eastAsia="Times New Roman"/>
              </w:rPr>
            </w:pPr>
            <w:r w:rsidRPr="00F13073">
              <w:t>- Gazik nasączony alkoholem</w:t>
            </w:r>
          </w:p>
          <w:p w14:paraId="5C816453" w14:textId="77777777" w:rsidR="00D025AF" w:rsidRPr="00F13073" w:rsidRDefault="00D025AF">
            <w:pPr>
              <w:ind w:left="567" w:hanging="567"/>
            </w:pPr>
          </w:p>
        </w:tc>
      </w:tr>
      <w:bookmarkEnd w:id="50"/>
      <w:tr w:rsidR="00A06126" w:rsidRPr="00F13073" w14:paraId="23A01CE3" w14:textId="77777777">
        <w:trPr>
          <w:cantSplit/>
        </w:trPr>
        <w:tc>
          <w:tcPr>
            <w:tcW w:w="3539" w:type="dxa"/>
          </w:tcPr>
          <w:p w14:paraId="7805D20E" w14:textId="5DBCFFC0" w:rsidR="00D025AF" w:rsidRPr="00F13073" w:rsidRDefault="004929A7">
            <w:pPr>
              <w:suppressAutoHyphens/>
              <w:rPr>
                <w:sz w:val="26"/>
                <w:szCs w:val="26"/>
              </w:rPr>
            </w:pPr>
            <w:r>
              <w:rPr>
                <w:noProof/>
                <w:lang w:val="en-US" w:eastAsia="ko-KR"/>
              </w:rPr>
              <mc:AlternateContent>
                <mc:Choice Requires="wps">
                  <w:drawing>
                    <wp:anchor distT="45720" distB="45720" distL="114300" distR="114300" simplePos="0" relativeHeight="251649024" behindDoc="0" locked="1" layoutInCell="1" allowOverlap="1" wp14:anchorId="2523A06E" wp14:editId="76816999">
                      <wp:simplePos x="0" y="0"/>
                      <wp:positionH relativeFrom="column">
                        <wp:posOffset>1332865</wp:posOffset>
                      </wp:positionH>
                      <wp:positionV relativeFrom="page">
                        <wp:posOffset>1943735</wp:posOffset>
                      </wp:positionV>
                      <wp:extent cx="673100" cy="174625"/>
                      <wp:effectExtent l="19050" t="38100" r="0" b="34925"/>
                      <wp:wrapNone/>
                      <wp:docPr id="90854810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4625"/>
                              </a:xfrm>
                              <a:prstGeom prst="rect">
                                <a:avLst/>
                              </a:prstGeom>
                              <a:noFill/>
                              <a:ln>
                                <a:noFill/>
                              </a:ln>
                            </wps:spPr>
                            <wps:txbx>
                              <w:txbxContent>
                                <w:p w14:paraId="4624D8D2" w14:textId="00F578DB" w:rsidR="00FE78F1" w:rsidRPr="00151F2F" w:rsidRDefault="00FE78F1" w:rsidP="00D025AF">
                                  <w:pPr>
                                    <w:jc w:val="center"/>
                                    <w:rPr>
                                      <w:rFonts w:ascii="Arial Narrow" w:hAnsi="Arial Narrow"/>
                                      <w:b/>
                                      <w:bCs/>
                                      <w:sz w:val="12"/>
                                      <w:szCs w:val="12"/>
                                    </w:rPr>
                                  </w:pPr>
                                  <w:r w:rsidRPr="00B97491">
                                    <w:rPr>
                                      <w:rFonts w:ascii="Arial Narrow" w:hAnsi="Arial Narrow"/>
                                      <w:b/>
                                      <w:sz w:val="12"/>
                                    </w:rPr>
                                    <w:t>EXP: MM RRRR</w:t>
                                  </w:r>
                                </w:p>
                                <w:p w14:paraId="0E9EC87C" w14:textId="77777777" w:rsidR="00FE78F1" w:rsidRPr="00151F2F" w:rsidRDefault="00FE78F1" w:rsidP="00D025AF">
                                  <w:pPr>
                                    <w:rPr>
                                      <w:rFonts w:ascii="Arial Narrow" w:hAnsi="Arial Narrow"/>
                                      <w:b/>
                                      <w:bCs/>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523A06E" id="Text Box 91" o:spid="_x0000_s1040" type="#_x0000_t202" style="position:absolute;margin-left:104.95pt;margin-top:153.05pt;width:53pt;height:13.75pt;rotation:-535127fd;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" filled="f" stroked="f">
                      <v:textbox style="mso-fit-shape-to-text:t" inset="0,0,0,0">
                        <w:txbxContent>
                          <w:p w14:paraId="4624D8D2" w14:textId="00F578DB" w:rsidR="00FE78F1" w:rsidRPr="00151F2F" w:rsidRDefault="00FE78F1" w:rsidP="00D025AF">
                            <w:pPr>
                              <w:jc w:val="center"/>
                              <w:rPr>
                                <w:rFonts w:ascii="Arial Narrow" w:hAnsi="Arial Narrow"/>
                                <w:b/>
                                <w:bCs/>
                                <w:sz w:val="12"/>
                                <w:szCs w:val="12"/>
                              </w:rPr>
                            </w:pPr>
                            <w:r w:rsidRPr="00B97491">
                              <w:rPr>
                                <w:rFonts w:ascii="Arial Narrow" w:hAnsi="Arial Narrow"/>
                                <w:b/>
                                <w:sz w:val="12"/>
                              </w:rPr>
                              <w:t>EXP: MM RRRR</w:t>
                            </w:r>
                          </w:p>
                          <w:p w14:paraId="0E9EC87C" w14:textId="77777777" w:rsidR="00FE78F1" w:rsidRPr="00151F2F" w:rsidRDefault="00FE78F1" w:rsidP="00D025AF">
                            <w:pPr>
                              <w:rPr>
                                <w:rFonts w:ascii="Arial Narrow" w:hAnsi="Arial Narrow"/>
                                <w:b/>
                                <w:bCs/>
                                <w:sz w:val="12"/>
                                <w:szCs w:val="12"/>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48000" behindDoc="0" locked="1" layoutInCell="1" allowOverlap="1" wp14:anchorId="3FCB5FFE" wp14:editId="4D7C8641">
                      <wp:simplePos x="0" y="0"/>
                      <wp:positionH relativeFrom="column">
                        <wp:posOffset>1087120</wp:posOffset>
                      </wp:positionH>
                      <wp:positionV relativeFrom="page">
                        <wp:posOffset>997585</wp:posOffset>
                      </wp:positionV>
                      <wp:extent cx="673100" cy="233045"/>
                      <wp:effectExtent l="19050" t="38100" r="0" b="33655"/>
                      <wp:wrapNone/>
                      <wp:docPr id="150201416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233045"/>
                              </a:xfrm>
                              <a:prstGeom prst="rect">
                                <a:avLst/>
                              </a:prstGeom>
                              <a:noFill/>
                              <a:ln>
                                <a:noFill/>
                              </a:ln>
                            </wps:spPr>
                            <wps:txbx>
                              <w:txbxContent>
                                <w:p w14:paraId="7C7DE880" w14:textId="18A37D92" w:rsidR="00FE78F1" w:rsidRPr="00151F2F" w:rsidRDefault="00FE78F1" w:rsidP="00D025AF">
                                  <w:pPr>
                                    <w:jc w:val="center"/>
                                    <w:rPr>
                                      <w:rFonts w:ascii="Arial Narrow" w:hAnsi="Arial Narrow"/>
                                      <w:b/>
                                      <w:bCs/>
                                      <w:sz w:val="16"/>
                                      <w:szCs w:val="16"/>
                                    </w:rPr>
                                  </w:pPr>
                                  <w:r w:rsidRPr="00B97491">
                                    <w:rPr>
                                      <w:rFonts w:ascii="Arial Narrow" w:hAnsi="Arial Narrow"/>
                                      <w:b/>
                                      <w:sz w:val="16"/>
                                    </w:rPr>
                                    <w:t>EXP: MM RRRR</w:t>
                                  </w:r>
                                </w:p>
                                <w:p w14:paraId="054D8431" w14:textId="77777777" w:rsidR="00FE78F1" w:rsidRPr="00151F2F" w:rsidRDefault="00FE78F1" w:rsidP="00D025AF">
                                  <w:pPr>
                                    <w:jc w:val="center"/>
                                    <w:rPr>
                                      <w:rFonts w:ascii="Arial Narrow" w:hAnsi="Arial Narrow"/>
                                      <w:b/>
                                      <w:bCs/>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FCB5FFE" id="Text Box 89" o:spid="_x0000_s1041" type="#_x0000_t202" style="position:absolute;margin-left:85.6pt;margin-top:78.55pt;width:53pt;height:18.35pt;rotation:-448334fd;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" filled="f" stroked="f">
                      <v:textbox style="mso-fit-shape-to-text:t" inset="0,0,0,0">
                        <w:txbxContent>
                          <w:p w14:paraId="7C7DE880" w14:textId="18A37D92" w:rsidR="00FE78F1" w:rsidRPr="00151F2F" w:rsidRDefault="00FE78F1" w:rsidP="00D025AF">
                            <w:pPr>
                              <w:jc w:val="center"/>
                              <w:rPr>
                                <w:rFonts w:ascii="Arial Narrow" w:hAnsi="Arial Narrow"/>
                                <w:b/>
                                <w:bCs/>
                                <w:sz w:val="16"/>
                                <w:szCs w:val="16"/>
                              </w:rPr>
                            </w:pPr>
                            <w:r w:rsidRPr="00B97491">
                              <w:rPr>
                                <w:rFonts w:ascii="Arial Narrow" w:hAnsi="Arial Narrow"/>
                                <w:b/>
                                <w:sz w:val="16"/>
                              </w:rPr>
                              <w:t>EXP: MM RRRR</w:t>
                            </w:r>
                          </w:p>
                          <w:p w14:paraId="054D8431" w14:textId="77777777" w:rsidR="00FE78F1" w:rsidRPr="00151F2F" w:rsidRDefault="00FE78F1" w:rsidP="00D025AF">
                            <w:pPr>
                              <w:jc w:val="center"/>
                              <w:rPr>
                                <w:rFonts w:ascii="Arial Narrow" w:hAnsi="Arial Narrow"/>
                                <w:b/>
                                <w:bCs/>
                                <w:sz w:val="16"/>
                                <w:szCs w:val="16"/>
                              </w:rPr>
                            </w:pPr>
                          </w:p>
                        </w:txbxContent>
                      </v:textbox>
                      <w10:wrap anchory="page"/>
                      <w10:anchorlock/>
                    </v:shape>
                  </w:pict>
                </mc:Fallback>
              </mc:AlternateContent>
            </w:r>
            <w:r>
              <w:rPr>
                <w:b/>
                <w:noProof/>
                <w:lang w:val="en-US" w:eastAsia="ko-KR"/>
              </w:rPr>
              <w:drawing>
                <wp:inline distT="0" distB="0" distL="0" distR="0" wp14:anchorId="5CAB5D6F" wp14:editId="45B111F4">
                  <wp:extent cx="2101850" cy="2560320"/>
                  <wp:effectExtent l="19050" t="19050" r="0" b="0"/>
                  <wp:docPr id="9" name="그림 6"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텍스트, 스케치, 도표, 원이(가) 표시된 사진&#10;&#10;자동 생성된 설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1850" cy="2560320"/>
                          </a:xfrm>
                          <a:prstGeom prst="rect">
                            <a:avLst/>
                          </a:prstGeom>
                          <a:noFill/>
                          <a:ln w="9525" cmpd="sng">
                            <a:solidFill>
                              <a:srgbClr val="000000"/>
                            </a:solidFill>
                            <a:miter lim="800000"/>
                            <a:headEnd/>
                            <a:tailEnd/>
                          </a:ln>
                          <a:effectLst/>
                        </pic:spPr>
                      </pic:pic>
                    </a:graphicData>
                  </a:graphic>
                </wp:inline>
              </w:drawing>
            </w:r>
          </w:p>
          <w:p w14:paraId="12585F65" w14:textId="77777777" w:rsidR="00D025AF" w:rsidRPr="00F13073" w:rsidRDefault="00D025AF">
            <w:pPr>
              <w:jc w:val="right"/>
              <w:rPr>
                <w:b/>
                <w:bCs/>
              </w:rPr>
            </w:pPr>
            <w:r w:rsidRPr="00F13073">
              <w:rPr>
                <w:b/>
              </w:rPr>
              <w:t>Rysunek C</w:t>
            </w:r>
          </w:p>
        </w:tc>
        <w:tc>
          <w:tcPr>
            <w:tcW w:w="5517" w:type="dxa"/>
          </w:tcPr>
          <w:p w14:paraId="6350665A" w14:textId="046733A6" w:rsidR="00D025AF" w:rsidRPr="00F13073" w:rsidRDefault="00D025AF">
            <w:pPr>
              <w:widowControl w:val="0"/>
              <w:numPr>
                <w:ilvl w:val="0"/>
                <w:numId w:val="30"/>
              </w:numPr>
              <w:suppressAutoHyphens/>
              <w:ind w:left="567" w:hanging="567"/>
              <w:rPr>
                <w:rFonts w:eastAsia="Times New Roman" w:cs="Arial"/>
                <w:b/>
              </w:rPr>
            </w:pPr>
            <w:r w:rsidRPr="00F13073">
              <w:rPr>
                <w:b/>
              </w:rPr>
              <w:t>Sprawdzić opakowanie</w:t>
            </w:r>
          </w:p>
          <w:p w14:paraId="1E738189" w14:textId="77777777" w:rsidR="00D025AF" w:rsidRPr="00F13073" w:rsidRDefault="00D025AF">
            <w:pPr>
              <w:suppressAutoHyphens/>
              <w:ind w:left="567" w:hanging="567"/>
              <w:rPr>
                <w:rFonts w:eastAsia="Times New Roman" w:cs="Arial"/>
                <w:b/>
                <w:lang w:eastAsia="en-US"/>
              </w:rPr>
            </w:pPr>
          </w:p>
          <w:p w14:paraId="503D1B64" w14:textId="63A10D7C" w:rsidR="00D025AF" w:rsidRPr="00F13073" w:rsidRDefault="00D025AF">
            <w:pPr>
              <w:widowControl w:val="0"/>
              <w:numPr>
                <w:ilvl w:val="0"/>
                <w:numId w:val="32"/>
              </w:numPr>
              <w:suppressAutoHyphens/>
              <w:ind w:left="567" w:hanging="567"/>
              <w:rPr>
                <w:rFonts w:eastAsia="Times New Roman" w:cs="Arial"/>
                <w:bCs/>
              </w:rPr>
            </w:pPr>
            <w:r w:rsidRPr="00F13073">
              <w:t xml:space="preserve">Sprawdzić wzrokowo </w:t>
            </w:r>
            <w:r w:rsidR="003445BF" w:rsidRPr="00F13073">
              <w:t>pudełko</w:t>
            </w:r>
            <w:r w:rsidRPr="00F13073">
              <w:t xml:space="preserve"> i upewnić się, że zawiera właściwy lek i odpowiednią moc dawki. (Avtozma)</w:t>
            </w:r>
          </w:p>
          <w:p w14:paraId="5350B520" w14:textId="697F92AA" w:rsidR="00D025AF" w:rsidRPr="00F13073" w:rsidRDefault="00D025AF">
            <w:pPr>
              <w:widowControl w:val="0"/>
              <w:numPr>
                <w:ilvl w:val="0"/>
                <w:numId w:val="32"/>
              </w:numPr>
              <w:suppressAutoHyphens/>
              <w:ind w:left="567" w:hanging="567"/>
              <w:rPr>
                <w:rFonts w:eastAsia="Times New Roman" w:cs="Arial"/>
                <w:bCs/>
              </w:rPr>
            </w:pPr>
            <w:r w:rsidRPr="00F13073">
              <w:t xml:space="preserve">Sprawdzić </w:t>
            </w:r>
            <w:r w:rsidR="003445BF" w:rsidRPr="00F13073">
              <w:t>termin</w:t>
            </w:r>
            <w:r w:rsidRPr="00F13073">
              <w:t xml:space="preserve"> ważności na </w:t>
            </w:r>
            <w:r w:rsidR="003445BF" w:rsidRPr="00F13073">
              <w:t>pudełku</w:t>
            </w:r>
            <w:r w:rsidRPr="00F13073">
              <w:t xml:space="preserve">, aby upewnić się, że termin </w:t>
            </w:r>
            <w:r w:rsidR="004905B0" w:rsidRPr="00F13073">
              <w:t>ten</w:t>
            </w:r>
            <w:r w:rsidRPr="00F13073">
              <w:t xml:space="preserve"> jeszcze nie upłynął.</w:t>
            </w:r>
          </w:p>
          <w:p w14:paraId="5A4178BF" w14:textId="77777777" w:rsidR="00D025AF" w:rsidRPr="00F13073" w:rsidRDefault="00D025AF" w:rsidP="00D854D5"/>
          <w:p w14:paraId="1CC21559" w14:textId="0F7918D7" w:rsidR="00D025AF" w:rsidRPr="00F13073" w:rsidRDefault="00D025AF" w:rsidP="00442587">
            <w:pPr>
              <w:widowControl w:val="0"/>
              <w:numPr>
                <w:ilvl w:val="0"/>
                <w:numId w:val="28"/>
              </w:numPr>
              <w:tabs>
                <w:tab w:val="left" w:pos="1137"/>
              </w:tabs>
              <w:suppressAutoHyphens/>
              <w:ind w:left="1134" w:hanging="567"/>
              <w:rPr>
                <w:rFonts w:eastAsia="맑은 고딕" w:cs="Arial"/>
                <w:strike/>
                <w:sz w:val="26"/>
                <w:szCs w:val="26"/>
              </w:rPr>
            </w:pPr>
            <w:r w:rsidRPr="00F13073">
              <w:rPr>
                <w:b/>
              </w:rPr>
              <w:t>Nie</w:t>
            </w:r>
            <w:r w:rsidRPr="00F13073">
              <w:t xml:space="preserve"> stosować ampułko-strzykawki po upływie terminu ważności.</w:t>
            </w:r>
          </w:p>
          <w:p w14:paraId="5CB9C8A1" w14:textId="4E44034C" w:rsidR="00D025AF" w:rsidRPr="00F13073" w:rsidRDefault="00D025AF" w:rsidP="0081094B">
            <w:pPr>
              <w:widowControl w:val="0"/>
              <w:numPr>
                <w:ilvl w:val="0"/>
                <w:numId w:val="28"/>
              </w:numPr>
              <w:tabs>
                <w:tab w:val="left" w:pos="1137"/>
              </w:tabs>
              <w:suppressAutoHyphens/>
              <w:ind w:left="1134" w:hanging="567"/>
              <w:rPr>
                <w:rFonts w:eastAsia="Times New Roman" w:cs="Arial"/>
              </w:rPr>
            </w:pPr>
            <w:r w:rsidRPr="00F13073">
              <w:rPr>
                <w:b/>
                <w:bCs/>
              </w:rPr>
              <w:t>Nie</w:t>
            </w:r>
            <w:r w:rsidRPr="00F13073">
              <w:t xml:space="preserve"> </w:t>
            </w:r>
            <w:r w:rsidR="003445BF" w:rsidRPr="00F13073">
              <w:t xml:space="preserve">stosować </w:t>
            </w:r>
            <w:r w:rsidRPr="00F13073">
              <w:t>ampułko-strzykawki, jeśli pudełko wygląda na otwarte lub uszkodzone. Jeśli opakowanie otwierane jest po raz pierwszy, należy sprawdzić, czy nie zostało wcześniej naruszone.</w:t>
            </w:r>
          </w:p>
          <w:p w14:paraId="5E52A566" w14:textId="77777777" w:rsidR="00D025AF" w:rsidRPr="00F13073" w:rsidRDefault="00D025AF" w:rsidP="00D854D5"/>
        </w:tc>
      </w:tr>
      <w:tr w:rsidR="00A06126" w:rsidRPr="00F13073" w14:paraId="7203626B" w14:textId="77777777">
        <w:trPr>
          <w:cantSplit/>
        </w:trPr>
        <w:tc>
          <w:tcPr>
            <w:tcW w:w="3539" w:type="dxa"/>
          </w:tcPr>
          <w:p w14:paraId="5080FA58" w14:textId="137238C7" w:rsidR="00D025AF" w:rsidRPr="00F13073" w:rsidRDefault="004929A7">
            <w:pPr>
              <w:suppressAutoHyphens/>
              <w:jc w:val="right"/>
              <w:rPr>
                <w:sz w:val="26"/>
                <w:szCs w:val="26"/>
              </w:rPr>
            </w:pPr>
            <w:r>
              <w:rPr>
                <w:noProof/>
                <w:lang w:val="en-US" w:eastAsia="ko-KR"/>
              </w:rPr>
              <w:lastRenderedPageBreak/>
              <mc:AlternateContent>
                <mc:Choice Requires="wps">
                  <w:drawing>
                    <wp:anchor distT="45720" distB="45720" distL="114300" distR="114300" simplePos="0" relativeHeight="251644928" behindDoc="0" locked="1" layoutInCell="1" allowOverlap="1" wp14:anchorId="7662F041" wp14:editId="52F81CB5">
                      <wp:simplePos x="0" y="0"/>
                      <wp:positionH relativeFrom="column">
                        <wp:posOffset>1193800</wp:posOffset>
                      </wp:positionH>
                      <wp:positionV relativeFrom="page">
                        <wp:posOffset>1565910</wp:posOffset>
                      </wp:positionV>
                      <wp:extent cx="767080" cy="233680"/>
                      <wp:effectExtent l="0" t="0" r="0" b="0"/>
                      <wp:wrapNone/>
                      <wp:docPr id="87313113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233680"/>
                              </a:xfrm>
                              <a:prstGeom prst="rect">
                                <a:avLst/>
                              </a:prstGeom>
                              <a:noFill/>
                              <a:ln>
                                <a:noFill/>
                              </a:ln>
                            </wps:spPr>
                            <wps:txbx>
                              <w:txbxContent>
                                <w:p w14:paraId="09D511DD" w14:textId="3F3A96D4" w:rsidR="00FE78F1" w:rsidRPr="00151F2F" w:rsidRDefault="00FE78F1" w:rsidP="00D025AF">
                                  <w:pPr>
                                    <w:jc w:val="center"/>
                                    <w:rPr>
                                      <w:rFonts w:ascii="Arial" w:hAnsi="Arial" w:cs="Arial"/>
                                      <w:b/>
                                      <w:bCs/>
                                      <w:sz w:val="14"/>
                                      <w:szCs w:val="14"/>
                                    </w:rPr>
                                  </w:pPr>
                                  <w:r w:rsidRPr="00087E1E">
                                    <w:rPr>
                                      <w:rFonts w:ascii="Arial" w:hAnsi="Arial"/>
                                      <w:b/>
                                      <w:sz w:val="14"/>
                                    </w:rPr>
                                    <w:t>EXP: MM RRRR</w:t>
                                  </w:r>
                                </w:p>
                                <w:p w14:paraId="4E1AF864" w14:textId="77777777" w:rsidR="00FE78F1" w:rsidRPr="00151F2F" w:rsidRDefault="00FE78F1" w:rsidP="00D025AF">
                                  <w:pPr>
                                    <w:rPr>
                                      <w:rFonts w:ascii="Arial Narrow" w:hAnsi="Arial Narrow"/>
                                      <w:b/>
                                      <w:bCs/>
                                      <w:sz w:val="18"/>
                                      <w:szCs w:val="1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662F041" id="Text Box 87" o:spid="_x0000_s1042" type="#_x0000_t202" style="position:absolute;left:0;text-align:left;margin-left:94pt;margin-top:123.3pt;width:60.4pt;height:18.4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" filled="f" stroked="f">
                      <v:textbox style="mso-fit-shape-to-text:t" inset="0,0,0,0">
                        <w:txbxContent>
                          <w:p w14:paraId="09D511DD" w14:textId="3F3A96D4" w:rsidR="00FE78F1" w:rsidRPr="00151F2F" w:rsidRDefault="00FE78F1" w:rsidP="00D025AF">
                            <w:pPr>
                              <w:jc w:val="center"/>
                              <w:rPr>
                                <w:rFonts w:ascii="Arial" w:hAnsi="Arial" w:cs="Arial"/>
                                <w:b/>
                                <w:bCs/>
                                <w:sz w:val="14"/>
                                <w:szCs w:val="14"/>
                              </w:rPr>
                            </w:pPr>
                            <w:r w:rsidRPr="00087E1E">
                              <w:rPr>
                                <w:rFonts w:ascii="Arial" w:hAnsi="Arial"/>
                                <w:b/>
                                <w:sz w:val="14"/>
                              </w:rPr>
                              <w:t>EXP: MM RRRR</w:t>
                            </w:r>
                          </w:p>
                          <w:p w14:paraId="4E1AF864" w14:textId="77777777" w:rsidR="00FE78F1" w:rsidRPr="00151F2F" w:rsidRDefault="00FE78F1" w:rsidP="00D025AF">
                            <w:pPr>
                              <w:rPr>
                                <w:rFonts w:ascii="Arial Narrow" w:hAnsi="Arial Narrow"/>
                                <w:b/>
                                <w:bCs/>
                                <w:sz w:val="18"/>
                                <w:szCs w:val="18"/>
                              </w:rPr>
                            </w:pPr>
                          </w:p>
                        </w:txbxContent>
                      </v:textbox>
                      <w10:wrap anchory="page"/>
                      <w10:anchorlock/>
                    </v:shape>
                  </w:pict>
                </mc:Fallback>
              </mc:AlternateContent>
            </w:r>
            <w:r>
              <w:rPr>
                <w:noProof/>
                <w:lang w:val="en-US" w:eastAsia="ko-KR"/>
              </w:rPr>
              <w:drawing>
                <wp:inline distT="0" distB="0" distL="0" distR="0" wp14:anchorId="34A09D84" wp14:editId="7AA747E2">
                  <wp:extent cx="2012315" cy="2559050"/>
                  <wp:effectExtent l="19050" t="19050" r="6985" b="0"/>
                  <wp:docPr id="10" name="그림 5"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스케치, 그림, 공구, 상징이(가) 표시된 사진&#10;&#10;자동 생성된 설명"/>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2315" cy="2559050"/>
                          </a:xfrm>
                          <a:prstGeom prst="rect">
                            <a:avLst/>
                          </a:prstGeom>
                          <a:noFill/>
                          <a:ln w="9525" cmpd="sng">
                            <a:solidFill>
                              <a:srgbClr val="000000"/>
                            </a:solidFill>
                            <a:miter lim="800000"/>
                            <a:headEnd/>
                            <a:tailEnd/>
                          </a:ln>
                          <a:effectLst/>
                        </pic:spPr>
                      </pic:pic>
                    </a:graphicData>
                  </a:graphic>
                </wp:inline>
              </w:drawing>
            </w:r>
          </w:p>
          <w:p w14:paraId="7F10DF8D" w14:textId="77777777" w:rsidR="00D025AF" w:rsidRPr="00F13073" w:rsidRDefault="00D025AF">
            <w:pPr>
              <w:suppressAutoHyphens/>
              <w:jc w:val="right"/>
              <w:rPr>
                <w:b/>
                <w:bCs/>
              </w:rPr>
            </w:pPr>
            <w:r w:rsidRPr="00F13073">
              <w:rPr>
                <w:b/>
              </w:rPr>
              <w:t>Rysunek D</w:t>
            </w:r>
          </w:p>
        </w:tc>
        <w:tc>
          <w:tcPr>
            <w:tcW w:w="5517" w:type="dxa"/>
          </w:tcPr>
          <w:p w14:paraId="455D1F68" w14:textId="77777777" w:rsidR="00D025AF" w:rsidRPr="00F13073" w:rsidRDefault="00D025AF">
            <w:pPr>
              <w:pStyle w:val="a4"/>
              <w:numPr>
                <w:ilvl w:val="0"/>
                <w:numId w:val="30"/>
              </w:numPr>
              <w:suppressAutoHyphens/>
              <w:spacing w:after="0"/>
              <w:ind w:left="567" w:hanging="567"/>
              <w:rPr>
                <w:b/>
              </w:rPr>
            </w:pPr>
            <w:r w:rsidRPr="00F13073">
              <w:rPr>
                <w:b/>
              </w:rPr>
              <w:t>Sprawdzić wzrokowo ampułko-strzykawkę.</w:t>
            </w:r>
          </w:p>
          <w:p w14:paraId="208AA3F0" w14:textId="77777777" w:rsidR="00D025AF" w:rsidRPr="00F13073" w:rsidRDefault="00D025AF">
            <w:pPr>
              <w:suppressAutoHyphens/>
              <w:ind w:left="567" w:hanging="567"/>
              <w:rPr>
                <w:bCs/>
              </w:rPr>
            </w:pPr>
          </w:p>
          <w:p w14:paraId="01BFE8C9" w14:textId="56646BBF" w:rsidR="00D025AF" w:rsidRPr="00F13073" w:rsidRDefault="00D025AF">
            <w:pPr>
              <w:pStyle w:val="a4"/>
              <w:numPr>
                <w:ilvl w:val="0"/>
                <w:numId w:val="33"/>
              </w:numPr>
              <w:suppressAutoHyphens/>
              <w:spacing w:after="0"/>
              <w:ind w:left="567" w:hanging="567"/>
              <w:rPr>
                <w:bCs/>
              </w:rPr>
            </w:pPr>
            <w:r w:rsidRPr="00F13073">
              <w:t xml:space="preserve">Otworzyć pudełko i wyjąć z niego 1 jednodawkową ampułko-strzykawkę. Wszelkie pozostałe ampułko-strzykawki z lekiem Avtozma znajdujące się w pudełku należy umieścić </w:t>
            </w:r>
            <w:r w:rsidR="00E25543" w:rsidRPr="00F13073">
              <w:t xml:space="preserve">z powrotem </w:t>
            </w:r>
            <w:r w:rsidRPr="00F13073">
              <w:t>w lodówce.</w:t>
            </w:r>
          </w:p>
          <w:p w14:paraId="3A521C25" w14:textId="73C98F1F" w:rsidR="00D025AF" w:rsidRPr="00F13073" w:rsidRDefault="00D025AF">
            <w:pPr>
              <w:pStyle w:val="a4"/>
              <w:numPr>
                <w:ilvl w:val="0"/>
                <w:numId w:val="33"/>
              </w:numPr>
              <w:suppressAutoHyphens/>
              <w:spacing w:after="0"/>
              <w:ind w:left="567" w:hanging="567"/>
              <w:rPr>
                <w:bCs/>
              </w:rPr>
            </w:pPr>
            <w:r w:rsidRPr="00F13073">
              <w:t xml:space="preserve">Sprawdzić </w:t>
            </w:r>
            <w:r w:rsidR="003445BF" w:rsidRPr="00F13073">
              <w:t>termin</w:t>
            </w:r>
            <w:r w:rsidRPr="00F13073">
              <w:t xml:space="preserve"> ważności znajdując</w:t>
            </w:r>
            <w:r w:rsidR="003445BF" w:rsidRPr="00F13073">
              <w:t>y</w:t>
            </w:r>
            <w:r w:rsidRPr="00F13073">
              <w:t xml:space="preserve"> się na etykiecie ampułko-strzykawki z lekiem Avtozma </w:t>
            </w:r>
            <w:r w:rsidRPr="0081094B">
              <w:rPr>
                <w:bCs/>
              </w:rPr>
              <w:t>(patrz</w:t>
            </w:r>
            <w:r w:rsidRPr="00F13073">
              <w:rPr>
                <w:b/>
              </w:rPr>
              <w:t xml:space="preserve"> rysunek D</w:t>
            </w:r>
            <w:r w:rsidRPr="00F13073">
              <w:t>).</w:t>
            </w:r>
          </w:p>
          <w:p w14:paraId="7B0E88F6" w14:textId="51BE4ADB" w:rsidR="00D025AF" w:rsidRPr="00F13073" w:rsidRDefault="00D025AF" w:rsidP="0081094B">
            <w:pPr>
              <w:widowControl w:val="0"/>
              <w:numPr>
                <w:ilvl w:val="0"/>
                <w:numId w:val="28"/>
              </w:numPr>
              <w:tabs>
                <w:tab w:val="left" w:pos="1137"/>
              </w:tabs>
              <w:suppressAutoHyphens/>
              <w:ind w:left="1134" w:hanging="567"/>
            </w:pPr>
            <w:r w:rsidRPr="00F13073">
              <w:rPr>
                <w:b/>
              </w:rPr>
              <w:t>Nie należy</w:t>
            </w:r>
            <w:r w:rsidRPr="00F13073">
              <w:t xml:space="preserve"> używać ampułko-strzykawki, jeśli upłynął jej termin ważności. Jeśli upłynął termin ważności, należy bezpiecznie wyrzucić ampułko-strzykawkę do pojemnika na ostre odpady medyczne i zastosować nową.</w:t>
            </w:r>
          </w:p>
          <w:p w14:paraId="77A94E2F" w14:textId="77777777" w:rsidR="00D025AF" w:rsidRPr="00F13073" w:rsidRDefault="00D025AF">
            <w:pPr>
              <w:pStyle w:val="a4"/>
              <w:numPr>
                <w:ilvl w:val="0"/>
                <w:numId w:val="33"/>
              </w:numPr>
              <w:suppressAutoHyphens/>
              <w:spacing w:after="0"/>
              <w:ind w:left="567" w:hanging="567"/>
              <w:rPr>
                <w:bCs/>
              </w:rPr>
            </w:pPr>
            <w:r w:rsidRPr="00F13073">
              <w:t>Sprawdzić ampułko-strzykawkę, aby upewnić się, że nie jest uszkodzona i nie wykazuje oznak wycieku.</w:t>
            </w:r>
          </w:p>
          <w:p w14:paraId="352954FD" w14:textId="5B17C32C" w:rsidR="00D025AF" w:rsidRPr="00F13073" w:rsidRDefault="00D025AF" w:rsidP="0081094B">
            <w:pPr>
              <w:widowControl w:val="0"/>
              <w:numPr>
                <w:ilvl w:val="0"/>
                <w:numId w:val="28"/>
              </w:numPr>
              <w:tabs>
                <w:tab w:val="left" w:pos="1137"/>
              </w:tabs>
              <w:suppressAutoHyphens/>
              <w:ind w:left="1134" w:hanging="567"/>
            </w:pPr>
            <w:r w:rsidRPr="00F13073">
              <w:rPr>
                <w:b/>
              </w:rPr>
              <w:t>Nie</w:t>
            </w:r>
            <w:r w:rsidRPr="00F13073">
              <w:t xml:space="preserve"> </w:t>
            </w:r>
            <w:r w:rsidRPr="00F13073">
              <w:rPr>
                <w:b/>
                <w:bCs/>
              </w:rPr>
              <w:t>należy</w:t>
            </w:r>
            <w:r w:rsidRPr="00F13073">
              <w:t xml:space="preserve"> używać ampułko-strzykawki, jeśli została upuszczona, uszkodzona lub znajdują się na niej oznaki wycieku.</w:t>
            </w:r>
          </w:p>
          <w:p w14:paraId="0DAE47C1" w14:textId="77777777" w:rsidR="00D025AF" w:rsidRPr="00F13073" w:rsidRDefault="00D025AF" w:rsidP="00D854D5"/>
        </w:tc>
      </w:tr>
      <w:tr w:rsidR="00A06126" w:rsidRPr="00F13073" w14:paraId="758872E1" w14:textId="77777777">
        <w:trPr>
          <w:cantSplit/>
        </w:trPr>
        <w:tc>
          <w:tcPr>
            <w:tcW w:w="3539" w:type="dxa"/>
          </w:tcPr>
          <w:p w14:paraId="06E3A2A1" w14:textId="5AEE6BD0" w:rsidR="00D025AF" w:rsidRPr="00F13073" w:rsidRDefault="004929A7">
            <w:pPr>
              <w:suppressAutoHyphens/>
            </w:pPr>
            <w:r>
              <w:rPr>
                <w:noProof/>
                <w:lang w:val="en-US" w:eastAsia="ko-KR"/>
              </w:rPr>
              <mc:AlternateContent>
                <mc:Choice Requires="wps">
                  <w:drawing>
                    <wp:anchor distT="45720" distB="45720" distL="114300" distR="114300" simplePos="0" relativeHeight="251646976" behindDoc="0" locked="1" layoutInCell="1" allowOverlap="1" wp14:anchorId="5339B971" wp14:editId="7AE2694B">
                      <wp:simplePos x="0" y="0"/>
                      <wp:positionH relativeFrom="column">
                        <wp:posOffset>329565</wp:posOffset>
                      </wp:positionH>
                      <wp:positionV relativeFrom="page">
                        <wp:posOffset>389890</wp:posOffset>
                      </wp:positionV>
                      <wp:extent cx="680085" cy="704850"/>
                      <wp:effectExtent l="0" t="0" r="0" b="0"/>
                      <wp:wrapNone/>
                      <wp:docPr id="56956255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704850"/>
                              </a:xfrm>
                              <a:prstGeom prst="rect">
                                <a:avLst/>
                              </a:prstGeom>
                              <a:noFill/>
                              <a:ln>
                                <a:noFill/>
                              </a:ln>
                            </wps:spPr>
                            <wps:txbx>
                              <w:txbxContent>
                                <w:p w14:paraId="7BB7FB80" w14:textId="0969A7DC" w:rsidR="00FE78F1" w:rsidRPr="00151F2F" w:rsidRDefault="00FE78F1" w:rsidP="00D025AF">
                                  <w:pPr>
                                    <w:spacing w:line="216" w:lineRule="auto"/>
                                    <w:jc w:val="center"/>
                                    <w:rPr>
                                      <w:rFonts w:ascii="Arial" w:hAnsi="Arial" w:cs="Arial"/>
                                      <w:b/>
                                      <w:bCs/>
                                      <w:sz w:val="16"/>
                                      <w:szCs w:val="16"/>
                                    </w:rPr>
                                  </w:pPr>
                                  <w:r w:rsidRPr="00C85D61">
                                    <w:rPr>
                                      <w:rFonts w:ascii="Arial" w:hAnsi="Arial"/>
                                      <w:b/>
                                      <w:sz w:val="36"/>
                                    </w:rPr>
                                    <w:t xml:space="preserve">30 </w:t>
                                  </w:r>
                                  <w:r w:rsidRPr="0081094B">
                                    <w:rPr>
                                      <w:rFonts w:ascii="Arial" w:hAnsi="Arial"/>
                                      <w:b/>
                                      <w:sz w:val="24"/>
                                      <w:szCs w:val="24"/>
                                    </w:rPr>
                                    <w:t>minut</w:t>
                                  </w:r>
                                </w:p>
                                <w:p w14:paraId="5C386246" w14:textId="77777777" w:rsidR="00FE78F1" w:rsidRPr="00151F2F" w:rsidRDefault="00FE78F1" w:rsidP="00D025AF">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9B971" id="Text Box 85" o:spid="_x0000_s1043" type="#_x0000_t202" style="position:absolute;margin-left:25.95pt;margin-top:30.7pt;width:53.55pt;height:55.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" filled="f" stroked="f">
                      <v:textbox inset="0,0,0,0">
                        <w:txbxContent>
                          <w:p w14:paraId="7BB7FB80" w14:textId="0969A7DC" w:rsidR="00FE78F1" w:rsidRPr="00151F2F" w:rsidRDefault="00FE78F1" w:rsidP="00D025AF">
                            <w:pPr>
                              <w:spacing w:line="216" w:lineRule="auto"/>
                              <w:jc w:val="center"/>
                              <w:rPr>
                                <w:rFonts w:ascii="Arial" w:hAnsi="Arial" w:cs="Arial"/>
                                <w:b/>
                                <w:bCs/>
                                <w:sz w:val="16"/>
                                <w:szCs w:val="16"/>
                              </w:rPr>
                            </w:pPr>
                            <w:r w:rsidRPr="00C85D61">
                              <w:rPr>
                                <w:rFonts w:ascii="Arial" w:hAnsi="Arial"/>
                                <w:b/>
                                <w:sz w:val="36"/>
                              </w:rPr>
                              <w:t xml:space="preserve">30 </w:t>
                            </w:r>
                            <w:r w:rsidRPr="0081094B">
                              <w:rPr>
                                <w:rFonts w:ascii="Arial" w:hAnsi="Arial"/>
                                <w:b/>
                                <w:sz w:val="24"/>
                                <w:szCs w:val="24"/>
                              </w:rPr>
                              <w:t>minut</w:t>
                            </w:r>
                          </w:p>
                          <w:p w14:paraId="5C386246" w14:textId="77777777" w:rsidR="00FE78F1" w:rsidRPr="00151F2F" w:rsidRDefault="00FE78F1" w:rsidP="00D025AF">
                            <w:pPr>
                              <w:spacing w:line="216" w:lineRule="auto"/>
                              <w:jc w:val="center"/>
                              <w:rPr>
                                <w:rFonts w:ascii="Arial" w:hAnsi="Arial" w:cs="Arial"/>
                                <w:b/>
                                <w:bCs/>
                                <w:sz w:val="16"/>
                                <w:szCs w:val="16"/>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45952" behindDoc="0" locked="1" layoutInCell="1" allowOverlap="1" wp14:anchorId="46D39634" wp14:editId="7C30BD50">
                      <wp:simplePos x="0" y="0"/>
                      <wp:positionH relativeFrom="column">
                        <wp:posOffset>-1918970</wp:posOffset>
                      </wp:positionH>
                      <wp:positionV relativeFrom="page">
                        <wp:posOffset>446405</wp:posOffset>
                      </wp:positionV>
                      <wp:extent cx="767080" cy="489585"/>
                      <wp:effectExtent l="0" t="0" r="0" b="0"/>
                      <wp:wrapNone/>
                      <wp:docPr id="194476710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7A1EEC2C" w14:textId="77777777" w:rsidR="00FE78F1" w:rsidRPr="00151F2F" w:rsidRDefault="00FE78F1" w:rsidP="00D025AF">
                                  <w:pPr>
                                    <w:spacing w:line="216" w:lineRule="auto"/>
                                    <w:jc w:val="center"/>
                                    <w:rPr>
                                      <w:rFonts w:ascii="Arial" w:hAnsi="Arial" w:cs="Arial"/>
                                      <w:b/>
                                      <w:bCs/>
                                      <w:sz w:val="16"/>
                                      <w:szCs w:val="16"/>
                                    </w:rPr>
                                  </w:pPr>
                                  <w:r w:rsidRPr="00151F2F">
                                    <w:rPr>
                                      <w:rFonts w:ascii="Arial" w:hAnsi="Arial"/>
                                      <w:b/>
                                      <w:sz w:val="36"/>
                                    </w:rPr>
                                    <w:t>30</w:t>
                                  </w:r>
                                  <w:r w:rsidRPr="00151F2F">
                                    <w:rPr>
                                      <w:rFonts w:ascii="Arial" w:hAnsi="Arial"/>
                                      <w:b/>
                                      <w:sz w:val="16"/>
                                    </w:rPr>
                                    <w:t xml:space="preserve"> </w:t>
                                  </w:r>
                                  <w:r w:rsidRPr="00151F2F">
                                    <w:rPr>
                                      <w:rFonts w:ascii="Arial" w:hAnsi="Arial"/>
                                      <w:b/>
                                      <w:sz w:val="16"/>
                                    </w:rPr>
                                    <w:br/>
                                  </w:r>
                                  <w:r w:rsidRPr="00151F2F">
                                    <w:rPr>
                                      <w:rFonts w:ascii="Arial" w:hAnsi="Arial"/>
                                      <w:b/>
                                      <w:sz w:val="24"/>
                                    </w:rPr>
                                    <w:t>minutes</w:t>
                                  </w:r>
                                </w:p>
                                <w:p w14:paraId="0F573E89" w14:textId="77777777" w:rsidR="00FE78F1" w:rsidRPr="00151F2F" w:rsidRDefault="00FE78F1" w:rsidP="00D025AF">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39634" id="Text Box 83" o:spid="_x0000_s1044" type="#_x0000_t202" style="position:absolute;margin-left:-151.1pt;margin-top:35.15pt;width:60.4pt;height:38.5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ZCzMTdoBAACYAwAADgAAAAAAAAAAAAAAAAAuAgAAZHJzL2Uyb0RvYy54bWxQSwECLQAUAAYA&#10;CAAAACEA2dqNtuIAAAAMAQAADwAAAAAAAAAAAAAAAAA0BAAAZHJzL2Rvd25yZXYueG1sUEsFBgAA&#10;AAAEAAQA8wAAAEMFAAAAAA==&#10;" filled="f" stroked="f">
                      <v:textbox inset="0,0,0,0">
                        <w:txbxContent>
                          <w:p w14:paraId="7A1EEC2C" w14:textId="77777777" w:rsidR="00FE78F1" w:rsidRPr="00151F2F" w:rsidRDefault="00FE78F1" w:rsidP="00D025AF">
                            <w:pPr>
                              <w:spacing w:line="216" w:lineRule="auto"/>
                              <w:jc w:val="center"/>
                              <w:rPr>
                                <w:rFonts w:ascii="Arial" w:hAnsi="Arial" w:cs="Arial"/>
                                <w:b/>
                                <w:bCs/>
                                <w:sz w:val="16"/>
                                <w:szCs w:val="16"/>
                              </w:rPr>
                            </w:pPr>
                            <w:r w:rsidRPr="00151F2F">
                              <w:rPr>
                                <w:rFonts w:ascii="Arial" w:hAnsi="Arial"/>
                                <w:b/>
                                <w:sz w:val="36"/>
                              </w:rPr>
                              <w:t>30</w:t>
                            </w:r>
                            <w:r w:rsidRPr="00151F2F">
                              <w:rPr>
                                <w:rFonts w:ascii="Arial" w:hAnsi="Arial"/>
                                <w:b/>
                                <w:sz w:val="16"/>
                              </w:rPr>
                              <w:t xml:space="preserve"> </w:t>
                            </w:r>
                            <w:r w:rsidRPr="00151F2F">
                              <w:rPr>
                                <w:rFonts w:ascii="Arial" w:hAnsi="Arial"/>
                                <w:b/>
                                <w:sz w:val="16"/>
                              </w:rPr>
                              <w:br/>
                            </w:r>
                            <w:r w:rsidRPr="00151F2F">
                              <w:rPr>
                                <w:rFonts w:ascii="Arial" w:hAnsi="Arial"/>
                                <w:b/>
                                <w:sz w:val="24"/>
                              </w:rPr>
                              <w:t>minutes</w:t>
                            </w:r>
                          </w:p>
                          <w:p w14:paraId="0F573E89" w14:textId="77777777" w:rsidR="00FE78F1" w:rsidRPr="00151F2F" w:rsidRDefault="00FE78F1" w:rsidP="00D025AF">
                            <w:pPr>
                              <w:spacing w:line="216" w:lineRule="auto"/>
                              <w:jc w:val="center"/>
                              <w:rPr>
                                <w:rFonts w:ascii="Arial" w:hAnsi="Arial" w:cs="Arial"/>
                                <w:b/>
                                <w:bCs/>
                                <w:sz w:val="16"/>
                                <w:szCs w:val="16"/>
                              </w:rPr>
                            </w:pPr>
                          </w:p>
                        </w:txbxContent>
                      </v:textbox>
                      <w10:wrap anchory="page"/>
                      <w10:anchorlock/>
                    </v:shape>
                  </w:pict>
                </mc:Fallback>
              </mc:AlternateContent>
            </w:r>
            <w:r>
              <w:rPr>
                <w:noProof/>
                <w:lang w:val="en-US" w:eastAsia="ko-KR"/>
              </w:rPr>
              <w:drawing>
                <wp:inline distT="0" distB="0" distL="0" distR="0" wp14:anchorId="7AC81C85" wp14:editId="2933DCF9">
                  <wp:extent cx="2103120" cy="2559050"/>
                  <wp:effectExtent l="19050" t="19050" r="0" b="0"/>
                  <wp:docPr id="11" name="그림 1"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공구, 시계, 일러스트레이션, 디자인이(가) 표시된 사진&#10;&#10;자동 생성된 설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3120" cy="2559050"/>
                          </a:xfrm>
                          <a:prstGeom prst="rect">
                            <a:avLst/>
                          </a:prstGeom>
                          <a:noFill/>
                          <a:ln w="9525" cmpd="sng">
                            <a:solidFill>
                              <a:srgbClr val="000000"/>
                            </a:solidFill>
                            <a:miter lim="800000"/>
                            <a:headEnd/>
                            <a:tailEnd/>
                          </a:ln>
                          <a:effectLst/>
                        </pic:spPr>
                      </pic:pic>
                    </a:graphicData>
                  </a:graphic>
                </wp:inline>
              </w:drawing>
            </w:r>
          </w:p>
          <w:p w14:paraId="65E2A26C" w14:textId="2D5D6EC6" w:rsidR="00D025AF" w:rsidRPr="00F13073" w:rsidRDefault="00D025AF">
            <w:pPr>
              <w:suppressAutoHyphens/>
              <w:jc w:val="right"/>
              <w:rPr>
                <w:b/>
                <w:bCs/>
              </w:rPr>
            </w:pPr>
            <w:r w:rsidRPr="00F13073">
              <w:rPr>
                <w:b/>
              </w:rPr>
              <w:t xml:space="preserve">Rysunek </w:t>
            </w:r>
            <w:r w:rsidR="003445BF" w:rsidRPr="00F13073">
              <w:rPr>
                <w:b/>
              </w:rPr>
              <w:t>E</w:t>
            </w:r>
          </w:p>
        </w:tc>
        <w:tc>
          <w:tcPr>
            <w:tcW w:w="5517" w:type="dxa"/>
          </w:tcPr>
          <w:p w14:paraId="427E0252" w14:textId="77777777" w:rsidR="00D025AF" w:rsidRPr="00F13073" w:rsidRDefault="00D025AF">
            <w:pPr>
              <w:pStyle w:val="a4"/>
              <w:numPr>
                <w:ilvl w:val="0"/>
                <w:numId w:val="30"/>
              </w:numPr>
              <w:suppressAutoHyphens/>
              <w:spacing w:after="0"/>
              <w:ind w:left="567" w:hanging="567"/>
              <w:rPr>
                <w:b/>
              </w:rPr>
            </w:pPr>
            <w:r w:rsidRPr="00F13073">
              <w:rPr>
                <w:b/>
              </w:rPr>
              <w:t>Odczekać 30 minut.</w:t>
            </w:r>
          </w:p>
          <w:p w14:paraId="772BCBA4" w14:textId="77777777" w:rsidR="00D025AF" w:rsidRPr="00F13073" w:rsidRDefault="00D025AF">
            <w:pPr>
              <w:suppressAutoHyphens/>
              <w:ind w:left="567" w:hanging="567"/>
            </w:pPr>
          </w:p>
          <w:p w14:paraId="66305A32" w14:textId="45BC2323" w:rsidR="00D025AF" w:rsidRPr="00F13073" w:rsidRDefault="00D025AF">
            <w:pPr>
              <w:pStyle w:val="a4"/>
              <w:numPr>
                <w:ilvl w:val="0"/>
                <w:numId w:val="34"/>
              </w:numPr>
              <w:suppressAutoHyphens/>
              <w:spacing w:after="0"/>
              <w:ind w:left="567" w:hanging="567"/>
              <w:rPr>
                <w:rFonts w:eastAsia="DengXian"/>
              </w:rPr>
            </w:pPr>
            <w:r w:rsidRPr="00F13073">
              <w:t xml:space="preserve">Pozostawić ampułko-strzykawkę poza opakowaniem tekturowym w temperaturze pokojowej od </w:t>
            </w:r>
            <w:r w:rsidR="00460B7C">
              <w:rPr>
                <w:rFonts w:eastAsia="맑은 고딕" w:hint="eastAsia"/>
                <w:lang w:eastAsia="ko-KR"/>
              </w:rPr>
              <w:t>18</w:t>
            </w:r>
            <w:r w:rsidRPr="00F13073">
              <w:t xml:space="preserve">°C do </w:t>
            </w:r>
            <w:r w:rsidR="00460B7C" w:rsidRPr="00F13073">
              <w:t>2</w:t>
            </w:r>
            <w:r w:rsidR="00460B7C">
              <w:rPr>
                <w:rFonts w:eastAsia="맑은 고딕" w:hint="eastAsia"/>
                <w:lang w:eastAsia="ko-KR"/>
              </w:rPr>
              <w:t>8</w:t>
            </w:r>
            <w:r w:rsidRPr="00F13073">
              <w:t xml:space="preserve">°C na 30 minut, aby umożliwić jej ogrzanie (patrz </w:t>
            </w:r>
            <w:r w:rsidRPr="00F13073">
              <w:rPr>
                <w:b/>
              </w:rPr>
              <w:t>rysunek E</w:t>
            </w:r>
            <w:r w:rsidRPr="00F13073">
              <w:t>).</w:t>
            </w:r>
          </w:p>
          <w:p w14:paraId="680127AC" w14:textId="29F1B472" w:rsidR="00D025AF" w:rsidRPr="00F13073" w:rsidRDefault="00D025AF" w:rsidP="00442587">
            <w:pPr>
              <w:pStyle w:val="a4"/>
              <w:numPr>
                <w:ilvl w:val="0"/>
                <w:numId w:val="29"/>
              </w:numPr>
              <w:tabs>
                <w:tab w:val="left" w:pos="1123"/>
              </w:tabs>
              <w:suppressAutoHyphens/>
              <w:spacing w:after="0"/>
              <w:ind w:left="1134" w:hanging="567"/>
              <w:rPr>
                <w:rFonts w:eastAsia="DengXian"/>
              </w:rPr>
            </w:pPr>
            <w:r w:rsidRPr="00F13073">
              <w:rPr>
                <w:b/>
                <w:bCs/>
              </w:rPr>
              <w:t>Nie należy</w:t>
            </w:r>
            <w:r w:rsidRPr="00F13073">
              <w:t xml:space="preserve"> ogrzewać ampułko-strzykawki za pomocą źródeł ciepła, takich jak gorąca woda lub kuchenka mikrofalowa.</w:t>
            </w:r>
          </w:p>
          <w:p w14:paraId="0F5BE6D3" w14:textId="0BF77E4C"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w:t>
            </w:r>
            <w:r w:rsidRPr="00F13073">
              <w:t xml:space="preserve"> </w:t>
            </w:r>
            <w:r w:rsidRPr="00F13073">
              <w:rPr>
                <w:b/>
                <w:bCs/>
              </w:rPr>
              <w:t>należy</w:t>
            </w:r>
            <w:r w:rsidRPr="00F13073">
              <w:t xml:space="preserve"> pozostawiać ampułko-strzykawki narażonej na bezpośrednie działanie promieni słonecznych.</w:t>
            </w:r>
          </w:p>
          <w:p w14:paraId="53B2F15C" w14:textId="299FB40A"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w:t>
            </w:r>
            <w:r w:rsidRPr="00F13073">
              <w:t xml:space="preserve"> </w:t>
            </w:r>
            <w:r w:rsidRPr="00F13073">
              <w:rPr>
                <w:b/>
                <w:bCs/>
              </w:rPr>
              <w:t>należy</w:t>
            </w:r>
            <w:r w:rsidRPr="00F13073">
              <w:t xml:space="preserve"> zdejmować nasadki, dopóki ampułko-strzykawka nie osiągnie temperatury pokojowej.</w:t>
            </w:r>
          </w:p>
          <w:p w14:paraId="12E245EB" w14:textId="3CCD23D8"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t>Jeśli ampułko-strzykawka nie osiągnie temperatury pokojowej, może to spowodować, że wstrzyknięcie będzie niekomfortowe dla pacjenta, a wciśnięcie tłoka będzie utrudnione.</w:t>
            </w:r>
          </w:p>
          <w:p w14:paraId="0DA106A4" w14:textId="77777777" w:rsidR="00D025AF" w:rsidRPr="00F13073" w:rsidRDefault="00D025AF" w:rsidP="00D854D5"/>
        </w:tc>
      </w:tr>
      <w:tr w:rsidR="00A06126" w:rsidRPr="00F13073" w14:paraId="3B34EF0C" w14:textId="77777777">
        <w:trPr>
          <w:cantSplit/>
        </w:trPr>
        <w:tc>
          <w:tcPr>
            <w:tcW w:w="3539" w:type="dxa"/>
          </w:tcPr>
          <w:p w14:paraId="0EAC0F83" w14:textId="5E665DE9" w:rsidR="00D025AF" w:rsidRPr="00F13073" w:rsidRDefault="004929A7">
            <w:pPr>
              <w:suppressAutoHyphens/>
            </w:pPr>
            <w:r>
              <w:rPr>
                <w:noProof/>
                <w:lang w:val="en-US" w:eastAsia="ko-KR"/>
              </w:rPr>
              <w:lastRenderedPageBreak/>
              <w:drawing>
                <wp:inline distT="0" distB="0" distL="0" distR="0" wp14:anchorId="1B8C973B" wp14:editId="01475927">
                  <wp:extent cx="2103120" cy="2560955"/>
                  <wp:effectExtent l="19050" t="19050" r="0" b="0"/>
                  <wp:docPr id="12" name="그림 1590965773"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90965773" descr="스케치, 그림, 검, 일러스트레이션이(가) 표시된 사진&#10;&#10;자동 생성된 설명"/>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3120" cy="2560955"/>
                          </a:xfrm>
                          <a:prstGeom prst="rect">
                            <a:avLst/>
                          </a:prstGeom>
                          <a:noFill/>
                          <a:ln w="9525" cmpd="sng">
                            <a:solidFill>
                              <a:srgbClr val="000000"/>
                            </a:solidFill>
                            <a:miter lim="800000"/>
                            <a:headEnd/>
                            <a:tailEnd/>
                          </a:ln>
                          <a:effectLst/>
                        </pic:spPr>
                      </pic:pic>
                    </a:graphicData>
                  </a:graphic>
                </wp:inline>
              </w:drawing>
            </w:r>
          </w:p>
          <w:p w14:paraId="79DBCC1C" w14:textId="4538BD19" w:rsidR="00D025AF" w:rsidRPr="00F13073" w:rsidRDefault="00D025AF">
            <w:pPr>
              <w:suppressAutoHyphens/>
              <w:jc w:val="right"/>
              <w:rPr>
                <w:b/>
                <w:bCs/>
              </w:rPr>
            </w:pPr>
            <w:r w:rsidRPr="00F13073">
              <w:rPr>
                <w:b/>
              </w:rPr>
              <w:t xml:space="preserve">Rysunek </w:t>
            </w:r>
            <w:r w:rsidR="003445BF" w:rsidRPr="00F13073">
              <w:rPr>
                <w:b/>
              </w:rPr>
              <w:t>F</w:t>
            </w:r>
          </w:p>
        </w:tc>
        <w:tc>
          <w:tcPr>
            <w:tcW w:w="5517" w:type="dxa"/>
          </w:tcPr>
          <w:p w14:paraId="00323EDE" w14:textId="77777777" w:rsidR="00D025AF" w:rsidRPr="00F13073" w:rsidRDefault="00D025AF">
            <w:pPr>
              <w:pStyle w:val="a4"/>
              <w:numPr>
                <w:ilvl w:val="0"/>
                <w:numId w:val="30"/>
              </w:numPr>
              <w:suppressAutoHyphens/>
              <w:spacing w:after="0"/>
              <w:ind w:left="567" w:hanging="567"/>
              <w:rPr>
                <w:b/>
              </w:rPr>
            </w:pPr>
            <w:r w:rsidRPr="00F13073">
              <w:rPr>
                <w:b/>
              </w:rPr>
              <w:t>Sprawdzić wygląd leku.</w:t>
            </w:r>
          </w:p>
          <w:p w14:paraId="22A28552" w14:textId="77777777" w:rsidR="00D025AF" w:rsidRPr="00F13073" w:rsidRDefault="00D025AF">
            <w:pPr>
              <w:suppressAutoHyphens/>
              <w:ind w:left="567" w:hanging="567"/>
            </w:pPr>
          </w:p>
          <w:p w14:paraId="4FE156E2" w14:textId="3ABCE715" w:rsidR="00D025AF" w:rsidRPr="00F13073" w:rsidRDefault="00D025AF">
            <w:pPr>
              <w:pStyle w:val="a4"/>
              <w:numPr>
                <w:ilvl w:val="0"/>
                <w:numId w:val="35"/>
              </w:numPr>
              <w:suppressAutoHyphens/>
              <w:spacing w:after="0"/>
              <w:ind w:left="567" w:hanging="567"/>
              <w:rPr>
                <w:rFonts w:eastAsia="DengXian"/>
              </w:rPr>
            </w:pPr>
            <w:r w:rsidRPr="00F13073">
              <w:t>Ampułko-strzykawkę z lekiem Avtozm</w:t>
            </w:r>
            <w:r w:rsidR="00C11EE8" w:rsidRPr="00F13073">
              <w:t>a</w:t>
            </w:r>
            <w:r w:rsidRPr="00F13073">
              <w:t xml:space="preserve"> należy trzymać tak, aby nasadka była skierowana w dół.</w:t>
            </w:r>
          </w:p>
          <w:p w14:paraId="12CEF7E4" w14:textId="77777777" w:rsidR="00D025AF" w:rsidRPr="00F13073" w:rsidRDefault="00D025AF">
            <w:pPr>
              <w:pStyle w:val="a4"/>
              <w:numPr>
                <w:ilvl w:val="0"/>
                <w:numId w:val="35"/>
              </w:numPr>
              <w:suppressAutoHyphens/>
              <w:spacing w:after="0"/>
              <w:ind w:left="567" w:hanging="567"/>
              <w:rPr>
                <w:rFonts w:eastAsia="DengXian"/>
              </w:rPr>
            </w:pPr>
            <w:r w:rsidRPr="00F13073">
              <w:t xml:space="preserve">Spojrzeć na lek i upewnić się, że płyn jest przezroczysty i bezbarwny do bladożółtego oraz nie zawiera żadnych widocznych cząsteczek ani drobin (patrz </w:t>
            </w:r>
            <w:r w:rsidRPr="00F13073">
              <w:rPr>
                <w:b/>
              </w:rPr>
              <w:t>rysunek F</w:t>
            </w:r>
            <w:r w:rsidRPr="00F13073">
              <w:t>).</w:t>
            </w:r>
          </w:p>
          <w:p w14:paraId="2908ACDD" w14:textId="28936C40"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 xml:space="preserve">Nie </w:t>
            </w:r>
            <w:r w:rsidRPr="00F13073">
              <w:t>stosować ampułko-strzykawki, jeśli płyn jest odbarwiony, mętny lub widoczne są w nim cząstki lub drobiny. W takim przypadku ampułko-strzykawkę należy bezpiecznie wyrzucić do pojemnika na ostre odpady medyczne i użyć nowej.</w:t>
            </w:r>
          </w:p>
          <w:p w14:paraId="4CDC5541" w14:textId="09C9E92A"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t>Obecność pęcherzyków powietrza jest zjawiskiem normalnym.</w:t>
            </w:r>
          </w:p>
          <w:p w14:paraId="3BBF7694" w14:textId="77777777" w:rsidR="00D025AF" w:rsidRPr="00F13073" w:rsidRDefault="00D025AF" w:rsidP="00D854D5"/>
        </w:tc>
      </w:tr>
      <w:tr w:rsidR="00A06126" w:rsidRPr="00F13073" w14:paraId="128C85E6" w14:textId="77777777">
        <w:trPr>
          <w:cantSplit/>
        </w:trPr>
        <w:tc>
          <w:tcPr>
            <w:tcW w:w="3539" w:type="dxa"/>
          </w:tcPr>
          <w:p w14:paraId="78C36CAF" w14:textId="79A1A1CA" w:rsidR="00D025AF" w:rsidRPr="00F13073" w:rsidRDefault="004929A7">
            <w:pPr>
              <w:suppressAutoHyphens/>
            </w:pPr>
            <w:r>
              <w:rPr>
                <w:noProof/>
                <w:lang w:val="en-US" w:eastAsia="ko-KR"/>
              </w:rPr>
              <w:drawing>
                <wp:inline distT="0" distB="0" distL="0" distR="0" wp14:anchorId="6D3AC404" wp14:editId="026F0F11">
                  <wp:extent cx="2103120" cy="2560320"/>
                  <wp:effectExtent l="19050" t="19050" r="0" b="0"/>
                  <wp:docPr id="13" name="그림 1920431552"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20431552" descr="스케치, 그림, 라인 아트, 아동 미술이(가) 표시된 사진&#10;&#10;자동 생성된 설명"/>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3120" cy="2560320"/>
                          </a:xfrm>
                          <a:prstGeom prst="rect">
                            <a:avLst/>
                          </a:prstGeom>
                          <a:noFill/>
                          <a:ln w="9525" cmpd="sng">
                            <a:solidFill>
                              <a:srgbClr val="000000"/>
                            </a:solidFill>
                            <a:miter lim="800000"/>
                            <a:headEnd/>
                            <a:tailEnd/>
                          </a:ln>
                          <a:effectLst/>
                        </pic:spPr>
                      </pic:pic>
                    </a:graphicData>
                  </a:graphic>
                </wp:inline>
              </w:drawing>
            </w:r>
          </w:p>
          <w:p w14:paraId="7C2D60CB" w14:textId="77777777" w:rsidR="00D025AF" w:rsidRPr="00F13073" w:rsidRDefault="00D025AF">
            <w:pPr>
              <w:suppressAutoHyphens/>
              <w:jc w:val="right"/>
              <w:rPr>
                <w:b/>
                <w:bCs/>
              </w:rPr>
            </w:pPr>
            <w:r w:rsidRPr="00F13073">
              <w:rPr>
                <w:b/>
              </w:rPr>
              <w:t>Rysunek G</w:t>
            </w:r>
          </w:p>
        </w:tc>
        <w:tc>
          <w:tcPr>
            <w:tcW w:w="5517" w:type="dxa"/>
          </w:tcPr>
          <w:p w14:paraId="73E74940" w14:textId="77777777" w:rsidR="00D025AF" w:rsidRPr="00F13073" w:rsidRDefault="00D025AF">
            <w:pPr>
              <w:pStyle w:val="a4"/>
              <w:numPr>
                <w:ilvl w:val="0"/>
                <w:numId w:val="30"/>
              </w:numPr>
              <w:suppressAutoHyphens/>
              <w:spacing w:after="0"/>
              <w:ind w:left="567" w:hanging="567"/>
              <w:rPr>
                <w:b/>
              </w:rPr>
            </w:pPr>
            <w:r w:rsidRPr="00F13073">
              <w:rPr>
                <w:b/>
              </w:rPr>
              <w:t>Umyć ręce.</w:t>
            </w:r>
          </w:p>
          <w:p w14:paraId="0AF1FFAF" w14:textId="77777777" w:rsidR="00D025AF" w:rsidRPr="00F13073" w:rsidRDefault="00D025AF">
            <w:pPr>
              <w:suppressAutoHyphens/>
              <w:ind w:left="567" w:hanging="567"/>
            </w:pPr>
          </w:p>
          <w:p w14:paraId="00EA918D" w14:textId="77777777" w:rsidR="00D025AF" w:rsidRPr="00F13073" w:rsidRDefault="00D025AF">
            <w:pPr>
              <w:pStyle w:val="a4"/>
              <w:numPr>
                <w:ilvl w:val="0"/>
                <w:numId w:val="36"/>
              </w:numPr>
              <w:suppressAutoHyphens/>
              <w:spacing w:after="0"/>
              <w:ind w:left="567" w:hanging="567"/>
              <w:rPr>
                <w:rFonts w:eastAsia="DengXian"/>
              </w:rPr>
            </w:pPr>
            <w:r w:rsidRPr="00F13073">
              <w:t xml:space="preserve">Dokładnie umyć ręce wodą z mydłem i osuszyć je (patrz </w:t>
            </w:r>
            <w:r w:rsidRPr="00F13073">
              <w:rPr>
                <w:b/>
              </w:rPr>
              <w:t>rysunek G</w:t>
            </w:r>
            <w:r w:rsidRPr="00F13073">
              <w:t>).</w:t>
            </w:r>
          </w:p>
          <w:p w14:paraId="41DE91CF" w14:textId="77777777" w:rsidR="00D025AF" w:rsidRPr="00F13073" w:rsidRDefault="00D025AF" w:rsidP="00D854D5"/>
        </w:tc>
      </w:tr>
      <w:tr w:rsidR="00A06126" w:rsidRPr="00F13073" w14:paraId="48417244" w14:textId="77777777">
        <w:trPr>
          <w:cantSplit/>
        </w:trPr>
        <w:tc>
          <w:tcPr>
            <w:tcW w:w="3539" w:type="dxa"/>
          </w:tcPr>
          <w:p w14:paraId="33F98360" w14:textId="67FEFC74" w:rsidR="00D025AF" w:rsidRPr="00F13073" w:rsidRDefault="004929A7">
            <w:pPr>
              <w:suppressAutoHyphens/>
            </w:pPr>
            <w:r>
              <w:rPr>
                <w:noProof/>
                <w:lang w:val="en-US" w:eastAsia="ko-KR"/>
              </w:rPr>
              <w:drawing>
                <wp:inline distT="0" distB="0" distL="0" distR="0" wp14:anchorId="5351C8DF" wp14:editId="68E6595C">
                  <wp:extent cx="2101850" cy="3291840"/>
                  <wp:effectExtent l="19050" t="19050" r="0" b="3810"/>
                  <wp:docPr id="14" name="그림 1910960139"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10960139" descr="스케치, 화이트, 그림, 디자인이(가) 표시된 사진&#10;&#10;자동 생성된 설명"/>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1850" cy="3291840"/>
                          </a:xfrm>
                          <a:prstGeom prst="rect">
                            <a:avLst/>
                          </a:prstGeom>
                          <a:noFill/>
                          <a:ln w="9525" cmpd="sng">
                            <a:solidFill>
                              <a:srgbClr val="000000"/>
                            </a:solidFill>
                            <a:miter lim="800000"/>
                            <a:headEnd/>
                            <a:tailEnd/>
                          </a:ln>
                          <a:effectLst/>
                        </pic:spPr>
                      </pic:pic>
                    </a:graphicData>
                  </a:graphic>
                </wp:inline>
              </w:drawing>
            </w:r>
          </w:p>
          <w:p w14:paraId="0631C3E8" w14:textId="21C11479" w:rsidR="00D025AF"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50048" behindDoc="0" locked="1" layoutInCell="1" allowOverlap="1" wp14:anchorId="702E4AD8" wp14:editId="58FA9F60">
                      <wp:simplePos x="0" y="0"/>
                      <wp:positionH relativeFrom="column">
                        <wp:posOffset>574675</wp:posOffset>
                      </wp:positionH>
                      <wp:positionV relativeFrom="page">
                        <wp:posOffset>2877820</wp:posOffset>
                      </wp:positionV>
                      <wp:extent cx="1590040" cy="761365"/>
                      <wp:effectExtent l="0" t="0" r="0" b="0"/>
                      <wp:wrapNone/>
                      <wp:docPr id="41942014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761365"/>
                              </a:xfrm>
                              <a:prstGeom prst="rect">
                                <a:avLst/>
                              </a:prstGeom>
                              <a:noFill/>
                              <a:ln>
                                <a:noFill/>
                              </a:ln>
                            </wps:spPr>
                            <wps:txbx>
                              <w:txbxContent>
                                <w:p w14:paraId="2106CCA3" w14:textId="03EDDD3C" w:rsidR="00FE78F1" w:rsidRPr="0081094B" w:rsidRDefault="00FE78F1" w:rsidP="00D025AF">
                                  <w:pPr>
                                    <w:rPr>
                                      <w:rFonts w:ascii="Arial" w:hAnsi="Arial" w:cs="Arial"/>
                                      <w:b/>
                                      <w:bCs/>
                                      <w:sz w:val="18"/>
                                      <w:szCs w:val="18"/>
                                    </w:rPr>
                                  </w:pPr>
                                  <w:r w:rsidRPr="0081094B">
                                    <w:rPr>
                                      <w:rFonts w:ascii="Arial" w:hAnsi="Arial"/>
                                      <w:b/>
                                      <w:sz w:val="18"/>
                                      <w:szCs w:val="18"/>
                                    </w:rPr>
                                    <w:t>Wstrzyknięcie samodzielne lub przez opiekuna/</w:t>
                                  </w:r>
                                  <w:r>
                                    <w:rPr>
                                      <w:rFonts w:ascii="Arial" w:hAnsi="Arial"/>
                                      <w:b/>
                                      <w:sz w:val="18"/>
                                      <w:szCs w:val="18"/>
                                    </w:rPr>
                                    <w:br/>
                                  </w:r>
                                  <w:r w:rsidRPr="0081094B">
                                    <w:rPr>
                                      <w:rFonts w:ascii="Arial" w:hAnsi="Arial"/>
                                      <w:b/>
                                      <w:sz w:val="18"/>
                                      <w:szCs w:val="18"/>
                                    </w:rPr>
                                    <w:t>personel medyczny</w:t>
                                  </w:r>
                                </w:p>
                                <w:p w14:paraId="1CE54BE7" w14:textId="77777777" w:rsidR="00FE78F1" w:rsidRPr="0081094B" w:rsidRDefault="00FE78F1" w:rsidP="00D025AF">
                                  <w:pPr>
                                    <w:rPr>
                                      <w:rFonts w:ascii="Arial" w:hAnsi="Arial" w:cs="Arial"/>
                                      <w:b/>
                                      <w:bC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E4AD8" id="Text Box 81" o:spid="_x0000_s1045" type="#_x0000_t202" style="position:absolute;left:0;text-align:left;margin-left:45.25pt;margin-top:226.6pt;width:125.2pt;height:59.9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" filled="f" stroked="f">
                      <v:textbox inset="0,0,0,0">
                        <w:txbxContent>
                          <w:p w14:paraId="2106CCA3" w14:textId="03EDDD3C" w:rsidR="00FE78F1" w:rsidRPr="0081094B" w:rsidRDefault="00FE78F1" w:rsidP="00D025AF">
                            <w:pPr>
                              <w:rPr>
                                <w:rFonts w:ascii="Arial" w:hAnsi="Arial" w:cs="Arial"/>
                                <w:b/>
                                <w:bCs/>
                                <w:sz w:val="18"/>
                                <w:szCs w:val="18"/>
                              </w:rPr>
                            </w:pPr>
                            <w:r w:rsidRPr="0081094B">
                              <w:rPr>
                                <w:rFonts w:ascii="Arial" w:hAnsi="Arial"/>
                                <w:b/>
                                <w:sz w:val="18"/>
                                <w:szCs w:val="18"/>
                              </w:rPr>
                              <w:t>Wstrzyknięcie samodzielne lub przez opiekuna/</w:t>
                            </w:r>
                            <w:r>
                              <w:rPr>
                                <w:rFonts w:ascii="Arial" w:hAnsi="Arial"/>
                                <w:b/>
                                <w:sz w:val="18"/>
                                <w:szCs w:val="18"/>
                              </w:rPr>
                              <w:br/>
                            </w:r>
                            <w:r w:rsidRPr="0081094B">
                              <w:rPr>
                                <w:rFonts w:ascii="Arial" w:hAnsi="Arial"/>
                                <w:b/>
                                <w:sz w:val="18"/>
                                <w:szCs w:val="18"/>
                              </w:rPr>
                              <w:t>personel medyczny</w:t>
                            </w:r>
                          </w:p>
                          <w:p w14:paraId="1CE54BE7" w14:textId="77777777" w:rsidR="00FE78F1" w:rsidRPr="0081094B" w:rsidRDefault="00FE78F1" w:rsidP="00D025AF">
                            <w:pPr>
                              <w:rPr>
                                <w:rFonts w:ascii="Arial" w:hAnsi="Arial" w:cs="Arial"/>
                                <w:b/>
                                <w:bCs/>
                                <w:sz w:val="18"/>
                                <w:szCs w:val="18"/>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1072" behindDoc="0" locked="1" layoutInCell="1" allowOverlap="1" wp14:anchorId="4BE5E487" wp14:editId="1D3DC8CD">
                      <wp:simplePos x="0" y="0"/>
                      <wp:positionH relativeFrom="column">
                        <wp:posOffset>573405</wp:posOffset>
                      </wp:positionH>
                      <wp:positionV relativeFrom="page">
                        <wp:posOffset>2389505</wp:posOffset>
                      </wp:positionV>
                      <wp:extent cx="1373505" cy="607695"/>
                      <wp:effectExtent l="0" t="0" r="0" b="0"/>
                      <wp:wrapNone/>
                      <wp:docPr id="137328380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607695"/>
                              </a:xfrm>
                              <a:prstGeom prst="rect">
                                <a:avLst/>
                              </a:prstGeom>
                              <a:noFill/>
                              <a:ln>
                                <a:noFill/>
                              </a:ln>
                            </wps:spPr>
                            <wps:txbx>
                              <w:txbxContent>
                                <w:p w14:paraId="239DA9B9" w14:textId="195FFEE0" w:rsidR="00FE78F1" w:rsidRPr="0081094B" w:rsidRDefault="00FE78F1" w:rsidP="00D025AF">
                                  <w:pPr>
                                    <w:rPr>
                                      <w:rFonts w:ascii="Arial" w:hAnsi="Arial" w:cs="Arial"/>
                                      <w:b/>
                                      <w:bCs/>
                                      <w:sz w:val="18"/>
                                      <w:szCs w:val="18"/>
                                    </w:rPr>
                                  </w:pPr>
                                  <w:r w:rsidRPr="0081094B">
                                    <w:rPr>
                                      <w:rFonts w:ascii="Arial" w:hAnsi="Arial"/>
                                      <w:b/>
                                      <w:sz w:val="18"/>
                                      <w:szCs w:val="18"/>
                                    </w:rPr>
                                    <w:t>WYŁĄCZNIE opiekun oraz fachowy personel medyczny</w:t>
                                  </w:r>
                                </w:p>
                                <w:p w14:paraId="7284D8A6" w14:textId="77777777" w:rsidR="00FE78F1" w:rsidRPr="0081094B" w:rsidRDefault="00FE78F1" w:rsidP="00D025AF">
                                  <w:pPr>
                                    <w:rPr>
                                      <w:rFonts w:ascii="Arial" w:hAnsi="Arial" w:cs="Arial"/>
                                      <w:b/>
                                      <w:bC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5E487" id="Text Box 79" o:spid="_x0000_s1046" type="#_x0000_t202" style="position:absolute;left:0;text-align:left;margin-left:45.15pt;margin-top:188.15pt;width:108.15pt;height:47.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" filled="f" stroked="f">
                      <v:textbox inset="0,0,0,0">
                        <w:txbxContent>
                          <w:p w14:paraId="239DA9B9" w14:textId="195FFEE0" w:rsidR="00FE78F1" w:rsidRPr="0081094B" w:rsidRDefault="00FE78F1" w:rsidP="00D025AF">
                            <w:pPr>
                              <w:rPr>
                                <w:rFonts w:ascii="Arial" w:hAnsi="Arial" w:cs="Arial"/>
                                <w:b/>
                                <w:bCs/>
                                <w:sz w:val="18"/>
                                <w:szCs w:val="18"/>
                              </w:rPr>
                            </w:pPr>
                            <w:r w:rsidRPr="0081094B">
                              <w:rPr>
                                <w:rFonts w:ascii="Arial" w:hAnsi="Arial"/>
                                <w:b/>
                                <w:sz w:val="18"/>
                                <w:szCs w:val="18"/>
                              </w:rPr>
                              <w:t>WYŁĄCZNIE opiekun oraz fachowy personel medyczny</w:t>
                            </w:r>
                          </w:p>
                          <w:p w14:paraId="7284D8A6" w14:textId="77777777" w:rsidR="00FE78F1" w:rsidRPr="0081094B" w:rsidRDefault="00FE78F1" w:rsidP="00D025AF">
                            <w:pPr>
                              <w:rPr>
                                <w:rFonts w:ascii="Arial" w:hAnsi="Arial" w:cs="Arial"/>
                                <w:b/>
                                <w:bCs/>
                              </w:rPr>
                            </w:pPr>
                          </w:p>
                        </w:txbxContent>
                      </v:textbox>
                      <w10:wrap anchory="page"/>
                      <w10:anchorlock/>
                    </v:shape>
                  </w:pict>
                </mc:Fallback>
              </mc:AlternateContent>
            </w:r>
            <w:r w:rsidR="00D025AF" w:rsidRPr="00F13073">
              <w:rPr>
                <w:b/>
              </w:rPr>
              <w:t>Rysunek H</w:t>
            </w:r>
          </w:p>
        </w:tc>
        <w:tc>
          <w:tcPr>
            <w:tcW w:w="5517" w:type="dxa"/>
          </w:tcPr>
          <w:p w14:paraId="3E356071" w14:textId="77777777" w:rsidR="00D025AF" w:rsidRPr="00F13073" w:rsidRDefault="00D025AF">
            <w:pPr>
              <w:pStyle w:val="a4"/>
              <w:numPr>
                <w:ilvl w:val="0"/>
                <w:numId w:val="30"/>
              </w:numPr>
              <w:suppressAutoHyphens/>
              <w:spacing w:after="0"/>
              <w:ind w:left="567" w:hanging="567"/>
              <w:rPr>
                <w:b/>
              </w:rPr>
            </w:pPr>
            <w:r w:rsidRPr="00F13073">
              <w:rPr>
                <w:b/>
              </w:rPr>
              <w:t>Wybrać odpowiednie miejsce wstrzyknięcia (patrz rysunek H).</w:t>
            </w:r>
          </w:p>
          <w:p w14:paraId="20C19BA1" w14:textId="77777777" w:rsidR="00D025AF" w:rsidRPr="00F13073" w:rsidRDefault="00D025AF" w:rsidP="00D854D5"/>
          <w:p w14:paraId="3E7C3B64" w14:textId="77777777" w:rsidR="00D025AF" w:rsidRPr="00F13073" w:rsidRDefault="00D025AF">
            <w:pPr>
              <w:pStyle w:val="a4"/>
              <w:numPr>
                <w:ilvl w:val="0"/>
                <w:numId w:val="37"/>
              </w:numPr>
              <w:suppressAutoHyphens/>
              <w:spacing w:after="0"/>
              <w:ind w:left="567" w:hanging="567"/>
              <w:rPr>
                <w:rFonts w:eastAsia="DengXian"/>
              </w:rPr>
            </w:pPr>
            <w:r w:rsidRPr="00F13073">
              <w:t xml:space="preserve">Wstrzyknięcie można wykonać w: </w:t>
            </w:r>
          </w:p>
          <w:p w14:paraId="3EFF453E" w14:textId="77694403" w:rsidR="00D025AF" w:rsidRPr="00F13073" w:rsidRDefault="00D025AF" w:rsidP="00734A30">
            <w:pPr>
              <w:pStyle w:val="a4"/>
              <w:numPr>
                <w:ilvl w:val="0"/>
                <w:numId w:val="38"/>
              </w:numPr>
              <w:tabs>
                <w:tab w:val="left" w:pos="1123"/>
              </w:tabs>
              <w:suppressAutoHyphens/>
              <w:spacing w:after="0"/>
              <w:ind w:left="1134" w:hanging="567"/>
              <w:rPr>
                <w:rFonts w:eastAsia="DengXian"/>
              </w:rPr>
            </w:pPr>
            <w:r w:rsidRPr="00F13073">
              <w:t>Przednią część uda</w:t>
            </w:r>
          </w:p>
          <w:p w14:paraId="62103429" w14:textId="62CB7D40" w:rsidR="00D025AF" w:rsidRPr="00F13073" w:rsidRDefault="00D025AF" w:rsidP="0081094B">
            <w:pPr>
              <w:pStyle w:val="a4"/>
              <w:numPr>
                <w:ilvl w:val="0"/>
                <w:numId w:val="38"/>
              </w:numPr>
              <w:tabs>
                <w:tab w:val="left" w:pos="1123"/>
              </w:tabs>
              <w:suppressAutoHyphens/>
              <w:spacing w:after="0"/>
              <w:ind w:left="1134" w:hanging="567"/>
              <w:rPr>
                <w:rFonts w:eastAsia="DengXian"/>
              </w:rPr>
            </w:pPr>
            <w:r w:rsidRPr="00F13073">
              <w:t>Brzuch, z wyjątkiem okolicy znajdującej się w promieniu 5 cm wokół pępka.</w:t>
            </w:r>
          </w:p>
          <w:p w14:paraId="22AE0487" w14:textId="1206109C" w:rsidR="00D025AF" w:rsidRPr="00F13073" w:rsidRDefault="00D025AF" w:rsidP="0081094B">
            <w:pPr>
              <w:pStyle w:val="a4"/>
              <w:numPr>
                <w:ilvl w:val="0"/>
                <w:numId w:val="38"/>
              </w:numPr>
              <w:tabs>
                <w:tab w:val="left" w:pos="1123"/>
              </w:tabs>
              <w:suppressAutoHyphens/>
              <w:spacing w:after="0"/>
              <w:ind w:left="1134" w:hanging="567"/>
              <w:rPr>
                <w:rFonts w:eastAsia="DengXian"/>
              </w:rPr>
            </w:pPr>
            <w:r w:rsidRPr="00F13073">
              <w:t>Zewnętrzną część ramienia (wyłącznie w przypadku, jeśli wstrzyknięcie wykonuje opiekun lub osoba należąca do fachowego personelu medycznego).</w:t>
            </w:r>
          </w:p>
          <w:p w14:paraId="08F07DA5" w14:textId="05BDAC25"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 należy</w:t>
            </w:r>
            <w:r w:rsidRPr="00F13073">
              <w:t xml:space="preserve"> samodzielnie wstrzykiwać leku w ramię.</w:t>
            </w:r>
          </w:p>
          <w:p w14:paraId="0D10EB2D" w14:textId="044D9C33"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t>W przypadku każdego kolejnego wstrzyknięcia należy wybrać inne miejsce wstrzyknięcia, oddalone o co najmniej 2,5 cm od ostatniego miejsca wstrzyknięcia.</w:t>
            </w:r>
          </w:p>
          <w:p w14:paraId="5D1AD4B8" w14:textId="591D12DF"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w:t>
            </w:r>
            <w:r w:rsidRPr="00F13073">
              <w:t xml:space="preserve"> wstrzykiwać w znamiona, blizny, zasinienia ani obszary, gdzie skóra jest tkliwa, zaczerwieniona lub stwardniała.</w:t>
            </w:r>
          </w:p>
          <w:p w14:paraId="695F7999" w14:textId="64F453CE"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w:t>
            </w:r>
            <w:r w:rsidRPr="00F13073">
              <w:t xml:space="preserve"> wstrzykiwać przez ubranie.</w:t>
            </w:r>
          </w:p>
          <w:p w14:paraId="0EC8CBDC" w14:textId="77777777" w:rsidR="00D025AF" w:rsidRPr="00F13073" w:rsidRDefault="00D025AF" w:rsidP="00D854D5"/>
        </w:tc>
      </w:tr>
      <w:tr w:rsidR="00A06126" w:rsidRPr="00F13073" w14:paraId="5FAAF94E" w14:textId="77777777">
        <w:trPr>
          <w:cantSplit/>
        </w:trPr>
        <w:tc>
          <w:tcPr>
            <w:tcW w:w="3539" w:type="dxa"/>
          </w:tcPr>
          <w:p w14:paraId="11C96F27" w14:textId="1CD9F086" w:rsidR="00D025AF" w:rsidRPr="00F13073" w:rsidRDefault="004929A7">
            <w:pPr>
              <w:suppressAutoHyphens/>
            </w:pPr>
            <w:r>
              <w:rPr>
                <w:noProof/>
                <w:lang w:val="en-US" w:eastAsia="ko-KR"/>
              </w:rPr>
              <w:lastRenderedPageBreak/>
              <w:drawing>
                <wp:inline distT="0" distB="0" distL="0" distR="0" wp14:anchorId="06607FD7" wp14:editId="1775CA2D">
                  <wp:extent cx="2101850" cy="2561590"/>
                  <wp:effectExtent l="19050" t="19050" r="0" b="0"/>
                  <wp:docPr id="15" name="그림 118599828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85998282" descr="스케치, 라인 아트, 클립아트, 그림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1850" cy="2561590"/>
                          </a:xfrm>
                          <a:prstGeom prst="rect">
                            <a:avLst/>
                          </a:prstGeom>
                          <a:noFill/>
                          <a:ln w="9525" cmpd="sng">
                            <a:solidFill>
                              <a:srgbClr val="000000"/>
                            </a:solidFill>
                            <a:miter lim="800000"/>
                            <a:headEnd/>
                            <a:tailEnd/>
                          </a:ln>
                          <a:effectLst/>
                        </pic:spPr>
                      </pic:pic>
                    </a:graphicData>
                  </a:graphic>
                </wp:inline>
              </w:drawing>
            </w:r>
          </w:p>
          <w:p w14:paraId="77B9D37A" w14:textId="77777777" w:rsidR="00D025AF" w:rsidRPr="00F13073" w:rsidRDefault="00D025AF">
            <w:pPr>
              <w:suppressAutoHyphens/>
              <w:jc w:val="right"/>
              <w:rPr>
                <w:b/>
                <w:bCs/>
              </w:rPr>
            </w:pPr>
            <w:r w:rsidRPr="00F13073">
              <w:rPr>
                <w:b/>
              </w:rPr>
              <w:t>Rysunek I</w:t>
            </w:r>
          </w:p>
        </w:tc>
        <w:tc>
          <w:tcPr>
            <w:tcW w:w="5517" w:type="dxa"/>
          </w:tcPr>
          <w:p w14:paraId="2EF2E4E2" w14:textId="77777777" w:rsidR="00D025AF" w:rsidRPr="00F13073" w:rsidRDefault="00D025AF">
            <w:pPr>
              <w:pStyle w:val="a4"/>
              <w:numPr>
                <w:ilvl w:val="0"/>
                <w:numId w:val="30"/>
              </w:numPr>
              <w:suppressAutoHyphens/>
              <w:spacing w:after="0"/>
              <w:ind w:left="567" w:hanging="567"/>
              <w:rPr>
                <w:b/>
              </w:rPr>
            </w:pPr>
            <w:r w:rsidRPr="00F13073">
              <w:rPr>
                <w:b/>
              </w:rPr>
              <w:t>Oczyścić miejsce wstrzyknięcia.</w:t>
            </w:r>
          </w:p>
          <w:p w14:paraId="37438BCB" w14:textId="77777777" w:rsidR="00D025AF" w:rsidRPr="00F13073" w:rsidRDefault="00D025AF">
            <w:pPr>
              <w:suppressAutoHyphens/>
              <w:ind w:left="567" w:hanging="567"/>
            </w:pPr>
          </w:p>
          <w:p w14:paraId="3556AE7B" w14:textId="14085FF5" w:rsidR="00D025AF" w:rsidRPr="00F13073" w:rsidRDefault="00D025AF">
            <w:pPr>
              <w:pStyle w:val="a4"/>
              <w:numPr>
                <w:ilvl w:val="0"/>
                <w:numId w:val="39"/>
              </w:numPr>
              <w:suppressAutoHyphens/>
              <w:spacing w:after="0"/>
              <w:ind w:left="567" w:hanging="567"/>
              <w:rPr>
                <w:rFonts w:eastAsia="DengXian"/>
              </w:rPr>
            </w:pPr>
            <w:r w:rsidRPr="00F13073">
              <w:t xml:space="preserve">Przetrzeć miejsce wstrzyknięcia wacikiem nasączonym alkoholem i pozostawić do wyschnięcia na powietrzu przez około 10 sekund (patrz </w:t>
            </w:r>
            <w:r w:rsidRPr="00F13073">
              <w:rPr>
                <w:b/>
              </w:rPr>
              <w:t>rysunek</w:t>
            </w:r>
            <w:r w:rsidR="001F15E7" w:rsidRPr="00F13073">
              <w:rPr>
                <w:b/>
              </w:rPr>
              <w:t> </w:t>
            </w:r>
            <w:r w:rsidRPr="00F13073">
              <w:rPr>
                <w:b/>
              </w:rPr>
              <w:t>I</w:t>
            </w:r>
            <w:r w:rsidRPr="00F13073">
              <w:t>). Zmniejszy to ryzyko wystąpienia zakażenia.</w:t>
            </w:r>
          </w:p>
          <w:p w14:paraId="59708650" w14:textId="791F99E4"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 xml:space="preserve">Nie należy </w:t>
            </w:r>
            <w:r w:rsidRPr="00F13073">
              <w:t>ponownie dotykać miejsca wstrzyknięcia przed wykonaniem wstrzyknięcia.</w:t>
            </w:r>
          </w:p>
          <w:p w14:paraId="4CDD9EE7" w14:textId="610F9ED6" w:rsidR="00D025AF" w:rsidRPr="00F13073" w:rsidRDefault="00D025AF" w:rsidP="0081094B">
            <w:pPr>
              <w:pStyle w:val="a4"/>
              <w:numPr>
                <w:ilvl w:val="0"/>
                <w:numId w:val="29"/>
              </w:numPr>
              <w:tabs>
                <w:tab w:val="left" w:pos="1123"/>
              </w:tabs>
              <w:suppressAutoHyphens/>
              <w:spacing w:after="0"/>
              <w:ind w:left="1134" w:hanging="567"/>
              <w:rPr>
                <w:rFonts w:eastAsia="DengXian"/>
              </w:rPr>
            </w:pPr>
            <w:r w:rsidRPr="00F13073">
              <w:rPr>
                <w:b/>
              </w:rPr>
              <w:t>Nie</w:t>
            </w:r>
            <w:r w:rsidRPr="00F13073">
              <w:t xml:space="preserve"> wachlować ani nie dmuchać na </w:t>
            </w:r>
            <w:r w:rsidR="001709AC" w:rsidRPr="00F13073">
              <w:t>o</w:t>
            </w:r>
            <w:r w:rsidRPr="00F13073">
              <w:t>czyszczony obszar ciała.</w:t>
            </w:r>
          </w:p>
          <w:p w14:paraId="6D25D6B6" w14:textId="77777777" w:rsidR="00D025AF" w:rsidRPr="00F13073" w:rsidRDefault="00D025AF" w:rsidP="00D854D5"/>
        </w:tc>
      </w:tr>
    </w:tbl>
    <w:p w14:paraId="3D2B0279" w14:textId="77777777" w:rsidR="00D025AF" w:rsidRPr="00F13073" w:rsidRDefault="00D025AF" w:rsidP="00D025AF"/>
    <w:p w14:paraId="360AAD55" w14:textId="77777777" w:rsidR="00D025AF" w:rsidRPr="00F13073" w:rsidRDefault="00D025AF" w:rsidP="00D025AF">
      <w:pPr>
        <w:keepNext/>
        <w:rPr>
          <w:b/>
          <w:bCs/>
        </w:rPr>
      </w:pPr>
      <w:r w:rsidRPr="00F13073">
        <w:rPr>
          <w:b/>
        </w:rPr>
        <w:t>Wykonanie wstrzyknięcia</w:t>
      </w:r>
    </w:p>
    <w:p w14:paraId="52A85365" w14:textId="77777777" w:rsidR="00D025AF" w:rsidRPr="00F13073" w:rsidRDefault="00D025AF" w:rsidP="00D025AF">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76A5BEC2" w14:textId="77777777">
        <w:trPr>
          <w:cantSplit/>
        </w:trPr>
        <w:tc>
          <w:tcPr>
            <w:tcW w:w="3539" w:type="dxa"/>
          </w:tcPr>
          <w:p w14:paraId="1E942867" w14:textId="0E04993C" w:rsidR="00D025AF" w:rsidRPr="00F13073" w:rsidRDefault="004929A7">
            <w:pPr>
              <w:suppressAutoHyphens/>
              <w:jc w:val="right"/>
            </w:pPr>
            <w:r>
              <w:rPr>
                <w:noProof/>
                <w:lang w:val="en-US" w:eastAsia="ko-KR"/>
              </w:rPr>
              <w:drawing>
                <wp:inline distT="0" distB="0" distL="0" distR="0" wp14:anchorId="004271C6" wp14:editId="1526819E">
                  <wp:extent cx="2103120" cy="2561590"/>
                  <wp:effectExtent l="19050" t="19050" r="0" b="0"/>
                  <wp:docPr id="16" name="그림 268006210"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8006210" descr="스케치, 그림, 라인 아트, 클립아트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03120" cy="2561590"/>
                          </a:xfrm>
                          <a:prstGeom prst="rect">
                            <a:avLst/>
                          </a:prstGeom>
                          <a:noFill/>
                          <a:ln w="9525" cmpd="sng">
                            <a:solidFill>
                              <a:srgbClr val="000000"/>
                            </a:solidFill>
                            <a:miter lim="800000"/>
                            <a:headEnd/>
                            <a:tailEnd/>
                          </a:ln>
                          <a:effectLst/>
                        </pic:spPr>
                      </pic:pic>
                    </a:graphicData>
                  </a:graphic>
                </wp:inline>
              </w:drawing>
            </w:r>
          </w:p>
          <w:p w14:paraId="34DEC1AC" w14:textId="77777777" w:rsidR="00D025AF" w:rsidRPr="00F13073" w:rsidRDefault="00D025AF">
            <w:pPr>
              <w:suppressAutoHyphens/>
              <w:jc w:val="right"/>
              <w:rPr>
                <w:b/>
                <w:bCs/>
              </w:rPr>
            </w:pPr>
            <w:r w:rsidRPr="00F13073">
              <w:rPr>
                <w:b/>
              </w:rPr>
              <w:t>Rysunek J</w:t>
            </w:r>
          </w:p>
        </w:tc>
        <w:tc>
          <w:tcPr>
            <w:tcW w:w="5517" w:type="dxa"/>
          </w:tcPr>
          <w:p w14:paraId="60B8BD8C" w14:textId="77777777" w:rsidR="00D025AF" w:rsidRPr="00F13073" w:rsidRDefault="00D025AF">
            <w:pPr>
              <w:pStyle w:val="a4"/>
              <w:numPr>
                <w:ilvl w:val="0"/>
                <w:numId w:val="30"/>
              </w:numPr>
              <w:suppressAutoHyphens/>
              <w:spacing w:after="0"/>
              <w:ind w:left="567" w:hanging="567"/>
              <w:rPr>
                <w:b/>
              </w:rPr>
            </w:pPr>
            <w:r w:rsidRPr="00F13073">
              <w:rPr>
                <w:b/>
              </w:rPr>
              <w:t>Zdjąć nasadkę.</w:t>
            </w:r>
          </w:p>
          <w:p w14:paraId="2A4C8A70" w14:textId="77777777" w:rsidR="00D025AF" w:rsidRPr="00F13073" w:rsidRDefault="00D025AF">
            <w:pPr>
              <w:pStyle w:val="Default"/>
              <w:ind w:left="567" w:hanging="567"/>
              <w:rPr>
                <w:rFonts w:ascii="Times New Roman" w:hAnsi="Times New Roman" w:cs="Times New Roman"/>
                <w:sz w:val="22"/>
                <w:szCs w:val="22"/>
              </w:rPr>
            </w:pPr>
          </w:p>
          <w:p w14:paraId="5567B7B6" w14:textId="77777777" w:rsidR="00D025AF" w:rsidRPr="00F13073" w:rsidRDefault="00D025AF">
            <w:pPr>
              <w:pStyle w:val="a4"/>
              <w:numPr>
                <w:ilvl w:val="0"/>
                <w:numId w:val="40"/>
              </w:numPr>
              <w:spacing w:after="0"/>
              <w:ind w:left="567" w:hanging="567"/>
              <w:rPr>
                <w:bCs/>
              </w:rPr>
            </w:pPr>
            <w:r w:rsidRPr="00F13073">
              <w:rPr>
                <w:color w:val="231F20"/>
              </w:rPr>
              <w:t>Przytrzymać korpus ampułko-strzykawki jedną ręką.</w:t>
            </w:r>
            <w:r w:rsidRPr="00F13073">
              <w:rPr>
                <w:color w:val="231F20"/>
              </w:rPr>
              <w:br/>
            </w:r>
            <w:r w:rsidRPr="00F13073">
              <w:t xml:space="preserve">Drugą ręką ostrożnie zdjąć nasadkę (patrz </w:t>
            </w:r>
            <w:r w:rsidRPr="00F13073">
              <w:rPr>
                <w:b/>
              </w:rPr>
              <w:t>rysunek J</w:t>
            </w:r>
            <w:r w:rsidRPr="00F13073">
              <w:t>).</w:t>
            </w:r>
          </w:p>
          <w:p w14:paraId="06FFB6D5" w14:textId="77777777" w:rsidR="00D025AF" w:rsidRPr="00F13073" w:rsidRDefault="00D025AF">
            <w:pPr>
              <w:pStyle w:val="a4"/>
              <w:spacing w:after="0"/>
              <w:ind w:left="567"/>
              <w:rPr>
                <w:bCs/>
              </w:rPr>
            </w:pPr>
            <w:r w:rsidRPr="00F13073">
              <w:rPr>
                <w:i/>
              </w:rPr>
              <w:t>Uwaga</w:t>
            </w:r>
            <w:r w:rsidRPr="00F13073">
              <w:t>: Jeśli pacjent nie jest w stanie zdjąć nasadki, powinien poprosić o pomoc opiekuna lub skontaktować się z fachowym personelem medycznym.</w:t>
            </w:r>
          </w:p>
          <w:p w14:paraId="1B15CA92" w14:textId="77777777" w:rsidR="00D025AF" w:rsidRPr="00F13073" w:rsidRDefault="00D025AF">
            <w:pPr>
              <w:pStyle w:val="a4"/>
              <w:numPr>
                <w:ilvl w:val="12"/>
                <w:numId w:val="0"/>
              </w:numPr>
              <w:spacing w:after="0"/>
              <w:ind w:left="567" w:hanging="567"/>
              <w:rPr>
                <w:bCs/>
                <w:lang w:eastAsia="ko-KR"/>
              </w:rPr>
            </w:pPr>
          </w:p>
          <w:p w14:paraId="2E08F791" w14:textId="58D5EC89" w:rsidR="00D025AF" w:rsidRPr="00F13073" w:rsidRDefault="00D025AF" w:rsidP="0081094B">
            <w:pPr>
              <w:pStyle w:val="a4"/>
              <w:numPr>
                <w:ilvl w:val="0"/>
                <w:numId w:val="29"/>
              </w:numPr>
              <w:tabs>
                <w:tab w:val="left" w:pos="1123"/>
              </w:tabs>
              <w:suppressAutoHyphens/>
              <w:spacing w:after="0"/>
              <w:ind w:left="1134" w:hanging="567"/>
            </w:pPr>
            <w:r w:rsidRPr="00F13073">
              <w:rPr>
                <w:b/>
              </w:rPr>
              <w:t>Nie</w:t>
            </w:r>
            <w:r w:rsidRPr="00F13073">
              <w:t xml:space="preserve"> trzymać za tłok podczas zdejmowania nasadki.</w:t>
            </w:r>
          </w:p>
          <w:p w14:paraId="290E35D1" w14:textId="7237D9CF" w:rsidR="00D025AF" w:rsidRPr="00F13073" w:rsidRDefault="00D025AF" w:rsidP="0081094B">
            <w:pPr>
              <w:pStyle w:val="a4"/>
              <w:numPr>
                <w:ilvl w:val="0"/>
                <w:numId w:val="29"/>
              </w:numPr>
              <w:tabs>
                <w:tab w:val="left" w:pos="1123"/>
              </w:tabs>
              <w:suppressAutoHyphens/>
              <w:spacing w:after="0"/>
              <w:ind w:left="1134" w:hanging="567"/>
              <w:rPr>
                <w:bCs/>
              </w:rPr>
            </w:pPr>
            <w:r w:rsidRPr="00F13073">
              <w:t>Na końcu igły może pojawić się kropla płynu. Jest to normalne.</w:t>
            </w:r>
          </w:p>
          <w:p w14:paraId="213358FC" w14:textId="5C062568" w:rsidR="00D025AF" w:rsidRPr="00F13073" w:rsidRDefault="00D025AF" w:rsidP="0081094B">
            <w:pPr>
              <w:pStyle w:val="a4"/>
              <w:numPr>
                <w:ilvl w:val="0"/>
                <w:numId w:val="29"/>
              </w:numPr>
              <w:tabs>
                <w:tab w:val="left" w:pos="1123"/>
              </w:tabs>
              <w:suppressAutoHyphens/>
              <w:spacing w:after="0"/>
              <w:ind w:left="1134" w:hanging="567"/>
              <w:rPr>
                <w:bCs/>
              </w:rPr>
            </w:pPr>
            <w:r w:rsidRPr="00F13073">
              <w:t>Jeśli ampułko-strzykawka nie zostanie użyta w ciągu 5 minut od zdjęcia nasadki na igłę, ampułko-strzykawkę należy wyrzucić do pojemnika odpornego na przebicie lub pojemnika na ostre odpady medyczne i użyć nowej ampułko-strzykawki.</w:t>
            </w:r>
          </w:p>
          <w:p w14:paraId="49E98F04" w14:textId="77777777" w:rsidR="00D025AF" w:rsidRPr="00F13073" w:rsidRDefault="00D025AF">
            <w:pPr>
              <w:pStyle w:val="a4"/>
              <w:numPr>
                <w:ilvl w:val="0"/>
                <w:numId w:val="40"/>
              </w:numPr>
              <w:spacing w:after="0"/>
              <w:ind w:left="567" w:hanging="567"/>
            </w:pPr>
            <w:r w:rsidRPr="00F13073">
              <w:rPr>
                <w:color w:val="231F20"/>
              </w:rPr>
              <w:t xml:space="preserve">Nasadkę należy natychmiast wyrzucić do pojemnika na ostre odpady medyczne (patrz </w:t>
            </w:r>
            <w:r w:rsidRPr="00F13073">
              <w:rPr>
                <w:b/>
                <w:color w:val="231F20"/>
              </w:rPr>
              <w:t>krok 14</w:t>
            </w:r>
            <w:r w:rsidRPr="00F13073">
              <w:rPr>
                <w:color w:val="231F20"/>
              </w:rPr>
              <w:t xml:space="preserve"> i punkt </w:t>
            </w:r>
            <w:r w:rsidRPr="00F13073">
              <w:rPr>
                <w:b/>
                <w:color w:val="231F20"/>
              </w:rPr>
              <w:t xml:space="preserve">Usuwanie ampułko-strzykawki </w:t>
            </w:r>
            <w:r w:rsidRPr="00F13073">
              <w:rPr>
                <w:color w:val="231F20"/>
              </w:rPr>
              <w:t xml:space="preserve">oraz </w:t>
            </w:r>
            <w:r w:rsidRPr="00F13073">
              <w:rPr>
                <w:b/>
                <w:color w:val="231F20"/>
              </w:rPr>
              <w:t>rysunek N</w:t>
            </w:r>
            <w:r w:rsidRPr="00F13073">
              <w:rPr>
                <w:color w:val="231F20"/>
              </w:rPr>
              <w:t>).</w:t>
            </w:r>
          </w:p>
          <w:p w14:paraId="202073A2" w14:textId="77777777" w:rsidR="00D025AF" w:rsidRPr="00F13073" w:rsidRDefault="00D025AF">
            <w:pPr>
              <w:pStyle w:val="a4"/>
              <w:spacing w:after="0"/>
              <w:ind w:left="567" w:hanging="567"/>
            </w:pPr>
          </w:p>
          <w:p w14:paraId="1800C5E7" w14:textId="74A8B3DA" w:rsidR="00D025AF" w:rsidRPr="00F13073" w:rsidRDefault="00D025AF" w:rsidP="0081094B">
            <w:pPr>
              <w:pStyle w:val="a4"/>
              <w:numPr>
                <w:ilvl w:val="0"/>
                <w:numId w:val="29"/>
              </w:numPr>
              <w:tabs>
                <w:tab w:val="left" w:pos="1123"/>
              </w:tabs>
              <w:suppressAutoHyphens/>
              <w:spacing w:after="0"/>
              <w:ind w:left="1134" w:hanging="567"/>
            </w:pPr>
            <w:r w:rsidRPr="00F13073">
              <w:rPr>
                <w:b/>
              </w:rPr>
              <w:t>Nie należy</w:t>
            </w:r>
            <w:r w:rsidRPr="00F13073">
              <w:t xml:space="preserve"> ponownie zakładać nasadki na ampułko-strzykawkę.</w:t>
            </w:r>
          </w:p>
          <w:p w14:paraId="70B4DD4C" w14:textId="4465F3B3" w:rsidR="00D025AF" w:rsidRPr="00F13073" w:rsidRDefault="00D025AF" w:rsidP="0081094B">
            <w:pPr>
              <w:pStyle w:val="a4"/>
              <w:numPr>
                <w:ilvl w:val="0"/>
                <w:numId w:val="29"/>
              </w:numPr>
              <w:tabs>
                <w:tab w:val="left" w:pos="1123"/>
              </w:tabs>
              <w:suppressAutoHyphens/>
              <w:spacing w:after="0"/>
              <w:ind w:left="1134" w:hanging="567"/>
              <w:rPr>
                <w:b/>
              </w:rPr>
            </w:pPr>
            <w:r w:rsidRPr="00F13073">
              <w:rPr>
                <w:b/>
              </w:rPr>
              <w:t>Nie</w:t>
            </w:r>
            <w:r w:rsidRPr="00F13073">
              <w:t xml:space="preserve"> </w:t>
            </w:r>
            <w:r w:rsidRPr="00F13073">
              <w:rPr>
                <w:b/>
                <w:bCs/>
              </w:rPr>
              <w:t>należy</w:t>
            </w:r>
            <w:r w:rsidRPr="00F13073">
              <w:t xml:space="preserve"> dotykać osłony igły na końcu ampułko-strzykawki, aby uniknąć przypadkowego zakłucia igłą.</w:t>
            </w:r>
          </w:p>
          <w:p w14:paraId="659A9728" w14:textId="77777777" w:rsidR="00D025AF" w:rsidRPr="00F13073" w:rsidRDefault="00D025AF" w:rsidP="00D854D5"/>
        </w:tc>
      </w:tr>
      <w:tr w:rsidR="00A06126" w:rsidRPr="00F13073" w14:paraId="44689203" w14:textId="77777777">
        <w:trPr>
          <w:cantSplit/>
        </w:trPr>
        <w:tc>
          <w:tcPr>
            <w:tcW w:w="3539" w:type="dxa"/>
          </w:tcPr>
          <w:p w14:paraId="4F940187" w14:textId="64201751" w:rsidR="00D025AF" w:rsidRPr="00F13073" w:rsidRDefault="004929A7">
            <w:pPr>
              <w:suppressAutoHyphens/>
              <w:jc w:val="right"/>
            </w:pPr>
            <w:r>
              <w:rPr>
                <w:noProof/>
                <w:lang w:val="en-US" w:eastAsia="ko-KR"/>
              </w:rPr>
              <w:lastRenderedPageBreak/>
              <mc:AlternateContent>
                <mc:Choice Requires="wps">
                  <w:drawing>
                    <wp:anchor distT="45720" distB="45720" distL="114300" distR="114300" simplePos="0" relativeHeight="251658240" behindDoc="0" locked="0" layoutInCell="1" allowOverlap="1" wp14:anchorId="10D86354" wp14:editId="109FF8FF">
                      <wp:simplePos x="0" y="0"/>
                      <wp:positionH relativeFrom="column">
                        <wp:posOffset>432435</wp:posOffset>
                      </wp:positionH>
                      <wp:positionV relativeFrom="page">
                        <wp:posOffset>3077210</wp:posOffset>
                      </wp:positionV>
                      <wp:extent cx="629920" cy="306705"/>
                      <wp:effectExtent l="0" t="0" r="0" b="0"/>
                      <wp:wrapNone/>
                      <wp:docPr id="166623720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515A4226" w14:textId="75DA3E98" w:rsidR="00FE78F1" w:rsidRPr="00151F2F" w:rsidRDefault="00FE78F1" w:rsidP="00D025AF">
                                  <w:pPr>
                                    <w:rPr>
                                      <w:rFonts w:ascii="Arial" w:hAnsi="Arial" w:cs="Arial"/>
                                      <w:b/>
                                      <w:bCs/>
                                      <w:sz w:val="21"/>
                                      <w:szCs w:val="21"/>
                                    </w:rPr>
                                  </w:pPr>
                                  <w:r w:rsidRPr="004C0059">
                                    <w:rPr>
                                      <w:rFonts w:ascii="Arial" w:hAnsi="Arial"/>
                                      <w:b/>
                                      <w:sz w:val="21"/>
                                    </w:rPr>
                                    <w:t>OK</w:t>
                                  </w:r>
                                </w:p>
                                <w:p w14:paraId="0EA892E9" w14:textId="77777777" w:rsidR="00FE78F1" w:rsidRPr="00151F2F" w:rsidRDefault="00FE78F1" w:rsidP="00D025AF">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0D86354" id="Text Box 77" o:spid="_x0000_s1047" type="#_x0000_t202" style="position:absolute;left:0;text-align:left;margin-left:34.05pt;margin-top:242.3pt;width:49.6pt;height:24.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" filled="f" stroked="f">
                      <v:textbox style="mso-fit-shape-to-text:t" inset="0,0,0,0">
                        <w:txbxContent>
                          <w:p w14:paraId="515A4226" w14:textId="75DA3E98" w:rsidR="00FE78F1" w:rsidRPr="00151F2F" w:rsidRDefault="00FE78F1" w:rsidP="00D025AF">
                            <w:pPr>
                              <w:rPr>
                                <w:rFonts w:ascii="Arial" w:hAnsi="Arial" w:cs="Arial"/>
                                <w:b/>
                                <w:bCs/>
                                <w:sz w:val="21"/>
                                <w:szCs w:val="21"/>
                              </w:rPr>
                            </w:pPr>
                            <w:r w:rsidRPr="004C0059">
                              <w:rPr>
                                <w:rFonts w:ascii="Arial" w:hAnsi="Arial"/>
                                <w:b/>
                                <w:sz w:val="21"/>
                              </w:rPr>
                              <w:t>OK</w:t>
                            </w:r>
                          </w:p>
                          <w:p w14:paraId="0EA892E9" w14:textId="77777777" w:rsidR="00FE78F1" w:rsidRPr="00151F2F" w:rsidRDefault="00FE78F1" w:rsidP="00D025AF">
                            <w:pPr>
                              <w:rPr>
                                <w:rFonts w:ascii="Arial" w:hAnsi="Arial"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5168" behindDoc="0" locked="0" layoutInCell="1" allowOverlap="1" wp14:anchorId="55416FF0" wp14:editId="10D9F226">
                      <wp:simplePos x="0" y="0"/>
                      <wp:positionH relativeFrom="column">
                        <wp:posOffset>609600</wp:posOffset>
                      </wp:positionH>
                      <wp:positionV relativeFrom="page">
                        <wp:posOffset>500380</wp:posOffset>
                      </wp:positionV>
                      <wp:extent cx="629920" cy="306705"/>
                      <wp:effectExtent l="0" t="0" r="0" b="0"/>
                      <wp:wrapNone/>
                      <wp:docPr id="163113648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2DC34DE3" w14:textId="2530B6C2" w:rsidR="00FE78F1" w:rsidRPr="00151F2F" w:rsidRDefault="00FE78F1" w:rsidP="00D025AF">
                                  <w:pPr>
                                    <w:rPr>
                                      <w:rFonts w:ascii="Arial" w:hAnsi="Arial" w:cs="Arial"/>
                                      <w:b/>
                                      <w:bCs/>
                                      <w:sz w:val="21"/>
                                      <w:szCs w:val="21"/>
                                    </w:rPr>
                                  </w:pPr>
                                  <w:r w:rsidRPr="004C0059">
                                    <w:rPr>
                                      <w:rFonts w:ascii="Arial" w:hAnsi="Arial"/>
                                      <w:b/>
                                      <w:sz w:val="21"/>
                                    </w:rPr>
                                    <w:t>OK</w:t>
                                  </w:r>
                                </w:p>
                                <w:p w14:paraId="388FC9BE" w14:textId="77777777" w:rsidR="00FE78F1" w:rsidRPr="00151F2F" w:rsidRDefault="00FE78F1" w:rsidP="00D025AF">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5416FF0" id="Text Box 75" o:spid="_x0000_s1048" type="#_x0000_t202" style="position:absolute;left:0;text-align:left;margin-left:48pt;margin-top:39.4pt;width:49.6pt;height:24.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" filled="f" stroked="f">
                      <v:textbox style="mso-fit-shape-to-text:t" inset="0,0,0,0">
                        <w:txbxContent>
                          <w:p w14:paraId="2DC34DE3" w14:textId="2530B6C2" w:rsidR="00FE78F1" w:rsidRPr="00151F2F" w:rsidRDefault="00FE78F1" w:rsidP="00D025AF">
                            <w:pPr>
                              <w:rPr>
                                <w:rFonts w:ascii="Arial" w:hAnsi="Arial" w:cs="Arial"/>
                                <w:b/>
                                <w:bCs/>
                                <w:sz w:val="21"/>
                                <w:szCs w:val="21"/>
                              </w:rPr>
                            </w:pPr>
                            <w:r w:rsidRPr="004C0059">
                              <w:rPr>
                                <w:rFonts w:ascii="Arial" w:hAnsi="Arial"/>
                                <w:b/>
                                <w:sz w:val="21"/>
                              </w:rPr>
                              <w:t>OK</w:t>
                            </w:r>
                          </w:p>
                          <w:p w14:paraId="388FC9BE" w14:textId="77777777" w:rsidR="00FE78F1" w:rsidRPr="00151F2F" w:rsidRDefault="00FE78F1" w:rsidP="00D025AF">
                            <w:pPr>
                              <w:rPr>
                                <w:rFonts w:ascii="Arial" w:hAnsi="Arial"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3120" behindDoc="0" locked="0" layoutInCell="1" allowOverlap="1" wp14:anchorId="3EECBE9A" wp14:editId="7F451F63">
                      <wp:simplePos x="0" y="0"/>
                      <wp:positionH relativeFrom="column">
                        <wp:posOffset>8255</wp:posOffset>
                      </wp:positionH>
                      <wp:positionV relativeFrom="page">
                        <wp:posOffset>1730375</wp:posOffset>
                      </wp:positionV>
                      <wp:extent cx="1983740" cy="277495"/>
                      <wp:effectExtent l="0" t="0" r="0" b="0"/>
                      <wp:wrapNone/>
                      <wp:docPr id="130761513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6D784C37" w14:textId="626371D5" w:rsidR="00FE78F1" w:rsidRPr="00151F2F" w:rsidRDefault="00FE78F1" w:rsidP="00D025AF">
                                  <w:pPr>
                                    <w:jc w:val="center"/>
                                    <w:rPr>
                                      <w:rFonts w:ascii="Arial" w:hAnsi="Arial" w:cs="Arial"/>
                                      <w:b/>
                                      <w:bCs/>
                                      <w:color w:val="FFFFFF"/>
                                      <w:sz w:val="28"/>
                                      <w:szCs w:val="28"/>
                                    </w:rPr>
                                  </w:pPr>
                                  <w:r w:rsidRPr="004C0059">
                                    <w:rPr>
                                      <w:rFonts w:ascii="Arial" w:hAnsi="Arial"/>
                                      <w:b/>
                                      <w:color w:val="FFFFFF"/>
                                      <w:sz w:val="28"/>
                                    </w:rPr>
                                    <w:t>LUB</w:t>
                                  </w:r>
                                </w:p>
                                <w:p w14:paraId="3B10DA2F" w14:textId="77777777" w:rsidR="00FE78F1" w:rsidRPr="00151F2F" w:rsidRDefault="00FE78F1" w:rsidP="00D025AF">
                                  <w:pPr>
                                    <w:jc w:val="center"/>
                                    <w:rPr>
                                      <w:rFonts w:ascii="Arial" w:hAnsi="Arial" w:cs="Arial"/>
                                      <w:b/>
                                      <w:bCs/>
                                      <w:color w:val="FFFFFF"/>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CBE9A" id="Text Box 73" o:spid="_x0000_s1049" type="#_x0000_t202" style="position:absolute;left:0;text-align:left;margin-left:.65pt;margin-top:136.25pt;width:156.2pt;height:21.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" filled="f" stroked="f">
                      <v:textbox inset="0,0,0,0">
                        <w:txbxContent>
                          <w:p w14:paraId="6D784C37" w14:textId="626371D5" w:rsidR="00FE78F1" w:rsidRPr="00151F2F" w:rsidRDefault="00FE78F1" w:rsidP="00D025AF">
                            <w:pPr>
                              <w:jc w:val="center"/>
                              <w:rPr>
                                <w:rFonts w:ascii="Arial" w:hAnsi="Arial" w:cs="Arial"/>
                                <w:b/>
                                <w:bCs/>
                                <w:color w:val="FFFFFF"/>
                                <w:sz w:val="28"/>
                                <w:szCs w:val="28"/>
                              </w:rPr>
                            </w:pPr>
                            <w:r w:rsidRPr="004C0059">
                              <w:rPr>
                                <w:rFonts w:ascii="Arial" w:hAnsi="Arial"/>
                                <w:b/>
                                <w:color w:val="FFFFFF"/>
                                <w:sz w:val="28"/>
                              </w:rPr>
                              <w:t>LUB</w:t>
                            </w:r>
                          </w:p>
                          <w:p w14:paraId="3B10DA2F" w14:textId="77777777" w:rsidR="00FE78F1" w:rsidRPr="00151F2F" w:rsidRDefault="00FE78F1" w:rsidP="00D025AF">
                            <w:pPr>
                              <w:jc w:val="center"/>
                              <w:rPr>
                                <w:rFonts w:ascii="Arial" w:hAnsi="Arial" w:cs="Arial"/>
                                <w:b/>
                                <w:bCs/>
                                <w:color w:val="FFFFFF"/>
                                <w:sz w:val="28"/>
                                <w:szCs w:val="28"/>
                              </w:rPr>
                            </w:pPr>
                          </w:p>
                        </w:txbxContent>
                      </v:textbox>
                      <w10:wrap anchory="page"/>
                    </v:shape>
                  </w:pict>
                </mc:Fallback>
              </mc:AlternateContent>
            </w:r>
            <w:r>
              <w:rPr>
                <w:noProof/>
                <w:lang w:val="en-US" w:eastAsia="ko-KR"/>
              </w:rPr>
              <w:drawing>
                <wp:inline distT="0" distB="0" distL="0" distR="0" wp14:anchorId="00F5A3AA" wp14:editId="7CBDB71B">
                  <wp:extent cx="2101215" cy="3566795"/>
                  <wp:effectExtent l="19050" t="19050" r="0" b="0"/>
                  <wp:docPr id="17" name="그림 627406449"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7406449" descr="그림, 스케치, 만화 영화, 클립아트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1215" cy="3566795"/>
                          </a:xfrm>
                          <a:prstGeom prst="rect">
                            <a:avLst/>
                          </a:prstGeom>
                          <a:noFill/>
                          <a:ln w="9525" cmpd="sng">
                            <a:solidFill>
                              <a:srgbClr val="000000"/>
                            </a:solidFill>
                            <a:miter lim="800000"/>
                            <a:headEnd/>
                            <a:tailEnd/>
                          </a:ln>
                          <a:effectLst/>
                        </pic:spPr>
                      </pic:pic>
                    </a:graphicData>
                  </a:graphic>
                </wp:inline>
              </w:drawing>
            </w:r>
          </w:p>
          <w:p w14:paraId="7C0B64FE" w14:textId="582F093A" w:rsidR="00D025AF"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52096" behindDoc="0" locked="0" layoutInCell="1" allowOverlap="1" wp14:anchorId="597FF6C4" wp14:editId="6218457F">
                      <wp:simplePos x="0" y="0"/>
                      <wp:positionH relativeFrom="column">
                        <wp:posOffset>950595</wp:posOffset>
                      </wp:positionH>
                      <wp:positionV relativeFrom="page">
                        <wp:posOffset>381635</wp:posOffset>
                      </wp:positionV>
                      <wp:extent cx="629920" cy="408940"/>
                      <wp:effectExtent l="0" t="0" r="0" b="0"/>
                      <wp:wrapNone/>
                      <wp:docPr id="43026528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108F0ED3" w14:textId="77777777" w:rsidR="00FE78F1" w:rsidRPr="00151F2F" w:rsidRDefault="00FE78F1" w:rsidP="00D025AF">
                                  <w:pPr>
                                    <w:rPr>
                                      <w:rFonts w:ascii="Arial" w:hAnsi="Arial" w:cs="Arial"/>
                                      <w:b/>
                                      <w:bCs/>
                                      <w:sz w:val="28"/>
                                      <w:szCs w:val="28"/>
                                    </w:rPr>
                                  </w:pPr>
                                  <w:r w:rsidRPr="00151F2F">
                                    <w:rPr>
                                      <w:rFonts w:ascii="Arial" w:hAnsi="Arial"/>
                                      <w:b/>
                                      <w:sz w:val="28"/>
                                    </w:rPr>
                                    <w:t>45°</w:t>
                                  </w:r>
                                </w:p>
                                <w:p w14:paraId="5B386EA5" w14:textId="77777777" w:rsidR="00FE78F1" w:rsidRPr="00151F2F" w:rsidRDefault="00FE78F1" w:rsidP="00D025AF">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97FF6C4" id="Text Box 71" o:spid="_x0000_s1050" type="#_x0000_t202" style="position:absolute;left:0;text-align:left;margin-left:74.85pt;margin-top:30.05pt;width:49.6pt;height:32.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" filled="f" stroked="f">
                      <v:textbox style="mso-fit-shape-to-text:t" inset="0,0,0,0">
                        <w:txbxContent>
                          <w:p w14:paraId="108F0ED3" w14:textId="77777777" w:rsidR="00FE78F1" w:rsidRPr="00151F2F" w:rsidRDefault="00FE78F1" w:rsidP="00D025AF">
                            <w:pPr>
                              <w:rPr>
                                <w:rFonts w:ascii="Arial" w:hAnsi="Arial" w:cs="Arial"/>
                                <w:b/>
                                <w:bCs/>
                                <w:sz w:val="28"/>
                                <w:szCs w:val="28"/>
                              </w:rPr>
                            </w:pPr>
                            <w:r w:rsidRPr="00151F2F">
                              <w:rPr>
                                <w:rFonts w:ascii="Arial" w:hAnsi="Arial"/>
                                <w:b/>
                                <w:sz w:val="28"/>
                              </w:rPr>
                              <w:t>45°</w:t>
                            </w:r>
                          </w:p>
                          <w:p w14:paraId="5B386EA5" w14:textId="77777777" w:rsidR="00FE78F1" w:rsidRPr="00151F2F" w:rsidRDefault="00FE78F1" w:rsidP="00D025AF">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4144" behindDoc="0" locked="0" layoutInCell="1" allowOverlap="1" wp14:anchorId="23B69555" wp14:editId="14078B99">
                      <wp:simplePos x="0" y="0"/>
                      <wp:positionH relativeFrom="column">
                        <wp:posOffset>422275</wp:posOffset>
                      </wp:positionH>
                      <wp:positionV relativeFrom="page">
                        <wp:posOffset>264160</wp:posOffset>
                      </wp:positionV>
                      <wp:extent cx="629920" cy="408940"/>
                      <wp:effectExtent l="0" t="0" r="0" b="0"/>
                      <wp:wrapNone/>
                      <wp:docPr id="36414547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1EF9A069" w14:textId="77777777" w:rsidR="00FE78F1" w:rsidRPr="00151F2F" w:rsidRDefault="00FE78F1" w:rsidP="00D025AF">
                                  <w:pPr>
                                    <w:rPr>
                                      <w:rFonts w:ascii="Arial" w:hAnsi="Arial" w:cs="Arial"/>
                                      <w:b/>
                                      <w:bCs/>
                                      <w:sz w:val="28"/>
                                      <w:szCs w:val="28"/>
                                    </w:rPr>
                                  </w:pPr>
                                  <w:r w:rsidRPr="00151F2F">
                                    <w:rPr>
                                      <w:rFonts w:ascii="Arial" w:hAnsi="Arial"/>
                                      <w:b/>
                                      <w:sz w:val="28"/>
                                    </w:rPr>
                                    <w:t>90°</w:t>
                                  </w:r>
                                </w:p>
                                <w:p w14:paraId="698BA845" w14:textId="77777777" w:rsidR="00FE78F1" w:rsidRPr="00151F2F" w:rsidRDefault="00FE78F1" w:rsidP="00D025AF">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3B69555" id="Text Box 69" o:spid="_x0000_s1051" type="#_x0000_t202" style="position:absolute;left:0;text-align:left;margin-left:33.25pt;margin-top:20.8pt;width:49.6pt;height:32.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" filled="f" stroked="f">
                      <v:textbox style="mso-fit-shape-to-text:t" inset="0,0,0,0">
                        <w:txbxContent>
                          <w:p w14:paraId="1EF9A069" w14:textId="77777777" w:rsidR="00FE78F1" w:rsidRPr="00151F2F" w:rsidRDefault="00FE78F1" w:rsidP="00D025AF">
                            <w:pPr>
                              <w:rPr>
                                <w:rFonts w:ascii="Arial" w:hAnsi="Arial" w:cs="Arial"/>
                                <w:b/>
                                <w:bCs/>
                                <w:sz w:val="28"/>
                                <w:szCs w:val="28"/>
                              </w:rPr>
                            </w:pPr>
                            <w:r w:rsidRPr="00151F2F">
                              <w:rPr>
                                <w:rFonts w:ascii="Arial" w:hAnsi="Arial"/>
                                <w:b/>
                                <w:sz w:val="28"/>
                              </w:rPr>
                              <w:t>90°</w:t>
                            </w:r>
                          </w:p>
                          <w:p w14:paraId="698BA845" w14:textId="77777777" w:rsidR="00FE78F1" w:rsidRPr="00151F2F" w:rsidRDefault="00FE78F1" w:rsidP="00D025AF">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6192" behindDoc="0" locked="0" layoutInCell="1" allowOverlap="1" wp14:anchorId="48CC7B59" wp14:editId="28BD2499">
                      <wp:simplePos x="0" y="0"/>
                      <wp:positionH relativeFrom="column">
                        <wp:posOffset>594360</wp:posOffset>
                      </wp:positionH>
                      <wp:positionV relativeFrom="page">
                        <wp:posOffset>2816225</wp:posOffset>
                      </wp:positionV>
                      <wp:extent cx="629920" cy="408940"/>
                      <wp:effectExtent l="0" t="0" r="0" b="0"/>
                      <wp:wrapNone/>
                      <wp:docPr id="103418292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7F3B546A" w14:textId="77777777" w:rsidR="00FE78F1" w:rsidRPr="00151F2F" w:rsidRDefault="00FE78F1" w:rsidP="00D025AF">
                                  <w:pPr>
                                    <w:rPr>
                                      <w:rFonts w:ascii="Arial" w:hAnsi="Arial" w:cs="Arial"/>
                                      <w:b/>
                                      <w:bCs/>
                                      <w:sz w:val="28"/>
                                      <w:szCs w:val="28"/>
                                    </w:rPr>
                                  </w:pPr>
                                  <w:r w:rsidRPr="00151F2F">
                                    <w:rPr>
                                      <w:rFonts w:ascii="Arial" w:hAnsi="Arial"/>
                                      <w:b/>
                                      <w:sz w:val="28"/>
                                    </w:rPr>
                                    <w:t>90°</w:t>
                                  </w:r>
                                </w:p>
                                <w:p w14:paraId="222250E8" w14:textId="77777777" w:rsidR="00FE78F1" w:rsidRPr="00151F2F" w:rsidRDefault="00FE78F1" w:rsidP="00D025AF">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8CC7B59" id="Text Box 67" o:spid="_x0000_s1052" type="#_x0000_t202" style="position:absolute;left:0;text-align:left;margin-left:46.8pt;margin-top:221.75pt;width:49.6pt;height:32.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" filled="f" stroked="f">
                      <v:textbox style="mso-fit-shape-to-text:t" inset="0,0,0,0">
                        <w:txbxContent>
                          <w:p w14:paraId="7F3B546A" w14:textId="77777777" w:rsidR="00FE78F1" w:rsidRPr="00151F2F" w:rsidRDefault="00FE78F1" w:rsidP="00D025AF">
                            <w:pPr>
                              <w:rPr>
                                <w:rFonts w:ascii="Arial" w:hAnsi="Arial" w:cs="Arial"/>
                                <w:b/>
                                <w:bCs/>
                                <w:sz w:val="28"/>
                                <w:szCs w:val="28"/>
                              </w:rPr>
                            </w:pPr>
                            <w:r w:rsidRPr="00151F2F">
                              <w:rPr>
                                <w:rFonts w:ascii="Arial" w:hAnsi="Arial"/>
                                <w:b/>
                                <w:sz w:val="28"/>
                              </w:rPr>
                              <w:t>90°</w:t>
                            </w:r>
                          </w:p>
                          <w:p w14:paraId="222250E8" w14:textId="77777777" w:rsidR="00FE78F1" w:rsidRPr="00151F2F" w:rsidRDefault="00FE78F1" w:rsidP="00D025AF">
                            <w:pPr>
                              <w:rPr>
                                <w:rFonts w:ascii="Arial" w:hAnsi="Arial"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7216" behindDoc="0" locked="0" layoutInCell="1" allowOverlap="1" wp14:anchorId="43A68770" wp14:editId="46DAA6CE">
                      <wp:simplePos x="0" y="0"/>
                      <wp:positionH relativeFrom="column">
                        <wp:posOffset>12700</wp:posOffset>
                      </wp:positionH>
                      <wp:positionV relativeFrom="page">
                        <wp:posOffset>2966720</wp:posOffset>
                      </wp:positionV>
                      <wp:extent cx="629920" cy="408940"/>
                      <wp:effectExtent l="0" t="0" r="0" b="0"/>
                      <wp:wrapNone/>
                      <wp:docPr id="145536289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1986AB6D" w14:textId="77777777" w:rsidR="00FE78F1" w:rsidRPr="00151F2F" w:rsidRDefault="00FE78F1" w:rsidP="00D025AF">
                                  <w:pPr>
                                    <w:rPr>
                                      <w:rFonts w:ascii="Arial" w:hAnsi="Arial" w:cs="Arial"/>
                                      <w:b/>
                                      <w:bCs/>
                                      <w:sz w:val="28"/>
                                      <w:szCs w:val="28"/>
                                    </w:rPr>
                                  </w:pPr>
                                  <w:r w:rsidRPr="00151F2F">
                                    <w:rPr>
                                      <w:rFonts w:ascii="Arial" w:hAnsi="Arial"/>
                                      <w:b/>
                                      <w:sz w:val="28"/>
                                    </w:rPr>
                                    <w:t>45°</w:t>
                                  </w:r>
                                </w:p>
                                <w:p w14:paraId="5E6B3196" w14:textId="77777777" w:rsidR="00FE78F1" w:rsidRPr="00151F2F" w:rsidRDefault="00FE78F1" w:rsidP="00D025AF">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3A68770" id="Text Box 65" o:spid="_x0000_s1053" type="#_x0000_t202" style="position:absolute;left:0;text-align:left;margin-left:1pt;margin-top:233.6pt;width:49.6pt;height:32.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p22gEAAJgDAAAOAAAAZHJzL2Uyb0RvYy54bWysU9tu2zAMfR+wfxD0vjgxiq4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" filled="f" stroked="f">
                      <v:textbox style="mso-fit-shape-to-text:t" inset="0,0,0,0">
                        <w:txbxContent>
                          <w:p w14:paraId="1986AB6D" w14:textId="77777777" w:rsidR="00FE78F1" w:rsidRPr="00151F2F" w:rsidRDefault="00FE78F1" w:rsidP="00D025AF">
                            <w:pPr>
                              <w:rPr>
                                <w:rFonts w:ascii="Arial" w:hAnsi="Arial" w:cs="Arial"/>
                                <w:b/>
                                <w:bCs/>
                                <w:sz w:val="28"/>
                                <w:szCs w:val="28"/>
                              </w:rPr>
                            </w:pPr>
                            <w:r w:rsidRPr="00151F2F">
                              <w:rPr>
                                <w:rFonts w:ascii="Arial" w:hAnsi="Arial"/>
                                <w:b/>
                                <w:sz w:val="28"/>
                              </w:rPr>
                              <w:t>45°</w:t>
                            </w:r>
                          </w:p>
                          <w:p w14:paraId="5E6B3196" w14:textId="77777777" w:rsidR="00FE78F1" w:rsidRPr="00151F2F" w:rsidRDefault="00FE78F1" w:rsidP="00D025AF">
                            <w:pPr>
                              <w:rPr>
                                <w:rFonts w:ascii="Arial" w:hAnsi="Arial" w:cs="Arial"/>
                                <w:b/>
                                <w:bCs/>
                                <w:sz w:val="28"/>
                                <w:szCs w:val="28"/>
                              </w:rPr>
                            </w:pPr>
                          </w:p>
                        </w:txbxContent>
                      </v:textbox>
                      <w10:wrap anchory="page"/>
                    </v:shape>
                  </w:pict>
                </mc:Fallback>
              </mc:AlternateContent>
            </w:r>
            <w:r w:rsidR="00D025AF" w:rsidRPr="00F13073">
              <w:rPr>
                <w:b/>
              </w:rPr>
              <w:t>Rysunek K</w:t>
            </w:r>
          </w:p>
        </w:tc>
        <w:tc>
          <w:tcPr>
            <w:tcW w:w="5517" w:type="dxa"/>
          </w:tcPr>
          <w:p w14:paraId="5C2E5304" w14:textId="77777777" w:rsidR="00D025AF" w:rsidRPr="00F13073" w:rsidRDefault="00D025AF">
            <w:pPr>
              <w:pStyle w:val="a4"/>
              <w:numPr>
                <w:ilvl w:val="0"/>
                <w:numId w:val="30"/>
              </w:numPr>
              <w:suppressAutoHyphens/>
              <w:spacing w:after="0"/>
              <w:ind w:left="567" w:hanging="567"/>
              <w:rPr>
                <w:b/>
              </w:rPr>
            </w:pPr>
            <w:r w:rsidRPr="00F13073">
              <w:rPr>
                <w:b/>
              </w:rPr>
              <w:t>Wprowadzić ampułko-strzykawkę do miejsca wstrzyknięcia.</w:t>
            </w:r>
          </w:p>
          <w:p w14:paraId="7833AC46" w14:textId="77777777" w:rsidR="00D025AF" w:rsidRPr="00F13073" w:rsidRDefault="00D025AF">
            <w:pPr>
              <w:pStyle w:val="Default"/>
              <w:ind w:left="567" w:hanging="567"/>
              <w:rPr>
                <w:rFonts w:ascii="Times New Roman" w:hAnsi="Times New Roman" w:cs="Times New Roman"/>
                <w:sz w:val="22"/>
                <w:szCs w:val="22"/>
              </w:rPr>
            </w:pPr>
          </w:p>
          <w:p w14:paraId="7164E1E1" w14:textId="77777777" w:rsidR="00D025AF" w:rsidRPr="00F13073" w:rsidRDefault="00D025AF">
            <w:pPr>
              <w:pStyle w:val="a4"/>
              <w:numPr>
                <w:ilvl w:val="0"/>
                <w:numId w:val="41"/>
              </w:numPr>
              <w:spacing w:after="0"/>
              <w:ind w:left="567" w:hanging="567"/>
              <w:rPr>
                <w:color w:val="231F20"/>
              </w:rPr>
            </w:pPr>
            <w:r w:rsidRPr="00F13073">
              <w:rPr>
                <w:color w:val="231F20"/>
              </w:rPr>
              <w:t>Delikatnie ścisnąć fałd skóry w miejscu wstrzyknięcia jedną ręką.</w:t>
            </w:r>
          </w:p>
          <w:p w14:paraId="463A56AB" w14:textId="77777777" w:rsidR="00D025AF" w:rsidRPr="00F13073" w:rsidRDefault="00D025AF">
            <w:pPr>
              <w:pStyle w:val="a4"/>
              <w:spacing w:after="0"/>
              <w:ind w:left="567" w:hanging="567"/>
              <w:rPr>
                <w:color w:val="231F20"/>
              </w:rPr>
            </w:pPr>
          </w:p>
          <w:p w14:paraId="471BC78C" w14:textId="77777777" w:rsidR="00D025AF" w:rsidRPr="00F13073" w:rsidRDefault="00D025AF">
            <w:pPr>
              <w:pStyle w:val="a4"/>
              <w:spacing w:after="0"/>
              <w:ind w:left="567"/>
              <w:rPr>
                <w:color w:val="231F20"/>
              </w:rPr>
            </w:pPr>
            <w:r w:rsidRPr="00F13073">
              <w:rPr>
                <w:i/>
              </w:rPr>
              <w:t>Uwaga</w:t>
            </w:r>
            <w:r w:rsidRPr="00F13073">
              <w:t xml:space="preserve">: Istotne jest, aby ścisnąć skórę pomiędzy palcami podczas wprowadzania igły w celu upewnienia się, że wstrzyknięcie nastąpiło podskórnie (w tkankę tłuszczową), ale nie głębiej (w mięsień). </w:t>
            </w:r>
          </w:p>
          <w:p w14:paraId="0FC30F24" w14:textId="77777777" w:rsidR="00D025AF" w:rsidRPr="00F13073" w:rsidRDefault="00D025AF">
            <w:pPr>
              <w:pStyle w:val="a4"/>
              <w:numPr>
                <w:ilvl w:val="12"/>
                <w:numId w:val="0"/>
              </w:numPr>
              <w:spacing w:after="0"/>
              <w:ind w:left="567" w:hanging="567"/>
              <w:rPr>
                <w:bCs/>
                <w:lang w:eastAsia="ko-KR"/>
              </w:rPr>
            </w:pPr>
          </w:p>
          <w:p w14:paraId="4928A448" w14:textId="6B2776F5" w:rsidR="00D025AF" w:rsidRPr="00F13073" w:rsidRDefault="00D025AF" w:rsidP="0081094B">
            <w:pPr>
              <w:pStyle w:val="a4"/>
              <w:numPr>
                <w:ilvl w:val="0"/>
                <w:numId w:val="29"/>
              </w:numPr>
              <w:tabs>
                <w:tab w:val="left" w:pos="1123"/>
              </w:tabs>
              <w:suppressAutoHyphens/>
              <w:spacing w:after="0"/>
              <w:ind w:left="1134" w:hanging="567"/>
            </w:pPr>
            <w:r w:rsidRPr="00F13073">
              <w:t xml:space="preserve">W żadnym momencie </w:t>
            </w:r>
            <w:r w:rsidRPr="00F13073">
              <w:rPr>
                <w:b/>
              </w:rPr>
              <w:t>nie</w:t>
            </w:r>
            <w:r w:rsidRPr="00F13073">
              <w:t xml:space="preserve"> wolno odciągać tłoka.</w:t>
            </w:r>
          </w:p>
          <w:p w14:paraId="37332D95" w14:textId="77777777" w:rsidR="00D025AF" w:rsidRPr="00F13073" w:rsidRDefault="00D025AF">
            <w:pPr>
              <w:pStyle w:val="a4"/>
              <w:spacing w:after="0"/>
              <w:ind w:left="567" w:hanging="567"/>
              <w:rPr>
                <w:color w:val="231F20"/>
              </w:rPr>
            </w:pPr>
          </w:p>
          <w:p w14:paraId="41687549" w14:textId="634D2C5D" w:rsidR="00D025AF" w:rsidRPr="00F13073" w:rsidRDefault="00D025AF">
            <w:pPr>
              <w:pStyle w:val="a4"/>
              <w:numPr>
                <w:ilvl w:val="0"/>
                <w:numId w:val="41"/>
              </w:numPr>
              <w:spacing w:after="0"/>
              <w:ind w:left="567" w:hanging="567"/>
              <w:rPr>
                <w:color w:val="231F20"/>
              </w:rPr>
            </w:pPr>
            <w:r w:rsidRPr="00F13073">
              <w:rPr>
                <w:color w:val="231F20"/>
              </w:rPr>
              <w:t>Szybkim i zdecydowanym ruchem całkowicie wprowadzić igłę w fałd skóry pod kątem od 45 do 90</w:t>
            </w:r>
            <w:r w:rsidR="00AF2FF2">
              <w:rPr>
                <w:color w:val="231F20"/>
              </w:rPr>
              <w:t> </w:t>
            </w:r>
            <w:r w:rsidRPr="00F13073">
              <w:rPr>
                <w:color w:val="231F20"/>
              </w:rPr>
              <w:t xml:space="preserve">stopni (patrz </w:t>
            </w:r>
            <w:r w:rsidRPr="00F13073">
              <w:rPr>
                <w:b/>
                <w:color w:val="231F20"/>
              </w:rPr>
              <w:t>rysunek K</w:t>
            </w:r>
            <w:r w:rsidRPr="00F13073">
              <w:rPr>
                <w:color w:val="231F20"/>
              </w:rPr>
              <w:t>).</w:t>
            </w:r>
          </w:p>
          <w:p w14:paraId="5F684849" w14:textId="77777777" w:rsidR="00D025AF" w:rsidRPr="00F13073" w:rsidRDefault="00D025AF">
            <w:pPr>
              <w:pStyle w:val="a4"/>
              <w:spacing w:after="0"/>
              <w:ind w:left="567" w:hanging="567"/>
              <w:rPr>
                <w:bCs/>
                <w:i/>
                <w:iCs/>
                <w:lang w:eastAsia="ko-KR"/>
              </w:rPr>
            </w:pPr>
          </w:p>
          <w:p w14:paraId="3EA9FF65" w14:textId="77777777" w:rsidR="00D025AF" w:rsidRPr="00F13073" w:rsidRDefault="00D025AF">
            <w:pPr>
              <w:pStyle w:val="a4"/>
              <w:spacing w:after="0"/>
              <w:ind w:left="567"/>
              <w:rPr>
                <w:bCs/>
              </w:rPr>
            </w:pPr>
            <w:r w:rsidRPr="00F13073">
              <w:rPr>
                <w:i/>
              </w:rPr>
              <w:t>Uwaga</w:t>
            </w:r>
            <w:r w:rsidRPr="00F13073">
              <w:t>: Istotne jest, aby zastosować odpowiedni kąt. Zapewni to, że lek zostanie podany pod skórę (do tkanki tłuszczowej). W przeciwnym wypadku wstrzyknięcie może być bolesne i może to wpłynąć na skuteczność działania leku.</w:t>
            </w:r>
          </w:p>
          <w:p w14:paraId="1AB7AE98" w14:textId="77777777" w:rsidR="00D025AF" w:rsidRPr="00F13073" w:rsidRDefault="00D025AF">
            <w:pPr>
              <w:pStyle w:val="a4"/>
              <w:spacing w:after="0"/>
              <w:ind w:left="567" w:hanging="567"/>
              <w:rPr>
                <w:color w:val="231F20"/>
              </w:rPr>
            </w:pPr>
          </w:p>
          <w:p w14:paraId="13B1BC16" w14:textId="62DBCACC" w:rsidR="00D025AF" w:rsidRPr="00F13073" w:rsidRDefault="00D025AF" w:rsidP="0081094B">
            <w:pPr>
              <w:pStyle w:val="a4"/>
              <w:numPr>
                <w:ilvl w:val="0"/>
                <w:numId w:val="29"/>
              </w:numPr>
              <w:tabs>
                <w:tab w:val="left" w:pos="1123"/>
              </w:tabs>
              <w:suppressAutoHyphens/>
              <w:spacing w:after="0"/>
              <w:ind w:left="1134" w:hanging="567"/>
            </w:pPr>
            <w:r w:rsidRPr="00F13073">
              <w:rPr>
                <w:b/>
              </w:rPr>
              <w:t>Nie</w:t>
            </w:r>
            <w:r w:rsidRPr="00F13073">
              <w:t xml:space="preserve"> </w:t>
            </w:r>
            <w:r w:rsidRPr="00F13073">
              <w:rPr>
                <w:b/>
                <w:bCs/>
              </w:rPr>
              <w:t>należy</w:t>
            </w:r>
            <w:r w:rsidRPr="00F13073">
              <w:t xml:space="preserve"> dotykać tłoka podczas wprowadzania igły do fałdu skóry.</w:t>
            </w:r>
          </w:p>
          <w:p w14:paraId="24895AAE" w14:textId="77777777" w:rsidR="00D025AF" w:rsidRPr="00F13073" w:rsidRDefault="00D025AF" w:rsidP="00D854D5"/>
        </w:tc>
      </w:tr>
      <w:tr w:rsidR="00A06126" w:rsidRPr="00F13073" w14:paraId="661B13EC" w14:textId="77777777">
        <w:trPr>
          <w:cantSplit/>
        </w:trPr>
        <w:tc>
          <w:tcPr>
            <w:tcW w:w="3539" w:type="dxa"/>
          </w:tcPr>
          <w:p w14:paraId="7AB65DE5" w14:textId="75E123F5" w:rsidR="00D025AF" w:rsidRPr="00F13073" w:rsidRDefault="004929A7">
            <w:pPr>
              <w:suppressAutoHyphens/>
              <w:jc w:val="right"/>
            </w:pPr>
            <w:r>
              <w:rPr>
                <w:noProof/>
                <w:lang w:val="en-US" w:eastAsia="ko-KR"/>
              </w:rPr>
              <w:drawing>
                <wp:inline distT="0" distB="0" distL="0" distR="0" wp14:anchorId="0B1E04DD" wp14:editId="73C236D0">
                  <wp:extent cx="2103120" cy="2560320"/>
                  <wp:effectExtent l="19050" t="19050" r="0" b="0"/>
                  <wp:docPr id="18" name="그림 468000863"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8000863" descr="그림, 클립아트, 스케치, 만화 영화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03120" cy="2560320"/>
                          </a:xfrm>
                          <a:prstGeom prst="rect">
                            <a:avLst/>
                          </a:prstGeom>
                          <a:noFill/>
                          <a:ln w="9525" cmpd="sng">
                            <a:solidFill>
                              <a:srgbClr val="000000"/>
                            </a:solidFill>
                            <a:miter lim="800000"/>
                            <a:headEnd/>
                            <a:tailEnd/>
                          </a:ln>
                          <a:effectLst/>
                        </pic:spPr>
                      </pic:pic>
                    </a:graphicData>
                  </a:graphic>
                </wp:inline>
              </w:drawing>
            </w:r>
          </w:p>
          <w:p w14:paraId="413D0E1B" w14:textId="77777777" w:rsidR="00D025AF" w:rsidRPr="00F13073" w:rsidRDefault="00D025AF">
            <w:pPr>
              <w:suppressAutoHyphens/>
              <w:jc w:val="right"/>
              <w:rPr>
                <w:b/>
                <w:bCs/>
              </w:rPr>
            </w:pPr>
            <w:r w:rsidRPr="00F13073">
              <w:rPr>
                <w:b/>
              </w:rPr>
              <w:t>Rysunek L</w:t>
            </w:r>
          </w:p>
        </w:tc>
        <w:tc>
          <w:tcPr>
            <w:tcW w:w="5517" w:type="dxa"/>
          </w:tcPr>
          <w:p w14:paraId="5E52FBA5" w14:textId="467A501F" w:rsidR="00D025AF" w:rsidRPr="00F13073" w:rsidRDefault="00EB3808">
            <w:pPr>
              <w:pStyle w:val="a4"/>
              <w:numPr>
                <w:ilvl w:val="0"/>
                <w:numId w:val="30"/>
              </w:numPr>
              <w:suppressAutoHyphens/>
              <w:spacing w:after="0"/>
              <w:ind w:left="567" w:hanging="567"/>
              <w:rPr>
                <w:b/>
              </w:rPr>
            </w:pPr>
            <w:r w:rsidRPr="00F13073">
              <w:rPr>
                <w:b/>
              </w:rPr>
              <w:t>Podać</w:t>
            </w:r>
            <w:r w:rsidR="00D025AF" w:rsidRPr="00F13073">
              <w:rPr>
                <w:b/>
              </w:rPr>
              <w:t xml:space="preserve"> wstrzyknięci</w:t>
            </w:r>
            <w:r w:rsidRPr="00F13073">
              <w:rPr>
                <w:b/>
              </w:rPr>
              <w:t>e</w:t>
            </w:r>
            <w:r w:rsidR="00D025AF" w:rsidRPr="00F13073">
              <w:rPr>
                <w:b/>
              </w:rPr>
              <w:t>.</w:t>
            </w:r>
          </w:p>
          <w:p w14:paraId="308CE0FA" w14:textId="77777777" w:rsidR="00D025AF" w:rsidRPr="00F13073" w:rsidRDefault="00D025AF">
            <w:pPr>
              <w:pStyle w:val="Default"/>
              <w:ind w:left="567" w:hanging="567"/>
              <w:rPr>
                <w:rFonts w:ascii="Times New Roman" w:hAnsi="Times New Roman" w:cs="Times New Roman"/>
                <w:sz w:val="22"/>
                <w:szCs w:val="22"/>
              </w:rPr>
            </w:pPr>
          </w:p>
          <w:p w14:paraId="279FB036" w14:textId="77777777" w:rsidR="00D025AF" w:rsidRPr="00F13073" w:rsidRDefault="00D025AF">
            <w:pPr>
              <w:pStyle w:val="a4"/>
              <w:numPr>
                <w:ilvl w:val="0"/>
                <w:numId w:val="42"/>
              </w:numPr>
              <w:spacing w:after="0"/>
              <w:ind w:left="567" w:hanging="567"/>
              <w:rPr>
                <w:bCs/>
              </w:rPr>
            </w:pPr>
            <w:r w:rsidRPr="00F13073">
              <w:t>Po wprowadzeniu igły puścić fałd skóry.</w:t>
            </w:r>
          </w:p>
          <w:p w14:paraId="3437D5D8" w14:textId="77777777" w:rsidR="00D025AF" w:rsidRPr="00F13073" w:rsidRDefault="00D025AF">
            <w:pPr>
              <w:pStyle w:val="a4"/>
              <w:numPr>
                <w:ilvl w:val="0"/>
                <w:numId w:val="42"/>
              </w:numPr>
              <w:spacing w:after="0"/>
              <w:ind w:left="567" w:hanging="567"/>
              <w:rPr>
                <w:bCs/>
              </w:rPr>
            </w:pPr>
            <w:r w:rsidRPr="00F13073">
              <w:t xml:space="preserve">Powoli wciskać tłok do końca, aż do wstrzyknięcia pełnej dawki leku i opróżnienia strzykawki (patrz </w:t>
            </w:r>
            <w:r w:rsidRPr="00F13073">
              <w:rPr>
                <w:b/>
              </w:rPr>
              <w:t>rysunek L</w:t>
            </w:r>
            <w:r w:rsidRPr="00F13073">
              <w:t>).</w:t>
            </w:r>
          </w:p>
          <w:p w14:paraId="5D138B38" w14:textId="77777777" w:rsidR="00D025AF" w:rsidRPr="00F13073" w:rsidRDefault="00D025AF">
            <w:pPr>
              <w:pStyle w:val="a4"/>
              <w:numPr>
                <w:ilvl w:val="12"/>
                <w:numId w:val="0"/>
              </w:numPr>
              <w:spacing w:after="0"/>
              <w:ind w:left="567" w:hanging="567"/>
              <w:rPr>
                <w:bCs/>
                <w:lang w:eastAsia="ko-KR"/>
              </w:rPr>
            </w:pPr>
          </w:p>
          <w:p w14:paraId="51D0D5AF" w14:textId="169B63C5" w:rsidR="00D025AF" w:rsidRPr="00F13073" w:rsidRDefault="00D025AF" w:rsidP="0081094B">
            <w:pPr>
              <w:pStyle w:val="a4"/>
              <w:numPr>
                <w:ilvl w:val="0"/>
                <w:numId w:val="29"/>
              </w:numPr>
              <w:tabs>
                <w:tab w:val="left" w:pos="1123"/>
              </w:tabs>
              <w:suppressAutoHyphens/>
              <w:spacing w:after="0"/>
              <w:ind w:left="1134" w:hanging="567"/>
            </w:pPr>
            <w:r w:rsidRPr="00F13073">
              <w:t>Jeśli nie można wcisnąć tłoka, należy wyrzucić ampułko-strzykawkę i użyć nowej ampułko-strzykawki.</w:t>
            </w:r>
          </w:p>
          <w:p w14:paraId="53A27B75" w14:textId="217E1BA5" w:rsidR="00D025AF" w:rsidRPr="00F13073" w:rsidRDefault="00D025AF" w:rsidP="0081094B">
            <w:pPr>
              <w:pStyle w:val="a4"/>
              <w:numPr>
                <w:ilvl w:val="0"/>
                <w:numId w:val="29"/>
              </w:numPr>
              <w:tabs>
                <w:tab w:val="left" w:pos="1123"/>
              </w:tabs>
              <w:suppressAutoHyphens/>
              <w:spacing w:after="0"/>
              <w:ind w:left="1134" w:hanging="567"/>
            </w:pPr>
            <w:r w:rsidRPr="00F13073">
              <w:rPr>
                <w:b/>
              </w:rPr>
              <w:t>Nie należy</w:t>
            </w:r>
            <w:r w:rsidRPr="00F13073">
              <w:t xml:space="preserve"> zmieniać położenia ampułko-strzykawki po rozpoczęciu wstrzykiwania.</w:t>
            </w:r>
          </w:p>
          <w:p w14:paraId="1B670C07" w14:textId="47A6755E" w:rsidR="00D025AF" w:rsidRPr="00F13073" w:rsidRDefault="00D025AF" w:rsidP="0081094B">
            <w:pPr>
              <w:pStyle w:val="a4"/>
              <w:numPr>
                <w:ilvl w:val="0"/>
                <w:numId w:val="29"/>
              </w:numPr>
              <w:tabs>
                <w:tab w:val="left" w:pos="1123"/>
              </w:tabs>
              <w:suppressAutoHyphens/>
              <w:spacing w:after="0"/>
              <w:ind w:left="1134" w:hanging="567"/>
            </w:pPr>
            <w:r w:rsidRPr="00F13073">
              <w:t>Jeśli tłok nie zostanie całkowicie wciśnięty, zabezpieczenie igły nie wysunie się, aby osłonić igłę po jej wyjęciu.</w:t>
            </w:r>
          </w:p>
          <w:p w14:paraId="5B4517D2" w14:textId="176F8EC0" w:rsidR="00D025AF" w:rsidRPr="00F13073" w:rsidRDefault="00D025AF" w:rsidP="0081094B">
            <w:pPr>
              <w:pStyle w:val="a4"/>
              <w:numPr>
                <w:ilvl w:val="0"/>
                <w:numId w:val="29"/>
              </w:numPr>
              <w:tabs>
                <w:tab w:val="left" w:pos="1123"/>
              </w:tabs>
              <w:suppressAutoHyphens/>
              <w:spacing w:after="0"/>
              <w:ind w:left="1134" w:hanging="567"/>
            </w:pPr>
            <w:r w:rsidRPr="00F13073">
              <w:t>Jeśli igła nie jest osłonięta, należy ostrożnie wyrzucić strzykawkę (patrz krok </w:t>
            </w:r>
            <w:r w:rsidRPr="00F13073">
              <w:rPr>
                <w:b/>
              </w:rPr>
              <w:t>14. Usuwanie ampułko-strzykawki</w:t>
            </w:r>
            <w:r w:rsidRPr="00F13073">
              <w:t>).</w:t>
            </w:r>
          </w:p>
          <w:p w14:paraId="04AFC4BC" w14:textId="77777777" w:rsidR="00D025AF" w:rsidRPr="00F13073" w:rsidRDefault="00D025AF" w:rsidP="00D854D5"/>
        </w:tc>
      </w:tr>
      <w:tr w:rsidR="00A06126" w:rsidRPr="00F13073" w14:paraId="7DA38B5D" w14:textId="77777777">
        <w:trPr>
          <w:cantSplit/>
        </w:trPr>
        <w:tc>
          <w:tcPr>
            <w:tcW w:w="3539" w:type="dxa"/>
          </w:tcPr>
          <w:p w14:paraId="37D82458" w14:textId="44FDDA9E" w:rsidR="00D025AF" w:rsidRPr="00F13073" w:rsidRDefault="004929A7">
            <w:pPr>
              <w:suppressAutoHyphens/>
              <w:jc w:val="right"/>
            </w:pPr>
            <w:r>
              <w:rPr>
                <w:noProof/>
                <w:lang w:val="en-US" w:eastAsia="ko-KR"/>
              </w:rPr>
              <w:lastRenderedPageBreak/>
              <w:drawing>
                <wp:inline distT="0" distB="0" distL="0" distR="0" wp14:anchorId="7902CE60" wp14:editId="01A00A92">
                  <wp:extent cx="2103120" cy="2559685"/>
                  <wp:effectExtent l="19050" t="19050" r="0" b="0"/>
                  <wp:docPr id="19" name="그림 1861318681"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61318681" descr="스케치, 그림, 만화 영화, 클립아트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3120" cy="2559685"/>
                          </a:xfrm>
                          <a:prstGeom prst="rect">
                            <a:avLst/>
                          </a:prstGeom>
                          <a:noFill/>
                          <a:ln w="9525" cmpd="sng">
                            <a:solidFill>
                              <a:srgbClr val="000000"/>
                            </a:solidFill>
                            <a:miter lim="800000"/>
                            <a:headEnd/>
                            <a:tailEnd/>
                          </a:ln>
                          <a:effectLst/>
                        </pic:spPr>
                      </pic:pic>
                    </a:graphicData>
                  </a:graphic>
                </wp:inline>
              </w:drawing>
            </w:r>
          </w:p>
          <w:p w14:paraId="79F7151D" w14:textId="77777777" w:rsidR="00D025AF" w:rsidRPr="00F13073" w:rsidRDefault="00D025AF">
            <w:pPr>
              <w:suppressAutoHyphens/>
              <w:jc w:val="right"/>
              <w:rPr>
                <w:b/>
                <w:bCs/>
              </w:rPr>
            </w:pPr>
            <w:r w:rsidRPr="00F13073">
              <w:rPr>
                <w:b/>
              </w:rPr>
              <w:t>Rysunek M</w:t>
            </w:r>
          </w:p>
        </w:tc>
        <w:tc>
          <w:tcPr>
            <w:tcW w:w="5517" w:type="dxa"/>
          </w:tcPr>
          <w:p w14:paraId="16F1EEE0" w14:textId="7EFFD419" w:rsidR="00D025AF" w:rsidRPr="00F13073" w:rsidRDefault="00EB3808">
            <w:pPr>
              <w:pStyle w:val="a4"/>
              <w:numPr>
                <w:ilvl w:val="0"/>
                <w:numId w:val="30"/>
              </w:numPr>
              <w:suppressAutoHyphens/>
              <w:spacing w:after="0"/>
              <w:ind w:left="567" w:hanging="567"/>
              <w:rPr>
                <w:b/>
              </w:rPr>
            </w:pPr>
            <w:r w:rsidRPr="00F13073">
              <w:rPr>
                <w:b/>
              </w:rPr>
              <w:t>Usunąć</w:t>
            </w:r>
            <w:r w:rsidR="00D025AF" w:rsidRPr="00F13073">
              <w:rPr>
                <w:b/>
              </w:rPr>
              <w:t xml:space="preserve"> ampułko-strzykawk</w:t>
            </w:r>
            <w:r w:rsidRPr="00F13073">
              <w:rPr>
                <w:b/>
              </w:rPr>
              <w:t>ę</w:t>
            </w:r>
            <w:r w:rsidR="00D025AF" w:rsidRPr="00F13073">
              <w:rPr>
                <w:b/>
              </w:rPr>
              <w:t xml:space="preserve"> z miejsca wstrzyknięcia.</w:t>
            </w:r>
          </w:p>
          <w:p w14:paraId="5A65CC3C" w14:textId="77777777" w:rsidR="00D025AF" w:rsidRPr="00F13073" w:rsidRDefault="00D025AF">
            <w:pPr>
              <w:pStyle w:val="Default"/>
              <w:ind w:left="567" w:hanging="567"/>
              <w:rPr>
                <w:rFonts w:ascii="Times New Roman" w:hAnsi="Times New Roman" w:cs="Times New Roman"/>
                <w:sz w:val="22"/>
                <w:szCs w:val="22"/>
              </w:rPr>
            </w:pPr>
          </w:p>
          <w:p w14:paraId="0E58F0DE" w14:textId="77777777" w:rsidR="00D025AF" w:rsidRPr="00F13073" w:rsidRDefault="00D025AF">
            <w:pPr>
              <w:pStyle w:val="a4"/>
              <w:numPr>
                <w:ilvl w:val="0"/>
                <w:numId w:val="43"/>
              </w:numPr>
              <w:spacing w:after="0"/>
              <w:ind w:left="567" w:hanging="567"/>
              <w:rPr>
                <w:bCs/>
              </w:rPr>
            </w:pPr>
            <w:r w:rsidRPr="00F13073">
              <w:t xml:space="preserve">Po opróżnieniu ampułko-strzykawki należy wyjąć igłę z miejsca wstrzyknięcia i powoli zwalniać tłok, aż cała igła znajdzie się w zabezpieczeniu (patrz </w:t>
            </w:r>
            <w:r w:rsidRPr="00F13073">
              <w:rPr>
                <w:b/>
              </w:rPr>
              <w:t>rysunek M</w:t>
            </w:r>
            <w:r w:rsidRPr="00F13073">
              <w:t>).</w:t>
            </w:r>
          </w:p>
          <w:p w14:paraId="051D2AAD" w14:textId="22ABD3DD" w:rsidR="00D025AF" w:rsidRPr="00F13073" w:rsidRDefault="00D025AF">
            <w:pPr>
              <w:pStyle w:val="a4"/>
              <w:numPr>
                <w:ilvl w:val="0"/>
                <w:numId w:val="29"/>
              </w:numPr>
              <w:suppressAutoHyphens/>
              <w:spacing w:after="0"/>
              <w:ind w:left="1134" w:hanging="567"/>
            </w:pPr>
            <w:r w:rsidRPr="00F13073">
              <w:t>Może wystąpić niewielkie krwawienie (patrz krok </w:t>
            </w:r>
            <w:r w:rsidRPr="00F13073">
              <w:rPr>
                <w:b/>
              </w:rPr>
              <w:t>13. Pielęgnacja miejsca wstrzyknięcia</w:t>
            </w:r>
            <w:r w:rsidRPr="00F13073">
              <w:t>).</w:t>
            </w:r>
          </w:p>
          <w:p w14:paraId="4AFAE0E6" w14:textId="34EB843A" w:rsidR="00D025AF" w:rsidRPr="00F13073" w:rsidRDefault="00D025AF">
            <w:pPr>
              <w:pStyle w:val="a4"/>
              <w:numPr>
                <w:ilvl w:val="0"/>
                <w:numId w:val="29"/>
              </w:numPr>
              <w:suppressAutoHyphens/>
              <w:spacing w:after="0"/>
              <w:ind w:left="1134" w:hanging="567"/>
            </w:pPr>
            <w:r w:rsidRPr="00F13073">
              <w:t>W przypadku kontaktu leku ze skórą miejsce kontaktu leku należy przemyć wodą.</w:t>
            </w:r>
          </w:p>
          <w:p w14:paraId="1592BE49" w14:textId="4A3C6EB9" w:rsidR="00D025AF" w:rsidRPr="00F13073" w:rsidRDefault="00D025AF">
            <w:pPr>
              <w:pStyle w:val="a4"/>
              <w:numPr>
                <w:ilvl w:val="0"/>
                <w:numId w:val="29"/>
              </w:numPr>
              <w:suppressAutoHyphens/>
              <w:spacing w:after="0"/>
              <w:ind w:left="1134" w:hanging="567"/>
            </w:pPr>
            <w:r w:rsidRPr="00F13073">
              <w:rPr>
                <w:b/>
              </w:rPr>
              <w:t>Nie</w:t>
            </w:r>
            <w:r w:rsidRPr="00F13073">
              <w:t xml:space="preserve"> stosować ponownie ampułko-strzykawki.</w:t>
            </w:r>
          </w:p>
          <w:p w14:paraId="399AAB1F" w14:textId="77777777" w:rsidR="00D025AF" w:rsidRPr="00F13073" w:rsidRDefault="00D025AF" w:rsidP="00D854D5"/>
        </w:tc>
      </w:tr>
    </w:tbl>
    <w:p w14:paraId="06267D74" w14:textId="77777777" w:rsidR="00D025AF" w:rsidRPr="00F13073" w:rsidRDefault="00D025AF" w:rsidP="00D025AF"/>
    <w:p w14:paraId="0DA778A0" w14:textId="77777777" w:rsidR="00D025AF" w:rsidRPr="00F13073" w:rsidRDefault="00D025AF" w:rsidP="00D025AF">
      <w:pPr>
        <w:keepNext/>
        <w:rPr>
          <w:b/>
          <w:bCs/>
        </w:rPr>
      </w:pPr>
      <w:r w:rsidRPr="00F13073">
        <w:rPr>
          <w:b/>
        </w:rPr>
        <w:t>Po wstrzyknięciu</w:t>
      </w:r>
    </w:p>
    <w:p w14:paraId="6CCB4F6A" w14:textId="77777777" w:rsidR="00D025AF" w:rsidRPr="00F13073" w:rsidRDefault="00D025AF" w:rsidP="00D025AF">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577B2009" w14:textId="77777777">
        <w:trPr>
          <w:cantSplit/>
        </w:trPr>
        <w:tc>
          <w:tcPr>
            <w:tcW w:w="9056" w:type="dxa"/>
            <w:gridSpan w:val="2"/>
          </w:tcPr>
          <w:p w14:paraId="4EB285AD" w14:textId="77777777" w:rsidR="00D025AF" w:rsidRPr="00F13073" w:rsidRDefault="00D025AF">
            <w:pPr>
              <w:pStyle w:val="a4"/>
              <w:numPr>
                <w:ilvl w:val="0"/>
                <w:numId w:val="30"/>
              </w:numPr>
              <w:suppressAutoHyphens/>
              <w:spacing w:after="0"/>
              <w:ind w:left="567" w:hanging="567"/>
              <w:rPr>
                <w:b/>
              </w:rPr>
            </w:pPr>
            <w:r w:rsidRPr="00F13073">
              <w:rPr>
                <w:b/>
              </w:rPr>
              <w:t>Pielęgnacja miejsca wstrzyknięcia.</w:t>
            </w:r>
          </w:p>
          <w:p w14:paraId="31BF148A" w14:textId="77777777" w:rsidR="00D025AF" w:rsidRPr="00F13073" w:rsidRDefault="00D025AF">
            <w:pPr>
              <w:pStyle w:val="Default"/>
              <w:ind w:left="567" w:hanging="567"/>
              <w:rPr>
                <w:rFonts w:ascii="Times New Roman" w:hAnsi="Times New Roman" w:cs="Times New Roman"/>
                <w:sz w:val="22"/>
                <w:szCs w:val="22"/>
              </w:rPr>
            </w:pPr>
          </w:p>
          <w:p w14:paraId="0A83D20B" w14:textId="77777777" w:rsidR="00D025AF" w:rsidRPr="00F13073" w:rsidRDefault="00D025AF">
            <w:pPr>
              <w:pStyle w:val="a4"/>
              <w:numPr>
                <w:ilvl w:val="0"/>
                <w:numId w:val="44"/>
              </w:numPr>
              <w:spacing w:after="0"/>
              <w:ind w:left="567" w:hanging="567"/>
              <w:rPr>
                <w:bCs/>
              </w:rPr>
            </w:pPr>
            <w:r w:rsidRPr="00F13073">
              <w:t>Jeśli wystąpi niewielkie krwawienie, należy opatrzyć miejsce wstrzyknięcia, delikatnie uciskając je (nie pocierając), wacikiem lub gazikiem, a w razie potrzeby założyć opatrunek samoprzylepny.</w:t>
            </w:r>
          </w:p>
          <w:p w14:paraId="7E1DB6A6" w14:textId="67349080" w:rsidR="00D025AF" w:rsidRPr="00F13073" w:rsidRDefault="00D025AF" w:rsidP="0081094B">
            <w:pPr>
              <w:pStyle w:val="a4"/>
              <w:numPr>
                <w:ilvl w:val="0"/>
                <w:numId w:val="29"/>
              </w:numPr>
              <w:tabs>
                <w:tab w:val="left" w:pos="1123"/>
              </w:tabs>
              <w:suppressAutoHyphens/>
              <w:spacing w:after="0"/>
              <w:ind w:left="1134" w:hanging="567"/>
              <w:rPr>
                <w:bCs/>
              </w:rPr>
            </w:pPr>
            <w:r w:rsidRPr="00F13073">
              <w:rPr>
                <w:b/>
              </w:rPr>
              <w:t>Nie</w:t>
            </w:r>
            <w:r w:rsidRPr="00F13073">
              <w:t xml:space="preserve"> pocierać miejsca wstrzyknięcia.</w:t>
            </w:r>
          </w:p>
          <w:p w14:paraId="54F50985" w14:textId="77777777" w:rsidR="00D025AF" w:rsidRPr="00F13073" w:rsidRDefault="00D025AF" w:rsidP="00D854D5"/>
        </w:tc>
      </w:tr>
      <w:tr w:rsidR="00A06126" w:rsidRPr="00F13073" w14:paraId="35BFB69A" w14:textId="77777777">
        <w:trPr>
          <w:cantSplit/>
        </w:trPr>
        <w:tc>
          <w:tcPr>
            <w:tcW w:w="3539" w:type="dxa"/>
          </w:tcPr>
          <w:p w14:paraId="2988E89D" w14:textId="3CA8166C" w:rsidR="00D025AF" w:rsidRPr="00F13073" w:rsidRDefault="004929A7">
            <w:pPr>
              <w:suppressAutoHyphens/>
              <w:jc w:val="right"/>
            </w:pPr>
            <w:r>
              <w:rPr>
                <w:noProof/>
                <w:lang w:val="en-US" w:eastAsia="ko-KR"/>
              </w:rPr>
              <w:lastRenderedPageBreak/>
              <w:drawing>
                <wp:inline distT="0" distB="0" distL="0" distR="0" wp14:anchorId="7CA9190C" wp14:editId="216BB915">
                  <wp:extent cx="1919605" cy="2559050"/>
                  <wp:effectExtent l="19050" t="19050" r="4445" b="0"/>
                  <wp:docPr id="20" name="그림 2017990357"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17990357" descr="스케치, 그림, 아동 미술, 예술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9605" cy="2559050"/>
                          </a:xfrm>
                          <a:prstGeom prst="rect">
                            <a:avLst/>
                          </a:prstGeom>
                          <a:noFill/>
                          <a:ln w="9525" cmpd="sng">
                            <a:solidFill>
                              <a:srgbClr val="000000"/>
                            </a:solidFill>
                            <a:miter lim="800000"/>
                            <a:headEnd/>
                            <a:tailEnd/>
                          </a:ln>
                          <a:effectLst/>
                        </pic:spPr>
                      </pic:pic>
                    </a:graphicData>
                  </a:graphic>
                </wp:inline>
              </w:drawing>
            </w:r>
          </w:p>
          <w:p w14:paraId="0450A5BB" w14:textId="77777777" w:rsidR="00D025AF" w:rsidRPr="00F13073" w:rsidRDefault="00D025AF">
            <w:pPr>
              <w:suppressAutoHyphens/>
              <w:jc w:val="right"/>
              <w:rPr>
                <w:b/>
                <w:bCs/>
              </w:rPr>
            </w:pPr>
            <w:r w:rsidRPr="00F13073">
              <w:rPr>
                <w:b/>
              </w:rPr>
              <w:t>Rysunek N</w:t>
            </w:r>
          </w:p>
        </w:tc>
        <w:tc>
          <w:tcPr>
            <w:tcW w:w="5517" w:type="dxa"/>
          </w:tcPr>
          <w:p w14:paraId="24F2B07B" w14:textId="77777777" w:rsidR="00D025AF" w:rsidRPr="00F13073" w:rsidRDefault="00D025AF">
            <w:pPr>
              <w:pStyle w:val="a4"/>
              <w:numPr>
                <w:ilvl w:val="0"/>
                <w:numId w:val="30"/>
              </w:numPr>
              <w:suppressAutoHyphens/>
              <w:spacing w:after="0"/>
              <w:ind w:left="567" w:hanging="567"/>
              <w:rPr>
                <w:b/>
              </w:rPr>
            </w:pPr>
            <w:r w:rsidRPr="00F13073">
              <w:rPr>
                <w:b/>
              </w:rPr>
              <w:t>Usuwanie ampułko-strzykawki.</w:t>
            </w:r>
          </w:p>
          <w:p w14:paraId="0D692558" w14:textId="77777777" w:rsidR="00D025AF" w:rsidRPr="00F13073" w:rsidRDefault="00D025AF">
            <w:pPr>
              <w:pStyle w:val="Default"/>
              <w:ind w:left="567" w:hanging="567"/>
              <w:rPr>
                <w:rFonts w:ascii="Times New Roman" w:hAnsi="Times New Roman" w:cs="Times New Roman"/>
                <w:sz w:val="22"/>
                <w:szCs w:val="22"/>
              </w:rPr>
            </w:pPr>
          </w:p>
          <w:p w14:paraId="15CA5F76" w14:textId="425CE45C" w:rsidR="00D025AF" w:rsidRPr="00F13073" w:rsidRDefault="00D025AF">
            <w:pPr>
              <w:pStyle w:val="a4"/>
              <w:numPr>
                <w:ilvl w:val="0"/>
                <w:numId w:val="45"/>
              </w:numPr>
              <w:spacing w:after="0"/>
              <w:ind w:left="567" w:hanging="567"/>
              <w:rPr>
                <w:bCs/>
              </w:rPr>
            </w:pPr>
            <w:r w:rsidRPr="00F13073">
              <w:t xml:space="preserve">Zużytą ampułko-strzykawkę należy </w:t>
            </w:r>
            <w:r w:rsidRPr="00F13073">
              <w:rPr>
                <w:color w:val="231F20"/>
              </w:rPr>
              <w:t xml:space="preserve">bezzwłocznie po użyciu </w:t>
            </w:r>
            <w:r w:rsidRPr="00F13073">
              <w:t xml:space="preserve">umieścić w </w:t>
            </w:r>
            <w:r w:rsidRPr="00F13073">
              <w:rPr>
                <w:color w:val="231F20"/>
              </w:rPr>
              <w:t xml:space="preserve">pojemniku na ostre odpady medyczne (patrz </w:t>
            </w:r>
            <w:r w:rsidRPr="00F13073">
              <w:rPr>
                <w:b/>
                <w:color w:val="231F20"/>
              </w:rPr>
              <w:t>rysunek N)</w:t>
            </w:r>
            <w:r w:rsidRPr="00F13073">
              <w:t>.</w:t>
            </w:r>
          </w:p>
          <w:p w14:paraId="0FBCF814" w14:textId="77777777" w:rsidR="00D025AF" w:rsidRPr="00F13073" w:rsidRDefault="00D025AF">
            <w:pPr>
              <w:pStyle w:val="a4"/>
              <w:spacing w:after="0"/>
              <w:ind w:left="567" w:hanging="567"/>
              <w:rPr>
                <w:bCs/>
              </w:rPr>
            </w:pPr>
          </w:p>
          <w:p w14:paraId="5F85D24F" w14:textId="77777777" w:rsidR="00D025AF" w:rsidRPr="00F13073" w:rsidRDefault="00D025AF">
            <w:pPr>
              <w:pStyle w:val="a4"/>
              <w:spacing w:after="0"/>
              <w:ind w:left="567"/>
              <w:rPr>
                <w:bCs/>
              </w:rPr>
            </w:pPr>
            <w:r w:rsidRPr="00F13073">
              <w:rPr>
                <w:i/>
              </w:rPr>
              <w:t>Uwaga</w:t>
            </w:r>
            <w:r w:rsidRPr="00F13073">
              <w:t xml:space="preserve">: Jeśli </w:t>
            </w:r>
            <w:r w:rsidRPr="00F13073">
              <w:rPr>
                <w:color w:val="231F20"/>
              </w:rPr>
              <w:t xml:space="preserve">wstrzyknięcie </w:t>
            </w:r>
            <w:r w:rsidRPr="00F13073">
              <w:t>jest wykonywane przez inną osobę, osoba ta musi również zachować ostrożność podczas wyjmowania ampułko-strzykawki i jej utylizacji, aby zapobiec przypadkowemu zakłuciu igłą i przeniesieniu czynników zakaźnych.</w:t>
            </w:r>
          </w:p>
          <w:p w14:paraId="2BE1FFA3" w14:textId="77777777" w:rsidR="00D025AF" w:rsidRPr="00F13073" w:rsidRDefault="00D025AF">
            <w:pPr>
              <w:pStyle w:val="a4"/>
              <w:spacing w:after="0"/>
              <w:ind w:left="567" w:hanging="567"/>
              <w:rPr>
                <w:bCs/>
              </w:rPr>
            </w:pPr>
          </w:p>
          <w:p w14:paraId="1818C903" w14:textId="6E198661" w:rsidR="00D025AF" w:rsidRPr="00F13073" w:rsidRDefault="00D025AF" w:rsidP="0081094B">
            <w:pPr>
              <w:pStyle w:val="a4"/>
              <w:numPr>
                <w:ilvl w:val="0"/>
                <w:numId w:val="29"/>
              </w:numPr>
              <w:tabs>
                <w:tab w:val="left" w:pos="1123"/>
              </w:tabs>
              <w:suppressAutoHyphens/>
              <w:spacing w:after="0"/>
              <w:ind w:left="1134" w:hanging="567"/>
            </w:pPr>
            <w:r w:rsidRPr="00F13073">
              <w:rPr>
                <w:b/>
              </w:rPr>
              <w:t>Nie</w:t>
            </w:r>
            <w:r w:rsidRPr="00F13073">
              <w:t xml:space="preserve"> </w:t>
            </w:r>
            <w:r w:rsidRPr="00F13073">
              <w:rPr>
                <w:b/>
                <w:bCs/>
              </w:rPr>
              <w:t>wolno</w:t>
            </w:r>
            <w:r w:rsidRPr="00F13073">
              <w:t xml:space="preserve"> używać ponownie zużytej ampułko-strzykawki.</w:t>
            </w:r>
          </w:p>
          <w:p w14:paraId="09E445CB" w14:textId="0E2B3BFF" w:rsidR="00D025AF" w:rsidRPr="00F13073" w:rsidRDefault="00D025AF" w:rsidP="0081094B">
            <w:pPr>
              <w:pStyle w:val="a4"/>
              <w:numPr>
                <w:ilvl w:val="0"/>
                <w:numId w:val="29"/>
              </w:numPr>
              <w:tabs>
                <w:tab w:val="left" w:pos="1123"/>
              </w:tabs>
              <w:suppressAutoHyphens/>
              <w:spacing w:after="0"/>
              <w:ind w:left="1134" w:hanging="567"/>
            </w:pPr>
            <w:r w:rsidRPr="00F13073">
              <w:rPr>
                <w:b/>
              </w:rPr>
              <w:t>Nie</w:t>
            </w:r>
            <w:r w:rsidRPr="00F13073">
              <w:t xml:space="preserve"> </w:t>
            </w:r>
            <w:r w:rsidRPr="00F13073">
              <w:rPr>
                <w:b/>
                <w:bCs/>
              </w:rPr>
              <w:t>należy</w:t>
            </w:r>
            <w:r w:rsidRPr="00F13073">
              <w:t xml:space="preserve"> zakładać ponownie nasadki na ampułko-strzykawkę.</w:t>
            </w:r>
          </w:p>
          <w:p w14:paraId="15563E16" w14:textId="0790E6D9" w:rsidR="00D025AF" w:rsidRPr="00F13073" w:rsidRDefault="00D025AF" w:rsidP="0081094B">
            <w:pPr>
              <w:pStyle w:val="a4"/>
              <w:numPr>
                <w:ilvl w:val="0"/>
                <w:numId w:val="29"/>
              </w:numPr>
              <w:tabs>
                <w:tab w:val="left" w:pos="1123"/>
              </w:tabs>
              <w:suppressAutoHyphens/>
              <w:spacing w:after="0"/>
              <w:ind w:left="1134" w:hanging="567"/>
            </w:pPr>
            <w:r w:rsidRPr="00F13073">
              <w:rPr>
                <w:b/>
              </w:rPr>
              <w:t>Nie</w:t>
            </w:r>
            <w:r w:rsidRPr="00F13073">
              <w:t xml:space="preserve"> </w:t>
            </w:r>
            <w:r w:rsidRPr="00F13073">
              <w:rPr>
                <w:b/>
                <w:bCs/>
              </w:rPr>
              <w:t>należy</w:t>
            </w:r>
            <w:r w:rsidRPr="00F13073">
              <w:t xml:space="preserve"> wyrzucać (utylizować) zużytego pojemnika na ostre odpady medyczne do domowego pojemnika na odpadki.</w:t>
            </w:r>
          </w:p>
          <w:p w14:paraId="28989475" w14:textId="738B1A4B" w:rsidR="00D025AF" w:rsidRPr="00F13073" w:rsidRDefault="00D025AF" w:rsidP="0081094B">
            <w:pPr>
              <w:pStyle w:val="a4"/>
              <w:numPr>
                <w:ilvl w:val="0"/>
                <w:numId w:val="29"/>
              </w:numPr>
              <w:tabs>
                <w:tab w:val="left" w:pos="1123"/>
              </w:tabs>
              <w:suppressAutoHyphens/>
              <w:spacing w:after="0"/>
              <w:ind w:left="1134" w:hanging="567"/>
            </w:pPr>
            <w:r w:rsidRPr="00F13073">
              <w:t xml:space="preserve">Zużytego pojemnika na ostre odpady medyczne </w:t>
            </w:r>
            <w:r w:rsidRPr="00F13073">
              <w:rPr>
                <w:b/>
              </w:rPr>
              <w:t>nie</w:t>
            </w:r>
            <w:r w:rsidRPr="00F13073">
              <w:t xml:space="preserve"> należy poddawać recyklingowi.</w:t>
            </w:r>
          </w:p>
          <w:p w14:paraId="00840468" w14:textId="0A9D7694" w:rsidR="00D025AF" w:rsidRPr="00F13073" w:rsidRDefault="00D025AF" w:rsidP="0081094B">
            <w:pPr>
              <w:pStyle w:val="a4"/>
              <w:numPr>
                <w:ilvl w:val="0"/>
                <w:numId w:val="29"/>
              </w:numPr>
              <w:tabs>
                <w:tab w:val="left" w:pos="1123"/>
              </w:tabs>
              <w:suppressAutoHyphens/>
              <w:spacing w:after="0"/>
              <w:ind w:left="1134" w:hanging="567"/>
              <w:rPr>
                <w:bCs/>
              </w:rPr>
            </w:pPr>
            <w:r w:rsidRPr="00F13073">
              <w:t>Ampułko-strzykawkę z lekiem Avtozma i pojemnik na odpady należy przechowywać w miejscu niedostępnym dla dzieci.</w:t>
            </w:r>
          </w:p>
          <w:p w14:paraId="63A9AA39" w14:textId="77777777" w:rsidR="00D025AF" w:rsidRPr="00F13073" w:rsidRDefault="00D025AF">
            <w:pPr>
              <w:pStyle w:val="a4"/>
              <w:spacing w:after="0"/>
              <w:ind w:left="567" w:hanging="567"/>
              <w:rPr>
                <w:bCs/>
              </w:rPr>
            </w:pPr>
          </w:p>
          <w:p w14:paraId="7EF43F7F" w14:textId="77777777" w:rsidR="00D025AF" w:rsidRPr="00F13073" w:rsidRDefault="00D025AF" w:rsidP="00D854D5">
            <w:r w:rsidRPr="00F13073">
              <w:t>Pełny pojemnik należy usunąć zgodnie z zaleceniami fachowego personelu medycznego lub farmaceuty. Jeśli pacjent nie posiada pojemnika na ostre odpady medyczne, można wykorzystać domowy pojemnik na odpadki, który jest zamykany i odporny na przebicie. Wszelkie niewykorzystane resztki produktu leczniczego lub jego odpady należy usunąć zgodnie z lokalnymi przepisami.</w:t>
            </w:r>
          </w:p>
          <w:p w14:paraId="7B34DAED" w14:textId="77777777" w:rsidR="00D025AF" w:rsidRPr="00F13073" w:rsidRDefault="00D025AF" w:rsidP="00D854D5"/>
        </w:tc>
      </w:tr>
      <w:tr w:rsidR="00A06126" w:rsidRPr="00F13073" w14:paraId="0748294A" w14:textId="77777777">
        <w:trPr>
          <w:cantSplit/>
        </w:trPr>
        <w:tc>
          <w:tcPr>
            <w:tcW w:w="9056" w:type="dxa"/>
            <w:gridSpan w:val="2"/>
          </w:tcPr>
          <w:p w14:paraId="16CCF934" w14:textId="6BFE9450" w:rsidR="00D025AF" w:rsidRPr="00F13073" w:rsidRDefault="00901D77">
            <w:pPr>
              <w:pStyle w:val="a4"/>
              <w:numPr>
                <w:ilvl w:val="0"/>
                <w:numId w:val="30"/>
              </w:numPr>
              <w:spacing w:after="0"/>
              <w:ind w:left="567" w:hanging="567"/>
              <w:rPr>
                <w:b/>
              </w:rPr>
            </w:pPr>
            <w:r w:rsidRPr="00F13073">
              <w:rPr>
                <w:b/>
              </w:rPr>
              <w:t>Odnotować</w:t>
            </w:r>
            <w:r w:rsidR="00D025AF" w:rsidRPr="00F13073">
              <w:rPr>
                <w:b/>
              </w:rPr>
              <w:t xml:space="preserve"> wstrzyknięcie.</w:t>
            </w:r>
          </w:p>
          <w:p w14:paraId="50810FC3" w14:textId="77777777" w:rsidR="00D025AF" w:rsidRPr="00F13073" w:rsidRDefault="00D025AF">
            <w:pPr>
              <w:pStyle w:val="Default"/>
              <w:ind w:left="567" w:hanging="567"/>
              <w:rPr>
                <w:rFonts w:ascii="Times New Roman" w:hAnsi="Times New Roman" w:cs="Times New Roman"/>
                <w:sz w:val="22"/>
                <w:szCs w:val="22"/>
              </w:rPr>
            </w:pPr>
          </w:p>
          <w:p w14:paraId="02469DCF" w14:textId="77777777" w:rsidR="00D025AF" w:rsidRPr="00F13073" w:rsidRDefault="00D025AF">
            <w:pPr>
              <w:pStyle w:val="a4"/>
              <w:numPr>
                <w:ilvl w:val="0"/>
                <w:numId w:val="47"/>
              </w:numPr>
              <w:spacing w:after="0"/>
              <w:ind w:left="567" w:hanging="567"/>
            </w:pPr>
            <w:r w:rsidRPr="00F13073">
              <w:t>Zapisać datę, godzinę i konkretną część ciała, w którą wstrzyknięto lek.</w:t>
            </w:r>
          </w:p>
          <w:p w14:paraId="6A20CC3D" w14:textId="77777777" w:rsidR="00D025AF" w:rsidRPr="00F13073" w:rsidRDefault="00D025AF" w:rsidP="00D854D5"/>
        </w:tc>
      </w:tr>
    </w:tbl>
    <w:p w14:paraId="3D8840C4" w14:textId="5034436E" w:rsidR="00525F27" w:rsidRPr="00F13073" w:rsidRDefault="00D025AF" w:rsidP="00734A30">
      <w:pPr>
        <w:pStyle w:val="a4"/>
        <w:keepNext/>
        <w:keepLines/>
        <w:widowControl/>
        <w:spacing w:after="0"/>
        <w:jc w:val="center"/>
        <w:rPr>
          <w:rStyle w:val="Char"/>
          <w:b/>
          <w:bCs/>
        </w:rPr>
      </w:pPr>
      <w:r w:rsidRPr="00F13073">
        <w:br w:type="page"/>
      </w:r>
      <w:r w:rsidR="00525F27" w:rsidRPr="00F13073">
        <w:rPr>
          <w:rStyle w:val="Char"/>
          <w:b/>
          <w:bCs/>
        </w:rPr>
        <w:lastRenderedPageBreak/>
        <w:t>Ulotka dołączona do opakowania: Informacja dla użytkownika</w:t>
      </w:r>
    </w:p>
    <w:p w14:paraId="2F29651D" w14:textId="77777777" w:rsidR="00525F27" w:rsidRPr="00F13073" w:rsidRDefault="00525F27" w:rsidP="00734A30">
      <w:pPr>
        <w:pStyle w:val="a4"/>
        <w:keepNext/>
        <w:keepLines/>
        <w:widowControl/>
        <w:spacing w:after="0"/>
        <w:jc w:val="center"/>
      </w:pPr>
    </w:p>
    <w:p w14:paraId="6218CF11" w14:textId="08DB8B63" w:rsidR="00480338" w:rsidRPr="00F13073" w:rsidRDefault="00026375" w:rsidP="00734A30">
      <w:pPr>
        <w:keepNext/>
        <w:keepLines/>
        <w:jc w:val="center"/>
        <w:rPr>
          <w:b/>
          <w:bCs/>
        </w:rPr>
      </w:pPr>
      <w:r w:rsidRPr="00F13073">
        <w:rPr>
          <w:rStyle w:val="Char"/>
          <w:rFonts w:eastAsia="DengXian"/>
          <w:b/>
          <w:bCs/>
        </w:rPr>
        <w:t>Avtozma</w:t>
      </w:r>
      <w:r w:rsidR="00525F27" w:rsidRPr="00F13073">
        <w:rPr>
          <w:rStyle w:val="Char"/>
          <w:rFonts w:eastAsia="DengXian"/>
          <w:b/>
          <w:bCs/>
        </w:rPr>
        <w:t xml:space="preserve"> 162 mg roztwór do wstrzykiwań we wstrzykiwaczu półautomatycznym napełnionym</w:t>
      </w:r>
    </w:p>
    <w:p w14:paraId="6CCCAE97" w14:textId="77777777" w:rsidR="001E0975" w:rsidRPr="00F13073" w:rsidRDefault="00611033" w:rsidP="00734A30">
      <w:pPr>
        <w:keepNext/>
        <w:keepLines/>
        <w:jc w:val="center"/>
      </w:pPr>
      <w:r w:rsidRPr="00F13073">
        <w:t>tocilizumab</w:t>
      </w:r>
    </w:p>
    <w:p w14:paraId="0352DAE2" w14:textId="66D48194" w:rsidR="00480338" w:rsidRPr="00F13073" w:rsidRDefault="004929A7" w:rsidP="00734A30">
      <w:pPr>
        <w:keepNext/>
        <w:keepLines/>
      </w:pPr>
      <w:r>
        <w:rPr>
          <w:noProof/>
          <w:lang w:val="en-US" w:eastAsia="ko-KR"/>
        </w:rPr>
        <w:drawing>
          <wp:inline distT="0" distB="0" distL="0" distR="0" wp14:anchorId="6B844883" wp14:editId="16CD8E30">
            <wp:extent cx="190500" cy="180975"/>
            <wp:effectExtent l="0" t="0" r="0" b="0"/>
            <wp:docPr id="21" name="그림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323AB9" w:rsidRPr="00F13073">
        <w:t xml:space="preserve">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w:t>
      </w:r>
      <w:r w:rsidR="00FA3CE5" w:rsidRPr="00F13073">
        <w:t>—</w:t>
      </w:r>
      <w:r w:rsidR="00323AB9" w:rsidRPr="00F13073">
        <w:t xml:space="preserve"> patrz punkt 4.</w:t>
      </w:r>
    </w:p>
    <w:p w14:paraId="12D7847C" w14:textId="77777777" w:rsidR="00323AB9" w:rsidRPr="00F13073" w:rsidRDefault="00323AB9" w:rsidP="008B4C50"/>
    <w:p w14:paraId="1CA3C5AE" w14:textId="77777777" w:rsidR="00525F27" w:rsidRPr="00F13073" w:rsidRDefault="00525F27" w:rsidP="008B4C50">
      <w:pPr>
        <w:pStyle w:val="a4"/>
        <w:widowControl/>
        <w:spacing w:after="0"/>
      </w:pPr>
      <w:r w:rsidRPr="00F13073">
        <w:rPr>
          <w:rStyle w:val="Char"/>
          <w:b/>
          <w:bCs/>
        </w:rPr>
        <w:t>Należy uważnie zapoznać się z treścią ulotki przed zastosowaniem leku, ponieważ zawiera ona informacje ważne dla pacjenta.</w:t>
      </w:r>
    </w:p>
    <w:p w14:paraId="51E352D1" w14:textId="77777777" w:rsidR="00525F27" w:rsidRPr="00F13073" w:rsidRDefault="00525F27" w:rsidP="008B4C50">
      <w:pPr>
        <w:pStyle w:val="a4"/>
        <w:widowControl/>
        <w:spacing w:after="0"/>
        <w:rPr>
          <w:rStyle w:val="Char"/>
          <w:sz w:val="24"/>
          <w:szCs w:val="24"/>
        </w:rPr>
      </w:pPr>
    </w:p>
    <w:p w14:paraId="18ED0C05" w14:textId="77777777" w:rsidR="00525F27" w:rsidRPr="00F13073" w:rsidRDefault="00525F27" w:rsidP="008B4C50">
      <w:pPr>
        <w:pStyle w:val="a0"/>
        <w:numPr>
          <w:ilvl w:val="1"/>
          <w:numId w:val="15"/>
        </w:numPr>
        <w:ind w:left="567" w:hanging="567"/>
        <w:contextualSpacing w:val="0"/>
        <w:rPr>
          <w:rStyle w:val="Char"/>
          <w:rFonts w:eastAsia="DengXian"/>
        </w:rPr>
      </w:pPr>
      <w:r w:rsidRPr="00F13073">
        <w:rPr>
          <w:rStyle w:val="Char"/>
          <w:rFonts w:eastAsia="DengXian"/>
        </w:rPr>
        <w:t>Należy zachować tę ulotkę, aby w razie potrzeby móc ją ponownie przeczytać.</w:t>
      </w:r>
    </w:p>
    <w:p w14:paraId="58F2EB77" w14:textId="77777777" w:rsidR="00525F27" w:rsidRPr="00F13073" w:rsidRDefault="00525F27" w:rsidP="008B4C50">
      <w:pPr>
        <w:pStyle w:val="a0"/>
        <w:numPr>
          <w:ilvl w:val="1"/>
          <w:numId w:val="15"/>
        </w:numPr>
        <w:ind w:left="567" w:hanging="567"/>
        <w:contextualSpacing w:val="0"/>
        <w:rPr>
          <w:rStyle w:val="Char"/>
          <w:rFonts w:eastAsia="DengXian"/>
        </w:rPr>
      </w:pPr>
      <w:r w:rsidRPr="00F13073">
        <w:rPr>
          <w:rStyle w:val="Char"/>
          <w:rFonts w:eastAsia="DengXian"/>
        </w:rPr>
        <w:t>W razie jakichkolwiek wątpliwości należy zwrócić się do lekarza lub farmaceuty.</w:t>
      </w:r>
    </w:p>
    <w:p w14:paraId="7A40114A" w14:textId="77777777" w:rsidR="00525F27" w:rsidRPr="00F13073" w:rsidRDefault="00525F27" w:rsidP="008B4C50">
      <w:pPr>
        <w:pStyle w:val="a0"/>
        <w:numPr>
          <w:ilvl w:val="1"/>
          <w:numId w:val="15"/>
        </w:numPr>
        <w:ind w:left="567" w:hanging="567"/>
        <w:contextualSpacing w:val="0"/>
        <w:rPr>
          <w:rStyle w:val="Char"/>
          <w:rFonts w:eastAsia="DengXian"/>
        </w:rPr>
      </w:pPr>
      <w:r w:rsidRPr="00F13073">
        <w:rPr>
          <w:rStyle w:val="Char"/>
          <w:rFonts w:eastAsia="DengXian"/>
        </w:rPr>
        <w:t>Lek ten przepisano ściśle określonej osobie. Nie należy go przekazywać innym. Lek może zaszkodzić innej osobie, nawet jeśli objawy jej choroby są takie same.</w:t>
      </w:r>
    </w:p>
    <w:p w14:paraId="06E434A7" w14:textId="77777777" w:rsidR="00525F27" w:rsidRPr="00F13073" w:rsidRDefault="00525F27" w:rsidP="008B4C50">
      <w:pPr>
        <w:pStyle w:val="a0"/>
        <w:numPr>
          <w:ilvl w:val="1"/>
          <w:numId w:val="15"/>
        </w:numPr>
        <w:ind w:left="567" w:hanging="567"/>
        <w:contextualSpacing w:val="0"/>
      </w:pPr>
      <w:r w:rsidRPr="00F13073">
        <w:rPr>
          <w:rStyle w:val="Char"/>
          <w:rFonts w:eastAsia="DengXian"/>
        </w:rPr>
        <w:t>Jeśli u pacjenta wystąpią jakiekolwiek objawy niepożądane, w tym wszelkie objawy niepożądane niewymienione w tej ulotce, należy powiedzieć o tym lekarzowi, farmaceucie lub pielęgniarce. Patrz punkt 4.</w:t>
      </w:r>
    </w:p>
    <w:p w14:paraId="7BC4AC60" w14:textId="77777777" w:rsidR="00525F27" w:rsidRPr="00F13073" w:rsidRDefault="00525F27" w:rsidP="008B4C50">
      <w:pPr>
        <w:pStyle w:val="a4"/>
        <w:widowControl/>
        <w:spacing w:after="0"/>
        <w:rPr>
          <w:rStyle w:val="Char"/>
        </w:rPr>
      </w:pPr>
    </w:p>
    <w:p w14:paraId="4315EA8B" w14:textId="697F1480" w:rsidR="00525F27" w:rsidRPr="00F13073" w:rsidRDefault="00525F27" w:rsidP="008B4C50">
      <w:pPr>
        <w:pStyle w:val="a4"/>
        <w:widowControl/>
        <w:spacing w:after="0"/>
      </w:pPr>
      <w:r w:rsidRPr="00F13073">
        <w:rPr>
          <w:rStyle w:val="Char"/>
        </w:rPr>
        <w:t xml:space="preserve">Oprócz tej ulotki pacjent otrzyma od lekarza </w:t>
      </w:r>
      <w:r w:rsidRPr="00F13073">
        <w:rPr>
          <w:rStyle w:val="Char"/>
          <w:b/>
          <w:bCs/>
        </w:rPr>
        <w:t>Kartę ostrzegawczą dla pacjenta</w:t>
      </w:r>
      <w:r w:rsidRPr="00F13073">
        <w:rPr>
          <w:rStyle w:val="Char"/>
        </w:rPr>
        <w:t xml:space="preserve">, która zawiera ważne informacje dotyczące bezpieczeństwa, o których chory powinien wiedzieć przed leczeniem i w trakcie leczenia lekiem </w:t>
      </w:r>
      <w:r w:rsidR="00026375" w:rsidRPr="00F13073">
        <w:rPr>
          <w:rStyle w:val="Char"/>
        </w:rPr>
        <w:t>Avtozma</w:t>
      </w:r>
      <w:r w:rsidRPr="00F13073">
        <w:rPr>
          <w:rStyle w:val="Char"/>
        </w:rPr>
        <w:t>.</w:t>
      </w:r>
    </w:p>
    <w:p w14:paraId="3AD3A027" w14:textId="77777777" w:rsidR="00480338" w:rsidRPr="00F13073" w:rsidRDefault="00480338" w:rsidP="008B4C50">
      <w:pPr>
        <w:rPr>
          <w:b/>
          <w:bCs/>
        </w:rPr>
      </w:pPr>
    </w:p>
    <w:p w14:paraId="63B3C0D9" w14:textId="77777777" w:rsidR="001E0975" w:rsidRPr="00F13073" w:rsidRDefault="00525F27" w:rsidP="008B4C50">
      <w:pPr>
        <w:keepNext/>
        <w:rPr>
          <w:b/>
          <w:bCs/>
        </w:rPr>
      </w:pPr>
      <w:r w:rsidRPr="00F13073">
        <w:rPr>
          <w:b/>
          <w:bCs/>
        </w:rPr>
        <w:t>Spis treści ulotki:</w:t>
      </w:r>
    </w:p>
    <w:p w14:paraId="01FA2605" w14:textId="4B4273E7" w:rsidR="00525F27" w:rsidRPr="00F13073" w:rsidRDefault="00525F27" w:rsidP="008B4C50">
      <w:pPr>
        <w:pStyle w:val="a0"/>
        <w:numPr>
          <w:ilvl w:val="0"/>
          <w:numId w:val="16"/>
        </w:numPr>
        <w:ind w:left="567" w:hanging="567"/>
        <w:contextualSpacing w:val="0"/>
        <w:rPr>
          <w:rStyle w:val="Char"/>
          <w:rFonts w:eastAsia="DengXian"/>
        </w:rPr>
      </w:pPr>
      <w:r w:rsidRPr="00F13073">
        <w:rPr>
          <w:rStyle w:val="Char"/>
          <w:rFonts w:eastAsia="DengXian"/>
        </w:rPr>
        <w:t xml:space="preserve">Co to jest lek </w:t>
      </w:r>
      <w:r w:rsidR="00026375" w:rsidRPr="00F13073">
        <w:rPr>
          <w:rStyle w:val="Char"/>
          <w:rFonts w:eastAsia="DengXian"/>
        </w:rPr>
        <w:t>Avtozma</w:t>
      </w:r>
      <w:r w:rsidRPr="00F13073">
        <w:rPr>
          <w:rStyle w:val="Char"/>
          <w:rFonts w:eastAsia="DengXian"/>
        </w:rPr>
        <w:t xml:space="preserve"> i w jakim celu się go stosuje</w:t>
      </w:r>
    </w:p>
    <w:p w14:paraId="7491317B" w14:textId="4F6532FE" w:rsidR="00525F27" w:rsidRPr="00F13073" w:rsidRDefault="00525F27" w:rsidP="008B4C50">
      <w:pPr>
        <w:pStyle w:val="a0"/>
        <w:numPr>
          <w:ilvl w:val="0"/>
          <w:numId w:val="16"/>
        </w:numPr>
        <w:ind w:left="567" w:hanging="567"/>
        <w:contextualSpacing w:val="0"/>
        <w:rPr>
          <w:rStyle w:val="Char"/>
          <w:rFonts w:eastAsia="DengXian"/>
        </w:rPr>
      </w:pPr>
      <w:r w:rsidRPr="00F13073">
        <w:rPr>
          <w:rStyle w:val="Char"/>
          <w:rFonts w:eastAsia="DengXian"/>
        </w:rPr>
        <w:t xml:space="preserve">Informacje ważne przed zastosowaniem leku </w:t>
      </w:r>
      <w:r w:rsidR="00026375" w:rsidRPr="00F13073">
        <w:rPr>
          <w:rStyle w:val="Char"/>
          <w:rFonts w:eastAsia="DengXian"/>
        </w:rPr>
        <w:t>Avtozma</w:t>
      </w:r>
    </w:p>
    <w:p w14:paraId="01242736" w14:textId="78621E73" w:rsidR="00525F27" w:rsidRPr="00F13073" w:rsidRDefault="00525F27" w:rsidP="008B4C50">
      <w:pPr>
        <w:pStyle w:val="a0"/>
        <w:numPr>
          <w:ilvl w:val="0"/>
          <w:numId w:val="16"/>
        </w:numPr>
        <w:ind w:left="567" w:hanging="567"/>
        <w:contextualSpacing w:val="0"/>
        <w:rPr>
          <w:rStyle w:val="Char"/>
          <w:rFonts w:eastAsia="DengXian"/>
        </w:rPr>
      </w:pPr>
      <w:r w:rsidRPr="00F13073">
        <w:rPr>
          <w:rStyle w:val="Char"/>
          <w:rFonts w:eastAsia="DengXian"/>
        </w:rPr>
        <w:t xml:space="preserve">Jak stosować lek </w:t>
      </w:r>
      <w:r w:rsidR="00026375" w:rsidRPr="00F13073">
        <w:rPr>
          <w:rStyle w:val="Char"/>
          <w:rFonts w:eastAsia="DengXian"/>
        </w:rPr>
        <w:t>Avtozma</w:t>
      </w:r>
    </w:p>
    <w:p w14:paraId="6300FFD5" w14:textId="77777777" w:rsidR="00525F27" w:rsidRPr="00F13073" w:rsidRDefault="00525F27" w:rsidP="008B4C50">
      <w:pPr>
        <w:pStyle w:val="a0"/>
        <w:numPr>
          <w:ilvl w:val="0"/>
          <w:numId w:val="16"/>
        </w:numPr>
        <w:ind w:left="567" w:hanging="567"/>
        <w:contextualSpacing w:val="0"/>
        <w:rPr>
          <w:rStyle w:val="Char"/>
          <w:rFonts w:eastAsia="DengXian"/>
        </w:rPr>
      </w:pPr>
      <w:r w:rsidRPr="00F13073">
        <w:rPr>
          <w:rStyle w:val="Char"/>
          <w:rFonts w:eastAsia="DengXian"/>
        </w:rPr>
        <w:t>Możliwe działania niepożądane</w:t>
      </w:r>
    </w:p>
    <w:p w14:paraId="38637795" w14:textId="67371C5C" w:rsidR="00525F27" w:rsidRPr="00F13073" w:rsidRDefault="00525F27" w:rsidP="008B4C50">
      <w:pPr>
        <w:pStyle w:val="a0"/>
        <w:numPr>
          <w:ilvl w:val="0"/>
          <w:numId w:val="16"/>
        </w:numPr>
        <w:ind w:left="567" w:hanging="567"/>
        <w:contextualSpacing w:val="0"/>
        <w:rPr>
          <w:rStyle w:val="Char"/>
          <w:rFonts w:eastAsia="DengXian"/>
        </w:rPr>
      </w:pPr>
      <w:r w:rsidRPr="00F13073">
        <w:rPr>
          <w:rStyle w:val="Char"/>
          <w:rFonts w:eastAsia="DengXian"/>
        </w:rPr>
        <w:t xml:space="preserve">Jak przechowywać lek </w:t>
      </w:r>
      <w:r w:rsidR="00026375" w:rsidRPr="00F13073">
        <w:rPr>
          <w:rStyle w:val="Char"/>
          <w:rFonts w:eastAsia="DengXian"/>
        </w:rPr>
        <w:t>Avtozma</w:t>
      </w:r>
    </w:p>
    <w:p w14:paraId="5AEF4EF7" w14:textId="77777777" w:rsidR="00193BEE" w:rsidRDefault="00193BEE" w:rsidP="008B4C50">
      <w:pPr>
        <w:pStyle w:val="a0"/>
        <w:numPr>
          <w:ilvl w:val="0"/>
          <w:numId w:val="16"/>
        </w:numPr>
        <w:ind w:left="567" w:hanging="567"/>
        <w:contextualSpacing w:val="0"/>
      </w:pPr>
      <w:r w:rsidRPr="00F13073">
        <w:t>Zawartość opakowania i inne informacje</w:t>
      </w:r>
    </w:p>
    <w:p w14:paraId="415B1BFA" w14:textId="400EB12F" w:rsidR="009E4F8C" w:rsidRPr="00F13073" w:rsidRDefault="009E4F8C" w:rsidP="008B4C50">
      <w:pPr>
        <w:pStyle w:val="a0"/>
        <w:numPr>
          <w:ilvl w:val="0"/>
          <w:numId w:val="16"/>
        </w:numPr>
        <w:ind w:left="567" w:hanging="567"/>
        <w:contextualSpacing w:val="0"/>
      </w:pPr>
      <w:r>
        <w:t>Instrukcja użycia</w:t>
      </w:r>
    </w:p>
    <w:p w14:paraId="29B550A5" w14:textId="77777777" w:rsidR="00480338" w:rsidRPr="00F13073" w:rsidRDefault="00480338" w:rsidP="008B4C50"/>
    <w:p w14:paraId="2BE38789" w14:textId="77777777" w:rsidR="00480338" w:rsidRPr="00F13073" w:rsidRDefault="00480338" w:rsidP="008B4C50"/>
    <w:p w14:paraId="52D35215" w14:textId="4847D58E" w:rsidR="001E0975" w:rsidRPr="00F13073" w:rsidRDefault="001721B1" w:rsidP="008B4C50">
      <w:pPr>
        <w:keepNext/>
        <w:ind w:left="567" w:hanging="567"/>
        <w:rPr>
          <w:b/>
          <w:bCs/>
        </w:rPr>
      </w:pPr>
      <w:r w:rsidRPr="00F13073">
        <w:rPr>
          <w:b/>
          <w:bCs/>
        </w:rPr>
        <w:t>1.</w:t>
      </w:r>
      <w:r w:rsidRPr="00F13073">
        <w:rPr>
          <w:b/>
          <w:bCs/>
        </w:rPr>
        <w:tab/>
      </w:r>
      <w:r w:rsidR="00193BEE" w:rsidRPr="00F13073">
        <w:rPr>
          <w:rStyle w:val="Char"/>
          <w:rFonts w:eastAsia="DengXian"/>
          <w:b/>
          <w:bCs/>
        </w:rPr>
        <w:t xml:space="preserve">Co to jest lek </w:t>
      </w:r>
      <w:r w:rsidR="00026375" w:rsidRPr="00F13073">
        <w:rPr>
          <w:rStyle w:val="Char"/>
          <w:rFonts w:eastAsia="DengXian"/>
          <w:b/>
          <w:bCs/>
        </w:rPr>
        <w:t>Avtozma</w:t>
      </w:r>
      <w:r w:rsidR="00193BEE" w:rsidRPr="00F13073">
        <w:rPr>
          <w:rStyle w:val="Char"/>
          <w:rFonts w:eastAsia="DengXian"/>
          <w:b/>
          <w:bCs/>
        </w:rPr>
        <w:t xml:space="preserve"> i w jakim celu się go stosuje</w:t>
      </w:r>
    </w:p>
    <w:p w14:paraId="1000DC21" w14:textId="77777777" w:rsidR="00480338" w:rsidRPr="00F13073" w:rsidRDefault="00480338" w:rsidP="008B4C50">
      <w:pPr>
        <w:keepNext/>
        <w:ind w:left="567" w:hanging="567"/>
        <w:rPr>
          <w:b/>
          <w:bCs/>
        </w:rPr>
      </w:pPr>
    </w:p>
    <w:p w14:paraId="0C099211" w14:textId="3B527E4C" w:rsidR="001E0975" w:rsidRPr="00F13073" w:rsidRDefault="00193BEE" w:rsidP="008B4C50">
      <w:pPr>
        <w:keepNext/>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zawiera substancję czynną o nazwie tocilizumab, która jest białkiem otrzymywanym ze specyficznych komórek odpornościowych (przeciwciało monoklonalne) blokującym działanie specyficznego białka (cytokiny) zwanego interleukiną-6. Interleukina-6 bierze udział w procesach zapalnych w organizmie, a jej zablokowanie może zmniejszać stan zapalny. Lek </w:t>
      </w:r>
      <w:r w:rsidR="00026375" w:rsidRPr="00F13073">
        <w:rPr>
          <w:rStyle w:val="Char"/>
          <w:rFonts w:eastAsia="DengXian"/>
        </w:rPr>
        <w:t>Avtozma</w:t>
      </w:r>
      <w:r w:rsidRPr="00F13073">
        <w:rPr>
          <w:rStyle w:val="Char"/>
          <w:rFonts w:eastAsia="DengXian"/>
        </w:rPr>
        <w:t xml:space="preserve"> jest stosowany w leczeniu:</w:t>
      </w:r>
    </w:p>
    <w:p w14:paraId="663552DE" w14:textId="77777777" w:rsidR="00480338" w:rsidRPr="00F13073" w:rsidRDefault="00480338" w:rsidP="008B4C50">
      <w:pPr>
        <w:keepNext/>
      </w:pPr>
    </w:p>
    <w:p w14:paraId="26B8ED6F" w14:textId="77777777" w:rsidR="001E0975" w:rsidRPr="00F13073" w:rsidRDefault="00193BEE" w:rsidP="008B4C50">
      <w:pPr>
        <w:pStyle w:val="a0"/>
        <w:numPr>
          <w:ilvl w:val="1"/>
          <w:numId w:val="15"/>
        </w:numPr>
        <w:ind w:left="567" w:hanging="567"/>
        <w:contextualSpacing w:val="0"/>
      </w:pPr>
      <w:r w:rsidRPr="00F13073">
        <w:rPr>
          <w:rStyle w:val="Char"/>
          <w:rFonts w:eastAsia="DengXian"/>
          <w:b/>
          <w:bCs/>
        </w:rPr>
        <w:t>dorosłych z czynnym reumatoidalnym zapaleniem stawów (RZS)</w:t>
      </w:r>
      <w:r w:rsidRPr="00F13073">
        <w:rPr>
          <w:rStyle w:val="Char"/>
          <w:rFonts w:eastAsia="DengXian"/>
        </w:rPr>
        <w:t xml:space="preserve">, chorobą autoimmunologiczną, </w:t>
      </w:r>
      <w:r w:rsidRPr="00F13073">
        <w:rPr>
          <w:rStyle w:val="Char"/>
          <w:rFonts w:eastAsia="DengXian"/>
          <w:b/>
          <w:bCs/>
        </w:rPr>
        <w:t>o nasileniu umiarkowanym do ciężkiego</w:t>
      </w:r>
      <w:r w:rsidRPr="00F13073">
        <w:rPr>
          <w:rStyle w:val="Char"/>
          <w:rFonts w:eastAsia="DengXian"/>
        </w:rPr>
        <w:t>, u których wcześniejsze leczenie nie powiodło się.</w:t>
      </w:r>
    </w:p>
    <w:p w14:paraId="1F798C8C" w14:textId="77777777" w:rsidR="00480338" w:rsidRPr="00F13073" w:rsidRDefault="00480338" w:rsidP="008B4C50"/>
    <w:p w14:paraId="1511ACCE" w14:textId="77777777" w:rsidR="001E0975" w:rsidRPr="00F13073" w:rsidRDefault="007E6875" w:rsidP="008B4C50">
      <w:pPr>
        <w:pStyle w:val="a0"/>
        <w:keepNext/>
        <w:numPr>
          <w:ilvl w:val="1"/>
          <w:numId w:val="15"/>
        </w:numPr>
        <w:ind w:left="567" w:hanging="567"/>
        <w:contextualSpacing w:val="0"/>
      </w:pPr>
      <w:r w:rsidRPr="00F13073">
        <w:rPr>
          <w:rStyle w:val="Char"/>
          <w:rFonts w:eastAsia="DengXian"/>
          <w:b/>
          <w:bCs/>
        </w:rPr>
        <w:t xml:space="preserve">dorosłych z czynnym, postępującym reumatoidalnym zapaleniem stawów (RZS) o nasileniu ciężkim, </w:t>
      </w:r>
      <w:r w:rsidRPr="00F13073">
        <w:rPr>
          <w:rStyle w:val="Char"/>
          <w:rFonts w:eastAsia="DengXian"/>
        </w:rPr>
        <w:t>którzy wcześniej nie byli leczeni metotreksatem</w:t>
      </w:r>
      <w:r w:rsidR="00611033" w:rsidRPr="00F13073">
        <w:t>.</w:t>
      </w:r>
    </w:p>
    <w:p w14:paraId="621F1B6C" w14:textId="77777777" w:rsidR="00480338" w:rsidRPr="00F13073" w:rsidRDefault="00480338" w:rsidP="008B4C50">
      <w:pPr>
        <w:keepNext/>
      </w:pPr>
    </w:p>
    <w:p w14:paraId="5E6BEE1A" w14:textId="05FF2466" w:rsidR="007E6875" w:rsidRPr="00F13073" w:rsidRDefault="007E6875" w:rsidP="008B4C50">
      <w:pPr>
        <w:ind w:left="567"/>
        <w:rPr>
          <w:rStyle w:val="Char"/>
          <w:rFonts w:eastAsia="DengXian"/>
        </w:rPr>
      </w:pPr>
      <w:r w:rsidRPr="00F13073">
        <w:t>Lek</w:t>
      </w:r>
      <w:r w:rsidRPr="00F13073">
        <w:rPr>
          <w:rStyle w:val="Char"/>
          <w:rFonts w:eastAsia="DengXian"/>
        </w:rPr>
        <w:t xml:space="preserve"> </w:t>
      </w:r>
      <w:r w:rsidR="00026375" w:rsidRPr="00F13073">
        <w:rPr>
          <w:rStyle w:val="Char"/>
          <w:rFonts w:eastAsia="DengXian"/>
        </w:rPr>
        <w:t>Avtozma</w:t>
      </w:r>
      <w:r w:rsidRPr="00F13073">
        <w:rPr>
          <w:rStyle w:val="Char"/>
          <w:rFonts w:eastAsia="DengXian"/>
        </w:rPr>
        <w:t xml:space="preserve"> pomaga złagodzić objawy RZS, takie jak ból i obrzęk stawów, oraz może również poprawić sprawność pacjenta w radzeniu sobie z codziennymi czynnościami. Wykazano, że lek </w:t>
      </w:r>
      <w:r w:rsidR="00026375" w:rsidRPr="00F13073">
        <w:rPr>
          <w:rStyle w:val="Char"/>
          <w:rFonts w:eastAsia="DengXian"/>
        </w:rPr>
        <w:t>Avtozma</w:t>
      </w:r>
      <w:r w:rsidRPr="00F13073">
        <w:rPr>
          <w:rStyle w:val="Char"/>
          <w:rFonts w:eastAsia="DengXian"/>
        </w:rPr>
        <w:t xml:space="preserve"> spowalnia postęp uszkodzenia chrząstki i kości stawów spowodowany przez chorobę oraz powoduje poprawę zdolności pacjenta do wykonywania codziennych aktywności.</w:t>
      </w:r>
    </w:p>
    <w:p w14:paraId="6D9A3C8D" w14:textId="77777777" w:rsidR="007E6875" w:rsidRPr="00F13073" w:rsidRDefault="007E6875" w:rsidP="008B4C50">
      <w:pPr>
        <w:ind w:left="567"/>
      </w:pPr>
    </w:p>
    <w:p w14:paraId="5111D6A5" w14:textId="07DAC2C4" w:rsidR="00480338" w:rsidRPr="00F13073" w:rsidRDefault="007E6875" w:rsidP="008B4C50">
      <w:pPr>
        <w:ind w:left="567"/>
        <w:rPr>
          <w:rStyle w:val="Char"/>
          <w:rFonts w:eastAsia="DengXian"/>
        </w:rPr>
      </w:pPr>
      <w:r w:rsidRPr="00F13073">
        <w:rPr>
          <w:rStyle w:val="Char"/>
          <w:rFonts w:eastAsia="DengXian"/>
        </w:rPr>
        <w:lastRenderedPageBreak/>
        <w:t xml:space="preserve">Lek </w:t>
      </w:r>
      <w:r w:rsidR="00026375" w:rsidRPr="00F13073">
        <w:rPr>
          <w:rStyle w:val="Char"/>
          <w:rFonts w:eastAsia="DengXian"/>
        </w:rPr>
        <w:t>Avtozma</w:t>
      </w:r>
      <w:r w:rsidRPr="00F13073">
        <w:rPr>
          <w:rStyle w:val="Char"/>
          <w:rFonts w:eastAsia="DengXian"/>
        </w:rPr>
        <w:t xml:space="preserve"> podaje się zwykle w skojarzeniu z innym lekiem stosowanym w RZS zwanym metotreksatem. Jeżeli lekarz stwierdzi, że leczenie metotreksatem nie jest wskazane, lek </w:t>
      </w:r>
      <w:r w:rsidR="00026375" w:rsidRPr="00F13073">
        <w:rPr>
          <w:rStyle w:val="Char"/>
          <w:rFonts w:eastAsia="DengXian"/>
        </w:rPr>
        <w:t>Avtozma</w:t>
      </w:r>
      <w:r w:rsidRPr="00F13073">
        <w:rPr>
          <w:rStyle w:val="Char"/>
          <w:rFonts w:eastAsia="DengXian"/>
        </w:rPr>
        <w:t xml:space="preserve"> może być podawany w monoterapii.</w:t>
      </w:r>
    </w:p>
    <w:p w14:paraId="346467A9" w14:textId="77777777" w:rsidR="00480338" w:rsidRPr="00F13073" w:rsidRDefault="00480338" w:rsidP="008B4C50"/>
    <w:p w14:paraId="0AE99192" w14:textId="77777777" w:rsidR="001E0975" w:rsidRPr="00F13073" w:rsidRDefault="007E6875" w:rsidP="008B4C50">
      <w:pPr>
        <w:pStyle w:val="a0"/>
        <w:keepNext/>
        <w:numPr>
          <w:ilvl w:val="1"/>
          <w:numId w:val="15"/>
        </w:numPr>
        <w:ind w:left="567" w:hanging="567"/>
        <w:contextualSpacing w:val="0"/>
      </w:pPr>
      <w:r w:rsidRPr="00F13073">
        <w:rPr>
          <w:rStyle w:val="Char"/>
          <w:rFonts w:eastAsia="DengXian"/>
          <w:b/>
          <w:bCs/>
        </w:rPr>
        <w:t xml:space="preserve">dorosłych z chorobą tętnic zwaną olbrzymiokomórkowym zapaleniem tętnic (GCA) </w:t>
      </w:r>
      <w:r w:rsidRPr="00F13073">
        <w:rPr>
          <w:rStyle w:val="Char"/>
          <w:rFonts w:eastAsia="DengXian"/>
        </w:rPr>
        <w:t>spowodowaną zapaleniem największych tętnic w organizmie, zwłaszcza tych dostarczających krew do głowy i szyi. Objawy obejmują ból głowy, uczucie zmęczenia i ból szczęki. Skutkiem GCA mogą być udary i ślepota.</w:t>
      </w:r>
    </w:p>
    <w:p w14:paraId="3D8232FB" w14:textId="77777777" w:rsidR="00480338" w:rsidRPr="00F13073" w:rsidRDefault="00480338" w:rsidP="002A2824">
      <w:pPr>
        <w:ind w:left="567"/>
      </w:pPr>
    </w:p>
    <w:p w14:paraId="46EA8FB7" w14:textId="6E6E9871" w:rsidR="007E6875" w:rsidRPr="00F13073" w:rsidRDefault="007E6875" w:rsidP="008B4C50">
      <w:pPr>
        <w:ind w:left="567"/>
        <w:rPr>
          <w:rStyle w:val="Char"/>
          <w:rFonts w:eastAsia="DengXian"/>
        </w:rPr>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może redukować ból i opuchnięcie w tętnicach i żyłach głowy, szyi i ramion.</w:t>
      </w:r>
    </w:p>
    <w:p w14:paraId="2F9832BA" w14:textId="77777777" w:rsidR="007E6875" w:rsidRPr="00F13073" w:rsidRDefault="007E6875" w:rsidP="008B4C50">
      <w:pPr>
        <w:ind w:left="567"/>
      </w:pPr>
    </w:p>
    <w:p w14:paraId="7CDEDBD7" w14:textId="23DB0C95" w:rsidR="001E0975" w:rsidRPr="00F13073" w:rsidRDefault="007E6875" w:rsidP="008B4C50">
      <w:pPr>
        <w:ind w:left="567"/>
      </w:pPr>
      <w:r w:rsidRPr="00F13073">
        <w:rPr>
          <w:rStyle w:val="Char"/>
          <w:rFonts w:eastAsia="DengXian"/>
        </w:rPr>
        <w:t xml:space="preserve">W terapii GCA są często stosowane leki zwane steroidami. Są one zazwyczaj skuteczne, ale mogą powodować działania niepożądane, jeśli są stosowane w dużych dawkach przez długi czas. Zmniejszenie dawki steroidów może jednak prowadzić do zaostrzenia GCA. Dołączenie leku </w:t>
      </w:r>
      <w:r w:rsidR="00026375" w:rsidRPr="00F13073">
        <w:rPr>
          <w:rStyle w:val="Char"/>
          <w:rFonts w:eastAsia="DengXian"/>
        </w:rPr>
        <w:t>Avtozma</w:t>
      </w:r>
      <w:r w:rsidRPr="00F13073">
        <w:rPr>
          <w:rStyle w:val="Char"/>
          <w:rFonts w:eastAsia="DengXian"/>
        </w:rPr>
        <w:t xml:space="preserve"> do terapii oznacza, że steroidy będą mogły być stosowane krócej, przy zachowaniu kontroli nad GCA.</w:t>
      </w:r>
    </w:p>
    <w:p w14:paraId="0CA4B1E2" w14:textId="77777777" w:rsidR="00480338" w:rsidRPr="00F13073" w:rsidRDefault="00480338" w:rsidP="002A2824">
      <w:pPr>
        <w:ind w:left="567"/>
      </w:pPr>
    </w:p>
    <w:p w14:paraId="2548D86F" w14:textId="77777777" w:rsidR="001E0975" w:rsidRPr="00F13073" w:rsidRDefault="007E6875" w:rsidP="008B4C50">
      <w:pPr>
        <w:pStyle w:val="a0"/>
        <w:keepNext/>
        <w:numPr>
          <w:ilvl w:val="1"/>
          <w:numId w:val="15"/>
        </w:numPr>
        <w:ind w:left="567" w:hanging="567"/>
        <w:contextualSpacing w:val="0"/>
      </w:pPr>
      <w:r w:rsidRPr="00F13073">
        <w:rPr>
          <w:rStyle w:val="Char"/>
          <w:rFonts w:eastAsia="DengXian"/>
          <w:b/>
          <w:bCs/>
        </w:rPr>
        <w:t xml:space="preserve">dzieci i młodzieży, w wieku 12 lat i starszych, z czynnym </w:t>
      </w:r>
      <w:r w:rsidRPr="00F13073">
        <w:rPr>
          <w:rStyle w:val="Char"/>
          <w:rFonts w:eastAsia="DengXian"/>
          <w:b/>
          <w:bCs/>
          <w:i/>
          <w:iCs/>
        </w:rPr>
        <w:t>młodzieńczym idiopatycznym zapaleniem stawów o początku uogólnionym (uMIZS)</w:t>
      </w:r>
      <w:r w:rsidRPr="00F13073">
        <w:rPr>
          <w:rStyle w:val="Char"/>
          <w:rFonts w:eastAsia="DengXian"/>
          <w:b/>
          <w:bCs/>
        </w:rPr>
        <w:t xml:space="preserve">. </w:t>
      </w:r>
      <w:r w:rsidRPr="00F13073">
        <w:rPr>
          <w:rStyle w:val="Char"/>
          <w:rFonts w:eastAsia="DengXian"/>
        </w:rPr>
        <w:t>Jest to choroba zapalna powodująca ból i opuchnięcie jednego lub większej liczby stawów, a także gorączkę i wysypkę.</w:t>
      </w:r>
    </w:p>
    <w:p w14:paraId="76A3F00A" w14:textId="77777777" w:rsidR="00E447F9" w:rsidRPr="00F13073" w:rsidRDefault="00E447F9" w:rsidP="002A2824">
      <w:pPr>
        <w:ind w:left="567"/>
      </w:pPr>
    </w:p>
    <w:p w14:paraId="0A3CA80C" w14:textId="257E6867" w:rsidR="001E0975" w:rsidRPr="00F13073" w:rsidRDefault="007E6875" w:rsidP="008B4C50">
      <w:pPr>
        <w:ind w:left="567"/>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jest stosowany w celu poprawy w zakresie objawów uMIZS. Lek może być podawany w skojarzeniu z metotreksatem lub samodzielnie.</w:t>
      </w:r>
    </w:p>
    <w:p w14:paraId="540783F0" w14:textId="77777777" w:rsidR="00E447F9" w:rsidRPr="00F13073" w:rsidRDefault="00E447F9" w:rsidP="008B4C50">
      <w:pPr>
        <w:ind w:left="567"/>
      </w:pPr>
    </w:p>
    <w:p w14:paraId="3F5D7524" w14:textId="77777777" w:rsidR="001E0975" w:rsidRPr="00F13073" w:rsidRDefault="007E6875" w:rsidP="008B4C50">
      <w:pPr>
        <w:pStyle w:val="a0"/>
        <w:keepNext/>
        <w:numPr>
          <w:ilvl w:val="1"/>
          <w:numId w:val="15"/>
        </w:numPr>
        <w:ind w:left="567" w:hanging="567"/>
        <w:contextualSpacing w:val="0"/>
      </w:pPr>
      <w:r w:rsidRPr="00F13073">
        <w:rPr>
          <w:rStyle w:val="Char"/>
          <w:rFonts w:eastAsia="DengXian"/>
          <w:b/>
          <w:bCs/>
        </w:rPr>
        <w:t xml:space="preserve">dzieci i młodzieży, w wieku 12 lat i starszych, z czynnym </w:t>
      </w:r>
      <w:r w:rsidRPr="00F13073">
        <w:rPr>
          <w:rStyle w:val="Char"/>
          <w:rFonts w:eastAsia="DengXian"/>
          <w:b/>
          <w:bCs/>
          <w:i/>
          <w:iCs/>
        </w:rPr>
        <w:t>wielostawowym młodzieńczym idiopatycznym zapaleniem stawów (wMIZS).</w:t>
      </w:r>
      <w:r w:rsidRPr="00F13073">
        <w:rPr>
          <w:rStyle w:val="Char"/>
          <w:rFonts w:eastAsia="DengXian"/>
        </w:rPr>
        <w:t xml:space="preserve"> Jest to choroba zapalna powodująca ból i opuchnięcie jednego lub większej liczby stawów.</w:t>
      </w:r>
    </w:p>
    <w:p w14:paraId="7F63AF94" w14:textId="77777777" w:rsidR="00E447F9" w:rsidRPr="00F13073" w:rsidRDefault="00E447F9" w:rsidP="002A2824">
      <w:pPr>
        <w:ind w:left="567"/>
      </w:pPr>
    </w:p>
    <w:p w14:paraId="2E53C83D" w14:textId="7D77FAB3" w:rsidR="001E0975" w:rsidRPr="00F13073" w:rsidRDefault="007E6875" w:rsidP="008B4C50">
      <w:pPr>
        <w:ind w:left="567"/>
      </w:pPr>
      <w:r w:rsidRPr="00F13073">
        <w:rPr>
          <w:rStyle w:val="Char"/>
          <w:rFonts w:eastAsia="DengXian"/>
        </w:rPr>
        <w:t xml:space="preserve">Lek </w:t>
      </w:r>
      <w:r w:rsidR="00026375" w:rsidRPr="00F13073">
        <w:rPr>
          <w:rStyle w:val="Char"/>
          <w:rFonts w:eastAsia="DengXian"/>
        </w:rPr>
        <w:t>Avtozma</w:t>
      </w:r>
      <w:r w:rsidRPr="00F13073">
        <w:rPr>
          <w:rStyle w:val="Char"/>
          <w:rFonts w:eastAsia="DengXian"/>
        </w:rPr>
        <w:t xml:space="preserve"> jest stosowany w celu poprawy w zakresie objawów wMIZS. Lek może być podawany w skojarzeniu z metotreksatem lub samodzielnie.</w:t>
      </w:r>
    </w:p>
    <w:p w14:paraId="5F358F38" w14:textId="77777777" w:rsidR="00E447F9" w:rsidRPr="00F13073" w:rsidRDefault="00E447F9" w:rsidP="008B4C50"/>
    <w:p w14:paraId="24C446FD" w14:textId="77777777" w:rsidR="00E447F9" w:rsidRPr="00F13073" w:rsidRDefault="00E447F9" w:rsidP="008B4C50"/>
    <w:p w14:paraId="18E4241D" w14:textId="7ED9A992" w:rsidR="001E0975" w:rsidRPr="00F13073" w:rsidRDefault="001721B1" w:rsidP="008B4C50">
      <w:pPr>
        <w:keepNext/>
        <w:ind w:left="567" w:hanging="567"/>
        <w:rPr>
          <w:b/>
          <w:bCs/>
        </w:rPr>
      </w:pPr>
      <w:r w:rsidRPr="00F13073">
        <w:rPr>
          <w:b/>
          <w:bCs/>
        </w:rPr>
        <w:t>2.</w:t>
      </w:r>
      <w:r w:rsidRPr="00F13073">
        <w:rPr>
          <w:b/>
          <w:bCs/>
        </w:rPr>
        <w:tab/>
      </w:r>
      <w:r w:rsidR="007E6875" w:rsidRPr="00F13073">
        <w:rPr>
          <w:rStyle w:val="Char"/>
          <w:rFonts w:eastAsia="DengXian"/>
          <w:b/>
          <w:bCs/>
        </w:rPr>
        <w:t xml:space="preserve">Informacje ważne przed przyjęciem leku </w:t>
      </w:r>
      <w:r w:rsidR="00026375" w:rsidRPr="00F13073">
        <w:rPr>
          <w:rStyle w:val="Char"/>
          <w:rFonts w:eastAsia="DengXian"/>
          <w:b/>
          <w:bCs/>
        </w:rPr>
        <w:t>Avtozma</w:t>
      </w:r>
    </w:p>
    <w:p w14:paraId="034A3BF7" w14:textId="77777777" w:rsidR="00E447F9" w:rsidRPr="00F13073" w:rsidRDefault="00E447F9" w:rsidP="008B4C50">
      <w:pPr>
        <w:keepNext/>
        <w:ind w:left="567" w:hanging="567"/>
        <w:rPr>
          <w:b/>
          <w:bCs/>
        </w:rPr>
      </w:pPr>
    </w:p>
    <w:p w14:paraId="51EB1486" w14:textId="7F4B52AD" w:rsidR="001E0975" w:rsidRPr="00F13073" w:rsidRDefault="007E6875" w:rsidP="008B4C50">
      <w:pPr>
        <w:keepNext/>
        <w:rPr>
          <w:b/>
          <w:bCs/>
        </w:rPr>
      </w:pPr>
      <w:r w:rsidRPr="00F13073">
        <w:rPr>
          <w:rStyle w:val="Char"/>
          <w:rFonts w:eastAsia="DengXian"/>
          <w:b/>
          <w:bCs/>
        </w:rPr>
        <w:t xml:space="preserve">Kiedy nie stosować leku </w:t>
      </w:r>
      <w:r w:rsidR="00026375" w:rsidRPr="00F13073">
        <w:rPr>
          <w:rStyle w:val="Char"/>
          <w:rFonts w:eastAsia="DengXian"/>
          <w:b/>
          <w:bCs/>
        </w:rPr>
        <w:t>Avtozma</w:t>
      </w:r>
      <w:r w:rsidRPr="00F13073">
        <w:rPr>
          <w:rStyle w:val="Char"/>
          <w:rFonts w:eastAsia="DengXian"/>
          <w:b/>
          <w:bCs/>
        </w:rPr>
        <w:t>:</w:t>
      </w:r>
    </w:p>
    <w:p w14:paraId="427F2F73" w14:textId="74ADE891"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jeśli ty lub pacjent małoletni, którym się opiekujesz, ma uczulenie (nadwrażliwość) na tocilizumab lub którykolwiek z pozostałych składników leku (wymienione w punkcie 6).</w:t>
      </w:r>
      <w:r w:rsidR="00E64AB5" w:rsidRPr="00F13073">
        <w:rPr>
          <w:rStyle w:val="Char"/>
          <w:rFonts w:eastAsia="DengXian"/>
        </w:rPr>
        <w:t xml:space="preserve"> (Patrz ostrzeżenia specjalne na końcu tego punktu, w podpunkcie zatytułowanym „Lek Avtozma zawiera polisorbat”).</w:t>
      </w:r>
    </w:p>
    <w:p w14:paraId="244C264C" w14:textId="77777777" w:rsidR="007E6875" w:rsidRPr="00F13073" w:rsidRDefault="007E6875" w:rsidP="008B4C50">
      <w:pPr>
        <w:pStyle w:val="a0"/>
        <w:numPr>
          <w:ilvl w:val="1"/>
          <w:numId w:val="15"/>
        </w:numPr>
        <w:ind w:left="567" w:hanging="567"/>
        <w:contextualSpacing w:val="0"/>
      </w:pPr>
      <w:r w:rsidRPr="00F13073">
        <w:rPr>
          <w:rStyle w:val="Char"/>
          <w:rFonts w:eastAsia="DengXian"/>
        </w:rPr>
        <w:t>jeśli u ciebie lub u pacjenta małoletniego, którym się opiekujesz, występuje czynne, ciężkie zakażenie.</w:t>
      </w:r>
    </w:p>
    <w:p w14:paraId="1865EB15" w14:textId="77777777" w:rsidR="002917FB" w:rsidRPr="00F13073" w:rsidRDefault="002917FB" w:rsidP="008B4C50">
      <w:pPr>
        <w:pStyle w:val="a4"/>
        <w:widowControl/>
        <w:spacing w:after="0"/>
        <w:rPr>
          <w:rStyle w:val="Char"/>
        </w:rPr>
      </w:pPr>
    </w:p>
    <w:p w14:paraId="18F84452" w14:textId="07AFB4CE" w:rsidR="007E6875" w:rsidRPr="00F13073" w:rsidRDefault="007E6875" w:rsidP="008B4C50">
      <w:pPr>
        <w:pStyle w:val="a4"/>
        <w:widowControl/>
        <w:spacing w:after="0"/>
      </w:pPr>
      <w:r w:rsidRPr="00F13073">
        <w:rPr>
          <w:rStyle w:val="Char"/>
        </w:rPr>
        <w:t xml:space="preserve">Jeśli któraś z powyższych sytuacji dotyczy pacjenta, należy poinformować lekarza. Nie stosować leku </w:t>
      </w:r>
      <w:r w:rsidR="00026375" w:rsidRPr="00F13073">
        <w:rPr>
          <w:rStyle w:val="Char"/>
        </w:rPr>
        <w:t>Avtozma</w:t>
      </w:r>
      <w:r w:rsidRPr="00F13073">
        <w:rPr>
          <w:rStyle w:val="Char"/>
        </w:rPr>
        <w:t>.</w:t>
      </w:r>
    </w:p>
    <w:p w14:paraId="0761C067" w14:textId="77777777" w:rsidR="002917FB" w:rsidRPr="00F13073" w:rsidRDefault="002917FB" w:rsidP="008B4C50">
      <w:pPr>
        <w:pStyle w:val="a4"/>
        <w:widowControl/>
        <w:spacing w:after="0"/>
        <w:rPr>
          <w:rStyle w:val="Char"/>
          <w:b/>
          <w:bCs/>
        </w:rPr>
      </w:pPr>
    </w:p>
    <w:p w14:paraId="4C1EF540" w14:textId="77777777" w:rsidR="007E6875" w:rsidRPr="00F13073" w:rsidRDefault="007E6875" w:rsidP="008B4C50">
      <w:pPr>
        <w:pStyle w:val="a4"/>
        <w:widowControl/>
        <w:spacing w:after="0"/>
      </w:pPr>
      <w:r w:rsidRPr="00F13073">
        <w:rPr>
          <w:rStyle w:val="Char"/>
          <w:b/>
          <w:bCs/>
        </w:rPr>
        <w:t>Ostrzeżenia i środki ostrożności</w:t>
      </w:r>
    </w:p>
    <w:p w14:paraId="5AB37D2D" w14:textId="77777777" w:rsidR="002917FB" w:rsidRPr="00F13073" w:rsidRDefault="002917FB" w:rsidP="008B4C50">
      <w:pPr>
        <w:pStyle w:val="a4"/>
        <w:widowControl/>
        <w:spacing w:after="0"/>
        <w:rPr>
          <w:rStyle w:val="Char"/>
        </w:rPr>
      </w:pPr>
    </w:p>
    <w:p w14:paraId="32D61AE3" w14:textId="7AB80359" w:rsidR="007E6875" w:rsidRPr="00F13073" w:rsidRDefault="007E6875" w:rsidP="008B4C50">
      <w:pPr>
        <w:pStyle w:val="a4"/>
        <w:widowControl/>
        <w:spacing w:after="0"/>
      </w:pPr>
      <w:r w:rsidRPr="00F13073">
        <w:rPr>
          <w:rStyle w:val="Char"/>
        </w:rPr>
        <w:t xml:space="preserve">Przed rozpoczęciem stosowania leku </w:t>
      </w:r>
      <w:r w:rsidR="00026375" w:rsidRPr="00F13073">
        <w:rPr>
          <w:rStyle w:val="Char"/>
        </w:rPr>
        <w:t>Avtozma</w:t>
      </w:r>
      <w:r w:rsidRPr="00F13073">
        <w:rPr>
          <w:rStyle w:val="Char"/>
        </w:rPr>
        <w:t xml:space="preserve"> należy omówić to z lekarzem, farmaceutą lub pielęgniarką.</w:t>
      </w:r>
    </w:p>
    <w:p w14:paraId="5AD253C0" w14:textId="77777777" w:rsidR="002917FB" w:rsidRPr="00F13073" w:rsidRDefault="002917FB" w:rsidP="008B4C50">
      <w:pPr>
        <w:pStyle w:val="a4"/>
        <w:widowControl/>
        <w:spacing w:after="0"/>
        <w:ind w:left="560" w:hanging="560"/>
        <w:rPr>
          <w:rStyle w:val="Char"/>
          <w:sz w:val="24"/>
          <w:szCs w:val="24"/>
        </w:rPr>
      </w:pPr>
    </w:p>
    <w:p w14:paraId="51E3CC0F"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u pacjenta wystąpiła </w:t>
      </w:r>
      <w:r w:rsidRPr="00F13073">
        <w:rPr>
          <w:rStyle w:val="Char"/>
          <w:rFonts w:eastAsia="DengXian"/>
          <w:b/>
          <w:bCs/>
        </w:rPr>
        <w:t xml:space="preserve">reakcja alergiczna, </w:t>
      </w:r>
      <w:r w:rsidRPr="00F13073">
        <w:rPr>
          <w:rStyle w:val="Char"/>
          <w:rFonts w:eastAsia="DengXian"/>
        </w:rPr>
        <w:t xml:space="preserve">w postaci np.: uczucia ściskania w klatce piersiowej, świszczącego oddechu, ciężkich zawrotów głowy lub oszołomienia, obrzęku warg, języka lub twarzy lub świądu skóry, pokrzywki lub wysypki na skórze podczas lub po podaniu leku, </w:t>
      </w:r>
      <w:r w:rsidRPr="00F13073">
        <w:rPr>
          <w:rStyle w:val="Char"/>
          <w:rFonts w:eastAsia="DengXian"/>
          <w:b/>
          <w:bCs/>
        </w:rPr>
        <w:t>należy niezwłocznie powiadomić o tym lekarza.</w:t>
      </w:r>
    </w:p>
    <w:p w14:paraId="2B183717" w14:textId="77777777" w:rsidR="002917FB" w:rsidRPr="00F13073" w:rsidRDefault="002917FB" w:rsidP="008B4C50">
      <w:pPr>
        <w:pStyle w:val="a0"/>
        <w:ind w:firstLine="0"/>
      </w:pPr>
    </w:p>
    <w:p w14:paraId="5B062673" w14:textId="0065563C"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lastRenderedPageBreak/>
        <w:t xml:space="preserve">W przypadku wystąpienia reakcji alergicznej po podaniu leku </w:t>
      </w:r>
      <w:r w:rsidR="00026375" w:rsidRPr="00F13073">
        <w:rPr>
          <w:rStyle w:val="Char"/>
          <w:rFonts w:eastAsia="DengXian"/>
        </w:rPr>
        <w:t>Avtozma</w:t>
      </w:r>
      <w:r w:rsidRPr="00F13073">
        <w:rPr>
          <w:rStyle w:val="Char"/>
          <w:rFonts w:eastAsia="DengXian"/>
        </w:rPr>
        <w:t xml:space="preserve"> nie należy przyjmować kolejnej dawki, do momentu poinformowania lekarza i wyrażenia przez niego zgody na przyjęcie kolejnej dawki.</w:t>
      </w:r>
    </w:p>
    <w:p w14:paraId="15FDF35B" w14:textId="77777777" w:rsidR="002917FB" w:rsidRPr="00F13073" w:rsidRDefault="002917FB" w:rsidP="008B4C50">
      <w:pPr>
        <w:pStyle w:val="a0"/>
      </w:pPr>
    </w:p>
    <w:p w14:paraId="4A6D9AE9" w14:textId="4AA9FAA9"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pacjent ma jakiekolwiek </w:t>
      </w:r>
      <w:r w:rsidRPr="00F13073">
        <w:rPr>
          <w:rStyle w:val="Char"/>
          <w:rFonts w:eastAsia="DengXian"/>
          <w:b/>
          <w:bCs/>
        </w:rPr>
        <w:t>zakażenie</w:t>
      </w:r>
      <w:r w:rsidRPr="00F13073">
        <w:rPr>
          <w:rStyle w:val="Char"/>
          <w:rFonts w:eastAsia="DengXian"/>
        </w:rPr>
        <w:t xml:space="preserve">, trwające krótko lub długo, lub gdy często powtarzają się zakażenia. </w:t>
      </w:r>
      <w:r w:rsidRPr="00F13073">
        <w:rPr>
          <w:rStyle w:val="Char"/>
          <w:rFonts w:eastAsia="DengXian"/>
          <w:b/>
          <w:bCs/>
        </w:rPr>
        <w:t xml:space="preserve">Należy niezwłocznie powiadomić lekarza </w:t>
      </w:r>
      <w:r w:rsidRPr="00F13073">
        <w:rPr>
          <w:rStyle w:val="Char"/>
          <w:rFonts w:eastAsia="DengXian"/>
        </w:rPr>
        <w:t xml:space="preserve">o złym samopoczuciu. Lek </w:t>
      </w:r>
      <w:r w:rsidR="00026375" w:rsidRPr="00F13073">
        <w:rPr>
          <w:rStyle w:val="Char"/>
          <w:rFonts w:eastAsia="DengXian"/>
        </w:rPr>
        <w:t>Avtozma</w:t>
      </w:r>
      <w:r w:rsidRPr="00F13073">
        <w:rPr>
          <w:rStyle w:val="Char"/>
          <w:rFonts w:eastAsia="DengXian"/>
        </w:rPr>
        <w:t xml:space="preserve"> może osłabiać zdolność organizmu do zwalczania zakażeń, co może spowodować nasilenie toczącego się zakażenia lub zwiększyć prawdopodobieństwo wystąpienia nowego zakażenia.</w:t>
      </w:r>
    </w:p>
    <w:p w14:paraId="69DCC6F7" w14:textId="77777777" w:rsidR="002917FB" w:rsidRPr="00F13073" w:rsidRDefault="002917FB" w:rsidP="008B4C50">
      <w:pPr>
        <w:pStyle w:val="a0"/>
      </w:pPr>
    </w:p>
    <w:p w14:paraId="55C9E844" w14:textId="76020E71"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pacjent choruje na </w:t>
      </w:r>
      <w:r w:rsidRPr="00F13073">
        <w:rPr>
          <w:rStyle w:val="Char"/>
          <w:rFonts w:eastAsia="DengXian"/>
          <w:b/>
          <w:bCs/>
        </w:rPr>
        <w:t xml:space="preserve">gruźlicę </w:t>
      </w:r>
      <w:r w:rsidRPr="00F13073">
        <w:rPr>
          <w:rStyle w:val="Char"/>
          <w:rFonts w:eastAsia="DengXian"/>
        </w:rPr>
        <w:t xml:space="preserve">należy o tym powiadomić lekarza. Lekarz zbada pacjenta pod kątem objawów gruźlicy przed rozpoczęciem podawania leku </w:t>
      </w:r>
      <w:r w:rsidR="00026375" w:rsidRPr="00F13073">
        <w:rPr>
          <w:rStyle w:val="Char"/>
          <w:rFonts w:eastAsia="DengXian"/>
        </w:rPr>
        <w:t>Avtozma</w:t>
      </w:r>
      <w:r w:rsidRPr="00F13073">
        <w:rPr>
          <w:rStyle w:val="Char"/>
          <w:rFonts w:eastAsia="DengXian"/>
        </w:rPr>
        <w:t>. Jeśli objawy gruźlicy (uporczywy kaszel, utrata masy ciała, apatia, łagodna gorączka) lub innego zakażenia występują w czasie lub po zakończeniu terapii, należy niezwłocznie powiadomić o tym lekarza.</w:t>
      </w:r>
    </w:p>
    <w:p w14:paraId="3DE0602E" w14:textId="77777777" w:rsidR="002917FB" w:rsidRPr="00F13073" w:rsidRDefault="002917FB" w:rsidP="008B4C50">
      <w:pPr>
        <w:pStyle w:val="a0"/>
      </w:pPr>
    </w:p>
    <w:p w14:paraId="63D698A1"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u pacjenta występowały </w:t>
      </w:r>
      <w:r w:rsidRPr="00F13073">
        <w:rPr>
          <w:rStyle w:val="Char"/>
          <w:rFonts w:eastAsia="DengXian"/>
          <w:b/>
          <w:bCs/>
        </w:rPr>
        <w:t xml:space="preserve">wrzody jelitowe </w:t>
      </w:r>
      <w:r w:rsidRPr="00F13073">
        <w:rPr>
          <w:rStyle w:val="Char"/>
          <w:rFonts w:eastAsia="DengXian"/>
        </w:rPr>
        <w:t xml:space="preserve">lub </w:t>
      </w:r>
      <w:r w:rsidRPr="00F13073">
        <w:rPr>
          <w:rStyle w:val="Char"/>
          <w:rFonts w:eastAsia="DengXian"/>
          <w:b/>
          <w:bCs/>
        </w:rPr>
        <w:t>zapalenie uchyłków jelita</w:t>
      </w:r>
      <w:r w:rsidRPr="00F13073">
        <w:rPr>
          <w:rStyle w:val="Char"/>
          <w:rFonts w:eastAsia="DengXian"/>
        </w:rPr>
        <w:t>, należy o tym powiadomić lekarza. Objawy tych schorzeń - to m.in.: ból brzucha i niewyjaśnione zmiany w rytmie wypróżnień z towarzyszącą gorączką.</w:t>
      </w:r>
    </w:p>
    <w:p w14:paraId="3AAA431D" w14:textId="77777777" w:rsidR="002917FB" w:rsidRPr="00F13073" w:rsidRDefault="002917FB" w:rsidP="008B4C50">
      <w:pPr>
        <w:pStyle w:val="a0"/>
      </w:pPr>
    </w:p>
    <w:p w14:paraId="30DD7538" w14:textId="47F1069A"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u pacjenta stwierdzono </w:t>
      </w:r>
      <w:r w:rsidRPr="00F13073">
        <w:rPr>
          <w:rStyle w:val="Char"/>
          <w:rFonts w:eastAsia="DengXian"/>
          <w:b/>
          <w:bCs/>
        </w:rPr>
        <w:t>chorobę wątroby</w:t>
      </w:r>
      <w:r w:rsidRPr="00F13073">
        <w:rPr>
          <w:rStyle w:val="Char"/>
          <w:rFonts w:eastAsia="DengXian"/>
        </w:rPr>
        <w:t xml:space="preserve">, należy o tym powiadomić lekarza. Lekarz może podjąć decyzję o zbadaniu czynności wątroby przed rozpoczęciem podawania leku </w:t>
      </w:r>
      <w:r w:rsidR="00026375" w:rsidRPr="00F13073">
        <w:rPr>
          <w:rStyle w:val="Char"/>
          <w:rFonts w:eastAsia="DengXian"/>
        </w:rPr>
        <w:t>Avtozma</w:t>
      </w:r>
      <w:r w:rsidRPr="00F13073">
        <w:rPr>
          <w:rStyle w:val="Char"/>
          <w:rFonts w:eastAsia="DengXian"/>
        </w:rPr>
        <w:t>.</w:t>
      </w:r>
    </w:p>
    <w:p w14:paraId="3AE6BC56" w14:textId="77777777" w:rsidR="002917FB" w:rsidRPr="00F13073" w:rsidRDefault="002917FB" w:rsidP="008B4C50">
      <w:pPr>
        <w:pStyle w:val="a0"/>
      </w:pPr>
    </w:p>
    <w:p w14:paraId="40D404A9" w14:textId="3467FBD0"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b/>
          <w:bCs/>
        </w:rPr>
        <w:t xml:space="preserve">Jeśli pacjent został zaszczepiony niedawno </w:t>
      </w:r>
      <w:r w:rsidRPr="00F13073">
        <w:rPr>
          <w:rStyle w:val="Char"/>
          <w:rFonts w:eastAsia="DengXian"/>
        </w:rPr>
        <w:t xml:space="preserve">lub planuje poddać się szczepieniu, należy o tym powiadomić lekarza. Wszyscy pacjenci powinni posiadać aktualne szczepienia przed rozpoczęciem leczenia lekiem </w:t>
      </w:r>
      <w:r w:rsidR="00026375" w:rsidRPr="00F13073">
        <w:rPr>
          <w:rStyle w:val="Char"/>
          <w:rFonts w:eastAsia="DengXian"/>
        </w:rPr>
        <w:t>Avtozma</w:t>
      </w:r>
      <w:r w:rsidRPr="00F13073">
        <w:rPr>
          <w:rStyle w:val="Char"/>
          <w:rFonts w:eastAsia="DengXian"/>
        </w:rPr>
        <w:t xml:space="preserve">. Niektórych rodzajów szczepionek nie należy podawać w trakcie leczenia lekiem </w:t>
      </w:r>
      <w:r w:rsidR="00026375" w:rsidRPr="00F13073">
        <w:rPr>
          <w:rStyle w:val="Char"/>
          <w:rFonts w:eastAsia="DengXian"/>
        </w:rPr>
        <w:t>Avtozma</w:t>
      </w:r>
      <w:r w:rsidRPr="00F13073">
        <w:rPr>
          <w:rStyle w:val="Char"/>
          <w:rFonts w:eastAsia="DengXian"/>
        </w:rPr>
        <w:t>.</w:t>
      </w:r>
    </w:p>
    <w:p w14:paraId="20C3A3EF" w14:textId="77777777" w:rsidR="002917FB" w:rsidRPr="00F13073" w:rsidRDefault="002917FB" w:rsidP="008B4C50">
      <w:pPr>
        <w:pStyle w:val="a0"/>
      </w:pPr>
    </w:p>
    <w:p w14:paraId="0C74C7D1" w14:textId="14342B6A"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pacjent ma </w:t>
      </w:r>
      <w:r w:rsidRPr="00F13073">
        <w:rPr>
          <w:rStyle w:val="Char"/>
          <w:rFonts w:eastAsia="DengXian"/>
          <w:b/>
          <w:bCs/>
        </w:rPr>
        <w:t>chorobę nowotworową</w:t>
      </w:r>
      <w:r w:rsidRPr="00F13073">
        <w:rPr>
          <w:rStyle w:val="Char"/>
          <w:rFonts w:eastAsia="DengXian"/>
        </w:rPr>
        <w:t xml:space="preserve">, należy o tym powiadomić lekarza prowadzącego. Lekarz zadecyduje, czy pacjent może, mimo to, nadal przyjmować lek </w:t>
      </w:r>
      <w:r w:rsidR="00026375" w:rsidRPr="00F13073">
        <w:rPr>
          <w:rStyle w:val="Char"/>
          <w:rFonts w:eastAsia="DengXian"/>
        </w:rPr>
        <w:t>Avtozma</w:t>
      </w:r>
      <w:r w:rsidRPr="00F13073">
        <w:rPr>
          <w:rStyle w:val="Char"/>
          <w:rFonts w:eastAsia="DengXian"/>
        </w:rPr>
        <w:t>.</w:t>
      </w:r>
    </w:p>
    <w:p w14:paraId="7722550B" w14:textId="77777777" w:rsidR="002917FB" w:rsidRPr="00F13073" w:rsidRDefault="002917FB" w:rsidP="008B4C50">
      <w:pPr>
        <w:pStyle w:val="a0"/>
      </w:pPr>
    </w:p>
    <w:p w14:paraId="7B258911" w14:textId="3072349C"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czynniki ryzyka chorób układu krążenia</w:t>
      </w:r>
      <w:r w:rsidRPr="00F13073">
        <w:rPr>
          <w:rStyle w:val="Char"/>
          <w:rFonts w:eastAsia="DengXian"/>
        </w:rPr>
        <w:t xml:space="preserve">, takie jak podwyższone ciśnienie tętnicze krwi i podwyższone stężenie cholesterolu, należy o tym powiadomić lekarza. Parametry te należy kontrolować w trakcie leczenia lekiem </w:t>
      </w:r>
      <w:r w:rsidR="00026375" w:rsidRPr="00F13073">
        <w:rPr>
          <w:rStyle w:val="Char"/>
          <w:rFonts w:eastAsia="DengXian"/>
        </w:rPr>
        <w:t>Avtozma</w:t>
      </w:r>
      <w:r w:rsidRPr="00F13073">
        <w:rPr>
          <w:rStyle w:val="Char"/>
          <w:rFonts w:eastAsia="DengXian"/>
        </w:rPr>
        <w:t>.</w:t>
      </w:r>
    </w:p>
    <w:p w14:paraId="6A085DF7" w14:textId="77777777" w:rsidR="002917FB" w:rsidRPr="00F13073" w:rsidRDefault="002917FB" w:rsidP="008B4C50">
      <w:pPr>
        <w:pStyle w:val="a0"/>
      </w:pPr>
    </w:p>
    <w:p w14:paraId="5E09B242"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u pacjenta występują </w:t>
      </w:r>
      <w:r w:rsidRPr="00F13073">
        <w:rPr>
          <w:rStyle w:val="Char"/>
          <w:rFonts w:eastAsia="DengXian"/>
          <w:b/>
          <w:bCs/>
        </w:rPr>
        <w:t xml:space="preserve">zaburzenia czynności nerek </w:t>
      </w:r>
      <w:r w:rsidRPr="00F13073">
        <w:rPr>
          <w:rStyle w:val="Char"/>
          <w:rFonts w:eastAsia="DengXian"/>
        </w:rPr>
        <w:t>o nasileniu umiarkowanym lub ciężkim, lekarz będzie kontrolował stan pacjenta.</w:t>
      </w:r>
    </w:p>
    <w:p w14:paraId="35086C89" w14:textId="77777777" w:rsidR="002917FB" w:rsidRPr="00F13073" w:rsidRDefault="002917FB" w:rsidP="008B4C50">
      <w:pPr>
        <w:pStyle w:val="a0"/>
      </w:pPr>
    </w:p>
    <w:p w14:paraId="1F38A674" w14:textId="77777777" w:rsidR="007E6875" w:rsidRPr="00F13073" w:rsidRDefault="007E6875" w:rsidP="008B4C50">
      <w:pPr>
        <w:pStyle w:val="a0"/>
        <w:numPr>
          <w:ilvl w:val="1"/>
          <w:numId w:val="15"/>
        </w:numPr>
        <w:ind w:left="567" w:hanging="567"/>
        <w:contextualSpacing w:val="0"/>
      </w:pPr>
      <w:r w:rsidRPr="00F13073">
        <w:rPr>
          <w:rStyle w:val="Char"/>
          <w:rFonts w:eastAsia="DengXian"/>
        </w:rPr>
        <w:t xml:space="preserve">Jeśli u pacjenta występują </w:t>
      </w:r>
      <w:r w:rsidRPr="00F13073">
        <w:rPr>
          <w:rStyle w:val="Char"/>
          <w:rFonts w:eastAsia="DengXian"/>
          <w:b/>
          <w:bCs/>
        </w:rPr>
        <w:t>uporczywe bóle głowy</w:t>
      </w:r>
      <w:r w:rsidRPr="00F13073">
        <w:rPr>
          <w:rStyle w:val="Char"/>
          <w:rFonts w:eastAsia="DengXian"/>
        </w:rPr>
        <w:t>.</w:t>
      </w:r>
    </w:p>
    <w:p w14:paraId="5B566C15" w14:textId="77777777" w:rsidR="002917FB" w:rsidRPr="00F13073" w:rsidRDefault="002917FB" w:rsidP="008B4C50">
      <w:pPr>
        <w:pStyle w:val="a4"/>
        <w:widowControl/>
        <w:spacing w:after="0"/>
        <w:rPr>
          <w:rStyle w:val="Char"/>
        </w:rPr>
      </w:pPr>
    </w:p>
    <w:p w14:paraId="1D7D4775" w14:textId="285919DE" w:rsidR="007E6875" w:rsidRPr="00F13073" w:rsidRDefault="007E6875" w:rsidP="008B4C50">
      <w:pPr>
        <w:pStyle w:val="a4"/>
        <w:widowControl/>
        <w:spacing w:after="0"/>
      </w:pPr>
      <w:r w:rsidRPr="00F13073">
        <w:rPr>
          <w:rStyle w:val="Char"/>
        </w:rPr>
        <w:t xml:space="preserve">Przed podaniem leku </w:t>
      </w:r>
      <w:r w:rsidR="00026375" w:rsidRPr="00F13073">
        <w:rPr>
          <w:rStyle w:val="Char"/>
        </w:rPr>
        <w:t>Avtozma</w:t>
      </w:r>
      <w:r w:rsidRPr="00F13073">
        <w:rPr>
          <w:rStyle w:val="Char"/>
        </w:rPr>
        <w:t xml:space="preserve"> lekarz zleci badanie krwi, by ocenić, czy u pacjenta nie występuje niska liczba białych krwinek lub płytek krwi albo zwiększona aktywność enzymów wątrobowych.</w:t>
      </w:r>
    </w:p>
    <w:p w14:paraId="6A2B2792" w14:textId="77777777" w:rsidR="002917FB" w:rsidRPr="00F13073" w:rsidRDefault="002917FB" w:rsidP="008B4C50">
      <w:pPr>
        <w:pStyle w:val="a4"/>
        <w:widowControl/>
        <w:spacing w:after="0"/>
        <w:rPr>
          <w:rStyle w:val="Char"/>
          <w:b/>
          <w:bCs/>
        </w:rPr>
      </w:pPr>
    </w:p>
    <w:p w14:paraId="149A049A" w14:textId="77777777" w:rsidR="007E6875" w:rsidRPr="00F13073" w:rsidRDefault="007E6875" w:rsidP="008B4C50">
      <w:pPr>
        <w:pStyle w:val="a4"/>
        <w:widowControl/>
        <w:spacing w:after="0"/>
      </w:pPr>
      <w:r w:rsidRPr="00F13073">
        <w:rPr>
          <w:rStyle w:val="Char"/>
          <w:b/>
          <w:bCs/>
        </w:rPr>
        <w:t>Dzieci i młodzież</w:t>
      </w:r>
    </w:p>
    <w:p w14:paraId="73AF4562" w14:textId="0FD47DD9" w:rsidR="007E6875" w:rsidRPr="00F13073" w:rsidRDefault="007E6875" w:rsidP="008B4C50">
      <w:pPr>
        <w:pStyle w:val="a4"/>
        <w:widowControl/>
        <w:spacing w:after="0"/>
      </w:pPr>
      <w:r w:rsidRPr="00F13073">
        <w:rPr>
          <w:rStyle w:val="Char"/>
        </w:rPr>
        <w:t xml:space="preserve">Nie zaleca się używania półautomatycznego wstrzykiwacza napełnionego lekiem </w:t>
      </w:r>
      <w:r w:rsidR="00026375" w:rsidRPr="00F13073">
        <w:rPr>
          <w:rStyle w:val="Char"/>
        </w:rPr>
        <w:t>Avtozma</w:t>
      </w:r>
      <w:r w:rsidRPr="00F13073">
        <w:rPr>
          <w:rStyle w:val="Char"/>
        </w:rPr>
        <w:t xml:space="preserve"> u dzieci w wieku poniżej 12 lat. Nie należy podawać leku </w:t>
      </w:r>
      <w:r w:rsidR="00026375" w:rsidRPr="00F13073">
        <w:rPr>
          <w:rStyle w:val="Char"/>
        </w:rPr>
        <w:t>Avtozma</w:t>
      </w:r>
      <w:r w:rsidRPr="00F13073">
        <w:rPr>
          <w:rStyle w:val="Char"/>
        </w:rPr>
        <w:t xml:space="preserve"> dzieciom z uMIZS, których masa ciała wynosi mniej niż 10 kg.</w:t>
      </w:r>
    </w:p>
    <w:p w14:paraId="2605BEB5" w14:textId="77777777" w:rsidR="002917FB" w:rsidRPr="00F13073" w:rsidRDefault="002917FB" w:rsidP="008B4C50">
      <w:pPr>
        <w:pStyle w:val="a4"/>
        <w:widowControl/>
        <w:spacing w:after="0"/>
        <w:rPr>
          <w:rStyle w:val="Char"/>
        </w:rPr>
      </w:pPr>
    </w:p>
    <w:p w14:paraId="4571F434" w14:textId="65ECA38E" w:rsidR="007E6875" w:rsidRPr="00F13073" w:rsidRDefault="007E6875" w:rsidP="008B4C50">
      <w:pPr>
        <w:pStyle w:val="a4"/>
        <w:widowControl/>
        <w:spacing w:after="0"/>
      </w:pPr>
      <w:r w:rsidRPr="00F13073">
        <w:rPr>
          <w:rStyle w:val="Char"/>
        </w:rPr>
        <w:t xml:space="preserve">Jeśli u dziecka występuje w wywiadzie </w:t>
      </w:r>
      <w:r w:rsidRPr="00F13073">
        <w:rPr>
          <w:rStyle w:val="Char"/>
          <w:b/>
          <w:bCs/>
          <w:i/>
          <w:iCs/>
        </w:rPr>
        <w:t>zespół aktywacji makrofagów</w:t>
      </w:r>
      <w:r w:rsidRPr="00F13073">
        <w:rPr>
          <w:rStyle w:val="Char"/>
        </w:rPr>
        <w:t xml:space="preserve"> (aktywacja i niekontrolowane namnażanie się specyficznych komórek krwi), należy powiedzieć o tym lekarzowi prowadzącemu. Lekarz prowadzący zdecyduje, czy pacjent może otrzymywać lek </w:t>
      </w:r>
      <w:r w:rsidR="00026375" w:rsidRPr="00F13073">
        <w:rPr>
          <w:rStyle w:val="Char"/>
        </w:rPr>
        <w:t>Avtozma</w:t>
      </w:r>
      <w:r w:rsidRPr="00F13073">
        <w:rPr>
          <w:rStyle w:val="Char"/>
        </w:rPr>
        <w:t>.</w:t>
      </w:r>
    </w:p>
    <w:p w14:paraId="3FB24F8C" w14:textId="77777777" w:rsidR="002917FB" w:rsidRPr="00F13073" w:rsidRDefault="002917FB" w:rsidP="008B4C50">
      <w:pPr>
        <w:pStyle w:val="a4"/>
        <w:widowControl/>
        <w:spacing w:after="0"/>
        <w:rPr>
          <w:rStyle w:val="Char"/>
          <w:b/>
          <w:bCs/>
        </w:rPr>
      </w:pPr>
    </w:p>
    <w:p w14:paraId="36A293D6" w14:textId="424B617E" w:rsidR="007E6875" w:rsidRPr="00F13073" w:rsidRDefault="007E6875" w:rsidP="008B4C50">
      <w:pPr>
        <w:pStyle w:val="a4"/>
        <w:widowControl/>
        <w:spacing w:after="0"/>
      </w:pPr>
      <w:r w:rsidRPr="00F13073">
        <w:rPr>
          <w:rStyle w:val="Char"/>
          <w:b/>
          <w:bCs/>
        </w:rPr>
        <w:t xml:space="preserve">Lek </w:t>
      </w:r>
      <w:r w:rsidR="00026375" w:rsidRPr="00F13073">
        <w:rPr>
          <w:rStyle w:val="Char"/>
          <w:b/>
          <w:bCs/>
        </w:rPr>
        <w:t>Avtozma</w:t>
      </w:r>
      <w:r w:rsidRPr="00F13073">
        <w:rPr>
          <w:rStyle w:val="Char"/>
          <w:b/>
          <w:bCs/>
        </w:rPr>
        <w:t xml:space="preserve"> a inne leki</w:t>
      </w:r>
    </w:p>
    <w:p w14:paraId="160E5AC0" w14:textId="60E7EF9F" w:rsidR="007E6875" w:rsidRPr="00F13073" w:rsidRDefault="007E6875" w:rsidP="008B4C50">
      <w:pPr>
        <w:pStyle w:val="a4"/>
        <w:widowControl/>
        <w:spacing w:after="0"/>
        <w:rPr>
          <w:rStyle w:val="Char"/>
        </w:rPr>
      </w:pPr>
      <w:r w:rsidRPr="00F13073">
        <w:rPr>
          <w:rStyle w:val="Char"/>
        </w:rPr>
        <w:t xml:space="preserve">Należy powiedzieć lekarzowi o wszystkich lekach przyjmowanych przez pacjenta obecnie lub ostatnio, a także o lekach, które pacjent planuje przyjmować. Lek </w:t>
      </w:r>
      <w:r w:rsidR="00026375" w:rsidRPr="00F13073">
        <w:rPr>
          <w:rStyle w:val="Char"/>
        </w:rPr>
        <w:t>Avtozma</w:t>
      </w:r>
      <w:r w:rsidRPr="00F13073">
        <w:rPr>
          <w:rStyle w:val="Char"/>
        </w:rPr>
        <w:t xml:space="preserve"> może zmieniać działanie innych leków, a dawki tych leków mogą wymagać odpowiedniego dostosowania. </w:t>
      </w:r>
      <w:r w:rsidRPr="00F13073">
        <w:rPr>
          <w:rStyle w:val="Char"/>
          <w:b/>
          <w:bCs/>
        </w:rPr>
        <w:t xml:space="preserve">Pacjent powinien poinformować lekarza </w:t>
      </w:r>
      <w:r w:rsidRPr="00F13073">
        <w:rPr>
          <w:rStyle w:val="Char"/>
        </w:rPr>
        <w:t>o wszystkich lekach zawierających następujące substancje czynne:</w:t>
      </w:r>
    </w:p>
    <w:p w14:paraId="3FBC41B4"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metyloprednizolon, deksametazon - stosowane w celu redukcji zapalenia</w:t>
      </w:r>
    </w:p>
    <w:p w14:paraId="34317AF2"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lastRenderedPageBreak/>
        <w:t>symwastatyna lub atorwastatyna - stosowane w celu zmniejszenia stężenia cholesterolu</w:t>
      </w:r>
    </w:p>
    <w:p w14:paraId="6946669C"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antagoniści kanału wapniowego (np. amlodypina) - leki stosowane w leczeniu podwyższonego ciśnienia krwi</w:t>
      </w:r>
    </w:p>
    <w:p w14:paraId="4CDB6090"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teofilina - stosowana w leczeniu astmy</w:t>
      </w:r>
    </w:p>
    <w:p w14:paraId="171451C0"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warfaryna, fenprokumon - stosowane jako leki przeciwkrzepliwe</w:t>
      </w:r>
    </w:p>
    <w:p w14:paraId="0190F9A3"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fenytoina - stosowana do leczenia drgawek</w:t>
      </w:r>
    </w:p>
    <w:p w14:paraId="31C58F3F"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cyklosporyna - stosowana w celu osłabienia układu odpornościowego podczas przeszczepu narządów</w:t>
      </w:r>
    </w:p>
    <w:p w14:paraId="0315441A" w14:textId="77777777" w:rsidR="007E6875" w:rsidRPr="00F13073" w:rsidRDefault="007E6875" w:rsidP="008B4C50">
      <w:pPr>
        <w:pStyle w:val="a0"/>
        <w:numPr>
          <w:ilvl w:val="1"/>
          <w:numId w:val="15"/>
        </w:numPr>
        <w:ind w:left="567" w:hanging="567"/>
        <w:contextualSpacing w:val="0"/>
      </w:pPr>
      <w:r w:rsidRPr="00F13073">
        <w:rPr>
          <w:rStyle w:val="Char"/>
          <w:rFonts w:eastAsia="DengXian"/>
        </w:rPr>
        <w:t>benzodiazepiny (np. temazepam) - leki stosowane w celu zmniejszenia lęku.</w:t>
      </w:r>
    </w:p>
    <w:p w14:paraId="61E23AC0" w14:textId="77777777" w:rsidR="00665AFE" w:rsidRPr="00F13073" w:rsidRDefault="00665AFE" w:rsidP="008B4C50">
      <w:pPr>
        <w:pStyle w:val="a4"/>
        <w:widowControl/>
        <w:spacing w:after="0"/>
        <w:rPr>
          <w:rStyle w:val="Char"/>
        </w:rPr>
      </w:pPr>
    </w:p>
    <w:p w14:paraId="3EF4BAC5" w14:textId="0BA40644" w:rsidR="007E6875" w:rsidRPr="00F13073" w:rsidRDefault="007E6875" w:rsidP="008B4C50">
      <w:pPr>
        <w:pStyle w:val="a4"/>
        <w:widowControl/>
        <w:spacing w:after="0"/>
      </w:pPr>
      <w:r w:rsidRPr="00F13073">
        <w:rPr>
          <w:rStyle w:val="Char"/>
        </w:rPr>
        <w:t xml:space="preserve">Z powodu braku badań klinicznych nie należy stosować </w:t>
      </w:r>
      <w:r w:rsidR="00F92328" w:rsidRPr="00F13073">
        <w:rPr>
          <w:rStyle w:val="Char"/>
        </w:rPr>
        <w:t>tocilizumabu</w:t>
      </w:r>
      <w:r w:rsidRPr="00F13073">
        <w:rPr>
          <w:rStyle w:val="Char"/>
        </w:rPr>
        <w:t xml:space="preserve"> z innymi lekami biologicznymi stosowanymi w leczeniu RZS, uMIZS, wMIZS lub GCA.</w:t>
      </w:r>
    </w:p>
    <w:p w14:paraId="4DADF6A6" w14:textId="77777777" w:rsidR="00665AFE" w:rsidRPr="00F13073" w:rsidRDefault="00665AFE" w:rsidP="008B4C50">
      <w:pPr>
        <w:pStyle w:val="a4"/>
        <w:widowControl/>
        <w:spacing w:after="0"/>
        <w:rPr>
          <w:rStyle w:val="Char"/>
          <w:b/>
          <w:bCs/>
        </w:rPr>
      </w:pPr>
    </w:p>
    <w:p w14:paraId="25DC2B67" w14:textId="77777777" w:rsidR="007E6875" w:rsidRPr="00F13073" w:rsidRDefault="007E6875" w:rsidP="008B4C50">
      <w:pPr>
        <w:pStyle w:val="a4"/>
        <w:widowControl/>
        <w:spacing w:after="0"/>
      </w:pPr>
      <w:r w:rsidRPr="00F13073">
        <w:rPr>
          <w:rStyle w:val="Char"/>
          <w:b/>
          <w:bCs/>
        </w:rPr>
        <w:t>Ciąża, karmienie piersią i płodność</w:t>
      </w:r>
    </w:p>
    <w:p w14:paraId="0A79D3E1" w14:textId="77777777" w:rsidR="00665AFE" w:rsidRPr="00F13073" w:rsidRDefault="00665AFE" w:rsidP="008B4C50">
      <w:pPr>
        <w:pStyle w:val="a4"/>
        <w:widowControl/>
        <w:spacing w:after="0"/>
        <w:rPr>
          <w:rStyle w:val="Char"/>
          <w:b/>
          <w:bCs/>
        </w:rPr>
      </w:pPr>
    </w:p>
    <w:p w14:paraId="7EC220D2" w14:textId="2E912656" w:rsidR="007E6875" w:rsidRPr="00F13073" w:rsidRDefault="007E6875" w:rsidP="008B4C50">
      <w:pPr>
        <w:pStyle w:val="a4"/>
        <w:widowControl/>
        <w:spacing w:after="0"/>
      </w:pPr>
      <w:r w:rsidRPr="00F13073">
        <w:rPr>
          <w:rStyle w:val="Char"/>
          <w:b/>
          <w:bCs/>
        </w:rPr>
        <w:t xml:space="preserve">Leku </w:t>
      </w:r>
      <w:r w:rsidR="00026375" w:rsidRPr="00F13073">
        <w:rPr>
          <w:rStyle w:val="Char"/>
          <w:b/>
          <w:bCs/>
        </w:rPr>
        <w:t>Avtozma</w:t>
      </w:r>
      <w:r w:rsidRPr="00F13073">
        <w:rPr>
          <w:rStyle w:val="Char"/>
          <w:b/>
          <w:bCs/>
        </w:rPr>
        <w:t xml:space="preserve"> nie należy stosować w czasie ciąży</w:t>
      </w:r>
      <w:r w:rsidRPr="00F13073">
        <w:rPr>
          <w:rStyle w:val="Char"/>
        </w:rPr>
        <w:t>, chyba że jest to bezwzględnie konieczne. Jeśli pacjentka jest w ciąży, przypuszcza, że może być w ciąży lub gdy planuje mieć dziecko, powinna poradzić się lekarza.</w:t>
      </w:r>
    </w:p>
    <w:p w14:paraId="7872206E" w14:textId="77777777" w:rsidR="00665AFE" w:rsidRPr="00F13073" w:rsidRDefault="00665AFE" w:rsidP="008B4C50">
      <w:pPr>
        <w:pStyle w:val="a4"/>
        <w:widowControl/>
        <w:spacing w:after="0"/>
        <w:rPr>
          <w:rStyle w:val="Char"/>
          <w:b/>
          <w:bCs/>
        </w:rPr>
      </w:pPr>
    </w:p>
    <w:p w14:paraId="4D531DD0" w14:textId="77777777" w:rsidR="007E6875" w:rsidRPr="00F13073" w:rsidRDefault="007E6875" w:rsidP="008B4C50">
      <w:pPr>
        <w:pStyle w:val="a4"/>
        <w:widowControl/>
        <w:spacing w:after="0"/>
      </w:pPr>
      <w:r w:rsidRPr="00F13073">
        <w:rPr>
          <w:rStyle w:val="Char"/>
          <w:b/>
          <w:bCs/>
        </w:rPr>
        <w:t xml:space="preserve">Kobiety w wieku rozrodczym muszą </w:t>
      </w:r>
      <w:r w:rsidRPr="00F13073">
        <w:rPr>
          <w:rStyle w:val="Char"/>
        </w:rPr>
        <w:t>stosować skuteczną antykoncepcję w trakcie leczenia i do</w:t>
      </w:r>
    </w:p>
    <w:p w14:paraId="08AB862A" w14:textId="77777777" w:rsidR="007E6875" w:rsidRPr="00F13073" w:rsidRDefault="007E6875" w:rsidP="008B4C50">
      <w:pPr>
        <w:pStyle w:val="a4"/>
        <w:widowControl/>
        <w:spacing w:after="0"/>
      </w:pPr>
      <w:r w:rsidRPr="00F13073">
        <w:rPr>
          <w:rStyle w:val="Char"/>
        </w:rPr>
        <w:t>3 miesięcy po jego zakończeniu.</w:t>
      </w:r>
    </w:p>
    <w:p w14:paraId="3746A551" w14:textId="77777777" w:rsidR="00665AFE" w:rsidRPr="00F13073" w:rsidRDefault="00665AFE" w:rsidP="008B4C50">
      <w:pPr>
        <w:pStyle w:val="a4"/>
        <w:widowControl/>
        <w:spacing w:after="0"/>
        <w:rPr>
          <w:rStyle w:val="Char"/>
          <w:b/>
          <w:bCs/>
        </w:rPr>
      </w:pPr>
    </w:p>
    <w:p w14:paraId="2C40E6C6" w14:textId="56770D94" w:rsidR="007E6875" w:rsidRPr="00F13073" w:rsidRDefault="007E6875" w:rsidP="008B4C50">
      <w:pPr>
        <w:pStyle w:val="a4"/>
        <w:widowControl/>
        <w:spacing w:after="0"/>
      </w:pPr>
      <w:r w:rsidRPr="00F13073">
        <w:rPr>
          <w:rStyle w:val="Char"/>
          <w:b/>
          <w:bCs/>
        </w:rPr>
        <w:t xml:space="preserve">Należy przerwać karmienie piersią </w:t>
      </w:r>
      <w:r w:rsidRPr="00F13073">
        <w:rPr>
          <w:rStyle w:val="Char"/>
        </w:rPr>
        <w:t xml:space="preserve">i poinformować lekarza, </w:t>
      </w:r>
      <w:r w:rsidRPr="00F13073">
        <w:rPr>
          <w:rStyle w:val="Char"/>
          <w:b/>
          <w:bCs/>
        </w:rPr>
        <w:t xml:space="preserve">jeśli pacjentka ma otrzymać lek </w:t>
      </w:r>
      <w:r w:rsidR="00026375" w:rsidRPr="00F13073">
        <w:rPr>
          <w:rStyle w:val="Char"/>
          <w:b/>
          <w:bCs/>
        </w:rPr>
        <w:t>Avtozma</w:t>
      </w:r>
      <w:r w:rsidRPr="00F13073">
        <w:rPr>
          <w:rStyle w:val="Char"/>
          <w:b/>
          <w:bCs/>
        </w:rPr>
        <w:t xml:space="preserve">. </w:t>
      </w:r>
      <w:r w:rsidRPr="00F13073">
        <w:rPr>
          <w:rStyle w:val="Char"/>
        </w:rPr>
        <w:t xml:space="preserve">Po zakończeniu leczenia należy odczekać co najmniej 3 miesiące przed rozpoczęciem karmienia piersią. Nie wiadomo, czy lek </w:t>
      </w:r>
      <w:r w:rsidR="00026375" w:rsidRPr="00F13073">
        <w:rPr>
          <w:rStyle w:val="Char"/>
        </w:rPr>
        <w:t>Avtozma</w:t>
      </w:r>
      <w:r w:rsidRPr="00F13073">
        <w:rPr>
          <w:rStyle w:val="Char"/>
        </w:rPr>
        <w:t xml:space="preserve"> przenika do mleka matki.</w:t>
      </w:r>
    </w:p>
    <w:p w14:paraId="50E2054F" w14:textId="77777777" w:rsidR="00665AFE" w:rsidRPr="00F13073" w:rsidRDefault="00665AFE" w:rsidP="008B4C50">
      <w:pPr>
        <w:pStyle w:val="a4"/>
        <w:widowControl/>
        <w:spacing w:after="0"/>
        <w:rPr>
          <w:rStyle w:val="Char"/>
          <w:b/>
          <w:bCs/>
        </w:rPr>
      </w:pPr>
    </w:p>
    <w:p w14:paraId="09F27734" w14:textId="77777777" w:rsidR="007E6875" w:rsidRPr="00F13073" w:rsidRDefault="007E6875" w:rsidP="008B4C50">
      <w:pPr>
        <w:pStyle w:val="a4"/>
        <w:widowControl/>
        <w:spacing w:after="0"/>
      </w:pPr>
      <w:r w:rsidRPr="00F13073">
        <w:rPr>
          <w:rStyle w:val="Char"/>
          <w:b/>
          <w:bCs/>
        </w:rPr>
        <w:t>Prowadzenie pojazdów i obsługa maszyn</w:t>
      </w:r>
    </w:p>
    <w:p w14:paraId="35D3AEA7" w14:textId="77777777" w:rsidR="007E6875" w:rsidRPr="00F13073" w:rsidRDefault="007E6875" w:rsidP="008B4C50">
      <w:pPr>
        <w:pStyle w:val="a4"/>
        <w:widowControl/>
        <w:spacing w:after="0"/>
      </w:pPr>
      <w:r w:rsidRPr="00F13073">
        <w:rPr>
          <w:rStyle w:val="Char"/>
        </w:rPr>
        <w:t>Ten lek może powodować zawroty głowy. Nie należy prowadzić pojazdów i obsługiwać maszyn, jeśli pojawią się zawroty głowy.</w:t>
      </w:r>
    </w:p>
    <w:p w14:paraId="14E00F51" w14:textId="77777777" w:rsidR="00665AFE" w:rsidRPr="00F13073" w:rsidRDefault="00665AFE" w:rsidP="008B4C50">
      <w:pPr>
        <w:pStyle w:val="a4"/>
        <w:widowControl/>
        <w:tabs>
          <w:tab w:val="left" w:pos="509"/>
        </w:tabs>
        <w:spacing w:after="0"/>
        <w:rPr>
          <w:rStyle w:val="Char"/>
          <w:b/>
          <w:bCs/>
        </w:rPr>
      </w:pPr>
    </w:p>
    <w:p w14:paraId="2E7F325D" w14:textId="77777777" w:rsidR="00EF1D65" w:rsidRPr="00F13073" w:rsidRDefault="00EF1D65" w:rsidP="00EF1D65">
      <w:pPr>
        <w:pStyle w:val="a4"/>
        <w:widowControl/>
        <w:spacing w:after="0"/>
      </w:pPr>
      <w:r w:rsidRPr="00F13073">
        <w:rPr>
          <w:rStyle w:val="Char"/>
          <w:b/>
          <w:bCs/>
        </w:rPr>
        <w:t>Lek Avtozma zawiera polisorbat</w:t>
      </w:r>
    </w:p>
    <w:p w14:paraId="26A4A618" w14:textId="3F5AF097" w:rsidR="00EF1D65" w:rsidRPr="00F13073" w:rsidRDefault="00EF1D65" w:rsidP="00EF1D65">
      <w:pPr>
        <w:rPr>
          <w:rStyle w:val="Char"/>
          <w:rFonts w:eastAsia="DengXian"/>
        </w:rPr>
      </w:pPr>
      <w:r w:rsidRPr="00F13073">
        <w:rPr>
          <w:rStyle w:val="Char"/>
          <w:rFonts w:eastAsia="DengXian"/>
        </w:rPr>
        <w:t>Ten lek zawiera 0,2 mg polisorbatu 80 w każdym wstrzykiwaczu półautomatycznym napełnionym. Polisorbaty mogą powodować reakcje alergiczne. Należy poinformować lekarza, jeśli u pacjenta występują znane reakcje alergiczne.</w:t>
      </w:r>
    </w:p>
    <w:p w14:paraId="72B85750" w14:textId="77777777" w:rsidR="00665AFE" w:rsidRPr="00F13073" w:rsidRDefault="00665AFE" w:rsidP="00A35569">
      <w:pPr>
        <w:pStyle w:val="a4"/>
        <w:widowControl/>
        <w:spacing w:after="0"/>
      </w:pPr>
    </w:p>
    <w:p w14:paraId="0A31A8E8" w14:textId="77777777" w:rsidR="00A35569" w:rsidRPr="00F13073" w:rsidRDefault="00A35569" w:rsidP="00A35569">
      <w:pPr>
        <w:pStyle w:val="a4"/>
        <w:widowControl/>
        <w:spacing w:after="0"/>
      </w:pPr>
    </w:p>
    <w:p w14:paraId="24FA7D71" w14:textId="3050CD0B" w:rsidR="00ED2F9D" w:rsidRPr="00F13073" w:rsidRDefault="00ED2F9D" w:rsidP="008B4C50">
      <w:pPr>
        <w:keepNext/>
        <w:ind w:left="567" w:hanging="567"/>
        <w:rPr>
          <w:b/>
          <w:bCs/>
        </w:rPr>
      </w:pPr>
      <w:r w:rsidRPr="00F13073">
        <w:rPr>
          <w:b/>
          <w:bCs/>
        </w:rPr>
        <w:t>3.</w:t>
      </w:r>
      <w:r w:rsidRPr="00F13073">
        <w:rPr>
          <w:b/>
          <w:bCs/>
        </w:rPr>
        <w:tab/>
      </w:r>
      <w:r w:rsidRPr="00F13073">
        <w:rPr>
          <w:rStyle w:val="Char"/>
          <w:rFonts w:eastAsia="DengXian"/>
          <w:b/>
          <w:bCs/>
        </w:rPr>
        <w:t xml:space="preserve">Jak przyjmować lek </w:t>
      </w:r>
      <w:r w:rsidR="00026375" w:rsidRPr="00F13073">
        <w:rPr>
          <w:rStyle w:val="Char"/>
          <w:rFonts w:eastAsia="DengXian"/>
          <w:b/>
          <w:bCs/>
        </w:rPr>
        <w:t>Avtozma</w:t>
      </w:r>
    </w:p>
    <w:p w14:paraId="38AB28C0" w14:textId="77777777" w:rsidR="00ED2F9D" w:rsidRPr="00F13073" w:rsidRDefault="00ED2F9D" w:rsidP="008B4C50">
      <w:pPr>
        <w:pStyle w:val="a4"/>
        <w:widowControl/>
        <w:tabs>
          <w:tab w:val="left" w:pos="509"/>
        </w:tabs>
        <w:spacing w:after="0"/>
        <w:rPr>
          <w:rStyle w:val="Char"/>
          <w:b/>
          <w:bCs/>
        </w:rPr>
      </w:pPr>
    </w:p>
    <w:p w14:paraId="19471948" w14:textId="77777777" w:rsidR="007E6875" w:rsidRPr="00F13073" w:rsidRDefault="007E6875" w:rsidP="008B4C50">
      <w:pPr>
        <w:pStyle w:val="a4"/>
        <w:widowControl/>
        <w:spacing w:after="0"/>
        <w:rPr>
          <w:rStyle w:val="Char"/>
        </w:rPr>
      </w:pPr>
      <w:r w:rsidRPr="00F13073">
        <w:rPr>
          <w:rStyle w:val="Char"/>
        </w:rPr>
        <w:t>Ten lek należy zawsze stosować zgodnie z zaleceniami lekarza, farmaceuty lub pielęgniarki. W razie wątpliwości należy zwrócić się do lekarza, farmaceuty lub pielęgniarki.</w:t>
      </w:r>
    </w:p>
    <w:p w14:paraId="57A1963A" w14:textId="77777777" w:rsidR="00ED2F9D" w:rsidRPr="00F13073" w:rsidRDefault="00ED2F9D" w:rsidP="008B4C50">
      <w:pPr>
        <w:pStyle w:val="a4"/>
        <w:widowControl/>
        <w:spacing w:after="0"/>
      </w:pPr>
    </w:p>
    <w:p w14:paraId="6D0D1C50" w14:textId="77777777" w:rsidR="007E6875" w:rsidRPr="00F13073" w:rsidRDefault="007E6875" w:rsidP="008B4C50">
      <w:pPr>
        <w:pStyle w:val="a4"/>
        <w:widowControl/>
        <w:spacing w:after="0"/>
        <w:rPr>
          <w:rStyle w:val="Char"/>
        </w:rPr>
      </w:pPr>
      <w:r w:rsidRPr="00F13073">
        <w:rPr>
          <w:rStyle w:val="Char"/>
        </w:rPr>
        <w:t>Leczenie będzie przepisywane i rozpoczynane przez lekarza doświadczonego w rozpoznawaniu i leczeniu RZS, uMIZS, wMIZS lub GCA.</w:t>
      </w:r>
    </w:p>
    <w:p w14:paraId="2B0422D3" w14:textId="77777777" w:rsidR="00ED2F9D" w:rsidRPr="00F13073" w:rsidRDefault="00ED2F9D" w:rsidP="008B4C50">
      <w:pPr>
        <w:pStyle w:val="a4"/>
        <w:widowControl/>
        <w:spacing w:after="0"/>
      </w:pPr>
    </w:p>
    <w:p w14:paraId="58B8B292" w14:textId="77777777" w:rsidR="007E6875" w:rsidRPr="00F13073" w:rsidRDefault="007E6875" w:rsidP="008B4C50">
      <w:pPr>
        <w:pStyle w:val="a4"/>
        <w:widowControl/>
        <w:spacing w:after="0"/>
      </w:pPr>
      <w:r w:rsidRPr="00F13073">
        <w:rPr>
          <w:rStyle w:val="Char"/>
          <w:b/>
          <w:bCs/>
        </w:rPr>
        <w:t>Zalecana dawka</w:t>
      </w:r>
    </w:p>
    <w:p w14:paraId="40A7748A" w14:textId="77777777" w:rsidR="007E6875" w:rsidRPr="00F13073" w:rsidRDefault="007E6875" w:rsidP="008B4C50">
      <w:pPr>
        <w:pStyle w:val="a4"/>
        <w:widowControl/>
        <w:spacing w:after="0"/>
        <w:rPr>
          <w:rStyle w:val="Char"/>
        </w:rPr>
      </w:pPr>
      <w:r w:rsidRPr="00F13073">
        <w:rPr>
          <w:rStyle w:val="Char"/>
        </w:rPr>
        <w:t>Dawka dla wszystkich dorosłych z RZS lub GCA to 162 mg (zawartość jednego wstrzykiwacza półautomatycznego napełnionego), podawana raz w tygodniu.</w:t>
      </w:r>
    </w:p>
    <w:p w14:paraId="732EA261" w14:textId="77777777" w:rsidR="00ED2F9D" w:rsidRPr="00F13073" w:rsidRDefault="00ED2F9D" w:rsidP="008B4C50">
      <w:pPr>
        <w:pStyle w:val="a4"/>
        <w:widowControl/>
        <w:spacing w:after="0"/>
      </w:pPr>
    </w:p>
    <w:p w14:paraId="5F1851AE" w14:textId="77777777" w:rsidR="007E6875" w:rsidRPr="00F13073" w:rsidRDefault="007E6875" w:rsidP="008B4C50">
      <w:pPr>
        <w:pStyle w:val="a4"/>
        <w:widowControl/>
        <w:spacing w:after="0"/>
      </w:pPr>
      <w:r w:rsidRPr="00F13073">
        <w:rPr>
          <w:rStyle w:val="Char"/>
          <w:b/>
          <w:bCs/>
        </w:rPr>
        <w:t>Młodzież z uMIZS (pacjenci w wieku 12 lat i starsi)</w:t>
      </w:r>
    </w:p>
    <w:p w14:paraId="43027686" w14:textId="26D6F684" w:rsidR="007E6875" w:rsidRPr="00F13073" w:rsidRDefault="007E6875" w:rsidP="008B4C50">
      <w:pPr>
        <w:pStyle w:val="a4"/>
        <w:widowControl/>
        <w:spacing w:after="0"/>
      </w:pPr>
      <w:r w:rsidRPr="00F13073">
        <w:rPr>
          <w:rStyle w:val="Char"/>
          <w:b/>
          <w:bCs/>
        </w:rPr>
        <w:t xml:space="preserve">Zazwyczaj stosowana dawka leku </w:t>
      </w:r>
      <w:r w:rsidR="00026375" w:rsidRPr="00F13073">
        <w:rPr>
          <w:rStyle w:val="Char"/>
          <w:b/>
          <w:bCs/>
        </w:rPr>
        <w:t>Avtozma</w:t>
      </w:r>
      <w:r w:rsidRPr="00F13073">
        <w:rPr>
          <w:rStyle w:val="Char"/>
          <w:b/>
          <w:bCs/>
        </w:rPr>
        <w:t xml:space="preserve"> zależy od masy ciała pacjenta.</w:t>
      </w:r>
    </w:p>
    <w:p w14:paraId="5089C540"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pacjent waży </w:t>
      </w:r>
      <w:r w:rsidRPr="00F13073">
        <w:rPr>
          <w:rStyle w:val="Char"/>
          <w:rFonts w:eastAsia="DengXian"/>
          <w:b/>
          <w:bCs/>
        </w:rPr>
        <w:t>mniej niż 30 kg</w:t>
      </w:r>
      <w:r w:rsidRPr="00F13073">
        <w:rPr>
          <w:rStyle w:val="Char"/>
          <w:rFonts w:eastAsia="DengXian"/>
        </w:rPr>
        <w:t>: dawka wynosi 162 mg (zawartość jednego wstrzykiwacza półautomatycznego napełnionego), raz na 2 tygodnie.</w:t>
      </w:r>
    </w:p>
    <w:p w14:paraId="50610888" w14:textId="77777777" w:rsidR="007E6875" w:rsidRPr="00F13073" w:rsidRDefault="007E6875" w:rsidP="008B4C50">
      <w:pPr>
        <w:pStyle w:val="a0"/>
        <w:numPr>
          <w:ilvl w:val="1"/>
          <w:numId w:val="15"/>
        </w:numPr>
        <w:ind w:left="567" w:hanging="567"/>
        <w:contextualSpacing w:val="0"/>
      </w:pPr>
      <w:r w:rsidRPr="00F13073">
        <w:rPr>
          <w:rStyle w:val="Char"/>
          <w:rFonts w:eastAsia="DengXian"/>
        </w:rPr>
        <w:t xml:space="preserve">Jeśli pacjent waży </w:t>
      </w:r>
      <w:r w:rsidRPr="00F13073">
        <w:rPr>
          <w:rStyle w:val="Char"/>
          <w:rFonts w:eastAsia="DengXian"/>
          <w:b/>
          <w:bCs/>
        </w:rPr>
        <w:t>30 kg lub więcej</w:t>
      </w:r>
      <w:r w:rsidRPr="00F13073">
        <w:rPr>
          <w:rStyle w:val="Char"/>
          <w:rFonts w:eastAsia="DengXian"/>
        </w:rPr>
        <w:t>: dawka wynosi 162 mg (zawartość jednego wstrzykiwacza półautomatycznego napełnionego), raz na tydzień.</w:t>
      </w:r>
    </w:p>
    <w:p w14:paraId="359132E8" w14:textId="77777777" w:rsidR="00CF6D45" w:rsidRPr="00F13073" w:rsidRDefault="00CF6D45" w:rsidP="008B4C50">
      <w:pPr>
        <w:pStyle w:val="a4"/>
        <w:widowControl/>
        <w:spacing w:after="0"/>
        <w:rPr>
          <w:rStyle w:val="Char"/>
        </w:rPr>
      </w:pPr>
    </w:p>
    <w:p w14:paraId="1E5ABE88" w14:textId="77777777" w:rsidR="007E6875" w:rsidRPr="00F13073" w:rsidRDefault="007E6875" w:rsidP="008B4C50">
      <w:pPr>
        <w:pStyle w:val="a4"/>
        <w:widowControl/>
        <w:spacing w:after="0"/>
      </w:pPr>
      <w:r w:rsidRPr="00F13073">
        <w:rPr>
          <w:rStyle w:val="Char"/>
        </w:rPr>
        <w:t>U dzieci w wieku poniżej 12 lat produktu nie należy podawać przy użyciu wstrzykiwacza półautomatycznego napełnionego.</w:t>
      </w:r>
    </w:p>
    <w:p w14:paraId="1A4C2F7D" w14:textId="77777777" w:rsidR="00CF6D45" w:rsidRPr="00F13073" w:rsidRDefault="00CF6D45" w:rsidP="008B4C50">
      <w:pPr>
        <w:pStyle w:val="a4"/>
        <w:widowControl/>
        <w:spacing w:after="0"/>
        <w:rPr>
          <w:rStyle w:val="Char"/>
          <w:b/>
          <w:bCs/>
        </w:rPr>
      </w:pPr>
    </w:p>
    <w:p w14:paraId="77C69E35" w14:textId="77777777" w:rsidR="007E6875" w:rsidRPr="00F13073" w:rsidRDefault="007E6875" w:rsidP="008B4C50">
      <w:pPr>
        <w:pStyle w:val="a4"/>
        <w:widowControl/>
        <w:spacing w:after="0"/>
      </w:pPr>
      <w:r w:rsidRPr="00F13073">
        <w:rPr>
          <w:rStyle w:val="Char"/>
          <w:b/>
          <w:bCs/>
        </w:rPr>
        <w:t>Młodzież z wMIZS (pacjenci w wieku 12 lat i starsi)</w:t>
      </w:r>
    </w:p>
    <w:p w14:paraId="19B04241" w14:textId="1FBBDF6D" w:rsidR="007E6875" w:rsidRPr="00F13073" w:rsidRDefault="007E6875" w:rsidP="008B4C50">
      <w:pPr>
        <w:pStyle w:val="a4"/>
        <w:widowControl/>
        <w:spacing w:after="0"/>
      </w:pPr>
      <w:r w:rsidRPr="00F13073">
        <w:rPr>
          <w:rStyle w:val="Char"/>
          <w:b/>
          <w:bCs/>
        </w:rPr>
        <w:t xml:space="preserve">Zazwyczaj stosowana dawka leku </w:t>
      </w:r>
      <w:r w:rsidR="00026375" w:rsidRPr="00F13073">
        <w:rPr>
          <w:rStyle w:val="Char"/>
          <w:b/>
          <w:bCs/>
        </w:rPr>
        <w:t>Avtozma</w:t>
      </w:r>
      <w:r w:rsidRPr="00F13073">
        <w:rPr>
          <w:rStyle w:val="Char"/>
          <w:b/>
          <w:bCs/>
        </w:rPr>
        <w:t xml:space="preserve"> zależy od masy ciała pacjenta.</w:t>
      </w:r>
    </w:p>
    <w:p w14:paraId="19EA79C7"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 xml:space="preserve">Jeśli pacjent waży </w:t>
      </w:r>
      <w:r w:rsidRPr="00F13073">
        <w:rPr>
          <w:rStyle w:val="Char"/>
          <w:rFonts w:eastAsia="DengXian"/>
          <w:b/>
          <w:bCs/>
        </w:rPr>
        <w:t>mniej niż 30 kg</w:t>
      </w:r>
      <w:r w:rsidRPr="00F13073">
        <w:rPr>
          <w:rStyle w:val="Char"/>
          <w:rFonts w:eastAsia="DengXian"/>
        </w:rPr>
        <w:t xml:space="preserve">: dawka wynosi 162 mg (zawartość jednego wstrzykiwacza półautomatycznego napełnionego), </w:t>
      </w:r>
      <w:r w:rsidRPr="00F13073">
        <w:rPr>
          <w:rStyle w:val="Char"/>
          <w:rFonts w:eastAsia="DengXian"/>
          <w:b/>
          <w:bCs/>
        </w:rPr>
        <w:t>raz na 3 tygodnie</w:t>
      </w:r>
      <w:r w:rsidRPr="00F13073">
        <w:rPr>
          <w:rStyle w:val="Char"/>
          <w:rFonts w:eastAsia="DengXian"/>
        </w:rPr>
        <w:t>.</w:t>
      </w:r>
    </w:p>
    <w:p w14:paraId="534E89AE" w14:textId="77777777" w:rsidR="007E6875" w:rsidRPr="00F13073" w:rsidRDefault="007E6875" w:rsidP="008B4C50">
      <w:pPr>
        <w:pStyle w:val="a0"/>
        <w:numPr>
          <w:ilvl w:val="1"/>
          <w:numId w:val="15"/>
        </w:numPr>
        <w:ind w:left="567" w:hanging="567"/>
        <w:contextualSpacing w:val="0"/>
      </w:pPr>
      <w:r w:rsidRPr="00F13073">
        <w:rPr>
          <w:rStyle w:val="Char"/>
          <w:rFonts w:eastAsia="DengXian"/>
        </w:rPr>
        <w:t xml:space="preserve">Jeśli pacjent waży </w:t>
      </w:r>
      <w:r w:rsidRPr="00F13073">
        <w:rPr>
          <w:rStyle w:val="Char"/>
          <w:rFonts w:eastAsia="DengXian"/>
          <w:b/>
          <w:bCs/>
        </w:rPr>
        <w:t>30 kg lub więcej</w:t>
      </w:r>
      <w:r w:rsidRPr="00F13073">
        <w:rPr>
          <w:rStyle w:val="Char"/>
          <w:rFonts w:eastAsia="DengXian"/>
        </w:rPr>
        <w:t xml:space="preserve">: dawka wynosi 162 mg (zawartość jednego wstrzykiwacza półautomatycznego napełnionego), </w:t>
      </w:r>
      <w:r w:rsidRPr="00F13073">
        <w:rPr>
          <w:rStyle w:val="Char"/>
          <w:rFonts w:eastAsia="DengXian"/>
          <w:b/>
          <w:bCs/>
        </w:rPr>
        <w:t>raz na 2 tygodnie</w:t>
      </w:r>
      <w:r w:rsidRPr="00F13073">
        <w:rPr>
          <w:rStyle w:val="Char"/>
          <w:rFonts w:eastAsia="DengXian"/>
        </w:rPr>
        <w:t>.</w:t>
      </w:r>
    </w:p>
    <w:p w14:paraId="0704AF82" w14:textId="77777777" w:rsidR="00CF6D45" w:rsidRPr="00F13073" w:rsidRDefault="00CF6D45" w:rsidP="008B4C50">
      <w:pPr>
        <w:pStyle w:val="a4"/>
        <w:widowControl/>
        <w:spacing w:after="0"/>
        <w:rPr>
          <w:rStyle w:val="Char"/>
        </w:rPr>
      </w:pPr>
    </w:p>
    <w:p w14:paraId="59CDB2CA" w14:textId="77777777" w:rsidR="007E6875" w:rsidRPr="00F13073" w:rsidRDefault="007E6875" w:rsidP="008B4C50">
      <w:pPr>
        <w:pStyle w:val="a4"/>
        <w:widowControl/>
        <w:spacing w:after="0"/>
        <w:rPr>
          <w:rStyle w:val="Char"/>
        </w:rPr>
      </w:pPr>
      <w:r w:rsidRPr="00F13073">
        <w:rPr>
          <w:rStyle w:val="Char"/>
        </w:rPr>
        <w:t>U dzieci w wieku poniżej 12 lat produktu nie należy podawać przy użyciu wstrzykiwacza półautomatycznego napełnionego.</w:t>
      </w:r>
    </w:p>
    <w:p w14:paraId="4350E1CC" w14:textId="77777777" w:rsidR="00513155" w:rsidRPr="00F13073" w:rsidRDefault="00513155" w:rsidP="008B4C50">
      <w:pPr>
        <w:pStyle w:val="a4"/>
        <w:widowControl/>
        <w:spacing w:after="0"/>
      </w:pPr>
    </w:p>
    <w:p w14:paraId="10F336F7" w14:textId="68E9226E" w:rsidR="007E6875" w:rsidRPr="00F13073" w:rsidRDefault="007E6875" w:rsidP="008B4C50">
      <w:pPr>
        <w:pStyle w:val="a4"/>
        <w:widowControl/>
        <w:spacing w:after="0"/>
      </w:pPr>
      <w:r w:rsidRPr="00F13073">
        <w:rPr>
          <w:rStyle w:val="Char"/>
        </w:rPr>
        <w:t xml:space="preserve">Lek </w:t>
      </w:r>
      <w:r w:rsidR="00026375" w:rsidRPr="00F13073">
        <w:rPr>
          <w:rStyle w:val="Char"/>
        </w:rPr>
        <w:t>Avtozma</w:t>
      </w:r>
      <w:r w:rsidRPr="00F13073">
        <w:rPr>
          <w:rStyle w:val="Char"/>
        </w:rPr>
        <w:t xml:space="preserve"> podaje się w iniekcji podskórnej </w:t>
      </w:r>
      <w:r w:rsidRPr="00F13073">
        <w:rPr>
          <w:rStyle w:val="Char"/>
          <w:i/>
          <w:iCs/>
        </w:rPr>
        <w:t>(podskórnie</w:t>
      </w:r>
      <w:r w:rsidRPr="00F13073">
        <w:rPr>
          <w:rStyle w:val="Char"/>
        </w:rPr>
        <w:t xml:space="preserve">). Początkowo lek </w:t>
      </w:r>
      <w:r w:rsidR="00026375" w:rsidRPr="00F13073">
        <w:rPr>
          <w:rStyle w:val="Char"/>
        </w:rPr>
        <w:t>Avtozma</w:t>
      </w:r>
      <w:r w:rsidRPr="00F13073">
        <w:rPr>
          <w:rStyle w:val="Char"/>
        </w:rPr>
        <w:t xml:space="preserve"> może być podawany przez lekarza lub pielęgniarkę. Lekarz może jednak zdecydować, że pacjent może dokonywać wstrzykiwania leku </w:t>
      </w:r>
      <w:r w:rsidR="00026375" w:rsidRPr="00F13073">
        <w:rPr>
          <w:rStyle w:val="Char"/>
        </w:rPr>
        <w:t>Avtozma</w:t>
      </w:r>
      <w:r w:rsidRPr="00F13073">
        <w:rPr>
          <w:rStyle w:val="Char"/>
        </w:rPr>
        <w:t xml:space="preserve"> samodzielnie. W takim przypadku pacjent zostanie przeszkolony w zakresie samodzielnego wstrzykiwania leku </w:t>
      </w:r>
      <w:r w:rsidR="00026375" w:rsidRPr="00F13073">
        <w:rPr>
          <w:rStyle w:val="Char"/>
        </w:rPr>
        <w:t>Avtozma</w:t>
      </w:r>
      <w:r w:rsidRPr="00F13073">
        <w:rPr>
          <w:rStyle w:val="Char"/>
        </w:rPr>
        <w:t xml:space="preserve">. W przypadku pacjentów, którzy nie mogą samodzielnie dokonywać wstrzykiwania leku </w:t>
      </w:r>
      <w:r w:rsidR="00026375" w:rsidRPr="00F13073">
        <w:rPr>
          <w:rStyle w:val="Char"/>
        </w:rPr>
        <w:t>Avtozma</w:t>
      </w:r>
      <w:r w:rsidRPr="00F13073">
        <w:rPr>
          <w:rStyle w:val="Char"/>
        </w:rPr>
        <w:t>, przeszkoleni zostaną w tym zakresie rodzice i opiekunowie.</w:t>
      </w:r>
    </w:p>
    <w:p w14:paraId="5D904BC4" w14:textId="77777777" w:rsidR="00CF6D45" w:rsidRPr="00F13073" w:rsidRDefault="00CF6D45" w:rsidP="008B4C50">
      <w:pPr>
        <w:pStyle w:val="a4"/>
        <w:widowControl/>
        <w:spacing w:after="0"/>
        <w:rPr>
          <w:rStyle w:val="Char"/>
        </w:rPr>
      </w:pPr>
    </w:p>
    <w:p w14:paraId="03B7743A" w14:textId="2B6EB372" w:rsidR="007E6875" w:rsidRPr="00F13073" w:rsidRDefault="007E6875" w:rsidP="008B4C50">
      <w:pPr>
        <w:pStyle w:val="a4"/>
        <w:widowControl/>
        <w:spacing w:after="0"/>
      </w:pPr>
      <w:r w:rsidRPr="00F13073">
        <w:rPr>
          <w:rStyle w:val="Char"/>
        </w:rPr>
        <w:t>Należy zwrócić się do lekarza, jeśli ma się wątpliwości dotyczące samodzielnego podawania zastrzyków sobie lub wykonywania ich u nastoletnich pacjentów. Szczegółowe „Instrukcje podawania” znajdują się na końcu tej ulotki.</w:t>
      </w:r>
    </w:p>
    <w:p w14:paraId="2FF27644" w14:textId="77777777" w:rsidR="00CF6D45" w:rsidRPr="00F13073" w:rsidRDefault="00CF6D45" w:rsidP="008B4C50">
      <w:pPr>
        <w:pStyle w:val="a4"/>
        <w:widowControl/>
        <w:spacing w:after="0"/>
        <w:rPr>
          <w:rStyle w:val="Char"/>
          <w:b/>
          <w:bCs/>
        </w:rPr>
      </w:pPr>
    </w:p>
    <w:p w14:paraId="03AFD417" w14:textId="50E6F3A1" w:rsidR="007E6875" w:rsidRPr="00F13073" w:rsidRDefault="007E6875" w:rsidP="008B4C50">
      <w:pPr>
        <w:pStyle w:val="a4"/>
        <w:widowControl/>
        <w:spacing w:after="0"/>
      </w:pPr>
      <w:r w:rsidRPr="00F13073">
        <w:rPr>
          <w:rStyle w:val="Char"/>
          <w:b/>
          <w:bCs/>
        </w:rPr>
        <w:t xml:space="preserve">Zastosowanie większej niż zalecana dawki leku </w:t>
      </w:r>
      <w:r w:rsidR="00026375" w:rsidRPr="00F13073">
        <w:rPr>
          <w:rStyle w:val="Char"/>
          <w:b/>
          <w:bCs/>
        </w:rPr>
        <w:t>Avtozma</w:t>
      </w:r>
    </w:p>
    <w:p w14:paraId="0B68317A" w14:textId="471D51D0" w:rsidR="007E6875" w:rsidRPr="00F13073" w:rsidRDefault="007E6875" w:rsidP="008B4C50">
      <w:pPr>
        <w:pStyle w:val="a4"/>
        <w:widowControl/>
        <w:spacing w:after="0"/>
      </w:pPr>
      <w:r w:rsidRPr="00F13073">
        <w:rPr>
          <w:rStyle w:val="Char"/>
        </w:rPr>
        <w:t xml:space="preserve">Ponieważ lek </w:t>
      </w:r>
      <w:r w:rsidR="00026375" w:rsidRPr="00F13073">
        <w:rPr>
          <w:rStyle w:val="Char"/>
        </w:rPr>
        <w:t>Avtozma</w:t>
      </w:r>
      <w:r w:rsidRPr="00F13073">
        <w:rPr>
          <w:rStyle w:val="Char"/>
        </w:rPr>
        <w:t xml:space="preserve"> jest podawany z pojedynczego wstrzykiwacza półautomatycznego napełnionego, podanie większej niż zalecana dawki leku jest mało prawdopodobne.</w:t>
      </w:r>
    </w:p>
    <w:p w14:paraId="373ED4DC" w14:textId="77777777" w:rsidR="007E6875" w:rsidRPr="00F13073" w:rsidRDefault="007E6875" w:rsidP="008B4C50">
      <w:pPr>
        <w:pStyle w:val="a4"/>
        <w:widowControl/>
        <w:spacing w:after="0"/>
      </w:pPr>
      <w:r w:rsidRPr="00F13073">
        <w:rPr>
          <w:rStyle w:val="Char"/>
        </w:rPr>
        <w:t>Jednakże w razie wątpliwości, należy zwrócić się do lekarza, farmaceuty lub pielęgniarki.</w:t>
      </w:r>
    </w:p>
    <w:p w14:paraId="0078D6F7" w14:textId="77777777" w:rsidR="00CF6D45" w:rsidRPr="00F13073" w:rsidRDefault="00CF6D45" w:rsidP="008B4C50">
      <w:pPr>
        <w:pStyle w:val="a4"/>
        <w:widowControl/>
        <w:spacing w:after="0"/>
        <w:rPr>
          <w:rStyle w:val="Char"/>
          <w:b/>
          <w:bCs/>
        </w:rPr>
      </w:pPr>
    </w:p>
    <w:p w14:paraId="36DB6971" w14:textId="77777777" w:rsidR="007E6875" w:rsidRPr="00F13073" w:rsidRDefault="007E6875" w:rsidP="008B4C50">
      <w:pPr>
        <w:pStyle w:val="a4"/>
        <w:widowControl/>
        <w:spacing w:after="0"/>
      </w:pPr>
      <w:r w:rsidRPr="00F13073">
        <w:rPr>
          <w:rStyle w:val="Char"/>
          <w:b/>
          <w:bCs/>
        </w:rPr>
        <w:t>Pominięcie dawki leku przez osobę dorosłą z RZS lub GCA bądź nastoletniego pacjenta z uMIZS</w:t>
      </w:r>
    </w:p>
    <w:p w14:paraId="1A68F83C" w14:textId="4AD868BC" w:rsidR="007E6875" w:rsidRPr="00F13073" w:rsidRDefault="007E6875" w:rsidP="008B4C50">
      <w:pPr>
        <w:pStyle w:val="a4"/>
        <w:widowControl/>
        <w:spacing w:after="0"/>
      </w:pPr>
      <w:r w:rsidRPr="00F13073">
        <w:rPr>
          <w:rStyle w:val="Char"/>
        </w:rPr>
        <w:t xml:space="preserve">Istotne jest, aby stosować lek </w:t>
      </w:r>
      <w:r w:rsidR="00026375" w:rsidRPr="00F13073">
        <w:rPr>
          <w:rStyle w:val="Char"/>
        </w:rPr>
        <w:t>Avtozma</w:t>
      </w:r>
      <w:r w:rsidRPr="00F13073">
        <w:rPr>
          <w:rStyle w:val="Char"/>
        </w:rPr>
        <w:t xml:space="preserve"> zgodnie z zaleceniem lekarza. Należy pilnować momentu przyjęcia kolejnej dawki.</w:t>
      </w:r>
    </w:p>
    <w:p w14:paraId="4807CF1E"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Jeśli od pominięcia dawki podawanej cotygodniowo upłynęło mniej niż 7 dni, należy przyjąć kolejną w następnym zaplanowanym dniu.</w:t>
      </w:r>
    </w:p>
    <w:p w14:paraId="6EA18A03" w14:textId="77777777" w:rsidR="00986C5A" w:rsidRPr="00F13073" w:rsidRDefault="007E6875" w:rsidP="00513155">
      <w:pPr>
        <w:pStyle w:val="a0"/>
        <w:numPr>
          <w:ilvl w:val="1"/>
          <w:numId w:val="15"/>
        </w:numPr>
        <w:ind w:left="567" w:hanging="567"/>
        <w:contextualSpacing w:val="0"/>
        <w:rPr>
          <w:rStyle w:val="Char"/>
          <w:rFonts w:eastAsia="DengXian"/>
        </w:rPr>
      </w:pPr>
      <w:r w:rsidRPr="00F13073">
        <w:rPr>
          <w:rStyle w:val="Char"/>
          <w:rFonts w:eastAsia="DengXian"/>
        </w:rPr>
        <w:t>Jeśli od pominięcia dawki podawanej co drugi tydzień upłynęło mniej niż 7 dni, należy przyjąć pominiętą dawkę jak najszybciej, a kolejną dawkę - w zaplanowanym terminie.</w:t>
      </w:r>
    </w:p>
    <w:p w14:paraId="4638864E" w14:textId="6B36DBC5" w:rsidR="007E6875" w:rsidRPr="00F13073" w:rsidRDefault="007E6875" w:rsidP="008B4C50">
      <w:pPr>
        <w:pStyle w:val="a0"/>
        <w:numPr>
          <w:ilvl w:val="1"/>
          <w:numId w:val="15"/>
        </w:numPr>
        <w:ind w:left="567" w:hanging="567"/>
        <w:contextualSpacing w:val="0"/>
      </w:pPr>
      <w:r w:rsidRPr="00F13073">
        <w:rPr>
          <w:rStyle w:val="Char"/>
          <w:rFonts w:eastAsia="DengXian"/>
        </w:rPr>
        <w:t xml:space="preserve">Jeśli od pominięcia dawki podawanej cotygodniowo lub co drugi tydzień upłynęło więcej niż 7 dni lub istnieją wątpliwości, czy przyjąć lek </w:t>
      </w:r>
      <w:r w:rsidR="00026375" w:rsidRPr="00F13073">
        <w:rPr>
          <w:rStyle w:val="Char"/>
          <w:rFonts w:eastAsia="DengXian"/>
        </w:rPr>
        <w:t>Avtozma</w:t>
      </w:r>
      <w:r w:rsidRPr="00F13073">
        <w:rPr>
          <w:rStyle w:val="Char"/>
          <w:rFonts w:eastAsia="DengXian"/>
        </w:rPr>
        <w:t>, należy zwrócić się do lekarza lub farmaceuty.</w:t>
      </w:r>
    </w:p>
    <w:p w14:paraId="018549DD" w14:textId="77777777" w:rsidR="006C369E" w:rsidRPr="00F13073" w:rsidRDefault="006C369E" w:rsidP="008B4C50">
      <w:pPr>
        <w:pStyle w:val="a4"/>
        <w:widowControl/>
        <w:spacing w:after="0"/>
        <w:rPr>
          <w:rStyle w:val="Char"/>
          <w:b/>
          <w:bCs/>
        </w:rPr>
      </w:pPr>
    </w:p>
    <w:p w14:paraId="716F497F" w14:textId="77777777" w:rsidR="007E6875" w:rsidRPr="00F13073" w:rsidRDefault="007E6875" w:rsidP="008B4C50">
      <w:pPr>
        <w:pStyle w:val="a4"/>
        <w:widowControl/>
        <w:spacing w:after="0"/>
      </w:pPr>
      <w:r w:rsidRPr="00F13073">
        <w:rPr>
          <w:rStyle w:val="Char"/>
          <w:b/>
          <w:bCs/>
        </w:rPr>
        <w:t>Jeśli młodzież z wMIZS pominie lub zapomni przyjąć dawkę</w:t>
      </w:r>
    </w:p>
    <w:p w14:paraId="55637F67" w14:textId="329A0EDA" w:rsidR="007E6875" w:rsidRPr="00F13073" w:rsidRDefault="007E6875" w:rsidP="008B4C50">
      <w:pPr>
        <w:pStyle w:val="a4"/>
        <w:widowControl/>
        <w:spacing w:after="0"/>
        <w:rPr>
          <w:rStyle w:val="Char"/>
        </w:rPr>
      </w:pPr>
      <w:r w:rsidRPr="00F13073">
        <w:rPr>
          <w:rStyle w:val="Char"/>
        </w:rPr>
        <w:t xml:space="preserve">Bardzo ważne jest, aby stosować lek </w:t>
      </w:r>
      <w:r w:rsidR="00026375" w:rsidRPr="00F13073">
        <w:rPr>
          <w:rStyle w:val="Char"/>
        </w:rPr>
        <w:t>Avtozma</w:t>
      </w:r>
      <w:r w:rsidRPr="00F13073">
        <w:rPr>
          <w:rStyle w:val="Char"/>
        </w:rPr>
        <w:t xml:space="preserve"> dokładnie tak, jak to zalecił lekarz prowadzący. Należy pilnować momentu przyjęcia kolejnej dawki.</w:t>
      </w:r>
    </w:p>
    <w:p w14:paraId="651B77F2"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Jeśli dawka leku zostanie pominięta i od tego czasu upłynie nie więcej niż 7 dni, należy przyjąć lek jak najszybciej, a kolejną dawkę podać w zaplanowanym wcześniej terminie.</w:t>
      </w:r>
    </w:p>
    <w:p w14:paraId="69D55D79" w14:textId="5B388574" w:rsidR="007E6875" w:rsidRPr="00F13073" w:rsidRDefault="007E6875" w:rsidP="008B4C50">
      <w:pPr>
        <w:pStyle w:val="a0"/>
        <w:numPr>
          <w:ilvl w:val="1"/>
          <w:numId w:val="15"/>
        </w:numPr>
        <w:ind w:left="567" w:hanging="567"/>
        <w:contextualSpacing w:val="0"/>
      </w:pPr>
      <w:r w:rsidRPr="00F13073">
        <w:rPr>
          <w:rStyle w:val="Char"/>
          <w:rFonts w:eastAsia="DengXian"/>
        </w:rPr>
        <w:t xml:space="preserve">Jeśli dawka zostanie pominięta o więcej niż 7 dni lub jeśli istnieją wątpliwości kiedy wstrzyknąć lek </w:t>
      </w:r>
      <w:r w:rsidR="00026375" w:rsidRPr="00F13073">
        <w:rPr>
          <w:rStyle w:val="Char"/>
          <w:rFonts w:eastAsia="DengXian"/>
        </w:rPr>
        <w:t>Avtozma</w:t>
      </w:r>
      <w:r w:rsidRPr="00F13073">
        <w:rPr>
          <w:rStyle w:val="Char"/>
          <w:rFonts w:eastAsia="DengXian"/>
        </w:rPr>
        <w:t>, należy skontaktować się z lekarzem lub farmaceutą.</w:t>
      </w:r>
    </w:p>
    <w:p w14:paraId="396FCDA3" w14:textId="77777777" w:rsidR="00986C5A" w:rsidRPr="00F13073" w:rsidRDefault="00986C5A" w:rsidP="008B4C50">
      <w:pPr>
        <w:pStyle w:val="a4"/>
        <w:widowControl/>
        <w:spacing w:after="0"/>
        <w:rPr>
          <w:rStyle w:val="Char"/>
          <w:b/>
          <w:bCs/>
        </w:rPr>
      </w:pPr>
    </w:p>
    <w:p w14:paraId="1130C886" w14:textId="22649F30" w:rsidR="007E6875" w:rsidRPr="00F13073" w:rsidRDefault="007E6875" w:rsidP="008B4C50">
      <w:pPr>
        <w:pStyle w:val="a4"/>
        <w:widowControl/>
        <w:spacing w:after="0"/>
      </w:pPr>
      <w:r w:rsidRPr="00F13073">
        <w:rPr>
          <w:rStyle w:val="Char"/>
          <w:b/>
          <w:bCs/>
        </w:rPr>
        <w:t xml:space="preserve">Przerwanie stosowania leku </w:t>
      </w:r>
      <w:r w:rsidR="00026375" w:rsidRPr="00F13073">
        <w:rPr>
          <w:rStyle w:val="Char"/>
          <w:b/>
          <w:bCs/>
        </w:rPr>
        <w:t>Avtozma</w:t>
      </w:r>
    </w:p>
    <w:p w14:paraId="17897C26" w14:textId="093BCB6F" w:rsidR="007E6875" w:rsidRPr="00F13073" w:rsidRDefault="007E6875" w:rsidP="008B4C50">
      <w:pPr>
        <w:pStyle w:val="a4"/>
        <w:widowControl/>
        <w:spacing w:after="0"/>
      </w:pPr>
      <w:r w:rsidRPr="00F13073">
        <w:rPr>
          <w:rStyle w:val="Char"/>
        </w:rPr>
        <w:t xml:space="preserve">Nie należy przerywać przyjmowania leku </w:t>
      </w:r>
      <w:r w:rsidR="00026375" w:rsidRPr="00F13073">
        <w:rPr>
          <w:rStyle w:val="Char"/>
        </w:rPr>
        <w:t>Avtozma</w:t>
      </w:r>
      <w:r w:rsidRPr="00F13073">
        <w:rPr>
          <w:rStyle w:val="Char"/>
        </w:rPr>
        <w:t xml:space="preserve"> bez wcześniejszego omówienia tego z lekarzem.</w:t>
      </w:r>
    </w:p>
    <w:p w14:paraId="106C6B84" w14:textId="77777777" w:rsidR="00986C5A" w:rsidRPr="00F13073" w:rsidRDefault="00986C5A" w:rsidP="008B4C50">
      <w:pPr>
        <w:pStyle w:val="a4"/>
        <w:widowControl/>
        <w:spacing w:after="0"/>
        <w:rPr>
          <w:rStyle w:val="Char"/>
        </w:rPr>
      </w:pPr>
    </w:p>
    <w:p w14:paraId="2A6552CA" w14:textId="77777777" w:rsidR="007E6875" w:rsidRPr="00F13073" w:rsidRDefault="007E6875" w:rsidP="008B4C50">
      <w:pPr>
        <w:pStyle w:val="a4"/>
        <w:widowControl/>
        <w:spacing w:after="0"/>
      </w:pPr>
      <w:r w:rsidRPr="00F13073">
        <w:rPr>
          <w:rStyle w:val="Char"/>
        </w:rPr>
        <w:t>W razie jakichkolwiek dalszych wątpliwości związanych ze stosowaniem tego leku należy zwrócić się do lekarza, farmaceuty lub pielęgniarki.</w:t>
      </w:r>
    </w:p>
    <w:p w14:paraId="0C25CCD4" w14:textId="77777777" w:rsidR="00986C5A" w:rsidRPr="00F13073" w:rsidRDefault="00986C5A" w:rsidP="008B4C50">
      <w:pPr>
        <w:pStyle w:val="a4"/>
        <w:widowControl/>
        <w:spacing w:after="0"/>
        <w:rPr>
          <w:rStyle w:val="Char"/>
          <w:b/>
          <w:bCs/>
        </w:rPr>
      </w:pPr>
    </w:p>
    <w:p w14:paraId="212F9265" w14:textId="77777777" w:rsidR="00986C5A" w:rsidRPr="00F13073" w:rsidRDefault="00986C5A" w:rsidP="008B4C50">
      <w:pPr>
        <w:pStyle w:val="a4"/>
        <w:widowControl/>
        <w:spacing w:after="0"/>
        <w:rPr>
          <w:rStyle w:val="Char"/>
          <w:b/>
          <w:bCs/>
        </w:rPr>
      </w:pPr>
    </w:p>
    <w:p w14:paraId="390FFB11" w14:textId="77777777" w:rsidR="007E6875" w:rsidRPr="00F13073" w:rsidRDefault="007E6875" w:rsidP="008B4C50">
      <w:pPr>
        <w:keepNext/>
        <w:ind w:left="567" w:hanging="567"/>
      </w:pPr>
      <w:r w:rsidRPr="00F13073">
        <w:rPr>
          <w:rStyle w:val="Char"/>
          <w:rFonts w:eastAsia="DengXian"/>
          <w:b/>
          <w:bCs/>
        </w:rPr>
        <w:t>4.</w:t>
      </w:r>
      <w:r w:rsidR="00DA405B" w:rsidRPr="00F13073">
        <w:rPr>
          <w:rStyle w:val="Char"/>
          <w:rFonts w:eastAsia="DengXian"/>
          <w:b/>
          <w:bCs/>
        </w:rPr>
        <w:tab/>
      </w:r>
      <w:r w:rsidRPr="00F13073">
        <w:rPr>
          <w:rStyle w:val="Char"/>
          <w:rFonts w:eastAsia="DengXian"/>
          <w:b/>
          <w:bCs/>
        </w:rPr>
        <w:t>Możliwe działania niepożądane</w:t>
      </w:r>
    </w:p>
    <w:p w14:paraId="351F94DE" w14:textId="77777777" w:rsidR="00DA405B" w:rsidRPr="00F13073" w:rsidRDefault="00DA405B" w:rsidP="008B4C50">
      <w:pPr>
        <w:pStyle w:val="a4"/>
        <w:widowControl/>
        <w:spacing w:after="0"/>
        <w:rPr>
          <w:rStyle w:val="Char"/>
        </w:rPr>
      </w:pPr>
    </w:p>
    <w:p w14:paraId="179ECC63" w14:textId="289935C7" w:rsidR="007E6875" w:rsidRPr="00F13073" w:rsidRDefault="007E6875" w:rsidP="008B4C50">
      <w:pPr>
        <w:pStyle w:val="a4"/>
        <w:widowControl/>
        <w:spacing w:after="0"/>
      </w:pPr>
      <w:r w:rsidRPr="00F13073">
        <w:rPr>
          <w:rStyle w:val="Char"/>
        </w:rPr>
        <w:lastRenderedPageBreak/>
        <w:t xml:space="preserve">Jak każdy lek, lek </w:t>
      </w:r>
      <w:r w:rsidR="00994AE6" w:rsidRPr="00F13073">
        <w:t xml:space="preserve">Avtozma </w:t>
      </w:r>
      <w:r w:rsidRPr="00F13073">
        <w:rPr>
          <w:rStyle w:val="Char"/>
        </w:rPr>
        <w:t xml:space="preserve">może powodować działania niepożądane, chociaż nie u każdego one wystąpią. Działania niepożądane mogą wystąpić nawet po 3 lub więcej miesiącach po otrzymaniu ostatniej dawki leku </w:t>
      </w:r>
      <w:r w:rsidR="00026375" w:rsidRPr="00F13073">
        <w:rPr>
          <w:rStyle w:val="Char"/>
        </w:rPr>
        <w:t>Avtozma</w:t>
      </w:r>
      <w:r w:rsidRPr="00F13073">
        <w:rPr>
          <w:rStyle w:val="Char"/>
        </w:rPr>
        <w:t>.</w:t>
      </w:r>
    </w:p>
    <w:p w14:paraId="4213AD3C" w14:textId="77777777" w:rsidR="00DA405B" w:rsidRPr="00F13073" w:rsidRDefault="00DA405B" w:rsidP="008B4C50">
      <w:pPr>
        <w:pStyle w:val="a4"/>
        <w:widowControl/>
        <w:spacing w:after="0"/>
        <w:rPr>
          <w:rStyle w:val="Char"/>
          <w:b/>
          <w:bCs/>
        </w:rPr>
      </w:pPr>
    </w:p>
    <w:p w14:paraId="07E9A447" w14:textId="77777777" w:rsidR="007E6875" w:rsidRPr="00F13073" w:rsidRDefault="007E6875" w:rsidP="008B4C50">
      <w:pPr>
        <w:pStyle w:val="a4"/>
        <w:widowControl/>
        <w:spacing w:after="0"/>
      </w:pPr>
      <w:r w:rsidRPr="00F13073">
        <w:rPr>
          <w:rStyle w:val="Char"/>
          <w:b/>
          <w:bCs/>
        </w:rPr>
        <w:t>Możliwe ciężkie działania niepożądane: należy natychmiast zgłosić lekarzowi.</w:t>
      </w:r>
    </w:p>
    <w:p w14:paraId="294FE43A" w14:textId="77777777" w:rsidR="007E6875" w:rsidRPr="00F13073" w:rsidRDefault="007E6875" w:rsidP="008B4C50">
      <w:pPr>
        <w:pStyle w:val="a4"/>
        <w:widowControl/>
        <w:spacing w:after="0"/>
      </w:pPr>
      <w:r w:rsidRPr="00F13073">
        <w:rPr>
          <w:rStyle w:val="Char"/>
          <w:i/>
          <w:iCs/>
        </w:rPr>
        <w:t>Są częste, mogą wystąpić u 1 na każde 10 leczonych osób</w:t>
      </w:r>
    </w:p>
    <w:p w14:paraId="78F353E4" w14:textId="77777777" w:rsidR="00336493" w:rsidRPr="00F13073" w:rsidRDefault="00336493" w:rsidP="008B4C50">
      <w:pPr>
        <w:pStyle w:val="a4"/>
        <w:widowControl/>
        <w:spacing w:after="0"/>
        <w:rPr>
          <w:rStyle w:val="Char"/>
          <w:b/>
          <w:bCs/>
        </w:rPr>
      </w:pPr>
    </w:p>
    <w:p w14:paraId="29E65554" w14:textId="77777777" w:rsidR="007E6875" w:rsidRPr="00F13073" w:rsidRDefault="007E6875" w:rsidP="008B4C50">
      <w:pPr>
        <w:pStyle w:val="a4"/>
        <w:widowControl/>
        <w:spacing w:after="0"/>
      </w:pPr>
      <w:r w:rsidRPr="00F13073">
        <w:rPr>
          <w:rStyle w:val="Char"/>
          <w:b/>
          <w:bCs/>
        </w:rPr>
        <w:t xml:space="preserve">Reakcje alergiczne </w:t>
      </w:r>
      <w:r w:rsidRPr="00F13073">
        <w:rPr>
          <w:rStyle w:val="Char"/>
        </w:rPr>
        <w:t>w trakcie lub po zakończeniu wstrzykiwania:</w:t>
      </w:r>
    </w:p>
    <w:p w14:paraId="046448F7"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trudności z oddychaniem, ucisk w klatce piersiowej lub zawroty głowy</w:t>
      </w:r>
    </w:p>
    <w:p w14:paraId="164FF038" w14:textId="77777777" w:rsidR="007E6875" w:rsidRPr="00F13073" w:rsidRDefault="007E6875" w:rsidP="008B4C50">
      <w:pPr>
        <w:pStyle w:val="a0"/>
        <w:numPr>
          <w:ilvl w:val="1"/>
          <w:numId w:val="15"/>
        </w:numPr>
        <w:ind w:left="567" w:hanging="567"/>
        <w:contextualSpacing w:val="0"/>
      </w:pPr>
      <w:r w:rsidRPr="00F13073">
        <w:rPr>
          <w:rStyle w:val="Char"/>
          <w:rFonts w:eastAsia="DengXian"/>
        </w:rPr>
        <w:t>wysypka, świąd skóry, bąble pokrzywkowe, obrzęk warg, języka lub twarzy</w:t>
      </w:r>
    </w:p>
    <w:p w14:paraId="13BF4892" w14:textId="77777777" w:rsidR="007E6875" w:rsidRPr="00F13073" w:rsidRDefault="007E6875" w:rsidP="008B4C50">
      <w:pPr>
        <w:pStyle w:val="a4"/>
        <w:widowControl/>
        <w:spacing w:after="0"/>
      </w:pPr>
      <w:r w:rsidRPr="00F13073">
        <w:rPr>
          <w:rStyle w:val="Char"/>
        </w:rPr>
        <w:t xml:space="preserve">Należy </w:t>
      </w:r>
      <w:r w:rsidRPr="00F13073">
        <w:rPr>
          <w:rStyle w:val="Char"/>
          <w:b/>
          <w:bCs/>
        </w:rPr>
        <w:t xml:space="preserve">natychmiast </w:t>
      </w:r>
      <w:r w:rsidRPr="00F13073">
        <w:rPr>
          <w:rStyle w:val="Char"/>
        </w:rPr>
        <w:t>poinformować lekarza, jeśli wystąpi którykolwiek z tych objawów</w:t>
      </w:r>
    </w:p>
    <w:p w14:paraId="2C4FD3AB" w14:textId="77777777" w:rsidR="00336493" w:rsidRPr="00F13073" w:rsidRDefault="00336493" w:rsidP="008B4C50">
      <w:pPr>
        <w:pStyle w:val="a4"/>
        <w:widowControl/>
        <w:spacing w:after="0"/>
        <w:rPr>
          <w:rStyle w:val="Char"/>
          <w:b/>
          <w:bCs/>
        </w:rPr>
      </w:pPr>
    </w:p>
    <w:p w14:paraId="0D781DAB" w14:textId="77777777" w:rsidR="007E6875" w:rsidRPr="00F13073" w:rsidRDefault="007E6875" w:rsidP="008B4C50">
      <w:pPr>
        <w:pStyle w:val="a4"/>
        <w:widowControl/>
        <w:spacing w:after="0"/>
      </w:pPr>
      <w:r w:rsidRPr="00F13073">
        <w:rPr>
          <w:rStyle w:val="Char"/>
          <w:b/>
          <w:bCs/>
        </w:rPr>
        <w:t>Objawy ciężkiego zakażenia:</w:t>
      </w:r>
    </w:p>
    <w:p w14:paraId="5416D4BA"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gorączka i dreszcze</w:t>
      </w:r>
    </w:p>
    <w:p w14:paraId="0AEBD8D6"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pęcherze w jamie ustnej lub na skórze</w:t>
      </w:r>
    </w:p>
    <w:p w14:paraId="14EA477C" w14:textId="77777777" w:rsidR="007E6875" w:rsidRPr="00F13073" w:rsidRDefault="007E6875" w:rsidP="008B4C50">
      <w:pPr>
        <w:pStyle w:val="a0"/>
        <w:numPr>
          <w:ilvl w:val="1"/>
          <w:numId w:val="15"/>
        </w:numPr>
        <w:ind w:left="567" w:hanging="567"/>
        <w:contextualSpacing w:val="0"/>
      </w:pPr>
      <w:r w:rsidRPr="00F13073">
        <w:rPr>
          <w:rStyle w:val="Char"/>
          <w:rFonts w:eastAsia="DengXian"/>
        </w:rPr>
        <w:t>ból brzucha</w:t>
      </w:r>
    </w:p>
    <w:p w14:paraId="7AC52D4B" w14:textId="77777777" w:rsidR="00336493" w:rsidRPr="00F13073" w:rsidRDefault="00336493" w:rsidP="008B4C50">
      <w:pPr>
        <w:pStyle w:val="a4"/>
        <w:widowControl/>
        <w:spacing w:after="0"/>
        <w:rPr>
          <w:rStyle w:val="Char"/>
          <w:b/>
          <w:bCs/>
        </w:rPr>
      </w:pPr>
    </w:p>
    <w:p w14:paraId="7967A0DC" w14:textId="77777777" w:rsidR="007E6875" w:rsidRPr="00F13073" w:rsidRDefault="007E6875" w:rsidP="008B4C50">
      <w:pPr>
        <w:pStyle w:val="a4"/>
        <w:widowControl/>
        <w:spacing w:after="0"/>
      </w:pPr>
      <w:r w:rsidRPr="00F13073">
        <w:rPr>
          <w:rStyle w:val="Char"/>
          <w:b/>
          <w:bCs/>
        </w:rPr>
        <w:t>Objawy przedmiotowe i podmiotowe toksycznego uszkodzenia wątroby:</w:t>
      </w:r>
    </w:p>
    <w:p w14:paraId="179319A0" w14:textId="77777777" w:rsidR="007E6875" w:rsidRPr="00F13073" w:rsidRDefault="007E6875" w:rsidP="008B4C50">
      <w:pPr>
        <w:pStyle w:val="a4"/>
        <w:widowControl/>
        <w:spacing w:after="0"/>
      </w:pPr>
      <w:r w:rsidRPr="00F13073">
        <w:rPr>
          <w:rStyle w:val="Char"/>
          <w:i/>
          <w:iCs/>
        </w:rPr>
        <w:t>Mogą wystąpić u 1 na każde 1000 leczonych osób</w:t>
      </w:r>
    </w:p>
    <w:p w14:paraId="014AD2CA"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uczucie zmęczenia</w:t>
      </w:r>
    </w:p>
    <w:p w14:paraId="2E8543AF"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ból brzucha</w:t>
      </w:r>
    </w:p>
    <w:p w14:paraId="4982622C" w14:textId="77777777" w:rsidR="007E6875" w:rsidRPr="00F13073" w:rsidRDefault="007E6875" w:rsidP="008B4C50">
      <w:pPr>
        <w:pStyle w:val="a0"/>
        <w:numPr>
          <w:ilvl w:val="1"/>
          <w:numId w:val="15"/>
        </w:numPr>
        <w:ind w:left="567" w:hanging="567"/>
        <w:contextualSpacing w:val="0"/>
      </w:pPr>
      <w:r w:rsidRPr="00F13073">
        <w:rPr>
          <w:rStyle w:val="Char"/>
          <w:rFonts w:eastAsia="DengXian"/>
        </w:rPr>
        <w:t>żółtaczka (żółte zabarwienie</w:t>
      </w:r>
      <w:r w:rsidR="00513155" w:rsidRPr="00F13073">
        <w:rPr>
          <w:rStyle w:val="Char"/>
          <w:rFonts w:eastAsia="DengXian"/>
        </w:rPr>
        <w:t xml:space="preserve"> </w:t>
      </w:r>
      <w:r w:rsidRPr="00F13073">
        <w:rPr>
          <w:rStyle w:val="Char"/>
          <w:rFonts w:eastAsia="DengXian"/>
        </w:rPr>
        <w:t>skóry lub białek oczu)</w:t>
      </w:r>
    </w:p>
    <w:p w14:paraId="29FD0FE9" w14:textId="77777777" w:rsidR="00336493" w:rsidRPr="00F13073" w:rsidRDefault="00336493" w:rsidP="008B4C50">
      <w:pPr>
        <w:pStyle w:val="a4"/>
        <w:widowControl/>
        <w:spacing w:after="0"/>
        <w:rPr>
          <w:rStyle w:val="Char"/>
        </w:rPr>
      </w:pPr>
    </w:p>
    <w:p w14:paraId="6C58183C" w14:textId="77777777" w:rsidR="007E6875" w:rsidRPr="00F13073" w:rsidRDefault="007E6875" w:rsidP="008B4C50">
      <w:pPr>
        <w:pStyle w:val="a4"/>
        <w:widowControl/>
        <w:spacing w:after="0"/>
      </w:pPr>
      <w:r w:rsidRPr="00F13073">
        <w:rPr>
          <w:rStyle w:val="Char"/>
        </w:rPr>
        <w:t xml:space="preserve">Należy </w:t>
      </w:r>
      <w:r w:rsidRPr="00F13073">
        <w:rPr>
          <w:rStyle w:val="Char"/>
          <w:b/>
          <w:bCs/>
        </w:rPr>
        <w:t xml:space="preserve">natychmiast </w:t>
      </w:r>
      <w:r w:rsidRPr="00F13073">
        <w:rPr>
          <w:rStyle w:val="Char"/>
        </w:rPr>
        <w:t>poinformować lekarza, jeśli wystąpi którykolwiek z tych objawów.</w:t>
      </w:r>
    </w:p>
    <w:p w14:paraId="0AA6B7A7" w14:textId="77777777" w:rsidR="00336493" w:rsidRPr="00F13073" w:rsidRDefault="00336493" w:rsidP="008B4C50">
      <w:pPr>
        <w:pStyle w:val="a4"/>
        <w:widowControl/>
        <w:spacing w:after="0"/>
        <w:rPr>
          <w:rStyle w:val="Char"/>
          <w:b/>
          <w:bCs/>
        </w:rPr>
      </w:pPr>
    </w:p>
    <w:p w14:paraId="38E02CE7" w14:textId="77777777" w:rsidR="007E6875" w:rsidRPr="00F13073" w:rsidRDefault="007E6875" w:rsidP="008B4C50">
      <w:pPr>
        <w:pStyle w:val="a4"/>
        <w:widowControl/>
        <w:spacing w:after="0"/>
      </w:pPr>
      <w:r w:rsidRPr="00F13073">
        <w:rPr>
          <w:rStyle w:val="Char"/>
          <w:b/>
          <w:bCs/>
        </w:rPr>
        <w:t>Działania niepożądane występujące bardzo często</w:t>
      </w:r>
      <w:r w:rsidRPr="00F13073">
        <w:rPr>
          <w:rStyle w:val="Char"/>
        </w:rPr>
        <w:t>:</w:t>
      </w:r>
    </w:p>
    <w:p w14:paraId="0B276C58" w14:textId="77777777" w:rsidR="007E6875" w:rsidRPr="00F13073" w:rsidRDefault="007E6875" w:rsidP="008B4C50">
      <w:pPr>
        <w:pStyle w:val="a4"/>
        <w:widowControl/>
        <w:spacing w:after="0"/>
      </w:pPr>
      <w:r w:rsidRPr="00F13073">
        <w:rPr>
          <w:rStyle w:val="Char"/>
          <w:i/>
          <w:iCs/>
        </w:rPr>
        <w:t>Mogą wystąpić częściej niż u 1 na każde 10 leczonych osób</w:t>
      </w:r>
    </w:p>
    <w:p w14:paraId="027417F5"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zakażenia górnych dróg oddechowych, z typowymi objawami takimi jak kaszel, zatkany nos, wodnisty katar, ból gardła i bóle głowy</w:t>
      </w:r>
    </w:p>
    <w:p w14:paraId="3AC7B705"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wysokie stężenie tłuszczu we krwi (</w:t>
      </w:r>
      <w:r w:rsidRPr="00F13073">
        <w:rPr>
          <w:rStyle w:val="Char"/>
          <w:rFonts w:eastAsia="DengXian"/>
          <w:i/>
          <w:iCs/>
        </w:rPr>
        <w:t>cholesterolu</w:t>
      </w:r>
      <w:r w:rsidRPr="00F13073">
        <w:rPr>
          <w:rStyle w:val="Char"/>
          <w:rFonts w:eastAsia="DengXian"/>
        </w:rPr>
        <w:t>)</w:t>
      </w:r>
    </w:p>
    <w:p w14:paraId="1AC50A52" w14:textId="77777777" w:rsidR="007E6875" w:rsidRPr="00F13073" w:rsidRDefault="007E6875" w:rsidP="008B4C50">
      <w:pPr>
        <w:pStyle w:val="a0"/>
        <w:numPr>
          <w:ilvl w:val="1"/>
          <w:numId w:val="15"/>
        </w:numPr>
        <w:ind w:left="567" w:hanging="567"/>
        <w:contextualSpacing w:val="0"/>
      </w:pPr>
      <w:r w:rsidRPr="00F13073">
        <w:rPr>
          <w:rStyle w:val="Char"/>
          <w:rFonts w:eastAsia="DengXian"/>
        </w:rPr>
        <w:t>reakcje w miejscu wstrzyknięcia</w:t>
      </w:r>
    </w:p>
    <w:p w14:paraId="1429AB8E" w14:textId="77777777" w:rsidR="00336493" w:rsidRPr="00F13073" w:rsidRDefault="00336493" w:rsidP="008B4C50">
      <w:pPr>
        <w:pStyle w:val="a4"/>
        <w:widowControl/>
        <w:spacing w:after="0"/>
        <w:rPr>
          <w:rStyle w:val="Char"/>
          <w:b/>
          <w:bCs/>
        </w:rPr>
      </w:pPr>
    </w:p>
    <w:p w14:paraId="1DA7302B" w14:textId="77777777" w:rsidR="007E6875" w:rsidRPr="00F13073" w:rsidRDefault="007E6875" w:rsidP="008B4C50">
      <w:pPr>
        <w:pStyle w:val="a4"/>
        <w:widowControl/>
        <w:spacing w:after="0"/>
      </w:pPr>
      <w:r w:rsidRPr="00F13073">
        <w:rPr>
          <w:rStyle w:val="Char"/>
          <w:b/>
          <w:bCs/>
        </w:rPr>
        <w:t>Działania niepożądane występujące często</w:t>
      </w:r>
      <w:r w:rsidRPr="00F13073">
        <w:rPr>
          <w:rStyle w:val="Char"/>
        </w:rPr>
        <w:t>:</w:t>
      </w:r>
    </w:p>
    <w:p w14:paraId="31EFA356" w14:textId="77777777" w:rsidR="007E6875" w:rsidRPr="00F13073" w:rsidRDefault="007E6875" w:rsidP="008B4C50">
      <w:pPr>
        <w:pStyle w:val="a4"/>
        <w:widowControl/>
        <w:spacing w:after="0"/>
      </w:pPr>
      <w:r w:rsidRPr="00F13073">
        <w:rPr>
          <w:rStyle w:val="Char"/>
          <w:i/>
          <w:iCs/>
        </w:rPr>
        <w:t>Mogą wystąpić u 1 na 10 leczonych osób</w:t>
      </w:r>
    </w:p>
    <w:p w14:paraId="5159D92E"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zakażenia płuc (zapalenie płuc)</w:t>
      </w:r>
    </w:p>
    <w:p w14:paraId="7EEDA9BA"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półpasiec</w:t>
      </w:r>
    </w:p>
    <w:p w14:paraId="7E95339C"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opryszczka wargowa (zmiany spowodowane zakażeniem wirusem Herpes simplex), pęcherze</w:t>
      </w:r>
    </w:p>
    <w:p w14:paraId="3CE9EF5E"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zakażenie skóry (zapalenie tkanki łącznej), czasami z gorączką i dreszczami</w:t>
      </w:r>
    </w:p>
    <w:p w14:paraId="7590C130"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wysypka i świąd, pokrzywka</w:t>
      </w:r>
    </w:p>
    <w:p w14:paraId="4D5038AF"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reakcje alergiczne (nadwrażliwości)</w:t>
      </w:r>
    </w:p>
    <w:p w14:paraId="199B814C"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zakażenie oczu (zapalenie spojówek)</w:t>
      </w:r>
    </w:p>
    <w:p w14:paraId="7DBBED6A"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ból i zawroty głowy, wysokie ciśnienie krwi</w:t>
      </w:r>
    </w:p>
    <w:p w14:paraId="2D8FED2D"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owrzodzenie jamy ustnej, ból brzucha</w:t>
      </w:r>
    </w:p>
    <w:p w14:paraId="058A9FF5"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zatrzymanie wody w organizmie (obrzęki) w kończynach dolnych, zwiększenie masy ciała</w:t>
      </w:r>
    </w:p>
    <w:p w14:paraId="32272DDB"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kaszel, trudności z oddychaniem</w:t>
      </w:r>
    </w:p>
    <w:p w14:paraId="2416F8B6"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mała liczba białych krwinek ujawniona w trakcie badania krwi (neutropenia, leukopenia)</w:t>
      </w:r>
    </w:p>
    <w:p w14:paraId="205022E7"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nieprawidłowe wyniki testów czynnościowych wątroby (zwiększenie aktywności aminotransferaz)</w:t>
      </w:r>
    </w:p>
    <w:p w14:paraId="3D57C804"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zwiększone stężenie bilirubiny w badaniach krwi</w:t>
      </w:r>
    </w:p>
    <w:p w14:paraId="6BA121F5" w14:textId="77777777" w:rsidR="007E6875" w:rsidRPr="00F13073" w:rsidRDefault="007E6875" w:rsidP="008B4C50">
      <w:pPr>
        <w:pStyle w:val="a0"/>
        <w:numPr>
          <w:ilvl w:val="1"/>
          <w:numId w:val="15"/>
        </w:numPr>
        <w:ind w:left="567" w:hanging="567"/>
        <w:contextualSpacing w:val="0"/>
      </w:pPr>
      <w:r w:rsidRPr="00F13073">
        <w:rPr>
          <w:rStyle w:val="Char"/>
          <w:rFonts w:eastAsia="DengXian"/>
        </w:rPr>
        <w:t>małe stężenie fibrynogenu we krwi (białka uczestniczącego w krzepnięciu krwi)</w:t>
      </w:r>
    </w:p>
    <w:p w14:paraId="1FA0B269" w14:textId="77777777" w:rsidR="00336493" w:rsidRPr="00F13073" w:rsidRDefault="00336493" w:rsidP="008B4C50">
      <w:pPr>
        <w:pStyle w:val="a4"/>
        <w:widowControl/>
        <w:spacing w:after="0"/>
        <w:rPr>
          <w:rStyle w:val="Char"/>
          <w:b/>
          <w:bCs/>
        </w:rPr>
      </w:pPr>
    </w:p>
    <w:p w14:paraId="72E92A1A" w14:textId="77777777" w:rsidR="007E6875" w:rsidRPr="00F13073" w:rsidRDefault="007E6875" w:rsidP="008B4C50">
      <w:pPr>
        <w:pStyle w:val="a4"/>
        <w:widowControl/>
        <w:spacing w:after="0"/>
      </w:pPr>
      <w:r w:rsidRPr="00F13073">
        <w:rPr>
          <w:rStyle w:val="Char"/>
          <w:b/>
          <w:bCs/>
        </w:rPr>
        <w:t>Działania niepożądane występujące niezbyt często</w:t>
      </w:r>
      <w:r w:rsidRPr="00F13073">
        <w:rPr>
          <w:rStyle w:val="Char"/>
        </w:rPr>
        <w:t>:</w:t>
      </w:r>
    </w:p>
    <w:p w14:paraId="76011DFB" w14:textId="77777777" w:rsidR="007E6875" w:rsidRPr="00F13073" w:rsidRDefault="007E6875" w:rsidP="008B4C50">
      <w:pPr>
        <w:pStyle w:val="a4"/>
        <w:widowControl/>
        <w:spacing w:after="0"/>
      </w:pPr>
      <w:r w:rsidRPr="00F13073">
        <w:rPr>
          <w:rStyle w:val="Char"/>
          <w:i/>
          <w:iCs/>
        </w:rPr>
        <w:t>Mogą wystąpić u 1 na 100 leczonych osób</w:t>
      </w:r>
    </w:p>
    <w:p w14:paraId="23E80DD0"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zapalenie uchyłków jelita (gorączka, nudności, biegunka, zaparcia, bóle brzucha)</w:t>
      </w:r>
    </w:p>
    <w:p w14:paraId="1866A022"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zaczerwienione, obrzęknięte obszary w ustach</w:t>
      </w:r>
    </w:p>
    <w:p w14:paraId="3419FB57"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lastRenderedPageBreak/>
        <w:t>wysokie stężenia tłuszczów we krwi (trójglicerydów)</w:t>
      </w:r>
    </w:p>
    <w:p w14:paraId="63CBFAEA"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wrzody żołądka</w:t>
      </w:r>
    </w:p>
    <w:p w14:paraId="2365D9B2"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kamienie nerkowe</w:t>
      </w:r>
    </w:p>
    <w:p w14:paraId="155D50B7" w14:textId="77777777" w:rsidR="007E6875" w:rsidRPr="00F13073" w:rsidRDefault="007E6875" w:rsidP="008B4C50">
      <w:pPr>
        <w:pStyle w:val="a0"/>
        <w:numPr>
          <w:ilvl w:val="1"/>
          <w:numId w:val="15"/>
        </w:numPr>
        <w:ind w:left="567" w:hanging="567"/>
        <w:contextualSpacing w:val="0"/>
      </w:pPr>
      <w:r w:rsidRPr="00F13073">
        <w:rPr>
          <w:rStyle w:val="Char"/>
          <w:rFonts w:eastAsia="DengXian"/>
        </w:rPr>
        <w:t>niedoczynność tarczycy</w:t>
      </w:r>
    </w:p>
    <w:p w14:paraId="37EE4829" w14:textId="77777777" w:rsidR="00336493" w:rsidRPr="00F13073" w:rsidRDefault="00336493" w:rsidP="008B4C50">
      <w:pPr>
        <w:pStyle w:val="a4"/>
        <w:widowControl/>
        <w:spacing w:after="0"/>
        <w:rPr>
          <w:rStyle w:val="Char"/>
          <w:b/>
          <w:bCs/>
        </w:rPr>
      </w:pPr>
    </w:p>
    <w:p w14:paraId="4B5311E7" w14:textId="77777777" w:rsidR="007E6875" w:rsidRPr="00F13073" w:rsidRDefault="007E6875" w:rsidP="008B4C50">
      <w:pPr>
        <w:pStyle w:val="a4"/>
        <w:widowControl/>
        <w:spacing w:after="0"/>
      </w:pPr>
      <w:r w:rsidRPr="00F13073">
        <w:rPr>
          <w:rStyle w:val="Char"/>
          <w:b/>
          <w:bCs/>
        </w:rPr>
        <w:t>Działania niepożądane występujące rzadko</w:t>
      </w:r>
      <w:r w:rsidRPr="00F13073">
        <w:rPr>
          <w:rStyle w:val="Char"/>
        </w:rPr>
        <w:t>:</w:t>
      </w:r>
    </w:p>
    <w:p w14:paraId="4CE2AFEC" w14:textId="77777777" w:rsidR="007E6875" w:rsidRPr="00F13073" w:rsidRDefault="007E6875" w:rsidP="008B4C50">
      <w:pPr>
        <w:pStyle w:val="a4"/>
        <w:widowControl/>
        <w:spacing w:after="0"/>
      </w:pPr>
      <w:r w:rsidRPr="00F13073">
        <w:rPr>
          <w:rStyle w:val="Char"/>
          <w:i/>
          <w:iCs/>
        </w:rPr>
        <w:t>Mogą wystąpić u 1 na 1000 leczonych osób</w:t>
      </w:r>
    </w:p>
    <w:p w14:paraId="2F83C4E1" w14:textId="77777777" w:rsidR="007E6875" w:rsidRPr="00F13073" w:rsidRDefault="007E6875" w:rsidP="00096B95">
      <w:pPr>
        <w:pStyle w:val="a0"/>
        <w:numPr>
          <w:ilvl w:val="1"/>
          <w:numId w:val="15"/>
        </w:numPr>
        <w:ind w:left="567" w:hanging="567"/>
        <w:contextualSpacing w:val="0"/>
      </w:pPr>
      <w:r w:rsidRPr="00F13073">
        <w:rPr>
          <w:rStyle w:val="Char"/>
          <w:rFonts w:eastAsia="DengXian"/>
        </w:rPr>
        <w:t>zespół Stevensa-Johnsona (</w:t>
      </w:r>
      <w:r w:rsidRPr="00F13073">
        <w:rPr>
          <w:rStyle w:val="Char"/>
          <w:rFonts w:eastAsia="DengXian"/>
          <w:color w:val="1C1C1C"/>
        </w:rPr>
        <w:t>wysypka na skórze, która może prowadzić do powstania pęcherzy i</w:t>
      </w:r>
    </w:p>
    <w:p w14:paraId="6D24C4E7" w14:textId="77777777" w:rsidR="007E6875" w:rsidRPr="00F13073" w:rsidRDefault="007E6875" w:rsidP="00096B95">
      <w:pPr>
        <w:pStyle w:val="a4"/>
        <w:widowControl/>
        <w:spacing w:after="0"/>
        <w:ind w:left="1134" w:hanging="567"/>
        <w:rPr>
          <w:rStyle w:val="Char"/>
          <w:color w:val="1C1C1C"/>
        </w:rPr>
      </w:pPr>
      <w:r w:rsidRPr="00F13073">
        <w:rPr>
          <w:rStyle w:val="Char"/>
          <w:color w:val="1C1C1C"/>
        </w:rPr>
        <w:t>łuszczenia skóry)</w:t>
      </w:r>
    </w:p>
    <w:p w14:paraId="36A2B19A" w14:textId="77777777" w:rsidR="007E6875" w:rsidRPr="00F13073" w:rsidRDefault="007E6875" w:rsidP="00096B95">
      <w:pPr>
        <w:pStyle w:val="a0"/>
        <w:numPr>
          <w:ilvl w:val="1"/>
          <w:numId w:val="15"/>
        </w:numPr>
        <w:ind w:left="567" w:hanging="567"/>
        <w:contextualSpacing w:val="0"/>
        <w:rPr>
          <w:rStyle w:val="Char"/>
          <w:rFonts w:eastAsia="DengXian"/>
        </w:rPr>
      </w:pPr>
      <w:r w:rsidRPr="00F13073">
        <w:rPr>
          <w:rStyle w:val="Char"/>
          <w:rFonts w:eastAsia="DengXian"/>
          <w:color w:val="1C1C1C"/>
        </w:rPr>
        <w:t>reakcje alergiczne prowadzące do zgonu (anafilaksja [skutek śmiertelny])</w:t>
      </w:r>
    </w:p>
    <w:p w14:paraId="1A843923" w14:textId="77777777" w:rsidR="007E6875" w:rsidRPr="00F13073" w:rsidRDefault="007E6875" w:rsidP="00096B95">
      <w:pPr>
        <w:pStyle w:val="a0"/>
        <w:numPr>
          <w:ilvl w:val="1"/>
          <w:numId w:val="15"/>
        </w:numPr>
        <w:ind w:left="567" w:hanging="567"/>
        <w:contextualSpacing w:val="0"/>
      </w:pPr>
      <w:r w:rsidRPr="00F13073">
        <w:rPr>
          <w:rStyle w:val="Char"/>
          <w:rFonts w:eastAsia="DengXian"/>
        </w:rPr>
        <w:t>zapalenie wątroby, żółtaczka</w:t>
      </w:r>
    </w:p>
    <w:p w14:paraId="5D90C589" w14:textId="77777777" w:rsidR="00336493" w:rsidRPr="00F13073" w:rsidRDefault="00336493" w:rsidP="008B4C50">
      <w:pPr>
        <w:pStyle w:val="a4"/>
        <w:widowControl/>
        <w:spacing w:after="0"/>
        <w:rPr>
          <w:rStyle w:val="Char"/>
          <w:b/>
          <w:bCs/>
        </w:rPr>
      </w:pPr>
    </w:p>
    <w:p w14:paraId="15F70019" w14:textId="77777777" w:rsidR="007E6875" w:rsidRPr="00F13073" w:rsidRDefault="007E6875" w:rsidP="006C369E">
      <w:pPr>
        <w:pStyle w:val="a4"/>
        <w:keepNext/>
        <w:widowControl/>
        <w:spacing w:after="0"/>
      </w:pPr>
      <w:r w:rsidRPr="00F13073">
        <w:rPr>
          <w:rStyle w:val="Char"/>
          <w:b/>
          <w:bCs/>
        </w:rPr>
        <w:t>Działania niepożądane występujące bardzo rzadko</w:t>
      </w:r>
      <w:r w:rsidRPr="00F13073">
        <w:rPr>
          <w:rStyle w:val="Char"/>
        </w:rPr>
        <w:t>:</w:t>
      </w:r>
    </w:p>
    <w:p w14:paraId="3FCB8511" w14:textId="77777777" w:rsidR="007E6875" w:rsidRPr="00F13073" w:rsidRDefault="007E6875" w:rsidP="006C369E">
      <w:pPr>
        <w:pStyle w:val="a4"/>
        <w:keepNext/>
        <w:widowControl/>
        <w:spacing w:after="0"/>
      </w:pPr>
      <w:r w:rsidRPr="00F13073">
        <w:rPr>
          <w:rStyle w:val="Char"/>
          <w:i/>
          <w:iCs/>
        </w:rPr>
        <w:t>Mogą wystąpić najwyżej u 1 na 10 000 osób leczonych</w:t>
      </w:r>
    </w:p>
    <w:p w14:paraId="7DBCA9AD" w14:textId="77777777" w:rsidR="007E6875" w:rsidRPr="00F13073" w:rsidRDefault="007E6875" w:rsidP="008B4C50">
      <w:pPr>
        <w:pStyle w:val="a0"/>
        <w:numPr>
          <w:ilvl w:val="1"/>
          <w:numId w:val="15"/>
        </w:numPr>
        <w:ind w:left="567" w:hanging="567"/>
        <w:contextualSpacing w:val="0"/>
        <w:rPr>
          <w:rStyle w:val="Char"/>
          <w:rFonts w:eastAsia="DengXian"/>
        </w:rPr>
      </w:pPr>
      <w:r w:rsidRPr="00F13073">
        <w:rPr>
          <w:rStyle w:val="Char"/>
          <w:rFonts w:eastAsia="DengXian"/>
        </w:rPr>
        <w:t>mała liczba białych krwinek, czerwonych krwinek i płytek krwi w badaniu morfologii krwi</w:t>
      </w:r>
    </w:p>
    <w:p w14:paraId="49C63D25" w14:textId="77777777" w:rsidR="007E6875" w:rsidRPr="00F13073" w:rsidRDefault="007E6875" w:rsidP="008B4C50">
      <w:pPr>
        <w:pStyle w:val="a0"/>
        <w:numPr>
          <w:ilvl w:val="1"/>
          <w:numId w:val="15"/>
        </w:numPr>
        <w:ind w:left="567" w:hanging="567"/>
        <w:contextualSpacing w:val="0"/>
      </w:pPr>
      <w:r w:rsidRPr="00F13073">
        <w:rPr>
          <w:rStyle w:val="Char"/>
          <w:rFonts w:eastAsia="DengXian"/>
        </w:rPr>
        <w:t>niewydolność wątroby</w:t>
      </w:r>
    </w:p>
    <w:p w14:paraId="5524927A" w14:textId="77777777" w:rsidR="00336493" w:rsidRPr="00F13073" w:rsidRDefault="00336493" w:rsidP="008B4C50">
      <w:pPr>
        <w:pStyle w:val="a4"/>
        <w:widowControl/>
        <w:spacing w:after="0"/>
        <w:rPr>
          <w:rStyle w:val="Char"/>
          <w:b/>
          <w:bCs/>
        </w:rPr>
      </w:pPr>
    </w:p>
    <w:p w14:paraId="77142A95" w14:textId="77777777" w:rsidR="007E6875" w:rsidRPr="00F13073" w:rsidRDefault="007E6875" w:rsidP="008B4C50">
      <w:pPr>
        <w:pStyle w:val="a4"/>
        <w:widowControl/>
        <w:spacing w:after="0"/>
      </w:pPr>
      <w:r w:rsidRPr="00F13073">
        <w:rPr>
          <w:rStyle w:val="Char"/>
          <w:b/>
          <w:bCs/>
        </w:rPr>
        <w:t>Działania niepożądane występujące u dzieci i młodzieży z uMIZS lub wMIZS</w:t>
      </w:r>
    </w:p>
    <w:p w14:paraId="5BB29548" w14:textId="77777777" w:rsidR="007E6875" w:rsidRPr="00F13073" w:rsidRDefault="007E6875" w:rsidP="008B4C50">
      <w:pPr>
        <w:pStyle w:val="a4"/>
        <w:widowControl/>
        <w:spacing w:after="0"/>
      </w:pPr>
      <w:r w:rsidRPr="00F13073">
        <w:rPr>
          <w:rStyle w:val="Char"/>
        </w:rPr>
        <w:t>Działania niepożądane występujące u dzieci i młodzieży z uMIZS lub wMIZS są na ogół podobne do tych występujących u pacjentów dorosłych. Niektóre działania niepożądane obserwuje się częściej u dzieci i młodzieży: zapalenie błony śluzowej nosa i gardła, ból głowy, nudności i zmniejszenie liczby białych krwinek.</w:t>
      </w:r>
    </w:p>
    <w:p w14:paraId="6D15CE6F" w14:textId="77777777" w:rsidR="009B37F1" w:rsidRPr="00F13073" w:rsidRDefault="009B37F1" w:rsidP="008B4C50"/>
    <w:p w14:paraId="789D6C03" w14:textId="77777777" w:rsidR="000275D8" w:rsidRPr="00F13073" w:rsidRDefault="000275D8" w:rsidP="008B4C50">
      <w:pPr>
        <w:pStyle w:val="a4"/>
        <w:widowControl/>
        <w:spacing w:after="0"/>
      </w:pPr>
      <w:r w:rsidRPr="00F13073">
        <w:rPr>
          <w:rStyle w:val="Char"/>
          <w:b/>
          <w:bCs/>
        </w:rPr>
        <w:t>Zgłaszanie działań niepożądanych</w:t>
      </w:r>
    </w:p>
    <w:p w14:paraId="4A459A50" w14:textId="77777777" w:rsidR="001E0975" w:rsidRPr="00F13073" w:rsidRDefault="000275D8" w:rsidP="008B4C50">
      <w:r w:rsidRPr="00F13073">
        <w:rPr>
          <w:rStyle w:val="Char"/>
          <w:rFonts w:eastAsia="DengXian"/>
        </w:rPr>
        <w:t xml:space="preserve">Jeśli u pacjenta wystąpią jakiekolwiek objawy niepożądane, w tym wszelkie objawy niepożądane niewymienione w tej ulotce, należy powiedzieć o tym lekarzowi, farmaceucie lub pielęgniarce. Działania niepożądane można zgłaszać bezpośrednio do </w:t>
      </w:r>
      <w:r>
        <w:rPr>
          <w:rStyle w:val="Char"/>
          <w:rFonts w:eastAsia="DengXian"/>
          <w:highlight w:val="lightGray"/>
        </w:rPr>
        <w:t>„krajowego systemu zgłaszania” wymienionego w</w:t>
      </w:r>
      <w:r w:rsidR="009B37F1">
        <w:rPr>
          <w:highlight w:val="lightGray"/>
        </w:rPr>
        <w:t xml:space="preserve"> </w:t>
      </w:r>
      <w:hyperlink r:id="rId36" w:history="1">
        <w:r w:rsidR="004A7E16">
          <w:rPr>
            <w:rStyle w:val="a7"/>
            <w:highlight w:val="lightGray"/>
          </w:rPr>
          <w:t>załączniku V</w:t>
        </w:r>
      </w:hyperlink>
      <w:r w:rsidR="009B37F1" w:rsidRPr="00F13073">
        <w:t>.</w:t>
      </w:r>
      <w:r w:rsidR="00611033" w:rsidRPr="00F13073">
        <w:t xml:space="preserve"> </w:t>
      </w:r>
      <w:r w:rsidR="00B91584" w:rsidRPr="00F13073">
        <w:rPr>
          <w:rStyle w:val="Char"/>
          <w:rFonts w:eastAsia="DengXian"/>
        </w:rPr>
        <w:t>Dzięki zgłaszaniu działań niepożądanych można będzie zgromadzić więcej informacji na temat bezpieczeństwa stosowania leku</w:t>
      </w:r>
    </w:p>
    <w:p w14:paraId="6B3DC634" w14:textId="77777777" w:rsidR="009B37F1" w:rsidRPr="00F13073" w:rsidRDefault="009B37F1" w:rsidP="008B4C50"/>
    <w:p w14:paraId="3BE99C3F" w14:textId="77777777" w:rsidR="009B37F1" w:rsidRPr="00F13073" w:rsidRDefault="009B37F1" w:rsidP="008B4C50"/>
    <w:p w14:paraId="0C1BF156" w14:textId="18B0D349" w:rsidR="001E0975" w:rsidRPr="00F13073" w:rsidRDefault="001721B1" w:rsidP="008B4C50">
      <w:pPr>
        <w:keepNext/>
        <w:ind w:left="567" w:hanging="567"/>
        <w:rPr>
          <w:b/>
          <w:bCs/>
        </w:rPr>
      </w:pPr>
      <w:r w:rsidRPr="00F13073">
        <w:rPr>
          <w:b/>
          <w:bCs/>
        </w:rPr>
        <w:t>5.</w:t>
      </w:r>
      <w:r w:rsidRPr="00F13073">
        <w:rPr>
          <w:b/>
          <w:bCs/>
        </w:rPr>
        <w:tab/>
      </w:r>
      <w:r w:rsidR="007C22C0" w:rsidRPr="00F13073">
        <w:rPr>
          <w:rStyle w:val="Char"/>
          <w:rFonts w:eastAsia="DengXian"/>
          <w:b/>
          <w:bCs/>
        </w:rPr>
        <w:t xml:space="preserve">Jak przechowywać lek </w:t>
      </w:r>
      <w:r w:rsidR="00026375" w:rsidRPr="00F13073">
        <w:rPr>
          <w:rStyle w:val="Char"/>
          <w:rFonts w:eastAsia="DengXian"/>
          <w:b/>
          <w:bCs/>
        </w:rPr>
        <w:t>Avtozma</w:t>
      </w:r>
    </w:p>
    <w:p w14:paraId="2706188E" w14:textId="77777777" w:rsidR="007C22C0" w:rsidRPr="00F13073" w:rsidRDefault="007C22C0" w:rsidP="008B4C50">
      <w:pPr>
        <w:pStyle w:val="a4"/>
        <w:widowControl/>
        <w:spacing w:after="0"/>
      </w:pPr>
    </w:p>
    <w:p w14:paraId="2FE8CEC9" w14:textId="77777777" w:rsidR="007C22C0" w:rsidRPr="00F13073" w:rsidRDefault="007C22C0" w:rsidP="008B4C50">
      <w:pPr>
        <w:pStyle w:val="a4"/>
        <w:widowControl/>
        <w:spacing w:after="0"/>
        <w:rPr>
          <w:rStyle w:val="Char"/>
        </w:rPr>
      </w:pPr>
      <w:r w:rsidRPr="00F13073">
        <w:rPr>
          <w:rStyle w:val="Char"/>
        </w:rPr>
        <w:t>Ten lek należy przechowywać w miejscu niewidocznym i niedostępnym dla dzieci.</w:t>
      </w:r>
    </w:p>
    <w:p w14:paraId="1151CEA3" w14:textId="77777777" w:rsidR="007C22C0" w:rsidRPr="00F13073" w:rsidRDefault="007C22C0" w:rsidP="008B4C50">
      <w:pPr>
        <w:pStyle w:val="a4"/>
        <w:widowControl/>
        <w:spacing w:after="0"/>
      </w:pPr>
    </w:p>
    <w:p w14:paraId="0A70FFFC" w14:textId="77777777" w:rsidR="007C22C0" w:rsidRPr="00F13073" w:rsidRDefault="007C22C0" w:rsidP="008B4C50">
      <w:pPr>
        <w:pStyle w:val="a4"/>
        <w:widowControl/>
        <w:spacing w:after="0"/>
        <w:rPr>
          <w:rStyle w:val="Char"/>
        </w:rPr>
      </w:pPr>
      <w:r w:rsidRPr="00F13073">
        <w:rPr>
          <w:rStyle w:val="Char"/>
        </w:rPr>
        <w:t>Nie stosować tego leku po upływie terminu ważności zamieszczonego na wstrzykiwaczu półautomatycznym napełnionym i opakowaniu (EXP). Termin ważności oznacza ostatni dzień podanego miesiąca.</w:t>
      </w:r>
    </w:p>
    <w:p w14:paraId="2C1925F0" w14:textId="77777777" w:rsidR="007C22C0" w:rsidRPr="00F13073" w:rsidRDefault="007C22C0" w:rsidP="008B4C50">
      <w:pPr>
        <w:pStyle w:val="a4"/>
        <w:widowControl/>
        <w:spacing w:after="0"/>
      </w:pPr>
    </w:p>
    <w:p w14:paraId="5BD1354A" w14:textId="52A64FA4" w:rsidR="007C22C0" w:rsidRPr="00F13073" w:rsidRDefault="007C22C0" w:rsidP="008B4C50">
      <w:pPr>
        <w:pStyle w:val="a4"/>
        <w:widowControl/>
        <w:spacing w:after="0"/>
        <w:rPr>
          <w:rStyle w:val="Char"/>
        </w:rPr>
      </w:pPr>
      <w:r w:rsidRPr="00F13073">
        <w:rPr>
          <w:rStyle w:val="Char"/>
        </w:rPr>
        <w:t xml:space="preserve">Przechowywać w lodówce (2°C do 8°C). Nie zamrażać. Po wyjęciu z lodówki wstrzykiwacz półautomatyczny może być przechowywany do </w:t>
      </w:r>
      <w:r w:rsidR="00994AE6" w:rsidRPr="00F13073">
        <w:rPr>
          <w:rStyle w:val="Char"/>
        </w:rPr>
        <w:t>3</w:t>
      </w:r>
      <w:r w:rsidRPr="00F13073">
        <w:rPr>
          <w:rStyle w:val="Char"/>
        </w:rPr>
        <w:t xml:space="preserve"> tygodni w temperaturze nie wyższej niż 30°C.</w:t>
      </w:r>
    </w:p>
    <w:p w14:paraId="03F62E34" w14:textId="77777777" w:rsidR="007C22C0" w:rsidRPr="00F13073" w:rsidRDefault="007C22C0" w:rsidP="008B4C50">
      <w:pPr>
        <w:pStyle w:val="a4"/>
        <w:widowControl/>
        <w:spacing w:after="0"/>
      </w:pPr>
    </w:p>
    <w:p w14:paraId="16573DF6" w14:textId="77777777" w:rsidR="007C22C0" w:rsidRPr="00F13073" w:rsidRDefault="007C22C0" w:rsidP="008B4C50">
      <w:pPr>
        <w:pStyle w:val="a4"/>
        <w:widowControl/>
        <w:spacing w:after="0"/>
        <w:rPr>
          <w:rStyle w:val="Char"/>
        </w:rPr>
      </w:pPr>
      <w:r w:rsidRPr="00F13073">
        <w:rPr>
          <w:rStyle w:val="Char"/>
        </w:rPr>
        <w:t>Wstrzykiwacze półautomatyczne napełnione przechowywać w opakowaniu zewnętrznym, w celu ochrony przed światłem i wilgocią.</w:t>
      </w:r>
    </w:p>
    <w:p w14:paraId="2BF0BB45" w14:textId="77777777" w:rsidR="007C22C0" w:rsidRPr="00F13073" w:rsidRDefault="007C22C0" w:rsidP="008B4C50">
      <w:pPr>
        <w:pStyle w:val="a4"/>
        <w:widowControl/>
        <w:spacing w:after="0"/>
      </w:pPr>
    </w:p>
    <w:p w14:paraId="4D4D02AF" w14:textId="514A224A" w:rsidR="007C22C0" w:rsidRPr="00F13073" w:rsidRDefault="007C22C0" w:rsidP="008B4C50">
      <w:pPr>
        <w:pStyle w:val="a4"/>
        <w:widowControl/>
        <w:spacing w:after="0"/>
        <w:rPr>
          <w:rStyle w:val="Char"/>
        </w:rPr>
      </w:pPr>
      <w:r w:rsidRPr="00F13073">
        <w:rPr>
          <w:rStyle w:val="Char"/>
        </w:rPr>
        <w:t>Nie używać leku, jeśli jest mętny lub zawiera cząstki stałe, posiada zabarwienie inne niż bezbarwne lub żółt</w:t>
      </w:r>
      <w:r w:rsidR="00BA5810" w:rsidRPr="00F13073">
        <w:rPr>
          <w:rStyle w:val="Char"/>
        </w:rPr>
        <w:t>e</w:t>
      </w:r>
      <w:r w:rsidRPr="00F13073">
        <w:rPr>
          <w:rStyle w:val="Char"/>
        </w:rPr>
        <w:t xml:space="preserve"> lub jeśli którakolwiek część wstrzykiwacza półautomatycznego napełnionego wydaje się uszkodzona.</w:t>
      </w:r>
    </w:p>
    <w:p w14:paraId="1E6CCB64" w14:textId="77777777" w:rsidR="007C22C0" w:rsidRPr="00F13073" w:rsidRDefault="007C22C0" w:rsidP="008B4C50">
      <w:pPr>
        <w:pStyle w:val="a4"/>
        <w:widowControl/>
        <w:spacing w:after="0"/>
      </w:pPr>
    </w:p>
    <w:p w14:paraId="4EC390AC" w14:textId="77777777" w:rsidR="007C22C0" w:rsidRPr="00F13073" w:rsidRDefault="007C22C0" w:rsidP="008B4C50">
      <w:pPr>
        <w:pStyle w:val="a4"/>
        <w:widowControl/>
        <w:spacing w:after="0"/>
      </w:pPr>
      <w:r w:rsidRPr="00F13073">
        <w:rPr>
          <w:rStyle w:val="Char"/>
        </w:rPr>
        <w:t>Nie należy wstrząsać wstrzykiwaczem półautomatycznym napełnionym. Zastrzyk trzeba wykonać w ciągu 3 minut po zdjęciu nakładki, aby zapobiec wysychaniu leku i zablokowaniu igły.</w:t>
      </w:r>
    </w:p>
    <w:p w14:paraId="3F91EC0E" w14:textId="77777777" w:rsidR="007C22C0" w:rsidRPr="00F13073" w:rsidRDefault="007C22C0" w:rsidP="008B4C50">
      <w:pPr>
        <w:pStyle w:val="a4"/>
        <w:widowControl/>
        <w:spacing w:after="0"/>
        <w:rPr>
          <w:rStyle w:val="Char"/>
        </w:rPr>
      </w:pPr>
      <w:r w:rsidRPr="00F13073">
        <w:rPr>
          <w:rStyle w:val="Char"/>
        </w:rPr>
        <w:t>W przypadku niewykonania zastrzyku w ciągu 3 minut po zdjęciu nakładki, należy wyrzucić wstrzykiwacz półautomatyczny napełniony do pojemnika odpornego na przekłucia i użyć nowego wstrzykiwacza półautomatycznego napełnionego.</w:t>
      </w:r>
    </w:p>
    <w:p w14:paraId="5C199932" w14:textId="77777777" w:rsidR="007C22C0" w:rsidRPr="00F13073" w:rsidRDefault="007C22C0" w:rsidP="008B4C50">
      <w:pPr>
        <w:pStyle w:val="a4"/>
        <w:widowControl/>
        <w:spacing w:after="0"/>
      </w:pPr>
    </w:p>
    <w:p w14:paraId="5D16F146" w14:textId="6EAC5726" w:rsidR="001E0975" w:rsidRPr="00F13073" w:rsidRDefault="007C22C0" w:rsidP="008B4C50">
      <w:r w:rsidRPr="00F13073">
        <w:rPr>
          <w:rStyle w:val="Char"/>
          <w:rFonts w:eastAsia="DengXian"/>
        </w:rPr>
        <w:t xml:space="preserve">Jeśli po naciśnięciu </w:t>
      </w:r>
      <w:r w:rsidR="00BA5810" w:rsidRPr="00F13073">
        <w:rPr>
          <w:rStyle w:val="Char"/>
          <w:rFonts w:eastAsia="DengXian"/>
        </w:rPr>
        <w:t>osłony igły pomarańczowy</w:t>
      </w:r>
      <w:r w:rsidRPr="00F13073">
        <w:rPr>
          <w:rStyle w:val="Char"/>
          <w:rFonts w:eastAsia="DengXian"/>
        </w:rPr>
        <w:t xml:space="preserve"> wskaźnik nie porusza się, należy wyrzucić wstrzykiwacz półautomatyczny napełniony do pojemnika odpornego na przekłucia. </w:t>
      </w:r>
      <w:r w:rsidR="0047330A" w:rsidRPr="00F13073">
        <w:rPr>
          <w:rStyle w:val="Char"/>
          <w:rFonts w:eastAsia="DengXian"/>
        </w:rPr>
        <w:t xml:space="preserve">Podczas próby </w:t>
      </w:r>
      <w:r w:rsidR="0047330A" w:rsidRPr="00F13073">
        <w:rPr>
          <w:rStyle w:val="Char"/>
          <w:rFonts w:eastAsia="DengXian"/>
        </w:rPr>
        <w:lastRenderedPageBreak/>
        <w:t xml:space="preserve">ponownego użycia wstrzykiwacz półautomatyczny napełniony jest zablokowany, a igła </w:t>
      </w:r>
      <w:r w:rsidR="00D71ADA" w:rsidRPr="00F13073">
        <w:rPr>
          <w:rStyle w:val="Char"/>
          <w:rFonts w:eastAsia="DengXian"/>
        </w:rPr>
        <w:t>schowana wewnątrz osłony</w:t>
      </w:r>
      <w:r w:rsidR="0047330A" w:rsidRPr="00F13073">
        <w:rPr>
          <w:rStyle w:val="Char"/>
          <w:rFonts w:eastAsia="DengXian"/>
        </w:rPr>
        <w:t xml:space="preserve">. </w:t>
      </w:r>
      <w:r w:rsidRPr="00F13073">
        <w:rPr>
          <w:rStyle w:val="Char"/>
          <w:rFonts w:eastAsia="DengXian"/>
          <w:b/>
          <w:bCs/>
        </w:rPr>
        <w:t xml:space="preserve">Nie należy </w:t>
      </w:r>
      <w:r w:rsidRPr="00F13073">
        <w:rPr>
          <w:rStyle w:val="Char"/>
          <w:rFonts w:eastAsia="DengXian"/>
        </w:rPr>
        <w:t>podejmować prób ponownego użycia tego wstrzykiwacza. Nie należy powtarzać wstrzyknięcia przy użyciu innego wstrzykiwacza półautomatycznego napełnionego. Należy zwrócić się do lekarza po pomoc</w:t>
      </w:r>
    </w:p>
    <w:p w14:paraId="5432E9AA" w14:textId="77777777" w:rsidR="009B37F1" w:rsidRPr="00F13073" w:rsidRDefault="009B37F1" w:rsidP="008B4C50"/>
    <w:p w14:paraId="403AF36D" w14:textId="77777777" w:rsidR="009B37F1" w:rsidRPr="00F13073" w:rsidRDefault="009B37F1" w:rsidP="008B4C50"/>
    <w:p w14:paraId="3099802E" w14:textId="77777777" w:rsidR="001E0975" w:rsidRPr="00F13073" w:rsidRDefault="001721B1" w:rsidP="008B4C50">
      <w:pPr>
        <w:keepNext/>
        <w:ind w:left="567" w:hanging="567"/>
        <w:rPr>
          <w:b/>
          <w:bCs/>
        </w:rPr>
      </w:pPr>
      <w:r w:rsidRPr="00F13073">
        <w:rPr>
          <w:b/>
          <w:bCs/>
        </w:rPr>
        <w:t>6.</w:t>
      </w:r>
      <w:r w:rsidRPr="00F13073">
        <w:rPr>
          <w:b/>
          <w:bCs/>
        </w:rPr>
        <w:tab/>
      </w:r>
      <w:r w:rsidR="009D3445" w:rsidRPr="00F13073">
        <w:rPr>
          <w:b/>
          <w:bCs/>
        </w:rPr>
        <w:t>Zawartość opakowania i inne informacje</w:t>
      </w:r>
    </w:p>
    <w:p w14:paraId="0BD7278D" w14:textId="77777777" w:rsidR="009B37F1" w:rsidRPr="00F13073" w:rsidRDefault="009B37F1" w:rsidP="008B4C50">
      <w:pPr>
        <w:keepNext/>
        <w:ind w:left="567" w:hanging="567"/>
        <w:rPr>
          <w:b/>
          <w:bCs/>
        </w:rPr>
      </w:pPr>
    </w:p>
    <w:p w14:paraId="58150099" w14:textId="64984AC2" w:rsidR="009D3445" w:rsidRPr="00F13073" w:rsidRDefault="009D3445" w:rsidP="008B4C50">
      <w:pPr>
        <w:pStyle w:val="a4"/>
        <w:widowControl/>
        <w:spacing w:after="0"/>
      </w:pPr>
      <w:r w:rsidRPr="00F13073">
        <w:rPr>
          <w:rStyle w:val="Char"/>
          <w:b/>
          <w:bCs/>
        </w:rPr>
        <w:t xml:space="preserve">Co zawiera lek </w:t>
      </w:r>
      <w:r w:rsidR="00026375" w:rsidRPr="00F13073">
        <w:rPr>
          <w:rStyle w:val="Char"/>
          <w:b/>
          <w:bCs/>
        </w:rPr>
        <w:t>Avtozma</w:t>
      </w:r>
    </w:p>
    <w:p w14:paraId="38C4C626" w14:textId="77777777" w:rsidR="009D3445" w:rsidRPr="00F13073" w:rsidRDefault="009D3445" w:rsidP="008B4C50">
      <w:pPr>
        <w:pStyle w:val="a0"/>
        <w:numPr>
          <w:ilvl w:val="1"/>
          <w:numId w:val="15"/>
        </w:numPr>
        <w:ind w:left="567" w:hanging="567"/>
        <w:contextualSpacing w:val="0"/>
      </w:pPr>
      <w:r w:rsidRPr="00F13073">
        <w:rPr>
          <w:rStyle w:val="Char"/>
          <w:rFonts w:eastAsia="DengXian"/>
        </w:rPr>
        <w:t>Substancją czynną leku jest tocilizumab</w:t>
      </w:r>
      <w:r w:rsidRPr="00F13073">
        <w:t>.</w:t>
      </w:r>
      <w:r w:rsidRPr="00F13073">
        <w:br/>
      </w:r>
      <w:r w:rsidRPr="00F13073">
        <w:rPr>
          <w:rStyle w:val="Char"/>
          <w:rFonts w:eastAsia="DengXian"/>
        </w:rPr>
        <w:t>Każdy wstrzykiwacz półautomatyczny napełniony zawiera 162 mg tocilizumabu w 0,9 mL</w:t>
      </w:r>
      <w:r w:rsidRPr="00F13073">
        <w:t>.</w:t>
      </w:r>
    </w:p>
    <w:p w14:paraId="6FF26E1A" w14:textId="77777777" w:rsidR="009D3445" w:rsidRPr="00F13073" w:rsidRDefault="009D3445" w:rsidP="008B4C50">
      <w:pPr>
        <w:pStyle w:val="a0"/>
        <w:ind w:firstLine="0"/>
      </w:pPr>
    </w:p>
    <w:p w14:paraId="4276D488" w14:textId="2A40E012" w:rsidR="009D3445" w:rsidRPr="00F13073" w:rsidRDefault="009D3445" w:rsidP="008B4C50">
      <w:pPr>
        <w:pStyle w:val="a0"/>
        <w:numPr>
          <w:ilvl w:val="1"/>
          <w:numId w:val="15"/>
        </w:numPr>
        <w:ind w:left="567" w:hanging="567"/>
        <w:contextualSpacing w:val="0"/>
      </w:pPr>
      <w:r w:rsidRPr="00F13073">
        <w:rPr>
          <w:rStyle w:val="Char"/>
          <w:rFonts w:eastAsia="DengXian"/>
        </w:rPr>
        <w:t xml:space="preserve">Pozostałe składniki to: L-histydyna, </w:t>
      </w:r>
      <w:r w:rsidR="00017E9D" w:rsidRPr="00017E9D">
        <w:rPr>
          <w:rFonts w:eastAsia="맑은 고딕" w:hint="eastAsia"/>
          <w:lang w:eastAsia="ko-KR"/>
        </w:rPr>
        <w:t>L-histydyny monochlorowodorek</w:t>
      </w:r>
      <w:r w:rsidR="00E265AD" w:rsidRPr="00E265AD">
        <w:t xml:space="preserve">, </w:t>
      </w:r>
      <w:r w:rsidR="00166F91" w:rsidRPr="00F13073">
        <w:rPr>
          <w:rStyle w:val="Char"/>
          <w:rFonts w:eastAsia="DengXian"/>
        </w:rPr>
        <w:t>L-treonina,</w:t>
      </w:r>
      <w:r w:rsidR="00EC655B" w:rsidRPr="00EC655B">
        <w:rPr>
          <w:rStyle w:val="Char"/>
          <w:rFonts w:eastAsia="DengXian"/>
        </w:rPr>
        <w:t xml:space="preserve"> </w:t>
      </w:r>
      <w:r w:rsidR="00EC655B" w:rsidRPr="00F13073">
        <w:rPr>
          <w:rStyle w:val="Char"/>
          <w:rFonts w:eastAsia="DengXian"/>
        </w:rPr>
        <w:t xml:space="preserve">L-metionina, </w:t>
      </w:r>
      <w:r w:rsidR="00166F91" w:rsidRPr="00F13073">
        <w:rPr>
          <w:rStyle w:val="Char"/>
          <w:rFonts w:eastAsia="DengXian"/>
        </w:rPr>
        <w:t xml:space="preserve"> </w:t>
      </w:r>
      <w:r w:rsidR="004905B0" w:rsidRPr="00F13073">
        <w:rPr>
          <w:rStyle w:val="Char"/>
          <w:rFonts w:eastAsia="DengXian"/>
        </w:rPr>
        <w:t>polisorbat </w:t>
      </w:r>
      <w:r w:rsidRPr="00F13073">
        <w:rPr>
          <w:rStyle w:val="Char"/>
          <w:rFonts w:eastAsia="DengXian"/>
        </w:rPr>
        <w:t>80 i woda do wstrzykiwań.</w:t>
      </w:r>
    </w:p>
    <w:p w14:paraId="63C42D43" w14:textId="77777777" w:rsidR="009D3445" w:rsidRPr="00F13073" w:rsidRDefault="009D3445" w:rsidP="008B4C50">
      <w:pPr>
        <w:pStyle w:val="a4"/>
        <w:widowControl/>
        <w:spacing w:after="0"/>
        <w:rPr>
          <w:rStyle w:val="Char"/>
          <w:b/>
          <w:bCs/>
        </w:rPr>
      </w:pPr>
    </w:p>
    <w:p w14:paraId="78094498" w14:textId="654B5072" w:rsidR="009D3445" w:rsidRPr="00F13073" w:rsidRDefault="009D3445" w:rsidP="003014BB">
      <w:pPr>
        <w:pStyle w:val="a4"/>
        <w:keepNext/>
        <w:widowControl/>
        <w:spacing w:after="0"/>
      </w:pPr>
      <w:r w:rsidRPr="00F13073">
        <w:rPr>
          <w:rStyle w:val="Char"/>
          <w:b/>
          <w:bCs/>
        </w:rPr>
        <w:t xml:space="preserve">Jak wygląda lek </w:t>
      </w:r>
      <w:r w:rsidR="00026375" w:rsidRPr="00F13073">
        <w:rPr>
          <w:rStyle w:val="Char"/>
          <w:b/>
          <w:bCs/>
        </w:rPr>
        <w:t>Avtozma</w:t>
      </w:r>
      <w:r w:rsidRPr="00F13073">
        <w:rPr>
          <w:rStyle w:val="Char"/>
          <w:b/>
          <w:bCs/>
        </w:rPr>
        <w:t xml:space="preserve"> i co zawiera opakowanie</w:t>
      </w:r>
    </w:p>
    <w:p w14:paraId="16997295" w14:textId="35330040" w:rsidR="009D3445" w:rsidRPr="00F13073" w:rsidRDefault="009D3445"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to roztwór do wstrzykiwań. Roztwór jest bezbarwny lub żółty.</w:t>
      </w:r>
    </w:p>
    <w:p w14:paraId="17CD7F3F" w14:textId="77777777" w:rsidR="009D3445" w:rsidRPr="00F13073" w:rsidRDefault="009D3445" w:rsidP="008B4C50">
      <w:pPr>
        <w:pStyle w:val="a4"/>
        <w:widowControl/>
        <w:spacing w:after="0"/>
      </w:pPr>
    </w:p>
    <w:p w14:paraId="41974171" w14:textId="3AE9B808" w:rsidR="009D3445" w:rsidRPr="00F13073" w:rsidRDefault="009D3445" w:rsidP="008B4C50">
      <w:pPr>
        <w:pStyle w:val="a4"/>
        <w:widowControl/>
        <w:spacing w:after="0"/>
        <w:rPr>
          <w:rStyle w:val="Char"/>
        </w:rPr>
      </w:pPr>
      <w:r w:rsidRPr="00F13073">
        <w:rPr>
          <w:rStyle w:val="Char"/>
        </w:rPr>
        <w:t xml:space="preserve">Lek </w:t>
      </w:r>
      <w:r w:rsidR="00026375" w:rsidRPr="00F13073">
        <w:rPr>
          <w:rStyle w:val="Char"/>
        </w:rPr>
        <w:t>Avtozma</w:t>
      </w:r>
      <w:r w:rsidRPr="00F13073">
        <w:rPr>
          <w:rStyle w:val="Char"/>
        </w:rPr>
        <w:t xml:space="preserve"> dostarczany jest w postaci wstrzykiwacza półautomatycznego napełnionego 0,9 mL, zawierającego 162 mg tocilizumabu w postaci roztworu do wstrzykiwań.</w:t>
      </w:r>
    </w:p>
    <w:p w14:paraId="62B676AC" w14:textId="77777777" w:rsidR="009D3445" w:rsidRPr="00F13073" w:rsidRDefault="009D3445" w:rsidP="008B4C50">
      <w:pPr>
        <w:pStyle w:val="a4"/>
        <w:widowControl/>
        <w:spacing w:after="0"/>
      </w:pPr>
    </w:p>
    <w:p w14:paraId="7651A88B" w14:textId="2F21A8EB" w:rsidR="00C74329" w:rsidRPr="00F13073" w:rsidRDefault="00865E40" w:rsidP="00C74329">
      <w:pPr>
        <w:pStyle w:val="a4"/>
        <w:widowControl/>
        <w:spacing w:after="0"/>
      </w:pPr>
      <w:r w:rsidRPr="00F13073">
        <w:rPr>
          <w:rStyle w:val="Char"/>
        </w:rPr>
        <w:t>Wstrzykiwacze półautomatyczne napełnione</w:t>
      </w:r>
      <w:r w:rsidRPr="00F13073">
        <w:t xml:space="preserve"> </w:t>
      </w:r>
      <w:r w:rsidR="00C74329" w:rsidRPr="00F13073">
        <w:t>z lekiem Avtozma do stosowania u pacjentów są dostępne w opakowaniach zawierających:</w:t>
      </w:r>
    </w:p>
    <w:p w14:paraId="35BBC206" w14:textId="0B0023DA" w:rsidR="00C74329" w:rsidRPr="00F13073" w:rsidRDefault="00C74329" w:rsidP="0081094B">
      <w:pPr>
        <w:pStyle w:val="a4"/>
        <w:widowControl/>
        <w:numPr>
          <w:ilvl w:val="0"/>
          <w:numId w:val="26"/>
        </w:numPr>
        <w:spacing w:after="0"/>
        <w:ind w:left="567" w:hanging="567"/>
      </w:pPr>
      <w:r w:rsidRPr="00F13073">
        <w:t>1 </w:t>
      </w:r>
      <w:r w:rsidR="00865E40" w:rsidRPr="00F13073">
        <w:rPr>
          <w:rStyle w:val="Char"/>
        </w:rPr>
        <w:t>wstrzykiwacz półautomatyczny napełniony</w:t>
      </w:r>
    </w:p>
    <w:p w14:paraId="53AB1678" w14:textId="22733DC6" w:rsidR="00231829" w:rsidRPr="00F13073" w:rsidRDefault="00231829" w:rsidP="00231829">
      <w:pPr>
        <w:pStyle w:val="a4"/>
        <w:widowControl/>
        <w:numPr>
          <w:ilvl w:val="0"/>
          <w:numId w:val="26"/>
        </w:numPr>
        <w:spacing w:after="0"/>
        <w:ind w:left="567" w:hanging="567"/>
        <w:rPr>
          <w:ins w:id="51" w:author="만든 이"/>
        </w:rPr>
      </w:pPr>
      <w:ins w:id="52" w:author="만든 이">
        <w:r>
          <w:rPr>
            <w:rFonts w:eastAsia="맑은 고딕" w:hint="eastAsia"/>
            <w:lang w:eastAsia="ko-KR"/>
          </w:rPr>
          <w:t>2</w:t>
        </w:r>
        <w:r w:rsidRPr="00F13073">
          <w:t> </w:t>
        </w:r>
        <w:r w:rsidRPr="00F13073">
          <w:rPr>
            <w:rStyle w:val="Char"/>
          </w:rPr>
          <w:t>wstrzykiwacze półautomatyczne napełnione</w:t>
        </w:r>
      </w:ins>
    </w:p>
    <w:p w14:paraId="7F0F3ED0" w14:textId="4E635BE8" w:rsidR="00C74329" w:rsidRPr="00F13073" w:rsidRDefault="00C74329" w:rsidP="0081094B">
      <w:pPr>
        <w:pStyle w:val="a4"/>
        <w:widowControl/>
        <w:numPr>
          <w:ilvl w:val="0"/>
          <w:numId w:val="26"/>
        </w:numPr>
        <w:spacing w:after="0"/>
        <w:ind w:left="567" w:hanging="567"/>
      </w:pPr>
      <w:r w:rsidRPr="00F13073">
        <w:t>4 </w:t>
      </w:r>
      <w:r w:rsidR="00865E40" w:rsidRPr="00F13073">
        <w:rPr>
          <w:rStyle w:val="Char"/>
        </w:rPr>
        <w:t>wstrzykiwacze półautomatyczne napełnione</w:t>
      </w:r>
    </w:p>
    <w:p w14:paraId="06E99B37" w14:textId="7BEA43DF" w:rsidR="00C74329" w:rsidRPr="00F13073" w:rsidRDefault="00C74329" w:rsidP="0081094B">
      <w:pPr>
        <w:pStyle w:val="a4"/>
        <w:widowControl/>
        <w:numPr>
          <w:ilvl w:val="0"/>
          <w:numId w:val="26"/>
        </w:numPr>
        <w:spacing w:after="0"/>
        <w:ind w:left="567" w:hanging="567"/>
        <w:rPr>
          <w:rStyle w:val="Char"/>
          <w:rFonts w:eastAsia="DengXian"/>
        </w:rPr>
      </w:pPr>
      <w:r w:rsidRPr="00F13073">
        <w:t xml:space="preserve">12 (3 opakowania po 4 sztuki) </w:t>
      </w:r>
      <w:r w:rsidR="00865E40" w:rsidRPr="00F13073">
        <w:rPr>
          <w:rStyle w:val="Char"/>
        </w:rPr>
        <w:t>wstrzykiwacze półautomatyczne napełnione</w:t>
      </w:r>
      <w:r w:rsidR="00865E40" w:rsidRPr="00F13073">
        <w:t xml:space="preserve"> </w:t>
      </w:r>
      <w:r w:rsidRPr="00F13073">
        <w:t>(opakowanie zbiorcze)</w:t>
      </w:r>
    </w:p>
    <w:p w14:paraId="39CB5921" w14:textId="77777777" w:rsidR="00C74329" w:rsidRPr="00F13073" w:rsidRDefault="00C74329" w:rsidP="008B4C50">
      <w:pPr>
        <w:pStyle w:val="a4"/>
        <w:widowControl/>
        <w:spacing w:after="0"/>
      </w:pPr>
    </w:p>
    <w:p w14:paraId="0CF39089" w14:textId="1C709909" w:rsidR="009D3445" w:rsidRPr="00F13073" w:rsidRDefault="009D3445" w:rsidP="008B4C50">
      <w:pPr>
        <w:pStyle w:val="a4"/>
        <w:widowControl/>
        <w:spacing w:after="0"/>
      </w:pPr>
      <w:r w:rsidRPr="00F13073">
        <w:rPr>
          <w:rStyle w:val="Char"/>
          <w:b/>
          <w:bCs/>
        </w:rPr>
        <w:t>Nie wszystkie wielkości opakowań muszą znajdować się w obrocie.</w:t>
      </w:r>
    </w:p>
    <w:p w14:paraId="76FC8865" w14:textId="77777777" w:rsidR="009B37F1" w:rsidRPr="00F13073" w:rsidRDefault="009B37F1" w:rsidP="008B4C50"/>
    <w:p w14:paraId="51098679" w14:textId="77777777" w:rsidR="008F13C3" w:rsidRPr="00F13073" w:rsidRDefault="009D3445" w:rsidP="008B4C50">
      <w:pPr>
        <w:keepNext/>
        <w:rPr>
          <w:b/>
          <w:bCs/>
        </w:rPr>
      </w:pPr>
      <w:r w:rsidRPr="00F13073">
        <w:rPr>
          <w:rStyle w:val="Char"/>
          <w:rFonts w:eastAsia="DengXian"/>
          <w:b/>
          <w:bCs/>
        </w:rPr>
        <w:t>Podmiot odpowiedzialny</w:t>
      </w:r>
    </w:p>
    <w:p w14:paraId="4F52E7FC" w14:textId="77777777" w:rsidR="006C7631" w:rsidRPr="00F13073" w:rsidRDefault="006C7631" w:rsidP="006C7631">
      <w:pPr>
        <w:keepNext/>
      </w:pPr>
      <w:r w:rsidRPr="00F13073">
        <w:t>Celltrion Healthcare Hungary Kft.</w:t>
      </w:r>
    </w:p>
    <w:p w14:paraId="3A9A8A42" w14:textId="77777777" w:rsidR="006C7631" w:rsidRPr="00127FBE" w:rsidRDefault="006C7631" w:rsidP="006C7631">
      <w:pPr>
        <w:keepNext/>
        <w:rPr>
          <w:lang w:val="en-GB"/>
        </w:rPr>
      </w:pPr>
      <w:r w:rsidRPr="00127FBE">
        <w:rPr>
          <w:lang w:val="en-GB"/>
        </w:rPr>
        <w:t>1062 Budapest</w:t>
      </w:r>
    </w:p>
    <w:p w14:paraId="55B6EC67" w14:textId="77777777" w:rsidR="006C7631" w:rsidRPr="00127FBE" w:rsidRDefault="006C7631" w:rsidP="006C7631">
      <w:pPr>
        <w:keepNext/>
        <w:rPr>
          <w:lang w:val="en-GB"/>
        </w:rPr>
      </w:pPr>
      <w:r w:rsidRPr="00127FBE">
        <w:rPr>
          <w:lang w:val="en-GB"/>
        </w:rPr>
        <w:t xml:space="preserve">Váci </w:t>
      </w:r>
      <w:proofErr w:type="spellStart"/>
      <w:r w:rsidRPr="00127FBE">
        <w:rPr>
          <w:lang w:val="en-GB"/>
        </w:rPr>
        <w:t>út</w:t>
      </w:r>
      <w:proofErr w:type="spellEnd"/>
      <w:r w:rsidRPr="00127FBE">
        <w:rPr>
          <w:lang w:val="en-GB"/>
        </w:rPr>
        <w:t xml:space="preserve"> 1-3. </w:t>
      </w:r>
      <w:proofErr w:type="spellStart"/>
      <w:r w:rsidRPr="00127FBE">
        <w:rPr>
          <w:lang w:val="en-GB"/>
        </w:rPr>
        <w:t>WestEnd</w:t>
      </w:r>
      <w:proofErr w:type="spellEnd"/>
      <w:r w:rsidRPr="00127FBE">
        <w:rPr>
          <w:lang w:val="en-GB"/>
        </w:rPr>
        <w:t xml:space="preserve"> Office Building B </w:t>
      </w:r>
      <w:proofErr w:type="spellStart"/>
      <w:r w:rsidRPr="00127FBE">
        <w:rPr>
          <w:lang w:val="en-GB"/>
        </w:rPr>
        <w:t>torony</w:t>
      </w:r>
      <w:proofErr w:type="spellEnd"/>
    </w:p>
    <w:p w14:paraId="659810DE" w14:textId="35D03F2C" w:rsidR="006C7631" w:rsidRPr="00127FBE" w:rsidRDefault="006C7631" w:rsidP="006C7631">
      <w:pPr>
        <w:rPr>
          <w:lang w:val="en-GB"/>
        </w:rPr>
      </w:pPr>
      <w:proofErr w:type="spellStart"/>
      <w:r w:rsidRPr="00127FBE">
        <w:rPr>
          <w:lang w:val="en-GB"/>
        </w:rPr>
        <w:t>Węgry</w:t>
      </w:r>
      <w:proofErr w:type="spellEnd"/>
    </w:p>
    <w:p w14:paraId="1ED31F50" w14:textId="77777777" w:rsidR="009B37F1" w:rsidRPr="00127FBE" w:rsidRDefault="009B37F1" w:rsidP="008B4C50">
      <w:pPr>
        <w:rPr>
          <w:lang w:val="en-GB"/>
        </w:rPr>
      </w:pPr>
    </w:p>
    <w:p w14:paraId="2464FFE7" w14:textId="77777777" w:rsidR="008F13C3" w:rsidRPr="00127FBE" w:rsidRDefault="009D3445" w:rsidP="008B4C50">
      <w:pPr>
        <w:keepNext/>
        <w:rPr>
          <w:b/>
          <w:bCs/>
          <w:lang w:val="en-GB"/>
        </w:rPr>
      </w:pPr>
      <w:proofErr w:type="spellStart"/>
      <w:r w:rsidRPr="00127FBE">
        <w:rPr>
          <w:b/>
          <w:bCs/>
          <w:lang w:val="en-GB"/>
        </w:rPr>
        <w:t>Wytwórca</w:t>
      </w:r>
      <w:proofErr w:type="spellEnd"/>
    </w:p>
    <w:p w14:paraId="19714F01" w14:textId="77777777" w:rsidR="006C7631" w:rsidRPr="00127FBE" w:rsidRDefault="006C7631" w:rsidP="006C7631">
      <w:pPr>
        <w:keepNext/>
        <w:rPr>
          <w:lang w:val="en-GB"/>
        </w:rPr>
      </w:pPr>
      <w:r w:rsidRPr="00127FBE">
        <w:rPr>
          <w:lang w:val="en-GB"/>
        </w:rPr>
        <w:t>Nuvisan France SARL</w:t>
      </w:r>
    </w:p>
    <w:p w14:paraId="2AF08D11" w14:textId="77777777" w:rsidR="006C7631" w:rsidRPr="00127FBE" w:rsidRDefault="006C7631" w:rsidP="006C7631">
      <w:pPr>
        <w:keepNext/>
        <w:rPr>
          <w:lang w:val="en-GB"/>
        </w:rPr>
      </w:pPr>
      <w:r w:rsidRPr="00127FBE">
        <w:rPr>
          <w:lang w:val="en-GB"/>
        </w:rPr>
        <w:t>2400</w:t>
      </w:r>
      <w:del w:id="53" w:author="만든 이">
        <w:r w:rsidRPr="00127FBE" w:rsidDel="006A6B0C">
          <w:rPr>
            <w:lang w:val="en-GB"/>
          </w:rPr>
          <w:delText>,</w:delText>
        </w:r>
      </w:del>
      <w:r w:rsidRPr="00127FBE">
        <w:rPr>
          <w:lang w:val="en-GB"/>
        </w:rPr>
        <w:t xml:space="preserve"> Route des Colles, </w:t>
      </w:r>
    </w:p>
    <w:p w14:paraId="69608563" w14:textId="77777777" w:rsidR="006C7631" w:rsidRPr="00F13073" w:rsidRDefault="006C7631" w:rsidP="006C7631">
      <w:pPr>
        <w:keepNext/>
      </w:pPr>
      <w:r w:rsidRPr="00F13073">
        <w:t>06410</w:t>
      </w:r>
      <w:del w:id="54" w:author="만든 이">
        <w:r w:rsidRPr="00F13073" w:rsidDel="006A6B0C">
          <w:delText>,</w:delText>
        </w:r>
      </w:del>
      <w:r w:rsidRPr="00F13073">
        <w:t xml:space="preserve"> Biot, </w:t>
      </w:r>
    </w:p>
    <w:p w14:paraId="36EA1A5B" w14:textId="6ABB4C97" w:rsidR="006C7631" w:rsidRPr="00F13073" w:rsidRDefault="006C7631" w:rsidP="006C7631">
      <w:r w:rsidRPr="00F13073">
        <w:t>Francja</w:t>
      </w:r>
    </w:p>
    <w:p w14:paraId="4E01E468" w14:textId="77777777" w:rsidR="006C7631" w:rsidRPr="00F13073" w:rsidRDefault="006C7631" w:rsidP="006C7631"/>
    <w:p w14:paraId="39A45155" w14:textId="77777777" w:rsidR="006C7631" w:rsidRPr="00F13073" w:rsidRDefault="006C7631" w:rsidP="006C7631">
      <w:pPr>
        <w:keepNext/>
      </w:pPr>
      <w:r w:rsidRPr="00F13073">
        <w:t>Midas Pharma GmbH</w:t>
      </w:r>
    </w:p>
    <w:p w14:paraId="6FD104C4" w14:textId="77777777" w:rsidR="006C7631" w:rsidRPr="00F13073" w:rsidRDefault="006C7631" w:rsidP="006C7631">
      <w:pPr>
        <w:keepNext/>
      </w:pPr>
      <w:r w:rsidRPr="00F13073">
        <w:t xml:space="preserve">Rheinstr. 49, </w:t>
      </w:r>
    </w:p>
    <w:p w14:paraId="40B0B9B5" w14:textId="77777777" w:rsidR="006C7631" w:rsidRPr="00F13073" w:rsidRDefault="006C7631" w:rsidP="006C7631">
      <w:pPr>
        <w:keepNext/>
      </w:pPr>
      <w:r w:rsidRPr="00F13073">
        <w:t>55218 Ingelheim,</w:t>
      </w:r>
    </w:p>
    <w:p w14:paraId="56D11AD0" w14:textId="72EB241C" w:rsidR="006C7631" w:rsidRPr="00F13073" w:rsidRDefault="006C7631" w:rsidP="006C7631">
      <w:r w:rsidRPr="00F13073">
        <w:t>Niemcy</w:t>
      </w:r>
    </w:p>
    <w:p w14:paraId="2EFE7109" w14:textId="77777777" w:rsidR="006C7631" w:rsidRPr="00F13073" w:rsidRDefault="006C7631" w:rsidP="006C7631"/>
    <w:p w14:paraId="72432714" w14:textId="77777777" w:rsidR="006C7631" w:rsidRPr="00F13073" w:rsidRDefault="006C7631" w:rsidP="006C7631">
      <w:pPr>
        <w:keepNext/>
      </w:pPr>
      <w:r w:rsidRPr="00F13073">
        <w:t xml:space="preserve">KYMOS S.L. </w:t>
      </w:r>
    </w:p>
    <w:p w14:paraId="153F2F0B" w14:textId="77777777" w:rsidR="006C7631" w:rsidRPr="00127FBE" w:rsidRDefault="006C7631" w:rsidP="006C7631">
      <w:pPr>
        <w:keepNext/>
        <w:rPr>
          <w:lang w:val="en-GB"/>
        </w:rPr>
      </w:pPr>
      <w:r w:rsidRPr="00127FBE">
        <w:rPr>
          <w:lang w:val="en-GB"/>
        </w:rPr>
        <w:t xml:space="preserve">Ronda Can </w:t>
      </w:r>
      <w:proofErr w:type="spellStart"/>
      <w:r w:rsidRPr="00127FBE">
        <w:rPr>
          <w:lang w:val="en-GB"/>
        </w:rPr>
        <w:t>Fatjó</w:t>
      </w:r>
      <w:proofErr w:type="spellEnd"/>
      <w:r w:rsidRPr="00127FBE">
        <w:rPr>
          <w:lang w:val="en-GB"/>
        </w:rPr>
        <w:t xml:space="preserve">, 7B. </w:t>
      </w:r>
    </w:p>
    <w:p w14:paraId="33FC6761" w14:textId="77777777" w:rsidR="006C7631" w:rsidRPr="00127FBE" w:rsidRDefault="006C7631" w:rsidP="006C7631">
      <w:pPr>
        <w:keepNext/>
        <w:rPr>
          <w:lang w:val="en-GB"/>
        </w:rPr>
      </w:pPr>
      <w:r w:rsidRPr="00127FBE">
        <w:rPr>
          <w:lang w:val="en-GB"/>
        </w:rPr>
        <w:t xml:space="preserve">08290 </w:t>
      </w:r>
      <w:proofErr w:type="spellStart"/>
      <w:r w:rsidRPr="00127FBE">
        <w:rPr>
          <w:lang w:val="en-GB"/>
        </w:rPr>
        <w:t>Cerdanyola</w:t>
      </w:r>
      <w:proofErr w:type="spellEnd"/>
      <w:r w:rsidRPr="00127FBE">
        <w:rPr>
          <w:lang w:val="en-GB"/>
        </w:rPr>
        <w:t xml:space="preserve"> del </w:t>
      </w:r>
      <w:proofErr w:type="spellStart"/>
      <w:r w:rsidRPr="00127FBE">
        <w:rPr>
          <w:lang w:val="en-GB"/>
        </w:rPr>
        <w:t>Vallès</w:t>
      </w:r>
      <w:proofErr w:type="spellEnd"/>
      <w:r w:rsidRPr="00127FBE">
        <w:rPr>
          <w:lang w:val="en-GB"/>
        </w:rPr>
        <w:t xml:space="preserve">, </w:t>
      </w:r>
    </w:p>
    <w:p w14:paraId="7516B86C" w14:textId="77777777" w:rsidR="006C7631" w:rsidRPr="00F13073" w:rsidRDefault="006C7631" w:rsidP="006C7631">
      <w:pPr>
        <w:keepNext/>
      </w:pPr>
      <w:r w:rsidRPr="00F13073">
        <w:t xml:space="preserve">Barcelona, </w:t>
      </w:r>
    </w:p>
    <w:p w14:paraId="03ADEC51" w14:textId="2C7026A5" w:rsidR="006C7631" w:rsidRPr="00F13073" w:rsidRDefault="006C7631" w:rsidP="006C7631">
      <w:r w:rsidRPr="00F13073">
        <w:t>Hiszpania</w:t>
      </w:r>
    </w:p>
    <w:p w14:paraId="6D5FE353" w14:textId="77777777" w:rsidR="009B37F1" w:rsidRPr="00F13073" w:rsidRDefault="009B37F1" w:rsidP="008B4C50"/>
    <w:p w14:paraId="12A0CA36" w14:textId="77777777" w:rsidR="008F13C3" w:rsidRPr="00F13073" w:rsidRDefault="009D3445" w:rsidP="008B4C50">
      <w:pPr>
        <w:keepNext/>
        <w:rPr>
          <w:rStyle w:val="Char"/>
          <w:rFonts w:eastAsia="DengXian"/>
        </w:rPr>
      </w:pPr>
      <w:r w:rsidRPr="00F13073">
        <w:rPr>
          <w:rStyle w:val="Char"/>
          <w:rFonts w:eastAsia="DengXian"/>
        </w:rPr>
        <w:lastRenderedPageBreak/>
        <w:t>W celu uzyskania bardziej szczegółowych informacji należy zwrócić się do miejscowego przedstawiciela podmiotu odpowiedzialnego:</w:t>
      </w:r>
    </w:p>
    <w:p w14:paraId="083B7101" w14:textId="77777777" w:rsidR="00074830" w:rsidRPr="00F13073" w:rsidRDefault="00074830" w:rsidP="008B4C50">
      <w:pPr>
        <w:keepNext/>
        <w:rPr>
          <w:rStyle w:val="Char"/>
          <w:rFonts w:eastAsia="DengXian"/>
        </w:rPr>
      </w:pPr>
    </w:p>
    <w:tbl>
      <w:tblPr>
        <w:tblW w:w="5000" w:type="pct"/>
        <w:tblLayout w:type="fixed"/>
        <w:tblCellMar>
          <w:top w:w="28" w:type="dxa"/>
          <w:bottom w:w="28" w:type="dxa"/>
        </w:tblCellMar>
        <w:tblLook w:val="04A0" w:firstRow="1" w:lastRow="0" w:firstColumn="1" w:lastColumn="0" w:noHBand="0" w:noVBand="1"/>
      </w:tblPr>
      <w:tblGrid>
        <w:gridCol w:w="4533"/>
        <w:gridCol w:w="4533"/>
      </w:tblGrid>
      <w:tr w:rsidR="00A06126" w:rsidRPr="00F13073" w14:paraId="436D020B" w14:textId="77777777">
        <w:trPr>
          <w:cantSplit/>
        </w:trPr>
        <w:tc>
          <w:tcPr>
            <w:tcW w:w="2500" w:type="pct"/>
            <w:hideMark/>
          </w:tcPr>
          <w:p w14:paraId="06D8FF37" w14:textId="77777777" w:rsidR="00074830" w:rsidRPr="00127FBE" w:rsidRDefault="00074830">
            <w:pPr>
              <w:suppressAutoHyphens/>
              <w:rPr>
                <w:b/>
                <w:lang w:val="en-GB" w:eastAsia="fr-FR"/>
              </w:rPr>
            </w:pPr>
            <w:proofErr w:type="spellStart"/>
            <w:r w:rsidRPr="00127FBE">
              <w:rPr>
                <w:rFonts w:eastAsia="맑은 고딕"/>
                <w:b/>
                <w:lang w:val="en-GB" w:eastAsia="fr-FR"/>
              </w:rPr>
              <w:t>België</w:t>
            </w:r>
            <w:proofErr w:type="spellEnd"/>
            <w:r w:rsidRPr="00127FBE">
              <w:rPr>
                <w:rFonts w:eastAsia="맑은 고딕"/>
                <w:b/>
                <w:lang w:val="en-GB" w:eastAsia="fr-FR"/>
              </w:rPr>
              <w:t>/Belgique/</w:t>
            </w:r>
            <w:proofErr w:type="spellStart"/>
            <w:r w:rsidRPr="00127FBE">
              <w:rPr>
                <w:rFonts w:eastAsia="맑은 고딕"/>
                <w:b/>
                <w:lang w:val="en-GB" w:eastAsia="fr-FR"/>
              </w:rPr>
              <w:t>Belgien</w:t>
            </w:r>
            <w:proofErr w:type="spellEnd"/>
          </w:p>
          <w:p w14:paraId="4DC38C4A" w14:textId="77777777" w:rsidR="00074830" w:rsidRPr="00127FBE" w:rsidRDefault="00074830">
            <w:pPr>
              <w:suppressAutoHyphens/>
              <w:rPr>
                <w:rFonts w:eastAsia="맑은 고딕"/>
                <w:lang w:val="en-GB" w:eastAsia="fr-FR"/>
              </w:rPr>
            </w:pPr>
            <w:r w:rsidRPr="00127FBE">
              <w:rPr>
                <w:rFonts w:eastAsia="맑은 고딕"/>
                <w:lang w:val="en-GB" w:eastAsia="fr-FR"/>
              </w:rPr>
              <w:t>Celltrion Healthcare Belgium BVBA</w:t>
            </w:r>
          </w:p>
          <w:p w14:paraId="61E9CC45" w14:textId="77777777" w:rsidR="00074830" w:rsidRPr="00F13073" w:rsidRDefault="00074830">
            <w:pPr>
              <w:suppressAutoHyphens/>
              <w:rPr>
                <w:rFonts w:eastAsia="맑은 고딕"/>
                <w:lang w:eastAsia="fr-FR"/>
              </w:rPr>
            </w:pPr>
            <w:r w:rsidRPr="00F13073">
              <w:rPr>
                <w:rFonts w:eastAsia="맑은 고딕"/>
                <w:lang w:eastAsia="fr-FR"/>
              </w:rPr>
              <w:t xml:space="preserve">Tél/Tel: </w:t>
            </w:r>
            <w:r w:rsidRPr="0081094B">
              <w:rPr>
                <w:rFonts w:eastAsia="맑은 고딕"/>
                <w:lang w:eastAsia="fr-FR"/>
              </w:rPr>
              <w:t>+32 2 643 71 81</w:t>
            </w:r>
          </w:p>
          <w:p w14:paraId="614E67A7" w14:textId="77777777" w:rsidR="00074830" w:rsidRPr="00F13073" w:rsidRDefault="00074830">
            <w:pPr>
              <w:suppressAutoHyphens/>
              <w:rPr>
                <w:rFonts w:eastAsia="맑은 고딕"/>
                <w:lang w:eastAsia="fr-FR"/>
              </w:rPr>
            </w:pPr>
            <w:hyperlink r:id="rId37" w:history="1">
              <w:r w:rsidRPr="00F13073">
                <w:rPr>
                  <w:rStyle w:val="a7"/>
                  <w:rFonts w:eastAsia="맑은 고딕"/>
                  <w:lang w:eastAsia="fr-FR"/>
                </w:rPr>
                <w:t>BEinfo@celltrionhc.com</w:t>
              </w:r>
            </w:hyperlink>
          </w:p>
          <w:p w14:paraId="17EB63C9" w14:textId="77777777" w:rsidR="00074830" w:rsidRPr="00F13073" w:rsidRDefault="00074830">
            <w:pPr>
              <w:suppressAutoHyphens/>
              <w:rPr>
                <w:rFonts w:eastAsia="맑은 고딕"/>
                <w:lang w:eastAsia="ko-KR"/>
              </w:rPr>
            </w:pPr>
          </w:p>
        </w:tc>
        <w:tc>
          <w:tcPr>
            <w:tcW w:w="2500" w:type="pct"/>
          </w:tcPr>
          <w:p w14:paraId="3C5FE1FF" w14:textId="77777777" w:rsidR="00074830" w:rsidRPr="00127FBE" w:rsidRDefault="00074830">
            <w:pPr>
              <w:tabs>
                <w:tab w:val="left" w:pos="-720"/>
              </w:tabs>
              <w:suppressAutoHyphens/>
              <w:rPr>
                <w:b/>
                <w:lang w:val="en-GB" w:eastAsia="fr-FR"/>
              </w:rPr>
            </w:pPr>
            <w:r w:rsidRPr="00127FBE">
              <w:rPr>
                <w:b/>
                <w:lang w:val="en-GB" w:eastAsia="fr-FR"/>
              </w:rPr>
              <w:t>Lietuva</w:t>
            </w:r>
          </w:p>
          <w:p w14:paraId="456DD485"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217EC6D6" w14:textId="77777777" w:rsidR="00074830" w:rsidRPr="00F13073" w:rsidRDefault="00074830">
            <w:pPr>
              <w:suppressAutoHyphens/>
              <w:autoSpaceDE w:val="0"/>
              <w:autoSpaceDN w:val="0"/>
              <w:adjustRightInd w:val="0"/>
              <w:rPr>
                <w:lang w:eastAsia="fr-FR"/>
              </w:rPr>
            </w:pPr>
            <w:r w:rsidRPr="00F13073">
              <w:rPr>
                <w:rFonts w:eastAsia="맑은 고딕"/>
                <w:lang w:eastAsia="fr-FR"/>
              </w:rPr>
              <w:t>Tel.: +36 1 231 0493</w:t>
            </w:r>
          </w:p>
          <w:p w14:paraId="179ED563" w14:textId="77777777" w:rsidR="00074830" w:rsidRPr="00F13073" w:rsidRDefault="00074830">
            <w:pPr>
              <w:suppressAutoHyphens/>
              <w:autoSpaceDE w:val="0"/>
              <w:autoSpaceDN w:val="0"/>
              <w:adjustRightInd w:val="0"/>
              <w:rPr>
                <w:lang w:eastAsia="fr-FR"/>
              </w:rPr>
            </w:pPr>
          </w:p>
        </w:tc>
      </w:tr>
      <w:tr w:rsidR="00A06126" w:rsidRPr="00F13073" w14:paraId="1833FB6D" w14:textId="77777777">
        <w:trPr>
          <w:cantSplit/>
        </w:trPr>
        <w:tc>
          <w:tcPr>
            <w:tcW w:w="2500" w:type="pct"/>
          </w:tcPr>
          <w:p w14:paraId="47F439FC" w14:textId="77777777" w:rsidR="00074830" w:rsidRPr="00127FBE" w:rsidRDefault="00074830">
            <w:pPr>
              <w:suppressAutoHyphens/>
              <w:rPr>
                <w:rFonts w:eastAsia="맑은 고딕"/>
                <w:b/>
                <w:lang w:val="en-GB" w:eastAsia="fr-FR"/>
              </w:rPr>
            </w:pPr>
            <w:r w:rsidRPr="00F13073">
              <w:rPr>
                <w:b/>
                <w:bCs/>
              </w:rPr>
              <w:t>България</w:t>
            </w:r>
          </w:p>
          <w:p w14:paraId="7F615827"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547FC7AD" w14:textId="77777777" w:rsidR="00074830" w:rsidRPr="00F13073" w:rsidRDefault="00074830">
            <w:pPr>
              <w:suppressAutoHyphens/>
              <w:rPr>
                <w:rFonts w:eastAsia="맑은 고딕"/>
                <w:lang w:eastAsia="fr-FR"/>
              </w:rPr>
            </w:pPr>
            <w:r w:rsidRPr="00F13073">
              <w:rPr>
                <w:rFonts w:eastAsia="맑은 고딕"/>
                <w:lang w:eastAsia="fr-FR"/>
              </w:rPr>
              <w:t>Teл.: +36 1 231 0493</w:t>
            </w:r>
          </w:p>
          <w:p w14:paraId="451C2D43" w14:textId="77777777" w:rsidR="00074830" w:rsidRPr="00F13073" w:rsidRDefault="00074830">
            <w:pPr>
              <w:suppressAutoHyphens/>
              <w:rPr>
                <w:lang w:eastAsia="fr-FR"/>
              </w:rPr>
            </w:pPr>
          </w:p>
        </w:tc>
        <w:tc>
          <w:tcPr>
            <w:tcW w:w="2500" w:type="pct"/>
            <w:hideMark/>
          </w:tcPr>
          <w:p w14:paraId="65012F04" w14:textId="77777777" w:rsidR="00074830" w:rsidRPr="00127FBE" w:rsidRDefault="00074830">
            <w:pPr>
              <w:tabs>
                <w:tab w:val="left" w:pos="-720"/>
              </w:tabs>
              <w:suppressAutoHyphens/>
              <w:rPr>
                <w:lang w:val="en-GB" w:eastAsia="fr-FR"/>
              </w:rPr>
            </w:pPr>
            <w:r w:rsidRPr="00127FBE">
              <w:rPr>
                <w:rFonts w:eastAsia="맑은 고딕"/>
                <w:b/>
                <w:lang w:val="en-GB" w:eastAsia="fr-FR"/>
              </w:rPr>
              <w:t>Luxembourg/Luxemburg</w:t>
            </w:r>
          </w:p>
          <w:p w14:paraId="797597D2" w14:textId="77777777" w:rsidR="00074830" w:rsidRPr="00127FBE" w:rsidRDefault="00074830">
            <w:pPr>
              <w:suppressAutoHyphens/>
              <w:rPr>
                <w:rFonts w:eastAsia="맑은 고딕"/>
                <w:lang w:val="en-GB" w:eastAsia="fr-FR"/>
              </w:rPr>
            </w:pPr>
            <w:r w:rsidRPr="00127FBE">
              <w:rPr>
                <w:rFonts w:eastAsia="맑은 고딕"/>
                <w:lang w:val="en-GB" w:eastAsia="fr-FR"/>
              </w:rPr>
              <w:t>Celltrion Healthcare Belgium BVBA</w:t>
            </w:r>
          </w:p>
          <w:p w14:paraId="2F4E5EA8" w14:textId="77777777" w:rsidR="00074830" w:rsidRPr="0081094B" w:rsidRDefault="00074830">
            <w:pPr>
              <w:tabs>
                <w:tab w:val="left" w:pos="-720"/>
              </w:tabs>
              <w:suppressAutoHyphens/>
              <w:rPr>
                <w:rFonts w:eastAsia="맑은 고딕"/>
                <w:lang w:eastAsia="ko-KR"/>
              </w:rPr>
            </w:pPr>
            <w:r w:rsidRPr="0081094B">
              <w:rPr>
                <w:rFonts w:eastAsia="맑은 고딕"/>
                <w:lang w:eastAsia="fr-FR"/>
              </w:rPr>
              <w:t>Tél/Tel: +32 2 643 71 81</w:t>
            </w:r>
          </w:p>
          <w:p w14:paraId="6C92272C" w14:textId="77777777" w:rsidR="00074830" w:rsidRPr="0081094B" w:rsidRDefault="00074830">
            <w:pPr>
              <w:suppressAutoHyphens/>
              <w:rPr>
                <w:rFonts w:eastAsia="맑은 고딕"/>
                <w:lang w:eastAsia="fr-FR"/>
              </w:rPr>
            </w:pPr>
            <w:hyperlink r:id="rId38" w:history="1">
              <w:r w:rsidRPr="0081094B">
                <w:rPr>
                  <w:rStyle w:val="a7"/>
                  <w:rFonts w:eastAsia="맑은 고딕"/>
                  <w:lang w:eastAsia="fr-FR"/>
                </w:rPr>
                <w:t>BEinfo@celltrionhc.com</w:t>
              </w:r>
            </w:hyperlink>
          </w:p>
          <w:p w14:paraId="3DF5C283" w14:textId="77777777" w:rsidR="00074830" w:rsidRPr="0081094B" w:rsidRDefault="00074830">
            <w:pPr>
              <w:tabs>
                <w:tab w:val="left" w:pos="-720"/>
              </w:tabs>
              <w:suppressAutoHyphens/>
              <w:rPr>
                <w:rFonts w:eastAsia="맑은 고딕"/>
                <w:lang w:eastAsia="ko-KR"/>
              </w:rPr>
            </w:pPr>
          </w:p>
        </w:tc>
      </w:tr>
      <w:tr w:rsidR="00A06126" w:rsidRPr="00F13073" w14:paraId="2A20616C" w14:textId="77777777">
        <w:trPr>
          <w:cantSplit/>
        </w:trPr>
        <w:tc>
          <w:tcPr>
            <w:tcW w:w="2500" w:type="pct"/>
            <w:hideMark/>
          </w:tcPr>
          <w:p w14:paraId="1D41444A" w14:textId="77777777" w:rsidR="00074830" w:rsidRPr="00127FBE" w:rsidRDefault="00074830">
            <w:pPr>
              <w:tabs>
                <w:tab w:val="left" w:pos="-720"/>
              </w:tabs>
              <w:suppressAutoHyphens/>
              <w:rPr>
                <w:rFonts w:eastAsia="맑은 고딕"/>
                <w:b/>
                <w:lang w:val="en-GB" w:eastAsia="fr-FR"/>
              </w:rPr>
            </w:pPr>
            <w:proofErr w:type="spellStart"/>
            <w:r w:rsidRPr="00127FBE">
              <w:rPr>
                <w:rFonts w:eastAsia="맑은 고딕"/>
                <w:b/>
                <w:lang w:val="en-GB" w:eastAsia="fr-FR"/>
              </w:rPr>
              <w:t>Česká</w:t>
            </w:r>
            <w:proofErr w:type="spellEnd"/>
            <w:r w:rsidRPr="00127FBE">
              <w:rPr>
                <w:rFonts w:eastAsia="맑은 고딕"/>
                <w:b/>
                <w:lang w:val="en-GB" w:eastAsia="fr-FR"/>
              </w:rPr>
              <w:t xml:space="preserve"> </w:t>
            </w:r>
            <w:proofErr w:type="spellStart"/>
            <w:r w:rsidRPr="00127FBE">
              <w:rPr>
                <w:rFonts w:eastAsia="맑은 고딕"/>
                <w:b/>
                <w:lang w:val="en-GB" w:eastAsia="fr-FR"/>
              </w:rPr>
              <w:t>republika</w:t>
            </w:r>
            <w:proofErr w:type="spellEnd"/>
          </w:p>
          <w:p w14:paraId="6BE58D7E"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607206F8" w14:textId="77777777" w:rsidR="00074830" w:rsidRPr="00F13073" w:rsidRDefault="00074830">
            <w:pPr>
              <w:tabs>
                <w:tab w:val="left" w:pos="-720"/>
              </w:tabs>
              <w:suppressAutoHyphens/>
              <w:rPr>
                <w:rFonts w:eastAsia="맑은 고딕"/>
                <w:lang w:eastAsia="fr-FR"/>
              </w:rPr>
            </w:pPr>
            <w:r w:rsidRPr="00F13073">
              <w:rPr>
                <w:rFonts w:eastAsia="맑은 고딕"/>
                <w:lang w:eastAsia="fr-FR"/>
              </w:rPr>
              <w:t>Tel: +36 1 231 0493</w:t>
            </w:r>
          </w:p>
          <w:p w14:paraId="11823D06" w14:textId="77777777" w:rsidR="00074830" w:rsidRPr="00F13073" w:rsidRDefault="00074830">
            <w:pPr>
              <w:tabs>
                <w:tab w:val="left" w:pos="-720"/>
              </w:tabs>
              <w:suppressAutoHyphens/>
              <w:rPr>
                <w:lang w:eastAsia="fr-FR"/>
              </w:rPr>
            </w:pPr>
          </w:p>
        </w:tc>
        <w:tc>
          <w:tcPr>
            <w:tcW w:w="2500" w:type="pct"/>
          </w:tcPr>
          <w:p w14:paraId="4C6BDC5B" w14:textId="77777777" w:rsidR="00074830" w:rsidRPr="00127FBE" w:rsidRDefault="00074830">
            <w:pPr>
              <w:suppressAutoHyphens/>
              <w:rPr>
                <w:rFonts w:eastAsia="맑은 고딕"/>
                <w:b/>
                <w:lang w:val="en-GB" w:eastAsia="fr-FR"/>
              </w:rPr>
            </w:pPr>
            <w:proofErr w:type="spellStart"/>
            <w:r w:rsidRPr="00127FBE">
              <w:rPr>
                <w:b/>
                <w:lang w:val="en-GB"/>
              </w:rPr>
              <w:t>Magyarország</w:t>
            </w:r>
            <w:proofErr w:type="spellEnd"/>
          </w:p>
          <w:p w14:paraId="60F16C58"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28D64B47" w14:textId="77777777" w:rsidR="00074830" w:rsidRPr="00F13073" w:rsidRDefault="00074830">
            <w:pPr>
              <w:suppressAutoHyphens/>
              <w:rPr>
                <w:rFonts w:eastAsia="맑은 고딕"/>
                <w:lang w:eastAsia="fr-FR"/>
              </w:rPr>
            </w:pPr>
            <w:r w:rsidRPr="00F13073">
              <w:rPr>
                <w:rFonts w:eastAsia="맑은 고딕"/>
                <w:lang w:eastAsia="fr-FR"/>
              </w:rPr>
              <w:t>Tel:. +36 1 231 0493</w:t>
            </w:r>
          </w:p>
          <w:p w14:paraId="4012BE6E" w14:textId="77777777" w:rsidR="00074830" w:rsidRPr="00F13073" w:rsidRDefault="00074830">
            <w:pPr>
              <w:suppressAutoHyphens/>
              <w:rPr>
                <w:rFonts w:eastAsia="맑은 고딕"/>
                <w:lang w:eastAsia="ko-KR"/>
              </w:rPr>
            </w:pPr>
          </w:p>
        </w:tc>
      </w:tr>
      <w:tr w:rsidR="00A06126" w:rsidRPr="00FE78F1" w14:paraId="6860C76D" w14:textId="77777777">
        <w:trPr>
          <w:cantSplit/>
        </w:trPr>
        <w:tc>
          <w:tcPr>
            <w:tcW w:w="2500" w:type="pct"/>
            <w:hideMark/>
          </w:tcPr>
          <w:p w14:paraId="37462F72" w14:textId="15E0E7E3" w:rsidR="00074830" w:rsidRPr="00127FBE" w:rsidRDefault="00074830">
            <w:pPr>
              <w:tabs>
                <w:tab w:val="left" w:pos="-720"/>
              </w:tabs>
              <w:suppressAutoHyphens/>
              <w:rPr>
                <w:b/>
                <w:bCs/>
                <w:i/>
                <w:iCs/>
                <w:lang w:val="en-GB" w:eastAsia="fr-FR"/>
              </w:rPr>
            </w:pPr>
            <w:r w:rsidRPr="00127FBE">
              <w:rPr>
                <w:b/>
                <w:lang w:val="en-GB"/>
              </w:rPr>
              <w:t>D</w:t>
            </w:r>
            <w:r w:rsidR="000F2F0E">
              <w:rPr>
                <w:b/>
                <w:lang w:val="en-GB"/>
              </w:rPr>
              <w:t>e</w:t>
            </w:r>
            <w:r w:rsidRPr="00127FBE">
              <w:rPr>
                <w:b/>
                <w:lang w:val="en-GB"/>
              </w:rPr>
              <w:t>nmark</w:t>
            </w:r>
          </w:p>
          <w:p w14:paraId="738C9F7C" w14:textId="77777777" w:rsidR="000F2F0E" w:rsidRPr="00DC6A50" w:rsidRDefault="00074830" w:rsidP="000F2F0E">
            <w:pPr>
              <w:tabs>
                <w:tab w:val="left" w:pos="-720"/>
              </w:tabs>
              <w:suppressAutoHyphens/>
              <w:rPr>
                <w:rFonts w:eastAsia="맑은 고딕"/>
                <w:noProof/>
                <w:lang w:eastAsia="ko-KR"/>
              </w:rPr>
            </w:pPr>
            <w:r w:rsidRPr="00127FBE">
              <w:rPr>
                <w:rFonts w:eastAsia="맑은 고딕"/>
                <w:lang w:val="en-GB" w:eastAsia="fr-FR"/>
              </w:rPr>
              <w:t xml:space="preserve">Celltrion Healthcare </w:t>
            </w:r>
            <w:r w:rsidR="000F2F0E">
              <w:rPr>
                <w:rFonts w:eastAsia="맑은 고딕" w:hint="eastAsia"/>
                <w:noProof/>
                <w:lang w:eastAsia="ko-KR"/>
              </w:rPr>
              <w:t>Denmark ApS</w:t>
            </w:r>
          </w:p>
          <w:p w14:paraId="52A5528A" w14:textId="77777777" w:rsidR="000F2F0E" w:rsidRPr="006F04E0" w:rsidRDefault="000F2F0E" w:rsidP="000F2F0E">
            <w:pPr>
              <w:tabs>
                <w:tab w:val="left" w:pos="-720"/>
              </w:tabs>
              <w:suppressAutoHyphens/>
              <w:rPr>
                <w:rFonts w:eastAsia="맑은 고딕"/>
                <w:noProof/>
                <w:lang w:eastAsia="fr-FR"/>
              </w:rPr>
            </w:pPr>
            <w:r w:rsidRPr="006F04E0">
              <w:rPr>
                <w:rFonts w:eastAsia="맑은 고딕"/>
                <w:noProof/>
                <w:lang w:eastAsia="fr-FR"/>
              </w:rPr>
              <w:t>Tel: + 45 3535 2989</w:t>
            </w:r>
          </w:p>
          <w:p w14:paraId="2DD9ADD0" w14:textId="164DD568" w:rsidR="00074830" w:rsidRPr="00F13073" w:rsidRDefault="000F2F0E">
            <w:pPr>
              <w:tabs>
                <w:tab w:val="left" w:pos="-720"/>
              </w:tabs>
              <w:suppressAutoHyphens/>
              <w:rPr>
                <w:rFonts w:eastAsia="맑은 고딕"/>
                <w:lang w:eastAsia="fr-FR"/>
              </w:rPr>
            </w:pPr>
            <w:r w:rsidRPr="006F04E0">
              <w:rPr>
                <w:rFonts w:eastAsia="맑은 고딕"/>
                <w:noProof/>
                <w:lang w:eastAsia="fr-FR"/>
              </w:rPr>
              <w:t>Contact_dk@celltrionhc.com</w:t>
            </w:r>
          </w:p>
          <w:p w14:paraId="12EDD4BD" w14:textId="77777777" w:rsidR="00074830" w:rsidRPr="00F13073" w:rsidRDefault="00074830">
            <w:pPr>
              <w:tabs>
                <w:tab w:val="left" w:pos="-720"/>
              </w:tabs>
              <w:suppressAutoHyphens/>
              <w:rPr>
                <w:rFonts w:eastAsia="맑은 고딕"/>
                <w:lang w:eastAsia="fr-FR"/>
              </w:rPr>
            </w:pPr>
          </w:p>
        </w:tc>
        <w:tc>
          <w:tcPr>
            <w:tcW w:w="2500" w:type="pct"/>
          </w:tcPr>
          <w:p w14:paraId="490717C6" w14:textId="77777777" w:rsidR="00074830" w:rsidRPr="00127FBE" w:rsidRDefault="00074830">
            <w:pPr>
              <w:suppressAutoHyphens/>
              <w:rPr>
                <w:lang w:val="en-GB" w:eastAsia="fr-FR"/>
              </w:rPr>
            </w:pPr>
            <w:r w:rsidRPr="00127FBE">
              <w:rPr>
                <w:rFonts w:eastAsia="맑은 고딕"/>
                <w:b/>
                <w:lang w:val="en-GB" w:eastAsia="fr-FR"/>
              </w:rPr>
              <w:t>Malta</w:t>
            </w:r>
          </w:p>
          <w:p w14:paraId="3027DADA"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Mint Health Ltd.</w:t>
            </w:r>
          </w:p>
          <w:p w14:paraId="0403A175" w14:textId="77777777" w:rsidR="00074830" w:rsidRPr="00127FBE" w:rsidRDefault="00074830">
            <w:pPr>
              <w:suppressAutoHyphens/>
              <w:rPr>
                <w:rFonts w:eastAsia="맑은 고딕"/>
                <w:lang w:val="en-GB" w:eastAsia="ko-KR"/>
              </w:rPr>
            </w:pPr>
            <w:r w:rsidRPr="00127FBE">
              <w:rPr>
                <w:rFonts w:eastAsia="맑은 고딕"/>
                <w:lang w:val="en-GB" w:eastAsia="fr-FR"/>
              </w:rPr>
              <w:t>Tel: +356 2093 9800</w:t>
            </w:r>
          </w:p>
          <w:p w14:paraId="1A55CB31" w14:textId="77777777" w:rsidR="00074830" w:rsidRPr="00127FBE" w:rsidRDefault="00074830">
            <w:pPr>
              <w:suppressAutoHyphens/>
              <w:rPr>
                <w:rFonts w:eastAsia="맑은 고딕"/>
                <w:lang w:val="en-GB" w:eastAsia="ko-KR"/>
              </w:rPr>
            </w:pPr>
          </w:p>
        </w:tc>
      </w:tr>
      <w:tr w:rsidR="00A06126" w:rsidRPr="00F13073" w14:paraId="5E51528E" w14:textId="77777777">
        <w:trPr>
          <w:cantSplit/>
        </w:trPr>
        <w:tc>
          <w:tcPr>
            <w:tcW w:w="2500" w:type="pct"/>
            <w:hideMark/>
          </w:tcPr>
          <w:p w14:paraId="63CF9C61" w14:textId="77777777" w:rsidR="00074830" w:rsidRPr="00127FBE" w:rsidRDefault="00074830">
            <w:pPr>
              <w:suppressAutoHyphens/>
              <w:rPr>
                <w:b/>
                <w:lang w:val="en-GB"/>
              </w:rPr>
            </w:pPr>
            <w:r w:rsidRPr="00127FBE">
              <w:rPr>
                <w:b/>
                <w:lang w:val="en-GB"/>
              </w:rPr>
              <w:t>Deutschland</w:t>
            </w:r>
          </w:p>
          <w:p w14:paraId="2EAF11C7" w14:textId="77777777" w:rsidR="00074830" w:rsidRPr="00127FBE" w:rsidRDefault="00074830">
            <w:pPr>
              <w:tabs>
                <w:tab w:val="left" w:pos="-720"/>
              </w:tabs>
              <w:suppressAutoHyphens/>
              <w:rPr>
                <w:lang w:val="en-GB"/>
              </w:rPr>
            </w:pPr>
            <w:r w:rsidRPr="00127FBE">
              <w:rPr>
                <w:lang w:val="en-GB"/>
              </w:rPr>
              <w:t xml:space="preserve">Celltrion Healthcare Deutschland </w:t>
            </w:r>
            <w:r w:rsidRPr="00127FBE">
              <w:rPr>
                <w:rFonts w:eastAsia="맑은 고딕"/>
                <w:lang w:val="en-GB" w:eastAsia="fr-FR"/>
              </w:rPr>
              <w:t>GmbH</w:t>
            </w:r>
          </w:p>
          <w:p w14:paraId="0D49BF49" w14:textId="77777777" w:rsidR="00074830" w:rsidRPr="00127FBE" w:rsidRDefault="00074830">
            <w:pPr>
              <w:tabs>
                <w:tab w:val="left" w:pos="-720"/>
              </w:tabs>
              <w:suppressAutoHyphens/>
              <w:rPr>
                <w:rFonts w:eastAsia="맑은 고딕"/>
                <w:lang w:val="en-GB" w:eastAsia="fr-FR"/>
              </w:rPr>
            </w:pPr>
            <w:r w:rsidRPr="00127FBE">
              <w:rPr>
                <w:lang w:val="en-GB"/>
              </w:rPr>
              <w:t xml:space="preserve">Tel: </w:t>
            </w:r>
            <w:r w:rsidRPr="00127FBE">
              <w:rPr>
                <w:rFonts w:eastAsia="맑은 고딕"/>
                <w:lang w:val="en-GB" w:eastAsia="fr-FR"/>
              </w:rPr>
              <w:t>+49 (0)30 346494150</w:t>
            </w:r>
          </w:p>
          <w:p w14:paraId="613C0BA4" w14:textId="77777777" w:rsidR="00074830" w:rsidRPr="0081094B" w:rsidRDefault="00074830">
            <w:pPr>
              <w:tabs>
                <w:tab w:val="left" w:pos="-720"/>
              </w:tabs>
              <w:suppressAutoHyphens/>
              <w:rPr>
                <w:rFonts w:eastAsia="맑은 고딕"/>
                <w:lang w:eastAsia="fr-FR"/>
              </w:rPr>
            </w:pPr>
            <w:hyperlink r:id="rId39" w:history="1">
              <w:r w:rsidRPr="0081094B">
                <w:rPr>
                  <w:rStyle w:val="a7"/>
                  <w:rFonts w:eastAsia="맑은 고딕"/>
                  <w:lang w:eastAsia="fr-FR"/>
                </w:rPr>
                <w:t>infoDE@celltrionhc.com</w:t>
              </w:r>
            </w:hyperlink>
          </w:p>
          <w:p w14:paraId="57976E4A" w14:textId="77777777" w:rsidR="00074830" w:rsidRPr="0081094B" w:rsidRDefault="00074830">
            <w:pPr>
              <w:tabs>
                <w:tab w:val="left" w:pos="-720"/>
              </w:tabs>
              <w:suppressAutoHyphens/>
              <w:rPr>
                <w:rFonts w:eastAsia="맑은 고딕"/>
                <w:lang w:eastAsia="fr-FR"/>
              </w:rPr>
            </w:pPr>
          </w:p>
        </w:tc>
        <w:tc>
          <w:tcPr>
            <w:tcW w:w="2500" w:type="pct"/>
          </w:tcPr>
          <w:p w14:paraId="676EF34F" w14:textId="77777777" w:rsidR="00074830" w:rsidRPr="00127FBE" w:rsidRDefault="00074830">
            <w:pPr>
              <w:suppressAutoHyphens/>
              <w:rPr>
                <w:lang w:val="en-GB" w:eastAsia="fr-FR"/>
              </w:rPr>
            </w:pPr>
            <w:r w:rsidRPr="00127FBE">
              <w:rPr>
                <w:rFonts w:eastAsia="맑은 고딕"/>
                <w:b/>
                <w:lang w:val="en-GB" w:eastAsia="fr-FR"/>
              </w:rPr>
              <w:t>Nederland</w:t>
            </w:r>
          </w:p>
          <w:p w14:paraId="26790327" w14:textId="77777777" w:rsidR="00074830" w:rsidRPr="00127FBE" w:rsidRDefault="00074830">
            <w:pPr>
              <w:suppressAutoHyphens/>
              <w:rPr>
                <w:rFonts w:eastAsia="맑은 고딕"/>
                <w:lang w:val="en-GB" w:eastAsia="fr-FR"/>
              </w:rPr>
            </w:pPr>
            <w:r w:rsidRPr="00127FBE">
              <w:rPr>
                <w:rFonts w:eastAsia="맑은 고딕"/>
                <w:lang w:val="en-GB" w:eastAsia="fr-FR"/>
              </w:rPr>
              <w:t>Celltrion Healthcare Netherlands B.V.</w:t>
            </w:r>
          </w:p>
          <w:p w14:paraId="0B7AC6C3" w14:textId="77777777" w:rsidR="00074830" w:rsidRPr="00F13073" w:rsidRDefault="00074830">
            <w:pPr>
              <w:suppressAutoHyphens/>
              <w:rPr>
                <w:rFonts w:eastAsia="맑은 고딕"/>
                <w:lang w:eastAsia="fr-FR"/>
              </w:rPr>
            </w:pPr>
            <w:r w:rsidRPr="00F13073">
              <w:rPr>
                <w:rFonts w:eastAsia="맑은 고딕"/>
                <w:lang w:eastAsia="fr-FR"/>
              </w:rPr>
              <w:t>Tel: + 31 20 888 7300</w:t>
            </w:r>
          </w:p>
          <w:p w14:paraId="0027E748" w14:textId="77777777" w:rsidR="00074830" w:rsidRPr="00F13073" w:rsidRDefault="00074830">
            <w:pPr>
              <w:suppressAutoHyphens/>
              <w:rPr>
                <w:rFonts w:eastAsia="맑은 고딕"/>
                <w:lang w:eastAsia="fr-FR"/>
              </w:rPr>
            </w:pPr>
            <w:hyperlink r:id="rId40" w:history="1">
              <w:r w:rsidRPr="00F13073">
                <w:rPr>
                  <w:rStyle w:val="a7"/>
                  <w:rFonts w:eastAsia="맑은 고딕"/>
                  <w:lang w:eastAsia="fr-FR"/>
                </w:rPr>
                <w:t>NLinfo@celltrionh</w:t>
              </w:r>
              <w:r w:rsidRPr="00F13073">
                <w:rPr>
                  <w:rStyle w:val="a7"/>
                </w:rPr>
                <w:t>c</w:t>
              </w:r>
              <w:r w:rsidRPr="00F13073">
                <w:rPr>
                  <w:rStyle w:val="a7"/>
                  <w:rFonts w:eastAsia="맑은 고딕"/>
                  <w:lang w:eastAsia="fr-FR"/>
                </w:rPr>
                <w:t>.com</w:t>
              </w:r>
            </w:hyperlink>
          </w:p>
          <w:p w14:paraId="15E070BA" w14:textId="77777777" w:rsidR="00074830" w:rsidRPr="00F13073" w:rsidRDefault="00074830">
            <w:pPr>
              <w:suppressAutoHyphens/>
              <w:rPr>
                <w:rFonts w:eastAsia="맑은 고딕"/>
                <w:lang w:eastAsia="fr-FR"/>
              </w:rPr>
            </w:pPr>
          </w:p>
        </w:tc>
      </w:tr>
      <w:tr w:rsidR="00A06126" w:rsidRPr="00F13073" w14:paraId="3E475311" w14:textId="77777777">
        <w:trPr>
          <w:cantSplit/>
        </w:trPr>
        <w:tc>
          <w:tcPr>
            <w:tcW w:w="2500" w:type="pct"/>
            <w:hideMark/>
          </w:tcPr>
          <w:p w14:paraId="70D908A0" w14:textId="77777777" w:rsidR="00074830" w:rsidRPr="00127FBE" w:rsidRDefault="00074830">
            <w:pPr>
              <w:tabs>
                <w:tab w:val="left" w:pos="-720"/>
                <w:tab w:val="left" w:pos="4536"/>
              </w:tabs>
              <w:suppressAutoHyphens/>
              <w:rPr>
                <w:b/>
                <w:lang w:val="en-GB" w:eastAsia="fr-FR"/>
              </w:rPr>
            </w:pPr>
            <w:proofErr w:type="spellStart"/>
            <w:r w:rsidRPr="00127FBE">
              <w:rPr>
                <w:rFonts w:eastAsia="맑은 고딕"/>
                <w:b/>
                <w:lang w:val="en-GB" w:eastAsia="fr-FR"/>
              </w:rPr>
              <w:t>Eesti</w:t>
            </w:r>
            <w:proofErr w:type="spellEnd"/>
          </w:p>
          <w:p w14:paraId="512CDBE2"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40FC4D62" w14:textId="77777777" w:rsidR="00074830" w:rsidRPr="00F13073" w:rsidRDefault="00074830">
            <w:pPr>
              <w:tabs>
                <w:tab w:val="left" w:pos="-720"/>
              </w:tabs>
              <w:suppressAutoHyphens/>
              <w:rPr>
                <w:rFonts w:eastAsia="맑은 고딕"/>
                <w:lang w:eastAsia="fr-FR"/>
              </w:rPr>
            </w:pPr>
            <w:r w:rsidRPr="00F13073">
              <w:rPr>
                <w:rFonts w:eastAsia="맑은 고딕"/>
                <w:lang w:eastAsia="fr-FR"/>
              </w:rPr>
              <w:t>Tel: +36 1 231 0493</w:t>
            </w:r>
          </w:p>
          <w:p w14:paraId="2A31921A" w14:textId="77777777" w:rsidR="00074830" w:rsidRPr="0081094B" w:rsidRDefault="00074830">
            <w:pPr>
              <w:tabs>
                <w:tab w:val="left" w:pos="-720"/>
              </w:tabs>
              <w:suppressAutoHyphens/>
              <w:rPr>
                <w:rFonts w:eastAsia="맑은 고딕"/>
                <w:lang w:eastAsia="ko-KR"/>
              </w:rPr>
            </w:pPr>
          </w:p>
        </w:tc>
        <w:tc>
          <w:tcPr>
            <w:tcW w:w="2500" w:type="pct"/>
          </w:tcPr>
          <w:p w14:paraId="4ABEBFB1" w14:textId="77777777" w:rsidR="00074830" w:rsidRPr="00127FBE" w:rsidRDefault="00074830">
            <w:pPr>
              <w:tabs>
                <w:tab w:val="left" w:pos="-720"/>
              </w:tabs>
              <w:suppressAutoHyphens/>
              <w:rPr>
                <w:lang w:val="en-GB" w:eastAsia="fr-FR"/>
              </w:rPr>
            </w:pPr>
            <w:r w:rsidRPr="00127FBE">
              <w:rPr>
                <w:rFonts w:eastAsia="맑은 고딕"/>
                <w:b/>
                <w:lang w:val="en-GB" w:eastAsia="fr-FR"/>
              </w:rPr>
              <w:t>Norge</w:t>
            </w:r>
          </w:p>
          <w:p w14:paraId="533C65AF" w14:textId="77777777" w:rsidR="000F2F0E" w:rsidRPr="006F04E0" w:rsidRDefault="00074830" w:rsidP="000F2F0E">
            <w:pPr>
              <w:tabs>
                <w:tab w:val="left" w:pos="-720"/>
              </w:tabs>
              <w:suppressAutoHyphens/>
              <w:rPr>
                <w:rFonts w:eastAsia="맑은 고딕"/>
                <w:noProof/>
                <w:lang w:eastAsia="fr-FR"/>
              </w:rPr>
            </w:pPr>
            <w:r w:rsidRPr="00127FBE">
              <w:rPr>
                <w:rFonts w:eastAsia="맑은 고딕"/>
                <w:lang w:val="en-GB" w:eastAsia="fr-FR"/>
              </w:rPr>
              <w:t xml:space="preserve">Celltrion Healthcare </w:t>
            </w:r>
            <w:r w:rsidR="000F2F0E" w:rsidRPr="006F04E0">
              <w:rPr>
                <w:rFonts w:eastAsia="맑은 고딕"/>
                <w:noProof/>
                <w:lang w:eastAsia="fr-FR"/>
              </w:rPr>
              <w:t>Norway AS</w:t>
            </w:r>
          </w:p>
          <w:p w14:paraId="12CCD7C0" w14:textId="4300B6B2" w:rsidR="00074830" w:rsidRPr="005F0664" w:rsidRDefault="000F2F0E" w:rsidP="000F2F0E">
            <w:pPr>
              <w:tabs>
                <w:tab w:val="left" w:pos="-720"/>
              </w:tabs>
              <w:suppressAutoHyphens/>
              <w:rPr>
                <w:rFonts w:eastAsia="맑은 고딕"/>
                <w:lang w:eastAsia="fr-FR"/>
              </w:rPr>
            </w:pPr>
            <w:r w:rsidRPr="006F04E0">
              <w:rPr>
                <w:rFonts w:eastAsia="맑은 고딕"/>
                <w:noProof/>
                <w:lang w:eastAsia="fr-FR"/>
              </w:rPr>
              <w:t>Contact_no@celltrionhc.com</w:t>
            </w:r>
          </w:p>
          <w:p w14:paraId="062B1813" w14:textId="77777777" w:rsidR="00074830" w:rsidRPr="00F13073" w:rsidRDefault="00074830">
            <w:pPr>
              <w:tabs>
                <w:tab w:val="left" w:pos="-720"/>
              </w:tabs>
              <w:suppressAutoHyphens/>
              <w:rPr>
                <w:rFonts w:eastAsia="맑은 고딕"/>
                <w:lang w:eastAsia="ko-KR"/>
              </w:rPr>
            </w:pPr>
          </w:p>
        </w:tc>
      </w:tr>
      <w:tr w:rsidR="00A06126" w:rsidRPr="00F13073" w14:paraId="2DB7DD39" w14:textId="77777777">
        <w:trPr>
          <w:cantSplit/>
        </w:trPr>
        <w:tc>
          <w:tcPr>
            <w:tcW w:w="2500" w:type="pct"/>
            <w:hideMark/>
          </w:tcPr>
          <w:p w14:paraId="514A7590" w14:textId="77777777" w:rsidR="00074830" w:rsidRPr="00127FBE" w:rsidRDefault="00074830">
            <w:pPr>
              <w:suppressAutoHyphens/>
              <w:rPr>
                <w:lang w:val="en-GB" w:eastAsia="fr-FR"/>
              </w:rPr>
            </w:pPr>
            <w:r w:rsidRPr="00127FBE">
              <w:rPr>
                <w:b/>
                <w:lang w:val="en-GB"/>
              </w:rPr>
              <w:t>España</w:t>
            </w:r>
          </w:p>
          <w:p w14:paraId="308CEC9B" w14:textId="77777777" w:rsidR="00074830" w:rsidRPr="00127FBE" w:rsidRDefault="00074830">
            <w:pPr>
              <w:suppressAutoHyphens/>
              <w:rPr>
                <w:rFonts w:eastAsia="맑은 고딕"/>
                <w:lang w:val="en-GB" w:eastAsia="fr-FR"/>
              </w:rPr>
            </w:pPr>
            <w:r w:rsidRPr="00127FBE">
              <w:rPr>
                <w:rFonts w:eastAsia="맑은 고딕"/>
                <w:lang w:val="en-GB" w:eastAsia="fr-FR"/>
              </w:rPr>
              <w:t>CELLTRION FARMACEUTICA (ESPAÑA) S.L..</w:t>
            </w:r>
          </w:p>
          <w:p w14:paraId="295DC13D" w14:textId="7B5F563A" w:rsidR="00074830" w:rsidRPr="00F13073" w:rsidRDefault="00074830">
            <w:pPr>
              <w:suppressAutoHyphens/>
              <w:rPr>
                <w:rFonts w:eastAsia="맑은 고딕"/>
                <w:lang w:eastAsia="fr-FR"/>
              </w:rPr>
            </w:pPr>
            <w:r w:rsidRPr="00F13073">
              <w:rPr>
                <w:rFonts w:eastAsia="맑은 고딕"/>
                <w:lang w:eastAsia="fr-FR"/>
              </w:rPr>
              <w:t xml:space="preserve">Tel: +34 </w:t>
            </w:r>
            <w:r w:rsidR="00A65502">
              <w:rPr>
                <w:rFonts w:eastAsia="맑은 고딕"/>
                <w:lang w:eastAsia="fr-FR"/>
              </w:rPr>
              <w:t>910 498 478</w:t>
            </w:r>
          </w:p>
          <w:p w14:paraId="0CCB0D37" w14:textId="77777777" w:rsidR="00074830" w:rsidRPr="00F13073" w:rsidRDefault="00074830">
            <w:pPr>
              <w:suppressAutoHyphens/>
              <w:rPr>
                <w:b/>
                <w:lang w:eastAsia="fr-FR"/>
              </w:rPr>
            </w:pPr>
          </w:p>
        </w:tc>
        <w:tc>
          <w:tcPr>
            <w:tcW w:w="2500" w:type="pct"/>
          </w:tcPr>
          <w:p w14:paraId="64C6B877" w14:textId="77777777" w:rsidR="00074830" w:rsidRPr="0081094B" w:rsidRDefault="00074830">
            <w:pPr>
              <w:suppressAutoHyphens/>
              <w:rPr>
                <w:lang w:eastAsia="fr-FR"/>
              </w:rPr>
            </w:pPr>
            <w:r w:rsidRPr="0081094B">
              <w:rPr>
                <w:b/>
              </w:rPr>
              <w:t>Österreich</w:t>
            </w:r>
          </w:p>
          <w:p w14:paraId="369FA3FE" w14:textId="77777777" w:rsidR="00074830" w:rsidRPr="0081094B" w:rsidRDefault="00074830">
            <w:pPr>
              <w:suppressAutoHyphens/>
              <w:rPr>
                <w:rFonts w:eastAsia="맑은 고딕"/>
                <w:lang w:eastAsia="ko-KR"/>
              </w:rPr>
            </w:pPr>
            <w:r w:rsidRPr="0081094B">
              <w:rPr>
                <w:rFonts w:eastAsia="맑은 고딕"/>
                <w:lang w:eastAsia="fr-FR"/>
              </w:rPr>
              <w:t>Astro-Pharma GmbH</w:t>
            </w:r>
          </w:p>
          <w:p w14:paraId="25631D4B" w14:textId="77777777" w:rsidR="00074830" w:rsidRPr="0081094B" w:rsidRDefault="00074830">
            <w:pPr>
              <w:tabs>
                <w:tab w:val="left" w:pos="-720"/>
              </w:tabs>
              <w:suppressAutoHyphens/>
              <w:rPr>
                <w:rFonts w:eastAsia="맑은 고딕"/>
                <w:lang w:eastAsia="fr-FR"/>
              </w:rPr>
            </w:pPr>
            <w:r w:rsidRPr="0081094B">
              <w:rPr>
                <w:rFonts w:eastAsia="맑은 고딕"/>
                <w:lang w:eastAsia="fr-FR"/>
              </w:rPr>
              <w:t>Tel: +43 1 97 99 860</w:t>
            </w:r>
          </w:p>
          <w:p w14:paraId="66678DCD" w14:textId="77777777" w:rsidR="00074830" w:rsidRPr="0081094B" w:rsidRDefault="00074830">
            <w:pPr>
              <w:tabs>
                <w:tab w:val="left" w:pos="-720"/>
              </w:tabs>
              <w:suppressAutoHyphens/>
              <w:rPr>
                <w:lang w:eastAsia="fr-FR"/>
              </w:rPr>
            </w:pPr>
          </w:p>
        </w:tc>
      </w:tr>
      <w:tr w:rsidR="00A06126" w:rsidRPr="00F13073" w14:paraId="76DFFC61" w14:textId="77777777">
        <w:trPr>
          <w:cantSplit/>
        </w:trPr>
        <w:tc>
          <w:tcPr>
            <w:tcW w:w="2500" w:type="pct"/>
          </w:tcPr>
          <w:p w14:paraId="01AE8ED4" w14:textId="77777777" w:rsidR="00074830" w:rsidRPr="0081094B" w:rsidRDefault="00074830">
            <w:pPr>
              <w:suppressAutoHyphens/>
              <w:rPr>
                <w:b/>
                <w:lang w:eastAsia="fr-FR"/>
              </w:rPr>
            </w:pPr>
            <w:r w:rsidRPr="0081094B">
              <w:rPr>
                <w:b/>
                <w:lang w:eastAsia="fr-FR"/>
              </w:rPr>
              <w:t>Ελλάδα</w:t>
            </w:r>
          </w:p>
          <w:p w14:paraId="20AA1A8F" w14:textId="77777777" w:rsidR="00074830" w:rsidRPr="0081094B" w:rsidRDefault="00074830">
            <w:pPr>
              <w:suppressAutoHyphens/>
              <w:rPr>
                <w:lang w:eastAsia="fr-FR"/>
              </w:rPr>
            </w:pPr>
            <w:r w:rsidRPr="0081094B">
              <w:rPr>
                <w:lang w:eastAsia="fr-FR"/>
              </w:rPr>
              <w:t>ΒΙΑΝΕΞ Α.Ε.</w:t>
            </w:r>
          </w:p>
          <w:p w14:paraId="38C994A0" w14:textId="77777777" w:rsidR="00074830" w:rsidRPr="0081094B" w:rsidRDefault="00074830">
            <w:pPr>
              <w:suppressAutoHyphens/>
              <w:rPr>
                <w:lang w:eastAsia="fr-FR"/>
              </w:rPr>
            </w:pPr>
            <w:r w:rsidRPr="0081094B">
              <w:rPr>
                <w:lang w:eastAsia="fr-FR"/>
              </w:rPr>
              <w:t xml:space="preserve">Τηλ: +30 210 8009111 </w:t>
            </w:r>
          </w:p>
          <w:p w14:paraId="2857A334" w14:textId="77777777" w:rsidR="00074830" w:rsidRPr="0081094B" w:rsidRDefault="00074830">
            <w:pPr>
              <w:suppressAutoHyphens/>
              <w:rPr>
                <w:rFonts w:eastAsia="맑은 고딕"/>
                <w:lang w:eastAsia="fr-FR"/>
              </w:rPr>
            </w:pPr>
          </w:p>
        </w:tc>
        <w:tc>
          <w:tcPr>
            <w:tcW w:w="2500" w:type="pct"/>
          </w:tcPr>
          <w:p w14:paraId="451CDD01" w14:textId="77777777" w:rsidR="00074830" w:rsidRPr="00127FBE" w:rsidRDefault="00074830">
            <w:pPr>
              <w:suppressAutoHyphens/>
              <w:rPr>
                <w:rFonts w:eastAsia="맑은 고딕"/>
                <w:b/>
                <w:lang w:val="en-GB" w:eastAsia="fr-FR"/>
              </w:rPr>
            </w:pPr>
            <w:r w:rsidRPr="00127FBE">
              <w:rPr>
                <w:rFonts w:eastAsia="맑은 고딕"/>
                <w:b/>
                <w:lang w:val="en-GB" w:eastAsia="fr-FR"/>
              </w:rPr>
              <w:t>Polska</w:t>
            </w:r>
          </w:p>
          <w:p w14:paraId="7F574467"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51E829D7" w14:textId="77777777" w:rsidR="00074830" w:rsidRPr="00F13073" w:rsidRDefault="00074830">
            <w:pPr>
              <w:suppressAutoHyphens/>
              <w:rPr>
                <w:rFonts w:eastAsia="맑은 고딕"/>
                <w:lang w:eastAsia="fr-FR"/>
              </w:rPr>
            </w:pPr>
            <w:r w:rsidRPr="00F13073">
              <w:rPr>
                <w:rFonts w:eastAsia="맑은 고딕"/>
                <w:lang w:eastAsia="fr-FR"/>
              </w:rPr>
              <w:t>Tel.: +36 1 231 0493</w:t>
            </w:r>
          </w:p>
          <w:p w14:paraId="5299F1D9" w14:textId="77777777" w:rsidR="00074830" w:rsidRPr="00F13073" w:rsidRDefault="00074830">
            <w:pPr>
              <w:suppressAutoHyphens/>
              <w:rPr>
                <w:b/>
              </w:rPr>
            </w:pPr>
          </w:p>
        </w:tc>
      </w:tr>
      <w:tr w:rsidR="00A06126" w:rsidRPr="00F13073" w14:paraId="624D5299" w14:textId="77777777">
        <w:trPr>
          <w:cantSplit/>
        </w:trPr>
        <w:tc>
          <w:tcPr>
            <w:tcW w:w="2500" w:type="pct"/>
          </w:tcPr>
          <w:p w14:paraId="09E1FA52" w14:textId="77777777" w:rsidR="00074830" w:rsidRPr="00127FBE" w:rsidRDefault="00074830">
            <w:pPr>
              <w:suppressAutoHyphens/>
              <w:rPr>
                <w:b/>
                <w:lang w:val="en-GB" w:eastAsia="ko-KR"/>
              </w:rPr>
            </w:pPr>
            <w:r w:rsidRPr="00127FBE">
              <w:rPr>
                <w:b/>
                <w:lang w:val="en-GB" w:eastAsia="ko-KR"/>
              </w:rPr>
              <w:t>France</w:t>
            </w:r>
          </w:p>
          <w:p w14:paraId="3D4CD09D" w14:textId="77777777" w:rsidR="00074830" w:rsidRPr="00127FBE" w:rsidRDefault="00074830">
            <w:pPr>
              <w:suppressAutoHyphens/>
              <w:rPr>
                <w:lang w:val="en-GB" w:eastAsia="ko-KR"/>
              </w:rPr>
            </w:pPr>
            <w:r w:rsidRPr="00127FBE">
              <w:rPr>
                <w:lang w:val="en-GB" w:eastAsia="ko-KR"/>
              </w:rPr>
              <w:t>Celltrion Healthcare France SAS</w:t>
            </w:r>
          </w:p>
          <w:p w14:paraId="46EBF30C" w14:textId="77777777" w:rsidR="00074830" w:rsidRPr="00127FBE" w:rsidRDefault="00074830">
            <w:pPr>
              <w:suppressAutoHyphens/>
              <w:rPr>
                <w:rFonts w:eastAsia="맑은 고딕"/>
                <w:lang w:val="en-GB" w:eastAsia="ko-KR"/>
              </w:rPr>
            </w:pPr>
            <w:proofErr w:type="spellStart"/>
            <w:r w:rsidRPr="00127FBE">
              <w:rPr>
                <w:lang w:val="en-GB" w:eastAsia="ko-KR"/>
              </w:rPr>
              <w:t>T</w:t>
            </w:r>
            <w:r w:rsidRPr="00127FBE">
              <w:rPr>
                <w:lang w:val="en-GB"/>
              </w:rPr>
              <w:t>é</w:t>
            </w:r>
            <w:r w:rsidRPr="00127FBE">
              <w:rPr>
                <w:lang w:val="en-GB" w:eastAsia="ko-KR"/>
              </w:rPr>
              <w:t>l</w:t>
            </w:r>
            <w:proofErr w:type="spellEnd"/>
            <w:r w:rsidRPr="00127FBE">
              <w:rPr>
                <w:lang w:val="en-GB" w:eastAsia="ko-KR"/>
              </w:rPr>
              <w:t>.: +33 (0)1 71 25 27 00</w:t>
            </w:r>
          </w:p>
          <w:p w14:paraId="64D7EF4B" w14:textId="77777777" w:rsidR="00074830" w:rsidRPr="00127FBE" w:rsidRDefault="00074830">
            <w:pPr>
              <w:suppressAutoHyphens/>
              <w:rPr>
                <w:rFonts w:eastAsia="맑은 고딕"/>
                <w:lang w:val="en-GB" w:eastAsia="fr-FR"/>
              </w:rPr>
            </w:pPr>
          </w:p>
        </w:tc>
        <w:tc>
          <w:tcPr>
            <w:tcW w:w="2500" w:type="pct"/>
          </w:tcPr>
          <w:p w14:paraId="4B040B94" w14:textId="77777777" w:rsidR="00074830" w:rsidRPr="00127FBE" w:rsidRDefault="00074830">
            <w:pPr>
              <w:suppressAutoHyphens/>
              <w:autoSpaceDE w:val="0"/>
              <w:autoSpaceDN w:val="0"/>
              <w:adjustRightInd w:val="0"/>
              <w:rPr>
                <w:lang w:val="en-GB" w:eastAsia="fr-FR"/>
              </w:rPr>
            </w:pPr>
            <w:r w:rsidRPr="00127FBE">
              <w:rPr>
                <w:rFonts w:eastAsia="맑은 고딕"/>
                <w:b/>
                <w:lang w:val="en-GB" w:eastAsia="fr-FR"/>
              </w:rPr>
              <w:t>Portugal</w:t>
            </w:r>
          </w:p>
          <w:p w14:paraId="753D05DA" w14:textId="77777777" w:rsidR="00074830" w:rsidRPr="00127FBE" w:rsidRDefault="00074830">
            <w:pPr>
              <w:suppressAutoHyphens/>
              <w:autoSpaceDE w:val="0"/>
              <w:autoSpaceDN w:val="0"/>
              <w:adjustRightInd w:val="0"/>
              <w:rPr>
                <w:rFonts w:eastAsia="맑은 고딕"/>
                <w:lang w:val="en-GB" w:eastAsia="ko-KR"/>
              </w:rPr>
            </w:pPr>
            <w:r w:rsidRPr="00127FBE">
              <w:rPr>
                <w:rFonts w:eastAsia="맑은 고딕"/>
                <w:lang w:val="en-GB" w:eastAsia="fr-FR"/>
              </w:rPr>
              <w:t>CELLTRION PORTUGAL, UNIPESSOAL LDA.</w:t>
            </w:r>
          </w:p>
          <w:p w14:paraId="41167B46" w14:textId="77777777" w:rsidR="00074830" w:rsidRPr="00F13073" w:rsidRDefault="00074830">
            <w:pPr>
              <w:suppressAutoHyphens/>
              <w:rPr>
                <w:b/>
              </w:rPr>
            </w:pPr>
            <w:r w:rsidRPr="00F13073">
              <w:t xml:space="preserve">Tel: </w:t>
            </w:r>
            <w:r w:rsidRPr="0081094B">
              <w:rPr>
                <w:rFonts w:eastAsia="맑은 고딕"/>
                <w:lang w:eastAsia="fr-FR"/>
              </w:rPr>
              <w:t>+351 21 936 8542</w:t>
            </w:r>
          </w:p>
          <w:p w14:paraId="168408AB" w14:textId="77777777" w:rsidR="00074830" w:rsidRPr="00F13073" w:rsidRDefault="00074830">
            <w:pPr>
              <w:suppressAutoHyphens/>
              <w:rPr>
                <w:b/>
              </w:rPr>
            </w:pPr>
          </w:p>
        </w:tc>
      </w:tr>
      <w:tr w:rsidR="00A06126" w:rsidRPr="00F13073" w14:paraId="606CE38A" w14:textId="77777777">
        <w:trPr>
          <w:cantSplit/>
        </w:trPr>
        <w:tc>
          <w:tcPr>
            <w:tcW w:w="2500" w:type="pct"/>
          </w:tcPr>
          <w:p w14:paraId="4B66A68D" w14:textId="77777777" w:rsidR="00074830" w:rsidRPr="0081094B" w:rsidRDefault="00074830">
            <w:pPr>
              <w:suppressAutoHyphens/>
              <w:rPr>
                <w:b/>
                <w:lang w:eastAsia="ko-KR"/>
              </w:rPr>
            </w:pPr>
            <w:r w:rsidRPr="0081094B">
              <w:rPr>
                <w:b/>
                <w:lang w:eastAsia="ko-KR"/>
              </w:rPr>
              <w:t>Hrvatska</w:t>
            </w:r>
          </w:p>
          <w:p w14:paraId="3C104970" w14:textId="77777777" w:rsidR="00074830" w:rsidRPr="0081094B" w:rsidRDefault="00074830">
            <w:pPr>
              <w:suppressAutoHyphens/>
              <w:rPr>
                <w:lang w:eastAsia="ko-KR"/>
              </w:rPr>
            </w:pPr>
            <w:r w:rsidRPr="0081094B">
              <w:rPr>
                <w:lang w:eastAsia="ko-KR"/>
              </w:rPr>
              <w:t>Oktal Pharma d.o.o.</w:t>
            </w:r>
          </w:p>
          <w:p w14:paraId="57DE1BD6" w14:textId="77777777" w:rsidR="00074830" w:rsidRPr="00F13073" w:rsidRDefault="00074830">
            <w:pPr>
              <w:suppressAutoHyphens/>
              <w:rPr>
                <w:lang w:eastAsia="ko-KR"/>
              </w:rPr>
            </w:pPr>
            <w:r w:rsidRPr="00F13073">
              <w:rPr>
                <w:lang w:eastAsia="ko-KR"/>
              </w:rPr>
              <w:t>Tel: +385 1 6595 777</w:t>
            </w:r>
          </w:p>
          <w:p w14:paraId="7EDECBE3" w14:textId="77777777" w:rsidR="00074830" w:rsidRPr="00F13073" w:rsidRDefault="00074830">
            <w:pPr>
              <w:suppressAutoHyphens/>
              <w:rPr>
                <w:rFonts w:eastAsia="맑은 고딕"/>
                <w:lang w:eastAsia="fr-FR"/>
              </w:rPr>
            </w:pPr>
          </w:p>
        </w:tc>
        <w:tc>
          <w:tcPr>
            <w:tcW w:w="2500" w:type="pct"/>
          </w:tcPr>
          <w:p w14:paraId="4440B9ED" w14:textId="77777777" w:rsidR="00074830" w:rsidRPr="00127FBE" w:rsidRDefault="00074830">
            <w:pPr>
              <w:tabs>
                <w:tab w:val="left" w:pos="-720"/>
              </w:tabs>
              <w:suppressAutoHyphens/>
              <w:rPr>
                <w:rFonts w:eastAsia="맑은 고딕"/>
                <w:b/>
                <w:lang w:val="en-GB" w:eastAsia="fr-FR"/>
              </w:rPr>
            </w:pPr>
            <w:proofErr w:type="spellStart"/>
            <w:r w:rsidRPr="00127FBE">
              <w:rPr>
                <w:b/>
                <w:lang w:val="en-GB"/>
              </w:rPr>
              <w:t>România</w:t>
            </w:r>
            <w:proofErr w:type="spellEnd"/>
          </w:p>
          <w:p w14:paraId="022999AF"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10F98739" w14:textId="77777777" w:rsidR="00074830" w:rsidRPr="00F13073" w:rsidRDefault="00074830">
            <w:pPr>
              <w:suppressAutoHyphens/>
              <w:rPr>
                <w:rFonts w:eastAsia="맑은 고딕"/>
                <w:lang w:eastAsia="fr-FR"/>
              </w:rPr>
            </w:pPr>
            <w:r w:rsidRPr="00F13073">
              <w:rPr>
                <w:rFonts w:eastAsia="맑은 고딕"/>
                <w:lang w:eastAsia="fr-FR"/>
              </w:rPr>
              <w:t>Tel: +36 1 231 0493</w:t>
            </w:r>
          </w:p>
          <w:p w14:paraId="4FC55579" w14:textId="77777777" w:rsidR="00074830" w:rsidRPr="00F13073" w:rsidRDefault="00074830">
            <w:pPr>
              <w:suppressAutoHyphens/>
              <w:rPr>
                <w:b/>
              </w:rPr>
            </w:pPr>
          </w:p>
        </w:tc>
      </w:tr>
      <w:tr w:rsidR="00A06126" w:rsidRPr="00F13073" w14:paraId="0A09FE72" w14:textId="77777777">
        <w:trPr>
          <w:cantSplit/>
        </w:trPr>
        <w:tc>
          <w:tcPr>
            <w:tcW w:w="2500" w:type="pct"/>
          </w:tcPr>
          <w:p w14:paraId="4C620424" w14:textId="77777777" w:rsidR="00074830" w:rsidRPr="00127FBE" w:rsidRDefault="00074830">
            <w:pPr>
              <w:tabs>
                <w:tab w:val="left" w:pos="-720"/>
              </w:tabs>
              <w:suppressAutoHyphens/>
              <w:rPr>
                <w:lang w:val="en-GB" w:eastAsia="fr-FR"/>
              </w:rPr>
            </w:pPr>
            <w:r w:rsidRPr="00127FBE">
              <w:rPr>
                <w:rFonts w:eastAsia="맑은 고딕"/>
                <w:b/>
                <w:lang w:val="en-GB" w:eastAsia="fr-FR"/>
              </w:rPr>
              <w:t>Ireland</w:t>
            </w:r>
          </w:p>
          <w:p w14:paraId="6745BF34" w14:textId="77777777" w:rsidR="00074830" w:rsidRPr="00127FBE" w:rsidRDefault="00074830">
            <w:pPr>
              <w:suppressAutoHyphens/>
              <w:rPr>
                <w:rFonts w:eastAsia="맑은 고딕"/>
                <w:lang w:val="en-GB" w:eastAsia="fr-FR"/>
              </w:rPr>
            </w:pPr>
            <w:r w:rsidRPr="00127FBE">
              <w:rPr>
                <w:rFonts w:eastAsia="맑은 고딕"/>
                <w:lang w:val="en-GB" w:eastAsia="fr-FR"/>
              </w:rPr>
              <w:t>Celltrion Healthcare Ireland Limited</w:t>
            </w:r>
          </w:p>
          <w:p w14:paraId="79C51DD5" w14:textId="77777777" w:rsidR="00074830" w:rsidRPr="00127FBE" w:rsidRDefault="00074830">
            <w:pPr>
              <w:suppressAutoHyphens/>
              <w:rPr>
                <w:rFonts w:eastAsia="맑은 고딕"/>
                <w:lang w:val="en-GB" w:eastAsia="fr-FR"/>
              </w:rPr>
            </w:pPr>
            <w:r w:rsidRPr="00127FBE">
              <w:rPr>
                <w:rFonts w:eastAsia="맑은 고딕"/>
                <w:lang w:val="en-GB" w:eastAsia="fr-FR"/>
              </w:rPr>
              <w:t>Tel: +353 1 223 4026</w:t>
            </w:r>
          </w:p>
          <w:p w14:paraId="1A165C75" w14:textId="77777777" w:rsidR="00074830" w:rsidRPr="00127FBE" w:rsidRDefault="00074830">
            <w:pPr>
              <w:suppressAutoHyphens/>
              <w:rPr>
                <w:rFonts w:eastAsia="맑은 고딕"/>
                <w:lang w:val="en-GB" w:eastAsia="fr-FR"/>
              </w:rPr>
            </w:pPr>
          </w:p>
        </w:tc>
        <w:tc>
          <w:tcPr>
            <w:tcW w:w="2500" w:type="pct"/>
          </w:tcPr>
          <w:p w14:paraId="66E5B384" w14:textId="77777777" w:rsidR="00074830" w:rsidRPr="00127FBE" w:rsidRDefault="00074830">
            <w:pPr>
              <w:suppressAutoHyphens/>
              <w:rPr>
                <w:rFonts w:eastAsia="맑은 고딕"/>
                <w:b/>
                <w:lang w:val="en-GB" w:eastAsia="fr-FR"/>
              </w:rPr>
            </w:pPr>
            <w:r w:rsidRPr="00127FBE">
              <w:rPr>
                <w:rFonts w:eastAsia="맑은 고딕"/>
                <w:b/>
                <w:lang w:val="en-GB" w:eastAsia="fr-FR"/>
              </w:rPr>
              <w:t>Slovenija</w:t>
            </w:r>
          </w:p>
          <w:p w14:paraId="1524C5F1" w14:textId="77777777" w:rsidR="00074830" w:rsidRPr="00127FBE" w:rsidRDefault="00074830">
            <w:pPr>
              <w:suppressAutoHyphens/>
              <w:rPr>
                <w:rFonts w:eastAsia="맑은 고딕"/>
                <w:lang w:val="en-GB" w:eastAsia="fr-FR"/>
              </w:rPr>
            </w:pPr>
            <w:r w:rsidRPr="00127FBE">
              <w:rPr>
                <w:rFonts w:eastAsia="맑은 고딕"/>
                <w:lang w:val="en-GB" w:eastAsia="fr-FR"/>
              </w:rPr>
              <w:t xml:space="preserve">OPH </w:t>
            </w:r>
            <w:proofErr w:type="spellStart"/>
            <w:r w:rsidRPr="00127FBE">
              <w:rPr>
                <w:rFonts w:eastAsia="맑은 고딕"/>
                <w:lang w:val="en-GB" w:eastAsia="fr-FR"/>
              </w:rPr>
              <w:t>Oktal</w:t>
            </w:r>
            <w:proofErr w:type="spellEnd"/>
            <w:r w:rsidRPr="00127FBE">
              <w:rPr>
                <w:rFonts w:eastAsia="맑은 고딕"/>
                <w:lang w:val="en-GB" w:eastAsia="fr-FR"/>
              </w:rPr>
              <w:t xml:space="preserve"> Pharma d.o.o.</w:t>
            </w:r>
          </w:p>
          <w:p w14:paraId="3ECA731C" w14:textId="77777777" w:rsidR="00074830" w:rsidRPr="00F13073" w:rsidRDefault="00074830">
            <w:pPr>
              <w:suppressAutoHyphens/>
              <w:rPr>
                <w:rFonts w:eastAsia="맑은 고딕"/>
                <w:lang w:eastAsia="fr-FR"/>
              </w:rPr>
            </w:pPr>
            <w:r w:rsidRPr="00F13073">
              <w:rPr>
                <w:rFonts w:eastAsia="맑은 고딕"/>
                <w:lang w:eastAsia="fr-FR"/>
              </w:rPr>
              <w:t>Tel.: +386 1 519 29 22</w:t>
            </w:r>
          </w:p>
          <w:p w14:paraId="77AEDABA" w14:textId="77777777" w:rsidR="00074830" w:rsidRPr="00F13073" w:rsidRDefault="00074830">
            <w:pPr>
              <w:suppressAutoHyphens/>
              <w:rPr>
                <w:b/>
              </w:rPr>
            </w:pPr>
          </w:p>
        </w:tc>
      </w:tr>
      <w:tr w:rsidR="00A06126" w:rsidRPr="00F13073" w14:paraId="1C3FE805" w14:textId="77777777">
        <w:trPr>
          <w:cantSplit/>
        </w:trPr>
        <w:tc>
          <w:tcPr>
            <w:tcW w:w="2500" w:type="pct"/>
          </w:tcPr>
          <w:p w14:paraId="3C730C0B" w14:textId="77777777" w:rsidR="00074830" w:rsidRPr="00127FBE" w:rsidRDefault="00074830">
            <w:pPr>
              <w:suppressAutoHyphens/>
              <w:rPr>
                <w:rFonts w:eastAsia="맑은 고딕"/>
                <w:lang w:val="en-GB" w:eastAsia="fr-FR"/>
              </w:rPr>
            </w:pPr>
            <w:proofErr w:type="spellStart"/>
            <w:r w:rsidRPr="00127FBE">
              <w:rPr>
                <w:rFonts w:eastAsia="맑은 고딕"/>
                <w:b/>
                <w:lang w:val="en-GB" w:eastAsia="fr-FR"/>
              </w:rPr>
              <w:lastRenderedPageBreak/>
              <w:t>Ísland</w:t>
            </w:r>
            <w:proofErr w:type="spellEnd"/>
          </w:p>
          <w:p w14:paraId="24A1D76B"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6FD1DA0B" w14:textId="77777777" w:rsidR="00074830" w:rsidRPr="00F13073" w:rsidRDefault="00074830">
            <w:pPr>
              <w:suppressAutoHyphens/>
              <w:rPr>
                <w:rFonts w:eastAsia="맑은 고딕"/>
                <w:lang w:eastAsia="fr-FR"/>
              </w:rPr>
            </w:pPr>
            <w:r w:rsidRPr="00F13073">
              <w:rPr>
                <w:rFonts w:eastAsia="맑은 고딕"/>
                <w:lang w:eastAsia="fr-FR"/>
              </w:rPr>
              <w:t>Sími: +36 1 231 0493</w:t>
            </w:r>
          </w:p>
          <w:p w14:paraId="60A6BE59" w14:textId="77777777" w:rsidR="00074830" w:rsidRPr="00F13073" w:rsidRDefault="00074830">
            <w:pPr>
              <w:suppressAutoHyphens/>
              <w:rPr>
                <w:rFonts w:eastAsia="맑은 고딕"/>
                <w:lang w:eastAsia="fr-FR"/>
              </w:rPr>
            </w:pPr>
          </w:p>
        </w:tc>
        <w:tc>
          <w:tcPr>
            <w:tcW w:w="2500" w:type="pct"/>
          </w:tcPr>
          <w:p w14:paraId="77E13AF7" w14:textId="77777777" w:rsidR="00074830" w:rsidRPr="00127FBE" w:rsidRDefault="00074830">
            <w:pPr>
              <w:suppressAutoHyphens/>
              <w:rPr>
                <w:rFonts w:eastAsia="맑은 고딕"/>
                <w:b/>
                <w:lang w:val="en-GB" w:eastAsia="fr-FR"/>
              </w:rPr>
            </w:pPr>
            <w:proofErr w:type="spellStart"/>
            <w:r w:rsidRPr="00127FBE">
              <w:rPr>
                <w:b/>
                <w:lang w:val="en-GB"/>
              </w:rPr>
              <w:t>Slovenská</w:t>
            </w:r>
            <w:proofErr w:type="spellEnd"/>
            <w:r w:rsidRPr="00127FBE">
              <w:rPr>
                <w:b/>
                <w:lang w:val="en-GB"/>
              </w:rPr>
              <w:t xml:space="preserve"> </w:t>
            </w:r>
            <w:proofErr w:type="spellStart"/>
            <w:r w:rsidRPr="00127FBE">
              <w:rPr>
                <w:b/>
                <w:lang w:val="en-GB"/>
              </w:rPr>
              <w:t>republika</w:t>
            </w:r>
            <w:proofErr w:type="spellEnd"/>
          </w:p>
          <w:p w14:paraId="169FFF62"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13150A93" w14:textId="77777777" w:rsidR="00074830" w:rsidRPr="00F13073" w:rsidRDefault="00074830">
            <w:pPr>
              <w:suppressAutoHyphens/>
              <w:rPr>
                <w:rFonts w:eastAsia="맑은 고딕"/>
                <w:lang w:eastAsia="fr-FR"/>
              </w:rPr>
            </w:pPr>
            <w:r w:rsidRPr="00F13073">
              <w:rPr>
                <w:rFonts w:eastAsia="맑은 고딕"/>
                <w:lang w:eastAsia="fr-FR"/>
              </w:rPr>
              <w:t>Tel: +36 1 231 0493</w:t>
            </w:r>
          </w:p>
          <w:p w14:paraId="2943772E" w14:textId="77777777" w:rsidR="00074830" w:rsidRPr="00F13073" w:rsidRDefault="00074830">
            <w:pPr>
              <w:suppressAutoHyphens/>
              <w:rPr>
                <w:rFonts w:eastAsia="맑은 고딕"/>
                <w:b/>
                <w:lang w:eastAsia="fr-FR"/>
              </w:rPr>
            </w:pPr>
          </w:p>
        </w:tc>
      </w:tr>
      <w:tr w:rsidR="00A06126" w:rsidRPr="00F13073" w14:paraId="766CFF46" w14:textId="77777777">
        <w:trPr>
          <w:cantSplit/>
        </w:trPr>
        <w:tc>
          <w:tcPr>
            <w:tcW w:w="2500" w:type="pct"/>
          </w:tcPr>
          <w:p w14:paraId="5AB4C628" w14:textId="77777777" w:rsidR="00074830" w:rsidRPr="00127FBE" w:rsidRDefault="00074830">
            <w:pPr>
              <w:suppressAutoHyphens/>
              <w:rPr>
                <w:lang w:val="en-GB" w:eastAsia="fr-FR"/>
              </w:rPr>
            </w:pPr>
            <w:r w:rsidRPr="00127FBE">
              <w:rPr>
                <w:rFonts w:eastAsia="맑은 고딕"/>
                <w:b/>
                <w:lang w:val="en-GB" w:eastAsia="fr-FR"/>
              </w:rPr>
              <w:t>Italia</w:t>
            </w:r>
          </w:p>
          <w:p w14:paraId="6422CB2A" w14:textId="77777777" w:rsidR="00074830" w:rsidRPr="00127FBE" w:rsidRDefault="00074830">
            <w:pPr>
              <w:suppressAutoHyphens/>
              <w:rPr>
                <w:rFonts w:eastAsia="맑은 고딕"/>
                <w:lang w:val="en-GB" w:eastAsia="fr-FR"/>
              </w:rPr>
            </w:pPr>
            <w:r w:rsidRPr="00127FBE">
              <w:rPr>
                <w:rFonts w:eastAsia="맑은 고딕"/>
                <w:lang w:val="en-GB" w:eastAsia="fr-FR"/>
              </w:rPr>
              <w:t xml:space="preserve">Celltrion Healthcare Italy </w:t>
            </w:r>
            <w:proofErr w:type="spellStart"/>
            <w:r w:rsidRPr="00127FBE">
              <w:rPr>
                <w:rFonts w:eastAsia="맑은 고딕"/>
                <w:lang w:val="en-GB" w:eastAsia="fr-FR"/>
              </w:rPr>
              <w:t>S.r.l</w:t>
            </w:r>
            <w:proofErr w:type="spellEnd"/>
            <w:r w:rsidRPr="00127FBE">
              <w:rPr>
                <w:rFonts w:eastAsia="맑은 고딕"/>
                <w:lang w:val="en-GB" w:eastAsia="fr-FR"/>
              </w:rPr>
              <w:t>.</w:t>
            </w:r>
          </w:p>
          <w:p w14:paraId="25D8F3E9" w14:textId="77777777" w:rsidR="00074830" w:rsidRPr="00F13073" w:rsidRDefault="00074830">
            <w:pPr>
              <w:suppressAutoHyphens/>
              <w:rPr>
                <w:rFonts w:eastAsia="맑은 고딕"/>
                <w:lang w:eastAsia="fr-FR"/>
              </w:rPr>
            </w:pPr>
            <w:r w:rsidRPr="00F13073">
              <w:rPr>
                <w:rFonts w:eastAsia="맑은 고딕"/>
                <w:lang w:eastAsia="fr-FR"/>
              </w:rPr>
              <w:t>Tel: +39 02 47927040</w:t>
            </w:r>
          </w:p>
          <w:p w14:paraId="0F11E978" w14:textId="77777777" w:rsidR="00074830" w:rsidRPr="00F13073" w:rsidRDefault="00074830">
            <w:pPr>
              <w:suppressAutoHyphens/>
              <w:rPr>
                <w:rFonts w:eastAsia="맑은 고딕"/>
                <w:lang w:eastAsia="fr-FR"/>
              </w:rPr>
            </w:pPr>
          </w:p>
        </w:tc>
        <w:tc>
          <w:tcPr>
            <w:tcW w:w="2500" w:type="pct"/>
          </w:tcPr>
          <w:p w14:paraId="3D36606F" w14:textId="77777777" w:rsidR="00074830" w:rsidRPr="00127FBE" w:rsidRDefault="00074830">
            <w:pPr>
              <w:suppressAutoHyphens/>
              <w:rPr>
                <w:lang w:val="en-GB" w:eastAsia="fr-FR"/>
              </w:rPr>
            </w:pPr>
            <w:r w:rsidRPr="00127FBE">
              <w:rPr>
                <w:rFonts w:eastAsia="맑은 고딕"/>
                <w:b/>
                <w:lang w:val="en-GB" w:eastAsia="fr-FR"/>
              </w:rPr>
              <w:t>Suomi/Finland</w:t>
            </w:r>
          </w:p>
          <w:p w14:paraId="6A1E52DF"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 xml:space="preserve">Celltrion Healthcare Finland Oy. </w:t>
            </w:r>
          </w:p>
          <w:p w14:paraId="285E18F8" w14:textId="41F39E8B" w:rsidR="00074830" w:rsidRDefault="00074830">
            <w:pPr>
              <w:suppressAutoHyphens/>
              <w:autoSpaceDE w:val="0"/>
              <w:autoSpaceDN w:val="0"/>
              <w:adjustRightInd w:val="0"/>
              <w:rPr>
                <w:rFonts w:eastAsia="맑은 고딕"/>
                <w:lang w:eastAsia="fr-FR"/>
              </w:rPr>
            </w:pPr>
            <w:r w:rsidRPr="00F13073">
              <w:rPr>
                <w:rFonts w:eastAsia="맑은 고딕"/>
                <w:lang w:eastAsia="fr-FR"/>
              </w:rPr>
              <w:t>Tel: +358 29 170 7755</w:t>
            </w:r>
          </w:p>
          <w:p w14:paraId="0E63838E" w14:textId="61A109FA" w:rsidR="000F2F0E" w:rsidRPr="000F2F0E" w:rsidRDefault="000F2F0E">
            <w:pPr>
              <w:suppressAutoHyphens/>
              <w:autoSpaceDE w:val="0"/>
              <w:autoSpaceDN w:val="0"/>
              <w:adjustRightInd w:val="0"/>
              <w:rPr>
                <w:rFonts w:eastAsia="맑은 고딕"/>
                <w:lang w:eastAsia="fr-FR"/>
              </w:rPr>
            </w:pPr>
            <w:r w:rsidRPr="005F0664">
              <w:rPr>
                <w:rFonts w:eastAsia="맑은 고딕"/>
                <w:noProof/>
                <w:lang w:eastAsia="ko-KR"/>
              </w:rPr>
              <w:t>contact_fi@celltrionhc.com</w:t>
            </w:r>
          </w:p>
          <w:p w14:paraId="3CF0A169" w14:textId="77777777" w:rsidR="00074830" w:rsidRPr="0081094B" w:rsidRDefault="00074830">
            <w:pPr>
              <w:suppressAutoHyphens/>
              <w:autoSpaceDE w:val="0"/>
              <w:autoSpaceDN w:val="0"/>
              <w:adjustRightInd w:val="0"/>
              <w:rPr>
                <w:rFonts w:eastAsia="맑은 고딕"/>
                <w:lang w:eastAsia="ko-KR"/>
              </w:rPr>
            </w:pPr>
          </w:p>
        </w:tc>
      </w:tr>
      <w:tr w:rsidR="00A06126" w:rsidRPr="00F13073" w14:paraId="695BACFB" w14:textId="77777777">
        <w:trPr>
          <w:cantSplit/>
        </w:trPr>
        <w:tc>
          <w:tcPr>
            <w:tcW w:w="2500" w:type="pct"/>
          </w:tcPr>
          <w:p w14:paraId="4E8A213B" w14:textId="77777777" w:rsidR="00074830" w:rsidRPr="0081094B" w:rsidRDefault="00074830">
            <w:pPr>
              <w:tabs>
                <w:tab w:val="left" w:pos="-720"/>
              </w:tabs>
              <w:suppressAutoHyphens/>
              <w:rPr>
                <w:b/>
                <w:bCs/>
                <w:lang w:eastAsia="fr-FR"/>
              </w:rPr>
            </w:pPr>
            <w:r w:rsidRPr="00F13073">
              <w:rPr>
                <w:b/>
              </w:rPr>
              <w:t>Κύπρος</w:t>
            </w:r>
          </w:p>
          <w:p w14:paraId="2429B791" w14:textId="77777777" w:rsidR="00074830" w:rsidRPr="0081094B" w:rsidRDefault="00074830">
            <w:pPr>
              <w:tabs>
                <w:tab w:val="left" w:pos="-720"/>
              </w:tabs>
              <w:suppressAutoHyphens/>
              <w:rPr>
                <w:rFonts w:eastAsia="맑은 고딕"/>
                <w:lang w:eastAsia="ko-KR"/>
              </w:rPr>
            </w:pPr>
            <w:r w:rsidRPr="0081094B">
              <w:rPr>
                <w:rFonts w:eastAsia="맑은 고딕"/>
                <w:lang w:eastAsia="fr-FR"/>
              </w:rPr>
              <w:t>C.A. Papaellinas Ltd</w:t>
            </w:r>
          </w:p>
          <w:p w14:paraId="6F73F510" w14:textId="77777777" w:rsidR="00074830" w:rsidRPr="00F13073" w:rsidRDefault="00074830">
            <w:pPr>
              <w:suppressAutoHyphens/>
              <w:autoSpaceDE w:val="0"/>
              <w:autoSpaceDN w:val="0"/>
              <w:adjustRightInd w:val="0"/>
              <w:rPr>
                <w:rFonts w:eastAsia="맑은 고딕"/>
                <w:b/>
                <w:bCs/>
                <w:lang w:eastAsia="fr-FR"/>
              </w:rPr>
            </w:pPr>
            <w:r w:rsidRPr="00F13073">
              <w:t xml:space="preserve">Τηλ: </w:t>
            </w:r>
            <w:r w:rsidRPr="00F13073">
              <w:rPr>
                <w:rFonts w:eastAsia="맑은 고딕"/>
                <w:lang w:eastAsia="fr-FR"/>
              </w:rPr>
              <w:t>+357 22741741</w:t>
            </w:r>
          </w:p>
          <w:p w14:paraId="4E8D5A47" w14:textId="77777777" w:rsidR="00074830" w:rsidRPr="00F13073" w:rsidRDefault="00074830">
            <w:pPr>
              <w:suppressAutoHyphens/>
              <w:autoSpaceDE w:val="0"/>
              <w:autoSpaceDN w:val="0"/>
              <w:adjustRightInd w:val="0"/>
              <w:rPr>
                <w:rFonts w:eastAsia="맑은 고딕"/>
                <w:b/>
                <w:lang w:eastAsia="fr-FR"/>
              </w:rPr>
            </w:pPr>
          </w:p>
        </w:tc>
        <w:tc>
          <w:tcPr>
            <w:tcW w:w="2500" w:type="pct"/>
          </w:tcPr>
          <w:p w14:paraId="1FCD2C30" w14:textId="77777777" w:rsidR="00074830" w:rsidRPr="00127FBE" w:rsidRDefault="00074830">
            <w:pPr>
              <w:tabs>
                <w:tab w:val="left" w:pos="-720"/>
              </w:tabs>
              <w:suppressAutoHyphens/>
              <w:rPr>
                <w:b/>
                <w:lang w:val="en-GB" w:eastAsia="fr-FR"/>
              </w:rPr>
            </w:pPr>
            <w:r w:rsidRPr="00127FBE">
              <w:rPr>
                <w:b/>
                <w:lang w:val="en-GB"/>
              </w:rPr>
              <w:t>Sverige</w:t>
            </w:r>
          </w:p>
          <w:p w14:paraId="34AC67E0" w14:textId="058907BA" w:rsidR="000F2F0E" w:rsidRDefault="008919BA" w:rsidP="008919BA">
            <w:pPr>
              <w:tabs>
                <w:tab w:val="left" w:pos="-720"/>
              </w:tabs>
              <w:suppressAutoHyphens/>
              <w:rPr>
                <w:rFonts w:eastAsia="맑은 고딕"/>
                <w:lang w:val="en-GB" w:eastAsia="fr-FR"/>
              </w:rPr>
            </w:pPr>
            <w:r w:rsidRPr="008919BA">
              <w:rPr>
                <w:rFonts w:eastAsia="맑은 고딕"/>
                <w:lang w:val="en-GB" w:eastAsia="fr-FR"/>
              </w:rPr>
              <w:t>Celltrion Sweden AB</w:t>
            </w:r>
          </w:p>
          <w:p w14:paraId="74FA16B3" w14:textId="4702083B" w:rsidR="000F2F0E" w:rsidRPr="005F0664" w:rsidRDefault="000F2F0E" w:rsidP="008919BA">
            <w:pPr>
              <w:tabs>
                <w:tab w:val="left" w:pos="-720"/>
              </w:tabs>
              <w:suppressAutoHyphens/>
              <w:rPr>
                <w:rFonts w:eastAsia="맑은 고딕"/>
                <w:noProof/>
                <w:lang w:eastAsia="fr-FR"/>
              </w:rPr>
            </w:pPr>
            <w:r w:rsidRPr="002738BB">
              <w:rPr>
                <w:rFonts w:eastAsia="맑은 고딕"/>
                <w:noProof/>
                <w:lang w:eastAsia="fr-FR"/>
              </w:rPr>
              <w:t>Tel: +46 8 80 11 77</w:t>
            </w:r>
          </w:p>
          <w:p w14:paraId="05355071" w14:textId="3A16208D" w:rsidR="00074830" w:rsidRPr="008919BA" w:rsidRDefault="000F2F0E">
            <w:pPr>
              <w:tabs>
                <w:tab w:val="left" w:pos="-720"/>
              </w:tabs>
              <w:suppressAutoHyphens/>
              <w:rPr>
                <w:rFonts w:eastAsia="맑은 고딕"/>
                <w:b/>
                <w:lang w:eastAsia="fr-FR"/>
              </w:rPr>
            </w:pPr>
            <w:r w:rsidRPr="005F0664">
              <w:rPr>
                <w:rFonts w:eastAsia="맑은 고딕"/>
                <w:lang w:eastAsia="fr-FR"/>
              </w:rPr>
              <w:t>C</w:t>
            </w:r>
            <w:r w:rsidR="008919BA" w:rsidRPr="005F0664">
              <w:rPr>
                <w:rFonts w:eastAsia="맑은 고딕"/>
                <w:lang w:eastAsia="fr-FR"/>
              </w:rPr>
              <w:t>ontact_se@celltrionhc.com</w:t>
            </w:r>
          </w:p>
        </w:tc>
      </w:tr>
      <w:tr w:rsidR="00A06126" w:rsidRPr="00F13073" w14:paraId="3A44EC34" w14:textId="77777777">
        <w:trPr>
          <w:cantSplit/>
        </w:trPr>
        <w:tc>
          <w:tcPr>
            <w:tcW w:w="2500" w:type="pct"/>
          </w:tcPr>
          <w:p w14:paraId="7D080048" w14:textId="77777777" w:rsidR="00074830" w:rsidRPr="00127FBE" w:rsidRDefault="00074830">
            <w:pPr>
              <w:suppressAutoHyphens/>
              <w:rPr>
                <w:rFonts w:eastAsia="맑은 고딕"/>
                <w:b/>
                <w:lang w:val="en-GB" w:eastAsia="fr-FR"/>
              </w:rPr>
            </w:pPr>
            <w:proofErr w:type="spellStart"/>
            <w:r w:rsidRPr="00127FBE">
              <w:rPr>
                <w:rFonts w:eastAsia="맑은 고딕"/>
                <w:b/>
                <w:lang w:val="en-GB" w:eastAsia="fr-FR"/>
              </w:rPr>
              <w:t>Latvija</w:t>
            </w:r>
            <w:proofErr w:type="spellEnd"/>
          </w:p>
          <w:p w14:paraId="36FFC7F6" w14:textId="77777777" w:rsidR="00074830" w:rsidRPr="00127FBE" w:rsidRDefault="00074830">
            <w:pPr>
              <w:tabs>
                <w:tab w:val="left" w:pos="-720"/>
              </w:tabs>
              <w:suppressAutoHyphens/>
              <w:rPr>
                <w:rFonts w:eastAsia="맑은 고딕"/>
                <w:lang w:val="en-GB" w:eastAsia="fr-FR"/>
              </w:rPr>
            </w:pPr>
            <w:r w:rsidRPr="00127FBE">
              <w:rPr>
                <w:rFonts w:eastAsia="맑은 고딕"/>
                <w:lang w:val="en-GB" w:eastAsia="fr-FR"/>
              </w:rPr>
              <w:t>Celltrion Healthcare Hungary Kft.</w:t>
            </w:r>
          </w:p>
          <w:p w14:paraId="0DA7014F" w14:textId="77777777" w:rsidR="00074830" w:rsidRPr="00F13073" w:rsidRDefault="00074830">
            <w:pPr>
              <w:suppressAutoHyphens/>
              <w:autoSpaceDE w:val="0"/>
              <w:autoSpaceDN w:val="0"/>
              <w:adjustRightInd w:val="0"/>
              <w:rPr>
                <w:rFonts w:eastAsia="맑은 고딕"/>
                <w:lang w:eastAsia="fr-FR"/>
              </w:rPr>
            </w:pPr>
            <w:r w:rsidRPr="00F13073">
              <w:rPr>
                <w:rFonts w:eastAsia="맑은 고딕"/>
                <w:lang w:eastAsia="fr-FR"/>
              </w:rPr>
              <w:t>Tālr.: +36 1 231 0493</w:t>
            </w:r>
          </w:p>
          <w:p w14:paraId="5AE9FE7A" w14:textId="77777777" w:rsidR="00074830" w:rsidRPr="00F13073" w:rsidRDefault="00074830">
            <w:pPr>
              <w:suppressAutoHyphens/>
              <w:autoSpaceDE w:val="0"/>
              <w:autoSpaceDN w:val="0"/>
              <w:adjustRightInd w:val="0"/>
              <w:rPr>
                <w:rFonts w:eastAsia="맑은 고딕"/>
                <w:b/>
                <w:bCs/>
                <w:lang w:eastAsia="fr-FR"/>
              </w:rPr>
            </w:pPr>
          </w:p>
        </w:tc>
        <w:tc>
          <w:tcPr>
            <w:tcW w:w="2500" w:type="pct"/>
          </w:tcPr>
          <w:p w14:paraId="5DD472CC" w14:textId="77777777" w:rsidR="00074830" w:rsidRPr="00F13073" w:rsidRDefault="00074830">
            <w:pPr>
              <w:tabs>
                <w:tab w:val="left" w:pos="-720"/>
              </w:tabs>
              <w:suppressAutoHyphens/>
              <w:rPr>
                <w:rFonts w:eastAsia="맑은 고딕"/>
                <w:b/>
                <w:lang w:eastAsia="fr-FR"/>
              </w:rPr>
            </w:pPr>
          </w:p>
        </w:tc>
      </w:tr>
    </w:tbl>
    <w:p w14:paraId="532DAF7C" w14:textId="77777777" w:rsidR="008F13C3" w:rsidRPr="00F13073" w:rsidRDefault="008F13C3" w:rsidP="008B4C50"/>
    <w:p w14:paraId="1AB2161E" w14:textId="77777777" w:rsidR="009D3445" w:rsidRPr="00F13073" w:rsidRDefault="009D3445" w:rsidP="008B4C50">
      <w:pPr>
        <w:pStyle w:val="a4"/>
        <w:widowControl/>
        <w:spacing w:after="0"/>
      </w:pPr>
      <w:r w:rsidRPr="00F13073">
        <w:rPr>
          <w:rStyle w:val="Char"/>
          <w:b/>
          <w:bCs/>
        </w:rPr>
        <w:t>Data ostatniej aktualizacji ulotki:</w:t>
      </w:r>
    </w:p>
    <w:p w14:paraId="3D075038" w14:textId="77777777" w:rsidR="009D3445" w:rsidRPr="00F13073" w:rsidRDefault="009D3445" w:rsidP="008B4C50">
      <w:pPr>
        <w:pStyle w:val="a4"/>
        <w:widowControl/>
        <w:spacing w:after="0"/>
        <w:rPr>
          <w:rStyle w:val="Char"/>
          <w:b/>
          <w:bCs/>
        </w:rPr>
      </w:pPr>
    </w:p>
    <w:p w14:paraId="5C9D4D95" w14:textId="77777777" w:rsidR="009D3445" w:rsidRPr="00F13073" w:rsidRDefault="009D3445" w:rsidP="008B4C50">
      <w:pPr>
        <w:pStyle w:val="a4"/>
        <w:widowControl/>
        <w:spacing w:after="0"/>
      </w:pPr>
      <w:r w:rsidRPr="00F13073">
        <w:rPr>
          <w:rStyle w:val="Char"/>
          <w:b/>
          <w:bCs/>
        </w:rPr>
        <w:t>Inne źródła informacji</w:t>
      </w:r>
    </w:p>
    <w:p w14:paraId="19B633C9" w14:textId="0021E564" w:rsidR="001E0975" w:rsidRPr="00F13073" w:rsidRDefault="009D3445" w:rsidP="008B4C50">
      <w:r w:rsidRPr="00F13073">
        <w:rPr>
          <w:rStyle w:val="Char"/>
          <w:rFonts w:eastAsia="DengXian"/>
        </w:rPr>
        <w:t xml:space="preserve">Szczegółowe informacje o tym leku są dostępne na stronie internetowej Europejskiej Agencji Leków </w:t>
      </w:r>
      <w:hyperlink r:id="rId41" w:history="1">
        <w:r w:rsidR="008919BA" w:rsidRPr="008919BA">
          <w:rPr>
            <w:rStyle w:val="a7"/>
          </w:rPr>
          <w:t>http</w:t>
        </w:r>
        <w:r w:rsidR="008919BA" w:rsidRPr="008919BA">
          <w:rPr>
            <w:rStyle w:val="a7"/>
            <w:rFonts w:eastAsia="맑은 고딕" w:hint="eastAsia"/>
            <w:lang w:eastAsia="ko-KR"/>
          </w:rPr>
          <w:t>s</w:t>
        </w:r>
        <w:r w:rsidR="008919BA" w:rsidRPr="008919BA">
          <w:rPr>
            <w:rStyle w:val="a7"/>
          </w:rPr>
          <w:t>://www.ema.europa.eu/</w:t>
        </w:r>
      </w:hyperlink>
      <w:r w:rsidR="009B37F1" w:rsidRPr="00F13073">
        <w:t>.</w:t>
      </w:r>
    </w:p>
    <w:p w14:paraId="7DED53A6" w14:textId="77777777" w:rsidR="00543C8C" w:rsidRPr="00F13073" w:rsidRDefault="00543C8C" w:rsidP="008B4C50"/>
    <w:p w14:paraId="6E60CDBD" w14:textId="77777777" w:rsidR="00E741F8" w:rsidRPr="00F13073" w:rsidRDefault="005218B1" w:rsidP="0081094B">
      <w:pPr>
        <w:keepNext/>
        <w:ind w:left="567" w:hanging="567"/>
        <w:rPr>
          <w:b/>
          <w:bCs/>
        </w:rPr>
      </w:pPr>
      <w:r w:rsidRPr="00F13073">
        <w:br w:type="page"/>
      </w:r>
      <w:r w:rsidR="00E741F8" w:rsidRPr="00F13073">
        <w:rPr>
          <w:b/>
        </w:rPr>
        <w:lastRenderedPageBreak/>
        <w:t>7.</w:t>
      </w:r>
      <w:r w:rsidR="00E741F8" w:rsidRPr="00F13073">
        <w:rPr>
          <w:b/>
        </w:rPr>
        <w:tab/>
        <w:t>Instrukcja użycia</w:t>
      </w:r>
    </w:p>
    <w:p w14:paraId="12C1CCFD" w14:textId="77777777" w:rsidR="00E741F8" w:rsidRPr="00F13073" w:rsidRDefault="00E741F8" w:rsidP="00E741F8">
      <w:pPr>
        <w:keepNext/>
      </w:pPr>
    </w:p>
    <w:p w14:paraId="2FE1CD2B" w14:textId="4F9D30B7" w:rsidR="00E741F8" w:rsidRPr="00F13073" w:rsidRDefault="00E741F8" w:rsidP="00E741F8">
      <w:r w:rsidRPr="00F13073">
        <w:t xml:space="preserve">Przed rozpoczęciem stosowania leku Avtozma i za każdym razem po zakupie nowego opakowania leku należy zapoznać się z instrukcją użycia dołączoną do wstrzykiwacza półautomatycznego napełnionego z lekiem Avtozma i postępować zgodnie z nią. Mogą pojawić się nowe informacje. Przed wstrzyknięciem leku Avtozma należy uzyskać instrukcje </w:t>
      </w:r>
      <w:r w:rsidR="00BB3CED">
        <w:t xml:space="preserve">na temat </w:t>
      </w:r>
      <w:r w:rsidRPr="00F13073">
        <w:t>prawidłowego sposobu stosowania od fachowego personelu medycznego.</w:t>
      </w:r>
    </w:p>
    <w:p w14:paraId="0488BA80" w14:textId="77777777" w:rsidR="00E741F8" w:rsidRPr="00F13073" w:rsidRDefault="00E741F8" w:rsidP="00E741F8"/>
    <w:p w14:paraId="0C6765BE" w14:textId="77777777" w:rsidR="00E741F8" w:rsidRPr="00F13073" w:rsidRDefault="00E741F8" w:rsidP="00E741F8">
      <w:pPr>
        <w:keepNext/>
        <w:rPr>
          <w:b/>
          <w:bCs/>
        </w:rPr>
      </w:pPr>
      <w:r w:rsidRPr="00F13073">
        <w:rPr>
          <w:b/>
        </w:rPr>
        <w:t>Ważne informacje</w:t>
      </w:r>
    </w:p>
    <w:p w14:paraId="75B6E810" w14:textId="77777777" w:rsidR="00E741F8" w:rsidRPr="00F13073" w:rsidRDefault="00E741F8" w:rsidP="00E741F8">
      <w:pPr>
        <w:keepNext/>
        <w:rPr>
          <w:b/>
          <w:bCs/>
        </w:rPr>
      </w:pPr>
    </w:p>
    <w:p w14:paraId="04F196F1" w14:textId="77777777" w:rsidR="00E741F8" w:rsidRPr="00F13073" w:rsidRDefault="00E741F8" w:rsidP="00E741F8">
      <w:pPr>
        <w:pStyle w:val="a0"/>
        <w:numPr>
          <w:ilvl w:val="0"/>
          <w:numId w:val="65"/>
        </w:numPr>
        <w:ind w:left="567" w:hanging="567"/>
        <w:contextualSpacing w:val="0"/>
      </w:pPr>
      <w:r w:rsidRPr="00F13073">
        <w:rPr>
          <w:b/>
        </w:rPr>
        <w:t>Nie należy</w:t>
      </w:r>
      <w:r w:rsidRPr="00F13073">
        <w:t xml:space="preserve"> zdejmować nasadki ze wstrzykiwacza półautomatycznego napełnionego do chwili, kiedy pacjent będzie gotowy do wstrzyknięcia leku Avtozma.</w:t>
      </w:r>
    </w:p>
    <w:p w14:paraId="43384908" w14:textId="77777777" w:rsidR="00E741F8" w:rsidRPr="00F13073" w:rsidRDefault="00E741F8" w:rsidP="00E741F8">
      <w:pPr>
        <w:pStyle w:val="a0"/>
        <w:numPr>
          <w:ilvl w:val="0"/>
          <w:numId w:val="65"/>
        </w:numPr>
        <w:ind w:left="567" w:hanging="567"/>
        <w:contextualSpacing w:val="0"/>
      </w:pPr>
      <w:r w:rsidRPr="00F13073">
        <w:t>W żadnym momencie nie wolno próbować rozmontowywać wstrzykiwacza półautomatycznego napełnionego.</w:t>
      </w:r>
    </w:p>
    <w:p w14:paraId="61569B8F" w14:textId="77777777" w:rsidR="00E741F8" w:rsidRPr="00F13073" w:rsidRDefault="00E741F8" w:rsidP="00E741F8">
      <w:pPr>
        <w:pStyle w:val="a0"/>
        <w:numPr>
          <w:ilvl w:val="0"/>
          <w:numId w:val="65"/>
        </w:numPr>
        <w:ind w:left="567" w:hanging="567"/>
        <w:contextualSpacing w:val="0"/>
      </w:pPr>
      <w:r w:rsidRPr="00F13073">
        <w:rPr>
          <w:b/>
        </w:rPr>
        <w:t>Nie należy</w:t>
      </w:r>
      <w:r w:rsidRPr="00F13073">
        <w:t xml:space="preserve"> ponownie stosować tego samego wstrzykiwacza półautomatycznego napełnionego.</w:t>
      </w:r>
    </w:p>
    <w:p w14:paraId="529AAD1E" w14:textId="6344ECA3" w:rsidR="00E741F8" w:rsidRPr="00F13073" w:rsidRDefault="00E741F8" w:rsidP="00E741F8">
      <w:pPr>
        <w:pStyle w:val="a0"/>
        <w:numPr>
          <w:ilvl w:val="0"/>
          <w:numId w:val="65"/>
        </w:numPr>
        <w:ind w:left="567" w:hanging="567"/>
        <w:contextualSpacing w:val="0"/>
      </w:pPr>
      <w:r w:rsidRPr="00F13073">
        <w:rPr>
          <w:b/>
        </w:rPr>
        <w:t>Nie</w:t>
      </w:r>
      <w:r w:rsidRPr="00F13073">
        <w:t xml:space="preserve"> </w:t>
      </w:r>
      <w:r w:rsidRPr="00F13073">
        <w:rPr>
          <w:b/>
          <w:bCs/>
        </w:rPr>
        <w:t>należy</w:t>
      </w:r>
      <w:r w:rsidRPr="00F13073">
        <w:t xml:space="preserve"> </w:t>
      </w:r>
      <w:r w:rsidR="004905B0" w:rsidRPr="00F13073">
        <w:t>ws</w:t>
      </w:r>
      <w:r w:rsidRPr="00F13073">
        <w:t>trząsać wstrzykiwaczem półautomatycznym napełnionym.</w:t>
      </w:r>
    </w:p>
    <w:p w14:paraId="12F02E85" w14:textId="77777777" w:rsidR="00E741F8" w:rsidRPr="00F13073" w:rsidRDefault="00E741F8" w:rsidP="00E741F8">
      <w:pPr>
        <w:pStyle w:val="a0"/>
        <w:numPr>
          <w:ilvl w:val="0"/>
          <w:numId w:val="65"/>
        </w:numPr>
        <w:ind w:left="567" w:hanging="567"/>
        <w:contextualSpacing w:val="0"/>
      </w:pPr>
      <w:r w:rsidRPr="00F13073">
        <w:rPr>
          <w:b/>
        </w:rPr>
        <w:t>Nie</w:t>
      </w:r>
      <w:r w:rsidRPr="00F13073">
        <w:t xml:space="preserve"> </w:t>
      </w:r>
      <w:r w:rsidRPr="00F13073">
        <w:rPr>
          <w:b/>
          <w:bCs/>
        </w:rPr>
        <w:t>należy</w:t>
      </w:r>
      <w:r w:rsidRPr="00F13073">
        <w:t xml:space="preserve"> używać wstrzykiwacza półautomatycznego napełnionego, jeśli został upuszczony lub uszkodzony.</w:t>
      </w:r>
    </w:p>
    <w:p w14:paraId="233556E5" w14:textId="273A0151" w:rsidR="00E741F8" w:rsidRPr="00F13073" w:rsidRDefault="00E741F8" w:rsidP="00E741F8">
      <w:pPr>
        <w:pStyle w:val="a0"/>
        <w:numPr>
          <w:ilvl w:val="0"/>
          <w:numId w:val="65"/>
        </w:numPr>
        <w:ind w:left="567" w:hanging="567"/>
        <w:contextualSpacing w:val="0"/>
      </w:pPr>
      <w:r w:rsidRPr="00F13073">
        <w:rPr>
          <w:b/>
        </w:rPr>
        <w:t>Zalecenia dla pacjentów dotyczące reakcji nadwrażliwości (lub anafilaksji):</w:t>
      </w:r>
      <w:r w:rsidRPr="00F13073">
        <w:t xml:space="preserve"> Jeśli u pacjenta wystąpią takie objawy, jak wysypka skórna, świąd, dreszcze, obrzęk twarzy, warg, języka lub gardła, ból w klatce piersiowej, świszczący oddech, trudności w oddychaniu lub połykaniu, zawroty głowy lub omdlenia w dowolnym momencie, kiedy pacjent przebywa poza przychodnią, w trakcie wstrzyknięcia lub po wstrzyknięciu, należy bezzwłocznie zwrócić się o pomoc </w:t>
      </w:r>
      <w:r w:rsidR="004203D5">
        <w:t xml:space="preserve">jak </w:t>
      </w:r>
      <w:r w:rsidRPr="00F13073">
        <w:t>w nagłych wypadkach.</w:t>
      </w:r>
    </w:p>
    <w:p w14:paraId="505359F8" w14:textId="77777777" w:rsidR="00E741F8" w:rsidRPr="00F13073" w:rsidRDefault="00E741F8" w:rsidP="00E741F8"/>
    <w:p w14:paraId="28AF6393" w14:textId="77777777" w:rsidR="00E741F8" w:rsidRPr="00F13073" w:rsidRDefault="00E741F8" w:rsidP="00E741F8">
      <w:pPr>
        <w:keepNext/>
        <w:rPr>
          <w:b/>
          <w:bCs/>
        </w:rPr>
      </w:pPr>
      <w:r w:rsidRPr="00F13073">
        <w:rPr>
          <w:b/>
        </w:rPr>
        <w:t>Przechowywanie leku Avtozma</w:t>
      </w:r>
    </w:p>
    <w:p w14:paraId="6B8BC821" w14:textId="77777777" w:rsidR="00E741F8" w:rsidRPr="00F13073" w:rsidRDefault="00E741F8" w:rsidP="00E741F8">
      <w:pPr>
        <w:pStyle w:val="a0"/>
        <w:numPr>
          <w:ilvl w:val="0"/>
          <w:numId w:val="66"/>
        </w:numPr>
        <w:ind w:left="567" w:hanging="567"/>
        <w:contextualSpacing w:val="0"/>
      </w:pPr>
      <w:r w:rsidRPr="00F13073">
        <w:t xml:space="preserve">Niewykorzystany wstrzykiwacz półautomatyczny napełniony należy przechowywać w oryginalnym opakowaniu w lodówce w temperaturze od 2°C do 8°C. </w:t>
      </w:r>
      <w:r w:rsidRPr="00F13073">
        <w:rPr>
          <w:b/>
        </w:rPr>
        <w:t xml:space="preserve">Nie </w:t>
      </w:r>
      <w:r w:rsidRPr="00F13073">
        <w:t>zamrażać.</w:t>
      </w:r>
    </w:p>
    <w:p w14:paraId="6C898FFF" w14:textId="77777777" w:rsidR="00E741F8" w:rsidRPr="00F13073" w:rsidRDefault="00E741F8" w:rsidP="00E741F8">
      <w:pPr>
        <w:pStyle w:val="a0"/>
        <w:numPr>
          <w:ilvl w:val="0"/>
          <w:numId w:val="66"/>
        </w:numPr>
        <w:ind w:left="567" w:hanging="567"/>
        <w:contextualSpacing w:val="0"/>
      </w:pPr>
      <w:r w:rsidRPr="00F13073">
        <w:t xml:space="preserve">Po wyjęciu z lodówki lek Avtozma można przechowywać przez okres do 3 tygodni w temperaturze 30°C lub niższej. Jeśli lek Avtozma nie zostanie zużyty w ciągu 3 tygodni, należy go wyrzucić.  </w:t>
      </w:r>
    </w:p>
    <w:p w14:paraId="74662D22" w14:textId="77777777" w:rsidR="00E741F8" w:rsidRPr="00F13073" w:rsidRDefault="00E741F8" w:rsidP="00E741F8">
      <w:pPr>
        <w:pStyle w:val="a0"/>
        <w:numPr>
          <w:ilvl w:val="0"/>
          <w:numId w:val="66"/>
        </w:numPr>
        <w:ind w:left="567" w:hanging="567"/>
        <w:contextualSpacing w:val="0"/>
      </w:pPr>
      <w:r w:rsidRPr="00F13073">
        <w:t>Wstrzykiwacz półautomatyczny napełniony należy przechowywać z dala od bezpośredniego światła słonecznego.</w:t>
      </w:r>
    </w:p>
    <w:p w14:paraId="0EDE692A" w14:textId="77777777" w:rsidR="00E741F8" w:rsidRPr="00F13073" w:rsidRDefault="00E741F8" w:rsidP="00E741F8">
      <w:pPr>
        <w:pStyle w:val="a0"/>
        <w:numPr>
          <w:ilvl w:val="0"/>
          <w:numId w:val="66"/>
        </w:numPr>
        <w:ind w:left="567" w:hanging="567"/>
        <w:contextualSpacing w:val="0"/>
      </w:pPr>
      <w:r w:rsidRPr="00F13073">
        <w:rPr>
          <w:b/>
        </w:rPr>
        <w:t xml:space="preserve">Nie </w:t>
      </w:r>
      <w:r w:rsidRPr="00F13073">
        <w:rPr>
          <w:b/>
          <w:bCs/>
        </w:rPr>
        <w:t>należy</w:t>
      </w:r>
      <w:r w:rsidRPr="00F13073">
        <w:t xml:space="preserve"> wyjmować wstrzykiwacza półautomatycznego napełnionego z oryginalnego opakowania podczas przechowywania.</w:t>
      </w:r>
    </w:p>
    <w:p w14:paraId="057534D2" w14:textId="77777777" w:rsidR="00E741F8" w:rsidRPr="00F13073" w:rsidRDefault="00E741F8" w:rsidP="00E741F8">
      <w:pPr>
        <w:pStyle w:val="a0"/>
        <w:numPr>
          <w:ilvl w:val="0"/>
          <w:numId w:val="66"/>
        </w:numPr>
        <w:ind w:left="567" w:hanging="567"/>
        <w:contextualSpacing w:val="0"/>
      </w:pPr>
      <w:r w:rsidRPr="00F13073">
        <w:rPr>
          <w:b/>
        </w:rPr>
        <w:t xml:space="preserve">Nie należy </w:t>
      </w:r>
      <w:r w:rsidRPr="00F13073">
        <w:t>pozostawiać wstrzykiwacza półautomatycznego napełnionego bez nadzoru.</w:t>
      </w:r>
    </w:p>
    <w:p w14:paraId="7C78177B" w14:textId="77777777" w:rsidR="00E741F8" w:rsidRPr="00F13073" w:rsidRDefault="00E741F8" w:rsidP="00E741F8">
      <w:pPr>
        <w:pStyle w:val="a0"/>
        <w:numPr>
          <w:ilvl w:val="0"/>
          <w:numId w:val="66"/>
        </w:numPr>
        <w:ind w:left="567" w:hanging="567"/>
        <w:contextualSpacing w:val="0"/>
      </w:pPr>
      <w:r w:rsidRPr="00F13073">
        <w:t>Wstrzykiwacz półautomatyczny napełniony przechowywać w miejscu niedostępnym dla dzieci. Zawiera małe elementy.</w:t>
      </w:r>
    </w:p>
    <w:p w14:paraId="294D3C94" w14:textId="64691154" w:rsidR="00E741F8" w:rsidRPr="00F13073" w:rsidRDefault="00E741F8" w:rsidP="0081094B">
      <w:pPr>
        <w:rPr>
          <w:b/>
          <w:bCs/>
        </w:rPr>
      </w:pPr>
      <w:r w:rsidRPr="00F13073">
        <w:br w:type="page"/>
      </w:r>
      <w:r w:rsidRPr="00F13073">
        <w:rPr>
          <w:b/>
        </w:rPr>
        <w:lastRenderedPageBreak/>
        <w:t>Elementy wstrzykiwacza półautomatycznego napełnionego z lekiem Avtozma (patrz rysunek A).</w:t>
      </w:r>
    </w:p>
    <w:p w14:paraId="1319CF30" w14:textId="440D0334" w:rsidR="00E741F8" w:rsidRPr="00F13073" w:rsidRDefault="004929A7" w:rsidP="00E741F8">
      <w:pPr>
        <w:keepNext/>
      </w:pPr>
      <w:r>
        <w:rPr>
          <w:noProof/>
          <w:lang w:val="en-US" w:eastAsia="ko-KR"/>
        </w:rPr>
        <mc:AlternateContent>
          <mc:Choice Requires="wps">
            <w:drawing>
              <wp:anchor distT="45720" distB="45720" distL="114300" distR="114300" simplePos="0" relativeHeight="251659264" behindDoc="0" locked="1" layoutInCell="1" allowOverlap="1" wp14:anchorId="0BADB21C" wp14:editId="5439AF75">
                <wp:simplePos x="0" y="0"/>
                <wp:positionH relativeFrom="column">
                  <wp:posOffset>434975</wp:posOffset>
                </wp:positionH>
                <wp:positionV relativeFrom="paragraph">
                  <wp:posOffset>288925</wp:posOffset>
                </wp:positionV>
                <wp:extent cx="2294255" cy="422275"/>
                <wp:effectExtent l="0" t="0" r="0" b="0"/>
                <wp:wrapNone/>
                <wp:docPr id="210803230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422275"/>
                        </a:xfrm>
                        <a:prstGeom prst="rect">
                          <a:avLst/>
                        </a:prstGeom>
                        <a:noFill/>
                        <a:ln w="9525">
                          <a:noFill/>
                          <a:miter lim="800000"/>
                          <a:headEnd/>
                          <a:tailEnd/>
                        </a:ln>
                      </wps:spPr>
                      <wps:txbx>
                        <w:txbxContent>
                          <w:p w14:paraId="1071CEC2" w14:textId="223DE053" w:rsidR="00FE78F1" w:rsidRPr="00151F2F" w:rsidRDefault="00FE78F1" w:rsidP="00E741F8">
                            <w:pPr>
                              <w:jc w:val="center"/>
                              <w:rPr>
                                <w:rFonts w:ascii="Arial" w:hAnsi="Arial" w:cs="Arial"/>
                                <w:b/>
                                <w:bCs/>
                                <w:sz w:val="36"/>
                                <w:szCs w:val="36"/>
                              </w:rPr>
                            </w:pPr>
                            <w:r w:rsidRPr="00AD672A">
                              <w:rPr>
                                <w:rFonts w:ascii="Arial" w:hAnsi="Arial"/>
                                <w:b/>
                                <w:sz w:val="36"/>
                              </w:rPr>
                              <w:t>Przed użyciem</w:t>
                            </w:r>
                          </w:p>
                          <w:p w14:paraId="7915A923" w14:textId="77777777" w:rsidR="00FE78F1" w:rsidRPr="0081094B" w:rsidRDefault="00FE78F1" w:rsidP="00E741F8">
                            <w:pPr>
                              <w:jc w:val="center"/>
                              <w:rPr>
                                <w:rFonts w:ascii="Arial" w:hAnsi="Arial" w:cs="Arial"/>
                                <w:b/>
                                <w:bCs/>
                                <w:sz w:val="36"/>
                                <w:szCs w:val="3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DB21C" id="Text Box 63" o:spid="_x0000_s1054" type="#_x0000_t202" style="position:absolute;margin-left:34.25pt;margin-top:22.75pt;width:180.65pt;height:3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" filled="f" stroked="f">
                <v:textbox inset="0,0,0,0">
                  <w:txbxContent>
                    <w:p w14:paraId="1071CEC2" w14:textId="223DE053" w:rsidR="00FE78F1" w:rsidRPr="00151F2F" w:rsidRDefault="00FE78F1" w:rsidP="00E741F8">
                      <w:pPr>
                        <w:jc w:val="center"/>
                        <w:rPr>
                          <w:rFonts w:ascii="Arial" w:hAnsi="Arial" w:cs="Arial"/>
                          <w:b/>
                          <w:bCs/>
                          <w:sz w:val="36"/>
                          <w:szCs w:val="36"/>
                        </w:rPr>
                      </w:pPr>
                      <w:r w:rsidRPr="00AD672A">
                        <w:rPr>
                          <w:rFonts w:ascii="Arial" w:hAnsi="Arial"/>
                          <w:b/>
                          <w:sz w:val="36"/>
                        </w:rPr>
                        <w:t>Przed użyciem</w:t>
                      </w:r>
                    </w:p>
                    <w:p w14:paraId="7915A923" w14:textId="77777777" w:rsidR="00FE78F1" w:rsidRPr="0081094B" w:rsidRDefault="00FE78F1" w:rsidP="00E741F8">
                      <w:pPr>
                        <w:jc w:val="center"/>
                        <w:rPr>
                          <w:rFonts w:ascii="Arial" w:hAnsi="Arial" w:cs="Arial"/>
                          <w:b/>
                          <w:bCs/>
                          <w:sz w:val="36"/>
                          <w:szCs w:val="36"/>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0288" behindDoc="0" locked="1" layoutInCell="1" allowOverlap="1" wp14:anchorId="037BE007" wp14:editId="5531CA80">
                <wp:simplePos x="0" y="0"/>
                <wp:positionH relativeFrom="margin">
                  <wp:posOffset>3952875</wp:posOffset>
                </wp:positionH>
                <wp:positionV relativeFrom="paragraph">
                  <wp:posOffset>301625</wp:posOffset>
                </wp:positionV>
                <wp:extent cx="2044065" cy="422275"/>
                <wp:effectExtent l="0" t="0" r="0" b="0"/>
                <wp:wrapNone/>
                <wp:docPr id="214523290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422275"/>
                        </a:xfrm>
                        <a:prstGeom prst="rect">
                          <a:avLst/>
                        </a:prstGeom>
                        <a:noFill/>
                        <a:ln w="9525">
                          <a:noFill/>
                          <a:miter lim="800000"/>
                          <a:headEnd/>
                          <a:tailEnd/>
                        </a:ln>
                      </wps:spPr>
                      <wps:txbx>
                        <w:txbxContent>
                          <w:p w14:paraId="4B63F05C" w14:textId="1F3D6B59" w:rsidR="00FE78F1" w:rsidRPr="00151F2F" w:rsidRDefault="00FE78F1" w:rsidP="00E741F8">
                            <w:pPr>
                              <w:jc w:val="center"/>
                              <w:rPr>
                                <w:rFonts w:ascii="Arial" w:hAnsi="Arial" w:cs="Arial"/>
                                <w:b/>
                                <w:bCs/>
                                <w:sz w:val="36"/>
                                <w:szCs w:val="36"/>
                              </w:rPr>
                            </w:pPr>
                            <w:r w:rsidRPr="00AD672A">
                              <w:rPr>
                                <w:rFonts w:ascii="Arial" w:hAnsi="Arial"/>
                                <w:b/>
                                <w:sz w:val="36"/>
                              </w:rPr>
                              <w:t>Po użyciu</w:t>
                            </w:r>
                          </w:p>
                          <w:p w14:paraId="5408CACB" w14:textId="77777777" w:rsidR="00FE78F1" w:rsidRPr="0081094B" w:rsidRDefault="00FE78F1" w:rsidP="00E741F8">
                            <w:pPr>
                              <w:jc w:val="center"/>
                              <w:rPr>
                                <w:rFonts w:ascii="Arial" w:hAnsi="Arial" w:cs="Arial"/>
                                <w:b/>
                                <w:bCs/>
                                <w:sz w:val="36"/>
                                <w:szCs w:val="3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BE007" id="Text Box 61" o:spid="_x0000_s1055" type="#_x0000_t202" style="position:absolute;margin-left:311.25pt;margin-top:23.75pt;width:160.95pt;height:3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" filled="f" stroked="f">
                <v:textbox inset="0,0,0,0">
                  <w:txbxContent>
                    <w:p w14:paraId="4B63F05C" w14:textId="1F3D6B59" w:rsidR="00FE78F1" w:rsidRPr="00151F2F" w:rsidRDefault="00FE78F1" w:rsidP="00E741F8">
                      <w:pPr>
                        <w:jc w:val="center"/>
                        <w:rPr>
                          <w:rFonts w:ascii="Arial" w:hAnsi="Arial" w:cs="Arial"/>
                          <w:b/>
                          <w:bCs/>
                          <w:sz w:val="36"/>
                          <w:szCs w:val="36"/>
                        </w:rPr>
                      </w:pPr>
                      <w:r w:rsidRPr="00AD672A">
                        <w:rPr>
                          <w:rFonts w:ascii="Arial" w:hAnsi="Arial"/>
                          <w:b/>
                          <w:sz w:val="36"/>
                        </w:rPr>
                        <w:t>Po użyciu</w:t>
                      </w:r>
                    </w:p>
                    <w:p w14:paraId="5408CACB" w14:textId="77777777" w:rsidR="00FE78F1" w:rsidRPr="0081094B" w:rsidRDefault="00FE78F1" w:rsidP="00E741F8">
                      <w:pPr>
                        <w:jc w:val="center"/>
                        <w:rPr>
                          <w:rFonts w:ascii="Arial" w:hAnsi="Arial" w:cs="Arial"/>
                          <w:b/>
                          <w:bCs/>
                          <w:sz w:val="36"/>
                          <w:szCs w:val="36"/>
                        </w:rPr>
                      </w:pPr>
                    </w:p>
                  </w:txbxContent>
                </v:textbox>
                <w10:wrap anchorx="margin"/>
                <w10:anchorlock/>
              </v:shape>
            </w:pict>
          </mc:Fallback>
        </mc:AlternateContent>
      </w:r>
      <w:r>
        <w:rPr>
          <w:noProof/>
          <w:lang w:val="en-US" w:eastAsia="ko-KR"/>
        </w:rPr>
        <mc:AlternateContent>
          <mc:Choice Requires="wps">
            <w:drawing>
              <wp:anchor distT="45720" distB="45720" distL="114300" distR="114300" simplePos="0" relativeHeight="251661312" behindDoc="0" locked="1" layoutInCell="1" allowOverlap="1" wp14:anchorId="46CA6F97" wp14:editId="451A9292">
                <wp:simplePos x="0" y="0"/>
                <wp:positionH relativeFrom="column">
                  <wp:posOffset>1351280</wp:posOffset>
                </wp:positionH>
                <wp:positionV relativeFrom="paragraph">
                  <wp:posOffset>1917065</wp:posOffset>
                </wp:positionV>
                <wp:extent cx="549910" cy="422275"/>
                <wp:effectExtent l="0" t="0" r="0" b="0"/>
                <wp:wrapNone/>
                <wp:docPr id="18528877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422275"/>
                        </a:xfrm>
                        <a:prstGeom prst="rect">
                          <a:avLst/>
                        </a:prstGeom>
                        <a:noFill/>
                        <a:ln>
                          <a:noFill/>
                        </a:ln>
                      </wps:spPr>
                      <wps:txbx>
                        <w:txbxContent>
                          <w:p w14:paraId="15A325D6" w14:textId="33900152" w:rsidR="00FE78F1" w:rsidRPr="0081094B" w:rsidRDefault="00FE78F1" w:rsidP="00E741F8">
                            <w:pPr>
                              <w:jc w:val="center"/>
                              <w:rPr>
                                <w:rFonts w:ascii="Arial" w:hAnsi="Arial" w:cs="Arial"/>
                                <w:sz w:val="25"/>
                                <w:szCs w:val="25"/>
                              </w:rPr>
                            </w:pPr>
                            <w:r w:rsidRPr="0081094B">
                              <w:rPr>
                                <w:rFonts w:ascii="Arial" w:hAnsi="Arial"/>
                                <w:sz w:val="25"/>
                                <w:szCs w:val="25"/>
                              </w:rPr>
                              <w:t>Korpus</w:t>
                            </w:r>
                          </w:p>
                          <w:p w14:paraId="2EEF4CFF" w14:textId="77777777" w:rsidR="00FE78F1" w:rsidRPr="0081094B" w:rsidRDefault="00FE78F1" w:rsidP="00E741F8">
                            <w:pPr>
                              <w:jc w:val="center"/>
                              <w:rPr>
                                <w:rFonts w:ascii="Arial" w:hAnsi="Arial" w:cs="Arial"/>
                                <w:sz w:val="30"/>
                                <w:szCs w:val="3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CA6F97" id="Text Box 59" o:spid="_x0000_s1056" type="#_x0000_t202" style="position:absolute;margin-left:106.4pt;margin-top:150.95pt;width:43.3pt;height:3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" filled="f" stroked="f">
                <v:textbox inset="0,0,0,0">
                  <w:txbxContent>
                    <w:p w14:paraId="15A325D6" w14:textId="33900152" w:rsidR="00FE78F1" w:rsidRPr="0081094B" w:rsidRDefault="00FE78F1" w:rsidP="00E741F8">
                      <w:pPr>
                        <w:jc w:val="center"/>
                        <w:rPr>
                          <w:rFonts w:ascii="Arial" w:hAnsi="Arial" w:cs="Arial"/>
                          <w:sz w:val="25"/>
                          <w:szCs w:val="25"/>
                        </w:rPr>
                      </w:pPr>
                      <w:r w:rsidRPr="0081094B">
                        <w:rPr>
                          <w:rFonts w:ascii="Arial" w:hAnsi="Arial"/>
                          <w:sz w:val="25"/>
                          <w:szCs w:val="25"/>
                        </w:rPr>
                        <w:t>Korpus</w:t>
                      </w:r>
                    </w:p>
                    <w:p w14:paraId="2EEF4CFF" w14:textId="77777777" w:rsidR="00FE78F1" w:rsidRPr="0081094B" w:rsidRDefault="00FE78F1" w:rsidP="00E741F8">
                      <w:pPr>
                        <w:jc w:val="center"/>
                        <w:rPr>
                          <w:rFonts w:ascii="Arial" w:hAnsi="Arial" w:cs="Arial"/>
                          <w:sz w:val="30"/>
                          <w:szCs w:val="30"/>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2336" behindDoc="0" locked="1" layoutInCell="1" allowOverlap="1" wp14:anchorId="34D58DEF" wp14:editId="772BC289">
                <wp:simplePos x="0" y="0"/>
                <wp:positionH relativeFrom="column">
                  <wp:posOffset>1116965</wp:posOffset>
                </wp:positionH>
                <wp:positionV relativeFrom="paragraph">
                  <wp:posOffset>2873375</wp:posOffset>
                </wp:positionV>
                <wp:extent cx="1052195" cy="551815"/>
                <wp:effectExtent l="0" t="0" r="0" b="0"/>
                <wp:wrapNone/>
                <wp:docPr id="127695899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551815"/>
                        </a:xfrm>
                        <a:prstGeom prst="rect">
                          <a:avLst/>
                        </a:prstGeom>
                        <a:noFill/>
                        <a:ln w="9525">
                          <a:noFill/>
                          <a:miter lim="800000"/>
                          <a:headEnd/>
                          <a:tailEnd/>
                        </a:ln>
                      </wps:spPr>
                      <wps:txbx>
                        <w:txbxContent>
                          <w:p w14:paraId="4A13359B" w14:textId="4A5019F0" w:rsidR="00FE78F1" w:rsidRPr="0081094B" w:rsidRDefault="00FE78F1" w:rsidP="00E741F8">
                            <w:pPr>
                              <w:spacing w:line="264" w:lineRule="auto"/>
                              <w:jc w:val="center"/>
                              <w:rPr>
                                <w:rFonts w:ascii="Arial" w:hAnsi="Arial" w:cs="Arial"/>
                                <w:sz w:val="25"/>
                                <w:szCs w:val="25"/>
                              </w:rPr>
                            </w:pPr>
                            <w:r w:rsidRPr="0081094B">
                              <w:rPr>
                                <w:rFonts w:ascii="Arial" w:hAnsi="Arial"/>
                                <w:sz w:val="25"/>
                                <w:szCs w:val="25"/>
                              </w:rPr>
                              <w:t>Okienko</w:t>
                            </w:r>
                          </w:p>
                          <w:p w14:paraId="5DFC4855" w14:textId="77777777" w:rsidR="00FE78F1" w:rsidRPr="0081094B" w:rsidRDefault="00FE78F1" w:rsidP="00E741F8">
                            <w:pPr>
                              <w:spacing w:line="264" w:lineRule="auto"/>
                              <w:jc w:val="center"/>
                              <w:rPr>
                                <w:rFonts w:ascii="Arial" w:hAnsi="Arial" w:cs="Arial"/>
                                <w:sz w:val="25"/>
                                <w:szCs w:val="2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58DEF" id="Text Box 57" o:spid="_x0000_s1057" type="#_x0000_t202" style="position:absolute;margin-left:87.95pt;margin-top:226.25pt;width:82.85pt;height:43.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" filled="f" stroked="f">
                <v:textbox inset="0,0,0,0">
                  <w:txbxContent>
                    <w:p w14:paraId="4A13359B" w14:textId="4A5019F0" w:rsidR="00FE78F1" w:rsidRPr="0081094B" w:rsidRDefault="00FE78F1" w:rsidP="00E741F8">
                      <w:pPr>
                        <w:spacing w:line="264" w:lineRule="auto"/>
                        <w:jc w:val="center"/>
                        <w:rPr>
                          <w:rFonts w:ascii="Arial" w:hAnsi="Arial" w:cs="Arial"/>
                          <w:sz w:val="25"/>
                          <w:szCs w:val="25"/>
                        </w:rPr>
                      </w:pPr>
                      <w:r w:rsidRPr="0081094B">
                        <w:rPr>
                          <w:rFonts w:ascii="Arial" w:hAnsi="Arial"/>
                          <w:sz w:val="25"/>
                          <w:szCs w:val="25"/>
                        </w:rPr>
                        <w:t>Okienko</w:t>
                      </w:r>
                    </w:p>
                    <w:p w14:paraId="5DFC4855" w14:textId="77777777" w:rsidR="00FE78F1" w:rsidRPr="0081094B" w:rsidRDefault="00FE78F1" w:rsidP="00E741F8">
                      <w:pPr>
                        <w:spacing w:line="264" w:lineRule="auto"/>
                        <w:jc w:val="center"/>
                        <w:rPr>
                          <w:rFonts w:ascii="Arial" w:hAnsi="Arial" w:cs="Arial"/>
                          <w:sz w:val="25"/>
                          <w:szCs w:val="25"/>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3360" behindDoc="0" locked="1" layoutInCell="1" allowOverlap="1" wp14:anchorId="6F7B6C83" wp14:editId="4B8F75C6">
                <wp:simplePos x="0" y="0"/>
                <wp:positionH relativeFrom="column">
                  <wp:posOffset>1153160</wp:posOffset>
                </wp:positionH>
                <wp:positionV relativeFrom="paragraph">
                  <wp:posOffset>3883660</wp:posOffset>
                </wp:positionV>
                <wp:extent cx="948690" cy="1233170"/>
                <wp:effectExtent l="0" t="0" r="0" b="0"/>
                <wp:wrapNone/>
                <wp:docPr id="24805394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233170"/>
                        </a:xfrm>
                        <a:prstGeom prst="rect">
                          <a:avLst/>
                        </a:prstGeom>
                        <a:noFill/>
                        <a:ln w="9525">
                          <a:noFill/>
                          <a:miter lim="800000"/>
                          <a:headEnd/>
                          <a:tailEnd/>
                        </a:ln>
                      </wps:spPr>
                      <wps:txbx>
                        <w:txbxContent>
                          <w:p w14:paraId="0821BA69" w14:textId="05E95BE0"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Niebieska osłona igły (igła wewnątrz)</w:t>
                            </w:r>
                          </w:p>
                          <w:p w14:paraId="10F902AC" w14:textId="77777777" w:rsidR="00FE78F1" w:rsidRPr="0081094B" w:rsidRDefault="00FE78F1" w:rsidP="00E741F8">
                            <w:pPr>
                              <w:spacing w:line="252" w:lineRule="auto"/>
                              <w:jc w:val="center"/>
                              <w:rPr>
                                <w:rFonts w:ascii="Arial" w:hAnsi="Arial" w:cs="Arial"/>
                                <w:sz w:val="25"/>
                                <w:szCs w:val="2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B6C83" id="Text Box 55" o:spid="_x0000_s1058" type="#_x0000_t202" style="position:absolute;margin-left:90.8pt;margin-top:305.8pt;width:74.7pt;height:97.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" filled="f" stroked="f">
                <v:textbox inset="0,0,0,0">
                  <w:txbxContent>
                    <w:p w14:paraId="0821BA69" w14:textId="05E95BE0"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Niebieska osłona igły (igła wewnątrz)</w:t>
                      </w:r>
                    </w:p>
                    <w:p w14:paraId="10F902AC" w14:textId="77777777" w:rsidR="00FE78F1" w:rsidRPr="0081094B" w:rsidRDefault="00FE78F1" w:rsidP="00E741F8">
                      <w:pPr>
                        <w:spacing w:line="252" w:lineRule="auto"/>
                        <w:jc w:val="center"/>
                        <w:rPr>
                          <w:rFonts w:ascii="Arial" w:hAnsi="Arial" w:cs="Arial"/>
                          <w:sz w:val="25"/>
                          <w:szCs w:val="25"/>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4384" behindDoc="0" locked="1" layoutInCell="1" allowOverlap="1" wp14:anchorId="1B560F18" wp14:editId="05C2026C">
                <wp:simplePos x="0" y="0"/>
                <wp:positionH relativeFrom="column">
                  <wp:posOffset>1310640</wp:posOffset>
                </wp:positionH>
                <wp:positionV relativeFrom="paragraph">
                  <wp:posOffset>5026025</wp:posOffset>
                </wp:positionV>
                <wp:extent cx="715645" cy="1338580"/>
                <wp:effectExtent l="0" t="0" r="0" b="0"/>
                <wp:wrapNone/>
                <wp:docPr id="14426794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1338580"/>
                        </a:xfrm>
                        <a:prstGeom prst="rect">
                          <a:avLst/>
                        </a:prstGeom>
                        <a:noFill/>
                        <a:ln>
                          <a:noFill/>
                        </a:ln>
                      </wps:spPr>
                      <wps:txbx>
                        <w:txbxContent>
                          <w:p w14:paraId="5804002F" w14:textId="5E01FDA1"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Pomarańczowa nasadka</w:t>
                            </w:r>
                          </w:p>
                          <w:p w14:paraId="2C87DE8C" w14:textId="77777777" w:rsidR="00FE78F1" w:rsidRPr="0081094B" w:rsidRDefault="00FE78F1" w:rsidP="00E741F8">
                            <w:pPr>
                              <w:spacing w:line="252" w:lineRule="auto"/>
                              <w:jc w:val="center"/>
                              <w:rPr>
                                <w:rFonts w:ascii="Arial" w:hAnsi="Arial" w:cs="Arial"/>
                                <w:sz w:val="25"/>
                                <w:szCs w:val="25"/>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60F18" id="Text Box 53" o:spid="_x0000_s1059" type="#_x0000_t202" style="position:absolute;margin-left:103.2pt;margin-top:395.75pt;width:56.35pt;height:105.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" filled="f" stroked="f">
                <v:textbox inset="0,0,0,0">
                  <w:txbxContent>
                    <w:p w14:paraId="5804002F" w14:textId="5E01FDA1"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Pomarańczowa nasadka</w:t>
                      </w:r>
                    </w:p>
                    <w:p w14:paraId="2C87DE8C" w14:textId="77777777" w:rsidR="00FE78F1" w:rsidRPr="0081094B" w:rsidRDefault="00FE78F1" w:rsidP="00E741F8">
                      <w:pPr>
                        <w:spacing w:line="252" w:lineRule="auto"/>
                        <w:jc w:val="center"/>
                        <w:rPr>
                          <w:rFonts w:ascii="Arial" w:hAnsi="Arial" w:cs="Arial"/>
                          <w:sz w:val="25"/>
                          <w:szCs w:val="25"/>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5408" behindDoc="0" locked="1" layoutInCell="1" allowOverlap="1" wp14:anchorId="34FE1A10" wp14:editId="3B939220">
                <wp:simplePos x="0" y="0"/>
                <wp:positionH relativeFrom="column">
                  <wp:posOffset>2981325</wp:posOffset>
                </wp:positionH>
                <wp:positionV relativeFrom="paragraph">
                  <wp:posOffset>1586230</wp:posOffset>
                </wp:positionV>
                <wp:extent cx="1052195" cy="551815"/>
                <wp:effectExtent l="0" t="0" r="0" b="0"/>
                <wp:wrapNone/>
                <wp:docPr id="114520055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551815"/>
                        </a:xfrm>
                        <a:prstGeom prst="rect">
                          <a:avLst/>
                        </a:prstGeom>
                        <a:noFill/>
                        <a:ln w="9525">
                          <a:noFill/>
                          <a:miter lim="800000"/>
                          <a:headEnd/>
                          <a:tailEnd/>
                        </a:ln>
                      </wps:spPr>
                      <wps:txbx>
                        <w:txbxContent>
                          <w:p w14:paraId="5FBCE1E4" w14:textId="4C9BA780" w:rsidR="00FE78F1" w:rsidRPr="0081094B" w:rsidRDefault="00FE78F1" w:rsidP="00E741F8">
                            <w:pPr>
                              <w:spacing w:line="264" w:lineRule="auto"/>
                              <w:jc w:val="center"/>
                              <w:rPr>
                                <w:rFonts w:ascii="Arial" w:hAnsi="Arial" w:cs="Arial"/>
                                <w:sz w:val="25"/>
                                <w:szCs w:val="25"/>
                              </w:rPr>
                            </w:pPr>
                            <w:r w:rsidRPr="0081094B">
                              <w:rPr>
                                <w:rFonts w:ascii="Arial" w:hAnsi="Arial"/>
                                <w:sz w:val="25"/>
                                <w:szCs w:val="25"/>
                              </w:rPr>
                              <w:t>Termin ważności</w:t>
                            </w:r>
                          </w:p>
                          <w:p w14:paraId="6C32E2EF" w14:textId="77777777" w:rsidR="00FE78F1" w:rsidRPr="0081094B" w:rsidRDefault="00FE78F1" w:rsidP="00E741F8">
                            <w:pPr>
                              <w:spacing w:line="264" w:lineRule="auto"/>
                              <w:jc w:val="center"/>
                              <w:rPr>
                                <w:rFonts w:ascii="Arial" w:hAnsi="Arial" w:cs="Arial"/>
                                <w:sz w:val="25"/>
                                <w:szCs w:val="2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E1A10" id="Text Box 51" o:spid="_x0000_s1060" type="#_x0000_t202" style="position:absolute;margin-left:234.75pt;margin-top:124.9pt;width:82.85pt;height:4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" filled="f" stroked="f">
                <v:textbox inset="0,0,0,0">
                  <w:txbxContent>
                    <w:p w14:paraId="5FBCE1E4" w14:textId="4C9BA780" w:rsidR="00FE78F1" w:rsidRPr="0081094B" w:rsidRDefault="00FE78F1" w:rsidP="00E741F8">
                      <w:pPr>
                        <w:spacing w:line="264" w:lineRule="auto"/>
                        <w:jc w:val="center"/>
                        <w:rPr>
                          <w:rFonts w:ascii="Arial" w:hAnsi="Arial" w:cs="Arial"/>
                          <w:sz w:val="25"/>
                          <w:szCs w:val="25"/>
                        </w:rPr>
                      </w:pPr>
                      <w:r w:rsidRPr="0081094B">
                        <w:rPr>
                          <w:rFonts w:ascii="Arial" w:hAnsi="Arial"/>
                          <w:sz w:val="25"/>
                          <w:szCs w:val="25"/>
                        </w:rPr>
                        <w:t>Termin ważności</w:t>
                      </w:r>
                    </w:p>
                    <w:p w14:paraId="6C32E2EF" w14:textId="77777777" w:rsidR="00FE78F1" w:rsidRPr="0081094B" w:rsidRDefault="00FE78F1" w:rsidP="00E741F8">
                      <w:pPr>
                        <w:spacing w:line="264" w:lineRule="auto"/>
                        <w:jc w:val="center"/>
                        <w:rPr>
                          <w:rFonts w:ascii="Arial" w:hAnsi="Arial" w:cs="Arial"/>
                          <w:sz w:val="25"/>
                          <w:szCs w:val="25"/>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6432" behindDoc="0" locked="1" layoutInCell="1" allowOverlap="1" wp14:anchorId="68243DA8" wp14:editId="453CC4CF">
                <wp:simplePos x="0" y="0"/>
                <wp:positionH relativeFrom="column">
                  <wp:posOffset>3067685</wp:posOffset>
                </wp:positionH>
                <wp:positionV relativeFrom="paragraph">
                  <wp:posOffset>2703195</wp:posOffset>
                </wp:positionV>
                <wp:extent cx="1578610" cy="1071245"/>
                <wp:effectExtent l="0" t="0" r="0" b="0"/>
                <wp:wrapNone/>
                <wp:docPr id="20583033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1071245"/>
                        </a:xfrm>
                        <a:prstGeom prst="rect">
                          <a:avLst/>
                        </a:prstGeom>
                        <a:noFill/>
                        <a:ln w="9525">
                          <a:noFill/>
                          <a:miter lim="800000"/>
                          <a:headEnd/>
                          <a:tailEnd/>
                        </a:ln>
                      </wps:spPr>
                      <wps:txbx>
                        <w:txbxContent>
                          <w:p w14:paraId="5A5E82BD" w14:textId="3DD5FE74" w:rsidR="00FE78F1" w:rsidRPr="0081094B" w:rsidRDefault="00FE78F1" w:rsidP="00E741F8">
                            <w:pPr>
                              <w:spacing w:line="252" w:lineRule="auto"/>
                              <w:jc w:val="center"/>
                              <w:rPr>
                                <w:rFonts w:ascii="Arial" w:hAnsi="Arial" w:cs="Arial"/>
                                <w:b/>
                                <w:bCs/>
                                <w:sz w:val="25"/>
                                <w:szCs w:val="25"/>
                              </w:rPr>
                            </w:pPr>
                            <w:r w:rsidRPr="0081094B">
                              <w:rPr>
                                <w:rFonts w:ascii="Arial" w:hAnsi="Arial"/>
                                <w:sz w:val="25"/>
                                <w:szCs w:val="25"/>
                              </w:rPr>
                              <w:t xml:space="preserve">Pomarańczowy wskaźnik </w:t>
                            </w:r>
                            <w:r w:rsidRPr="0081094B">
                              <w:rPr>
                                <w:rFonts w:ascii="Arial" w:hAnsi="Arial"/>
                                <w:b/>
                                <w:bCs/>
                                <w:sz w:val="25"/>
                                <w:szCs w:val="25"/>
                              </w:rPr>
                              <w:t>„zakończono wstrzyknięcie”</w:t>
                            </w:r>
                          </w:p>
                          <w:p w14:paraId="76CA75C8" w14:textId="77777777" w:rsidR="00FE78F1" w:rsidRPr="0081094B" w:rsidRDefault="00FE78F1" w:rsidP="00E741F8">
                            <w:pPr>
                              <w:spacing w:line="252" w:lineRule="auto"/>
                              <w:jc w:val="center"/>
                              <w:rPr>
                                <w:rFonts w:ascii="Arial" w:hAnsi="Arial" w:cs="Arial"/>
                                <w:b/>
                                <w:bCs/>
                                <w:sz w:val="25"/>
                                <w:szCs w:val="2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43DA8" id="Text Box 49" o:spid="_x0000_s1061" type="#_x0000_t202" style="position:absolute;margin-left:241.55pt;margin-top:212.85pt;width:124.3pt;height:84.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" filled="f" stroked="f">
                <v:textbox inset="0,0,0,0">
                  <w:txbxContent>
                    <w:p w14:paraId="5A5E82BD" w14:textId="3DD5FE74" w:rsidR="00FE78F1" w:rsidRPr="0081094B" w:rsidRDefault="00FE78F1" w:rsidP="00E741F8">
                      <w:pPr>
                        <w:spacing w:line="252" w:lineRule="auto"/>
                        <w:jc w:val="center"/>
                        <w:rPr>
                          <w:rFonts w:ascii="Arial" w:hAnsi="Arial" w:cs="Arial"/>
                          <w:b/>
                          <w:bCs/>
                          <w:sz w:val="25"/>
                          <w:szCs w:val="25"/>
                        </w:rPr>
                      </w:pPr>
                      <w:r w:rsidRPr="0081094B">
                        <w:rPr>
                          <w:rFonts w:ascii="Arial" w:hAnsi="Arial"/>
                          <w:sz w:val="25"/>
                          <w:szCs w:val="25"/>
                        </w:rPr>
                        <w:t xml:space="preserve">Pomarańczowy wskaźnik </w:t>
                      </w:r>
                      <w:r w:rsidRPr="0081094B">
                        <w:rPr>
                          <w:rFonts w:ascii="Arial" w:hAnsi="Arial"/>
                          <w:b/>
                          <w:bCs/>
                          <w:sz w:val="25"/>
                          <w:szCs w:val="25"/>
                        </w:rPr>
                        <w:t>„zakończono wstrzyknięcie”</w:t>
                      </w:r>
                    </w:p>
                    <w:p w14:paraId="76CA75C8" w14:textId="77777777" w:rsidR="00FE78F1" w:rsidRPr="0081094B" w:rsidRDefault="00FE78F1" w:rsidP="00E741F8">
                      <w:pPr>
                        <w:spacing w:line="252" w:lineRule="auto"/>
                        <w:jc w:val="center"/>
                        <w:rPr>
                          <w:rFonts w:ascii="Arial" w:hAnsi="Arial" w:cs="Arial"/>
                          <w:b/>
                          <w:bCs/>
                          <w:sz w:val="25"/>
                          <w:szCs w:val="25"/>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67456" behindDoc="0" locked="1" layoutInCell="1" allowOverlap="1" wp14:anchorId="6B0A3CFB" wp14:editId="7D39E1D5">
                <wp:simplePos x="0" y="0"/>
                <wp:positionH relativeFrom="column">
                  <wp:posOffset>3139440</wp:posOffset>
                </wp:positionH>
                <wp:positionV relativeFrom="paragraph">
                  <wp:posOffset>3879215</wp:posOffset>
                </wp:positionV>
                <wp:extent cx="1344930" cy="1233170"/>
                <wp:effectExtent l="0" t="0" r="0" b="0"/>
                <wp:wrapNone/>
                <wp:docPr id="199320912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1233170"/>
                        </a:xfrm>
                        <a:prstGeom prst="rect">
                          <a:avLst/>
                        </a:prstGeom>
                        <a:noFill/>
                        <a:ln w="9525">
                          <a:noFill/>
                          <a:miter lim="800000"/>
                          <a:headEnd/>
                          <a:tailEnd/>
                        </a:ln>
                      </wps:spPr>
                      <wps:txbx>
                        <w:txbxContent>
                          <w:p w14:paraId="6207E938" w14:textId="55F8944C"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Niebieska osłona igły (zablokowana i igła wewnątrz)</w:t>
                            </w:r>
                          </w:p>
                          <w:p w14:paraId="648AE534" w14:textId="77777777" w:rsidR="00FE78F1" w:rsidRPr="0081094B" w:rsidRDefault="00FE78F1" w:rsidP="00E741F8">
                            <w:pPr>
                              <w:spacing w:line="252" w:lineRule="auto"/>
                              <w:jc w:val="center"/>
                              <w:rPr>
                                <w:rFonts w:ascii="Arial" w:hAnsi="Arial" w:cs="Arial"/>
                                <w:sz w:val="25"/>
                                <w:szCs w:val="2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3CFB" id="Text Box 47" o:spid="_x0000_s1062" type="#_x0000_t202" style="position:absolute;margin-left:247.2pt;margin-top:305.45pt;width:105.9pt;height:97.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" filled="f" stroked="f">
                <v:textbox inset="0,0,0,0">
                  <w:txbxContent>
                    <w:p w14:paraId="6207E938" w14:textId="55F8944C" w:rsidR="00FE78F1" w:rsidRPr="0081094B" w:rsidRDefault="00FE78F1" w:rsidP="00E741F8">
                      <w:pPr>
                        <w:spacing w:line="252" w:lineRule="auto"/>
                        <w:jc w:val="center"/>
                        <w:rPr>
                          <w:rFonts w:ascii="Arial" w:hAnsi="Arial" w:cs="Arial"/>
                          <w:sz w:val="25"/>
                          <w:szCs w:val="25"/>
                        </w:rPr>
                      </w:pPr>
                      <w:r w:rsidRPr="0081094B">
                        <w:rPr>
                          <w:rFonts w:ascii="Arial" w:hAnsi="Arial"/>
                          <w:sz w:val="25"/>
                          <w:szCs w:val="25"/>
                        </w:rPr>
                        <w:t>Niebieska osłona igły (zablokowana i igła wewnątrz)</w:t>
                      </w:r>
                    </w:p>
                    <w:p w14:paraId="648AE534" w14:textId="77777777" w:rsidR="00FE78F1" w:rsidRPr="0081094B" w:rsidRDefault="00FE78F1" w:rsidP="00E741F8">
                      <w:pPr>
                        <w:spacing w:line="252" w:lineRule="auto"/>
                        <w:jc w:val="center"/>
                        <w:rPr>
                          <w:rFonts w:ascii="Arial" w:hAnsi="Arial" w:cs="Arial"/>
                          <w:sz w:val="25"/>
                          <w:szCs w:val="25"/>
                        </w:rPr>
                      </w:pPr>
                    </w:p>
                  </w:txbxContent>
                </v:textbox>
                <w10:anchorlock/>
              </v:shape>
            </w:pict>
          </mc:Fallback>
        </mc:AlternateContent>
      </w:r>
    </w:p>
    <w:p w14:paraId="602E1A9C" w14:textId="664A292E" w:rsidR="00E741F8" w:rsidRPr="00F13073" w:rsidRDefault="004929A7" w:rsidP="00E741F8">
      <w:pPr>
        <w:spacing w:line="200" w:lineRule="atLeast"/>
        <w:ind w:left="316"/>
      </w:pPr>
      <w:r>
        <w:rPr>
          <w:noProof/>
          <w:sz w:val="20"/>
          <w:lang w:val="en-US" w:eastAsia="ko-KR"/>
        </w:rPr>
        <w:drawing>
          <wp:inline distT="0" distB="0" distL="0" distR="0" wp14:anchorId="4D6324C3" wp14:editId="5C3131A3">
            <wp:extent cx="5455920" cy="5469255"/>
            <wp:effectExtent l="0" t="0" r="0" b="0"/>
            <wp:docPr id="22" name="그림 996297903"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96297903" descr="텍스트, 스크린샷, 도표, 디자인이(가) 표시된 사진&#10;&#10;자동 생성된 설명"/>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55920" cy="5469255"/>
                    </a:xfrm>
                    <a:prstGeom prst="rect">
                      <a:avLst/>
                    </a:prstGeom>
                    <a:noFill/>
                    <a:ln>
                      <a:noFill/>
                    </a:ln>
                  </pic:spPr>
                </pic:pic>
              </a:graphicData>
            </a:graphic>
          </wp:inline>
        </w:drawing>
      </w:r>
    </w:p>
    <w:p w14:paraId="63BFB906" w14:textId="77777777" w:rsidR="00E741F8" w:rsidRPr="00F13073" w:rsidRDefault="00E741F8" w:rsidP="00E741F8">
      <w:pPr>
        <w:jc w:val="center"/>
        <w:rPr>
          <w:b/>
          <w:bCs/>
        </w:rPr>
      </w:pPr>
      <w:r w:rsidRPr="00F13073">
        <w:rPr>
          <w:b/>
        </w:rPr>
        <w:t>Rysunek A</w:t>
      </w:r>
    </w:p>
    <w:p w14:paraId="4D29F9AA" w14:textId="77777777" w:rsidR="00E741F8" w:rsidRPr="00F13073" w:rsidRDefault="00E741F8" w:rsidP="00E741F8">
      <w:r w:rsidRPr="00F13073">
        <w:br w:type="page"/>
      </w:r>
    </w:p>
    <w:p w14:paraId="5E5BCA78" w14:textId="77777777" w:rsidR="00E741F8" w:rsidRPr="00F13073" w:rsidRDefault="00E741F8" w:rsidP="00E741F8">
      <w:pPr>
        <w:keepNext/>
        <w:rPr>
          <w:b/>
          <w:bCs/>
        </w:rPr>
      </w:pPr>
      <w:r w:rsidRPr="00F13073">
        <w:rPr>
          <w:b/>
        </w:rPr>
        <w:lastRenderedPageBreak/>
        <w:t xml:space="preserve">Przygotowanie do wykonania wstrzyknięcia </w:t>
      </w:r>
    </w:p>
    <w:p w14:paraId="02734406" w14:textId="77777777" w:rsidR="00E741F8" w:rsidRPr="00F13073" w:rsidRDefault="00E741F8" w:rsidP="00E741F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3096B76B" w14:textId="77777777">
        <w:trPr>
          <w:cantSplit/>
        </w:trPr>
        <w:tc>
          <w:tcPr>
            <w:tcW w:w="3539" w:type="dxa"/>
          </w:tcPr>
          <w:p w14:paraId="1B055946" w14:textId="7DEB83D5" w:rsidR="00E741F8" w:rsidRPr="00F13073" w:rsidRDefault="000F2F0E" w:rsidP="005F0664">
            <w:pPr>
              <w:pStyle w:val="af0"/>
            </w:pPr>
            <w:bookmarkStart w:id="55" w:name="_Hlk197599749"/>
            <w:r>
              <w:rPr>
                <w:noProof/>
              </w:rPr>
              <w:drawing>
                <wp:inline distT="0" distB="0" distL="0" distR="0" wp14:anchorId="5E174AED" wp14:editId="131B8DE4">
                  <wp:extent cx="2112010" cy="2800350"/>
                  <wp:effectExtent l="0" t="0" r="2540" b="0"/>
                  <wp:docPr id="1" name="그림 1" descr="C:\Users\2501570\Desktop\AI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501570\Desktop\AI figure B clean.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19211" cy="2809898"/>
                          </a:xfrm>
                          <a:prstGeom prst="rect">
                            <a:avLst/>
                          </a:prstGeom>
                          <a:noFill/>
                          <a:ln>
                            <a:noFill/>
                          </a:ln>
                        </pic:spPr>
                      </pic:pic>
                    </a:graphicData>
                  </a:graphic>
                </wp:inline>
              </w:drawing>
            </w:r>
          </w:p>
          <w:p w14:paraId="373E83A9" w14:textId="5A4B81C7" w:rsidR="00E741F8"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68480" behindDoc="0" locked="1" layoutInCell="1" allowOverlap="1" wp14:anchorId="4CEB6B1F" wp14:editId="537212E3">
                      <wp:simplePos x="0" y="0"/>
                      <wp:positionH relativeFrom="column">
                        <wp:posOffset>1125855</wp:posOffset>
                      </wp:positionH>
                      <wp:positionV relativeFrom="page">
                        <wp:posOffset>699770</wp:posOffset>
                      </wp:positionV>
                      <wp:extent cx="1011555" cy="810260"/>
                      <wp:effectExtent l="0" t="0" r="0" b="0"/>
                      <wp:wrapNone/>
                      <wp:docPr id="15041840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810260"/>
                              </a:xfrm>
                              <a:prstGeom prst="rect">
                                <a:avLst/>
                              </a:prstGeom>
                              <a:noFill/>
                              <a:ln>
                                <a:noFill/>
                              </a:ln>
                            </wps:spPr>
                            <wps:txbx>
                              <w:txbxContent>
                                <w:p w14:paraId="5D18CAD3" w14:textId="47B1B321"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18"/>
                                    </w:rPr>
                                    <w:t>Wacik lub gazik oraz gazik nasączony alkoholem</w:t>
                                  </w:r>
                                </w:p>
                                <w:p w14:paraId="1B29D8FF" w14:textId="77777777" w:rsidR="00FE78F1" w:rsidRPr="0081094B" w:rsidRDefault="00FE78F1" w:rsidP="00E741F8">
                                  <w:pPr>
                                    <w:spacing w:line="260" w:lineRule="exact"/>
                                    <w:jc w:val="center"/>
                                    <w:rPr>
                                      <w:rFonts w:ascii="Arial" w:hAnsi="Arial"/>
                                      <w:color w:val="595959"/>
                                      <w:sz w:val="18"/>
                                      <w:szCs w:val="1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B6B1F" id="Text Box 45" o:spid="_x0000_s1063" type="#_x0000_t202" style="position:absolute;left:0;text-align:left;margin-left:88.65pt;margin-top:55.1pt;width:79.65pt;height:63.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" filled="f" stroked="f">
                      <v:textbox inset="0,0,0,0">
                        <w:txbxContent>
                          <w:p w14:paraId="5D18CAD3" w14:textId="47B1B321"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18"/>
                              </w:rPr>
                              <w:t>Wacik lub gazik oraz gazik nasączony alkoholem</w:t>
                            </w:r>
                          </w:p>
                          <w:p w14:paraId="1B29D8FF" w14:textId="77777777" w:rsidR="00FE78F1" w:rsidRPr="0081094B" w:rsidRDefault="00FE78F1" w:rsidP="00E741F8">
                            <w:pPr>
                              <w:spacing w:line="260" w:lineRule="exact"/>
                              <w:jc w:val="center"/>
                              <w:rPr>
                                <w:rFonts w:ascii="Arial" w:hAnsi="Arial"/>
                                <w:color w:val="595959"/>
                                <w:sz w:val="18"/>
                                <w:szCs w:val="18"/>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69504" behindDoc="0" locked="1" layoutInCell="1" allowOverlap="1" wp14:anchorId="3CC335E3" wp14:editId="479EC58C">
                      <wp:simplePos x="0" y="0"/>
                      <wp:positionH relativeFrom="column">
                        <wp:posOffset>1001395</wp:posOffset>
                      </wp:positionH>
                      <wp:positionV relativeFrom="page">
                        <wp:posOffset>2025015</wp:posOffset>
                      </wp:positionV>
                      <wp:extent cx="1011555" cy="564515"/>
                      <wp:effectExtent l="0" t="0" r="0" b="0"/>
                      <wp:wrapNone/>
                      <wp:docPr id="190857210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564515"/>
                              </a:xfrm>
                              <a:prstGeom prst="rect">
                                <a:avLst/>
                              </a:prstGeom>
                              <a:noFill/>
                              <a:ln>
                                <a:noFill/>
                              </a:ln>
                            </wps:spPr>
                            <wps:txbx>
                              <w:txbxContent>
                                <w:p w14:paraId="6C81D9FD" w14:textId="665056FC"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21"/>
                                    </w:rPr>
                                    <w:t>Pojemnik na ostre odpady medyczne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C335E3" id="Text Box 43" o:spid="_x0000_s1064" type="#_x0000_t202" style="position:absolute;left:0;text-align:left;margin-left:78.85pt;margin-top:159.45pt;width:79.65pt;height:44.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" filled="f" stroked="f">
                      <v:textbox inset="0,0,0,0">
                        <w:txbxContent>
                          <w:p w14:paraId="6C81D9FD" w14:textId="665056FC"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21"/>
                              </w:rPr>
                              <w:t>Pojemnik na ostre odpady medyczne</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70528" behindDoc="0" locked="1" layoutInCell="1" allowOverlap="1" wp14:anchorId="0575BB65" wp14:editId="5FDF3ABD">
                      <wp:simplePos x="0" y="0"/>
                      <wp:positionH relativeFrom="column">
                        <wp:posOffset>-4445</wp:posOffset>
                      </wp:positionH>
                      <wp:positionV relativeFrom="page">
                        <wp:posOffset>762000</wp:posOffset>
                      </wp:positionV>
                      <wp:extent cx="1186815" cy="735330"/>
                      <wp:effectExtent l="0" t="0" r="0" b="0"/>
                      <wp:wrapNone/>
                      <wp:docPr id="170856496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735330"/>
                              </a:xfrm>
                              <a:prstGeom prst="rect">
                                <a:avLst/>
                              </a:prstGeom>
                              <a:noFill/>
                              <a:ln>
                                <a:noFill/>
                              </a:ln>
                            </wps:spPr>
                            <wps:txbx>
                              <w:txbxContent>
                                <w:p w14:paraId="7E978E2E" w14:textId="50F440F7"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18"/>
                                    </w:rPr>
                                    <w:t>Pudełko zawierające wstrzykiwacz półautomatyczny napełniony</w:t>
                                  </w:r>
                                </w:p>
                                <w:p w14:paraId="17368987" w14:textId="77777777" w:rsidR="00FE78F1" w:rsidRPr="0081094B" w:rsidRDefault="00FE78F1" w:rsidP="00E741F8">
                                  <w:pPr>
                                    <w:spacing w:line="260" w:lineRule="exact"/>
                                    <w:jc w:val="center"/>
                                    <w:rPr>
                                      <w:rFonts w:ascii="Arial" w:hAnsi="Arial"/>
                                      <w:color w:val="595959"/>
                                      <w:sz w:val="18"/>
                                      <w:szCs w:val="1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5BB65" id="Text Box 41" o:spid="_x0000_s1065" type="#_x0000_t202" style="position:absolute;left:0;text-align:left;margin-left:-.35pt;margin-top:60pt;width:93.45pt;height:57.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" filled="f" stroked="f">
                      <v:textbox inset="0,0,0,0">
                        <w:txbxContent>
                          <w:p w14:paraId="7E978E2E" w14:textId="50F440F7"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18"/>
                              </w:rPr>
                              <w:t>Pudełko zawierające wstrzykiwacz półautomatyczny napełniony</w:t>
                            </w:r>
                          </w:p>
                          <w:p w14:paraId="17368987" w14:textId="77777777" w:rsidR="00FE78F1" w:rsidRPr="0081094B" w:rsidRDefault="00FE78F1" w:rsidP="00E741F8">
                            <w:pPr>
                              <w:spacing w:line="260" w:lineRule="exact"/>
                              <w:jc w:val="center"/>
                              <w:rPr>
                                <w:rFonts w:ascii="Arial" w:hAnsi="Arial"/>
                                <w:color w:val="595959"/>
                                <w:sz w:val="18"/>
                                <w:szCs w:val="18"/>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71552" behindDoc="0" locked="1" layoutInCell="1" allowOverlap="1" wp14:anchorId="62563F32" wp14:editId="6A90CAC7">
                      <wp:simplePos x="0" y="0"/>
                      <wp:positionH relativeFrom="column">
                        <wp:posOffset>85725</wp:posOffset>
                      </wp:positionH>
                      <wp:positionV relativeFrom="page">
                        <wp:posOffset>2024380</wp:posOffset>
                      </wp:positionV>
                      <wp:extent cx="862965" cy="564515"/>
                      <wp:effectExtent l="0" t="0" r="0" b="0"/>
                      <wp:wrapNone/>
                      <wp:docPr id="1320105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564515"/>
                              </a:xfrm>
                              <a:prstGeom prst="rect">
                                <a:avLst/>
                              </a:prstGeom>
                              <a:noFill/>
                              <a:ln>
                                <a:noFill/>
                              </a:ln>
                            </wps:spPr>
                            <wps:txbx>
                              <w:txbxContent>
                                <w:p w14:paraId="0E983906" w14:textId="18BDBB19"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21"/>
                                    </w:rPr>
                                    <w:t>Opatrunek samoprzylepny</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63F32" id="Text Box 39" o:spid="_x0000_s1066" type="#_x0000_t202" style="position:absolute;left:0;text-align:left;margin-left:6.75pt;margin-top:159.4pt;width:67.95pt;height:44.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" filled="f" stroked="f">
                      <v:textbox inset="0,0,0,0">
                        <w:txbxContent>
                          <w:p w14:paraId="0E983906" w14:textId="18BDBB19" w:rsidR="00FE78F1" w:rsidRPr="0081094B" w:rsidRDefault="00FE78F1" w:rsidP="00E741F8">
                            <w:pPr>
                              <w:spacing w:line="260" w:lineRule="exact"/>
                              <w:jc w:val="center"/>
                              <w:rPr>
                                <w:rFonts w:ascii="Arial" w:hAnsi="Arial"/>
                                <w:color w:val="595959"/>
                                <w:sz w:val="18"/>
                                <w:szCs w:val="18"/>
                              </w:rPr>
                            </w:pPr>
                            <w:r w:rsidRPr="0081094B">
                              <w:rPr>
                                <w:rFonts w:ascii="Arial" w:hAnsi="Arial"/>
                                <w:color w:val="595959"/>
                                <w:sz w:val="18"/>
                                <w:szCs w:val="21"/>
                              </w:rPr>
                              <w:t>Opatrunek samoprzylepny</w:t>
                            </w:r>
                          </w:p>
                        </w:txbxContent>
                      </v:textbox>
                      <w10:wrap anchory="page"/>
                      <w10:anchorlock/>
                    </v:shape>
                  </w:pict>
                </mc:Fallback>
              </mc:AlternateContent>
            </w:r>
            <w:r w:rsidR="00E741F8" w:rsidRPr="00F13073">
              <w:rPr>
                <w:b/>
              </w:rPr>
              <w:t>Rysunek B</w:t>
            </w:r>
          </w:p>
        </w:tc>
        <w:tc>
          <w:tcPr>
            <w:tcW w:w="5517" w:type="dxa"/>
          </w:tcPr>
          <w:p w14:paraId="744DC1D5" w14:textId="77777777" w:rsidR="00E741F8" w:rsidRPr="00F13073" w:rsidRDefault="00E741F8">
            <w:pPr>
              <w:pStyle w:val="a4"/>
              <w:numPr>
                <w:ilvl w:val="0"/>
                <w:numId w:val="48"/>
              </w:numPr>
              <w:spacing w:after="0"/>
              <w:ind w:left="567" w:hanging="567"/>
              <w:rPr>
                <w:b/>
              </w:rPr>
            </w:pPr>
            <w:r w:rsidRPr="00F13073">
              <w:rPr>
                <w:b/>
              </w:rPr>
              <w:t>Przygotować materiały niezbędne do wykonania wstrzyknięcia.</w:t>
            </w:r>
          </w:p>
          <w:p w14:paraId="6612079B" w14:textId="77777777" w:rsidR="00E741F8" w:rsidRPr="00F13073" w:rsidRDefault="00E741F8">
            <w:pPr>
              <w:pStyle w:val="a4"/>
              <w:spacing w:after="0"/>
              <w:ind w:left="567" w:hanging="567"/>
              <w:rPr>
                <w:b/>
              </w:rPr>
            </w:pPr>
          </w:p>
          <w:p w14:paraId="5CBAAFA1" w14:textId="5460C86D" w:rsidR="00E741F8" w:rsidRPr="00F13073" w:rsidRDefault="00E741F8">
            <w:pPr>
              <w:pStyle w:val="a4"/>
              <w:numPr>
                <w:ilvl w:val="0"/>
                <w:numId w:val="49"/>
              </w:numPr>
              <w:spacing w:after="0"/>
              <w:ind w:left="567" w:hanging="567"/>
              <w:rPr>
                <w:bCs/>
              </w:rPr>
            </w:pPr>
            <w:r w:rsidRPr="00F13073">
              <w:t xml:space="preserve">Przygotować czystą, płaską powierzchnię, np. stół lub blat, w dobrze oświetlonym </w:t>
            </w:r>
            <w:r w:rsidR="004905B0" w:rsidRPr="00F13073">
              <w:t>miejscu</w:t>
            </w:r>
            <w:r w:rsidRPr="00F13073">
              <w:t>.</w:t>
            </w:r>
          </w:p>
          <w:p w14:paraId="00F0AA07" w14:textId="5700A849" w:rsidR="00E741F8" w:rsidRPr="00F13073" w:rsidRDefault="004905B0">
            <w:pPr>
              <w:pStyle w:val="a4"/>
              <w:numPr>
                <w:ilvl w:val="0"/>
                <w:numId w:val="49"/>
              </w:numPr>
              <w:spacing w:after="0"/>
              <w:ind w:left="567" w:hanging="567"/>
              <w:rPr>
                <w:bCs/>
              </w:rPr>
            </w:pPr>
            <w:r w:rsidRPr="00F13073">
              <w:t>Wyjąć z lodówki pudełko</w:t>
            </w:r>
            <w:r w:rsidR="00E741F8" w:rsidRPr="00F13073">
              <w:t xml:space="preserve"> zawierające wstrzykiwacz półautomatyczny napełniony.</w:t>
            </w:r>
          </w:p>
          <w:p w14:paraId="2BB78FA8" w14:textId="1C92E1B6" w:rsidR="00E741F8" w:rsidRPr="00F13073" w:rsidRDefault="00E741F8">
            <w:pPr>
              <w:pStyle w:val="a4"/>
              <w:numPr>
                <w:ilvl w:val="0"/>
                <w:numId w:val="49"/>
              </w:numPr>
              <w:spacing w:after="0"/>
              <w:ind w:left="567" w:hanging="567"/>
              <w:rPr>
                <w:bCs/>
              </w:rPr>
            </w:pPr>
            <w:r w:rsidRPr="00F13073">
              <w:t xml:space="preserve">Upewnić się, że przygotowano następujące </w:t>
            </w:r>
            <w:r w:rsidR="004905B0" w:rsidRPr="00F13073">
              <w:t>materiały</w:t>
            </w:r>
            <w:r w:rsidRPr="00F13073">
              <w:t xml:space="preserve"> (patrz </w:t>
            </w:r>
            <w:r w:rsidRPr="00F13073">
              <w:rPr>
                <w:b/>
                <w:bCs/>
              </w:rPr>
              <w:t>rysunek B</w:t>
            </w:r>
            <w:r w:rsidRPr="00F13073">
              <w:t>):</w:t>
            </w:r>
          </w:p>
          <w:p w14:paraId="3C0EF3F4" w14:textId="43A725AA" w:rsidR="00E741F8" w:rsidRPr="00F13073" w:rsidRDefault="00E741F8">
            <w:pPr>
              <w:pStyle w:val="a4"/>
              <w:spacing w:after="0"/>
              <w:ind w:left="567" w:hanging="567"/>
            </w:pPr>
            <w:r w:rsidRPr="00F13073">
              <w:t>- Pudełko zawierające wstrzykiwacz z lekiem Avtozma</w:t>
            </w:r>
          </w:p>
          <w:p w14:paraId="24B1A767" w14:textId="77777777" w:rsidR="00E741F8" w:rsidRPr="00F13073" w:rsidRDefault="00E741F8">
            <w:pPr>
              <w:pStyle w:val="a4"/>
              <w:spacing w:after="0"/>
              <w:ind w:left="567" w:hanging="567"/>
              <w:rPr>
                <w:lang w:eastAsia="ko-KR"/>
              </w:rPr>
            </w:pPr>
          </w:p>
          <w:p w14:paraId="4E6FEEC9" w14:textId="77777777" w:rsidR="00E741F8" w:rsidRPr="00F13073" w:rsidRDefault="00E741F8">
            <w:pPr>
              <w:pStyle w:val="a4"/>
              <w:spacing w:after="0"/>
              <w:ind w:left="567" w:hanging="567"/>
              <w:rPr>
                <w:b/>
              </w:rPr>
            </w:pPr>
            <w:r w:rsidRPr="00F13073">
              <w:rPr>
                <w:b/>
              </w:rPr>
              <w:t>Przedmioty niedołączone do opakowania:</w:t>
            </w:r>
          </w:p>
          <w:p w14:paraId="37288317" w14:textId="2EF98BC7" w:rsidR="00E741F8" w:rsidRPr="00F13073" w:rsidRDefault="00E741F8">
            <w:pPr>
              <w:pStyle w:val="a4"/>
              <w:spacing w:after="0"/>
              <w:ind w:left="567" w:hanging="567"/>
            </w:pPr>
            <w:r w:rsidRPr="00F13073">
              <w:t xml:space="preserve">- </w:t>
            </w:r>
            <w:r w:rsidR="004905B0" w:rsidRPr="00F13073">
              <w:t>W</w:t>
            </w:r>
            <w:r w:rsidRPr="00F13073">
              <w:t>acik lub gazik</w:t>
            </w:r>
          </w:p>
          <w:p w14:paraId="2839DCAD" w14:textId="77777777" w:rsidR="00E741F8" w:rsidRPr="00F13073" w:rsidRDefault="00E741F8">
            <w:pPr>
              <w:pStyle w:val="a4"/>
              <w:spacing w:after="0"/>
              <w:ind w:left="567" w:hanging="567"/>
            </w:pPr>
            <w:r w:rsidRPr="00F13073">
              <w:t>- Opatrunek samoprzylepny</w:t>
            </w:r>
          </w:p>
          <w:p w14:paraId="4ED3B216" w14:textId="77777777" w:rsidR="00E741F8" w:rsidRPr="00F13073" w:rsidRDefault="00E741F8">
            <w:pPr>
              <w:pStyle w:val="a4"/>
              <w:spacing w:after="0"/>
              <w:ind w:left="567" w:hanging="567"/>
            </w:pPr>
            <w:r w:rsidRPr="00F13073">
              <w:t>- Pojemnik na ostre odpady medyczne</w:t>
            </w:r>
          </w:p>
          <w:p w14:paraId="2A63DCA5" w14:textId="77777777" w:rsidR="00E741F8" w:rsidRPr="00F13073" w:rsidRDefault="00E741F8">
            <w:pPr>
              <w:pStyle w:val="a4"/>
              <w:spacing w:after="0"/>
              <w:ind w:left="567" w:hanging="567"/>
            </w:pPr>
            <w:r w:rsidRPr="00F13073">
              <w:t>- Gazik nasączony alkoholem</w:t>
            </w:r>
          </w:p>
          <w:p w14:paraId="541479EF" w14:textId="77777777" w:rsidR="00E741F8" w:rsidRPr="00F13073" w:rsidRDefault="00E741F8" w:rsidP="00D854D5"/>
        </w:tc>
      </w:tr>
      <w:bookmarkEnd w:id="55"/>
      <w:tr w:rsidR="00A06126" w:rsidRPr="00F13073" w14:paraId="33B5FCF4" w14:textId="77777777">
        <w:trPr>
          <w:cantSplit/>
        </w:trPr>
        <w:tc>
          <w:tcPr>
            <w:tcW w:w="3539" w:type="dxa"/>
          </w:tcPr>
          <w:p w14:paraId="21074570" w14:textId="7514D20B" w:rsidR="00E741F8" w:rsidRPr="00F13073" w:rsidRDefault="004929A7">
            <w:pPr>
              <w:suppressAutoHyphens/>
              <w:jc w:val="right"/>
              <w:rPr>
                <w:b/>
              </w:rPr>
            </w:pPr>
            <w:r>
              <w:rPr>
                <w:b/>
                <w:noProof/>
                <w:lang w:val="en-US" w:eastAsia="ko-KR"/>
              </w:rPr>
              <w:drawing>
                <wp:inline distT="0" distB="0" distL="0" distR="0" wp14:anchorId="77AD9BB6" wp14:editId="4BDC7118">
                  <wp:extent cx="2101850" cy="2560320"/>
                  <wp:effectExtent l="19050" t="19050" r="0" b="0"/>
                  <wp:docPr id="24" name="그림 2033694681"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33694681" descr="텍스트, 스케치, 도표, 원이(가) 표시된 사진&#10;&#10;자동 생성된 설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1850" cy="2560320"/>
                          </a:xfrm>
                          <a:prstGeom prst="rect">
                            <a:avLst/>
                          </a:prstGeom>
                          <a:noFill/>
                          <a:ln w="9525" cmpd="sng">
                            <a:solidFill>
                              <a:srgbClr val="000000"/>
                            </a:solidFill>
                            <a:miter lim="800000"/>
                            <a:headEnd/>
                            <a:tailEnd/>
                          </a:ln>
                          <a:effectLst/>
                        </pic:spPr>
                      </pic:pic>
                    </a:graphicData>
                  </a:graphic>
                </wp:inline>
              </w:drawing>
            </w:r>
          </w:p>
          <w:p w14:paraId="2EFF8AB1" w14:textId="7CB0BDE3" w:rsidR="00E741F8" w:rsidRPr="00F13073" w:rsidRDefault="004929A7">
            <w:pPr>
              <w:suppressAutoHyphens/>
              <w:jc w:val="right"/>
              <w:rPr>
                <w:b/>
              </w:rPr>
            </w:pPr>
            <w:r>
              <w:rPr>
                <w:noProof/>
                <w:lang w:val="en-US" w:eastAsia="ko-KR"/>
              </w:rPr>
              <mc:AlternateContent>
                <mc:Choice Requires="wps">
                  <w:drawing>
                    <wp:anchor distT="45720" distB="45720" distL="114300" distR="114300" simplePos="0" relativeHeight="251672576" behindDoc="0" locked="1" layoutInCell="1" allowOverlap="1" wp14:anchorId="19782801" wp14:editId="03555BD5">
                      <wp:simplePos x="0" y="0"/>
                      <wp:positionH relativeFrom="column">
                        <wp:posOffset>1058545</wp:posOffset>
                      </wp:positionH>
                      <wp:positionV relativeFrom="paragraph">
                        <wp:posOffset>-1686560</wp:posOffset>
                      </wp:positionV>
                      <wp:extent cx="673100" cy="233045"/>
                      <wp:effectExtent l="19050" t="38100" r="0" b="33655"/>
                      <wp:wrapNone/>
                      <wp:docPr id="124383886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673100" cy="233045"/>
                              </a:xfrm>
                              <a:prstGeom prst="rect">
                                <a:avLst/>
                              </a:prstGeom>
                              <a:noFill/>
                              <a:ln>
                                <a:noFill/>
                              </a:ln>
                            </wps:spPr>
                            <wps:txbx>
                              <w:txbxContent>
                                <w:p w14:paraId="549F7B18" w14:textId="77211FD5" w:rsidR="00FE78F1" w:rsidRPr="00151F2F" w:rsidRDefault="00FE78F1" w:rsidP="00E741F8">
                                  <w:pPr>
                                    <w:jc w:val="center"/>
                                    <w:rPr>
                                      <w:rFonts w:ascii="Arial Narrow" w:hAnsi="Arial Narrow"/>
                                      <w:b/>
                                      <w:bCs/>
                                      <w:sz w:val="16"/>
                                      <w:szCs w:val="16"/>
                                    </w:rPr>
                                  </w:pPr>
                                  <w:r w:rsidRPr="00423D2B">
                                    <w:rPr>
                                      <w:rFonts w:ascii="Arial Narrow" w:hAnsi="Arial Narrow"/>
                                      <w:b/>
                                      <w:sz w:val="16"/>
                                    </w:rPr>
                                    <w:t>EXP: MM RRRR</w:t>
                                  </w:r>
                                </w:p>
                                <w:p w14:paraId="05423D23" w14:textId="77777777" w:rsidR="00FE78F1" w:rsidRPr="00151F2F" w:rsidRDefault="00FE78F1" w:rsidP="00E741F8">
                                  <w:pPr>
                                    <w:jc w:val="center"/>
                                    <w:rPr>
                                      <w:rFonts w:ascii="Arial Narrow" w:hAnsi="Arial Narrow"/>
                                      <w:b/>
                                      <w:bCs/>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782801" id="Text Box 37" o:spid="_x0000_s1067" type="#_x0000_t202" style="position:absolute;left:0;text-align:left;margin-left:83.35pt;margin-top:-132.8pt;width:53pt;height:18.35pt;rotation:-448334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" filled="f" stroked="f">
                      <v:textbox style="mso-fit-shape-to-text:t" inset="0,0,0,0">
                        <w:txbxContent>
                          <w:p w14:paraId="549F7B18" w14:textId="77211FD5" w:rsidR="00FE78F1" w:rsidRPr="00151F2F" w:rsidRDefault="00FE78F1" w:rsidP="00E741F8">
                            <w:pPr>
                              <w:jc w:val="center"/>
                              <w:rPr>
                                <w:rFonts w:ascii="Arial Narrow" w:hAnsi="Arial Narrow"/>
                                <w:b/>
                                <w:bCs/>
                                <w:sz w:val="16"/>
                                <w:szCs w:val="16"/>
                              </w:rPr>
                            </w:pPr>
                            <w:r w:rsidRPr="00423D2B">
                              <w:rPr>
                                <w:rFonts w:ascii="Arial Narrow" w:hAnsi="Arial Narrow"/>
                                <w:b/>
                                <w:sz w:val="16"/>
                              </w:rPr>
                              <w:t>EXP: MM RRRR</w:t>
                            </w:r>
                          </w:p>
                          <w:p w14:paraId="05423D23" w14:textId="77777777" w:rsidR="00FE78F1" w:rsidRPr="00151F2F" w:rsidRDefault="00FE78F1" w:rsidP="00E741F8">
                            <w:pPr>
                              <w:jc w:val="center"/>
                              <w:rPr>
                                <w:rFonts w:ascii="Arial Narrow" w:hAnsi="Arial Narrow"/>
                                <w:b/>
                                <w:bCs/>
                                <w:sz w:val="16"/>
                                <w:szCs w:val="16"/>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73600" behindDoc="0" locked="1" layoutInCell="1" allowOverlap="1" wp14:anchorId="6EBD13A9" wp14:editId="18EBE6F5">
                      <wp:simplePos x="0" y="0"/>
                      <wp:positionH relativeFrom="column">
                        <wp:posOffset>1313815</wp:posOffset>
                      </wp:positionH>
                      <wp:positionV relativeFrom="paragraph">
                        <wp:posOffset>-659765</wp:posOffset>
                      </wp:positionV>
                      <wp:extent cx="673100" cy="174625"/>
                      <wp:effectExtent l="19050" t="38100" r="0" b="34925"/>
                      <wp:wrapNone/>
                      <wp:docPr id="4012391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4625"/>
                              </a:xfrm>
                              <a:prstGeom prst="rect">
                                <a:avLst/>
                              </a:prstGeom>
                              <a:noFill/>
                              <a:ln>
                                <a:noFill/>
                              </a:ln>
                            </wps:spPr>
                            <wps:txbx>
                              <w:txbxContent>
                                <w:p w14:paraId="25287D21" w14:textId="5BB49A10" w:rsidR="00FE78F1" w:rsidRPr="00151F2F" w:rsidRDefault="00FE78F1" w:rsidP="00E741F8">
                                  <w:pPr>
                                    <w:jc w:val="center"/>
                                    <w:rPr>
                                      <w:rFonts w:ascii="Arial Narrow" w:hAnsi="Arial Narrow"/>
                                      <w:b/>
                                      <w:bCs/>
                                      <w:sz w:val="12"/>
                                      <w:szCs w:val="12"/>
                                    </w:rPr>
                                  </w:pPr>
                                  <w:r w:rsidRPr="00423D2B">
                                    <w:rPr>
                                      <w:rFonts w:ascii="Arial Narrow" w:hAnsi="Arial Narrow"/>
                                      <w:b/>
                                      <w:sz w:val="12"/>
                                    </w:rPr>
                                    <w:t>EXP: MM RRRR</w:t>
                                  </w:r>
                                </w:p>
                                <w:p w14:paraId="1D552F49" w14:textId="77777777" w:rsidR="00FE78F1" w:rsidRPr="00151F2F" w:rsidRDefault="00FE78F1" w:rsidP="00E741F8">
                                  <w:pPr>
                                    <w:rPr>
                                      <w:rFonts w:ascii="Arial Narrow" w:hAnsi="Arial Narrow"/>
                                      <w:b/>
                                      <w:bCs/>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BD13A9" id="Text Box 35" o:spid="_x0000_s1068" type="#_x0000_t202" style="position:absolute;left:0;text-align:left;margin-left:103.45pt;margin-top:-51.95pt;width:53pt;height:13.75pt;rotation:-535127fd;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" filled="f" stroked="f">
                      <v:textbox style="mso-fit-shape-to-text:t" inset="0,0,0,0">
                        <w:txbxContent>
                          <w:p w14:paraId="25287D21" w14:textId="5BB49A10" w:rsidR="00FE78F1" w:rsidRPr="00151F2F" w:rsidRDefault="00FE78F1" w:rsidP="00E741F8">
                            <w:pPr>
                              <w:jc w:val="center"/>
                              <w:rPr>
                                <w:rFonts w:ascii="Arial Narrow" w:hAnsi="Arial Narrow"/>
                                <w:b/>
                                <w:bCs/>
                                <w:sz w:val="12"/>
                                <w:szCs w:val="12"/>
                              </w:rPr>
                            </w:pPr>
                            <w:r w:rsidRPr="00423D2B">
                              <w:rPr>
                                <w:rFonts w:ascii="Arial Narrow" w:hAnsi="Arial Narrow"/>
                                <w:b/>
                                <w:sz w:val="12"/>
                              </w:rPr>
                              <w:t>EXP: MM RRRR</w:t>
                            </w:r>
                          </w:p>
                          <w:p w14:paraId="1D552F49" w14:textId="77777777" w:rsidR="00FE78F1" w:rsidRPr="00151F2F" w:rsidRDefault="00FE78F1" w:rsidP="00E741F8">
                            <w:pPr>
                              <w:rPr>
                                <w:rFonts w:ascii="Arial Narrow" w:hAnsi="Arial Narrow"/>
                                <w:b/>
                                <w:bCs/>
                                <w:sz w:val="12"/>
                                <w:szCs w:val="12"/>
                              </w:rPr>
                            </w:pPr>
                          </w:p>
                        </w:txbxContent>
                      </v:textbox>
                      <w10:anchorlock/>
                    </v:shape>
                  </w:pict>
                </mc:Fallback>
              </mc:AlternateContent>
            </w:r>
            <w:r w:rsidR="00E741F8" w:rsidRPr="00F13073">
              <w:rPr>
                <w:b/>
              </w:rPr>
              <w:t>Rysunek C</w:t>
            </w:r>
          </w:p>
        </w:tc>
        <w:tc>
          <w:tcPr>
            <w:tcW w:w="5517" w:type="dxa"/>
          </w:tcPr>
          <w:p w14:paraId="1C787A33" w14:textId="79EC42BD" w:rsidR="00E741F8" w:rsidRPr="00F13073" w:rsidRDefault="00E741F8">
            <w:pPr>
              <w:pStyle w:val="a4"/>
              <w:numPr>
                <w:ilvl w:val="0"/>
                <w:numId w:val="48"/>
              </w:numPr>
              <w:spacing w:after="0"/>
              <w:ind w:left="567" w:hanging="567"/>
              <w:rPr>
                <w:b/>
              </w:rPr>
            </w:pPr>
            <w:r w:rsidRPr="00F13073">
              <w:rPr>
                <w:b/>
              </w:rPr>
              <w:t xml:space="preserve">Sprawdzić </w:t>
            </w:r>
            <w:r w:rsidR="004905B0" w:rsidRPr="00F13073">
              <w:rPr>
                <w:b/>
              </w:rPr>
              <w:t>pudełko</w:t>
            </w:r>
          </w:p>
          <w:p w14:paraId="54F4BE75" w14:textId="77777777" w:rsidR="00E741F8" w:rsidRPr="00F13073" w:rsidRDefault="00E741F8">
            <w:pPr>
              <w:pStyle w:val="a4"/>
              <w:spacing w:after="0"/>
              <w:ind w:left="567" w:hanging="567"/>
              <w:rPr>
                <w:b/>
              </w:rPr>
            </w:pPr>
          </w:p>
          <w:p w14:paraId="4C3B76BB" w14:textId="77777777" w:rsidR="00E741F8" w:rsidRPr="00F13073" w:rsidRDefault="00E741F8">
            <w:pPr>
              <w:pStyle w:val="a4"/>
              <w:numPr>
                <w:ilvl w:val="0"/>
                <w:numId w:val="50"/>
              </w:numPr>
              <w:spacing w:after="0"/>
              <w:ind w:left="567" w:hanging="567"/>
              <w:rPr>
                <w:bCs/>
              </w:rPr>
            </w:pPr>
            <w:r w:rsidRPr="00F13073">
              <w:t>Sprawdzić wzrokowo opakowanie i upewnić się, że zawiera właściwy lek i odpowiednią moc dawki. (Avtozma)</w:t>
            </w:r>
          </w:p>
          <w:p w14:paraId="2046B0D0" w14:textId="0383065E" w:rsidR="00E741F8" w:rsidRPr="00F13073" w:rsidRDefault="00E741F8">
            <w:pPr>
              <w:pStyle w:val="a4"/>
              <w:numPr>
                <w:ilvl w:val="0"/>
                <w:numId w:val="50"/>
              </w:numPr>
              <w:spacing w:after="0"/>
              <w:ind w:left="567" w:hanging="567"/>
              <w:rPr>
                <w:bCs/>
              </w:rPr>
            </w:pPr>
            <w:r w:rsidRPr="00F13073">
              <w:t xml:space="preserve">Sprawdzić </w:t>
            </w:r>
            <w:r w:rsidR="004905B0" w:rsidRPr="00F13073">
              <w:t>termin</w:t>
            </w:r>
            <w:r w:rsidRPr="00F13073">
              <w:t xml:space="preserve"> ważności </w:t>
            </w:r>
            <w:r w:rsidR="004905B0" w:rsidRPr="00F13073">
              <w:t>na pudełku</w:t>
            </w:r>
            <w:r w:rsidRPr="00F13073">
              <w:t xml:space="preserve">, aby upewnić się, że termin </w:t>
            </w:r>
            <w:r w:rsidR="004905B0" w:rsidRPr="00F13073">
              <w:t>ten</w:t>
            </w:r>
            <w:r w:rsidRPr="00F13073">
              <w:t xml:space="preserve"> jeszcze nie upłynął.</w:t>
            </w:r>
          </w:p>
          <w:p w14:paraId="52F9DCF9" w14:textId="77777777" w:rsidR="00E741F8" w:rsidRPr="00F13073" w:rsidRDefault="00E741F8">
            <w:pPr>
              <w:pStyle w:val="a4"/>
              <w:spacing w:after="0"/>
              <w:ind w:left="567" w:hanging="567"/>
              <w:rPr>
                <w:lang w:eastAsia="ko-KR"/>
              </w:rPr>
            </w:pPr>
          </w:p>
          <w:p w14:paraId="569F2C40" w14:textId="77777777" w:rsidR="00E741F8" w:rsidRPr="00F13073" w:rsidRDefault="00E741F8">
            <w:pPr>
              <w:pStyle w:val="a4"/>
              <w:spacing w:after="0"/>
              <w:ind w:left="567" w:hanging="567"/>
              <w:rPr>
                <w:b/>
                <w:lang w:eastAsia="ko-KR"/>
              </w:rPr>
            </w:pPr>
          </w:p>
          <w:p w14:paraId="33716D64" w14:textId="7D58EB61" w:rsidR="00E741F8" w:rsidRPr="00F13073" w:rsidRDefault="00E741F8" w:rsidP="00777260">
            <w:pPr>
              <w:pStyle w:val="a4"/>
              <w:numPr>
                <w:ilvl w:val="0"/>
                <w:numId w:val="29"/>
              </w:numPr>
              <w:tabs>
                <w:tab w:val="left" w:pos="1139"/>
              </w:tabs>
              <w:spacing w:after="0"/>
              <w:ind w:left="1134" w:hanging="567"/>
            </w:pPr>
            <w:r w:rsidRPr="00F13073">
              <w:rPr>
                <w:b/>
              </w:rPr>
              <w:t>Nie należy</w:t>
            </w:r>
            <w:r w:rsidRPr="00F13073">
              <w:t xml:space="preserve"> używać wstrzykiwacza, jeśli upłynął jego termin ważności.</w:t>
            </w:r>
          </w:p>
          <w:p w14:paraId="217E5C83" w14:textId="41321364" w:rsidR="00E741F8" w:rsidRPr="00F13073" w:rsidRDefault="00E741F8" w:rsidP="0081094B">
            <w:pPr>
              <w:pStyle w:val="a4"/>
              <w:numPr>
                <w:ilvl w:val="0"/>
                <w:numId w:val="29"/>
              </w:numPr>
              <w:tabs>
                <w:tab w:val="left" w:pos="1139"/>
              </w:tabs>
              <w:spacing w:after="0"/>
              <w:ind w:left="1134" w:hanging="567"/>
            </w:pPr>
            <w:r w:rsidRPr="00F13073">
              <w:t xml:space="preserve">Jeśli opakowanie otwierane jest po raz pierwszy, należy sprawdzić, czy nie zostało wcześniej naruszone. </w:t>
            </w:r>
          </w:p>
          <w:p w14:paraId="07AFD680" w14:textId="391EB946" w:rsidR="00E741F8" w:rsidRPr="00F13073" w:rsidRDefault="00E741F8" w:rsidP="0081094B">
            <w:pPr>
              <w:pStyle w:val="a4"/>
              <w:numPr>
                <w:ilvl w:val="0"/>
                <w:numId w:val="29"/>
              </w:numPr>
              <w:tabs>
                <w:tab w:val="left" w:pos="1139"/>
              </w:tabs>
              <w:spacing w:after="0"/>
              <w:ind w:left="1134" w:hanging="567"/>
            </w:pPr>
            <w:r w:rsidRPr="00F13073">
              <w:rPr>
                <w:b/>
                <w:bCs/>
              </w:rPr>
              <w:t>Nie</w:t>
            </w:r>
            <w:r w:rsidRPr="00F13073">
              <w:t xml:space="preserve"> używać wstrzykiwacza, jeśli pudełko wygląda na otwarte lub uszkodzone. </w:t>
            </w:r>
          </w:p>
          <w:p w14:paraId="7FC495DB" w14:textId="77777777" w:rsidR="00E741F8" w:rsidRPr="00F13073" w:rsidRDefault="00E741F8" w:rsidP="00D854D5"/>
        </w:tc>
      </w:tr>
      <w:tr w:rsidR="00A06126" w:rsidRPr="00F13073" w14:paraId="31294DA4" w14:textId="77777777">
        <w:trPr>
          <w:cantSplit/>
        </w:trPr>
        <w:tc>
          <w:tcPr>
            <w:tcW w:w="3539" w:type="dxa"/>
          </w:tcPr>
          <w:p w14:paraId="67B5E2FF" w14:textId="537A585F" w:rsidR="00E741F8" w:rsidRPr="00F13073" w:rsidRDefault="004929A7">
            <w:pPr>
              <w:suppressAutoHyphens/>
              <w:jc w:val="right"/>
              <w:rPr>
                <w:rFonts w:eastAsia="Times New Roman"/>
                <w:b/>
              </w:rPr>
            </w:pPr>
            <w:r>
              <w:rPr>
                <w:noProof/>
                <w:lang w:val="en-US" w:eastAsia="ko-KR"/>
              </w:rPr>
              <w:lastRenderedPageBreak/>
              <w:drawing>
                <wp:inline distT="0" distB="0" distL="0" distR="0" wp14:anchorId="5C49B86C" wp14:editId="49689301">
                  <wp:extent cx="2103120" cy="2559050"/>
                  <wp:effectExtent l="19050" t="19050" r="0" b="0"/>
                  <wp:docPr id="25" name="그림 1837928270"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7928270" descr="휴대 전화, 스케치, 드라이브, 디자인이(가) 표시된 사진&#10;&#10;자동 생성된 설명"/>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03120" cy="2559050"/>
                          </a:xfrm>
                          <a:prstGeom prst="rect">
                            <a:avLst/>
                          </a:prstGeom>
                          <a:noFill/>
                          <a:ln w="9525" cmpd="sng">
                            <a:solidFill>
                              <a:srgbClr val="000000"/>
                            </a:solidFill>
                            <a:miter lim="800000"/>
                            <a:headEnd/>
                            <a:tailEnd/>
                          </a:ln>
                          <a:effectLst/>
                        </pic:spPr>
                      </pic:pic>
                    </a:graphicData>
                  </a:graphic>
                </wp:inline>
              </w:drawing>
            </w:r>
          </w:p>
          <w:p w14:paraId="47D23FFB" w14:textId="759E7D1B" w:rsidR="00E741F8" w:rsidRPr="00F13073" w:rsidRDefault="004929A7">
            <w:pPr>
              <w:suppressAutoHyphens/>
              <w:jc w:val="right"/>
              <w:rPr>
                <w:rFonts w:eastAsia="Times New Roman"/>
                <w:b/>
              </w:rPr>
            </w:pPr>
            <w:r>
              <w:rPr>
                <w:noProof/>
                <w:lang w:val="en-US" w:eastAsia="ko-KR"/>
              </w:rPr>
              <mc:AlternateContent>
                <mc:Choice Requires="wps">
                  <w:drawing>
                    <wp:anchor distT="45720" distB="45720" distL="114300" distR="114300" simplePos="0" relativeHeight="251674624" behindDoc="0" locked="1" layoutInCell="1" allowOverlap="1" wp14:anchorId="688D1B31" wp14:editId="052849A9">
                      <wp:simplePos x="0" y="0"/>
                      <wp:positionH relativeFrom="column">
                        <wp:posOffset>951230</wp:posOffset>
                      </wp:positionH>
                      <wp:positionV relativeFrom="paragraph">
                        <wp:posOffset>-2036445</wp:posOffset>
                      </wp:positionV>
                      <wp:extent cx="1007110" cy="564515"/>
                      <wp:effectExtent l="0" t="0" r="0" b="0"/>
                      <wp:wrapNone/>
                      <wp:docPr id="5969947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564515"/>
                              </a:xfrm>
                              <a:prstGeom prst="rect">
                                <a:avLst/>
                              </a:prstGeom>
                              <a:noFill/>
                              <a:ln>
                                <a:noFill/>
                              </a:ln>
                            </wps:spPr>
                            <wps:txbx>
                              <w:txbxContent>
                                <w:p w14:paraId="738CEF6A" w14:textId="373E0204" w:rsidR="00FE78F1" w:rsidRPr="00151F2F" w:rsidRDefault="00FE78F1" w:rsidP="00E741F8">
                                  <w:pPr>
                                    <w:spacing w:line="260" w:lineRule="exact"/>
                                    <w:jc w:val="center"/>
                                    <w:rPr>
                                      <w:rFonts w:cs="Aptos"/>
                                      <w:b/>
                                      <w:bCs/>
                                      <w:sz w:val="20"/>
                                      <w:szCs w:val="20"/>
                                    </w:rPr>
                                  </w:pPr>
                                  <w:r w:rsidRPr="00685447">
                                    <w:rPr>
                                      <w:b/>
                                      <w:sz w:val="20"/>
                                    </w:rPr>
                                    <w:t>EXP: MM RRRR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D1B31" id="Text Box 33" o:spid="_x0000_s1069" type="#_x0000_t202" style="position:absolute;left:0;text-align:left;margin-left:74.9pt;margin-top:-160.35pt;width:79.3pt;height:44.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" filled="f" stroked="f">
                      <v:textbox inset="0,0,0,0">
                        <w:txbxContent>
                          <w:p w14:paraId="738CEF6A" w14:textId="373E0204" w:rsidR="00FE78F1" w:rsidRPr="00151F2F" w:rsidRDefault="00FE78F1" w:rsidP="00E741F8">
                            <w:pPr>
                              <w:spacing w:line="260" w:lineRule="exact"/>
                              <w:jc w:val="center"/>
                              <w:rPr>
                                <w:rFonts w:cs="Aptos"/>
                                <w:b/>
                                <w:bCs/>
                                <w:sz w:val="20"/>
                                <w:szCs w:val="20"/>
                              </w:rPr>
                            </w:pPr>
                            <w:r w:rsidRPr="00685447">
                              <w:rPr>
                                <w:b/>
                                <w:sz w:val="20"/>
                              </w:rPr>
                              <w:t>EXP: MM RRRR</w:t>
                            </w:r>
                          </w:p>
                        </w:txbxContent>
                      </v:textbox>
                      <w10:anchorlock/>
                    </v:shape>
                  </w:pict>
                </mc:Fallback>
              </mc:AlternateContent>
            </w:r>
            <w:r w:rsidR="00E741F8" w:rsidRPr="00F13073">
              <w:rPr>
                <w:b/>
                <w:bCs/>
              </w:rPr>
              <w:t>Rysunek D</w:t>
            </w:r>
          </w:p>
        </w:tc>
        <w:tc>
          <w:tcPr>
            <w:tcW w:w="5517" w:type="dxa"/>
          </w:tcPr>
          <w:p w14:paraId="67ED56E0" w14:textId="14D2C0C0" w:rsidR="00E741F8" w:rsidRPr="00F13073" w:rsidRDefault="00E741F8">
            <w:pPr>
              <w:pStyle w:val="a4"/>
              <w:numPr>
                <w:ilvl w:val="0"/>
                <w:numId w:val="48"/>
              </w:numPr>
              <w:spacing w:after="0"/>
              <w:ind w:left="567" w:hanging="567"/>
              <w:rPr>
                <w:b/>
              </w:rPr>
            </w:pPr>
            <w:r w:rsidRPr="00F13073">
              <w:rPr>
                <w:b/>
              </w:rPr>
              <w:t>Sprawdzić wzrokowo wstrzykiwacz.</w:t>
            </w:r>
          </w:p>
          <w:p w14:paraId="172AAF49" w14:textId="77777777" w:rsidR="00E741F8" w:rsidRPr="00F13073" w:rsidRDefault="00E741F8">
            <w:pPr>
              <w:ind w:left="567" w:hanging="567"/>
              <w:rPr>
                <w:bCs/>
              </w:rPr>
            </w:pPr>
          </w:p>
          <w:p w14:paraId="5B934A2D" w14:textId="6078832B" w:rsidR="00E741F8" w:rsidRPr="00F13073" w:rsidRDefault="00E741F8">
            <w:pPr>
              <w:pStyle w:val="a4"/>
              <w:numPr>
                <w:ilvl w:val="0"/>
                <w:numId w:val="51"/>
              </w:numPr>
              <w:spacing w:after="0"/>
              <w:ind w:left="567" w:hanging="567"/>
            </w:pPr>
            <w:r w:rsidRPr="00F13073">
              <w:t>Otworzyć pudełko i wyjąć z niego 1 jednodawkowy wstrzykiwacz. Wszelkie pozostałe wstrzykiwacze z lekiem Avtozma znajdujące się w pudełku należy umieścić z powrotem w lodówce.</w:t>
            </w:r>
          </w:p>
          <w:p w14:paraId="3C918534" w14:textId="5080D6D2" w:rsidR="00E741F8" w:rsidRPr="00F13073" w:rsidRDefault="00E741F8">
            <w:pPr>
              <w:pStyle w:val="a4"/>
              <w:numPr>
                <w:ilvl w:val="0"/>
                <w:numId w:val="51"/>
              </w:numPr>
              <w:spacing w:after="0"/>
              <w:ind w:left="567" w:hanging="567"/>
              <w:rPr>
                <w:bCs/>
              </w:rPr>
            </w:pPr>
            <w:r w:rsidRPr="00F13073">
              <w:t xml:space="preserve">Sprawdzić </w:t>
            </w:r>
            <w:r w:rsidR="004905B0" w:rsidRPr="00F13073">
              <w:t>termin</w:t>
            </w:r>
            <w:r w:rsidRPr="00F13073">
              <w:t xml:space="preserve"> ważności znajdując</w:t>
            </w:r>
            <w:r w:rsidR="004905B0" w:rsidRPr="00F13073">
              <w:t>y</w:t>
            </w:r>
            <w:r w:rsidRPr="00F13073">
              <w:t xml:space="preserve"> się na etykiecie wstrzykiwacza z lekiem Avtozma </w:t>
            </w:r>
            <w:r w:rsidRPr="0081094B">
              <w:rPr>
                <w:bCs/>
              </w:rPr>
              <w:t>(patrz</w:t>
            </w:r>
            <w:r w:rsidRPr="00F13073">
              <w:rPr>
                <w:b/>
              </w:rPr>
              <w:t xml:space="preserve"> rysunek D</w:t>
            </w:r>
            <w:r w:rsidRPr="00F13073">
              <w:t>).</w:t>
            </w:r>
          </w:p>
          <w:p w14:paraId="35AFE219" w14:textId="6AB67304" w:rsidR="00E741F8" w:rsidRPr="00F13073" w:rsidRDefault="00E741F8" w:rsidP="0081094B">
            <w:pPr>
              <w:pStyle w:val="a4"/>
              <w:numPr>
                <w:ilvl w:val="0"/>
                <w:numId w:val="29"/>
              </w:numPr>
              <w:tabs>
                <w:tab w:val="left" w:pos="1139"/>
              </w:tabs>
              <w:spacing w:after="0"/>
              <w:ind w:left="1134" w:hanging="567"/>
            </w:pPr>
            <w:r w:rsidRPr="00F13073">
              <w:rPr>
                <w:b/>
              </w:rPr>
              <w:t>Nie należy</w:t>
            </w:r>
            <w:r w:rsidRPr="00F13073">
              <w:t xml:space="preserve"> używać wstrzykiwacza, jeśli upłynął jego termin ważności. Jeśli upłynął termin ważności, należy bezpiecznie wyrzucić wstrzykiwacz do pojemnika na ostre odpady medyczne i zastosować nowy.</w:t>
            </w:r>
          </w:p>
          <w:p w14:paraId="3781BA7D" w14:textId="5DBA0BE6" w:rsidR="00E741F8" w:rsidRPr="00F13073" w:rsidRDefault="00E741F8">
            <w:pPr>
              <w:pStyle w:val="a4"/>
              <w:numPr>
                <w:ilvl w:val="0"/>
                <w:numId w:val="51"/>
              </w:numPr>
              <w:spacing w:after="0"/>
              <w:ind w:left="567" w:hanging="567"/>
              <w:rPr>
                <w:bCs/>
              </w:rPr>
            </w:pPr>
            <w:r w:rsidRPr="00F13073">
              <w:t>Sprawdzić wstrzykiwacz, aby upewnić się, że nie jest uszkodzony i nie wykazuje oznak wycieku.</w:t>
            </w:r>
          </w:p>
          <w:p w14:paraId="06DC2C59" w14:textId="74675051"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używać wstrzykiwacza, jeśli został upuszczony, uszkodzony lub znajdują się na nim oznaki wycieku.</w:t>
            </w:r>
          </w:p>
          <w:p w14:paraId="479E0B21" w14:textId="77777777" w:rsidR="00E741F8" w:rsidRPr="00F13073" w:rsidRDefault="00E741F8">
            <w:pPr>
              <w:pStyle w:val="a4"/>
              <w:spacing w:after="0"/>
              <w:ind w:left="567"/>
              <w:rPr>
                <w:bCs/>
              </w:rPr>
            </w:pPr>
            <w:r w:rsidRPr="00F13073">
              <w:rPr>
                <w:i/>
              </w:rPr>
              <w:t>Uwaga</w:t>
            </w:r>
            <w:r w:rsidRPr="00F13073">
              <w:t>: Niewielka szczelina między pomarańczową nasadką a korpusem wstrzykiwacza jest zjawiskiem normalnym.</w:t>
            </w:r>
          </w:p>
          <w:p w14:paraId="151DBEB1" w14:textId="77777777" w:rsidR="00E741F8" w:rsidRPr="00F13073" w:rsidRDefault="00E741F8" w:rsidP="00D854D5"/>
        </w:tc>
      </w:tr>
      <w:tr w:rsidR="00A06126" w:rsidRPr="00F13073" w14:paraId="54AC63F5" w14:textId="77777777">
        <w:trPr>
          <w:cantSplit/>
        </w:trPr>
        <w:tc>
          <w:tcPr>
            <w:tcW w:w="3539" w:type="dxa"/>
          </w:tcPr>
          <w:p w14:paraId="18944F0B" w14:textId="0ADD5671" w:rsidR="00E741F8" w:rsidRPr="00F13073" w:rsidRDefault="004929A7">
            <w:pPr>
              <w:suppressAutoHyphens/>
              <w:jc w:val="right"/>
            </w:pPr>
            <w:r>
              <w:rPr>
                <w:noProof/>
                <w:lang w:val="en-US" w:eastAsia="ko-KR"/>
              </w:rPr>
              <w:drawing>
                <wp:inline distT="0" distB="0" distL="0" distR="0" wp14:anchorId="2FE72BB9" wp14:editId="30716FDE">
                  <wp:extent cx="2101850" cy="2559685"/>
                  <wp:effectExtent l="19050" t="19050" r="0" b="0"/>
                  <wp:docPr id="26" name="그림 1806273390"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273390" descr="텍스트, 스크린샷, 원, 디자인이(가) 표시된 사진&#10;&#10;자동 생성된 설명"/>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01850" cy="2559685"/>
                          </a:xfrm>
                          <a:prstGeom prst="rect">
                            <a:avLst/>
                          </a:prstGeom>
                          <a:noFill/>
                          <a:ln w="9525" cmpd="sng">
                            <a:solidFill>
                              <a:srgbClr val="000000"/>
                            </a:solidFill>
                            <a:miter lim="800000"/>
                            <a:headEnd/>
                            <a:tailEnd/>
                          </a:ln>
                          <a:effectLst/>
                        </pic:spPr>
                      </pic:pic>
                    </a:graphicData>
                  </a:graphic>
                </wp:inline>
              </w:drawing>
            </w:r>
          </w:p>
          <w:p w14:paraId="0CA910E5" w14:textId="6CA3565A" w:rsidR="00E741F8"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75648" behindDoc="0" locked="1" layoutInCell="1" allowOverlap="1" wp14:anchorId="62940E69" wp14:editId="52644B23">
                      <wp:simplePos x="0" y="0"/>
                      <wp:positionH relativeFrom="column">
                        <wp:posOffset>411480</wp:posOffset>
                      </wp:positionH>
                      <wp:positionV relativeFrom="paragraph">
                        <wp:posOffset>-2183130</wp:posOffset>
                      </wp:positionV>
                      <wp:extent cx="709295" cy="810260"/>
                      <wp:effectExtent l="0" t="0" r="0" b="0"/>
                      <wp:wrapNone/>
                      <wp:docPr id="439777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810260"/>
                              </a:xfrm>
                              <a:prstGeom prst="rect">
                                <a:avLst/>
                              </a:prstGeom>
                              <a:noFill/>
                              <a:ln>
                                <a:noFill/>
                              </a:ln>
                            </wps:spPr>
                            <wps:txbx>
                              <w:txbxContent>
                                <w:p w14:paraId="55277A9F" w14:textId="33AC026B" w:rsidR="00FE78F1" w:rsidRPr="00151F2F" w:rsidRDefault="00FE78F1" w:rsidP="00E741F8">
                                  <w:pPr>
                                    <w:spacing w:line="216" w:lineRule="auto"/>
                                    <w:jc w:val="center"/>
                                    <w:rPr>
                                      <w:rFonts w:ascii="Arial" w:hAnsi="Arial" w:cs="Arial"/>
                                      <w:b/>
                                      <w:bCs/>
                                      <w:sz w:val="16"/>
                                      <w:szCs w:val="16"/>
                                    </w:rPr>
                                  </w:pPr>
                                  <w:r w:rsidRPr="00E45650">
                                    <w:rPr>
                                      <w:rFonts w:ascii="Arial" w:hAnsi="Arial"/>
                                      <w:b/>
                                      <w:sz w:val="36"/>
                                    </w:rPr>
                                    <w:t xml:space="preserve">45 </w:t>
                                  </w:r>
                                  <w:r w:rsidRPr="0081094B">
                                    <w:rPr>
                                      <w:rFonts w:ascii="Arial" w:hAnsi="Arial"/>
                                      <w:b/>
                                      <w:sz w:val="24"/>
                                      <w:szCs w:val="24"/>
                                    </w:rPr>
                                    <w:t>minut</w:t>
                                  </w:r>
                                </w:p>
                                <w:p w14:paraId="6697F5EF" w14:textId="77777777" w:rsidR="00FE78F1" w:rsidRPr="00151F2F" w:rsidRDefault="00FE78F1" w:rsidP="00E741F8">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40E69" id="Text Box 31" o:spid="_x0000_s1070" type="#_x0000_t202" style="position:absolute;left:0;text-align:left;margin-left:32.4pt;margin-top:-171.9pt;width:55.85pt;height:63.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" filled="f" stroked="f">
                      <v:textbox inset="0,0,0,0">
                        <w:txbxContent>
                          <w:p w14:paraId="55277A9F" w14:textId="33AC026B" w:rsidR="00FE78F1" w:rsidRPr="00151F2F" w:rsidRDefault="00FE78F1" w:rsidP="00E741F8">
                            <w:pPr>
                              <w:spacing w:line="216" w:lineRule="auto"/>
                              <w:jc w:val="center"/>
                              <w:rPr>
                                <w:rFonts w:ascii="Arial" w:hAnsi="Arial" w:cs="Arial"/>
                                <w:b/>
                                <w:bCs/>
                                <w:sz w:val="16"/>
                                <w:szCs w:val="16"/>
                              </w:rPr>
                            </w:pPr>
                            <w:r w:rsidRPr="00E45650">
                              <w:rPr>
                                <w:rFonts w:ascii="Arial" w:hAnsi="Arial"/>
                                <w:b/>
                                <w:sz w:val="36"/>
                              </w:rPr>
                              <w:t xml:space="preserve">45 </w:t>
                            </w:r>
                            <w:r w:rsidRPr="0081094B">
                              <w:rPr>
                                <w:rFonts w:ascii="Arial" w:hAnsi="Arial"/>
                                <w:b/>
                                <w:sz w:val="24"/>
                                <w:szCs w:val="24"/>
                              </w:rPr>
                              <w:t>minut</w:t>
                            </w:r>
                          </w:p>
                          <w:p w14:paraId="6697F5EF" w14:textId="77777777" w:rsidR="00FE78F1" w:rsidRPr="00151F2F" w:rsidRDefault="00FE78F1" w:rsidP="00E741F8">
                            <w:pPr>
                              <w:spacing w:line="216" w:lineRule="auto"/>
                              <w:jc w:val="center"/>
                              <w:rPr>
                                <w:rFonts w:ascii="Arial" w:hAnsi="Arial" w:cs="Arial"/>
                                <w:b/>
                                <w:bCs/>
                                <w:sz w:val="16"/>
                                <w:szCs w:val="16"/>
                              </w:rPr>
                            </w:pPr>
                          </w:p>
                        </w:txbxContent>
                      </v:textbox>
                      <w10:anchorlock/>
                    </v:shape>
                  </w:pict>
                </mc:Fallback>
              </mc:AlternateContent>
            </w:r>
            <w:r w:rsidR="00E741F8" w:rsidRPr="00F13073">
              <w:rPr>
                <w:b/>
              </w:rPr>
              <w:t>Rysunek E</w:t>
            </w:r>
          </w:p>
        </w:tc>
        <w:tc>
          <w:tcPr>
            <w:tcW w:w="5517" w:type="dxa"/>
          </w:tcPr>
          <w:p w14:paraId="4CF9E800" w14:textId="77777777" w:rsidR="00E741F8" w:rsidRPr="00F13073" w:rsidRDefault="00E741F8">
            <w:pPr>
              <w:pStyle w:val="a4"/>
              <w:numPr>
                <w:ilvl w:val="0"/>
                <w:numId w:val="48"/>
              </w:numPr>
              <w:spacing w:after="0"/>
              <w:ind w:left="567" w:hanging="567"/>
              <w:rPr>
                <w:b/>
              </w:rPr>
            </w:pPr>
            <w:r w:rsidRPr="00F13073">
              <w:rPr>
                <w:b/>
              </w:rPr>
              <w:t>Odczekać 45 minut.</w:t>
            </w:r>
          </w:p>
          <w:p w14:paraId="2A46146E" w14:textId="77777777" w:rsidR="00E741F8" w:rsidRPr="00F13073" w:rsidRDefault="00E741F8">
            <w:pPr>
              <w:pStyle w:val="Default"/>
              <w:ind w:left="567" w:hanging="567"/>
              <w:rPr>
                <w:rFonts w:ascii="Times New Roman" w:hAnsi="Times New Roman" w:cs="Times New Roman"/>
                <w:sz w:val="22"/>
                <w:szCs w:val="22"/>
              </w:rPr>
            </w:pPr>
          </w:p>
          <w:p w14:paraId="5D8A7DED" w14:textId="65153DC5" w:rsidR="00E741F8" w:rsidRPr="00F13073" w:rsidRDefault="00E741F8">
            <w:pPr>
              <w:pStyle w:val="a4"/>
              <w:numPr>
                <w:ilvl w:val="0"/>
                <w:numId w:val="52"/>
              </w:numPr>
              <w:spacing w:after="0"/>
              <w:ind w:left="567" w:hanging="567"/>
            </w:pPr>
            <w:r w:rsidRPr="00F13073">
              <w:t xml:space="preserve">Pozostawić wstrzykiwacz poza </w:t>
            </w:r>
            <w:r w:rsidR="004905B0" w:rsidRPr="00F13073">
              <w:t>pudełkiem</w:t>
            </w:r>
            <w:r w:rsidRPr="00F13073">
              <w:t xml:space="preserve"> w temperaturze pokojowej od </w:t>
            </w:r>
            <w:r w:rsidR="00460B7C">
              <w:rPr>
                <w:rFonts w:eastAsia="맑은 고딕" w:hint="eastAsia"/>
                <w:lang w:eastAsia="ko-KR"/>
              </w:rPr>
              <w:t>18</w:t>
            </w:r>
            <w:r w:rsidRPr="00F13073">
              <w:t xml:space="preserve">°C do </w:t>
            </w:r>
            <w:r w:rsidR="00460B7C" w:rsidRPr="00F13073">
              <w:t>2</w:t>
            </w:r>
            <w:r w:rsidR="00460B7C">
              <w:rPr>
                <w:rFonts w:eastAsia="맑은 고딕" w:hint="eastAsia"/>
                <w:lang w:eastAsia="ko-KR"/>
              </w:rPr>
              <w:t>8</w:t>
            </w:r>
            <w:r w:rsidRPr="00F13073">
              <w:t xml:space="preserve">°C na 45 minut, aby umożliwić jego ogrzanie (patrz </w:t>
            </w:r>
            <w:r w:rsidRPr="00F13073">
              <w:rPr>
                <w:b/>
              </w:rPr>
              <w:t>rysunek E</w:t>
            </w:r>
            <w:r w:rsidRPr="00F13073">
              <w:t>).</w:t>
            </w:r>
          </w:p>
          <w:p w14:paraId="250DCF41" w14:textId="44A6696A" w:rsidR="00E741F8" w:rsidRPr="00F13073" w:rsidRDefault="00E741F8" w:rsidP="0081094B">
            <w:pPr>
              <w:pStyle w:val="a4"/>
              <w:numPr>
                <w:ilvl w:val="0"/>
                <w:numId w:val="29"/>
              </w:numPr>
              <w:tabs>
                <w:tab w:val="left" w:pos="1139"/>
              </w:tabs>
              <w:spacing w:after="0"/>
              <w:ind w:left="1134" w:hanging="567"/>
            </w:pPr>
            <w:r w:rsidRPr="00F13073">
              <w:rPr>
                <w:b/>
                <w:bCs/>
              </w:rPr>
              <w:t>Nie należy</w:t>
            </w:r>
            <w:r w:rsidRPr="00F13073">
              <w:t xml:space="preserve"> ogrzewać wstrzykiwacza za pomocą źródeł ciepła, takich jak gorąca woda lub kuchenka mikrofalowa.</w:t>
            </w:r>
          </w:p>
          <w:p w14:paraId="1DD4C882" w14:textId="1B3112AE"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pozostawiać wstrzykiwacza narażonego na bezpośrednie działanie promieni słonecznych.</w:t>
            </w:r>
          </w:p>
          <w:p w14:paraId="071CD92E" w14:textId="0ABD4C9E"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zdejmować nasadki, dopóki wstrzykiwacz nie osiągnie </w:t>
            </w:r>
            <w:r w:rsidRPr="00F13073">
              <w:rPr>
                <w:color w:val="231F20"/>
              </w:rPr>
              <w:t>temperatury pokojowej.</w:t>
            </w:r>
          </w:p>
          <w:p w14:paraId="78C464CB" w14:textId="3A813AE6" w:rsidR="00E741F8" w:rsidRPr="00F13073" w:rsidRDefault="00E741F8" w:rsidP="0081094B">
            <w:pPr>
              <w:pStyle w:val="a4"/>
              <w:numPr>
                <w:ilvl w:val="0"/>
                <w:numId w:val="29"/>
              </w:numPr>
              <w:tabs>
                <w:tab w:val="left" w:pos="1139"/>
              </w:tabs>
              <w:spacing w:after="0"/>
              <w:ind w:left="1134" w:hanging="567"/>
            </w:pPr>
            <w:r w:rsidRPr="00F13073">
              <w:t>Jeśli wstrzykiwacz nie osiągnie temperatury pokojowej, może to spowodować, że wstrzyknięcie będzie niekomfortowe dla pacjenta.</w:t>
            </w:r>
          </w:p>
          <w:p w14:paraId="215BAA99" w14:textId="77777777" w:rsidR="00E741F8" w:rsidRPr="00F13073" w:rsidRDefault="00E741F8" w:rsidP="00D854D5"/>
        </w:tc>
      </w:tr>
      <w:tr w:rsidR="00A06126" w:rsidRPr="00F13073" w14:paraId="5FD6A202" w14:textId="77777777">
        <w:trPr>
          <w:cantSplit/>
        </w:trPr>
        <w:tc>
          <w:tcPr>
            <w:tcW w:w="3539" w:type="dxa"/>
          </w:tcPr>
          <w:p w14:paraId="74838691" w14:textId="4339D052" w:rsidR="00E741F8" w:rsidRPr="00F13073" w:rsidRDefault="004929A7">
            <w:pPr>
              <w:suppressAutoHyphens/>
              <w:jc w:val="right"/>
            </w:pPr>
            <w:r>
              <w:rPr>
                <w:noProof/>
                <w:lang w:val="en-US" w:eastAsia="ko-KR"/>
              </w:rPr>
              <w:lastRenderedPageBreak/>
              <w:drawing>
                <wp:inline distT="0" distB="0" distL="0" distR="0" wp14:anchorId="598194DC" wp14:editId="44065D65">
                  <wp:extent cx="2102485" cy="2560955"/>
                  <wp:effectExtent l="19050" t="19050" r="0" b="0"/>
                  <wp:docPr id="27" name="그림 1467001912"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67001912" descr="스케치, 그림, 일러스트레이션, 디자인이(가) 표시된 사진&#10;&#10;자동 생성된 설명"/>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2485" cy="2560955"/>
                          </a:xfrm>
                          <a:prstGeom prst="rect">
                            <a:avLst/>
                          </a:prstGeom>
                          <a:noFill/>
                          <a:ln w="9525" cmpd="sng">
                            <a:solidFill>
                              <a:srgbClr val="000000"/>
                            </a:solidFill>
                            <a:miter lim="800000"/>
                            <a:headEnd/>
                            <a:tailEnd/>
                          </a:ln>
                          <a:effectLst/>
                        </pic:spPr>
                      </pic:pic>
                    </a:graphicData>
                  </a:graphic>
                </wp:inline>
              </w:drawing>
            </w:r>
          </w:p>
          <w:p w14:paraId="74CE5D56" w14:textId="77777777" w:rsidR="00E741F8" w:rsidRPr="00F13073" w:rsidRDefault="00E741F8">
            <w:pPr>
              <w:suppressAutoHyphens/>
              <w:jc w:val="right"/>
              <w:rPr>
                <w:b/>
                <w:bCs/>
              </w:rPr>
            </w:pPr>
            <w:r w:rsidRPr="00F13073">
              <w:rPr>
                <w:b/>
              </w:rPr>
              <w:t>Rysunek F</w:t>
            </w:r>
          </w:p>
        </w:tc>
        <w:tc>
          <w:tcPr>
            <w:tcW w:w="5517" w:type="dxa"/>
          </w:tcPr>
          <w:p w14:paraId="2BDFA567" w14:textId="77777777" w:rsidR="00E741F8" w:rsidRPr="00F13073" w:rsidRDefault="00E741F8">
            <w:pPr>
              <w:pStyle w:val="a4"/>
              <w:numPr>
                <w:ilvl w:val="0"/>
                <w:numId w:val="48"/>
              </w:numPr>
              <w:spacing w:after="0"/>
              <w:ind w:left="567" w:hanging="567"/>
              <w:rPr>
                <w:b/>
              </w:rPr>
            </w:pPr>
            <w:r w:rsidRPr="00F13073">
              <w:rPr>
                <w:b/>
              </w:rPr>
              <w:t>Sprawdzić wygląd leku.</w:t>
            </w:r>
          </w:p>
          <w:p w14:paraId="3DD92F51" w14:textId="77777777" w:rsidR="00E741F8" w:rsidRPr="00F13073" w:rsidRDefault="00E741F8">
            <w:pPr>
              <w:pStyle w:val="Default"/>
              <w:ind w:left="567" w:hanging="567"/>
              <w:rPr>
                <w:rFonts w:ascii="Times New Roman" w:hAnsi="Times New Roman" w:cs="Times New Roman"/>
                <w:sz w:val="22"/>
                <w:szCs w:val="22"/>
              </w:rPr>
            </w:pPr>
          </w:p>
          <w:p w14:paraId="4FF91A88" w14:textId="779A96C0" w:rsidR="00E741F8" w:rsidRPr="00F13073" w:rsidRDefault="00E741F8">
            <w:pPr>
              <w:pStyle w:val="a4"/>
              <w:numPr>
                <w:ilvl w:val="0"/>
                <w:numId w:val="57"/>
              </w:numPr>
              <w:spacing w:after="0"/>
              <w:ind w:left="567" w:hanging="567"/>
              <w:rPr>
                <w:bCs/>
              </w:rPr>
            </w:pPr>
            <w:r w:rsidRPr="00F13073">
              <w:t>Wstrzykiwacz z lekiem Avtozma należy trzymać tak, aby nasadka była skierowana w dół.</w:t>
            </w:r>
          </w:p>
          <w:p w14:paraId="227BA0A9" w14:textId="77777777" w:rsidR="00E741F8" w:rsidRPr="00F13073" w:rsidRDefault="00E741F8">
            <w:pPr>
              <w:pStyle w:val="a4"/>
              <w:numPr>
                <w:ilvl w:val="0"/>
                <w:numId w:val="57"/>
              </w:numPr>
              <w:spacing w:after="0"/>
              <w:ind w:left="567" w:hanging="567"/>
              <w:rPr>
                <w:bCs/>
              </w:rPr>
            </w:pPr>
            <w:r w:rsidRPr="00F13073">
              <w:t xml:space="preserve">Spojrzeć na lek i upewnić się, że płyn jest przezroczysty do lekko opalizującego i bezbarwny do żółtego oraz nie zawiera żadnych widocznych cząsteczek ani drobin (patrz </w:t>
            </w:r>
            <w:r w:rsidRPr="00F13073">
              <w:rPr>
                <w:b/>
              </w:rPr>
              <w:t>rysunek F</w:t>
            </w:r>
            <w:r w:rsidRPr="00F13073">
              <w:t>).</w:t>
            </w:r>
          </w:p>
          <w:p w14:paraId="7BCF3148" w14:textId="3F26D6EF" w:rsidR="00E741F8" w:rsidRPr="00F13073" w:rsidRDefault="00E741F8" w:rsidP="0081094B">
            <w:pPr>
              <w:pStyle w:val="a4"/>
              <w:numPr>
                <w:ilvl w:val="0"/>
                <w:numId w:val="29"/>
              </w:numPr>
              <w:tabs>
                <w:tab w:val="left" w:pos="1139"/>
              </w:tabs>
              <w:spacing w:after="0"/>
              <w:ind w:left="1134" w:hanging="567"/>
            </w:pPr>
            <w:r w:rsidRPr="00F13073">
              <w:rPr>
                <w:b/>
              </w:rPr>
              <w:t xml:space="preserve">Nie </w:t>
            </w:r>
            <w:r w:rsidRPr="00F13073">
              <w:t>stosować wstrzykiwacza, jeśli płyn jest odbarwiony</w:t>
            </w:r>
            <w:r w:rsidRPr="00F13073">
              <w:rPr>
                <w:color w:val="231F20"/>
              </w:rPr>
              <w:t>, mętny lub widoczne są w nim cząstki lub drobiny. W takim przypadku wstrzykiwacz należy bezpiecznie wyrzucić do pojemnika na ostre odpady medyczne i użyć nowego</w:t>
            </w:r>
            <w:r w:rsidRPr="00F13073">
              <w:t>.</w:t>
            </w:r>
          </w:p>
          <w:p w14:paraId="56A298B5" w14:textId="501056FB" w:rsidR="00E741F8" w:rsidRPr="00F13073" w:rsidRDefault="00E741F8" w:rsidP="0081094B">
            <w:pPr>
              <w:pStyle w:val="a4"/>
              <w:numPr>
                <w:ilvl w:val="0"/>
                <w:numId w:val="29"/>
              </w:numPr>
              <w:tabs>
                <w:tab w:val="left" w:pos="1139"/>
              </w:tabs>
              <w:spacing w:after="0"/>
              <w:ind w:left="1134" w:hanging="567"/>
              <w:rPr>
                <w:bCs/>
              </w:rPr>
            </w:pPr>
            <w:r w:rsidRPr="00F13073">
              <w:t>Obecność pęcherzyków powietrza jest zjawiskiem normalnym.</w:t>
            </w:r>
          </w:p>
          <w:p w14:paraId="36C933D7" w14:textId="77777777" w:rsidR="00E741F8" w:rsidRPr="00F13073" w:rsidRDefault="00E741F8" w:rsidP="00D854D5"/>
        </w:tc>
      </w:tr>
      <w:tr w:rsidR="00A06126" w:rsidRPr="00F13073" w14:paraId="28727328" w14:textId="77777777">
        <w:trPr>
          <w:cantSplit/>
        </w:trPr>
        <w:tc>
          <w:tcPr>
            <w:tcW w:w="3539" w:type="dxa"/>
          </w:tcPr>
          <w:p w14:paraId="48121DF0" w14:textId="62943647" w:rsidR="00E741F8" w:rsidRPr="00F13073" w:rsidRDefault="004929A7">
            <w:pPr>
              <w:suppressAutoHyphens/>
              <w:jc w:val="right"/>
            </w:pPr>
            <w:r>
              <w:rPr>
                <w:noProof/>
                <w:lang w:val="en-US" w:eastAsia="ko-KR"/>
              </w:rPr>
              <w:drawing>
                <wp:inline distT="0" distB="0" distL="0" distR="0" wp14:anchorId="502146D7" wp14:editId="1CB18DA8">
                  <wp:extent cx="2103120" cy="2560320"/>
                  <wp:effectExtent l="19050" t="19050" r="0" b="0"/>
                  <wp:docPr id="28" name="그림 2074310175"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74310175" descr="스케치, 그림, 라인 아트, 아동 미술이(가) 표시된 사진&#10;&#10;자동 생성된 설명"/>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3120" cy="2560320"/>
                          </a:xfrm>
                          <a:prstGeom prst="rect">
                            <a:avLst/>
                          </a:prstGeom>
                          <a:noFill/>
                          <a:ln w="9525" cmpd="sng">
                            <a:solidFill>
                              <a:srgbClr val="000000"/>
                            </a:solidFill>
                            <a:miter lim="800000"/>
                            <a:headEnd/>
                            <a:tailEnd/>
                          </a:ln>
                          <a:effectLst/>
                        </pic:spPr>
                      </pic:pic>
                    </a:graphicData>
                  </a:graphic>
                </wp:inline>
              </w:drawing>
            </w:r>
          </w:p>
          <w:p w14:paraId="7A1359A6" w14:textId="77777777" w:rsidR="00E741F8" w:rsidRPr="00F13073" w:rsidRDefault="00E741F8">
            <w:pPr>
              <w:suppressAutoHyphens/>
              <w:jc w:val="right"/>
              <w:rPr>
                <w:b/>
                <w:bCs/>
              </w:rPr>
            </w:pPr>
            <w:r w:rsidRPr="00F13073">
              <w:rPr>
                <w:b/>
              </w:rPr>
              <w:t>Rysunek G</w:t>
            </w:r>
          </w:p>
        </w:tc>
        <w:tc>
          <w:tcPr>
            <w:tcW w:w="5517" w:type="dxa"/>
          </w:tcPr>
          <w:p w14:paraId="536330DC" w14:textId="77777777" w:rsidR="00E741F8" w:rsidRPr="00F13073" w:rsidRDefault="00E741F8">
            <w:pPr>
              <w:pStyle w:val="a4"/>
              <w:numPr>
                <w:ilvl w:val="0"/>
                <w:numId w:val="48"/>
              </w:numPr>
              <w:spacing w:after="0"/>
              <w:ind w:left="567" w:hanging="567"/>
              <w:rPr>
                <w:b/>
              </w:rPr>
            </w:pPr>
            <w:r w:rsidRPr="00F13073">
              <w:rPr>
                <w:b/>
              </w:rPr>
              <w:t>Umyć ręce.</w:t>
            </w:r>
          </w:p>
          <w:p w14:paraId="1F5655FE" w14:textId="77777777" w:rsidR="00E741F8" w:rsidRPr="00F13073" w:rsidRDefault="00E741F8">
            <w:pPr>
              <w:pStyle w:val="Default"/>
              <w:ind w:left="567" w:hanging="567"/>
              <w:rPr>
                <w:rFonts w:ascii="Times New Roman" w:hAnsi="Times New Roman" w:cs="Times New Roman"/>
                <w:sz w:val="22"/>
                <w:szCs w:val="22"/>
              </w:rPr>
            </w:pPr>
          </w:p>
          <w:p w14:paraId="4E2DC498" w14:textId="77777777" w:rsidR="00E741F8" w:rsidRPr="00F13073" w:rsidRDefault="00E741F8">
            <w:pPr>
              <w:pStyle w:val="a4"/>
              <w:numPr>
                <w:ilvl w:val="0"/>
                <w:numId w:val="53"/>
              </w:numPr>
              <w:spacing w:after="0"/>
              <w:ind w:left="567" w:hanging="567"/>
              <w:rPr>
                <w:bCs/>
              </w:rPr>
            </w:pPr>
            <w:r w:rsidRPr="00F13073">
              <w:rPr>
                <w:color w:val="231F20"/>
              </w:rPr>
              <w:t xml:space="preserve">Dokładnie umyć ręce wodą z mydłem i osuszyć je (patrz </w:t>
            </w:r>
            <w:r w:rsidRPr="00F13073">
              <w:rPr>
                <w:b/>
                <w:color w:val="231F20"/>
              </w:rPr>
              <w:t>rysunek G</w:t>
            </w:r>
            <w:r w:rsidRPr="00F13073">
              <w:rPr>
                <w:color w:val="231F20"/>
              </w:rPr>
              <w:t>).</w:t>
            </w:r>
          </w:p>
          <w:p w14:paraId="4CDBD475" w14:textId="77777777" w:rsidR="00E741F8" w:rsidRPr="00F13073" w:rsidRDefault="00E741F8" w:rsidP="00D854D5"/>
        </w:tc>
      </w:tr>
      <w:tr w:rsidR="00A06126" w:rsidRPr="00F13073" w14:paraId="76547F44" w14:textId="77777777">
        <w:trPr>
          <w:cantSplit/>
        </w:trPr>
        <w:tc>
          <w:tcPr>
            <w:tcW w:w="3539" w:type="dxa"/>
          </w:tcPr>
          <w:p w14:paraId="49B89987" w14:textId="2940706F" w:rsidR="00E741F8" w:rsidRPr="00F13073" w:rsidRDefault="004929A7">
            <w:pPr>
              <w:suppressAutoHyphens/>
              <w:jc w:val="right"/>
            </w:pPr>
            <w:r>
              <w:rPr>
                <w:noProof/>
                <w:lang w:val="en-US" w:eastAsia="ko-KR"/>
              </w:rPr>
              <w:lastRenderedPageBreak/>
              <w:drawing>
                <wp:inline distT="0" distB="0" distL="0" distR="0" wp14:anchorId="1B4CCCB7" wp14:editId="0307482D">
                  <wp:extent cx="2103755" cy="3564255"/>
                  <wp:effectExtent l="19050" t="19050" r="0" b="0"/>
                  <wp:docPr id="29" name="그림 1191617134"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91617134" descr="스케치, 화이트, 그림, 텍스트이(가) 표시된 사진&#10;&#10;자동 생성된 설명"/>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03755" cy="3564255"/>
                          </a:xfrm>
                          <a:prstGeom prst="rect">
                            <a:avLst/>
                          </a:prstGeom>
                          <a:noFill/>
                          <a:ln w="9525" cmpd="sng">
                            <a:solidFill>
                              <a:srgbClr val="000000"/>
                            </a:solidFill>
                            <a:miter lim="800000"/>
                            <a:headEnd/>
                            <a:tailEnd/>
                          </a:ln>
                          <a:effectLst/>
                        </pic:spPr>
                      </pic:pic>
                    </a:graphicData>
                  </a:graphic>
                </wp:inline>
              </w:drawing>
            </w:r>
          </w:p>
          <w:p w14:paraId="49E69B45" w14:textId="2A1459BD" w:rsidR="00E741F8"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76672" behindDoc="0" locked="1" layoutInCell="1" allowOverlap="1" wp14:anchorId="247C8056" wp14:editId="6660C938">
                      <wp:simplePos x="0" y="0"/>
                      <wp:positionH relativeFrom="column">
                        <wp:posOffset>446405</wp:posOffset>
                      </wp:positionH>
                      <wp:positionV relativeFrom="paragraph">
                        <wp:posOffset>-1169670</wp:posOffset>
                      </wp:positionV>
                      <wp:extent cx="1509395" cy="1174115"/>
                      <wp:effectExtent l="0" t="0" r="0" b="0"/>
                      <wp:wrapNone/>
                      <wp:docPr id="144272688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1174115"/>
                              </a:xfrm>
                              <a:prstGeom prst="rect">
                                <a:avLst/>
                              </a:prstGeom>
                              <a:noFill/>
                              <a:ln>
                                <a:noFill/>
                              </a:ln>
                            </wps:spPr>
                            <wps:txbx>
                              <w:txbxContent>
                                <w:p w14:paraId="41035F1B" w14:textId="2F0D5CE0" w:rsidR="00FE78F1" w:rsidRPr="0081094B" w:rsidRDefault="00FE78F1" w:rsidP="00483BE6">
                                  <w:pPr>
                                    <w:spacing w:line="264" w:lineRule="auto"/>
                                    <w:ind w:left="284" w:hanging="284"/>
                                    <w:rPr>
                                      <w:rFonts w:ascii="Arial" w:hAnsi="Arial" w:cs="Arial"/>
                                      <w:b/>
                                      <w:bCs/>
                                      <w:sz w:val="18"/>
                                      <w:szCs w:val="18"/>
                                    </w:rPr>
                                  </w:pPr>
                                  <w:r w:rsidRPr="0081094B">
                                    <w:rPr>
                                      <w:rFonts w:ascii="Arial" w:hAnsi="Arial"/>
                                      <w:b/>
                                      <w:sz w:val="18"/>
                                      <w:szCs w:val="18"/>
                                    </w:rPr>
                                    <w:tab/>
                                    <w:t>WYŁĄCZNIE opiekun oraz fachowy personel medyczny</w:t>
                                  </w:r>
                                </w:p>
                                <w:p w14:paraId="396468CC" w14:textId="77777777" w:rsidR="00FE78F1" w:rsidRPr="0081094B" w:rsidRDefault="00FE78F1" w:rsidP="00E741F8">
                                  <w:pPr>
                                    <w:spacing w:line="264" w:lineRule="auto"/>
                                    <w:ind w:left="284" w:hanging="284"/>
                                    <w:rPr>
                                      <w:rFonts w:ascii="Arial" w:hAnsi="Arial" w:cs="Arial"/>
                                      <w:b/>
                                      <w:bC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C8056" id="Text Box 29" o:spid="_x0000_s1071" type="#_x0000_t202" style="position:absolute;left:0;text-align:left;margin-left:35.15pt;margin-top:-92.1pt;width:118.85pt;height:92.4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" filled="f" stroked="f">
                      <v:textbox inset="0,0,0,0">
                        <w:txbxContent>
                          <w:p w14:paraId="41035F1B" w14:textId="2F0D5CE0" w:rsidR="00FE78F1" w:rsidRPr="0081094B" w:rsidRDefault="00FE78F1" w:rsidP="00483BE6">
                            <w:pPr>
                              <w:spacing w:line="264" w:lineRule="auto"/>
                              <w:ind w:left="284" w:hanging="284"/>
                              <w:rPr>
                                <w:rFonts w:ascii="Arial" w:hAnsi="Arial" w:cs="Arial"/>
                                <w:b/>
                                <w:bCs/>
                                <w:sz w:val="18"/>
                                <w:szCs w:val="18"/>
                              </w:rPr>
                            </w:pPr>
                            <w:r w:rsidRPr="0081094B">
                              <w:rPr>
                                <w:rFonts w:ascii="Arial" w:hAnsi="Arial"/>
                                <w:b/>
                                <w:sz w:val="18"/>
                                <w:szCs w:val="18"/>
                              </w:rPr>
                              <w:tab/>
                              <w:t>WYŁĄCZNIE opiekun oraz fachowy personel medyczny</w:t>
                            </w:r>
                          </w:p>
                          <w:p w14:paraId="396468CC" w14:textId="77777777" w:rsidR="00FE78F1" w:rsidRPr="0081094B" w:rsidRDefault="00FE78F1" w:rsidP="00E741F8">
                            <w:pPr>
                              <w:spacing w:line="264" w:lineRule="auto"/>
                              <w:ind w:left="284" w:hanging="284"/>
                              <w:rPr>
                                <w:rFonts w:ascii="Arial" w:hAnsi="Arial" w:cs="Arial"/>
                                <w:b/>
                                <w:bCs/>
                                <w:sz w:val="18"/>
                                <w:szCs w:val="18"/>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77696" behindDoc="0" locked="1" layoutInCell="1" allowOverlap="1" wp14:anchorId="39DC7517" wp14:editId="3ECCB167">
                      <wp:simplePos x="0" y="0"/>
                      <wp:positionH relativeFrom="column">
                        <wp:posOffset>433070</wp:posOffset>
                      </wp:positionH>
                      <wp:positionV relativeFrom="paragraph">
                        <wp:posOffset>-508000</wp:posOffset>
                      </wp:positionV>
                      <wp:extent cx="1731010" cy="762635"/>
                      <wp:effectExtent l="0" t="0" r="0" b="0"/>
                      <wp:wrapNone/>
                      <wp:docPr id="183355209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762635"/>
                              </a:xfrm>
                              <a:prstGeom prst="rect">
                                <a:avLst/>
                              </a:prstGeom>
                              <a:noFill/>
                              <a:ln>
                                <a:noFill/>
                              </a:ln>
                            </wps:spPr>
                            <wps:txbx>
                              <w:txbxContent>
                                <w:p w14:paraId="355418FE" w14:textId="2A1C27F5" w:rsidR="00FE78F1" w:rsidRPr="0081094B" w:rsidRDefault="00FE78F1" w:rsidP="00E84099">
                                  <w:pPr>
                                    <w:spacing w:line="264" w:lineRule="auto"/>
                                    <w:ind w:left="284" w:hanging="284"/>
                                    <w:rPr>
                                      <w:rFonts w:ascii="Arial" w:hAnsi="Arial" w:cs="Arial"/>
                                      <w:b/>
                                      <w:bCs/>
                                      <w:sz w:val="18"/>
                                      <w:szCs w:val="18"/>
                                    </w:rPr>
                                  </w:pPr>
                                  <w:r w:rsidRPr="0081094B">
                                    <w:rPr>
                                      <w:rFonts w:ascii="Arial" w:hAnsi="Arial"/>
                                      <w:b/>
                                      <w:sz w:val="18"/>
                                      <w:szCs w:val="18"/>
                                    </w:rPr>
                                    <w:tab/>
                                    <w:t>wstrzyknięcie samodzielne lub przez opiekuna/</w:t>
                                  </w:r>
                                  <w:r>
                                    <w:rPr>
                                      <w:rFonts w:ascii="Arial" w:hAnsi="Arial"/>
                                      <w:b/>
                                      <w:sz w:val="18"/>
                                      <w:szCs w:val="18"/>
                                    </w:rPr>
                                    <w:br/>
                                  </w:r>
                                  <w:r w:rsidRPr="0081094B">
                                    <w:rPr>
                                      <w:rFonts w:ascii="Arial" w:hAnsi="Arial"/>
                                      <w:b/>
                                      <w:sz w:val="18"/>
                                      <w:szCs w:val="18"/>
                                    </w:rPr>
                                    <w:t>personel medyczny</w:t>
                                  </w:r>
                                </w:p>
                                <w:p w14:paraId="764F973F" w14:textId="77777777" w:rsidR="00FE78F1" w:rsidRPr="0081094B" w:rsidRDefault="00FE78F1" w:rsidP="00E741F8">
                                  <w:pPr>
                                    <w:spacing w:line="264" w:lineRule="auto"/>
                                    <w:ind w:left="284" w:hanging="284"/>
                                    <w:rPr>
                                      <w:rFonts w:ascii="Arial" w:hAnsi="Arial" w:cs="Arial"/>
                                      <w:b/>
                                      <w:bC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C7517" id="Text Box 27" o:spid="_x0000_s1072" type="#_x0000_t202" style="position:absolute;left:0;text-align:left;margin-left:34.1pt;margin-top:-40pt;width:136.3pt;height:60.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" filled="f" stroked="f">
                      <v:textbox inset="0,0,0,0">
                        <w:txbxContent>
                          <w:p w14:paraId="355418FE" w14:textId="2A1C27F5" w:rsidR="00FE78F1" w:rsidRPr="0081094B" w:rsidRDefault="00FE78F1" w:rsidP="00E84099">
                            <w:pPr>
                              <w:spacing w:line="264" w:lineRule="auto"/>
                              <w:ind w:left="284" w:hanging="284"/>
                              <w:rPr>
                                <w:rFonts w:ascii="Arial" w:hAnsi="Arial" w:cs="Arial"/>
                                <w:b/>
                                <w:bCs/>
                                <w:sz w:val="18"/>
                                <w:szCs w:val="18"/>
                              </w:rPr>
                            </w:pPr>
                            <w:r w:rsidRPr="0081094B">
                              <w:rPr>
                                <w:rFonts w:ascii="Arial" w:hAnsi="Arial"/>
                                <w:b/>
                                <w:sz w:val="18"/>
                                <w:szCs w:val="18"/>
                              </w:rPr>
                              <w:tab/>
                              <w:t>wstrzyknięcie samodzielne lub przez opiekuna/</w:t>
                            </w:r>
                            <w:r>
                              <w:rPr>
                                <w:rFonts w:ascii="Arial" w:hAnsi="Arial"/>
                                <w:b/>
                                <w:sz w:val="18"/>
                                <w:szCs w:val="18"/>
                              </w:rPr>
                              <w:br/>
                            </w:r>
                            <w:r w:rsidRPr="0081094B">
                              <w:rPr>
                                <w:rFonts w:ascii="Arial" w:hAnsi="Arial"/>
                                <w:b/>
                                <w:sz w:val="18"/>
                                <w:szCs w:val="18"/>
                              </w:rPr>
                              <w:t>personel medyczny</w:t>
                            </w:r>
                          </w:p>
                          <w:p w14:paraId="764F973F" w14:textId="77777777" w:rsidR="00FE78F1" w:rsidRPr="0081094B" w:rsidRDefault="00FE78F1" w:rsidP="00E741F8">
                            <w:pPr>
                              <w:spacing w:line="264" w:lineRule="auto"/>
                              <w:ind w:left="284" w:hanging="284"/>
                              <w:rPr>
                                <w:rFonts w:ascii="Arial" w:hAnsi="Arial" w:cs="Arial"/>
                                <w:b/>
                                <w:bCs/>
                                <w:sz w:val="18"/>
                                <w:szCs w:val="18"/>
                              </w:rPr>
                            </w:pPr>
                          </w:p>
                        </w:txbxContent>
                      </v:textbox>
                      <w10:anchorlock/>
                    </v:shape>
                  </w:pict>
                </mc:Fallback>
              </mc:AlternateContent>
            </w:r>
            <w:r w:rsidR="00E741F8" w:rsidRPr="00F13073">
              <w:rPr>
                <w:b/>
              </w:rPr>
              <w:t>Rysunek H</w:t>
            </w:r>
          </w:p>
        </w:tc>
        <w:tc>
          <w:tcPr>
            <w:tcW w:w="5517" w:type="dxa"/>
          </w:tcPr>
          <w:p w14:paraId="2EDF8DFE" w14:textId="77777777" w:rsidR="00E741F8" w:rsidRPr="00F13073" w:rsidRDefault="00E741F8">
            <w:pPr>
              <w:pStyle w:val="a4"/>
              <w:numPr>
                <w:ilvl w:val="0"/>
                <w:numId w:val="48"/>
              </w:numPr>
              <w:spacing w:after="0"/>
              <w:ind w:left="567" w:hanging="567"/>
              <w:rPr>
                <w:b/>
              </w:rPr>
            </w:pPr>
            <w:r w:rsidRPr="00F13073">
              <w:rPr>
                <w:b/>
              </w:rPr>
              <w:t>Wybrać odpowiednie miejsce wstrzyknięcia (patrz rysunek H).</w:t>
            </w:r>
          </w:p>
          <w:p w14:paraId="515720A4" w14:textId="77777777" w:rsidR="00E741F8" w:rsidRPr="00F13073" w:rsidRDefault="00E741F8">
            <w:pPr>
              <w:pStyle w:val="Default"/>
              <w:ind w:left="567" w:hanging="567"/>
              <w:rPr>
                <w:rFonts w:ascii="Times New Roman" w:hAnsi="Times New Roman" w:cs="Times New Roman"/>
                <w:bCs/>
                <w:sz w:val="22"/>
                <w:szCs w:val="22"/>
              </w:rPr>
            </w:pPr>
          </w:p>
          <w:p w14:paraId="168C057A" w14:textId="77777777" w:rsidR="00E741F8" w:rsidRPr="00F13073" w:rsidRDefault="00E741F8">
            <w:pPr>
              <w:pStyle w:val="a4"/>
              <w:numPr>
                <w:ilvl w:val="0"/>
                <w:numId w:val="56"/>
              </w:numPr>
              <w:spacing w:after="0"/>
              <w:ind w:left="567" w:hanging="567"/>
              <w:rPr>
                <w:bCs/>
              </w:rPr>
            </w:pPr>
            <w:r w:rsidRPr="00F13073">
              <w:t>Wstrzyknięcie można wykonać w:</w:t>
            </w:r>
            <w:r w:rsidRPr="00F13073">
              <w:rPr>
                <w:b/>
              </w:rPr>
              <w:t xml:space="preserve"> </w:t>
            </w:r>
          </w:p>
          <w:p w14:paraId="14BAE141" w14:textId="10D7E04D" w:rsidR="00E741F8" w:rsidRPr="00F13073" w:rsidRDefault="00E741F8" w:rsidP="00777260">
            <w:pPr>
              <w:pStyle w:val="a4"/>
              <w:numPr>
                <w:ilvl w:val="0"/>
                <w:numId w:val="38"/>
              </w:numPr>
              <w:tabs>
                <w:tab w:val="left" w:pos="1139"/>
              </w:tabs>
              <w:spacing w:after="0"/>
              <w:ind w:left="1134" w:hanging="567"/>
              <w:rPr>
                <w:color w:val="231F20"/>
              </w:rPr>
            </w:pPr>
            <w:r w:rsidRPr="00F13073">
              <w:rPr>
                <w:color w:val="231F20"/>
              </w:rPr>
              <w:t>Przednią część uda</w:t>
            </w:r>
          </w:p>
          <w:p w14:paraId="60603C79" w14:textId="56C876C6" w:rsidR="00E741F8" w:rsidRPr="00F13073" w:rsidRDefault="00E741F8" w:rsidP="0081094B">
            <w:pPr>
              <w:pStyle w:val="a4"/>
              <w:numPr>
                <w:ilvl w:val="0"/>
                <w:numId w:val="38"/>
              </w:numPr>
              <w:tabs>
                <w:tab w:val="left" w:pos="1139"/>
              </w:tabs>
              <w:spacing w:after="0"/>
              <w:ind w:left="1134" w:hanging="567"/>
            </w:pPr>
            <w:r w:rsidRPr="00F13073">
              <w:rPr>
                <w:color w:val="231F20"/>
              </w:rPr>
              <w:t>Brzuch, z wyjątkiem okolicy znajdującej się w promieniu 5 cm wokół pępka.</w:t>
            </w:r>
          </w:p>
          <w:p w14:paraId="66FCE132" w14:textId="50C954D6" w:rsidR="00E741F8" w:rsidRPr="00F13073" w:rsidRDefault="00E741F8" w:rsidP="0081094B">
            <w:pPr>
              <w:pStyle w:val="a4"/>
              <w:numPr>
                <w:ilvl w:val="0"/>
                <w:numId w:val="38"/>
              </w:numPr>
              <w:tabs>
                <w:tab w:val="left" w:pos="1139"/>
              </w:tabs>
              <w:spacing w:after="0"/>
              <w:ind w:left="1134" w:hanging="567"/>
            </w:pPr>
            <w:r w:rsidRPr="00F13073">
              <w:rPr>
                <w:color w:val="231F20"/>
              </w:rPr>
              <w:t>Zewnętrzną część ramienia (wyłącznie w przypadku, jeśli wstrzyknięcie wykonuje opiekun lub osoba należąca do fachowego personelu medycznego).</w:t>
            </w:r>
          </w:p>
          <w:p w14:paraId="0E5822F1" w14:textId="77777777" w:rsidR="00E741F8" w:rsidRPr="00F13073" w:rsidRDefault="00E741F8">
            <w:pPr>
              <w:pStyle w:val="a4"/>
              <w:spacing w:after="0"/>
              <w:ind w:left="567" w:hanging="567"/>
            </w:pPr>
          </w:p>
          <w:p w14:paraId="664140FA" w14:textId="53821241" w:rsidR="00E741F8" w:rsidRPr="00F13073" w:rsidRDefault="00E741F8" w:rsidP="0081094B">
            <w:pPr>
              <w:pStyle w:val="a4"/>
              <w:numPr>
                <w:ilvl w:val="0"/>
                <w:numId w:val="29"/>
              </w:numPr>
              <w:tabs>
                <w:tab w:val="left" w:pos="1139"/>
              </w:tabs>
              <w:spacing w:after="0"/>
              <w:ind w:left="1134" w:hanging="567"/>
            </w:pPr>
            <w:r w:rsidRPr="00F13073">
              <w:rPr>
                <w:b/>
              </w:rPr>
              <w:t>Nie należy</w:t>
            </w:r>
            <w:r w:rsidRPr="00F13073">
              <w:t xml:space="preserve"> samodzielnie wstrzykiwać leku w ramię.</w:t>
            </w:r>
          </w:p>
          <w:p w14:paraId="7066B752" w14:textId="56CEB852" w:rsidR="00E741F8" w:rsidRPr="00F13073" w:rsidRDefault="00E741F8" w:rsidP="0081094B">
            <w:pPr>
              <w:pStyle w:val="a4"/>
              <w:numPr>
                <w:ilvl w:val="0"/>
                <w:numId w:val="29"/>
              </w:numPr>
              <w:tabs>
                <w:tab w:val="left" w:pos="1139"/>
              </w:tabs>
              <w:spacing w:after="0"/>
              <w:ind w:left="1134" w:hanging="567"/>
              <w:rPr>
                <w:bCs/>
              </w:rPr>
            </w:pPr>
            <w:r w:rsidRPr="00F13073">
              <w:t>W przypadku każdego kolejnego wstrzyknięcia należy wybrać inne miejsce wstrzyknięcia, oddalone o co najmniej 2,5 cm od ostatniego miejsca wstrzyknięcia.</w:t>
            </w:r>
          </w:p>
          <w:p w14:paraId="2F93B256" w14:textId="40033A1B"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wstrzykiwać w znamiona</w:t>
            </w:r>
            <w:r w:rsidRPr="00F13073">
              <w:rPr>
                <w:color w:val="231F20"/>
              </w:rPr>
              <w:t>, blizny, zasinienia ani obszary, gdzie skóra jest tkliwa, zaczerwieniona lub stwardniała.</w:t>
            </w:r>
          </w:p>
          <w:p w14:paraId="502D564C" w14:textId="77777777" w:rsidR="00E741F8" w:rsidRPr="00F13073" w:rsidRDefault="00E741F8" w:rsidP="00D854D5"/>
        </w:tc>
      </w:tr>
      <w:tr w:rsidR="00A06126" w:rsidRPr="00F13073" w14:paraId="70E2F84B" w14:textId="77777777">
        <w:trPr>
          <w:cantSplit/>
        </w:trPr>
        <w:tc>
          <w:tcPr>
            <w:tcW w:w="3539" w:type="dxa"/>
          </w:tcPr>
          <w:p w14:paraId="22A355DB" w14:textId="5B63B62F" w:rsidR="00E741F8" w:rsidRPr="00F13073" w:rsidRDefault="004929A7">
            <w:pPr>
              <w:suppressAutoHyphens/>
              <w:jc w:val="right"/>
            </w:pPr>
            <w:r>
              <w:rPr>
                <w:noProof/>
                <w:lang w:val="en-US" w:eastAsia="ko-KR"/>
              </w:rPr>
              <w:drawing>
                <wp:inline distT="0" distB="0" distL="0" distR="0" wp14:anchorId="2F638C9E" wp14:editId="651E6DB5">
                  <wp:extent cx="2101850" cy="2561590"/>
                  <wp:effectExtent l="19050" t="19050" r="0" b="0"/>
                  <wp:docPr id="30" name="그림 1770762785"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70762785" descr="라인 아트, 스케치, 클립아트, 컬러링북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1850" cy="2561590"/>
                          </a:xfrm>
                          <a:prstGeom prst="rect">
                            <a:avLst/>
                          </a:prstGeom>
                          <a:noFill/>
                          <a:ln w="9525" cmpd="sng">
                            <a:solidFill>
                              <a:srgbClr val="000000"/>
                            </a:solidFill>
                            <a:miter lim="800000"/>
                            <a:headEnd/>
                            <a:tailEnd/>
                          </a:ln>
                          <a:effectLst/>
                        </pic:spPr>
                      </pic:pic>
                    </a:graphicData>
                  </a:graphic>
                </wp:inline>
              </w:drawing>
            </w:r>
          </w:p>
          <w:p w14:paraId="6F2179AA" w14:textId="77777777" w:rsidR="00E741F8" w:rsidRPr="00F13073" w:rsidRDefault="00E741F8">
            <w:pPr>
              <w:suppressAutoHyphens/>
              <w:jc w:val="right"/>
              <w:rPr>
                <w:b/>
                <w:bCs/>
              </w:rPr>
            </w:pPr>
            <w:r w:rsidRPr="00F13073">
              <w:rPr>
                <w:b/>
              </w:rPr>
              <w:t>Rysunek I</w:t>
            </w:r>
          </w:p>
        </w:tc>
        <w:tc>
          <w:tcPr>
            <w:tcW w:w="5517" w:type="dxa"/>
          </w:tcPr>
          <w:p w14:paraId="7245570E" w14:textId="77777777" w:rsidR="00E741F8" w:rsidRPr="00F13073" w:rsidRDefault="00E741F8">
            <w:pPr>
              <w:pStyle w:val="a4"/>
              <w:numPr>
                <w:ilvl w:val="0"/>
                <w:numId w:val="48"/>
              </w:numPr>
              <w:spacing w:after="0"/>
              <w:ind w:left="567" w:hanging="567"/>
              <w:rPr>
                <w:b/>
              </w:rPr>
            </w:pPr>
            <w:r w:rsidRPr="00F13073">
              <w:rPr>
                <w:b/>
              </w:rPr>
              <w:t>Oczyścić miejsce wstrzyknięcia.</w:t>
            </w:r>
          </w:p>
          <w:p w14:paraId="6929AE4B" w14:textId="77777777" w:rsidR="00E741F8" w:rsidRPr="00F13073" w:rsidRDefault="00E741F8">
            <w:pPr>
              <w:pStyle w:val="Default"/>
              <w:ind w:left="567" w:hanging="567"/>
              <w:rPr>
                <w:rFonts w:ascii="Times New Roman" w:hAnsi="Times New Roman" w:cs="Times New Roman"/>
                <w:sz w:val="22"/>
                <w:szCs w:val="22"/>
              </w:rPr>
            </w:pPr>
          </w:p>
          <w:p w14:paraId="7F1056F9" w14:textId="77777777" w:rsidR="00E741F8" w:rsidRPr="00F13073" w:rsidRDefault="00E741F8">
            <w:pPr>
              <w:pStyle w:val="a4"/>
              <w:numPr>
                <w:ilvl w:val="0"/>
                <w:numId w:val="54"/>
              </w:numPr>
              <w:spacing w:after="0"/>
              <w:ind w:left="567" w:hanging="567"/>
              <w:rPr>
                <w:bCs/>
              </w:rPr>
            </w:pPr>
            <w:r w:rsidRPr="00F13073">
              <w:t xml:space="preserve">Przetrzeć miejsce wstrzyknięcia wacikiem nasączonym alkoholem i pozostawić do wyschnięcia na powietrzu (patrz </w:t>
            </w:r>
            <w:r w:rsidRPr="00F13073">
              <w:rPr>
                <w:b/>
              </w:rPr>
              <w:t>rysunek I</w:t>
            </w:r>
            <w:r w:rsidRPr="00F13073">
              <w:t>).</w:t>
            </w:r>
            <w:r w:rsidRPr="00F13073">
              <w:rPr>
                <w:color w:val="231F20"/>
              </w:rPr>
              <w:t xml:space="preserve"> Zmniejszy to ryzyko wystąpienia zakażenia</w:t>
            </w:r>
            <w:r w:rsidRPr="00F13073">
              <w:t>.</w:t>
            </w:r>
          </w:p>
          <w:p w14:paraId="30E58598" w14:textId="790C04EF" w:rsidR="00E741F8" w:rsidRPr="00F13073" w:rsidRDefault="00E741F8" w:rsidP="0081094B">
            <w:pPr>
              <w:pStyle w:val="a4"/>
              <w:numPr>
                <w:ilvl w:val="0"/>
                <w:numId w:val="29"/>
              </w:numPr>
              <w:tabs>
                <w:tab w:val="left" w:pos="1139"/>
              </w:tabs>
              <w:spacing w:after="0"/>
              <w:ind w:left="1134" w:hanging="567"/>
            </w:pPr>
            <w:r w:rsidRPr="00F13073">
              <w:rPr>
                <w:b/>
              </w:rPr>
              <w:t xml:space="preserve">Nie należy </w:t>
            </w:r>
            <w:r w:rsidRPr="00F13073">
              <w:t>ponownie dotykać miejsca wstrzyknięcia przed wykonaniem wstrzyknięcia.</w:t>
            </w:r>
          </w:p>
          <w:p w14:paraId="7042EADD" w14:textId="264325C0"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wachlować ani nie dmuchać na oczyszczony obszar ciała.</w:t>
            </w:r>
          </w:p>
          <w:p w14:paraId="52390789" w14:textId="77777777" w:rsidR="00E741F8" w:rsidRPr="00F13073" w:rsidRDefault="00E741F8" w:rsidP="00D854D5"/>
        </w:tc>
      </w:tr>
    </w:tbl>
    <w:p w14:paraId="4E5C5A2B" w14:textId="77777777" w:rsidR="00E741F8" w:rsidRPr="00F13073" w:rsidRDefault="00E741F8" w:rsidP="00E741F8"/>
    <w:p w14:paraId="47FC0674" w14:textId="77777777" w:rsidR="00E741F8" w:rsidRPr="00F13073" w:rsidRDefault="00E741F8" w:rsidP="00E741F8"/>
    <w:p w14:paraId="2A905A06" w14:textId="77777777" w:rsidR="00E741F8" w:rsidRPr="00F13073" w:rsidRDefault="00E741F8" w:rsidP="00E741F8">
      <w:pPr>
        <w:keepNext/>
        <w:rPr>
          <w:b/>
          <w:bCs/>
        </w:rPr>
      </w:pPr>
      <w:r w:rsidRPr="00F13073">
        <w:rPr>
          <w:b/>
        </w:rPr>
        <w:lastRenderedPageBreak/>
        <w:t>Wykonanie wstrzyknięcia</w:t>
      </w:r>
    </w:p>
    <w:p w14:paraId="7EDA4F66" w14:textId="77777777" w:rsidR="00E741F8" w:rsidRPr="00F13073" w:rsidRDefault="00E741F8" w:rsidP="00E741F8">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4FAF06A2" w14:textId="77777777">
        <w:trPr>
          <w:cantSplit/>
        </w:trPr>
        <w:tc>
          <w:tcPr>
            <w:tcW w:w="3539" w:type="dxa"/>
          </w:tcPr>
          <w:p w14:paraId="1824F73D" w14:textId="38D3D80B" w:rsidR="00E741F8" w:rsidRPr="00F13073" w:rsidRDefault="004929A7">
            <w:pPr>
              <w:suppressAutoHyphens/>
              <w:jc w:val="right"/>
            </w:pPr>
            <w:r>
              <w:rPr>
                <w:noProof/>
                <w:lang w:val="en-US" w:eastAsia="ko-KR"/>
              </w:rPr>
              <w:drawing>
                <wp:inline distT="0" distB="0" distL="0" distR="0" wp14:anchorId="0B4E4312" wp14:editId="3492E927">
                  <wp:extent cx="2103120" cy="2561590"/>
                  <wp:effectExtent l="19050" t="19050" r="0" b="0"/>
                  <wp:docPr id="31" name="그림 1895579912"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95579912" descr="스케치, 그림, 클립아트, 일러스트레이션이(가) 표시된 사진&#10;&#10;자동 생성된 설명"/>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03120" cy="2561590"/>
                          </a:xfrm>
                          <a:prstGeom prst="rect">
                            <a:avLst/>
                          </a:prstGeom>
                          <a:noFill/>
                          <a:ln w="9525" cmpd="sng">
                            <a:solidFill>
                              <a:srgbClr val="000000"/>
                            </a:solidFill>
                            <a:miter lim="800000"/>
                            <a:headEnd/>
                            <a:tailEnd/>
                          </a:ln>
                          <a:effectLst/>
                        </pic:spPr>
                      </pic:pic>
                    </a:graphicData>
                  </a:graphic>
                </wp:inline>
              </w:drawing>
            </w:r>
          </w:p>
          <w:p w14:paraId="5D2DAA50" w14:textId="73854C8D" w:rsidR="00E741F8"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78720" behindDoc="0" locked="1" layoutInCell="1" allowOverlap="1" wp14:anchorId="0DED5D62" wp14:editId="26E9D461">
                      <wp:simplePos x="0" y="0"/>
                      <wp:positionH relativeFrom="column">
                        <wp:posOffset>1118870</wp:posOffset>
                      </wp:positionH>
                      <wp:positionV relativeFrom="paragraph">
                        <wp:posOffset>-1697355</wp:posOffset>
                      </wp:positionV>
                      <wp:extent cx="732155" cy="482600"/>
                      <wp:effectExtent l="0" t="0" r="0" b="0"/>
                      <wp:wrapNone/>
                      <wp:docPr id="13208707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482600"/>
                              </a:xfrm>
                              <a:prstGeom prst="rect">
                                <a:avLst/>
                              </a:prstGeom>
                              <a:noFill/>
                              <a:ln w="9525">
                                <a:noFill/>
                                <a:miter lim="800000"/>
                                <a:headEnd/>
                                <a:tailEnd/>
                              </a:ln>
                            </wps:spPr>
                            <wps:txbx>
                              <w:txbxContent>
                                <w:p w14:paraId="13CB4493" w14:textId="354DB0F5" w:rsidR="00FE78F1" w:rsidRPr="00151F2F" w:rsidRDefault="00FE78F1" w:rsidP="00E741F8">
                                  <w:pPr>
                                    <w:spacing w:line="264" w:lineRule="auto"/>
                                    <w:rPr>
                                      <w:rFonts w:ascii="Arial" w:hAnsi="Arial" w:cs="Arial"/>
                                      <w:b/>
                                      <w:bCs/>
                                      <w:sz w:val="26"/>
                                      <w:szCs w:val="26"/>
                                    </w:rPr>
                                  </w:pPr>
                                  <w:r w:rsidRPr="008E0A5B">
                                    <w:rPr>
                                      <w:rFonts w:ascii="Arial" w:hAnsi="Arial"/>
                                      <w:b/>
                                      <w:sz w:val="26"/>
                                    </w:rPr>
                                    <w:t>Osłona igły</w:t>
                                  </w:r>
                                </w:p>
                                <w:p w14:paraId="781280A2" w14:textId="77777777" w:rsidR="00FE78F1" w:rsidRPr="0081094B" w:rsidRDefault="00FE78F1" w:rsidP="00E741F8">
                                  <w:pPr>
                                    <w:spacing w:line="264" w:lineRule="auto"/>
                                    <w:rPr>
                                      <w:rFonts w:ascii="Arial" w:hAnsi="Arial" w:cs="Arial"/>
                                      <w:b/>
                                      <w:bCs/>
                                      <w:sz w:val="26"/>
                                      <w:szCs w:val="2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D5D62" id="Text Box 25" o:spid="_x0000_s1073" type="#_x0000_t202" style="position:absolute;left:0;text-align:left;margin-left:88.1pt;margin-top:-133.65pt;width:57.65pt;height:3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" filled="f" stroked="f">
                      <v:textbox inset="0,0,0,0">
                        <w:txbxContent>
                          <w:p w14:paraId="13CB4493" w14:textId="354DB0F5" w:rsidR="00FE78F1" w:rsidRPr="00151F2F" w:rsidRDefault="00FE78F1" w:rsidP="00E741F8">
                            <w:pPr>
                              <w:spacing w:line="264" w:lineRule="auto"/>
                              <w:rPr>
                                <w:rFonts w:ascii="Arial" w:hAnsi="Arial" w:cs="Arial"/>
                                <w:b/>
                                <w:bCs/>
                                <w:sz w:val="26"/>
                                <w:szCs w:val="26"/>
                              </w:rPr>
                            </w:pPr>
                            <w:r w:rsidRPr="008E0A5B">
                              <w:rPr>
                                <w:rFonts w:ascii="Arial" w:hAnsi="Arial"/>
                                <w:b/>
                                <w:sz w:val="26"/>
                              </w:rPr>
                              <w:t>Osłona igły</w:t>
                            </w:r>
                          </w:p>
                          <w:p w14:paraId="781280A2" w14:textId="77777777" w:rsidR="00FE78F1" w:rsidRPr="0081094B" w:rsidRDefault="00FE78F1" w:rsidP="00E741F8">
                            <w:pPr>
                              <w:spacing w:line="264" w:lineRule="auto"/>
                              <w:rPr>
                                <w:rFonts w:ascii="Arial" w:hAnsi="Arial" w:cs="Arial"/>
                                <w:b/>
                                <w:bCs/>
                                <w:sz w:val="26"/>
                                <w:szCs w:val="26"/>
                              </w:rPr>
                            </w:pPr>
                          </w:p>
                        </w:txbxContent>
                      </v:textbox>
                      <w10:anchorlock/>
                    </v:shape>
                  </w:pict>
                </mc:Fallback>
              </mc:AlternateContent>
            </w:r>
            <w:r w:rsidR="00E741F8" w:rsidRPr="00F13073">
              <w:rPr>
                <w:b/>
                <w:bCs/>
              </w:rPr>
              <w:t>Rysunek J</w:t>
            </w:r>
          </w:p>
        </w:tc>
        <w:tc>
          <w:tcPr>
            <w:tcW w:w="5517" w:type="dxa"/>
          </w:tcPr>
          <w:p w14:paraId="3BEBA005" w14:textId="77777777" w:rsidR="00E741F8" w:rsidRPr="00F13073" w:rsidRDefault="00E741F8">
            <w:pPr>
              <w:pStyle w:val="a4"/>
              <w:numPr>
                <w:ilvl w:val="0"/>
                <w:numId w:val="48"/>
              </w:numPr>
              <w:spacing w:after="0"/>
              <w:ind w:left="567" w:hanging="567"/>
              <w:rPr>
                <w:b/>
              </w:rPr>
            </w:pPr>
            <w:r w:rsidRPr="00F13073">
              <w:rPr>
                <w:b/>
              </w:rPr>
              <w:t>Zdjąć nasadkę.</w:t>
            </w:r>
          </w:p>
          <w:p w14:paraId="5966BB4D" w14:textId="77777777" w:rsidR="00E741F8" w:rsidRPr="00F13073" w:rsidRDefault="00E741F8">
            <w:pPr>
              <w:pStyle w:val="Default"/>
              <w:keepNext/>
              <w:ind w:left="567" w:hanging="567"/>
              <w:rPr>
                <w:rFonts w:ascii="Times New Roman" w:hAnsi="Times New Roman" w:cs="Times New Roman"/>
                <w:sz w:val="22"/>
                <w:szCs w:val="22"/>
              </w:rPr>
            </w:pPr>
          </w:p>
          <w:p w14:paraId="552C70DB" w14:textId="08F65C04" w:rsidR="00E741F8" w:rsidRPr="00F13073" w:rsidRDefault="00E741F8">
            <w:pPr>
              <w:pStyle w:val="a4"/>
              <w:keepNext/>
              <w:numPr>
                <w:ilvl w:val="0"/>
                <w:numId w:val="55"/>
              </w:numPr>
              <w:spacing w:after="0"/>
              <w:ind w:left="567" w:hanging="567"/>
              <w:rPr>
                <w:bCs/>
              </w:rPr>
            </w:pPr>
            <w:r w:rsidRPr="00F13073">
              <w:rPr>
                <w:color w:val="231F20"/>
              </w:rPr>
              <w:t>Przytrzymać wstrzykiwacz jedną ręką za korpus wstrzykiwacza w taki sposób, aby nasadka znajdowała się na górze.</w:t>
            </w:r>
            <w:r w:rsidRPr="00F13073">
              <w:rPr>
                <w:color w:val="231F20"/>
              </w:rPr>
              <w:br/>
            </w:r>
            <w:r w:rsidRPr="00F13073">
              <w:t xml:space="preserve">Drugą ręką ostrożnie zdjąć nasadkę (patrz </w:t>
            </w:r>
            <w:r w:rsidRPr="00F13073">
              <w:rPr>
                <w:b/>
              </w:rPr>
              <w:t>rysunek J</w:t>
            </w:r>
            <w:r w:rsidRPr="00F13073">
              <w:t>).</w:t>
            </w:r>
          </w:p>
          <w:p w14:paraId="24F27360" w14:textId="77777777" w:rsidR="00E741F8" w:rsidRPr="00F13073" w:rsidRDefault="00E741F8">
            <w:pPr>
              <w:pStyle w:val="a4"/>
              <w:spacing w:after="0"/>
              <w:ind w:left="567"/>
              <w:rPr>
                <w:bCs/>
              </w:rPr>
            </w:pPr>
            <w:r w:rsidRPr="00F13073">
              <w:rPr>
                <w:i/>
              </w:rPr>
              <w:t>Uwaga</w:t>
            </w:r>
            <w:r w:rsidRPr="00F13073">
              <w:t>: Jeśli pacjent nie jest w stanie zdjąć nasadki, powinien poprosić o pomoc opiekuna lub skontaktować się z fachowym personelem medycznym.</w:t>
            </w:r>
          </w:p>
          <w:p w14:paraId="04410059" w14:textId="77777777" w:rsidR="00E741F8" w:rsidRPr="00F13073" w:rsidRDefault="00E741F8">
            <w:pPr>
              <w:pStyle w:val="a4"/>
              <w:keepNext/>
              <w:numPr>
                <w:ilvl w:val="0"/>
                <w:numId w:val="55"/>
              </w:numPr>
              <w:spacing w:after="0"/>
              <w:ind w:left="567" w:hanging="567"/>
              <w:rPr>
                <w:color w:val="231F20"/>
              </w:rPr>
            </w:pPr>
            <w:r w:rsidRPr="00F13073">
              <w:rPr>
                <w:color w:val="231F20"/>
              </w:rPr>
              <w:t xml:space="preserve">Nasadkę należy natychmiast wyrzucić do pojemnika na ostre odpady medyczne (patrz </w:t>
            </w:r>
            <w:r w:rsidRPr="00F13073">
              <w:rPr>
                <w:b/>
                <w:color w:val="231F20"/>
              </w:rPr>
              <w:t>krok 14</w:t>
            </w:r>
            <w:r w:rsidRPr="00F13073">
              <w:rPr>
                <w:color w:val="231F20"/>
              </w:rPr>
              <w:t xml:space="preserve"> oraz </w:t>
            </w:r>
            <w:r w:rsidRPr="00F13073">
              <w:rPr>
                <w:b/>
                <w:bCs/>
                <w:color w:val="231F20"/>
              </w:rPr>
              <w:t>rysunek N</w:t>
            </w:r>
            <w:r w:rsidRPr="00F13073">
              <w:rPr>
                <w:color w:val="231F20"/>
              </w:rPr>
              <w:t>).</w:t>
            </w:r>
          </w:p>
          <w:p w14:paraId="4CB6FAF9" w14:textId="1FFE1ED4" w:rsidR="00E741F8" w:rsidRPr="00F13073" w:rsidRDefault="00E741F8" w:rsidP="0081094B">
            <w:pPr>
              <w:pStyle w:val="a4"/>
              <w:numPr>
                <w:ilvl w:val="0"/>
                <w:numId w:val="29"/>
              </w:numPr>
              <w:tabs>
                <w:tab w:val="left" w:pos="1139"/>
              </w:tabs>
              <w:spacing w:after="0"/>
              <w:ind w:left="1134" w:hanging="567"/>
            </w:pPr>
            <w:r w:rsidRPr="00F13073">
              <w:rPr>
                <w:b/>
                <w:bCs/>
              </w:rPr>
              <w:t>Nie należy</w:t>
            </w:r>
            <w:r w:rsidRPr="00F13073">
              <w:t xml:space="preserve"> ponownie zakładać nasadki na wstrzykiwacz.</w:t>
            </w:r>
          </w:p>
          <w:p w14:paraId="22C6F57B" w14:textId="2070BC8D"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dotykać osłony igły na końcu wstrzykiwacza</w:t>
            </w:r>
            <w:r w:rsidR="00104A4F" w:rsidRPr="00F13073">
              <w:t xml:space="preserve">, </w:t>
            </w:r>
            <w:r w:rsidRPr="00F13073">
              <w:t>aby uniknąć przypadkowego zakłucia igłą.</w:t>
            </w:r>
          </w:p>
          <w:p w14:paraId="45C42D0D" w14:textId="5D2646A3" w:rsidR="00E741F8" w:rsidRPr="00F13073" w:rsidRDefault="00E741F8" w:rsidP="0081094B">
            <w:pPr>
              <w:pStyle w:val="a4"/>
              <w:numPr>
                <w:ilvl w:val="0"/>
                <w:numId w:val="29"/>
              </w:numPr>
              <w:tabs>
                <w:tab w:val="left" w:pos="1139"/>
              </w:tabs>
              <w:spacing w:after="0"/>
              <w:ind w:left="1134" w:hanging="567"/>
            </w:pPr>
            <w:r w:rsidRPr="00F13073">
              <w:rPr>
                <w:color w:val="231F20"/>
              </w:rPr>
              <w:t xml:space="preserve">Po </w:t>
            </w:r>
            <w:r w:rsidRPr="00F13073">
              <w:t>zdjęciu</w:t>
            </w:r>
            <w:r w:rsidRPr="00F13073">
              <w:rPr>
                <w:color w:val="231F20"/>
              </w:rPr>
              <w:t xml:space="preserve"> nasadki wstrzykiwacz jest gotowy do użycia. Jeśli wstrzykiwacz nie zostanie użyty w ciągu 3 minut od zdjęcia nasadki, należy go wyrzucić do pojemnika na ostre odpady medyczne i użyć nowego wstrzykiwacza.</w:t>
            </w:r>
          </w:p>
          <w:p w14:paraId="12011C80" w14:textId="77777777" w:rsidR="00E741F8" w:rsidRPr="00F13073" w:rsidRDefault="00E741F8" w:rsidP="00D854D5"/>
        </w:tc>
      </w:tr>
      <w:tr w:rsidR="00A06126" w:rsidRPr="00F13073" w14:paraId="7ADF84E0" w14:textId="77777777">
        <w:trPr>
          <w:cantSplit/>
        </w:trPr>
        <w:tc>
          <w:tcPr>
            <w:tcW w:w="3539" w:type="dxa"/>
          </w:tcPr>
          <w:p w14:paraId="089E4E2B" w14:textId="1456563D" w:rsidR="00E741F8" w:rsidRPr="00F13073" w:rsidRDefault="004929A7">
            <w:pPr>
              <w:suppressAutoHyphens/>
              <w:jc w:val="right"/>
            </w:pPr>
            <w:r>
              <w:rPr>
                <w:noProof/>
                <w:lang w:val="en-US" w:eastAsia="ko-KR"/>
              </w:rPr>
              <w:drawing>
                <wp:inline distT="0" distB="0" distL="0" distR="0" wp14:anchorId="47669806" wp14:editId="543FF47B">
                  <wp:extent cx="2103120" cy="2561590"/>
                  <wp:effectExtent l="19050" t="19050" r="0" b="0"/>
                  <wp:docPr id="32" name="그림 2415689"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5689" descr="스케치, 그림, 클립아트, 라인 아트이(가) 표시된 사진&#10;&#10;자동 생성된 설명"/>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03120" cy="2561590"/>
                          </a:xfrm>
                          <a:prstGeom prst="rect">
                            <a:avLst/>
                          </a:prstGeom>
                          <a:noFill/>
                          <a:ln w="9525" cmpd="sng">
                            <a:solidFill>
                              <a:srgbClr val="000000"/>
                            </a:solidFill>
                            <a:miter lim="800000"/>
                            <a:headEnd/>
                            <a:tailEnd/>
                          </a:ln>
                          <a:effectLst/>
                        </pic:spPr>
                      </pic:pic>
                    </a:graphicData>
                  </a:graphic>
                </wp:inline>
              </w:drawing>
            </w:r>
          </w:p>
          <w:p w14:paraId="3C298EE1" w14:textId="77777777" w:rsidR="00E741F8" w:rsidRPr="00F13073" w:rsidRDefault="00E741F8">
            <w:pPr>
              <w:suppressAutoHyphens/>
              <w:jc w:val="right"/>
              <w:rPr>
                <w:b/>
                <w:bCs/>
              </w:rPr>
            </w:pPr>
            <w:r w:rsidRPr="00F13073">
              <w:rPr>
                <w:b/>
              </w:rPr>
              <w:t>Rysunek K</w:t>
            </w:r>
          </w:p>
        </w:tc>
        <w:tc>
          <w:tcPr>
            <w:tcW w:w="5517" w:type="dxa"/>
          </w:tcPr>
          <w:p w14:paraId="215B1D9D" w14:textId="48FB6A0C" w:rsidR="00E741F8" w:rsidRPr="00F13073" w:rsidRDefault="00E741F8">
            <w:pPr>
              <w:pStyle w:val="a4"/>
              <w:numPr>
                <w:ilvl w:val="0"/>
                <w:numId w:val="59"/>
              </w:numPr>
              <w:spacing w:after="0"/>
              <w:ind w:left="567" w:hanging="567"/>
              <w:rPr>
                <w:b/>
              </w:rPr>
            </w:pPr>
            <w:r w:rsidRPr="00F13073">
              <w:rPr>
                <w:b/>
              </w:rPr>
              <w:t>Umieścić wstrzykiwacz w miejscu wstrzyknięcia.</w:t>
            </w:r>
          </w:p>
          <w:p w14:paraId="3F8BDBA3" w14:textId="77777777" w:rsidR="00E741F8" w:rsidRPr="00F13073" w:rsidRDefault="00E741F8">
            <w:pPr>
              <w:pStyle w:val="a4"/>
              <w:spacing w:after="0"/>
              <w:ind w:left="567" w:hanging="567"/>
              <w:rPr>
                <w:color w:val="231F20"/>
              </w:rPr>
            </w:pPr>
          </w:p>
          <w:p w14:paraId="7375E09E" w14:textId="7DC02D81" w:rsidR="00E741F8" w:rsidRPr="00F13073" w:rsidRDefault="00E741F8">
            <w:pPr>
              <w:pStyle w:val="a4"/>
              <w:numPr>
                <w:ilvl w:val="0"/>
                <w:numId w:val="64"/>
              </w:numPr>
              <w:spacing w:after="0"/>
              <w:ind w:left="567" w:hanging="567"/>
              <w:rPr>
                <w:color w:val="231F20"/>
              </w:rPr>
            </w:pPr>
            <w:r w:rsidRPr="00F13073">
              <w:rPr>
                <w:color w:val="231F20"/>
              </w:rPr>
              <w:t xml:space="preserve">Przytrzymać swobodnie wstrzykiwacz jedną ręką w taki sposób, aby widzieć okienko (patrz </w:t>
            </w:r>
            <w:r w:rsidRPr="00F13073">
              <w:rPr>
                <w:b/>
                <w:color w:val="231F20"/>
              </w:rPr>
              <w:t>Rysunek K</w:t>
            </w:r>
            <w:r w:rsidRPr="00F13073">
              <w:rPr>
                <w:color w:val="231F20"/>
              </w:rPr>
              <w:t>).</w:t>
            </w:r>
          </w:p>
          <w:p w14:paraId="0C36F687" w14:textId="1F729F73" w:rsidR="00E741F8" w:rsidRPr="00F13073" w:rsidRDefault="00E741F8">
            <w:pPr>
              <w:pStyle w:val="a4"/>
              <w:numPr>
                <w:ilvl w:val="0"/>
                <w:numId w:val="64"/>
              </w:numPr>
              <w:spacing w:after="0"/>
              <w:ind w:left="567" w:hanging="567"/>
              <w:rPr>
                <w:color w:val="231F20"/>
              </w:rPr>
            </w:pPr>
            <w:r w:rsidRPr="00F13073">
              <w:rPr>
                <w:color w:val="231F20"/>
              </w:rPr>
              <w:t xml:space="preserve">Nie ściskając ani nie rozciągając skóry, przyłożyć wstrzykiwacz do powierzchni skóry pod kątem 90 stopni (patrz </w:t>
            </w:r>
            <w:r w:rsidRPr="00F13073">
              <w:rPr>
                <w:b/>
                <w:color w:val="231F20"/>
              </w:rPr>
              <w:t>rysunek L</w:t>
            </w:r>
            <w:r w:rsidRPr="00F13073">
              <w:rPr>
                <w:color w:val="231F20"/>
              </w:rPr>
              <w:t>).</w:t>
            </w:r>
          </w:p>
          <w:p w14:paraId="339C4687" w14:textId="77777777" w:rsidR="00E741F8" w:rsidRPr="00F13073" w:rsidRDefault="00E741F8">
            <w:pPr>
              <w:pStyle w:val="a4"/>
              <w:spacing w:after="0"/>
              <w:ind w:left="567" w:hanging="567"/>
              <w:rPr>
                <w:bCs/>
                <w:i/>
                <w:iCs/>
                <w:lang w:eastAsia="ko-KR"/>
              </w:rPr>
            </w:pPr>
          </w:p>
          <w:p w14:paraId="0D4A6656" w14:textId="77777777" w:rsidR="00E741F8" w:rsidRPr="00F13073" w:rsidRDefault="00E741F8">
            <w:pPr>
              <w:pStyle w:val="a4"/>
              <w:spacing w:after="0"/>
              <w:ind w:left="567"/>
              <w:rPr>
                <w:bCs/>
              </w:rPr>
            </w:pPr>
            <w:r w:rsidRPr="00F13073">
              <w:rPr>
                <w:i/>
              </w:rPr>
              <w:t>Uwaga</w:t>
            </w:r>
            <w:r w:rsidRPr="00F13073">
              <w:t>: Istotne jest, aby zastosować odpowiedni kąt. Zapewni to, że lek zostanie podany pod skórę (do tkanki tłuszczowej). W przeciwnym wypadku wstrzyknięcie może być bolesne i może to wpłynąć na skuteczność działania leku.</w:t>
            </w:r>
          </w:p>
          <w:p w14:paraId="7A44BB0B" w14:textId="77777777" w:rsidR="00E741F8" w:rsidRPr="00F13073" w:rsidRDefault="00E741F8">
            <w:pPr>
              <w:pStyle w:val="a4"/>
              <w:spacing w:after="0"/>
              <w:ind w:left="567" w:hanging="567"/>
              <w:rPr>
                <w:color w:val="231F20"/>
              </w:rPr>
            </w:pPr>
          </w:p>
          <w:p w14:paraId="39C891FA" w14:textId="322D0927"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wolno</w:t>
            </w:r>
            <w:r w:rsidRPr="00F13073">
              <w:t xml:space="preserve"> </w:t>
            </w:r>
            <w:r w:rsidRPr="00F13073">
              <w:rPr>
                <w:color w:val="231F20"/>
              </w:rPr>
              <w:t>podawać</w:t>
            </w:r>
            <w:r w:rsidRPr="00F13073">
              <w:t xml:space="preserve"> leku do mięśni ani naczyń krwionośnych.</w:t>
            </w:r>
          </w:p>
          <w:p w14:paraId="5E94FCC2" w14:textId="77777777" w:rsidR="00E741F8" w:rsidRPr="00F13073" w:rsidRDefault="00E741F8">
            <w:pPr>
              <w:pStyle w:val="a4"/>
              <w:spacing w:after="0"/>
              <w:ind w:left="567" w:hanging="567"/>
            </w:pPr>
          </w:p>
          <w:p w14:paraId="14B18F9F" w14:textId="77777777" w:rsidR="00E741F8" w:rsidRPr="00F13073" w:rsidRDefault="00E741F8" w:rsidP="00D854D5"/>
        </w:tc>
      </w:tr>
      <w:tr w:rsidR="00A06126" w:rsidRPr="00F13073" w14:paraId="264FFBC5" w14:textId="77777777">
        <w:trPr>
          <w:cantSplit/>
        </w:trPr>
        <w:tc>
          <w:tcPr>
            <w:tcW w:w="3539" w:type="dxa"/>
          </w:tcPr>
          <w:p w14:paraId="6BF97577" w14:textId="301F0C01" w:rsidR="00E741F8" w:rsidRPr="00F13073" w:rsidRDefault="004929A7">
            <w:pPr>
              <w:suppressAutoHyphens/>
              <w:jc w:val="right"/>
            </w:pPr>
            <w:r>
              <w:rPr>
                <w:noProof/>
                <w:lang w:val="en-US" w:eastAsia="ko-KR"/>
              </w:rPr>
              <w:lastRenderedPageBreak/>
              <mc:AlternateContent>
                <mc:Choice Requires="wps">
                  <w:drawing>
                    <wp:anchor distT="45720" distB="45720" distL="114300" distR="114300" simplePos="0" relativeHeight="251679744" behindDoc="0" locked="0" layoutInCell="1" allowOverlap="1" wp14:anchorId="0E6C781C" wp14:editId="04FE7018">
                      <wp:simplePos x="0" y="0"/>
                      <wp:positionH relativeFrom="column">
                        <wp:posOffset>588010</wp:posOffset>
                      </wp:positionH>
                      <wp:positionV relativeFrom="paragraph">
                        <wp:posOffset>1379220</wp:posOffset>
                      </wp:positionV>
                      <wp:extent cx="629920" cy="467360"/>
                      <wp:effectExtent l="0" t="0" r="0" b="0"/>
                      <wp:wrapNone/>
                      <wp:docPr id="167784396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6E38C0B2" w14:textId="77777777" w:rsidR="00FE78F1" w:rsidRPr="00151F2F" w:rsidRDefault="00FE78F1" w:rsidP="00E741F8">
                                  <w:pPr>
                                    <w:rPr>
                                      <w:rFonts w:ascii="Arial" w:hAnsi="Arial" w:cs="Arial"/>
                                      <w:b/>
                                      <w:bCs/>
                                      <w:sz w:val="32"/>
                                      <w:szCs w:val="32"/>
                                    </w:rPr>
                                  </w:pPr>
                                  <w:r w:rsidRPr="00151F2F">
                                    <w:rPr>
                                      <w:rFonts w:ascii="Arial" w:hAnsi="Arial"/>
                                      <w:b/>
                                      <w:sz w:val="32"/>
                                    </w:rPr>
                                    <w:t>90°</w:t>
                                  </w:r>
                                </w:p>
                                <w:p w14:paraId="12454E00" w14:textId="77777777" w:rsidR="00FE78F1" w:rsidRPr="00151F2F" w:rsidRDefault="00FE78F1" w:rsidP="00E741F8">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E6C781C" id="Text Box 23" o:spid="_x0000_s1074" type="#_x0000_t202" style="position:absolute;left:0;text-align:left;margin-left:46.3pt;margin-top:108.6pt;width:49.6pt;height:36.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" filled="f" stroked="f">
                      <v:textbox style="mso-fit-shape-to-text:t" inset="0,0,0,0">
                        <w:txbxContent>
                          <w:p w14:paraId="6E38C0B2" w14:textId="77777777" w:rsidR="00FE78F1" w:rsidRPr="00151F2F" w:rsidRDefault="00FE78F1" w:rsidP="00E741F8">
                            <w:pPr>
                              <w:rPr>
                                <w:rFonts w:ascii="Arial" w:hAnsi="Arial" w:cs="Arial"/>
                                <w:b/>
                                <w:bCs/>
                                <w:sz w:val="32"/>
                                <w:szCs w:val="32"/>
                              </w:rPr>
                            </w:pPr>
                            <w:r w:rsidRPr="00151F2F">
                              <w:rPr>
                                <w:rFonts w:ascii="Arial" w:hAnsi="Arial"/>
                                <w:b/>
                                <w:sz w:val="32"/>
                              </w:rPr>
                              <w:t>90°</w:t>
                            </w:r>
                          </w:p>
                          <w:p w14:paraId="12454E00" w14:textId="77777777" w:rsidR="00FE78F1" w:rsidRPr="00151F2F" w:rsidRDefault="00FE78F1" w:rsidP="00E741F8">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80768" behindDoc="0" locked="0" layoutInCell="1" allowOverlap="1" wp14:anchorId="0FA0BB97" wp14:editId="78A57582">
                      <wp:simplePos x="0" y="0"/>
                      <wp:positionH relativeFrom="column">
                        <wp:posOffset>1055370</wp:posOffset>
                      </wp:positionH>
                      <wp:positionV relativeFrom="paragraph">
                        <wp:posOffset>2711450</wp:posOffset>
                      </wp:positionV>
                      <wp:extent cx="629920" cy="467360"/>
                      <wp:effectExtent l="0" t="0" r="0" b="0"/>
                      <wp:wrapNone/>
                      <wp:docPr id="732065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0609621A" w14:textId="77777777" w:rsidR="00FE78F1" w:rsidRPr="00151F2F" w:rsidRDefault="00FE78F1" w:rsidP="00E741F8">
                                  <w:pPr>
                                    <w:rPr>
                                      <w:rFonts w:ascii="Arial" w:hAnsi="Arial" w:cs="Arial"/>
                                      <w:b/>
                                      <w:bCs/>
                                      <w:sz w:val="32"/>
                                      <w:szCs w:val="32"/>
                                    </w:rPr>
                                  </w:pPr>
                                  <w:r w:rsidRPr="00151F2F">
                                    <w:rPr>
                                      <w:rFonts w:ascii="Arial" w:hAnsi="Arial"/>
                                      <w:b/>
                                      <w:sz w:val="32"/>
                                    </w:rPr>
                                    <w:t>90°</w:t>
                                  </w:r>
                                </w:p>
                                <w:p w14:paraId="3105224A" w14:textId="77777777" w:rsidR="00FE78F1" w:rsidRPr="00151F2F" w:rsidRDefault="00FE78F1" w:rsidP="00E741F8">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FA0BB97" id="Text Box 21" o:spid="_x0000_s1075" type="#_x0000_t202" style="position:absolute;left:0;text-align:left;margin-left:83.1pt;margin-top:213.5pt;width:49.6pt;height:36.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" filled="f" stroked="f">
                      <v:textbox style="mso-fit-shape-to-text:t" inset="0,0,0,0">
                        <w:txbxContent>
                          <w:p w14:paraId="0609621A" w14:textId="77777777" w:rsidR="00FE78F1" w:rsidRPr="00151F2F" w:rsidRDefault="00FE78F1" w:rsidP="00E741F8">
                            <w:pPr>
                              <w:rPr>
                                <w:rFonts w:ascii="Arial" w:hAnsi="Arial" w:cs="Arial"/>
                                <w:b/>
                                <w:bCs/>
                                <w:sz w:val="32"/>
                                <w:szCs w:val="32"/>
                              </w:rPr>
                            </w:pPr>
                            <w:r w:rsidRPr="00151F2F">
                              <w:rPr>
                                <w:rFonts w:ascii="Arial" w:hAnsi="Arial"/>
                                <w:b/>
                                <w:sz w:val="32"/>
                              </w:rPr>
                              <w:t>90°</w:t>
                            </w:r>
                          </w:p>
                          <w:p w14:paraId="3105224A" w14:textId="77777777" w:rsidR="00FE78F1" w:rsidRPr="00151F2F" w:rsidRDefault="00FE78F1" w:rsidP="00E741F8">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81792" behindDoc="0" locked="0" layoutInCell="1" allowOverlap="1" wp14:anchorId="165AF758" wp14:editId="14D2A71A">
                      <wp:simplePos x="0" y="0"/>
                      <wp:positionH relativeFrom="column">
                        <wp:posOffset>88900</wp:posOffset>
                      </wp:positionH>
                      <wp:positionV relativeFrom="paragraph">
                        <wp:posOffset>2015490</wp:posOffset>
                      </wp:positionV>
                      <wp:extent cx="1983740" cy="277495"/>
                      <wp:effectExtent l="0" t="0" r="0" b="0"/>
                      <wp:wrapNone/>
                      <wp:docPr id="9906732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2285F072" w14:textId="56D67D85" w:rsidR="00FE78F1" w:rsidRPr="00151F2F" w:rsidRDefault="00FE78F1" w:rsidP="00E741F8">
                                  <w:pPr>
                                    <w:jc w:val="center"/>
                                    <w:rPr>
                                      <w:rFonts w:ascii="Arial" w:hAnsi="Arial" w:cs="Arial"/>
                                      <w:b/>
                                      <w:bCs/>
                                      <w:color w:val="FFFFFF"/>
                                      <w:sz w:val="28"/>
                                      <w:szCs w:val="28"/>
                                    </w:rPr>
                                  </w:pPr>
                                  <w:r w:rsidRPr="008E0A5B">
                                    <w:rPr>
                                      <w:rFonts w:ascii="Arial" w:hAnsi="Arial"/>
                                      <w:b/>
                                      <w:color w:val="FFFFFF"/>
                                      <w:sz w:val="28"/>
                                    </w:rPr>
                                    <w:t>LUB</w:t>
                                  </w:r>
                                </w:p>
                                <w:p w14:paraId="07660D33" w14:textId="77777777" w:rsidR="00FE78F1" w:rsidRPr="00151F2F" w:rsidRDefault="00FE78F1" w:rsidP="00E741F8">
                                  <w:pPr>
                                    <w:jc w:val="center"/>
                                    <w:rPr>
                                      <w:rFonts w:ascii="Arial" w:hAnsi="Arial" w:cs="Arial"/>
                                      <w:b/>
                                      <w:bCs/>
                                      <w:color w:val="FFFFFF"/>
                                      <w:sz w:val="28"/>
                                      <w:szCs w:val="2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AF758" id="Text Box 19" o:spid="_x0000_s1076" type="#_x0000_t202" style="position:absolute;left:0;text-align:left;margin-left:7pt;margin-top:158.7pt;width:156.2pt;height:21.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" filled="f" stroked="f">
                      <v:textbox inset="0,0,0,0">
                        <w:txbxContent>
                          <w:p w14:paraId="2285F072" w14:textId="56D67D85" w:rsidR="00FE78F1" w:rsidRPr="00151F2F" w:rsidRDefault="00FE78F1" w:rsidP="00E741F8">
                            <w:pPr>
                              <w:jc w:val="center"/>
                              <w:rPr>
                                <w:rFonts w:ascii="Arial" w:hAnsi="Arial" w:cs="Arial"/>
                                <w:b/>
                                <w:bCs/>
                                <w:color w:val="FFFFFF"/>
                                <w:sz w:val="28"/>
                                <w:szCs w:val="28"/>
                              </w:rPr>
                            </w:pPr>
                            <w:r w:rsidRPr="008E0A5B">
                              <w:rPr>
                                <w:rFonts w:ascii="Arial" w:hAnsi="Arial"/>
                                <w:b/>
                                <w:color w:val="FFFFFF"/>
                                <w:sz w:val="28"/>
                              </w:rPr>
                              <w:t>LUB</w:t>
                            </w:r>
                          </w:p>
                          <w:p w14:paraId="07660D33" w14:textId="77777777" w:rsidR="00FE78F1" w:rsidRPr="00151F2F" w:rsidRDefault="00FE78F1" w:rsidP="00E741F8">
                            <w:pPr>
                              <w:jc w:val="center"/>
                              <w:rPr>
                                <w:rFonts w:ascii="Arial" w:hAnsi="Arial" w:cs="Arial"/>
                                <w:b/>
                                <w:bCs/>
                                <w:color w:val="FFFFFF"/>
                                <w:sz w:val="28"/>
                                <w:szCs w:val="28"/>
                              </w:rPr>
                            </w:pPr>
                          </w:p>
                        </w:txbxContent>
                      </v:textbox>
                    </v:shape>
                  </w:pict>
                </mc:Fallback>
              </mc:AlternateContent>
            </w:r>
            <w:r>
              <w:rPr>
                <w:noProof/>
                <w:sz w:val="26"/>
                <w:lang w:val="en-US" w:eastAsia="ko-KR"/>
              </w:rPr>
              <w:drawing>
                <wp:inline distT="0" distB="0" distL="0" distR="0" wp14:anchorId="7D1E584F" wp14:editId="3C884EB3">
                  <wp:extent cx="2101215" cy="4204335"/>
                  <wp:effectExtent l="19050" t="19050" r="0" b="5715"/>
                  <wp:docPr id="33" name="그림 2"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클립아트, 텍스트, 라인 아트, 만화 영화이(가) 표시된 사진&#10;&#10;자동 생성된 설명"/>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01215" cy="4204335"/>
                          </a:xfrm>
                          <a:prstGeom prst="rect">
                            <a:avLst/>
                          </a:prstGeom>
                          <a:noFill/>
                          <a:ln w="9525" cmpd="sng">
                            <a:solidFill>
                              <a:srgbClr val="000000"/>
                            </a:solidFill>
                            <a:miter lim="800000"/>
                            <a:headEnd/>
                            <a:tailEnd/>
                          </a:ln>
                          <a:effectLst/>
                        </pic:spPr>
                      </pic:pic>
                    </a:graphicData>
                  </a:graphic>
                </wp:inline>
              </w:drawing>
            </w:r>
          </w:p>
          <w:p w14:paraId="5C1C4C3E" w14:textId="77777777" w:rsidR="00E741F8" w:rsidRPr="00F13073" w:rsidRDefault="00E741F8">
            <w:pPr>
              <w:suppressAutoHyphens/>
              <w:jc w:val="right"/>
              <w:rPr>
                <w:b/>
                <w:bCs/>
              </w:rPr>
            </w:pPr>
            <w:r w:rsidRPr="00F13073">
              <w:rPr>
                <w:b/>
              </w:rPr>
              <w:t>Rysunek L</w:t>
            </w:r>
          </w:p>
        </w:tc>
        <w:tc>
          <w:tcPr>
            <w:tcW w:w="5517" w:type="dxa"/>
          </w:tcPr>
          <w:p w14:paraId="44A5C3A9" w14:textId="77777777" w:rsidR="00E741F8" w:rsidRPr="00F13073" w:rsidRDefault="00E741F8" w:rsidP="00D854D5"/>
        </w:tc>
      </w:tr>
      <w:tr w:rsidR="00A06126" w:rsidRPr="00F13073" w14:paraId="1392C264" w14:textId="77777777">
        <w:trPr>
          <w:cantSplit/>
        </w:trPr>
        <w:tc>
          <w:tcPr>
            <w:tcW w:w="3539" w:type="dxa"/>
          </w:tcPr>
          <w:p w14:paraId="657A7215" w14:textId="06BC6ADB" w:rsidR="00E741F8" w:rsidRPr="00F13073" w:rsidRDefault="004929A7">
            <w:pPr>
              <w:suppressAutoHyphens/>
              <w:jc w:val="right"/>
              <w:rPr>
                <w:b/>
                <w:bCs/>
              </w:rPr>
            </w:pPr>
            <w:r>
              <w:rPr>
                <w:b/>
                <w:noProof/>
                <w:lang w:val="en-US" w:eastAsia="ko-KR"/>
              </w:rPr>
              <w:lastRenderedPageBreak/>
              <w:drawing>
                <wp:inline distT="0" distB="0" distL="0" distR="0" wp14:anchorId="08779970" wp14:editId="7B77C332">
                  <wp:extent cx="2103755" cy="4844415"/>
                  <wp:effectExtent l="19050" t="19050" r="0" b="0"/>
                  <wp:docPr id="34" name="그림 1661478188"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61478188" descr="텍스트, 클립아트, 만화 영화, 화이트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03755" cy="4844415"/>
                          </a:xfrm>
                          <a:prstGeom prst="rect">
                            <a:avLst/>
                          </a:prstGeom>
                          <a:noFill/>
                          <a:ln w="9525" cmpd="sng">
                            <a:solidFill>
                              <a:srgbClr val="000000"/>
                            </a:solidFill>
                            <a:miter lim="800000"/>
                            <a:headEnd/>
                            <a:tailEnd/>
                          </a:ln>
                          <a:effectLst/>
                        </pic:spPr>
                      </pic:pic>
                    </a:graphicData>
                  </a:graphic>
                </wp:inline>
              </w:drawing>
            </w:r>
          </w:p>
          <w:p w14:paraId="25776E57" w14:textId="3BCFFFC3" w:rsidR="00E741F8" w:rsidRPr="00F13073" w:rsidRDefault="004929A7">
            <w:pPr>
              <w:suppressAutoHyphens/>
              <w:jc w:val="right"/>
              <w:rPr>
                <w:b/>
                <w:bCs/>
              </w:rPr>
            </w:pPr>
            <w:r>
              <w:rPr>
                <w:noProof/>
                <w:lang w:val="en-US" w:eastAsia="ko-KR"/>
              </w:rPr>
              <mc:AlternateContent>
                <mc:Choice Requires="wps">
                  <w:drawing>
                    <wp:anchor distT="45720" distB="45720" distL="114300" distR="114300" simplePos="0" relativeHeight="251682816" behindDoc="0" locked="1" layoutInCell="1" allowOverlap="1" wp14:anchorId="2BBDBBF9" wp14:editId="40133473">
                      <wp:simplePos x="0" y="0"/>
                      <wp:positionH relativeFrom="column">
                        <wp:posOffset>276225</wp:posOffset>
                      </wp:positionH>
                      <wp:positionV relativeFrom="paragraph">
                        <wp:posOffset>-534035</wp:posOffset>
                      </wp:positionV>
                      <wp:extent cx="1526540" cy="482600"/>
                      <wp:effectExtent l="0" t="0" r="0" b="0"/>
                      <wp:wrapNone/>
                      <wp:docPr id="198724047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82600"/>
                              </a:xfrm>
                              <a:prstGeom prst="rect">
                                <a:avLst/>
                              </a:prstGeom>
                              <a:noFill/>
                              <a:ln w="9525">
                                <a:noFill/>
                                <a:miter lim="800000"/>
                                <a:headEnd/>
                                <a:tailEnd/>
                              </a:ln>
                            </wps:spPr>
                            <wps:txbx>
                              <w:txbxContent>
                                <w:p w14:paraId="504B6442" w14:textId="4D0EFD74" w:rsidR="00FE78F1" w:rsidRPr="00151F2F" w:rsidRDefault="00FE78F1" w:rsidP="00E741F8">
                                  <w:pPr>
                                    <w:jc w:val="center"/>
                                    <w:rPr>
                                      <w:rFonts w:ascii="Arial" w:hAnsi="Arial" w:cs="Arial"/>
                                      <w:b/>
                                      <w:bCs/>
                                      <w:color w:val="FFFFFF"/>
                                      <w:sz w:val="28"/>
                                      <w:szCs w:val="28"/>
                                    </w:rPr>
                                  </w:pPr>
                                  <w:r w:rsidRPr="00CC0769">
                                    <w:rPr>
                                      <w:rFonts w:ascii="Arial" w:hAnsi="Arial"/>
                                      <w:b/>
                                      <w:color w:val="FFFFFF"/>
                                      <w:sz w:val="28"/>
                                    </w:rPr>
                                    <w:t>Następnie policz powoli do 5</w:t>
                                  </w:r>
                                </w:p>
                                <w:p w14:paraId="77521F00" w14:textId="77777777" w:rsidR="00FE78F1" w:rsidRPr="0081094B" w:rsidRDefault="00FE78F1" w:rsidP="00E741F8">
                                  <w:pPr>
                                    <w:jc w:val="center"/>
                                    <w:rPr>
                                      <w:rFonts w:ascii="Arial" w:hAnsi="Arial" w:cs="Arial"/>
                                      <w:b/>
                                      <w:bCs/>
                                      <w:color w:val="FFFFFF"/>
                                      <w:sz w:val="28"/>
                                      <w:szCs w:val="2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DBBF9" id="Text Box 17" o:spid="_x0000_s1077" type="#_x0000_t202" style="position:absolute;left:0;text-align:left;margin-left:21.75pt;margin-top:-42.05pt;width:120.2pt;height: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" filled="f" stroked="f">
                      <v:textbox inset="0,0,0,0">
                        <w:txbxContent>
                          <w:p w14:paraId="504B6442" w14:textId="4D0EFD74" w:rsidR="00FE78F1" w:rsidRPr="00151F2F" w:rsidRDefault="00FE78F1" w:rsidP="00E741F8">
                            <w:pPr>
                              <w:jc w:val="center"/>
                              <w:rPr>
                                <w:rFonts w:ascii="Arial" w:hAnsi="Arial" w:cs="Arial"/>
                                <w:b/>
                                <w:bCs/>
                                <w:color w:val="FFFFFF"/>
                                <w:sz w:val="28"/>
                                <w:szCs w:val="28"/>
                              </w:rPr>
                            </w:pPr>
                            <w:r w:rsidRPr="00CC0769">
                              <w:rPr>
                                <w:rFonts w:ascii="Arial" w:hAnsi="Arial"/>
                                <w:b/>
                                <w:color w:val="FFFFFF"/>
                                <w:sz w:val="28"/>
                              </w:rPr>
                              <w:t>Następnie policz powoli do 5</w:t>
                            </w:r>
                          </w:p>
                          <w:p w14:paraId="77521F00" w14:textId="77777777" w:rsidR="00FE78F1" w:rsidRPr="0081094B" w:rsidRDefault="00FE78F1" w:rsidP="00E741F8">
                            <w:pPr>
                              <w:jc w:val="center"/>
                              <w:rPr>
                                <w:rFonts w:ascii="Arial" w:hAnsi="Arial" w:cs="Arial"/>
                                <w:b/>
                                <w:bCs/>
                                <w:color w:val="FFFFFF"/>
                                <w:sz w:val="28"/>
                                <w:szCs w:val="28"/>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83840" behindDoc="0" locked="1" layoutInCell="1" allowOverlap="1" wp14:anchorId="3071A9AE" wp14:editId="7D21D205">
                      <wp:simplePos x="0" y="0"/>
                      <wp:positionH relativeFrom="column">
                        <wp:posOffset>323850</wp:posOffset>
                      </wp:positionH>
                      <wp:positionV relativeFrom="paragraph">
                        <wp:posOffset>-3992245</wp:posOffset>
                      </wp:positionV>
                      <wp:extent cx="408940" cy="919480"/>
                      <wp:effectExtent l="0" t="0" r="0" b="0"/>
                      <wp:wrapNone/>
                      <wp:docPr id="96849289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919480"/>
                              </a:xfrm>
                              <a:prstGeom prst="rect">
                                <a:avLst/>
                              </a:prstGeom>
                              <a:noFill/>
                              <a:ln w="9525">
                                <a:noFill/>
                                <a:miter lim="800000"/>
                                <a:headEnd/>
                                <a:tailEnd/>
                              </a:ln>
                            </wps:spPr>
                            <wps:txbx>
                              <w:txbxContent>
                                <w:p w14:paraId="4CC3A3E1" w14:textId="5603D81D" w:rsidR="00FE78F1" w:rsidRPr="0081094B" w:rsidRDefault="00FE78F1" w:rsidP="00E741F8">
                                  <w:pPr>
                                    <w:spacing w:line="204" w:lineRule="auto"/>
                                    <w:jc w:val="center"/>
                                    <w:rPr>
                                      <w:rFonts w:ascii="Arial" w:hAnsi="Arial" w:cs="Arial"/>
                                      <w:b/>
                                      <w:bCs/>
                                      <w:color w:val="FFFFFF"/>
                                      <w:sz w:val="14"/>
                                      <w:szCs w:val="14"/>
                                    </w:rPr>
                                  </w:pPr>
                                  <w:r w:rsidRPr="0081094B">
                                    <w:rPr>
                                      <w:rFonts w:ascii="Arial" w:hAnsi="Arial"/>
                                      <w:b/>
                                      <w:color w:val="FFFFFF"/>
                                      <w:sz w:val="14"/>
                                      <w:szCs w:val="14"/>
                                    </w:rPr>
                                    <w:t>Pierwsze kliknięcie</w:t>
                                  </w:r>
                                </w:p>
                                <w:p w14:paraId="0872C01D" w14:textId="77777777" w:rsidR="00FE78F1" w:rsidRPr="0081094B" w:rsidRDefault="00FE78F1" w:rsidP="00E741F8">
                                  <w:pPr>
                                    <w:spacing w:line="204" w:lineRule="auto"/>
                                    <w:jc w:val="center"/>
                                    <w:rPr>
                                      <w:rFonts w:ascii="Arial" w:hAnsi="Arial" w:cs="Arial"/>
                                      <w:b/>
                                      <w:bCs/>
                                      <w:color w:val="FFFFFF"/>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1A9AE" id="Text Box 15" o:spid="_x0000_s1078" type="#_x0000_t202" style="position:absolute;left:0;text-align:left;margin-left:25.5pt;margin-top:-314.35pt;width:32.2pt;height:72.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" filled="f" stroked="f">
                      <v:textbox inset="0,0,0,0">
                        <w:txbxContent>
                          <w:p w14:paraId="4CC3A3E1" w14:textId="5603D81D" w:rsidR="00FE78F1" w:rsidRPr="0081094B" w:rsidRDefault="00FE78F1" w:rsidP="00E741F8">
                            <w:pPr>
                              <w:spacing w:line="204" w:lineRule="auto"/>
                              <w:jc w:val="center"/>
                              <w:rPr>
                                <w:rFonts w:ascii="Arial" w:hAnsi="Arial" w:cs="Arial"/>
                                <w:b/>
                                <w:bCs/>
                                <w:color w:val="FFFFFF"/>
                                <w:sz w:val="14"/>
                                <w:szCs w:val="14"/>
                              </w:rPr>
                            </w:pPr>
                            <w:r w:rsidRPr="0081094B">
                              <w:rPr>
                                <w:rFonts w:ascii="Arial" w:hAnsi="Arial"/>
                                <w:b/>
                                <w:color w:val="FFFFFF"/>
                                <w:sz w:val="14"/>
                                <w:szCs w:val="14"/>
                              </w:rPr>
                              <w:t>Pierwsze kliknięcie</w:t>
                            </w:r>
                          </w:p>
                          <w:p w14:paraId="0872C01D" w14:textId="77777777" w:rsidR="00FE78F1" w:rsidRPr="0081094B" w:rsidRDefault="00FE78F1" w:rsidP="00E741F8">
                            <w:pPr>
                              <w:spacing w:line="204" w:lineRule="auto"/>
                              <w:jc w:val="center"/>
                              <w:rPr>
                                <w:rFonts w:ascii="Arial" w:hAnsi="Arial" w:cs="Arial"/>
                                <w:b/>
                                <w:bCs/>
                                <w:color w:val="FFFFFF"/>
                                <w:sz w:val="18"/>
                                <w:szCs w:val="18"/>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84864" behindDoc="0" locked="1" layoutInCell="1" allowOverlap="1" wp14:anchorId="12AF7B08" wp14:editId="277521A0">
                      <wp:simplePos x="0" y="0"/>
                      <wp:positionH relativeFrom="column">
                        <wp:posOffset>222885</wp:posOffset>
                      </wp:positionH>
                      <wp:positionV relativeFrom="paragraph">
                        <wp:posOffset>-1866265</wp:posOffset>
                      </wp:positionV>
                      <wp:extent cx="621030" cy="975995"/>
                      <wp:effectExtent l="0" t="0" r="0" b="0"/>
                      <wp:wrapNone/>
                      <wp:docPr id="186313974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975995"/>
                              </a:xfrm>
                              <a:prstGeom prst="rect">
                                <a:avLst/>
                              </a:prstGeom>
                              <a:noFill/>
                              <a:ln w="9525">
                                <a:noFill/>
                                <a:miter lim="800000"/>
                                <a:headEnd/>
                                <a:tailEnd/>
                              </a:ln>
                            </wps:spPr>
                            <wps:txbx>
                              <w:txbxContent>
                                <w:p w14:paraId="7A6B5F93" w14:textId="4FF2B2E7" w:rsidR="00FE78F1" w:rsidRPr="0081094B" w:rsidRDefault="00FE78F1" w:rsidP="00E741F8">
                                  <w:pPr>
                                    <w:spacing w:line="204" w:lineRule="auto"/>
                                    <w:jc w:val="center"/>
                                    <w:rPr>
                                      <w:rFonts w:ascii="Arial" w:hAnsi="Arial" w:cs="Arial"/>
                                      <w:b/>
                                      <w:bCs/>
                                      <w:color w:val="FFFFFF"/>
                                      <w:sz w:val="18"/>
                                      <w:szCs w:val="18"/>
                                    </w:rPr>
                                  </w:pPr>
                                  <w:r w:rsidRPr="0081094B">
                                    <w:rPr>
                                      <w:rFonts w:ascii="Arial" w:hAnsi="Arial"/>
                                      <w:b/>
                                      <w:color w:val="FFFFFF"/>
                                      <w:sz w:val="18"/>
                                      <w:szCs w:val="18"/>
                                    </w:rPr>
                                    <w:t>Drugie kliknięcie</w:t>
                                  </w:r>
                                  <w:r w:rsidRPr="0081094B" w:rsidDel="00C87BF3">
                                    <w:rPr>
                                      <w:rFonts w:ascii="Arial" w:hAnsi="Arial"/>
                                      <w:b/>
                                      <w:color w:val="FFFFFF"/>
                                      <w:sz w:val="18"/>
                                      <w:szCs w:val="18"/>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F7B08" id="Text Box 13" o:spid="_x0000_s1079" type="#_x0000_t202" style="position:absolute;left:0;text-align:left;margin-left:17.55pt;margin-top:-146.95pt;width:48.9pt;height:76.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" filled="f" stroked="f">
                      <v:textbox inset="0,0,0,0">
                        <w:txbxContent>
                          <w:p w14:paraId="7A6B5F93" w14:textId="4FF2B2E7" w:rsidR="00FE78F1" w:rsidRPr="0081094B" w:rsidRDefault="00FE78F1" w:rsidP="00E741F8">
                            <w:pPr>
                              <w:spacing w:line="204" w:lineRule="auto"/>
                              <w:jc w:val="center"/>
                              <w:rPr>
                                <w:rFonts w:ascii="Arial" w:hAnsi="Arial" w:cs="Arial"/>
                                <w:b/>
                                <w:bCs/>
                                <w:color w:val="FFFFFF"/>
                                <w:sz w:val="18"/>
                                <w:szCs w:val="18"/>
                              </w:rPr>
                            </w:pPr>
                            <w:r w:rsidRPr="0081094B">
                              <w:rPr>
                                <w:rFonts w:ascii="Arial" w:hAnsi="Arial"/>
                                <w:b/>
                                <w:color w:val="FFFFFF"/>
                                <w:sz w:val="18"/>
                                <w:szCs w:val="18"/>
                              </w:rPr>
                              <w:t>Drugie kliknięcie</w:t>
                            </w:r>
                            <w:r w:rsidRPr="0081094B" w:rsidDel="00C87BF3">
                              <w:rPr>
                                <w:rFonts w:ascii="Arial" w:hAnsi="Arial"/>
                                <w:b/>
                                <w:color w:val="FFFFFF"/>
                                <w:sz w:val="18"/>
                                <w:szCs w:val="18"/>
                              </w:rPr>
                              <w:t xml:space="preserve"> </w:t>
                            </w:r>
                          </w:p>
                        </w:txbxContent>
                      </v:textbox>
                      <w10:anchorlock/>
                    </v:shape>
                  </w:pict>
                </mc:Fallback>
              </mc:AlternateContent>
            </w:r>
            <w:r w:rsidR="00E741F8" w:rsidRPr="00F13073">
              <w:rPr>
                <w:b/>
                <w:bCs/>
              </w:rPr>
              <w:t>Rysunek M</w:t>
            </w:r>
          </w:p>
        </w:tc>
        <w:tc>
          <w:tcPr>
            <w:tcW w:w="5517" w:type="dxa"/>
          </w:tcPr>
          <w:p w14:paraId="71D0C9DB" w14:textId="17E8F16D" w:rsidR="00E741F8" w:rsidRPr="00F13073" w:rsidRDefault="003A15BB">
            <w:pPr>
              <w:pStyle w:val="a4"/>
              <w:numPr>
                <w:ilvl w:val="0"/>
                <w:numId w:val="59"/>
              </w:numPr>
              <w:spacing w:after="0"/>
              <w:ind w:left="567" w:hanging="567"/>
              <w:rPr>
                <w:b/>
              </w:rPr>
            </w:pPr>
            <w:r w:rsidRPr="00F13073">
              <w:rPr>
                <w:b/>
              </w:rPr>
              <w:t>Podać</w:t>
            </w:r>
            <w:r w:rsidR="00E741F8" w:rsidRPr="00F13073">
              <w:rPr>
                <w:b/>
              </w:rPr>
              <w:t xml:space="preserve"> wstrzyknięci</w:t>
            </w:r>
            <w:r w:rsidRPr="00F13073">
              <w:rPr>
                <w:b/>
              </w:rPr>
              <w:t>e</w:t>
            </w:r>
            <w:r w:rsidR="00E741F8" w:rsidRPr="00F13073">
              <w:rPr>
                <w:b/>
              </w:rPr>
              <w:t>.</w:t>
            </w:r>
          </w:p>
          <w:p w14:paraId="71DCD6FC" w14:textId="77777777" w:rsidR="00E741F8" w:rsidRPr="00F13073" w:rsidRDefault="00E741F8">
            <w:pPr>
              <w:pStyle w:val="a4"/>
              <w:spacing w:after="0"/>
              <w:ind w:left="567" w:hanging="567"/>
              <w:rPr>
                <w:bCs/>
              </w:rPr>
            </w:pPr>
          </w:p>
          <w:p w14:paraId="40306846" w14:textId="55BA5C71" w:rsidR="00E741F8" w:rsidRPr="00F13073" w:rsidRDefault="00E741F8">
            <w:pPr>
              <w:pStyle w:val="a4"/>
              <w:numPr>
                <w:ilvl w:val="0"/>
                <w:numId w:val="63"/>
              </w:numPr>
              <w:spacing w:after="0"/>
              <w:ind w:left="567" w:hanging="567"/>
              <w:rPr>
                <w:bCs/>
              </w:rPr>
            </w:pPr>
            <w:r w:rsidRPr="00F13073">
              <w:t>Mocno docisnąć wstrzykiwacz do powierzchni skóry, aby rozpocząć wstrzyknięcie.</w:t>
            </w:r>
          </w:p>
          <w:p w14:paraId="1C1D2078" w14:textId="77777777" w:rsidR="00E741F8" w:rsidRPr="00F13073" w:rsidRDefault="00E741F8">
            <w:pPr>
              <w:pStyle w:val="a4"/>
              <w:numPr>
                <w:ilvl w:val="0"/>
                <w:numId w:val="63"/>
              </w:numPr>
              <w:spacing w:after="0"/>
              <w:ind w:left="567" w:hanging="567"/>
              <w:rPr>
                <w:bCs/>
              </w:rPr>
            </w:pPr>
            <w:r w:rsidRPr="00F13073">
              <w:t xml:space="preserve">Po rozpoczęciu wstrzyknięcia słyszalne będzie pierwsze „kliknięcie”, a pomarańczowy wskaźnik zacznie wypełniać okienko (patrz </w:t>
            </w:r>
            <w:r w:rsidRPr="00F13073">
              <w:rPr>
                <w:b/>
              </w:rPr>
              <w:t>rysunek M</w:t>
            </w:r>
            <w:r w:rsidRPr="00F13073">
              <w:t>).</w:t>
            </w:r>
          </w:p>
          <w:p w14:paraId="247369AC" w14:textId="2CE28027" w:rsidR="00E741F8" w:rsidRPr="00F13073" w:rsidRDefault="00E741F8">
            <w:pPr>
              <w:pStyle w:val="a4"/>
              <w:numPr>
                <w:ilvl w:val="0"/>
                <w:numId w:val="63"/>
              </w:numPr>
              <w:spacing w:after="0"/>
              <w:ind w:left="567" w:hanging="567"/>
              <w:rPr>
                <w:bCs/>
              </w:rPr>
            </w:pPr>
            <w:r w:rsidRPr="00F13073">
              <w:rPr>
                <w:color w:val="231F20"/>
              </w:rPr>
              <w:t>Mocno przytrzymywać wstrzykiwacz dociśnięty do powierzchni skóry i nasłuchiwać drugiego „kliknięcia”.</w:t>
            </w:r>
          </w:p>
          <w:p w14:paraId="7AA9A94C" w14:textId="4C5F6BC7" w:rsidR="00E741F8" w:rsidRPr="00F13073" w:rsidRDefault="00E741F8">
            <w:pPr>
              <w:pStyle w:val="a4"/>
              <w:numPr>
                <w:ilvl w:val="0"/>
                <w:numId w:val="63"/>
              </w:numPr>
              <w:spacing w:after="0"/>
              <w:ind w:left="567" w:hanging="567"/>
              <w:rPr>
                <w:bCs/>
              </w:rPr>
            </w:pPr>
            <w:r w:rsidRPr="00F13073">
              <w:rPr>
                <w:color w:val="231F20"/>
              </w:rPr>
              <w:t xml:space="preserve">Po usłyszeniu drugiego „kliknięcia” przytrzymać wstrzykiwacz mocno dociśnięty do skóry i </w:t>
            </w:r>
            <w:r w:rsidRPr="00F13073">
              <w:rPr>
                <w:b/>
                <w:color w:val="231F20"/>
              </w:rPr>
              <w:t>policzyć powoli do 5</w:t>
            </w:r>
            <w:r w:rsidRPr="00F13073">
              <w:rPr>
                <w:color w:val="231F20"/>
              </w:rPr>
              <w:t>, aby upewnić się, że wstrzyknięta została pełna dawka leku (patrz</w:t>
            </w:r>
            <w:r w:rsidRPr="00F13073">
              <w:t xml:space="preserve"> </w:t>
            </w:r>
            <w:r w:rsidRPr="00F13073">
              <w:rPr>
                <w:b/>
              </w:rPr>
              <w:t>rysunek M</w:t>
            </w:r>
            <w:r w:rsidRPr="00F13073">
              <w:t>).</w:t>
            </w:r>
          </w:p>
          <w:p w14:paraId="59D0C331" w14:textId="77777777" w:rsidR="00E741F8" w:rsidRPr="00F13073" w:rsidRDefault="00E741F8">
            <w:pPr>
              <w:pStyle w:val="a4"/>
              <w:numPr>
                <w:ilvl w:val="0"/>
                <w:numId w:val="63"/>
              </w:numPr>
              <w:spacing w:after="0"/>
              <w:ind w:left="567" w:hanging="567"/>
              <w:rPr>
                <w:bCs/>
              </w:rPr>
            </w:pPr>
            <w:r w:rsidRPr="00F13073">
              <w:rPr>
                <w:color w:val="231F20"/>
              </w:rPr>
              <w:t>Obserwować pomarańczowy wskaźnik, aż przestanie się poruszać i dotrze do końca okienka, aby mieć pewność, że wstrzyknięto pełną dawkę leku.</w:t>
            </w:r>
          </w:p>
          <w:p w14:paraId="38DD0EEF" w14:textId="2D3029C4" w:rsidR="00E741F8" w:rsidRPr="00F13073" w:rsidRDefault="008C0FE3" w:rsidP="008C0FE3">
            <w:pPr>
              <w:ind w:left="567"/>
            </w:pPr>
            <w:r w:rsidRPr="008C0FE3">
              <w:rPr>
                <w:i/>
                <w:iCs/>
              </w:rPr>
              <w:t>Uwaga</w:t>
            </w:r>
            <w:r w:rsidRPr="008C0FE3">
              <w:t>: Jeśli pomarańczowy wskaźnik nie porusz</w:t>
            </w:r>
            <w:r>
              <w:t>y się</w:t>
            </w:r>
            <w:r w:rsidRPr="008C0FE3">
              <w:t xml:space="preserve">, </w:t>
            </w:r>
            <w:r w:rsidR="00834C06">
              <w:t>wstrzykiwacz</w:t>
            </w:r>
            <w:r w:rsidRPr="008C0FE3">
              <w:t xml:space="preserve"> półautomatyczny </w:t>
            </w:r>
            <w:r w:rsidR="00834C06">
              <w:t>napełniony należy wyrzucić</w:t>
            </w:r>
            <w:r w:rsidRPr="008C0FE3">
              <w:t xml:space="preserve"> i użyć nowego.</w:t>
            </w:r>
          </w:p>
        </w:tc>
      </w:tr>
      <w:tr w:rsidR="00A06126" w:rsidRPr="00F13073" w14:paraId="65EFE2B7" w14:textId="77777777">
        <w:trPr>
          <w:cantSplit/>
        </w:trPr>
        <w:tc>
          <w:tcPr>
            <w:tcW w:w="3539" w:type="dxa"/>
          </w:tcPr>
          <w:p w14:paraId="00382876" w14:textId="1245536A" w:rsidR="00E741F8" w:rsidRPr="00F13073" w:rsidRDefault="004929A7">
            <w:pPr>
              <w:suppressAutoHyphens/>
              <w:jc w:val="right"/>
              <w:rPr>
                <w:b/>
                <w:bCs/>
              </w:rPr>
            </w:pPr>
            <w:r>
              <w:rPr>
                <w:noProof/>
                <w:lang w:val="en-US" w:eastAsia="ko-KR"/>
              </w:rPr>
              <w:drawing>
                <wp:inline distT="0" distB="0" distL="0" distR="0" wp14:anchorId="2044D50A" wp14:editId="3EE893B8">
                  <wp:extent cx="2103120" cy="2560955"/>
                  <wp:effectExtent l="19050" t="19050" r="0" b="0"/>
                  <wp:docPr id="35" name="그림 219393715"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9393715" descr="스케치, 클립아트, 그림, 라인 아트이(가) 표시된 사진&#10;&#10;자동 생성된 설명"/>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3120" cy="2560955"/>
                          </a:xfrm>
                          <a:prstGeom prst="rect">
                            <a:avLst/>
                          </a:prstGeom>
                          <a:noFill/>
                          <a:ln w="9525" cmpd="sng">
                            <a:solidFill>
                              <a:srgbClr val="000000"/>
                            </a:solidFill>
                            <a:miter lim="800000"/>
                            <a:headEnd/>
                            <a:tailEnd/>
                          </a:ln>
                          <a:effectLst/>
                        </pic:spPr>
                      </pic:pic>
                    </a:graphicData>
                  </a:graphic>
                </wp:inline>
              </w:drawing>
            </w:r>
          </w:p>
          <w:p w14:paraId="0574D7D7" w14:textId="77777777" w:rsidR="00E741F8" w:rsidRPr="00F13073" w:rsidRDefault="00E741F8">
            <w:pPr>
              <w:suppressAutoHyphens/>
              <w:jc w:val="right"/>
              <w:rPr>
                <w:b/>
                <w:bCs/>
              </w:rPr>
            </w:pPr>
            <w:r w:rsidRPr="00F13073">
              <w:rPr>
                <w:b/>
              </w:rPr>
              <w:t>Rysunek N</w:t>
            </w:r>
          </w:p>
        </w:tc>
        <w:tc>
          <w:tcPr>
            <w:tcW w:w="5517" w:type="dxa"/>
          </w:tcPr>
          <w:p w14:paraId="6E890395" w14:textId="237B2157" w:rsidR="00E741F8" w:rsidRPr="00F13073" w:rsidRDefault="003A15BB">
            <w:pPr>
              <w:pStyle w:val="a4"/>
              <w:numPr>
                <w:ilvl w:val="0"/>
                <w:numId w:val="59"/>
              </w:numPr>
              <w:spacing w:after="0"/>
              <w:ind w:left="567" w:hanging="567"/>
              <w:rPr>
                <w:b/>
              </w:rPr>
            </w:pPr>
            <w:r w:rsidRPr="00F13073">
              <w:rPr>
                <w:b/>
              </w:rPr>
              <w:t>Usunąć</w:t>
            </w:r>
            <w:r w:rsidR="00E741F8" w:rsidRPr="00F13073">
              <w:rPr>
                <w:b/>
              </w:rPr>
              <w:t xml:space="preserve"> wstrzykiwacz</w:t>
            </w:r>
            <w:r w:rsidRPr="00F13073">
              <w:rPr>
                <w:b/>
              </w:rPr>
              <w:t xml:space="preserve"> </w:t>
            </w:r>
            <w:r w:rsidR="00E741F8" w:rsidRPr="00F13073">
              <w:rPr>
                <w:b/>
              </w:rPr>
              <w:t>z miejsca wstrzyknięcia.</w:t>
            </w:r>
          </w:p>
          <w:p w14:paraId="195B6759" w14:textId="77777777" w:rsidR="00E741F8" w:rsidRPr="00F13073" w:rsidRDefault="00E741F8">
            <w:pPr>
              <w:pStyle w:val="Default"/>
              <w:ind w:left="567" w:hanging="567"/>
              <w:rPr>
                <w:rFonts w:ascii="Times New Roman" w:hAnsi="Times New Roman" w:cs="Times New Roman"/>
                <w:sz w:val="22"/>
                <w:szCs w:val="22"/>
              </w:rPr>
            </w:pPr>
          </w:p>
          <w:p w14:paraId="62988A89" w14:textId="1D717956" w:rsidR="00E741F8" w:rsidRPr="00F13073" w:rsidRDefault="00E741F8">
            <w:pPr>
              <w:pStyle w:val="a4"/>
              <w:numPr>
                <w:ilvl w:val="0"/>
                <w:numId w:val="62"/>
              </w:numPr>
              <w:spacing w:after="0"/>
              <w:ind w:left="567" w:hanging="567"/>
              <w:rPr>
                <w:bCs/>
              </w:rPr>
            </w:pPr>
            <w:r w:rsidRPr="00F13073">
              <w:t xml:space="preserve">Gdy pomarańczowy wskaźnik przestanie się poruszać, </w:t>
            </w:r>
            <w:r w:rsidR="005975FA" w:rsidRPr="00F13073">
              <w:t>odsunąć</w:t>
            </w:r>
            <w:r w:rsidRPr="00F13073">
              <w:t xml:space="preserve"> wstrzykiwacz z miejsca wstrzyknięcia pod kątem 90 stopni, aby wyjąć igłę ze skóry.</w:t>
            </w:r>
          </w:p>
          <w:p w14:paraId="1107955F" w14:textId="229CEC0E" w:rsidR="00E741F8" w:rsidRPr="00F13073" w:rsidRDefault="00E741F8" w:rsidP="0081094B">
            <w:pPr>
              <w:pStyle w:val="a4"/>
              <w:numPr>
                <w:ilvl w:val="0"/>
                <w:numId w:val="29"/>
              </w:numPr>
              <w:tabs>
                <w:tab w:val="left" w:pos="1139"/>
              </w:tabs>
              <w:spacing w:after="0"/>
              <w:ind w:left="1134" w:hanging="567"/>
            </w:pPr>
            <w:r w:rsidRPr="00F13073">
              <w:t xml:space="preserve">Osłona </w:t>
            </w:r>
            <w:r w:rsidRPr="00F13073">
              <w:rPr>
                <w:color w:val="231F20"/>
              </w:rPr>
              <w:t>igły</w:t>
            </w:r>
            <w:r w:rsidRPr="00F13073">
              <w:t xml:space="preserve"> automatycznie się wysunie i zablokuje, zakrywając igłę (patrz </w:t>
            </w:r>
            <w:r w:rsidRPr="00F13073">
              <w:rPr>
                <w:b/>
              </w:rPr>
              <w:t>Rysunek N</w:t>
            </w:r>
            <w:r w:rsidRPr="00F13073">
              <w:t>).</w:t>
            </w:r>
          </w:p>
          <w:p w14:paraId="6AFA0AB1" w14:textId="2B13281D" w:rsidR="00E741F8" w:rsidRPr="00F13073" w:rsidRDefault="00E741F8">
            <w:pPr>
              <w:pStyle w:val="a4"/>
              <w:spacing w:after="0"/>
              <w:ind w:left="567"/>
              <w:rPr>
                <w:bCs/>
              </w:rPr>
            </w:pPr>
            <w:r w:rsidRPr="00F13073">
              <w:rPr>
                <w:i/>
              </w:rPr>
              <w:t>Uwaga</w:t>
            </w:r>
            <w:r w:rsidRPr="00F13073">
              <w:t xml:space="preserve">: Jeśli okienko nie zmieniło całkowicie koloru na pomarańczowy lub jeśli lek nadal jest wstrzykiwany, oznacza to, że pacjent nie otrzymał pełnej dawki. Ostrożnie </w:t>
            </w:r>
            <w:r w:rsidRPr="00F13073">
              <w:rPr>
                <w:color w:val="231F20"/>
              </w:rPr>
              <w:t>umieścić wstrzykiwacz w pojemniku na ostre odpady medyczne i bezzwłocznie skontaktować się z fachowym personelem medycznym.</w:t>
            </w:r>
          </w:p>
          <w:p w14:paraId="15791673" w14:textId="77777777" w:rsidR="00E741F8" w:rsidRPr="00F13073" w:rsidRDefault="00E741F8">
            <w:pPr>
              <w:pStyle w:val="a4"/>
              <w:spacing w:after="0"/>
              <w:ind w:left="567" w:hanging="567"/>
            </w:pPr>
          </w:p>
          <w:p w14:paraId="615EEDDA" w14:textId="166A754B" w:rsidR="00E741F8" w:rsidRPr="00F13073" w:rsidRDefault="00E741F8" w:rsidP="0081094B">
            <w:pPr>
              <w:pStyle w:val="a4"/>
              <w:numPr>
                <w:ilvl w:val="0"/>
                <w:numId w:val="29"/>
              </w:numPr>
              <w:tabs>
                <w:tab w:val="left" w:pos="1139"/>
              </w:tabs>
              <w:spacing w:after="0"/>
              <w:ind w:left="1134" w:hanging="567"/>
              <w:rPr>
                <w:bCs/>
              </w:rPr>
            </w:pPr>
            <w:r w:rsidRPr="00F13073">
              <w:rPr>
                <w:b/>
              </w:rPr>
              <w:t>Nie</w:t>
            </w:r>
            <w:r w:rsidRPr="00F13073">
              <w:t xml:space="preserve"> dotykać osłony igły wstrzykiwacza.</w:t>
            </w:r>
          </w:p>
          <w:p w14:paraId="11D7A741" w14:textId="402CEC1A" w:rsidR="00E741F8" w:rsidRPr="00F13073" w:rsidRDefault="00E741F8" w:rsidP="0081094B">
            <w:pPr>
              <w:pStyle w:val="a4"/>
              <w:numPr>
                <w:ilvl w:val="0"/>
                <w:numId w:val="29"/>
              </w:numPr>
              <w:tabs>
                <w:tab w:val="left" w:pos="1139"/>
              </w:tabs>
              <w:spacing w:after="0"/>
              <w:ind w:left="1134" w:hanging="567"/>
              <w:rPr>
                <w:bCs/>
              </w:rPr>
            </w:pPr>
            <w:r w:rsidRPr="00F13073">
              <w:rPr>
                <w:b/>
              </w:rPr>
              <w:t>Nie</w:t>
            </w:r>
            <w:r w:rsidRPr="00F13073">
              <w:t xml:space="preserve"> </w:t>
            </w:r>
            <w:r w:rsidRPr="00F13073">
              <w:rPr>
                <w:b/>
                <w:bCs/>
              </w:rPr>
              <w:t>należy</w:t>
            </w:r>
            <w:r w:rsidRPr="00F13073">
              <w:t xml:space="preserve"> próbować ponownie używać wstrzykiwacza.</w:t>
            </w:r>
          </w:p>
          <w:p w14:paraId="19382109" w14:textId="79189C31" w:rsidR="00E741F8" w:rsidRPr="00F13073" w:rsidRDefault="00E741F8" w:rsidP="0081094B">
            <w:pPr>
              <w:pStyle w:val="a4"/>
              <w:numPr>
                <w:ilvl w:val="0"/>
                <w:numId w:val="29"/>
              </w:numPr>
              <w:tabs>
                <w:tab w:val="left" w:pos="1139"/>
              </w:tabs>
              <w:spacing w:after="0"/>
              <w:ind w:left="1134" w:hanging="567"/>
              <w:rPr>
                <w:b/>
              </w:rPr>
            </w:pPr>
            <w:r w:rsidRPr="00F13073">
              <w:rPr>
                <w:b/>
              </w:rPr>
              <w:t>Nie należy</w:t>
            </w:r>
            <w:r w:rsidRPr="00F13073">
              <w:t xml:space="preserve"> </w:t>
            </w:r>
            <w:r w:rsidRPr="00F13073">
              <w:rPr>
                <w:color w:val="231F20"/>
              </w:rPr>
              <w:t>powtarzać</w:t>
            </w:r>
            <w:r w:rsidRPr="00F13073">
              <w:t xml:space="preserve"> wstrzyknięcia za pomocą innego wstrzykiwacza.</w:t>
            </w:r>
          </w:p>
          <w:p w14:paraId="1958277F" w14:textId="77777777" w:rsidR="00E741F8" w:rsidRPr="00F13073" w:rsidRDefault="00E741F8" w:rsidP="00D854D5"/>
        </w:tc>
      </w:tr>
    </w:tbl>
    <w:p w14:paraId="3ED96D6F" w14:textId="77777777" w:rsidR="00E741F8" w:rsidRPr="00F13073" w:rsidRDefault="00E741F8" w:rsidP="00E741F8"/>
    <w:p w14:paraId="364804D4" w14:textId="77777777" w:rsidR="00E741F8" w:rsidRPr="00F13073" w:rsidRDefault="00E741F8" w:rsidP="00E741F8">
      <w:pPr>
        <w:keepNext/>
        <w:rPr>
          <w:b/>
          <w:bCs/>
        </w:rPr>
      </w:pPr>
      <w:r w:rsidRPr="00F13073">
        <w:rPr>
          <w:b/>
        </w:rPr>
        <w:lastRenderedPageBreak/>
        <w:t>Po wstrzyknięciu</w:t>
      </w:r>
    </w:p>
    <w:p w14:paraId="03EE1A20" w14:textId="77777777" w:rsidR="00E741F8" w:rsidRPr="00F13073" w:rsidRDefault="00E741F8" w:rsidP="00E741F8">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06126" w:rsidRPr="00F13073" w14:paraId="70089EB0" w14:textId="77777777">
        <w:trPr>
          <w:cantSplit/>
        </w:trPr>
        <w:tc>
          <w:tcPr>
            <w:tcW w:w="9056" w:type="dxa"/>
            <w:gridSpan w:val="2"/>
          </w:tcPr>
          <w:p w14:paraId="606D00AF" w14:textId="77777777" w:rsidR="00E741F8" w:rsidRPr="00F13073" w:rsidRDefault="00E741F8">
            <w:pPr>
              <w:pStyle w:val="a4"/>
              <w:numPr>
                <w:ilvl w:val="0"/>
                <w:numId w:val="59"/>
              </w:numPr>
              <w:spacing w:after="0"/>
              <w:ind w:left="567" w:hanging="567"/>
              <w:rPr>
                <w:b/>
              </w:rPr>
            </w:pPr>
            <w:r w:rsidRPr="00F13073">
              <w:rPr>
                <w:b/>
              </w:rPr>
              <w:t>Pielęgnacja miejsca wstrzyknięcia.</w:t>
            </w:r>
          </w:p>
          <w:p w14:paraId="50C02937" w14:textId="77777777" w:rsidR="00E741F8" w:rsidRPr="00F13073" w:rsidRDefault="00E741F8">
            <w:pPr>
              <w:pStyle w:val="Default"/>
              <w:ind w:left="567" w:hanging="567"/>
              <w:rPr>
                <w:rFonts w:ascii="Times New Roman" w:hAnsi="Times New Roman" w:cs="Times New Roman"/>
                <w:sz w:val="22"/>
                <w:szCs w:val="22"/>
              </w:rPr>
            </w:pPr>
          </w:p>
          <w:p w14:paraId="76FA158B" w14:textId="77777777" w:rsidR="00E741F8" w:rsidRPr="00F13073" w:rsidRDefault="00E741F8">
            <w:pPr>
              <w:pStyle w:val="a4"/>
              <w:numPr>
                <w:ilvl w:val="0"/>
                <w:numId w:val="61"/>
              </w:numPr>
              <w:spacing w:after="0"/>
              <w:ind w:left="567" w:hanging="567"/>
              <w:rPr>
                <w:bCs/>
              </w:rPr>
            </w:pPr>
            <w:r w:rsidRPr="00F13073">
              <w:t>Jeśli wystąpi niewielkie krwawienie, należy opatrzyć miejsce wstrzyknięcia, delikatnie uciskając je (nie pocierając), wacikiem lub gazikiem, a w razie potrzeby założyć opatrunek samoprzylepny.</w:t>
            </w:r>
          </w:p>
          <w:p w14:paraId="73196B48" w14:textId="77777777" w:rsidR="00E741F8" w:rsidRPr="00F13073" w:rsidRDefault="00E741F8" w:rsidP="0081094B">
            <w:pPr>
              <w:pStyle w:val="a4"/>
              <w:numPr>
                <w:ilvl w:val="0"/>
                <w:numId w:val="29"/>
              </w:numPr>
              <w:tabs>
                <w:tab w:val="left" w:pos="1139"/>
              </w:tabs>
              <w:spacing w:after="0"/>
              <w:ind w:left="1134" w:hanging="567"/>
              <w:rPr>
                <w:bCs/>
              </w:rPr>
            </w:pPr>
            <w:r w:rsidRPr="00F13073">
              <w:rPr>
                <w:b/>
              </w:rPr>
              <w:t>Nie</w:t>
            </w:r>
            <w:r w:rsidRPr="00F13073">
              <w:t xml:space="preserve"> pocierać miejsca wstrzyknięcia.</w:t>
            </w:r>
          </w:p>
          <w:p w14:paraId="313597AD" w14:textId="77777777" w:rsidR="00E741F8" w:rsidRPr="00F13073" w:rsidRDefault="00E741F8" w:rsidP="00D854D5"/>
        </w:tc>
      </w:tr>
      <w:tr w:rsidR="00A06126" w:rsidRPr="00F13073" w14:paraId="14D9BC1B" w14:textId="77777777">
        <w:trPr>
          <w:cantSplit/>
        </w:trPr>
        <w:tc>
          <w:tcPr>
            <w:tcW w:w="3539" w:type="dxa"/>
          </w:tcPr>
          <w:p w14:paraId="15BCB3C9" w14:textId="5A9F652D" w:rsidR="00E741F8" w:rsidRPr="00F13073" w:rsidRDefault="004929A7">
            <w:pPr>
              <w:suppressAutoHyphens/>
              <w:jc w:val="right"/>
            </w:pPr>
            <w:r>
              <w:rPr>
                <w:noProof/>
                <w:lang w:val="en-US" w:eastAsia="ko-KR"/>
              </w:rPr>
              <w:drawing>
                <wp:inline distT="0" distB="0" distL="0" distR="0" wp14:anchorId="14225F54" wp14:editId="1351A9B7">
                  <wp:extent cx="2103120" cy="2559050"/>
                  <wp:effectExtent l="19050" t="19050" r="0" b="0"/>
                  <wp:docPr id="36" name="그림 850045557"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50045557" descr="스케치, 그림, 사무용품, 아동 미술이(가) 표시된 사진&#10;&#10;자동 생성된 설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3120" cy="2559050"/>
                          </a:xfrm>
                          <a:prstGeom prst="rect">
                            <a:avLst/>
                          </a:prstGeom>
                          <a:noFill/>
                          <a:ln w="9525" cmpd="sng">
                            <a:solidFill>
                              <a:srgbClr val="000000"/>
                            </a:solidFill>
                            <a:miter lim="800000"/>
                            <a:headEnd/>
                            <a:tailEnd/>
                          </a:ln>
                          <a:effectLst/>
                        </pic:spPr>
                      </pic:pic>
                    </a:graphicData>
                  </a:graphic>
                </wp:inline>
              </w:drawing>
            </w:r>
          </w:p>
          <w:p w14:paraId="0349E497" w14:textId="77777777" w:rsidR="00E741F8" w:rsidRPr="00F13073" w:rsidRDefault="00E741F8">
            <w:pPr>
              <w:suppressAutoHyphens/>
              <w:jc w:val="right"/>
              <w:rPr>
                <w:b/>
                <w:bCs/>
              </w:rPr>
            </w:pPr>
            <w:r w:rsidRPr="00F13073">
              <w:rPr>
                <w:b/>
              </w:rPr>
              <w:t>Rysunek O</w:t>
            </w:r>
          </w:p>
        </w:tc>
        <w:tc>
          <w:tcPr>
            <w:tcW w:w="5517" w:type="dxa"/>
          </w:tcPr>
          <w:p w14:paraId="44D31BAB" w14:textId="77777777" w:rsidR="00E741F8" w:rsidRPr="00F13073" w:rsidRDefault="00E741F8">
            <w:pPr>
              <w:pStyle w:val="a4"/>
              <w:numPr>
                <w:ilvl w:val="0"/>
                <w:numId w:val="59"/>
              </w:numPr>
              <w:spacing w:after="0"/>
              <w:ind w:left="567" w:hanging="567"/>
              <w:rPr>
                <w:b/>
              </w:rPr>
            </w:pPr>
            <w:r w:rsidRPr="00F13073">
              <w:rPr>
                <w:b/>
              </w:rPr>
              <w:t>Wyrzucić lek Avtozma.</w:t>
            </w:r>
          </w:p>
          <w:p w14:paraId="71D94C68" w14:textId="77777777" w:rsidR="00E741F8" w:rsidRPr="00F13073" w:rsidRDefault="00E741F8">
            <w:pPr>
              <w:pStyle w:val="Default"/>
              <w:ind w:left="567" w:hanging="567"/>
              <w:rPr>
                <w:rFonts w:ascii="Times New Roman" w:hAnsi="Times New Roman" w:cs="Times New Roman"/>
                <w:sz w:val="22"/>
                <w:szCs w:val="22"/>
              </w:rPr>
            </w:pPr>
          </w:p>
          <w:p w14:paraId="38552818" w14:textId="009D743E" w:rsidR="00E741F8" w:rsidRPr="00F13073" w:rsidRDefault="00E741F8">
            <w:pPr>
              <w:pStyle w:val="a4"/>
              <w:numPr>
                <w:ilvl w:val="0"/>
                <w:numId w:val="60"/>
              </w:numPr>
              <w:spacing w:after="0"/>
              <w:ind w:left="567" w:hanging="567"/>
              <w:rPr>
                <w:bCs/>
              </w:rPr>
            </w:pPr>
            <w:r w:rsidRPr="00F13073">
              <w:t xml:space="preserve">Zużyty wstrzykiwacz należy </w:t>
            </w:r>
            <w:r w:rsidRPr="00F13073">
              <w:rPr>
                <w:color w:val="231F20"/>
              </w:rPr>
              <w:t xml:space="preserve">bezzwłocznie po użyciu </w:t>
            </w:r>
            <w:r w:rsidRPr="00F13073">
              <w:t xml:space="preserve">umieścić w </w:t>
            </w:r>
            <w:r w:rsidRPr="00F13073">
              <w:rPr>
                <w:color w:val="231F20"/>
              </w:rPr>
              <w:t xml:space="preserve">pojemniku na ostre odpady medyczne (patrz </w:t>
            </w:r>
            <w:r w:rsidRPr="00F13073">
              <w:rPr>
                <w:b/>
                <w:color w:val="231F20"/>
              </w:rPr>
              <w:t>rysunek O)</w:t>
            </w:r>
            <w:r w:rsidRPr="00F13073">
              <w:t>.</w:t>
            </w:r>
          </w:p>
          <w:p w14:paraId="35EFF35E" w14:textId="77777777" w:rsidR="00E741F8" w:rsidRPr="00F13073" w:rsidRDefault="00E741F8">
            <w:pPr>
              <w:pStyle w:val="a4"/>
              <w:spacing w:after="0"/>
              <w:ind w:left="567" w:hanging="567"/>
              <w:rPr>
                <w:bCs/>
              </w:rPr>
            </w:pPr>
          </w:p>
          <w:p w14:paraId="51581E09" w14:textId="5534DAB0" w:rsidR="00E741F8" w:rsidRPr="00F13073" w:rsidRDefault="00E741F8">
            <w:pPr>
              <w:pStyle w:val="a4"/>
              <w:spacing w:after="0"/>
              <w:ind w:left="567"/>
              <w:rPr>
                <w:bCs/>
              </w:rPr>
            </w:pPr>
            <w:r w:rsidRPr="00F13073">
              <w:rPr>
                <w:i/>
              </w:rPr>
              <w:t>Uwaga</w:t>
            </w:r>
            <w:r w:rsidRPr="00F13073">
              <w:t xml:space="preserve">: Jeśli </w:t>
            </w:r>
            <w:r w:rsidRPr="00F13073">
              <w:rPr>
                <w:color w:val="231F20"/>
              </w:rPr>
              <w:t xml:space="preserve">wstrzyknięcie </w:t>
            </w:r>
            <w:r w:rsidRPr="00F13073">
              <w:t>jest wykonywane przez inną osobę, osoba ta musi również zachować ostrożność podczas wyjmowania wstrzykiwacza i jego utylizacji, aby zapobiec przypadkowemu zakłuciu igłą i przeniesieniu czynników zakaźnych.</w:t>
            </w:r>
          </w:p>
          <w:p w14:paraId="3C8524A6" w14:textId="77777777" w:rsidR="00E741F8" w:rsidRPr="00F13073" w:rsidRDefault="00E741F8">
            <w:pPr>
              <w:pStyle w:val="a4"/>
              <w:spacing w:after="0"/>
              <w:ind w:left="567" w:hanging="567"/>
              <w:rPr>
                <w:bCs/>
              </w:rPr>
            </w:pPr>
          </w:p>
          <w:p w14:paraId="5ADBC4ED" w14:textId="0C089945"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wolno</w:t>
            </w:r>
            <w:r w:rsidRPr="00F13073">
              <w:t xml:space="preserve"> używać ponownie zużytego wstrzykiwacz.</w:t>
            </w:r>
          </w:p>
          <w:p w14:paraId="3C1EA305" w14:textId="2F23D0A8"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zakładać ponownie nasadki na wstrzykiwacz.</w:t>
            </w:r>
          </w:p>
          <w:p w14:paraId="7E60D85F" w14:textId="78AD65B5" w:rsidR="00E741F8" w:rsidRPr="00F13073" w:rsidRDefault="00E741F8" w:rsidP="0081094B">
            <w:pPr>
              <w:pStyle w:val="a4"/>
              <w:numPr>
                <w:ilvl w:val="0"/>
                <w:numId w:val="29"/>
              </w:numPr>
              <w:tabs>
                <w:tab w:val="left" w:pos="1139"/>
              </w:tabs>
              <w:spacing w:after="0"/>
              <w:ind w:left="1134" w:hanging="567"/>
            </w:pPr>
            <w:r w:rsidRPr="00F13073">
              <w:rPr>
                <w:b/>
              </w:rPr>
              <w:t>Nie</w:t>
            </w:r>
            <w:r w:rsidRPr="00F13073">
              <w:t xml:space="preserve"> </w:t>
            </w:r>
            <w:r w:rsidRPr="00F13073">
              <w:rPr>
                <w:b/>
                <w:bCs/>
              </w:rPr>
              <w:t>należy</w:t>
            </w:r>
            <w:r w:rsidRPr="00F13073">
              <w:t xml:space="preserve"> wyrzucać zużytego pojemnika na ostre odpady medyczne do domowego pojemnika na odpadki.</w:t>
            </w:r>
          </w:p>
          <w:p w14:paraId="6459A161" w14:textId="5B98316F" w:rsidR="00E741F8" w:rsidRPr="00F13073" w:rsidRDefault="00E741F8" w:rsidP="0081094B">
            <w:pPr>
              <w:pStyle w:val="a4"/>
              <w:numPr>
                <w:ilvl w:val="0"/>
                <w:numId w:val="29"/>
              </w:numPr>
              <w:tabs>
                <w:tab w:val="left" w:pos="1139"/>
              </w:tabs>
              <w:spacing w:after="0"/>
              <w:ind w:left="1134" w:hanging="567"/>
            </w:pPr>
            <w:r w:rsidRPr="00F13073">
              <w:t xml:space="preserve">Zużytego pojemnika na ostre odpady medyczne </w:t>
            </w:r>
            <w:r w:rsidRPr="00F13073">
              <w:rPr>
                <w:b/>
              </w:rPr>
              <w:t>nie</w:t>
            </w:r>
            <w:r w:rsidRPr="00F13073">
              <w:t xml:space="preserve"> należy poddawać recyklingowi.</w:t>
            </w:r>
          </w:p>
          <w:p w14:paraId="5D910398" w14:textId="22D835E4" w:rsidR="00E741F8" w:rsidRPr="00F13073" w:rsidRDefault="00E741F8" w:rsidP="0081094B">
            <w:pPr>
              <w:pStyle w:val="a4"/>
              <w:numPr>
                <w:ilvl w:val="0"/>
                <w:numId w:val="29"/>
              </w:numPr>
              <w:tabs>
                <w:tab w:val="left" w:pos="1139"/>
              </w:tabs>
              <w:spacing w:after="0"/>
              <w:ind w:left="1134" w:hanging="567"/>
              <w:rPr>
                <w:bCs/>
              </w:rPr>
            </w:pPr>
            <w:r w:rsidRPr="00F13073">
              <w:t>Wstrzykiwacz z lekiem Avtozma i pojemnik na odpady należy przechowywać w miejscu niedostępnym dla dzieci.</w:t>
            </w:r>
          </w:p>
          <w:p w14:paraId="1F43B3A4" w14:textId="0522CB26" w:rsidR="00E741F8" w:rsidRPr="00F13073" w:rsidRDefault="00E741F8" w:rsidP="0081094B">
            <w:pPr>
              <w:pStyle w:val="a4"/>
              <w:numPr>
                <w:ilvl w:val="0"/>
                <w:numId w:val="29"/>
              </w:numPr>
              <w:tabs>
                <w:tab w:val="left" w:pos="1139"/>
              </w:tabs>
              <w:spacing w:after="0"/>
              <w:ind w:left="1134" w:hanging="567"/>
              <w:rPr>
                <w:bCs/>
              </w:rPr>
            </w:pPr>
            <w:r w:rsidRPr="00F13073">
              <w:t>Pełny pojemnik należy usunąć zgodnie z zaleceniami fachowego personelu medycznego lub farmaceuty. Jeśli pacjent nie posiada pojemnika na ostre odpady medyczne, można wykorzystać domowy pojemnik na odpadki, który jest zamykany i odporny na przebicie. Wszelkie niewykorzystane resztki produktu leczniczego lub jego odpady należy usunąć zgodnie z lokalnymi przepisami.</w:t>
            </w:r>
          </w:p>
          <w:p w14:paraId="034F50C1" w14:textId="77777777" w:rsidR="00E741F8" w:rsidRPr="00F13073" w:rsidRDefault="00E741F8" w:rsidP="00D854D5"/>
        </w:tc>
      </w:tr>
      <w:tr w:rsidR="00A06126" w:rsidRPr="00F13073" w14:paraId="68BD63E2" w14:textId="77777777">
        <w:trPr>
          <w:cantSplit/>
        </w:trPr>
        <w:tc>
          <w:tcPr>
            <w:tcW w:w="9056" w:type="dxa"/>
            <w:gridSpan w:val="2"/>
          </w:tcPr>
          <w:p w14:paraId="00120FF0" w14:textId="5443EC0A" w:rsidR="00E741F8" w:rsidRPr="00F13073" w:rsidRDefault="00901D77">
            <w:pPr>
              <w:pStyle w:val="a4"/>
              <w:numPr>
                <w:ilvl w:val="0"/>
                <w:numId w:val="59"/>
              </w:numPr>
              <w:spacing w:after="0"/>
              <w:ind w:left="567" w:hanging="567"/>
              <w:rPr>
                <w:b/>
              </w:rPr>
            </w:pPr>
            <w:r w:rsidRPr="00F13073">
              <w:rPr>
                <w:b/>
              </w:rPr>
              <w:t>Odnotować</w:t>
            </w:r>
            <w:r w:rsidR="00E741F8" w:rsidRPr="00F13073">
              <w:rPr>
                <w:b/>
              </w:rPr>
              <w:t xml:space="preserve"> wstrzyknięcie.</w:t>
            </w:r>
          </w:p>
          <w:p w14:paraId="4FFA102D" w14:textId="77777777" w:rsidR="00E741F8" w:rsidRPr="00F13073" w:rsidRDefault="00E741F8">
            <w:pPr>
              <w:pStyle w:val="Default"/>
              <w:ind w:left="567" w:hanging="567"/>
              <w:rPr>
                <w:rFonts w:ascii="Times New Roman" w:hAnsi="Times New Roman" w:cs="Times New Roman"/>
                <w:sz w:val="22"/>
                <w:szCs w:val="22"/>
              </w:rPr>
            </w:pPr>
          </w:p>
          <w:p w14:paraId="474B6BB6" w14:textId="77777777" w:rsidR="00E741F8" w:rsidRPr="00F13073" w:rsidRDefault="00E741F8">
            <w:pPr>
              <w:pStyle w:val="a4"/>
              <w:numPr>
                <w:ilvl w:val="0"/>
                <w:numId w:val="58"/>
              </w:numPr>
              <w:spacing w:after="0"/>
              <w:ind w:left="567" w:hanging="567"/>
            </w:pPr>
            <w:r w:rsidRPr="00F13073">
              <w:t>Zapisać datę, godzinę i konkretną część ciała, w którą wstrzyknięto lek.</w:t>
            </w:r>
          </w:p>
          <w:p w14:paraId="336FF2AB" w14:textId="77777777" w:rsidR="00E741F8" w:rsidRPr="00F13073" w:rsidRDefault="00E741F8" w:rsidP="00D854D5"/>
        </w:tc>
      </w:tr>
    </w:tbl>
    <w:p w14:paraId="44ADC62B" w14:textId="77777777" w:rsidR="00E741F8" w:rsidRPr="00F13073" w:rsidRDefault="00E741F8" w:rsidP="00E741F8"/>
    <w:p w14:paraId="59983D21" w14:textId="77777777" w:rsidR="00E741F8" w:rsidRPr="00F13073" w:rsidRDefault="00E741F8" w:rsidP="00E741F8"/>
    <w:p w14:paraId="6D138E02" w14:textId="406E0F34" w:rsidR="00E741F8" w:rsidRPr="00F13073" w:rsidRDefault="00E741F8" w:rsidP="002A2824"/>
    <w:p w14:paraId="00F8B6D0" w14:textId="73F01BEB" w:rsidR="00AB175D" w:rsidRPr="00F13073" w:rsidRDefault="00AB175D" w:rsidP="008B4C50">
      <w:pPr>
        <w:pStyle w:val="a4"/>
        <w:widowControl/>
        <w:spacing w:after="0"/>
      </w:pPr>
    </w:p>
    <w:sectPr w:rsidR="00AB175D" w:rsidRPr="00F13073" w:rsidSect="00927DA1">
      <w:footerReference w:type="even" r:id="rId54"/>
      <w:footerReference w:type="default" r:id="rId55"/>
      <w:pgSz w:w="11900" w:h="16840"/>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4DBE" w14:textId="77777777" w:rsidR="00444A89" w:rsidRPr="00151F2F" w:rsidRDefault="00444A89">
      <w:r w:rsidRPr="00151F2F">
        <w:separator/>
      </w:r>
    </w:p>
  </w:endnote>
  <w:endnote w:type="continuationSeparator" w:id="0">
    <w:p w14:paraId="090B4F09" w14:textId="77777777" w:rsidR="00444A89" w:rsidRPr="00151F2F" w:rsidRDefault="00444A89">
      <w:r w:rsidRPr="00151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AE7B" w14:textId="2B94908E" w:rsidR="00FE78F1" w:rsidRPr="00151F2F" w:rsidRDefault="00FE78F1">
    <w:pPr>
      <w:spacing w:line="1" w:lineRule="exact"/>
    </w:pPr>
    <w:r>
      <w:rPr>
        <w:noProof/>
        <w:lang w:val="en-US" w:eastAsia="ko-KR"/>
      </w:rPr>
      <mc:AlternateContent>
        <mc:Choice Requires="wps">
          <w:drawing>
            <wp:anchor distT="0" distB="0" distL="0" distR="0" simplePos="0" relativeHeight="251657728" behindDoc="1" locked="0" layoutInCell="1" allowOverlap="1" wp14:anchorId="213297A0" wp14:editId="2E69CAC4">
              <wp:simplePos x="0" y="0"/>
              <wp:positionH relativeFrom="page">
                <wp:posOffset>3754755</wp:posOffset>
              </wp:positionH>
              <wp:positionV relativeFrom="page">
                <wp:posOffset>10368915</wp:posOffset>
              </wp:positionV>
              <wp:extent cx="97790" cy="76200"/>
              <wp:effectExtent l="0" t="0" r="0" b="0"/>
              <wp:wrapNone/>
              <wp:docPr id="14723160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 cy="76200"/>
                      </a:xfrm>
                      <a:prstGeom prst="rect">
                        <a:avLst/>
                      </a:prstGeom>
                      <a:noFill/>
                    </wps:spPr>
                    <wps:txbx>
                      <w:txbxContent>
                        <w:p w14:paraId="2CEF9C9C" w14:textId="77777777" w:rsidR="00FE78F1" w:rsidRPr="00151F2F" w:rsidRDefault="00FE78F1">
                          <w:pPr>
                            <w:pStyle w:val="Headerorfooter20"/>
                            <w:rPr>
                              <w:sz w:val="16"/>
                              <w:szCs w:val="16"/>
                            </w:rPr>
                          </w:pPr>
                          <w:r w:rsidRPr="00151F2F">
                            <w:fldChar w:fldCharType="begin"/>
                          </w:r>
                          <w:r w:rsidRPr="00151F2F">
                            <w:instrText xml:space="preserve"> PAGE \* MERGEFORMAT </w:instrText>
                          </w:r>
                          <w:r w:rsidRPr="00151F2F">
                            <w:fldChar w:fldCharType="separate"/>
                          </w:r>
                          <w:r w:rsidRPr="00151F2F">
                            <w:rPr>
                              <w:rStyle w:val="Headerorfooter2"/>
                              <w:rFonts w:ascii="Arial" w:eastAsia="Arial" w:hAnsi="Arial" w:cs="Arial"/>
                              <w:sz w:val="16"/>
                              <w:szCs w:val="16"/>
                            </w:rPr>
                            <w:t>#</w:t>
                          </w:r>
                          <w:r w:rsidRPr="00151F2F">
                            <w:rPr>
                              <w:rStyle w:val="Headerorfooter2"/>
                              <w:rFonts w:ascii="Arial" w:eastAsia="Arial" w:hAnsi="Arial" w:cs="Arial"/>
                              <w:sz w:val="16"/>
                              <w:szCs w:val="16"/>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3297A0" id="_x0000_t202" coordsize="21600,21600" o:spt="202" path="m,l,21600r21600,l21600,xe">
              <v:stroke joinstyle="miter"/>
              <v:path gradientshapeok="t" o:connecttype="rect"/>
            </v:shapetype>
            <v:shape id="Text Box 1" o:spid="_x0000_s1080" type="#_x0000_t202" style="position:absolute;margin-left:295.65pt;margin-top:816.45pt;width:7.7pt;height:6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" filled="f" stroked="f">
              <v:textbox style="mso-fit-shape-to-text:t" inset="0,0,0,0">
                <w:txbxContent>
                  <w:p w14:paraId="2CEF9C9C" w14:textId="77777777" w:rsidR="00FE78F1" w:rsidRPr="00151F2F" w:rsidRDefault="00FE78F1">
                    <w:pPr>
                      <w:pStyle w:val="Headerorfooter20"/>
                      <w:rPr>
                        <w:sz w:val="16"/>
                        <w:szCs w:val="16"/>
                      </w:rPr>
                    </w:pPr>
                    <w:r w:rsidRPr="00151F2F">
                      <w:fldChar w:fldCharType="begin"/>
                    </w:r>
                    <w:r w:rsidRPr="00151F2F">
                      <w:instrText xml:space="preserve"> PAGE \* MERGEFORMAT </w:instrText>
                    </w:r>
                    <w:r w:rsidRPr="00151F2F">
                      <w:fldChar w:fldCharType="separate"/>
                    </w:r>
                    <w:r w:rsidRPr="00151F2F">
                      <w:rPr>
                        <w:rStyle w:val="Headerorfooter2"/>
                        <w:rFonts w:ascii="Arial" w:eastAsia="Arial" w:hAnsi="Arial" w:cs="Arial"/>
                        <w:sz w:val="16"/>
                        <w:szCs w:val="16"/>
                      </w:rPr>
                      <w:t>#</w:t>
                    </w:r>
                    <w:r w:rsidRPr="00151F2F">
                      <w:rPr>
                        <w:rStyle w:val="Headerorfooter2"/>
                        <w:rFonts w:ascii="Arial" w:eastAsia="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68F0" w14:textId="69E49C13" w:rsidR="00FE78F1" w:rsidRPr="00151F2F" w:rsidRDefault="00FE78F1" w:rsidP="00E638F4">
    <w:pPr>
      <w:jc w:val="center"/>
      <w:rPr>
        <w:rFonts w:ascii="Arial" w:hAnsi="Arial" w:cs="Arial"/>
        <w:sz w:val="16"/>
        <w:szCs w:val="16"/>
      </w:rPr>
    </w:pPr>
    <w:r w:rsidRPr="00151F2F">
      <w:rPr>
        <w:rFonts w:ascii="Arial" w:hAnsi="Arial" w:cs="Arial"/>
        <w:sz w:val="16"/>
        <w:szCs w:val="16"/>
      </w:rPr>
      <w:fldChar w:fldCharType="begin"/>
    </w:r>
    <w:r w:rsidRPr="00151F2F">
      <w:rPr>
        <w:rFonts w:ascii="Arial" w:hAnsi="Arial" w:cs="Arial"/>
        <w:sz w:val="16"/>
        <w:szCs w:val="16"/>
      </w:rPr>
      <w:instrText xml:space="preserve"> PAGE   \* MERGEFORMAT </w:instrText>
    </w:r>
    <w:r w:rsidRPr="00151F2F">
      <w:rPr>
        <w:rFonts w:ascii="Arial" w:hAnsi="Arial" w:cs="Arial"/>
        <w:sz w:val="16"/>
        <w:szCs w:val="16"/>
      </w:rPr>
      <w:fldChar w:fldCharType="separate"/>
    </w:r>
    <w:r w:rsidR="00CF6D71">
      <w:rPr>
        <w:rFonts w:ascii="Arial" w:hAnsi="Arial" w:cs="Arial"/>
        <w:noProof/>
        <w:sz w:val="16"/>
        <w:szCs w:val="16"/>
      </w:rPr>
      <w:t>190</w:t>
    </w:r>
    <w:r w:rsidRPr="00151F2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639E" w14:textId="77777777" w:rsidR="00444A89" w:rsidRPr="00151F2F" w:rsidRDefault="00444A89"/>
  </w:footnote>
  <w:footnote w:type="continuationSeparator" w:id="0">
    <w:p w14:paraId="299E6CFA" w14:textId="77777777" w:rsidR="00444A89" w:rsidRPr="00151F2F" w:rsidRDefault="00444A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alt="BT_1000x858px" style="width:15.75pt;height:13.5pt;visibility:visible;mso-wrap-style:square" o:bullet="t">
        <v:imagedata r:id="rId1" o:title="BT_1000x858px"/>
      </v:shape>
    </w:pict>
  </w:numPicBullet>
  <w:abstractNum w:abstractNumId="0" w15:restartNumberingAfterBreak="0">
    <w:nsid w:val="00B425A3"/>
    <w:multiLevelType w:val="hybridMultilevel"/>
    <w:tmpl w:val="0FF8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A07FE"/>
    <w:multiLevelType w:val="hybridMultilevel"/>
    <w:tmpl w:val="8C64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 w15:restartNumberingAfterBreak="0">
    <w:nsid w:val="08B54059"/>
    <w:multiLevelType w:val="hybridMultilevel"/>
    <w:tmpl w:val="9B32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0B625207"/>
    <w:multiLevelType w:val="hybridMultilevel"/>
    <w:tmpl w:val="3C54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64C65"/>
    <w:multiLevelType w:val="hybridMultilevel"/>
    <w:tmpl w:val="18721414"/>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8" w15:restartNumberingAfterBreak="0">
    <w:nsid w:val="12D1072B"/>
    <w:multiLevelType w:val="hybridMultilevel"/>
    <w:tmpl w:val="522CC5AE"/>
    <w:lvl w:ilvl="0" w:tplc="762A92E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1" w15:restartNumberingAfterBreak="0">
    <w:nsid w:val="1C2F5EDA"/>
    <w:multiLevelType w:val="hybridMultilevel"/>
    <w:tmpl w:val="AFE447FC"/>
    <w:lvl w:ilvl="0" w:tplc="762A92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5D7C24"/>
    <w:multiLevelType w:val="hybridMultilevel"/>
    <w:tmpl w:val="111831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4"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5" w15:restartNumberingAfterBreak="0">
    <w:nsid w:val="20D00482"/>
    <w:multiLevelType w:val="hybridMultilevel"/>
    <w:tmpl w:val="46A8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17"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18" w15:restartNumberingAfterBreak="0">
    <w:nsid w:val="26AD7C49"/>
    <w:multiLevelType w:val="hybridMultilevel"/>
    <w:tmpl w:val="8CA41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BD6CEA"/>
    <w:multiLevelType w:val="hybridMultilevel"/>
    <w:tmpl w:val="1E08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21"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22" w15:restartNumberingAfterBreak="0">
    <w:nsid w:val="2A385F31"/>
    <w:multiLevelType w:val="hybridMultilevel"/>
    <w:tmpl w:val="32C2A5D0"/>
    <w:lvl w:ilvl="0" w:tplc="DF0A21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05068F"/>
    <w:multiLevelType w:val="hybridMultilevel"/>
    <w:tmpl w:val="BD2CBBB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7E501F"/>
    <w:multiLevelType w:val="hybridMultilevel"/>
    <w:tmpl w:val="1716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6" w15:restartNumberingAfterBreak="0">
    <w:nsid w:val="2F435449"/>
    <w:multiLevelType w:val="hybridMultilevel"/>
    <w:tmpl w:val="ADB0DFD0"/>
    <w:lvl w:ilvl="0" w:tplc="D88C09E6">
      <w:start w:val="1"/>
      <w:numFmt w:val="bullet"/>
      <w:pStyle w:val="ListParagraph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8" w15:restartNumberingAfterBreak="0">
    <w:nsid w:val="33D52F73"/>
    <w:multiLevelType w:val="hybridMultilevel"/>
    <w:tmpl w:val="481849F0"/>
    <w:lvl w:ilvl="0" w:tplc="CB8EAA68">
      <w:start w:val="1"/>
      <w:numFmt w:val="bullet"/>
      <w:pStyle w:val="ListParagraphDash"/>
      <w:lvlText w:val="-"/>
      <w:lvlJc w:val="left"/>
      <w:pPr>
        <w:ind w:left="1080" w:hanging="720"/>
      </w:pPr>
      <w:rPr>
        <w:rFonts w:ascii="Times New Roman" w:eastAsia="DengXi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4653D49"/>
    <w:multiLevelType w:val="hybridMultilevel"/>
    <w:tmpl w:val="82F21D2C"/>
    <w:lvl w:ilvl="0" w:tplc="0650A428">
      <w:start w:val="1"/>
      <w:numFmt w:val="bullet"/>
      <w:lvlText w:val="•"/>
      <w:lvlJc w:val="left"/>
      <w:pPr>
        <w:ind w:left="911" w:hanging="400"/>
      </w:pPr>
      <w:rPr>
        <w:rFonts w:ascii="Times New Roman" w:eastAsia="Times New Roman" w:hAnsi="Times New Roman" w:hint="default"/>
        <w:sz w:val="22"/>
        <w:szCs w:val="22"/>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30"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1"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2" w15:restartNumberingAfterBreak="0">
    <w:nsid w:val="38001D73"/>
    <w:multiLevelType w:val="hybridMultilevel"/>
    <w:tmpl w:val="2FB23262"/>
    <w:lvl w:ilvl="0" w:tplc="04090001">
      <w:start w:val="1"/>
      <w:numFmt w:val="bullet"/>
      <w:lvlText w:val=""/>
      <w:lvlJc w:val="left"/>
      <w:pPr>
        <w:ind w:left="720" w:hanging="360"/>
      </w:pPr>
      <w:rPr>
        <w:rFonts w:ascii="Symbol" w:hAnsi="Symbol" w:hint="default"/>
      </w:rPr>
    </w:lvl>
    <w:lvl w:ilvl="1" w:tplc="D94A75F0">
      <w:numFmt w:val="bullet"/>
      <w:lvlText w:val="•"/>
      <w:lvlJc w:val="left"/>
      <w:pPr>
        <w:ind w:left="1800" w:hanging="720"/>
      </w:pPr>
      <w:rPr>
        <w:rFonts w:ascii="Times New Roman" w:eastAsia="DengXi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4"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5"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6" w15:restartNumberingAfterBreak="0">
    <w:nsid w:val="3FD7511E"/>
    <w:multiLevelType w:val="hybridMultilevel"/>
    <w:tmpl w:val="5142A26E"/>
    <w:lvl w:ilvl="0" w:tplc="FF74B2B8">
      <w:start w:val="1"/>
      <w:numFmt w:val="decimal"/>
      <w:pStyle w:val="ListparagraphNumbered"/>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8" w15:restartNumberingAfterBreak="0">
    <w:nsid w:val="43833562"/>
    <w:multiLevelType w:val="hybridMultilevel"/>
    <w:tmpl w:val="6C52DCB4"/>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0"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41"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2" w15:restartNumberingAfterBreak="0">
    <w:nsid w:val="4CC0175C"/>
    <w:multiLevelType w:val="hybridMultilevel"/>
    <w:tmpl w:val="BC547514"/>
    <w:lvl w:ilvl="0" w:tplc="4CA0F288">
      <w:start w:val="1"/>
      <w:numFmt w:val="bullet"/>
      <w:lvlText w:val=""/>
      <w:lvlJc w:val="left"/>
      <w:pPr>
        <w:ind w:left="360" w:hanging="360"/>
      </w:pPr>
      <w:rPr>
        <w:rFonts w:ascii="Symbol" w:hAnsi="Symbol" w:hint="default"/>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43" w15:restartNumberingAfterBreak="0">
    <w:nsid w:val="4CF879A9"/>
    <w:multiLevelType w:val="hybridMultilevel"/>
    <w:tmpl w:val="3D02D0F6"/>
    <w:lvl w:ilvl="0" w:tplc="D43CA9C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5" w15:restartNumberingAfterBreak="0">
    <w:nsid w:val="4E194B8A"/>
    <w:multiLevelType w:val="hybridMultilevel"/>
    <w:tmpl w:val="78C6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357CF5"/>
    <w:multiLevelType w:val="hybridMultilevel"/>
    <w:tmpl w:val="48F0B24A"/>
    <w:lvl w:ilvl="0" w:tplc="762A92E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8" w15:restartNumberingAfterBreak="0">
    <w:nsid w:val="5C767401"/>
    <w:multiLevelType w:val="hybridMultilevel"/>
    <w:tmpl w:val="16E82F0A"/>
    <w:lvl w:ilvl="0" w:tplc="04090001">
      <w:start w:val="1"/>
      <w:numFmt w:val="bullet"/>
      <w:lvlText w:val=""/>
      <w:lvlJc w:val="left"/>
      <w:pPr>
        <w:ind w:left="720" w:hanging="360"/>
      </w:pPr>
      <w:rPr>
        <w:rFonts w:ascii="Symbol" w:hAnsi="Symbol" w:hint="default"/>
      </w:rPr>
    </w:lvl>
    <w:lvl w:ilvl="1" w:tplc="234A3E7A">
      <w:start w:val="6"/>
      <w:numFmt w:val="bullet"/>
      <w:lvlText w:val="•"/>
      <w:lvlJc w:val="left"/>
      <w:pPr>
        <w:ind w:left="1650" w:hanging="570"/>
      </w:pPr>
      <w:rPr>
        <w:rFonts w:ascii="Times New Roman" w:eastAsia="DengXian" w:hAnsi="Times New Roman" w:cs="Times New Roman"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0" w15:restartNumberingAfterBreak="0">
    <w:nsid w:val="5F755F89"/>
    <w:multiLevelType w:val="hybridMultilevel"/>
    <w:tmpl w:val="A372B960"/>
    <w:lvl w:ilvl="0" w:tplc="FFFFFFFF">
      <w:start w:val="1"/>
      <w:numFmt w:val="decimal"/>
      <w:lvlText w:val="%1."/>
      <w:lvlJc w:val="left"/>
      <w:pPr>
        <w:ind w:left="1080" w:hanging="720"/>
      </w:pPr>
      <w:rPr>
        <w:rFonts w:hint="default"/>
      </w:rPr>
    </w:lvl>
    <w:lvl w:ilvl="1" w:tplc="04090001">
      <w:start w:val="1"/>
      <w:numFmt w:val="bullet"/>
      <w:lvlText w:val=""/>
      <w:lvlJc w:val="left"/>
      <w:pPr>
        <w:ind w:left="149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52" w15:restartNumberingAfterBreak="0">
    <w:nsid w:val="608C1960"/>
    <w:multiLevelType w:val="hybridMultilevel"/>
    <w:tmpl w:val="7610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54"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55"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6"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7" w15:restartNumberingAfterBreak="0">
    <w:nsid w:val="67FF748A"/>
    <w:multiLevelType w:val="hybridMultilevel"/>
    <w:tmpl w:val="2B84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B8014F"/>
    <w:multiLevelType w:val="hybridMultilevel"/>
    <w:tmpl w:val="CF3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0"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1" w15:restartNumberingAfterBreak="0">
    <w:nsid w:val="740820E1"/>
    <w:multiLevelType w:val="hybridMultilevel"/>
    <w:tmpl w:val="AC245350"/>
    <w:lvl w:ilvl="0" w:tplc="DFE84B9A">
      <w:start w:val="1"/>
      <w:numFmt w:val="bullet"/>
      <w:lvlText w:val="-"/>
      <w:lvlJc w:val="left"/>
      <w:pPr>
        <w:ind w:left="4613" w:hanging="360"/>
      </w:pPr>
      <w:rPr>
        <w:rFonts w:ascii="Times New Roman" w:eastAsia="DengXian"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62"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3"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4" w15:restartNumberingAfterBreak="0">
    <w:nsid w:val="7AAB420A"/>
    <w:multiLevelType w:val="hybridMultilevel"/>
    <w:tmpl w:val="610C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num w:numId="1" w16cid:durableId="1915311052">
    <w:abstractNumId w:val="28"/>
  </w:num>
  <w:num w:numId="2" w16cid:durableId="2135243649">
    <w:abstractNumId w:val="26"/>
  </w:num>
  <w:num w:numId="3" w16cid:durableId="887182486">
    <w:abstractNumId w:val="36"/>
  </w:num>
  <w:num w:numId="4" w16cid:durableId="1447777362">
    <w:abstractNumId w:val="6"/>
  </w:num>
  <w:num w:numId="5" w16cid:durableId="1341200581">
    <w:abstractNumId w:val="64"/>
  </w:num>
  <w:num w:numId="6" w16cid:durableId="1089428047">
    <w:abstractNumId w:val="19"/>
  </w:num>
  <w:num w:numId="7" w16cid:durableId="1330063535">
    <w:abstractNumId w:val="32"/>
  </w:num>
  <w:num w:numId="8" w16cid:durableId="1293829930">
    <w:abstractNumId w:val="45"/>
  </w:num>
  <w:num w:numId="9" w16cid:durableId="717323227">
    <w:abstractNumId w:val="48"/>
  </w:num>
  <w:num w:numId="10" w16cid:durableId="891313428">
    <w:abstractNumId w:val="43"/>
  </w:num>
  <w:num w:numId="11" w16cid:durableId="148446319">
    <w:abstractNumId w:val="22"/>
  </w:num>
  <w:num w:numId="12" w16cid:durableId="486828787">
    <w:abstractNumId w:val="0"/>
  </w:num>
  <w:num w:numId="13" w16cid:durableId="1221747674">
    <w:abstractNumId w:val="46"/>
  </w:num>
  <w:num w:numId="14" w16cid:durableId="1526627982">
    <w:abstractNumId w:val="23"/>
  </w:num>
  <w:num w:numId="15" w16cid:durableId="1663388110">
    <w:abstractNumId w:val="12"/>
  </w:num>
  <w:num w:numId="16" w16cid:durableId="236406224">
    <w:abstractNumId w:val="11"/>
  </w:num>
  <w:num w:numId="17" w16cid:durableId="1031685744">
    <w:abstractNumId w:val="58"/>
  </w:num>
  <w:num w:numId="18" w16cid:durableId="861551460">
    <w:abstractNumId w:val="18"/>
  </w:num>
  <w:num w:numId="19" w16cid:durableId="1893618637">
    <w:abstractNumId w:val="8"/>
  </w:num>
  <w:num w:numId="20" w16cid:durableId="382143640">
    <w:abstractNumId w:val="50"/>
  </w:num>
  <w:num w:numId="21" w16cid:durableId="1767991874">
    <w:abstractNumId w:val="52"/>
  </w:num>
  <w:num w:numId="22" w16cid:durableId="1973487121">
    <w:abstractNumId w:val="15"/>
  </w:num>
  <w:num w:numId="23" w16cid:durableId="2008743951">
    <w:abstractNumId w:val="24"/>
  </w:num>
  <w:num w:numId="24" w16cid:durableId="1653102236">
    <w:abstractNumId w:val="5"/>
  </w:num>
  <w:num w:numId="25" w16cid:durableId="733819187">
    <w:abstractNumId w:val="57"/>
  </w:num>
  <w:num w:numId="26" w16cid:durableId="352413974">
    <w:abstractNumId w:val="38"/>
  </w:num>
  <w:num w:numId="27" w16cid:durableId="1045056402">
    <w:abstractNumId w:val="21"/>
  </w:num>
  <w:num w:numId="28" w16cid:durableId="1453282324">
    <w:abstractNumId w:val="29"/>
  </w:num>
  <w:num w:numId="29" w16cid:durableId="138428689">
    <w:abstractNumId w:val="42"/>
  </w:num>
  <w:num w:numId="30" w16cid:durableId="1931888729">
    <w:abstractNumId w:val="20"/>
  </w:num>
  <w:num w:numId="31" w16cid:durableId="1482961294">
    <w:abstractNumId w:val="54"/>
  </w:num>
  <w:num w:numId="32" w16cid:durableId="1042435707">
    <w:abstractNumId w:val="33"/>
  </w:num>
  <w:num w:numId="33" w16cid:durableId="693502373">
    <w:abstractNumId w:val="56"/>
  </w:num>
  <w:num w:numId="34" w16cid:durableId="1493981395">
    <w:abstractNumId w:val="49"/>
  </w:num>
  <w:num w:numId="35" w16cid:durableId="837813933">
    <w:abstractNumId w:val="60"/>
  </w:num>
  <w:num w:numId="36" w16cid:durableId="1067335941">
    <w:abstractNumId w:val="2"/>
  </w:num>
  <w:num w:numId="37" w16cid:durableId="1702974878">
    <w:abstractNumId w:val="65"/>
  </w:num>
  <w:num w:numId="38" w16cid:durableId="1744060820">
    <w:abstractNumId w:val="61"/>
  </w:num>
  <w:num w:numId="39" w16cid:durableId="275137057">
    <w:abstractNumId w:val="37"/>
  </w:num>
  <w:num w:numId="40" w16cid:durableId="992947766">
    <w:abstractNumId w:val="55"/>
  </w:num>
  <w:num w:numId="41" w16cid:durableId="298733289">
    <w:abstractNumId w:val="13"/>
  </w:num>
  <w:num w:numId="42" w16cid:durableId="1368986311">
    <w:abstractNumId w:val="14"/>
  </w:num>
  <w:num w:numId="43" w16cid:durableId="1568415250">
    <w:abstractNumId w:val="34"/>
  </w:num>
  <w:num w:numId="44" w16cid:durableId="1846745630">
    <w:abstractNumId w:val="63"/>
  </w:num>
  <w:num w:numId="45" w16cid:durableId="1996713861">
    <w:abstractNumId w:val="44"/>
  </w:num>
  <w:num w:numId="46" w16cid:durableId="1452284327">
    <w:abstractNumId w:val="9"/>
  </w:num>
  <w:num w:numId="47" w16cid:durableId="1115100686">
    <w:abstractNumId w:val="30"/>
  </w:num>
  <w:num w:numId="48" w16cid:durableId="1909266599">
    <w:abstractNumId w:val="17"/>
  </w:num>
  <w:num w:numId="49" w16cid:durableId="987325507">
    <w:abstractNumId w:val="41"/>
  </w:num>
  <w:num w:numId="50" w16cid:durableId="1675302666">
    <w:abstractNumId w:val="35"/>
  </w:num>
  <w:num w:numId="51" w16cid:durableId="1881283533">
    <w:abstractNumId w:val="62"/>
  </w:num>
  <w:num w:numId="52" w16cid:durableId="918321208">
    <w:abstractNumId w:val="25"/>
  </w:num>
  <w:num w:numId="53" w16cid:durableId="1850828784">
    <w:abstractNumId w:val="39"/>
  </w:num>
  <w:num w:numId="54" w16cid:durableId="278997602">
    <w:abstractNumId w:val="40"/>
  </w:num>
  <w:num w:numId="55" w16cid:durableId="732123526">
    <w:abstractNumId w:val="51"/>
  </w:num>
  <w:num w:numId="56" w16cid:durableId="1993675293">
    <w:abstractNumId w:val="47"/>
  </w:num>
  <w:num w:numId="57" w16cid:durableId="146284662">
    <w:abstractNumId w:val="31"/>
  </w:num>
  <w:num w:numId="58" w16cid:durableId="1799519952">
    <w:abstractNumId w:val="7"/>
  </w:num>
  <w:num w:numId="59" w16cid:durableId="1452438191">
    <w:abstractNumId w:val="4"/>
  </w:num>
  <w:num w:numId="60" w16cid:durableId="413744731">
    <w:abstractNumId w:val="53"/>
  </w:num>
  <w:num w:numId="61" w16cid:durableId="1524368508">
    <w:abstractNumId w:val="27"/>
  </w:num>
  <w:num w:numId="62" w16cid:durableId="1801529032">
    <w:abstractNumId w:val="16"/>
  </w:num>
  <w:num w:numId="63" w16cid:durableId="131873556">
    <w:abstractNumId w:val="10"/>
  </w:num>
  <w:num w:numId="64" w16cid:durableId="1674406139">
    <w:abstractNumId w:val="59"/>
  </w:num>
  <w:num w:numId="65" w16cid:durableId="1472166031">
    <w:abstractNumId w:val="3"/>
  </w:num>
  <w:num w:numId="66" w16cid:durableId="1287853141">
    <w:abstractNumId w:val="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proofState w:spelling="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975"/>
    <w:rsid w:val="000004E8"/>
    <w:rsid w:val="00001660"/>
    <w:rsid w:val="00001D1D"/>
    <w:rsid w:val="0000451E"/>
    <w:rsid w:val="00005C1B"/>
    <w:rsid w:val="00006687"/>
    <w:rsid w:val="00007001"/>
    <w:rsid w:val="000108A4"/>
    <w:rsid w:val="00010B17"/>
    <w:rsid w:val="00011245"/>
    <w:rsid w:val="000113DC"/>
    <w:rsid w:val="00012055"/>
    <w:rsid w:val="00012901"/>
    <w:rsid w:val="000175CA"/>
    <w:rsid w:val="00017E9D"/>
    <w:rsid w:val="000208A6"/>
    <w:rsid w:val="00020BC4"/>
    <w:rsid w:val="00021131"/>
    <w:rsid w:val="00021E1F"/>
    <w:rsid w:val="00022172"/>
    <w:rsid w:val="000239CF"/>
    <w:rsid w:val="00025782"/>
    <w:rsid w:val="00025F2D"/>
    <w:rsid w:val="00026375"/>
    <w:rsid w:val="00026F5B"/>
    <w:rsid w:val="000275D8"/>
    <w:rsid w:val="0003021A"/>
    <w:rsid w:val="00034B61"/>
    <w:rsid w:val="000354F3"/>
    <w:rsid w:val="00036261"/>
    <w:rsid w:val="00036A5B"/>
    <w:rsid w:val="0004052D"/>
    <w:rsid w:val="00041399"/>
    <w:rsid w:val="00043B08"/>
    <w:rsid w:val="00045BD0"/>
    <w:rsid w:val="00046E1F"/>
    <w:rsid w:val="00047089"/>
    <w:rsid w:val="00055E59"/>
    <w:rsid w:val="000651E6"/>
    <w:rsid w:val="000747AE"/>
    <w:rsid w:val="00074830"/>
    <w:rsid w:val="00074933"/>
    <w:rsid w:val="00076881"/>
    <w:rsid w:val="000836C5"/>
    <w:rsid w:val="00085E27"/>
    <w:rsid w:val="0008792D"/>
    <w:rsid w:val="00087E1E"/>
    <w:rsid w:val="0009007A"/>
    <w:rsid w:val="00090F14"/>
    <w:rsid w:val="0009262E"/>
    <w:rsid w:val="00092BF6"/>
    <w:rsid w:val="00093AA7"/>
    <w:rsid w:val="00095258"/>
    <w:rsid w:val="00096B95"/>
    <w:rsid w:val="000A0598"/>
    <w:rsid w:val="000A1B02"/>
    <w:rsid w:val="000A4B61"/>
    <w:rsid w:val="000A5348"/>
    <w:rsid w:val="000B4DA0"/>
    <w:rsid w:val="000B7043"/>
    <w:rsid w:val="000B76EF"/>
    <w:rsid w:val="000C0699"/>
    <w:rsid w:val="000C1543"/>
    <w:rsid w:val="000C1A57"/>
    <w:rsid w:val="000C3337"/>
    <w:rsid w:val="000C499C"/>
    <w:rsid w:val="000C54AB"/>
    <w:rsid w:val="000D311A"/>
    <w:rsid w:val="000D349A"/>
    <w:rsid w:val="000D53F6"/>
    <w:rsid w:val="000D719C"/>
    <w:rsid w:val="000E0817"/>
    <w:rsid w:val="000E35A5"/>
    <w:rsid w:val="000E70E8"/>
    <w:rsid w:val="000F2F06"/>
    <w:rsid w:val="000F2F0E"/>
    <w:rsid w:val="000F347D"/>
    <w:rsid w:val="000F3B1D"/>
    <w:rsid w:val="000F43E1"/>
    <w:rsid w:val="000F582D"/>
    <w:rsid w:val="000F58E8"/>
    <w:rsid w:val="000F626D"/>
    <w:rsid w:val="000F703F"/>
    <w:rsid w:val="00100627"/>
    <w:rsid w:val="00101060"/>
    <w:rsid w:val="00101F01"/>
    <w:rsid w:val="00102508"/>
    <w:rsid w:val="001029B8"/>
    <w:rsid w:val="00103B33"/>
    <w:rsid w:val="00104A4F"/>
    <w:rsid w:val="001110FE"/>
    <w:rsid w:val="00111C48"/>
    <w:rsid w:val="00111F25"/>
    <w:rsid w:val="001132AB"/>
    <w:rsid w:val="001135DB"/>
    <w:rsid w:val="00113BAD"/>
    <w:rsid w:val="00113E87"/>
    <w:rsid w:val="0011432B"/>
    <w:rsid w:val="00116844"/>
    <w:rsid w:val="00116BEA"/>
    <w:rsid w:val="001170D9"/>
    <w:rsid w:val="00121415"/>
    <w:rsid w:val="00122F6D"/>
    <w:rsid w:val="001235F3"/>
    <w:rsid w:val="001237AA"/>
    <w:rsid w:val="001252BD"/>
    <w:rsid w:val="001253A4"/>
    <w:rsid w:val="00126097"/>
    <w:rsid w:val="001267BB"/>
    <w:rsid w:val="00126CD4"/>
    <w:rsid w:val="00127FBE"/>
    <w:rsid w:val="00130090"/>
    <w:rsid w:val="0013068A"/>
    <w:rsid w:val="00130EE8"/>
    <w:rsid w:val="001324C9"/>
    <w:rsid w:val="00132ECF"/>
    <w:rsid w:val="00135BDB"/>
    <w:rsid w:val="00137E8C"/>
    <w:rsid w:val="001414D2"/>
    <w:rsid w:val="00142053"/>
    <w:rsid w:val="0014285F"/>
    <w:rsid w:val="00144E86"/>
    <w:rsid w:val="001478B7"/>
    <w:rsid w:val="00147D35"/>
    <w:rsid w:val="00147E72"/>
    <w:rsid w:val="00151606"/>
    <w:rsid w:val="00151F2F"/>
    <w:rsid w:val="00151F9B"/>
    <w:rsid w:val="00161A1C"/>
    <w:rsid w:val="00162F6F"/>
    <w:rsid w:val="00165614"/>
    <w:rsid w:val="00166AFC"/>
    <w:rsid w:val="00166F91"/>
    <w:rsid w:val="0016720A"/>
    <w:rsid w:val="001709AC"/>
    <w:rsid w:val="00170D54"/>
    <w:rsid w:val="00171FC0"/>
    <w:rsid w:val="001721B1"/>
    <w:rsid w:val="0017744B"/>
    <w:rsid w:val="001805A9"/>
    <w:rsid w:val="0018078A"/>
    <w:rsid w:val="001811E8"/>
    <w:rsid w:val="00181886"/>
    <w:rsid w:val="001827C4"/>
    <w:rsid w:val="00182B0C"/>
    <w:rsid w:val="00183CFA"/>
    <w:rsid w:val="00185484"/>
    <w:rsid w:val="0018606E"/>
    <w:rsid w:val="00186A0B"/>
    <w:rsid w:val="00187B72"/>
    <w:rsid w:val="00191483"/>
    <w:rsid w:val="00192D30"/>
    <w:rsid w:val="00192DA2"/>
    <w:rsid w:val="00193BEE"/>
    <w:rsid w:val="00195CF5"/>
    <w:rsid w:val="001A0CBA"/>
    <w:rsid w:val="001A297D"/>
    <w:rsid w:val="001A37BC"/>
    <w:rsid w:val="001A4571"/>
    <w:rsid w:val="001A48DB"/>
    <w:rsid w:val="001A51A2"/>
    <w:rsid w:val="001A5CFA"/>
    <w:rsid w:val="001B16C5"/>
    <w:rsid w:val="001B3DC0"/>
    <w:rsid w:val="001B6947"/>
    <w:rsid w:val="001C0311"/>
    <w:rsid w:val="001C303B"/>
    <w:rsid w:val="001C4724"/>
    <w:rsid w:val="001C47DE"/>
    <w:rsid w:val="001C4B85"/>
    <w:rsid w:val="001C67F0"/>
    <w:rsid w:val="001D2530"/>
    <w:rsid w:val="001D3C7D"/>
    <w:rsid w:val="001D44E2"/>
    <w:rsid w:val="001D499E"/>
    <w:rsid w:val="001E00BC"/>
    <w:rsid w:val="001E0975"/>
    <w:rsid w:val="001E2347"/>
    <w:rsid w:val="001E3D15"/>
    <w:rsid w:val="001E6011"/>
    <w:rsid w:val="001F01D3"/>
    <w:rsid w:val="001F15E7"/>
    <w:rsid w:val="001F213D"/>
    <w:rsid w:val="001F3420"/>
    <w:rsid w:val="001F496A"/>
    <w:rsid w:val="001F7513"/>
    <w:rsid w:val="002012EB"/>
    <w:rsid w:val="002014B7"/>
    <w:rsid w:val="00202A7A"/>
    <w:rsid w:val="002052FE"/>
    <w:rsid w:val="00205308"/>
    <w:rsid w:val="002076C9"/>
    <w:rsid w:val="00210377"/>
    <w:rsid w:val="002133F3"/>
    <w:rsid w:val="0021591B"/>
    <w:rsid w:val="00215CEE"/>
    <w:rsid w:val="00215F9A"/>
    <w:rsid w:val="002201FD"/>
    <w:rsid w:val="00222D86"/>
    <w:rsid w:val="00223864"/>
    <w:rsid w:val="00223E40"/>
    <w:rsid w:val="00224104"/>
    <w:rsid w:val="00226BBF"/>
    <w:rsid w:val="0022741D"/>
    <w:rsid w:val="0022773E"/>
    <w:rsid w:val="00227777"/>
    <w:rsid w:val="00231829"/>
    <w:rsid w:val="0023203E"/>
    <w:rsid w:val="002322A1"/>
    <w:rsid w:val="00232768"/>
    <w:rsid w:val="00235B53"/>
    <w:rsid w:val="00235E87"/>
    <w:rsid w:val="00236261"/>
    <w:rsid w:val="0023766A"/>
    <w:rsid w:val="0024105C"/>
    <w:rsid w:val="00242597"/>
    <w:rsid w:val="00252B53"/>
    <w:rsid w:val="00253BCA"/>
    <w:rsid w:val="0025603F"/>
    <w:rsid w:val="002561A7"/>
    <w:rsid w:val="00257EF5"/>
    <w:rsid w:val="00260139"/>
    <w:rsid w:val="00261C9A"/>
    <w:rsid w:val="00261FF5"/>
    <w:rsid w:val="00262CC3"/>
    <w:rsid w:val="00264147"/>
    <w:rsid w:val="0026477D"/>
    <w:rsid w:val="0027174E"/>
    <w:rsid w:val="00275433"/>
    <w:rsid w:val="002755D6"/>
    <w:rsid w:val="0027596B"/>
    <w:rsid w:val="002823C0"/>
    <w:rsid w:val="00282CFE"/>
    <w:rsid w:val="00283221"/>
    <w:rsid w:val="00283C36"/>
    <w:rsid w:val="002842CB"/>
    <w:rsid w:val="002847BB"/>
    <w:rsid w:val="0028579A"/>
    <w:rsid w:val="0028671F"/>
    <w:rsid w:val="002915E4"/>
    <w:rsid w:val="002917FB"/>
    <w:rsid w:val="00293D39"/>
    <w:rsid w:val="002945E6"/>
    <w:rsid w:val="00295264"/>
    <w:rsid w:val="002967E3"/>
    <w:rsid w:val="002967F2"/>
    <w:rsid w:val="00296F89"/>
    <w:rsid w:val="00297AE2"/>
    <w:rsid w:val="002A18B0"/>
    <w:rsid w:val="002A2824"/>
    <w:rsid w:val="002A4CD1"/>
    <w:rsid w:val="002A4D6B"/>
    <w:rsid w:val="002A4DE4"/>
    <w:rsid w:val="002A66B0"/>
    <w:rsid w:val="002B178B"/>
    <w:rsid w:val="002B2506"/>
    <w:rsid w:val="002B2FCF"/>
    <w:rsid w:val="002B35FB"/>
    <w:rsid w:val="002B3FC1"/>
    <w:rsid w:val="002B458E"/>
    <w:rsid w:val="002C1D90"/>
    <w:rsid w:val="002C1DEE"/>
    <w:rsid w:val="002C2562"/>
    <w:rsid w:val="002C5449"/>
    <w:rsid w:val="002D0F22"/>
    <w:rsid w:val="002D2F68"/>
    <w:rsid w:val="002D432E"/>
    <w:rsid w:val="002D5AFE"/>
    <w:rsid w:val="002E4511"/>
    <w:rsid w:val="002E4CE4"/>
    <w:rsid w:val="002F06BB"/>
    <w:rsid w:val="002F118F"/>
    <w:rsid w:val="002F71B2"/>
    <w:rsid w:val="003014BB"/>
    <w:rsid w:val="00302E1D"/>
    <w:rsid w:val="003052CE"/>
    <w:rsid w:val="00306421"/>
    <w:rsid w:val="00311B5E"/>
    <w:rsid w:val="003134EB"/>
    <w:rsid w:val="003159F5"/>
    <w:rsid w:val="00316B79"/>
    <w:rsid w:val="0032324B"/>
    <w:rsid w:val="0032342F"/>
    <w:rsid w:val="00323630"/>
    <w:rsid w:val="00323AB9"/>
    <w:rsid w:val="00323BFF"/>
    <w:rsid w:val="003261E6"/>
    <w:rsid w:val="00327BBD"/>
    <w:rsid w:val="0033413F"/>
    <w:rsid w:val="00334FDF"/>
    <w:rsid w:val="00335189"/>
    <w:rsid w:val="0033637C"/>
    <w:rsid w:val="00336493"/>
    <w:rsid w:val="003410B0"/>
    <w:rsid w:val="0034432C"/>
    <w:rsid w:val="003445BF"/>
    <w:rsid w:val="00345544"/>
    <w:rsid w:val="003557C3"/>
    <w:rsid w:val="00355C3D"/>
    <w:rsid w:val="00360B4D"/>
    <w:rsid w:val="003613BB"/>
    <w:rsid w:val="00362EA0"/>
    <w:rsid w:val="00365AF7"/>
    <w:rsid w:val="003669FE"/>
    <w:rsid w:val="003674FE"/>
    <w:rsid w:val="0037055B"/>
    <w:rsid w:val="0037058B"/>
    <w:rsid w:val="00370C28"/>
    <w:rsid w:val="003715AC"/>
    <w:rsid w:val="003718EE"/>
    <w:rsid w:val="003736B4"/>
    <w:rsid w:val="00373804"/>
    <w:rsid w:val="00373B4F"/>
    <w:rsid w:val="00373BD7"/>
    <w:rsid w:val="003743F7"/>
    <w:rsid w:val="003759BA"/>
    <w:rsid w:val="00375A3C"/>
    <w:rsid w:val="003762C2"/>
    <w:rsid w:val="00377149"/>
    <w:rsid w:val="00377AB0"/>
    <w:rsid w:val="00380414"/>
    <w:rsid w:val="00381394"/>
    <w:rsid w:val="0038607E"/>
    <w:rsid w:val="00387525"/>
    <w:rsid w:val="0039349E"/>
    <w:rsid w:val="00393D9F"/>
    <w:rsid w:val="003945B4"/>
    <w:rsid w:val="00394B5C"/>
    <w:rsid w:val="003A0E67"/>
    <w:rsid w:val="003A15BB"/>
    <w:rsid w:val="003A1A0D"/>
    <w:rsid w:val="003A4FE9"/>
    <w:rsid w:val="003A523E"/>
    <w:rsid w:val="003A66A4"/>
    <w:rsid w:val="003B0D48"/>
    <w:rsid w:val="003B67CB"/>
    <w:rsid w:val="003C1193"/>
    <w:rsid w:val="003C2932"/>
    <w:rsid w:val="003C682B"/>
    <w:rsid w:val="003D04EA"/>
    <w:rsid w:val="003D0523"/>
    <w:rsid w:val="003D662A"/>
    <w:rsid w:val="003D7C7E"/>
    <w:rsid w:val="003E2E45"/>
    <w:rsid w:val="003E393E"/>
    <w:rsid w:val="003E3F61"/>
    <w:rsid w:val="003E5F82"/>
    <w:rsid w:val="003F05F7"/>
    <w:rsid w:val="003F1E4F"/>
    <w:rsid w:val="003F773E"/>
    <w:rsid w:val="0040032C"/>
    <w:rsid w:val="0040467A"/>
    <w:rsid w:val="004046BD"/>
    <w:rsid w:val="004047D5"/>
    <w:rsid w:val="00405CF4"/>
    <w:rsid w:val="0040738D"/>
    <w:rsid w:val="00411D14"/>
    <w:rsid w:val="00415F34"/>
    <w:rsid w:val="00416599"/>
    <w:rsid w:val="004203D5"/>
    <w:rsid w:val="00423D2B"/>
    <w:rsid w:val="00424A26"/>
    <w:rsid w:val="00426F19"/>
    <w:rsid w:val="00430F43"/>
    <w:rsid w:val="00431AAF"/>
    <w:rsid w:val="00431FC3"/>
    <w:rsid w:val="004328D2"/>
    <w:rsid w:val="004353A8"/>
    <w:rsid w:val="00435562"/>
    <w:rsid w:val="0043599C"/>
    <w:rsid w:val="0043690B"/>
    <w:rsid w:val="0044218D"/>
    <w:rsid w:val="00442587"/>
    <w:rsid w:val="00442C9B"/>
    <w:rsid w:val="00444A89"/>
    <w:rsid w:val="00444F43"/>
    <w:rsid w:val="004452E9"/>
    <w:rsid w:val="00445E3B"/>
    <w:rsid w:val="00452F56"/>
    <w:rsid w:val="00456F2D"/>
    <w:rsid w:val="0046009B"/>
    <w:rsid w:val="00460B7C"/>
    <w:rsid w:val="00460FD6"/>
    <w:rsid w:val="00463FD3"/>
    <w:rsid w:val="004640D3"/>
    <w:rsid w:val="00465119"/>
    <w:rsid w:val="004660C1"/>
    <w:rsid w:val="00467270"/>
    <w:rsid w:val="004709C2"/>
    <w:rsid w:val="00471E31"/>
    <w:rsid w:val="004729BF"/>
    <w:rsid w:val="0047330A"/>
    <w:rsid w:val="00476076"/>
    <w:rsid w:val="0047663A"/>
    <w:rsid w:val="00480338"/>
    <w:rsid w:val="0048160A"/>
    <w:rsid w:val="0048382A"/>
    <w:rsid w:val="00483BE6"/>
    <w:rsid w:val="00484310"/>
    <w:rsid w:val="00484652"/>
    <w:rsid w:val="0048488B"/>
    <w:rsid w:val="00485B16"/>
    <w:rsid w:val="00485C8C"/>
    <w:rsid w:val="0048744C"/>
    <w:rsid w:val="004905B0"/>
    <w:rsid w:val="004922FC"/>
    <w:rsid w:val="0049276B"/>
    <w:rsid w:val="004929A7"/>
    <w:rsid w:val="00492D3C"/>
    <w:rsid w:val="00493A20"/>
    <w:rsid w:val="00493F7A"/>
    <w:rsid w:val="0049411F"/>
    <w:rsid w:val="004947DF"/>
    <w:rsid w:val="004956C3"/>
    <w:rsid w:val="00495B8D"/>
    <w:rsid w:val="00496C2F"/>
    <w:rsid w:val="004974E8"/>
    <w:rsid w:val="004A1F37"/>
    <w:rsid w:val="004A309E"/>
    <w:rsid w:val="004A7E16"/>
    <w:rsid w:val="004B07F9"/>
    <w:rsid w:val="004B14CC"/>
    <w:rsid w:val="004B2C72"/>
    <w:rsid w:val="004B483C"/>
    <w:rsid w:val="004B6842"/>
    <w:rsid w:val="004C0059"/>
    <w:rsid w:val="004C11DA"/>
    <w:rsid w:val="004C28DE"/>
    <w:rsid w:val="004C3BAC"/>
    <w:rsid w:val="004C463E"/>
    <w:rsid w:val="004C53BA"/>
    <w:rsid w:val="004C65A2"/>
    <w:rsid w:val="004C6BA7"/>
    <w:rsid w:val="004C7EA8"/>
    <w:rsid w:val="004C7EAF"/>
    <w:rsid w:val="004D35E8"/>
    <w:rsid w:val="004D5211"/>
    <w:rsid w:val="004E126C"/>
    <w:rsid w:val="004E577E"/>
    <w:rsid w:val="004E73B3"/>
    <w:rsid w:val="004F0936"/>
    <w:rsid w:val="004F1486"/>
    <w:rsid w:val="004F1D7F"/>
    <w:rsid w:val="004F50A9"/>
    <w:rsid w:val="004F6018"/>
    <w:rsid w:val="004F6C8A"/>
    <w:rsid w:val="004F72AE"/>
    <w:rsid w:val="005036FB"/>
    <w:rsid w:val="005042FC"/>
    <w:rsid w:val="0050622D"/>
    <w:rsid w:val="0051060F"/>
    <w:rsid w:val="00510FB4"/>
    <w:rsid w:val="00512E62"/>
    <w:rsid w:val="00513155"/>
    <w:rsid w:val="00514758"/>
    <w:rsid w:val="00516EFE"/>
    <w:rsid w:val="00517776"/>
    <w:rsid w:val="00520CE9"/>
    <w:rsid w:val="005217BF"/>
    <w:rsid w:val="005218B1"/>
    <w:rsid w:val="00523DCB"/>
    <w:rsid w:val="00525F27"/>
    <w:rsid w:val="0052653A"/>
    <w:rsid w:val="0053151D"/>
    <w:rsid w:val="00531F06"/>
    <w:rsid w:val="00531F5D"/>
    <w:rsid w:val="00532426"/>
    <w:rsid w:val="00533489"/>
    <w:rsid w:val="00534666"/>
    <w:rsid w:val="005353AE"/>
    <w:rsid w:val="00535992"/>
    <w:rsid w:val="00541978"/>
    <w:rsid w:val="005427E6"/>
    <w:rsid w:val="005439CE"/>
    <w:rsid w:val="00543C8C"/>
    <w:rsid w:val="00544E79"/>
    <w:rsid w:val="0054576A"/>
    <w:rsid w:val="00547117"/>
    <w:rsid w:val="00547E71"/>
    <w:rsid w:val="005507A3"/>
    <w:rsid w:val="0055307B"/>
    <w:rsid w:val="00553291"/>
    <w:rsid w:val="00553DBB"/>
    <w:rsid w:val="00554A89"/>
    <w:rsid w:val="00554ED8"/>
    <w:rsid w:val="00555892"/>
    <w:rsid w:val="00564056"/>
    <w:rsid w:val="00565452"/>
    <w:rsid w:val="00567109"/>
    <w:rsid w:val="00567187"/>
    <w:rsid w:val="00567F8C"/>
    <w:rsid w:val="0057040D"/>
    <w:rsid w:val="00574EF6"/>
    <w:rsid w:val="005764D6"/>
    <w:rsid w:val="00577B60"/>
    <w:rsid w:val="00577DA5"/>
    <w:rsid w:val="005814A8"/>
    <w:rsid w:val="005816CA"/>
    <w:rsid w:val="0058308E"/>
    <w:rsid w:val="005834FA"/>
    <w:rsid w:val="005838BB"/>
    <w:rsid w:val="00585218"/>
    <w:rsid w:val="00585D4E"/>
    <w:rsid w:val="0058676C"/>
    <w:rsid w:val="0059128B"/>
    <w:rsid w:val="005920EF"/>
    <w:rsid w:val="005975E3"/>
    <w:rsid w:val="005975FA"/>
    <w:rsid w:val="005A191B"/>
    <w:rsid w:val="005A3A5B"/>
    <w:rsid w:val="005A5242"/>
    <w:rsid w:val="005B0A37"/>
    <w:rsid w:val="005B0B61"/>
    <w:rsid w:val="005B0B7A"/>
    <w:rsid w:val="005B6473"/>
    <w:rsid w:val="005B7EF9"/>
    <w:rsid w:val="005C025C"/>
    <w:rsid w:val="005C100A"/>
    <w:rsid w:val="005C1060"/>
    <w:rsid w:val="005C186B"/>
    <w:rsid w:val="005C5F20"/>
    <w:rsid w:val="005C6AD5"/>
    <w:rsid w:val="005C73BB"/>
    <w:rsid w:val="005C7C07"/>
    <w:rsid w:val="005D042F"/>
    <w:rsid w:val="005D1EDC"/>
    <w:rsid w:val="005D521A"/>
    <w:rsid w:val="005D5D1B"/>
    <w:rsid w:val="005E2CD4"/>
    <w:rsid w:val="005E36C7"/>
    <w:rsid w:val="005E5B54"/>
    <w:rsid w:val="005E6A4B"/>
    <w:rsid w:val="005F0664"/>
    <w:rsid w:val="005F1A3B"/>
    <w:rsid w:val="005F4079"/>
    <w:rsid w:val="005F4484"/>
    <w:rsid w:val="005F548F"/>
    <w:rsid w:val="005F5F09"/>
    <w:rsid w:val="00601BB0"/>
    <w:rsid w:val="00601D3E"/>
    <w:rsid w:val="0060350E"/>
    <w:rsid w:val="00603F61"/>
    <w:rsid w:val="00604282"/>
    <w:rsid w:val="00604715"/>
    <w:rsid w:val="0060581B"/>
    <w:rsid w:val="0060642C"/>
    <w:rsid w:val="00606798"/>
    <w:rsid w:val="00610A2D"/>
    <w:rsid w:val="00611033"/>
    <w:rsid w:val="006136B0"/>
    <w:rsid w:val="00613CE8"/>
    <w:rsid w:val="006157FC"/>
    <w:rsid w:val="00617848"/>
    <w:rsid w:val="00622406"/>
    <w:rsid w:val="006238FF"/>
    <w:rsid w:val="00625170"/>
    <w:rsid w:val="00635137"/>
    <w:rsid w:val="00636203"/>
    <w:rsid w:val="00636F2F"/>
    <w:rsid w:val="006373CE"/>
    <w:rsid w:val="006374AC"/>
    <w:rsid w:val="00637859"/>
    <w:rsid w:val="00637CAA"/>
    <w:rsid w:val="00644789"/>
    <w:rsid w:val="00645041"/>
    <w:rsid w:val="006450AF"/>
    <w:rsid w:val="006453AC"/>
    <w:rsid w:val="00646611"/>
    <w:rsid w:val="006504CE"/>
    <w:rsid w:val="00652D73"/>
    <w:rsid w:val="00655604"/>
    <w:rsid w:val="00657811"/>
    <w:rsid w:val="00660704"/>
    <w:rsid w:val="006657E6"/>
    <w:rsid w:val="00665AFE"/>
    <w:rsid w:val="00665D21"/>
    <w:rsid w:val="00673F44"/>
    <w:rsid w:val="0067500D"/>
    <w:rsid w:val="00675B84"/>
    <w:rsid w:val="006775B3"/>
    <w:rsid w:val="0068260F"/>
    <w:rsid w:val="00684287"/>
    <w:rsid w:val="00684ABF"/>
    <w:rsid w:val="00685447"/>
    <w:rsid w:val="006907FC"/>
    <w:rsid w:val="00691714"/>
    <w:rsid w:val="006920CA"/>
    <w:rsid w:val="00692AF6"/>
    <w:rsid w:val="00695C4D"/>
    <w:rsid w:val="00696135"/>
    <w:rsid w:val="0069637C"/>
    <w:rsid w:val="00696C80"/>
    <w:rsid w:val="006976CB"/>
    <w:rsid w:val="00697B64"/>
    <w:rsid w:val="006A0677"/>
    <w:rsid w:val="006A1E49"/>
    <w:rsid w:val="006A33C2"/>
    <w:rsid w:val="006A5803"/>
    <w:rsid w:val="006A6B0C"/>
    <w:rsid w:val="006A7175"/>
    <w:rsid w:val="006B07A0"/>
    <w:rsid w:val="006B329B"/>
    <w:rsid w:val="006B340D"/>
    <w:rsid w:val="006B567D"/>
    <w:rsid w:val="006B5CDC"/>
    <w:rsid w:val="006C135F"/>
    <w:rsid w:val="006C2B81"/>
    <w:rsid w:val="006C3617"/>
    <w:rsid w:val="006C369E"/>
    <w:rsid w:val="006C3FB1"/>
    <w:rsid w:val="006C4B84"/>
    <w:rsid w:val="006C5DAA"/>
    <w:rsid w:val="006C6B90"/>
    <w:rsid w:val="006C7631"/>
    <w:rsid w:val="006D16CE"/>
    <w:rsid w:val="006D2A9D"/>
    <w:rsid w:val="006D6FC1"/>
    <w:rsid w:val="006D7FCC"/>
    <w:rsid w:val="006E3040"/>
    <w:rsid w:val="006E3318"/>
    <w:rsid w:val="006E54DA"/>
    <w:rsid w:val="006F4320"/>
    <w:rsid w:val="00701E4E"/>
    <w:rsid w:val="007049E9"/>
    <w:rsid w:val="00704D3C"/>
    <w:rsid w:val="007056E4"/>
    <w:rsid w:val="007065A0"/>
    <w:rsid w:val="00712194"/>
    <w:rsid w:val="00712261"/>
    <w:rsid w:val="00714011"/>
    <w:rsid w:val="0071422C"/>
    <w:rsid w:val="007232F9"/>
    <w:rsid w:val="007236D1"/>
    <w:rsid w:val="00727459"/>
    <w:rsid w:val="007309A2"/>
    <w:rsid w:val="00732F9F"/>
    <w:rsid w:val="00733299"/>
    <w:rsid w:val="007345C7"/>
    <w:rsid w:val="00734A30"/>
    <w:rsid w:val="00735121"/>
    <w:rsid w:val="0073767C"/>
    <w:rsid w:val="00742D20"/>
    <w:rsid w:val="0075027E"/>
    <w:rsid w:val="0075056A"/>
    <w:rsid w:val="007558A3"/>
    <w:rsid w:val="00755B23"/>
    <w:rsid w:val="00755EF3"/>
    <w:rsid w:val="0076192C"/>
    <w:rsid w:val="00764096"/>
    <w:rsid w:val="00764722"/>
    <w:rsid w:val="00765CA7"/>
    <w:rsid w:val="00766528"/>
    <w:rsid w:val="00766AB2"/>
    <w:rsid w:val="00770308"/>
    <w:rsid w:val="00773F2A"/>
    <w:rsid w:val="0077402C"/>
    <w:rsid w:val="00774C36"/>
    <w:rsid w:val="00776CAC"/>
    <w:rsid w:val="00776EA7"/>
    <w:rsid w:val="007771A6"/>
    <w:rsid w:val="00777260"/>
    <w:rsid w:val="00780507"/>
    <w:rsid w:val="00782D1D"/>
    <w:rsid w:val="00784F4F"/>
    <w:rsid w:val="007903B4"/>
    <w:rsid w:val="00791B6F"/>
    <w:rsid w:val="00792B13"/>
    <w:rsid w:val="00793DE8"/>
    <w:rsid w:val="0079555F"/>
    <w:rsid w:val="007A4AE6"/>
    <w:rsid w:val="007A6617"/>
    <w:rsid w:val="007A79FF"/>
    <w:rsid w:val="007B177B"/>
    <w:rsid w:val="007B257B"/>
    <w:rsid w:val="007B4E64"/>
    <w:rsid w:val="007B532A"/>
    <w:rsid w:val="007B5868"/>
    <w:rsid w:val="007C1A09"/>
    <w:rsid w:val="007C22C0"/>
    <w:rsid w:val="007C2309"/>
    <w:rsid w:val="007C49AE"/>
    <w:rsid w:val="007C675A"/>
    <w:rsid w:val="007C7707"/>
    <w:rsid w:val="007D1A84"/>
    <w:rsid w:val="007D1E20"/>
    <w:rsid w:val="007D1E3C"/>
    <w:rsid w:val="007D3626"/>
    <w:rsid w:val="007D6340"/>
    <w:rsid w:val="007D6DD9"/>
    <w:rsid w:val="007D71B2"/>
    <w:rsid w:val="007D77BF"/>
    <w:rsid w:val="007D7F16"/>
    <w:rsid w:val="007E2B5A"/>
    <w:rsid w:val="007E367B"/>
    <w:rsid w:val="007E4DF4"/>
    <w:rsid w:val="007E6247"/>
    <w:rsid w:val="007E6875"/>
    <w:rsid w:val="007E6C7A"/>
    <w:rsid w:val="007E754D"/>
    <w:rsid w:val="007F2C83"/>
    <w:rsid w:val="007F7AC4"/>
    <w:rsid w:val="007F7DC7"/>
    <w:rsid w:val="0080361F"/>
    <w:rsid w:val="0080437D"/>
    <w:rsid w:val="00804644"/>
    <w:rsid w:val="0080742E"/>
    <w:rsid w:val="0081094B"/>
    <w:rsid w:val="00811859"/>
    <w:rsid w:val="00813556"/>
    <w:rsid w:val="008239A8"/>
    <w:rsid w:val="00823E33"/>
    <w:rsid w:val="008245A4"/>
    <w:rsid w:val="00827CF4"/>
    <w:rsid w:val="00831048"/>
    <w:rsid w:val="00831CC8"/>
    <w:rsid w:val="00833CB6"/>
    <w:rsid w:val="00834C06"/>
    <w:rsid w:val="00835436"/>
    <w:rsid w:val="008369F2"/>
    <w:rsid w:val="00837F0D"/>
    <w:rsid w:val="008459C2"/>
    <w:rsid w:val="008479C3"/>
    <w:rsid w:val="008501D9"/>
    <w:rsid w:val="008507DB"/>
    <w:rsid w:val="008554C9"/>
    <w:rsid w:val="00855ADB"/>
    <w:rsid w:val="0086170D"/>
    <w:rsid w:val="0086197C"/>
    <w:rsid w:val="0086283E"/>
    <w:rsid w:val="008651CF"/>
    <w:rsid w:val="0086523A"/>
    <w:rsid w:val="00865E40"/>
    <w:rsid w:val="00865E73"/>
    <w:rsid w:val="00866DC6"/>
    <w:rsid w:val="00866EC7"/>
    <w:rsid w:val="0086710C"/>
    <w:rsid w:val="00867D7F"/>
    <w:rsid w:val="0087086F"/>
    <w:rsid w:val="00874C1E"/>
    <w:rsid w:val="00880192"/>
    <w:rsid w:val="008815F5"/>
    <w:rsid w:val="008834B2"/>
    <w:rsid w:val="0088374F"/>
    <w:rsid w:val="008843A2"/>
    <w:rsid w:val="00886C9E"/>
    <w:rsid w:val="008919BA"/>
    <w:rsid w:val="00892514"/>
    <w:rsid w:val="00892DA3"/>
    <w:rsid w:val="008A3504"/>
    <w:rsid w:val="008A3A9E"/>
    <w:rsid w:val="008A46C5"/>
    <w:rsid w:val="008A5B9F"/>
    <w:rsid w:val="008B33B8"/>
    <w:rsid w:val="008B3956"/>
    <w:rsid w:val="008B3A37"/>
    <w:rsid w:val="008B420C"/>
    <w:rsid w:val="008B4745"/>
    <w:rsid w:val="008B4C50"/>
    <w:rsid w:val="008B7DBC"/>
    <w:rsid w:val="008C0FE3"/>
    <w:rsid w:val="008C373B"/>
    <w:rsid w:val="008C5ECD"/>
    <w:rsid w:val="008C5F75"/>
    <w:rsid w:val="008C6F85"/>
    <w:rsid w:val="008D11B5"/>
    <w:rsid w:val="008D2F87"/>
    <w:rsid w:val="008D350C"/>
    <w:rsid w:val="008D49F7"/>
    <w:rsid w:val="008D5C3E"/>
    <w:rsid w:val="008D6341"/>
    <w:rsid w:val="008D7C5B"/>
    <w:rsid w:val="008E0A5B"/>
    <w:rsid w:val="008E0D67"/>
    <w:rsid w:val="008E181F"/>
    <w:rsid w:val="008E1A51"/>
    <w:rsid w:val="008E2940"/>
    <w:rsid w:val="008E3B88"/>
    <w:rsid w:val="008E544D"/>
    <w:rsid w:val="008E66D4"/>
    <w:rsid w:val="008F13C3"/>
    <w:rsid w:val="008F4207"/>
    <w:rsid w:val="008F49A7"/>
    <w:rsid w:val="008F4CB8"/>
    <w:rsid w:val="008F5F84"/>
    <w:rsid w:val="00901D77"/>
    <w:rsid w:val="00904F12"/>
    <w:rsid w:val="00905526"/>
    <w:rsid w:val="00907C2D"/>
    <w:rsid w:val="00907FD7"/>
    <w:rsid w:val="009102EF"/>
    <w:rsid w:val="0091086F"/>
    <w:rsid w:val="0091324B"/>
    <w:rsid w:val="0091390C"/>
    <w:rsid w:val="00915839"/>
    <w:rsid w:val="00915D3C"/>
    <w:rsid w:val="00917928"/>
    <w:rsid w:val="0092058B"/>
    <w:rsid w:val="009229AA"/>
    <w:rsid w:val="009237F2"/>
    <w:rsid w:val="00927DA1"/>
    <w:rsid w:val="009311E1"/>
    <w:rsid w:val="009316DA"/>
    <w:rsid w:val="00931C37"/>
    <w:rsid w:val="009333CF"/>
    <w:rsid w:val="00934B28"/>
    <w:rsid w:val="00937F5E"/>
    <w:rsid w:val="0094201C"/>
    <w:rsid w:val="0094255D"/>
    <w:rsid w:val="00942857"/>
    <w:rsid w:val="00945D99"/>
    <w:rsid w:val="00947D56"/>
    <w:rsid w:val="00947EFB"/>
    <w:rsid w:val="00951B1B"/>
    <w:rsid w:val="0095299C"/>
    <w:rsid w:val="00952E46"/>
    <w:rsid w:val="0095476B"/>
    <w:rsid w:val="0096448C"/>
    <w:rsid w:val="00965252"/>
    <w:rsid w:val="0098032D"/>
    <w:rsid w:val="0098089D"/>
    <w:rsid w:val="0098095D"/>
    <w:rsid w:val="00983445"/>
    <w:rsid w:val="00985302"/>
    <w:rsid w:val="00985C49"/>
    <w:rsid w:val="00986C5A"/>
    <w:rsid w:val="00987DFF"/>
    <w:rsid w:val="009929F2"/>
    <w:rsid w:val="00992BE9"/>
    <w:rsid w:val="009931C6"/>
    <w:rsid w:val="00994AE6"/>
    <w:rsid w:val="00994C6D"/>
    <w:rsid w:val="00994CCA"/>
    <w:rsid w:val="00997186"/>
    <w:rsid w:val="009A0900"/>
    <w:rsid w:val="009A0ED7"/>
    <w:rsid w:val="009A32E3"/>
    <w:rsid w:val="009A524B"/>
    <w:rsid w:val="009A5777"/>
    <w:rsid w:val="009B37A1"/>
    <w:rsid w:val="009B37F1"/>
    <w:rsid w:val="009B3D92"/>
    <w:rsid w:val="009B4C2C"/>
    <w:rsid w:val="009B4EB1"/>
    <w:rsid w:val="009B5292"/>
    <w:rsid w:val="009B6C6E"/>
    <w:rsid w:val="009C0769"/>
    <w:rsid w:val="009C094A"/>
    <w:rsid w:val="009C0B01"/>
    <w:rsid w:val="009C0B19"/>
    <w:rsid w:val="009C28EF"/>
    <w:rsid w:val="009C415C"/>
    <w:rsid w:val="009C51F2"/>
    <w:rsid w:val="009C5AE2"/>
    <w:rsid w:val="009C672F"/>
    <w:rsid w:val="009C7FFE"/>
    <w:rsid w:val="009D0400"/>
    <w:rsid w:val="009D3445"/>
    <w:rsid w:val="009E1154"/>
    <w:rsid w:val="009E1733"/>
    <w:rsid w:val="009E3BD2"/>
    <w:rsid w:val="009E4A29"/>
    <w:rsid w:val="009E4F53"/>
    <w:rsid w:val="009E4F8C"/>
    <w:rsid w:val="009E73A6"/>
    <w:rsid w:val="009F1698"/>
    <w:rsid w:val="009F2AFD"/>
    <w:rsid w:val="009F5747"/>
    <w:rsid w:val="009F6B2A"/>
    <w:rsid w:val="009F6C58"/>
    <w:rsid w:val="009F7C58"/>
    <w:rsid w:val="00A003E9"/>
    <w:rsid w:val="00A0207F"/>
    <w:rsid w:val="00A05F75"/>
    <w:rsid w:val="00A06126"/>
    <w:rsid w:val="00A1085A"/>
    <w:rsid w:val="00A10D6B"/>
    <w:rsid w:val="00A121D7"/>
    <w:rsid w:val="00A22877"/>
    <w:rsid w:val="00A234BD"/>
    <w:rsid w:val="00A23A01"/>
    <w:rsid w:val="00A25426"/>
    <w:rsid w:val="00A306AA"/>
    <w:rsid w:val="00A31743"/>
    <w:rsid w:val="00A32246"/>
    <w:rsid w:val="00A323AA"/>
    <w:rsid w:val="00A32ABA"/>
    <w:rsid w:val="00A32ED4"/>
    <w:rsid w:val="00A33626"/>
    <w:rsid w:val="00A33BC0"/>
    <w:rsid w:val="00A3477F"/>
    <w:rsid w:val="00A34E03"/>
    <w:rsid w:val="00A35569"/>
    <w:rsid w:val="00A43D52"/>
    <w:rsid w:val="00A4578A"/>
    <w:rsid w:val="00A45AE3"/>
    <w:rsid w:val="00A47116"/>
    <w:rsid w:val="00A5450E"/>
    <w:rsid w:val="00A5519D"/>
    <w:rsid w:val="00A5607A"/>
    <w:rsid w:val="00A627CD"/>
    <w:rsid w:val="00A647F2"/>
    <w:rsid w:val="00A64FBF"/>
    <w:rsid w:val="00A65502"/>
    <w:rsid w:val="00A65F2D"/>
    <w:rsid w:val="00A71CD8"/>
    <w:rsid w:val="00A722A9"/>
    <w:rsid w:val="00A726DC"/>
    <w:rsid w:val="00A7401F"/>
    <w:rsid w:val="00A74A50"/>
    <w:rsid w:val="00A759A5"/>
    <w:rsid w:val="00A76043"/>
    <w:rsid w:val="00A76237"/>
    <w:rsid w:val="00A7709C"/>
    <w:rsid w:val="00A77716"/>
    <w:rsid w:val="00A827C2"/>
    <w:rsid w:val="00A86ADA"/>
    <w:rsid w:val="00A87309"/>
    <w:rsid w:val="00A913CA"/>
    <w:rsid w:val="00A91827"/>
    <w:rsid w:val="00A9291E"/>
    <w:rsid w:val="00A94859"/>
    <w:rsid w:val="00AA3D00"/>
    <w:rsid w:val="00AA3EE9"/>
    <w:rsid w:val="00AA44E6"/>
    <w:rsid w:val="00AA4B12"/>
    <w:rsid w:val="00AA704F"/>
    <w:rsid w:val="00AB175D"/>
    <w:rsid w:val="00AB3D3C"/>
    <w:rsid w:val="00AC0A0F"/>
    <w:rsid w:val="00AC463E"/>
    <w:rsid w:val="00AC5AAF"/>
    <w:rsid w:val="00AC65F7"/>
    <w:rsid w:val="00AD039A"/>
    <w:rsid w:val="00AD0920"/>
    <w:rsid w:val="00AD0B24"/>
    <w:rsid w:val="00AD1393"/>
    <w:rsid w:val="00AD1B8B"/>
    <w:rsid w:val="00AD4B32"/>
    <w:rsid w:val="00AD531A"/>
    <w:rsid w:val="00AD578E"/>
    <w:rsid w:val="00AD6629"/>
    <w:rsid w:val="00AD672A"/>
    <w:rsid w:val="00AD75B2"/>
    <w:rsid w:val="00AE3D8F"/>
    <w:rsid w:val="00AE3E88"/>
    <w:rsid w:val="00AE5569"/>
    <w:rsid w:val="00AE7A31"/>
    <w:rsid w:val="00AF2FF2"/>
    <w:rsid w:val="00AF39BD"/>
    <w:rsid w:val="00B00D34"/>
    <w:rsid w:val="00B02785"/>
    <w:rsid w:val="00B07F2A"/>
    <w:rsid w:val="00B1042A"/>
    <w:rsid w:val="00B12D46"/>
    <w:rsid w:val="00B13365"/>
    <w:rsid w:val="00B15890"/>
    <w:rsid w:val="00B16D0C"/>
    <w:rsid w:val="00B17763"/>
    <w:rsid w:val="00B17E87"/>
    <w:rsid w:val="00B20A02"/>
    <w:rsid w:val="00B21713"/>
    <w:rsid w:val="00B21A20"/>
    <w:rsid w:val="00B23E84"/>
    <w:rsid w:val="00B279AD"/>
    <w:rsid w:val="00B27F7E"/>
    <w:rsid w:val="00B32624"/>
    <w:rsid w:val="00B37742"/>
    <w:rsid w:val="00B37DDC"/>
    <w:rsid w:val="00B4078A"/>
    <w:rsid w:val="00B42CA4"/>
    <w:rsid w:val="00B469B0"/>
    <w:rsid w:val="00B5028D"/>
    <w:rsid w:val="00B50AF4"/>
    <w:rsid w:val="00B53AD6"/>
    <w:rsid w:val="00B53DC2"/>
    <w:rsid w:val="00B541F9"/>
    <w:rsid w:val="00B56919"/>
    <w:rsid w:val="00B56FC5"/>
    <w:rsid w:val="00B570CF"/>
    <w:rsid w:val="00B5745D"/>
    <w:rsid w:val="00B630B1"/>
    <w:rsid w:val="00B63C02"/>
    <w:rsid w:val="00B646E2"/>
    <w:rsid w:val="00B6585C"/>
    <w:rsid w:val="00B7235D"/>
    <w:rsid w:val="00B73B0C"/>
    <w:rsid w:val="00B73E41"/>
    <w:rsid w:val="00B8199F"/>
    <w:rsid w:val="00B825EE"/>
    <w:rsid w:val="00B83189"/>
    <w:rsid w:val="00B83B07"/>
    <w:rsid w:val="00B85CFA"/>
    <w:rsid w:val="00B85F9B"/>
    <w:rsid w:val="00B868CC"/>
    <w:rsid w:val="00B87279"/>
    <w:rsid w:val="00B90A82"/>
    <w:rsid w:val="00B910B1"/>
    <w:rsid w:val="00B91584"/>
    <w:rsid w:val="00B91A90"/>
    <w:rsid w:val="00B94002"/>
    <w:rsid w:val="00B95681"/>
    <w:rsid w:val="00B973F7"/>
    <w:rsid w:val="00B97491"/>
    <w:rsid w:val="00BA2C60"/>
    <w:rsid w:val="00BA3A49"/>
    <w:rsid w:val="00BA5810"/>
    <w:rsid w:val="00BA77EA"/>
    <w:rsid w:val="00BB002A"/>
    <w:rsid w:val="00BB1250"/>
    <w:rsid w:val="00BB3CED"/>
    <w:rsid w:val="00BB5649"/>
    <w:rsid w:val="00BB7E11"/>
    <w:rsid w:val="00BC3E3A"/>
    <w:rsid w:val="00BC44E9"/>
    <w:rsid w:val="00BC77DF"/>
    <w:rsid w:val="00BD39AC"/>
    <w:rsid w:val="00BD3E7B"/>
    <w:rsid w:val="00BD4E2B"/>
    <w:rsid w:val="00BD7224"/>
    <w:rsid w:val="00BD76B8"/>
    <w:rsid w:val="00BE2723"/>
    <w:rsid w:val="00BE2FF0"/>
    <w:rsid w:val="00BE5B45"/>
    <w:rsid w:val="00BE69F6"/>
    <w:rsid w:val="00BF10BA"/>
    <w:rsid w:val="00BF271F"/>
    <w:rsid w:val="00BF351B"/>
    <w:rsid w:val="00BF4216"/>
    <w:rsid w:val="00BF4330"/>
    <w:rsid w:val="00C0331E"/>
    <w:rsid w:val="00C06E28"/>
    <w:rsid w:val="00C1192A"/>
    <w:rsid w:val="00C11EE8"/>
    <w:rsid w:val="00C12785"/>
    <w:rsid w:val="00C13083"/>
    <w:rsid w:val="00C13855"/>
    <w:rsid w:val="00C17304"/>
    <w:rsid w:val="00C205E1"/>
    <w:rsid w:val="00C22D77"/>
    <w:rsid w:val="00C23278"/>
    <w:rsid w:val="00C24BDF"/>
    <w:rsid w:val="00C25B20"/>
    <w:rsid w:val="00C276C0"/>
    <w:rsid w:val="00C2795E"/>
    <w:rsid w:val="00C27A53"/>
    <w:rsid w:val="00C335A0"/>
    <w:rsid w:val="00C34B9A"/>
    <w:rsid w:val="00C37E70"/>
    <w:rsid w:val="00C42090"/>
    <w:rsid w:val="00C50C3C"/>
    <w:rsid w:val="00C515D2"/>
    <w:rsid w:val="00C51710"/>
    <w:rsid w:val="00C520CA"/>
    <w:rsid w:val="00C5373E"/>
    <w:rsid w:val="00C5492F"/>
    <w:rsid w:val="00C553E7"/>
    <w:rsid w:val="00C5630E"/>
    <w:rsid w:val="00C6175A"/>
    <w:rsid w:val="00C62310"/>
    <w:rsid w:val="00C626CF"/>
    <w:rsid w:val="00C64AE0"/>
    <w:rsid w:val="00C653F9"/>
    <w:rsid w:val="00C72B0B"/>
    <w:rsid w:val="00C74329"/>
    <w:rsid w:val="00C76C0E"/>
    <w:rsid w:val="00C8019D"/>
    <w:rsid w:val="00C8082D"/>
    <w:rsid w:val="00C813C8"/>
    <w:rsid w:val="00C84ACD"/>
    <w:rsid w:val="00C85D61"/>
    <w:rsid w:val="00C863AE"/>
    <w:rsid w:val="00C864E1"/>
    <w:rsid w:val="00C871C6"/>
    <w:rsid w:val="00C87BF3"/>
    <w:rsid w:val="00C9034C"/>
    <w:rsid w:val="00C90D25"/>
    <w:rsid w:val="00C91618"/>
    <w:rsid w:val="00C95D86"/>
    <w:rsid w:val="00CA0DB1"/>
    <w:rsid w:val="00CA0E6D"/>
    <w:rsid w:val="00CA107C"/>
    <w:rsid w:val="00CA2A9F"/>
    <w:rsid w:val="00CA59A4"/>
    <w:rsid w:val="00CA782C"/>
    <w:rsid w:val="00CB0D4E"/>
    <w:rsid w:val="00CB1639"/>
    <w:rsid w:val="00CB22CF"/>
    <w:rsid w:val="00CB5188"/>
    <w:rsid w:val="00CB5B88"/>
    <w:rsid w:val="00CC0769"/>
    <w:rsid w:val="00CC1C8B"/>
    <w:rsid w:val="00CC2A67"/>
    <w:rsid w:val="00CC40FE"/>
    <w:rsid w:val="00CC42B3"/>
    <w:rsid w:val="00CC4AD9"/>
    <w:rsid w:val="00CC6185"/>
    <w:rsid w:val="00CC71A3"/>
    <w:rsid w:val="00CD00C9"/>
    <w:rsid w:val="00CD019E"/>
    <w:rsid w:val="00CD08DF"/>
    <w:rsid w:val="00CD246D"/>
    <w:rsid w:val="00CD6711"/>
    <w:rsid w:val="00CD77DC"/>
    <w:rsid w:val="00CE09E3"/>
    <w:rsid w:val="00CE2517"/>
    <w:rsid w:val="00CE27C2"/>
    <w:rsid w:val="00CE2EF1"/>
    <w:rsid w:val="00CF1D21"/>
    <w:rsid w:val="00CF28B1"/>
    <w:rsid w:val="00CF40A9"/>
    <w:rsid w:val="00CF6806"/>
    <w:rsid w:val="00CF6838"/>
    <w:rsid w:val="00CF6ABB"/>
    <w:rsid w:val="00CF6BE0"/>
    <w:rsid w:val="00CF6D45"/>
    <w:rsid w:val="00CF6D71"/>
    <w:rsid w:val="00CF7321"/>
    <w:rsid w:val="00D022AF"/>
    <w:rsid w:val="00D023C2"/>
    <w:rsid w:val="00D025AF"/>
    <w:rsid w:val="00D02894"/>
    <w:rsid w:val="00D02DFB"/>
    <w:rsid w:val="00D040F4"/>
    <w:rsid w:val="00D04F3E"/>
    <w:rsid w:val="00D05F7E"/>
    <w:rsid w:val="00D06339"/>
    <w:rsid w:val="00D07633"/>
    <w:rsid w:val="00D124E7"/>
    <w:rsid w:val="00D13DF4"/>
    <w:rsid w:val="00D17AF1"/>
    <w:rsid w:val="00D2013C"/>
    <w:rsid w:val="00D20542"/>
    <w:rsid w:val="00D209C2"/>
    <w:rsid w:val="00D215CA"/>
    <w:rsid w:val="00D21B43"/>
    <w:rsid w:val="00D2253A"/>
    <w:rsid w:val="00D23532"/>
    <w:rsid w:val="00D236F0"/>
    <w:rsid w:val="00D30137"/>
    <w:rsid w:val="00D3060F"/>
    <w:rsid w:val="00D322C1"/>
    <w:rsid w:val="00D329B3"/>
    <w:rsid w:val="00D32EB9"/>
    <w:rsid w:val="00D33426"/>
    <w:rsid w:val="00D352CD"/>
    <w:rsid w:val="00D36D7D"/>
    <w:rsid w:val="00D36F8C"/>
    <w:rsid w:val="00D37A5C"/>
    <w:rsid w:val="00D37AF0"/>
    <w:rsid w:val="00D436DE"/>
    <w:rsid w:val="00D47085"/>
    <w:rsid w:val="00D47A0F"/>
    <w:rsid w:val="00D54C8A"/>
    <w:rsid w:val="00D54FB6"/>
    <w:rsid w:val="00D55473"/>
    <w:rsid w:val="00D566B3"/>
    <w:rsid w:val="00D56C33"/>
    <w:rsid w:val="00D56C95"/>
    <w:rsid w:val="00D57601"/>
    <w:rsid w:val="00D600B3"/>
    <w:rsid w:val="00D60400"/>
    <w:rsid w:val="00D61F11"/>
    <w:rsid w:val="00D6240A"/>
    <w:rsid w:val="00D624FD"/>
    <w:rsid w:val="00D6366E"/>
    <w:rsid w:val="00D64C3B"/>
    <w:rsid w:val="00D71ADA"/>
    <w:rsid w:val="00D720B4"/>
    <w:rsid w:val="00D75CF7"/>
    <w:rsid w:val="00D76FEF"/>
    <w:rsid w:val="00D773ED"/>
    <w:rsid w:val="00D775AA"/>
    <w:rsid w:val="00D84444"/>
    <w:rsid w:val="00D854D5"/>
    <w:rsid w:val="00D85640"/>
    <w:rsid w:val="00D85D21"/>
    <w:rsid w:val="00D86A04"/>
    <w:rsid w:val="00D922E1"/>
    <w:rsid w:val="00D953D6"/>
    <w:rsid w:val="00D96F7D"/>
    <w:rsid w:val="00DA07E7"/>
    <w:rsid w:val="00DA405B"/>
    <w:rsid w:val="00DA4C09"/>
    <w:rsid w:val="00DA6620"/>
    <w:rsid w:val="00DA6B7F"/>
    <w:rsid w:val="00DB0400"/>
    <w:rsid w:val="00DB1F02"/>
    <w:rsid w:val="00DB2B6F"/>
    <w:rsid w:val="00DB4FD6"/>
    <w:rsid w:val="00DB693F"/>
    <w:rsid w:val="00DC0377"/>
    <w:rsid w:val="00DC09F2"/>
    <w:rsid w:val="00DC1B49"/>
    <w:rsid w:val="00DC59AF"/>
    <w:rsid w:val="00DC5AA9"/>
    <w:rsid w:val="00DD1CDA"/>
    <w:rsid w:val="00DD3858"/>
    <w:rsid w:val="00DD41BB"/>
    <w:rsid w:val="00DD5D0B"/>
    <w:rsid w:val="00DD7C51"/>
    <w:rsid w:val="00DD7E3A"/>
    <w:rsid w:val="00DE2241"/>
    <w:rsid w:val="00DE3ACD"/>
    <w:rsid w:val="00DE4008"/>
    <w:rsid w:val="00DE4BF1"/>
    <w:rsid w:val="00DE76FE"/>
    <w:rsid w:val="00DE7EBC"/>
    <w:rsid w:val="00DF0880"/>
    <w:rsid w:val="00DF3C39"/>
    <w:rsid w:val="00DF5B4D"/>
    <w:rsid w:val="00DF6457"/>
    <w:rsid w:val="00DF78AD"/>
    <w:rsid w:val="00E01C3A"/>
    <w:rsid w:val="00E02C34"/>
    <w:rsid w:val="00E07086"/>
    <w:rsid w:val="00E07EAF"/>
    <w:rsid w:val="00E12771"/>
    <w:rsid w:val="00E1370F"/>
    <w:rsid w:val="00E2042A"/>
    <w:rsid w:val="00E20654"/>
    <w:rsid w:val="00E2129D"/>
    <w:rsid w:val="00E21EFB"/>
    <w:rsid w:val="00E22390"/>
    <w:rsid w:val="00E22CE8"/>
    <w:rsid w:val="00E24B15"/>
    <w:rsid w:val="00E25543"/>
    <w:rsid w:val="00E265AD"/>
    <w:rsid w:val="00E26945"/>
    <w:rsid w:val="00E2722E"/>
    <w:rsid w:val="00E31839"/>
    <w:rsid w:val="00E342A6"/>
    <w:rsid w:val="00E3545A"/>
    <w:rsid w:val="00E41874"/>
    <w:rsid w:val="00E4479E"/>
    <w:rsid w:val="00E447F9"/>
    <w:rsid w:val="00E45650"/>
    <w:rsid w:val="00E469F3"/>
    <w:rsid w:val="00E47BFA"/>
    <w:rsid w:val="00E47C6A"/>
    <w:rsid w:val="00E53318"/>
    <w:rsid w:val="00E55205"/>
    <w:rsid w:val="00E56421"/>
    <w:rsid w:val="00E6067F"/>
    <w:rsid w:val="00E61892"/>
    <w:rsid w:val="00E638F4"/>
    <w:rsid w:val="00E63AE6"/>
    <w:rsid w:val="00E64384"/>
    <w:rsid w:val="00E64AB5"/>
    <w:rsid w:val="00E67137"/>
    <w:rsid w:val="00E678B1"/>
    <w:rsid w:val="00E67ABC"/>
    <w:rsid w:val="00E71424"/>
    <w:rsid w:val="00E72A15"/>
    <w:rsid w:val="00E731B5"/>
    <w:rsid w:val="00E73BE3"/>
    <w:rsid w:val="00E7405A"/>
    <w:rsid w:val="00E741F8"/>
    <w:rsid w:val="00E76437"/>
    <w:rsid w:val="00E77A40"/>
    <w:rsid w:val="00E802FC"/>
    <w:rsid w:val="00E81EF6"/>
    <w:rsid w:val="00E8398F"/>
    <w:rsid w:val="00E84099"/>
    <w:rsid w:val="00E85253"/>
    <w:rsid w:val="00E85686"/>
    <w:rsid w:val="00E85927"/>
    <w:rsid w:val="00E86F3C"/>
    <w:rsid w:val="00E91686"/>
    <w:rsid w:val="00E91C7F"/>
    <w:rsid w:val="00E92173"/>
    <w:rsid w:val="00E92CBA"/>
    <w:rsid w:val="00E949CA"/>
    <w:rsid w:val="00E94B78"/>
    <w:rsid w:val="00E96935"/>
    <w:rsid w:val="00E9780B"/>
    <w:rsid w:val="00EA0340"/>
    <w:rsid w:val="00EA2BC0"/>
    <w:rsid w:val="00EA5CED"/>
    <w:rsid w:val="00EA78DA"/>
    <w:rsid w:val="00EB1D74"/>
    <w:rsid w:val="00EB3808"/>
    <w:rsid w:val="00EB4CC5"/>
    <w:rsid w:val="00EB58C8"/>
    <w:rsid w:val="00EC28ED"/>
    <w:rsid w:val="00EC516E"/>
    <w:rsid w:val="00EC5828"/>
    <w:rsid w:val="00EC655B"/>
    <w:rsid w:val="00ED13C2"/>
    <w:rsid w:val="00ED1F72"/>
    <w:rsid w:val="00ED2306"/>
    <w:rsid w:val="00ED2F39"/>
    <w:rsid w:val="00ED2F9D"/>
    <w:rsid w:val="00ED6B93"/>
    <w:rsid w:val="00ED6DC1"/>
    <w:rsid w:val="00EE080A"/>
    <w:rsid w:val="00EE0B56"/>
    <w:rsid w:val="00EE1C05"/>
    <w:rsid w:val="00EE2F94"/>
    <w:rsid w:val="00EE7087"/>
    <w:rsid w:val="00EE72CC"/>
    <w:rsid w:val="00EE754C"/>
    <w:rsid w:val="00EE7A19"/>
    <w:rsid w:val="00EF0255"/>
    <w:rsid w:val="00EF11D9"/>
    <w:rsid w:val="00EF1AE3"/>
    <w:rsid w:val="00EF1D65"/>
    <w:rsid w:val="00EF51E7"/>
    <w:rsid w:val="00EF6927"/>
    <w:rsid w:val="00EF6D3C"/>
    <w:rsid w:val="00EF75FC"/>
    <w:rsid w:val="00F01540"/>
    <w:rsid w:val="00F03B97"/>
    <w:rsid w:val="00F042F6"/>
    <w:rsid w:val="00F10BE5"/>
    <w:rsid w:val="00F11502"/>
    <w:rsid w:val="00F1301B"/>
    <w:rsid w:val="00F13073"/>
    <w:rsid w:val="00F14AE1"/>
    <w:rsid w:val="00F17299"/>
    <w:rsid w:val="00F17B82"/>
    <w:rsid w:val="00F20171"/>
    <w:rsid w:val="00F20CAB"/>
    <w:rsid w:val="00F21853"/>
    <w:rsid w:val="00F22BC5"/>
    <w:rsid w:val="00F2572D"/>
    <w:rsid w:val="00F259C7"/>
    <w:rsid w:val="00F31CD5"/>
    <w:rsid w:val="00F327BE"/>
    <w:rsid w:val="00F36B76"/>
    <w:rsid w:val="00F3704F"/>
    <w:rsid w:val="00F374CF"/>
    <w:rsid w:val="00F4262E"/>
    <w:rsid w:val="00F430E0"/>
    <w:rsid w:val="00F43985"/>
    <w:rsid w:val="00F44F4F"/>
    <w:rsid w:val="00F47CA6"/>
    <w:rsid w:val="00F570B1"/>
    <w:rsid w:val="00F60365"/>
    <w:rsid w:val="00F605FB"/>
    <w:rsid w:val="00F61E66"/>
    <w:rsid w:val="00F64120"/>
    <w:rsid w:val="00F65804"/>
    <w:rsid w:val="00F664D0"/>
    <w:rsid w:val="00F70B5D"/>
    <w:rsid w:val="00F72203"/>
    <w:rsid w:val="00F728AE"/>
    <w:rsid w:val="00F73949"/>
    <w:rsid w:val="00F73CEB"/>
    <w:rsid w:val="00F743F4"/>
    <w:rsid w:val="00F74CFC"/>
    <w:rsid w:val="00F77DD3"/>
    <w:rsid w:val="00F83341"/>
    <w:rsid w:val="00F86AD6"/>
    <w:rsid w:val="00F87C88"/>
    <w:rsid w:val="00F9055B"/>
    <w:rsid w:val="00F913D5"/>
    <w:rsid w:val="00F91B5C"/>
    <w:rsid w:val="00F91F06"/>
    <w:rsid w:val="00F92328"/>
    <w:rsid w:val="00F9488E"/>
    <w:rsid w:val="00F95076"/>
    <w:rsid w:val="00F957E1"/>
    <w:rsid w:val="00FA3CE5"/>
    <w:rsid w:val="00FA42F8"/>
    <w:rsid w:val="00FA4979"/>
    <w:rsid w:val="00FA4CD9"/>
    <w:rsid w:val="00FA5625"/>
    <w:rsid w:val="00FA6406"/>
    <w:rsid w:val="00FA7686"/>
    <w:rsid w:val="00FB0787"/>
    <w:rsid w:val="00FB2E71"/>
    <w:rsid w:val="00FB3ED7"/>
    <w:rsid w:val="00FB403E"/>
    <w:rsid w:val="00FB4F51"/>
    <w:rsid w:val="00FB5B64"/>
    <w:rsid w:val="00FC1365"/>
    <w:rsid w:val="00FC16A3"/>
    <w:rsid w:val="00FC16CC"/>
    <w:rsid w:val="00FC3902"/>
    <w:rsid w:val="00FC5893"/>
    <w:rsid w:val="00FC6D3A"/>
    <w:rsid w:val="00FC7077"/>
    <w:rsid w:val="00FD0A8A"/>
    <w:rsid w:val="00FD249E"/>
    <w:rsid w:val="00FD478B"/>
    <w:rsid w:val="00FE07F6"/>
    <w:rsid w:val="00FE2B44"/>
    <w:rsid w:val="00FE5EEA"/>
    <w:rsid w:val="00FE78F1"/>
    <w:rsid w:val="00FE79BF"/>
    <w:rsid w:val="00FF2720"/>
    <w:rsid w:val="00FF3F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9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새굴림" w:eastAsia="새굴림" w:hAnsi="새굴림" w:cs="새굴림"/>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338"/>
    <w:rPr>
      <w:rFonts w:ascii="Times New Roman" w:eastAsia="DengXian" w:hAnsi="Times New Roman" w:cs="Times New Roman"/>
      <w:sz w:val="22"/>
      <w:szCs w:val="22"/>
      <w:lang w:val="pl-PL" w:eastAsia="zh-CN"/>
    </w:rPr>
  </w:style>
  <w:style w:type="paragraph" w:styleId="1">
    <w:name w:val="heading 1"/>
    <w:basedOn w:val="a0"/>
    <w:next w:val="a"/>
    <w:link w:val="1Char"/>
    <w:uiPriority w:val="9"/>
    <w:qFormat/>
    <w:rsid w:val="0059128B"/>
    <w:pPr>
      <w:keepNext/>
      <w:outlineLvl w:val="0"/>
    </w:pPr>
    <w:rPr>
      <w:b/>
    </w:rPr>
  </w:style>
  <w:style w:type="paragraph" w:styleId="2">
    <w:name w:val="heading 2"/>
    <w:basedOn w:val="1"/>
    <w:next w:val="a"/>
    <w:link w:val="2Char"/>
    <w:uiPriority w:val="9"/>
    <w:unhideWhenUsed/>
    <w:qFormat/>
    <w:rsid w:val="0059128B"/>
    <w:pPr>
      <w:numPr>
        <w:ilvl w:val="1"/>
      </w:numPr>
      <w:ind w:left="567" w:hanging="567"/>
      <w:outlineLvl w:val="1"/>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본문 Char"/>
    <w:link w:val="a4"/>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link w:val="Heading10"/>
    <w:rPr>
      <w:rFonts w:ascii="Times New Roman" w:eastAsia="Times New Roman" w:hAnsi="Times New Roman" w:cs="Times New Roman"/>
      <w:b/>
      <w:bCs/>
      <w:i w:val="0"/>
      <w:iCs w:val="0"/>
      <w:smallCaps w:val="0"/>
      <w:strike w:val="0"/>
      <w:sz w:val="22"/>
      <w:szCs w:val="22"/>
      <w:u w:val="none"/>
    </w:rPr>
  </w:style>
  <w:style w:type="character" w:customStyle="1" w:styleId="Tablecaption">
    <w:name w:val="Table caption_"/>
    <w:link w:val="Tablecaption0"/>
    <w:rPr>
      <w:rFonts w:ascii="Times New Roman" w:eastAsia="Times New Roman" w:hAnsi="Times New Roman" w:cs="Times New Roman"/>
      <w:b w:val="0"/>
      <w:bCs w:val="0"/>
      <w:i/>
      <w:iCs/>
      <w:smallCaps w:val="0"/>
      <w:strike w:val="0"/>
      <w:sz w:val="22"/>
      <w:szCs w:val="22"/>
      <w:u w:val="none"/>
    </w:rPr>
  </w:style>
  <w:style w:type="character" w:customStyle="1" w:styleId="Other">
    <w:name w:val="Other_"/>
    <w:link w:val="Other0"/>
    <w:rPr>
      <w:rFonts w:ascii="Times New Roman" w:eastAsia="Times New Roman" w:hAnsi="Times New Roman" w:cs="Times New Roman"/>
      <w:b w:val="0"/>
      <w:bCs w:val="0"/>
      <w:i w:val="0"/>
      <w:iCs w:val="0"/>
      <w:smallCaps w:val="0"/>
      <w:strike w:val="0"/>
      <w:sz w:val="22"/>
      <w:szCs w:val="22"/>
      <w:u w:val="none"/>
    </w:rPr>
  </w:style>
  <w:style w:type="character" w:customStyle="1" w:styleId="Bodytext4">
    <w:name w:val="Body text (4)_"/>
    <w:link w:val="Bodytext40"/>
    <w:rPr>
      <w:rFonts w:ascii="Times New Roman" w:eastAsia="Times New Roman" w:hAnsi="Times New Roman" w:cs="Times New Roman"/>
      <w:b w:val="0"/>
      <w:bCs w:val="0"/>
      <w:i/>
      <w:iCs/>
      <w:smallCaps w:val="0"/>
      <w:strike w:val="0"/>
      <w:sz w:val="18"/>
      <w:szCs w:val="18"/>
      <w:u w:val="none"/>
    </w:rPr>
  </w:style>
  <w:style w:type="character" w:customStyle="1" w:styleId="Headerorfooter">
    <w:name w:val="Header or footer_"/>
    <w:link w:val="Headerorfooter0"/>
    <w:rPr>
      <w:rFonts w:ascii="Arial" w:eastAsia="Arial" w:hAnsi="Arial" w:cs="Arial"/>
      <w:b w:val="0"/>
      <w:bCs w:val="0"/>
      <w:i w:val="0"/>
      <w:iCs w:val="0"/>
      <w:smallCaps w:val="0"/>
      <w:strike w:val="0"/>
      <w:sz w:val="16"/>
      <w:szCs w:val="16"/>
      <w:u w:val="none"/>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sz w:val="22"/>
      <w:szCs w:val="22"/>
      <w:u w:val="none"/>
    </w:rPr>
  </w:style>
  <w:style w:type="character" w:customStyle="1" w:styleId="Bodytext5">
    <w:name w:val="Body text (5)_"/>
    <w:link w:val="Bodytext50"/>
    <w:rPr>
      <w:rFonts w:ascii="Arial" w:eastAsia="Arial" w:hAnsi="Arial" w:cs="Arial"/>
      <w:b/>
      <w:bCs/>
      <w:i w:val="0"/>
      <w:iCs w:val="0"/>
      <w:smallCaps w:val="0"/>
      <w:strike w:val="0"/>
      <w:color w:val="1C1C1C"/>
      <w:sz w:val="26"/>
      <w:szCs w:val="26"/>
      <w:u w:val="none"/>
    </w:rPr>
  </w:style>
  <w:style w:type="paragraph" w:styleId="a4">
    <w:name w:val="Body Text"/>
    <w:basedOn w:val="a"/>
    <w:link w:val="Char"/>
    <w:qFormat/>
    <w:pPr>
      <w:widowControl w:val="0"/>
      <w:spacing w:after="220"/>
    </w:pPr>
    <w:rPr>
      <w:rFonts w:eastAsia="Times New Roman"/>
    </w:rPr>
  </w:style>
  <w:style w:type="paragraph" w:customStyle="1" w:styleId="Headerorfooter20">
    <w:name w:val="Header or footer (2)"/>
    <w:basedOn w:val="a"/>
    <w:link w:val="Headerorfooter2"/>
    <w:pPr>
      <w:widowControl w:val="0"/>
    </w:pPr>
    <w:rPr>
      <w:rFonts w:eastAsia="Times New Roman"/>
      <w:sz w:val="20"/>
      <w:szCs w:val="20"/>
    </w:rPr>
  </w:style>
  <w:style w:type="paragraph" w:customStyle="1" w:styleId="Heading10">
    <w:name w:val="Heading #1"/>
    <w:basedOn w:val="a"/>
    <w:link w:val="Heading1"/>
    <w:pPr>
      <w:widowControl w:val="0"/>
      <w:jc w:val="center"/>
      <w:outlineLvl w:val="0"/>
    </w:pPr>
    <w:rPr>
      <w:rFonts w:eastAsia="Times New Roman"/>
      <w:b/>
      <w:bCs/>
    </w:rPr>
  </w:style>
  <w:style w:type="paragraph" w:customStyle="1" w:styleId="Tablecaption0">
    <w:name w:val="Table caption"/>
    <w:basedOn w:val="a"/>
    <w:link w:val="Tablecaption"/>
    <w:pPr>
      <w:widowControl w:val="0"/>
    </w:pPr>
    <w:rPr>
      <w:rFonts w:eastAsia="Times New Roman"/>
      <w:i/>
      <w:iCs/>
    </w:rPr>
  </w:style>
  <w:style w:type="paragraph" w:customStyle="1" w:styleId="Other0">
    <w:name w:val="Other"/>
    <w:basedOn w:val="a"/>
    <w:link w:val="Other"/>
    <w:pPr>
      <w:widowControl w:val="0"/>
      <w:spacing w:after="220"/>
    </w:pPr>
    <w:rPr>
      <w:rFonts w:eastAsia="Times New Roman"/>
    </w:rPr>
  </w:style>
  <w:style w:type="paragraph" w:customStyle="1" w:styleId="Bodytext40">
    <w:name w:val="Body text (4)"/>
    <w:basedOn w:val="a"/>
    <w:link w:val="Bodytext4"/>
    <w:pPr>
      <w:widowControl w:val="0"/>
      <w:ind w:firstLine="140"/>
    </w:pPr>
    <w:rPr>
      <w:rFonts w:eastAsia="Times New Roman"/>
      <w:i/>
      <w:iCs/>
      <w:sz w:val="18"/>
      <w:szCs w:val="18"/>
    </w:rPr>
  </w:style>
  <w:style w:type="paragraph" w:customStyle="1" w:styleId="Headerorfooter0">
    <w:name w:val="Header or footer"/>
    <w:basedOn w:val="a"/>
    <w:link w:val="Headerorfooter"/>
    <w:pPr>
      <w:widowControl w:val="0"/>
    </w:pPr>
    <w:rPr>
      <w:rFonts w:ascii="Arial" w:eastAsia="Arial" w:hAnsi="Arial" w:cs="Arial"/>
      <w:sz w:val="16"/>
      <w:szCs w:val="16"/>
    </w:rPr>
  </w:style>
  <w:style w:type="paragraph" w:customStyle="1" w:styleId="Picturecaption0">
    <w:name w:val="Picture caption"/>
    <w:basedOn w:val="a"/>
    <w:link w:val="Picturecaption"/>
    <w:pPr>
      <w:widowControl w:val="0"/>
    </w:pPr>
    <w:rPr>
      <w:rFonts w:eastAsia="Times New Roman"/>
      <w:b/>
      <w:bCs/>
    </w:rPr>
  </w:style>
  <w:style w:type="paragraph" w:customStyle="1" w:styleId="Bodytext50">
    <w:name w:val="Body text (5)"/>
    <w:basedOn w:val="a"/>
    <w:link w:val="Bodytext5"/>
    <w:pPr>
      <w:widowControl w:val="0"/>
      <w:spacing w:after="100"/>
      <w:jc w:val="center"/>
    </w:pPr>
    <w:rPr>
      <w:rFonts w:ascii="Arial" w:eastAsia="Arial" w:hAnsi="Arial" w:cs="Arial"/>
      <w:b/>
      <w:bCs/>
      <w:color w:val="1C1C1C"/>
      <w:sz w:val="26"/>
      <w:szCs w:val="26"/>
    </w:rPr>
  </w:style>
  <w:style w:type="paragraph" w:styleId="a5">
    <w:name w:val="header"/>
    <w:basedOn w:val="a"/>
    <w:link w:val="Char0"/>
    <w:uiPriority w:val="99"/>
    <w:unhideWhenUsed/>
    <w:rsid w:val="0059128B"/>
    <w:pPr>
      <w:tabs>
        <w:tab w:val="center" w:pos="4680"/>
        <w:tab w:val="right" w:pos="9360"/>
      </w:tabs>
    </w:pPr>
  </w:style>
  <w:style w:type="character" w:customStyle="1" w:styleId="Char0">
    <w:name w:val="머리글 Char"/>
    <w:link w:val="a5"/>
    <w:uiPriority w:val="99"/>
    <w:rsid w:val="0059128B"/>
    <w:rPr>
      <w:rFonts w:ascii="Times New Roman" w:eastAsia="DengXian" w:hAnsi="Times New Roman" w:cs="Times New Roman"/>
      <w:sz w:val="22"/>
      <w:szCs w:val="22"/>
      <w:lang w:eastAsia="zh-CN"/>
    </w:rPr>
  </w:style>
  <w:style w:type="paragraph" w:styleId="a6">
    <w:name w:val="footer"/>
    <w:basedOn w:val="a"/>
    <w:link w:val="Char1"/>
    <w:uiPriority w:val="99"/>
    <w:unhideWhenUsed/>
    <w:rsid w:val="0059128B"/>
    <w:pPr>
      <w:tabs>
        <w:tab w:val="center" w:pos="4680"/>
        <w:tab w:val="right" w:pos="9360"/>
      </w:tabs>
      <w:jc w:val="center"/>
    </w:pPr>
    <w:rPr>
      <w:rFonts w:ascii="Arial" w:hAnsi="Arial" w:cs="Arial"/>
      <w:sz w:val="16"/>
    </w:rPr>
  </w:style>
  <w:style w:type="character" w:customStyle="1" w:styleId="Char1">
    <w:name w:val="바닥글 Char"/>
    <w:link w:val="a6"/>
    <w:uiPriority w:val="99"/>
    <w:rsid w:val="0059128B"/>
    <w:rPr>
      <w:rFonts w:ascii="Arial" w:eastAsia="DengXian" w:hAnsi="Arial" w:cs="Arial"/>
      <w:sz w:val="16"/>
      <w:szCs w:val="22"/>
      <w:lang w:eastAsia="zh-CN"/>
    </w:rPr>
  </w:style>
  <w:style w:type="paragraph" w:customStyle="1" w:styleId="BoxedHeading">
    <w:name w:val="Boxed Heading"/>
    <w:next w:val="a"/>
    <w:qFormat/>
    <w:rsid w:val="0059128B"/>
    <w:pPr>
      <w:keepNext/>
      <w:pBdr>
        <w:top w:val="single" w:sz="4" w:space="1" w:color="auto"/>
        <w:left w:val="single" w:sz="4" w:space="4" w:color="auto"/>
        <w:bottom w:val="single" w:sz="4" w:space="1" w:color="auto"/>
        <w:right w:val="single" w:sz="4" w:space="4" w:color="auto"/>
      </w:pBdr>
      <w:ind w:left="567" w:hanging="567"/>
    </w:pPr>
    <w:rPr>
      <w:rFonts w:ascii="Times New Roman" w:eastAsia="DengXian" w:hAnsi="Times New Roman" w:cs="Times New Roman"/>
      <w:b/>
      <w:bCs/>
      <w:sz w:val="22"/>
      <w:szCs w:val="22"/>
      <w:lang w:val="cs-CZ" w:eastAsia="zh-CN"/>
    </w:rPr>
  </w:style>
  <w:style w:type="paragraph" w:styleId="a0">
    <w:name w:val="List Paragraph"/>
    <w:basedOn w:val="a"/>
    <w:uiPriority w:val="34"/>
    <w:qFormat/>
    <w:rsid w:val="0059128B"/>
    <w:pPr>
      <w:ind w:left="567" w:hanging="567"/>
      <w:contextualSpacing/>
    </w:pPr>
  </w:style>
  <w:style w:type="character" w:customStyle="1" w:styleId="1Char">
    <w:name w:val="제목 1 Char"/>
    <w:link w:val="1"/>
    <w:uiPriority w:val="9"/>
    <w:rsid w:val="0059128B"/>
    <w:rPr>
      <w:rFonts w:ascii="Times New Roman" w:eastAsia="DengXian" w:hAnsi="Times New Roman" w:cs="Times New Roman"/>
      <w:b/>
      <w:sz w:val="22"/>
      <w:szCs w:val="22"/>
      <w:lang w:eastAsia="zh-CN"/>
    </w:rPr>
  </w:style>
  <w:style w:type="character" w:customStyle="1" w:styleId="2Char">
    <w:name w:val="제목 2 Char"/>
    <w:link w:val="2"/>
    <w:uiPriority w:val="9"/>
    <w:rsid w:val="0059128B"/>
    <w:rPr>
      <w:rFonts w:ascii="Times New Roman" w:eastAsia="DengXian" w:hAnsi="Times New Roman" w:cs="Times New Roman"/>
      <w:b/>
      <w:sz w:val="22"/>
      <w:szCs w:val="22"/>
      <w:lang w:eastAsia="zh-CN"/>
    </w:rPr>
  </w:style>
  <w:style w:type="character" w:styleId="a7">
    <w:name w:val="Hyperlink"/>
    <w:uiPriority w:val="99"/>
    <w:unhideWhenUsed/>
    <w:rsid w:val="0059128B"/>
    <w:rPr>
      <w:color w:val="0000FF"/>
      <w:u w:val="single"/>
    </w:rPr>
  </w:style>
  <w:style w:type="paragraph" w:customStyle="1" w:styleId="ListParagraphDash">
    <w:name w:val="List Paragraph Dash"/>
    <w:basedOn w:val="a0"/>
    <w:qFormat/>
    <w:rsid w:val="0059128B"/>
    <w:pPr>
      <w:numPr>
        <w:numId w:val="1"/>
      </w:numPr>
    </w:pPr>
  </w:style>
  <w:style w:type="paragraph" w:customStyle="1" w:styleId="ListParagraphBullet">
    <w:name w:val="List Paragraph Bullet"/>
    <w:basedOn w:val="ListParagraphDash"/>
    <w:qFormat/>
    <w:rsid w:val="0059128B"/>
    <w:pPr>
      <w:numPr>
        <w:numId w:val="2"/>
      </w:numPr>
    </w:pPr>
  </w:style>
  <w:style w:type="paragraph" w:customStyle="1" w:styleId="ListparagraphNumbered">
    <w:name w:val="List paragraph Numbered"/>
    <w:basedOn w:val="a0"/>
    <w:qFormat/>
    <w:rsid w:val="0059128B"/>
    <w:pPr>
      <w:numPr>
        <w:numId w:val="3"/>
      </w:numPr>
    </w:pPr>
  </w:style>
  <w:style w:type="paragraph" w:customStyle="1" w:styleId="NormalKeep">
    <w:name w:val="Normal Keep"/>
    <w:basedOn w:val="a"/>
    <w:next w:val="a"/>
    <w:qFormat/>
    <w:rsid w:val="0059128B"/>
    <w:pPr>
      <w:keepNext/>
    </w:pPr>
    <w:rPr>
      <w:lang w:val="cs-CZ"/>
    </w:rPr>
  </w:style>
  <w:style w:type="paragraph" w:customStyle="1" w:styleId="NumberedHeading">
    <w:name w:val="Numbered Heading"/>
    <w:qFormat/>
    <w:rsid w:val="0059128B"/>
    <w:pPr>
      <w:keepNext/>
      <w:ind w:left="567" w:hanging="567"/>
    </w:pPr>
    <w:rPr>
      <w:rFonts w:ascii="Times New Roman" w:eastAsia="DengXian" w:hAnsi="Times New Roman" w:cs="Times New Roman"/>
      <w:b/>
      <w:sz w:val="22"/>
      <w:szCs w:val="22"/>
      <w:lang w:val="en-US" w:eastAsia="zh-CN"/>
    </w:rPr>
  </w:style>
  <w:style w:type="paragraph" w:customStyle="1" w:styleId="SubheadingBold">
    <w:name w:val="Subheading Bold"/>
    <w:basedOn w:val="NormalKeep"/>
    <w:next w:val="NormalKeep"/>
    <w:qFormat/>
    <w:rsid w:val="0059128B"/>
    <w:rPr>
      <w:b/>
    </w:rPr>
  </w:style>
  <w:style w:type="paragraph" w:customStyle="1" w:styleId="SubheadingItalic">
    <w:name w:val="Subheading Italic"/>
    <w:basedOn w:val="NormalKeep"/>
    <w:next w:val="NormalKeep"/>
    <w:qFormat/>
    <w:rsid w:val="0059128B"/>
    <w:rPr>
      <w:i/>
    </w:rPr>
  </w:style>
  <w:style w:type="paragraph" w:customStyle="1" w:styleId="SubheadingItalicUnderline">
    <w:name w:val="Subheading Italic Underline"/>
    <w:basedOn w:val="NormalKeep"/>
    <w:next w:val="NormalKeep"/>
    <w:qFormat/>
    <w:rsid w:val="0059128B"/>
    <w:rPr>
      <w:i/>
      <w:u w:val="single"/>
    </w:rPr>
  </w:style>
  <w:style w:type="paragraph" w:customStyle="1" w:styleId="SubheadingUnderline">
    <w:name w:val="Subheading Underline"/>
    <w:basedOn w:val="NormalKeep"/>
    <w:next w:val="NormalKeep"/>
    <w:qFormat/>
    <w:rsid w:val="0059128B"/>
    <w:rPr>
      <w:u w:val="single"/>
    </w:rPr>
  </w:style>
  <w:style w:type="paragraph" w:styleId="a8">
    <w:name w:val="Title"/>
    <w:basedOn w:val="a"/>
    <w:next w:val="a"/>
    <w:link w:val="Char2"/>
    <w:uiPriority w:val="10"/>
    <w:qFormat/>
    <w:rsid w:val="0059128B"/>
    <w:pPr>
      <w:keepNext/>
      <w:keepLines/>
      <w:contextualSpacing/>
      <w:jc w:val="center"/>
    </w:pPr>
    <w:rPr>
      <w:rFonts w:eastAsia="DengXian Light"/>
      <w:b/>
      <w:spacing w:val="-10"/>
      <w:kern w:val="28"/>
      <w:szCs w:val="56"/>
    </w:rPr>
  </w:style>
  <w:style w:type="character" w:customStyle="1" w:styleId="Char2">
    <w:name w:val="제목 Char"/>
    <w:link w:val="a8"/>
    <w:uiPriority w:val="10"/>
    <w:rsid w:val="0059128B"/>
    <w:rPr>
      <w:rFonts w:ascii="Times New Roman" w:eastAsia="DengXian Light" w:hAnsi="Times New Roman" w:cs="Times New Roman"/>
      <w:b/>
      <w:spacing w:val="-10"/>
      <w:kern w:val="28"/>
      <w:sz w:val="22"/>
      <w:szCs w:val="56"/>
      <w:lang w:eastAsia="zh-CN"/>
    </w:rPr>
  </w:style>
  <w:style w:type="paragraph" w:customStyle="1" w:styleId="TitleA">
    <w:name w:val="Title A"/>
    <w:basedOn w:val="a8"/>
    <w:qFormat/>
    <w:rsid w:val="0059128B"/>
    <w:pPr>
      <w:keepNext w:val="0"/>
      <w:keepLines w:val="0"/>
      <w:outlineLvl w:val="0"/>
    </w:pPr>
    <w:rPr>
      <w:spacing w:val="0"/>
      <w:lang w:val="cs-CZ"/>
    </w:rPr>
  </w:style>
  <w:style w:type="paragraph" w:customStyle="1" w:styleId="TitleB">
    <w:name w:val="Title B"/>
    <w:basedOn w:val="NumberedHeading"/>
    <w:qFormat/>
    <w:rsid w:val="0059128B"/>
    <w:pPr>
      <w:outlineLvl w:val="0"/>
    </w:pPr>
  </w:style>
  <w:style w:type="character" w:customStyle="1" w:styleId="UnresolvedMention1">
    <w:name w:val="Unresolved Mention1"/>
    <w:uiPriority w:val="99"/>
    <w:semiHidden/>
    <w:unhideWhenUsed/>
    <w:rsid w:val="0059128B"/>
    <w:rPr>
      <w:color w:val="605E5C"/>
      <w:shd w:val="clear" w:color="auto" w:fill="E1DFDD"/>
    </w:rPr>
  </w:style>
  <w:style w:type="table" w:styleId="a9">
    <w:name w:val="Table Grid"/>
    <w:basedOn w:val="a2"/>
    <w:uiPriority w:val="39"/>
    <w:rsid w:val="00DC0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21713"/>
    <w:rPr>
      <w:rFonts w:ascii="Times New Roman" w:eastAsia="DengXian" w:hAnsi="Times New Roman" w:cs="Times New Roman"/>
      <w:sz w:val="22"/>
      <w:szCs w:val="22"/>
      <w:lang w:val="en-GB" w:eastAsia="zh-CN"/>
    </w:rPr>
  </w:style>
  <w:style w:type="character" w:customStyle="1" w:styleId="Bodytext6">
    <w:name w:val="Body text (6)_"/>
    <w:link w:val="Bodytext60"/>
    <w:rsid w:val="00B83B07"/>
    <w:rPr>
      <w:rFonts w:ascii="Arial" w:eastAsia="Arial" w:hAnsi="Arial" w:cs="Arial"/>
      <w:b/>
      <w:bCs/>
      <w:sz w:val="28"/>
      <w:szCs w:val="28"/>
    </w:rPr>
  </w:style>
  <w:style w:type="paragraph" w:customStyle="1" w:styleId="Bodytext60">
    <w:name w:val="Body text (6)"/>
    <w:basedOn w:val="a"/>
    <w:link w:val="Bodytext6"/>
    <w:rsid w:val="00B83B07"/>
    <w:pPr>
      <w:widowControl w:val="0"/>
      <w:spacing w:after="500"/>
      <w:ind w:left="720"/>
      <w:jc w:val="center"/>
    </w:pPr>
    <w:rPr>
      <w:rFonts w:ascii="Arial" w:eastAsia="Arial" w:hAnsi="Arial" w:cs="Arial"/>
      <w:b/>
      <w:bCs/>
      <w:sz w:val="28"/>
      <w:szCs w:val="28"/>
      <w:lang w:val="en-US" w:eastAsia="en-US"/>
    </w:rPr>
  </w:style>
  <w:style w:type="character" w:styleId="ab">
    <w:name w:val="annotation reference"/>
    <w:uiPriority w:val="99"/>
    <w:semiHidden/>
    <w:unhideWhenUsed/>
    <w:rsid w:val="00F042F6"/>
    <w:rPr>
      <w:sz w:val="16"/>
      <w:szCs w:val="16"/>
    </w:rPr>
  </w:style>
  <w:style w:type="paragraph" w:styleId="ac">
    <w:name w:val="annotation text"/>
    <w:basedOn w:val="a"/>
    <w:link w:val="Char3"/>
    <w:uiPriority w:val="99"/>
    <w:unhideWhenUsed/>
    <w:rsid w:val="00F042F6"/>
    <w:rPr>
      <w:sz w:val="20"/>
      <w:szCs w:val="20"/>
    </w:rPr>
  </w:style>
  <w:style w:type="character" w:customStyle="1" w:styleId="Char3">
    <w:name w:val="메모 텍스트 Char"/>
    <w:link w:val="ac"/>
    <w:uiPriority w:val="99"/>
    <w:rsid w:val="00F042F6"/>
    <w:rPr>
      <w:rFonts w:ascii="Times New Roman" w:eastAsia="DengXian" w:hAnsi="Times New Roman" w:cs="Times New Roman"/>
      <w:noProof/>
      <w:lang w:val="pl-PL"/>
    </w:rPr>
  </w:style>
  <w:style w:type="paragraph" w:styleId="ad">
    <w:name w:val="annotation subject"/>
    <w:basedOn w:val="ac"/>
    <w:next w:val="ac"/>
    <w:link w:val="Char4"/>
    <w:uiPriority w:val="99"/>
    <w:semiHidden/>
    <w:unhideWhenUsed/>
    <w:rsid w:val="00F042F6"/>
    <w:rPr>
      <w:b/>
      <w:bCs/>
    </w:rPr>
  </w:style>
  <w:style w:type="character" w:customStyle="1" w:styleId="Char4">
    <w:name w:val="메모 주제 Char"/>
    <w:link w:val="ad"/>
    <w:uiPriority w:val="99"/>
    <w:semiHidden/>
    <w:rsid w:val="00F042F6"/>
    <w:rPr>
      <w:rFonts w:ascii="Times New Roman" w:eastAsia="DengXian" w:hAnsi="Times New Roman" w:cs="Times New Roman"/>
      <w:b/>
      <w:bCs/>
      <w:noProof/>
      <w:lang w:val="pl-PL"/>
    </w:rPr>
  </w:style>
  <w:style w:type="paragraph" w:customStyle="1" w:styleId="Default">
    <w:name w:val="Default"/>
    <w:rsid w:val="00D025AF"/>
    <w:pPr>
      <w:widowControl w:val="0"/>
      <w:autoSpaceDE w:val="0"/>
      <w:autoSpaceDN w:val="0"/>
      <w:adjustRightInd w:val="0"/>
    </w:pPr>
    <w:rPr>
      <w:rFonts w:ascii="Arial" w:eastAsia="Times New Roman" w:hAnsi="Arial" w:cs="Arial"/>
      <w:color w:val="000000"/>
      <w:sz w:val="24"/>
      <w:szCs w:val="24"/>
      <w:lang w:val="pl-PL" w:eastAsia="en-US"/>
    </w:rPr>
  </w:style>
  <w:style w:type="paragraph" w:customStyle="1" w:styleId="StyleArialNarrow8pts">
    <w:name w:val="_Style Arial Narrow 8 pts"/>
    <w:basedOn w:val="a"/>
    <w:qFormat/>
    <w:rsid w:val="00D025AF"/>
    <w:pPr>
      <w:tabs>
        <w:tab w:val="left" w:pos="567"/>
      </w:tabs>
    </w:pPr>
    <w:rPr>
      <w:rFonts w:ascii="Arial Narrow" w:eastAsia="PMingLiU" w:hAnsi="Arial Narrow"/>
      <w:sz w:val="16"/>
      <w:szCs w:val="16"/>
      <w:lang w:eastAsia="en-US"/>
    </w:rPr>
  </w:style>
  <w:style w:type="character" w:styleId="ae">
    <w:name w:val="line number"/>
    <w:basedOn w:val="a1"/>
    <w:uiPriority w:val="99"/>
    <w:semiHidden/>
    <w:unhideWhenUsed/>
    <w:rsid w:val="00AD75B2"/>
  </w:style>
  <w:style w:type="paragraph" w:styleId="af">
    <w:name w:val="Balloon Text"/>
    <w:basedOn w:val="a"/>
    <w:link w:val="Char5"/>
    <w:uiPriority w:val="99"/>
    <w:semiHidden/>
    <w:unhideWhenUsed/>
    <w:rsid w:val="008D7C5B"/>
    <w:rPr>
      <w:rFonts w:ascii="Segoe UI" w:hAnsi="Segoe UI" w:cs="Segoe UI"/>
      <w:sz w:val="18"/>
      <w:szCs w:val="18"/>
    </w:rPr>
  </w:style>
  <w:style w:type="character" w:customStyle="1" w:styleId="Char5">
    <w:name w:val="풍선 도움말 텍스트 Char"/>
    <w:link w:val="af"/>
    <w:uiPriority w:val="99"/>
    <w:semiHidden/>
    <w:rsid w:val="008D7C5B"/>
    <w:rPr>
      <w:rFonts w:ascii="Segoe UI" w:eastAsia="DengXian" w:hAnsi="Segoe UI" w:cs="Segoe UI"/>
      <w:sz w:val="18"/>
      <w:szCs w:val="18"/>
      <w:lang w:eastAsia="zh-CN"/>
    </w:rPr>
  </w:style>
  <w:style w:type="character" w:customStyle="1" w:styleId="10">
    <w:name w:val="확인되지 않은 멘션1"/>
    <w:basedOn w:val="a1"/>
    <w:uiPriority w:val="99"/>
    <w:semiHidden/>
    <w:unhideWhenUsed/>
    <w:rsid w:val="008919BA"/>
    <w:rPr>
      <w:color w:val="605E5C"/>
      <w:shd w:val="clear" w:color="auto" w:fill="E1DFDD"/>
    </w:rPr>
  </w:style>
  <w:style w:type="character" w:customStyle="1" w:styleId="20">
    <w:name w:val="확인되지 않은 멘션2"/>
    <w:basedOn w:val="a1"/>
    <w:uiPriority w:val="99"/>
    <w:semiHidden/>
    <w:unhideWhenUsed/>
    <w:rsid w:val="005975E3"/>
    <w:rPr>
      <w:color w:val="605E5C"/>
      <w:shd w:val="clear" w:color="auto" w:fill="E1DFDD"/>
    </w:rPr>
  </w:style>
  <w:style w:type="paragraph" w:styleId="af0">
    <w:name w:val="Normal (Web)"/>
    <w:basedOn w:val="a"/>
    <w:uiPriority w:val="99"/>
    <w:unhideWhenUsed/>
    <w:rsid w:val="000F2F0E"/>
    <w:pPr>
      <w:spacing w:before="100" w:beforeAutospacing="1" w:after="100" w:afterAutospacing="1"/>
    </w:pPr>
    <w:rPr>
      <w:rFonts w:ascii="굴림" w:eastAsia="굴림" w:hAnsi="굴림" w:cs="굴림"/>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925927">
      <w:bodyDiv w:val="1"/>
      <w:marLeft w:val="0"/>
      <w:marRight w:val="0"/>
      <w:marTop w:val="0"/>
      <w:marBottom w:val="0"/>
      <w:divBdr>
        <w:top w:val="none" w:sz="0" w:space="0" w:color="auto"/>
        <w:left w:val="none" w:sz="0" w:space="0" w:color="auto"/>
        <w:bottom w:val="none" w:sz="0" w:space="0" w:color="auto"/>
        <w:right w:val="none" w:sz="0" w:space="0" w:color="auto"/>
      </w:divBdr>
    </w:div>
    <w:div w:id="1247612413">
      <w:bodyDiv w:val="1"/>
      <w:marLeft w:val="0"/>
      <w:marRight w:val="0"/>
      <w:marTop w:val="0"/>
      <w:marBottom w:val="0"/>
      <w:divBdr>
        <w:top w:val="none" w:sz="0" w:space="0" w:color="auto"/>
        <w:left w:val="none" w:sz="0" w:space="0" w:color="auto"/>
        <w:bottom w:val="none" w:sz="0" w:space="0" w:color="auto"/>
        <w:right w:val="none" w:sz="0" w:space="0" w:color="auto"/>
      </w:divBdr>
    </w:div>
    <w:div w:id="1701398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appendix-v-adverse-drug-reaction-reporting-details_en.doc" TargetMode="External"/><Relationship Id="rId18" Type="http://schemas.openxmlformats.org/officeDocument/2006/relationships/hyperlink" Target="mailto:NLinfo@celltrionhc.com" TargetMode="External"/><Relationship Id="rId26" Type="http://schemas.openxmlformats.org/officeDocument/2006/relationships/image" Target="media/image7.png"/><Relationship Id="rId39" Type="http://schemas.openxmlformats.org/officeDocument/2006/relationships/hyperlink" Target="mailto:infoDE@celltrionhc.com" TargetMode="External"/><Relationship Id="rId21" Type="http://schemas.openxmlformats.org/officeDocument/2006/relationships/hyperlink" Target="mailto:NLinfo@celltrionhc.com" TargetMode="External"/><Relationship Id="rId34" Type="http://schemas.openxmlformats.org/officeDocument/2006/relationships/image" Target="media/image15.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mailto:BEinfo@celltrionhc.com" TargetMode="External"/><Relationship Id="rId40" Type="http://schemas.openxmlformats.org/officeDocument/2006/relationships/hyperlink" Target="mailto:NLinfo@celltrionhc.com" TargetMode="External"/><Relationship Id="rId45" Type="http://schemas.openxmlformats.org/officeDocument/2006/relationships/image" Target="media/image20.png"/><Relationship Id="rId53" Type="http://schemas.openxmlformats.org/officeDocument/2006/relationships/image" Target="media/image28.png"/><Relationship Id="rId5" Type="http://schemas.openxmlformats.org/officeDocument/2006/relationships/customXml" Target="../customXml/item5.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ma.europa.eu/documents/template-form/appendix-v-adverse-drug-reaction-reporting-details_en.doc"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mailto:BEinfo@celltrionhc.com" TargetMode="External"/><Relationship Id="rId46" Type="http://schemas.openxmlformats.org/officeDocument/2006/relationships/image" Target="media/image21.png"/><Relationship Id="rId20" Type="http://schemas.openxmlformats.org/officeDocument/2006/relationships/hyperlink" Target="https://www.ema.europa.eu/documents/template-form/appendix-v-adverse-drug-reaction-reporting-details_en.doc" TargetMode="External"/><Relationship Id="rId41" Type="http://schemas.openxmlformats.org/officeDocument/2006/relationships/hyperlink" Target="https://www.ema.europa.e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documents/template-form/appendix-v-adverse-drug-reaction-reporting-details_en.doc"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www.ema.europa.eu/documents/template-form/appendix-v-adverse-drug-reaction-reporting-details_en.doc" TargetMode="External"/><Relationship Id="rId49" Type="http://schemas.openxmlformats.org/officeDocument/2006/relationships/image" Target="media/image24.pn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image" Target="media/image2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EMADOC-1700519818-2467755</_dlc_DocId>
    <_dlc_DocIdUrl xmlns="a034c160-bfb7-45f5-8632-2eb7e0508071">
      <Url>https://euema.sharepoint.com/sites/CRM/_layouts/15/DocIdRedir.aspx?ID=EMADOC-1700519818-2467755</Url>
      <Description>EMADOC-1700519818-2467755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E910-C3F4-4E42-9481-9B6B2003ED10}">
  <ds:schemaRefs>
    <ds:schemaRef ds:uri="http://schemas.microsoft.com/sharepoint/v3/contenttype/forms"/>
  </ds:schemaRefs>
</ds:datastoreItem>
</file>

<file path=customXml/itemProps2.xml><?xml version="1.0" encoding="utf-8"?>
<ds:datastoreItem xmlns:ds="http://schemas.openxmlformats.org/officeDocument/2006/customXml" ds:itemID="{3E9F5A74-66DA-4F67-9B22-4FE94264DDFA}"/>
</file>

<file path=customXml/itemProps3.xml><?xml version="1.0" encoding="utf-8"?>
<ds:datastoreItem xmlns:ds="http://schemas.openxmlformats.org/officeDocument/2006/customXml" ds:itemID="{05358E5A-FA24-47C3-B9A1-92B83247257C}">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4.xml><?xml version="1.0" encoding="utf-8"?>
<ds:datastoreItem xmlns:ds="http://schemas.openxmlformats.org/officeDocument/2006/customXml" ds:itemID="{576BD52F-071A-41BB-9B38-82B918CCE7BC}"/>
</file>

<file path=customXml/itemProps5.xml><?xml version="1.0" encoding="utf-8"?>
<ds:datastoreItem xmlns:ds="http://schemas.openxmlformats.org/officeDocument/2006/customXml" ds:itemID="{8A60884C-4441-4CDA-885B-F7E688050482}">
  <ds:schemaRefs>
    <ds:schemaRef ds:uri="http://schemas.openxmlformats.org/officeDocument/2006/bibliography"/>
  </ds:schemaRefs>
</ds:datastoreItem>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198</Pages>
  <Words>69414</Words>
  <Characters>410931</Characters>
  <Application>Microsoft Office Word</Application>
  <DocSecurity>0</DocSecurity>
  <Lines>25683</Lines>
  <Paragraphs>16563</Paragraphs>
  <ScaleCrop>false</ScaleCrop>
  <HeadingPairs>
    <vt:vector size="2" baseType="variant">
      <vt:variant>
        <vt:lpstr>제목</vt:lpstr>
      </vt:variant>
      <vt:variant>
        <vt:i4>1</vt:i4>
      </vt:variant>
    </vt:vector>
  </HeadingPairs>
  <TitlesOfParts>
    <vt:vector size="1" baseType="lpstr">
      <vt:lpstr>Avtozma, INN-tocilizumab</vt:lpstr>
    </vt:vector>
  </TitlesOfParts>
  <Company/>
  <LinksUpToDate>false</LinksUpToDate>
  <CharactersWithSpaces>463782</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2490456</vt:i4>
      </vt:variant>
      <vt:variant>
        <vt:i4>30</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27</vt:i4>
      </vt:variant>
      <vt:variant>
        <vt:i4>0</vt:i4>
      </vt:variant>
      <vt:variant>
        <vt:i4>5</vt:i4>
      </vt:variant>
      <vt:variant>
        <vt:lpwstr>http://www.ema.europa.eu/</vt:lpwstr>
      </vt:variant>
      <vt:variant>
        <vt:lpwstr/>
      </vt:variant>
      <vt:variant>
        <vt:i4>2490456</vt:i4>
      </vt:variant>
      <vt:variant>
        <vt:i4>24</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21</vt:i4>
      </vt:variant>
      <vt:variant>
        <vt:i4>0</vt:i4>
      </vt:variant>
      <vt:variant>
        <vt:i4>5</vt:i4>
      </vt:variant>
      <vt:variant>
        <vt:lpwstr>http://www.ema.europa.eu/</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Avtozma, INN-tocilizumab</dc:title>
  <dc:subject>EPAR</dc:subject>
  <dc:creator/>
  <cp:keywords>Avtozma, INN-tocilizumab</cp:keywords>
  <cp:lastModifiedBy/>
  <cp:revision>1</cp:revision>
  <dcterms:created xsi:type="dcterms:W3CDTF">2025-07-11T13:35:00Z</dcterms:created>
  <dcterms:modified xsi:type="dcterms:W3CDTF">2025-08-27T06:45:00Z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f9712c40-de66-40f0-98db-802c6a9b82cb</vt:lpwstr>
  </property>
  <property fmtid="{D5CDD505-2E9C-101B-9397-08002B2CF9AE}" pid="4" name="MediaServiceImageTags">
    <vt:lpwstr/>
  </property>
</Properties>
</file>