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2BF11" w14:textId="41C70F6F" w:rsidR="000D21AF" w:rsidRPr="0070444C" w:rsidRDefault="008D11DD" w:rsidP="000D21AF">
      <w:pPr>
        <w:rPr>
          <w:lang w:val="pl-PL"/>
        </w:rPr>
      </w:pPr>
      <w:ins w:id="0" w:author="Author">
        <w:r>
          <w:rPr>
            <w:noProof/>
            <w:sz w:val="24"/>
            <w:szCs w:val="24"/>
            <w:lang w:eastAsia="ko-KR"/>
          </w:rPr>
          <mc:AlternateContent>
            <mc:Choice Requires="wps">
              <w:drawing>
                <wp:anchor distT="0" distB="0" distL="114300" distR="114300" simplePos="0" relativeHeight="251659264" behindDoc="0" locked="0" layoutInCell="1" allowOverlap="1" wp14:anchorId="0CA7F190" wp14:editId="21EAEBCB">
                  <wp:simplePos x="0" y="0"/>
                  <wp:positionH relativeFrom="margin">
                    <wp:posOffset>0</wp:posOffset>
                  </wp:positionH>
                  <wp:positionV relativeFrom="paragraph">
                    <wp:posOffset>-635</wp:posOffset>
                  </wp:positionV>
                  <wp:extent cx="6737350" cy="1109980"/>
                  <wp:effectExtent l="0" t="0" r="25400" b="13970"/>
                  <wp:wrapNone/>
                  <wp:docPr id="3" name="Text Box 3"/>
                  <wp:cNvGraphicFramePr/>
                  <a:graphic xmlns:a="http://schemas.openxmlformats.org/drawingml/2006/main">
                    <a:graphicData uri="http://schemas.microsoft.com/office/word/2010/wordprocessingShape">
                      <wps:wsp>
                        <wps:cNvSpPr txBox="1"/>
                        <wps:spPr>
                          <a:xfrm>
                            <a:off x="0" y="0"/>
                            <a:ext cx="5949950" cy="1109980"/>
                          </a:xfrm>
                          <a:prstGeom prst="rect">
                            <a:avLst/>
                          </a:prstGeom>
                          <a:solidFill>
                            <a:schemeClr val="lt1"/>
                          </a:solidFill>
                          <a:ln w="6350">
                            <a:solidFill>
                              <a:prstClr val="black"/>
                            </a:solidFill>
                          </a:ln>
                        </wps:spPr>
                        <wps:txbx>
                          <w:txbxContent>
                            <w:p w14:paraId="7E63A299" w14:textId="2DCB93E5" w:rsidR="008D11DD" w:rsidRDefault="008D11DD" w:rsidP="008D11DD">
                              <w:pPr>
                                <w:widowControl w:val="0"/>
                              </w:pPr>
                              <w:r>
                                <w:t>Niniejszy dokument to zatwierdzone druki informacyjne dla leku Aybintio z wyróżnionymi zmianami wprowadzonymi od czasu poprzedniej procedury, mającymi wpływ na druki informacyjne (</w:t>
                              </w:r>
                              <w:r w:rsidRPr="008D11DD">
                                <w:t>EMA/VR/0000281387</w:t>
                              </w:r>
                              <w:r>
                                <w:t>).</w:t>
                              </w:r>
                            </w:p>
                            <w:p w14:paraId="4F61BC52" w14:textId="77777777" w:rsidR="008D11DD" w:rsidRDefault="008D11DD" w:rsidP="008D11DD">
                              <w:pPr>
                                <w:widowControl w:val="0"/>
                              </w:pPr>
                            </w:p>
                            <w:p w14:paraId="73826FA0" w14:textId="77777777" w:rsidR="008D11DD" w:rsidRDefault="008D11DD" w:rsidP="008D11DD">
                              <w:r>
                                <w:t>Więcej informacji znajduje się na stronie internetowej Europejskiej Agencji Leków: https://www.ema.europa.eu/en/medicines/human/EPAR/Aybintio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CA7F190" id="_x0000_t202" coordsize="21600,21600" o:spt="202" path="m,l,21600r21600,l21600,xe">
                  <v:stroke joinstyle="miter"/>
                  <v:path gradientshapeok="t" o:connecttype="rect"/>
                </v:shapetype>
                <v:shape id="Text Box 3" o:spid="_x0000_s1026" type="#_x0000_t202" style="position:absolute;margin-left:0;margin-top:-.05pt;width:530.5pt;height:87.4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" fillcolor="white [3201]" strokeweight=".5pt">
                  <v:textbox>
                    <w:txbxContent>
                      <w:p w14:paraId="7E63A299" w14:textId="2DCB93E5" w:rsidR="008D11DD" w:rsidRDefault="008D11DD" w:rsidP="008D11DD">
                        <w:pPr>
                          <w:widowControl w:val="0"/>
                        </w:pPr>
                        <w:r>
                          <w:t>Niniejszy dokument to zatwierdzone druki informacyjne dla leku Aybintio z wyróżnionymi zmianami wprowadzonymi od czasu poprzedniej procedury, mającymi wpływ na druki informacyjne (</w:t>
                        </w:r>
                        <w:r w:rsidRPr="008D11DD">
                          <w:t>EMA/VR/0000281387</w:t>
                        </w:r>
                        <w:r>
                          <w:t>).</w:t>
                        </w:r>
                      </w:p>
                      <w:p w14:paraId="4F61BC52" w14:textId="77777777" w:rsidR="008D11DD" w:rsidRDefault="008D11DD" w:rsidP="008D11DD">
                        <w:pPr>
                          <w:widowControl w:val="0"/>
                        </w:pPr>
                      </w:p>
                      <w:p w14:paraId="73826FA0" w14:textId="77777777" w:rsidR="008D11DD" w:rsidRDefault="008D11DD" w:rsidP="008D11DD">
                        <w:r>
                          <w:t>Więcej informacji znajduje się na stronie internetowej Europejskiej Agencji Leków: https://www.ema.europa.eu/en/medicines/human/EPAR/Aybintio</w:t>
                        </w:r>
                      </w:p>
                    </w:txbxContent>
                  </v:textbox>
                  <w10:wrap anchorx="margin"/>
                </v:shape>
              </w:pict>
            </mc:Fallback>
          </mc:AlternateContent>
        </w:r>
      </w:ins>
    </w:p>
    <w:p w14:paraId="57589BD5" w14:textId="77777777" w:rsidR="000D21AF" w:rsidRPr="0015541C" w:rsidRDefault="000D21AF" w:rsidP="000D21AF">
      <w:pPr>
        <w:rPr>
          <w:lang w:val="pl-PL"/>
        </w:rPr>
      </w:pPr>
    </w:p>
    <w:p w14:paraId="7D5F1E1B" w14:textId="77777777" w:rsidR="000D21AF" w:rsidRPr="0015541C" w:rsidRDefault="000D21AF" w:rsidP="000D21AF">
      <w:pPr>
        <w:rPr>
          <w:lang w:val="pl-PL"/>
        </w:rPr>
      </w:pPr>
    </w:p>
    <w:p w14:paraId="4512E8F2" w14:textId="77777777" w:rsidR="000D21AF" w:rsidRPr="0015541C" w:rsidRDefault="000D21AF" w:rsidP="000D21AF">
      <w:pPr>
        <w:rPr>
          <w:lang w:val="pl-PL"/>
        </w:rPr>
      </w:pPr>
    </w:p>
    <w:p w14:paraId="017F5E90" w14:textId="77777777" w:rsidR="000D21AF" w:rsidRPr="0015541C" w:rsidRDefault="000D21AF" w:rsidP="000D21AF">
      <w:pPr>
        <w:rPr>
          <w:lang w:val="pl-PL"/>
        </w:rPr>
      </w:pPr>
    </w:p>
    <w:p w14:paraId="0E5B7B34" w14:textId="77777777" w:rsidR="000D21AF" w:rsidRPr="0015541C" w:rsidRDefault="000D21AF" w:rsidP="000D21AF">
      <w:pPr>
        <w:rPr>
          <w:lang w:val="pl-PL"/>
        </w:rPr>
      </w:pPr>
    </w:p>
    <w:p w14:paraId="669238E8" w14:textId="77777777" w:rsidR="000D21AF" w:rsidRPr="0015541C" w:rsidRDefault="000D21AF" w:rsidP="000D21AF">
      <w:pPr>
        <w:rPr>
          <w:lang w:val="pl-PL"/>
        </w:rPr>
      </w:pPr>
    </w:p>
    <w:p w14:paraId="129DF869" w14:textId="77777777" w:rsidR="000D21AF" w:rsidRPr="0015541C" w:rsidRDefault="000D21AF" w:rsidP="000D21AF">
      <w:pPr>
        <w:rPr>
          <w:lang w:val="pl-PL"/>
        </w:rPr>
      </w:pPr>
    </w:p>
    <w:p w14:paraId="514F80F3" w14:textId="77777777" w:rsidR="000D21AF" w:rsidRPr="0015541C" w:rsidRDefault="000D21AF" w:rsidP="000D21AF">
      <w:pPr>
        <w:rPr>
          <w:lang w:val="pl-PL"/>
        </w:rPr>
      </w:pPr>
    </w:p>
    <w:p w14:paraId="7212DBF1" w14:textId="77777777" w:rsidR="000D21AF" w:rsidRPr="0015541C" w:rsidRDefault="000D21AF" w:rsidP="000D21AF">
      <w:pPr>
        <w:rPr>
          <w:lang w:val="pl-PL"/>
        </w:rPr>
      </w:pPr>
    </w:p>
    <w:p w14:paraId="588C9B72" w14:textId="77777777" w:rsidR="000D21AF" w:rsidRPr="0015541C" w:rsidRDefault="000D21AF" w:rsidP="000D21AF">
      <w:pPr>
        <w:rPr>
          <w:lang w:val="pl-PL"/>
        </w:rPr>
      </w:pPr>
    </w:p>
    <w:p w14:paraId="253437A9" w14:textId="77777777" w:rsidR="000D21AF" w:rsidRPr="0015541C" w:rsidRDefault="000D21AF" w:rsidP="000D21AF">
      <w:pPr>
        <w:rPr>
          <w:lang w:val="pl-PL"/>
        </w:rPr>
      </w:pPr>
    </w:p>
    <w:p w14:paraId="5F4820AA" w14:textId="77777777" w:rsidR="000D21AF" w:rsidRPr="0015541C" w:rsidRDefault="000D21AF" w:rsidP="000D21AF">
      <w:pPr>
        <w:rPr>
          <w:lang w:val="pl-PL"/>
        </w:rPr>
      </w:pPr>
    </w:p>
    <w:p w14:paraId="6D1A0487" w14:textId="77777777" w:rsidR="000D21AF" w:rsidRPr="0015541C" w:rsidRDefault="000D21AF" w:rsidP="000D21AF">
      <w:pPr>
        <w:rPr>
          <w:lang w:val="pl-PL"/>
        </w:rPr>
      </w:pPr>
    </w:p>
    <w:p w14:paraId="1A2CA907" w14:textId="77777777" w:rsidR="000D21AF" w:rsidRPr="0015541C" w:rsidRDefault="000D21AF" w:rsidP="000D21AF">
      <w:pPr>
        <w:rPr>
          <w:lang w:val="pl-PL"/>
        </w:rPr>
      </w:pPr>
    </w:p>
    <w:p w14:paraId="3E5D404B" w14:textId="77777777" w:rsidR="000D21AF" w:rsidRPr="0015541C" w:rsidRDefault="000D21AF" w:rsidP="000D21AF">
      <w:pPr>
        <w:rPr>
          <w:lang w:val="pl-PL"/>
        </w:rPr>
      </w:pPr>
    </w:p>
    <w:p w14:paraId="1A78536B" w14:textId="77777777" w:rsidR="000D21AF" w:rsidRPr="0015541C" w:rsidRDefault="000D21AF" w:rsidP="000D21AF">
      <w:pPr>
        <w:rPr>
          <w:lang w:val="pl-PL"/>
        </w:rPr>
      </w:pPr>
    </w:p>
    <w:p w14:paraId="1524DF01" w14:textId="77777777" w:rsidR="000D21AF" w:rsidRPr="0015541C" w:rsidRDefault="000D21AF" w:rsidP="000D21AF">
      <w:pPr>
        <w:rPr>
          <w:lang w:val="pl-PL"/>
        </w:rPr>
      </w:pPr>
    </w:p>
    <w:p w14:paraId="428BE681" w14:textId="77777777" w:rsidR="000D21AF" w:rsidRPr="0015541C" w:rsidRDefault="000D21AF" w:rsidP="000D21AF">
      <w:pPr>
        <w:rPr>
          <w:lang w:val="pl-PL"/>
        </w:rPr>
      </w:pPr>
    </w:p>
    <w:p w14:paraId="0C16C519" w14:textId="77777777" w:rsidR="000D21AF" w:rsidRPr="0015541C" w:rsidRDefault="000D21AF" w:rsidP="000D21AF">
      <w:pPr>
        <w:rPr>
          <w:lang w:val="pl-PL"/>
        </w:rPr>
      </w:pPr>
    </w:p>
    <w:p w14:paraId="60940894" w14:textId="77777777" w:rsidR="000D21AF" w:rsidRPr="0015541C" w:rsidRDefault="000D21AF" w:rsidP="008C7652">
      <w:pPr>
        <w:rPr>
          <w:lang w:val="pl-PL"/>
        </w:rPr>
      </w:pPr>
    </w:p>
    <w:p w14:paraId="2A19EDF5" w14:textId="77777777" w:rsidR="000D21AF" w:rsidRPr="0015541C" w:rsidRDefault="000D21AF" w:rsidP="000D21AF">
      <w:pPr>
        <w:rPr>
          <w:lang w:val="pl-PL"/>
        </w:rPr>
      </w:pPr>
    </w:p>
    <w:p w14:paraId="3FCAA1D3" w14:textId="77777777" w:rsidR="000D21AF" w:rsidRPr="0015541C" w:rsidRDefault="000D21AF" w:rsidP="000D21AF">
      <w:pPr>
        <w:rPr>
          <w:lang w:val="pl-PL"/>
        </w:rPr>
      </w:pPr>
    </w:p>
    <w:p w14:paraId="5BAF02FA" w14:textId="77777777" w:rsidR="000D21AF" w:rsidRPr="0015541C" w:rsidRDefault="000D21AF" w:rsidP="009D4BED">
      <w:pPr>
        <w:jc w:val="center"/>
        <w:rPr>
          <w:b/>
          <w:lang w:val="pl-PL"/>
        </w:rPr>
      </w:pPr>
      <w:r w:rsidRPr="0015541C">
        <w:rPr>
          <w:b/>
          <w:lang w:val="pl-PL"/>
        </w:rPr>
        <w:t>ANEKS I</w:t>
      </w:r>
    </w:p>
    <w:p w14:paraId="64121D2A" w14:textId="77777777" w:rsidR="000D21AF" w:rsidRPr="0015541C" w:rsidRDefault="000D21AF" w:rsidP="000D21AF">
      <w:pPr>
        <w:jc w:val="center"/>
        <w:rPr>
          <w:b/>
          <w:lang w:val="pl-PL"/>
        </w:rPr>
      </w:pPr>
    </w:p>
    <w:p w14:paraId="25F5C720" w14:textId="77777777" w:rsidR="000D21AF" w:rsidRPr="0015541C" w:rsidRDefault="000D21AF" w:rsidP="009D4BED">
      <w:pPr>
        <w:pStyle w:val="Annex"/>
        <w:rPr>
          <w:lang w:val="pl-PL"/>
        </w:rPr>
      </w:pPr>
      <w:r w:rsidRPr="0015541C">
        <w:rPr>
          <w:lang w:val="pl-PL"/>
        </w:rPr>
        <w:t>CHARAKTERYSTYKA PRODUKTU LECZNICZEGO</w:t>
      </w:r>
    </w:p>
    <w:p w14:paraId="60E4DB8F" w14:textId="77777777" w:rsidR="000D21AF" w:rsidRPr="0015541C" w:rsidRDefault="000D21AF" w:rsidP="000D21AF">
      <w:pPr>
        <w:jc w:val="center"/>
        <w:rPr>
          <w:b/>
          <w:lang w:val="pl-PL"/>
        </w:rPr>
      </w:pPr>
    </w:p>
    <w:p w14:paraId="46C7DAFC" w14:textId="77777777" w:rsidR="000D21AF" w:rsidRPr="0015541C" w:rsidRDefault="000D21AF" w:rsidP="000D21AF">
      <w:pPr>
        <w:jc w:val="center"/>
        <w:rPr>
          <w:b/>
          <w:lang w:val="pl-PL"/>
        </w:rPr>
      </w:pPr>
    </w:p>
    <w:p w14:paraId="7C28CDCF" w14:textId="7C4DDF8F" w:rsidR="00767B02" w:rsidRPr="0015541C" w:rsidRDefault="000D21AF" w:rsidP="00767B02">
      <w:pPr>
        <w:rPr>
          <w:bCs/>
          <w:color w:val="00B050"/>
          <w:szCs w:val="22"/>
          <w:lang w:val="pl-PL"/>
        </w:rPr>
      </w:pPr>
      <w:r w:rsidRPr="0015541C">
        <w:rPr>
          <w:b/>
          <w:lang w:val="pl-PL"/>
        </w:rPr>
        <w:br w:type="page"/>
      </w:r>
    </w:p>
    <w:p w14:paraId="7257EC25" w14:textId="77777777" w:rsidR="00994050" w:rsidRPr="0015541C" w:rsidRDefault="00994050" w:rsidP="00994050">
      <w:pPr>
        <w:ind w:left="567" w:hanging="567"/>
        <w:rPr>
          <w:b/>
          <w:lang w:val="pl-PL"/>
        </w:rPr>
      </w:pPr>
      <w:r w:rsidRPr="0015541C">
        <w:rPr>
          <w:b/>
          <w:lang w:val="pl-PL"/>
        </w:rPr>
        <w:lastRenderedPageBreak/>
        <w:t>1.</w:t>
      </w:r>
      <w:r w:rsidR="000C0E61" w:rsidRPr="0015541C">
        <w:rPr>
          <w:b/>
          <w:lang w:val="pl-PL"/>
        </w:rPr>
        <w:tab/>
      </w:r>
      <w:r w:rsidRPr="0015541C">
        <w:rPr>
          <w:b/>
          <w:lang w:val="pl-PL"/>
        </w:rPr>
        <w:t>NAZWA PRODUKTU LECZNICZEGO</w:t>
      </w:r>
    </w:p>
    <w:p w14:paraId="320B32AA" w14:textId="77777777" w:rsidR="00994050" w:rsidRPr="0015541C" w:rsidRDefault="00994050" w:rsidP="000C05AB">
      <w:pPr>
        <w:rPr>
          <w:lang w:val="pl-PL"/>
        </w:rPr>
      </w:pPr>
    </w:p>
    <w:p w14:paraId="72A37AE6" w14:textId="77777777" w:rsidR="00994050" w:rsidRPr="0015541C" w:rsidRDefault="00C87F12" w:rsidP="00994050">
      <w:pPr>
        <w:rPr>
          <w:lang w:val="pl-PL"/>
        </w:rPr>
      </w:pPr>
      <w:r w:rsidRPr="0015541C">
        <w:rPr>
          <w:lang w:val="pl-PL"/>
        </w:rPr>
        <w:t>Aybintio</w:t>
      </w:r>
      <w:r w:rsidR="00994050" w:rsidRPr="0015541C">
        <w:rPr>
          <w:lang w:val="pl-PL"/>
        </w:rPr>
        <w:t xml:space="preserve"> 25 mg/ml koncentrat do sporządzania roztworu do infuzji.</w:t>
      </w:r>
    </w:p>
    <w:p w14:paraId="04AEACEA" w14:textId="77777777" w:rsidR="00994050" w:rsidRPr="0015541C" w:rsidRDefault="00994050" w:rsidP="00994050">
      <w:pPr>
        <w:rPr>
          <w:lang w:val="pl-PL"/>
        </w:rPr>
      </w:pPr>
    </w:p>
    <w:p w14:paraId="3C2C3B17" w14:textId="77777777" w:rsidR="00994050" w:rsidRPr="0015541C" w:rsidRDefault="00994050" w:rsidP="00994050">
      <w:pPr>
        <w:rPr>
          <w:lang w:val="pl-PL"/>
        </w:rPr>
      </w:pPr>
    </w:p>
    <w:p w14:paraId="07E3B009" w14:textId="77777777" w:rsidR="00994050" w:rsidRPr="0015541C" w:rsidRDefault="00994050" w:rsidP="00994050">
      <w:pPr>
        <w:ind w:left="567" w:hanging="567"/>
        <w:rPr>
          <w:b/>
          <w:lang w:val="pl-PL"/>
        </w:rPr>
      </w:pPr>
      <w:r w:rsidRPr="0015541C">
        <w:rPr>
          <w:b/>
          <w:lang w:val="pl-PL"/>
        </w:rPr>
        <w:t>2.</w:t>
      </w:r>
      <w:r w:rsidRPr="0015541C">
        <w:rPr>
          <w:b/>
          <w:lang w:val="pl-PL"/>
        </w:rPr>
        <w:tab/>
        <w:t>SKŁAD JAKOŚCIOWY I ILOŚCIOWY</w:t>
      </w:r>
    </w:p>
    <w:p w14:paraId="44E4F21B" w14:textId="77777777" w:rsidR="00994050" w:rsidRPr="0015541C" w:rsidRDefault="00994050" w:rsidP="00994050">
      <w:pPr>
        <w:rPr>
          <w:lang w:val="pl-PL"/>
        </w:rPr>
      </w:pPr>
    </w:p>
    <w:p w14:paraId="1E28CF6D" w14:textId="77777777" w:rsidR="00CE6A95" w:rsidRPr="0015541C" w:rsidRDefault="00CE6A95" w:rsidP="00994050">
      <w:pPr>
        <w:rPr>
          <w:lang w:val="pl-PL"/>
        </w:rPr>
      </w:pPr>
      <w:r w:rsidRPr="0015541C">
        <w:rPr>
          <w:lang w:val="pl-PL"/>
        </w:rPr>
        <w:t xml:space="preserve">Każdy mililitr </w:t>
      </w:r>
      <w:r w:rsidR="00322F2C" w:rsidRPr="0015541C">
        <w:rPr>
          <w:lang w:val="pl-PL"/>
        </w:rPr>
        <w:t xml:space="preserve">koncentratu </w:t>
      </w:r>
      <w:r w:rsidRPr="0015541C">
        <w:rPr>
          <w:lang w:val="pl-PL"/>
        </w:rPr>
        <w:t>zawiera 25 mg bewac</w:t>
      </w:r>
      <w:r w:rsidR="002E1129" w:rsidRPr="0015541C">
        <w:rPr>
          <w:lang w:val="pl-PL"/>
        </w:rPr>
        <w:t>y</w:t>
      </w:r>
      <w:r w:rsidRPr="0015541C">
        <w:rPr>
          <w:lang w:val="pl-PL"/>
        </w:rPr>
        <w:t>zumabu</w:t>
      </w:r>
      <w:r w:rsidR="00322F2C" w:rsidRPr="0015541C">
        <w:rPr>
          <w:lang w:val="pl-PL"/>
        </w:rPr>
        <w:t>*</w:t>
      </w:r>
      <w:r w:rsidRPr="0015541C">
        <w:rPr>
          <w:lang w:val="pl-PL"/>
        </w:rPr>
        <w:t>.</w:t>
      </w:r>
    </w:p>
    <w:p w14:paraId="1EAA455E" w14:textId="77777777" w:rsidR="00994050" w:rsidRPr="0015541C" w:rsidRDefault="00994050" w:rsidP="00994050">
      <w:pPr>
        <w:rPr>
          <w:lang w:val="pl-PL"/>
        </w:rPr>
      </w:pPr>
      <w:r w:rsidRPr="0015541C">
        <w:rPr>
          <w:lang w:val="pl-PL"/>
        </w:rPr>
        <w:t xml:space="preserve">Każda fiolka </w:t>
      </w:r>
      <w:r w:rsidR="00514F1C" w:rsidRPr="0015541C">
        <w:rPr>
          <w:lang w:val="pl-PL"/>
        </w:rPr>
        <w:t>o objętości 4</w:t>
      </w:r>
      <w:r w:rsidR="00685C01" w:rsidRPr="0015541C">
        <w:rPr>
          <w:lang w:val="pl-PL"/>
        </w:rPr>
        <w:t> ml</w:t>
      </w:r>
      <w:r w:rsidR="00514F1C" w:rsidRPr="0015541C">
        <w:rPr>
          <w:lang w:val="pl-PL"/>
        </w:rPr>
        <w:t xml:space="preserve"> </w:t>
      </w:r>
      <w:r w:rsidRPr="0015541C">
        <w:rPr>
          <w:lang w:val="pl-PL"/>
        </w:rPr>
        <w:t>zawiera 100 mg bewacyzumabu</w:t>
      </w:r>
      <w:r w:rsidR="00CE6A95" w:rsidRPr="0015541C">
        <w:rPr>
          <w:lang w:val="pl-PL"/>
        </w:rPr>
        <w:t>.</w:t>
      </w:r>
    </w:p>
    <w:p w14:paraId="0533E68B" w14:textId="77777777" w:rsidR="00514F1C" w:rsidRPr="0015541C" w:rsidRDefault="00514F1C" w:rsidP="00514F1C">
      <w:pPr>
        <w:rPr>
          <w:lang w:val="pl-PL"/>
        </w:rPr>
      </w:pPr>
      <w:r w:rsidRPr="0015541C">
        <w:rPr>
          <w:lang w:val="pl-PL"/>
        </w:rPr>
        <w:t>Każda fiolka o objętości 16 ml zawiera 400 mg bewacyzumabu.</w:t>
      </w:r>
    </w:p>
    <w:p w14:paraId="3320093C" w14:textId="77777777" w:rsidR="00994050" w:rsidRPr="0015541C" w:rsidRDefault="00C4271B" w:rsidP="00994050">
      <w:pPr>
        <w:rPr>
          <w:lang w:val="pl-PL"/>
        </w:rPr>
      </w:pPr>
      <w:r w:rsidRPr="0015541C">
        <w:rPr>
          <w:lang w:val="pl-PL"/>
        </w:rPr>
        <w:t>Zalecenia dotyczące rozcieńczania i przygotowania produktu leczniczego do stosowania, patrz punkt</w:t>
      </w:r>
      <w:r w:rsidR="00C25809" w:rsidRPr="0015541C">
        <w:rPr>
          <w:lang w:val="pl-PL"/>
        </w:rPr>
        <w:t> </w:t>
      </w:r>
      <w:r w:rsidRPr="0015541C">
        <w:rPr>
          <w:lang w:val="pl-PL"/>
        </w:rPr>
        <w:t>6.6.</w:t>
      </w:r>
    </w:p>
    <w:p w14:paraId="6F0F191D" w14:textId="77777777" w:rsidR="00C4271B" w:rsidRPr="0015541C" w:rsidRDefault="00C4271B" w:rsidP="00994050">
      <w:pPr>
        <w:rPr>
          <w:lang w:val="pl-PL"/>
        </w:rPr>
      </w:pPr>
    </w:p>
    <w:p w14:paraId="314350F7" w14:textId="77777777" w:rsidR="00994050" w:rsidRPr="0015541C" w:rsidRDefault="00322F2C" w:rsidP="00994050">
      <w:pPr>
        <w:rPr>
          <w:lang w:val="pl-PL"/>
        </w:rPr>
      </w:pPr>
      <w:r w:rsidRPr="0015541C">
        <w:rPr>
          <w:lang w:val="pl-PL"/>
        </w:rPr>
        <w:t>*</w:t>
      </w:r>
      <w:r w:rsidR="00994050" w:rsidRPr="0015541C">
        <w:rPr>
          <w:lang w:val="pl-PL"/>
        </w:rPr>
        <w:t xml:space="preserve">Bewacyzumab jest rekombinowanym, humanizowanym przeciwciałem monoklonalnym produkowanym z użyciem technologii DNA, </w:t>
      </w:r>
      <w:r w:rsidR="00706008" w:rsidRPr="0015541C">
        <w:rPr>
          <w:lang w:val="pl-PL"/>
        </w:rPr>
        <w:t>w</w:t>
      </w:r>
      <w:r w:rsidR="002E1129" w:rsidRPr="0015541C">
        <w:rPr>
          <w:lang w:val="pl-PL"/>
        </w:rPr>
        <w:t xml:space="preserve"> komórkach</w:t>
      </w:r>
      <w:r w:rsidR="00994050" w:rsidRPr="0015541C">
        <w:rPr>
          <w:lang w:val="pl-PL"/>
        </w:rPr>
        <w:t xml:space="preserve"> jajnika chomika chińskiego.</w:t>
      </w:r>
    </w:p>
    <w:p w14:paraId="335AA2B6" w14:textId="77777777" w:rsidR="00640E8D" w:rsidRDefault="00640E8D" w:rsidP="00640E8D">
      <w:pPr>
        <w:rPr>
          <w:lang w:val="pl-PL"/>
        </w:rPr>
      </w:pPr>
    </w:p>
    <w:p w14:paraId="3720E068" w14:textId="77777777" w:rsidR="00640E8D" w:rsidRPr="002432F6" w:rsidRDefault="00640E8D" w:rsidP="00640E8D">
      <w:pPr>
        <w:rPr>
          <w:u w:val="single"/>
          <w:lang w:val="pl-PL"/>
        </w:rPr>
      </w:pPr>
      <w:r w:rsidRPr="002432F6">
        <w:rPr>
          <w:u w:val="single"/>
          <w:lang w:val="pl-PL"/>
        </w:rPr>
        <w:t>Substancje pomocnicze o znanym działaniu</w:t>
      </w:r>
    </w:p>
    <w:p w14:paraId="034DC9C8" w14:textId="77777777" w:rsidR="00640E8D" w:rsidRDefault="00640E8D" w:rsidP="00640E8D">
      <w:pPr>
        <w:rPr>
          <w:lang w:val="pl-PL"/>
        </w:rPr>
      </w:pPr>
      <w:r>
        <w:rPr>
          <w:lang w:val="pl-PL"/>
        </w:rPr>
        <w:t>Każda fiolka o objętości 4 ml zawiera 1,6 mg polisorbatu 20.</w:t>
      </w:r>
    </w:p>
    <w:p w14:paraId="5A42A285" w14:textId="77777777" w:rsidR="00640E8D" w:rsidRDefault="00640E8D" w:rsidP="00640E8D">
      <w:pPr>
        <w:rPr>
          <w:lang w:val="pl-PL"/>
        </w:rPr>
      </w:pPr>
      <w:r>
        <w:rPr>
          <w:lang w:val="pl-PL"/>
        </w:rPr>
        <w:t>Każda fiolka o objętości 16 ml zawiera 6,4 mg polisorbatu 20.</w:t>
      </w:r>
    </w:p>
    <w:p w14:paraId="44BFEA28" w14:textId="77777777" w:rsidR="00640E8D" w:rsidRPr="0015541C" w:rsidRDefault="00640E8D" w:rsidP="00994050">
      <w:pPr>
        <w:rPr>
          <w:lang w:val="pl-PL"/>
        </w:rPr>
      </w:pPr>
    </w:p>
    <w:p w14:paraId="7331491F" w14:textId="77777777" w:rsidR="00994050" w:rsidRPr="0015541C" w:rsidRDefault="00994050" w:rsidP="00994050">
      <w:pPr>
        <w:rPr>
          <w:lang w:val="pl-PL"/>
        </w:rPr>
      </w:pPr>
      <w:r w:rsidRPr="0015541C">
        <w:rPr>
          <w:lang w:val="pl-PL"/>
        </w:rPr>
        <w:t xml:space="preserve">Pełny wykaz substancji pomocniczych, patrz punkt 6.1. </w:t>
      </w:r>
    </w:p>
    <w:p w14:paraId="44CF2478" w14:textId="77777777" w:rsidR="00994050" w:rsidRPr="0015541C" w:rsidRDefault="00994050" w:rsidP="00994050">
      <w:pPr>
        <w:rPr>
          <w:lang w:val="pl-PL"/>
        </w:rPr>
      </w:pPr>
    </w:p>
    <w:p w14:paraId="59B6F352" w14:textId="77777777" w:rsidR="00994050" w:rsidRPr="0015541C" w:rsidRDefault="00994050" w:rsidP="0029679C">
      <w:pPr>
        <w:tabs>
          <w:tab w:val="left" w:pos="540"/>
        </w:tabs>
        <w:rPr>
          <w:lang w:val="pl-PL"/>
        </w:rPr>
      </w:pPr>
    </w:p>
    <w:p w14:paraId="5AA187EC" w14:textId="77777777" w:rsidR="00994050" w:rsidRPr="0015541C" w:rsidRDefault="00994050" w:rsidP="00994050">
      <w:pPr>
        <w:ind w:left="567" w:hanging="567"/>
        <w:rPr>
          <w:b/>
          <w:lang w:val="pl-PL"/>
        </w:rPr>
      </w:pPr>
      <w:r w:rsidRPr="0015541C">
        <w:rPr>
          <w:b/>
          <w:lang w:val="pl-PL"/>
        </w:rPr>
        <w:t>3.</w:t>
      </w:r>
      <w:r w:rsidRPr="0015541C">
        <w:rPr>
          <w:b/>
          <w:lang w:val="pl-PL"/>
        </w:rPr>
        <w:tab/>
        <w:t>POSTAĆ FARMACEUTYCZNA</w:t>
      </w:r>
    </w:p>
    <w:p w14:paraId="01E86199" w14:textId="77777777" w:rsidR="00994050" w:rsidRPr="0015541C" w:rsidRDefault="00994050" w:rsidP="00994050">
      <w:pPr>
        <w:rPr>
          <w:lang w:val="pl-PL"/>
        </w:rPr>
      </w:pPr>
    </w:p>
    <w:p w14:paraId="4AF4DD88" w14:textId="430327A5" w:rsidR="00994050" w:rsidRPr="0015541C" w:rsidRDefault="00994050" w:rsidP="00994050">
      <w:pPr>
        <w:rPr>
          <w:lang w:val="pl-PL"/>
        </w:rPr>
      </w:pPr>
      <w:r w:rsidRPr="0015541C">
        <w:rPr>
          <w:lang w:val="pl-PL"/>
        </w:rPr>
        <w:t>Koncentrat do sporządzania roztworu do infuzji</w:t>
      </w:r>
      <w:r w:rsidR="00A251D8" w:rsidRPr="0015541C">
        <w:rPr>
          <w:lang w:val="pl-PL"/>
        </w:rPr>
        <w:t xml:space="preserve"> (jałowy koncentrat)</w:t>
      </w:r>
      <w:r w:rsidRPr="0015541C">
        <w:rPr>
          <w:lang w:val="pl-PL"/>
        </w:rPr>
        <w:t>.</w:t>
      </w:r>
    </w:p>
    <w:p w14:paraId="2EE39808" w14:textId="77777777" w:rsidR="001031A5" w:rsidRPr="0015541C" w:rsidRDefault="001031A5" w:rsidP="00994050">
      <w:pPr>
        <w:rPr>
          <w:lang w:val="pl-PL"/>
        </w:rPr>
      </w:pPr>
    </w:p>
    <w:p w14:paraId="6C4C2B6B" w14:textId="77777777" w:rsidR="00994050" w:rsidRPr="0015541C" w:rsidRDefault="00994050" w:rsidP="00994050">
      <w:pPr>
        <w:rPr>
          <w:lang w:val="pl-PL"/>
        </w:rPr>
      </w:pPr>
      <w:r w:rsidRPr="0015541C">
        <w:rPr>
          <w:lang w:val="pl-PL"/>
        </w:rPr>
        <w:t>Produkt ma postać przejrzystego lub lekko opalizującego, bezbarwnego do jasnobrązowego płynu.</w:t>
      </w:r>
    </w:p>
    <w:p w14:paraId="412A90C5" w14:textId="77777777" w:rsidR="00994050" w:rsidRPr="0015541C" w:rsidRDefault="00994050" w:rsidP="00994050">
      <w:pPr>
        <w:rPr>
          <w:lang w:val="pl-PL"/>
        </w:rPr>
      </w:pPr>
    </w:p>
    <w:p w14:paraId="1900BACC" w14:textId="77777777" w:rsidR="00994050" w:rsidRPr="0015541C" w:rsidRDefault="00994050" w:rsidP="00994050">
      <w:pPr>
        <w:rPr>
          <w:lang w:val="pl-PL"/>
        </w:rPr>
      </w:pPr>
    </w:p>
    <w:p w14:paraId="4C0AE6CC" w14:textId="77777777" w:rsidR="00994050" w:rsidRPr="0015541C" w:rsidRDefault="00994050" w:rsidP="00994050">
      <w:pPr>
        <w:ind w:left="567" w:hanging="567"/>
        <w:rPr>
          <w:b/>
          <w:lang w:val="pl-PL"/>
        </w:rPr>
      </w:pPr>
      <w:r w:rsidRPr="0015541C">
        <w:rPr>
          <w:b/>
          <w:lang w:val="pl-PL"/>
        </w:rPr>
        <w:t>4.</w:t>
      </w:r>
      <w:r w:rsidRPr="0015541C">
        <w:rPr>
          <w:b/>
          <w:lang w:val="pl-PL"/>
        </w:rPr>
        <w:tab/>
        <w:t xml:space="preserve">SZCZEGÓŁOWE DANE KLINICZNE </w:t>
      </w:r>
    </w:p>
    <w:p w14:paraId="5944ECE9" w14:textId="77777777" w:rsidR="00994050" w:rsidRPr="0015541C" w:rsidRDefault="00994050" w:rsidP="00994050">
      <w:pPr>
        <w:rPr>
          <w:lang w:val="pl-PL"/>
        </w:rPr>
      </w:pPr>
    </w:p>
    <w:p w14:paraId="44418774" w14:textId="77777777" w:rsidR="00994050" w:rsidRPr="0015541C" w:rsidRDefault="00994050" w:rsidP="00994050">
      <w:pPr>
        <w:ind w:left="567" w:hanging="567"/>
        <w:rPr>
          <w:b/>
          <w:lang w:val="pl-PL"/>
        </w:rPr>
      </w:pPr>
      <w:r w:rsidRPr="0015541C">
        <w:rPr>
          <w:b/>
          <w:lang w:val="pl-PL"/>
        </w:rPr>
        <w:t>4.1</w:t>
      </w:r>
      <w:r w:rsidRPr="0015541C">
        <w:rPr>
          <w:b/>
          <w:lang w:val="pl-PL"/>
        </w:rPr>
        <w:tab/>
        <w:t>Wskazania do stosowania</w:t>
      </w:r>
    </w:p>
    <w:p w14:paraId="20F63AB2" w14:textId="77777777" w:rsidR="00994050" w:rsidRPr="0015541C" w:rsidRDefault="00994050" w:rsidP="00994050">
      <w:pPr>
        <w:rPr>
          <w:lang w:val="pl-PL"/>
        </w:rPr>
      </w:pPr>
    </w:p>
    <w:p w14:paraId="21367211" w14:textId="77777777" w:rsidR="00994050" w:rsidRPr="0015541C" w:rsidRDefault="00C943B2" w:rsidP="00994050">
      <w:pPr>
        <w:rPr>
          <w:lang w:val="pl-PL"/>
        </w:rPr>
      </w:pPr>
      <w:r w:rsidRPr="0015541C">
        <w:rPr>
          <w:lang w:val="pl-PL"/>
        </w:rPr>
        <w:t>Produkt Aybintio</w:t>
      </w:r>
      <w:r w:rsidR="00994050" w:rsidRPr="0015541C">
        <w:rPr>
          <w:lang w:val="pl-PL"/>
        </w:rPr>
        <w:t xml:space="preserve"> w skojarzeniu z chemioterapią opartą na fluoropirymidynie jest wskazany w leczeniu </w:t>
      </w:r>
      <w:r w:rsidR="00523F0F" w:rsidRPr="0015541C">
        <w:rPr>
          <w:lang w:val="pl-PL"/>
        </w:rPr>
        <w:t xml:space="preserve">dorosłych </w:t>
      </w:r>
      <w:r w:rsidR="00994050" w:rsidRPr="0015541C">
        <w:rPr>
          <w:lang w:val="pl-PL"/>
        </w:rPr>
        <w:t xml:space="preserve">pacjentów z rakiem okrężnicy lub odbytnicy z przerzutami. </w:t>
      </w:r>
    </w:p>
    <w:p w14:paraId="40C2C0E1" w14:textId="77777777" w:rsidR="00994050" w:rsidRPr="0015541C" w:rsidRDefault="00994050" w:rsidP="00994050">
      <w:pPr>
        <w:rPr>
          <w:lang w:val="pl-PL"/>
        </w:rPr>
      </w:pPr>
    </w:p>
    <w:p w14:paraId="0A6E5541" w14:textId="77777777" w:rsidR="00994050" w:rsidRPr="0015541C" w:rsidRDefault="00994050" w:rsidP="00994050">
      <w:pPr>
        <w:rPr>
          <w:lang w:val="pl-PL"/>
        </w:rPr>
      </w:pPr>
      <w:r w:rsidRPr="0015541C">
        <w:rPr>
          <w:lang w:val="pl-PL"/>
        </w:rPr>
        <w:t xml:space="preserve">Terapia skojarzona </w:t>
      </w:r>
      <w:r w:rsidR="00C943B2" w:rsidRPr="0015541C">
        <w:rPr>
          <w:lang w:val="pl-PL"/>
        </w:rPr>
        <w:t xml:space="preserve">produktem Aybintio </w:t>
      </w:r>
      <w:r w:rsidR="000A76A3" w:rsidRPr="0015541C">
        <w:rPr>
          <w:lang w:val="pl-PL"/>
        </w:rPr>
        <w:t>z chemioterapią opartą o paklitaksel</w:t>
      </w:r>
      <w:r w:rsidRPr="0015541C">
        <w:rPr>
          <w:lang w:val="pl-PL"/>
        </w:rPr>
        <w:t xml:space="preserve"> jest wskazana jako leczenie pierwszego rzutu u</w:t>
      </w:r>
      <w:r w:rsidR="00F56E35" w:rsidRPr="0015541C">
        <w:rPr>
          <w:lang w:val="pl-PL"/>
        </w:rPr>
        <w:t xml:space="preserve"> dorosłych </w:t>
      </w:r>
      <w:r w:rsidR="00747A06" w:rsidRPr="0015541C">
        <w:rPr>
          <w:lang w:val="pl-PL"/>
        </w:rPr>
        <w:t xml:space="preserve">pacjentów </w:t>
      </w:r>
      <w:r w:rsidRPr="0015541C">
        <w:rPr>
          <w:lang w:val="pl-PL"/>
        </w:rPr>
        <w:t>z rozsianym rakiem piersi</w:t>
      </w:r>
      <w:r w:rsidR="00791B1D" w:rsidRPr="0015541C">
        <w:rPr>
          <w:lang w:val="pl-PL"/>
        </w:rPr>
        <w:t xml:space="preserve">. </w:t>
      </w:r>
      <w:r w:rsidR="000A76A3" w:rsidRPr="0015541C">
        <w:rPr>
          <w:lang w:val="pl-PL"/>
        </w:rPr>
        <w:t xml:space="preserve">W celu uzyskania dalszych informacji </w:t>
      </w:r>
      <w:r w:rsidR="00042FCE" w:rsidRPr="0015541C">
        <w:rPr>
          <w:lang w:val="pl-PL"/>
        </w:rPr>
        <w:t xml:space="preserve">dotyczących </w:t>
      </w:r>
      <w:r w:rsidR="000A76A3" w:rsidRPr="0015541C">
        <w:rPr>
          <w:lang w:val="pl-PL"/>
        </w:rPr>
        <w:t>statusu receptora</w:t>
      </w:r>
      <w:r w:rsidR="003666C4" w:rsidRPr="0015541C">
        <w:rPr>
          <w:lang w:val="pl-PL"/>
        </w:rPr>
        <w:t xml:space="preserve"> ludzkiego naskórkowego czynnika wzrostu typu 2 (</w:t>
      </w:r>
      <w:r w:rsidR="000A76A3" w:rsidRPr="0015541C">
        <w:rPr>
          <w:lang w:val="pl-PL"/>
        </w:rPr>
        <w:t>HER2</w:t>
      </w:r>
      <w:r w:rsidR="003666C4" w:rsidRPr="0015541C">
        <w:rPr>
          <w:lang w:val="pl-PL"/>
        </w:rPr>
        <w:t>)</w:t>
      </w:r>
      <w:r w:rsidR="000A76A3" w:rsidRPr="0015541C">
        <w:rPr>
          <w:lang w:val="pl-PL"/>
        </w:rPr>
        <w:t>, patrz punkt 5.1.</w:t>
      </w:r>
    </w:p>
    <w:p w14:paraId="45C9461A" w14:textId="77777777" w:rsidR="00994050" w:rsidRPr="0015541C" w:rsidRDefault="00994050" w:rsidP="00994050">
      <w:pPr>
        <w:rPr>
          <w:lang w:val="pl-PL"/>
        </w:rPr>
      </w:pPr>
    </w:p>
    <w:p w14:paraId="559322B8" w14:textId="0AE13927" w:rsidR="00D537FF" w:rsidRPr="0015541C" w:rsidRDefault="00D537FF" w:rsidP="00D537FF">
      <w:pPr>
        <w:rPr>
          <w:lang w:val="pl-PL"/>
        </w:rPr>
      </w:pPr>
      <w:r w:rsidRPr="0015541C">
        <w:rPr>
          <w:lang w:val="pl-PL"/>
        </w:rPr>
        <w:t xml:space="preserve">Terapia skojarzona </w:t>
      </w:r>
      <w:r w:rsidR="00C943B2" w:rsidRPr="0015541C">
        <w:rPr>
          <w:lang w:val="pl-PL"/>
        </w:rPr>
        <w:t xml:space="preserve">produktem Aybintio </w:t>
      </w:r>
      <w:r w:rsidRPr="0015541C">
        <w:rPr>
          <w:lang w:val="pl-PL"/>
        </w:rPr>
        <w:t xml:space="preserve">z kapecytabiną jest wskazana jako leczenie pierwszego rzutu u </w:t>
      </w:r>
      <w:r w:rsidR="00F56E35" w:rsidRPr="0015541C">
        <w:rPr>
          <w:lang w:val="pl-PL"/>
        </w:rPr>
        <w:t xml:space="preserve">dorosłych </w:t>
      </w:r>
      <w:r w:rsidRPr="0015541C">
        <w:rPr>
          <w:lang w:val="pl-PL"/>
        </w:rPr>
        <w:t>pacjentów z rozsianym rakiem piersi, u których inny rodzaj chemioterapii</w:t>
      </w:r>
      <w:r w:rsidR="00CE5168" w:rsidRPr="0015541C">
        <w:rPr>
          <w:lang w:val="pl-PL"/>
        </w:rPr>
        <w:t>,</w:t>
      </w:r>
      <w:r w:rsidRPr="0015541C">
        <w:rPr>
          <w:lang w:val="pl-PL"/>
        </w:rPr>
        <w:t xml:space="preserve"> </w:t>
      </w:r>
      <w:r w:rsidR="009516E3" w:rsidRPr="0015541C">
        <w:rPr>
          <w:lang w:val="pl-PL"/>
        </w:rPr>
        <w:t>w tym</w:t>
      </w:r>
      <w:r w:rsidRPr="0015541C">
        <w:rPr>
          <w:lang w:val="pl-PL"/>
        </w:rPr>
        <w:t xml:space="preserve"> taksany lub antracykliny</w:t>
      </w:r>
      <w:r w:rsidR="00CE5168" w:rsidRPr="0015541C">
        <w:rPr>
          <w:lang w:val="pl-PL"/>
        </w:rPr>
        <w:t>,</w:t>
      </w:r>
      <w:r w:rsidRPr="0015541C">
        <w:rPr>
          <w:lang w:val="pl-PL"/>
        </w:rPr>
        <w:t xml:space="preserve"> nie </w:t>
      </w:r>
      <w:r w:rsidR="0067274D" w:rsidRPr="0015541C">
        <w:rPr>
          <w:lang w:val="pl-PL"/>
        </w:rPr>
        <w:t xml:space="preserve">został uznany za </w:t>
      </w:r>
      <w:r w:rsidRPr="0015541C">
        <w:rPr>
          <w:lang w:val="pl-PL"/>
        </w:rPr>
        <w:t>odpowiedni. Pacjenci</w:t>
      </w:r>
      <w:r w:rsidR="00CE5168" w:rsidRPr="0015541C">
        <w:rPr>
          <w:lang w:val="pl-PL"/>
        </w:rPr>
        <w:t>,</w:t>
      </w:r>
      <w:r w:rsidRPr="0015541C">
        <w:rPr>
          <w:lang w:val="pl-PL"/>
        </w:rPr>
        <w:t xml:space="preserve"> którzy </w:t>
      </w:r>
      <w:r w:rsidR="0067274D" w:rsidRPr="0015541C">
        <w:rPr>
          <w:lang w:val="pl-PL"/>
        </w:rPr>
        <w:t xml:space="preserve">otrzymali </w:t>
      </w:r>
      <w:r w:rsidRPr="0015541C">
        <w:rPr>
          <w:lang w:val="pl-PL"/>
        </w:rPr>
        <w:t>taks</w:t>
      </w:r>
      <w:r w:rsidR="0067274D" w:rsidRPr="0015541C">
        <w:rPr>
          <w:lang w:val="pl-PL"/>
        </w:rPr>
        <w:t>a</w:t>
      </w:r>
      <w:r w:rsidRPr="0015541C">
        <w:rPr>
          <w:lang w:val="pl-PL"/>
        </w:rPr>
        <w:t>n</w:t>
      </w:r>
      <w:r w:rsidR="0067274D" w:rsidRPr="0015541C">
        <w:rPr>
          <w:lang w:val="pl-PL"/>
        </w:rPr>
        <w:t>y</w:t>
      </w:r>
      <w:r w:rsidRPr="0015541C">
        <w:rPr>
          <w:lang w:val="pl-PL"/>
        </w:rPr>
        <w:t xml:space="preserve"> lub antracykli</w:t>
      </w:r>
      <w:r w:rsidR="0067274D" w:rsidRPr="0015541C">
        <w:rPr>
          <w:lang w:val="pl-PL"/>
        </w:rPr>
        <w:t xml:space="preserve">ny </w:t>
      </w:r>
      <w:r w:rsidRPr="0015541C">
        <w:rPr>
          <w:lang w:val="pl-PL"/>
        </w:rPr>
        <w:t xml:space="preserve">w </w:t>
      </w:r>
      <w:r w:rsidR="0067274D" w:rsidRPr="0015541C">
        <w:rPr>
          <w:lang w:val="pl-PL"/>
        </w:rPr>
        <w:t xml:space="preserve">ramach leczenia uzupełniającego </w:t>
      </w:r>
      <w:r w:rsidRPr="0015541C">
        <w:rPr>
          <w:lang w:val="pl-PL"/>
        </w:rPr>
        <w:t xml:space="preserve">w </w:t>
      </w:r>
      <w:r w:rsidR="0067274D" w:rsidRPr="0015541C">
        <w:rPr>
          <w:lang w:val="pl-PL"/>
        </w:rPr>
        <w:t xml:space="preserve">czasie </w:t>
      </w:r>
      <w:r w:rsidRPr="0015541C">
        <w:rPr>
          <w:lang w:val="pl-PL"/>
        </w:rPr>
        <w:t>ostatnich 12 miesi</w:t>
      </w:r>
      <w:r w:rsidR="003048C6" w:rsidRPr="0015541C">
        <w:rPr>
          <w:lang w:val="pl-PL"/>
        </w:rPr>
        <w:t>ęcy</w:t>
      </w:r>
      <w:r w:rsidRPr="0015541C">
        <w:rPr>
          <w:lang w:val="pl-PL"/>
        </w:rPr>
        <w:t xml:space="preserve"> </w:t>
      </w:r>
      <w:r w:rsidR="0067274D" w:rsidRPr="0015541C">
        <w:rPr>
          <w:lang w:val="pl-PL"/>
        </w:rPr>
        <w:t xml:space="preserve">nie </w:t>
      </w:r>
      <w:r w:rsidRPr="0015541C">
        <w:rPr>
          <w:lang w:val="pl-PL"/>
        </w:rPr>
        <w:t>powinni być leczeni</w:t>
      </w:r>
      <w:r w:rsidR="0067274D" w:rsidRPr="0015541C">
        <w:rPr>
          <w:lang w:val="pl-PL"/>
        </w:rPr>
        <w:t xml:space="preserve"> </w:t>
      </w:r>
      <w:r w:rsidRPr="0015541C">
        <w:rPr>
          <w:lang w:val="pl-PL"/>
        </w:rPr>
        <w:t xml:space="preserve">produktem </w:t>
      </w:r>
      <w:r w:rsidR="00C87F12" w:rsidRPr="0015541C">
        <w:rPr>
          <w:lang w:val="pl-PL"/>
        </w:rPr>
        <w:t>Aybintio</w:t>
      </w:r>
      <w:r w:rsidRPr="0015541C">
        <w:rPr>
          <w:lang w:val="pl-PL"/>
        </w:rPr>
        <w:t xml:space="preserve"> w skojarzeniu z kapecytabiną. W celu uzyskania dalszych informacji dotyczących statusu receptora HER2, patrz punkt 5.1.</w:t>
      </w:r>
    </w:p>
    <w:p w14:paraId="08A7CD6E" w14:textId="77777777" w:rsidR="00D537FF" w:rsidRPr="0015541C" w:rsidRDefault="00D537FF" w:rsidP="00D537FF">
      <w:pPr>
        <w:rPr>
          <w:lang w:val="pl-PL"/>
        </w:rPr>
      </w:pPr>
    </w:p>
    <w:p w14:paraId="2880AD9C" w14:textId="77777777" w:rsidR="00994050" w:rsidRPr="0015541C" w:rsidRDefault="00F61771" w:rsidP="00994050">
      <w:pPr>
        <w:rPr>
          <w:lang w:val="pl-PL"/>
        </w:rPr>
      </w:pPr>
      <w:r w:rsidRPr="0015541C">
        <w:rPr>
          <w:lang w:val="pl-PL"/>
        </w:rPr>
        <w:t>Produkt Aybintio</w:t>
      </w:r>
      <w:r w:rsidR="00F56E35" w:rsidRPr="0015541C">
        <w:rPr>
          <w:lang w:val="pl-PL"/>
        </w:rPr>
        <w:t xml:space="preserve"> </w:t>
      </w:r>
      <w:r w:rsidR="00994050" w:rsidRPr="0015541C">
        <w:rPr>
          <w:lang w:val="pl-PL"/>
        </w:rPr>
        <w:t xml:space="preserve">w skojarzeniu z chemioterapią opartą na pochodnych platyny jest wskazany w leczeniu pierwszego rzutu u </w:t>
      </w:r>
      <w:r w:rsidR="00F56E35" w:rsidRPr="0015541C">
        <w:rPr>
          <w:lang w:val="pl-PL"/>
        </w:rPr>
        <w:t xml:space="preserve">dorosłych </w:t>
      </w:r>
      <w:r w:rsidR="00994050" w:rsidRPr="0015541C">
        <w:rPr>
          <w:lang w:val="pl-PL"/>
        </w:rPr>
        <w:t xml:space="preserve">pacjentów z nieoperacyjnym zaawansowanym, z przerzutami lub nawrotowym, niedrobnokomórkowym rakiem płuca, o histologii innej niż w przeważającym stopniu płaskonabłonkowa. </w:t>
      </w:r>
    </w:p>
    <w:p w14:paraId="6B90F96F" w14:textId="77777777" w:rsidR="00994050" w:rsidRPr="0015541C" w:rsidRDefault="00994050" w:rsidP="00994050">
      <w:pPr>
        <w:rPr>
          <w:lang w:val="pl-PL"/>
        </w:rPr>
      </w:pPr>
    </w:p>
    <w:p w14:paraId="33BE0745" w14:textId="77777777" w:rsidR="00BB51B4" w:rsidRPr="0015541C" w:rsidRDefault="001019DD" w:rsidP="00994050">
      <w:pPr>
        <w:rPr>
          <w:lang w:val="pl-PL"/>
        </w:rPr>
      </w:pPr>
      <w:r w:rsidRPr="0015541C">
        <w:rPr>
          <w:lang w:val="pl-PL"/>
        </w:rPr>
        <w:t>Produkt Aybintio</w:t>
      </w:r>
      <w:r w:rsidR="00BB51B4" w:rsidRPr="0015541C">
        <w:rPr>
          <w:lang w:val="pl-PL"/>
        </w:rPr>
        <w:t xml:space="preserve"> w skojarzeniu z erlotynibem jest wskazany w leczeniu pierwszego rzutu u dorosłych pacjentów z nieoperacyjnym, zaawansowanym, z przerzutami lub na</w:t>
      </w:r>
      <w:r w:rsidR="009C2E95" w:rsidRPr="0015541C">
        <w:rPr>
          <w:lang w:val="pl-PL"/>
        </w:rPr>
        <w:t xml:space="preserve">wrotowym, </w:t>
      </w:r>
      <w:r w:rsidR="009C2E95" w:rsidRPr="0015541C">
        <w:rPr>
          <w:lang w:val="pl-PL"/>
        </w:rPr>
        <w:lastRenderedPageBreak/>
        <w:t xml:space="preserve">niepłaskonabłonkowym, </w:t>
      </w:r>
      <w:r w:rsidR="00BB51B4" w:rsidRPr="0015541C">
        <w:rPr>
          <w:lang w:val="pl-PL"/>
        </w:rPr>
        <w:t>niedrobnokomórkowym rakiem płuca, z aktywującymi mutacjami w genie receptora naskórkowego czynnika wzrostu (EGFR)</w:t>
      </w:r>
      <w:r w:rsidR="002A4B38" w:rsidRPr="0015541C">
        <w:rPr>
          <w:lang w:val="pl-PL"/>
        </w:rPr>
        <w:t xml:space="preserve"> (patrz punkt 5.1)</w:t>
      </w:r>
      <w:r w:rsidR="00BB51B4" w:rsidRPr="0015541C">
        <w:rPr>
          <w:lang w:val="pl-PL"/>
        </w:rPr>
        <w:t>.</w:t>
      </w:r>
    </w:p>
    <w:p w14:paraId="1C29A3EE" w14:textId="77777777" w:rsidR="00BB51B4" w:rsidRPr="0015541C" w:rsidRDefault="00BB51B4" w:rsidP="00994050">
      <w:pPr>
        <w:rPr>
          <w:lang w:val="pl-PL"/>
        </w:rPr>
      </w:pPr>
    </w:p>
    <w:p w14:paraId="0482AE57" w14:textId="77777777" w:rsidR="00994050" w:rsidRPr="0015541C" w:rsidRDefault="00475427" w:rsidP="00994050">
      <w:pPr>
        <w:rPr>
          <w:lang w:val="pl-PL"/>
        </w:rPr>
      </w:pPr>
      <w:r w:rsidRPr="0015541C">
        <w:rPr>
          <w:lang w:val="pl-PL"/>
        </w:rPr>
        <w:t>Produkt Aybintio</w:t>
      </w:r>
      <w:r w:rsidR="00F56E35" w:rsidRPr="0015541C">
        <w:rPr>
          <w:lang w:val="pl-PL"/>
        </w:rPr>
        <w:t xml:space="preserve"> </w:t>
      </w:r>
      <w:r w:rsidR="00994050" w:rsidRPr="0015541C">
        <w:rPr>
          <w:lang w:val="pl-PL"/>
        </w:rPr>
        <w:t xml:space="preserve">w skojarzeniu z interferonem alfa-2a jest wskazany w leczeniu pierwszego rzutu </w:t>
      </w:r>
      <w:r w:rsidR="00747A06" w:rsidRPr="0015541C">
        <w:rPr>
          <w:lang w:val="pl-PL"/>
        </w:rPr>
        <w:t xml:space="preserve">u </w:t>
      </w:r>
      <w:r w:rsidR="00F56E35" w:rsidRPr="0015541C">
        <w:rPr>
          <w:lang w:val="pl-PL"/>
        </w:rPr>
        <w:t xml:space="preserve">dorosłych </w:t>
      </w:r>
      <w:r w:rsidR="00994050" w:rsidRPr="0015541C">
        <w:rPr>
          <w:lang w:val="pl-PL"/>
        </w:rPr>
        <w:t>pacjentów z zaawansowanym i (lub) rozsianym rakiem nerki.</w:t>
      </w:r>
    </w:p>
    <w:p w14:paraId="24670105" w14:textId="77777777" w:rsidR="00994050" w:rsidRPr="0015541C" w:rsidRDefault="00994050" w:rsidP="00994050">
      <w:pPr>
        <w:rPr>
          <w:lang w:val="pl-PL"/>
        </w:rPr>
      </w:pPr>
    </w:p>
    <w:p w14:paraId="1E9EE640" w14:textId="77777777" w:rsidR="00905545" w:rsidRPr="0015541C" w:rsidRDefault="00475427" w:rsidP="00905545">
      <w:pPr>
        <w:rPr>
          <w:color w:val="000000"/>
          <w:lang w:val="pl-PL"/>
        </w:rPr>
      </w:pPr>
      <w:r w:rsidRPr="0015541C">
        <w:rPr>
          <w:lang w:val="pl-PL"/>
        </w:rPr>
        <w:t>Produkt Aybintio</w:t>
      </w:r>
      <w:r w:rsidR="00F56E35" w:rsidRPr="0015541C">
        <w:rPr>
          <w:lang w:val="pl-PL"/>
        </w:rPr>
        <w:t xml:space="preserve"> </w:t>
      </w:r>
      <w:r w:rsidR="00905545" w:rsidRPr="0015541C">
        <w:rPr>
          <w:color w:val="000000"/>
          <w:lang w:val="pl-PL"/>
        </w:rPr>
        <w:t>w skojarzeniu z karboplatyną i paklitakselem jest wskazany w leczeniu pierwsz</w:t>
      </w:r>
      <w:r w:rsidR="00300DF7" w:rsidRPr="0015541C">
        <w:rPr>
          <w:color w:val="000000"/>
          <w:lang w:val="pl-PL"/>
        </w:rPr>
        <w:t>ego</w:t>
      </w:r>
      <w:r w:rsidR="00905545" w:rsidRPr="0015541C">
        <w:rPr>
          <w:color w:val="000000"/>
          <w:lang w:val="pl-PL"/>
        </w:rPr>
        <w:t xml:space="preserve"> </w:t>
      </w:r>
      <w:r w:rsidR="00300DF7" w:rsidRPr="0015541C">
        <w:rPr>
          <w:color w:val="000000"/>
          <w:lang w:val="pl-PL"/>
        </w:rPr>
        <w:t>rzutu</w:t>
      </w:r>
      <w:r w:rsidR="00905545" w:rsidRPr="0015541C">
        <w:rPr>
          <w:color w:val="000000"/>
          <w:lang w:val="pl-PL"/>
        </w:rPr>
        <w:t xml:space="preserve"> u</w:t>
      </w:r>
      <w:r w:rsidR="00F56E35" w:rsidRPr="0015541C">
        <w:rPr>
          <w:color w:val="000000"/>
          <w:lang w:val="pl-PL"/>
        </w:rPr>
        <w:t xml:space="preserve"> dorosłych </w:t>
      </w:r>
      <w:r w:rsidR="00300DF7" w:rsidRPr="0015541C">
        <w:rPr>
          <w:color w:val="000000"/>
          <w:lang w:val="pl-PL"/>
        </w:rPr>
        <w:t>pacjentów</w:t>
      </w:r>
      <w:r w:rsidR="00905545" w:rsidRPr="0015541C">
        <w:rPr>
          <w:color w:val="000000"/>
          <w:lang w:val="pl-PL"/>
        </w:rPr>
        <w:t xml:space="preserve"> </w:t>
      </w:r>
      <w:r w:rsidR="00300DF7" w:rsidRPr="0015541C">
        <w:rPr>
          <w:color w:val="000000"/>
          <w:lang w:val="pl-PL"/>
        </w:rPr>
        <w:t>z</w:t>
      </w:r>
      <w:r w:rsidR="00905545" w:rsidRPr="0015541C">
        <w:rPr>
          <w:color w:val="000000"/>
          <w:lang w:val="pl-PL"/>
        </w:rPr>
        <w:t xml:space="preserve"> zaawan</w:t>
      </w:r>
      <w:r w:rsidR="00300DF7" w:rsidRPr="0015541C">
        <w:rPr>
          <w:color w:val="000000"/>
          <w:lang w:val="pl-PL"/>
        </w:rPr>
        <w:t>sowanym</w:t>
      </w:r>
      <w:r w:rsidR="004F3C6E" w:rsidRPr="0015541C">
        <w:rPr>
          <w:color w:val="000000"/>
          <w:lang w:val="pl-PL"/>
        </w:rPr>
        <w:t xml:space="preserve"> </w:t>
      </w:r>
      <w:r w:rsidR="004F3C6E" w:rsidRPr="0015541C">
        <w:rPr>
          <w:rFonts w:eastAsia="PMingLiU"/>
          <w:lang w:val="pl-PL" w:eastAsia="zh-CN"/>
        </w:rPr>
        <w:t>(</w:t>
      </w:r>
      <w:r w:rsidR="004F3C6E" w:rsidRPr="0015541C">
        <w:rPr>
          <w:lang w:val="pl-PL"/>
        </w:rPr>
        <w:t>w stadium IIIB, IIIC i IV wg klasyfikacji FIGO</w:t>
      </w:r>
      <w:r w:rsidR="00F56E35" w:rsidRPr="0015541C">
        <w:rPr>
          <w:lang w:val="pl-PL"/>
        </w:rPr>
        <w:t xml:space="preserve"> Międzynarodowa Federacja Ginekologii i Położnictwa</w:t>
      </w:r>
      <w:r w:rsidR="004F3C6E" w:rsidRPr="0015541C">
        <w:rPr>
          <w:lang w:val="pl-PL"/>
        </w:rPr>
        <w:t>)</w:t>
      </w:r>
      <w:r w:rsidR="00905545" w:rsidRPr="0015541C">
        <w:rPr>
          <w:color w:val="000000"/>
          <w:lang w:val="pl-PL"/>
        </w:rPr>
        <w:t xml:space="preserve"> rak</w:t>
      </w:r>
      <w:r w:rsidR="00300DF7" w:rsidRPr="0015541C">
        <w:rPr>
          <w:color w:val="000000"/>
          <w:lang w:val="pl-PL"/>
        </w:rPr>
        <w:t>iem</w:t>
      </w:r>
      <w:r w:rsidR="00905545" w:rsidRPr="0015541C">
        <w:rPr>
          <w:color w:val="000000"/>
          <w:lang w:val="pl-PL"/>
        </w:rPr>
        <w:t xml:space="preserve"> jajnika, rak</w:t>
      </w:r>
      <w:r w:rsidR="00300DF7" w:rsidRPr="0015541C">
        <w:rPr>
          <w:color w:val="000000"/>
          <w:lang w:val="pl-PL"/>
        </w:rPr>
        <w:t>iem</w:t>
      </w:r>
      <w:r w:rsidR="00905545" w:rsidRPr="0015541C">
        <w:rPr>
          <w:color w:val="000000"/>
          <w:lang w:val="pl-PL"/>
        </w:rPr>
        <w:t xml:space="preserve"> jajowodu i pierwotn</w:t>
      </w:r>
      <w:r w:rsidR="00300DF7" w:rsidRPr="0015541C">
        <w:rPr>
          <w:color w:val="000000"/>
          <w:lang w:val="pl-PL"/>
        </w:rPr>
        <w:t>ym</w:t>
      </w:r>
      <w:r w:rsidR="00905545" w:rsidRPr="0015541C">
        <w:rPr>
          <w:color w:val="000000"/>
          <w:lang w:val="pl-PL"/>
        </w:rPr>
        <w:t xml:space="preserve"> ra</w:t>
      </w:r>
      <w:r w:rsidR="00300DF7" w:rsidRPr="0015541C">
        <w:rPr>
          <w:color w:val="000000"/>
          <w:lang w:val="pl-PL"/>
        </w:rPr>
        <w:t>kiem</w:t>
      </w:r>
      <w:r w:rsidR="00905545" w:rsidRPr="0015541C">
        <w:rPr>
          <w:color w:val="000000"/>
          <w:lang w:val="pl-PL"/>
        </w:rPr>
        <w:t xml:space="preserve"> otrzewnej.</w:t>
      </w:r>
      <w:r w:rsidR="00F36C47" w:rsidRPr="0015541C">
        <w:rPr>
          <w:color w:val="000000"/>
          <w:lang w:val="pl-PL"/>
        </w:rPr>
        <w:t xml:space="preserve"> (Patrz punkt 5.1).</w:t>
      </w:r>
    </w:p>
    <w:p w14:paraId="50F3D906" w14:textId="77777777" w:rsidR="00673CD2" w:rsidRPr="0015541C" w:rsidRDefault="00673CD2" w:rsidP="00905545">
      <w:pPr>
        <w:rPr>
          <w:color w:val="000000"/>
          <w:lang w:val="pl-PL"/>
        </w:rPr>
      </w:pPr>
    </w:p>
    <w:p w14:paraId="35D9A8BA" w14:textId="77777777" w:rsidR="00673CD2" w:rsidRPr="0015541C" w:rsidRDefault="004C4C2E" w:rsidP="00673CD2">
      <w:pPr>
        <w:rPr>
          <w:lang w:val="pl-PL"/>
        </w:rPr>
      </w:pPr>
      <w:r w:rsidRPr="0015541C">
        <w:rPr>
          <w:lang w:val="pl-PL"/>
        </w:rPr>
        <w:t>Produkt Aybintio</w:t>
      </w:r>
      <w:r w:rsidR="00673CD2" w:rsidRPr="0015541C">
        <w:rPr>
          <w:lang w:val="pl-PL"/>
        </w:rPr>
        <w:t xml:space="preserve"> w skojarzeniu z karboplatyną i gemcytabiną </w:t>
      </w:r>
      <w:r w:rsidR="00F36C47" w:rsidRPr="0015541C">
        <w:rPr>
          <w:lang w:val="pl-PL"/>
        </w:rPr>
        <w:t xml:space="preserve">lub w skojarzeniu z karboplatyną i paklitakselem </w:t>
      </w:r>
      <w:r w:rsidR="00673CD2" w:rsidRPr="0015541C">
        <w:rPr>
          <w:lang w:val="pl-PL"/>
        </w:rPr>
        <w:t>jest wskazany w leczeniu dorosłych pacjentów z pierwszym nawrotem wrażliwego na związki platyny raka jajnika, raka jajowodu lub pierwotnego raka otrzewnej</w:t>
      </w:r>
      <w:r w:rsidR="003666C4" w:rsidRPr="0015541C">
        <w:rPr>
          <w:lang w:val="pl-PL"/>
        </w:rPr>
        <w:t>, u których nie stosowano wcześniej bewacyzumabu ani innych inhibitorów VEGF lub leków działających na receptor dla VEGF.</w:t>
      </w:r>
    </w:p>
    <w:p w14:paraId="7A2AB079" w14:textId="77777777" w:rsidR="00905545" w:rsidRPr="0015541C" w:rsidRDefault="00905545" w:rsidP="00994050">
      <w:pPr>
        <w:rPr>
          <w:lang w:val="pl-PL"/>
        </w:rPr>
      </w:pPr>
    </w:p>
    <w:p w14:paraId="52C1080B" w14:textId="0D2254F0" w:rsidR="00BE1B58" w:rsidRPr="0015541C" w:rsidRDefault="004C4C2E" w:rsidP="00BE1B58">
      <w:pPr>
        <w:rPr>
          <w:lang w:val="pl-PL"/>
        </w:rPr>
      </w:pPr>
      <w:r w:rsidRPr="0015541C">
        <w:rPr>
          <w:lang w:val="pl-PL"/>
        </w:rPr>
        <w:t>Produkt Aybintio</w:t>
      </w:r>
      <w:r w:rsidR="00BE1B58" w:rsidRPr="0015541C">
        <w:rPr>
          <w:lang w:val="pl-PL"/>
        </w:rPr>
        <w:t xml:space="preserve"> w skojarzeniu z </w:t>
      </w:r>
      <w:r w:rsidR="000C6576">
        <w:rPr>
          <w:szCs w:val="22"/>
          <w:lang w:val="pl-PL"/>
        </w:rPr>
        <w:t xml:space="preserve">paklitakselem, </w:t>
      </w:r>
      <w:r w:rsidR="00BE1B58" w:rsidRPr="0015541C">
        <w:rPr>
          <w:lang w:val="pl-PL"/>
        </w:rPr>
        <w:t>topotekanem lub pegylowaną liposomalną doksorubicyną jest wskazany w leczeniu dorosłych pacjentów z nawrotem opornego na związki platyny raka jajnika, raka jajowodu lub pierwotnego raka otrzewnej, którzy otrzymali wcześniej nie więcej niż dwa schematy chemioterapii i u których nie stosowano wcześniej bewacyzumabu ani innych inhibitorów VEGF lub leków działających na receptor dla VEGF</w:t>
      </w:r>
      <w:r w:rsidR="00443D64" w:rsidRPr="0015541C">
        <w:rPr>
          <w:lang w:val="pl-PL"/>
        </w:rPr>
        <w:t xml:space="preserve"> (patrz punkt 5.1)</w:t>
      </w:r>
      <w:r w:rsidR="00BE1B58" w:rsidRPr="0015541C">
        <w:rPr>
          <w:lang w:val="pl-PL"/>
        </w:rPr>
        <w:t>.</w:t>
      </w:r>
    </w:p>
    <w:p w14:paraId="525E7206" w14:textId="77777777" w:rsidR="00026C24" w:rsidRPr="0015541C" w:rsidRDefault="00026C24" w:rsidP="00BE1B58">
      <w:pPr>
        <w:rPr>
          <w:lang w:val="pl-PL"/>
        </w:rPr>
      </w:pPr>
    </w:p>
    <w:p w14:paraId="0C493CD4" w14:textId="77777777" w:rsidR="00026C24" w:rsidRPr="0015541C" w:rsidRDefault="0051331B" w:rsidP="00BE1B58">
      <w:pPr>
        <w:rPr>
          <w:lang w:val="pl-PL"/>
        </w:rPr>
      </w:pPr>
      <w:r w:rsidRPr="0015541C">
        <w:rPr>
          <w:lang w:val="pl-PL"/>
        </w:rPr>
        <w:t>Produkt Aybintio</w:t>
      </w:r>
      <w:r w:rsidR="00F74DF7" w:rsidRPr="0015541C">
        <w:rPr>
          <w:lang w:val="pl-PL"/>
        </w:rPr>
        <w:t>,</w:t>
      </w:r>
      <w:r w:rsidR="00026C24" w:rsidRPr="0015541C">
        <w:rPr>
          <w:lang w:val="pl-PL"/>
        </w:rPr>
        <w:t xml:space="preserve"> w skojarzeniu z paklitakselem i cisplatyną lub alternatywnie </w:t>
      </w:r>
      <w:r w:rsidR="00A63593" w:rsidRPr="0015541C">
        <w:rPr>
          <w:lang w:val="pl-PL"/>
        </w:rPr>
        <w:t xml:space="preserve">u pacjentek, które nie mogą być leczone związkami platyny, </w:t>
      </w:r>
      <w:r w:rsidR="00026C24" w:rsidRPr="0015541C">
        <w:rPr>
          <w:lang w:val="pl-PL"/>
        </w:rPr>
        <w:t>w skojarzeniu z paklitakselem i topotekanem, jest wskazany w leczeniu dorosłych pacjent</w:t>
      </w:r>
      <w:r w:rsidR="00E21CD7" w:rsidRPr="0015541C">
        <w:rPr>
          <w:lang w:val="pl-PL"/>
        </w:rPr>
        <w:t>ek</w:t>
      </w:r>
      <w:r w:rsidR="00026C24" w:rsidRPr="0015541C">
        <w:rPr>
          <w:lang w:val="pl-PL"/>
        </w:rPr>
        <w:t xml:space="preserve"> z </w:t>
      </w:r>
      <w:r w:rsidR="00F74DF7" w:rsidRPr="0015541C">
        <w:rPr>
          <w:lang w:val="pl-PL"/>
        </w:rPr>
        <w:t>prze</w:t>
      </w:r>
      <w:r w:rsidR="00026C24" w:rsidRPr="0015541C">
        <w:rPr>
          <w:lang w:val="pl-PL"/>
        </w:rPr>
        <w:t xml:space="preserve">trwałym, </w:t>
      </w:r>
      <w:r w:rsidR="00F74DF7" w:rsidRPr="0015541C">
        <w:rPr>
          <w:lang w:val="pl-PL"/>
        </w:rPr>
        <w:t>nawrotowym</w:t>
      </w:r>
      <w:r w:rsidR="00026C24" w:rsidRPr="0015541C">
        <w:rPr>
          <w:lang w:val="pl-PL"/>
        </w:rPr>
        <w:t xml:space="preserve"> lub przerzutowym rakiem szyjki macicy</w:t>
      </w:r>
      <w:r w:rsidR="00E25916" w:rsidRPr="0015541C">
        <w:rPr>
          <w:lang w:val="pl-PL"/>
        </w:rPr>
        <w:t xml:space="preserve"> (patrz punkt 5.1).</w:t>
      </w:r>
      <w:r w:rsidR="003D62EE" w:rsidRPr="0015541C">
        <w:rPr>
          <w:lang w:val="pl-PL"/>
        </w:rPr>
        <w:t xml:space="preserve"> </w:t>
      </w:r>
    </w:p>
    <w:p w14:paraId="70AF5306" w14:textId="77777777" w:rsidR="00BE1B58" w:rsidRPr="0015541C" w:rsidRDefault="00BE1B58" w:rsidP="00994050">
      <w:pPr>
        <w:rPr>
          <w:lang w:val="pl-PL"/>
        </w:rPr>
      </w:pPr>
    </w:p>
    <w:p w14:paraId="11110E5C" w14:textId="77777777" w:rsidR="00994050" w:rsidRPr="0015541C" w:rsidRDefault="00994050" w:rsidP="00BC3A2D">
      <w:pPr>
        <w:keepNext/>
        <w:ind w:left="567" w:hanging="567"/>
        <w:rPr>
          <w:b/>
          <w:lang w:val="pl-PL"/>
        </w:rPr>
      </w:pPr>
      <w:r w:rsidRPr="0015541C">
        <w:rPr>
          <w:b/>
          <w:lang w:val="pl-PL"/>
        </w:rPr>
        <w:t>4.2</w:t>
      </w:r>
      <w:r w:rsidRPr="0015541C">
        <w:rPr>
          <w:b/>
          <w:lang w:val="pl-PL"/>
        </w:rPr>
        <w:tab/>
        <w:t xml:space="preserve">Dawkowanie i sposób podawania </w:t>
      </w:r>
    </w:p>
    <w:p w14:paraId="56609897" w14:textId="77777777" w:rsidR="00994050" w:rsidRPr="0015541C" w:rsidRDefault="00994050" w:rsidP="00BC3A2D">
      <w:pPr>
        <w:keepNext/>
        <w:ind w:left="567" w:hanging="567"/>
        <w:rPr>
          <w:lang w:val="pl-PL"/>
        </w:rPr>
      </w:pPr>
    </w:p>
    <w:p w14:paraId="2A2513AD" w14:textId="0E9BC843" w:rsidR="00D720B4" w:rsidRDefault="00D720B4" w:rsidP="00BC3A2D">
      <w:pPr>
        <w:keepNext/>
        <w:rPr>
          <w:lang w:val="pl-PL"/>
        </w:rPr>
      </w:pPr>
      <w:r>
        <w:rPr>
          <w:lang w:val="pl-PL"/>
        </w:rPr>
        <w:t>Nie wstrząsać fiolką.</w:t>
      </w:r>
    </w:p>
    <w:p w14:paraId="39F743C9" w14:textId="77777777" w:rsidR="00D720B4" w:rsidRDefault="00D720B4" w:rsidP="00BC3A2D">
      <w:pPr>
        <w:keepNext/>
        <w:rPr>
          <w:lang w:val="pl-PL"/>
        </w:rPr>
      </w:pPr>
    </w:p>
    <w:p w14:paraId="52CAC966" w14:textId="2D5F3EC1" w:rsidR="00994050" w:rsidRPr="0015541C" w:rsidRDefault="00994050" w:rsidP="00BC3A2D">
      <w:pPr>
        <w:keepNext/>
        <w:rPr>
          <w:lang w:val="pl-PL"/>
        </w:rPr>
      </w:pPr>
      <w:r w:rsidRPr="0015541C">
        <w:rPr>
          <w:lang w:val="pl-PL"/>
        </w:rPr>
        <w:t xml:space="preserve">Podawanie produktu </w:t>
      </w:r>
      <w:r w:rsidR="00C87F12" w:rsidRPr="0015541C">
        <w:rPr>
          <w:lang w:val="pl-PL"/>
        </w:rPr>
        <w:t>Aybintio</w:t>
      </w:r>
      <w:r w:rsidRPr="0015541C">
        <w:rPr>
          <w:lang w:val="pl-PL"/>
        </w:rPr>
        <w:t xml:space="preserve"> musi być prowadzone pod nadzorem lekarza doświadczonego w stosowaniu leków przeciwnowotworowych.</w:t>
      </w:r>
    </w:p>
    <w:p w14:paraId="489D2126" w14:textId="77777777" w:rsidR="006A7E67" w:rsidRPr="0015541C" w:rsidRDefault="006A7E67" w:rsidP="00994050">
      <w:pPr>
        <w:rPr>
          <w:lang w:val="pl-PL"/>
        </w:rPr>
      </w:pPr>
    </w:p>
    <w:p w14:paraId="4F0D9981" w14:textId="77777777" w:rsidR="00994050" w:rsidRPr="0015541C" w:rsidRDefault="00F56E35" w:rsidP="00994050">
      <w:pPr>
        <w:rPr>
          <w:u w:val="single"/>
          <w:lang w:val="pl-PL"/>
        </w:rPr>
      </w:pPr>
      <w:r w:rsidRPr="0015541C">
        <w:rPr>
          <w:u w:val="single"/>
          <w:lang w:val="pl-PL"/>
        </w:rPr>
        <w:t>Dawkowanie</w:t>
      </w:r>
    </w:p>
    <w:p w14:paraId="57C6B684" w14:textId="77777777" w:rsidR="00F56E35" w:rsidRPr="0015541C" w:rsidRDefault="00F56E35" w:rsidP="00994050">
      <w:pPr>
        <w:rPr>
          <w:b/>
          <w:lang w:val="pl-PL"/>
        </w:rPr>
      </w:pPr>
    </w:p>
    <w:p w14:paraId="7D54B8D2" w14:textId="77777777" w:rsidR="00994050" w:rsidRPr="0015541C" w:rsidRDefault="00994050" w:rsidP="004F2F43">
      <w:pPr>
        <w:keepNext/>
        <w:rPr>
          <w:i/>
          <w:u w:val="single"/>
          <w:lang w:val="pl-PL"/>
        </w:rPr>
      </w:pPr>
      <w:r w:rsidRPr="0015541C">
        <w:rPr>
          <w:i/>
          <w:u w:val="single"/>
          <w:lang w:val="pl-PL"/>
        </w:rPr>
        <w:t>Rak okrężnicy lub odbytnicy z przerzutami (mCRC)</w:t>
      </w:r>
    </w:p>
    <w:p w14:paraId="36434C72" w14:textId="77777777" w:rsidR="00994050" w:rsidRPr="0015541C" w:rsidRDefault="00994050" w:rsidP="008C19D4">
      <w:pPr>
        <w:keepNext/>
        <w:rPr>
          <w:b/>
          <w:lang w:val="pl-PL"/>
        </w:rPr>
      </w:pPr>
    </w:p>
    <w:p w14:paraId="4ED88A81" w14:textId="77777777" w:rsidR="00994050" w:rsidRPr="0015541C" w:rsidRDefault="00994050" w:rsidP="00994050">
      <w:pPr>
        <w:rPr>
          <w:lang w:val="pl-PL"/>
        </w:rPr>
      </w:pPr>
      <w:r w:rsidRPr="0015541C">
        <w:rPr>
          <w:lang w:val="pl-PL"/>
        </w:rPr>
        <w:t xml:space="preserve">Zalecana dawka produktu </w:t>
      </w:r>
      <w:r w:rsidR="00C87F12" w:rsidRPr="0015541C">
        <w:rPr>
          <w:lang w:val="pl-PL"/>
        </w:rPr>
        <w:t>Aybintio</w:t>
      </w:r>
      <w:r w:rsidRPr="0015541C">
        <w:rPr>
          <w:lang w:val="pl-PL"/>
        </w:rPr>
        <w:t xml:space="preserve"> podawana w postaci infuzji dożylnej to zarówno 5 mg/kg masy ciała lub 10 mg/kg masy ciała podawana </w:t>
      </w:r>
      <w:r w:rsidRPr="0015541C">
        <w:rPr>
          <w:u w:val="single"/>
          <w:lang w:val="pl-PL"/>
        </w:rPr>
        <w:t>co 2 tygodnie</w:t>
      </w:r>
      <w:r w:rsidRPr="0015541C">
        <w:rPr>
          <w:lang w:val="pl-PL"/>
        </w:rPr>
        <w:t xml:space="preserve"> jak i 7,5 mg/kg masy ciała lub 15 mg/kg masy ciała podawana </w:t>
      </w:r>
      <w:r w:rsidRPr="0015541C">
        <w:rPr>
          <w:u w:val="single"/>
          <w:lang w:val="pl-PL"/>
        </w:rPr>
        <w:t>co 3 tygodnie</w:t>
      </w:r>
      <w:r w:rsidRPr="0015541C">
        <w:rPr>
          <w:lang w:val="pl-PL"/>
        </w:rPr>
        <w:t xml:space="preserve">. </w:t>
      </w:r>
    </w:p>
    <w:p w14:paraId="64464F94" w14:textId="77777777" w:rsidR="00A60767" w:rsidRPr="0015541C" w:rsidRDefault="00A60767" w:rsidP="00994050">
      <w:pPr>
        <w:rPr>
          <w:lang w:val="pl-PL"/>
        </w:rPr>
      </w:pPr>
    </w:p>
    <w:p w14:paraId="7867BD00" w14:textId="77777777" w:rsidR="00905545" w:rsidRPr="0015541C" w:rsidRDefault="00905545" w:rsidP="00905545">
      <w:pPr>
        <w:rPr>
          <w:u w:val="single"/>
          <w:lang w:val="pl-PL"/>
        </w:rPr>
      </w:pPr>
      <w:r w:rsidRPr="0015541C">
        <w:rPr>
          <w:lang w:val="pl-PL"/>
        </w:rPr>
        <w:t>Zaleca się prowadzenie leczenia aż do wystąpienia progresji choroby zasadniczej lub wystąpienia nieakceptowa</w:t>
      </w:r>
      <w:r w:rsidR="0030410C" w:rsidRPr="0015541C">
        <w:rPr>
          <w:lang w:val="pl-PL"/>
        </w:rPr>
        <w:t>lnej</w:t>
      </w:r>
      <w:r w:rsidRPr="0015541C">
        <w:rPr>
          <w:lang w:val="pl-PL"/>
        </w:rPr>
        <w:t xml:space="preserve"> toksyczności.</w:t>
      </w:r>
    </w:p>
    <w:p w14:paraId="3ECA99D8" w14:textId="77777777" w:rsidR="00994050" w:rsidRPr="0015541C" w:rsidRDefault="00994050" w:rsidP="00994050">
      <w:pPr>
        <w:rPr>
          <w:b/>
          <w:lang w:val="pl-PL"/>
        </w:rPr>
      </w:pPr>
    </w:p>
    <w:p w14:paraId="7D7CBC38" w14:textId="77777777" w:rsidR="00994050" w:rsidRPr="0015541C" w:rsidRDefault="00994050" w:rsidP="00994050">
      <w:pPr>
        <w:rPr>
          <w:i/>
          <w:szCs w:val="22"/>
          <w:u w:val="single"/>
          <w:lang w:val="pl-PL"/>
        </w:rPr>
      </w:pPr>
      <w:r w:rsidRPr="0015541C">
        <w:rPr>
          <w:i/>
          <w:szCs w:val="22"/>
          <w:u w:val="single"/>
          <w:lang w:val="pl-PL"/>
        </w:rPr>
        <w:t>Rozsiany rak piersi (mBC)</w:t>
      </w:r>
    </w:p>
    <w:p w14:paraId="354DBEDC" w14:textId="77777777" w:rsidR="00994050" w:rsidRPr="0015541C" w:rsidRDefault="00994050" w:rsidP="00994050">
      <w:pPr>
        <w:rPr>
          <w:szCs w:val="22"/>
          <w:lang w:val="pl-PL"/>
        </w:rPr>
      </w:pPr>
    </w:p>
    <w:p w14:paraId="029FC3FC" w14:textId="77777777" w:rsidR="00994050" w:rsidRPr="0015541C" w:rsidRDefault="00994050" w:rsidP="00994050">
      <w:pPr>
        <w:rPr>
          <w:lang w:val="pl-PL"/>
        </w:rPr>
      </w:pPr>
      <w:r w:rsidRPr="0015541C">
        <w:rPr>
          <w:lang w:val="pl-PL"/>
        </w:rPr>
        <w:t xml:space="preserve">Zalecane dawkowanie produktu </w:t>
      </w:r>
      <w:r w:rsidR="00C87F12" w:rsidRPr="0015541C">
        <w:rPr>
          <w:lang w:val="pl-PL"/>
        </w:rPr>
        <w:t>Aybintio</w:t>
      </w:r>
      <w:r w:rsidRPr="0015541C">
        <w:rPr>
          <w:lang w:val="pl-PL"/>
        </w:rPr>
        <w:t xml:space="preserve">: 10 mg/kg mc. raz na 2 tygodnie lub 15 mg/kg mc. raz na </w:t>
      </w:r>
      <w:r w:rsidR="00A63A54" w:rsidRPr="0015541C">
        <w:rPr>
          <w:lang w:val="pl-PL"/>
        </w:rPr>
        <w:br/>
      </w:r>
      <w:r w:rsidRPr="0015541C">
        <w:rPr>
          <w:lang w:val="pl-PL"/>
        </w:rPr>
        <w:t>3 tygodnie we wlewie dożylnym.</w:t>
      </w:r>
    </w:p>
    <w:p w14:paraId="462E47A7" w14:textId="77777777" w:rsidR="00A60767" w:rsidRPr="0015541C" w:rsidRDefault="00A60767" w:rsidP="00AC11A2">
      <w:pPr>
        <w:rPr>
          <w:lang w:val="pl-PL"/>
        </w:rPr>
      </w:pPr>
    </w:p>
    <w:p w14:paraId="787FB8D8" w14:textId="77777777" w:rsidR="00AC11A2" w:rsidRPr="0015541C" w:rsidRDefault="00AC11A2" w:rsidP="00AC11A2">
      <w:pPr>
        <w:rPr>
          <w:u w:val="single"/>
          <w:lang w:val="pl-PL"/>
        </w:rPr>
      </w:pPr>
      <w:r w:rsidRPr="0015541C">
        <w:rPr>
          <w:lang w:val="pl-PL"/>
        </w:rPr>
        <w:t xml:space="preserve">Zaleca się prowadzenie leczenia aż do wystąpienia progresji choroby zasadniczej lub wystąpienia </w:t>
      </w:r>
      <w:r w:rsidR="004A4FEA" w:rsidRPr="0015541C">
        <w:rPr>
          <w:lang w:val="pl-PL"/>
        </w:rPr>
        <w:t xml:space="preserve">nieakceptowalnej </w:t>
      </w:r>
      <w:r w:rsidRPr="0015541C">
        <w:rPr>
          <w:lang w:val="pl-PL"/>
        </w:rPr>
        <w:t>toksyczności.</w:t>
      </w:r>
    </w:p>
    <w:p w14:paraId="56E32BE1" w14:textId="77777777" w:rsidR="00994050" w:rsidRPr="0015541C" w:rsidRDefault="00994050" w:rsidP="00994050">
      <w:pPr>
        <w:rPr>
          <w:iCs/>
          <w:lang w:val="pl-PL"/>
        </w:rPr>
      </w:pPr>
    </w:p>
    <w:p w14:paraId="641748DA" w14:textId="77777777" w:rsidR="00994050" w:rsidRPr="0015541C" w:rsidRDefault="00994050" w:rsidP="00812EEB">
      <w:pPr>
        <w:keepNext/>
        <w:rPr>
          <w:i/>
          <w:iCs/>
          <w:u w:val="single"/>
          <w:lang w:val="pl-PL"/>
        </w:rPr>
      </w:pPr>
      <w:r w:rsidRPr="0015541C">
        <w:rPr>
          <w:i/>
          <w:iCs/>
          <w:u w:val="single"/>
          <w:lang w:val="pl-PL"/>
        </w:rPr>
        <w:lastRenderedPageBreak/>
        <w:t>Niedrobnokomórkowy rak płuca (NSCLC)</w:t>
      </w:r>
    </w:p>
    <w:p w14:paraId="6C52C589" w14:textId="77777777" w:rsidR="00994050" w:rsidRPr="0015541C" w:rsidRDefault="00994050" w:rsidP="00812EEB">
      <w:pPr>
        <w:keepNext/>
        <w:rPr>
          <w:iCs/>
          <w:lang w:val="pl-PL"/>
        </w:rPr>
      </w:pPr>
    </w:p>
    <w:p w14:paraId="3E70F9A7" w14:textId="77777777" w:rsidR="00BB51B4" w:rsidRPr="0070444C" w:rsidRDefault="00BB51B4" w:rsidP="00994050">
      <w:pPr>
        <w:rPr>
          <w:i/>
          <w:lang w:val="pl-PL"/>
        </w:rPr>
      </w:pPr>
      <w:r w:rsidRPr="0070444C">
        <w:rPr>
          <w:i/>
          <w:lang w:val="pl-PL"/>
        </w:rPr>
        <w:t xml:space="preserve">Leczenie pierwszego rzutu u pacjentów z </w:t>
      </w:r>
      <w:r w:rsidR="00BC4C49" w:rsidRPr="0070444C">
        <w:rPr>
          <w:i/>
          <w:lang w:val="pl-PL"/>
        </w:rPr>
        <w:t xml:space="preserve">niepłaskonabłonkowym </w:t>
      </w:r>
      <w:r w:rsidRPr="0070444C">
        <w:rPr>
          <w:i/>
          <w:lang w:val="pl-PL"/>
        </w:rPr>
        <w:t>NSCLC w skojarzeniu z chemioterapią opartą na pochodnych platyny</w:t>
      </w:r>
    </w:p>
    <w:p w14:paraId="0F265044" w14:textId="77777777" w:rsidR="00BB51B4" w:rsidRPr="0015541C" w:rsidRDefault="00BB51B4" w:rsidP="00994050">
      <w:pPr>
        <w:rPr>
          <w:iCs/>
          <w:lang w:val="pl-PL"/>
        </w:rPr>
      </w:pPr>
    </w:p>
    <w:p w14:paraId="4BE1F6F3" w14:textId="77777777" w:rsidR="00994050" w:rsidRPr="0015541C" w:rsidRDefault="00C87F12" w:rsidP="00994050">
      <w:pPr>
        <w:rPr>
          <w:lang w:val="pl-PL"/>
        </w:rPr>
      </w:pPr>
      <w:r w:rsidRPr="0015541C">
        <w:rPr>
          <w:iCs/>
          <w:lang w:val="pl-PL"/>
        </w:rPr>
        <w:t>Aybintio</w:t>
      </w:r>
      <w:r w:rsidR="00994050" w:rsidRPr="0015541C">
        <w:rPr>
          <w:iCs/>
          <w:lang w:val="pl-PL"/>
        </w:rPr>
        <w:t xml:space="preserve"> jest podawany </w:t>
      </w:r>
      <w:r w:rsidR="00994050" w:rsidRPr="0015541C">
        <w:rPr>
          <w:lang w:val="pl-PL"/>
        </w:rPr>
        <w:t>jako uzupełnienie chemioterapii opartej na pochodnych platyny przez maksymalnie 6 cykli leczenia, a następnie w monoterapii do wystąpienia progresji choroby.</w:t>
      </w:r>
    </w:p>
    <w:p w14:paraId="36CBB599" w14:textId="77777777" w:rsidR="00160004" w:rsidRPr="0015541C" w:rsidRDefault="00160004" w:rsidP="00994050">
      <w:pPr>
        <w:rPr>
          <w:lang w:val="pl-PL"/>
        </w:rPr>
      </w:pPr>
    </w:p>
    <w:p w14:paraId="400288F2" w14:textId="77777777" w:rsidR="00994050" w:rsidRPr="0015541C" w:rsidRDefault="00994050" w:rsidP="00994050">
      <w:pPr>
        <w:rPr>
          <w:lang w:val="pl-PL"/>
        </w:rPr>
      </w:pPr>
      <w:r w:rsidRPr="0015541C">
        <w:rPr>
          <w:iCs/>
          <w:lang w:val="pl-PL"/>
        </w:rPr>
        <w:t xml:space="preserve">Zalecana dawka produktu </w:t>
      </w:r>
      <w:r w:rsidR="00C87F12" w:rsidRPr="0015541C">
        <w:rPr>
          <w:iCs/>
          <w:lang w:val="pl-PL"/>
        </w:rPr>
        <w:t>Aybintio</w:t>
      </w:r>
      <w:r w:rsidRPr="0015541C">
        <w:rPr>
          <w:iCs/>
          <w:lang w:val="pl-PL"/>
        </w:rPr>
        <w:t xml:space="preserve"> wynosi </w:t>
      </w:r>
      <w:r w:rsidRPr="0015541C">
        <w:rPr>
          <w:lang w:val="pl-PL"/>
        </w:rPr>
        <w:t xml:space="preserve">7,5 mg/kg mc. lub 15 mg/kg mc. podawana raz na </w:t>
      </w:r>
      <w:r w:rsidR="00600289" w:rsidRPr="0015541C">
        <w:rPr>
          <w:lang w:val="pl-PL"/>
        </w:rPr>
        <w:br/>
      </w:r>
      <w:r w:rsidRPr="0015541C">
        <w:rPr>
          <w:lang w:val="pl-PL"/>
        </w:rPr>
        <w:t>3 tygodnie we wlewie dożylnym.</w:t>
      </w:r>
    </w:p>
    <w:p w14:paraId="3C4C8800" w14:textId="77777777" w:rsidR="00160004" w:rsidRPr="0015541C" w:rsidRDefault="00160004" w:rsidP="00994050">
      <w:pPr>
        <w:rPr>
          <w:lang w:val="pl-PL"/>
        </w:rPr>
      </w:pPr>
    </w:p>
    <w:p w14:paraId="5F0A4AE7" w14:textId="77777777" w:rsidR="00333B78" w:rsidRPr="0015541C" w:rsidRDefault="00994050" w:rsidP="00994050">
      <w:pPr>
        <w:rPr>
          <w:lang w:val="pl-PL"/>
        </w:rPr>
      </w:pPr>
      <w:r w:rsidRPr="0015541C">
        <w:rPr>
          <w:lang w:val="pl-PL"/>
        </w:rPr>
        <w:t xml:space="preserve">U pacjentów z NSCLC zaobserwowano korzyści kliniczne zarówno po podaniu dawki 7,5 mg/kg mc. jak i 15 mg/kg mc. </w:t>
      </w:r>
      <w:r w:rsidR="00333B78" w:rsidRPr="0015541C">
        <w:rPr>
          <w:lang w:val="pl-PL"/>
        </w:rPr>
        <w:t xml:space="preserve">(patrz </w:t>
      </w:r>
      <w:r w:rsidRPr="0015541C">
        <w:rPr>
          <w:lang w:val="pl-PL"/>
        </w:rPr>
        <w:t>punk</w:t>
      </w:r>
      <w:r w:rsidR="00333B78" w:rsidRPr="0015541C">
        <w:rPr>
          <w:lang w:val="pl-PL"/>
        </w:rPr>
        <w:t>t</w:t>
      </w:r>
      <w:r w:rsidRPr="0015541C">
        <w:rPr>
          <w:lang w:val="pl-PL"/>
        </w:rPr>
        <w:t>. 5.1</w:t>
      </w:r>
      <w:r w:rsidR="00333B78" w:rsidRPr="0015541C">
        <w:rPr>
          <w:lang w:val="pl-PL"/>
        </w:rPr>
        <w:t>).</w:t>
      </w:r>
    </w:p>
    <w:p w14:paraId="28E87721" w14:textId="77777777" w:rsidR="00160004" w:rsidRPr="0015541C" w:rsidRDefault="00160004" w:rsidP="00994050">
      <w:pPr>
        <w:rPr>
          <w:lang w:val="pl-PL"/>
        </w:rPr>
      </w:pPr>
    </w:p>
    <w:p w14:paraId="792F0673" w14:textId="77777777" w:rsidR="00AC11A2" w:rsidRPr="0015541C" w:rsidRDefault="00AC11A2" w:rsidP="00994050">
      <w:pPr>
        <w:rPr>
          <w:u w:val="single"/>
          <w:lang w:val="pl-PL"/>
        </w:rPr>
      </w:pPr>
      <w:r w:rsidRPr="0015541C">
        <w:rPr>
          <w:lang w:val="pl-PL"/>
        </w:rPr>
        <w:t>Zaleca się prowadzenie leczenia aż do wystąpienia progresji choroby zasadniczej lub wystąpienia nieakceptowa</w:t>
      </w:r>
      <w:r w:rsidR="0030410C" w:rsidRPr="0015541C">
        <w:rPr>
          <w:lang w:val="pl-PL"/>
        </w:rPr>
        <w:t>lnej</w:t>
      </w:r>
      <w:r w:rsidRPr="0015541C">
        <w:rPr>
          <w:lang w:val="pl-PL"/>
        </w:rPr>
        <w:t xml:space="preserve"> toksyczności.</w:t>
      </w:r>
    </w:p>
    <w:p w14:paraId="1C176556" w14:textId="77777777" w:rsidR="00994050" w:rsidRPr="0015541C" w:rsidRDefault="00994050" w:rsidP="00994050">
      <w:pPr>
        <w:rPr>
          <w:iCs/>
          <w:lang w:val="pl-PL"/>
        </w:rPr>
      </w:pPr>
    </w:p>
    <w:p w14:paraId="48975BF3" w14:textId="77777777" w:rsidR="00BB51B4" w:rsidRPr="0070444C" w:rsidRDefault="00BB51B4" w:rsidP="00BB51B4">
      <w:pPr>
        <w:rPr>
          <w:i/>
          <w:lang w:val="pl-PL"/>
        </w:rPr>
      </w:pPr>
      <w:r w:rsidRPr="0070444C">
        <w:rPr>
          <w:i/>
          <w:lang w:val="pl-PL"/>
        </w:rPr>
        <w:t xml:space="preserve">Leczenie pierwszego rzutu u pacjentów z </w:t>
      </w:r>
      <w:r w:rsidR="00BC4C49" w:rsidRPr="0070444C">
        <w:rPr>
          <w:i/>
          <w:lang w:val="pl-PL"/>
        </w:rPr>
        <w:t xml:space="preserve">niepłaskonabłonkowym </w:t>
      </w:r>
      <w:r w:rsidRPr="0070444C">
        <w:rPr>
          <w:i/>
          <w:lang w:val="pl-PL"/>
        </w:rPr>
        <w:t>NSCLC z aktywującymi mutacjami w genie EGFR w skojarzeniu z erlotynibem</w:t>
      </w:r>
    </w:p>
    <w:p w14:paraId="71AF4C98" w14:textId="77777777" w:rsidR="00BB51B4" w:rsidRPr="0015541C" w:rsidRDefault="00BB51B4" w:rsidP="00BB51B4">
      <w:pPr>
        <w:rPr>
          <w:iCs/>
          <w:lang w:val="pl-PL"/>
        </w:rPr>
      </w:pPr>
    </w:p>
    <w:p w14:paraId="6D1A62D2" w14:textId="77777777" w:rsidR="00BC4C49" w:rsidRPr="0015541C" w:rsidRDefault="00035CF9" w:rsidP="00BB51B4">
      <w:pPr>
        <w:rPr>
          <w:iCs/>
          <w:lang w:val="pl-PL"/>
        </w:rPr>
      </w:pPr>
      <w:r w:rsidRPr="0015541C">
        <w:rPr>
          <w:iCs/>
          <w:lang w:val="pl-PL"/>
        </w:rPr>
        <w:t xml:space="preserve">Badanie statusu mutacji w genie EGFR należy wykonać przed rozpoczęciem leczenia z zastosowaniem produktu </w:t>
      </w:r>
      <w:r w:rsidR="00C87F12" w:rsidRPr="0015541C">
        <w:rPr>
          <w:iCs/>
          <w:lang w:val="pl-PL"/>
        </w:rPr>
        <w:t>Aybintio</w:t>
      </w:r>
      <w:r w:rsidRPr="0015541C">
        <w:rPr>
          <w:iCs/>
          <w:lang w:val="pl-PL"/>
        </w:rPr>
        <w:t xml:space="preserve"> w skojarzeniu z erlotynibem. Ważne jest użycie zwalidowanej (potwierdzonej) i rzetelnej metody badania aby uniknąć oznaczeń fałszywie dodatnich lub fałszywie ujemnych.</w:t>
      </w:r>
    </w:p>
    <w:p w14:paraId="284DF904" w14:textId="77777777" w:rsidR="00035CF9" w:rsidRPr="0015541C" w:rsidRDefault="00035CF9" w:rsidP="00BB51B4">
      <w:pPr>
        <w:rPr>
          <w:iCs/>
          <w:lang w:val="pl-PL"/>
        </w:rPr>
      </w:pPr>
    </w:p>
    <w:p w14:paraId="5256E97D" w14:textId="77777777" w:rsidR="00BB51B4" w:rsidRPr="0015541C" w:rsidRDefault="00BB51B4" w:rsidP="00BB51B4">
      <w:pPr>
        <w:rPr>
          <w:iCs/>
          <w:lang w:val="pl-PL"/>
        </w:rPr>
      </w:pPr>
      <w:r w:rsidRPr="0015541C">
        <w:rPr>
          <w:iCs/>
          <w:lang w:val="pl-PL"/>
        </w:rPr>
        <w:t xml:space="preserve">Zalecana dawka produktu </w:t>
      </w:r>
      <w:r w:rsidR="00C87F12" w:rsidRPr="0015541C">
        <w:rPr>
          <w:iCs/>
          <w:lang w:val="pl-PL"/>
        </w:rPr>
        <w:t>Aybintio</w:t>
      </w:r>
      <w:r w:rsidRPr="0015541C">
        <w:rPr>
          <w:iCs/>
          <w:lang w:val="pl-PL"/>
        </w:rPr>
        <w:t xml:space="preserve"> </w:t>
      </w:r>
      <w:r w:rsidR="002E1848" w:rsidRPr="0015541C">
        <w:rPr>
          <w:iCs/>
          <w:lang w:val="pl-PL"/>
        </w:rPr>
        <w:t>stosowanego</w:t>
      </w:r>
      <w:r w:rsidRPr="0015541C">
        <w:rPr>
          <w:iCs/>
          <w:lang w:val="pl-PL"/>
        </w:rPr>
        <w:t xml:space="preserve"> w skojarzeniu z erlotynibem wynosi 15 mg/kg mc. podawana raz na 3 tygodnie we wlewie dożylnym.</w:t>
      </w:r>
    </w:p>
    <w:p w14:paraId="6B4854D9" w14:textId="77777777" w:rsidR="004F735C" w:rsidRPr="0015541C" w:rsidRDefault="004F735C" w:rsidP="00BB51B4">
      <w:pPr>
        <w:rPr>
          <w:iCs/>
          <w:lang w:val="pl-PL"/>
        </w:rPr>
      </w:pPr>
    </w:p>
    <w:p w14:paraId="50EBED03" w14:textId="77777777" w:rsidR="00BB51B4" w:rsidRPr="0015541C" w:rsidRDefault="00BB51B4" w:rsidP="00BB51B4">
      <w:pPr>
        <w:rPr>
          <w:iCs/>
          <w:lang w:val="pl-PL"/>
        </w:rPr>
      </w:pPr>
      <w:r w:rsidRPr="0015541C">
        <w:rPr>
          <w:iCs/>
          <w:lang w:val="pl-PL"/>
        </w:rPr>
        <w:t xml:space="preserve">Zaleca się prowadzenie leczenia produktem </w:t>
      </w:r>
      <w:r w:rsidR="00C87F12" w:rsidRPr="0015541C">
        <w:rPr>
          <w:iCs/>
          <w:lang w:val="pl-PL"/>
        </w:rPr>
        <w:t>Aybintio</w:t>
      </w:r>
      <w:r w:rsidRPr="0015541C">
        <w:rPr>
          <w:iCs/>
          <w:lang w:val="pl-PL"/>
        </w:rPr>
        <w:t xml:space="preserve"> </w:t>
      </w:r>
      <w:r w:rsidR="00BC4091" w:rsidRPr="0015541C">
        <w:rPr>
          <w:iCs/>
          <w:lang w:val="pl-PL"/>
        </w:rPr>
        <w:t xml:space="preserve">stosowanym </w:t>
      </w:r>
      <w:r w:rsidRPr="0015541C">
        <w:rPr>
          <w:iCs/>
          <w:lang w:val="pl-PL"/>
        </w:rPr>
        <w:t>w skojarzeniu z erlotynibem aż do wystąpienia progresji choroby.</w:t>
      </w:r>
    </w:p>
    <w:p w14:paraId="05F06063" w14:textId="77777777" w:rsidR="00BC4C49" w:rsidRPr="0015541C" w:rsidRDefault="00BC4C49" w:rsidP="00BB51B4">
      <w:pPr>
        <w:rPr>
          <w:iCs/>
          <w:szCs w:val="22"/>
          <w:lang w:val="pl-PL"/>
        </w:rPr>
      </w:pPr>
    </w:p>
    <w:p w14:paraId="71AE76B3" w14:textId="77777777" w:rsidR="007B2E01" w:rsidRPr="0070444C" w:rsidRDefault="007B2E01" w:rsidP="005E5FEF">
      <w:pPr>
        <w:rPr>
          <w:lang w:val="pl-PL"/>
        </w:rPr>
      </w:pPr>
      <w:r w:rsidRPr="0015541C">
        <w:rPr>
          <w:lang w:val="pl-PL"/>
        </w:rPr>
        <w:t>W celu uzyskania informacji na temat dawkowania i sposobu podawania erlotynibu należy zapoznać się z Charakterystyką</w:t>
      </w:r>
      <w:r w:rsidR="00E54E3F" w:rsidRPr="0015541C">
        <w:rPr>
          <w:lang w:val="pl-PL"/>
        </w:rPr>
        <w:t xml:space="preserve"> Produktu Leczniczego erlotynib</w:t>
      </w:r>
      <w:r w:rsidR="005A281F" w:rsidRPr="0015541C">
        <w:rPr>
          <w:lang w:val="pl-PL"/>
        </w:rPr>
        <w:t>u</w:t>
      </w:r>
      <w:r w:rsidRPr="0015541C">
        <w:rPr>
          <w:lang w:val="pl-PL"/>
        </w:rPr>
        <w:t>.</w:t>
      </w:r>
    </w:p>
    <w:p w14:paraId="4D0CAED5" w14:textId="77777777" w:rsidR="00BB51B4" w:rsidRPr="0015541C" w:rsidRDefault="00BB51B4" w:rsidP="00994050">
      <w:pPr>
        <w:rPr>
          <w:i/>
          <w:szCs w:val="22"/>
          <w:u w:val="single"/>
          <w:lang w:val="pl-PL"/>
        </w:rPr>
      </w:pPr>
    </w:p>
    <w:p w14:paraId="7A9BFA51" w14:textId="77777777" w:rsidR="00994050" w:rsidRPr="0015541C" w:rsidRDefault="00994050" w:rsidP="00994050">
      <w:pPr>
        <w:rPr>
          <w:i/>
          <w:u w:val="single"/>
          <w:lang w:val="pl-PL"/>
        </w:rPr>
      </w:pPr>
      <w:r w:rsidRPr="0015541C">
        <w:rPr>
          <w:i/>
          <w:u w:val="single"/>
          <w:lang w:val="pl-PL"/>
        </w:rPr>
        <w:t>Zaawansowany i (lub) rozsiany rak nerki (mRCC)</w:t>
      </w:r>
    </w:p>
    <w:p w14:paraId="4CDEE691" w14:textId="77777777" w:rsidR="00994050" w:rsidRPr="0015541C" w:rsidRDefault="00994050" w:rsidP="00994050">
      <w:pPr>
        <w:rPr>
          <w:b/>
          <w:lang w:val="pl-PL"/>
        </w:rPr>
      </w:pPr>
    </w:p>
    <w:p w14:paraId="1E402D4F" w14:textId="77777777" w:rsidR="00994050" w:rsidRPr="0015541C" w:rsidRDefault="00994050" w:rsidP="00994050">
      <w:pPr>
        <w:rPr>
          <w:lang w:val="pl-PL"/>
        </w:rPr>
      </w:pPr>
      <w:r w:rsidRPr="0015541C">
        <w:rPr>
          <w:lang w:val="pl-PL"/>
        </w:rPr>
        <w:t xml:space="preserve">Zalecane dawkowanie produktu </w:t>
      </w:r>
      <w:r w:rsidR="00C87F12" w:rsidRPr="0015541C">
        <w:rPr>
          <w:lang w:val="pl-PL"/>
        </w:rPr>
        <w:t>Aybintio</w:t>
      </w:r>
      <w:r w:rsidRPr="0015541C">
        <w:rPr>
          <w:lang w:val="pl-PL"/>
        </w:rPr>
        <w:t xml:space="preserve"> to 10 mg/kg mc. raz na 2 tygodnie we wlewie dożylnym.</w:t>
      </w:r>
    </w:p>
    <w:p w14:paraId="1F16E101" w14:textId="77777777" w:rsidR="00B6202A" w:rsidRPr="0015541C" w:rsidRDefault="00B6202A" w:rsidP="00994050">
      <w:pPr>
        <w:rPr>
          <w:lang w:val="pl-PL"/>
        </w:rPr>
      </w:pPr>
    </w:p>
    <w:p w14:paraId="4BC2AAC5" w14:textId="77777777" w:rsidR="00AC11A2" w:rsidRPr="0015541C" w:rsidRDefault="00AC11A2" w:rsidP="00994050">
      <w:pPr>
        <w:rPr>
          <w:lang w:val="pl-PL"/>
        </w:rPr>
      </w:pPr>
      <w:r w:rsidRPr="0015541C">
        <w:rPr>
          <w:lang w:val="pl-PL"/>
        </w:rPr>
        <w:t xml:space="preserve">Zaleca się prowadzenie leczenia aż do wystąpienia progresji choroby zasadniczej lub wystąpienia </w:t>
      </w:r>
      <w:r w:rsidR="004A4FEA" w:rsidRPr="0015541C">
        <w:rPr>
          <w:lang w:val="pl-PL"/>
        </w:rPr>
        <w:t xml:space="preserve">nieakceptowalnej </w:t>
      </w:r>
      <w:r w:rsidRPr="0015541C">
        <w:rPr>
          <w:lang w:val="pl-PL"/>
        </w:rPr>
        <w:t>toksyczności.</w:t>
      </w:r>
    </w:p>
    <w:p w14:paraId="061E2561" w14:textId="77777777" w:rsidR="00AC11A2" w:rsidRPr="0015541C" w:rsidRDefault="00AC11A2" w:rsidP="00994050">
      <w:pPr>
        <w:rPr>
          <w:lang w:val="pl-PL"/>
        </w:rPr>
      </w:pPr>
    </w:p>
    <w:p w14:paraId="4D8CBD99" w14:textId="77777777" w:rsidR="00AC11A2" w:rsidRPr="0015541C" w:rsidRDefault="00BE1B58" w:rsidP="00E306B1">
      <w:pPr>
        <w:keepNext/>
        <w:keepLines/>
        <w:rPr>
          <w:i/>
          <w:color w:val="000000"/>
          <w:u w:val="single"/>
          <w:lang w:val="pl-PL"/>
        </w:rPr>
      </w:pPr>
      <w:r w:rsidRPr="0015541C">
        <w:rPr>
          <w:i/>
          <w:color w:val="000000"/>
          <w:u w:val="single"/>
          <w:lang w:val="pl-PL"/>
        </w:rPr>
        <w:t>R</w:t>
      </w:r>
      <w:r w:rsidR="00AC11A2" w:rsidRPr="0015541C">
        <w:rPr>
          <w:i/>
          <w:color w:val="000000"/>
          <w:u w:val="single"/>
          <w:lang w:val="pl-PL"/>
        </w:rPr>
        <w:t>ak jajnika, rak jajowodu i pierwotny rak otrzewnej</w:t>
      </w:r>
    </w:p>
    <w:p w14:paraId="2B527BBD" w14:textId="77777777" w:rsidR="00411B4F" w:rsidRPr="0015541C" w:rsidRDefault="00411B4F" w:rsidP="00E306B1">
      <w:pPr>
        <w:keepNext/>
        <w:keepLines/>
        <w:rPr>
          <w:color w:val="000000"/>
          <w:lang w:val="pl-PL"/>
        </w:rPr>
      </w:pPr>
    </w:p>
    <w:p w14:paraId="1661BD62" w14:textId="77777777" w:rsidR="00B1036A" w:rsidRPr="0015541C" w:rsidRDefault="00C877EC" w:rsidP="00AC11A2">
      <w:pPr>
        <w:rPr>
          <w:color w:val="000000"/>
          <w:lang w:val="pl-PL"/>
        </w:rPr>
      </w:pPr>
      <w:r w:rsidRPr="0070444C">
        <w:rPr>
          <w:i/>
          <w:color w:val="000000"/>
          <w:lang w:val="pl-PL"/>
        </w:rPr>
        <w:t>Leczenie pierwszego rzutu</w:t>
      </w:r>
    </w:p>
    <w:p w14:paraId="3EAB0329" w14:textId="77777777" w:rsidR="00AC11A2" w:rsidRPr="0015541C" w:rsidRDefault="00C87F12" w:rsidP="00AC11A2">
      <w:pPr>
        <w:rPr>
          <w:color w:val="000000"/>
          <w:lang w:val="pl-PL"/>
        </w:rPr>
      </w:pPr>
      <w:r w:rsidRPr="0015541C">
        <w:rPr>
          <w:color w:val="000000"/>
          <w:lang w:val="pl-PL"/>
        </w:rPr>
        <w:t>Aybintio</w:t>
      </w:r>
      <w:r w:rsidR="00AC11A2" w:rsidRPr="0015541C">
        <w:rPr>
          <w:color w:val="000000"/>
          <w:lang w:val="pl-PL"/>
        </w:rPr>
        <w:t xml:space="preserve"> jest stosowany łącznie z karboplatyną i paklitakselem przez maksymalnie 6 cykli leczenia, a następnie w monoterapii aż do progresji choroby lub przez maksymalnie 15</w:t>
      </w:r>
      <w:r w:rsidR="00C877EC" w:rsidRPr="0015541C">
        <w:rPr>
          <w:color w:val="000000"/>
          <w:lang w:val="pl-PL"/>
        </w:rPr>
        <w:t> </w:t>
      </w:r>
      <w:r w:rsidR="00AC11A2" w:rsidRPr="0015541C">
        <w:rPr>
          <w:color w:val="000000"/>
          <w:lang w:val="pl-PL"/>
        </w:rPr>
        <w:t xml:space="preserve">miesięcy lub do wystąpienia </w:t>
      </w:r>
      <w:r w:rsidR="00AC11A2" w:rsidRPr="0015541C">
        <w:rPr>
          <w:lang w:val="pl-PL"/>
        </w:rPr>
        <w:t>nieakceptowa</w:t>
      </w:r>
      <w:r w:rsidR="0030410C" w:rsidRPr="0015541C">
        <w:rPr>
          <w:lang w:val="pl-PL"/>
        </w:rPr>
        <w:t>lnej</w:t>
      </w:r>
      <w:r w:rsidR="00AC11A2" w:rsidRPr="0015541C">
        <w:rPr>
          <w:color w:val="000000"/>
          <w:lang w:val="pl-PL"/>
        </w:rPr>
        <w:t xml:space="preserve"> toksyczności, zależnie od tego, które z tych zjawisk wystąpi wcześniej.</w:t>
      </w:r>
    </w:p>
    <w:p w14:paraId="41A51C54" w14:textId="77777777" w:rsidR="00994050" w:rsidRPr="0015541C" w:rsidRDefault="00AC11A2" w:rsidP="00994050">
      <w:pPr>
        <w:rPr>
          <w:iCs/>
          <w:lang w:val="pl-PL"/>
        </w:rPr>
      </w:pPr>
      <w:r w:rsidRPr="0015541C">
        <w:rPr>
          <w:color w:val="000000"/>
          <w:lang w:val="pl-PL"/>
        </w:rPr>
        <w:t xml:space="preserve">Zalecana dawką </w:t>
      </w:r>
      <w:r w:rsidR="00411B4F" w:rsidRPr="0015541C">
        <w:rPr>
          <w:color w:val="000000"/>
          <w:lang w:val="pl-PL"/>
        </w:rPr>
        <w:t>produktu</w:t>
      </w:r>
      <w:r w:rsidRPr="0015541C">
        <w:rPr>
          <w:color w:val="000000"/>
          <w:lang w:val="pl-PL"/>
        </w:rPr>
        <w:t xml:space="preserve"> </w:t>
      </w:r>
      <w:r w:rsidR="00C87F12" w:rsidRPr="0015541C">
        <w:rPr>
          <w:color w:val="000000"/>
          <w:lang w:val="pl-PL"/>
        </w:rPr>
        <w:t>Aybintio</w:t>
      </w:r>
      <w:r w:rsidRPr="0015541C">
        <w:rPr>
          <w:color w:val="000000"/>
          <w:lang w:val="pl-PL"/>
        </w:rPr>
        <w:t xml:space="preserve"> wynosi 15</w:t>
      </w:r>
      <w:r w:rsidR="00D940FB" w:rsidRPr="0015541C">
        <w:rPr>
          <w:color w:val="000000"/>
          <w:lang w:val="pl-PL"/>
        </w:rPr>
        <w:t> </w:t>
      </w:r>
      <w:r w:rsidRPr="0015541C">
        <w:rPr>
          <w:color w:val="000000"/>
          <w:lang w:val="pl-PL"/>
        </w:rPr>
        <w:t>mg/kg mc</w:t>
      </w:r>
      <w:r w:rsidR="00411B4F" w:rsidRPr="0015541C">
        <w:rPr>
          <w:color w:val="000000"/>
          <w:lang w:val="pl-PL"/>
        </w:rPr>
        <w:t>.</w:t>
      </w:r>
      <w:r w:rsidRPr="0015541C">
        <w:rPr>
          <w:color w:val="000000"/>
          <w:lang w:val="pl-PL"/>
        </w:rPr>
        <w:t xml:space="preserve"> podawana raz na 3 tygodnie we wlewie dożylnym. </w:t>
      </w:r>
    </w:p>
    <w:p w14:paraId="763C9396" w14:textId="77777777" w:rsidR="00411B4F" w:rsidRPr="0015541C" w:rsidRDefault="00411B4F" w:rsidP="00994050">
      <w:pPr>
        <w:rPr>
          <w:i/>
          <w:u w:val="single"/>
          <w:lang w:val="pl-PL"/>
        </w:rPr>
      </w:pPr>
    </w:p>
    <w:p w14:paraId="0CF6CFDD" w14:textId="77777777" w:rsidR="00B6202A" w:rsidRPr="0015541C" w:rsidRDefault="005F1157" w:rsidP="005F1157">
      <w:pPr>
        <w:rPr>
          <w:lang w:val="pl-PL"/>
        </w:rPr>
      </w:pPr>
      <w:r w:rsidRPr="0070444C">
        <w:rPr>
          <w:i/>
          <w:lang w:val="pl-PL"/>
        </w:rPr>
        <w:t>Leczenie nawrot</w:t>
      </w:r>
      <w:r w:rsidR="00F56E35" w:rsidRPr="0070444C">
        <w:rPr>
          <w:i/>
          <w:lang w:val="pl-PL"/>
        </w:rPr>
        <w:t>u</w:t>
      </w:r>
      <w:r w:rsidR="00BE1B58" w:rsidRPr="0070444C">
        <w:rPr>
          <w:i/>
          <w:lang w:val="pl-PL"/>
        </w:rPr>
        <w:t xml:space="preserve"> choroby wrażliwej na związki platyny</w:t>
      </w:r>
    </w:p>
    <w:p w14:paraId="73911A30" w14:textId="77777777" w:rsidR="005F1157" w:rsidRPr="0015541C" w:rsidRDefault="00C87F12" w:rsidP="005F1157">
      <w:pPr>
        <w:rPr>
          <w:lang w:val="pl-PL"/>
        </w:rPr>
      </w:pPr>
      <w:r w:rsidRPr="0015541C">
        <w:rPr>
          <w:lang w:val="pl-PL"/>
        </w:rPr>
        <w:t>Aybintio</w:t>
      </w:r>
      <w:r w:rsidR="005F1157" w:rsidRPr="0015541C">
        <w:rPr>
          <w:lang w:val="pl-PL"/>
        </w:rPr>
        <w:t xml:space="preserve"> jest stosowany w skojarzeniu </w:t>
      </w:r>
      <w:r w:rsidR="00243691" w:rsidRPr="0015541C">
        <w:rPr>
          <w:lang w:val="pl-PL"/>
        </w:rPr>
        <w:t xml:space="preserve">albo </w:t>
      </w:r>
      <w:r w:rsidR="005F1157" w:rsidRPr="0015541C">
        <w:rPr>
          <w:lang w:val="pl-PL"/>
        </w:rPr>
        <w:t>z karboplatyną i gemcytabiną przez 6</w:t>
      </w:r>
      <w:r w:rsidR="009C2403" w:rsidRPr="0015541C">
        <w:rPr>
          <w:lang w:val="pl-PL"/>
        </w:rPr>
        <w:t xml:space="preserve"> do </w:t>
      </w:r>
      <w:r w:rsidR="005F1157" w:rsidRPr="0015541C">
        <w:rPr>
          <w:lang w:val="pl-PL"/>
        </w:rPr>
        <w:t>10 cykli</w:t>
      </w:r>
      <w:r w:rsidR="00F36C47" w:rsidRPr="0015541C">
        <w:rPr>
          <w:lang w:val="pl-PL"/>
        </w:rPr>
        <w:t>, albo w skojarzeniu z karboplatyną i paklitakselem przez 6 do 8 cykli</w:t>
      </w:r>
      <w:r w:rsidR="005F1157" w:rsidRPr="0015541C">
        <w:rPr>
          <w:lang w:val="pl-PL"/>
        </w:rPr>
        <w:t xml:space="preserve">, a następnie w monoterapii aż do stwierdzenia progresji choroby. Zalecana dawka </w:t>
      </w:r>
      <w:r w:rsidR="009C2403" w:rsidRPr="0015541C">
        <w:rPr>
          <w:lang w:val="pl-PL"/>
        </w:rPr>
        <w:t>produktu</w:t>
      </w:r>
      <w:r w:rsidR="005F1157" w:rsidRPr="0015541C">
        <w:rPr>
          <w:lang w:val="pl-PL"/>
        </w:rPr>
        <w:t xml:space="preserve"> </w:t>
      </w:r>
      <w:r w:rsidRPr="0015541C">
        <w:rPr>
          <w:lang w:val="pl-PL"/>
        </w:rPr>
        <w:t>Aybintio</w:t>
      </w:r>
      <w:r w:rsidR="005F1157" w:rsidRPr="0015541C">
        <w:rPr>
          <w:lang w:val="pl-PL"/>
        </w:rPr>
        <w:t xml:space="preserve"> to 15 mg/kg masy ciała raz na 3 tygodnie we wlewie dożylnym.</w:t>
      </w:r>
    </w:p>
    <w:p w14:paraId="20A69987" w14:textId="77777777" w:rsidR="00BE1B58" w:rsidRPr="0015541C" w:rsidRDefault="00BE1B58" w:rsidP="005F1157">
      <w:pPr>
        <w:rPr>
          <w:i/>
          <w:u w:val="single"/>
          <w:lang w:val="pl-PL"/>
        </w:rPr>
      </w:pPr>
    </w:p>
    <w:p w14:paraId="325C8DB6" w14:textId="77777777" w:rsidR="007623CC" w:rsidRPr="0015541C" w:rsidRDefault="00BE1B58" w:rsidP="003C6FA3">
      <w:pPr>
        <w:keepNext/>
        <w:rPr>
          <w:i/>
          <w:lang w:val="pl-PL"/>
        </w:rPr>
      </w:pPr>
      <w:r w:rsidRPr="0070444C">
        <w:rPr>
          <w:i/>
          <w:lang w:val="pl-PL"/>
        </w:rPr>
        <w:lastRenderedPageBreak/>
        <w:t>Leczenie nawrotu choroby opornej na związki platyny</w:t>
      </w:r>
    </w:p>
    <w:p w14:paraId="23B54567" w14:textId="3CA4FFAC" w:rsidR="00BE1B58" w:rsidRPr="0015541C" w:rsidRDefault="00C87F12" w:rsidP="005F1157">
      <w:pPr>
        <w:rPr>
          <w:rFonts w:cs="Arial"/>
          <w:lang w:val="pl-PL"/>
        </w:rPr>
      </w:pPr>
      <w:r w:rsidRPr="0015541C">
        <w:rPr>
          <w:lang w:val="pl-PL"/>
        </w:rPr>
        <w:t>Aybintio</w:t>
      </w:r>
      <w:r w:rsidR="00BE1B58" w:rsidRPr="0015541C">
        <w:rPr>
          <w:lang w:val="pl-PL"/>
        </w:rPr>
        <w:t xml:space="preserve"> jest stosowany w skojarzeniu z jednym z następujących leków </w:t>
      </w:r>
      <w:r w:rsidR="00BE1B58" w:rsidRPr="0015541C">
        <w:rPr>
          <w:rFonts w:cs="Arial"/>
          <w:lang w:val="pl-PL"/>
        </w:rPr>
        <w:t>–</w:t>
      </w:r>
      <w:r w:rsidR="00E47C98" w:rsidRPr="0015541C">
        <w:rPr>
          <w:rFonts w:cs="Arial"/>
          <w:lang w:val="pl-PL"/>
        </w:rPr>
        <w:t xml:space="preserve"> </w:t>
      </w:r>
      <w:r w:rsidR="000C6576">
        <w:rPr>
          <w:szCs w:val="22"/>
          <w:lang w:val="pl-PL"/>
        </w:rPr>
        <w:t xml:space="preserve">paklitakselem, </w:t>
      </w:r>
      <w:r w:rsidR="00BE1B58" w:rsidRPr="0015541C">
        <w:rPr>
          <w:rFonts w:cs="Arial"/>
          <w:lang w:val="pl-PL"/>
        </w:rPr>
        <w:t xml:space="preserve">topotekanem (podawany w odstępach tygodniowych) lub </w:t>
      </w:r>
      <w:r w:rsidR="00BE1B58" w:rsidRPr="0015541C">
        <w:rPr>
          <w:lang w:val="pl-PL"/>
        </w:rPr>
        <w:t>pegylowaną liposomalną doksorubicyną</w:t>
      </w:r>
      <w:r w:rsidR="00BE1B58" w:rsidRPr="0015541C">
        <w:rPr>
          <w:rFonts w:cs="Arial"/>
          <w:lang w:val="pl-PL"/>
        </w:rPr>
        <w:t xml:space="preserve">. Zalecana dawka produktu </w:t>
      </w:r>
      <w:r w:rsidRPr="0015541C">
        <w:rPr>
          <w:lang w:val="pl-PL"/>
        </w:rPr>
        <w:t>Aybintio</w:t>
      </w:r>
      <w:r w:rsidR="00BE1B58" w:rsidRPr="0015541C">
        <w:rPr>
          <w:lang w:val="pl-PL"/>
        </w:rPr>
        <w:t xml:space="preserve"> wynosi 10 mg/kg masy ciała co dwa tygodnie w postaci wlewu dożylnego. W przypadku stosowania produktu </w:t>
      </w:r>
      <w:r w:rsidRPr="0015541C">
        <w:rPr>
          <w:lang w:val="pl-PL"/>
        </w:rPr>
        <w:t>Aybintio</w:t>
      </w:r>
      <w:r w:rsidR="00BE1B58" w:rsidRPr="0015541C">
        <w:rPr>
          <w:lang w:val="pl-PL"/>
        </w:rPr>
        <w:t xml:space="preserve"> w skojarzeniu z topotekanem (podawanym w dniach 1-5, co 3 tygodnie), zalecana dawka produktu </w:t>
      </w:r>
      <w:r w:rsidRPr="0015541C">
        <w:rPr>
          <w:lang w:val="pl-PL"/>
        </w:rPr>
        <w:t>Aybintio</w:t>
      </w:r>
      <w:r w:rsidR="00BE1B58" w:rsidRPr="0015541C">
        <w:rPr>
          <w:lang w:val="pl-PL"/>
        </w:rPr>
        <w:t xml:space="preserve"> wynosi 15 mg/kg masy ciała co 3 tygodnie w postaci wlewu dożylnego. Zaleca się kontynuowanie leczenia do czasu progresji choroby lub nieakceptowalnej toksyczności (patrz punkt 5.1, badanie MO22224</w:t>
      </w:r>
      <w:r w:rsidR="00BE1B58" w:rsidRPr="0015541C">
        <w:rPr>
          <w:rFonts w:cs="Arial"/>
          <w:lang w:val="pl-PL"/>
        </w:rPr>
        <w:t>).</w:t>
      </w:r>
    </w:p>
    <w:p w14:paraId="7C34426D" w14:textId="77777777" w:rsidR="00F74DF7" w:rsidRPr="0015541C" w:rsidRDefault="00F74DF7" w:rsidP="005F1157">
      <w:pPr>
        <w:rPr>
          <w:rFonts w:cs="Arial"/>
          <w:lang w:val="pl-PL"/>
        </w:rPr>
      </w:pPr>
    </w:p>
    <w:p w14:paraId="7BE550C5" w14:textId="77777777" w:rsidR="00F74DF7" w:rsidRPr="0015541C" w:rsidRDefault="00F74DF7" w:rsidP="005F1157">
      <w:pPr>
        <w:rPr>
          <w:rFonts w:cs="Arial"/>
          <w:i/>
          <w:u w:val="single"/>
          <w:lang w:val="pl-PL"/>
        </w:rPr>
      </w:pPr>
      <w:r w:rsidRPr="0015541C">
        <w:rPr>
          <w:rFonts w:cs="Arial"/>
          <w:i/>
          <w:u w:val="single"/>
          <w:lang w:val="pl-PL"/>
        </w:rPr>
        <w:t>Rak szyjki macicy</w:t>
      </w:r>
    </w:p>
    <w:p w14:paraId="27589B77" w14:textId="77777777" w:rsidR="00E21CD7" w:rsidRPr="0015541C" w:rsidRDefault="00E21CD7" w:rsidP="005F1157">
      <w:pPr>
        <w:rPr>
          <w:rFonts w:cs="Arial"/>
          <w:i/>
          <w:lang w:val="pl-PL"/>
        </w:rPr>
      </w:pPr>
    </w:p>
    <w:p w14:paraId="0D50EE7D" w14:textId="77777777" w:rsidR="00F74DF7" w:rsidRPr="0015541C" w:rsidRDefault="00C87F12" w:rsidP="005F1157">
      <w:pPr>
        <w:rPr>
          <w:rFonts w:cs="Arial"/>
          <w:lang w:val="pl-PL"/>
        </w:rPr>
      </w:pPr>
      <w:r w:rsidRPr="0015541C">
        <w:rPr>
          <w:rFonts w:cs="Arial"/>
          <w:lang w:val="pl-PL"/>
        </w:rPr>
        <w:t>Aybintio</w:t>
      </w:r>
      <w:r w:rsidR="00F74DF7" w:rsidRPr="0015541C">
        <w:rPr>
          <w:rFonts w:cs="Arial"/>
          <w:lang w:val="pl-PL"/>
        </w:rPr>
        <w:t xml:space="preserve"> </w:t>
      </w:r>
      <w:r w:rsidR="00A73C16" w:rsidRPr="0015541C">
        <w:rPr>
          <w:rFonts w:cs="Arial"/>
          <w:lang w:val="pl-PL"/>
        </w:rPr>
        <w:t>jest stosowany w skojarzeniu z</w:t>
      </w:r>
      <w:r w:rsidR="00F74DF7" w:rsidRPr="0015541C">
        <w:rPr>
          <w:rFonts w:cs="Arial"/>
          <w:lang w:val="pl-PL"/>
        </w:rPr>
        <w:t xml:space="preserve"> jednym z następujących </w:t>
      </w:r>
      <w:r w:rsidR="00A73C16" w:rsidRPr="0015541C">
        <w:rPr>
          <w:rFonts w:cs="Arial"/>
          <w:lang w:val="pl-PL"/>
        </w:rPr>
        <w:t>schematów chemioterapii</w:t>
      </w:r>
      <w:r w:rsidR="00F74DF7" w:rsidRPr="0015541C">
        <w:rPr>
          <w:rFonts w:cs="Arial"/>
          <w:lang w:val="pl-PL"/>
        </w:rPr>
        <w:t>: paklitaksel z cisplatyną lub paklitaksel z topotekanem.</w:t>
      </w:r>
    </w:p>
    <w:p w14:paraId="74D9E51C" w14:textId="77777777" w:rsidR="003F1657" w:rsidRPr="0015541C" w:rsidRDefault="003F1657" w:rsidP="005F1157">
      <w:pPr>
        <w:rPr>
          <w:rFonts w:cs="Arial"/>
          <w:lang w:val="pl-PL"/>
        </w:rPr>
      </w:pPr>
    </w:p>
    <w:p w14:paraId="663749BF" w14:textId="77777777" w:rsidR="00F74DF7" w:rsidRPr="0015541C" w:rsidRDefault="00F74DF7" w:rsidP="005F1157">
      <w:pPr>
        <w:rPr>
          <w:rFonts w:cs="Arial"/>
          <w:lang w:val="pl-PL"/>
        </w:rPr>
      </w:pPr>
      <w:r w:rsidRPr="0015541C">
        <w:rPr>
          <w:rFonts w:cs="Arial"/>
          <w:lang w:val="pl-PL"/>
        </w:rPr>
        <w:t xml:space="preserve">Zalecana dawka </w:t>
      </w:r>
      <w:r w:rsidR="00A63593" w:rsidRPr="0015541C">
        <w:rPr>
          <w:rFonts w:cs="Arial"/>
          <w:lang w:val="pl-PL"/>
        </w:rPr>
        <w:t xml:space="preserve">produktu </w:t>
      </w:r>
      <w:r w:rsidR="00C87F12" w:rsidRPr="0015541C">
        <w:rPr>
          <w:rFonts w:cs="Arial"/>
          <w:lang w:val="pl-PL"/>
        </w:rPr>
        <w:t>Aybintio</w:t>
      </w:r>
      <w:r w:rsidRPr="0015541C">
        <w:rPr>
          <w:rFonts w:cs="Arial"/>
          <w:lang w:val="pl-PL"/>
        </w:rPr>
        <w:t xml:space="preserve"> to 15 mg/kg masy ciała podawana raz na 3 tygodnie </w:t>
      </w:r>
      <w:r w:rsidR="00A73C16" w:rsidRPr="0015541C">
        <w:rPr>
          <w:rFonts w:cs="Arial"/>
          <w:lang w:val="pl-PL"/>
        </w:rPr>
        <w:t xml:space="preserve">we </w:t>
      </w:r>
      <w:r w:rsidRPr="0015541C">
        <w:rPr>
          <w:rFonts w:cs="Arial"/>
          <w:lang w:val="pl-PL"/>
        </w:rPr>
        <w:t>wlew</w:t>
      </w:r>
      <w:r w:rsidR="00A73C16" w:rsidRPr="0015541C">
        <w:rPr>
          <w:rFonts w:cs="Arial"/>
          <w:lang w:val="pl-PL"/>
        </w:rPr>
        <w:t>ie</w:t>
      </w:r>
      <w:r w:rsidRPr="0015541C">
        <w:rPr>
          <w:rFonts w:cs="Arial"/>
          <w:lang w:val="pl-PL"/>
        </w:rPr>
        <w:t xml:space="preserve"> dożylny</w:t>
      </w:r>
      <w:r w:rsidR="00A73C16" w:rsidRPr="0015541C">
        <w:rPr>
          <w:rFonts w:cs="Arial"/>
          <w:lang w:val="pl-PL"/>
        </w:rPr>
        <w:t>m</w:t>
      </w:r>
      <w:r w:rsidRPr="0015541C">
        <w:rPr>
          <w:rFonts w:cs="Arial"/>
          <w:lang w:val="pl-PL"/>
        </w:rPr>
        <w:t>.</w:t>
      </w:r>
    </w:p>
    <w:p w14:paraId="721517D9" w14:textId="77777777" w:rsidR="009207A4" w:rsidRPr="0015541C" w:rsidRDefault="009207A4" w:rsidP="005F1157">
      <w:pPr>
        <w:rPr>
          <w:rFonts w:cs="Arial"/>
          <w:lang w:val="pl-PL"/>
        </w:rPr>
      </w:pPr>
    </w:p>
    <w:p w14:paraId="2E40DC84" w14:textId="77777777" w:rsidR="00F74DF7" w:rsidRPr="0015541C" w:rsidRDefault="00A73C16" w:rsidP="005F1157">
      <w:pPr>
        <w:rPr>
          <w:rFonts w:cs="Arial"/>
          <w:lang w:val="pl-PL"/>
        </w:rPr>
      </w:pPr>
      <w:r w:rsidRPr="0015541C">
        <w:rPr>
          <w:lang w:val="pl-PL"/>
        </w:rPr>
        <w:t>Zaleca się kontynuowanie leczenia do czasu progresji choroby lub nieakceptowalnej toksyczności (patrz punkt 5.1).</w:t>
      </w:r>
    </w:p>
    <w:p w14:paraId="09587106" w14:textId="77777777" w:rsidR="005F1157" w:rsidRPr="0015541C" w:rsidRDefault="005F1157" w:rsidP="00994050">
      <w:pPr>
        <w:rPr>
          <w:i/>
          <w:u w:val="single"/>
          <w:lang w:val="pl-PL"/>
        </w:rPr>
      </w:pPr>
    </w:p>
    <w:p w14:paraId="20F4A815" w14:textId="77777777" w:rsidR="00994050" w:rsidRPr="0015541C" w:rsidRDefault="00994050" w:rsidP="00E503DC">
      <w:pPr>
        <w:keepNext/>
        <w:keepLines/>
        <w:rPr>
          <w:i/>
          <w:u w:val="single"/>
          <w:lang w:val="pl-PL"/>
        </w:rPr>
      </w:pPr>
      <w:r w:rsidRPr="0015541C">
        <w:rPr>
          <w:i/>
          <w:u w:val="single"/>
          <w:lang w:val="pl-PL"/>
        </w:rPr>
        <w:t xml:space="preserve">Szczególne grupy </w:t>
      </w:r>
      <w:r w:rsidR="00747A06" w:rsidRPr="0015541C">
        <w:rPr>
          <w:i/>
          <w:u w:val="single"/>
          <w:lang w:val="pl-PL"/>
        </w:rPr>
        <w:t>pacjentów</w:t>
      </w:r>
    </w:p>
    <w:p w14:paraId="64E0EA3E" w14:textId="77777777" w:rsidR="00994050" w:rsidRPr="0015541C" w:rsidRDefault="00994050" w:rsidP="00E503DC">
      <w:pPr>
        <w:keepNext/>
        <w:keepLines/>
        <w:rPr>
          <w:i/>
          <w:lang w:val="pl-PL"/>
        </w:rPr>
      </w:pPr>
    </w:p>
    <w:p w14:paraId="23874AB4" w14:textId="32F933EA" w:rsidR="00994050" w:rsidRPr="0015541C" w:rsidRDefault="00747A06" w:rsidP="00994050">
      <w:pPr>
        <w:rPr>
          <w:lang w:val="pl-PL"/>
        </w:rPr>
      </w:pPr>
      <w:r w:rsidRPr="0015541C">
        <w:rPr>
          <w:i/>
          <w:lang w:val="pl-PL"/>
        </w:rPr>
        <w:t xml:space="preserve">Osoby </w:t>
      </w:r>
      <w:r w:rsidR="00994050" w:rsidRPr="0015541C">
        <w:rPr>
          <w:i/>
          <w:lang w:val="pl-PL"/>
        </w:rPr>
        <w:t>w podeszłym wieku:</w:t>
      </w:r>
      <w:r w:rsidR="00994050" w:rsidRPr="0015541C">
        <w:rPr>
          <w:lang w:val="pl-PL"/>
        </w:rPr>
        <w:t xml:space="preserve"> Nie </w:t>
      </w:r>
      <w:r w:rsidR="002A32B1" w:rsidRPr="0015541C">
        <w:rPr>
          <w:lang w:val="pl-PL"/>
        </w:rPr>
        <w:t>jest konieczn</w:t>
      </w:r>
      <w:r w:rsidR="00EA21DF" w:rsidRPr="0015541C">
        <w:rPr>
          <w:lang w:val="pl-PL"/>
        </w:rPr>
        <w:t>a</w:t>
      </w:r>
      <w:r w:rsidR="002A32B1" w:rsidRPr="0015541C">
        <w:rPr>
          <w:lang w:val="pl-PL"/>
        </w:rPr>
        <w:t xml:space="preserve"> </w:t>
      </w:r>
      <w:r w:rsidR="00994050" w:rsidRPr="0015541C">
        <w:rPr>
          <w:lang w:val="pl-PL"/>
        </w:rPr>
        <w:t>modyfik</w:t>
      </w:r>
      <w:r w:rsidR="002A32B1" w:rsidRPr="0015541C">
        <w:rPr>
          <w:lang w:val="pl-PL"/>
        </w:rPr>
        <w:t>acja</w:t>
      </w:r>
      <w:r w:rsidR="00994050" w:rsidRPr="0015541C">
        <w:rPr>
          <w:lang w:val="pl-PL"/>
        </w:rPr>
        <w:t xml:space="preserve"> dawek u </w:t>
      </w:r>
      <w:r w:rsidR="002A32B1" w:rsidRPr="0015541C">
        <w:rPr>
          <w:lang w:val="pl-PL"/>
        </w:rPr>
        <w:t xml:space="preserve">pacjentów </w:t>
      </w:r>
      <w:r w:rsidR="00A50900" w:rsidRPr="0015541C">
        <w:rPr>
          <w:lang w:val="pl-PL"/>
        </w:rPr>
        <w:t xml:space="preserve">w </w:t>
      </w:r>
      <w:r w:rsidR="002A32B1" w:rsidRPr="0015541C">
        <w:rPr>
          <w:lang w:val="pl-PL"/>
        </w:rPr>
        <w:t>wieku</w:t>
      </w:r>
      <w:r w:rsidR="00994050" w:rsidRPr="0015541C">
        <w:rPr>
          <w:lang w:val="pl-PL"/>
        </w:rPr>
        <w:t xml:space="preserve"> </w:t>
      </w:r>
      <w:r w:rsidR="00551548" w:rsidRPr="0015541C">
        <w:rPr>
          <w:rFonts w:hint="eastAsia"/>
          <w:lang w:val="pl-PL"/>
        </w:rPr>
        <w:t>≥</w:t>
      </w:r>
      <w:r w:rsidR="00551548" w:rsidRPr="0015541C">
        <w:rPr>
          <w:lang w:val="pl-PL"/>
        </w:rPr>
        <w:t xml:space="preserve"> 65 lat</w:t>
      </w:r>
      <w:r w:rsidR="00994050" w:rsidRPr="0015541C">
        <w:rPr>
          <w:lang w:val="pl-PL"/>
        </w:rPr>
        <w:t>.</w:t>
      </w:r>
    </w:p>
    <w:p w14:paraId="1849B0BD" w14:textId="77777777" w:rsidR="00994050" w:rsidRPr="0015541C" w:rsidRDefault="00994050" w:rsidP="00994050">
      <w:pPr>
        <w:rPr>
          <w:lang w:val="pl-PL"/>
        </w:rPr>
      </w:pPr>
    </w:p>
    <w:p w14:paraId="5E0DF1DD" w14:textId="77777777" w:rsidR="002430CD" w:rsidRPr="0015541C" w:rsidRDefault="00747A06" w:rsidP="00994050">
      <w:pPr>
        <w:rPr>
          <w:b/>
          <w:i/>
          <w:lang w:val="pl-PL"/>
        </w:rPr>
      </w:pPr>
      <w:r w:rsidRPr="0015541C">
        <w:rPr>
          <w:i/>
          <w:lang w:val="pl-PL"/>
        </w:rPr>
        <w:t xml:space="preserve">Osoby </w:t>
      </w:r>
      <w:r w:rsidR="00994050" w:rsidRPr="0015541C">
        <w:rPr>
          <w:i/>
          <w:lang w:val="pl-PL"/>
        </w:rPr>
        <w:t>z zaburzeniem czynności nerek</w:t>
      </w:r>
    </w:p>
    <w:p w14:paraId="580495C2" w14:textId="1D496FAD" w:rsidR="00994050" w:rsidRPr="0015541C" w:rsidRDefault="00994050" w:rsidP="00994050">
      <w:pPr>
        <w:rPr>
          <w:lang w:val="pl-PL"/>
        </w:rPr>
      </w:pPr>
      <w:r w:rsidRPr="0015541C">
        <w:rPr>
          <w:lang w:val="pl-PL"/>
        </w:rPr>
        <w:t xml:space="preserve">Nie badano bezpieczeństwa stosowania i skuteczności leczenia u </w:t>
      </w:r>
      <w:r w:rsidR="00225C67" w:rsidRPr="0015541C">
        <w:rPr>
          <w:lang w:val="pl-PL"/>
        </w:rPr>
        <w:t xml:space="preserve">osób </w:t>
      </w:r>
      <w:r w:rsidRPr="0015541C">
        <w:rPr>
          <w:lang w:val="pl-PL"/>
        </w:rPr>
        <w:t>z zaburzeni</w:t>
      </w:r>
      <w:r w:rsidR="00E47C98" w:rsidRPr="0015541C">
        <w:rPr>
          <w:lang w:val="pl-PL"/>
        </w:rPr>
        <w:t>a</w:t>
      </w:r>
      <w:r w:rsidRPr="0015541C">
        <w:rPr>
          <w:lang w:val="pl-PL"/>
        </w:rPr>
        <w:t>m</w:t>
      </w:r>
      <w:r w:rsidR="00E47C98" w:rsidRPr="0015541C">
        <w:rPr>
          <w:lang w:val="pl-PL"/>
        </w:rPr>
        <w:t>i</w:t>
      </w:r>
      <w:r w:rsidRPr="0015541C">
        <w:rPr>
          <w:lang w:val="pl-PL"/>
        </w:rPr>
        <w:t xml:space="preserve"> czynności nerek</w:t>
      </w:r>
      <w:r w:rsidR="00F9616C" w:rsidRPr="0015541C">
        <w:rPr>
          <w:lang w:val="pl-PL"/>
        </w:rPr>
        <w:t xml:space="preserve"> </w:t>
      </w:r>
      <w:r w:rsidR="009C2403" w:rsidRPr="0015541C">
        <w:rPr>
          <w:lang w:val="pl-PL"/>
        </w:rPr>
        <w:t>(</w:t>
      </w:r>
      <w:r w:rsidR="00F9616C" w:rsidRPr="0015541C">
        <w:rPr>
          <w:lang w:val="pl-PL"/>
        </w:rPr>
        <w:t>patrz punkt 5.2</w:t>
      </w:r>
      <w:r w:rsidR="009C2403" w:rsidRPr="0015541C">
        <w:rPr>
          <w:lang w:val="pl-PL"/>
        </w:rPr>
        <w:t>)</w:t>
      </w:r>
      <w:r w:rsidRPr="0015541C">
        <w:rPr>
          <w:lang w:val="pl-PL"/>
        </w:rPr>
        <w:t>.</w:t>
      </w:r>
    </w:p>
    <w:p w14:paraId="42F21196" w14:textId="77777777" w:rsidR="00994050" w:rsidRPr="0015541C" w:rsidRDefault="00994050" w:rsidP="00994050">
      <w:pPr>
        <w:rPr>
          <w:lang w:val="pl-PL"/>
        </w:rPr>
      </w:pPr>
    </w:p>
    <w:p w14:paraId="5B9986BA" w14:textId="77777777" w:rsidR="002430CD" w:rsidRPr="0015541C" w:rsidRDefault="00747A06" w:rsidP="00994050">
      <w:pPr>
        <w:rPr>
          <w:lang w:val="pl-PL"/>
        </w:rPr>
      </w:pPr>
      <w:r w:rsidRPr="0015541C">
        <w:rPr>
          <w:i/>
          <w:lang w:val="pl-PL"/>
        </w:rPr>
        <w:t xml:space="preserve">Osoby </w:t>
      </w:r>
      <w:r w:rsidR="00994050" w:rsidRPr="0015541C">
        <w:rPr>
          <w:i/>
          <w:lang w:val="pl-PL"/>
        </w:rPr>
        <w:t>z zaburzeniem czynności wątroby</w:t>
      </w:r>
    </w:p>
    <w:p w14:paraId="2BD2623E" w14:textId="254E0742" w:rsidR="00994050" w:rsidRPr="0015541C" w:rsidRDefault="00994050" w:rsidP="00994050">
      <w:pPr>
        <w:rPr>
          <w:lang w:val="pl-PL"/>
        </w:rPr>
      </w:pPr>
      <w:r w:rsidRPr="0015541C">
        <w:rPr>
          <w:lang w:val="pl-PL"/>
        </w:rPr>
        <w:t>Nie badano bezpiecz</w:t>
      </w:r>
      <w:r w:rsidR="000C618F" w:rsidRPr="0015541C">
        <w:rPr>
          <w:lang w:val="pl-PL"/>
        </w:rPr>
        <w:t>eństwa stosowania i skuteczności</w:t>
      </w:r>
      <w:r w:rsidRPr="0015541C">
        <w:rPr>
          <w:lang w:val="pl-PL"/>
        </w:rPr>
        <w:t xml:space="preserve"> leczenia u </w:t>
      </w:r>
      <w:r w:rsidR="00225C67" w:rsidRPr="0015541C">
        <w:rPr>
          <w:lang w:val="pl-PL"/>
        </w:rPr>
        <w:t xml:space="preserve">osób </w:t>
      </w:r>
      <w:r w:rsidRPr="0015541C">
        <w:rPr>
          <w:lang w:val="pl-PL"/>
        </w:rPr>
        <w:t xml:space="preserve">z </w:t>
      </w:r>
      <w:r w:rsidR="00E47C98" w:rsidRPr="0015541C">
        <w:rPr>
          <w:lang w:val="pl-PL"/>
        </w:rPr>
        <w:t xml:space="preserve">zaburzeniami </w:t>
      </w:r>
      <w:r w:rsidRPr="0015541C">
        <w:rPr>
          <w:lang w:val="pl-PL"/>
        </w:rPr>
        <w:t>czynności wątroby</w:t>
      </w:r>
      <w:r w:rsidR="00F9616C" w:rsidRPr="0015541C">
        <w:rPr>
          <w:lang w:val="pl-PL"/>
        </w:rPr>
        <w:t xml:space="preserve"> </w:t>
      </w:r>
      <w:r w:rsidR="009C2403" w:rsidRPr="0015541C">
        <w:rPr>
          <w:lang w:val="pl-PL"/>
        </w:rPr>
        <w:t>(</w:t>
      </w:r>
      <w:r w:rsidR="00F9616C" w:rsidRPr="0015541C">
        <w:rPr>
          <w:lang w:val="pl-PL"/>
        </w:rPr>
        <w:t>patrz punkt 5.2</w:t>
      </w:r>
      <w:r w:rsidR="009C2403" w:rsidRPr="0015541C">
        <w:rPr>
          <w:lang w:val="pl-PL"/>
        </w:rPr>
        <w:t>)</w:t>
      </w:r>
      <w:r w:rsidRPr="0015541C">
        <w:rPr>
          <w:lang w:val="pl-PL"/>
        </w:rPr>
        <w:t>.</w:t>
      </w:r>
    </w:p>
    <w:p w14:paraId="410FA1BD" w14:textId="77777777" w:rsidR="001031A5" w:rsidRPr="0015541C" w:rsidRDefault="001031A5" w:rsidP="001031A5">
      <w:pPr>
        <w:rPr>
          <w:lang w:val="pl-PL"/>
        </w:rPr>
      </w:pPr>
    </w:p>
    <w:p w14:paraId="0FBCB8DD" w14:textId="77777777" w:rsidR="00E73150" w:rsidRPr="0070444C" w:rsidRDefault="00E41B67" w:rsidP="001031A5">
      <w:pPr>
        <w:rPr>
          <w:i/>
          <w:lang w:val="pl-PL"/>
        </w:rPr>
      </w:pPr>
      <w:r w:rsidRPr="0070444C">
        <w:rPr>
          <w:i/>
          <w:lang w:val="pl-PL"/>
        </w:rPr>
        <w:t>Dzieci i młodzież</w:t>
      </w:r>
    </w:p>
    <w:p w14:paraId="560CAAA9" w14:textId="77777777" w:rsidR="00E73150" w:rsidRPr="0015541C" w:rsidRDefault="00E73150" w:rsidP="001031A5">
      <w:pPr>
        <w:rPr>
          <w:i/>
          <w:lang w:val="pl-PL"/>
        </w:rPr>
      </w:pPr>
    </w:p>
    <w:p w14:paraId="3EFBEDF6" w14:textId="77777777" w:rsidR="00E73150" w:rsidRPr="0015541C" w:rsidRDefault="00E73150" w:rsidP="001031A5">
      <w:pPr>
        <w:rPr>
          <w:lang w:val="pl-PL"/>
        </w:rPr>
      </w:pPr>
      <w:r w:rsidRPr="0015541C">
        <w:rPr>
          <w:lang w:val="pl-PL"/>
        </w:rPr>
        <w:t xml:space="preserve">Nie </w:t>
      </w:r>
      <w:r w:rsidR="001327D8" w:rsidRPr="0015541C">
        <w:rPr>
          <w:lang w:val="pl-PL"/>
        </w:rPr>
        <w:t>określono</w:t>
      </w:r>
      <w:r w:rsidRPr="0015541C">
        <w:rPr>
          <w:lang w:val="pl-PL"/>
        </w:rPr>
        <w:t xml:space="preserve"> bezpieczeństwa stosowania</w:t>
      </w:r>
      <w:r w:rsidR="003620AF" w:rsidRPr="0015541C">
        <w:rPr>
          <w:lang w:val="pl-PL"/>
        </w:rPr>
        <w:t xml:space="preserve"> </w:t>
      </w:r>
      <w:r w:rsidR="00D30090" w:rsidRPr="0015541C">
        <w:rPr>
          <w:lang w:val="pl-PL"/>
        </w:rPr>
        <w:t>i</w:t>
      </w:r>
      <w:r w:rsidRPr="0015541C">
        <w:rPr>
          <w:lang w:val="pl-PL"/>
        </w:rPr>
        <w:t xml:space="preserve"> skuteczności </w:t>
      </w:r>
      <w:r w:rsidR="00F82D14" w:rsidRPr="0015541C">
        <w:rPr>
          <w:lang w:val="pl-PL"/>
        </w:rPr>
        <w:t>bewacyzumabu</w:t>
      </w:r>
      <w:r w:rsidRPr="0015541C">
        <w:rPr>
          <w:lang w:val="pl-PL"/>
        </w:rPr>
        <w:t xml:space="preserve"> u dzieci </w:t>
      </w:r>
      <w:r w:rsidR="00000749" w:rsidRPr="0015541C">
        <w:rPr>
          <w:lang w:val="pl-PL"/>
        </w:rPr>
        <w:t xml:space="preserve">w wieku </w:t>
      </w:r>
      <w:r w:rsidR="00DD17FF" w:rsidRPr="0015541C">
        <w:rPr>
          <w:lang w:val="pl-PL"/>
        </w:rPr>
        <w:t>poniżej 18</w:t>
      </w:r>
      <w:r w:rsidR="00554A45" w:rsidRPr="0015541C">
        <w:rPr>
          <w:lang w:val="pl-PL"/>
        </w:rPr>
        <w:t xml:space="preserve"> lat</w:t>
      </w:r>
      <w:r w:rsidRPr="0015541C">
        <w:rPr>
          <w:lang w:val="pl-PL"/>
        </w:rPr>
        <w:t>.</w:t>
      </w:r>
      <w:r w:rsidR="00F82D14" w:rsidRPr="0015541C">
        <w:rPr>
          <w:lang w:val="pl-PL"/>
        </w:rPr>
        <w:t xml:space="preserve"> </w:t>
      </w:r>
      <w:r w:rsidR="00E41B67" w:rsidRPr="0015541C">
        <w:rPr>
          <w:lang w:val="pl-PL"/>
        </w:rPr>
        <w:t>Aktualne</w:t>
      </w:r>
      <w:r w:rsidRPr="0015541C">
        <w:rPr>
          <w:lang w:val="pl-PL"/>
        </w:rPr>
        <w:t xml:space="preserve"> </w:t>
      </w:r>
      <w:r w:rsidR="00494E71" w:rsidRPr="0015541C">
        <w:rPr>
          <w:lang w:val="pl-PL"/>
        </w:rPr>
        <w:t xml:space="preserve">dostępne </w:t>
      </w:r>
      <w:r w:rsidRPr="0015541C">
        <w:rPr>
          <w:lang w:val="pl-PL"/>
        </w:rPr>
        <w:t>dane przedstawion</w:t>
      </w:r>
      <w:r w:rsidR="00E41B67" w:rsidRPr="0015541C">
        <w:rPr>
          <w:lang w:val="pl-PL"/>
        </w:rPr>
        <w:t xml:space="preserve">o </w:t>
      </w:r>
      <w:r w:rsidRPr="0015541C">
        <w:rPr>
          <w:lang w:val="pl-PL"/>
        </w:rPr>
        <w:t>w punk</w:t>
      </w:r>
      <w:r w:rsidR="00D30090" w:rsidRPr="0015541C">
        <w:rPr>
          <w:lang w:val="pl-PL"/>
        </w:rPr>
        <w:t>cie</w:t>
      </w:r>
      <w:r w:rsidR="005B5934" w:rsidRPr="0015541C">
        <w:rPr>
          <w:lang w:val="pl-PL"/>
        </w:rPr>
        <w:t xml:space="preserve"> </w:t>
      </w:r>
      <w:r w:rsidR="006D3E65" w:rsidRPr="0015541C">
        <w:rPr>
          <w:lang w:val="pl-PL"/>
        </w:rPr>
        <w:t xml:space="preserve">4.8, </w:t>
      </w:r>
      <w:r w:rsidR="005B5934" w:rsidRPr="0015541C">
        <w:rPr>
          <w:lang w:val="pl-PL"/>
        </w:rPr>
        <w:t>5.1</w:t>
      </w:r>
      <w:r w:rsidR="00D30090" w:rsidRPr="0015541C">
        <w:rPr>
          <w:lang w:val="pl-PL"/>
        </w:rPr>
        <w:t xml:space="preserve"> i</w:t>
      </w:r>
      <w:r w:rsidR="005B5934" w:rsidRPr="0015541C">
        <w:rPr>
          <w:lang w:val="pl-PL"/>
        </w:rPr>
        <w:t xml:space="preserve"> </w:t>
      </w:r>
      <w:r w:rsidRPr="0015541C">
        <w:rPr>
          <w:lang w:val="pl-PL"/>
        </w:rPr>
        <w:t>5.2</w:t>
      </w:r>
      <w:r w:rsidR="00D30090" w:rsidRPr="0015541C">
        <w:rPr>
          <w:lang w:val="pl-PL"/>
        </w:rPr>
        <w:t xml:space="preserve">, ale </w:t>
      </w:r>
      <w:r w:rsidR="00494E71" w:rsidRPr="0015541C">
        <w:rPr>
          <w:lang w:val="pl-PL"/>
        </w:rPr>
        <w:t>na tej podstawie nie można ustalić</w:t>
      </w:r>
      <w:r w:rsidR="00D30090" w:rsidRPr="0015541C">
        <w:rPr>
          <w:lang w:val="pl-PL"/>
        </w:rPr>
        <w:t xml:space="preserve"> dawkowania</w:t>
      </w:r>
      <w:r w:rsidR="00DD17FF" w:rsidRPr="0015541C">
        <w:rPr>
          <w:lang w:val="pl-PL"/>
        </w:rPr>
        <w:t>.</w:t>
      </w:r>
    </w:p>
    <w:p w14:paraId="61E4C4AA" w14:textId="77777777" w:rsidR="00D30090" w:rsidRPr="0015541C" w:rsidRDefault="00D30090" w:rsidP="001031A5">
      <w:pPr>
        <w:rPr>
          <w:lang w:val="pl-PL"/>
        </w:rPr>
      </w:pPr>
    </w:p>
    <w:p w14:paraId="2059A6D8" w14:textId="77777777" w:rsidR="00D30090" w:rsidRPr="0015541C" w:rsidRDefault="00494E71" w:rsidP="001031A5">
      <w:pPr>
        <w:rPr>
          <w:lang w:val="pl-PL"/>
        </w:rPr>
      </w:pPr>
      <w:r w:rsidRPr="0015541C">
        <w:rPr>
          <w:lang w:val="pl-PL"/>
        </w:rPr>
        <w:t>Nie ma wskazań do stosowani</w:t>
      </w:r>
      <w:r w:rsidR="001F7233" w:rsidRPr="0015541C">
        <w:rPr>
          <w:lang w:val="pl-PL"/>
        </w:rPr>
        <w:t>a</w:t>
      </w:r>
      <w:r w:rsidRPr="0015541C">
        <w:rPr>
          <w:lang w:val="pl-PL"/>
        </w:rPr>
        <w:t xml:space="preserve"> bewacyzumabu u dzieci i młodzieży w leczeniu</w:t>
      </w:r>
      <w:r w:rsidRPr="0015541C" w:rsidDel="00494E71">
        <w:rPr>
          <w:lang w:val="pl-PL"/>
        </w:rPr>
        <w:t xml:space="preserve"> </w:t>
      </w:r>
      <w:r w:rsidR="00D30090" w:rsidRPr="0015541C">
        <w:rPr>
          <w:lang w:val="pl-PL"/>
        </w:rPr>
        <w:t>raka okrężnicy, odbytnicy, piersi, płuca, jajnika, jajowodu, otrzewnej, szyjki macicy i nerki.</w:t>
      </w:r>
    </w:p>
    <w:p w14:paraId="2A627454" w14:textId="77777777" w:rsidR="00246A9E" w:rsidRPr="0015541C" w:rsidRDefault="00246A9E" w:rsidP="001031A5">
      <w:pPr>
        <w:rPr>
          <w:lang w:val="pl-PL"/>
        </w:rPr>
      </w:pPr>
    </w:p>
    <w:p w14:paraId="1E157569" w14:textId="77777777" w:rsidR="001031A5" w:rsidRPr="0015541C" w:rsidRDefault="001031A5" w:rsidP="00E306B1">
      <w:pPr>
        <w:keepNext/>
        <w:keepLines/>
        <w:rPr>
          <w:u w:val="single"/>
          <w:lang w:val="pl-PL"/>
        </w:rPr>
      </w:pPr>
      <w:r w:rsidRPr="0015541C">
        <w:rPr>
          <w:u w:val="single"/>
          <w:lang w:val="pl-PL"/>
        </w:rPr>
        <w:t>Sposób podawania</w:t>
      </w:r>
    </w:p>
    <w:p w14:paraId="38460E25" w14:textId="77777777" w:rsidR="001031A5" w:rsidRPr="0015541C" w:rsidRDefault="001031A5" w:rsidP="00E306B1">
      <w:pPr>
        <w:keepNext/>
        <w:keepLines/>
        <w:rPr>
          <w:lang w:val="pl-PL"/>
        </w:rPr>
      </w:pPr>
    </w:p>
    <w:p w14:paraId="7299627A" w14:textId="77777777" w:rsidR="001031A5" w:rsidRPr="0015541C" w:rsidRDefault="00B72F6F" w:rsidP="00E306B1">
      <w:pPr>
        <w:keepNext/>
        <w:keepLines/>
        <w:rPr>
          <w:lang w:val="pl-PL"/>
        </w:rPr>
      </w:pPr>
      <w:r w:rsidRPr="0015541C">
        <w:rPr>
          <w:szCs w:val="22"/>
          <w:lang w:val="pl-PL"/>
        </w:rPr>
        <w:t xml:space="preserve">Produkt Aybintio jest przeznaczony do podania dożylnego. </w:t>
      </w:r>
      <w:r w:rsidR="00E4740C" w:rsidRPr="0015541C">
        <w:rPr>
          <w:lang w:val="pl-PL"/>
        </w:rPr>
        <w:t>Pierwszą dawkę należy podać</w:t>
      </w:r>
      <w:r w:rsidR="001031A5" w:rsidRPr="0015541C">
        <w:rPr>
          <w:lang w:val="pl-PL"/>
        </w:rPr>
        <w:t xml:space="preserve"> </w:t>
      </w:r>
      <w:r w:rsidR="00E07A00" w:rsidRPr="0015541C">
        <w:rPr>
          <w:lang w:val="pl-PL"/>
        </w:rPr>
        <w:br/>
      </w:r>
      <w:r w:rsidR="001031A5" w:rsidRPr="0015541C">
        <w:rPr>
          <w:lang w:val="pl-PL"/>
        </w:rPr>
        <w:t>w 90-minutowym wlewie dożylnym. W przypadku, gdy pacjent dobrze tolerował podanie leku, drugą dawkę można podać w postaci 60-minutowego wlewu. Jeżeli i w tym przypadku tolerancja była dobra, kolejne wlewy mogą być podawane w ciągu 30 minut.</w:t>
      </w:r>
    </w:p>
    <w:p w14:paraId="0163D5A4" w14:textId="77777777" w:rsidR="001031A5" w:rsidRPr="0015541C" w:rsidRDefault="001031A5" w:rsidP="001031A5">
      <w:pPr>
        <w:outlineLvl w:val="0"/>
        <w:rPr>
          <w:lang w:val="pl-PL"/>
        </w:rPr>
      </w:pPr>
    </w:p>
    <w:p w14:paraId="6E0796AB" w14:textId="77777777" w:rsidR="001031A5" w:rsidRPr="0015541C" w:rsidRDefault="001031A5" w:rsidP="001031A5">
      <w:pPr>
        <w:outlineLvl w:val="0"/>
        <w:rPr>
          <w:lang w:val="pl-PL"/>
        </w:rPr>
      </w:pPr>
      <w:r w:rsidRPr="0015541C">
        <w:rPr>
          <w:lang w:val="pl-PL"/>
        </w:rPr>
        <w:t xml:space="preserve">Nie podawać w szybkim wstrzyknięciu dożylnym </w:t>
      </w:r>
      <w:r w:rsidR="00496939" w:rsidRPr="0015541C">
        <w:rPr>
          <w:lang w:val="pl-PL"/>
        </w:rPr>
        <w:t>ani</w:t>
      </w:r>
      <w:r w:rsidRPr="0015541C">
        <w:rPr>
          <w:lang w:val="pl-PL"/>
        </w:rPr>
        <w:t xml:space="preserve"> w bolusie.</w:t>
      </w:r>
    </w:p>
    <w:p w14:paraId="342C10C3" w14:textId="77777777" w:rsidR="00E77374" w:rsidRPr="0015541C" w:rsidRDefault="00E77374" w:rsidP="001031A5">
      <w:pPr>
        <w:outlineLvl w:val="0"/>
        <w:rPr>
          <w:lang w:val="pl-PL"/>
        </w:rPr>
      </w:pPr>
    </w:p>
    <w:p w14:paraId="198BEAC6" w14:textId="77777777" w:rsidR="00E77374" w:rsidRPr="0015541C" w:rsidRDefault="00E77374" w:rsidP="001031A5">
      <w:pPr>
        <w:outlineLvl w:val="0"/>
        <w:rPr>
          <w:lang w:val="pl-PL"/>
        </w:rPr>
      </w:pPr>
      <w:r w:rsidRPr="0015541C">
        <w:rPr>
          <w:lang w:val="pl-PL"/>
        </w:rPr>
        <w:t xml:space="preserve">Nie zaleca się zmniejszania dawki leku w przypadku wystąpienia działań niepożądanych. Jeśli </w:t>
      </w:r>
      <w:r w:rsidR="006B71EF" w:rsidRPr="0015541C">
        <w:rPr>
          <w:lang w:val="pl-PL"/>
        </w:rPr>
        <w:t>jest to wskazane</w:t>
      </w:r>
      <w:r w:rsidRPr="0015541C">
        <w:rPr>
          <w:lang w:val="pl-PL"/>
        </w:rPr>
        <w:t>, terapia powinna być trwale przerwana lub odłożona w czasie, patrz punkt 4.4.</w:t>
      </w:r>
    </w:p>
    <w:p w14:paraId="27BA70EB" w14:textId="77777777" w:rsidR="001031A5" w:rsidRPr="0015541C" w:rsidRDefault="001031A5" w:rsidP="001031A5">
      <w:pPr>
        <w:outlineLvl w:val="0"/>
        <w:rPr>
          <w:i/>
          <w:lang w:val="pl-PL"/>
        </w:rPr>
      </w:pPr>
    </w:p>
    <w:p w14:paraId="368AA9AF" w14:textId="77777777" w:rsidR="005A3A25" w:rsidRPr="0015541C" w:rsidRDefault="005A3A25" w:rsidP="00D755B1">
      <w:pPr>
        <w:keepNext/>
        <w:outlineLvl w:val="0"/>
        <w:rPr>
          <w:i/>
          <w:u w:val="single"/>
          <w:lang w:val="pl-PL"/>
        </w:rPr>
      </w:pPr>
      <w:r w:rsidRPr="0015541C">
        <w:rPr>
          <w:i/>
          <w:u w:val="single"/>
          <w:lang w:val="pl-PL"/>
        </w:rPr>
        <w:lastRenderedPageBreak/>
        <w:t xml:space="preserve">Środki ostrożności, które należy podjąć przed </w:t>
      </w:r>
      <w:r w:rsidR="00E41B67" w:rsidRPr="0015541C">
        <w:rPr>
          <w:i/>
          <w:u w:val="single"/>
          <w:lang w:val="pl-PL"/>
        </w:rPr>
        <w:t>użyciem</w:t>
      </w:r>
      <w:r w:rsidRPr="0015541C">
        <w:rPr>
          <w:i/>
          <w:u w:val="single"/>
          <w:lang w:val="pl-PL"/>
        </w:rPr>
        <w:t xml:space="preserve"> lub podaniem </w:t>
      </w:r>
      <w:r w:rsidR="00E41B67" w:rsidRPr="0015541C">
        <w:rPr>
          <w:i/>
          <w:u w:val="single"/>
          <w:lang w:val="pl-PL"/>
        </w:rPr>
        <w:t>produktu leczniczego</w:t>
      </w:r>
    </w:p>
    <w:p w14:paraId="009C6EE7" w14:textId="77777777" w:rsidR="005A3A25" w:rsidRPr="0015541C" w:rsidRDefault="005A3A25" w:rsidP="00D755B1">
      <w:pPr>
        <w:keepNext/>
        <w:outlineLvl w:val="0"/>
        <w:rPr>
          <w:i/>
          <w:lang w:val="pl-PL"/>
        </w:rPr>
      </w:pPr>
    </w:p>
    <w:p w14:paraId="0C573C9C" w14:textId="77777777" w:rsidR="001031A5" w:rsidRPr="0015541C" w:rsidRDefault="00E41B67" w:rsidP="001031A5">
      <w:pPr>
        <w:outlineLvl w:val="0"/>
        <w:rPr>
          <w:lang w:val="pl-PL"/>
        </w:rPr>
      </w:pPr>
      <w:r w:rsidRPr="0015541C">
        <w:rPr>
          <w:lang w:val="pl-PL"/>
        </w:rPr>
        <w:t>I</w:t>
      </w:r>
      <w:r w:rsidR="005A3A25" w:rsidRPr="0015541C">
        <w:rPr>
          <w:lang w:val="pl-PL"/>
        </w:rPr>
        <w:t>nstrukcj</w:t>
      </w:r>
      <w:r w:rsidR="007454E4" w:rsidRPr="0015541C">
        <w:rPr>
          <w:lang w:val="pl-PL"/>
        </w:rPr>
        <w:t>a</w:t>
      </w:r>
      <w:r w:rsidR="001031A5" w:rsidRPr="0015541C">
        <w:rPr>
          <w:lang w:val="pl-PL"/>
        </w:rPr>
        <w:t xml:space="preserve"> dotycząca </w:t>
      </w:r>
      <w:r w:rsidR="005A3A25" w:rsidRPr="0015541C">
        <w:rPr>
          <w:lang w:val="pl-PL"/>
        </w:rPr>
        <w:t xml:space="preserve">rozcieńczania </w:t>
      </w:r>
      <w:r w:rsidRPr="0015541C">
        <w:rPr>
          <w:lang w:val="pl-PL"/>
        </w:rPr>
        <w:t>produktu leczniczego</w:t>
      </w:r>
      <w:r w:rsidR="005A3A25" w:rsidRPr="0015541C">
        <w:rPr>
          <w:lang w:val="pl-PL"/>
        </w:rPr>
        <w:t xml:space="preserve"> przed podaniem</w:t>
      </w:r>
      <w:r w:rsidRPr="0015541C">
        <w:rPr>
          <w:lang w:val="pl-PL"/>
        </w:rPr>
        <w:t>, patrz</w:t>
      </w:r>
      <w:r w:rsidR="005A3A25" w:rsidRPr="0015541C">
        <w:rPr>
          <w:lang w:val="pl-PL"/>
        </w:rPr>
        <w:t xml:space="preserve"> punkt 6.6</w:t>
      </w:r>
      <w:r w:rsidRPr="0015541C">
        <w:rPr>
          <w:lang w:val="pl-PL"/>
        </w:rPr>
        <w:t>.</w:t>
      </w:r>
      <w:r w:rsidR="005A3A25" w:rsidRPr="0015541C">
        <w:rPr>
          <w:lang w:val="pl-PL"/>
        </w:rPr>
        <w:t xml:space="preserve"> </w:t>
      </w:r>
      <w:r w:rsidR="001031A5" w:rsidRPr="0015541C">
        <w:rPr>
          <w:lang w:val="pl-PL"/>
        </w:rPr>
        <w:t xml:space="preserve">Produktu </w:t>
      </w:r>
      <w:r w:rsidR="00C87F12" w:rsidRPr="0015541C">
        <w:rPr>
          <w:lang w:val="pl-PL"/>
        </w:rPr>
        <w:t>Aybintio</w:t>
      </w:r>
      <w:r w:rsidR="001031A5" w:rsidRPr="0015541C">
        <w:rPr>
          <w:lang w:val="pl-PL"/>
        </w:rPr>
        <w:t xml:space="preserve"> nie należy podawać ani mieszać z rozworami glukozy.</w:t>
      </w:r>
      <w:r w:rsidR="00AD3091" w:rsidRPr="0015541C">
        <w:rPr>
          <w:lang w:val="pl-PL"/>
        </w:rPr>
        <w:t xml:space="preserve"> Produktu leczniczego</w:t>
      </w:r>
      <w:r w:rsidR="00072E9E" w:rsidRPr="0015541C">
        <w:rPr>
          <w:lang w:val="pl-PL"/>
        </w:rPr>
        <w:t xml:space="preserve"> </w:t>
      </w:r>
      <w:r w:rsidR="00C87F12" w:rsidRPr="0015541C">
        <w:rPr>
          <w:lang w:val="pl-PL"/>
        </w:rPr>
        <w:t>Aybintio</w:t>
      </w:r>
      <w:r w:rsidR="00AD3091" w:rsidRPr="0015541C">
        <w:rPr>
          <w:lang w:val="pl-PL"/>
        </w:rPr>
        <w:t xml:space="preserve"> nie wolno mieszać z innymi lekami poza podanymi w punkcie 6.6</w:t>
      </w:r>
      <w:r w:rsidRPr="0015541C">
        <w:rPr>
          <w:lang w:val="pl-PL"/>
        </w:rPr>
        <w:t>.</w:t>
      </w:r>
    </w:p>
    <w:p w14:paraId="09BCD1FE" w14:textId="77777777" w:rsidR="00994050" w:rsidRPr="0015541C" w:rsidRDefault="00994050" w:rsidP="00994050">
      <w:pPr>
        <w:rPr>
          <w:lang w:val="pl-PL"/>
        </w:rPr>
      </w:pPr>
    </w:p>
    <w:p w14:paraId="2BD0A76C" w14:textId="77777777" w:rsidR="00994050" w:rsidRPr="0015541C" w:rsidRDefault="00994050" w:rsidP="004F2F43">
      <w:pPr>
        <w:keepNext/>
        <w:ind w:left="567" w:hanging="567"/>
        <w:rPr>
          <w:b/>
          <w:lang w:val="pl-PL"/>
        </w:rPr>
      </w:pPr>
      <w:r w:rsidRPr="0015541C">
        <w:rPr>
          <w:b/>
          <w:lang w:val="pl-PL"/>
        </w:rPr>
        <w:t>4.3</w:t>
      </w:r>
      <w:r w:rsidRPr="0015541C">
        <w:rPr>
          <w:b/>
          <w:lang w:val="pl-PL"/>
        </w:rPr>
        <w:tab/>
        <w:t>Przeciwwskazania</w:t>
      </w:r>
    </w:p>
    <w:p w14:paraId="7EB3A785" w14:textId="77777777" w:rsidR="00994050" w:rsidRPr="0015541C" w:rsidRDefault="00994050" w:rsidP="008C19D4">
      <w:pPr>
        <w:keepNext/>
        <w:rPr>
          <w:lang w:val="pl-PL"/>
        </w:rPr>
      </w:pPr>
    </w:p>
    <w:p w14:paraId="4D2E943C" w14:textId="77777777" w:rsidR="00994050" w:rsidRPr="0015541C" w:rsidRDefault="00994050" w:rsidP="008C19D4">
      <w:pPr>
        <w:keepNext/>
        <w:tabs>
          <w:tab w:val="left" w:pos="540"/>
        </w:tabs>
        <w:ind w:left="539" w:hanging="539"/>
        <w:rPr>
          <w:lang w:val="pl-PL"/>
        </w:rPr>
      </w:pPr>
      <w:r w:rsidRPr="0015541C">
        <w:rPr>
          <w:lang w:val="pl-PL"/>
        </w:rPr>
        <w:sym w:font="Symbol" w:char="F0B7"/>
      </w:r>
      <w:r w:rsidRPr="0015541C">
        <w:rPr>
          <w:lang w:val="pl-PL"/>
        </w:rPr>
        <w:tab/>
      </w:r>
      <w:r w:rsidR="00BE1B58" w:rsidRPr="0015541C">
        <w:rPr>
          <w:lang w:val="pl-PL"/>
        </w:rPr>
        <w:t>N</w:t>
      </w:r>
      <w:r w:rsidRPr="00260CEC">
        <w:rPr>
          <w:lang w:val="pl-PL"/>
        </w:rPr>
        <w:t>adwrażliwość na substancję czynną lub którąkolwiek substancję pomocniczą</w:t>
      </w:r>
      <w:r w:rsidR="00F9616C" w:rsidRPr="0015541C">
        <w:rPr>
          <w:lang w:val="pl-PL"/>
        </w:rPr>
        <w:t xml:space="preserve"> wymienioną w punkcie 6.1</w:t>
      </w:r>
      <w:r w:rsidR="003620AF" w:rsidRPr="0015541C">
        <w:rPr>
          <w:lang w:val="pl-PL"/>
        </w:rPr>
        <w:t>.</w:t>
      </w:r>
    </w:p>
    <w:p w14:paraId="0EF9AE39" w14:textId="77777777" w:rsidR="00994050" w:rsidRPr="0015541C" w:rsidRDefault="00994050" w:rsidP="00B15965">
      <w:pPr>
        <w:ind w:left="540" w:hanging="540"/>
        <w:rPr>
          <w:lang w:val="pl-PL"/>
        </w:rPr>
      </w:pPr>
      <w:r w:rsidRPr="0015541C">
        <w:rPr>
          <w:lang w:val="pl-PL"/>
        </w:rPr>
        <w:sym w:font="Symbol" w:char="F0B7"/>
      </w:r>
      <w:r w:rsidRPr="0015541C">
        <w:rPr>
          <w:lang w:val="pl-PL"/>
        </w:rPr>
        <w:tab/>
      </w:r>
      <w:r w:rsidR="00BE1B58" w:rsidRPr="0015541C">
        <w:rPr>
          <w:lang w:val="pl-PL"/>
        </w:rPr>
        <w:t>N</w:t>
      </w:r>
      <w:r w:rsidRPr="00260CEC">
        <w:rPr>
          <w:lang w:val="pl-PL"/>
        </w:rPr>
        <w:t xml:space="preserve">adwrażliwość na produkty otrzymywane z </w:t>
      </w:r>
      <w:r w:rsidRPr="0015541C">
        <w:rPr>
          <w:lang w:val="pl-PL"/>
        </w:rPr>
        <w:t>komórek jajnika chomika chińskiego (CHO) lub inne rekombinowane ludzkie lub humanizowane przeciwciała</w:t>
      </w:r>
      <w:r w:rsidR="003620AF" w:rsidRPr="0015541C">
        <w:rPr>
          <w:lang w:val="pl-PL"/>
        </w:rPr>
        <w:t>.</w:t>
      </w:r>
    </w:p>
    <w:p w14:paraId="1B9D6DD1" w14:textId="77777777" w:rsidR="00994050" w:rsidRPr="0015541C" w:rsidRDefault="00994050" w:rsidP="00B15965">
      <w:pPr>
        <w:ind w:left="540" w:hanging="540"/>
        <w:rPr>
          <w:lang w:val="pl-PL"/>
        </w:rPr>
      </w:pPr>
      <w:r w:rsidRPr="0015541C">
        <w:rPr>
          <w:lang w:val="pl-PL"/>
        </w:rPr>
        <w:sym w:font="Symbol" w:char="F0B7"/>
      </w:r>
      <w:r w:rsidRPr="0015541C">
        <w:rPr>
          <w:lang w:val="pl-PL"/>
        </w:rPr>
        <w:tab/>
      </w:r>
      <w:r w:rsidR="00BE1B58" w:rsidRPr="0015541C">
        <w:rPr>
          <w:lang w:val="pl-PL"/>
        </w:rPr>
        <w:t>C</w:t>
      </w:r>
      <w:r w:rsidRPr="00260CEC">
        <w:rPr>
          <w:lang w:val="pl-PL"/>
        </w:rPr>
        <w:t>iąża (patrz punkt 4.6)</w:t>
      </w:r>
      <w:r w:rsidR="003620AF" w:rsidRPr="0015541C">
        <w:rPr>
          <w:lang w:val="pl-PL"/>
        </w:rPr>
        <w:t>.</w:t>
      </w:r>
    </w:p>
    <w:p w14:paraId="018AABBE" w14:textId="77777777" w:rsidR="00994050" w:rsidRPr="0015541C" w:rsidRDefault="00994050" w:rsidP="00994050">
      <w:pPr>
        <w:tabs>
          <w:tab w:val="left" w:pos="540"/>
        </w:tabs>
        <w:ind w:left="540" w:hanging="540"/>
        <w:rPr>
          <w:lang w:val="pl-PL"/>
        </w:rPr>
      </w:pPr>
    </w:p>
    <w:p w14:paraId="3FEB5012" w14:textId="77777777" w:rsidR="00994050" w:rsidRPr="0015541C" w:rsidRDefault="00994050" w:rsidP="008C19D4">
      <w:pPr>
        <w:ind w:left="567" w:hanging="567"/>
        <w:rPr>
          <w:b/>
          <w:lang w:val="pl-PL"/>
        </w:rPr>
      </w:pPr>
      <w:r w:rsidRPr="0015541C">
        <w:rPr>
          <w:b/>
          <w:lang w:val="pl-PL"/>
        </w:rPr>
        <w:t>4.4</w:t>
      </w:r>
      <w:r w:rsidRPr="0015541C">
        <w:rPr>
          <w:b/>
          <w:lang w:val="pl-PL"/>
        </w:rPr>
        <w:tab/>
        <w:t xml:space="preserve">Specjalne ostrzeżenia i środki ostrożności dotyczące stosowania </w:t>
      </w:r>
    </w:p>
    <w:p w14:paraId="416B9749" w14:textId="77777777" w:rsidR="00F815FD" w:rsidRPr="0015541C" w:rsidRDefault="00F815FD" w:rsidP="00F815FD">
      <w:pPr>
        <w:rPr>
          <w:lang w:val="pl-PL"/>
        </w:rPr>
      </w:pPr>
    </w:p>
    <w:p w14:paraId="57979B2B" w14:textId="77777777" w:rsidR="00551548" w:rsidRPr="0070444C" w:rsidRDefault="00551548" w:rsidP="00F815FD">
      <w:pPr>
        <w:rPr>
          <w:u w:val="single"/>
          <w:lang w:val="pl-PL"/>
        </w:rPr>
      </w:pPr>
      <w:r w:rsidRPr="0070444C">
        <w:rPr>
          <w:u w:val="single"/>
          <w:lang w:val="pl-PL"/>
        </w:rPr>
        <w:t>Identyfikowalność</w:t>
      </w:r>
    </w:p>
    <w:p w14:paraId="6E289DAE" w14:textId="7F1AB4BB" w:rsidR="00F815FD" w:rsidRPr="0015541C" w:rsidRDefault="00AC78E9" w:rsidP="00F815FD">
      <w:pPr>
        <w:rPr>
          <w:lang w:val="pl-PL"/>
        </w:rPr>
      </w:pPr>
      <w:r w:rsidRPr="0070444C">
        <w:rPr>
          <w:rStyle w:val="tlid-translationtranslation"/>
          <w:noProof w:val="0"/>
          <w:lang w:val="pl-PL"/>
        </w:rPr>
        <w:t>W celu poprawienia identyfikowalności biologicznych produktów leczniczych należy czytelnie zapisać nazwę i numer serii podawanego produktu.</w:t>
      </w:r>
    </w:p>
    <w:p w14:paraId="27360CFB" w14:textId="77777777" w:rsidR="00994050" w:rsidRPr="00260CEC" w:rsidRDefault="00994050" w:rsidP="008C19D4">
      <w:pPr>
        <w:rPr>
          <w:lang w:val="pl-PL"/>
        </w:rPr>
      </w:pPr>
    </w:p>
    <w:p w14:paraId="5F9CBAE5" w14:textId="77777777" w:rsidR="00E62CBB" w:rsidRPr="0070444C" w:rsidRDefault="00994050" w:rsidP="008C19D4">
      <w:pPr>
        <w:rPr>
          <w:u w:val="single"/>
          <w:lang w:val="pl-PL"/>
        </w:rPr>
      </w:pPr>
      <w:r w:rsidRPr="0070444C">
        <w:rPr>
          <w:u w:val="single"/>
          <w:lang w:val="pl-PL"/>
        </w:rPr>
        <w:t xml:space="preserve">Perforacje żołądkowo-jelitowe </w:t>
      </w:r>
      <w:r w:rsidR="00A73C16" w:rsidRPr="0070444C">
        <w:rPr>
          <w:u w:val="single"/>
          <w:lang w:val="pl-PL"/>
        </w:rPr>
        <w:t xml:space="preserve">i </w:t>
      </w:r>
      <w:r w:rsidR="00A63593" w:rsidRPr="0070444C">
        <w:rPr>
          <w:u w:val="single"/>
          <w:lang w:val="pl-PL"/>
        </w:rPr>
        <w:t>p</w:t>
      </w:r>
      <w:r w:rsidR="00A73C16" w:rsidRPr="0070444C">
        <w:rPr>
          <w:u w:val="single"/>
          <w:lang w:val="pl-PL"/>
        </w:rPr>
        <w:t xml:space="preserve">rzetoki </w:t>
      </w:r>
      <w:r w:rsidRPr="0070444C">
        <w:rPr>
          <w:u w:val="single"/>
          <w:lang w:val="pl-PL"/>
        </w:rPr>
        <w:t>(patrz punkt 4.8)</w:t>
      </w:r>
    </w:p>
    <w:p w14:paraId="1ABAC87F" w14:textId="77777777" w:rsidR="00994050" w:rsidRPr="0015541C" w:rsidRDefault="00994050" w:rsidP="00994050">
      <w:pPr>
        <w:rPr>
          <w:lang w:val="pl-PL"/>
        </w:rPr>
      </w:pPr>
      <w:r w:rsidRPr="0015541C">
        <w:rPr>
          <w:lang w:val="pl-PL"/>
        </w:rPr>
        <w:t xml:space="preserve">Podczas terapii </w:t>
      </w:r>
      <w:r w:rsidR="00850551" w:rsidRPr="0015541C">
        <w:rPr>
          <w:lang w:val="pl-PL"/>
        </w:rPr>
        <w:t>bewacyzumab</w:t>
      </w:r>
      <w:r w:rsidRPr="0015541C">
        <w:rPr>
          <w:lang w:val="pl-PL"/>
        </w:rPr>
        <w:t>em pacjenci mogą być narażeni na zwiększone ryzyko wystąpienia perforacji w obrębie żołądka</w:t>
      </w:r>
      <w:r w:rsidR="00D940FB" w:rsidRPr="0015541C">
        <w:rPr>
          <w:lang w:val="pl-PL"/>
        </w:rPr>
        <w:t>,</w:t>
      </w:r>
      <w:r w:rsidRPr="0015541C">
        <w:rPr>
          <w:lang w:val="pl-PL"/>
        </w:rPr>
        <w:t xml:space="preserve"> jelit</w:t>
      </w:r>
      <w:r w:rsidR="00D940FB" w:rsidRPr="0015541C">
        <w:rPr>
          <w:lang w:val="pl-PL"/>
        </w:rPr>
        <w:t xml:space="preserve"> i pęcherzyka żółciowego</w:t>
      </w:r>
      <w:r w:rsidRPr="0015541C">
        <w:rPr>
          <w:lang w:val="pl-PL"/>
        </w:rPr>
        <w:t xml:space="preserve">. Proces zapalny wewnątrz jamy brzusznej może być czynnikiem ryzyka perforacji żołądkowo-jelitowej u pacjentów z rozsianym rakiem okrężnicy lub odbytnicy, w związku z czym należy zachować ostrożność podczas podawania leku tej grupie chorych. </w:t>
      </w:r>
      <w:r w:rsidR="00E25916" w:rsidRPr="0015541C">
        <w:rPr>
          <w:lang w:val="pl-PL"/>
        </w:rPr>
        <w:t xml:space="preserve">Wcześniejsza radioterapia jest czynnikiem ryzyka dla </w:t>
      </w:r>
      <w:r w:rsidR="00B60D21" w:rsidRPr="0015541C">
        <w:rPr>
          <w:lang w:val="pl-PL"/>
        </w:rPr>
        <w:t xml:space="preserve">perforacji </w:t>
      </w:r>
      <w:r w:rsidR="0098104B" w:rsidRPr="0015541C">
        <w:rPr>
          <w:lang w:val="pl-PL"/>
        </w:rPr>
        <w:t>żołądkowo-jelitowych</w:t>
      </w:r>
      <w:r w:rsidR="00E25916" w:rsidRPr="0015541C">
        <w:rPr>
          <w:lang w:val="pl-PL"/>
        </w:rPr>
        <w:t xml:space="preserve"> u pacjentek leczonych </w:t>
      </w:r>
      <w:r w:rsidR="00D87E2C" w:rsidRPr="0015541C">
        <w:rPr>
          <w:lang w:val="pl-PL"/>
        </w:rPr>
        <w:t>bewacyzumab</w:t>
      </w:r>
      <w:r w:rsidR="00B60D21" w:rsidRPr="0015541C">
        <w:rPr>
          <w:lang w:val="pl-PL"/>
        </w:rPr>
        <w:t xml:space="preserve">em </w:t>
      </w:r>
      <w:r w:rsidR="00FE6F7C" w:rsidRPr="0015541C">
        <w:rPr>
          <w:lang w:val="pl-PL"/>
        </w:rPr>
        <w:t>z powodu</w:t>
      </w:r>
      <w:r w:rsidR="00E25916" w:rsidRPr="0015541C">
        <w:rPr>
          <w:lang w:val="pl-PL"/>
        </w:rPr>
        <w:t xml:space="preserve"> przetrwałego, nawrotowego lub przerzutowego raka szyjki macicy</w:t>
      </w:r>
      <w:r w:rsidR="00B60D21" w:rsidRPr="0015541C">
        <w:rPr>
          <w:lang w:val="pl-PL"/>
        </w:rPr>
        <w:t>, wszystkie pacjent</w:t>
      </w:r>
      <w:r w:rsidR="00C03D91" w:rsidRPr="0015541C">
        <w:rPr>
          <w:lang w:val="pl-PL"/>
        </w:rPr>
        <w:t>k</w:t>
      </w:r>
      <w:r w:rsidR="00B60D21" w:rsidRPr="0015541C">
        <w:rPr>
          <w:lang w:val="pl-PL"/>
        </w:rPr>
        <w:t xml:space="preserve">i z perforacjami </w:t>
      </w:r>
      <w:r w:rsidR="0098104B" w:rsidRPr="0015541C">
        <w:rPr>
          <w:lang w:val="pl-PL"/>
        </w:rPr>
        <w:t>żołądkowo-jelitowymi</w:t>
      </w:r>
      <w:r w:rsidR="00B60D21" w:rsidRPr="0015541C">
        <w:rPr>
          <w:lang w:val="pl-PL"/>
        </w:rPr>
        <w:t xml:space="preserve"> były </w:t>
      </w:r>
      <w:r w:rsidR="0098104B" w:rsidRPr="0015541C">
        <w:rPr>
          <w:lang w:val="pl-PL"/>
        </w:rPr>
        <w:t>uprzednio</w:t>
      </w:r>
      <w:r w:rsidR="00B60D21" w:rsidRPr="0015541C">
        <w:rPr>
          <w:lang w:val="pl-PL"/>
        </w:rPr>
        <w:t xml:space="preserve"> poddawane radioterapii. </w:t>
      </w:r>
      <w:r w:rsidRPr="0015541C">
        <w:rPr>
          <w:lang w:val="pl-PL"/>
        </w:rPr>
        <w:t>Należy zakończyć terapię w przypadku wystąpienia u pacjenta perforacji żołądkowo-jelitowej.</w:t>
      </w:r>
    </w:p>
    <w:p w14:paraId="0AAA79CB" w14:textId="77777777" w:rsidR="00E25916" w:rsidRPr="0015541C" w:rsidRDefault="00E25916" w:rsidP="00994050">
      <w:pPr>
        <w:rPr>
          <w:lang w:val="pl-PL"/>
        </w:rPr>
      </w:pPr>
    </w:p>
    <w:p w14:paraId="490F296D" w14:textId="77777777" w:rsidR="00E25916" w:rsidRPr="0070444C" w:rsidRDefault="00E25916" w:rsidP="006A1F1C">
      <w:pPr>
        <w:keepNext/>
        <w:keepLines/>
        <w:rPr>
          <w:u w:val="single"/>
          <w:lang w:val="pl-PL"/>
        </w:rPr>
      </w:pPr>
      <w:r w:rsidRPr="0070444C">
        <w:rPr>
          <w:u w:val="single"/>
          <w:lang w:val="pl-PL"/>
        </w:rPr>
        <w:t xml:space="preserve">Przetoki </w:t>
      </w:r>
      <w:r w:rsidR="0053192D" w:rsidRPr="0070444C">
        <w:rPr>
          <w:u w:val="single"/>
          <w:lang w:val="pl-PL"/>
        </w:rPr>
        <w:t xml:space="preserve">pomiędzy </w:t>
      </w:r>
      <w:r w:rsidRPr="0070444C">
        <w:rPr>
          <w:u w:val="single"/>
          <w:lang w:val="pl-PL"/>
        </w:rPr>
        <w:t>układem pokarmowym a pochwą w badaniu GOG-0240</w:t>
      </w:r>
    </w:p>
    <w:p w14:paraId="65B51BC7" w14:textId="77777777" w:rsidR="00A73C16" w:rsidRPr="0015541C" w:rsidRDefault="00A73C16" w:rsidP="00994050">
      <w:pPr>
        <w:rPr>
          <w:lang w:val="pl-PL"/>
        </w:rPr>
      </w:pPr>
      <w:r w:rsidRPr="0015541C">
        <w:rPr>
          <w:lang w:val="pl-PL"/>
        </w:rPr>
        <w:t>Pacjen</w:t>
      </w:r>
      <w:r w:rsidR="00E21CD7" w:rsidRPr="0015541C">
        <w:rPr>
          <w:lang w:val="pl-PL"/>
        </w:rPr>
        <w:t>tki</w:t>
      </w:r>
      <w:r w:rsidRPr="0015541C">
        <w:rPr>
          <w:lang w:val="pl-PL"/>
        </w:rPr>
        <w:t xml:space="preserve"> lecz</w:t>
      </w:r>
      <w:r w:rsidR="00E21CD7" w:rsidRPr="0015541C">
        <w:rPr>
          <w:lang w:val="pl-PL"/>
        </w:rPr>
        <w:t>one</w:t>
      </w:r>
      <w:r w:rsidRPr="0015541C">
        <w:rPr>
          <w:lang w:val="pl-PL"/>
        </w:rPr>
        <w:t xml:space="preserve"> </w:t>
      </w:r>
      <w:r w:rsidR="00C431F6" w:rsidRPr="0015541C">
        <w:rPr>
          <w:lang w:val="pl-PL"/>
        </w:rPr>
        <w:t>bewacyzumab</w:t>
      </w:r>
      <w:r w:rsidRPr="0015541C">
        <w:rPr>
          <w:lang w:val="pl-PL"/>
        </w:rPr>
        <w:t xml:space="preserve">em z powodu przetrwałego, nawrotowego lub przerzutowego raka szyjki macicy </w:t>
      </w:r>
      <w:r w:rsidR="00E25916" w:rsidRPr="0015541C">
        <w:rPr>
          <w:lang w:val="pl-PL"/>
        </w:rPr>
        <w:t>są</w:t>
      </w:r>
      <w:r w:rsidRPr="0015541C">
        <w:rPr>
          <w:lang w:val="pl-PL"/>
        </w:rPr>
        <w:t xml:space="preserve"> naraż</w:t>
      </w:r>
      <w:r w:rsidR="00E21CD7" w:rsidRPr="0015541C">
        <w:rPr>
          <w:lang w:val="pl-PL"/>
        </w:rPr>
        <w:t>one</w:t>
      </w:r>
      <w:r w:rsidRPr="0015541C">
        <w:rPr>
          <w:lang w:val="pl-PL"/>
        </w:rPr>
        <w:t xml:space="preserve"> na większe ryzyko powstawania przetoki pomiędzy pochwą a </w:t>
      </w:r>
      <w:r w:rsidR="004F0DEC" w:rsidRPr="0015541C">
        <w:rPr>
          <w:lang w:val="pl-PL"/>
        </w:rPr>
        <w:t>przewodem pokarmowym.</w:t>
      </w:r>
      <w:r w:rsidR="00E25916" w:rsidRPr="0015541C">
        <w:rPr>
          <w:lang w:val="pl-PL"/>
        </w:rPr>
        <w:t xml:space="preserve"> </w:t>
      </w:r>
      <w:r w:rsidR="0098104B" w:rsidRPr="0015541C">
        <w:rPr>
          <w:lang w:val="pl-PL"/>
        </w:rPr>
        <w:t>Uprzedni</w:t>
      </w:r>
      <w:r w:rsidR="00E25916" w:rsidRPr="0015541C">
        <w:rPr>
          <w:lang w:val="pl-PL"/>
        </w:rPr>
        <w:t xml:space="preserve">a radioterapia jest </w:t>
      </w:r>
      <w:r w:rsidR="00FE6F7C" w:rsidRPr="0015541C">
        <w:rPr>
          <w:lang w:val="pl-PL"/>
        </w:rPr>
        <w:t>istotnym</w:t>
      </w:r>
      <w:r w:rsidR="00E25916" w:rsidRPr="0015541C">
        <w:rPr>
          <w:lang w:val="pl-PL"/>
        </w:rPr>
        <w:t xml:space="preserve"> czynnikiem ryzyka powstawania przetok pomiędzy przewodem pokarmowym a pochwą. Wszystkie pacjentki z przetokami pomiędzy przewodem pokarmowym a pochwą były </w:t>
      </w:r>
      <w:r w:rsidR="0098104B" w:rsidRPr="0015541C">
        <w:rPr>
          <w:lang w:val="pl-PL"/>
        </w:rPr>
        <w:t>uprzednio</w:t>
      </w:r>
      <w:r w:rsidR="00E25916" w:rsidRPr="0015541C">
        <w:rPr>
          <w:lang w:val="pl-PL"/>
        </w:rPr>
        <w:t xml:space="preserve"> poddawane radioterapii. Wznow</w:t>
      </w:r>
      <w:r w:rsidR="00FE6F7C" w:rsidRPr="0015541C">
        <w:rPr>
          <w:lang w:val="pl-PL"/>
        </w:rPr>
        <w:t>a</w:t>
      </w:r>
      <w:r w:rsidR="00E25916" w:rsidRPr="0015541C">
        <w:rPr>
          <w:lang w:val="pl-PL"/>
        </w:rPr>
        <w:t xml:space="preserve"> nowotwor</w:t>
      </w:r>
      <w:r w:rsidR="00FE6F7C" w:rsidRPr="0015541C">
        <w:rPr>
          <w:lang w:val="pl-PL"/>
        </w:rPr>
        <w:t>u</w:t>
      </w:r>
      <w:r w:rsidR="00E25916" w:rsidRPr="0015541C">
        <w:rPr>
          <w:lang w:val="pl-PL"/>
        </w:rPr>
        <w:t xml:space="preserve"> w obszarach poddawanych radioterapii </w:t>
      </w:r>
      <w:r w:rsidR="00FE6F7C" w:rsidRPr="0015541C">
        <w:rPr>
          <w:lang w:val="pl-PL"/>
        </w:rPr>
        <w:t>jest</w:t>
      </w:r>
      <w:r w:rsidR="00E25916" w:rsidRPr="0015541C">
        <w:rPr>
          <w:lang w:val="pl-PL"/>
        </w:rPr>
        <w:t xml:space="preserve"> dodatkowym</w:t>
      </w:r>
      <w:r w:rsidR="00E26196" w:rsidRPr="0015541C">
        <w:rPr>
          <w:lang w:val="pl-PL"/>
        </w:rPr>
        <w:t xml:space="preserve"> </w:t>
      </w:r>
      <w:r w:rsidR="00E25916" w:rsidRPr="0015541C">
        <w:rPr>
          <w:lang w:val="pl-PL"/>
        </w:rPr>
        <w:t>istotnym czynnik</w:t>
      </w:r>
      <w:r w:rsidR="0053192D" w:rsidRPr="0015541C">
        <w:rPr>
          <w:lang w:val="pl-PL"/>
        </w:rPr>
        <w:t>iem</w:t>
      </w:r>
      <w:r w:rsidR="00E25916" w:rsidRPr="0015541C">
        <w:rPr>
          <w:lang w:val="pl-PL"/>
        </w:rPr>
        <w:t xml:space="preserve"> ryzyka powstawania przetok pomiędzy przewodem pokarmowym a pochwą.</w:t>
      </w:r>
    </w:p>
    <w:p w14:paraId="6FF791AF" w14:textId="77777777" w:rsidR="00994050" w:rsidRPr="0015541C" w:rsidRDefault="00994050" w:rsidP="00994050">
      <w:pPr>
        <w:rPr>
          <w:lang w:val="pl-PL"/>
        </w:rPr>
      </w:pPr>
    </w:p>
    <w:p w14:paraId="079CD21A" w14:textId="3D79266D" w:rsidR="00994050" w:rsidRPr="0070444C" w:rsidRDefault="00994050" w:rsidP="00994050">
      <w:pPr>
        <w:autoSpaceDE w:val="0"/>
        <w:autoSpaceDN w:val="0"/>
        <w:adjustRightInd w:val="0"/>
        <w:rPr>
          <w:u w:val="single"/>
          <w:lang w:val="pl-PL"/>
        </w:rPr>
      </w:pPr>
      <w:r w:rsidRPr="0070444C">
        <w:rPr>
          <w:u w:val="single"/>
          <w:lang w:val="pl-PL"/>
        </w:rPr>
        <w:t xml:space="preserve">Przetoki </w:t>
      </w:r>
      <w:r w:rsidR="00A73C16" w:rsidRPr="0070444C">
        <w:rPr>
          <w:u w:val="single"/>
          <w:lang w:val="pl-PL"/>
        </w:rPr>
        <w:t>inne niż żołądkowo-jelitowe</w:t>
      </w:r>
      <w:r w:rsidR="00A63593" w:rsidRPr="0070444C" w:rsidDel="00A63593">
        <w:rPr>
          <w:u w:val="single"/>
          <w:lang w:val="pl-PL"/>
        </w:rPr>
        <w:t xml:space="preserve"> </w:t>
      </w:r>
      <w:r w:rsidRPr="0070444C">
        <w:rPr>
          <w:u w:val="single"/>
          <w:lang w:val="pl-PL"/>
        </w:rPr>
        <w:t>(patrz punkt 4.8)</w:t>
      </w:r>
    </w:p>
    <w:p w14:paraId="2634D5BC" w14:textId="77777777" w:rsidR="00C26D13" w:rsidRPr="0015541C" w:rsidRDefault="00994050" w:rsidP="00994050">
      <w:pPr>
        <w:autoSpaceDE w:val="0"/>
        <w:autoSpaceDN w:val="0"/>
        <w:adjustRightInd w:val="0"/>
        <w:rPr>
          <w:lang w:val="pl-PL"/>
        </w:rPr>
      </w:pPr>
      <w:r w:rsidRPr="0015541C">
        <w:rPr>
          <w:lang w:val="pl-PL"/>
        </w:rPr>
        <w:t xml:space="preserve">Pacjenci leczeni </w:t>
      </w:r>
      <w:r w:rsidR="00EF56D6" w:rsidRPr="0015541C">
        <w:rPr>
          <w:lang w:val="pl-PL"/>
        </w:rPr>
        <w:t>bewacyzumab</w:t>
      </w:r>
      <w:r w:rsidRPr="0015541C">
        <w:rPr>
          <w:lang w:val="pl-PL"/>
        </w:rPr>
        <w:t xml:space="preserve">em mogą być narażeni na zwiększone ryzyko powstawania przetok. </w:t>
      </w:r>
    </w:p>
    <w:p w14:paraId="53F8602B" w14:textId="55802A28" w:rsidR="00651E35" w:rsidRPr="0015541C" w:rsidRDefault="00994050" w:rsidP="00994050">
      <w:pPr>
        <w:autoSpaceDE w:val="0"/>
        <w:autoSpaceDN w:val="0"/>
        <w:adjustRightInd w:val="0"/>
        <w:rPr>
          <w:lang w:val="pl-PL"/>
        </w:rPr>
      </w:pPr>
      <w:r w:rsidRPr="0015541C">
        <w:rPr>
          <w:lang w:val="pl-PL"/>
        </w:rPr>
        <w:t xml:space="preserve">Należy całkowicie zaprzestać podawania produktu </w:t>
      </w:r>
      <w:r w:rsidR="00C87F12" w:rsidRPr="0015541C">
        <w:rPr>
          <w:lang w:val="pl-PL"/>
        </w:rPr>
        <w:t>Aybintio</w:t>
      </w:r>
      <w:r w:rsidR="009E36C9" w:rsidRPr="0015541C">
        <w:rPr>
          <w:lang w:val="pl-PL"/>
        </w:rPr>
        <w:t>,</w:t>
      </w:r>
      <w:r w:rsidRPr="0015541C">
        <w:rPr>
          <w:lang w:val="pl-PL"/>
        </w:rPr>
        <w:t xml:space="preserve"> jeśli u pacjenta rozwinie się przetoka tchawiczo-przełykowa lub jakakolwiek przetoka 4. </w:t>
      </w:r>
      <w:r w:rsidR="0060161E" w:rsidRPr="0015541C">
        <w:rPr>
          <w:lang w:val="pl-PL"/>
        </w:rPr>
        <w:t>s</w:t>
      </w:r>
      <w:r w:rsidRPr="0015541C">
        <w:rPr>
          <w:lang w:val="pl-PL"/>
        </w:rPr>
        <w:t>topnia</w:t>
      </w:r>
      <w:r w:rsidR="0060161E" w:rsidRPr="0015541C">
        <w:rPr>
          <w:lang w:val="pl-PL"/>
        </w:rPr>
        <w:t xml:space="preserve"> </w:t>
      </w:r>
      <w:r w:rsidR="00DA059D" w:rsidRPr="0015541C">
        <w:rPr>
          <w:lang w:val="pl-PL"/>
        </w:rPr>
        <w:t>[</w:t>
      </w:r>
      <w:r w:rsidR="0060161E" w:rsidRPr="0015541C">
        <w:rPr>
          <w:lang w:val="pl-PL"/>
        </w:rPr>
        <w:t>wg klasyfikacji US National Cancer Institute-Common Terminology Criteria for Adverse Events</w:t>
      </w:r>
      <w:r w:rsidR="00DA059D" w:rsidRPr="0015541C">
        <w:rPr>
          <w:lang w:val="pl-PL"/>
        </w:rPr>
        <w:t xml:space="preserve"> </w:t>
      </w:r>
      <w:r w:rsidR="0060161E" w:rsidRPr="0015541C">
        <w:rPr>
          <w:lang w:val="pl-PL"/>
        </w:rPr>
        <w:t>Toxicity (NCI</w:t>
      </w:r>
      <w:r w:rsidR="00B722C9" w:rsidRPr="0015541C">
        <w:rPr>
          <w:lang w:val="pl-PL"/>
        </w:rPr>
        <w:noBreakHyphen/>
      </w:r>
      <w:r w:rsidR="0060161E" w:rsidRPr="0015541C">
        <w:rPr>
          <w:lang w:val="pl-PL"/>
        </w:rPr>
        <w:t>CTCAE) wersja 3.0</w:t>
      </w:r>
      <w:r w:rsidR="00DA059D" w:rsidRPr="0015541C">
        <w:rPr>
          <w:lang w:val="pl-PL"/>
        </w:rPr>
        <w:t>]</w:t>
      </w:r>
      <w:r w:rsidRPr="0015541C">
        <w:rPr>
          <w:lang w:val="pl-PL"/>
        </w:rPr>
        <w:t xml:space="preserve">. Dostępne są nieliczne dane dotyczące nieprzerwanego stosowania </w:t>
      </w:r>
      <w:r w:rsidR="00EF56D6" w:rsidRPr="0015541C">
        <w:rPr>
          <w:lang w:val="pl-PL"/>
        </w:rPr>
        <w:t>bewacyzumab</w:t>
      </w:r>
      <w:r w:rsidRPr="0015541C">
        <w:rPr>
          <w:lang w:val="pl-PL"/>
        </w:rPr>
        <w:t xml:space="preserve">u u pacjentów z innymi rodzajami przetok. </w:t>
      </w:r>
    </w:p>
    <w:p w14:paraId="7A8E2769" w14:textId="77777777" w:rsidR="00994050" w:rsidRPr="0015541C" w:rsidRDefault="00C26D13" w:rsidP="00994050">
      <w:pPr>
        <w:autoSpaceDE w:val="0"/>
        <w:autoSpaceDN w:val="0"/>
        <w:adjustRightInd w:val="0"/>
        <w:rPr>
          <w:lang w:val="pl-PL"/>
        </w:rPr>
      </w:pPr>
      <w:r w:rsidRPr="0015541C">
        <w:rPr>
          <w:lang w:val="pl-PL"/>
        </w:rPr>
        <w:br/>
      </w:r>
      <w:r w:rsidR="00994050" w:rsidRPr="0015541C">
        <w:rPr>
          <w:lang w:val="pl-PL"/>
        </w:rPr>
        <w:t xml:space="preserve">W przypadkach stwierdzenia wewnętrznej przetoki, poza przewodem pokarmowym, należy rozważyć zaprzestanie podawania produktu </w:t>
      </w:r>
      <w:r w:rsidR="00C87F12" w:rsidRPr="0015541C">
        <w:rPr>
          <w:lang w:val="pl-PL"/>
        </w:rPr>
        <w:t>Aybintio</w:t>
      </w:r>
      <w:r w:rsidR="00994050" w:rsidRPr="0015541C">
        <w:rPr>
          <w:lang w:val="pl-PL"/>
        </w:rPr>
        <w:t>.</w:t>
      </w:r>
    </w:p>
    <w:p w14:paraId="3A8AE686" w14:textId="77777777" w:rsidR="00994050" w:rsidRPr="0015541C" w:rsidRDefault="00994050" w:rsidP="00994050">
      <w:pPr>
        <w:rPr>
          <w:lang w:val="pl-PL"/>
        </w:rPr>
      </w:pPr>
    </w:p>
    <w:p w14:paraId="7DBA746C" w14:textId="77777777" w:rsidR="00994050" w:rsidRPr="0070444C" w:rsidRDefault="00994050" w:rsidP="00994050">
      <w:pPr>
        <w:rPr>
          <w:u w:val="single"/>
          <w:lang w:val="pl-PL"/>
        </w:rPr>
      </w:pPr>
      <w:r w:rsidRPr="0070444C">
        <w:rPr>
          <w:u w:val="single"/>
          <w:lang w:val="pl-PL"/>
        </w:rPr>
        <w:t>Komplikacje w gojeniu ran (patrz punkt 4.8)</w:t>
      </w:r>
    </w:p>
    <w:p w14:paraId="751159F4" w14:textId="77777777" w:rsidR="00994050" w:rsidRPr="0015541C" w:rsidRDefault="003B5A95" w:rsidP="00994050">
      <w:pPr>
        <w:rPr>
          <w:rFonts w:eastAsia="MS Mincho"/>
          <w:lang w:val="pl-PL"/>
        </w:rPr>
      </w:pPr>
      <w:r w:rsidRPr="0015541C">
        <w:rPr>
          <w:rFonts w:eastAsia="MS Mincho"/>
          <w:lang w:val="pl-PL"/>
        </w:rPr>
        <w:t>Bewacyzumab</w:t>
      </w:r>
      <w:r w:rsidR="00994050" w:rsidRPr="0015541C">
        <w:rPr>
          <w:rFonts w:eastAsia="MS Mincho"/>
          <w:lang w:val="pl-PL"/>
        </w:rPr>
        <w:t xml:space="preserve"> może mieć niekorzystny wpływ na proces gojenia ran</w:t>
      </w:r>
      <w:r w:rsidR="00A5651D" w:rsidRPr="0015541C">
        <w:rPr>
          <w:rFonts w:eastAsia="MS Mincho"/>
          <w:lang w:val="pl-PL"/>
        </w:rPr>
        <w:t xml:space="preserve">. Donoszono o przypadkach komplikacji w gojeniu ran o ciężkim przebiegu, włączając komplikacje związane z zespoleniami, w tym zakończone zgonem. </w:t>
      </w:r>
      <w:r w:rsidR="00994050" w:rsidRPr="0015541C">
        <w:rPr>
          <w:rFonts w:eastAsia="MS Mincho"/>
          <w:lang w:val="pl-PL"/>
        </w:rPr>
        <w:t xml:space="preserve">Terapii produktem </w:t>
      </w:r>
      <w:r w:rsidR="00C87F12" w:rsidRPr="0015541C">
        <w:rPr>
          <w:rFonts w:eastAsia="MS Mincho"/>
          <w:lang w:val="pl-PL"/>
        </w:rPr>
        <w:t>Aybintio</w:t>
      </w:r>
      <w:r w:rsidR="00994050" w:rsidRPr="0015541C">
        <w:rPr>
          <w:rFonts w:eastAsia="MS Mincho"/>
          <w:lang w:val="pl-PL"/>
        </w:rPr>
        <w:t xml:space="preserve"> nie należy rozpoczynać w okresie krótszym niż 28 dni po większym zabiegu chirurgicznym lub do momentu całkowitego wygojenia się ran po zabiegu. U pacjentów, u których wystąpiło utrudnione gojenie ran w trakcie terapii, podawanie leku </w:t>
      </w:r>
      <w:r w:rsidR="00994050" w:rsidRPr="0015541C">
        <w:rPr>
          <w:rFonts w:eastAsia="MS Mincho"/>
          <w:lang w:val="pl-PL"/>
        </w:rPr>
        <w:lastRenderedPageBreak/>
        <w:t>powinno być wstrzymane do momentu całkowitego wygojenia ran. Terapia powinna być wstrzymana w związku z operacjami planowanymi.</w:t>
      </w:r>
    </w:p>
    <w:p w14:paraId="35B4D642" w14:textId="77777777" w:rsidR="0088096D" w:rsidRPr="0015541C" w:rsidRDefault="0088096D" w:rsidP="00994050">
      <w:pPr>
        <w:rPr>
          <w:rFonts w:eastAsia="MS Mincho"/>
          <w:lang w:val="pl-PL"/>
        </w:rPr>
      </w:pPr>
    </w:p>
    <w:p w14:paraId="758C7C1D" w14:textId="77777777" w:rsidR="0088096D" w:rsidRPr="0015541C" w:rsidRDefault="0088096D" w:rsidP="00994050">
      <w:pPr>
        <w:rPr>
          <w:rFonts w:eastAsia="MS Mincho"/>
          <w:lang w:val="pl-PL"/>
        </w:rPr>
      </w:pPr>
      <w:r w:rsidRPr="0015541C">
        <w:rPr>
          <w:rFonts w:eastAsia="MS Mincho"/>
          <w:lang w:val="pl-PL"/>
        </w:rPr>
        <w:t xml:space="preserve">U chorych przyjmujących </w:t>
      </w:r>
      <w:r w:rsidR="00D33ADB" w:rsidRPr="0015541C">
        <w:rPr>
          <w:rFonts w:eastAsia="MS Mincho"/>
          <w:lang w:val="pl-PL"/>
        </w:rPr>
        <w:t>bewacyzumab</w:t>
      </w:r>
      <w:r w:rsidRPr="0015541C">
        <w:rPr>
          <w:rFonts w:eastAsia="MS Mincho"/>
          <w:lang w:val="pl-PL"/>
        </w:rPr>
        <w:t xml:space="preserve"> zgłaszano rzadkie przypadki martwiczego zapalenia </w:t>
      </w:r>
      <w:r w:rsidR="00A2076F" w:rsidRPr="0015541C">
        <w:rPr>
          <w:rFonts w:eastAsia="MS Mincho"/>
          <w:lang w:val="pl-PL"/>
        </w:rPr>
        <w:t>powięzi</w:t>
      </w:r>
      <w:r w:rsidRPr="0015541C">
        <w:rPr>
          <w:rFonts w:eastAsia="MS Mincho"/>
          <w:lang w:val="pl-PL"/>
        </w:rPr>
        <w:t>, w tym zakończone zgonem. Zdarzenie to jest zazwyczaj wtórne do powikłanego gojenia ran, perforacji układu pokarmowego lub powstania przetoki</w:t>
      </w:r>
      <w:r w:rsidR="00AE0BB9" w:rsidRPr="0015541C">
        <w:rPr>
          <w:rFonts w:eastAsia="MS Mincho"/>
          <w:lang w:val="pl-PL"/>
        </w:rPr>
        <w:t>. U</w:t>
      </w:r>
      <w:r w:rsidRPr="0015541C">
        <w:rPr>
          <w:rFonts w:eastAsia="MS Mincho"/>
          <w:lang w:val="pl-PL"/>
        </w:rPr>
        <w:t xml:space="preserve"> chorych, u których wys</w:t>
      </w:r>
      <w:r w:rsidR="00AE0BB9" w:rsidRPr="0015541C">
        <w:rPr>
          <w:rFonts w:eastAsia="MS Mincho"/>
          <w:lang w:val="pl-PL"/>
        </w:rPr>
        <w:t>tąpiło martwicze zapalenie powię</w:t>
      </w:r>
      <w:r w:rsidRPr="0015541C">
        <w:rPr>
          <w:rFonts w:eastAsia="MS Mincho"/>
          <w:lang w:val="pl-PL"/>
        </w:rPr>
        <w:t>zi</w:t>
      </w:r>
      <w:r w:rsidR="00AE0BB9" w:rsidRPr="0015541C">
        <w:rPr>
          <w:rFonts w:eastAsia="MS Mincho"/>
          <w:lang w:val="pl-PL"/>
        </w:rPr>
        <w:t>, n</w:t>
      </w:r>
      <w:r w:rsidRPr="0015541C">
        <w:rPr>
          <w:rFonts w:eastAsia="MS Mincho"/>
          <w:lang w:val="pl-PL"/>
        </w:rPr>
        <w:t xml:space="preserve">ależy </w:t>
      </w:r>
      <w:r w:rsidR="00AE0BB9" w:rsidRPr="0015541C">
        <w:rPr>
          <w:rFonts w:eastAsia="MS Mincho"/>
          <w:lang w:val="pl-PL"/>
        </w:rPr>
        <w:t xml:space="preserve">przerwać terapię produktem </w:t>
      </w:r>
      <w:r w:rsidR="00C87F12" w:rsidRPr="0015541C">
        <w:rPr>
          <w:rFonts w:eastAsia="MS Mincho"/>
          <w:lang w:val="pl-PL"/>
        </w:rPr>
        <w:t>Aybintio</w:t>
      </w:r>
      <w:r w:rsidR="00AE0BB9" w:rsidRPr="0015541C">
        <w:rPr>
          <w:rFonts w:eastAsia="MS Mincho"/>
          <w:lang w:val="pl-PL"/>
        </w:rPr>
        <w:t xml:space="preserve"> i w</w:t>
      </w:r>
      <w:r w:rsidRPr="0015541C">
        <w:rPr>
          <w:rFonts w:eastAsia="MS Mincho"/>
          <w:lang w:val="pl-PL"/>
        </w:rPr>
        <w:t>drożyć niezwłocznie odpowiednie leczenie.</w:t>
      </w:r>
    </w:p>
    <w:p w14:paraId="29825215" w14:textId="77777777" w:rsidR="00994050" w:rsidRPr="0015541C" w:rsidRDefault="00994050" w:rsidP="00994050">
      <w:pPr>
        <w:rPr>
          <w:lang w:val="pl-PL"/>
        </w:rPr>
      </w:pPr>
    </w:p>
    <w:p w14:paraId="0793B8B0" w14:textId="77777777" w:rsidR="00994050" w:rsidRPr="0070444C" w:rsidRDefault="00994050" w:rsidP="00BC3A2D">
      <w:pPr>
        <w:keepNext/>
        <w:keepLines/>
        <w:rPr>
          <w:u w:val="single"/>
          <w:lang w:val="pl-PL"/>
        </w:rPr>
      </w:pPr>
      <w:r w:rsidRPr="0070444C">
        <w:rPr>
          <w:u w:val="single"/>
          <w:lang w:val="pl-PL"/>
        </w:rPr>
        <w:t xml:space="preserve">Nadciśnienie </w:t>
      </w:r>
      <w:r w:rsidR="008426D7" w:rsidRPr="0070444C">
        <w:rPr>
          <w:u w:val="single"/>
          <w:lang w:val="pl-PL"/>
        </w:rPr>
        <w:t xml:space="preserve">tętnicze </w:t>
      </w:r>
      <w:r w:rsidRPr="0070444C">
        <w:rPr>
          <w:u w:val="single"/>
          <w:lang w:val="pl-PL"/>
        </w:rPr>
        <w:t>(patrz punkt 4.8)</w:t>
      </w:r>
    </w:p>
    <w:p w14:paraId="4920EF3C" w14:textId="77777777" w:rsidR="00A42520" w:rsidRPr="0015541C" w:rsidRDefault="00994050" w:rsidP="00BC3A2D">
      <w:pPr>
        <w:keepNext/>
        <w:keepLines/>
        <w:rPr>
          <w:lang w:val="pl-PL"/>
        </w:rPr>
      </w:pPr>
      <w:r w:rsidRPr="0015541C">
        <w:rPr>
          <w:lang w:val="pl-PL"/>
        </w:rPr>
        <w:t xml:space="preserve">Obserwowano zwiększoną częstość występowania nadciśnienia </w:t>
      </w:r>
      <w:r w:rsidR="008426D7" w:rsidRPr="0015541C">
        <w:rPr>
          <w:lang w:val="pl-PL"/>
        </w:rPr>
        <w:t>tętniczeg</w:t>
      </w:r>
      <w:r w:rsidR="00861B06" w:rsidRPr="0015541C">
        <w:rPr>
          <w:lang w:val="pl-PL"/>
        </w:rPr>
        <w:t>o</w:t>
      </w:r>
      <w:r w:rsidR="008426D7" w:rsidRPr="0015541C">
        <w:rPr>
          <w:lang w:val="pl-PL"/>
        </w:rPr>
        <w:t xml:space="preserve"> </w:t>
      </w:r>
      <w:r w:rsidRPr="0015541C">
        <w:rPr>
          <w:lang w:val="pl-PL"/>
        </w:rPr>
        <w:t xml:space="preserve">u pacjentów leczonych </w:t>
      </w:r>
      <w:r w:rsidR="005E42E4" w:rsidRPr="0015541C">
        <w:rPr>
          <w:lang w:val="pl-PL"/>
        </w:rPr>
        <w:t>bewacyzumab</w:t>
      </w:r>
      <w:r w:rsidRPr="0015541C">
        <w:rPr>
          <w:lang w:val="pl-PL"/>
        </w:rPr>
        <w:t xml:space="preserve">em. Dane kliniczne dotyczące bezpieczeństwa wskazują, że częstość występowania nadciśnienia </w:t>
      </w:r>
      <w:r w:rsidR="00861B06" w:rsidRPr="0015541C">
        <w:rPr>
          <w:lang w:val="pl-PL"/>
        </w:rPr>
        <w:t xml:space="preserve">tętniczego </w:t>
      </w:r>
      <w:r w:rsidRPr="0015541C">
        <w:rPr>
          <w:lang w:val="pl-PL"/>
        </w:rPr>
        <w:t xml:space="preserve">jest zależna od dawki leku. Przed rozpoczęciem leczenia produktem </w:t>
      </w:r>
      <w:r w:rsidR="00C87F12" w:rsidRPr="0015541C">
        <w:rPr>
          <w:lang w:val="pl-PL"/>
        </w:rPr>
        <w:t>Aybintio</w:t>
      </w:r>
      <w:r w:rsidRPr="0015541C">
        <w:rPr>
          <w:lang w:val="pl-PL"/>
        </w:rPr>
        <w:t xml:space="preserve"> należy odpowiednio kontrolować istniejące już uprzednio nadciśnienie tętnicze. Nie ma danych dotyczących wpływu </w:t>
      </w:r>
      <w:r w:rsidR="00926882" w:rsidRPr="0015541C">
        <w:rPr>
          <w:lang w:val="pl-PL"/>
        </w:rPr>
        <w:t>bewacyzumab</w:t>
      </w:r>
      <w:r w:rsidRPr="0015541C">
        <w:rPr>
          <w:lang w:val="pl-PL"/>
        </w:rPr>
        <w:t xml:space="preserve">u w grupie pacjentów z niekontrolowanym nadciśnieniem </w:t>
      </w:r>
      <w:r w:rsidR="004B4673" w:rsidRPr="0015541C">
        <w:rPr>
          <w:lang w:val="pl-PL"/>
        </w:rPr>
        <w:t xml:space="preserve">tętniczym </w:t>
      </w:r>
      <w:r w:rsidRPr="0015541C">
        <w:rPr>
          <w:lang w:val="pl-PL"/>
        </w:rPr>
        <w:t>w chwili rozpoczynania terapii.</w:t>
      </w:r>
    </w:p>
    <w:p w14:paraId="0F86AC96" w14:textId="77777777" w:rsidR="00A42520" w:rsidRPr="0015541C" w:rsidRDefault="00A42520" w:rsidP="00BC3A2D">
      <w:pPr>
        <w:keepNext/>
        <w:keepLines/>
        <w:rPr>
          <w:lang w:val="pl-PL"/>
        </w:rPr>
      </w:pPr>
    </w:p>
    <w:p w14:paraId="3C97BD86" w14:textId="77777777" w:rsidR="00994050" w:rsidRPr="0015541C" w:rsidRDefault="00994050" w:rsidP="00BC3A2D">
      <w:pPr>
        <w:keepNext/>
        <w:keepLines/>
        <w:rPr>
          <w:lang w:val="pl-PL"/>
        </w:rPr>
      </w:pPr>
      <w:r w:rsidRPr="0015541C">
        <w:rPr>
          <w:lang w:val="pl-PL"/>
        </w:rPr>
        <w:t>Generalnie zaleca się kontrolę ciśnienia tętniczego podczas terapii.</w:t>
      </w:r>
    </w:p>
    <w:p w14:paraId="244E9F03" w14:textId="77777777" w:rsidR="00994050" w:rsidRPr="0015541C" w:rsidRDefault="00994050" w:rsidP="00994050">
      <w:pPr>
        <w:tabs>
          <w:tab w:val="left" w:pos="6946"/>
        </w:tabs>
        <w:rPr>
          <w:lang w:val="pl-PL"/>
        </w:rPr>
      </w:pPr>
    </w:p>
    <w:p w14:paraId="77370E0D" w14:textId="010A3FA4" w:rsidR="00994050" w:rsidRPr="0015541C" w:rsidRDefault="00994050" w:rsidP="00994050">
      <w:pPr>
        <w:rPr>
          <w:lang w:val="pl-PL"/>
        </w:rPr>
      </w:pPr>
      <w:r w:rsidRPr="0015541C">
        <w:rPr>
          <w:lang w:val="pl-PL"/>
        </w:rPr>
        <w:t xml:space="preserve">W większości przypadków nadciśnienie </w:t>
      </w:r>
      <w:r w:rsidR="00B30244" w:rsidRPr="0070444C">
        <w:rPr>
          <w:u w:val="single"/>
          <w:lang w:val="pl-PL"/>
        </w:rPr>
        <w:t xml:space="preserve">tętnicze </w:t>
      </w:r>
      <w:r w:rsidRPr="0015541C">
        <w:rPr>
          <w:lang w:val="pl-PL"/>
        </w:rPr>
        <w:t>było odpowiednio kontrolowane standardowymi metodami leczenia nadciśnienia</w:t>
      </w:r>
      <w:r w:rsidR="007B5435" w:rsidRPr="0015541C">
        <w:rPr>
          <w:lang w:val="pl-PL"/>
        </w:rPr>
        <w:t xml:space="preserve"> tętniczego</w:t>
      </w:r>
      <w:r w:rsidRPr="0015541C">
        <w:rPr>
          <w:lang w:val="pl-PL"/>
        </w:rPr>
        <w:t>, odpowiednimi dla sytuacji danego pacjenta. U pacjentów otrzymujących schematy chemioterapii zawierające cisplatynę, nie zaleca się do leczenia nadciśnienia tętniczego stosowania leków moczopędnych. W przypadku, gdy nie udaje się uzyskać kontroli nadciśnienia</w:t>
      </w:r>
      <w:r w:rsidR="007B5435" w:rsidRPr="0015541C">
        <w:rPr>
          <w:lang w:val="pl-PL"/>
        </w:rPr>
        <w:t xml:space="preserve"> tętniczego</w:t>
      </w:r>
      <w:r w:rsidRPr="0015541C">
        <w:rPr>
          <w:lang w:val="pl-PL"/>
        </w:rPr>
        <w:t xml:space="preserve">, lub u pacjenta rozwinie się przełom nadciśnieniowy lub encefalopatia nadciśnieniowa, należy trwale przerwać stosowanie produktu </w:t>
      </w:r>
      <w:r w:rsidR="00C87F12" w:rsidRPr="0015541C">
        <w:rPr>
          <w:lang w:val="pl-PL"/>
        </w:rPr>
        <w:t>Aybintio</w:t>
      </w:r>
      <w:r w:rsidRPr="0015541C">
        <w:rPr>
          <w:lang w:val="pl-PL"/>
        </w:rPr>
        <w:t>.</w:t>
      </w:r>
    </w:p>
    <w:p w14:paraId="1623125E" w14:textId="77777777" w:rsidR="00994050" w:rsidRPr="0015541C" w:rsidRDefault="00994050" w:rsidP="00994050">
      <w:pPr>
        <w:rPr>
          <w:lang w:val="pl-PL"/>
        </w:rPr>
      </w:pPr>
    </w:p>
    <w:p w14:paraId="5A846D8C" w14:textId="77777777" w:rsidR="008809AE" w:rsidRPr="0070444C" w:rsidRDefault="00F9616C" w:rsidP="00994050">
      <w:pPr>
        <w:rPr>
          <w:u w:val="single"/>
          <w:lang w:val="pl-PL"/>
        </w:rPr>
      </w:pPr>
      <w:r w:rsidRPr="0070444C">
        <w:rPr>
          <w:u w:val="single"/>
          <w:lang w:val="pl-PL"/>
        </w:rPr>
        <w:t xml:space="preserve">Zespół tylnej odwracalnej encefalopatii </w:t>
      </w:r>
      <w:r w:rsidR="00994050" w:rsidRPr="0070444C">
        <w:rPr>
          <w:u w:val="single"/>
          <w:lang w:val="pl-PL"/>
        </w:rPr>
        <w:t xml:space="preserve">(ang. </w:t>
      </w:r>
      <w:r w:rsidRPr="0070444C">
        <w:rPr>
          <w:u w:val="single"/>
          <w:lang w:val="pl-PL"/>
        </w:rPr>
        <w:t xml:space="preserve">Posterior </w:t>
      </w:r>
      <w:r w:rsidR="00994050" w:rsidRPr="0070444C">
        <w:rPr>
          <w:u w:val="single"/>
          <w:lang w:val="pl-PL"/>
        </w:rPr>
        <w:t xml:space="preserve">Reversible </w:t>
      </w:r>
      <w:r w:rsidRPr="0070444C">
        <w:rPr>
          <w:u w:val="single"/>
          <w:lang w:val="pl-PL"/>
        </w:rPr>
        <w:t>E</w:t>
      </w:r>
      <w:r w:rsidR="00994050" w:rsidRPr="0070444C">
        <w:rPr>
          <w:u w:val="single"/>
          <w:lang w:val="pl-PL"/>
        </w:rPr>
        <w:t xml:space="preserve">ncephalopathy Syndrome - </w:t>
      </w:r>
      <w:r w:rsidRPr="0070444C">
        <w:rPr>
          <w:u w:val="single"/>
          <w:lang w:val="pl-PL"/>
        </w:rPr>
        <w:t>P</w:t>
      </w:r>
      <w:r w:rsidR="00994050" w:rsidRPr="0070444C">
        <w:rPr>
          <w:u w:val="single"/>
          <w:lang w:val="pl-PL"/>
        </w:rPr>
        <w:t>R</w:t>
      </w:r>
      <w:r w:rsidRPr="0070444C">
        <w:rPr>
          <w:u w:val="single"/>
          <w:lang w:val="pl-PL"/>
        </w:rPr>
        <w:t>E</w:t>
      </w:r>
      <w:r w:rsidR="00994050" w:rsidRPr="0070444C">
        <w:rPr>
          <w:u w:val="single"/>
          <w:lang w:val="pl-PL"/>
        </w:rPr>
        <w:t>S) (patrz punkt 4.8)</w:t>
      </w:r>
    </w:p>
    <w:p w14:paraId="256B860D" w14:textId="77777777" w:rsidR="00994050" w:rsidRPr="0015541C" w:rsidRDefault="00994050" w:rsidP="00994050">
      <w:pPr>
        <w:rPr>
          <w:szCs w:val="22"/>
          <w:lang w:val="pl-PL"/>
        </w:rPr>
      </w:pPr>
      <w:r w:rsidRPr="0015541C">
        <w:rPr>
          <w:szCs w:val="22"/>
          <w:lang w:val="pl-PL"/>
        </w:rPr>
        <w:t xml:space="preserve">Rzadko donoszono o rozwijaniu się </w:t>
      </w:r>
      <w:r w:rsidRPr="0015541C">
        <w:rPr>
          <w:lang w:val="pl-PL"/>
        </w:rPr>
        <w:t xml:space="preserve">u pacjentów leczonych </w:t>
      </w:r>
      <w:r w:rsidR="00514625" w:rsidRPr="0015541C">
        <w:rPr>
          <w:lang w:val="pl-PL"/>
        </w:rPr>
        <w:t>bewacyzumab</w:t>
      </w:r>
      <w:r w:rsidRPr="0015541C">
        <w:rPr>
          <w:lang w:val="pl-PL"/>
        </w:rPr>
        <w:t xml:space="preserve">em </w:t>
      </w:r>
      <w:r w:rsidRPr="0015541C">
        <w:rPr>
          <w:szCs w:val="22"/>
          <w:lang w:val="pl-PL"/>
        </w:rPr>
        <w:t>objawów podmiotowych i przedmiotowych odpowiadających z</w:t>
      </w:r>
      <w:r w:rsidRPr="0015541C">
        <w:rPr>
          <w:lang w:val="pl-PL"/>
        </w:rPr>
        <w:t xml:space="preserve">espołowi </w:t>
      </w:r>
      <w:r w:rsidR="00F9616C" w:rsidRPr="0015541C">
        <w:rPr>
          <w:i/>
          <w:lang w:val="pl-PL"/>
        </w:rPr>
        <w:t xml:space="preserve">tylnej odwracalnej encefalopatii </w:t>
      </w:r>
      <w:r w:rsidRPr="0015541C">
        <w:rPr>
          <w:lang w:val="pl-PL"/>
        </w:rPr>
        <w:t>(</w:t>
      </w:r>
      <w:r w:rsidR="00F9616C" w:rsidRPr="0015541C">
        <w:rPr>
          <w:lang w:val="pl-PL"/>
        </w:rPr>
        <w:t>P</w:t>
      </w:r>
      <w:r w:rsidRPr="0015541C">
        <w:rPr>
          <w:lang w:val="pl-PL"/>
        </w:rPr>
        <w:t>R</w:t>
      </w:r>
      <w:r w:rsidR="00F9616C" w:rsidRPr="0015541C">
        <w:rPr>
          <w:lang w:val="pl-PL"/>
        </w:rPr>
        <w:t>E</w:t>
      </w:r>
      <w:r w:rsidRPr="0015541C">
        <w:rPr>
          <w:lang w:val="pl-PL"/>
        </w:rPr>
        <w:t>S)</w:t>
      </w:r>
      <w:r w:rsidRPr="0015541C">
        <w:rPr>
          <w:szCs w:val="22"/>
          <w:lang w:val="pl-PL"/>
        </w:rPr>
        <w:t>, rzadkiej choroby neurologicznej, która może między innymi dawać następujące objawy: napady drgawkowe, bóle głowy, zmian</w:t>
      </w:r>
      <w:r w:rsidR="004151CA" w:rsidRPr="0015541C">
        <w:rPr>
          <w:szCs w:val="22"/>
          <w:lang w:val="pl-PL"/>
        </w:rPr>
        <w:t>ę</w:t>
      </w:r>
      <w:r w:rsidRPr="0015541C">
        <w:rPr>
          <w:szCs w:val="22"/>
          <w:lang w:val="pl-PL"/>
        </w:rPr>
        <w:t xml:space="preserve"> stanu psychicznego, zaburzenia widzenia lub ślepot</w:t>
      </w:r>
      <w:r w:rsidR="004151CA" w:rsidRPr="0015541C">
        <w:rPr>
          <w:szCs w:val="22"/>
          <w:lang w:val="pl-PL"/>
        </w:rPr>
        <w:t>ę</w:t>
      </w:r>
      <w:r w:rsidRPr="0015541C">
        <w:rPr>
          <w:szCs w:val="22"/>
          <w:lang w:val="pl-PL"/>
        </w:rPr>
        <w:t xml:space="preserve"> korow</w:t>
      </w:r>
      <w:r w:rsidR="004151CA" w:rsidRPr="0015541C">
        <w:rPr>
          <w:szCs w:val="22"/>
          <w:lang w:val="pl-PL"/>
        </w:rPr>
        <w:t>ą</w:t>
      </w:r>
      <w:r w:rsidRPr="0015541C">
        <w:rPr>
          <w:szCs w:val="22"/>
          <w:lang w:val="pl-PL"/>
        </w:rPr>
        <w:t xml:space="preserve">, z towarzyszącym nadciśnieniem </w:t>
      </w:r>
      <w:r w:rsidR="002C28BB" w:rsidRPr="0070444C">
        <w:rPr>
          <w:u w:val="single"/>
          <w:lang w:val="pl-PL"/>
        </w:rPr>
        <w:t xml:space="preserve">tętniczym </w:t>
      </w:r>
      <w:r w:rsidRPr="0015541C">
        <w:rPr>
          <w:szCs w:val="22"/>
          <w:lang w:val="pl-PL"/>
        </w:rPr>
        <w:t xml:space="preserve">lub bez. Rozpoznanie </w:t>
      </w:r>
      <w:r w:rsidR="00F9616C" w:rsidRPr="0015541C">
        <w:rPr>
          <w:szCs w:val="22"/>
          <w:lang w:val="pl-PL"/>
        </w:rPr>
        <w:t xml:space="preserve">PRES </w:t>
      </w:r>
      <w:r w:rsidRPr="0015541C">
        <w:rPr>
          <w:szCs w:val="22"/>
          <w:lang w:val="pl-PL"/>
        </w:rPr>
        <w:t>należy potwierdzić metodami obrazowania mózgu</w:t>
      </w:r>
      <w:r w:rsidR="00F9616C" w:rsidRPr="0015541C">
        <w:rPr>
          <w:szCs w:val="22"/>
          <w:lang w:val="pl-PL"/>
        </w:rPr>
        <w:t xml:space="preserve">, </w:t>
      </w:r>
      <w:r w:rsidR="00F9616C" w:rsidRPr="0015541C">
        <w:rPr>
          <w:rFonts w:eastAsia="MS Mincho"/>
          <w:szCs w:val="22"/>
          <w:lang w:val="pl-PL" w:eastAsia="en-US"/>
        </w:rPr>
        <w:t>zwłaszcza metodą rezonansu magnetycznego (MRI)</w:t>
      </w:r>
      <w:r w:rsidRPr="0015541C">
        <w:rPr>
          <w:szCs w:val="22"/>
          <w:lang w:val="pl-PL"/>
        </w:rPr>
        <w:t xml:space="preserve">. U osób z </w:t>
      </w:r>
      <w:r w:rsidR="00F9616C" w:rsidRPr="0015541C">
        <w:rPr>
          <w:szCs w:val="22"/>
          <w:lang w:val="pl-PL"/>
        </w:rPr>
        <w:t xml:space="preserve">PRES </w:t>
      </w:r>
      <w:r w:rsidRPr="0015541C">
        <w:rPr>
          <w:szCs w:val="22"/>
          <w:lang w:val="pl-PL"/>
        </w:rPr>
        <w:t>zaleca się stosowanie leczenia określonych objawów, w tym kontrolę nadciśnienia</w:t>
      </w:r>
      <w:r w:rsidR="001A2568" w:rsidRPr="0015541C">
        <w:rPr>
          <w:szCs w:val="22"/>
          <w:lang w:val="pl-PL"/>
        </w:rPr>
        <w:t xml:space="preserve"> </w:t>
      </w:r>
      <w:r w:rsidR="001A2568" w:rsidRPr="0070444C">
        <w:rPr>
          <w:u w:val="single"/>
          <w:lang w:val="pl-PL"/>
        </w:rPr>
        <w:t>tętniczego</w:t>
      </w:r>
      <w:r w:rsidRPr="0015541C">
        <w:rPr>
          <w:szCs w:val="22"/>
          <w:lang w:val="pl-PL"/>
        </w:rPr>
        <w:t xml:space="preserve">, jak również odstawienie produktu </w:t>
      </w:r>
      <w:r w:rsidR="00C87F12" w:rsidRPr="0015541C">
        <w:rPr>
          <w:szCs w:val="22"/>
          <w:lang w:val="pl-PL"/>
        </w:rPr>
        <w:t>Aybintio</w:t>
      </w:r>
      <w:r w:rsidRPr="0015541C">
        <w:rPr>
          <w:szCs w:val="22"/>
          <w:lang w:val="pl-PL"/>
        </w:rPr>
        <w:t xml:space="preserve">. Nie zbadano bezpieczeństwa ponownego rozpoczęcia leczenia </w:t>
      </w:r>
      <w:r w:rsidR="00CD48F8" w:rsidRPr="0015541C">
        <w:rPr>
          <w:szCs w:val="22"/>
          <w:lang w:val="pl-PL"/>
        </w:rPr>
        <w:t>bewacyzumab</w:t>
      </w:r>
      <w:r w:rsidRPr="0015541C">
        <w:rPr>
          <w:szCs w:val="22"/>
          <w:lang w:val="pl-PL"/>
        </w:rPr>
        <w:t xml:space="preserve">em </w:t>
      </w:r>
      <w:r w:rsidR="006C5B74" w:rsidRPr="0015541C">
        <w:rPr>
          <w:szCs w:val="22"/>
          <w:lang w:val="pl-PL"/>
        </w:rPr>
        <w:br/>
      </w:r>
      <w:r w:rsidRPr="0015541C">
        <w:rPr>
          <w:szCs w:val="22"/>
          <w:lang w:val="pl-PL"/>
        </w:rPr>
        <w:t xml:space="preserve">u pacjentów, którzy przebyli wcześniej </w:t>
      </w:r>
      <w:r w:rsidR="00F9616C" w:rsidRPr="0015541C">
        <w:rPr>
          <w:szCs w:val="22"/>
          <w:lang w:val="pl-PL"/>
        </w:rPr>
        <w:t>PRES</w:t>
      </w:r>
      <w:r w:rsidRPr="0015541C">
        <w:rPr>
          <w:szCs w:val="22"/>
          <w:lang w:val="pl-PL"/>
        </w:rPr>
        <w:t>.</w:t>
      </w:r>
    </w:p>
    <w:p w14:paraId="290273AC" w14:textId="77777777" w:rsidR="00994050" w:rsidRPr="0015541C" w:rsidRDefault="00994050" w:rsidP="00994050">
      <w:pPr>
        <w:rPr>
          <w:i/>
          <w:lang w:val="pl-PL"/>
        </w:rPr>
      </w:pPr>
    </w:p>
    <w:p w14:paraId="5E1C43E1" w14:textId="77777777" w:rsidR="00994050" w:rsidRPr="0070444C" w:rsidRDefault="00994050" w:rsidP="00994050">
      <w:pPr>
        <w:rPr>
          <w:u w:val="single"/>
          <w:lang w:val="pl-PL"/>
        </w:rPr>
      </w:pPr>
      <w:r w:rsidRPr="0070444C">
        <w:rPr>
          <w:u w:val="single"/>
          <w:lang w:val="pl-PL"/>
        </w:rPr>
        <w:t>Białkomocz (patrz punkt 4.8)</w:t>
      </w:r>
    </w:p>
    <w:p w14:paraId="7D6509FE" w14:textId="745EB837" w:rsidR="00994050" w:rsidRPr="0015541C" w:rsidRDefault="00994050" w:rsidP="00994050">
      <w:pPr>
        <w:rPr>
          <w:lang w:val="pl-PL"/>
        </w:rPr>
      </w:pPr>
      <w:r w:rsidRPr="0015541C">
        <w:rPr>
          <w:lang w:val="pl-PL"/>
        </w:rPr>
        <w:t xml:space="preserve">U pacjentów z nadciśnieniem tętniczym w wywiadzie zwiększa się ryzyko wystąpienia białkomoczu podczas terapii </w:t>
      </w:r>
      <w:r w:rsidR="00121FEC" w:rsidRPr="0015541C">
        <w:rPr>
          <w:lang w:val="pl-PL"/>
        </w:rPr>
        <w:t>bewacyzumab</w:t>
      </w:r>
      <w:r w:rsidRPr="0015541C">
        <w:rPr>
          <w:lang w:val="pl-PL"/>
        </w:rPr>
        <w:t xml:space="preserve">em. Z danych wynika, że występowanie proteinurii </w:t>
      </w:r>
      <w:r w:rsidR="00B3622A" w:rsidRPr="0015541C">
        <w:rPr>
          <w:lang w:val="pl-PL"/>
        </w:rPr>
        <w:t xml:space="preserve">wszystkich </w:t>
      </w:r>
      <w:r w:rsidRPr="0015541C">
        <w:rPr>
          <w:lang w:val="pl-PL"/>
        </w:rPr>
        <w:t xml:space="preserve">stopni </w:t>
      </w:r>
      <w:r w:rsidR="004F0DEC" w:rsidRPr="0015541C">
        <w:rPr>
          <w:lang w:val="pl-PL"/>
        </w:rPr>
        <w:t>(</w:t>
      </w:r>
      <w:r w:rsidR="000F1015" w:rsidRPr="0015541C">
        <w:rPr>
          <w:lang w:val="pl-PL"/>
        </w:rPr>
        <w:t>wg klasyfikacji US National Cancer Institute-Common Terminology Criteria for Adverse Events</w:t>
      </w:r>
      <w:r w:rsidR="00DA059D" w:rsidRPr="0015541C">
        <w:rPr>
          <w:lang w:val="pl-PL"/>
        </w:rPr>
        <w:t xml:space="preserve"> </w:t>
      </w:r>
      <w:r w:rsidR="000F1015" w:rsidRPr="0015541C">
        <w:rPr>
          <w:lang w:val="pl-PL"/>
        </w:rPr>
        <w:t xml:space="preserve">Toxicity </w:t>
      </w:r>
      <w:r w:rsidR="00D416DC" w:rsidRPr="0015541C">
        <w:rPr>
          <w:lang w:val="pl-PL"/>
        </w:rPr>
        <w:t>[</w:t>
      </w:r>
      <w:r w:rsidR="000F1015" w:rsidRPr="0015541C">
        <w:rPr>
          <w:lang w:val="pl-PL"/>
        </w:rPr>
        <w:t>NCI</w:t>
      </w:r>
      <w:r w:rsidR="00B722C9" w:rsidRPr="0015541C">
        <w:rPr>
          <w:lang w:val="pl-PL"/>
        </w:rPr>
        <w:noBreakHyphen/>
      </w:r>
      <w:r w:rsidR="000F1015" w:rsidRPr="0015541C">
        <w:rPr>
          <w:lang w:val="pl-PL"/>
        </w:rPr>
        <w:t xml:space="preserve">CTCAE </w:t>
      </w:r>
      <w:r w:rsidR="004F0DEC" w:rsidRPr="0015541C">
        <w:rPr>
          <w:lang w:val="pl-PL"/>
        </w:rPr>
        <w:t>v.</w:t>
      </w:r>
      <w:r w:rsidR="000F1015" w:rsidRPr="0015541C">
        <w:rPr>
          <w:lang w:val="pl-PL"/>
        </w:rPr>
        <w:t>3</w:t>
      </w:r>
      <w:r w:rsidRPr="0015541C">
        <w:rPr>
          <w:lang w:val="pl-PL"/>
        </w:rPr>
        <w:t>]</w:t>
      </w:r>
      <w:r w:rsidR="004F0DEC" w:rsidRPr="0015541C">
        <w:rPr>
          <w:lang w:val="pl-PL"/>
        </w:rPr>
        <w:t>)</w:t>
      </w:r>
      <w:r w:rsidRPr="0015541C">
        <w:rPr>
          <w:lang w:val="pl-PL"/>
        </w:rPr>
        <w:t xml:space="preserve">, może być zależne od dawki </w:t>
      </w:r>
      <w:r w:rsidR="00F40848" w:rsidRPr="0015541C">
        <w:rPr>
          <w:lang w:val="pl-PL"/>
        </w:rPr>
        <w:t>bewacyzumab</w:t>
      </w:r>
      <w:r w:rsidRPr="0015541C">
        <w:rPr>
          <w:lang w:val="pl-PL"/>
        </w:rPr>
        <w:t>u. Zaleca się kontrolę białkomoczu, z użyciem testów paskowych, przed rozpoczęciem i w trakcie terapii. Lek należy całkowicie odstawić u pacjentów, u których wystąpi białkomocz stopnia 4. (zespół nerczycowy)</w:t>
      </w:r>
      <w:r w:rsidR="000F1015" w:rsidRPr="0015541C">
        <w:rPr>
          <w:lang w:val="pl-PL"/>
        </w:rPr>
        <w:t xml:space="preserve"> (NCI</w:t>
      </w:r>
      <w:r w:rsidR="00B722C9" w:rsidRPr="0015541C">
        <w:rPr>
          <w:lang w:val="pl-PL"/>
        </w:rPr>
        <w:noBreakHyphen/>
      </w:r>
      <w:r w:rsidR="000F1015" w:rsidRPr="0015541C">
        <w:rPr>
          <w:lang w:val="pl-PL"/>
        </w:rPr>
        <w:t>CTCAE v.3)</w:t>
      </w:r>
      <w:r w:rsidRPr="0015541C">
        <w:rPr>
          <w:lang w:val="pl-PL"/>
        </w:rPr>
        <w:t>.</w:t>
      </w:r>
    </w:p>
    <w:p w14:paraId="283D4DC3" w14:textId="77777777" w:rsidR="00994050" w:rsidRPr="0015541C" w:rsidRDefault="00994050" w:rsidP="00994050">
      <w:pPr>
        <w:rPr>
          <w:lang w:val="pl-PL"/>
        </w:rPr>
      </w:pPr>
    </w:p>
    <w:p w14:paraId="52DCE850" w14:textId="77777777" w:rsidR="00994050" w:rsidRPr="0070444C" w:rsidRDefault="00994050" w:rsidP="00DC10D0">
      <w:pPr>
        <w:keepNext/>
        <w:keepLines/>
        <w:rPr>
          <w:u w:val="single"/>
          <w:lang w:val="pl-PL"/>
        </w:rPr>
      </w:pPr>
      <w:r w:rsidRPr="0070444C">
        <w:rPr>
          <w:u w:val="single"/>
          <w:lang w:val="pl-PL"/>
        </w:rPr>
        <w:t>Zakrzepica zatorowa tętnic (patrz punkt 4.8)</w:t>
      </w:r>
    </w:p>
    <w:p w14:paraId="7FC920EC" w14:textId="77777777" w:rsidR="00994050" w:rsidRPr="0015541C" w:rsidRDefault="00994050" w:rsidP="00DC10D0">
      <w:pPr>
        <w:keepNext/>
        <w:keepLines/>
        <w:rPr>
          <w:lang w:val="pl-PL"/>
        </w:rPr>
      </w:pPr>
      <w:r w:rsidRPr="0015541C">
        <w:rPr>
          <w:lang w:val="pl-PL"/>
        </w:rPr>
        <w:t>W badaniach klinicznych częstość występowania zakrzepów z zatorami w obrębie tętnic, włączając w to incydenty naczyniowo-mózgowe (ang. Cerebrovascular Accidents </w:t>
      </w:r>
      <w:r w:rsidRPr="0015541C">
        <w:rPr>
          <w:lang w:val="pl-PL"/>
        </w:rPr>
        <w:noBreakHyphen/>
        <w:t> CVAs), przemijające napady niedokrwienne mózgu (ang. Transient Ischaemic Attacks </w:t>
      </w:r>
      <w:r w:rsidRPr="0015541C">
        <w:rPr>
          <w:lang w:val="pl-PL"/>
        </w:rPr>
        <w:noBreakHyphen/>
        <w:t xml:space="preserve"> TIAs) i zawał mięśnia sercowego (ang. Myocardial Infarctions - MIs), była zwiększona u pacjentów leczonych </w:t>
      </w:r>
      <w:r w:rsidR="00CB72D2" w:rsidRPr="0015541C">
        <w:rPr>
          <w:lang w:val="pl-PL"/>
        </w:rPr>
        <w:t>bewacyzumab</w:t>
      </w:r>
      <w:r w:rsidRPr="0015541C">
        <w:rPr>
          <w:lang w:val="pl-PL"/>
        </w:rPr>
        <w:t>em w skojarzeniu z chemioterapią w porównaniu do pacjentów otrzymujących tylko chemioterapię.</w:t>
      </w:r>
    </w:p>
    <w:p w14:paraId="6200F219" w14:textId="77777777" w:rsidR="00994050" w:rsidRPr="0015541C" w:rsidRDefault="00994050" w:rsidP="00994050">
      <w:pPr>
        <w:rPr>
          <w:lang w:val="pl-PL"/>
        </w:rPr>
      </w:pPr>
    </w:p>
    <w:p w14:paraId="5954865E" w14:textId="77777777" w:rsidR="00994050" w:rsidRPr="0015541C" w:rsidRDefault="00994050" w:rsidP="00994050">
      <w:pPr>
        <w:rPr>
          <w:lang w:val="pl-PL"/>
        </w:rPr>
      </w:pPr>
      <w:r w:rsidRPr="0015541C">
        <w:rPr>
          <w:lang w:val="pl-PL"/>
        </w:rPr>
        <w:t>Występowanie tętniczej zakrzepicy zatorowej</w:t>
      </w:r>
      <w:r w:rsidR="0026465C" w:rsidRPr="0015541C">
        <w:rPr>
          <w:lang w:val="pl-PL"/>
        </w:rPr>
        <w:t xml:space="preserve"> lub cukrzycy</w:t>
      </w:r>
      <w:r w:rsidRPr="0015541C">
        <w:rPr>
          <w:lang w:val="pl-PL"/>
        </w:rPr>
        <w:t xml:space="preserve"> w wywiadzie lub wiek powyżej 65 lat u pacjentów przyjmujących </w:t>
      </w:r>
      <w:r w:rsidR="003841A0" w:rsidRPr="0015541C">
        <w:rPr>
          <w:lang w:val="pl-PL"/>
        </w:rPr>
        <w:t>bewacyzumab</w:t>
      </w:r>
      <w:r w:rsidRPr="0015541C">
        <w:rPr>
          <w:lang w:val="pl-PL"/>
        </w:rPr>
        <w:t xml:space="preserve"> z chemioterapią, jest związane ze zwiększonym ryzykiem </w:t>
      </w:r>
      <w:r w:rsidRPr="0015541C">
        <w:rPr>
          <w:lang w:val="pl-PL"/>
        </w:rPr>
        <w:lastRenderedPageBreak/>
        <w:t>wystąpienia zakrzepów z zatorami w obrębie tętnic w trakcie terapii. Należy zatem zachować ostrożność podczas leczenia tych grup pacjentów</w:t>
      </w:r>
      <w:r w:rsidR="002634D3" w:rsidRPr="0015541C">
        <w:rPr>
          <w:lang w:val="pl-PL"/>
        </w:rPr>
        <w:t xml:space="preserve"> produktem </w:t>
      </w:r>
      <w:r w:rsidR="002634D3" w:rsidRPr="0015541C">
        <w:rPr>
          <w:spacing w:val="-2"/>
          <w:lang w:val="pl-PL" w:eastAsia="ko-KR"/>
        </w:rPr>
        <w:t>Aybintio</w:t>
      </w:r>
      <w:r w:rsidRPr="0015541C">
        <w:rPr>
          <w:lang w:val="pl-PL"/>
        </w:rPr>
        <w:t xml:space="preserve">. </w:t>
      </w:r>
    </w:p>
    <w:p w14:paraId="1AB3A376" w14:textId="77777777" w:rsidR="00994050" w:rsidRPr="0015541C" w:rsidRDefault="00994050" w:rsidP="00994050">
      <w:pPr>
        <w:rPr>
          <w:lang w:val="pl-PL"/>
        </w:rPr>
      </w:pPr>
    </w:p>
    <w:p w14:paraId="78929B23" w14:textId="77777777" w:rsidR="00994050" w:rsidRPr="0015541C" w:rsidRDefault="00994050" w:rsidP="00994050">
      <w:pPr>
        <w:rPr>
          <w:lang w:val="pl-PL"/>
        </w:rPr>
      </w:pPr>
      <w:r w:rsidRPr="0015541C">
        <w:rPr>
          <w:lang w:val="pl-PL"/>
        </w:rPr>
        <w:t xml:space="preserve">Leczenie produktem </w:t>
      </w:r>
      <w:r w:rsidR="00C87F12" w:rsidRPr="0015541C">
        <w:rPr>
          <w:lang w:val="pl-PL"/>
        </w:rPr>
        <w:t>Aybintio</w:t>
      </w:r>
      <w:r w:rsidRPr="0015541C">
        <w:rPr>
          <w:lang w:val="pl-PL"/>
        </w:rPr>
        <w:t xml:space="preserve"> należy całkowicie przerwać u pacjentów, u których wystąpi zakrzepica zatorowa tętnic.</w:t>
      </w:r>
    </w:p>
    <w:p w14:paraId="2B56938A" w14:textId="77777777" w:rsidR="00994050" w:rsidRPr="0015541C" w:rsidRDefault="00994050" w:rsidP="00994050">
      <w:pPr>
        <w:rPr>
          <w:lang w:val="pl-PL"/>
        </w:rPr>
      </w:pPr>
    </w:p>
    <w:p w14:paraId="3366D87F" w14:textId="77777777" w:rsidR="00994050" w:rsidRPr="0070444C" w:rsidRDefault="00994050" w:rsidP="00994050">
      <w:pPr>
        <w:rPr>
          <w:u w:val="single"/>
          <w:lang w:val="pl-PL"/>
        </w:rPr>
      </w:pPr>
      <w:r w:rsidRPr="0070444C">
        <w:rPr>
          <w:u w:val="single"/>
          <w:lang w:val="pl-PL"/>
        </w:rPr>
        <w:t>Zakrzepica zatorowa żył (patrz punkt 4.8)</w:t>
      </w:r>
    </w:p>
    <w:p w14:paraId="0B8C3EEE" w14:textId="77777777" w:rsidR="000F7434" w:rsidRPr="0015541C" w:rsidRDefault="00D940FB" w:rsidP="00D940FB">
      <w:pPr>
        <w:rPr>
          <w:lang w:val="pl-PL"/>
        </w:rPr>
      </w:pPr>
      <w:r w:rsidRPr="0015541C">
        <w:rPr>
          <w:lang w:val="pl-PL"/>
        </w:rPr>
        <w:t xml:space="preserve">U pacjentów leczonych </w:t>
      </w:r>
      <w:r w:rsidR="000F7434" w:rsidRPr="0015541C">
        <w:rPr>
          <w:lang w:val="pl-PL"/>
        </w:rPr>
        <w:t>bewacyzumab</w:t>
      </w:r>
      <w:r w:rsidRPr="0015541C">
        <w:rPr>
          <w:lang w:val="pl-PL"/>
        </w:rPr>
        <w:t>em może wystąpić zwiększone ryzyko żylnych zaburzeń zakrzepowo-zatorowych, w tym zatorowości płucnej.</w:t>
      </w:r>
    </w:p>
    <w:p w14:paraId="1E56EC2E" w14:textId="77777777" w:rsidR="004F0DEC" w:rsidRPr="0015541C" w:rsidRDefault="004F0DEC" w:rsidP="00D940FB">
      <w:pPr>
        <w:rPr>
          <w:lang w:val="pl-PL"/>
        </w:rPr>
      </w:pPr>
    </w:p>
    <w:p w14:paraId="07AF71A3" w14:textId="77777777" w:rsidR="004F0DEC" w:rsidRPr="0015541C" w:rsidRDefault="004F0DEC" w:rsidP="00D940FB">
      <w:pPr>
        <w:rPr>
          <w:lang w:val="pl-PL"/>
        </w:rPr>
      </w:pPr>
      <w:r w:rsidRPr="0015541C">
        <w:rPr>
          <w:lang w:val="pl-PL"/>
        </w:rPr>
        <w:t>Pacjen</w:t>
      </w:r>
      <w:r w:rsidR="00E21CD7" w:rsidRPr="0015541C">
        <w:rPr>
          <w:lang w:val="pl-PL"/>
        </w:rPr>
        <w:t>tki</w:t>
      </w:r>
      <w:r w:rsidRPr="0015541C">
        <w:rPr>
          <w:lang w:val="pl-PL"/>
        </w:rPr>
        <w:t xml:space="preserve"> lecz</w:t>
      </w:r>
      <w:r w:rsidR="00E21CD7" w:rsidRPr="0015541C">
        <w:rPr>
          <w:lang w:val="pl-PL"/>
        </w:rPr>
        <w:t>one</w:t>
      </w:r>
      <w:r w:rsidRPr="0015541C">
        <w:rPr>
          <w:lang w:val="pl-PL"/>
        </w:rPr>
        <w:t xml:space="preserve"> </w:t>
      </w:r>
      <w:r w:rsidR="000F7434" w:rsidRPr="0015541C">
        <w:rPr>
          <w:lang w:val="pl-PL"/>
        </w:rPr>
        <w:t>bewacyzumab</w:t>
      </w:r>
      <w:r w:rsidRPr="0015541C">
        <w:rPr>
          <w:lang w:val="pl-PL"/>
        </w:rPr>
        <w:t>em w skojarzeniu z paklitakselem i cisplatyną z powodu przetrwałego, nawrotowego lub przerzutowego raka szyjki macicy mogą być naraż</w:t>
      </w:r>
      <w:r w:rsidR="00FA5C51" w:rsidRPr="0015541C">
        <w:rPr>
          <w:lang w:val="pl-PL"/>
        </w:rPr>
        <w:t>one</w:t>
      </w:r>
      <w:r w:rsidRPr="0015541C">
        <w:rPr>
          <w:lang w:val="pl-PL"/>
        </w:rPr>
        <w:t xml:space="preserve"> na większe ryzyko wystąpienia zakrzepicy zatorowej żył.</w:t>
      </w:r>
    </w:p>
    <w:p w14:paraId="70A73448" w14:textId="77777777" w:rsidR="000F7434" w:rsidRPr="0015541C" w:rsidRDefault="000F7434" w:rsidP="00D940FB">
      <w:pPr>
        <w:rPr>
          <w:lang w:val="pl-PL"/>
        </w:rPr>
      </w:pPr>
    </w:p>
    <w:p w14:paraId="598DA597" w14:textId="2C024896" w:rsidR="00D940FB" w:rsidRPr="0015541C" w:rsidRDefault="00D940FB" w:rsidP="00D940FB">
      <w:pPr>
        <w:rPr>
          <w:lang w:val="pl-PL"/>
        </w:rPr>
      </w:pPr>
      <w:r w:rsidRPr="0015541C">
        <w:rPr>
          <w:lang w:val="pl-PL"/>
        </w:rPr>
        <w:t>U pacjentów z zagrażającymi życiu (stopień 4) zaburzeniami zakrzepowo-zatorowymi, w tym zatorowością płucną</w:t>
      </w:r>
      <w:r w:rsidR="000F1015" w:rsidRPr="0015541C">
        <w:rPr>
          <w:lang w:val="pl-PL"/>
        </w:rPr>
        <w:t xml:space="preserve"> (NCI</w:t>
      </w:r>
      <w:r w:rsidR="00715294" w:rsidRPr="0015541C">
        <w:rPr>
          <w:lang w:val="pl-PL"/>
        </w:rPr>
        <w:noBreakHyphen/>
      </w:r>
      <w:r w:rsidR="000F1015" w:rsidRPr="0015541C">
        <w:rPr>
          <w:lang w:val="pl-PL"/>
        </w:rPr>
        <w:t>CTCAE v.3)</w:t>
      </w:r>
      <w:r w:rsidRPr="0015541C">
        <w:rPr>
          <w:lang w:val="pl-PL"/>
        </w:rPr>
        <w:t xml:space="preserve">, należy przerwać stosowanie produktu </w:t>
      </w:r>
      <w:r w:rsidR="00C87F12" w:rsidRPr="0015541C">
        <w:rPr>
          <w:lang w:val="pl-PL"/>
        </w:rPr>
        <w:t>Aybintio</w:t>
      </w:r>
      <w:r w:rsidRPr="0015541C">
        <w:rPr>
          <w:lang w:val="pl-PL"/>
        </w:rPr>
        <w:t>. Pacjentów z zaburzeniami zakrzepowo-zatorowymi stopnia 3 lub niższego należy dokładnie kontrolować</w:t>
      </w:r>
      <w:r w:rsidR="000F1015" w:rsidRPr="0015541C">
        <w:rPr>
          <w:lang w:val="pl-PL"/>
        </w:rPr>
        <w:t xml:space="preserve"> </w:t>
      </w:r>
      <w:r w:rsidR="00A35D2A" w:rsidRPr="0015541C">
        <w:rPr>
          <w:lang w:val="pl-PL"/>
        </w:rPr>
        <w:br/>
      </w:r>
      <w:r w:rsidR="000F1015" w:rsidRPr="0015541C">
        <w:rPr>
          <w:lang w:val="pl-PL"/>
        </w:rPr>
        <w:t>(NCI</w:t>
      </w:r>
      <w:r w:rsidR="00715294" w:rsidRPr="0015541C">
        <w:rPr>
          <w:lang w:val="pl-PL"/>
        </w:rPr>
        <w:noBreakHyphen/>
      </w:r>
      <w:r w:rsidR="000F1015" w:rsidRPr="0015541C">
        <w:rPr>
          <w:lang w:val="pl-PL"/>
        </w:rPr>
        <w:t>CTCAE v.3)</w:t>
      </w:r>
      <w:r w:rsidRPr="0015541C">
        <w:rPr>
          <w:lang w:val="pl-PL"/>
        </w:rPr>
        <w:t xml:space="preserve">. </w:t>
      </w:r>
    </w:p>
    <w:p w14:paraId="2A168060" w14:textId="77777777" w:rsidR="00994050" w:rsidRPr="0015541C" w:rsidRDefault="00994050" w:rsidP="00994050">
      <w:pPr>
        <w:rPr>
          <w:lang w:val="pl-PL"/>
        </w:rPr>
      </w:pPr>
    </w:p>
    <w:p w14:paraId="3C47B9A4" w14:textId="77777777" w:rsidR="00994050" w:rsidRPr="0070444C" w:rsidRDefault="00994050" w:rsidP="00BC3A2D">
      <w:pPr>
        <w:keepNext/>
        <w:rPr>
          <w:u w:val="single"/>
          <w:lang w:val="pl-PL"/>
        </w:rPr>
      </w:pPr>
      <w:r w:rsidRPr="0070444C">
        <w:rPr>
          <w:u w:val="single"/>
          <w:lang w:val="pl-PL"/>
        </w:rPr>
        <w:t xml:space="preserve">Krwotoki </w:t>
      </w:r>
    </w:p>
    <w:p w14:paraId="26A9AF75" w14:textId="6EA7688C" w:rsidR="00994050" w:rsidRPr="0015541C" w:rsidRDefault="00994050" w:rsidP="00994050">
      <w:pPr>
        <w:rPr>
          <w:lang w:val="pl-PL"/>
        </w:rPr>
      </w:pPr>
      <w:r w:rsidRPr="0015541C">
        <w:rPr>
          <w:lang w:val="pl-PL"/>
        </w:rPr>
        <w:t xml:space="preserve">U pacjentów przyjmujących </w:t>
      </w:r>
      <w:r w:rsidR="00043A34" w:rsidRPr="0015541C">
        <w:rPr>
          <w:lang w:val="pl-PL"/>
        </w:rPr>
        <w:t>bewacyzumab</w:t>
      </w:r>
      <w:r w:rsidRPr="0015541C">
        <w:rPr>
          <w:lang w:val="pl-PL"/>
        </w:rPr>
        <w:t xml:space="preserve"> występuje zwiększone ryzyko wystąpienia krwotoków, </w:t>
      </w:r>
      <w:r w:rsidR="00E14293" w:rsidRPr="0015541C">
        <w:rPr>
          <w:lang w:val="pl-PL"/>
        </w:rPr>
        <w:t>szczególnie</w:t>
      </w:r>
      <w:r w:rsidRPr="0015541C">
        <w:rPr>
          <w:lang w:val="pl-PL"/>
        </w:rPr>
        <w:t xml:space="preserve"> krwotoków zależnych od guza. </w:t>
      </w:r>
      <w:r w:rsidR="00C87F12" w:rsidRPr="0015541C">
        <w:rPr>
          <w:lang w:val="pl-PL"/>
        </w:rPr>
        <w:t>Aybintio</w:t>
      </w:r>
      <w:r w:rsidRPr="0015541C">
        <w:rPr>
          <w:lang w:val="pl-PL"/>
        </w:rPr>
        <w:t xml:space="preserve"> należy całkowicie odstawić u pacjentów, u których wystąpi krwawienie stopnia 3. lub 4. w trakcie terapii </w:t>
      </w:r>
      <w:r w:rsidR="009F6DDA" w:rsidRPr="0015541C">
        <w:rPr>
          <w:lang w:val="pl-PL"/>
        </w:rPr>
        <w:t xml:space="preserve">bewacyzumabem </w:t>
      </w:r>
      <w:r w:rsidR="000F1015" w:rsidRPr="0015541C">
        <w:rPr>
          <w:lang w:val="pl-PL"/>
        </w:rPr>
        <w:t>(NCI</w:t>
      </w:r>
      <w:r w:rsidR="00715294" w:rsidRPr="0015541C">
        <w:rPr>
          <w:lang w:val="pl-PL"/>
        </w:rPr>
        <w:noBreakHyphen/>
      </w:r>
      <w:r w:rsidR="000F1015" w:rsidRPr="0015541C">
        <w:rPr>
          <w:lang w:val="pl-PL"/>
        </w:rPr>
        <w:t xml:space="preserve">CTCAE v.3) </w:t>
      </w:r>
      <w:r w:rsidRPr="0015541C">
        <w:rPr>
          <w:lang w:val="pl-PL"/>
        </w:rPr>
        <w:t>(patrz punkt 4.8).</w:t>
      </w:r>
    </w:p>
    <w:p w14:paraId="56BCDE0A" w14:textId="77777777" w:rsidR="00994050" w:rsidRPr="0015541C" w:rsidRDefault="00994050" w:rsidP="00994050">
      <w:pPr>
        <w:rPr>
          <w:lang w:val="pl-PL"/>
        </w:rPr>
      </w:pPr>
    </w:p>
    <w:p w14:paraId="269F0ADD" w14:textId="77777777" w:rsidR="00994050" w:rsidRPr="0015541C" w:rsidRDefault="00994050" w:rsidP="00994050">
      <w:pPr>
        <w:rPr>
          <w:lang w:val="pl-PL"/>
        </w:rPr>
      </w:pPr>
      <w:r w:rsidRPr="0015541C">
        <w:rPr>
          <w:lang w:val="pl-PL"/>
        </w:rPr>
        <w:t xml:space="preserve">Pacjenci z nieleczonymi przerzutami do OUN byli rutynowo wyłączani z badań klinicznych </w:t>
      </w:r>
      <w:r w:rsidR="005B1334" w:rsidRPr="0015541C">
        <w:rPr>
          <w:lang w:val="pl-PL"/>
        </w:rPr>
        <w:t>bewacyzumab</w:t>
      </w:r>
      <w:r w:rsidRPr="0015541C">
        <w:rPr>
          <w:lang w:val="pl-PL"/>
        </w:rPr>
        <w:t xml:space="preserve">u w oparciu o badania obrazowe lub objawy kliniczne. Dlatego ryzyko krwawienia do OUN u takich pacjentów nie było ocenione w prospektywnych randomizowanych badaniach klinicznych (patrz punkt 4.8). Pacjenci powinni być kontrolowani w kierunku objawów krwawienia do OUN i terapia preparatem </w:t>
      </w:r>
      <w:r w:rsidR="00C87F12" w:rsidRPr="0015541C">
        <w:rPr>
          <w:lang w:val="pl-PL"/>
        </w:rPr>
        <w:t>Aybintio</w:t>
      </w:r>
      <w:r w:rsidRPr="0015541C">
        <w:rPr>
          <w:lang w:val="pl-PL"/>
        </w:rPr>
        <w:t xml:space="preserve"> powinna być przerwana w przypadku krwawienia wewnątrzczaszkowego.</w:t>
      </w:r>
    </w:p>
    <w:p w14:paraId="3E7082F9" w14:textId="77777777" w:rsidR="00994050" w:rsidRPr="0015541C" w:rsidRDefault="00994050" w:rsidP="00994050">
      <w:pPr>
        <w:rPr>
          <w:lang w:val="pl-PL"/>
        </w:rPr>
      </w:pPr>
    </w:p>
    <w:p w14:paraId="7D5D5741" w14:textId="2762BCB2" w:rsidR="00994050" w:rsidRPr="0015541C" w:rsidRDefault="00994050" w:rsidP="00994050">
      <w:pPr>
        <w:rPr>
          <w:lang w:val="pl-PL"/>
        </w:rPr>
      </w:pPr>
      <w:r w:rsidRPr="0015541C">
        <w:rPr>
          <w:lang w:val="pl-PL"/>
        </w:rPr>
        <w:t xml:space="preserve">Nie ma danych dotyczących profilu bezpieczeństwa </w:t>
      </w:r>
      <w:r w:rsidR="008843A0" w:rsidRPr="0015541C">
        <w:rPr>
          <w:lang w:val="pl-PL"/>
        </w:rPr>
        <w:t>bewacyzumab</w:t>
      </w:r>
      <w:r w:rsidRPr="0015541C">
        <w:rPr>
          <w:lang w:val="pl-PL"/>
        </w:rPr>
        <w:t xml:space="preserve">u u pacjentów z wrodzoną skazą krwotoczną, nabytą koagulopatią lub u pacjentów otrzymujących pełne dawki leków przeciwzakrzepowych z powodu zakrzepicy zatorowej przed rozpoczęciem terapii </w:t>
      </w:r>
      <w:r w:rsidR="00CF5CD4" w:rsidRPr="0015541C">
        <w:rPr>
          <w:lang w:val="pl-PL"/>
        </w:rPr>
        <w:t>bewacyzumab</w:t>
      </w:r>
      <w:r w:rsidRPr="0015541C">
        <w:rPr>
          <w:lang w:val="pl-PL"/>
        </w:rPr>
        <w:t xml:space="preserve">em, jako że pacjenci ci byli wyłączeni z badań klinicznych. Dlatego też należy zachować ostrożność przed rozpoczęciem leczenia w tej grupie pacjentów. Niemniej, pacjenci, u których wystąpi zakrzepica żylna, nie mają zwiększonego ryzyka krwawień w stopniu 3 lub wyższym podczas jednoczesnego podawania w pełnej dawce warfaryny i </w:t>
      </w:r>
      <w:r w:rsidR="00E20376" w:rsidRPr="0015541C">
        <w:rPr>
          <w:lang w:val="pl-PL"/>
        </w:rPr>
        <w:t>bewacyzumab</w:t>
      </w:r>
      <w:r w:rsidRPr="0015541C">
        <w:rPr>
          <w:lang w:val="pl-PL"/>
        </w:rPr>
        <w:t xml:space="preserve">u </w:t>
      </w:r>
      <w:r w:rsidR="000F1015" w:rsidRPr="0015541C">
        <w:rPr>
          <w:lang w:val="pl-PL"/>
        </w:rPr>
        <w:t>(NCI</w:t>
      </w:r>
      <w:r w:rsidR="00715294" w:rsidRPr="0015541C">
        <w:rPr>
          <w:lang w:val="pl-PL"/>
        </w:rPr>
        <w:noBreakHyphen/>
      </w:r>
      <w:r w:rsidR="000F1015" w:rsidRPr="0015541C">
        <w:rPr>
          <w:lang w:val="pl-PL"/>
        </w:rPr>
        <w:t>CTCAE v.3)</w:t>
      </w:r>
      <w:r w:rsidRPr="0015541C">
        <w:rPr>
          <w:lang w:val="pl-PL"/>
        </w:rPr>
        <w:t>.</w:t>
      </w:r>
    </w:p>
    <w:p w14:paraId="00E95FCA" w14:textId="77777777" w:rsidR="00994050" w:rsidRPr="0015541C" w:rsidRDefault="00994050" w:rsidP="00994050">
      <w:pPr>
        <w:rPr>
          <w:lang w:val="pl-PL"/>
        </w:rPr>
      </w:pPr>
    </w:p>
    <w:p w14:paraId="140C6F93" w14:textId="77777777" w:rsidR="00994050" w:rsidRPr="0070444C" w:rsidRDefault="00994050" w:rsidP="00994050">
      <w:pPr>
        <w:rPr>
          <w:u w:val="single"/>
          <w:lang w:val="pl-PL"/>
        </w:rPr>
      </w:pPr>
      <w:r w:rsidRPr="0070444C">
        <w:rPr>
          <w:u w:val="single"/>
          <w:lang w:val="pl-PL"/>
        </w:rPr>
        <w:t>Krwotok płucny/</w:t>
      </w:r>
      <w:r w:rsidR="00A30496" w:rsidRPr="0070444C">
        <w:rPr>
          <w:u w:val="single"/>
          <w:lang w:val="pl-PL"/>
        </w:rPr>
        <w:t>k</w:t>
      </w:r>
      <w:r w:rsidRPr="0070444C">
        <w:rPr>
          <w:u w:val="single"/>
          <w:lang w:val="pl-PL"/>
        </w:rPr>
        <w:t>rwioplucie</w:t>
      </w:r>
    </w:p>
    <w:p w14:paraId="3C210DCE" w14:textId="77777777" w:rsidR="00994050" w:rsidRPr="0015541C" w:rsidRDefault="00994050" w:rsidP="00994050">
      <w:pPr>
        <w:rPr>
          <w:lang w:val="pl-PL"/>
        </w:rPr>
      </w:pPr>
      <w:r w:rsidRPr="0015541C">
        <w:rPr>
          <w:lang w:val="pl-PL"/>
        </w:rPr>
        <w:t xml:space="preserve">U pacjentów z niedrobnokomórkowym rakiem płuca przyjmujących </w:t>
      </w:r>
      <w:r w:rsidR="00E94F7E" w:rsidRPr="0015541C">
        <w:rPr>
          <w:lang w:val="pl-PL"/>
        </w:rPr>
        <w:t>bewacyzumab</w:t>
      </w:r>
      <w:r w:rsidRPr="0015541C">
        <w:rPr>
          <w:lang w:val="pl-PL"/>
        </w:rPr>
        <w:t xml:space="preserve"> istnieje ryzyko wystąpienia ciężkich, w niektórych przypadkach śmiertelnych, krwotoków płucnych/krwioplucia. Pacjenci z przebytymi ostatnio krwotokami płucnymi/krwiopluciem (&gt; 2,5 ml czerwonej krwi), nie powinni przyjmować </w:t>
      </w:r>
      <w:r w:rsidR="00AF4B47" w:rsidRPr="0015541C">
        <w:rPr>
          <w:lang w:val="pl-PL"/>
        </w:rPr>
        <w:t>bewacyzumab</w:t>
      </w:r>
      <w:r w:rsidRPr="0015541C">
        <w:rPr>
          <w:lang w:val="pl-PL"/>
        </w:rPr>
        <w:t>u.</w:t>
      </w:r>
    </w:p>
    <w:p w14:paraId="5B1B6E0A" w14:textId="77777777" w:rsidR="00F80157" w:rsidRPr="0015541C" w:rsidRDefault="00F80157" w:rsidP="00994050">
      <w:pPr>
        <w:rPr>
          <w:lang w:val="pl-PL"/>
        </w:rPr>
      </w:pPr>
    </w:p>
    <w:p w14:paraId="465961D4" w14:textId="77777777" w:rsidR="00F80157" w:rsidRPr="0070444C" w:rsidRDefault="00F80157" w:rsidP="00F80157">
      <w:pPr>
        <w:rPr>
          <w:u w:val="single"/>
          <w:lang w:val="pl-PL"/>
        </w:rPr>
      </w:pPr>
      <w:r w:rsidRPr="0070444C">
        <w:rPr>
          <w:u w:val="single"/>
          <w:lang w:val="pl-PL"/>
        </w:rPr>
        <w:t>Tętniak i rozwarstwienie tętnicy</w:t>
      </w:r>
    </w:p>
    <w:p w14:paraId="6E0AE6F1" w14:textId="77D79542" w:rsidR="00F80157" w:rsidRPr="0015541C" w:rsidRDefault="00F80157" w:rsidP="00F80157">
      <w:pPr>
        <w:rPr>
          <w:lang w:val="pl-PL"/>
        </w:rPr>
      </w:pPr>
      <w:r w:rsidRPr="0015541C">
        <w:rPr>
          <w:lang w:val="pl-PL"/>
        </w:rPr>
        <w:t xml:space="preserve">Stosowanie inhibitorów szlaku VEGF u pacjentów z nadciśnieniem </w:t>
      </w:r>
      <w:r w:rsidR="005515B6" w:rsidRPr="0015541C">
        <w:rPr>
          <w:lang w:val="pl-PL"/>
        </w:rPr>
        <w:t>tęt</w:t>
      </w:r>
      <w:r w:rsidR="007B5435" w:rsidRPr="0015541C">
        <w:rPr>
          <w:lang w:val="pl-PL"/>
        </w:rPr>
        <w:t>n</w:t>
      </w:r>
      <w:r w:rsidR="005515B6" w:rsidRPr="0015541C">
        <w:rPr>
          <w:lang w:val="pl-PL"/>
        </w:rPr>
        <w:t xml:space="preserve">iczym </w:t>
      </w:r>
      <w:r w:rsidRPr="0015541C">
        <w:rPr>
          <w:lang w:val="pl-PL"/>
        </w:rPr>
        <w:t xml:space="preserve">lub bez nadciśnienia może sprzyjać tworzeniu tętniaka i (lub) rozwarstwieniu tętnicy. Przed rozpoczęciem stosowania leku </w:t>
      </w:r>
      <w:r w:rsidR="00C87F12" w:rsidRPr="0015541C">
        <w:rPr>
          <w:lang w:val="pl-PL"/>
        </w:rPr>
        <w:t>Aybintio</w:t>
      </w:r>
      <w:r w:rsidRPr="0015541C">
        <w:rPr>
          <w:lang w:val="pl-PL"/>
        </w:rPr>
        <w:t xml:space="preserve"> należy starannie rozważyć to ryzyko, zwłaszcza u pacjentów z takimi czynnikami ryzyka, jak</w:t>
      </w:r>
    </w:p>
    <w:p w14:paraId="334A9F17" w14:textId="77777777" w:rsidR="00F80157" w:rsidRPr="0015541C" w:rsidRDefault="00F80157" w:rsidP="00F80157">
      <w:pPr>
        <w:rPr>
          <w:lang w:val="pl-PL"/>
        </w:rPr>
      </w:pPr>
      <w:r w:rsidRPr="0015541C">
        <w:rPr>
          <w:lang w:val="pl-PL"/>
        </w:rPr>
        <w:t>nadciśnienie lub tętniak w wywiadzie.</w:t>
      </w:r>
    </w:p>
    <w:p w14:paraId="50C612CA" w14:textId="77777777" w:rsidR="00994050" w:rsidRPr="0015541C" w:rsidRDefault="00994050" w:rsidP="00994050">
      <w:pPr>
        <w:rPr>
          <w:lang w:val="pl-PL"/>
        </w:rPr>
      </w:pPr>
    </w:p>
    <w:p w14:paraId="59CBBCA1" w14:textId="77777777" w:rsidR="00994050" w:rsidRPr="0070444C" w:rsidRDefault="00994050" w:rsidP="009F3E65">
      <w:pPr>
        <w:keepNext/>
        <w:keepLines/>
        <w:rPr>
          <w:u w:val="single"/>
          <w:lang w:val="pl-PL"/>
        </w:rPr>
      </w:pPr>
      <w:r w:rsidRPr="0070444C">
        <w:rPr>
          <w:u w:val="single"/>
          <w:lang w:val="pl-PL"/>
        </w:rPr>
        <w:t>Zastoinowa niewydolność serca (ang. Congestive Heart Failure - CHF)</w:t>
      </w:r>
      <w:r w:rsidR="0048350F" w:rsidRPr="0070444C">
        <w:rPr>
          <w:u w:val="single"/>
          <w:lang w:val="pl-PL"/>
        </w:rPr>
        <w:t xml:space="preserve"> </w:t>
      </w:r>
      <w:r w:rsidRPr="0070444C">
        <w:rPr>
          <w:u w:val="single"/>
          <w:lang w:val="pl-PL"/>
        </w:rPr>
        <w:t>(patrz punkt 4.8).</w:t>
      </w:r>
    </w:p>
    <w:p w14:paraId="78103FE1" w14:textId="77777777" w:rsidR="00AF25D1" w:rsidRPr="0015541C" w:rsidRDefault="00994050" w:rsidP="00AF25D1">
      <w:pPr>
        <w:rPr>
          <w:lang w:val="pl-PL"/>
        </w:rPr>
      </w:pPr>
      <w:r w:rsidRPr="0015541C">
        <w:rPr>
          <w:lang w:val="pl-PL"/>
        </w:rPr>
        <w:t xml:space="preserve">W badaniach klinicznych obserwowano objawy wskazujące na zastoinową niewydolność serca. </w:t>
      </w:r>
      <w:r w:rsidR="00AF25D1" w:rsidRPr="0015541C">
        <w:rPr>
          <w:lang w:val="pl-PL"/>
        </w:rPr>
        <w:t>Zdarzenia tego typu</w:t>
      </w:r>
      <w:r w:rsidRPr="0015541C">
        <w:rPr>
          <w:lang w:val="pl-PL"/>
        </w:rPr>
        <w:t xml:space="preserve"> obejmowały </w:t>
      </w:r>
      <w:r w:rsidR="00AF25D1" w:rsidRPr="0015541C">
        <w:rPr>
          <w:lang w:val="pl-PL"/>
        </w:rPr>
        <w:t xml:space="preserve">od </w:t>
      </w:r>
      <w:r w:rsidRPr="0015541C">
        <w:rPr>
          <w:lang w:val="pl-PL"/>
        </w:rPr>
        <w:t>bezobjawowe</w:t>
      </w:r>
      <w:r w:rsidR="00AF25D1" w:rsidRPr="0015541C">
        <w:rPr>
          <w:lang w:val="pl-PL"/>
        </w:rPr>
        <w:t>go</w:t>
      </w:r>
      <w:r w:rsidRPr="0015541C">
        <w:rPr>
          <w:lang w:val="pl-PL"/>
        </w:rPr>
        <w:t xml:space="preserve"> zmniejszeni</w:t>
      </w:r>
      <w:r w:rsidR="00AF25D1" w:rsidRPr="0015541C">
        <w:rPr>
          <w:lang w:val="pl-PL"/>
        </w:rPr>
        <w:t>a</w:t>
      </w:r>
      <w:r w:rsidRPr="0015541C">
        <w:rPr>
          <w:lang w:val="pl-PL"/>
        </w:rPr>
        <w:t xml:space="preserve"> frakcji wyrzutowej komory lewej do objawowej zastoinowej niewydolności serca, wymagającej leczenia lub hospitalizacji. </w:t>
      </w:r>
      <w:r w:rsidR="00AF25D1" w:rsidRPr="0015541C">
        <w:rPr>
          <w:lang w:val="pl-PL"/>
        </w:rPr>
        <w:t xml:space="preserve">Należy zachować ostrożność podczas leczenia </w:t>
      </w:r>
      <w:r w:rsidR="00524F5A" w:rsidRPr="0015541C">
        <w:rPr>
          <w:lang w:val="pl-PL"/>
        </w:rPr>
        <w:t>bewacyzumab</w:t>
      </w:r>
      <w:r w:rsidR="00AF25D1" w:rsidRPr="0015541C">
        <w:rPr>
          <w:lang w:val="pl-PL"/>
        </w:rPr>
        <w:t xml:space="preserve">em pacjentów z klinicznie </w:t>
      </w:r>
      <w:r w:rsidR="0067274D" w:rsidRPr="0015541C">
        <w:rPr>
          <w:lang w:val="pl-PL"/>
        </w:rPr>
        <w:t xml:space="preserve">istotną </w:t>
      </w:r>
      <w:r w:rsidR="00AF25D1" w:rsidRPr="0015541C">
        <w:rPr>
          <w:lang w:val="pl-PL"/>
        </w:rPr>
        <w:t xml:space="preserve">chorobą </w:t>
      </w:r>
      <w:r w:rsidR="00AF25D1" w:rsidRPr="0015541C">
        <w:rPr>
          <w:lang w:val="pl-PL"/>
        </w:rPr>
        <w:lastRenderedPageBreak/>
        <w:t>sercowo-naczyniową, taką jak występująca wcześniej choroba wieńcowa lub zastoinowa niewydolność serca.</w:t>
      </w:r>
    </w:p>
    <w:p w14:paraId="226FA150" w14:textId="77777777" w:rsidR="008B7D2C" w:rsidRPr="0015541C" w:rsidRDefault="008B7D2C" w:rsidP="00AF25D1">
      <w:pPr>
        <w:rPr>
          <w:lang w:val="pl-PL"/>
        </w:rPr>
      </w:pPr>
    </w:p>
    <w:p w14:paraId="2F8C363B" w14:textId="77777777" w:rsidR="00994050" w:rsidRPr="0015541C" w:rsidRDefault="00994050" w:rsidP="009F3E65">
      <w:pPr>
        <w:keepNext/>
        <w:keepLines/>
        <w:rPr>
          <w:lang w:val="pl-PL"/>
        </w:rPr>
      </w:pPr>
      <w:r w:rsidRPr="0015541C">
        <w:rPr>
          <w:lang w:val="pl-PL"/>
        </w:rPr>
        <w:t>Większość pacjentów, u których wystąpiła zastoinowa niewydolność serca, miała raka piersi z przerzutami i otrzymywała wcześniej antracykliny,</w:t>
      </w:r>
      <w:r w:rsidR="00AF25D1" w:rsidRPr="0015541C">
        <w:rPr>
          <w:lang w:val="pl-PL"/>
        </w:rPr>
        <w:t xml:space="preserve"> została poddana</w:t>
      </w:r>
      <w:r w:rsidRPr="0015541C">
        <w:rPr>
          <w:lang w:val="pl-PL"/>
        </w:rPr>
        <w:t xml:space="preserve"> wcześniej radioterapi</w:t>
      </w:r>
      <w:r w:rsidR="00AF25D1" w:rsidRPr="0015541C">
        <w:rPr>
          <w:lang w:val="pl-PL"/>
        </w:rPr>
        <w:t>i</w:t>
      </w:r>
      <w:r w:rsidRPr="0015541C">
        <w:rPr>
          <w:lang w:val="pl-PL"/>
        </w:rPr>
        <w:t xml:space="preserve"> lewej ściany klatki piersiowej lub </w:t>
      </w:r>
      <w:r w:rsidR="008B7D2C" w:rsidRPr="0015541C">
        <w:rPr>
          <w:lang w:val="pl-PL"/>
        </w:rPr>
        <w:t>były obecne</w:t>
      </w:r>
      <w:r w:rsidRPr="0015541C">
        <w:rPr>
          <w:lang w:val="pl-PL"/>
        </w:rPr>
        <w:t xml:space="preserve"> inn</w:t>
      </w:r>
      <w:r w:rsidR="008B7D2C" w:rsidRPr="0015541C">
        <w:rPr>
          <w:lang w:val="pl-PL"/>
        </w:rPr>
        <w:t>e</w:t>
      </w:r>
      <w:r w:rsidRPr="0015541C">
        <w:rPr>
          <w:lang w:val="pl-PL"/>
        </w:rPr>
        <w:t xml:space="preserve"> czynnik</w:t>
      </w:r>
      <w:r w:rsidR="008B7D2C" w:rsidRPr="0015541C">
        <w:rPr>
          <w:lang w:val="pl-PL"/>
        </w:rPr>
        <w:t>i</w:t>
      </w:r>
      <w:r w:rsidRPr="0015541C">
        <w:rPr>
          <w:lang w:val="pl-PL"/>
        </w:rPr>
        <w:t xml:space="preserve"> ryzyka wystąpienia zastoinowej niewydolności serca.</w:t>
      </w:r>
    </w:p>
    <w:p w14:paraId="310949CE" w14:textId="77777777" w:rsidR="00994050" w:rsidRPr="0015541C" w:rsidRDefault="00994050" w:rsidP="00994050">
      <w:pPr>
        <w:rPr>
          <w:lang w:val="pl-PL"/>
        </w:rPr>
      </w:pPr>
    </w:p>
    <w:p w14:paraId="4C612B8B" w14:textId="67F71B78" w:rsidR="00994050" w:rsidRPr="0015541C" w:rsidRDefault="004F53DA" w:rsidP="00994050">
      <w:pPr>
        <w:rPr>
          <w:lang w:val="pl-PL"/>
        </w:rPr>
      </w:pPr>
      <w:r w:rsidRPr="0015541C">
        <w:rPr>
          <w:lang w:val="pl-PL"/>
        </w:rPr>
        <w:t xml:space="preserve">U pacjentów w badaniu AVF3694g leczonych antracyklinami, którzy uprzednio nie otrzymywali antracyklin, nie obserwowano zwiększenia częstości występowania zastoinowej niewydolności serca dowolnego stopnia w grupie leczonej antracykliną z bewacyzumabem w porównaniu do grupy leczonej wyłącznie antracyklinami. Zastoinowa niewydolność serca stopnia co najmniej 3. występowała nieco częściej u pacjentów otrzymujących bewacyzumab w skojarzeniu z chemioterapią niż u pacjentów leczonych wyłącznie chemioterapią. Obserwacja ta jest spójna z danymi z innych badań z udziałem pacjentów z rozsianym rakiem piersi, którzy nie otrzymywali równocześnie antracyklin </w:t>
      </w:r>
      <w:r w:rsidR="000F1015" w:rsidRPr="0015541C">
        <w:rPr>
          <w:lang w:val="pl-PL"/>
        </w:rPr>
        <w:t>(NCI</w:t>
      </w:r>
      <w:r w:rsidR="00715294" w:rsidRPr="0015541C">
        <w:rPr>
          <w:lang w:val="pl-PL"/>
        </w:rPr>
        <w:noBreakHyphen/>
      </w:r>
      <w:r w:rsidR="000F1015" w:rsidRPr="0015541C">
        <w:rPr>
          <w:lang w:val="pl-PL"/>
        </w:rPr>
        <w:t xml:space="preserve">CTCAE v.3) </w:t>
      </w:r>
      <w:r w:rsidRPr="0015541C">
        <w:rPr>
          <w:lang w:val="pl-PL"/>
        </w:rPr>
        <w:t>(patrz punkt 4.8).</w:t>
      </w:r>
    </w:p>
    <w:p w14:paraId="46D046D1" w14:textId="77777777" w:rsidR="00994050" w:rsidRPr="0015541C" w:rsidRDefault="00994050" w:rsidP="00994050">
      <w:pPr>
        <w:rPr>
          <w:lang w:val="pl-PL"/>
        </w:rPr>
      </w:pPr>
    </w:p>
    <w:p w14:paraId="3F39992A" w14:textId="0DE5BD76" w:rsidR="00994050" w:rsidRPr="0070444C" w:rsidRDefault="00994050" w:rsidP="00880189">
      <w:pPr>
        <w:keepNext/>
        <w:keepLines/>
        <w:rPr>
          <w:u w:val="single"/>
          <w:lang w:val="pl-PL"/>
        </w:rPr>
      </w:pPr>
      <w:r w:rsidRPr="0070444C">
        <w:rPr>
          <w:u w:val="single"/>
          <w:lang w:val="pl-PL"/>
        </w:rPr>
        <w:t xml:space="preserve">Neutropenia </w:t>
      </w:r>
      <w:r w:rsidR="005A3A25" w:rsidRPr="0070444C">
        <w:rPr>
          <w:u w:val="single"/>
          <w:lang w:val="pl-PL"/>
        </w:rPr>
        <w:t xml:space="preserve">i </w:t>
      </w:r>
      <w:r w:rsidR="00407085" w:rsidRPr="0070444C">
        <w:rPr>
          <w:u w:val="single"/>
          <w:lang w:val="pl-PL"/>
        </w:rPr>
        <w:t xml:space="preserve">zakażenia </w:t>
      </w:r>
      <w:r w:rsidRPr="0070444C">
        <w:rPr>
          <w:u w:val="single"/>
          <w:lang w:val="pl-PL"/>
        </w:rPr>
        <w:t>(patrz punkt 4.8)</w:t>
      </w:r>
    </w:p>
    <w:p w14:paraId="1FB5C6E9" w14:textId="41A21CCD" w:rsidR="00994050" w:rsidRPr="0015541C" w:rsidRDefault="00994050" w:rsidP="00880189">
      <w:pPr>
        <w:keepNext/>
        <w:keepLines/>
        <w:rPr>
          <w:lang w:val="pl-PL"/>
        </w:rPr>
      </w:pPr>
      <w:r w:rsidRPr="0015541C">
        <w:rPr>
          <w:lang w:val="pl-PL"/>
        </w:rPr>
        <w:t xml:space="preserve">U pacjentów otrzymujących niektóre rodzaje chemioterapii toksyczne dla szpiku jednocześnie z </w:t>
      </w:r>
      <w:r w:rsidR="000D766D" w:rsidRPr="0015541C">
        <w:rPr>
          <w:lang w:val="pl-PL"/>
        </w:rPr>
        <w:t>bewacyzumab</w:t>
      </w:r>
      <w:r w:rsidRPr="0015541C">
        <w:rPr>
          <w:lang w:val="pl-PL"/>
        </w:rPr>
        <w:t xml:space="preserve">em obserwowano częstsze występowanie ciężkiej neutropenii, gorączki neutropenicznej (w tym również przypadków śmiertelnych) oraz </w:t>
      </w:r>
      <w:r w:rsidR="00407085" w:rsidRPr="0015541C">
        <w:rPr>
          <w:lang w:val="pl-PL"/>
        </w:rPr>
        <w:t xml:space="preserve">zakażeń </w:t>
      </w:r>
      <w:r w:rsidRPr="0015541C">
        <w:rPr>
          <w:lang w:val="pl-PL"/>
        </w:rPr>
        <w:t xml:space="preserve">z </w:t>
      </w:r>
      <w:r w:rsidR="005A3A25" w:rsidRPr="0015541C">
        <w:rPr>
          <w:lang w:val="pl-PL"/>
        </w:rPr>
        <w:t xml:space="preserve">lub bez ciężkiej neutropenii </w:t>
      </w:r>
      <w:r w:rsidRPr="0015541C">
        <w:rPr>
          <w:lang w:val="pl-PL"/>
        </w:rPr>
        <w:t xml:space="preserve">w porównaniu do pacjentów otrzymujących tylko chemioterapię. </w:t>
      </w:r>
      <w:r w:rsidR="005A3A25" w:rsidRPr="0015541C">
        <w:rPr>
          <w:lang w:val="pl-PL"/>
        </w:rPr>
        <w:t>Dotyczyło to przede wszystkim schematów zawierających pochodne platyny lub taksany stosowanych w leczeniu chorych na niedrobnokomórkowego raka płuca</w:t>
      </w:r>
      <w:r w:rsidR="004F0DEC" w:rsidRPr="0015541C">
        <w:rPr>
          <w:lang w:val="pl-PL"/>
        </w:rPr>
        <w:t>,</w:t>
      </w:r>
      <w:r w:rsidR="005A3A25" w:rsidRPr="0015541C">
        <w:rPr>
          <w:lang w:val="pl-PL"/>
        </w:rPr>
        <w:t xml:space="preserve"> raka piersi z przerzutami</w:t>
      </w:r>
      <w:r w:rsidR="004F0DEC" w:rsidRPr="0015541C">
        <w:rPr>
          <w:lang w:val="pl-PL"/>
        </w:rPr>
        <w:t xml:space="preserve"> oraz </w:t>
      </w:r>
      <w:r w:rsidR="00A63593" w:rsidRPr="0015541C">
        <w:rPr>
          <w:lang w:val="pl-PL"/>
        </w:rPr>
        <w:t>schematu zawierającego paklitaksel i topotekan stosowanego u chorych na przetrwałego, nawrotowego lub przerzutowego raka szyjki macicy.</w:t>
      </w:r>
    </w:p>
    <w:p w14:paraId="1B9CACA4" w14:textId="77777777" w:rsidR="00754D91" w:rsidRPr="0015541C" w:rsidRDefault="00754D91" w:rsidP="00754D91">
      <w:pPr>
        <w:rPr>
          <w:lang w:val="pl-PL"/>
        </w:rPr>
      </w:pPr>
    </w:p>
    <w:p w14:paraId="6497DACE" w14:textId="6D736452" w:rsidR="00754D91" w:rsidRPr="0070444C" w:rsidRDefault="00754D91" w:rsidP="00BC3A2D">
      <w:pPr>
        <w:keepNext/>
        <w:keepLines/>
        <w:rPr>
          <w:u w:val="single"/>
          <w:lang w:val="pl-PL"/>
        </w:rPr>
      </w:pPr>
      <w:r w:rsidRPr="0070444C">
        <w:rPr>
          <w:u w:val="single"/>
          <w:lang w:val="pl-PL"/>
        </w:rPr>
        <w:t>Reakcje nadwrażliwości</w:t>
      </w:r>
      <w:r w:rsidR="00420F0C">
        <w:rPr>
          <w:u w:val="single"/>
          <w:lang w:val="pl-PL"/>
        </w:rPr>
        <w:t xml:space="preserve"> </w:t>
      </w:r>
      <w:r w:rsidR="00420F0C" w:rsidRPr="00420F0C">
        <w:rPr>
          <w:u w:val="single"/>
          <w:lang w:val="pl-PL"/>
        </w:rPr>
        <w:t>(w tym wstrząs anafilaktyczny)</w:t>
      </w:r>
      <w:r w:rsidRPr="0070444C">
        <w:rPr>
          <w:u w:val="single"/>
          <w:lang w:val="pl-PL"/>
        </w:rPr>
        <w:t>/reakcje podczas wlewu (patrz punkt 4.8)</w:t>
      </w:r>
    </w:p>
    <w:p w14:paraId="30B1F8C3" w14:textId="4937EC8D" w:rsidR="00754D91" w:rsidRPr="0015541C" w:rsidRDefault="00754D91" w:rsidP="00BC3A2D">
      <w:pPr>
        <w:keepNext/>
        <w:keepLines/>
        <w:rPr>
          <w:lang w:val="pl-PL"/>
        </w:rPr>
      </w:pPr>
      <w:r w:rsidRPr="0015541C">
        <w:rPr>
          <w:lang w:val="pl-PL"/>
        </w:rPr>
        <w:t>Istnieje ryzyko wystąpienia u pacjentów reakcji nadwrażliwości/reakcji podczas wlewu</w:t>
      </w:r>
      <w:r w:rsidR="00420F0C">
        <w:rPr>
          <w:lang w:val="pl-PL"/>
        </w:rPr>
        <w:t xml:space="preserve"> (w tym wstrząsu anafilaktycznego)</w:t>
      </w:r>
      <w:r w:rsidRPr="0015541C">
        <w:rPr>
          <w:lang w:val="pl-PL"/>
        </w:rPr>
        <w:t xml:space="preserve">. Zaleca się uważne obserwowanie chorych podczas podania bewacyzumabu, tak jak w przypadku innych leczniczych humanizowanych przeciwciał monoklonalnych. Jeśli taka reakcja wystąpi należy przerwać podanie i włączyć odpowiednie terapie. Systematyczna premedykacja nie jest zalecana. </w:t>
      </w:r>
    </w:p>
    <w:p w14:paraId="36A12835" w14:textId="77777777" w:rsidR="00EF685A" w:rsidRPr="0015541C" w:rsidRDefault="00EF685A" w:rsidP="00EF685A">
      <w:pPr>
        <w:rPr>
          <w:lang w:val="pl-PL"/>
        </w:rPr>
      </w:pPr>
    </w:p>
    <w:p w14:paraId="5F904B26" w14:textId="77777777" w:rsidR="00EF685A" w:rsidRPr="0070444C" w:rsidRDefault="00EF685A" w:rsidP="00EE7A0B">
      <w:pPr>
        <w:keepNext/>
        <w:keepLines/>
        <w:rPr>
          <w:u w:val="single"/>
          <w:lang w:val="pl-PL"/>
        </w:rPr>
      </w:pPr>
      <w:r w:rsidRPr="0070444C">
        <w:rPr>
          <w:u w:val="single"/>
          <w:lang w:val="pl-PL"/>
        </w:rPr>
        <w:t>Martwica kości szczęki lub żuchwy (patrz p</w:t>
      </w:r>
      <w:r w:rsidR="008A3671" w:rsidRPr="0070444C">
        <w:rPr>
          <w:u w:val="single"/>
          <w:lang w:val="pl-PL"/>
        </w:rPr>
        <w:t>unkt 4.</w:t>
      </w:r>
      <w:r w:rsidRPr="0070444C">
        <w:rPr>
          <w:u w:val="single"/>
          <w:lang w:val="pl-PL"/>
        </w:rPr>
        <w:t>8)</w:t>
      </w:r>
    </w:p>
    <w:p w14:paraId="3D9FDF19" w14:textId="77777777" w:rsidR="00410A68" w:rsidRPr="0015541C" w:rsidRDefault="00E74622" w:rsidP="00EE7A0B">
      <w:pPr>
        <w:keepNext/>
        <w:keepLines/>
        <w:rPr>
          <w:lang w:val="pl-PL"/>
        </w:rPr>
      </w:pPr>
      <w:r w:rsidRPr="0015541C">
        <w:rPr>
          <w:lang w:val="pl-PL"/>
        </w:rPr>
        <w:t>Wśród</w:t>
      </w:r>
      <w:r w:rsidR="00EF685A" w:rsidRPr="0015541C">
        <w:rPr>
          <w:lang w:val="pl-PL"/>
        </w:rPr>
        <w:t xml:space="preserve"> pacjentów z chorobą nowotworową leczonych </w:t>
      </w:r>
      <w:r w:rsidR="00104E43" w:rsidRPr="0015541C">
        <w:rPr>
          <w:lang w:val="pl-PL"/>
        </w:rPr>
        <w:t>bewacyzumab</w:t>
      </w:r>
      <w:r w:rsidR="00EF685A" w:rsidRPr="0015541C">
        <w:rPr>
          <w:lang w:val="pl-PL"/>
        </w:rPr>
        <w:t xml:space="preserve">em </w:t>
      </w:r>
      <w:r w:rsidRPr="0015541C">
        <w:rPr>
          <w:lang w:val="pl-PL"/>
        </w:rPr>
        <w:t>obserwowano</w:t>
      </w:r>
      <w:r w:rsidR="00EF685A" w:rsidRPr="0015541C">
        <w:rPr>
          <w:lang w:val="pl-PL"/>
        </w:rPr>
        <w:t xml:space="preserve"> przypadki martwicy kości szczęki lub żuchwy, większość z tych pacjentów była leczona równocześnie lub w przeszłości </w:t>
      </w:r>
      <w:r w:rsidR="00B111CA" w:rsidRPr="0015541C">
        <w:rPr>
          <w:lang w:val="pl-PL"/>
        </w:rPr>
        <w:t>bi</w:t>
      </w:r>
      <w:r w:rsidR="00DE24FA" w:rsidRPr="0015541C">
        <w:rPr>
          <w:lang w:val="pl-PL"/>
        </w:rPr>
        <w:t>s</w:t>
      </w:r>
      <w:r w:rsidR="00B111CA" w:rsidRPr="0015541C">
        <w:rPr>
          <w:lang w:val="pl-PL"/>
        </w:rPr>
        <w:t>fosfonianami w postaci</w:t>
      </w:r>
      <w:r w:rsidR="00EF685A" w:rsidRPr="0015541C">
        <w:rPr>
          <w:lang w:val="pl-PL"/>
        </w:rPr>
        <w:t xml:space="preserve"> dożylnej. Stosowanie bi</w:t>
      </w:r>
      <w:r w:rsidR="00DE24FA" w:rsidRPr="0015541C">
        <w:rPr>
          <w:lang w:val="pl-PL"/>
        </w:rPr>
        <w:t>s</w:t>
      </w:r>
      <w:r w:rsidR="00EF685A" w:rsidRPr="0015541C">
        <w:rPr>
          <w:lang w:val="pl-PL"/>
        </w:rPr>
        <w:t xml:space="preserve">fosfonianów jest uznanym czynnikiem ryzyka wystąpienia martwicy kości szczęki lub żuchwy. Należy zachować ostrożność w przypadku równoczesnego lub sekwencyjnego stosowania </w:t>
      </w:r>
      <w:r w:rsidR="00104E43" w:rsidRPr="0015541C">
        <w:rPr>
          <w:lang w:val="pl-PL"/>
        </w:rPr>
        <w:t>bewacyzumab</w:t>
      </w:r>
      <w:r w:rsidR="00EF685A" w:rsidRPr="0015541C">
        <w:rPr>
          <w:lang w:val="pl-PL"/>
        </w:rPr>
        <w:t>u i bi</w:t>
      </w:r>
      <w:r w:rsidR="00DE24FA" w:rsidRPr="0015541C">
        <w:rPr>
          <w:lang w:val="pl-PL"/>
        </w:rPr>
        <w:t>s</w:t>
      </w:r>
      <w:r w:rsidR="00EF685A" w:rsidRPr="0015541C">
        <w:rPr>
          <w:lang w:val="pl-PL"/>
        </w:rPr>
        <w:t>fosfonianów</w:t>
      </w:r>
      <w:r w:rsidR="004E6340" w:rsidRPr="0015541C">
        <w:rPr>
          <w:lang w:val="pl-PL"/>
        </w:rPr>
        <w:t xml:space="preserve"> w postaci dożylnej</w:t>
      </w:r>
      <w:r w:rsidR="00EF685A" w:rsidRPr="0015541C">
        <w:rPr>
          <w:lang w:val="pl-PL"/>
        </w:rPr>
        <w:t>.</w:t>
      </w:r>
    </w:p>
    <w:p w14:paraId="393EAA4F" w14:textId="77777777" w:rsidR="00E74622" w:rsidRPr="0015541C" w:rsidRDefault="00E74622" w:rsidP="00EE7A0B">
      <w:pPr>
        <w:keepNext/>
        <w:keepLines/>
        <w:rPr>
          <w:lang w:val="pl-PL"/>
        </w:rPr>
      </w:pPr>
    </w:p>
    <w:p w14:paraId="34186594" w14:textId="77777777" w:rsidR="00754D91" w:rsidRPr="0015541C" w:rsidRDefault="00E74622" w:rsidP="00EF685A">
      <w:pPr>
        <w:rPr>
          <w:lang w:val="pl-PL"/>
        </w:rPr>
      </w:pPr>
      <w:r w:rsidRPr="0015541C">
        <w:rPr>
          <w:lang w:val="pl-PL"/>
        </w:rPr>
        <w:t>Inwazyjne procedury dentystyczne uznaje się za dodatkowy czynnik ryzyka.</w:t>
      </w:r>
      <w:r w:rsidR="00A30655" w:rsidRPr="0015541C">
        <w:rPr>
          <w:lang w:val="pl-PL"/>
        </w:rPr>
        <w:t xml:space="preserve"> </w:t>
      </w:r>
      <w:r w:rsidR="00EF685A" w:rsidRPr="0015541C">
        <w:rPr>
          <w:lang w:val="pl-PL"/>
        </w:rPr>
        <w:t>Prze</w:t>
      </w:r>
      <w:r w:rsidR="00B111CA" w:rsidRPr="0015541C">
        <w:rPr>
          <w:lang w:val="pl-PL"/>
        </w:rPr>
        <w:t>d</w:t>
      </w:r>
      <w:r w:rsidR="00EF685A" w:rsidRPr="0015541C">
        <w:rPr>
          <w:lang w:val="pl-PL"/>
        </w:rPr>
        <w:t xml:space="preserve"> rozpoczęciem stosowania produktu </w:t>
      </w:r>
      <w:r w:rsidR="00C87F12" w:rsidRPr="0015541C">
        <w:rPr>
          <w:lang w:val="pl-PL"/>
        </w:rPr>
        <w:t>Aybintio</w:t>
      </w:r>
      <w:r w:rsidR="00EF685A" w:rsidRPr="0015541C">
        <w:rPr>
          <w:lang w:val="pl-PL"/>
        </w:rPr>
        <w:t xml:space="preserve"> należy rozważyć badanie stomatologiczne i odpowiednie zabiegi profilaktyczne</w:t>
      </w:r>
      <w:r w:rsidRPr="0015541C">
        <w:rPr>
          <w:lang w:val="pl-PL"/>
        </w:rPr>
        <w:t xml:space="preserve">. </w:t>
      </w:r>
      <w:r w:rsidR="00EF685A" w:rsidRPr="0015541C">
        <w:rPr>
          <w:lang w:val="pl-PL"/>
        </w:rPr>
        <w:t xml:space="preserve">U pacjentów </w:t>
      </w:r>
      <w:r w:rsidRPr="0015541C">
        <w:rPr>
          <w:lang w:val="pl-PL"/>
        </w:rPr>
        <w:t>wcześniej</w:t>
      </w:r>
      <w:r w:rsidR="00EF685A" w:rsidRPr="0015541C">
        <w:rPr>
          <w:lang w:val="pl-PL"/>
        </w:rPr>
        <w:t xml:space="preserve"> leczonych </w:t>
      </w:r>
      <w:r w:rsidRPr="0015541C">
        <w:rPr>
          <w:lang w:val="pl-PL"/>
        </w:rPr>
        <w:t xml:space="preserve">lub w trakcie leczenia </w:t>
      </w:r>
      <w:r w:rsidR="00EF685A" w:rsidRPr="0015541C">
        <w:rPr>
          <w:lang w:val="pl-PL"/>
        </w:rPr>
        <w:t>bi</w:t>
      </w:r>
      <w:r w:rsidR="00DE24FA" w:rsidRPr="0015541C">
        <w:rPr>
          <w:lang w:val="pl-PL"/>
        </w:rPr>
        <w:t>s</w:t>
      </w:r>
      <w:r w:rsidR="00EF685A" w:rsidRPr="0015541C">
        <w:rPr>
          <w:lang w:val="pl-PL"/>
        </w:rPr>
        <w:t>fosfonianami w postac</w:t>
      </w:r>
      <w:r w:rsidR="00B111CA" w:rsidRPr="0015541C">
        <w:rPr>
          <w:lang w:val="pl-PL"/>
        </w:rPr>
        <w:t>i</w:t>
      </w:r>
      <w:r w:rsidR="00EF685A" w:rsidRPr="0015541C">
        <w:rPr>
          <w:lang w:val="pl-PL"/>
        </w:rPr>
        <w:t xml:space="preserve"> dożylnej należy</w:t>
      </w:r>
      <w:r w:rsidR="00F606FC" w:rsidRPr="0015541C">
        <w:rPr>
          <w:lang w:val="pl-PL"/>
        </w:rPr>
        <w:t xml:space="preserve">, o ile to możliwe, </w:t>
      </w:r>
      <w:r w:rsidR="00EF685A" w:rsidRPr="0015541C">
        <w:rPr>
          <w:lang w:val="pl-PL"/>
        </w:rPr>
        <w:t>unikać inwazyjnych zabiegów stomatologicznych.</w:t>
      </w:r>
    </w:p>
    <w:p w14:paraId="26FDA02E" w14:textId="77777777" w:rsidR="00EF685A" w:rsidRPr="0015541C" w:rsidRDefault="00EF685A" w:rsidP="00EF685A">
      <w:pPr>
        <w:rPr>
          <w:lang w:val="pl-PL"/>
        </w:rPr>
      </w:pPr>
    </w:p>
    <w:p w14:paraId="6AF6CE23" w14:textId="77777777" w:rsidR="0075218E" w:rsidRPr="0070444C" w:rsidRDefault="0075218E" w:rsidP="00FE0558">
      <w:pPr>
        <w:keepNext/>
        <w:keepLines/>
        <w:rPr>
          <w:u w:val="single"/>
          <w:lang w:val="pl-PL"/>
        </w:rPr>
      </w:pPr>
      <w:r w:rsidRPr="0070444C">
        <w:rPr>
          <w:u w:val="single"/>
          <w:lang w:val="pl-PL"/>
        </w:rPr>
        <w:t>Stosowanie do ciała szklistego gałki ocznej</w:t>
      </w:r>
    </w:p>
    <w:p w14:paraId="194F1538" w14:textId="0337C283" w:rsidR="0075218E" w:rsidRPr="0015541C" w:rsidRDefault="00C87F12" w:rsidP="00FE0558">
      <w:pPr>
        <w:keepNext/>
        <w:keepLines/>
        <w:rPr>
          <w:lang w:val="pl-PL"/>
        </w:rPr>
      </w:pPr>
      <w:r w:rsidRPr="0015541C">
        <w:rPr>
          <w:lang w:val="pl-PL"/>
        </w:rPr>
        <w:t>Aybintio</w:t>
      </w:r>
      <w:r w:rsidR="0075218E" w:rsidRPr="0015541C">
        <w:rPr>
          <w:lang w:val="pl-PL"/>
        </w:rPr>
        <w:t xml:space="preserve"> nie jest </w:t>
      </w:r>
      <w:r w:rsidR="0005723B" w:rsidRPr="0015541C">
        <w:rPr>
          <w:lang w:val="pl-PL"/>
        </w:rPr>
        <w:t xml:space="preserve">przeznaczony </w:t>
      </w:r>
      <w:r w:rsidR="0075218E" w:rsidRPr="0015541C">
        <w:rPr>
          <w:lang w:val="pl-PL"/>
        </w:rPr>
        <w:t>do podawania do ciała szklistego gałki ocznej.</w:t>
      </w:r>
    </w:p>
    <w:p w14:paraId="09EDCC9B" w14:textId="77777777" w:rsidR="0075218E" w:rsidRPr="0015541C" w:rsidRDefault="0075218E" w:rsidP="0075218E">
      <w:pPr>
        <w:rPr>
          <w:lang w:val="pl-PL"/>
        </w:rPr>
      </w:pPr>
    </w:p>
    <w:p w14:paraId="02CEFFD3" w14:textId="77777777" w:rsidR="0075218E" w:rsidRPr="0070444C" w:rsidRDefault="0075218E" w:rsidP="0075218E">
      <w:pPr>
        <w:rPr>
          <w:u w:val="single"/>
          <w:lang w:val="pl-PL"/>
        </w:rPr>
      </w:pPr>
      <w:r w:rsidRPr="0070444C">
        <w:rPr>
          <w:u w:val="single"/>
          <w:lang w:val="pl-PL"/>
        </w:rPr>
        <w:t>Zaburzenia oka</w:t>
      </w:r>
    </w:p>
    <w:p w14:paraId="5A38E6E4" w14:textId="77777777" w:rsidR="0075218E" w:rsidRPr="0015541C" w:rsidRDefault="0075218E" w:rsidP="0075218E">
      <w:pPr>
        <w:rPr>
          <w:lang w:val="pl-PL"/>
        </w:rPr>
      </w:pPr>
      <w:r w:rsidRPr="0015541C">
        <w:rPr>
          <w:lang w:val="pl-PL"/>
        </w:rPr>
        <w:t xml:space="preserve">Donoszono o pojedynczych przypadkach oraz seriach ciężkich zdarzeń niepożądanych dotyczących oka, zgłaszanych po niezgodnym z rejestracją podaniu </w:t>
      </w:r>
      <w:r w:rsidR="001629AC" w:rsidRPr="0015541C">
        <w:rPr>
          <w:lang w:val="pl-PL"/>
        </w:rPr>
        <w:t>bewacyzumab</w:t>
      </w:r>
      <w:r w:rsidRPr="0015541C">
        <w:rPr>
          <w:lang w:val="pl-PL"/>
        </w:rPr>
        <w:t xml:space="preserve">u do ciała szklistego gałki ocznej z fiolek przeznaczonych do zastosowania dożylnego u chorych na raka. Do tych </w:t>
      </w:r>
      <w:r w:rsidR="000F1015" w:rsidRPr="0015541C">
        <w:rPr>
          <w:lang w:val="pl-PL"/>
        </w:rPr>
        <w:t xml:space="preserve">działań niepożądanych </w:t>
      </w:r>
      <w:r w:rsidRPr="0015541C">
        <w:rPr>
          <w:lang w:val="pl-PL"/>
        </w:rPr>
        <w:t xml:space="preserve">należało: zakaźne zapalenie struktur wewnętrznych oka, zapalenie wewnątrzgałkowe, takie jak jałowe wewnętrzne zapalenie oka, zapalenie błony naczyniowej oka, zapalenie ciała szklistego, odwarstwienie siatkówki, przedarcie warstwy barwnikowej siatkówki, wzrost ciśnienia śródgałkowego, krwawienie wewnątrzgałkowe, takie jak krwotok do ciała szklistego lub krwotok </w:t>
      </w:r>
      <w:r w:rsidRPr="0015541C">
        <w:rPr>
          <w:lang w:val="pl-PL"/>
        </w:rPr>
        <w:lastRenderedPageBreak/>
        <w:t xml:space="preserve">siatkówkowy, krwawienie spojówkowe. Niektóre z powyższych </w:t>
      </w:r>
      <w:r w:rsidR="000F1015" w:rsidRPr="0015541C">
        <w:rPr>
          <w:lang w:val="pl-PL"/>
        </w:rPr>
        <w:t xml:space="preserve">działań </w:t>
      </w:r>
      <w:r w:rsidRPr="0015541C">
        <w:rPr>
          <w:lang w:val="pl-PL"/>
        </w:rPr>
        <w:t>spowodowały utratę wzroku różnego stopnia, łącznie z trwałą ślepotą.</w:t>
      </w:r>
    </w:p>
    <w:p w14:paraId="53FE9D3C" w14:textId="77777777" w:rsidR="0075218E" w:rsidRPr="0015541C" w:rsidRDefault="0075218E" w:rsidP="0075218E">
      <w:pPr>
        <w:rPr>
          <w:lang w:val="pl-PL"/>
        </w:rPr>
      </w:pPr>
    </w:p>
    <w:p w14:paraId="69E2E08F" w14:textId="77777777" w:rsidR="0075218E" w:rsidRPr="0070444C" w:rsidRDefault="0075218E" w:rsidP="003009ED">
      <w:pPr>
        <w:keepNext/>
        <w:rPr>
          <w:u w:val="single"/>
          <w:lang w:val="pl-PL"/>
        </w:rPr>
      </w:pPr>
      <w:r w:rsidRPr="0070444C">
        <w:rPr>
          <w:u w:val="single"/>
          <w:lang w:val="pl-PL"/>
        </w:rPr>
        <w:t>Zaburzenia ogólnoustrojowe po zastosowaniu do ciała szklistego oka</w:t>
      </w:r>
    </w:p>
    <w:p w14:paraId="3FCDBF04" w14:textId="77777777" w:rsidR="0075218E" w:rsidRPr="0015541C" w:rsidRDefault="0075218E" w:rsidP="003009ED">
      <w:pPr>
        <w:keepNext/>
        <w:rPr>
          <w:lang w:val="pl-PL"/>
        </w:rPr>
      </w:pPr>
      <w:r w:rsidRPr="0015541C">
        <w:rPr>
          <w:lang w:val="pl-PL"/>
        </w:rPr>
        <w:t xml:space="preserve">Terapia anty-VEGF (VEGF – czynnik wzrostu śródbłonka naczyń) zastosowana do ciała szklistego gałki ocznej może powodować zmniejszenie stężenia krążącego VEGF. Po zastosowaniu inhibitorów VEGF we wstrzyknięciu do ciała szklistego gałki ocznej zgłaszano przypadki ogólnoustrojowych </w:t>
      </w:r>
      <w:r w:rsidR="000F1015" w:rsidRPr="0015541C">
        <w:rPr>
          <w:lang w:val="pl-PL"/>
        </w:rPr>
        <w:t xml:space="preserve">działań </w:t>
      </w:r>
      <w:r w:rsidRPr="0015541C">
        <w:rPr>
          <w:lang w:val="pl-PL"/>
        </w:rPr>
        <w:t>niepożądanych, w tym krwawienia niedotyczące gałki ocznej oraz epizody tętniczej zakrzepicy zatorowej.</w:t>
      </w:r>
    </w:p>
    <w:p w14:paraId="5325D9F6" w14:textId="77777777" w:rsidR="00C11671" w:rsidRPr="0015541C" w:rsidRDefault="00C11671" w:rsidP="003009ED">
      <w:pPr>
        <w:keepNext/>
        <w:rPr>
          <w:lang w:val="pl-PL"/>
        </w:rPr>
      </w:pPr>
    </w:p>
    <w:p w14:paraId="6E27A694" w14:textId="77777777" w:rsidR="00C11671" w:rsidRPr="0070444C" w:rsidRDefault="00C11671" w:rsidP="0088461C">
      <w:pPr>
        <w:keepNext/>
        <w:keepLines/>
        <w:rPr>
          <w:u w:val="single"/>
          <w:lang w:val="pl-PL"/>
        </w:rPr>
      </w:pPr>
      <w:r w:rsidRPr="0070444C">
        <w:rPr>
          <w:u w:val="single"/>
          <w:lang w:val="pl-PL"/>
        </w:rPr>
        <w:t>Niewydolność jajników/płodność</w:t>
      </w:r>
    </w:p>
    <w:p w14:paraId="022E7168" w14:textId="77777777" w:rsidR="00C11671" w:rsidRPr="0015541C" w:rsidRDefault="000F1512" w:rsidP="00C11671">
      <w:pPr>
        <w:rPr>
          <w:szCs w:val="22"/>
          <w:lang w:val="pl-PL"/>
        </w:rPr>
      </w:pPr>
      <w:r w:rsidRPr="0015541C">
        <w:rPr>
          <w:szCs w:val="22"/>
          <w:lang w:val="pl-PL"/>
        </w:rPr>
        <w:t>Bewacyzumab</w:t>
      </w:r>
      <w:r w:rsidR="00C11671" w:rsidRPr="0015541C">
        <w:rPr>
          <w:szCs w:val="22"/>
          <w:lang w:val="pl-PL"/>
        </w:rPr>
        <w:t xml:space="preserve"> może upośledzać płodność kobiety (patrz punkt</w:t>
      </w:r>
      <w:r w:rsidR="00857796" w:rsidRPr="0015541C">
        <w:rPr>
          <w:szCs w:val="22"/>
          <w:lang w:val="pl-PL"/>
        </w:rPr>
        <w:t>y</w:t>
      </w:r>
      <w:r w:rsidR="00C11671" w:rsidRPr="0015541C">
        <w:rPr>
          <w:szCs w:val="22"/>
          <w:lang w:val="pl-PL"/>
        </w:rPr>
        <w:t xml:space="preserve"> 4.6 i 4.8). Dlatego też przed zastosowaniem </w:t>
      </w:r>
      <w:r w:rsidR="00C077B6" w:rsidRPr="0015541C">
        <w:rPr>
          <w:szCs w:val="22"/>
          <w:lang w:val="pl-PL"/>
        </w:rPr>
        <w:t>bewacyzumab</w:t>
      </w:r>
      <w:r w:rsidR="00C11671" w:rsidRPr="0015541C">
        <w:rPr>
          <w:szCs w:val="22"/>
          <w:lang w:val="pl-PL"/>
        </w:rPr>
        <w:t xml:space="preserve">u u kobiety w wieku rozrodczym należy przedyskutować z pacjentką </w:t>
      </w:r>
      <w:r w:rsidR="00766C3A" w:rsidRPr="0015541C">
        <w:rPr>
          <w:szCs w:val="22"/>
          <w:lang w:val="pl-PL"/>
        </w:rPr>
        <w:t>sposoby</w:t>
      </w:r>
      <w:r w:rsidR="00C11671" w:rsidRPr="0015541C">
        <w:rPr>
          <w:szCs w:val="22"/>
          <w:lang w:val="pl-PL"/>
        </w:rPr>
        <w:t xml:space="preserve"> zachowania płodności.</w:t>
      </w:r>
    </w:p>
    <w:p w14:paraId="549A5E84" w14:textId="77777777" w:rsidR="00A251D8" w:rsidRPr="0015541C" w:rsidRDefault="00A251D8" w:rsidP="00A251D8">
      <w:pPr>
        <w:rPr>
          <w:szCs w:val="22"/>
          <w:lang w:val="pl-PL"/>
        </w:rPr>
      </w:pPr>
    </w:p>
    <w:p w14:paraId="4128BFC6" w14:textId="69688227" w:rsidR="00A251D8" w:rsidRPr="0015541C" w:rsidRDefault="00B504A6" w:rsidP="00A251D8">
      <w:pPr>
        <w:rPr>
          <w:u w:val="single"/>
          <w:lang w:val="pl-PL"/>
        </w:rPr>
      </w:pPr>
      <w:r w:rsidRPr="00B504A6">
        <w:rPr>
          <w:u w:val="single"/>
          <w:lang w:val="pl-PL"/>
        </w:rPr>
        <w:t>Substancje pomocnicze</w:t>
      </w:r>
    </w:p>
    <w:p w14:paraId="5351F641" w14:textId="77777777" w:rsidR="00A251D8" w:rsidRDefault="00A251D8" w:rsidP="00A251D8">
      <w:pPr>
        <w:pStyle w:val="BodyText"/>
        <w:spacing w:before="16" w:line="240" w:lineRule="exact"/>
        <w:rPr>
          <w:b w:val="0"/>
          <w:bCs/>
          <w:i w:val="0"/>
          <w:szCs w:val="22"/>
          <w:lang w:val="pl-PL"/>
        </w:rPr>
      </w:pPr>
      <w:r w:rsidRPr="0015541C">
        <w:rPr>
          <w:b w:val="0"/>
          <w:bCs/>
          <w:i w:val="0"/>
          <w:szCs w:val="22"/>
          <w:lang w:val="pl-PL"/>
        </w:rPr>
        <w:t>Produkt leczniczy zawiera mniej niż 1 mmol (23 mg) sodu na fiolkę, to znaczy produkt leczniczy uznaje się za „wolny od sodu”.</w:t>
      </w:r>
    </w:p>
    <w:p w14:paraId="7ACD686D" w14:textId="77777777" w:rsidR="00B504A6" w:rsidRDefault="00B504A6" w:rsidP="00A251D8">
      <w:pPr>
        <w:pStyle w:val="BodyText"/>
        <w:spacing w:before="16" w:line="240" w:lineRule="exact"/>
        <w:rPr>
          <w:b w:val="0"/>
          <w:bCs/>
          <w:i w:val="0"/>
          <w:szCs w:val="22"/>
          <w:lang w:val="pl-PL"/>
        </w:rPr>
      </w:pPr>
    </w:p>
    <w:p w14:paraId="7B7EFA89" w14:textId="7C3A62EC" w:rsidR="00B504A6" w:rsidRPr="0015541C" w:rsidRDefault="00B504A6" w:rsidP="00A251D8">
      <w:pPr>
        <w:pStyle w:val="BodyText"/>
        <w:spacing w:before="16" w:line="240" w:lineRule="exact"/>
        <w:rPr>
          <w:b w:val="0"/>
          <w:bCs/>
          <w:i w:val="0"/>
          <w:szCs w:val="22"/>
          <w:lang w:val="pl-PL"/>
        </w:rPr>
      </w:pPr>
      <w:r w:rsidRPr="00B504A6">
        <w:rPr>
          <w:rFonts w:eastAsia="Times New Roman"/>
          <w:b w:val="0"/>
          <w:i w:val="0"/>
          <w:lang w:val="pl-PL" w:eastAsia="ja-JP"/>
        </w:rPr>
        <w:t>Ten produkt leczniczy zawiera 1,6 mg polisorbatu 20 w każdej fiolce 100 mg/4 ml i 6,4 mg w każdej fiolce 400 mg/16 ml, co odpowiada stężeniu 0,4 mg/ml. Polisorbaty moga powodować reakcje alergiczne.</w:t>
      </w:r>
    </w:p>
    <w:p w14:paraId="4AC15D26" w14:textId="77777777" w:rsidR="00C11671" w:rsidRPr="0015541C" w:rsidRDefault="00C11671" w:rsidP="00637767">
      <w:pPr>
        <w:rPr>
          <w:lang w:val="pl-PL"/>
        </w:rPr>
      </w:pPr>
    </w:p>
    <w:p w14:paraId="771F67C0" w14:textId="77777777" w:rsidR="00994050" w:rsidRPr="0015541C" w:rsidRDefault="00994050" w:rsidP="00880189">
      <w:pPr>
        <w:keepNext/>
        <w:keepLines/>
        <w:ind w:left="567" w:hanging="567"/>
        <w:rPr>
          <w:b/>
          <w:lang w:val="pl-PL"/>
        </w:rPr>
      </w:pPr>
      <w:r w:rsidRPr="0015541C">
        <w:rPr>
          <w:b/>
          <w:lang w:val="pl-PL"/>
        </w:rPr>
        <w:t>4.5</w:t>
      </w:r>
      <w:r w:rsidRPr="0015541C">
        <w:rPr>
          <w:b/>
          <w:lang w:val="pl-PL"/>
        </w:rPr>
        <w:tab/>
        <w:t xml:space="preserve">Interakcje z innymi </w:t>
      </w:r>
      <w:r w:rsidR="00D71671" w:rsidRPr="0015541C">
        <w:rPr>
          <w:b/>
          <w:lang w:val="pl-PL"/>
        </w:rPr>
        <w:t xml:space="preserve">produktami leczniczymi </w:t>
      </w:r>
      <w:r w:rsidRPr="0015541C">
        <w:rPr>
          <w:b/>
          <w:lang w:val="pl-PL"/>
        </w:rPr>
        <w:t>i inne rodzaje interakcji</w:t>
      </w:r>
    </w:p>
    <w:p w14:paraId="0ADC25A4" w14:textId="77777777" w:rsidR="00994050" w:rsidRPr="0015541C" w:rsidRDefault="00994050" w:rsidP="00880189">
      <w:pPr>
        <w:keepNext/>
        <w:keepLines/>
        <w:rPr>
          <w:lang w:val="pl-PL"/>
        </w:rPr>
      </w:pPr>
    </w:p>
    <w:p w14:paraId="3A9CC5D7" w14:textId="77777777" w:rsidR="00994050" w:rsidRPr="0070444C" w:rsidRDefault="00994050" w:rsidP="00880189">
      <w:pPr>
        <w:keepNext/>
        <w:keepLines/>
        <w:rPr>
          <w:u w:val="single"/>
          <w:lang w:val="pl-PL"/>
        </w:rPr>
      </w:pPr>
      <w:r w:rsidRPr="0070444C">
        <w:rPr>
          <w:u w:val="single"/>
          <w:lang w:val="pl-PL"/>
        </w:rPr>
        <w:t>Wpływ leków przeciwnowotworowych na farmakokinetykę bewacyzumabu</w:t>
      </w:r>
    </w:p>
    <w:p w14:paraId="2B5EAAF7" w14:textId="0D2DCD7F" w:rsidR="009C2E95" w:rsidRPr="0015541C" w:rsidRDefault="009C2E95" w:rsidP="009C2E95">
      <w:pPr>
        <w:keepNext/>
        <w:keepLines/>
        <w:rPr>
          <w:szCs w:val="22"/>
          <w:lang w:val="pl-PL"/>
        </w:rPr>
      </w:pPr>
      <w:r w:rsidRPr="0015541C">
        <w:rPr>
          <w:szCs w:val="22"/>
          <w:lang w:val="pl-PL"/>
        </w:rPr>
        <w:t xml:space="preserve">Na podstawie analiz farmakokinetyki w badanej populacji nie zaobserwowano istotnego klinicznie wpływu podawanej jednocześnie chemioterapii na farmakokinetykę bewacyzumabu. Nie występowała ani istotna statystycznie, ani znacząca klinicznie różnica w </w:t>
      </w:r>
      <w:r w:rsidR="001067A8" w:rsidRPr="0015541C">
        <w:rPr>
          <w:szCs w:val="22"/>
          <w:lang w:val="pl-PL"/>
        </w:rPr>
        <w:t>klirensie</w:t>
      </w:r>
      <w:r w:rsidRPr="0015541C">
        <w:rPr>
          <w:szCs w:val="22"/>
          <w:lang w:val="pl-PL"/>
        </w:rPr>
        <w:t xml:space="preserve"> bewacyzumabu </w:t>
      </w:r>
      <w:r w:rsidR="00055896" w:rsidRPr="0015541C">
        <w:rPr>
          <w:szCs w:val="22"/>
          <w:lang w:val="pl-PL"/>
        </w:rPr>
        <w:t xml:space="preserve">przyjmowanego </w:t>
      </w:r>
      <w:r w:rsidRPr="0015541C">
        <w:rPr>
          <w:szCs w:val="22"/>
          <w:lang w:val="pl-PL"/>
        </w:rPr>
        <w:t xml:space="preserve">w monoterapii w porównaniu do pacjentów, którzy </w:t>
      </w:r>
      <w:r w:rsidR="000F32E4" w:rsidRPr="0015541C">
        <w:rPr>
          <w:szCs w:val="22"/>
          <w:lang w:val="pl-PL"/>
        </w:rPr>
        <w:t xml:space="preserve">przyjmowali </w:t>
      </w:r>
      <w:r w:rsidR="004670DA" w:rsidRPr="0015541C">
        <w:rPr>
          <w:szCs w:val="22"/>
          <w:lang w:val="pl-PL"/>
        </w:rPr>
        <w:t>bewacyzumab</w:t>
      </w:r>
      <w:r w:rsidRPr="0015541C">
        <w:rPr>
          <w:szCs w:val="22"/>
          <w:lang w:val="pl-PL"/>
        </w:rPr>
        <w:t xml:space="preserve"> w skojarzeniu </w:t>
      </w:r>
      <w:r w:rsidR="001067A8" w:rsidRPr="0015541C">
        <w:rPr>
          <w:szCs w:val="22"/>
          <w:lang w:val="pl-PL"/>
        </w:rPr>
        <w:br/>
      </w:r>
      <w:r w:rsidRPr="0015541C">
        <w:rPr>
          <w:szCs w:val="22"/>
          <w:lang w:val="pl-PL"/>
        </w:rPr>
        <w:t>z interferonem alfa-2a, erlotynibem lub lekami stosowanymi w chemioterapii (IFL, 5</w:t>
      </w:r>
      <w:r w:rsidR="004F4A41" w:rsidRPr="0015541C">
        <w:rPr>
          <w:szCs w:val="22"/>
          <w:lang w:val="pl-PL"/>
        </w:rPr>
        <w:noBreakHyphen/>
      </w:r>
      <w:r w:rsidRPr="0015541C">
        <w:rPr>
          <w:szCs w:val="22"/>
          <w:lang w:val="pl-PL"/>
        </w:rPr>
        <w:t>FU/LV, karboplatyna/paklitaksel, kapecytabina, doksorubicyna lub cisplatyna/gemcytabina).</w:t>
      </w:r>
    </w:p>
    <w:p w14:paraId="69D181BF" w14:textId="77777777" w:rsidR="00994050" w:rsidRPr="0015541C" w:rsidRDefault="00994050" w:rsidP="00994050">
      <w:pPr>
        <w:rPr>
          <w:lang w:val="pl-PL"/>
        </w:rPr>
      </w:pPr>
    </w:p>
    <w:p w14:paraId="256B692F" w14:textId="77777777" w:rsidR="00994050" w:rsidRPr="0070444C" w:rsidRDefault="00994050" w:rsidP="003325C2">
      <w:pPr>
        <w:keepNext/>
        <w:keepLines/>
        <w:rPr>
          <w:u w:val="single"/>
          <w:lang w:val="pl-PL"/>
        </w:rPr>
      </w:pPr>
      <w:r w:rsidRPr="0070444C">
        <w:rPr>
          <w:u w:val="single"/>
          <w:lang w:val="pl-PL"/>
        </w:rPr>
        <w:t>Wpływ bewacyzumabu na farmakokinetykę innych leków przeciwnowotworowych</w:t>
      </w:r>
    </w:p>
    <w:p w14:paraId="24AF0006" w14:textId="77777777" w:rsidR="002848E0" w:rsidRPr="0015541C" w:rsidRDefault="002848E0" w:rsidP="003325C2">
      <w:pPr>
        <w:keepNext/>
        <w:keepLines/>
        <w:rPr>
          <w:szCs w:val="22"/>
          <w:lang w:val="pl-PL"/>
        </w:rPr>
      </w:pPr>
      <w:r w:rsidRPr="0015541C">
        <w:rPr>
          <w:szCs w:val="22"/>
          <w:lang w:val="pl-PL"/>
        </w:rPr>
        <w:t xml:space="preserve">Nie zaobserwowano istotnego klinicznie wpływu bewacyzumabu na farmakokinetykę jednocześnie podawanego interferonu alfa-2a, erlotynibu (i jego aktywnego metabolitu OSI-420) lub chemioterapii z zastosowaniem irynotekanu (i jego aktywnego metabolitu SN38), kapecytabiny, oksaliplatyny (oznaczanych za pomocą pomiaru </w:t>
      </w:r>
      <w:r w:rsidR="00CD336F" w:rsidRPr="0015541C">
        <w:rPr>
          <w:szCs w:val="22"/>
          <w:lang w:val="pl-PL"/>
        </w:rPr>
        <w:t xml:space="preserve">stężenia </w:t>
      </w:r>
      <w:r w:rsidRPr="0015541C">
        <w:rPr>
          <w:szCs w:val="22"/>
          <w:lang w:val="pl-PL"/>
        </w:rPr>
        <w:t xml:space="preserve">wolnej i całkowitej platyny) oraz cisplatyny. Nie jest możliwe wyciągnięcie wniosków na temat wpływu bewacyzumabu na właściwości farmakokinetyczne gemcytabiny. </w:t>
      </w:r>
    </w:p>
    <w:p w14:paraId="68A0B8C0" w14:textId="77777777" w:rsidR="00994050" w:rsidRPr="0015541C" w:rsidRDefault="00994050" w:rsidP="00994050">
      <w:pPr>
        <w:rPr>
          <w:szCs w:val="22"/>
          <w:lang w:val="pl-PL"/>
        </w:rPr>
      </w:pPr>
    </w:p>
    <w:p w14:paraId="78DC7E08" w14:textId="77777777" w:rsidR="00994050" w:rsidRPr="0070444C" w:rsidRDefault="00994050" w:rsidP="00EE7A0B">
      <w:pPr>
        <w:keepNext/>
        <w:keepLines/>
        <w:rPr>
          <w:b/>
          <w:u w:val="single"/>
          <w:lang w:val="pl-PL"/>
        </w:rPr>
      </w:pPr>
      <w:r w:rsidRPr="0070444C">
        <w:rPr>
          <w:u w:val="single"/>
          <w:lang w:val="pl-PL"/>
        </w:rPr>
        <w:t>Skojarzenie bewacyzumabu z jabłczanem sunitynibu</w:t>
      </w:r>
    </w:p>
    <w:p w14:paraId="3DDBE268" w14:textId="77777777" w:rsidR="00994050" w:rsidRPr="0015541C" w:rsidRDefault="00994050" w:rsidP="00EE7A0B">
      <w:pPr>
        <w:keepNext/>
        <w:keepLines/>
        <w:rPr>
          <w:bCs/>
          <w:lang w:val="pl-PL"/>
        </w:rPr>
      </w:pPr>
      <w:r w:rsidRPr="0015541C">
        <w:rPr>
          <w:bCs/>
          <w:lang w:val="pl-PL"/>
        </w:rPr>
        <w:t>W dwóch badaniach klinicznych dotyczących przerzutowego raka nerkowokomórkowego, odnotowano przypadki mikroangiopatycznej niedokrwistości hemolitycznej (ang. microangiopathic haemolytic anaemia – MAHA) u 7 z 19 pacjentów leczonych bewacyzumabem (10 mg/kg mc. co dwa tygodnie) w skojarzeniu z jabłczanem sunitynibu (50 mg na dobę).</w:t>
      </w:r>
    </w:p>
    <w:p w14:paraId="37898008" w14:textId="77777777" w:rsidR="00994050" w:rsidRPr="0015541C" w:rsidRDefault="00994050" w:rsidP="00994050">
      <w:pPr>
        <w:rPr>
          <w:bCs/>
          <w:lang w:val="pl-PL"/>
        </w:rPr>
      </w:pPr>
    </w:p>
    <w:p w14:paraId="31017AFD" w14:textId="77777777" w:rsidR="00994050" w:rsidRPr="0015541C" w:rsidRDefault="00994050" w:rsidP="00994050">
      <w:pPr>
        <w:rPr>
          <w:bCs/>
          <w:lang w:val="pl-PL"/>
        </w:rPr>
      </w:pPr>
      <w:r w:rsidRPr="0015541C">
        <w:rPr>
          <w:bCs/>
          <w:lang w:val="pl-PL"/>
        </w:rPr>
        <w:t>MAHA jest chorobą hemolityczną, mogącą objawiać się fragmentacją erytrocytów, niedokrwistością i małopłytkowością. Ponadto, u niektórych pacjentów z MAHA może występować nadciśnienie tętnicze (z przełomem nadciśnieniowym włącznie), zwiększone stężenie kreatyniny w surowicy krwi i objawy neurologiczne. Wszystkie wymienione objawy były odwracalne, po zaprzestaniu przyjmowania bewacyzumabu i jabłczanu sunitynibu (patrz nadciśnienie</w:t>
      </w:r>
      <w:r w:rsidR="003069F8" w:rsidRPr="0015541C">
        <w:rPr>
          <w:bCs/>
          <w:lang w:val="pl-PL"/>
        </w:rPr>
        <w:t xml:space="preserve"> tętnicze</w:t>
      </w:r>
      <w:r w:rsidRPr="0015541C">
        <w:rPr>
          <w:bCs/>
          <w:lang w:val="pl-PL"/>
        </w:rPr>
        <w:t xml:space="preserve">, białkomocz, </w:t>
      </w:r>
      <w:r w:rsidR="004E6340" w:rsidRPr="0015541C">
        <w:rPr>
          <w:bCs/>
          <w:lang w:val="pl-PL"/>
        </w:rPr>
        <w:t xml:space="preserve">PRES </w:t>
      </w:r>
      <w:r w:rsidRPr="0015541C">
        <w:rPr>
          <w:bCs/>
          <w:lang w:val="pl-PL"/>
        </w:rPr>
        <w:t xml:space="preserve">w punkcie 4.4). </w:t>
      </w:r>
    </w:p>
    <w:p w14:paraId="20D80BB6" w14:textId="77777777" w:rsidR="00994050" w:rsidRPr="0015541C" w:rsidRDefault="00994050" w:rsidP="00994050">
      <w:pPr>
        <w:rPr>
          <w:bCs/>
          <w:lang w:val="pl-PL"/>
        </w:rPr>
      </w:pPr>
    </w:p>
    <w:p w14:paraId="1B4609C1" w14:textId="77777777" w:rsidR="00B8533E" w:rsidRPr="0070444C" w:rsidRDefault="00B8533E" w:rsidP="00332F37">
      <w:pPr>
        <w:keepNext/>
        <w:keepLines/>
        <w:rPr>
          <w:u w:val="single"/>
          <w:lang w:val="pl-PL"/>
        </w:rPr>
      </w:pPr>
      <w:r w:rsidRPr="0070444C">
        <w:rPr>
          <w:u w:val="single"/>
          <w:lang w:val="pl-PL"/>
        </w:rPr>
        <w:lastRenderedPageBreak/>
        <w:t>Skojarzenie ze schematami zawierającymi pochodne platyny lub taksany (patrz punkty 4.4 i 4.8)</w:t>
      </w:r>
    </w:p>
    <w:p w14:paraId="68F0F346" w14:textId="31313391" w:rsidR="00B8533E" w:rsidRPr="0015541C" w:rsidRDefault="00B8533E" w:rsidP="00332F37">
      <w:pPr>
        <w:keepNext/>
        <w:keepLines/>
        <w:rPr>
          <w:bCs/>
          <w:lang w:val="pl-PL"/>
        </w:rPr>
      </w:pPr>
      <w:r w:rsidRPr="0015541C">
        <w:rPr>
          <w:bCs/>
          <w:lang w:val="pl-PL"/>
        </w:rPr>
        <w:t xml:space="preserve">U chorych na niedrobnokomórkowego raka płuca lub raka piersi z przerzutami leczonych </w:t>
      </w:r>
      <w:r w:rsidR="00CA3069" w:rsidRPr="0015541C">
        <w:rPr>
          <w:bCs/>
          <w:lang w:val="pl-PL"/>
        </w:rPr>
        <w:t>schematami</w:t>
      </w:r>
      <w:r w:rsidRPr="0015541C">
        <w:rPr>
          <w:bCs/>
          <w:lang w:val="pl-PL"/>
        </w:rPr>
        <w:t xml:space="preserve"> zawierającymi pochodne platyny lub taksany obserwowano częstsze występowanie ciężkiej neutropenii, gorączki neutropenicznej oraz </w:t>
      </w:r>
      <w:r w:rsidR="00407085" w:rsidRPr="0015541C">
        <w:rPr>
          <w:bCs/>
          <w:lang w:val="pl-PL"/>
        </w:rPr>
        <w:t xml:space="preserve">zakażeń </w:t>
      </w:r>
      <w:r w:rsidRPr="0015541C">
        <w:rPr>
          <w:bCs/>
          <w:lang w:val="pl-PL"/>
        </w:rPr>
        <w:t>z lub bez ciężkiej neutropenii (w tym również przypadków śmiertelnych).</w:t>
      </w:r>
    </w:p>
    <w:p w14:paraId="7EB1AD2D" w14:textId="77777777" w:rsidR="00B8533E" w:rsidRPr="0015541C" w:rsidRDefault="00B8533E" w:rsidP="00332F37">
      <w:pPr>
        <w:keepNext/>
        <w:keepLines/>
        <w:rPr>
          <w:bCs/>
          <w:lang w:val="pl-PL"/>
        </w:rPr>
      </w:pPr>
    </w:p>
    <w:p w14:paraId="014D9502" w14:textId="77777777" w:rsidR="00994050" w:rsidRPr="0070444C" w:rsidRDefault="00994050" w:rsidP="00332F37">
      <w:pPr>
        <w:keepNext/>
        <w:rPr>
          <w:u w:val="single"/>
          <w:lang w:val="pl-PL"/>
        </w:rPr>
      </w:pPr>
      <w:r w:rsidRPr="0070444C">
        <w:rPr>
          <w:u w:val="single"/>
          <w:lang w:val="pl-PL"/>
        </w:rPr>
        <w:t>Radioterapia</w:t>
      </w:r>
    </w:p>
    <w:p w14:paraId="185A125F" w14:textId="77777777" w:rsidR="00994050" w:rsidRPr="0015541C" w:rsidRDefault="00994050" w:rsidP="00332F37">
      <w:pPr>
        <w:keepNext/>
        <w:rPr>
          <w:lang w:val="pl-PL"/>
        </w:rPr>
      </w:pPr>
      <w:r w:rsidRPr="0015541C">
        <w:rPr>
          <w:lang w:val="pl-PL"/>
        </w:rPr>
        <w:t xml:space="preserve">Nie ustalono bezpieczeństwa i skuteczności jednoczesnego stosowania radioterapii i </w:t>
      </w:r>
      <w:r w:rsidR="00191E33" w:rsidRPr="0015541C">
        <w:rPr>
          <w:lang w:val="pl-PL"/>
        </w:rPr>
        <w:t>bewacyzumabu</w:t>
      </w:r>
      <w:r w:rsidRPr="0015541C">
        <w:rPr>
          <w:lang w:val="pl-PL"/>
        </w:rPr>
        <w:t>.</w:t>
      </w:r>
    </w:p>
    <w:p w14:paraId="527F732B" w14:textId="77777777" w:rsidR="000D047F" w:rsidRPr="0015541C" w:rsidRDefault="000D047F" w:rsidP="00332F37">
      <w:pPr>
        <w:keepNext/>
        <w:rPr>
          <w:lang w:val="pl-PL"/>
        </w:rPr>
      </w:pPr>
    </w:p>
    <w:p w14:paraId="7E7227D9" w14:textId="77777777" w:rsidR="000D047F" w:rsidRPr="0070444C" w:rsidRDefault="000D047F" w:rsidP="00332F37">
      <w:pPr>
        <w:keepNext/>
        <w:rPr>
          <w:u w:val="single"/>
          <w:lang w:val="pl-PL"/>
        </w:rPr>
      </w:pPr>
      <w:r w:rsidRPr="0070444C">
        <w:rPr>
          <w:u w:val="single"/>
          <w:lang w:val="pl-PL"/>
        </w:rPr>
        <w:t xml:space="preserve">Przeciwciała monoklonalne przeciwko EGFR w </w:t>
      </w:r>
      <w:r w:rsidR="008E1AF6" w:rsidRPr="0070444C">
        <w:rPr>
          <w:u w:val="single"/>
          <w:lang w:val="pl-PL"/>
        </w:rPr>
        <w:t xml:space="preserve">skojarzeniu </w:t>
      </w:r>
      <w:r w:rsidRPr="0070444C">
        <w:rPr>
          <w:u w:val="single"/>
          <w:lang w:val="pl-PL"/>
        </w:rPr>
        <w:t>z bewacyzumabem i schematami chemioterapii</w:t>
      </w:r>
    </w:p>
    <w:p w14:paraId="7C6FB5A7" w14:textId="6DC149C7" w:rsidR="000D047F" w:rsidRPr="0015541C" w:rsidRDefault="000D047F" w:rsidP="00332F37">
      <w:pPr>
        <w:keepNext/>
        <w:rPr>
          <w:lang w:val="pl-PL"/>
        </w:rPr>
      </w:pPr>
      <w:r w:rsidRPr="0015541C">
        <w:rPr>
          <w:lang w:val="pl-PL"/>
        </w:rPr>
        <w:t xml:space="preserve">Nie przeprowadzono badań dotyczących interakcji powyższych leków. Przeciwciała monoklonalne przeciwko EGFR nie powinny być stosowane w </w:t>
      </w:r>
      <w:r w:rsidR="008E1AF6" w:rsidRPr="0015541C">
        <w:rPr>
          <w:lang w:val="pl-PL"/>
        </w:rPr>
        <w:t>skojarzeniu</w:t>
      </w:r>
      <w:r w:rsidRPr="0015541C">
        <w:rPr>
          <w:lang w:val="pl-PL"/>
        </w:rPr>
        <w:t xml:space="preserve"> ze schematami chemioterapii z bewacyzumabem</w:t>
      </w:r>
      <w:r w:rsidR="008E1AF6" w:rsidRPr="0015541C">
        <w:rPr>
          <w:lang w:val="pl-PL"/>
        </w:rPr>
        <w:t xml:space="preserve"> w leczeniu raka okrężnicy lub odbytnicy z przerzutami</w:t>
      </w:r>
      <w:r w:rsidRPr="0015541C">
        <w:rPr>
          <w:lang w:val="pl-PL"/>
        </w:rPr>
        <w:t xml:space="preserve">. Wyniki randomizowanych badań fazy III, PACCE i CAIRO-2, </w:t>
      </w:r>
      <w:r w:rsidR="0042193A" w:rsidRPr="0015541C">
        <w:rPr>
          <w:lang w:val="pl-PL"/>
        </w:rPr>
        <w:t>wskazują</w:t>
      </w:r>
      <w:r w:rsidRPr="0015541C">
        <w:rPr>
          <w:lang w:val="pl-PL"/>
        </w:rPr>
        <w:t xml:space="preserve">, </w:t>
      </w:r>
      <w:r w:rsidR="004938C7" w:rsidRPr="0015541C">
        <w:rPr>
          <w:lang w:val="pl-PL"/>
        </w:rPr>
        <w:t>że stosowanie u chorych na raka</w:t>
      </w:r>
      <w:r w:rsidR="00DE24F1" w:rsidRPr="0015541C">
        <w:rPr>
          <w:lang w:val="pl-PL"/>
        </w:rPr>
        <w:t xml:space="preserve"> </w:t>
      </w:r>
      <w:r w:rsidR="0042193A" w:rsidRPr="0015541C">
        <w:rPr>
          <w:lang w:val="pl-PL"/>
        </w:rPr>
        <w:t>okrężnicy lub</w:t>
      </w:r>
      <w:r w:rsidR="0042193A" w:rsidRPr="0015541C">
        <w:rPr>
          <w:u w:val="single"/>
          <w:lang w:val="pl-PL"/>
        </w:rPr>
        <w:t xml:space="preserve"> </w:t>
      </w:r>
      <w:r w:rsidR="0042193A" w:rsidRPr="0015541C">
        <w:rPr>
          <w:lang w:val="pl-PL"/>
        </w:rPr>
        <w:t>odbytnicy z przerzutami</w:t>
      </w:r>
      <w:r w:rsidRPr="0015541C">
        <w:rPr>
          <w:lang w:val="pl-PL"/>
        </w:rPr>
        <w:t xml:space="preserve"> przeciwciał monoklonalnych anty EGFR panitumumab</w:t>
      </w:r>
      <w:r w:rsidR="00165D4B" w:rsidRPr="0015541C">
        <w:rPr>
          <w:lang w:val="pl-PL"/>
        </w:rPr>
        <w:t>u</w:t>
      </w:r>
      <w:r w:rsidRPr="0015541C">
        <w:rPr>
          <w:lang w:val="pl-PL"/>
        </w:rPr>
        <w:t xml:space="preserve"> i cetuksymab</w:t>
      </w:r>
      <w:r w:rsidR="00165D4B" w:rsidRPr="0015541C">
        <w:rPr>
          <w:lang w:val="pl-PL"/>
        </w:rPr>
        <w:t>u</w:t>
      </w:r>
      <w:r w:rsidR="006262C9" w:rsidRPr="0015541C">
        <w:rPr>
          <w:lang w:val="pl-PL"/>
        </w:rPr>
        <w:t xml:space="preserve"> w skojarzeniu z bewacyzumabem i chemioterapią związane jest ze skróceniem </w:t>
      </w:r>
      <w:r w:rsidR="00A251D8" w:rsidRPr="0015541C">
        <w:rPr>
          <w:lang w:val="pl-PL"/>
        </w:rPr>
        <w:t xml:space="preserve">czasu przeżycia wolnego od progresji choroby (ang. progression-free survival – </w:t>
      </w:r>
      <w:r w:rsidR="006262C9" w:rsidRPr="0015541C">
        <w:rPr>
          <w:lang w:val="pl-PL"/>
        </w:rPr>
        <w:t>PFS</w:t>
      </w:r>
      <w:r w:rsidR="00A251D8" w:rsidRPr="0015541C">
        <w:rPr>
          <w:lang w:val="pl-PL"/>
        </w:rPr>
        <w:t>)</w:t>
      </w:r>
      <w:r w:rsidR="006262C9" w:rsidRPr="0015541C">
        <w:rPr>
          <w:lang w:val="pl-PL"/>
        </w:rPr>
        <w:t xml:space="preserve"> i </w:t>
      </w:r>
      <w:r w:rsidR="00A251D8" w:rsidRPr="0015541C">
        <w:rPr>
          <w:lang w:val="pl-PL"/>
        </w:rPr>
        <w:t xml:space="preserve">całkowitego czasu przeżycia (ang. overall survival – </w:t>
      </w:r>
      <w:r w:rsidR="006262C9" w:rsidRPr="0015541C">
        <w:rPr>
          <w:lang w:val="pl-PL"/>
        </w:rPr>
        <w:t>OS</w:t>
      </w:r>
      <w:r w:rsidR="00A251D8" w:rsidRPr="0015541C">
        <w:rPr>
          <w:lang w:val="pl-PL"/>
        </w:rPr>
        <w:t>)</w:t>
      </w:r>
      <w:r w:rsidR="006262C9" w:rsidRPr="0015541C">
        <w:rPr>
          <w:lang w:val="pl-PL"/>
        </w:rPr>
        <w:t xml:space="preserve"> oraz ze wzrostem toksyczności w porównaniu do bewacyzumabu z chemioterapią.</w:t>
      </w:r>
    </w:p>
    <w:p w14:paraId="6498B164" w14:textId="77777777" w:rsidR="00994050" w:rsidRPr="0015541C" w:rsidRDefault="00994050" w:rsidP="005E74F7">
      <w:pPr>
        <w:ind w:left="567" w:hanging="567"/>
        <w:rPr>
          <w:b/>
          <w:lang w:val="pl-PL"/>
        </w:rPr>
      </w:pPr>
    </w:p>
    <w:p w14:paraId="50DA2E8E" w14:textId="3E945635" w:rsidR="00994050" w:rsidRPr="0015541C" w:rsidRDefault="00994050" w:rsidP="00576385">
      <w:pPr>
        <w:keepNext/>
        <w:keepLines/>
        <w:ind w:left="562" w:hanging="562"/>
        <w:rPr>
          <w:b/>
          <w:lang w:val="pl-PL"/>
        </w:rPr>
      </w:pPr>
      <w:r w:rsidRPr="0015541C">
        <w:rPr>
          <w:b/>
          <w:lang w:val="pl-PL"/>
        </w:rPr>
        <w:t>4.6</w:t>
      </w:r>
      <w:r w:rsidRPr="0015541C">
        <w:rPr>
          <w:b/>
          <w:lang w:val="pl-PL"/>
        </w:rPr>
        <w:tab/>
      </w:r>
      <w:r w:rsidR="00720208" w:rsidRPr="0015541C">
        <w:rPr>
          <w:b/>
          <w:lang w:val="pl-PL"/>
        </w:rPr>
        <w:t>Wpływ na p</w:t>
      </w:r>
      <w:r w:rsidR="0027761D" w:rsidRPr="0015541C">
        <w:rPr>
          <w:b/>
          <w:lang w:val="pl-PL"/>
        </w:rPr>
        <w:t>łodność</w:t>
      </w:r>
      <w:r w:rsidR="003815FE" w:rsidRPr="0015541C">
        <w:rPr>
          <w:b/>
          <w:lang w:val="pl-PL"/>
        </w:rPr>
        <w:t xml:space="preserve">, </w:t>
      </w:r>
      <w:r w:rsidR="0027761D" w:rsidRPr="0015541C">
        <w:rPr>
          <w:b/>
          <w:lang w:val="pl-PL"/>
        </w:rPr>
        <w:t>c</w:t>
      </w:r>
      <w:r w:rsidRPr="0015541C">
        <w:rPr>
          <w:b/>
          <w:lang w:val="pl-PL"/>
        </w:rPr>
        <w:t>iąż</w:t>
      </w:r>
      <w:r w:rsidR="00BF79B4" w:rsidRPr="0015541C">
        <w:rPr>
          <w:b/>
          <w:lang w:val="pl-PL"/>
        </w:rPr>
        <w:t>ę</w:t>
      </w:r>
      <w:r w:rsidRPr="0015541C">
        <w:rPr>
          <w:b/>
          <w:lang w:val="pl-PL"/>
        </w:rPr>
        <w:t xml:space="preserve"> i laktacj</w:t>
      </w:r>
      <w:r w:rsidR="00BF79B4" w:rsidRPr="0015541C">
        <w:rPr>
          <w:b/>
          <w:lang w:val="pl-PL"/>
        </w:rPr>
        <w:t>ę</w:t>
      </w:r>
    </w:p>
    <w:p w14:paraId="5D38E6A2" w14:textId="77777777" w:rsidR="00994050" w:rsidRPr="0015541C" w:rsidRDefault="00994050" w:rsidP="005E74F7">
      <w:pPr>
        <w:outlineLvl w:val="0"/>
        <w:rPr>
          <w:b/>
          <w:i/>
          <w:lang w:val="pl-PL"/>
        </w:rPr>
      </w:pPr>
    </w:p>
    <w:p w14:paraId="6AF4C804" w14:textId="77777777" w:rsidR="0027761D" w:rsidRPr="0070444C" w:rsidRDefault="0027761D" w:rsidP="005E74F7">
      <w:pPr>
        <w:outlineLvl w:val="0"/>
        <w:rPr>
          <w:u w:val="single"/>
          <w:lang w:val="pl-PL"/>
        </w:rPr>
      </w:pPr>
      <w:r w:rsidRPr="0070444C">
        <w:rPr>
          <w:u w:val="single"/>
          <w:lang w:val="pl-PL"/>
        </w:rPr>
        <w:t xml:space="preserve">Kobiety </w:t>
      </w:r>
      <w:r w:rsidR="00720208" w:rsidRPr="0070444C">
        <w:rPr>
          <w:u w:val="single"/>
          <w:lang w:val="pl-PL"/>
        </w:rPr>
        <w:t>w wieku rozrodczym</w:t>
      </w:r>
    </w:p>
    <w:p w14:paraId="4BAA2243" w14:textId="77777777" w:rsidR="0027761D" w:rsidRPr="0015541C" w:rsidRDefault="0027761D" w:rsidP="0027761D">
      <w:pPr>
        <w:outlineLvl w:val="0"/>
        <w:rPr>
          <w:lang w:val="pl-PL"/>
        </w:rPr>
      </w:pPr>
      <w:r w:rsidRPr="0015541C">
        <w:rPr>
          <w:lang w:val="pl-PL"/>
        </w:rPr>
        <w:t xml:space="preserve">Kobiety </w:t>
      </w:r>
      <w:r w:rsidR="00720208" w:rsidRPr="0015541C">
        <w:rPr>
          <w:lang w:val="pl-PL"/>
        </w:rPr>
        <w:t>w wieku rozrodczym</w:t>
      </w:r>
      <w:r w:rsidRPr="0015541C">
        <w:rPr>
          <w:lang w:val="pl-PL"/>
        </w:rPr>
        <w:t xml:space="preserve"> muszą w trakcie terapii stosować skuteczne metody antykoncepcyjne (także w okresie do 6 miesięcy po otrzymaniu ostatniej dawki leku).</w:t>
      </w:r>
    </w:p>
    <w:p w14:paraId="58F131E4" w14:textId="77777777" w:rsidR="0027761D" w:rsidRPr="0015541C" w:rsidRDefault="0027761D" w:rsidP="005E74F7">
      <w:pPr>
        <w:outlineLvl w:val="0"/>
        <w:rPr>
          <w:i/>
          <w:lang w:val="pl-PL"/>
        </w:rPr>
      </w:pPr>
    </w:p>
    <w:p w14:paraId="3813D198" w14:textId="77777777" w:rsidR="00994050" w:rsidRPr="0070444C" w:rsidRDefault="00994050" w:rsidP="0022002F">
      <w:pPr>
        <w:keepNext/>
        <w:outlineLvl w:val="0"/>
        <w:rPr>
          <w:u w:val="single"/>
          <w:lang w:val="pl-PL"/>
        </w:rPr>
      </w:pPr>
      <w:r w:rsidRPr="0070444C">
        <w:rPr>
          <w:u w:val="single"/>
          <w:lang w:val="pl-PL"/>
        </w:rPr>
        <w:t>Ciąża</w:t>
      </w:r>
    </w:p>
    <w:p w14:paraId="6B5C7EEC" w14:textId="77777777" w:rsidR="00994050" w:rsidRPr="0015541C" w:rsidRDefault="00994050" w:rsidP="00994050">
      <w:pPr>
        <w:outlineLvl w:val="0"/>
        <w:rPr>
          <w:lang w:val="pl-PL"/>
        </w:rPr>
      </w:pPr>
      <w:r w:rsidRPr="0015541C">
        <w:rPr>
          <w:lang w:val="pl-PL"/>
        </w:rPr>
        <w:t>Nie ma danych</w:t>
      </w:r>
      <w:r w:rsidR="00F86048" w:rsidRPr="0015541C">
        <w:rPr>
          <w:lang w:val="pl-PL"/>
        </w:rPr>
        <w:t xml:space="preserve"> z badań klinicznych</w:t>
      </w:r>
      <w:r w:rsidRPr="0015541C">
        <w:rPr>
          <w:lang w:val="pl-PL"/>
        </w:rPr>
        <w:t xml:space="preserve"> dotyczących stosowania </w:t>
      </w:r>
      <w:r w:rsidR="00D80E3B" w:rsidRPr="0015541C">
        <w:rPr>
          <w:lang w:val="pl-PL"/>
        </w:rPr>
        <w:t>bewacyzumabu</w:t>
      </w:r>
      <w:r w:rsidRPr="0015541C">
        <w:rPr>
          <w:lang w:val="pl-PL"/>
        </w:rPr>
        <w:t xml:space="preserve"> u kobiet w ciąży. Badania na zwierzętach wykazały toksyczność reprodukcyjną, wliczając w to zniekształcenia (patrz punkt 5.3). Wiadomo, że immunoglobuliny klasy IgG przenikają przez łożysko i zakłada się, że </w:t>
      </w:r>
      <w:r w:rsidR="00DD59D8" w:rsidRPr="0015541C">
        <w:rPr>
          <w:lang w:val="pl-PL"/>
        </w:rPr>
        <w:t>bewacyzumab</w:t>
      </w:r>
      <w:r w:rsidRPr="0015541C">
        <w:rPr>
          <w:lang w:val="pl-PL"/>
        </w:rPr>
        <w:t xml:space="preserve"> hamuje angiogenezę u płodu, dlatego jest prawdopodobne, że podawanie </w:t>
      </w:r>
      <w:r w:rsidR="00DD59D8" w:rsidRPr="0015541C">
        <w:rPr>
          <w:lang w:val="pl-PL"/>
        </w:rPr>
        <w:t>bewacyzumab</w:t>
      </w:r>
      <w:r w:rsidRPr="0015541C">
        <w:rPr>
          <w:lang w:val="pl-PL"/>
        </w:rPr>
        <w:t xml:space="preserve">u podczas ciąży może spowodować poważne uszkodzenia u nienarodzonego dziecka. </w:t>
      </w:r>
      <w:r w:rsidR="00F86048" w:rsidRPr="0015541C">
        <w:rPr>
          <w:color w:val="222222"/>
          <w:shd w:val="clear" w:color="auto" w:fill="FFFFFF"/>
          <w:lang w:val="pl-PL"/>
        </w:rPr>
        <w:t>Po wprowadzeniu produktu</w:t>
      </w:r>
      <w:r w:rsidR="00F86048" w:rsidRPr="0015541C">
        <w:rPr>
          <w:rStyle w:val="apple-converted-space"/>
          <w:color w:val="222222"/>
          <w:shd w:val="clear" w:color="auto" w:fill="FFFFFF"/>
          <w:lang w:val="pl-PL"/>
        </w:rPr>
        <w:t xml:space="preserve"> </w:t>
      </w:r>
      <w:r w:rsidR="00F86048" w:rsidRPr="0015541C">
        <w:rPr>
          <w:color w:val="222222"/>
          <w:shd w:val="clear" w:color="auto" w:fill="FFFFFF"/>
          <w:lang w:val="pl-PL"/>
        </w:rPr>
        <w:t>do obrotu</w:t>
      </w:r>
      <w:r w:rsidR="00F86048" w:rsidRPr="0015541C">
        <w:rPr>
          <w:rStyle w:val="apple-converted-space"/>
          <w:color w:val="222222"/>
          <w:shd w:val="clear" w:color="auto" w:fill="FFFFFF"/>
          <w:lang w:val="pl-PL"/>
        </w:rPr>
        <w:t xml:space="preserve"> </w:t>
      </w:r>
      <w:r w:rsidR="00F86048" w:rsidRPr="0015541C">
        <w:rPr>
          <w:color w:val="222222"/>
          <w:shd w:val="clear" w:color="auto" w:fill="FFFFFF"/>
          <w:lang w:val="pl-PL"/>
        </w:rPr>
        <w:t>zgłaszano przypadki</w:t>
      </w:r>
      <w:r w:rsidR="00F86048" w:rsidRPr="0015541C">
        <w:rPr>
          <w:rStyle w:val="apple-converted-space"/>
          <w:color w:val="222222"/>
          <w:shd w:val="clear" w:color="auto" w:fill="FFFFFF"/>
          <w:lang w:val="pl-PL"/>
        </w:rPr>
        <w:t xml:space="preserve"> </w:t>
      </w:r>
      <w:r w:rsidR="00F86048" w:rsidRPr="0015541C">
        <w:rPr>
          <w:color w:val="222222"/>
          <w:shd w:val="clear" w:color="auto" w:fill="FFFFFF"/>
          <w:lang w:val="pl-PL"/>
        </w:rPr>
        <w:t>wad rozwojowych płodu</w:t>
      </w:r>
      <w:r w:rsidR="00F86048" w:rsidRPr="0015541C">
        <w:rPr>
          <w:rStyle w:val="apple-converted-space"/>
          <w:color w:val="222222"/>
          <w:shd w:val="clear" w:color="auto" w:fill="FFFFFF"/>
          <w:lang w:val="pl-PL"/>
        </w:rPr>
        <w:t xml:space="preserve"> </w:t>
      </w:r>
      <w:r w:rsidR="00F86048" w:rsidRPr="0015541C">
        <w:rPr>
          <w:color w:val="222222"/>
          <w:shd w:val="clear" w:color="auto" w:fill="FFFFFF"/>
          <w:lang w:val="pl-PL"/>
        </w:rPr>
        <w:t xml:space="preserve">u kobiet leczonych </w:t>
      </w:r>
      <w:r w:rsidR="00F86048" w:rsidRPr="0015541C">
        <w:rPr>
          <w:rStyle w:val="apple-converted-space"/>
          <w:color w:val="222222"/>
          <w:shd w:val="clear" w:color="auto" w:fill="FFFFFF"/>
          <w:lang w:val="pl-PL"/>
        </w:rPr>
        <w:t xml:space="preserve">bewacyzumabem </w:t>
      </w:r>
      <w:r w:rsidR="00F86048" w:rsidRPr="0015541C">
        <w:rPr>
          <w:color w:val="222222"/>
          <w:shd w:val="clear" w:color="auto" w:fill="FFFFFF"/>
          <w:lang w:val="pl-PL"/>
        </w:rPr>
        <w:t>w monoterapii lub w</w:t>
      </w:r>
      <w:r w:rsidR="00F86048" w:rsidRPr="0015541C">
        <w:rPr>
          <w:rStyle w:val="apple-converted-space"/>
          <w:color w:val="222222"/>
          <w:shd w:val="clear" w:color="auto" w:fill="FFFFFF"/>
          <w:lang w:val="pl-PL"/>
        </w:rPr>
        <w:t xml:space="preserve"> </w:t>
      </w:r>
      <w:r w:rsidR="00C03D91" w:rsidRPr="0015541C">
        <w:rPr>
          <w:color w:val="222222"/>
          <w:shd w:val="clear" w:color="auto" w:fill="FFFFFF"/>
          <w:lang w:val="pl-PL"/>
        </w:rPr>
        <w:t>skojarzeniu</w:t>
      </w:r>
      <w:r w:rsidR="00F86048" w:rsidRPr="0015541C">
        <w:rPr>
          <w:rStyle w:val="apple-converted-space"/>
          <w:color w:val="222222"/>
          <w:shd w:val="clear" w:color="auto" w:fill="FFFFFF"/>
          <w:lang w:val="pl-PL"/>
        </w:rPr>
        <w:t xml:space="preserve"> </w:t>
      </w:r>
      <w:r w:rsidR="00F86048" w:rsidRPr="0015541C">
        <w:rPr>
          <w:color w:val="222222"/>
          <w:shd w:val="clear" w:color="auto" w:fill="FFFFFF"/>
          <w:lang w:val="pl-PL"/>
        </w:rPr>
        <w:t>z chemioterapeutykami o znanym embriotoksycznym działaniu (patrz punkt 4.8)</w:t>
      </w:r>
      <w:r w:rsidR="00F86048" w:rsidRPr="0015541C">
        <w:rPr>
          <w:rStyle w:val="apple-converted-space"/>
          <w:color w:val="222222"/>
          <w:shd w:val="clear" w:color="auto" w:fill="FFFFFF"/>
          <w:lang w:val="pl-PL"/>
        </w:rPr>
        <w:t xml:space="preserve">. </w:t>
      </w:r>
      <w:r w:rsidRPr="0015541C">
        <w:rPr>
          <w:lang w:val="pl-PL"/>
        </w:rPr>
        <w:t xml:space="preserve">Stosowanie </w:t>
      </w:r>
      <w:r w:rsidR="00665A6D" w:rsidRPr="0015541C">
        <w:rPr>
          <w:lang w:val="pl-PL"/>
        </w:rPr>
        <w:t>bewacyzumab</w:t>
      </w:r>
      <w:r w:rsidRPr="0015541C">
        <w:rPr>
          <w:lang w:val="pl-PL"/>
        </w:rPr>
        <w:t xml:space="preserve">u jest przeciwwskazane w ciąży (patrz punkt 4.3). </w:t>
      </w:r>
    </w:p>
    <w:p w14:paraId="567E013E" w14:textId="77777777" w:rsidR="005B1766" w:rsidRPr="0015541C" w:rsidRDefault="005B1766" w:rsidP="00994050">
      <w:pPr>
        <w:rPr>
          <w:i/>
          <w:lang w:val="pl-PL"/>
        </w:rPr>
      </w:pPr>
    </w:p>
    <w:p w14:paraId="3B029BBD" w14:textId="77777777" w:rsidR="00994050" w:rsidRPr="0070444C" w:rsidRDefault="0027761D" w:rsidP="000437B1">
      <w:pPr>
        <w:keepNext/>
        <w:keepLines/>
        <w:rPr>
          <w:u w:val="single"/>
          <w:lang w:val="pl-PL"/>
        </w:rPr>
      </w:pPr>
      <w:r w:rsidRPr="0070444C">
        <w:rPr>
          <w:u w:val="single"/>
          <w:lang w:val="pl-PL"/>
        </w:rPr>
        <w:t>Karmienie piersią</w:t>
      </w:r>
    </w:p>
    <w:p w14:paraId="6E1D70EF" w14:textId="77777777" w:rsidR="00994050" w:rsidRPr="0015541C" w:rsidRDefault="00994050" w:rsidP="000437B1">
      <w:pPr>
        <w:keepNext/>
        <w:keepLines/>
        <w:rPr>
          <w:lang w:val="pl-PL"/>
        </w:rPr>
      </w:pPr>
      <w:r w:rsidRPr="0015541C">
        <w:rPr>
          <w:lang w:val="pl-PL"/>
        </w:rPr>
        <w:t xml:space="preserve">Nie wiadomo czy bewacyzumab przenika do mleka kobiet karmiących. Ponieważ immunoglobuliny klasy IgG matki przenikają do mleka, bewacyzumab może zaburzyć wzrost i rozwój dziecka (patrz punkt 5.3). Dlatego też nie wolno karmić piersią w trakcie terapii bewacyzumabem i w okresie przynajmniej sześciu miesięcy od otrzymania ostatniej dawki </w:t>
      </w:r>
      <w:r w:rsidR="00F30525" w:rsidRPr="0015541C">
        <w:rPr>
          <w:lang w:val="pl-PL"/>
        </w:rPr>
        <w:t>bewacyzumab</w:t>
      </w:r>
      <w:r w:rsidRPr="0015541C">
        <w:rPr>
          <w:lang w:val="pl-PL"/>
        </w:rPr>
        <w:t>u.</w:t>
      </w:r>
    </w:p>
    <w:p w14:paraId="7A826167" w14:textId="77777777" w:rsidR="0027761D" w:rsidRPr="0015541C" w:rsidRDefault="0027761D" w:rsidP="00994050">
      <w:pPr>
        <w:rPr>
          <w:lang w:val="pl-PL"/>
        </w:rPr>
      </w:pPr>
    </w:p>
    <w:p w14:paraId="76DFB1DD" w14:textId="77777777" w:rsidR="0027761D" w:rsidRPr="0070444C" w:rsidRDefault="0027761D" w:rsidP="00994050">
      <w:pPr>
        <w:rPr>
          <w:u w:val="single"/>
          <w:lang w:val="pl-PL"/>
        </w:rPr>
      </w:pPr>
      <w:r w:rsidRPr="0070444C">
        <w:rPr>
          <w:u w:val="single"/>
          <w:lang w:val="pl-PL"/>
        </w:rPr>
        <w:t>Płodność</w:t>
      </w:r>
    </w:p>
    <w:p w14:paraId="7EB75874" w14:textId="77777777" w:rsidR="00C11671" w:rsidRPr="0015541C" w:rsidRDefault="00C11671" w:rsidP="00C11671">
      <w:pPr>
        <w:rPr>
          <w:szCs w:val="22"/>
          <w:lang w:val="pl-PL"/>
        </w:rPr>
      </w:pPr>
      <w:r w:rsidRPr="0015541C">
        <w:rPr>
          <w:lang w:val="pl-PL"/>
        </w:rPr>
        <w:t>W</w:t>
      </w:r>
      <w:r w:rsidR="0027761D" w:rsidRPr="0015541C">
        <w:rPr>
          <w:lang w:val="pl-PL"/>
        </w:rPr>
        <w:t xml:space="preserve"> badaniach oceniających toksyczność </w:t>
      </w:r>
      <w:r w:rsidR="00DF7212" w:rsidRPr="0015541C">
        <w:rPr>
          <w:lang w:val="pl-PL"/>
        </w:rPr>
        <w:t>dawki powtarzanej</w:t>
      </w:r>
      <w:r w:rsidR="0027761D" w:rsidRPr="0015541C">
        <w:rPr>
          <w:lang w:val="pl-PL"/>
        </w:rPr>
        <w:t xml:space="preserve"> </w:t>
      </w:r>
      <w:r w:rsidRPr="0015541C">
        <w:rPr>
          <w:lang w:val="pl-PL"/>
        </w:rPr>
        <w:t xml:space="preserve">na modelach zwierzęcych </w:t>
      </w:r>
      <w:r w:rsidR="0027761D" w:rsidRPr="0015541C">
        <w:rPr>
          <w:lang w:val="pl-PL"/>
        </w:rPr>
        <w:t>wykazano, że bewacyzumab może mieć niekorzystny wpływ na płodność kobiet (patrz punkt 5.3).</w:t>
      </w:r>
      <w:r w:rsidRPr="0015541C">
        <w:rPr>
          <w:lang w:val="pl-PL"/>
        </w:rPr>
        <w:t xml:space="preserve"> </w:t>
      </w:r>
      <w:r w:rsidRPr="0015541C">
        <w:rPr>
          <w:szCs w:val="22"/>
          <w:lang w:val="pl-PL"/>
        </w:rPr>
        <w:t xml:space="preserve">W ramach badania </w:t>
      </w:r>
      <w:r w:rsidR="00E93E2B" w:rsidRPr="0015541C">
        <w:rPr>
          <w:szCs w:val="22"/>
          <w:lang w:val="pl-PL"/>
        </w:rPr>
        <w:t>III</w:t>
      </w:r>
      <w:r w:rsidRPr="0015541C">
        <w:rPr>
          <w:szCs w:val="22"/>
          <w:lang w:val="pl-PL"/>
        </w:rPr>
        <w:t xml:space="preserve"> fazy dotyczącego leczenia uzupełniającego chorych na raka jelita grubego przeprowadzono dodatkowe badanie obejmujące kobiety przed menopauzą. Wykazano w nim częstsze występowanie nowych przypadków niewydolności jajników w grupie kobiet leczonych bewacyzumabem w porównaniu z grupą kontrolną. Po zaprzestaniu leczenia bewacyzumabem czynność jajników powróciła u większości pacjentek. Długoterminowy wpływ leczenia bewacyzumabem na płodność nie jest znany.</w:t>
      </w:r>
    </w:p>
    <w:p w14:paraId="5AC94D01" w14:textId="77777777" w:rsidR="00994050" w:rsidRPr="0015541C" w:rsidRDefault="00994050" w:rsidP="00994050">
      <w:pPr>
        <w:rPr>
          <w:lang w:val="pl-PL"/>
        </w:rPr>
      </w:pPr>
    </w:p>
    <w:p w14:paraId="779C0ABC" w14:textId="77777777" w:rsidR="00994050" w:rsidRPr="0015541C" w:rsidRDefault="00994050" w:rsidP="00BC3A2D">
      <w:pPr>
        <w:keepNext/>
        <w:keepLines/>
        <w:ind w:left="562" w:hanging="562"/>
        <w:rPr>
          <w:b/>
          <w:lang w:val="pl-PL"/>
        </w:rPr>
      </w:pPr>
      <w:r w:rsidRPr="0015541C">
        <w:rPr>
          <w:b/>
          <w:lang w:val="pl-PL"/>
        </w:rPr>
        <w:lastRenderedPageBreak/>
        <w:t>4.7</w:t>
      </w:r>
      <w:r w:rsidRPr="0015541C">
        <w:rPr>
          <w:b/>
          <w:lang w:val="pl-PL"/>
        </w:rPr>
        <w:tab/>
        <w:t xml:space="preserve">Wpływ na zdolność prowadzenia pojazdów i obsługiwania </w:t>
      </w:r>
      <w:r w:rsidR="005B1766" w:rsidRPr="0015541C">
        <w:rPr>
          <w:b/>
          <w:lang w:val="pl-PL"/>
        </w:rPr>
        <w:t>maszyn</w:t>
      </w:r>
    </w:p>
    <w:p w14:paraId="3854B34D" w14:textId="77777777" w:rsidR="00994050" w:rsidRPr="0015541C" w:rsidRDefault="00994050" w:rsidP="00BC3A2D">
      <w:pPr>
        <w:keepNext/>
        <w:keepLines/>
        <w:rPr>
          <w:lang w:val="pl-PL"/>
        </w:rPr>
      </w:pPr>
    </w:p>
    <w:p w14:paraId="246F651E" w14:textId="77777777" w:rsidR="00C53FF5" w:rsidRPr="0015541C" w:rsidRDefault="00A5354D" w:rsidP="00650A95">
      <w:pPr>
        <w:rPr>
          <w:lang w:val="pl-PL"/>
        </w:rPr>
      </w:pPr>
      <w:r w:rsidRPr="0015541C">
        <w:rPr>
          <w:lang w:val="pl-PL"/>
        </w:rPr>
        <w:t>Bewacyzumab</w:t>
      </w:r>
      <w:r w:rsidR="00C53FF5" w:rsidRPr="0015541C">
        <w:rPr>
          <w:lang w:val="pl-PL"/>
        </w:rPr>
        <w:t xml:space="preserve"> nie </w:t>
      </w:r>
      <w:r w:rsidR="003237F5" w:rsidRPr="0015541C">
        <w:rPr>
          <w:lang w:val="pl-PL"/>
        </w:rPr>
        <w:t>ma wpływu</w:t>
      </w:r>
      <w:r w:rsidR="00C53FF5" w:rsidRPr="0015541C">
        <w:rPr>
          <w:lang w:val="pl-PL"/>
        </w:rPr>
        <w:t xml:space="preserve"> lub wywiera nieistotny wpływ na zdolność prowadzenia pojazdów i obsługiwania </w:t>
      </w:r>
      <w:r w:rsidR="003237F5" w:rsidRPr="0015541C">
        <w:rPr>
          <w:lang w:val="pl-PL"/>
        </w:rPr>
        <w:t>maszyn</w:t>
      </w:r>
      <w:r w:rsidR="00C53FF5" w:rsidRPr="0015541C">
        <w:rPr>
          <w:lang w:val="pl-PL"/>
        </w:rPr>
        <w:t xml:space="preserve">. Jednakże, </w:t>
      </w:r>
      <w:r w:rsidR="00B60E01" w:rsidRPr="0015541C">
        <w:rPr>
          <w:lang w:val="pl-PL"/>
        </w:rPr>
        <w:t xml:space="preserve">u chorych przyjmujących </w:t>
      </w:r>
      <w:r w:rsidR="00E7624C" w:rsidRPr="0015541C">
        <w:rPr>
          <w:lang w:val="pl-PL"/>
        </w:rPr>
        <w:t>bewacyzumab</w:t>
      </w:r>
      <w:r w:rsidR="00B60E01" w:rsidRPr="0015541C">
        <w:rPr>
          <w:lang w:val="pl-PL"/>
        </w:rPr>
        <w:t xml:space="preserve"> zgłaszano przypadki senności i </w:t>
      </w:r>
      <w:r w:rsidR="00B11F46" w:rsidRPr="0015541C">
        <w:rPr>
          <w:lang w:val="pl-PL"/>
        </w:rPr>
        <w:t xml:space="preserve">omdlenia </w:t>
      </w:r>
      <w:r w:rsidR="009C53E2" w:rsidRPr="0015541C">
        <w:rPr>
          <w:lang w:val="pl-PL"/>
        </w:rPr>
        <w:t>(patrz tabela 1, punkt</w:t>
      </w:r>
      <w:r w:rsidR="00C53FF5" w:rsidRPr="0015541C">
        <w:rPr>
          <w:lang w:val="pl-PL"/>
        </w:rPr>
        <w:t xml:space="preserve"> 4.8). </w:t>
      </w:r>
      <w:r w:rsidR="009C53E2" w:rsidRPr="0015541C">
        <w:rPr>
          <w:lang w:val="pl-PL"/>
        </w:rPr>
        <w:t xml:space="preserve">Pacjentom, u których występują objawy wpływające </w:t>
      </w:r>
      <w:r w:rsidR="004C532B" w:rsidRPr="0015541C">
        <w:rPr>
          <w:lang w:val="pl-PL"/>
        </w:rPr>
        <w:t xml:space="preserve">na </w:t>
      </w:r>
      <w:r w:rsidR="00C53FF5" w:rsidRPr="0015541C">
        <w:rPr>
          <w:lang w:val="pl-PL"/>
        </w:rPr>
        <w:t>wi</w:t>
      </w:r>
      <w:r w:rsidR="009C53E2" w:rsidRPr="0015541C">
        <w:rPr>
          <w:lang w:val="pl-PL"/>
        </w:rPr>
        <w:t>dzenie, koncentrację lub zdolność</w:t>
      </w:r>
      <w:r w:rsidR="00C53FF5" w:rsidRPr="0015541C">
        <w:rPr>
          <w:lang w:val="pl-PL"/>
        </w:rPr>
        <w:t xml:space="preserve"> do rea</w:t>
      </w:r>
      <w:r w:rsidR="009C53E2" w:rsidRPr="0015541C">
        <w:rPr>
          <w:lang w:val="pl-PL"/>
        </w:rPr>
        <w:t>kcji</w:t>
      </w:r>
      <w:r w:rsidR="00FA1A24" w:rsidRPr="0015541C">
        <w:rPr>
          <w:lang w:val="pl-PL"/>
        </w:rPr>
        <w:t xml:space="preserve">, </w:t>
      </w:r>
      <w:r w:rsidR="00C53FF5" w:rsidRPr="0015541C">
        <w:rPr>
          <w:lang w:val="pl-PL"/>
        </w:rPr>
        <w:t xml:space="preserve">nie zaleca się prowadzenia pojazdów i obsługiwania </w:t>
      </w:r>
      <w:r w:rsidR="00C14DD8" w:rsidRPr="0015541C">
        <w:rPr>
          <w:lang w:val="pl-PL"/>
        </w:rPr>
        <w:t>maszyn</w:t>
      </w:r>
      <w:r w:rsidR="006A310C" w:rsidRPr="0015541C">
        <w:rPr>
          <w:lang w:val="pl-PL"/>
        </w:rPr>
        <w:t xml:space="preserve"> </w:t>
      </w:r>
      <w:r w:rsidR="00C53FF5" w:rsidRPr="0015541C">
        <w:rPr>
          <w:lang w:val="pl-PL"/>
        </w:rPr>
        <w:t xml:space="preserve">do czasu ustąpienia </w:t>
      </w:r>
      <w:r w:rsidR="00C14DD8" w:rsidRPr="0015541C">
        <w:rPr>
          <w:lang w:val="pl-PL"/>
        </w:rPr>
        <w:t>tych objawó</w:t>
      </w:r>
      <w:r w:rsidR="006A310C" w:rsidRPr="0015541C">
        <w:rPr>
          <w:lang w:val="pl-PL"/>
        </w:rPr>
        <w:t>w.</w:t>
      </w:r>
    </w:p>
    <w:p w14:paraId="60870910" w14:textId="77777777" w:rsidR="00B60E01" w:rsidRPr="0015541C" w:rsidRDefault="00B60E01" w:rsidP="00994050">
      <w:pPr>
        <w:ind w:left="567" w:hanging="567"/>
        <w:rPr>
          <w:b/>
          <w:lang w:val="pl-PL"/>
        </w:rPr>
      </w:pPr>
    </w:p>
    <w:p w14:paraId="37738A7F" w14:textId="77777777" w:rsidR="00994050" w:rsidRPr="0015541C" w:rsidRDefault="00994050" w:rsidP="0009262C">
      <w:pPr>
        <w:keepNext/>
        <w:ind w:left="567" w:hanging="567"/>
        <w:rPr>
          <w:b/>
          <w:lang w:val="pl-PL"/>
        </w:rPr>
      </w:pPr>
      <w:r w:rsidRPr="0015541C">
        <w:rPr>
          <w:b/>
          <w:lang w:val="pl-PL"/>
        </w:rPr>
        <w:t>4.8</w:t>
      </w:r>
      <w:r w:rsidRPr="0015541C">
        <w:rPr>
          <w:b/>
          <w:lang w:val="pl-PL"/>
        </w:rPr>
        <w:tab/>
        <w:t>Działania niepożądane</w:t>
      </w:r>
    </w:p>
    <w:p w14:paraId="66950240" w14:textId="77777777" w:rsidR="00994050" w:rsidRPr="0015541C" w:rsidRDefault="00994050" w:rsidP="0009262C">
      <w:pPr>
        <w:keepNext/>
        <w:rPr>
          <w:lang w:val="pl-PL"/>
        </w:rPr>
      </w:pPr>
    </w:p>
    <w:p w14:paraId="7D844277" w14:textId="77777777" w:rsidR="00C53FF5" w:rsidRPr="0015541C" w:rsidRDefault="00C53FF5" w:rsidP="0009262C">
      <w:pPr>
        <w:keepNext/>
        <w:rPr>
          <w:u w:val="single"/>
          <w:lang w:val="pl-PL"/>
        </w:rPr>
      </w:pPr>
      <w:r w:rsidRPr="0015541C">
        <w:rPr>
          <w:u w:val="single"/>
          <w:lang w:val="pl-PL"/>
        </w:rPr>
        <w:t>Podsumowanie profilu bezpieczeństwa</w:t>
      </w:r>
    </w:p>
    <w:p w14:paraId="55F6BAAD" w14:textId="77777777" w:rsidR="00C53FF5" w:rsidRPr="0015541C" w:rsidRDefault="00C53FF5" w:rsidP="0009262C">
      <w:pPr>
        <w:keepNext/>
        <w:rPr>
          <w:lang w:val="pl-PL"/>
        </w:rPr>
      </w:pPr>
    </w:p>
    <w:p w14:paraId="75646AF7" w14:textId="77777777" w:rsidR="00994050" w:rsidRPr="0015541C" w:rsidRDefault="00994050" w:rsidP="0009262C">
      <w:pPr>
        <w:keepNext/>
        <w:rPr>
          <w:lang w:val="pl-PL"/>
        </w:rPr>
      </w:pPr>
      <w:r w:rsidRPr="0015541C">
        <w:rPr>
          <w:lang w:val="pl-PL"/>
        </w:rPr>
        <w:t xml:space="preserve">Sumaryczny profil bezpieczeństwa </w:t>
      </w:r>
      <w:r w:rsidR="00FB67CC" w:rsidRPr="0015541C">
        <w:rPr>
          <w:lang w:val="pl-PL"/>
        </w:rPr>
        <w:t>bewacyzumabu</w:t>
      </w:r>
      <w:r w:rsidR="003F3E4A" w:rsidRPr="0015541C">
        <w:rPr>
          <w:lang w:val="pl-PL"/>
        </w:rPr>
        <w:t xml:space="preserve"> </w:t>
      </w:r>
      <w:r w:rsidRPr="0015541C">
        <w:rPr>
          <w:lang w:val="pl-PL"/>
        </w:rPr>
        <w:t xml:space="preserve">jest oparty na danych pochodzących od </w:t>
      </w:r>
      <w:r w:rsidR="000476DA" w:rsidRPr="0015541C">
        <w:rPr>
          <w:lang w:val="pl-PL"/>
        </w:rPr>
        <w:t>5</w:t>
      </w:r>
      <w:r w:rsidR="00E26196" w:rsidRPr="0015541C">
        <w:rPr>
          <w:lang w:val="pl-PL"/>
        </w:rPr>
        <w:t> </w:t>
      </w:r>
      <w:r w:rsidR="00F36C47" w:rsidRPr="0015541C">
        <w:rPr>
          <w:lang w:val="pl-PL"/>
        </w:rPr>
        <w:t>7</w:t>
      </w:r>
      <w:r w:rsidR="000476DA" w:rsidRPr="0015541C">
        <w:rPr>
          <w:lang w:val="pl-PL"/>
        </w:rPr>
        <w:t>00</w:t>
      </w:r>
      <w:r w:rsidRPr="0015541C">
        <w:rPr>
          <w:lang w:val="pl-PL"/>
        </w:rPr>
        <w:t xml:space="preserve"> pacjentów z różnymi nowotworami, w większości otrzymujących </w:t>
      </w:r>
      <w:r w:rsidR="00B80C9E" w:rsidRPr="0015541C">
        <w:rPr>
          <w:lang w:val="pl-PL"/>
        </w:rPr>
        <w:t>bewacyzumab</w:t>
      </w:r>
      <w:r w:rsidRPr="0015541C">
        <w:rPr>
          <w:lang w:val="pl-PL"/>
        </w:rPr>
        <w:t xml:space="preserve"> w skojarzeniu z chemioterapią w ramach badań klinicznych.</w:t>
      </w:r>
    </w:p>
    <w:p w14:paraId="28688A0E" w14:textId="77777777" w:rsidR="00994050" w:rsidRPr="0015541C" w:rsidRDefault="00994050" w:rsidP="00994050">
      <w:pPr>
        <w:rPr>
          <w:lang w:val="pl-PL"/>
        </w:rPr>
      </w:pPr>
    </w:p>
    <w:p w14:paraId="4D850C88" w14:textId="77777777" w:rsidR="00994050" w:rsidRPr="0015541C" w:rsidRDefault="00994050" w:rsidP="00DC10D0">
      <w:pPr>
        <w:keepNext/>
        <w:keepLines/>
        <w:rPr>
          <w:lang w:val="pl-PL"/>
        </w:rPr>
      </w:pPr>
      <w:r w:rsidRPr="0015541C">
        <w:rPr>
          <w:lang w:val="pl-PL"/>
        </w:rPr>
        <w:t>Do najcięższych działań niepożądanych należały:</w:t>
      </w:r>
    </w:p>
    <w:p w14:paraId="043EA842" w14:textId="77777777" w:rsidR="00994050" w:rsidRPr="0015541C" w:rsidRDefault="00994050" w:rsidP="00DC10D0">
      <w:pPr>
        <w:keepNext/>
        <w:keepLines/>
        <w:ind w:left="540" w:hanging="540"/>
        <w:rPr>
          <w:lang w:val="pl-PL"/>
        </w:rPr>
      </w:pPr>
      <w:r w:rsidRPr="0015541C">
        <w:rPr>
          <w:lang w:val="pl-PL"/>
        </w:rPr>
        <w:sym w:font="Symbol" w:char="F0B7"/>
      </w:r>
      <w:r w:rsidRPr="0015541C">
        <w:rPr>
          <w:lang w:val="pl-PL"/>
        </w:rPr>
        <w:tab/>
        <w:t>Perforacje żołądkowo-jelitowe (patrz punkt 4.4).</w:t>
      </w:r>
    </w:p>
    <w:p w14:paraId="72C9A033" w14:textId="77777777" w:rsidR="00994050" w:rsidRPr="00260CEC" w:rsidRDefault="00994050" w:rsidP="00DC10D0">
      <w:pPr>
        <w:keepNext/>
        <w:keepLines/>
        <w:ind w:left="540" w:hanging="540"/>
        <w:rPr>
          <w:lang w:val="pl-PL"/>
        </w:rPr>
      </w:pPr>
      <w:r w:rsidRPr="0015541C">
        <w:rPr>
          <w:lang w:val="pl-PL"/>
        </w:rPr>
        <w:sym w:font="Symbol" w:char="F0B7"/>
      </w:r>
      <w:r w:rsidRPr="0015541C">
        <w:rPr>
          <w:lang w:val="pl-PL"/>
        </w:rPr>
        <w:tab/>
        <w:t>Krwotoki, w tym krwotoki płucne/krwioplucie, częściej występujące u pacjentów z niedrobnokomórkowym rakiem płuca (patrz punkt 4.4).</w:t>
      </w:r>
    </w:p>
    <w:p w14:paraId="3C13B585" w14:textId="77777777" w:rsidR="00994050" w:rsidRPr="00260CEC" w:rsidRDefault="00994050" w:rsidP="00DC10D0">
      <w:pPr>
        <w:keepNext/>
        <w:keepLines/>
        <w:ind w:left="540" w:hanging="540"/>
        <w:rPr>
          <w:lang w:val="pl-PL"/>
        </w:rPr>
      </w:pPr>
      <w:r w:rsidRPr="0015541C">
        <w:rPr>
          <w:lang w:val="pl-PL"/>
        </w:rPr>
        <w:sym w:font="Symbol" w:char="F0B7"/>
      </w:r>
      <w:r w:rsidRPr="0015541C">
        <w:rPr>
          <w:lang w:val="pl-PL"/>
        </w:rPr>
        <w:tab/>
        <w:t>Tętnicza zakrzepica zatorowa (patrz punkt 4.4).</w:t>
      </w:r>
    </w:p>
    <w:p w14:paraId="5B2785DB" w14:textId="77777777" w:rsidR="00994050" w:rsidRPr="0015541C" w:rsidRDefault="00994050" w:rsidP="00994050">
      <w:pPr>
        <w:rPr>
          <w:lang w:val="pl-PL"/>
        </w:rPr>
      </w:pPr>
    </w:p>
    <w:p w14:paraId="16471AE5" w14:textId="77777777" w:rsidR="00994050" w:rsidRPr="0015541C" w:rsidRDefault="00994050" w:rsidP="00994050">
      <w:pPr>
        <w:rPr>
          <w:lang w:val="pl-PL"/>
        </w:rPr>
      </w:pPr>
      <w:r w:rsidRPr="0015541C">
        <w:rPr>
          <w:lang w:val="pl-PL"/>
        </w:rPr>
        <w:t>Do najczęściej obserwowanych działań niepożądanych</w:t>
      </w:r>
      <w:r w:rsidR="005E74F7" w:rsidRPr="0015541C">
        <w:rPr>
          <w:lang w:val="pl-PL"/>
        </w:rPr>
        <w:t xml:space="preserve"> </w:t>
      </w:r>
      <w:r w:rsidRPr="0015541C">
        <w:rPr>
          <w:lang w:val="pl-PL"/>
        </w:rPr>
        <w:t xml:space="preserve">we wszystkich badaniach klinicznych, u pacjentów otrzymujących </w:t>
      </w:r>
      <w:r w:rsidR="008D548F" w:rsidRPr="0015541C">
        <w:rPr>
          <w:lang w:val="pl-PL"/>
        </w:rPr>
        <w:t>bewacyzumab</w:t>
      </w:r>
      <w:r w:rsidRPr="0015541C">
        <w:rPr>
          <w:lang w:val="pl-PL"/>
        </w:rPr>
        <w:t xml:space="preserve"> należały nadciśnienie</w:t>
      </w:r>
      <w:r w:rsidR="00D33AC2" w:rsidRPr="0015541C">
        <w:rPr>
          <w:lang w:val="pl-PL"/>
        </w:rPr>
        <w:t xml:space="preserve"> tętnicze</w:t>
      </w:r>
      <w:r w:rsidRPr="0015541C">
        <w:rPr>
          <w:lang w:val="pl-PL"/>
        </w:rPr>
        <w:t>, zmęczenie lub osłabienie, biegunka oraz ból brzucha.</w:t>
      </w:r>
    </w:p>
    <w:p w14:paraId="40DF9217" w14:textId="77777777" w:rsidR="00994050" w:rsidRPr="0015541C" w:rsidRDefault="00994050" w:rsidP="00994050">
      <w:pPr>
        <w:rPr>
          <w:lang w:val="pl-PL"/>
        </w:rPr>
      </w:pPr>
    </w:p>
    <w:p w14:paraId="5BF46075" w14:textId="77777777" w:rsidR="00994050" w:rsidRPr="0015541C" w:rsidRDefault="00994050" w:rsidP="00994050">
      <w:pPr>
        <w:rPr>
          <w:lang w:val="pl-PL"/>
        </w:rPr>
      </w:pPr>
      <w:r w:rsidRPr="0015541C">
        <w:rPr>
          <w:lang w:val="pl-PL"/>
        </w:rPr>
        <w:t xml:space="preserve">Z analizy danych dotyczących bezpieczeństwa wydaje się, że występowanie nadciśnienia </w:t>
      </w:r>
      <w:r w:rsidR="008B6FF2" w:rsidRPr="0015541C">
        <w:rPr>
          <w:lang w:val="pl-PL"/>
        </w:rPr>
        <w:t xml:space="preserve">tętniczego </w:t>
      </w:r>
      <w:r w:rsidR="008B6FF2" w:rsidRPr="0015541C">
        <w:rPr>
          <w:lang w:val="pl-PL"/>
        </w:rPr>
        <w:br/>
      </w:r>
      <w:r w:rsidRPr="0015541C">
        <w:rPr>
          <w:lang w:val="pl-PL"/>
        </w:rPr>
        <w:t xml:space="preserve">i białkomoczu w trakcie terapii lekiem </w:t>
      </w:r>
      <w:r w:rsidR="008D548F" w:rsidRPr="0015541C">
        <w:rPr>
          <w:lang w:val="pl-PL"/>
        </w:rPr>
        <w:t>bewacyzumab</w:t>
      </w:r>
      <w:r w:rsidRPr="0015541C">
        <w:rPr>
          <w:lang w:val="pl-PL"/>
        </w:rPr>
        <w:t xml:space="preserve"> prawdopodobnie zależy od dawki leku.</w:t>
      </w:r>
    </w:p>
    <w:p w14:paraId="49255C1E" w14:textId="77777777" w:rsidR="00247D7C" w:rsidRPr="0015541C" w:rsidRDefault="00247D7C" w:rsidP="00994050">
      <w:pPr>
        <w:rPr>
          <w:lang w:val="pl-PL"/>
        </w:rPr>
      </w:pPr>
    </w:p>
    <w:p w14:paraId="394BCF27" w14:textId="77777777" w:rsidR="00C53FF5" w:rsidRPr="0015541C" w:rsidRDefault="00C53FF5" w:rsidP="008800D7">
      <w:pPr>
        <w:rPr>
          <w:u w:val="single"/>
          <w:lang w:val="pl-PL"/>
        </w:rPr>
      </w:pPr>
      <w:r w:rsidRPr="0015541C">
        <w:rPr>
          <w:u w:val="single"/>
          <w:lang w:val="pl-PL"/>
        </w:rPr>
        <w:t>Tabelaryczne zestawienie działań niepożądanych</w:t>
      </w:r>
    </w:p>
    <w:p w14:paraId="2C56E65B" w14:textId="77777777" w:rsidR="00C53FF5" w:rsidRPr="0015541C" w:rsidRDefault="00C53FF5" w:rsidP="008800D7">
      <w:pPr>
        <w:rPr>
          <w:lang w:val="pl-PL"/>
        </w:rPr>
      </w:pPr>
    </w:p>
    <w:p w14:paraId="1CD00D13" w14:textId="77777777" w:rsidR="008800D7" w:rsidRPr="0015541C" w:rsidRDefault="008800D7" w:rsidP="008800D7">
      <w:pPr>
        <w:rPr>
          <w:lang w:val="pl-PL"/>
        </w:rPr>
      </w:pPr>
      <w:r w:rsidRPr="0015541C">
        <w:rPr>
          <w:lang w:val="pl-PL"/>
        </w:rPr>
        <w:t xml:space="preserve">Działania niepożądane wymienione w tym punkcie zostały uporządkowane wg następujących kategorii częstości występowania: bardzo często </w:t>
      </w:r>
      <w:r w:rsidRPr="0015541C">
        <w:rPr>
          <w:rFonts w:hint="eastAsia"/>
          <w:lang w:val="pl-PL"/>
        </w:rPr>
        <w:t>(</w:t>
      </w:r>
      <w:r w:rsidRPr="0015541C">
        <w:rPr>
          <w:rFonts w:hint="eastAsia"/>
          <w:lang w:val="pl-PL"/>
        </w:rPr>
        <w:t>≥</w:t>
      </w:r>
      <w:r w:rsidRPr="0015541C">
        <w:rPr>
          <w:rFonts w:hint="eastAsia"/>
          <w:lang w:val="pl-PL"/>
        </w:rPr>
        <w:t>1/10);</w:t>
      </w:r>
      <w:r w:rsidRPr="0015541C">
        <w:rPr>
          <w:lang w:val="pl-PL"/>
        </w:rPr>
        <w:t xml:space="preserve"> często </w:t>
      </w:r>
      <w:r w:rsidRPr="0015541C">
        <w:rPr>
          <w:rFonts w:hint="eastAsia"/>
          <w:lang w:val="pl-PL"/>
        </w:rPr>
        <w:t>(</w:t>
      </w:r>
      <w:r w:rsidRPr="0015541C">
        <w:rPr>
          <w:rFonts w:hint="eastAsia"/>
          <w:lang w:val="pl-PL"/>
        </w:rPr>
        <w:t>≥</w:t>
      </w:r>
      <w:r w:rsidRPr="0015541C">
        <w:rPr>
          <w:rFonts w:hint="eastAsia"/>
          <w:lang w:val="pl-PL"/>
        </w:rPr>
        <w:t>1/100</w:t>
      </w:r>
      <w:r w:rsidRPr="0015541C">
        <w:rPr>
          <w:lang w:val="pl-PL"/>
        </w:rPr>
        <w:t xml:space="preserve"> do &lt;1/10); niezbyt często </w:t>
      </w:r>
      <w:r w:rsidRPr="0015541C">
        <w:rPr>
          <w:rFonts w:hint="eastAsia"/>
          <w:lang w:val="pl-PL"/>
        </w:rPr>
        <w:t>(</w:t>
      </w:r>
      <w:r w:rsidRPr="0015541C">
        <w:rPr>
          <w:rFonts w:hint="eastAsia"/>
          <w:lang w:val="pl-PL"/>
        </w:rPr>
        <w:t>≥</w:t>
      </w:r>
      <w:r w:rsidRPr="0015541C">
        <w:rPr>
          <w:rFonts w:hint="eastAsia"/>
          <w:lang w:val="pl-PL"/>
        </w:rPr>
        <w:t>1/1 000</w:t>
      </w:r>
      <w:r w:rsidRPr="0015541C">
        <w:rPr>
          <w:lang w:val="pl-PL"/>
        </w:rPr>
        <w:t xml:space="preserve"> do &lt;1/100); rzadko </w:t>
      </w:r>
      <w:r w:rsidRPr="0015541C">
        <w:rPr>
          <w:rFonts w:hint="eastAsia"/>
          <w:lang w:val="pl-PL"/>
        </w:rPr>
        <w:t>(</w:t>
      </w:r>
      <w:r w:rsidRPr="0015541C">
        <w:rPr>
          <w:rFonts w:hint="eastAsia"/>
          <w:lang w:val="pl-PL"/>
        </w:rPr>
        <w:t>≥</w:t>
      </w:r>
      <w:r w:rsidRPr="0015541C">
        <w:rPr>
          <w:rFonts w:hint="eastAsia"/>
          <w:lang w:val="pl-PL"/>
        </w:rPr>
        <w:t>1/10 000</w:t>
      </w:r>
      <w:r w:rsidRPr="0015541C">
        <w:rPr>
          <w:lang w:val="pl-PL"/>
        </w:rPr>
        <w:t xml:space="preserve"> do &lt;1/1 000); bardzo rzadko (&lt;1/10 000); częstość nieznana (nie może być określona na podstawie dostępnych danych).</w:t>
      </w:r>
    </w:p>
    <w:p w14:paraId="74924779" w14:textId="77777777" w:rsidR="008800D7" w:rsidRPr="0015541C" w:rsidRDefault="008800D7" w:rsidP="008800D7">
      <w:pPr>
        <w:rPr>
          <w:lang w:val="pl-PL"/>
        </w:rPr>
      </w:pPr>
    </w:p>
    <w:p w14:paraId="2ACCE84A" w14:textId="4FFBB0A1" w:rsidR="00770AC9" w:rsidRPr="0015541C" w:rsidRDefault="008800D7" w:rsidP="008800D7">
      <w:pPr>
        <w:rPr>
          <w:lang w:val="pl-PL"/>
        </w:rPr>
      </w:pPr>
      <w:r w:rsidRPr="0015541C">
        <w:rPr>
          <w:lang w:val="pl-PL"/>
        </w:rPr>
        <w:t xml:space="preserve">W Tabelach 1 i 2 przedstawiono działania niepożądane związane ze stosowaniem </w:t>
      </w:r>
      <w:r w:rsidR="003769F0" w:rsidRPr="0015541C">
        <w:rPr>
          <w:lang w:val="pl-PL"/>
        </w:rPr>
        <w:t>bewacyzumab</w:t>
      </w:r>
      <w:r w:rsidRPr="0015541C">
        <w:rPr>
          <w:lang w:val="pl-PL"/>
        </w:rPr>
        <w:t>u w skojarzeniu z różnymi rodzajami chemioterapii w licznych wskazaniach</w:t>
      </w:r>
      <w:r w:rsidR="00E50792" w:rsidRPr="0015541C">
        <w:rPr>
          <w:lang w:val="pl-PL"/>
        </w:rPr>
        <w:t xml:space="preserve">, </w:t>
      </w:r>
      <w:r w:rsidR="009B476A" w:rsidRPr="0015541C">
        <w:rPr>
          <w:lang w:val="pl-PL"/>
        </w:rPr>
        <w:t>zgodnie z</w:t>
      </w:r>
      <w:r w:rsidR="00E50792" w:rsidRPr="0015541C">
        <w:rPr>
          <w:lang w:val="pl-PL"/>
        </w:rPr>
        <w:t xml:space="preserve"> klasyfikacj</w:t>
      </w:r>
      <w:r w:rsidR="009B476A" w:rsidRPr="0015541C">
        <w:rPr>
          <w:lang w:val="pl-PL"/>
        </w:rPr>
        <w:t>ą</w:t>
      </w:r>
      <w:r w:rsidR="00E50792" w:rsidRPr="0015541C">
        <w:rPr>
          <w:lang w:val="pl-PL"/>
        </w:rPr>
        <w:t xml:space="preserve"> układów i narządów MedDRA.</w:t>
      </w:r>
    </w:p>
    <w:p w14:paraId="11F83820" w14:textId="77777777" w:rsidR="00770AC9" w:rsidRPr="0015541C" w:rsidRDefault="00770AC9" w:rsidP="008800D7">
      <w:pPr>
        <w:rPr>
          <w:lang w:val="pl-PL"/>
        </w:rPr>
      </w:pPr>
    </w:p>
    <w:p w14:paraId="7A8DE3E9" w14:textId="77777777" w:rsidR="008800D7" w:rsidRPr="0015541C" w:rsidRDefault="008800D7" w:rsidP="008800D7">
      <w:pPr>
        <w:rPr>
          <w:lang w:val="pl-PL"/>
        </w:rPr>
      </w:pPr>
      <w:r w:rsidRPr="0015541C">
        <w:rPr>
          <w:lang w:val="pl-PL"/>
        </w:rPr>
        <w:t xml:space="preserve">Tabela 1 zawiera wszystkie działania niepożądane według częstości występowania, które zostały ocenione jako mające związek ze stosowaniem </w:t>
      </w:r>
      <w:r w:rsidR="008D1C16" w:rsidRPr="0015541C">
        <w:rPr>
          <w:lang w:val="pl-PL"/>
        </w:rPr>
        <w:t>bewacyzumab</w:t>
      </w:r>
      <w:r w:rsidRPr="0015541C">
        <w:rPr>
          <w:lang w:val="pl-PL"/>
        </w:rPr>
        <w:t>u na podstawie:</w:t>
      </w:r>
    </w:p>
    <w:p w14:paraId="306D5C01" w14:textId="7921130B" w:rsidR="008800D7" w:rsidRPr="0015541C" w:rsidRDefault="008800D7" w:rsidP="00BE1B58">
      <w:pPr>
        <w:ind w:left="567" w:hanging="567"/>
        <w:rPr>
          <w:lang w:val="pl-PL"/>
        </w:rPr>
      </w:pPr>
      <w:r w:rsidRPr="0015541C">
        <w:rPr>
          <w:lang w:val="pl-PL"/>
        </w:rPr>
        <w:sym w:font="Symbol" w:char="F0B7"/>
      </w:r>
      <w:r w:rsidRPr="0015541C">
        <w:rPr>
          <w:lang w:val="pl-PL"/>
        </w:rPr>
        <w:tab/>
        <w:t>porównania częstości działań niepożądanych pomiędzy ramionami badań klinicznych otrzymującymi bewacyzumab (z przynajmniej 10% różnicą w porównaniu do grupy kontrolnej dla reakcji w stopniu nasilenia 1-5 wg skali NCI</w:t>
      </w:r>
      <w:r w:rsidR="00715294" w:rsidRPr="00260CEC">
        <w:rPr>
          <w:lang w:val="pl-PL"/>
        </w:rPr>
        <w:noBreakHyphen/>
      </w:r>
      <w:r w:rsidRPr="0015541C">
        <w:rPr>
          <w:lang w:val="pl-PL"/>
        </w:rPr>
        <w:t>CTCAE lub przynajmniej 2% różnicą w porównaniu do grupy kontrolnej dla rea</w:t>
      </w:r>
      <w:r w:rsidR="00D74386" w:rsidRPr="0015541C">
        <w:rPr>
          <w:lang w:val="pl-PL"/>
        </w:rPr>
        <w:t>k</w:t>
      </w:r>
      <w:r w:rsidRPr="0015541C">
        <w:rPr>
          <w:lang w:val="pl-PL"/>
        </w:rPr>
        <w:t>cji w stopniu nasilenia 3-5 wg skali NCI</w:t>
      </w:r>
      <w:r w:rsidR="00715294" w:rsidRPr="0015541C">
        <w:rPr>
          <w:lang w:val="pl-PL"/>
        </w:rPr>
        <w:noBreakHyphen/>
      </w:r>
      <w:r w:rsidRPr="0015541C">
        <w:rPr>
          <w:lang w:val="pl-PL"/>
        </w:rPr>
        <w:t>CTCAE),</w:t>
      </w:r>
    </w:p>
    <w:p w14:paraId="6E6F5DAA" w14:textId="77777777" w:rsidR="008800D7" w:rsidRPr="00260CEC" w:rsidRDefault="008800D7" w:rsidP="00BE1B58">
      <w:pPr>
        <w:ind w:left="567" w:hanging="567"/>
        <w:rPr>
          <w:lang w:val="pl-PL"/>
        </w:rPr>
      </w:pPr>
      <w:r w:rsidRPr="0015541C">
        <w:rPr>
          <w:lang w:val="pl-PL"/>
        </w:rPr>
        <w:sym w:font="Symbol" w:char="F0B7"/>
      </w:r>
      <w:r w:rsidRPr="0015541C">
        <w:rPr>
          <w:lang w:val="pl-PL"/>
        </w:rPr>
        <w:tab/>
        <w:t xml:space="preserve">badań dotyczących bezpieczeństwa stosowania produktu po wprowadzeniu do obrotu, </w:t>
      </w:r>
    </w:p>
    <w:p w14:paraId="416931A7" w14:textId="77777777" w:rsidR="008800D7" w:rsidRPr="0015541C" w:rsidRDefault="008800D7" w:rsidP="00BE1B58">
      <w:pPr>
        <w:ind w:left="567" w:hanging="567"/>
        <w:rPr>
          <w:lang w:val="pl-PL"/>
        </w:rPr>
      </w:pPr>
      <w:r w:rsidRPr="0015541C">
        <w:rPr>
          <w:lang w:val="pl-PL"/>
        </w:rPr>
        <w:sym w:font="Symbol" w:char="F0B7"/>
      </w:r>
      <w:r w:rsidRPr="0015541C">
        <w:rPr>
          <w:lang w:val="pl-PL"/>
        </w:rPr>
        <w:tab/>
        <w:t xml:space="preserve">spontanicznego zgłaszania działań niepożądanych, </w:t>
      </w:r>
    </w:p>
    <w:p w14:paraId="7BA2A6E9" w14:textId="77777777" w:rsidR="008800D7" w:rsidRPr="0015541C" w:rsidRDefault="008800D7" w:rsidP="00BE1B58">
      <w:pPr>
        <w:ind w:left="567" w:hanging="567"/>
        <w:rPr>
          <w:lang w:val="pl-PL"/>
        </w:rPr>
      </w:pPr>
      <w:r w:rsidRPr="0015541C">
        <w:rPr>
          <w:lang w:val="pl-PL"/>
        </w:rPr>
        <w:sym w:font="Symbol" w:char="F0B7"/>
      </w:r>
      <w:r w:rsidRPr="0015541C">
        <w:rPr>
          <w:lang w:val="pl-PL"/>
        </w:rPr>
        <w:tab/>
        <w:t xml:space="preserve">badań epidemiologicznych/nieinterwencyjnych lub obserwacyjnych, </w:t>
      </w:r>
    </w:p>
    <w:p w14:paraId="29EA3148" w14:textId="77777777" w:rsidR="008800D7" w:rsidRPr="00260CEC" w:rsidRDefault="008800D7" w:rsidP="00BE1B58">
      <w:pPr>
        <w:ind w:left="567" w:hanging="567"/>
        <w:rPr>
          <w:lang w:val="pl-PL"/>
        </w:rPr>
      </w:pPr>
      <w:r w:rsidRPr="0015541C">
        <w:rPr>
          <w:lang w:val="pl-PL"/>
        </w:rPr>
        <w:sym w:font="Symbol" w:char="F0B7"/>
      </w:r>
      <w:r w:rsidRPr="0015541C">
        <w:rPr>
          <w:lang w:val="pl-PL"/>
        </w:rPr>
        <w:tab/>
        <w:t>lub na podstawie oceny zgłoszeń pojedynczych przypadków działań niepożądanych.</w:t>
      </w:r>
    </w:p>
    <w:p w14:paraId="18715BB8" w14:textId="77777777" w:rsidR="008800D7" w:rsidRPr="0015541C" w:rsidRDefault="008800D7" w:rsidP="008800D7">
      <w:pPr>
        <w:rPr>
          <w:lang w:val="pl-PL"/>
        </w:rPr>
      </w:pPr>
    </w:p>
    <w:p w14:paraId="4FD85D09" w14:textId="04E4881B" w:rsidR="008800D7" w:rsidRPr="0015541C" w:rsidRDefault="008800D7" w:rsidP="008800D7">
      <w:pPr>
        <w:rPr>
          <w:lang w:val="pl-PL"/>
        </w:rPr>
      </w:pPr>
      <w:r w:rsidRPr="0015541C">
        <w:rPr>
          <w:lang w:val="pl-PL"/>
        </w:rPr>
        <w:t>Tabela 2 zawiera częstość występowania ciężkich działań niepożądanych. Ciężkie działania niepożądane zostały określone jako obserwowane z przynajmniej 2% różnicą w porównaniu do grupy kontrolnej dla reakcji w stopniu nasilenia 3-5 wg skali NCI</w:t>
      </w:r>
      <w:r w:rsidR="00715294" w:rsidRPr="0015541C">
        <w:rPr>
          <w:lang w:val="pl-PL"/>
        </w:rPr>
        <w:noBreakHyphen/>
      </w:r>
      <w:r w:rsidRPr="0015541C">
        <w:rPr>
          <w:lang w:val="pl-PL"/>
        </w:rPr>
        <w:t>CTCAE. Tabela 2 zawiera również działania niepożądane, które zostały uznane przez podmiot odpowiedzialny za mające znaczenie kliniczne lub ciężkie.</w:t>
      </w:r>
    </w:p>
    <w:p w14:paraId="3A760F24" w14:textId="77777777" w:rsidR="008800D7" w:rsidRPr="0015541C" w:rsidRDefault="008800D7" w:rsidP="008800D7">
      <w:pPr>
        <w:rPr>
          <w:lang w:val="pl-PL"/>
        </w:rPr>
      </w:pPr>
    </w:p>
    <w:p w14:paraId="5E2FAEFE" w14:textId="77777777" w:rsidR="008800D7" w:rsidRPr="0015541C" w:rsidRDefault="008800D7" w:rsidP="008800D7">
      <w:pPr>
        <w:rPr>
          <w:lang w:val="pl-PL"/>
        </w:rPr>
      </w:pPr>
      <w:r w:rsidRPr="0015541C">
        <w:rPr>
          <w:lang w:val="pl-PL"/>
        </w:rPr>
        <w:t>W stosownych przypadkach w Tabelach 1 i 2 przedstawiono działania niepożądane obserwowane po wprowadzeniu produktu do obrotu. Szczegółowe informacje na temat działań niepożądanych obserwowanych po wprowadzeniu produktu do obrotu zawiera Tabela 3.</w:t>
      </w:r>
    </w:p>
    <w:p w14:paraId="66593B16" w14:textId="77777777" w:rsidR="008800D7" w:rsidRPr="0015541C" w:rsidRDefault="008800D7" w:rsidP="008800D7">
      <w:pPr>
        <w:rPr>
          <w:lang w:val="pl-PL"/>
        </w:rPr>
      </w:pPr>
    </w:p>
    <w:p w14:paraId="083C9BA7" w14:textId="77777777" w:rsidR="008800D7" w:rsidRPr="0015541C" w:rsidRDefault="008800D7" w:rsidP="008800D7">
      <w:pPr>
        <w:rPr>
          <w:lang w:val="pl-PL"/>
        </w:rPr>
      </w:pPr>
      <w:r w:rsidRPr="0015541C">
        <w:rPr>
          <w:lang w:val="pl-PL"/>
        </w:rPr>
        <w:t>Działania niepożądane przedstawione poniżej w tabelach były dodawane do odpowiedniej kategorii częstości występowania według największej częstości występowania w dowolnym wskazaniu.</w:t>
      </w:r>
    </w:p>
    <w:p w14:paraId="182C1549" w14:textId="77777777" w:rsidR="00770AC9" w:rsidRPr="0015541C" w:rsidRDefault="008800D7" w:rsidP="008800D7">
      <w:pPr>
        <w:rPr>
          <w:lang w:val="pl-PL"/>
        </w:rPr>
      </w:pPr>
      <w:r w:rsidRPr="0015541C">
        <w:rPr>
          <w:lang w:val="pl-PL"/>
        </w:rPr>
        <w:t>W obrębie każdej kategorii częstości występowania, działania niepożądane zostały wymienione według malejącego stopnia ciężkości.</w:t>
      </w:r>
    </w:p>
    <w:p w14:paraId="6E394D29" w14:textId="77777777" w:rsidR="00BE1B58" w:rsidRPr="0015541C" w:rsidRDefault="00BE1B58" w:rsidP="008800D7">
      <w:pPr>
        <w:rPr>
          <w:lang w:val="pl-PL"/>
        </w:rPr>
      </w:pPr>
    </w:p>
    <w:p w14:paraId="27520E37" w14:textId="77777777" w:rsidR="008800D7" w:rsidRPr="0015541C" w:rsidRDefault="00BE1B58" w:rsidP="008800D7">
      <w:pPr>
        <w:rPr>
          <w:lang w:val="pl-PL"/>
        </w:rPr>
      </w:pPr>
      <w:r w:rsidRPr="0015541C">
        <w:rPr>
          <w:lang w:val="pl-PL"/>
        </w:rPr>
        <w:t xml:space="preserve">Niektóre </w:t>
      </w:r>
      <w:r w:rsidR="008800D7" w:rsidRPr="0015541C">
        <w:rPr>
          <w:lang w:val="pl-PL"/>
        </w:rPr>
        <w:t>działa</w:t>
      </w:r>
      <w:r w:rsidRPr="0015541C">
        <w:rPr>
          <w:lang w:val="pl-PL"/>
        </w:rPr>
        <w:t>nia</w:t>
      </w:r>
      <w:r w:rsidR="008800D7" w:rsidRPr="0015541C">
        <w:rPr>
          <w:lang w:val="pl-PL"/>
        </w:rPr>
        <w:t xml:space="preserve"> niepożądan</w:t>
      </w:r>
      <w:r w:rsidRPr="0015541C">
        <w:rPr>
          <w:lang w:val="pl-PL"/>
        </w:rPr>
        <w:t>e</w:t>
      </w:r>
      <w:r w:rsidR="008800D7" w:rsidRPr="0015541C">
        <w:rPr>
          <w:lang w:val="pl-PL"/>
        </w:rPr>
        <w:t xml:space="preserve"> występuj</w:t>
      </w:r>
      <w:r w:rsidRPr="0015541C">
        <w:rPr>
          <w:lang w:val="pl-PL"/>
        </w:rPr>
        <w:t>ą</w:t>
      </w:r>
      <w:r w:rsidR="008800D7" w:rsidRPr="0015541C">
        <w:rPr>
          <w:lang w:val="pl-PL"/>
        </w:rPr>
        <w:t xml:space="preserve"> </w:t>
      </w:r>
      <w:r w:rsidRPr="0015541C">
        <w:rPr>
          <w:lang w:val="pl-PL"/>
        </w:rPr>
        <w:t xml:space="preserve">często </w:t>
      </w:r>
      <w:r w:rsidR="008800D7" w:rsidRPr="0015541C">
        <w:rPr>
          <w:lang w:val="pl-PL"/>
        </w:rPr>
        <w:t>podczas stosowania chemioterapii</w:t>
      </w:r>
      <w:r w:rsidRPr="0015541C">
        <w:rPr>
          <w:lang w:val="pl-PL"/>
        </w:rPr>
        <w:t xml:space="preserve">, jednakże </w:t>
      </w:r>
      <w:r w:rsidR="00EA5CE3" w:rsidRPr="0015541C">
        <w:rPr>
          <w:lang w:val="pl-PL"/>
        </w:rPr>
        <w:t>bewacyzumab</w:t>
      </w:r>
      <w:r w:rsidRPr="0015541C">
        <w:rPr>
          <w:lang w:val="pl-PL"/>
        </w:rPr>
        <w:t xml:space="preserve"> może zaostrzać te reakcje, gdy jest stosowany w skojarzeniu z chemioterapią. Przykładem jest zespół erytrodyzestezji dłoniowo-podeszwowej obserwowany w czasie stosowania pegylowanej liposomalnej doksorubicyny lub kapecytabiny, obwodowa neuropatia czuciowa w czasie stosowania paklitakselu lub oksaliplatyny</w:t>
      </w:r>
      <w:r w:rsidR="00BD077E" w:rsidRPr="0015541C">
        <w:rPr>
          <w:lang w:val="pl-PL"/>
        </w:rPr>
        <w:t>,</w:t>
      </w:r>
      <w:r w:rsidR="00B82467" w:rsidRPr="0015541C">
        <w:rPr>
          <w:lang w:val="pl-PL"/>
        </w:rPr>
        <w:t xml:space="preserve"> </w:t>
      </w:r>
      <w:r w:rsidRPr="0015541C">
        <w:rPr>
          <w:lang w:val="pl-PL"/>
        </w:rPr>
        <w:t xml:space="preserve">zaburzenia </w:t>
      </w:r>
      <w:r w:rsidR="00055E78" w:rsidRPr="0015541C">
        <w:rPr>
          <w:lang w:val="pl-PL"/>
        </w:rPr>
        <w:t xml:space="preserve">dotyczące </w:t>
      </w:r>
      <w:r w:rsidRPr="0015541C">
        <w:rPr>
          <w:lang w:val="pl-PL"/>
        </w:rPr>
        <w:t>paznokci i łysienie w czasie stosowania paklitakselu</w:t>
      </w:r>
      <w:r w:rsidR="0058579D" w:rsidRPr="0015541C">
        <w:rPr>
          <w:lang w:val="pl-PL"/>
        </w:rPr>
        <w:t xml:space="preserve"> lub zanokcica w czasie stosowania erlotynibu</w:t>
      </w:r>
      <w:r w:rsidRPr="0015541C">
        <w:rPr>
          <w:lang w:val="pl-PL"/>
        </w:rPr>
        <w:t>.</w:t>
      </w:r>
    </w:p>
    <w:p w14:paraId="11F81240" w14:textId="77777777" w:rsidR="00994050" w:rsidRPr="0015541C" w:rsidRDefault="00994050" w:rsidP="00994050">
      <w:pPr>
        <w:tabs>
          <w:tab w:val="left" w:pos="1200"/>
        </w:tabs>
        <w:rPr>
          <w:b/>
          <w:lang w:val="pl-PL"/>
        </w:rPr>
      </w:pPr>
    </w:p>
    <w:p w14:paraId="74E0D28D" w14:textId="77777777" w:rsidR="008800D7" w:rsidRPr="0070444C" w:rsidRDefault="008800D7" w:rsidP="003C6FA3">
      <w:pPr>
        <w:tabs>
          <w:tab w:val="left" w:pos="1200"/>
        </w:tabs>
        <w:ind w:left="993" w:hanging="993"/>
        <w:rPr>
          <w:i/>
          <w:sz w:val="20"/>
          <w:lang w:val="pl-PL"/>
        </w:rPr>
      </w:pPr>
      <w:r w:rsidRPr="0015541C">
        <w:rPr>
          <w:b/>
          <w:lang w:val="pl-PL"/>
        </w:rPr>
        <w:t xml:space="preserve">Tabela 1: </w:t>
      </w:r>
      <w:r w:rsidRPr="0015541C">
        <w:rPr>
          <w:b/>
          <w:lang w:val="pl-PL"/>
        </w:rPr>
        <w:tab/>
        <w:t>Działania niepożądane według częstości występowania</w:t>
      </w: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302"/>
        <w:gridCol w:w="1449"/>
        <w:gridCol w:w="1417"/>
        <w:gridCol w:w="1049"/>
        <w:gridCol w:w="1304"/>
        <w:gridCol w:w="1304"/>
        <w:gridCol w:w="1305"/>
      </w:tblGrid>
      <w:tr w:rsidR="008800D7" w:rsidRPr="008D11DD" w14:paraId="5CF80110" w14:textId="77777777" w:rsidTr="004E2C5E">
        <w:trPr>
          <w:trHeight w:val="737"/>
          <w:tblHeader/>
        </w:trPr>
        <w:tc>
          <w:tcPr>
            <w:tcW w:w="1302" w:type="dxa"/>
          </w:tcPr>
          <w:p w14:paraId="6FFA58FD" w14:textId="77777777" w:rsidR="008800D7" w:rsidRPr="0070444C" w:rsidRDefault="008800D7" w:rsidP="004E2C5E">
            <w:pPr>
              <w:rPr>
                <w:b/>
                <w:sz w:val="18"/>
                <w:lang w:val="pl-PL"/>
              </w:rPr>
            </w:pPr>
            <w:r w:rsidRPr="0070444C">
              <w:rPr>
                <w:b/>
                <w:sz w:val="18"/>
                <w:lang w:val="pl-PL"/>
              </w:rPr>
              <w:t>Klasyfikacja układów</w:t>
            </w:r>
          </w:p>
          <w:p w14:paraId="7234E628" w14:textId="77777777" w:rsidR="008800D7" w:rsidRPr="0070444C" w:rsidRDefault="008800D7" w:rsidP="004E2C5E">
            <w:pPr>
              <w:rPr>
                <w:b/>
                <w:sz w:val="18"/>
                <w:lang w:val="pl-PL"/>
              </w:rPr>
            </w:pPr>
            <w:r w:rsidRPr="0070444C">
              <w:rPr>
                <w:b/>
                <w:sz w:val="18"/>
                <w:lang w:val="pl-PL"/>
              </w:rPr>
              <w:t>i narządów</w:t>
            </w:r>
          </w:p>
        </w:tc>
        <w:tc>
          <w:tcPr>
            <w:tcW w:w="1449" w:type="dxa"/>
          </w:tcPr>
          <w:p w14:paraId="726E7D4C" w14:textId="77777777" w:rsidR="008800D7" w:rsidRPr="0070444C" w:rsidRDefault="008800D7" w:rsidP="004E2C5E">
            <w:pPr>
              <w:jc w:val="center"/>
              <w:rPr>
                <w:b/>
                <w:sz w:val="18"/>
                <w:lang w:val="pl-PL"/>
              </w:rPr>
            </w:pPr>
            <w:r w:rsidRPr="0070444C">
              <w:rPr>
                <w:b/>
                <w:sz w:val="18"/>
                <w:lang w:val="pl-PL"/>
              </w:rPr>
              <w:t>Bardzo często</w:t>
            </w:r>
          </w:p>
        </w:tc>
        <w:tc>
          <w:tcPr>
            <w:tcW w:w="1417" w:type="dxa"/>
          </w:tcPr>
          <w:p w14:paraId="13C9B4B0" w14:textId="77777777" w:rsidR="008800D7" w:rsidRPr="0070444C" w:rsidRDefault="008800D7" w:rsidP="004E2C5E">
            <w:pPr>
              <w:jc w:val="center"/>
              <w:rPr>
                <w:b/>
                <w:sz w:val="18"/>
                <w:lang w:val="pl-PL"/>
              </w:rPr>
            </w:pPr>
            <w:r w:rsidRPr="0070444C">
              <w:rPr>
                <w:b/>
                <w:sz w:val="18"/>
                <w:lang w:val="pl-PL"/>
              </w:rPr>
              <w:t>Często</w:t>
            </w:r>
          </w:p>
        </w:tc>
        <w:tc>
          <w:tcPr>
            <w:tcW w:w="1049" w:type="dxa"/>
          </w:tcPr>
          <w:p w14:paraId="3C2582F4" w14:textId="77777777" w:rsidR="008800D7" w:rsidRPr="0070444C" w:rsidRDefault="008800D7" w:rsidP="004E2C5E">
            <w:pPr>
              <w:jc w:val="center"/>
              <w:rPr>
                <w:b/>
                <w:sz w:val="18"/>
                <w:lang w:val="pl-PL"/>
              </w:rPr>
            </w:pPr>
            <w:r w:rsidRPr="0070444C">
              <w:rPr>
                <w:b/>
                <w:sz w:val="18"/>
                <w:lang w:val="pl-PL"/>
              </w:rPr>
              <w:t>Niezbyt często</w:t>
            </w:r>
          </w:p>
        </w:tc>
        <w:tc>
          <w:tcPr>
            <w:tcW w:w="1304" w:type="dxa"/>
          </w:tcPr>
          <w:p w14:paraId="061D9B44" w14:textId="77777777" w:rsidR="008800D7" w:rsidRPr="0070444C" w:rsidRDefault="008800D7" w:rsidP="004E2C5E">
            <w:pPr>
              <w:jc w:val="center"/>
              <w:rPr>
                <w:b/>
                <w:sz w:val="18"/>
                <w:lang w:val="pl-PL"/>
              </w:rPr>
            </w:pPr>
            <w:r w:rsidRPr="0070444C">
              <w:rPr>
                <w:b/>
                <w:sz w:val="18"/>
                <w:lang w:val="pl-PL"/>
              </w:rPr>
              <w:t>Rzadko</w:t>
            </w:r>
          </w:p>
        </w:tc>
        <w:tc>
          <w:tcPr>
            <w:tcW w:w="1304" w:type="dxa"/>
          </w:tcPr>
          <w:p w14:paraId="38DA4443" w14:textId="77777777" w:rsidR="008800D7" w:rsidRPr="0070444C" w:rsidRDefault="008800D7" w:rsidP="004E2C5E">
            <w:pPr>
              <w:jc w:val="center"/>
              <w:rPr>
                <w:b/>
                <w:sz w:val="18"/>
                <w:lang w:val="pl-PL"/>
              </w:rPr>
            </w:pPr>
            <w:r w:rsidRPr="0070444C">
              <w:rPr>
                <w:b/>
                <w:sz w:val="18"/>
                <w:lang w:val="pl-PL"/>
              </w:rPr>
              <w:t>Bardzo rzadko</w:t>
            </w:r>
          </w:p>
        </w:tc>
        <w:tc>
          <w:tcPr>
            <w:tcW w:w="1305" w:type="dxa"/>
          </w:tcPr>
          <w:p w14:paraId="28799FE6" w14:textId="77777777" w:rsidR="008800D7" w:rsidRPr="0070444C" w:rsidRDefault="00593878" w:rsidP="004E2C5E">
            <w:pPr>
              <w:jc w:val="center"/>
              <w:rPr>
                <w:b/>
                <w:sz w:val="18"/>
                <w:lang w:val="pl-PL"/>
              </w:rPr>
            </w:pPr>
            <w:r w:rsidRPr="0070444C">
              <w:rPr>
                <w:b/>
                <w:sz w:val="18"/>
                <w:lang w:val="pl-PL"/>
              </w:rPr>
              <w:t xml:space="preserve">Częstość </w:t>
            </w:r>
            <w:r w:rsidRPr="0070444C">
              <w:rPr>
                <w:b/>
                <w:sz w:val="18"/>
                <w:lang w:val="pl-PL"/>
              </w:rPr>
              <w:br/>
              <w:t>nie</w:t>
            </w:r>
            <w:r w:rsidR="008800D7" w:rsidRPr="0070444C">
              <w:rPr>
                <w:b/>
                <w:sz w:val="18"/>
                <w:lang w:val="pl-PL"/>
              </w:rPr>
              <w:t>znana</w:t>
            </w:r>
          </w:p>
        </w:tc>
      </w:tr>
      <w:tr w:rsidR="008800D7" w:rsidRPr="0015541C" w14:paraId="6F32BDBE" w14:textId="77777777" w:rsidTr="004E2C5E">
        <w:trPr>
          <w:trHeight w:val="737"/>
        </w:trPr>
        <w:tc>
          <w:tcPr>
            <w:tcW w:w="1302" w:type="dxa"/>
          </w:tcPr>
          <w:p w14:paraId="314D99BB" w14:textId="77777777" w:rsidR="008800D7" w:rsidRPr="0070444C" w:rsidRDefault="008800D7" w:rsidP="004E2C5E">
            <w:pPr>
              <w:rPr>
                <w:sz w:val="18"/>
                <w:lang w:val="pl-PL"/>
              </w:rPr>
            </w:pPr>
            <w:r w:rsidRPr="0070444C">
              <w:rPr>
                <w:sz w:val="18"/>
                <w:lang w:val="pl-PL"/>
              </w:rPr>
              <w:t>Zakażenia</w:t>
            </w:r>
          </w:p>
          <w:p w14:paraId="090F6963" w14:textId="77777777" w:rsidR="008800D7" w:rsidRPr="0070444C" w:rsidRDefault="008800D7" w:rsidP="004E2C5E">
            <w:pPr>
              <w:rPr>
                <w:i/>
                <w:sz w:val="18"/>
                <w:lang w:val="pl-PL"/>
              </w:rPr>
            </w:pPr>
            <w:r w:rsidRPr="0070444C">
              <w:rPr>
                <w:sz w:val="18"/>
                <w:lang w:val="pl-PL"/>
              </w:rPr>
              <w:t>i zarażenia pasożytnicze</w:t>
            </w:r>
          </w:p>
        </w:tc>
        <w:tc>
          <w:tcPr>
            <w:tcW w:w="1449" w:type="dxa"/>
          </w:tcPr>
          <w:p w14:paraId="2F4AB543" w14:textId="77777777" w:rsidR="008800D7" w:rsidRPr="0070444C" w:rsidRDefault="008800D7" w:rsidP="004E2C5E">
            <w:pPr>
              <w:jc w:val="center"/>
              <w:rPr>
                <w:sz w:val="18"/>
                <w:lang w:val="pl-PL"/>
              </w:rPr>
            </w:pPr>
          </w:p>
        </w:tc>
        <w:tc>
          <w:tcPr>
            <w:tcW w:w="1417" w:type="dxa"/>
          </w:tcPr>
          <w:p w14:paraId="60188AF4" w14:textId="77777777" w:rsidR="008800D7" w:rsidRPr="0015541C" w:rsidRDefault="008800D7" w:rsidP="004E2C5E">
            <w:pPr>
              <w:jc w:val="center"/>
              <w:rPr>
                <w:sz w:val="18"/>
                <w:szCs w:val="18"/>
                <w:lang w:val="pl-PL"/>
              </w:rPr>
            </w:pPr>
            <w:r w:rsidRPr="0015541C">
              <w:rPr>
                <w:sz w:val="18"/>
                <w:szCs w:val="18"/>
                <w:lang w:val="pl-PL"/>
              </w:rPr>
              <w:t>Posocznica,</w:t>
            </w:r>
          </w:p>
          <w:p w14:paraId="289794A6" w14:textId="77777777" w:rsidR="008800D7" w:rsidRPr="0015541C" w:rsidRDefault="008800D7" w:rsidP="004E2C5E">
            <w:pPr>
              <w:jc w:val="center"/>
              <w:rPr>
                <w:sz w:val="18"/>
                <w:szCs w:val="18"/>
                <w:lang w:val="pl-PL"/>
              </w:rPr>
            </w:pPr>
            <w:r w:rsidRPr="0015541C">
              <w:rPr>
                <w:sz w:val="18"/>
                <w:szCs w:val="18"/>
                <w:lang w:val="pl-PL"/>
              </w:rPr>
              <w:t>Ropień</w:t>
            </w:r>
            <w:r w:rsidRPr="0015541C">
              <w:rPr>
                <w:sz w:val="18"/>
                <w:szCs w:val="18"/>
                <w:vertAlign w:val="superscript"/>
                <w:lang w:val="pl-PL"/>
              </w:rPr>
              <w:t>b,d</w:t>
            </w:r>
            <w:r w:rsidRPr="0015541C">
              <w:rPr>
                <w:sz w:val="18"/>
                <w:szCs w:val="18"/>
                <w:lang w:val="pl-PL"/>
              </w:rPr>
              <w:t>,</w:t>
            </w:r>
          </w:p>
          <w:p w14:paraId="5A2E6E42" w14:textId="77777777" w:rsidR="000476DA" w:rsidRPr="0015541C" w:rsidRDefault="000820F9" w:rsidP="004E2C5E">
            <w:pPr>
              <w:jc w:val="center"/>
              <w:rPr>
                <w:sz w:val="18"/>
                <w:szCs w:val="18"/>
                <w:lang w:val="pl-PL"/>
              </w:rPr>
            </w:pPr>
            <w:r w:rsidRPr="0015541C">
              <w:rPr>
                <w:sz w:val="18"/>
                <w:szCs w:val="18"/>
                <w:lang w:val="pl-PL"/>
              </w:rPr>
              <w:t>Zapaleni</w:t>
            </w:r>
            <w:r w:rsidR="00A63593" w:rsidRPr="0015541C">
              <w:rPr>
                <w:sz w:val="18"/>
                <w:szCs w:val="18"/>
                <w:lang w:val="pl-PL"/>
              </w:rPr>
              <w:t>e</w:t>
            </w:r>
            <w:r w:rsidRPr="0015541C">
              <w:rPr>
                <w:sz w:val="18"/>
                <w:szCs w:val="18"/>
                <w:lang w:val="pl-PL"/>
              </w:rPr>
              <w:t xml:space="preserve"> tkanki łącznej</w:t>
            </w:r>
            <w:r w:rsidR="000476DA" w:rsidRPr="0015541C">
              <w:rPr>
                <w:sz w:val="18"/>
                <w:szCs w:val="18"/>
                <w:lang w:val="pl-PL"/>
              </w:rPr>
              <w:t>,</w:t>
            </w:r>
          </w:p>
          <w:p w14:paraId="4248BE88" w14:textId="77777777" w:rsidR="008800D7" w:rsidRPr="0015541C" w:rsidRDefault="008800D7" w:rsidP="004E2C5E">
            <w:pPr>
              <w:jc w:val="center"/>
              <w:rPr>
                <w:sz w:val="18"/>
                <w:szCs w:val="18"/>
                <w:lang w:val="pl-PL"/>
              </w:rPr>
            </w:pPr>
            <w:r w:rsidRPr="0015541C">
              <w:rPr>
                <w:sz w:val="18"/>
                <w:szCs w:val="18"/>
                <w:lang w:val="pl-PL"/>
              </w:rPr>
              <w:t>Zakażenie,</w:t>
            </w:r>
          </w:p>
          <w:p w14:paraId="7BC2381A" w14:textId="77777777" w:rsidR="008800D7" w:rsidRPr="0015541C" w:rsidRDefault="008800D7" w:rsidP="004E2C5E">
            <w:pPr>
              <w:jc w:val="center"/>
              <w:rPr>
                <w:sz w:val="18"/>
                <w:szCs w:val="18"/>
                <w:lang w:val="pl-PL"/>
              </w:rPr>
            </w:pPr>
            <w:r w:rsidRPr="0015541C">
              <w:rPr>
                <w:sz w:val="18"/>
                <w:szCs w:val="18"/>
                <w:lang w:val="pl-PL"/>
              </w:rPr>
              <w:t>Zakażenie dróg moczowych</w:t>
            </w:r>
          </w:p>
        </w:tc>
        <w:tc>
          <w:tcPr>
            <w:tcW w:w="1049" w:type="dxa"/>
          </w:tcPr>
          <w:p w14:paraId="64EF2F56" w14:textId="77777777" w:rsidR="008800D7" w:rsidRPr="0015541C" w:rsidRDefault="008800D7" w:rsidP="004E2C5E">
            <w:pPr>
              <w:jc w:val="center"/>
              <w:rPr>
                <w:sz w:val="18"/>
                <w:szCs w:val="18"/>
                <w:lang w:val="pl-PL"/>
              </w:rPr>
            </w:pPr>
          </w:p>
        </w:tc>
        <w:tc>
          <w:tcPr>
            <w:tcW w:w="1304" w:type="dxa"/>
          </w:tcPr>
          <w:p w14:paraId="46F7D3AD" w14:textId="77777777" w:rsidR="008800D7" w:rsidRPr="0070444C" w:rsidRDefault="008800D7" w:rsidP="004E2C5E">
            <w:pPr>
              <w:jc w:val="center"/>
              <w:rPr>
                <w:sz w:val="18"/>
                <w:lang w:val="pl-PL"/>
              </w:rPr>
            </w:pPr>
            <w:r w:rsidRPr="0070444C">
              <w:rPr>
                <w:sz w:val="18"/>
                <w:lang w:val="pl-PL"/>
              </w:rPr>
              <w:t>Martwicze zap</w:t>
            </w:r>
            <w:r w:rsidR="00A855F1" w:rsidRPr="0070444C">
              <w:rPr>
                <w:sz w:val="18"/>
                <w:lang w:val="pl-PL"/>
              </w:rPr>
              <w:t>a</w:t>
            </w:r>
            <w:r w:rsidRPr="0070444C">
              <w:rPr>
                <w:sz w:val="18"/>
                <w:lang w:val="pl-PL"/>
              </w:rPr>
              <w:t>lenie powięzi</w:t>
            </w:r>
            <w:r w:rsidRPr="0070444C">
              <w:rPr>
                <w:sz w:val="18"/>
                <w:vertAlign w:val="superscript"/>
                <w:lang w:val="pl-PL"/>
              </w:rPr>
              <w:t>a</w:t>
            </w:r>
          </w:p>
        </w:tc>
        <w:tc>
          <w:tcPr>
            <w:tcW w:w="1304" w:type="dxa"/>
          </w:tcPr>
          <w:p w14:paraId="2C808118" w14:textId="77777777" w:rsidR="008800D7" w:rsidRPr="0070444C" w:rsidRDefault="008800D7" w:rsidP="004E2C5E">
            <w:pPr>
              <w:jc w:val="center"/>
              <w:rPr>
                <w:sz w:val="18"/>
                <w:lang w:val="pl-PL"/>
              </w:rPr>
            </w:pPr>
          </w:p>
        </w:tc>
        <w:tc>
          <w:tcPr>
            <w:tcW w:w="1305" w:type="dxa"/>
          </w:tcPr>
          <w:p w14:paraId="58E5491D" w14:textId="77777777" w:rsidR="008800D7" w:rsidRPr="0070444C" w:rsidRDefault="008800D7" w:rsidP="004E2C5E">
            <w:pPr>
              <w:jc w:val="center"/>
              <w:rPr>
                <w:sz w:val="18"/>
                <w:lang w:val="pl-PL"/>
              </w:rPr>
            </w:pPr>
          </w:p>
        </w:tc>
      </w:tr>
      <w:tr w:rsidR="008800D7" w:rsidRPr="0015541C" w14:paraId="1AAF031B" w14:textId="77777777" w:rsidTr="004E2C5E">
        <w:trPr>
          <w:trHeight w:val="737"/>
        </w:trPr>
        <w:tc>
          <w:tcPr>
            <w:tcW w:w="1302" w:type="dxa"/>
          </w:tcPr>
          <w:p w14:paraId="08A6048F" w14:textId="77777777" w:rsidR="008800D7" w:rsidRPr="00260CEC" w:rsidRDefault="008800D7" w:rsidP="004E2C5E">
            <w:pPr>
              <w:rPr>
                <w:sz w:val="18"/>
                <w:szCs w:val="18"/>
                <w:lang w:val="pl-PL" w:eastAsia="en-US"/>
              </w:rPr>
            </w:pPr>
            <w:r w:rsidRPr="0015541C">
              <w:rPr>
                <w:sz w:val="18"/>
                <w:szCs w:val="18"/>
                <w:lang w:val="pl-PL" w:eastAsia="en-US"/>
              </w:rPr>
              <w:t>Zaburzenia krwi i układu chłonnego</w:t>
            </w:r>
          </w:p>
        </w:tc>
        <w:tc>
          <w:tcPr>
            <w:tcW w:w="1449" w:type="dxa"/>
          </w:tcPr>
          <w:p w14:paraId="64099007" w14:textId="77777777" w:rsidR="008800D7" w:rsidRPr="0015541C" w:rsidRDefault="008800D7" w:rsidP="004E2C5E">
            <w:pPr>
              <w:jc w:val="center"/>
              <w:rPr>
                <w:sz w:val="18"/>
                <w:szCs w:val="18"/>
                <w:lang w:val="pl-PL"/>
              </w:rPr>
            </w:pPr>
            <w:r w:rsidRPr="0015541C">
              <w:rPr>
                <w:sz w:val="18"/>
                <w:szCs w:val="18"/>
                <w:lang w:val="pl-PL"/>
              </w:rPr>
              <w:t>Gorączka neutropeniczna,</w:t>
            </w:r>
          </w:p>
          <w:p w14:paraId="5DE75194" w14:textId="77777777" w:rsidR="008800D7" w:rsidRPr="0015541C" w:rsidRDefault="008800D7" w:rsidP="004E2C5E">
            <w:pPr>
              <w:jc w:val="center"/>
              <w:rPr>
                <w:sz w:val="18"/>
                <w:szCs w:val="18"/>
                <w:lang w:val="pl-PL"/>
              </w:rPr>
            </w:pPr>
            <w:r w:rsidRPr="0015541C">
              <w:rPr>
                <w:sz w:val="18"/>
                <w:szCs w:val="18"/>
                <w:lang w:val="pl-PL"/>
              </w:rPr>
              <w:t>Leukopenia,</w:t>
            </w:r>
          </w:p>
          <w:p w14:paraId="0E319055" w14:textId="77777777" w:rsidR="008800D7" w:rsidRPr="0015541C" w:rsidRDefault="008800D7" w:rsidP="004E2C5E">
            <w:pPr>
              <w:jc w:val="center"/>
              <w:rPr>
                <w:sz w:val="18"/>
                <w:szCs w:val="18"/>
                <w:lang w:val="pl-PL"/>
              </w:rPr>
            </w:pPr>
            <w:r w:rsidRPr="0015541C">
              <w:rPr>
                <w:sz w:val="18"/>
                <w:szCs w:val="18"/>
                <w:lang w:val="pl-PL"/>
              </w:rPr>
              <w:t>Neutropenia</w:t>
            </w:r>
            <w:r w:rsidRPr="0015541C">
              <w:rPr>
                <w:sz w:val="18"/>
                <w:szCs w:val="18"/>
                <w:vertAlign w:val="superscript"/>
                <w:lang w:val="pl-PL"/>
              </w:rPr>
              <w:t>b</w:t>
            </w:r>
            <w:r w:rsidRPr="0015541C">
              <w:rPr>
                <w:sz w:val="18"/>
                <w:szCs w:val="18"/>
                <w:lang w:val="pl-PL"/>
              </w:rPr>
              <w:t>,</w:t>
            </w:r>
          </w:p>
          <w:p w14:paraId="1E7AC022" w14:textId="77777777" w:rsidR="008800D7" w:rsidRPr="0015541C" w:rsidRDefault="008800D7" w:rsidP="004E2C5E">
            <w:pPr>
              <w:tabs>
                <w:tab w:val="center" w:pos="595"/>
              </w:tabs>
              <w:jc w:val="center"/>
              <w:rPr>
                <w:sz w:val="18"/>
                <w:szCs w:val="18"/>
                <w:lang w:val="pl-PL"/>
              </w:rPr>
            </w:pPr>
            <w:r w:rsidRPr="0015541C">
              <w:rPr>
                <w:sz w:val="18"/>
                <w:szCs w:val="18"/>
                <w:lang w:val="pl-PL"/>
              </w:rPr>
              <w:t>Małopłytkowość</w:t>
            </w:r>
          </w:p>
        </w:tc>
        <w:tc>
          <w:tcPr>
            <w:tcW w:w="1417" w:type="dxa"/>
          </w:tcPr>
          <w:p w14:paraId="6629951E" w14:textId="77777777" w:rsidR="008800D7" w:rsidRPr="0015541C" w:rsidRDefault="000476DA" w:rsidP="004E2C5E">
            <w:pPr>
              <w:jc w:val="center"/>
              <w:rPr>
                <w:sz w:val="18"/>
                <w:szCs w:val="18"/>
                <w:lang w:val="pl-PL"/>
              </w:rPr>
            </w:pPr>
            <w:r w:rsidRPr="0015541C">
              <w:rPr>
                <w:sz w:val="18"/>
                <w:szCs w:val="18"/>
                <w:lang w:val="pl-PL"/>
              </w:rPr>
              <w:t>Niedokrwistość,</w:t>
            </w:r>
          </w:p>
          <w:p w14:paraId="644A85A6" w14:textId="77777777" w:rsidR="000476DA" w:rsidRPr="0015541C" w:rsidRDefault="000476DA" w:rsidP="004E2C5E">
            <w:pPr>
              <w:jc w:val="center"/>
              <w:rPr>
                <w:sz w:val="18"/>
                <w:szCs w:val="18"/>
                <w:lang w:val="pl-PL"/>
              </w:rPr>
            </w:pPr>
            <w:r w:rsidRPr="0015541C">
              <w:rPr>
                <w:sz w:val="18"/>
                <w:szCs w:val="18"/>
                <w:lang w:val="pl-PL"/>
              </w:rPr>
              <w:t>Limfopenia</w:t>
            </w:r>
          </w:p>
        </w:tc>
        <w:tc>
          <w:tcPr>
            <w:tcW w:w="1049" w:type="dxa"/>
          </w:tcPr>
          <w:p w14:paraId="19F624C6" w14:textId="77777777" w:rsidR="008800D7" w:rsidRPr="0015541C" w:rsidRDefault="008800D7" w:rsidP="004E2C5E">
            <w:pPr>
              <w:jc w:val="center"/>
              <w:rPr>
                <w:sz w:val="18"/>
                <w:szCs w:val="18"/>
                <w:lang w:val="pl-PL"/>
              </w:rPr>
            </w:pPr>
          </w:p>
        </w:tc>
        <w:tc>
          <w:tcPr>
            <w:tcW w:w="1304" w:type="dxa"/>
          </w:tcPr>
          <w:p w14:paraId="12ED6FE3" w14:textId="77777777" w:rsidR="008800D7" w:rsidRPr="0015541C" w:rsidRDefault="008800D7" w:rsidP="004E2C5E">
            <w:pPr>
              <w:jc w:val="center"/>
              <w:rPr>
                <w:sz w:val="18"/>
                <w:szCs w:val="18"/>
                <w:lang w:val="pl-PL"/>
              </w:rPr>
            </w:pPr>
          </w:p>
        </w:tc>
        <w:tc>
          <w:tcPr>
            <w:tcW w:w="1304" w:type="dxa"/>
          </w:tcPr>
          <w:p w14:paraId="39EA1488" w14:textId="77777777" w:rsidR="008800D7" w:rsidRPr="0015541C" w:rsidRDefault="008800D7" w:rsidP="004E2C5E">
            <w:pPr>
              <w:jc w:val="center"/>
              <w:rPr>
                <w:sz w:val="18"/>
                <w:szCs w:val="18"/>
                <w:lang w:val="pl-PL"/>
              </w:rPr>
            </w:pPr>
          </w:p>
        </w:tc>
        <w:tc>
          <w:tcPr>
            <w:tcW w:w="1305" w:type="dxa"/>
          </w:tcPr>
          <w:p w14:paraId="642280AB" w14:textId="77777777" w:rsidR="008800D7" w:rsidRPr="0015541C" w:rsidRDefault="008800D7" w:rsidP="004E2C5E">
            <w:pPr>
              <w:jc w:val="center"/>
              <w:rPr>
                <w:sz w:val="18"/>
                <w:szCs w:val="18"/>
                <w:lang w:val="pl-PL"/>
              </w:rPr>
            </w:pPr>
          </w:p>
        </w:tc>
      </w:tr>
      <w:tr w:rsidR="008800D7" w:rsidRPr="00420F0C" w14:paraId="25CBEB6B" w14:textId="77777777" w:rsidTr="004E2C5E">
        <w:trPr>
          <w:trHeight w:val="678"/>
        </w:trPr>
        <w:tc>
          <w:tcPr>
            <w:tcW w:w="1302" w:type="dxa"/>
          </w:tcPr>
          <w:p w14:paraId="4716D443" w14:textId="4E463811" w:rsidR="008800D7" w:rsidRPr="0070444C" w:rsidRDefault="008800D7" w:rsidP="004E2C5E">
            <w:pPr>
              <w:rPr>
                <w:i/>
                <w:sz w:val="18"/>
                <w:lang w:val="pl-PL"/>
              </w:rPr>
            </w:pPr>
            <w:r w:rsidRPr="0070444C">
              <w:rPr>
                <w:sz w:val="18"/>
                <w:lang w:val="pl-PL"/>
              </w:rPr>
              <w:t>Zaburzenia układu immunologi</w:t>
            </w:r>
            <w:r w:rsidR="009C347D" w:rsidRPr="0070444C">
              <w:rPr>
                <w:sz w:val="18"/>
                <w:lang w:val="pl-PL"/>
              </w:rPr>
              <w:t>cz</w:t>
            </w:r>
            <w:r w:rsidRPr="0070444C">
              <w:rPr>
                <w:sz w:val="18"/>
                <w:lang w:val="pl-PL"/>
              </w:rPr>
              <w:t>-nego</w:t>
            </w:r>
          </w:p>
        </w:tc>
        <w:tc>
          <w:tcPr>
            <w:tcW w:w="1449" w:type="dxa"/>
          </w:tcPr>
          <w:p w14:paraId="51D9E3AF" w14:textId="77777777" w:rsidR="008800D7" w:rsidRPr="0070444C" w:rsidRDefault="008800D7" w:rsidP="004E2C5E">
            <w:pPr>
              <w:jc w:val="center"/>
              <w:rPr>
                <w:sz w:val="18"/>
                <w:lang w:val="pl-PL"/>
              </w:rPr>
            </w:pPr>
          </w:p>
        </w:tc>
        <w:tc>
          <w:tcPr>
            <w:tcW w:w="1417" w:type="dxa"/>
          </w:tcPr>
          <w:p w14:paraId="2F008625" w14:textId="77777777" w:rsidR="008800D7" w:rsidRPr="0015541C" w:rsidRDefault="008800D7" w:rsidP="004E2C5E">
            <w:pPr>
              <w:jc w:val="center"/>
              <w:rPr>
                <w:sz w:val="18"/>
                <w:szCs w:val="18"/>
                <w:lang w:val="pl-PL"/>
              </w:rPr>
            </w:pPr>
            <w:r w:rsidRPr="0015541C">
              <w:rPr>
                <w:sz w:val="18"/>
                <w:szCs w:val="18"/>
                <w:lang w:val="pl-PL" w:eastAsia="en-US"/>
              </w:rPr>
              <w:t xml:space="preserve">Nadwrażliwość, reakcje </w:t>
            </w:r>
            <w:r w:rsidR="00E14293" w:rsidRPr="0015541C">
              <w:rPr>
                <w:sz w:val="18"/>
                <w:szCs w:val="18"/>
                <w:lang w:val="pl-PL" w:eastAsia="en-US"/>
              </w:rPr>
              <w:t>związane z wlewem</w:t>
            </w:r>
            <w:r w:rsidRPr="0015541C">
              <w:rPr>
                <w:sz w:val="18"/>
                <w:szCs w:val="18"/>
                <w:vertAlign w:val="superscript"/>
                <w:lang w:val="pl-PL" w:eastAsia="en-US"/>
              </w:rPr>
              <w:t>a,b,d</w:t>
            </w:r>
          </w:p>
        </w:tc>
        <w:tc>
          <w:tcPr>
            <w:tcW w:w="1049" w:type="dxa"/>
          </w:tcPr>
          <w:p w14:paraId="4226FD8D" w14:textId="77777777" w:rsidR="008800D7" w:rsidRPr="0015541C" w:rsidRDefault="008800D7" w:rsidP="004E2C5E">
            <w:pPr>
              <w:jc w:val="center"/>
              <w:rPr>
                <w:sz w:val="18"/>
                <w:szCs w:val="18"/>
                <w:lang w:val="pl-PL"/>
              </w:rPr>
            </w:pPr>
          </w:p>
        </w:tc>
        <w:tc>
          <w:tcPr>
            <w:tcW w:w="1304" w:type="dxa"/>
          </w:tcPr>
          <w:p w14:paraId="6CD9E855" w14:textId="4A62175B" w:rsidR="008800D7" w:rsidRPr="0015541C" w:rsidRDefault="00420F0C" w:rsidP="004E2C5E">
            <w:pPr>
              <w:jc w:val="center"/>
              <w:rPr>
                <w:sz w:val="18"/>
                <w:szCs w:val="18"/>
                <w:lang w:val="pl-PL"/>
              </w:rPr>
            </w:pPr>
            <w:r w:rsidRPr="00420F0C">
              <w:rPr>
                <w:sz w:val="18"/>
                <w:szCs w:val="18"/>
                <w:lang w:val="pl-PL"/>
              </w:rPr>
              <w:t>Wstrząs anafilaktyczny</w:t>
            </w:r>
          </w:p>
        </w:tc>
        <w:tc>
          <w:tcPr>
            <w:tcW w:w="1304" w:type="dxa"/>
          </w:tcPr>
          <w:p w14:paraId="7EB2E41C" w14:textId="77777777" w:rsidR="008800D7" w:rsidRPr="0015541C" w:rsidRDefault="008800D7" w:rsidP="004E2C5E">
            <w:pPr>
              <w:jc w:val="center"/>
              <w:rPr>
                <w:sz w:val="18"/>
                <w:szCs w:val="18"/>
                <w:lang w:val="pl-PL"/>
              </w:rPr>
            </w:pPr>
          </w:p>
        </w:tc>
        <w:tc>
          <w:tcPr>
            <w:tcW w:w="1305" w:type="dxa"/>
          </w:tcPr>
          <w:p w14:paraId="2FE60148" w14:textId="77777777" w:rsidR="008800D7" w:rsidRPr="0015541C" w:rsidRDefault="008800D7" w:rsidP="004E2C5E">
            <w:pPr>
              <w:jc w:val="center"/>
              <w:rPr>
                <w:sz w:val="18"/>
                <w:szCs w:val="18"/>
                <w:lang w:val="pl-PL"/>
              </w:rPr>
            </w:pPr>
          </w:p>
        </w:tc>
      </w:tr>
      <w:tr w:rsidR="008800D7" w:rsidRPr="0015541C" w14:paraId="48E59EA8" w14:textId="77777777" w:rsidTr="004E2C5E">
        <w:trPr>
          <w:trHeight w:val="661"/>
        </w:trPr>
        <w:tc>
          <w:tcPr>
            <w:tcW w:w="1302" w:type="dxa"/>
          </w:tcPr>
          <w:p w14:paraId="1B132D8F" w14:textId="77777777" w:rsidR="008800D7" w:rsidRPr="0015541C" w:rsidRDefault="008800D7" w:rsidP="004E2C5E">
            <w:pPr>
              <w:rPr>
                <w:i/>
                <w:sz w:val="18"/>
                <w:szCs w:val="18"/>
                <w:lang w:val="pl-PL"/>
              </w:rPr>
            </w:pPr>
            <w:r w:rsidRPr="0015541C">
              <w:rPr>
                <w:sz w:val="18"/>
                <w:szCs w:val="18"/>
                <w:lang w:val="pl-PL" w:eastAsia="en-US"/>
              </w:rPr>
              <w:t>Zaburzenia metabolizmu</w:t>
            </w:r>
            <w:r w:rsidR="00A855F1" w:rsidRPr="00260CEC">
              <w:rPr>
                <w:sz w:val="18"/>
                <w:szCs w:val="18"/>
                <w:lang w:val="pl-PL" w:eastAsia="en-US"/>
              </w:rPr>
              <w:br/>
            </w:r>
            <w:r w:rsidRPr="0015541C">
              <w:rPr>
                <w:sz w:val="18"/>
                <w:szCs w:val="18"/>
                <w:lang w:val="pl-PL" w:eastAsia="en-US"/>
              </w:rPr>
              <w:t>i odżywiania</w:t>
            </w:r>
          </w:p>
        </w:tc>
        <w:tc>
          <w:tcPr>
            <w:tcW w:w="1449" w:type="dxa"/>
          </w:tcPr>
          <w:p w14:paraId="49C77794" w14:textId="77777777" w:rsidR="008800D7" w:rsidRPr="0015541C" w:rsidRDefault="008800D7" w:rsidP="004E2C5E">
            <w:pPr>
              <w:jc w:val="center"/>
              <w:rPr>
                <w:sz w:val="18"/>
                <w:szCs w:val="18"/>
                <w:lang w:val="pl-PL" w:eastAsia="en-US"/>
              </w:rPr>
            </w:pPr>
            <w:r w:rsidRPr="0015541C">
              <w:rPr>
                <w:sz w:val="18"/>
                <w:szCs w:val="18"/>
                <w:lang w:val="pl-PL" w:eastAsia="en-US"/>
              </w:rPr>
              <w:t>Anoreksja</w:t>
            </w:r>
          </w:p>
          <w:p w14:paraId="04433E30" w14:textId="77777777" w:rsidR="00F36C47" w:rsidRPr="0015541C" w:rsidRDefault="00F36C47" w:rsidP="004E2C5E">
            <w:pPr>
              <w:jc w:val="center"/>
              <w:rPr>
                <w:sz w:val="18"/>
                <w:szCs w:val="18"/>
                <w:lang w:val="pl-PL" w:eastAsia="en-US"/>
              </w:rPr>
            </w:pPr>
            <w:r w:rsidRPr="0015541C">
              <w:rPr>
                <w:sz w:val="18"/>
                <w:szCs w:val="18"/>
                <w:lang w:val="pl-PL" w:eastAsia="en-US"/>
              </w:rPr>
              <w:t>Hipomagnezemia</w:t>
            </w:r>
          </w:p>
          <w:p w14:paraId="22B56D9D" w14:textId="77777777" w:rsidR="00F36C47" w:rsidRPr="0015541C" w:rsidRDefault="00F36C47" w:rsidP="004E2C5E">
            <w:pPr>
              <w:jc w:val="center"/>
              <w:rPr>
                <w:sz w:val="18"/>
                <w:szCs w:val="18"/>
                <w:lang w:val="pl-PL"/>
              </w:rPr>
            </w:pPr>
            <w:r w:rsidRPr="0015541C">
              <w:rPr>
                <w:sz w:val="18"/>
                <w:szCs w:val="18"/>
                <w:lang w:val="pl-PL" w:eastAsia="en-US"/>
              </w:rPr>
              <w:t>Hiponatremia</w:t>
            </w:r>
          </w:p>
        </w:tc>
        <w:tc>
          <w:tcPr>
            <w:tcW w:w="1417" w:type="dxa"/>
          </w:tcPr>
          <w:p w14:paraId="253AE007" w14:textId="77777777" w:rsidR="008800D7" w:rsidRPr="0015541C" w:rsidRDefault="008800D7" w:rsidP="004E2C5E">
            <w:pPr>
              <w:jc w:val="center"/>
              <w:rPr>
                <w:sz w:val="18"/>
                <w:szCs w:val="18"/>
                <w:lang w:val="pl-PL"/>
              </w:rPr>
            </w:pPr>
            <w:r w:rsidRPr="0015541C">
              <w:rPr>
                <w:sz w:val="18"/>
                <w:szCs w:val="18"/>
                <w:lang w:val="pl-PL"/>
              </w:rPr>
              <w:t>Odwodnienie</w:t>
            </w:r>
          </w:p>
        </w:tc>
        <w:tc>
          <w:tcPr>
            <w:tcW w:w="1049" w:type="dxa"/>
          </w:tcPr>
          <w:p w14:paraId="5EB124AA" w14:textId="77777777" w:rsidR="008800D7" w:rsidRPr="0015541C" w:rsidRDefault="008800D7" w:rsidP="004E2C5E">
            <w:pPr>
              <w:jc w:val="center"/>
              <w:rPr>
                <w:sz w:val="18"/>
                <w:szCs w:val="18"/>
                <w:lang w:val="pl-PL"/>
              </w:rPr>
            </w:pPr>
          </w:p>
        </w:tc>
        <w:tc>
          <w:tcPr>
            <w:tcW w:w="1304" w:type="dxa"/>
          </w:tcPr>
          <w:p w14:paraId="4CD86978" w14:textId="77777777" w:rsidR="008800D7" w:rsidRPr="0015541C" w:rsidRDefault="008800D7" w:rsidP="004E2C5E">
            <w:pPr>
              <w:jc w:val="center"/>
              <w:rPr>
                <w:sz w:val="18"/>
                <w:szCs w:val="18"/>
                <w:lang w:val="pl-PL"/>
              </w:rPr>
            </w:pPr>
          </w:p>
        </w:tc>
        <w:tc>
          <w:tcPr>
            <w:tcW w:w="1304" w:type="dxa"/>
          </w:tcPr>
          <w:p w14:paraId="25530706" w14:textId="77777777" w:rsidR="008800D7" w:rsidRPr="0015541C" w:rsidRDefault="008800D7" w:rsidP="004E2C5E">
            <w:pPr>
              <w:jc w:val="center"/>
              <w:rPr>
                <w:sz w:val="18"/>
                <w:szCs w:val="18"/>
                <w:lang w:val="pl-PL"/>
              </w:rPr>
            </w:pPr>
          </w:p>
        </w:tc>
        <w:tc>
          <w:tcPr>
            <w:tcW w:w="1305" w:type="dxa"/>
          </w:tcPr>
          <w:p w14:paraId="7D413044" w14:textId="77777777" w:rsidR="008800D7" w:rsidRPr="0015541C" w:rsidRDefault="008800D7" w:rsidP="004E2C5E">
            <w:pPr>
              <w:jc w:val="center"/>
              <w:rPr>
                <w:sz w:val="18"/>
                <w:szCs w:val="18"/>
                <w:lang w:val="pl-PL"/>
              </w:rPr>
            </w:pPr>
          </w:p>
        </w:tc>
      </w:tr>
      <w:tr w:rsidR="008800D7" w:rsidRPr="0015541C" w14:paraId="09EAFC16" w14:textId="77777777" w:rsidTr="004E2C5E">
        <w:trPr>
          <w:trHeight w:val="964"/>
        </w:trPr>
        <w:tc>
          <w:tcPr>
            <w:tcW w:w="1302" w:type="dxa"/>
          </w:tcPr>
          <w:p w14:paraId="2C0479E9" w14:textId="77777777" w:rsidR="008800D7" w:rsidRPr="00260CEC" w:rsidRDefault="008800D7" w:rsidP="004E2C5E">
            <w:pPr>
              <w:rPr>
                <w:i/>
                <w:sz w:val="18"/>
                <w:szCs w:val="18"/>
                <w:lang w:val="pl-PL"/>
              </w:rPr>
            </w:pPr>
            <w:r w:rsidRPr="0015541C">
              <w:rPr>
                <w:sz w:val="18"/>
                <w:szCs w:val="18"/>
                <w:lang w:val="pl-PL" w:eastAsia="en-US"/>
              </w:rPr>
              <w:t>Zaburzenia układu nerwowego</w:t>
            </w:r>
          </w:p>
        </w:tc>
        <w:tc>
          <w:tcPr>
            <w:tcW w:w="1449" w:type="dxa"/>
          </w:tcPr>
          <w:p w14:paraId="42C5A22E" w14:textId="77777777" w:rsidR="008800D7" w:rsidRPr="0015541C" w:rsidRDefault="008800D7" w:rsidP="004E2C5E">
            <w:pPr>
              <w:jc w:val="center"/>
              <w:rPr>
                <w:sz w:val="18"/>
                <w:szCs w:val="18"/>
                <w:lang w:val="pl-PL"/>
              </w:rPr>
            </w:pPr>
            <w:r w:rsidRPr="0015541C">
              <w:rPr>
                <w:sz w:val="18"/>
                <w:szCs w:val="18"/>
                <w:lang w:val="pl-PL"/>
              </w:rPr>
              <w:t>Obwodowa neuropatia czuciowa</w:t>
            </w:r>
            <w:r w:rsidRPr="0015541C">
              <w:rPr>
                <w:sz w:val="18"/>
                <w:szCs w:val="18"/>
                <w:vertAlign w:val="superscript"/>
                <w:lang w:val="pl-PL"/>
              </w:rPr>
              <w:t>b</w:t>
            </w:r>
            <w:r w:rsidRPr="0015541C">
              <w:rPr>
                <w:sz w:val="18"/>
                <w:szCs w:val="18"/>
                <w:lang w:val="pl-PL"/>
              </w:rPr>
              <w:t>,</w:t>
            </w:r>
          </w:p>
          <w:p w14:paraId="32EBA3F1" w14:textId="77777777" w:rsidR="008800D7" w:rsidRPr="0015541C" w:rsidRDefault="008800D7" w:rsidP="004E2C5E">
            <w:pPr>
              <w:jc w:val="center"/>
              <w:rPr>
                <w:sz w:val="18"/>
                <w:szCs w:val="18"/>
                <w:lang w:val="pl-PL"/>
              </w:rPr>
            </w:pPr>
            <w:r w:rsidRPr="0015541C">
              <w:rPr>
                <w:sz w:val="18"/>
                <w:szCs w:val="18"/>
                <w:lang w:val="pl-PL"/>
              </w:rPr>
              <w:t>Dyzartria,</w:t>
            </w:r>
          </w:p>
          <w:p w14:paraId="14FD173D" w14:textId="77777777" w:rsidR="008800D7" w:rsidRPr="0015541C" w:rsidRDefault="008800D7" w:rsidP="004E2C5E">
            <w:pPr>
              <w:jc w:val="center"/>
              <w:rPr>
                <w:sz w:val="18"/>
                <w:szCs w:val="18"/>
                <w:lang w:val="pl-PL"/>
              </w:rPr>
            </w:pPr>
            <w:r w:rsidRPr="0015541C">
              <w:rPr>
                <w:sz w:val="18"/>
                <w:szCs w:val="18"/>
                <w:lang w:val="pl-PL"/>
              </w:rPr>
              <w:t>Ból głowy,</w:t>
            </w:r>
          </w:p>
          <w:p w14:paraId="4C714BF6" w14:textId="77777777" w:rsidR="008800D7" w:rsidRPr="0015541C" w:rsidRDefault="008800D7" w:rsidP="004E2C5E">
            <w:pPr>
              <w:jc w:val="center"/>
              <w:rPr>
                <w:sz w:val="18"/>
                <w:szCs w:val="18"/>
                <w:lang w:val="pl-PL"/>
              </w:rPr>
            </w:pPr>
            <w:r w:rsidRPr="0015541C">
              <w:rPr>
                <w:sz w:val="18"/>
                <w:szCs w:val="18"/>
                <w:lang w:val="pl-PL"/>
              </w:rPr>
              <w:t>Zaburzenie smaku</w:t>
            </w:r>
          </w:p>
        </w:tc>
        <w:tc>
          <w:tcPr>
            <w:tcW w:w="1417" w:type="dxa"/>
          </w:tcPr>
          <w:p w14:paraId="317BFD2D" w14:textId="77777777" w:rsidR="008800D7" w:rsidRPr="0015541C" w:rsidRDefault="008800D7" w:rsidP="004E2C5E">
            <w:pPr>
              <w:jc w:val="center"/>
              <w:rPr>
                <w:sz w:val="18"/>
                <w:szCs w:val="18"/>
                <w:lang w:val="pl-PL"/>
              </w:rPr>
            </w:pPr>
            <w:r w:rsidRPr="0015541C">
              <w:rPr>
                <w:sz w:val="18"/>
                <w:szCs w:val="18"/>
                <w:lang w:val="pl-PL"/>
              </w:rPr>
              <w:t>Udar mózgu,</w:t>
            </w:r>
          </w:p>
          <w:p w14:paraId="7CAC74E5" w14:textId="77777777" w:rsidR="008800D7" w:rsidRPr="0015541C" w:rsidRDefault="008800D7" w:rsidP="004E2C5E">
            <w:pPr>
              <w:jc w:val="center"/>
              <w:rPr>
                <w:sz w:val="18"/>
                <w:szCs w:val="18"/>
                <w:lang w:val="pl-PL"/>
              </w:rPr>
            </w:pPr>
            <w:r w:rsidRPr="0015541C">
              <w:rPr>
                <w:sz w:val="18"/>
                <w:szCs w:val="18"/>
                <w:lang w:val="pl-PL"/>
              </w:rPr>
              <w:t>Omdlenie, Senność</w:t>
            </w:r>
          </w:p>
        </w:tc>
        <w:tc>
          <w:tcPr>
            <w:tcW w:w="1049" w:type="dxa"/>
          </w:tcPr>
          <w:p w14:paraId="7F0D7551" w14:textId="77777777" w:rsidR="008800D7" w:rsidRPr="0015541C" w:rsidRDefault="008800D7" w:rsidP="004E2C5E">
            <w:pPr>
              <w:jc w:val="center"/>
              <w:rPr>
                <w:sz w:val="18"/>
                <w:szCs w:val="18"/>
                <w:lang w:val="pl-PL"/>
              </w:rPr>
            </w:pPr>
          </w:p>
        </w:tc>
        <w:tc>
          <w:tcPr>
            <w:tcW w:w="1304" w:type="dxa"/>
          </w:tcPr>
          <w:p w14:paraId="425A95A5" w14:textId="77777777" w:rsidR="008800D7" w:rsidRPr="0015541C" w:rsidRDefault="008800D7" w:rsidP="004E2C5E">
            <w:pPr>
              <w:ind w:left="-114"/>
              <w:jc w:val="center"/>
              <w:rPr>
                <w:sz w:val="18"/>
                <w:szCs w:val="18"/>
                <w:lang w:val="pl-PL"/>
              </w:rPr>
            </w:pPr>
            <w:r w:rsidRPr="0015541C">
              <w:rPr>
                <w:sz w:val="18"/>
                <w:szCs w:val="18"/>
                <w:lang w:val="pl-PL"/>
              </w:rPr>
              <w:t>Zespół tylnej odwracalnej encefalopatii</w:t>
            </w:r>
            <w:r w:rsidRPr="0015541C">
              <w:rPr>
                <w:sz w:val="18"/>
                <w:szCs w:val="18"/>
                <w:vertAlign w:val="superscript"/>
                <w:lang w:val="pl-PL"/>
              </w:rPr>
              <w:t>a,b,d</w:t>
            </w:r>
          </w:p>
        </w:tc>
        <w:tc>
          <w:tcPr>
            <w:tcW w:w="1304" w:type="dxa"/>
          </w:tcPr>
          <w:p w14:paraId="282BA01A" w14:textId="77777777" w:rsidR="008800D7" w:rsidRPr="0070444C" w:rsidRDefault="008800D7" w:rsidP="004E2C5E">
            <w:pPr>
              <w:jc w:val="center"/>
              <w:rPr>
                <w:sz w:val="18"/>
                <w:lang w:val="pl-PL"/>
              </w:rPr>
            </w:pPr>
            <w:r w:rsidRPr="0070444C">
              <w:rPr>
                <w:sz w:val="18"/>
                <w:lang w:val="pl-PL"/>
              </w:rPr>
              <w:t>Encefalopatia nadciśnieniowa</w:t>
            </w:r>
            <w:r w:rsidRPr="0070444C">
              <w:rPr>
                <w:sz w:val="18"/>
                <w:vertAlign w:val="superscript"/>
                <w:lang w:val="pl-PL"/>
              </w:rPr>
              <w:t>a</w:t>
            </w:r>
          </w:p>
        </w:tc>
        <w:tc>
          <w:tcPr>
            <w:tcW w:w="1305" w:type="dxa"/>
          </w:tcPr>
          <w:p w14:paraId="2CA9D206" w14:textId="77777777" w:rsidR="008800D7" w:rsidRPr="0070444C" w:rsidRDefault="008800D7" w:rsidP="004E2C5E">
            <w:pPr>
              <w:jc w:val="center"/>
              <w:rPr>
                <w:sz w:val="18"/>
                <w:lang w:val="pl-PL"/>
              </w:rPr>
            </w:pPr>
          </w:p>
        </w:tc>
      </w:tr>
      <w:tr w:rsidR="008800D7" w:rsidRPr="0015541C" w14:paraId="1519A0C5" w14:textId="77777777" w:rsidTr="004E2C5E">
        <w:trPr>
          <w:trHeight w:val="647"/>
        </w:trPr>
        <w:tc>
          <w:tcPr>
            <w:tcW w:w="1302" w:type="dxa"/>
          </w:tcPr>
          <w:p w14:paraId="16D58B8C" w14:textId="77777777" w:rsidR="008800D7" w:rsidRPr="0070444C" w:rsidRDefault="008800D7" w:rsidP="004E2C5E">
            <w:pPr>
              <w:rPr>
                <w:sz w:val="18"/>
                <w:lang w:val="pl-PL"/>
              </w:rPr>
            </w:pPr>
            <w:r w:rsidRPr="0070444C">
              <w:rPr>
                <w:sz w:val="18"/>
                <w:lang w:val="pl-PL"/>
              </w:rPr>
              <w:t>Zaburzenia oka</w:t>
            </w:r>
          </w:p>
        </w:tc>
        <w:tc>
          <w:tcPr>
            <w:tcW w:w="1449" w:type="dxa"/>
          </w:tcPr>
          <w:p w14:paraId="19572C24" w14:textId="77777777" w:rsidR="008800D7" w:rsidRPr="0070444C" w:rsidRDefault="008800D7" w:rsidP="004E2C5E">
            <w:pPr>
              <w:jc w:val="center"/>
              <w:rPr>
                <w:sz w:val="18"/>
                <w:lang w:val="pl-PL"/>
              </w:rPr>
            </w:pPr>
            <w:r w:rsidRPr="0070444C">
              <w:rPr>
                <w:sz w:val="18"/>
                <w:lang w:val="pl-PL"/>
              </w:rPr>
              <w:t>Zaburzenie oka,</w:t>
            </w:r>
          </w:p>
          <w:p w14:paraId="40450FFC" w14:textId="77777777" w:rsidR="008800D7" w:rsidRPr="0070444C" w:rsidRDefault="008800D7" w:rsidP="004E2C5E">
            <w:pPr>
              <w:jc w:val="center"/>
              <w:rPr>
                <w:sz w:val="18"/>
                <w:lang w:val="pl-PL"/>
              </w:rPr>
            </w:pPr>
            <w:r w:rsidRPr="0070444C">
              <w:rPr>
                <w:sz w:val="18"/>
                <w:lang w:val="pl-PL"/>
              </w:rPr>
              <w:t>Zwiększone łzawienie</w:t>
            </w:r>
          </w:p>
        </w:tc>
        <w:tc>
          <w:tcPr>
            <w:tcW w:w="1417" w:type="dxa"/>
          </w:tcPr>
          <w:p w14:paraId="34830526" w14:textId="77777777" w:rsidR="008800D7" w:rsidRPr="0070444C" w:rsidRDefault="008800D7" w:rsidP="004E2C5E">
            <w:pPr>
              <w:jc w:val="center"/>
              <w:rPr>
                <w:sz w:val="18"/>
                <w:lang w:val="pl-PL"/>
              </w:rPr>
            </w:pPr>
          </w:p>
        </w:tc>
        <w:tc>
          <w:tcPr>
            <w:tcW w:w="1049" w:type="dxa"/>
          </w:tcPr>
          <w:p w14:paraId="21694B0A" w14:textId="77777777" w:rsidR="008800D7" w:rsidRPr="0070444C" w:rsidRDefault="008800D7" w:rsidP="004E2C5E">
            <w:pPr>
              <w:jc w:val="center"/>
              <w:rPr>
                <w:sz w:val="18"/>
                <w:lang w:val="pl-PL"/>
              </w:rPr>
            </w:pPr>
          </w:p>
        </w:tc>
        <w:tc>
          <w:tcPr>
            <w:tcW w:w="1304" w:type="dxa"/>
          </w:tcPr>
          <w:p w14:paraId="5F707601" w14:textId="77777777" w:rsidR="008800D7" w:rsidRPr="0070444C" w:rsidRDefault="008800D7" w:rsidP="004E2C5E">
            <w:pPr>
              <w:jc w:val="center"/>
              <w:rPr>
                <w:sz w:val="18"/>
                <w:lang w:val="pl-PL"/>
              </w:rPr>
            </w:pPr>
          </w:p>
        </w:tc>
        <w:tc>
          <w:tcPr>
            <w:tcW w:w="1304" w:type="dxa"/>
          </w:tcPr>
          <w:p w14:paraId="786BE71E" w14:textId="77777777" w:rsidR="008800D7" w:rsidRPr="0070444C" w:rsidRDefault="008800D7" w:rsidP="004E2C5E">
            <w:pPr>
              <w:jc w:val="center"/>
              <w:rPr>
                <w:sz w:val="18"/>
                <w:lang w:val="pl-PL"/>
              </w:rPr>
            </w:pPr>
          </w:p>
        </w:tc>
        <w:tc>
          <w:tcPr>
            <w:tcW w:w="1305" w:type="dxa"/>
          </w:tcPr>
          <w:p w14:paraId="5E8E532C" w14:textId="77777777" w:rsidR="008800D7" w:rsidRPr="0070444C" w:rsidRDefault="008800D7" w:rsidP="004E2C5E">
            <w:pPr>
              <w:jc w:val="center"/>
              <w:rPr>
                <w:sz w:val="18"/>
                <w:lang w:val="pl-PL"/>
              </w:rPr>
            </w:pPr>
          </w:p>
        </w:tc>
      </w:tr>
      <w:tr w:rsidR="008800D7" w:rsidRPr="008D11DD" w14:paraId="384FBD77" w14:textId="77777777" w:rsidTr="004E2C5E">
        <w:trPr>
          <w:trHeight w:val="707"/>
        </w:trPr>
        <w:tc>
          <w:tcPr>
            <w:tcW w:w="1302" w:type="dxa"/>
          </w:tcPr>
          <w:p w14:paraId="13395A9E" w14:textId="77777777" w:rsidR="008800D7" w:rsidRPr="0070444C" w:rsidRDefault="008800D7" w:rsidP="004E2C5E">
            <w:pPr>
              <w:rPr>
                <w:sz w:val="18"/>
                <w:lang w:val="pl-PL"/>
              </w:rPr>
            </w:pPr>
            <w:r w:rsidRPr="0070444C">
              <w:rPr>
                <w:sz w:val="18"/>
                <w:lang w:val="pl-PL"/>
              </w:rPr>
              <w:t>Zaburzenia serca</w:t>
            </w:r>
          </w:p>
        </w:tc>
        <w:tc>
          <w:tcPr>
            <w:tcW w:w="1449" w:type="dxa"/>
          </w:tcPr>
          <w:p w14:paraId="1A5629F4" w14:textId="77777777" w:rsidR="008800D7" w:rsidRPr="0070444C" w:rsidRDefault="008800D7" w:rsidP="004E2C5E">
            <w:pPr>
              <w:jc w:val="center"/>
              <w:rPr>
                <w:sz w:val="18"/>
                <w:lang w:val="pl-PL"/>
              </w:rPr>
            </w:pPr>
          </w:p>
        </w:tc>
        <w:tc>
          <w:tcPr>
            <w:tcW w:w="1417" w:type="dxa"/>
          </w:tcPr>
          <w:p w14:paraId="76944536" w14:textId="77777777" w:rsidR="008800D7" w:rsidRPr="0015541C" w:rsidRDefault="008800D7" w:rsidP="004E2C5E">
            <w:pPr>
              <w:jc w:val="center"/>
              <w:rPr>
                <w:sz w:val="18"/>
                <w:szCs w:val="18"/>
                <w:lang w:val="pl-PL"/>
              </w:rPr>
            </w:pPr>
            <w:r w:rsidRPr="0015541C">
              <w:rPr>
                <w:sz w:val="18"/>
                <w:szCs w:val="18"/>
                <w:lang w:val="pl-PL"/>
              </w:rPr>
              <w:t>Zastoinowa niewydolność serca</w:t>
            </w:r>
            <w:r w:rsidRPr="0015541C">
              <w:rPr>
                <w:sz w:val="18"/>
                <w:szCs w:val="18"/>
                <w:vertAlign w:val="superscript"/>
                <w:lang w:val="pl-PL"/>
              </w:rPr>
              <w:t>b,d</w:t>
            </w:r>
            <w:r w:rsidRPr="0015541C">
              <w:rPr>
                <w:sz w:val="18"/>
                <w:szCs w:val="18"/>
                <w:lang w:val="pl-PL"/>
              </w:rPr>
              <w:t>,</w:t>
            </w:r>
          </w:p>
          <w:p w14:paraId="31302513" w14:textId="77777777" w:rsidR="008800D7" w:rsidRPr="0015541C" w:rsidRDefault="008800D7" w:rsidP="004E2C5E">
            <w:pPr>
              <w:jc w:val="center"/>
              <w:rPr>
                <w:sz w:val="18"/>
                <w:szCs w:val="18"/>
                <w:lang w:val="pl-PL"/>
              </w:rPr>
            </w:pPr>
            <w:r w:rsidRPr="0015541C">
              <w:rPr>
                <w:sz w:val="18"/>
                <w:szCs w:val="18"/>
                <w:lang w:val="pl-PL"/>
              </w:rPr>
              <w:t>Częstoskurcz nadkomorowy</w:t>
            </w:r>
          </w:p>
        </w:tc>
        <w:tc>
          <w:tcPr>
            <w:tcW w:w="1049" w:type="dxa"/>
          </w:tcPr>
          <w:p w14:paraId="1F0B1881" w14:textId="77777777" w:rsidR="008800D7" w:rsidRPr="0015541C" w:rsidRDefault="008800D7" w:rsidP="004E2C5E">
            <w:pPr>
              <w:jc w:val="center"/>
              <w:rPr>
                <w:sz w:val="18"/>
                <w:szCs w:val="18"/>
                <w:lang w:val="pl-PL"/>
              </w:rPr>
            </w:pPr>
          </w:p>
        </w:tc>
        <w:tc>
          <w:tcPr>
            <w:tcW w:w="1304" w:type="dxa"/>
          </w:tcPr>
          <w:p w14:paraId="07B7D519" w14:textId="77777777" w:rsidR="008800D7" w:rsidRPr="0015541C" w:rsidRDefault="008800D7" w:rsidP="004E2C5E">
            <w:pPr>
              <w:jc w:val="center"/>
              <w:rPr>
                <w:sz w:val="18"/>
                <w:szCs w:val="18"/>
                <w:lang w:val="pl-PL"/>
              </w:rPr>
            </w:pPr>
          </w:p>
        </w:tc>
        <w:tc>
          <w:tcPr>
            <w:tcW w:w="1304" w:type="dxa"/>
          </w:tcPr>
          <w:p w14:paraId="3276D775" w14:textId="77777777" w:rsidR="008800D7" w:rsidRPr="0015541C" w:rsidRDefault="008800D7" w:rsidP="004E2C5E">
            <w:pPr>
              <w:jc w:val="center"/>
              <w:rPr>
                <w:sz w:val="18"/>
                <w:szCs w:val="18"/>
                <w:lang w:val="pl-PL"/>
              </w:rPr>
            </w:pPr>
          </w:p>
        </w:tc>
        <w:tc>
          <w:tcPr>
            <w:tcW w:w="1305" w:type="dxa"/>
          </w:tcPr>
          <w:p w14:paraId="14345FE6" w14:textId="77777777" w:rsidR="008800D7" w:rsidRPr="0015541C" w:rsidRDefault="008800D7" w:rsidP="004E2C5E">
            <w:pPr>
              <w:jc w:val="center"/>
              <w:rPr>
                <w:sz w:val="18"/>
                <w:szCs w:val="18"/>
                <w:lang w:val="pl-PL"/>
              </w:rPr>
            </w:pPr>
          </w:p>
        </w:tc>
      </w:tr>
      <w:tr w:rsidR="008800D7" w:rsidRPr="008D11DD" w14:paraId="01CA9A8C" w14:textId="77777777" w:rsidTr="004E2C5E">
        <w:trPr>
          <w:trHeight w:val="877"/>
        </w:trPr>
        <w:tc>
          <w:tcPr>
            <w:tcW w:w="1302" w:type="dxa"/>
          </w:tcPr>
          <w:p w14:paraId="66245FEF" w14:textId="77777777" w:rsidR="008800D7" w:rsidRPr="0070444C" w:rsidRDefault="008800D7" w:rsidP="004E2C5E">
            <w:pPr>
              <w:rPr>
                <w:sz w:val="18"/>
                <w:lang w:val="pl-PL"/>
              </w:rPr>
            </w:pPr>
            <w:r w:rsidRPr="0070444C">
              <w:rPr>
                <w:sz w:val="18"/>
                <w:lang w:val="pl-PL"/>
              </w:rPr>
              <w:t>Zaburzenia naczyniowe</w:t>
            </w:r>
          </w:p>
        </w:tc>
        <w:tc>
          <w:tcPr>
            <w:tcW w:w="1449" w:type="dxa"/>
          </w:tcPr>
          <w:p w14:paraId="1C814EA2" w14:textId="77777777" w:rsidR="008800D7" w:rsidRPr="0015541C" w:rsidRDefault="008800D7" w:rsidP="004E2C5E">
            <w:pPr>
              <w:jc w:val="center"/>
              <w:rPr>
                <w:sz w:val="18"/>
                <w:szCs w:val="18"/>
                <w:lang w:val="pl-PL"/>
              </w:rPr>
            </w:pPr>
            <w:r w:rsidRPr="0015541C">
              <w:rPr>
                <w:sz w:val="18"/>
                <w:szCs w:val="18"/>
                <w:lang w:val="pl-PL"/>
              </w:rPr>
              <w:t>Nadciśnienie</w:t>
            </w:r>
            <w:r w:rsidR="00BA1BDE" w:rsidRPr="0015541C">
              <w:rPr>
                <w:sz w:val="18"/>
                <w:szCs w:val="18"/>
                <w:lang w:val="pl-PL"/>
              </w:rPr>
              <w:t xml:space="preserve"> tętnicze</w:t>
            </w:r>
            <w:r w:rsidRPr="0015541C">
              <w:rPr>
                <w:sz w:val="18"/>
                <w:szCs w:val="18"/>
                <w:vertAlign w:val="superscript"/>
                <w:lang w:val="pl-PL"/>
              </w:rPr>
              <w:t>b,d</w:t>
            </w:r>
            <w:r w:rsidRPr="0015541C">
              <w:rPr>
                <w:sz w:val="18"/>
                <w:szCs w:val="18"/>
                <w:lang w:val="pl-PL"/>
              </w:rPr>
              <w:t>,</w:t>
            </w:r>
          </w:p>
          <w:p w14:paraId="27B26B87" w14:textId="77777777" w:rsidR="008800D7" w:rsidRPr="0015541C" w:rsidRDefault="008800D7" w:rsidP="004E2C5E">
            <w:pPr>
              <w:jc w:val="center"/>
              <w:rPr>
                <w:sz w:val="18"/>
                <w:szCs w:val="18"/>
                <w:lang w:val="pl-PL"/>
              </w:rPr>
            </w:pPr>
            <w:r w:rsidRPr="0015541C">
              <w:rPr>
                <w:sz w:val="18"/>
                <w:szCs w:val="18"/>
                <w:lang w:val="pl-PL"/>
              </w:rPr>
              <w:t>Zakrzepica zatorowa (żylna)</w:t>
            </w:r>
            <w:r w:rsidRPr="0015541C">
              <w:rPr>
                <w:sz w:val="18"/>
                <w:szCs w:val="18"/>
                <w:vertAlign w:val="superscript"/>
                <w:lang w:val="pl-PL"/>
              </w:rPr>
              <w:t>b,d</w:t>
            </w:r>
          </w:p>
        </w:tc>
        <w:tc>
          <w:tcPr>
            <w:tcW w:w="1417" w:type="dxa"/>
          </w:tcPr>
          <w:p w14:paraId="02D3E93F" w14:textId="77777777" w:rsidR="008800D7" w:rsidRPr="0015541C" w:rsidRDefault="008800D7" w:rsidP="004E2C5E">
            <w:pPr>
              <w:jc w:val="center"/>
              <w:rPr>
                <w:sz w:val="18"/>
                <w:szCs w:val="18"/>
                <w:lang w:val="pl-PL"/>
              </w:rPr>
            </w:pPr>
            <w:r w:rsidRPr="0015541C">
              <w:rPr>
                <w:sz w:val="18"/>
                <w:szCs w:val="18"/>
                <w:lang w:val="pl-PL"/>
              </w:rPr>
              <w:t>Zakrzepica zatorowa (tętnicza)</w:t>
            </w:r>
            <w:r w:rsidRPr="0015541C">
              <w:rPr>
                <w:sz w:val="18"/>
                <w:szCs w:val="18"/>
                <w:vertAlign w:val="superscript"/>
                <w:lang w:val="pl-PL"/>
              </w:rPr>
              <w:t>b,d</w:t>
            </w:r>
            <w:r w:rsidRPr="0015541C">
              <w:rPr>
                <w:sz w:val="18"/>
                <w:szCs w:val="18"/>
                <w:lang w:val="pl-PL"/>
              </w:rPr>
              <w:t>,</w:t>
            </w:r>
          </w:p>
          <w:p w14:paraId="16A7C924" w14:textId="77777777" w:rsidR="008800D7" w:rsidRPr="0015541C" w:rsidRDefault="008800D7" w:rsidP="004E2C5E">
            <w:pPr>
              <w:jc w:val="center"/>
              <w:rPr>
                <w:sz w:val="18"/>
                <w:szCs w:val="18"/>
                <w:lang w:val="pl-PL"/>
              </w:rPr>
            </w:pPr>
            <w:r w:rsidRPr="0015541C">
              <w:rPr>
                <w:sz w:val="18"/>
                <w:szCs w:val="18"/>
                <w:lang w:val="pl-PL"/>
              </w:rPr>
              <w:t>Krwotok</w:t>
            </w:r>
            <w:r w:rsidRPr="0015541C">
              <w:rPr>
                <w:sz w:val="18"/>
                <w:szCs w:val="18"/>
                <w:vertAlign w:val="superscript"/>
                <w:lang w:val="pl-PL"/>
              </w:rPr>
              <w:t>b,d</w:t>
            </w:r>
            <w:r w:rsidRPr="0015541C">
              <w:rPr>
                <w:sz w:val="18"/>
                <w:szCs w:val="18"/>
                <w:lang w:val="pl-PL"/>
              </w:rPr>
              <w:t>,</w:t>
            </w:r>
          </w:p>
          <w:p w14:paraId="3DDC26D9" w14:textId="77777777" w:rsidR="008800D7" w:rsidRPr="0015541C" w:rsidRDefault="008800D7" w:rsidP="004E2C5E">
            <w:pPr>
              <w:jc w:val="center"/>
              <w:rPr>
                <w:sz w:val="18"/>
                <w:szCs w:val="18"/>
                <w:lang w:val="pl-PL"/>
              </w:rPr>
            </w:pPr>
            <w:r w:rsidRPr="0015541C">
              <w:rPr>
                <w:sz w:val="18"/>
                <w:szCs w:val="18"/>
                <w:lang w:val="pl-PL"/>
              </w:rPr>
              <w:t>Zakrzepica żył głębokich</w:t>
            </w:r>
          </w:p>
        </w:tc>
        <w:tc>
          <w:tcPr>
            <w:tcW w:w="1049" w:type="dxa"/>
          </w:tcPr>
          <w:p w14:paraId="41CB2939" w14:textId="77777777" w:rsidR="008800D7" w:rsidRPr="0015541C" w:rsidRDefault="008800D7" w:rsidP="004E2C5E">
            <w:pPr>
              <w:jc w:val="center"/>
              <w:rPr>
                <w:sz w:val="18"/>
                <w:szCs w:val="18"/>
                <w:lang w:val="pl-PL"/>
              </w:rPr>
            </w:pPr>
          </w:p>
        </w:tc>
        <w:tc>
          <w:tcPr>
            <w:tcW w:w="1304" w:type="dxa"/>
          </w:tcPr>
          <w:p w14:paraId="29F95A1B" w14:textId="77777777" w:rsidR="008800D7" w:rsidRPr="0015541C" w:rsidRDefault="008800D7" w:rsidP="004E2C5E">
            <w:pPr>
              <w:jc w:val="center"/>
              <w:rPr>
                <w:sz w:val="18"/>
                <w:szCs w:val="18"/>
                <w:lang w:val="pl-PL"/>
              </w:rPr>
            </w:pPr>
          </w:p>
        </w:tc>
        <w:tc>
          <w:tcPr>
            <w:tcW w:w="1304" w:type="dxa"/>
          </w:tcPr>
          <w:p w14:paraId="5E0294F3" w14:textId="77777777" w:rsidR="008800D7" w:rsidRPr="0015541C" w:rsidRDefault="008800D7" w:rsidP="004E2C5E">
            <w:pPr>
              <w:jc w:val="center"/>
              <w:rPr>
                <w:sz w:val="18"/>
                <w:szCs w:val="18"/>
                <w:lang w:val="pl-PL"/>
              </w:rPr>
            </w:pPr>
          </w:p>
        </w:tc>
        <w:tc>
          <w:tcPr>
            <w:tcW w:w="1305" w:type="dxa"/>
          </w:tcPr>
          <w:p w14:paraId="241911A2" w14:textId="77777777" w:rsidR="008C1787" w:rsidRPr="0015541C" w:rsidRDefault="008800D7" w:rsidP="004E2C5E">
            <w:pPr>
              <w:jc w:val="center"/>
              <w:rPr>
                <w:lang w:val="pl-PL"/>
              </w:rPr>
            </w:pPr>
            <w:r w:rsidRPr="0015541C">
              <w:rPr>
                <w:sz w:val="18"/>
                <w:szCs w:val="18"/>
                <w:lang w:val="pl-PL"/>
              </w:rPr>
              <w:t>Mikroangiopatia zakrzepowa nerek</w:t>
            </w:r>
            <w:r w:rsidRPr="0015541C">
              <w:rPr>
                <w:sz w:val="18"/>
                <w:szCs w:val="18"/>
                <w:vertAlign w:val="superscript"/>
                <w:lang w:val="pl-PL"/>
              </w:rPr>
              <w:t>a,b</w:t>
            </w:r>
            <w:r w:rsidR="00F80157" w:rsidRPr="0015541C">
              <w:rPr>
                <w:sz w:val="18"/>
                <w:szCs w:val="18"/>
                <w:lang w:val="pl-PL"/>
              </w:rPr>
              <w:t>,</w:t>
            </w:r>
            <w:r w:rsidR="00F80157" w:rsidRPr="0015541C">
              <w:rPr>
                <w:lang w:val="pl-PL"/>
              </w:rPr>
              <w:t xml:space="preserve"> </w:t>
            </w:r>
          </w:p>
          <w:p w14:paraId="70C64825" w14:textId="77777777" w:rsidR="008800D7" w:rsidRPr="0015541C" w:rsidRDefault="00F80157" w:rsidP="004E2C5E">
            <w:pPr>
              <w:jc w:val="center"/>
              <w:rPr>
                <w:sz w:val="18"/>
                <w:szCs w:val="18"/>
                <w:lang w:val="pl-PL"/>
              </w:rPr>
            </w:pPr>
            <w:r w:rsidRPr="0015541C">
              <w:rPr>
                <w:sz w:val="18"/>
                <w:szCs w:val="18"/>
                <w:lang w:val="pl-PL"/>
              </w:rPr>
              <w:t>Tętniak i rozwarstwienie tętnicy</w:t>
            </w:r>
          </w:p>
        </w:tc>
      </w:tr>
      <w:tr w:rsidR="008800D7" w:rsidRPr="00A5462B" w14:paraId="2AC864EE" w14:textId="77777777" w:rsidTr="004E2C5E">
        <w:trPr>
          <w:trHeight w:val="1122"/>
        </w:trPr>
        <w:tc>
          <w:tcPr>
            <w:tcW w:w="1302" w:type="dxa"/>
          </w:tcPr>
          <w:p w14:paraId="54979DF0" w14:textId="77777777" w:rsidR="008800D7" w:rsidRPr="0015541C" w:rsidRDefault="008800D7" w:rsidP="004E2C5E">
            <w:pPr>
              <w:rPr>
                <w:sz w:val="18"/>
                <w:szCs w:val="18"/>
                <w:lang w:val="pl-PL"/>
              </w:rPr>
            </w:pPr>
            <w:r w:rsidRPr="0015541C">
              <w:rPr>
                <w:sz w:val="18"/>
                <w:szCs w:val="18"/>
                <w:lang w:val="pl-PL"/>
              </w:rPr>
              <w:lastRenderedPageBreak/>
              <w:t xml:space="preserve">Zaburzenia układu oddechowego, klatki piersiowej </w:t>
            </w:r>
            <w:r w:rsidR="00A855F1" w:rsidRPr="00260CEC">
              <w:rPr>
                <w:sz w:val="18"/>
                <w:szCs w:val="18"/>
                <w:lang w:val="pl-PL"/>
              </w:rPr>
              <w:br/>
            </w:r>
            <w:r w:rsidRPr="0015541C">
              <w:rPr>
                <w:sz w:val="18"/>
                <w:szCs w:val="18"/>
                <w:lang w:val="pl-PL"/>
              </w:rPr>
              <w:t>i śródpiersia</w:t>
            </w:r>
          </w:p>
        </w:tc>
        <w:tc>
          <w:tcPr>
            <w:tcW w:w="1449" w:type="dxa"/>
          </w:tcPr>
          <w:p w14:paraId="5792D90E" w14:textId="77777777" w:rsidR="008800D7" w:rsidRPr="0015541C" w:rsidRDefault="008800D7" w:rsidP="004E2C5E">
            <w:pPr>
              <w:jc w:val="center"/>
              <w:rPr>
                <w:sz w:val="18"/>
                <w:szCs w:val="18"/>
                <w:lang w:val="pl-PL"/>
              </w:rPr>
            </w:pPr>
            <w:r w:rsidRPr="0015541C">
              <w:rPr>
                <w:sz w:val="18"/>
                <w:szCs w:val="18"/>
                <w:lang w:val="pl-PL"/>
              </w:rPr>
              <w:t>Duszność,</w:t>
            </w:r>
          </w:p>
          <w:p w14:paraId="379DC8E6" w14:textId="77777777" w:rsidR="008800D7" w:rsidRPr="0015541C" w:rsidRDefault="008800D7" w:rsidP="004E2C5E">
            <w:pPr>
              <w:jc w:val="center"/>
              <w:rPr>
                <w:sz w:val="18"/>
                <w:szCs w:val="18"/>
                <w:lang w:val="pl-PL"/>
              </w:rPr>
            </w:pPr>
            <w:r w:rsidRPr="0015541C">
              <w:rPr>
                <w:sz w:val="18"/>
                <w:szCs w:val="18"/>
                <w:lang w:val="pl-PL"/>
              </w:rPr>
              <w:t>Nieżyt nosa</w:t>
            </w:r>
          </w:p>
          <w:p w14:paraId="3B30FF17" w14:textId="77777777" w:rsidR="00F36C47" w:rsidRPr="0015541C" w:rsidRDefault="00F36C47" w:rsidP="004E2C5E">
            <w:pPr>
              <w:jc w:val="center"/>
              <w:rPr>
                <w:sz w:val="18"/>
                <w:szCs w:val="18"/>
                <w:lang w:val="pl-PL"/>
              </w:rPr>
            </w:pPr>
            <w:r w:rsidRPr="0015541C">
              <w:rPr>
                <w:sz w:val="18"/>
                <w:szCs w:val="18"/>
                <w:lang w:val="pl-PL"/>
              </w:rPr>
              <w:t>Krwawienie z nosa</w:t>
            </w:r>
          </w:p>
          <w:p w14:paraId="61B6DF88" w14:textId="77777777" w:rsidR="00F36C47" w:rsidRPr="0015541C" w:rsidRDefault="00F36C47" w:rsidP="004E2C5E">
            <w:pPr>
              <w:jc w:val="center"/>
              <w:rPr>
                <w:sz w:val="18"/>
                <w:szCs w:val="18"/>
                <w:lang w:val="pl-PL"/>
              </w:rPr>
            </w:pPr>
            <w:r w:rsidRPr="0015541C">
              <w:rPr>
                <w:sz w:val="18"/>
                <w:szCs w:val="18"/>
                <w:lang w:val="pl-PL"/>
              </w:rPr>
              <w:t>Kaszel</w:t>
            </w:r>
          </w:p>
        </w:tc>
        <w:tc>
          <w:tcPr>
            <w:tcW w:w="1417" w:type="dxa"/>
          </w:tcPr>
          <w:p w14:paraId="3FAA5DDE" w14:textId="77777777" w:rsidR="008800D7" w:rsidRPr="0015541C" w:rsidRDefault="008800D7" w:rsidP="004E2C5E">
            <w:pPr>
              <w:jc w:val="center"/>
              <w:rPr>
                <w:sz w:val="18"/>
                <w:szCs w:val="18"/>
                <w:lang w:val="pl-PL"/>
              </w:rPr>
            </w:pPr>
            <w:r w:rsidRPr="0015541C">
              <w:rPr>
                <w:sz w:val="18"/>
                <w:szCs w:val="18"/>
                <w:lang w:val="pl-PL"/>
              </w:rPr>
              <w:t>Krwotok płucny/</w:t>
            </w:r>
          </w:p>
          <w:p w14:paraId="05DFD1FD" w14:textId="77777777" w:rsidR="008800D7" w:rsidRPr="0015541C" w:rsidRDefault="008800D7" w:rsidP="004E2C5E">
            <w:pPr>
              <w:jc w:val="center"/>
              <w:rPr>
                <w:sz w:val="18"/>
                <w:szCs w:val="18"/>
                <w:lang w:val="pl-PL"/>
              </w:rPr>
            </w:pPr>
            <w:r w:rsidRPr="0015541C">
              <w:rPr>
                <w:sz w:val="18"/>
                <w:szCs w:val="18"/>
                <w:lang w:val="pl-PL"/>
              </w:rPr>
              <w:t>Krwioplucie</w:t>
            </w:r>
            <w:r w:rsidRPr="0015541C">
              <w:rPr>
                <w:sz w:val="18"/>
                <w:szCs w:val="18"/>
                <w:vertAlign w:val="superscript"/>
                <w:lang w:val="pl-PL"/>
              </w:rPr>
              <w:t>b,d</w:t>
            </w:r>
            <w:r w:rsidRPr="0015541C">
              <w:rPr>
                <w:sz w:val="18"/>
                <w:szCs w:val="18"/>
                <w:lang w:val="pl-PL"/>
              </w:rPr>
              <w:t>,</w:t>
            </w:r>
          </w:p>
          <w:p w14:paraId="76877D32" w14:textId="77777777" w:rsidR="008800D7" w:rsidRPr="0015541C" w:rsidRDefault="008800D7" w:rsidP="004E2C5E">
            <w:pPr>
              <w:jc w:val="center"/>
              <w:rPr>
                <w:sz w:val="18"/>
                <w:szCs w:val="18"/>
                <w:lang w:val="pl-PL"/>
              </w:rPr>
            </w:pPr>
            <w:r w:rsidRPr="0015541C">
              <w:rPr>
                <w:sz w:val="18"/>
                <w:szCs w:val="18"/>
                <w:lang w:val="pl-PL"/>
              </w:rPr>
              <w:t>Zatorowość płucna,</w:t>
            </w:r>
          </w:p>
          <w:p w14:paraId="46DAE066" w14:textId="77777777" w:rsidR="008800D7" w:rsidRPr="0015541C" w:rsidRDefault="008800D7" w:rsidP="004E2C5E">
            <w:pPr>
              <w:jc w:val="center"/>
              <w:rPr>
                <w:sz w:val="18"/>
                <w:szCs w:val="18"/>
                <w:lang w:val="pl-PL"/>
              </w:rPr>
            </w:pPr>
            <w:r w:rsidRPr="0015541C">
              <w:rPr>
                <w:sz w:val="18"/>
                <w:szCs w:val="18"/>
                <w:lang w:val="pl-PL"/>
              </w:rPr>
              <w:t>Niedotlenienie,</w:t>
            </w:r>
          </w:p>
          <w:p w14:paraId="55DF7EFF" w14:textId="77777777" w:rsidR="008800D7" w:rsidRPr="0015541C" w:rsidRDefault="008800D7" w:rsidP="004E2C5E">
            <w:pPr>
              <w:jc w:val="center"/>
              <w:rPr>
                <w:sz w:val="18"/>
                <w:szCs w:val="18"/>
                <w:lang w:val="pl-PL"/>
              </w:rPr>
            </w:pPr>
            <w:r w:rsidRPr="0015541C">
              <w:rPr>
                <w:sz w:val="18"/>
                <w:szCs w:val="18"/>
                <w:lang w:val="pl-PL"/>
              </w:rPr>
              <w:t>Zaburzenie mowy</w:t>
            </w:r>
            <w:r w:rsidRPr="0015541C">
              <w:rPr>
                <w:sz w:val="18"/>
                <w:szCs w:val="18"/>
                <w:vertAlign w:val="superscript"/>
                <w:lang w:val="pl-PL"/>
              </w:rPr>
              <w:t>a</w:t>
            </w:r>
          </w:p>
        </w:tc>
        <w:tc>
          <w:tcPr>
            <w:tcW w:w="1049" w:type="dxa"/>
          </w:tcPr>
          <w:p w14:paraId="7A17E396" w14:textId="77777777" w:rsidR="008800D7" w:rsidRPr="0015541C" w:rsidRDefault="008800D7" w:rsidP="004E2C5E">
            <w:pPr>
              <w:jc w:val="center"/>
              <w:rPr>
                <w:sz w:val="18"/>
                <w:szCs w:val="18"/>
                <w:lang w:val="pl-PL"/>
              </w:rPr>
            </w:pPr>
          </w:p>
        </w:tc>
        <w:tc>
          <w:tcPr>
            <w:tcW w:w="1304" w:type="dxa"/>
          </w:tcPr>
          <w:p w14:paraId="0182E15D" w14:textId="77777777" w:rsidR="008800D7" w:rsidRPr="0015541C" w:rsidRDefault="008800D7" w:rsidP="004E2C5E">
            <w:pPr>
              <w:jc w:val="center"/>
              <w:rPr>
                <w:sz w:val="18"/>
                <w:szCs w:val="18"/>
                <w:lang w:val="pl-PL"/>
              </w:rPr>
            </w:pPr>
          </w:p>
        </w:tc>
        <w:tc>
          <w:tcPr>
            <w:tcW w:w="1304" w:type="dxa"/>
          </w:tcPr>
          <w:p w14:paraId="150C679B" w14:textId="77777777" w:rsidR="008800D7" w:rsidRPr="0015541C" w:rsidRDefault="008800D7" w:rsidP="004E2C5E">
            <w:pPr>
              <w:jc w:val="center"/>
              <w:rPr>
                <w:sz w:val="18"/>
                <w:szCs w:val="18"/>
                <w:lang w:val="pl-PL"/>
              </w:rPr>
            </w:pPr>
          </w:p>
        </w:tc>
        <w:tc>
          <w:tcPr>
            <w:tcW w:w="1305" w:type="dxa"/>
          </w:tcPr>
          <w:p w14:paraId="17EF6F57" w14:textId="77777777" w:rsidR="008800D7" w:rsidRPr="0015541C" w:rsidRDefault="008800D7" w:rsidP="004E2C5E">
            <w:pPr>
              <w:jc w:val="center"/>
              <w:rPr>
                <w:sz w:val="18"/>
                <w:szCs w:val="18"/>
                <w:lang w:val="pl-PL"/>
              </w:rPr>
            </w:pPr>
            <w:r w:rsidRPr="0015541C">
              <w:rPr>
                <w:sz w:val="18"/>
                <w:szCs w:val="18"/>
                <w:lang w:val="pl-PL"/>
              </w:rPr>
              <w:t>Nadciśnienie płucne</w:t>
            </w:r>
            <w:r w:rsidRPr="0015541C">
              <w:rPr>
                <w:sz w:val="18"/>
                <w:szCs w:val="18"/>
                <w:vertAlign w:val="superscript"/>
                <w:lang w:val="pl-PL"/>
              </w:rPr>
              <w:t>a</w:t>
            </w:r>
            <w:r w:rsidRPr="0015541C">
              <w:rPr>
                <w:sz w:val="18"/>
                <w:szCs w:val="18"/>
                <w:lang w:val="pl-PL"/>
              </w:rPr>
              <w:t>,</w:t>
            </w:r>
          </w:p>
          <w:p w14:paraId="578F2D44" w14:textId="77777777" w:rsidR="008800D7" w:rsidRPr="0015541C" w:rsidRDefault="008800D7" w:rsidP="004E2C5E">
            <w:pPr>
              <w:jc w:val="center"/>
              <w:rPr>
                <w:sz w:val="18"/>
                <w:szCs w:val="18"/>
                <w:lang w:val="pl-PL"/>
              </w:rPr>
            </w:pPr>
            <w:r w:rsidRPr="0015541C">
              <w:rPr>
                <w:sz w:val="18"/>
                <w:szCs w:val="18"/>
                <w:lang w:val="pl-PL"/>
              </w:rPr>
              <w:t>Perforacja przegrody nosowej</w:t>
            </w:r>
            <w:r w:rsidRPr="0015541C">
              <w:rPr>
                <w:sz w:val="18"/>
                <w:szCs w:val="18"/>
                <w:vertAlign w:val="superscript"/>
                <w:lang w:val="pl-PL"/>
              </w:rPr>
              <w:t>a</w:t>
            </w:r>
          </w:p>
        </w:tc>
      </w:tr>
      <w:tr w:rsidR="008800D7" w:rsidRPr="0015541C" w14:paraId="36EF2DD4" w14:textId="77777777" w:rsidTr="004E2C5E">
        <w:trPr>
          <w:trHeight w:val="1367"/>
        </w:trPr>
        <w:tc>
          <w:tcPr>
            <w:tcW w:w="1302" w:type="dxa"/>
          </w:tcPr>
          <w:p w14:paraId="64D4CABC" w14:textId="77777777" w:rsidR="008800D7" w:rsidRPr="0070444C" w:rsidRDefault="008800D7" w:rsidP="004E2C5E">
            <w:pPr>
              <w:rPr>
                <w:sz w:val="18"/>
                <w:lang w:val="pl-PL"/>
              </w:rPr>
            </w:pPr>
            <w:r w:rsidRPr="0070444C">
              <w:rPr>
                <w:sz w:val="18"/>
                <w:lang w:val="pl-PL"/>
              </w:rPr>
              <w:t>Zaburzenia żołądka i jelit</w:t>
            </w:r>
          </w:p>
        </w:tc>
        <w:tc>
          <w:tcPr>
            <w:tcW w:w="1449" w:type="dxa"/>
          </w:tcPr>
          <w:p w14:paraId="52728B0D" w14:textId="77777777" w:rsidR="008800D7" w:rsidRPr="0015541C" w:rsidRDefault="008800D7" w:rsidP="004E2C5E">
            <w:pPr>
              <w:jc w:val="center"/>
              <w:rPr>
                <w:sz w:val="18"/>
                <w:szCs w:val="18"/>
                <w:lang w:val="pl-PL"/>
              </w:rPr>
            </w:pPr>
            <w:r w:rsidRPr="0015541C">
              <w:rPr>
                <w:sz w:val="18"/>
                <w:szCs w:val="18"/>
                <w:lang w:val="pl-PL"/>
              </w:rPr>
              <w:t>Krwotok z odbytnicy,</w:t>
            </w:r>
          </w:p>
          <w:p w14:paraId="0F4D5C20" w14:textId="77777777" w:rsidR="008800D7" w:rsidRPr="0015541C" w:rsidRDefault="008800D7" w:rsidP="004E2C5E">
            <w:pPr>
              <w:jc w:val="center"/>
              <w:rPr>
                <w:sz w:val="18"/>
                <w:szCs w:val="18"/>
                <w:lang w:val="pl-PL"/>
              </w:rPr>
            </w:pPr>
            <w:r w:rsidRPr="0015541C">
              <w:rPr>
                <w:sz w:val="18"/>
                <w:szCs w:val="18"/>
                <w:lang w:val="pl-PL"/>
              </w:rPr>
              <w:t>Zapalenie błony śluzowej jamy ustnej,</w:t>
            </w:r>
          </w:p>
          <w:p w14:paraId="25D3E868" w14:textId="77777777" w:rsidR="008800D7" w:rsidRPr="0015541C" w:rsidRDefault="008800D7" w:rsidP="004E2C5E">
            <w:pPr>
              <w:jc w:val="center"/>
              <w:rPr>
                <w:sz w:val="18"/>
                <w:szCs w:val="18"/>
                <w:lang w:val="pl-PL"/>
              </w:rPr>
            </w:pPr>
            <w:r w:rsidRPr="0015541C">
              <w:rPr>
                <w:sz w:val="18"/>
                <w:szCs w:val="18"/>
                <w:lang w:val="pl-PL"/>
              </w:rPr>
              <w:t>Zaparcia,</w:t>
            </w:r>
          </w:p>
          <w:p w14:paraId="4D879AC6" w14:textId="77777777" w:rsidR="008800D7" w:rsidRPr="0015541C" w:rsidRDefault="008800D7" w:rsidP="004E2C5E">
            <w:pPr>
              <w:jc w:val="center"/>
              <w:rPr>
                <w:sz w:val="18"/>
                <w:szCs w:val="18"/>
                <w:lang w:val="pl-PL"/>
              </w:rPr>
            </w:pPr>
            <w:r w:rsidRPr="0015541C">
              <w:rPr>
                <w:sz w:val="18"/>
                <w:szCs w:val="18"/>
                <w:lang w:val="pl-PL"/>
              </w:rPr>
              <w:t>Biegunka,</w:t>
            </w:r>
          </w:p>
          <w:p w14:paraId="66497239" w14:textId="77777777" w:rsidR="008800D7" w:rsidRPr="0015541C" w:rsidRDefault="008800D7" w:rsidP="004E2C5E">
            <w:pPr>
              <w:jc w:val="center"/>
              <w:rPr>
                <w:sz w:val="18"/>
                <w:szCs w:val="18"/>
                <w:lang w:val="pl-PL"/>
              </w:rPr>
            </w:pPr>
            <w:r w:rsidRPr="0015541C">
              <w:rPr>
                <w:sz w:val="18"/>
                <w:szCs w:val="18"/>
                <w:lang w:val="pl-PL"/>
              </w:rPr>
              <w:t>Nudności,</w:t>
            </w:r>
          </w:p>
          <w:p w14:paraId="2AAFDBCF" w14:textId="77777777" w:rsidR="008800D7" w:rsidRPr="0015541C" w:rsidRDefault="008800D7" w:rsidP="004E2C5E">
            <w:pPr>
              <w:jc w:val="center"/>
              <w:rPr>
                <w:sz w:val="18"/>
                <w:szCs w:val="18"/>
                <w:lang w:val="pl-PL"/>
              </w:rPr>
            </w:pPr>
            <w:r w:rsidRPr="0015541C">
              <w:rPr>
                <w:sz w:val="18"/>
                <w:szCs w:val="18"/>
                <w:lang w:val="pl-PL"/>
              </w:rPr>
              <w:t>Wymioty</w:t>
            </w:r>
            <w:r w:rsidR="0001768A" w:rsidRPr="0015541C">
              <w:rPr>
                <w:sz w:val="18"/>
                <w:szCs w:val="18"/>
                <w:lang w:val="pl-PL"/>
              </w:rPr>
              <w:t>, Ból brzucha</w:t>
            </w:r>
          </w:p>
        </w:tc>
        <w:tc>
          <w:tcPr>
            <w:tcW w:w="1417" w:type="dxa"/>
          </w:tcPr>
          <w:p w14:paraId="37906BA4" w14:textId="77777777" w:rsidR="008800D7" w:rsidRPr="0015541C" w:rsidRDefault="008800D7" w:rsidP="004E2C5E">
            <w:pPr>
              <w:jc w:val="center"/>
              <w:rPr>
                <w:sz w:val="18"/>
                <w:szCs w:val="18"/>
                <w:lang w:val="pl-PL" w:eastAsia="en-US"/>
              </w:rPr>
            </w:pPr>
            <w:r w:rsidRPr="0015541C">
              <w:rPr>
                <w:sz w:val="18"/>
                <w:szCs w:val="18"/>
                <w:lang w:val="pl-PL" w:eastAsia="en-US"/>
              </w:rPr>
              <w:t>Perforacje żołądkowo-jelitowe</w:t>
            </w:r>
            <w:r w:rsidRPr="0015541C">
              <w:rPr>
                <w:sz w:val="18"/>
                <w:szCs w:val="18"/>
                <w:vertAlign w:val="superscript"/>
                <w:lang w:val="pl-PL" w:eastAsia="en-US"/>
              </w:rPr>
              <w:t>b,d</w:t>
            </w:r>
            <w:r w:rsidRPr="0015541C">
              <w:rPr>
                <w:sz w:val="18"/>
                <w:szCs w:val="18"/>
                <w:lang w:val="pl-PL" w:eastAsia="en-US"/>
              </w:rPr>
              <w:t>,</w:t>
            </w:r>
          </w:p>
          <w:p w14:paraId="3A7E4B72" w14:textId="77777777" w:rsidR="008800D7" w:rsidRPr="0015541C" w:rsidRDefault="008800D7" w:rsidP="004E2C5E">
            <w:pPr>
              <w:jc w:val="center"/>
              <w:rPr>
                <w:sz w:val="18"/>
                <w:szCs w:val="18"/>
                <w:lang w:val="pl-PL" w:eastAsia="en-US"/>
              </w:rPr>
            </w:pPr>
            <w:r w:rsidRPr="0015541C">
              <w:rPr>
                <w:sz w:val="18"/>
                <w:szCs w:val="18"/>
                <w:lang w:val="pl-PL" w:eastAsia="en-US"/>
              </w:rPr>
              <w:t>Perforacja jelita,</w:t>
            </w:r>
          </w:p>
          <w:p w14:paraId="1A21183A" w14:textId="77777777" w:rsidR="008800D7" w:rsidRPr="0015541C" w:rsidRDefault="008800D7" w:rsidP="004E2C5E">
            <w:pPr>
              <w:jc w:val="center"/>
              <w:rPr>
                <w:sz w:val="18"/>
                <w:szCs w:val="18"/>
                <w:lang w:val="pl-PL" w:eastAsia="en-US"/>
              </w:rPr>
            </w:pPr>
            <w:r w:rsidRPr="0015541C">
              <w:rPr>
                <w:sz w:val="18"/>
                <w:szCs w:val="18"/>
                <w:lang w:val="pl-PL" w:eastAsia="en-US"/>
              </w:rPr>
              <w:t>Niedrożność jelita,</w:t>
            </w:r>
          </w:p>
          <w:p w14:paraId="02AB2B50" w14:textId="77777777" w:rsidR="008800D7" w:rsidRPr="0015541C" w:rsidRDefault="008800D7" w:rsidP="004E2C5E">
            <w:pPr>
              <w:jc w:val="center"/>
              <w:rPr>
                <w:sz w:val="18"/>
                <w:szCs w:val="18"/>
                <w:lang w:val="pl-PL" w:eastAsia="en-US"/>
              </w:rPr>
            </w:pPr>
            <w:r w:rsidRPr="0015541C">
              <w:rPr>
                <w:sz w:val="18"/>
                <w:szCs w:val="18"/>
                <w:lang w:val="pl-PL" w:eastAsia="en-US"/>
              </w:rPr>
              <w:t>Niedrożność jelit,</w:t>
            </w:r>
          </w:p>
          <w:p w14:paraId="7BA93F0D" w14:textId="77777777" w:rsidR="0001768A" w:rsidRPr="0015541C" w:rsidRDefault="0001768A" w:rsidP="004E2C5E">
            <w:pPr>
              <w:jc w:val="center"/>
              <w:rPr>
                <w:sz w:val="18"/>
                <w:szCs w:val="18"/>
                <w:lang w:val="pl-PL" w:eastAsia="en-US"/>
              </w:rPr>
            </w:pPr>
            <w:r w:rsidRPr="0015541C">
              <w:rPr>
                <w:bCs/>
                <w:sz w:val="18"/>
                <w:szCs w:val="18"/>
                <w:lang w:val="pl-PL" w:eastAsia="zh-TW"/>
              </w:rPr>
              <w:t>Przetoki odbytniczo-pochwowe</w:t>
            </w:r>
            <w:r w:rsidRPr="0015541C">
              <w:rPr>
                <w:bCs/>
                <w:sz w:val="18"/>
                <w:szCs w:val="18"/>
                <w:vertAlign w:val="superscript"/>
                <w:lang w:val="pl-PL" w:eastAsia="zh-TW"/>
              </w:rPr>
              <w:t>d,e</w:t>
            </w:r>
            <w:r w:rsidRPr="0015541C">
              <w:rPr>
                <w:bCs/>
                <w:sz w:val="18"/>
                <w:szCs w:val="18"/>
                <w:lang w:val="pl-PL" w:eastAsia="zh-TW"/>
              </w:rPr>
              <w:t>,</w:t>
            </w:r>
          </w:p>
          <w:p w14:paraId="26E4CF43" w14:textId="77777777" w:rsidR="008800D7" w:rsidRPr="0015541C" w:rsidRDefault="008800D7" w:rsidP="004E2C5E">
            <w:pPr>
              <w:jc w:val="center"/>
              <w:rPr>
                <w:sz w:val="18"/>
                <w:szCs w:val="18"/>
                <w:lang w:val="pl-PL" w:eastAsia="en-US"/>
              </w:rPr>
            </w:pPr>
            <w:r w:rsidRPr="0015541C">
              <w:rPr>
                <w:sz w:val="18"/>
                <w:szCs w:val="18"/>
                <w:lang w:val="pl-PL" w:eastAsia="en-US"/>
              </w:rPr>
              <w:t>Zaburzenia żołądkowo-jelitowe</w:t>
            </w:r>
            <w:r w:rsidR="0001768A" w:rsidRPr="0015541C">
              <w:rPr>
                <w:sz w:val="18"/>
                <w:szCs w:val="18"/>
                <w:lang w:val="pl-PL" w:eastAsia="en-US"/>
              </w:rPr>
              <w:t>,</w:t>
            </w:r>
          </w:p>
          <w:p w14:paraId="32EFF95C" w14:textId="77777777" w:rsidR="0001768A" w:rsidRPr="0015541C" w:rsidRDefault="006B1EAC" w:rsidP="004E2C5E">
            <w:pPr>
              <w:jc w:val="center"/>
              <w:rPr>
                <w:sz w:val="18"/>
                <w:szCs w:val="18"/>
                <w:lang w:val="pl-PL"/>
              </w:rPr>
            </w:pPr>
            <w:r w:rsidRPr="0015541C">
              <w:rPr>
                <w:sz w:val="18"/>
                <w:szCs w:val="18"/>
                <w:lang w:val="pl-PL" w:eastAsia="en-US"/>
              </w:rPr>
              <w:t>B</w:t>
            </w:r>
            <w:r w:rsidR="0001768A" w:rsidRPr="0015541C">
              <w:rPr>
                <w:sz w:val="18"/>
                <w:szCs w:val="18"/>
                <w:lang w:val="pl-PL" w:eastAsia="en-US"/>
              </w:rPr>
              <w:t>ól odbytu</w:t>
            </w:r>
          </w:p>
        </w:tc>
        <w:tc>
          <w:tcPr>
            <w:tcW w:w="1049" w:type="dxa"/>
          </w:tcPr>
          <w:p w14:paraId="3B3E04DB" w14:textId="77777777" w:rsidR="008800D7" w:rsidRPr="0015541C" w:rsidRDefault="008800D7" w:rsidP="004E2C5E">
            <w:pPr>
              <w:jc w:val="center"/>
              <w:rPr>
                <w:sz w:val="18"/>
                <w:szCs w:val="18"/>
                <w:lang w:val="pl-PL"/>
              </w:rPr>
            </w:pPr>
          </w:p>
        </w:tc>
        <w:tc>
          <w:tcPr>
            <w:tcW w:w="1304" w:type="dxa"/>
          </w:tcPr>
          <w:p w14:paraId="554D1582" w14:textId="77777777" w:rsidR="008800D7" w:rsidRPr="0015541C" w:rsidRDefault="008800D7" w:rsidP="004E2C5E">
            <w:pPr>
              <w:jc w:val="center"/>
              <w:rPr>
                <w:sz w:val="18"/>
                <w:szCs w:val="18"/>
                <w:lang w:val="pl-PL"/>
              </w:rPr>
            </w:pPr>
          </w:p>
        </w:tc>
        <w:tc>
          <w:tcPr>
            <w:tcW w:w="1304" w:type="dxa"/>
          </w:tcPr>
          <w:p w14:paraId="093EEECD" w14:textId="77777777" w:rsidR="008800D7" w:rsidRPr="0015541C" w:rsidRDefault="008800D7" w:rsidP="004E2C5E">
            <w:pPr>
              <w:jc w:val="center"/>
              <w:rPr>
                <w:sz w:val="18"/>
                <w:szCs w:val="18"/>
                <w:lang w:val="pl-PL"/>
              </w:rPr>
            </w:pPr>
          </w:p>
        </w:tc>
        <w:tc>
          <w:tcPr>
            <w:tcW w:w="1305" w:type="dxa"/>
          </w:tcPr>
          <w:p w14:paraId="4E5BE864" w14:textId="77777777" w:rsidR="008800D7" w:rsidRPr="0070444C" w:rsidRDefault="008800D7" w:rsidP="004E2C5E">
            <w:pPr>
              <w:jc w:val="center"/>
              <w:rPr>
                <w:sz w:val="18"/>
                <w:lang w:val="pl-PL"/>
              </w:rPr>
            </w:pPr>
            <w:r w:rsidRPr="0015541C">
              <w:rPr>
                <w:sz w:val="18"/>
                <w:szCs w:val="18"/>
                <w:lang w:val="pl-PL"/>
              </w:rPr>
              <w:t>Owrzodzenie żołądka i jelit</w:t>
            </w:r>
            <w:r w:rsidRPr="0015541C">
              <w:rPr>
                <w:sz w:val="18"/>
                <w:szCs w:val="18"/>
                <w:vertAlign w:val="superscript"/>
                <w:lang w:val="pl-PL"/>
              </w:rPr>
              <w:t>a</w:t>
            </w:r>
          </w:p>
        </w:tc>
      </w:tr>
      <w:tr w:rsidR="008800D7" w:rsidRPr="008D11DD" w14:paraId="3FF20B1B" w14:textId="77777777" w:rsidTr="004E2C5E">
        <w:trPr>
          <w:trHeight w:val="569"/>
        </w:trPr>
        <w:tc>
          <w:tcPr>
            <w:tcW w:w="1302" w:type="dxa"/>
          </w:tcPr>
          <w:p w14:paraId="10BDEE44" w14:textId="77777777" w:rsidR="008800D7" w:rsidRPr="00260CEC" w:rsidRDefault="008800D7" w:rsidP="004E2C5E">
            <w:pPr>
              <w:rPr>
                <w:i/>
                <w:sz w:val="18"/>
                <w:szCs w:val="18"/>
                <w:lang w:val="pl-PL"/>
              </w:rPr>
            </w:pPr>
            <w:r w:rsidRPr="0015541C">
              <w:rPr>
                <w:sz w:val="18"/>
                <w:szCs w:val="18"/>
                <w:lang w:val="pl-PL" w:eastAsia="en-US"/>
              </w:rPr>
              <w:t>Zaburzenia wątroby i dróg żółciowych</w:t>
            </w:r>
          </w:p>
        </w:tc>
        <w:tc>
          <w:tcPr>
            <w:tcW w:w="1449" w:type="dxa"/>
          </w:tcPr>
          <w:p w14:paraId="616A6EC8" w14:textId="77777777" w:rsidR="008800D7" w:rsidRPr="0015541C" w:rsidRDefault="008800D7" w:rsidP="004E2C5E">
            <w:pPr>
              <w:jc w:val="center"/>
              <w:rPr>
                <w:sz w:val="18"/>
                <w:szCs w:val="18"/>
                <w:lang w:val="pl-PL"/>
              </w:rPr>
            </w:pPr>
          </w:p>
        </w:tc>
        <w:tc>
          <w:tcPr>
            <w:tcW w:w="1417" w:type="dxa"/>
          </w:tcPr>
          <w:p w14:paraId="4B28E4D1" w14:textId="77777777" w:rsidR="008800D7" w:rsidRPr="0015541C" w:rsidRDefault="008800D7" w:rsidP="004E2C5E">
            <w:pPr>
              <w:jc w:val="center"/>
              <w:rPr>
                <w:sz w:val="18"/>
                <w:szCs w:val="18"/>
                <w:lang w:val="pl-PL"/>
              </w:rPr>
            </w:pPr>
          </w:p>
        </w:tc>
        <w:tc>
          <w:tcPr>
            <w:tcW w:w="1049" w:type="dxa"/>
          </w:tcPr>
          <w:p w14:paraId="7ADF10EC" w14:textId="77777777" w:rsidR="008800D7" w:rsidRPr="0015541C" w:rsidRDefault="008800D7" w:rsidP="004E2C5E">
            <w:pPr>
              <w:jc w:val="center"/>
              <w:rPr>
                <w:sz w:val="18"/>
                <w:szCs w:val="18"/>
                <w:lang w:val="pl-PL"/>
              </w:rPr>
            </w:pPr>
          </w:p>
        </w:tc>
        <w:tc>
          <w:tcPr>
            <w:tcW w:w="1304" w:type="dxa"/>
          </w:tcPr>
          <w:p w14:paraId="5A991642" w14:textId="77777777" w:rsidR="008800D7" w:rsidRPr="0015541C" w:rsidRDefault="008800D7" w:rsidP="004E2C5E">
            <w:pPr>
              <w:jc w:val="center"/>
              <w:rPr>
                <w:sz w:val="18"/>
                <w:szCs w:val="18"/>
                <w:lang w:val="pl-PL"/>
              </w:rPr>
            </w:pPr>
          </w:p>
        </w:tc>
        <w:tc>
          <w:tcPr>
            <w:tcW w:w="1304" w:type="dxa"/>
          </w:tcPr>
          <w:p w14:paraId="3DF7CACD" w14:textId="77777777" w:rsidR="008800D7" w:rsidRPr="0015541C" w:rsidRDefault="008800D7" w:rsidP="004E2C5E">
            <w:pPr>
              <w:jc w:val="center"/>
              <w:rPr>
                <w:sz w:val="18"/>
                <w:szCs w:val="18"/>
                <w:lang w:val="pl-PL"/>
              </w:rPr>
            </w:pPr>
          </w:p>
        </w:tc>
        <w:tc>
          <w:tcPr>
            <w:tcW w:w="1305" w:type="dxa"/>
          </w:tcPr>
          <w:p w14:paraId="662BF8BB" w14:textId="77777777" w:rsidR="008800D7" w:rsidRPr="0015541C" w:rsidRDefault="008800D7" w:rsidP="004E2C5E">
            <w:pPr>
              <w:jc w:val="center"/>
              <w:rPr>
                <w:sz w:val="18"/>
                <w:szCs w:val="18"/>
                <w:lang w:val="pl-PL"/>
              </w:rPr>
            </w:pPr>
            <w:r w:rsidRPr="0015541C">
              <w:rPr>
                <w:sz w:val="18"/>
                <w:szCs w:val="18"/>
                <w:lang w:val="pl-PL" w:eastAsia="en-US"/>
              </w:rPr>
              <w:t>Perforacja pęcherzyka żółciowego</w:t>
            </w:r>
            <w:r w:rsidRPr="0015541C">
              <w:rPr>
                <w:sz w:val="18"/>
                <w:szCs w:val="18"/>
                <w:vertAlign w:val="superscript"/>
                <w:lang w:val="pl-PL" w:eastAsia="en-US"/>
              </w:rPr>
              <w:t>a,b</w:t>
            </w:r>
          </w:p>
        </w:tc>
      </w:tr>
      <w:tr w:rsidR="008800D7" w:rsidRPr="008D11DD" w14:paraId="2DF7DCA2" w14:textId="77777777" w:rsidTr="004E2C5E">
        <w:trPr>
          <w:trHeight w:val="1522"/>
        </w:trPr>
        <w:tc>
          <w:tcPr>
            <w:tcW w:w="1302" w:type="dxa"/>
          </w:tcPr>
          <w:p w14:paraId="43A0D73C" w14:textId="77777777" w:rsidR="008800D7" w:rsidRPr="00260CEC" w:rsidRDefault="008800D7" w:rsidP="004E2C5E">
            <w:pPr>
              <w:rPr>
                <w:i/>
                <w:sz w:val="18"/>
                <w:szCs w:val="18"/>
                <w:lang w:val="pl-PL"/>
              </w:rPr>
            </w:pPr>
            <w:r w:rsidRPr="0015541C">
              <w:rPr>
                <w:sz w:val="18"/>
                <w:szCs w:val="18"/>
                <w:lang w:val="pl-PL" w:eastAsia="en-US"/>
              </w:rPr>
              <w:t>Zaburzenia skóry i tkanki podskórnej</w:t>
            </w:r>
          </w:p>
        </w:tc>
        <w:tc>
          <w:tcPr>
            <w:tcW w:w="1449" w:type="dxa"/>
          </w:tcPr>
          <w:p w14:paraId="0C6DFD21" w14:textId="77777777" w:rsidR="008800D7" w:rsidRPr="0015541C" w:rsidRDefault="008800D7" w:rsidP="004E2C5E">
            <w:pPr>
              <w:jc w:val="center"/>
              <w:rPr>
                <w:sz w:val="18"/>
                <w:szCs w:val="18"/>
                <w:lang w:val="pl-PL"/>
              </w:rPr>
            </w:pPr>
            <w:r w:rsidRPr="0015541C">
              <w:rPr>
                <w:sz w:val="18"/>
                <w:szCs w:val="18"/>
                <w:lang w:val="pl-PL"/>
              </w:rPr>
              <w:t>Komplikacje</w:t>
            </w:r>
            <w:r w:rsidR="00A855F1" w:rsidRPr="0015541C">
              <w:rPr>
                <w:sz w:val="18"/>
                <w:szCs w:val="18"/>
                <w:lang w:val="pl-PL"/>
              </w:rPr>
              <w:br/>
            </w:r>
            <w:r w:rsidRPr="0015541C">
              <w:rPr>
                <w:sz w:val="18"/>
                <w:szCs w:val="18"/>
                <w:lang w:val="pl-PL"/>
              </w:rPr>
              <w:t>w gojeniu ran</w:t>
            </w:r>
            <w:r w:rsidRPr="0015541C">
              <w:rPr>
                <w:sz w:val="18"/>
                <w:szCs w:val="18"/>
                <w:vertAlign w:val="superscript"/>
                <w:lang w:val="pl-PL"/>
              </w:rPr>
              <w:t>b,d</w:t>
            </w:r>
            <w:r w:rsidRPr="0015541C">
              <w:rPr>
                <w:sz w:val="18"/>
                <w:szCs w:val="18"/>
                <w:lang w:val="pl-PL"/>
              </w:rPr>
              <w:t>,</w:t>
            </w:r>
          </w:p>
          <w:p w14:paraId="729496C7" w14:textId="77777777" w:rsidR="008800D7" w:rsidRPr="0015541C" w:rsidRDefault="008800D7" w:rsidP="004E2C5E">
            <w:pPr>
              <w:jc w:val="center"/>
              <w:rPr>
                <w:sz w:val="18"/>
                <w:szCs w:val="18"/>
                <w:lang w:val="pl-PL"/>
              </w:rPr>
            </w:pPr>
            <w:r w:rsidRPr="0015541C">
              <w:rPr>
                <w:sz w:val="18"/>
                <w:szCs w:val="18"/>
                <w:lang w:val="pl-PL"/>
              </w:rPr>
              <w:t>Zapalenie skóry złuszczające,</w:t>
            </w:r>
          </w:p>
          <w:p w14:paraId="49694E8C" w14:textId="77777777" w:rsidR="008800D7" w:rsidRPr="0015541C" w:rsidRDefault="008800D7" w:rsidP="004E2C5E">
            <w:pPr>
              <w:jc w:val="center"/>
              <w:rPr>
                <w:sz w:val="18"/>
                <w:szCs w:val="18"/>
                <w:lang w:val="pl-PL"/>
              </w:rPr>
            </w:pPr>
            <w:r w:rsidRPr="0015541C">
              <w:rPr>
                <w:sz w:val="18"/>
                <w:szCs w:val="18"/>
                <w:lang w:val="pl-PL"/>
              </w:rPr>
              <w:t>Sucha skóra,</w:t>
            </w:r>
          </w:p>
          <w:p w14:paraId="67F72D3E" w14:textId="77777777" w:rsidR="008800D7" w:rsidRPr="0070444C" w:rsidRDefault="008800D7" w:rsidP="004E2C5E">
            <w:pPr>
              <w:jc w:val="center"/>
              <w:rPr>
                <w:sz w:val="18"/>
                <w:lang w:val="pl-PL"/>
              </w:rPr>
            </w:pPr>
            <w:r w:rsidRPr="0070444C">
              <w:rPr>
                <w:sz w:val="18"/>
                <w:lang w:val="pl-PL"/>
              </w:rPr>
              <w:t>Przebarwienie skóry</w:t>
            </w:r>
          </w:p>
        </w:tc>
        <w:tc>
          <w:tcPr>
            <w:tcW w:w="1417" w:type="dxa"/>
          </w:tcPr>
          <w:p w14:paraId="108FA24E" w14:textId="77777777" w:rsidR="008800D7" w:rsidRPr="0070444C" w:rsidRDefault="008800D7" w:rsidP="004E2C5E">
            <w:pPr>
              <w:jc w:val="center"/>
              <w:rPr>
                <w:sz w:val="18"/>
                <w:lang w:val="pl-PL"/>
              </w:rPr>
            </w:pPr>
            <w:r w:rsidRPr="0070444C">
              <w:rPr>
                <w:sz w:val="18"/>
                <w:lang w:val="pl-PL"/>
              </w:rPr>
              <w:t>Zespół erytrodyzestezji dłoniowo-podeszwowej</w:t>
            </w:r>
          </w:p>
        </w:tc>
        <w:tc>
          <w:tcPr>
            <w:tcW w:w="1049" w:type="dxa"/>
          </w:tcPr>
          <w:p w14:paraId="71524AB2" w14:textId="77777777" w:rsidR="008800D7" w:rsidRPr="0070444C" w:rsidRDefault="008800D7" w:rsidP="004E2C5E">
            <w:pPr>
              <w:jc w:val="center"/>
              <w:rPr>
                <w:sz w:val="18"/>
                <w:lang w:val="pl-PL"/>
              </w:rPr>
            </w:pPr>
          </w:p>
        </w:tc>
        <w:tc>
          <w:tcPr>
            <w:tcW w:w="1304" w:type="dxa"/>
          </w:tcPr>
          <w:p w14:paraId="7D088FFD" w14:textId="77777777" w:rsidR="008800D7" w:rsidRPr="0070444C" w:rsidRDefault="008800D7" w:rsidP="004E2C5E">
            <w:pPr>
              <w:jc w:val="center"/>
              <w:rPr>
                <w:sz w:val="18"/>
                <w:lang w:val="pl-PL"/>
              </w:rPr>
            </w:pPr>
          </w:p>
        </w:tc>
        <w:tc>
          <w:tcPr>
            <w:tcW w:w="1304" w:type="dxa"/>
          </w:tcPr>
          <w:p w14:paraId="4C88CA88" w14:textId="77777777" w:rsidR="008800D7" w:rsidRPr="0070444C" w:rsidRDefault="008800D7" w:rsidP="004E2C5E">
            <w:pPr>
              <w:jc w:val="center"/>
              <w:rPr>
                <w:sz w:val="18"/>
                <w:lang w:val="pl-PL"/>
              </w:rPr>
            </w:pPr>
          </w:p>
        </w:tc>
        <w:tc>
          <w:tcPr>
            <w:tcW w:w="1305" w:type="dxa"/>
          </w:tcPr>
          <w:p w14:paraId="36CE935B" w14:textId="77777777" w:rsidR="008800D7" w:rsidRPr="0070444C" w:rsidRDefault="008800D7" w:rsidP="004E2C5E">
            <w:pPr>
              <w:jc w:val="center"/>
              <w:rPr>
                <w:sz w:val="18"/>
                <w:lang w:val="pl-PL"/>
              </w:rPr>
            </w:pPr>
          </w:p>
        </w:tc>
      </w:tr>
      <w:tr w:rsidR="008800D7" w:rsidRPr="008D11DD" w14:paraId="75D18B2E" w14:textId="77777777" w:rsidTr="004E2C5E">
        <w:trPr>
          <w:trHeight w:val="992"/>
        </w:trPr>
        <w:tc>
          <w:tcPr>
            <w:tcW w:w="1302" w:type="dxa"/>
          </w:tcPr>
          <w:p w14:paraId="18D7ECC6" w14:textId="77777777" w:rsidR="008800D7" w:rsidRPr="00260CEC" w:rsidRDefault="008800D7" w:rsidP="004E2C5E">
            <w:pPr>
              <w:rPr>
                <w:sz w:val="18"/>
                <w:szCs w:val="18"/>
                <w:lang w:val="pl-PL"/>
              </w:rPr>
            </w:pPr>
            <w:r w:rsidRPr="0015541C">
              <w:rPr>
                <w:sz w:val="18"/>
                <w:szCs w:val="18"/>
                <w:lang w:val="pl-PL"/>
              </w:rPr>
              <w:t>Zaburzenia mięśniowo-szkieletowe i tkanki łącznej</w:t>
            </w:r>
          </w:p>
        </w:tc>
        <w:tc>
          <w:tcPr>
            <w:tcW w:w="1449" w:type="dxa"/>
          </w:tcPr>
          <w:p w14:paraId="2EA32B11" w14:textId="77777777" w:rsidR="008800D7" w:rsidRPr="0070444C" w:rsidRDefault="008800D7" w:rsidP="004E2C5E">
            <w:pPr>
              <w:jc w:val="center"/>
              <w:rPr>
                <w:sz w:val="18"/>
                <w:lang w:val="pl-PL"/>
              </w:rPr>
            </w:pPr>
            <w:r w:rsidRPr="0070444C">
              <w:rPr>
                <w:sz w:val="18"/>
                <w:lang w:val="pl-PL"/>
              </w:rPr>
              <w:t>Bóle stawów</w:t>
            </w:r>
          </w:p>
          <w:p w14:paraId="44B7FB6D" w14:textId="77777777" w:rsidR="00F36C47" w:rsidRPr="0070444C" w:rsidRDefault="00F36C47" w:rsidP="004E2C5E">
            <w:pPr>
              <w:jc w:val="center"/>
              <w:rPr>
                <w:sz w:val="18"/>
                <w:lang w:val="pl-PL"/>
              </w:rPr>
            </w:pPr>
            <w:r w:rsidRPr="0070444C">
              <w:rPr>
                <w:sz w:val="18"/>
                <w:lang w:val="pl-PL"/>
              </w:rPr>
              <w:t>Ból mięśni</w:t>
            </w:r>
          </w:p>
        </w:tc>
        <w:tc>
          <w:tcPr>
            <w:tcW w:w="1417" w:type="dxa"/>
          </w:tcPr>
          <w:p w14:paraId="61354CAD" w14:textId="77777777" w:rsidR="008800D7" w:rsidRPr="0015541C" w:rsidRDefault="008800D7" w:rsidP="004E2C5E">
            <w:pPr>
              <w:jc w:val="center"/>
              <w:rPr>
                <w:sz w:val="18"/>
                <w:szCs w:val="18"/>
                <w:lang w:val="pl-PL" w:eastAsia="en-US"/>
              </w:rPr>
            </w:pPr>
            <w:r w:rsidRPr="0015541C">
              <w:rPr>
                <w:sz w:val="18"/>
                <w:szCs w:val="18"/>
                <w:lang w:val="pl-PL" w:eastAsia="en-US"/>
              </w:rPr>
              <w:t>Przetoka</w:t>
            </w:r>
            <w:r w:rsidRPr="0015541C">
              <w:rPr>
                <w:sz w:val="18"/>
                <w:szCs w:val="18"/>
                <w:vertAlign w:val="superscript"/>
                <w:lang w:val="pl-PL" w:eastAsia="en-US"/>
              </w:rPr>
              <w:t>b,d</w:t>
            </w:r>
            <w:r w:rsidRPr="0015541C">
              <w:rPr>
                <w:sz w:val="18"/>
                <w:szCs w:val="18"/>
                <w:lang w:val="pl-PL" w:eastAsia="en-US"/>
              </w:rPr>
              <w:t>,</w:t>
            </w:r>
          </w:p>
          <w:p w14:paraId="54CB7F02" w14:textId="77777777" w:rsidR="008800D7" w:rsidRPr="0015541C" w:rsidRDefault="008800D7" w:rsidP="004E2C5E">
            <w:pPr>
              <w:jc w:val="center"/>
              <w:rPr>
                <w:sz w:val="18"/>
                <w:szCs w:val="18"/>
                <w:lang w:val="pl-PL" w:eastAsia="en-US"/>
              </w:rPr>
            </w:pPr>
            <w:r w:rsidRPr="0015541C">
              <w:rPr>
                <w:sz w:val="18"/>
                <w:szCs w:val="18"/>
                <w:lang w:val="pl-PL" w:eastAsia="en-US"/>
              </w:rPr>
              <w:t>Osłabienie mięśni</w:t>
            </w:r>
            <w:r w:rsidR="0001768A" w:rsidRPr="0015541C">
              <w:rPr>
                <w:sz w:val="18"/>
                <w:szCs w:val="18"/>
                <w:lang w:val="pl-PL" w:eastAsia="en-US"/>
              </w:rPr>
              <w:t>,</w:t>
            </w:r>
          </w:p>
          <w:p w14:paraId="1DD45ABA" w14:textId="77777777" w:rsidR="0001768A" w:rsidRPr="0015541C" w:rsidRDefault="0001768A" w:rsidP="004E2C5E">
            <w:pPr>
              <w:jc w:val="center"/>
              <w:rPr>
                <w:sz w:val="18"/>
                <w:szCs w:val="18"/>
                <w:lang w:val="pl-PL"/>
              </w:rPr>
            </w:pPr>
            <w:r w:rsidRPr="0015541C">
              <w:rPr>
                <w:sz w:val="18"/>
                <w:szCs w:val="18"/>
                <w:lang w:val="pl-PL" w:eastAsia="en-US"/>
              </w:rPr>
              <w:t>Ból pleców</w:t>
            </w:r>
          </w:p>
        </w:tc>
        <w:tc>
          <w:tcPr>
            <w:tcW w:w="1049" w:type="dxa"/>
          </w:tcPr>
          <w:p w14:paraId="76A953BB" w14:textId="77777777" w:rsidR="008800D7" w:rsidRPr="0015541C" w:rsidRDefault="008800D7" w:rsidP="004E2C5E">
            <w:pPr>
              <w:jc w:val="center"/>
              <w:rPr>
                <w:sz w:val="18"/>
                <w:szCs w:val="18"/>
                <w:lang w:val="pl-PL"/>
              </w:rPr>
            </w:pPr>
          </w:p>
        </w:tc>
        <w:tc>
          <w:tcPr>
            <w:tcW w:w="1304" w:type="dxa"/>
          </w:tcPr>
          <w:p w14:paraId="58FE15AF" w14:textId="77777777" w:rsidR="008800D7" w:rsidRPr="0015541C" w:rsidRDefault="008800D7" w:rsidP="004E2C5E">
            <w:pPr>
              <w:jc w:val="center"/>
              <w:rPr>
                <w:sz w:val="18"/>
                <w:szCs w:val="18"/>
                <w:lang w:val="pl-PL"/>
              </w:rPr>
            </w:pPr>
          </w:p>
        </w:tc>
        <w:tc>
          <w:tcPr>
            <w:tcW w:w="1304" w:type="dxa"/>
          </w:tcPr>
          <w:p w14:paraId="2692B204" w14:textId="77777777" w:rsidR="008800D7" w:rsidRPr="0015541C" w:rsidRDefault="008800D7" w:rsidP="004E2C5E">
            <w:pPr>
              <w:jc w:val="center"/>
              <w:rPr>
                <w:sz w:val="18"/>
                <w:szCs w:val="18"/>
                <w:lang w:val="pl-PL"/>
              </w:rPr>
            </w:pPr>
          </w:p>
        </w:tc>
        <w:tc>
          <w:tcPr>
            <w:tcW w:w="1305" w:type="dxa"/>
          </w:tcPr>
          <w:p w14:paraId="64C41C51" w14:textId="77777777" w:rsidR="008800D7" w:rsidRPr="0015541C" w:rsidRDefault="008800D7" w:rsidP="004E2C5E">
            <w:pPr>
              <w:jc w:val="center"/>
              <w:rPr>
                <w:sz w:val="18"/>
                <w:szCs w:val="18"/>
                <w:vertAlign w:val="superscript"/>
                <w:lang w:val="pl-PL" w:eastAsia="en-US"/>
              </w:rPr>
            </w:pPr>
            <w:r w:rsidRPr="0015541C">
              <w:rPr>
                <w:sz w:val="18"/>
                <w:szCs w:val="18"/>
                <w:lang w:val="pl-PL" w:eastAsia="en-US"/>
              </w:rPr>
              <w:t>Martwica kości szczęki</w:t>
            </w:r>
            <w:r w:rsidRPr="0015541C">
              <w:rPr>
                <w:sz w:val="18"/>
                <w:szCs w:val="18"/>
                <w:vertAlign w:val="superscript"/>
                <w:lang w:val="pl-PL" w:eastAsia="en-US"/>
              </w:rPr>
              <w:t>a,b</w:t>
            </w:r>
          </w:p>
          <w:p w14:paraId="527F3999" w14:textId="77777777" w:rsidR="00DC47E0" w:rsidRPr="0015541C" w:rsidRDefault="00FC4BEC" w:rsidP="004E2C5E">
            <w:pPr>
              <w:jc w:val="center"/>
              <w:rPr>
                <w:sz w:val="18"/>
                <w:szCs w:val="18"/>
                <w:lang w:val="pl-PL"/>
              </w:rPr>
            </w:pPr>
            <w:r w:rsidRPr="0015541C">
              <w:rPr>
                <w:sz w:val="18"/>
                <w:szCs w:val="18"/>
                <w:lang w:val="pl-PL"/>
              </w:rPr>
              <w:t xml:space="preserve">Martwica kości innych niż </w:t>
            </w:r>
            <w:r w:rsidR="00157460" w:rsidRPr="0015541C">
              <w:rPr>
                <w:sz w:val="18"/>
                <w:szCs w:val="18"/>
                <w:lang w:val="pl-PL"/>
              </w:rPr>
              <w:t>szczę</w:t>
            </w:r>
            <w:r w:rsidR="00085863" w:rsidRPr="0015541C">
              <w:rPr>
                <w:sz w:val="18"/>
                <w:szCs w:val="18"/>
                <w:lang w:val="pl-PL"/>
              </w:rPr>
              <w:t>ki</w:t>
            </w:r>
            <w:r w:rsidR="00157460" w:rsidRPr="0015541C">
              <w:rPr>
                <w:sz w:val="18"/>
                <w:szCs w:val="18"/>
                <w:lang w:val="pl-PL"/>
              </w:rPr>
              <w:t xml:space="preserve"> lub żuchwy</w:t>
            </w:r>
            <w:r w:rsidR="00085863" w:rsidRPr="0015541C">
              <w:rPr>
                <w:sz w:val="18"/>
                <w:szCs w:val="18"/>
                <w:vertAlign w:val="superscript"/>
                <w:lang w:val="pl-PL"/>
              </w:rPr>
              <w:t>a,f</w:t>
            </w:r>
          </w:p>
        </w:tc>
      </w:tr>
      <w:tr w:rsidR="008800D7" w:rsidRPr="0015541C" w14:paraId="4AC517F5" w14:textId="77777777" w:rsidTr="004E2C5E">
        <w:trPr>
          <w:trHeight w:val="703"/>
        </w:trPr>
        <w:tc>
          <w:tcPr>
            <w:tcW w:w="1302" w:type="dxa"/>
          </w:tcPr>
          <w:p w14:paraId="02D5536F" w14:textId="77777777" w:rsidR="008800D7" w:rsidRPr="00260CEC" w:rsidRDefault="008800D7" w:rsidP="004E2C5E">
            <w:pPr>
              <w:rPr>
                <w:i/>
                <w:sz w:val="18"/>
                <w:szCs w:val="18"/>
                <w:lang w:val="pl-PL"/>
              </w:rPr>
            </w:pPr>
            <w:r w:rsidRPr="0015541C">
              <w:rPr>
                <w:sz w:val="18"/>
                <w:szCs w:val="18"/>
                <w:lang w:val="pl-PL" w:eastAsia="en-US"/>
              </w:rPr>
              <w:t>Zaburzenia nerek i dróg moczowych</w:t>
            </w:r>
          </w:p>
        </w:tc>
        <w:tc>
          <w:tcPr>
            <w:tcW w:w="1449" w:type="dxa"/>
          </w:tcPr>
          <w:p w14:paraId="4CEE7635" w14:textId="77777777" w:rsidR="008800D7" w:rsidRPr="0070444C" w:rsidRDefault="008800D7" w:rsidP="004E2C5E">
            <w:pPr>
              <w:jc w:val="center"/>
              <w:rPr>
                <w:sz w:val="18"/>
                <w:lang w:val="pl-PL"/>
              </w:rPr>
            </w:pPr>
            <w:r w:rsidRPr="0070444C">
              <w:rPr>
                <w:sz w:val="18"/>
                <w:lang w:val="pl-PL"/>
              </w:rPr>
              <w:t>Białkomocz</w:t>
            </w:r>
            <w:r w:rsidRPr="0070444C">
              <w:rPr>
                <w:sz w:val="18"/>
                <w:vertAlign w:val="superscript"/>
                <w:lang w:val="pl-PL"/>
              </w:rPr>
              <w:t>b,d</w:t>
            </w:r>
          </w:p>
        </w:tc>
        <w:tc>
          <w:tcPr>
            <w:tcW w:w="1417" w:type="dxa"/>
          </w:tcPr>
          <w:p w14:paraId="7339A186" w14:textId="77777777" w:rsidR="008800D7" w:rsidRPr="0070444C" w:rsidRDefault="008800D7" w:rsidP="004E2C5E">
            <w:pPr>
              <w:jc w:val="center"/>
              <w:rPr>
                <w:sz w:val="18"/>
                <w:lang w:val="pl-PL"/>
              </w:rPr>
            </w:pPr>
          </w:p>
        </w:tc>
        <w:tc>
          <w:tcPr>
            <w:tcW w:w="1049" w:type="dxa"/>
          </w:tcPr>
          <w:p w14:paraId="04F69376" w14:textId="77777777" w:rsidR="008800D7" w:rsidRPr="0070444C" w:rsidRDefault="008800D7" w:rsidP="004E2C5E">
            <w:pPr>
              <w:jc w:val="center"/>
              <w:rPr>
                <w:sz w:val="18"/>
                <w:lang w:val="pl-PL"/>
              </w:rPr>
            </w:pPr>
          </w:p>
        </w:tc>
        <w:tc>
          <w:tcPr>
            <w:tcW w:w="1304" w:type="dxa"/>
          </w:tcPr>
          <w:p w14:paraId="0283BA10" w14:textId="77777777" w:rsidR="008800D7" w:rsidRPr="0070444C" w:rsidRDefault="008800D7" w:rsidP="004E2C5E">
            <w:pPr>
              <w:jc w:val="center"/>
              <w:rPr>
                <w:sz w:val="18"/>
                <w:lang w:val="pl-PL"/>
              </w:rPr>
            </w:pPr>
          </w:p>
        </w:tc>
        <w:tc>
          <w:tcPr>
            <w:tcW w:w="1304" w:type="dxa"/>
          </w:tcPr>
          <w:p w14:paraId="1285A107" w14:textId="77777777" w:rsidR="008800D7" w:rsidRPr="0070444C" w:rsidRDefault="008800D7" w:rsidP="004E2C5E">
            <w:pPr>
              <w:jc w:val="center"/>
              <w:rPr>
                <w:sz w:val="18"/>
                <w:lang w:val="pl-PL"/>
              </w:rPr>
            </w:pPr>
          </w:p>
        </w:tc>
        <w:tc>
          <w:tcPr>
            <w:tcW w:w="1305" w:type="dxa"/>
          </w:tcPr>
          <w:p w14:paraId="2B7F3947" w14:textId="77777777" w:rsidR="008800D7" w:rsidRPr="0070444C" w:rsidRDefault="008800D7" w:rsidP="004E2C5E">
            <w:pPr>
              <w:jc w:val="center"/>
              <w:rPr>
                <w:sz w:val="18"/>
                <w:lang w:val="pl-PL"/>
              </w:rPr>
            </w:pPr>
          </w:p>
        </w:tc>
      </w:tr>
      <w:tr w:rsidR="008800D7" w:rsidRPr="0015541C" w14:paraId="2DEABC48" w14:textId="77777777" w:rsidTr="004E2C5E">
        <w:trPr>
          <w:trHeight w:val="737"/>
        </w:trPr>
        <w:tc>
          <w:tcPr>
            <w:tcW w:w="1302" w:type="dxa"/>
          </w:tcPr>
          <w:p w14:paraId="0634F091" w14:textId="77777777" w:rsidR="008800D7" w:rsidRPr="00260CEC" w:rsidRDefault="008800D7" w:rsidP="004E2C5E">
            <w:pPr>
              <w:rPr>
                <w:sz w:val="18"/>
                <w:szCs w:val="18"/>
                <w:lang w:val="pl-PL" w:eastAsia="en-US"/>
              </w:rPr>
            </w:pPr>
            <w:r w:rsidRPr="0015541C">
              <w:rPr>
                <w:sz w:val="18"/>
                <w:szCs w:val="18"/>
                <w:lang w:val="pl-PL" w:eastAsia="en-US"/>
              </w:rPr>
              <w:t>Zaburzenia układu rozrodczego i piersi</w:t>
            </w:r>
          </w:p>
        </w:tc>
        <w:tc>
          <w:tcPr>
            <w:tcW w:w="1449" w:type="dxa"/>
          </w:tcPr>
          <w:p w14:paraId="37FDA6FE" w14:textId="77777777" w:rsidR="008800D7" w:rsidRPr="0015541C" w:rsidRDefault="008800D7" w:rsidP="004E2C5E">
            <w:pPr>
              <w:jc w:val="center"/>
              <w:rPr>
                <w:sz w:val="18"/>
                <w:szCs w:val="18"/>
                <w:lang w:val="pl-PL" w:eastAsia="en-US"/>
              </w:rPr>
            </w:pPr>
            <w:r w:rsidRPr="0015541C">
              <w:rPr>
                <w:sz w:val="18"/>
                <w:szCs w:val="18"/>
                <w:lang w:val="pl-PL" w:eastAsia="en-US"/>
              </w:rPr>
              <w:t>Niewydolność jajników</w:t>
            </w:r>
            <w:r w:rsidRPr="0015541C">
              <w:rPr>
                <w:sz w:val="18"/>
                <w:szCs w:val="18"/>
                <w:vertAlign w:val="superscript"/>
                <w:lang w:val="pl-PL" w:eastAsia="en-US"/>
              </w:rPr>
              <w:t>b,c,d</w:t>
            </w:r>
          </w:p>
        </w:tc>
        <w:tc>
          <w:tcPr>
            <w:tcW w:w="1417" w:type="dxa"/>
          </w:tcPr>
          <w:p w14:paraId="18FC4095" w14:textId="77777777" w:rsidR="008800D7" w:rsidRPr="0015541C" w:rsidRDefault="0001768A" w:rsidP="004E2C5E">
            <w:pPr>
              <w:jc w:val="center"/>
              <w:rPr>
                <w:sz w:val="18"/>
                <w:szCs w:val="18"/>
                <w:lang w:val="pl-PL"/>
              </w:rPr>
            </w:pPr>
            <w:r w:rsidRPr="0015541C">
              <w:rPr>
                <w:sz w:val="18"/>
                <w:szCs w:val="18"/>
                <w:lang w:val="pl-PL"/>
              </w:rPr>
              <w:t>Ból miednicy</w:t>
            </w:r>
          </w:p>
        </w:tc>
        <w:tc>
          <w:tcPr>
            <w:tcW w:w="1049" w:type="dxa"/>
          </w:tcPr>
          <w:p w14:paraId="20465398" w14:textId="77777777" w:rsidR="008800D7" w:rsidRPr="0015541C" w:rsidRDefault="008800D7" w:rsidP="004E2C5E">
            <w:pPr>
              <w:jc w:val="center"/>
              <w:rPr>
                <w:sz w:val="18"/>
                <w:szCs w:val="18"/>
                <w:lang w:val="pl-PL"/>
              </w:rPr>
            </w:pPr>
          </w:p>
        </w:tc>
        <w:tc>
          <w:tcPr>
            <w:tcW w:w="1304" w:type="dxa"/>
          </w:tcPr>
          <w:p w14:paraId="4501C24A" w14:textId="77777777" w:rsidR="008800D7" w:rsidRPr="0015541C" w:rsidRDefault="008800D7" w:rsidP="004E2C5E">
            <w:pPr>
              <w:jc w:val="center"/>
              <w:rPr>
                <w:sz w:val="18"/>
                <w:szCs w:val="18"/>
                <w:lang w:val="pl-PL"/>
              </w:rPr>
            </w:pPr>
          </w:p>
        </w:tc>
        <w:tc>
          <w:tcPr>
            <w:tcW w:w="1304" w:type="dxa"/>
          </w:tcPr>
          <w:p w14:paraId="6F876314" w14:textId="77777777" w:rsidR="008800D7" w:rsidRPr="0015541C" w:rsidRDefault="008800D7" w:rsidP="004E2C5E">
            <w:pPr>
              <w:jc w:val="center"/>
              <w:rPr>
                <w:sz w:val="18"/>
                <w:szCs w:val="18"/>
                <w:lang w:val="pl-PL"/>
              </w:rPr>
            </w:pPr>
          </w:p>
        </w:tc>
        <w:tc>
          <w:tcPr>
            <w:tcW w:w="1305" w:type="dxa"/>
          </w:tcPr>
          <w:p w14:paraId="37F0DA12" w14:textId="77777777" w:rsidR="008800D7" w:rsidRPr="0015541C" w:rsidRDefault="008800D7" w:rsidP="004E2C5E">
            <w:pPr>
              <w:jc w:val="center"/>
              <w:rPr>
                <w:sz w:val="18"/>
                <w:szCs w:val="18"/>
                <w:lang w:val="pl-PL"/>
              </w:rPr>
            </w:pPr>
          </w:p>
        </w:tc>
      </w:tr>
      <w:tr w:rsidR="00F86048" w:rsidRPr="0015541C" w14:paraId="23DE3517" w14:textId="77777777" w:rsidTr="004E2C5E">
        <w:trPr>
          <w:trHeight w:val="737"/>
        </w:trPr>
        <w:tc>
          <w:tcPr>
            <w:tcW w:w="1302" w:type="dxa"/>
          </w:tcPr>
          <w:p w14:paraId="2145E489" w14:textId="77777777" w:rsidR="00F86048" w:rsidRPr="00260CEC" w:rsidRDefault="00F86048" w:rsidP="00112762">
            <w:pPr>
              <w:widowControl w:val="0"/>
              <w:rPr>
                <w:sz w:val="18"/>
                <w:szCs w:val="18"/>
                <w:lang w:val="pl-PL" w:eastAsia="en-US"/>
              </w:rPr>
            </w:pPr>
            <w:r w:rsidRPr="0015541C">
              <w:rPr>
                <w:sz w:val="18"/>
                <w:szCs w:val="18"/>
                <w:lang w:val="pl-PL"/>
              </w:rPr>
              <w:t>Wady wrodzone, choroby rodzinne i genetyczne</w:t>
            </w:r>
          </w:p>
        </w:tc>
        <w:tc>
          <w:tcPr>
            <w:tcW w:w="1449" w:type="dxa"/>
          </w:tcPr>
          <w:p w14:paraId="115D0F19" w14:textId="77777777" w:rsidR="00F86048" w:rsidRPr="0015541C" w:rsidRDefault="00F86048" w:rsidP="00112762">
            <w:pPr>
              <w:widowControl w:val="0"/>
              <w:jc w:val="center"/>
              <w:rPr>
                <w:sz w:val="18"/>
                <w:szCs w:val="18"/>
                <w:lang w:val="pl-PL" w:eastAsia="en-US"/>
              </w:rPr>
            </w:pPr>
          </w:p>
        </w:tc>
        <w:tc>
          <w:tcPr>
            <w:tcW w:w="1417" w:type="dxa"/>
          </w:tcPr>
          <w:p w14:paraId="3A18F5D1" w14:textId="77777777" w:rsidR="00F86048" w:rsidRPr="0015541C" w:rsidRDefault="00F86048" w:rsidP="00112762">
            <w:pPr>
              <w:widowControl w:val="0"/>
              <w:jc w:val="center"/>
              <w:rPr>
                <w:sz w:val="18"/>
                <w:szCs w:val="18"/>
                <w:lang w:val="pl-PL"/>
              </w:rPr>
            </w:pPr>
          </w:p>
        </w:tc>
        <w:tc>
          <w:tcPr>
            <w:tcW w:w="1049" w:type="dxa"/>
          </w:tcPr>
          <w:p w14:paraId="6A9B348E" w14:textId="77777777" w:rsidR="00F86048" w:rsidRPr="0015541C" w:rsidRDefault="00F86048" w:rsidP="00112762">
            <w:pPr>
              <w:widowControl w:val="0"/>
              <w:jc w:val="center"/>
              <w:rPr>
                <w:sz w:val="18"/>
                <w:szCs w:val="18"/>
                <w:lang w:val="pl-PL"/>
              </w:rPr>
            </w:pPr>
          </w:p>
        </w:tc>
        <w:tc>
          <w:tcPr>
            <w:tcW w:w="1304" w:type="dxa"/>
          </w:tcPr>
          <w:p w14:paraId="5F3C1F6C" w14:textId="77777777" w:rsidR="00F86048" w:rsidRPr="0015541C" w:rsidRDefault="00F86048" w:rsidP="00112762">
            <w:pPr>
              <w:widowControl w:val="0"/>
              <w:jc w:val="center"/>
              <w:rPr>
                <w:sz w:val="18"/>
                <w:szCs w:val="18"/>
                <w:lang w:val="pl-PL"/>
              </w:rPr>
            </w:pPr>
          </w:p>
        </w:tc>
        <w:tc>
          <w:tcPr>
            <w:tcW w:w="1304" w:type="dxa"/>
          </w:tcPr>
          <w:p w14:paraId="208E6B65" w14:textId="77777777" w:rsidR="00F86048" w:rsidRPr="0015541C" w:rsidRDefault="00F86048" w:rsidP="00112762">
            <w:pPr>
              <w:widowControl w:val="0"/>
              <w:jc w:val="center"/>
              <w:rPr>
                <w:sz w:val="18"/>
                <w:szCs w:val="18"/>
                <w:lang w:val="pl-PL"/>
              </w:rPr>
            </w:pPr>
          </w:p>
        </w:tc>
        <w:tc>
          <w:tcPr>
            <w:tcW w:w="1305" w:type="dxa"/>
          </w:tcPr>
          <w:p w14:paraId="12BAD085" w14:textId="77777777" w:rsidR="00F86048" w:rsidRPr="0015541C" w:rsidRDefault="00F86048" w:rsidP="00112762">
            <w:pPr>
              <w:widowControl w:val="0"/>
              <w:jc w:val="center"/>
              <w:rPr>
                <w:sz w:val="18"/>
                <w:szCs w:val="18"/>
                <w:lang w:val="pl-PL"/>
              </w:rPr>
            </w:pPr>
            <w:r w:rsidRPr="0015541C">
              <w:rPr>
                <w:sz w:val="18"/>
                <w:szCs w:val="18"/>
                <w:lang w:val="pl-PL" w:eastAsia="zh-TW"/>
              </w:rPr>
              <w:t>Wady rozwojowe płodu</w:t>
            </w:r>
            <w:r w:rsidRPr="0070444C">
              <w:rPr>
                <w:sz w:val="18"/>
                <w:vertAlign w:val="superscript"/>
                <w:lang w:val="pl-PL"/>
              </w:rPr>
              <w:t>a,b</w:t>
            </w:r>
          </w:p>
        </w:tc>
      </w:tr>
      <w:tr w:rsidR="004A6AF4" w:rsidRPr="0015541C" w14:paraId="7F538C98" w14:textId="77777777" w:rsidTr="004E2C5E">
        <w:trPr>
          <w:trHeight w:val="1088"/>
        </w:trPr>
        <w:tc>
          <w:tcPr>
            <w:tcW w:w="1302" w:type="dxa"/>
          </w:tcPr>
          <w:p w14:paraId="1EA784BB" w14:textId="77777777" w:rsidR="004A6AF4" w:rsidRPr="00260CEC" w:rsidRDefault="004A6AF4" w:rsidP="00112762">
            <w:pPr>
              <w:keepNext/>
              <w:keepLines/>
              <w:rPr>
                <w:sz w:val="18"/>
                <w:szCs w:val="18"/>
                <w:lang w:val="pl-PL" w:eastAsia="en-US"/>
              </w:rPr>
            </w:pPr>
            <w:r w:rsidRPr="0015541C">
              <w:rPr>
                <w:sz w:val="18"/>
                <w:szCs w:val="18"/>
                <w:lang w:val="pl-PL" w:eastAsia="en-US"/>
              </w:rPr>
              <w:t>Zaburzenia ogólne i stany w miejscu podania</w:t>
            </w:r>
          </w:p>
        </w:tc>
        <w:tc>
          <w:tcPr>
            <w:tcW w:w="1449" w:type="dxa"/>
          </w:tcPr>
          <w:p w14:paraId="1B9BB774" w14:textId="77777777" w:rsidR="004A6AF4" w:rsidRPr="0015541C" w:rsidRDefault="004A6AF4" w:rsidP="00112762">
            <w:pPr>
              <w:keepNext/>
              <w:keepLines/>
              <w:jc w:val="center"/>
              <w:rPr>
                <w:sz w:val="18"/>
                <w:szCs w:val="18"/>
                <w:lang w:val="pl-PL" w:eastAsia="en-US"/>
              </w:rPr>
            </w:pPr>
            <w:r w:rsidRPr="0015541C">
              <w:rPr>
                <w:sz w:val="18"/>
                <w:szCs w:val="18"/>
                <w:lang w:val="pl-PL" w:eastAsia="en-US"/>
              </w:rPr>
              <w:t>Osłabienie,</w:t>
            </w:r>
          </w:p>
          <w:p w14:paraId="3FD9957D" w14:textId="77777777" w:rsidR="004A6AF4" w:rsidRPr="0015541C" w:rsidRDefault="004A6AF4" w:rsidP="00112762">
            <w:pPr>
              <w:keepNext/>
              <w:keepLines/>
              <w:jc w:val="center"/>
              <w:rPr>
                <w:sz w:val="18"/>
                <w:szCs w:val="18"/>
                <w:lang w:val="pl-PL" w:eastAsia="en-US"/>
              </w:rPr>
            </w:pPr>
            <w:r w:rsidRPr="0015541C">
              <w:rPr>
                <w:sz w:val="18"/>
                <w:szCs w:val="18"/>
                <w:lang w:val="pl-PL" w:eastAsia="en-US"/>
              </w:rPr>
              <w:t>Zmęczenie</w:t>
            </w:r>
          </w:p>
          <w:p w14:paraId="1948A6AB" w14:textId="77777777" w:rsidR="004A6AF4" w:rsidRPr="0015541C" w:rsidRDefault="004A6AF4" w:rsidP="00112762">
            <w:pPr>
              <w:keepNext/>
              <w:keepLines/>
              <w:jc w:val="center"/>
              <w:rPr>
                <w:sz w:val="18"/>
                <w:szCs w:val="18"/>
                <w:lang w:val="pl-PL" w:eastAsia="en-US"/>
              </w:rPr>
            </w:pPr>
            <w:r w:rsidRPr="0015541C">
              <w:rPr>
                <w:sz w:val="18"/>
                <w:szCs w:val="18"/>
                <w:lang w:val="pl-PL" w:eastAsia="en-US"/>
              </w:rPr>
              <w:t>Gorączka,</w:t>
            </w:r>
          </w:p>
          <w:p w14:paraId="132EA1D3" w14:textId="77777777" w:rsidR="004A6AF4" w:rsidRPr="0015541C" w:rsidRDefault="004A6AF4" w:rsidP="00112762">
            <w:pPr>
              <w:keepNext/>
              <w:keepLines/>
              <w:jc w:val="center"/>
              <w:rPr>
                <w:sz w:val="18"/>
                <w:szCs w:val="18"/>
                <w:lang w:val="pl-PL" w:eastAsia="en-US"/>
              </w:rPr>
            </w:pPr>
            <w:r w:rsidRPr="0015541C">
              <w:rPr>
                <w:sz w:val="18"/>
                <w:szCs w:val="18"/>
                <w:lang w:val="pl-PL" w:eastAsia="en-US"/>
              </w:rPr>
              <w:t>Ból,</w:t>
            </w:r>
          </w:p>
          <w:p w14:paraId="7F02DBDD" w14:textId="77777777" w:rsidR="004A6AF4" w:rsidRPr="0015541C" w:rsidRDefault="004A6AF4" w:rsidP="00112762">
            <w:pPr>
              <w:keepNext/>
              <w:keepLines/>
              <w:jc w:val="center"/>
              <w:rPr>
                <w:sz w:val="18"/>
                <w:szCs w:val="18"/>
                <w:lang w:val="pl-PL" w:eastAsia="en-US"/>
              </w:rPr>
            </w:pPr>
            <w:r w:rsidRPr="0015541C">
              <w:rPr>
                <w:sz w:val="18"/>
                <w:szCs w:val="18"/>
                <w:lang w:val="pl-PL" w:eastAsia="en-US"/>
              </w:rPr>
              <w:t>Zapalenie błon śluzowych</w:t>
            </w:r>
          </w:p>
        </w:tc>
        <w:tc>
          <w:tcPr>
            <w:tcW w:w="1417" w:type="dxa"/>
          </w:tcPr>
          <w:p w14:paraId="2BB9A0AD" w14:textId="77777777" w:rsidR="004A6AF4" w:rsidRPr="0015541C" w:rsidRDefault="004A6AF4" w:rsidP="00112762">
            <w:pPr>
              <w:keepNext/>
              <w:keepLines/>
              <w:jc w:val="center"/>
              <w:rPr>
                <w:sz w:val="18"/>
                <w:szCs w:val="18"/>
                <w:lang w:val="pl-PL"/>
              </w:rPr>
            </w:pPr>
            <w:r w:rsidRPr="0015541C">
              <w:rPr>
                <w:sz w:val="18"/>
                <w:szCs w:val="18"/>
                <w:lang w:val="pl-PL"/>
              </w:rPr>
              <w:t>Ospałość</w:t>
            </w:r>
          </w:p>
        </w:tc>
        <w:tc>
          <w:tcPr>
            <w:tcW w:w="1049" w:type="dxa"/>
          </w:tcPr>
          <w:p w14:paraId="0B55DC33" w14:textId="77777777" w:rsidR="004A6AF4" w:rsidRPr="0015541C" w:rsidRDefault="004A6AF4" w:rsidP="00112762">
            <w:pPr>
              <w:keepNext/>
              <w:keepLines/>
              <w:jc w:val="center"/>
              <w:rPr>
                <w:sz w:val="18"/>
                <w:szCs w:val="18"/>
                <w:lang w:val="pl-PL"/>
              </w:rPr>
            </w:pPr>
          </w:p>
        </w:tc>
        <w:tc>
          <w:tcPr>
            <w:tcW w:w="1304" w:type="dxa"/>
          </w:tcPr>
          <w:p w14:paraId="77ED51B6" w14:textId="77777777" w:rsidR="004A6AF4" w:rsidRPr="0015541C" w:rsidRDefault="004A6AF4" w:rsidP="00112762">
            <w:pPr>
              <w:keepNext/>
              <w:keepLines/>
              <w:tabs>
                <w:tab w:val="left" w:pos="0"/>
              </w:tabs>
              <w:jc w:val="center"/>
              <w:rPr>
                <w:sz w:val="18"/>
                <w:szCs w:val="18"/>
                <w:lang w:val="pl-PL"/>
              </w:rPr>
            </w:pPr>
          </w:p>
        </w:tc>
        <w:tc>
          <w:tcPr>
            <w:tcW w:w="1304" w:type="dxa"/>
          </w:tcPr>
          <w:p w14:paraId="6664B45E" w14:textId="77777777" w:rsidR="004A6AF4" w:rsidRPr="0015541C" w:rsidRDefault="004A6AF4" w:rsidP="00112762">
            <w:pPr>
              <w:keepNext/>
              <w:keepLines/>
              <w:jc w:val="center"/>
              <w:rPr>
                <w:sz w:val="18"/>
                <w:szCs w:val="18"/>
                <w:lang w:val="pl-PL"/>
              </w:rPr>
            </w:pPr>
          </w:p>
        </w:tc>
        <w:tc>
          <w:tcPr>
            <w:tcW w:w="1305" w:type="dxa"/>
          </w:tcPr>
          <w:p w14:paraId="406860BA" w14:textId="77777777" w:rsidR="004A6AF4" w:rsidRPr="0015541C" w:rsidRDefault="004A6AF4" w:rsidP="00112762">
            <w:pPr>
              <w:keepNext/>
              <w:keepLines/>
              <w:jc w:val="center"/>
              <w:rPr>
                <w:sz w:val="18"/>
                <w:szCs w:val="18"/>
                <w:lang w:val="pl-PL"/>
              </w:rPr>
            </w:pPr>
          </w:p>
        </w:tc>
      </w:tr>
      <w:tr w:rsidR="0001768A" w:rsidRPr="0015541C" w14:paraId="4C97182F" w14:textId="77777777" w:rsidTr="004E2C5E">
        <w:trPr>
          <w:trHeight w:val="457"/>
        </w:trPr>
        <w:tc>
          <w:tcPr>
            <w:tcW w:w="1302" w:type="dxa"/>
          </w:tcPr>
          <w:p w14:paraId="434598EE" w14:textId="77777777" w:rsidR="0001768A" w:rsidRPr="00260CEC" w:rsidRDefault="0001768A" w:rsidP="00112762">
            <w:pPr>
              <w:keepNext/>
              <w:keepLines/>
              <w:rPr>
                <w:sz w:val="18"/>
                <w:szCs w:val="18"/>
                <w:lang w:val="pl-PL" w:eastAsia="en-US"/>
              </w:rPr>
            </w:pPr>
            <w:r w:rsidRPr="0015541C">
              <w:rPr>
                <w:sz w:val="18"/>
                <w:szCs w:val="18"/>
                <w:lang w:val="pl-PL"/>
              </w:rPr>
              <w:t>Badania diagnostyczne</w:t>
            </w:r>
          </w:p>
        </w:tc>
        <w:tc>
          <w:tcPr>
            <w:tcW w:w="1449" w:type="dxa"/>
          </w:tcPr>
          <w:p w14:paraId="6008CA16" w14:textId="77777777" w:rsidR="0001768A" w:rsidRPr="0015541C" w:rsidRDefault="0001768A" w:rsidP="00112762">
            <w:pPr>
              <w:keepNext/>
              <w:keepLines/>
              <w:jc w:val="center"/>
              <w:rPr>
                <w:sz w:val="18"/>
                <w:szCs w:val="18"/>
                <w:lang w:val="pl-PL" w:eastAsia="en-US"/>
              </w:rPr>
            </w:pPr>
            <w:r w:rsidRPr="0015541C">
              <w:rPr>
                <w:sz w:val="18"/>
                <w:szCs w:val="18"/>
                <w:lang w:val="pl-PL" w:eastAsia="en-US"/>
              </w:rPr>
              <w:t>Zmniejszenie masy ciała</w:t>
            </w:r>
          </w:p>
        </w:tc>
        <w:tc>
          <w:tcPr>
            <w:tcW w:w="1417" w:type="dxa"/>
          </w:tcPr>
          <w:p w14:paraId="4C3D8FD9" w14:textId="77777777" w:rsidR="0001768A" w:rsidRPr="0015541C" w:rsidRDefault="0001768A" w:rsidP="00112762">
            <w:pPr>
              <w:keepNext/>
              <w:keepLines/>
              <w:jc w:val="center"/>
              <w:rPr>
                <w:sz w:val="18"/>
                <w:szCs w:val="18"/>
                <w:lang w:val="pl-PL"/>
              </w:rPr>
            </w:pPr>
          </w:p>
        </w:tc>
        <w:tc>
          <w:tcPr>
            <w:tcW w:w="1049" w:type="dxa"/>
          </w:tcPr>
          <w:p w14:paraId="70C45A36" w14:textId="77777777" w:rsidR="0001768A" w:rsidRPr="0015541C" w:rsidRDefault="0001768A" w:rsidP="00112762">
            <w:pPr>
              <w:keepNext/>
              <w:keepLines/>
              <w:jc w:val="center"/>
              <w:rPr>
                <w:sz w:val="18"/>
                <w:szCs w:val="18"/>
                <w:lang w:val="pl-PL"/>
              </w:rPr>
            </w:pPr>
          </w:p>
        </w:tc>
        <w:tc>
          <w:tcPr>
            <w:tcW w:w="1304" w:type="dxa"/>
          </w:tcPr>
          <w:p w14:paraId="37C5B66A" w14:textId="77777777" w:rsidR="0001768A" w:rsidRPr="0015541C" w:rsidRDefault="0001768A" w:rsidP="00112762">
            <w:pPr>
              <w:keepNext/>
              <w:keepLines/>
              <w:tabs>
                <w:tab w:val="left" w:pos="0"/>
              </w:tabs>
              <w:jc w:val="center"/>
              <w:rPr>
                <w:sz w:val="18"/>
                <w:szCs w:val="18"/>
                <w:lang w:val="pl-PL"/>
              </w:rPr>
            </w:pPr>
          </w:p>
        </w:tc>
        <w:tc>
          <w:tcPr>
            <w:tcW w:w="1304" w:type="dxa"/>
          </w:tcPr>
          <w:p w14:paraId="36F3D075" w14:textId="77777777" w:rsidR="0001768A" w:rsidRPr="0015541C" w:rsidRDefault="0001768A" w:rsidP="00112762">
            <w:pPr>
              <w:keepNext/>
              <w:keepLines/>
              <w:jc w:val="center"/>
              <w:rPr>
                <w:sz w:val="18"/>
                <w:szCs w:val="18"/>
                <w:lang w:val="pl-PL"/>
              </w:rPr>
            </w:pPr>
          </w:p>
        </w:tc>
        <w:tc>
          <w:tcPr>
            <w:tcW w:w="1305" w:type="dxa"/>
          </w:tcPr>
          <w:p w14:paraId="4290EB13" w14:textId="77777777" w:rsidR="0001768A" w:rsidRPr="0015541C" w:rsidRDefault="0001768A" w:rsidP="00112762">
            <w:pPr>
              <w:keepNext/>
              <w:keepLines/>
              <w:jc w:val="center"/>
              <w:rPr>
                <w:sz w:val="18"/>
                <w:szCs w:val="18"/>
                <w:lang w:val="pl-PL"/>
              </w:rPr>
            </w:pPr>
          </w:p>
        </w:tc>
      </w:tr>
    </w:tbl>
    <w:p w14:paraId="5B87AC92" w14:textId="77777777" w:rsidR="008800D7" w:rsidRPr="0015541C" w:rsidRDefault="008800D7" w:rsidP="00112762">
      <w:pPr>
        <w:widowControl w:val="0"/>
        <w:tabs>
          <w:tab w:val="left" w:pos="4920"/>
        </w:tabs>
        <w:rPr>
          <w:sz w:val="20"/>
          <w:szCs w:val="18"/>
          <w:lang w:val="pl-PL"/>
        </w:rPr>
      </w:pPr>
      <w:r w:rsidRPr="0015541C">
        <w:rPr>
          <w:sz w:val="20"/>
          <w:szCs w:val="18"/>
          <w:lang w:val="pl-PL"/>
        </w:rPr>
        <w:t xml:space="preserve">Jeżeli działania niepożądane były obserwowane w badaniach klinicznych we wszystkich stopniach nasilenia oraz w stopniu nasilenia 3-5, przedstawiono działania niepożądane o </w:t>
      </w:r>
      <w:r w:rsidRPr="00260CEC">
        <w:rPr>
          <w:sz w:val="20"/>
          <w:szCs w:val="18"/>
          <w:lang w:val="pl-PL"/>
        </w:rPr>
        <w:t>największej częstości występowania u</w:t>
      </w:r>
      <w:r w:rsidR="00A855F1" w:rsidRPr="0015541C">
        <w:rPr>
          <w:sz w:val="20"/>
          <w:szCs w:val="18"/>
          <w:lang w:val="pl-PL"/>
        </w:rPr>
        <w:t> </w:t>
      </w:r>
      <w:r w:rsidRPr="0015541C">
        <w:rPr>
          <w:sz w:val="20"/>
          <w:szCs w:val="18"/>
          <w:lang w:val="pl-PL"/>
        </w:rPr>
        <w:t>pacjentów. Dane nie są skorygowane o różnicę w czasie trwania leczenia.</w:t>
      </w:r>
    </w:p>
    <w:p w14:paraId="7EF453A6" w14:textId="77777777" w:rsidR="008800D7" w:rsidRPr="0015541C" w:rsidRDefault="008800D7" w:rsidP="004E2C5E">
      <w:pPr>
        <w:widowControl w:val="0"/>
        <w:tabs>
          <w:tab w:val="left" w:pos="4920"/>
        </w:tabs>
        <w:spacing w:line="220" w:lineRule="exact"/>
        <w:rPr>
          <w:sz w:val="20"/>
          <w:szCs w:val="18"/>
          <w:lang w:val="pl-PL"/>
        </w:rPr>
      </w:pPr>
      <w:r w:rsidRPr="0015541C">
        <w:rPr>
          <w:sz w:val="20"/>
          <w:szCs w:val="18"/>
          <w:vertAlign w:val="superscript"/>
          <w:lang w:val="pl-PL"/>
        </w:rPr>
        <w:t>a</w:t>
      </w:r>
      <w:r w:rsidRPr="0015541C">
        <w:rPr>
          <w:sz w:val="20"/>
          <w:szCs w:val="18"/>
          <w:lang w:val="pl-PL"/>
        </w:rPr>
        <w:t>Więcej informacji można znaleźć w Tabeli 3 „Zdarzenia niepożądane obserwowane po wprowadzeniu produktu do obrotu”.</w:t>
      </w:r>
    </w:p>
    <w:p w14:paraId="7E39F5BF" w14:textId="77777777" w:rsidR="008800D7" w:rsidRPr="0015541C" w:rsidRDefault="008800D7" w:rsidP="004E2C5E">
      <w:pPr>
        <w:widowControl w:val="0"/>
        <w:tabs>
          <w:tab w:val="left" w:pos="4920"/>
        </w:tabs>
        <w:spacing w:line="220" w:lineRule="exact"/>
        <w:rPr>
          <w:sz w:val="20"/>
          <w:szCs w:val="18"/>
          <w:lang w:val="pl-PL"/>
        </w:rPr>
      </w:pPr>
      <w:r w:rsidRPr="0015541C">
        <w:rPr>
          <w:sz w:val="20"/>
          <w:szCs w:val="18"/>
          <w:vertAlign w:val="superscript"/>
          <w:lang w:val="pl-PL"/>
        </w:rPr>
        <w:t>b</w:t>
      </w:r>
      <w:r w:rsidRPr="0015541C">
        <w:rPr>
          <w:sz w:val="20"/>
          <w:szCs w:val="18"/>
          <w:lang w:val="pl-PL"/>
        </w:rPr>
        <w:t xml:space="preserve">Pojęcia medyczne przedstawiają zbiorcze działania niepożądane a nie pojedyncze jednostki chorobowe lub terminy medyczne słownika MedDRA stosowane przed i po dopuszczenia produktu do obrotu (ang. Medical Dictionary for Regulatory Activities). Pojęcia te mogą być związane z takim samym podłożem patofizjologicznym (np. działania niepożądane o charakterze zakrzepowo-zatorowym, wliczając w to incydenty w obrębie naczyń mózgowych, zawał </w:t>
      </w:r>
      <w:r w:rsidR="00A855F1" w:rsidRPr="0015541C">
        <w:rPr>
          <w:sz w:val="20"/>
          <w:szCs w:val="18"/>
          <w:lang w:val="pl-PL"/>
        </w:rPr>
        <w:t xml:space="preserve">mięśnia </w:t>
      </w:r>
      <w:r w:rsidRPr="0015541C">
        <w:rPr>
          <w:sz w:val="20"/>
          <w:szCs w:val="18"/>
          <w:lang w:val="pl-PL"/>
        </w:rPr>
        <w:t>serc</w:t>
      </w:r>
      <w:r w:rsidR="00A855F1" w:rsidRPr="0015541C">
        <w:rPr>
          <w:sz w:val="20"/>
          <w:szCs w:val="18"/>
          <w:lang w:val="pl-PL"/>
        </w:rPr>
        <w:t>owego</w:t>
      </w:r>
      <w:r w:rsidRPr="0015541C">
        <w:rPr>
          <w:sz w:val="20"/>
          <w:szCs w:val="18"/>
          <w:lang w:val="pl-PL"/>
        </w:rPr>
        <w:t xml:space="preserve">, przemijające napady niedokrwienne mózgu i inne </w:t>
      </w:r>
      <w:r w:rsidRPr="0015541C">
        <w:rPr>
          <w:sz w:val="20"/>
          <w:szCs w:val="18"/>
          <w:lang w:val="pl-PL"/>
        </w:rPr>
        <w:lastRenderedPageBreak/>
        <w:t>zdarzenia zakrzepowo-zatorowe).</w:t>
      </w:r>
    </w:p>
    <w:p w14:paraId="109596B4" w14:textId="77777777" w:rsidR="008800D7" w:rsidRPr="0015541C" w:rsidRDefault="008800D7" w:rsidP="004E2C5E">
      <w:pPr>
        <w:tabs>
          <w:tab w:val="left" w:pos="4920"/>
        </w:tabs>
        <w:spacing w:line="220" w:lineRule="exact"/>
        <w:rPr>
          <w:sz w:val="20"/>
          <w:szCs w:val="18"/>
          <w:lang w:val="pl-PL"/>
        </w:rPr>
      </w:pPr>
      <w:r w:rsidRPr="0015541C">
        <w:rPr>
          <w:sz w:val="20"/>
          <w:szCs w:val="18"/>
          <w:vertAlign w:val="superscript"/>
          <w:lang w:val="pl-PL"/>
        </w:rPr>
        <w:t>c</w:t>
      </w:r>
      <w:r w:rsidRPr="0015541C">
        <w:rPr>
          <w:sz w:val="20"/>
          <w:szCs w:val="18"/>
          <w:lang w:val="pl-PL"/>
        </w:rPr>
        <w:t>Na podstawie dodatkowego badania obejmującego 295 uczestniczek badania NSABP C-08.</w:t>
      </w:r>
    </w:p>
    <w:p w14:paraId="55C323AC" w14:textId="77777777" w:rsidR="008800D7" w:rsidRPr="0015541C" w:rsidRDefault="008800D7" w:rsidP="004E2C5E">
      <w:pPr>
        <w:tabs>
          <w:tab w:val="left" w:pos="4920"/>
        </w:tabs>
        <w:spacing w:line="220" w:lineRule="exact"/>
        <w:rPr>
          <w:sz w:val="20"/>
          <w:szCs w:val="18"/>
          <w:lang w:val="pl-PL"/>
        </w:rPr>
      </w:pPr>
      <w:r w:rsidRPr="0015541C">
        <w:rPr>
          <w:sz w:val="20"/>
          <w:szCs w:val="18"/>
          <w:vertAlign w:val="superscript"/>
          <w:lang w:val="pl-PL"/>
        </w:rPr>
        <w:t>d</w:t>
      </w:r>
      <w:r w:rsidRPr="0015541C">
        <w:rPr>
          <w:sz w:val="20"/>
          <w:szCs w:val="18"/>
          <w:lang w:val="pl-PL"/>
        </w:rPr>
        <w:t>Więcej informacji można znaleźć poniżej w części „Dodatkowe informacje dotyczące wybranych działań niepożądanych”.</w:t>
      </w:r>
    </w:p>
    <w:p w14:paraId="3A3C64BC" w14:textId="77777777" w:rsidR="0001768A" w:rsidRPr="0015541C" w:rsidRDefault="0001768A" w:rsidP="004E2C5E">
      <w:pPr>
        <w:tabs>
          <w:tab w:val="left" w:pos="4920"/>
        </w:tabs>
        <w:spacing w:line="220" w:lineRule="exact"/>
        <w:rPr>
          <w:sz w:val="20"/>
          <w:szCs w:val="18"/>
          <w:lang w:val="pl-PL"/>
        </w:rPr>
      </w:pPr>
      <w:r w:rsidRPr="0015541C">
        <w:rPr>
          <w:sz w:val="20"/>
          <w:szCs w:val="18"/>
          <w:vertAlign w:val="superscript"/>
          <w:lang w:val="pl-PL"/>
        </w:rPr>
        <w:t>e</w:t>
      </w:r>
      <w:r w:rsidRPr="0015541C">
        <w:rPr>
          <w:sz w:val="20"/>
          <w:szCs w:val="18"/>
          <w:lang w:val="pl-PL"/>
        </w:rPr>
        <w:t>Przetoki odbytniczo-pochwowe należą do najczęst</w:t>
      </w:r>
      <w:r w:rsidR="00EA7AC4" w:rsidRPr="0015541C">
        <w:rPr>
          <w:sz w:val="20"/>
          <w:szCs w:val="18"/>
          <w:lang w:val="pl-PL"/>
        </w:rPr>
        <w:t>s</w:t>
      </w:r>
      <w:r w:rsidRPr="0015541C">
        <w:rPr>
          <w:sz w:val="20"/>
          <w:szCs w:val="18"/>
          <w:lang w:val="pl-PL"/>
        </w:rPr>
        <w:t xml:space="preserve">zych przetok w kategorii przetok pomiędzy </w:t>
      </w:r>
      <w:r w:rsidR="00C13C64" w:rsidRPr="0015541C">
        <w:rPr>
          <w:sz w:val="20"/>
          <w:szCs w:val="18"/>
          <w:lang w:val="pl-PL"/>
        </w:rPr>
        <w:t>pochwą a przewodem pokarmowym.</w:t>
      </w:r>
    </w:p>
    <w:p w14:paraId="39F165AD" w14:textId="77777777" w:rsidR="00DC47E0" w:rsidRPr="0015541C" w:rsidRDefault="00085863" w:rsidP="004E2C5E">
      <w:pPr>
        <w:tabs>
          <w:tab w:val="left" w:pos="4920"/>
        </w:tabs>
        <w:spacing w:line="220" w:lineRule="exact"/>
        <w:rPr>
          <w:sz w:val="20"/>
          <w:szCs w:val="18"/>
          <w:lang w:val="pl-PL"/>
        </w:rPr>
      </w:pPr>
      <w:r w:rsidRPr="0015541C">
        <w:rPr>
          <w:sz w:val="20"/>
          <w:szCs w:val="18"/>
          <w:vertAlign w:val="superscript"/>
          <w:lang w:val="pl-PL"/>
        </w:rPr>
        <w:t>f</w:t>
      </w:r>
      <w:r w:rsidRPr="0015541C">
        <w:rPr>
          <w:sz w:val="20"/>
          <w:szCs w:val="18"/>
          <w:lang w:val="pl-PL"/>
        </w:rPr>
        <w:t>Obserwowan</w:t>
      </w:r>
      <w:r w:rsidR="00870DAF" w:rsidRPr="0015541C">
        <w:rPr>
          <w:sz w:val="20"/>
          <w:szCs w:val="18"/>
          <w:lang w:val="pl-PL"/>
        </w:rPr>
        <w:t>a</w:t>
      </w:r>
      <w:r w:rsidR="002B447F" w:rsidRPr="0015541C">
        <w:rPr>
          <w:sz w:val="20"/>
          <w:szCs w:val="18"/>
          <w:lang w:val="pl-PL"/>
        </w:rPr>
        <w:t xml:space="preserve"> </w:t>
      </w:r>
      <w:r w:rsidRPr="0015541C">
        <w:rPr>
          <w:sz w:val="20"/>
          <w:szCs w:val="18"/>
          <w:lang w:val="pl-PL"/>
        </w:rPr>
        <w:t>wyłącznie u dzieci i młodzieży</w:t>
      </w:r>
      <w:r w:rsidR="00157460" w:rsidRPr="0015541C">
        <w:rPr>
          <w:sz w:val="20"/>
          <w:szCs w:val="18"/>
          <w:lang w:val="pl-PL"/>
        </w:rPr>
        <w:t>.</w:t>
      </w:r>
    </w:p>
    <w:p w14:paraId="7CD66E78" w14:textId="77777777" w:rsidR="008800D7" w:rsidRPr="0015541C" w:rsidRDefault="008800D7" w:rsidP="004E2C5E">
      <w:pPr>
        <w:tabs>
          <w:tab w:val="left" w:pos="4920"/>
        </w:tabs>
        <w:rPr>
          <w:sz w:val="24"/>
          <w:lang w:val="pl-PL"/>
        </w:rPr>
      </w:pPr>
    </w:p>
    <w:p w14:paraId="4958DC84" w14:textId="77777777" w:rsidR="008800D7" w:rsidRPr="0015541C" w:rsidRDefault="008800D7" w:rsidP="00481985">
      <w:pPr>
        <w:keepNext/>
        <w:keepLines/>
        <w:tabs>
          <w:tab w:val="left" w:pos="4920"/>
        </w:tabs>
        <w:rPr>
          <w:i/>
          <w:sz w:val="20"/>
          <w:lang w:val="pl-PL"/>
        </w:rPr>
      </w:pPr>
      <w:r w:rsidRPr="0015541C">
        <w:rPr>
          <w:b/>
          <w:lang w:val="pl-PL"/>
        </w:rPr>
        <w:t>Tabela 2: Ciężkie działania niepożądane według częstości występowania</w:t>
      </w:r>
    </w:p>
    <w:tbl>
      <w:tblPr>
        <w:tblW w:w="927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303"/>
        <w:gridCol w:w="1450"/>
        <w:gridCol w:w="1559"/>
        <w:gridCol w:w="1276"/>
        <w:gridCol w:w="933"/>
        <w:gridCol w:w="1304"/>
        <w:gridCol w:w="1448"/>
      </w:tblGrid>
      <w:tr w:rsidR="008800D7" w:rsidRPr="008D11DD" w14:paraId="3D911460" w14:textId="77777777" w:rsidTr="000F44C8">
        <w:trPr>
          <w:trHeight w:val="737"/>
          <w:tblHeader/>
        </w:trPr>
        <w:tc>
          <w:tcPr>
            <w:tcW w:w="1303" w:type="dxa"/>
            <w:tcBorders>
              <w:top w:val="single" w:sz="4" w:space="0" w:color="auto"/>
              <w:left w:val="single" w:sz="4" w:space="0" w:color="auto"/>
              <w:bottom w:val="single" w:sz="4" w:space="0" w:color="auto"/>
              <w:right w:val="single" w:sz="4" w:space="0" w:color="auto"/>
            </w:tcBorders>
          </w:tcPr>
          <w:p w14:paraId="71109595" w14:textId="77777777" w:rsidR="008800D7" w:rsidRPr="0070444C" w:rsidRDefault="008800D7" w:rsidP="00FE0558">
            <w:pPr>
              <w:keepNext/>
              <w:keepLines/>
              <w:rPr>
                <w:b/>
                <w:sz w:val="18"/>
                <w:lang w:val="pl-PL"/>
              </w:rPr>
            </w:pPr>
            <w:r w:rsidRPr="0070444C">
              <w:rPr>
                <w:b/>
                <w:sz w:val="18"/>
                <w:lang w:val="pl-PL"/>
              </w:rPr>
              <w:t>Klasyfikacja układów</w:t>
            </w:r>
          </w:p>
          <w:p w14:paraId="244768F8" w14:textId="77777777" w:rsidR="008800D7" w:rsidRPr="0070444C" w:rsidRDefault="008800D7" w:rsidP="00FE0558">
            <w:pPr>
              <w:keepNext/>
              <w:keepLines/>
              <w:rPr>
                <w:b/>
                <w:color w:val="000000"/>
                <w:sz w:val="18"/>
                <w:lang w:val="pl-PL"/>
              </w:rPr>
            </w:pPr>
            <w:r w:rsidRPr="0070444C">
              <w:rPr>
                <w:b/>
                <w:sz w:val="18"/>
                <w:lang w:val="pl-PL"/>
              </w:rPr>
              <w:t>i narządów</w:t>
            </w:r>
          </w:p>
        </w:tc>
        <w:tc>
          <w:tcPr>
            <w:tcW w:w="1450" w:type="dxa"/>
            <w:tcBorders>
              <w:top w:val="single" w:sz="4" w:space="0" w:color="auto"/>
              <w:left w:val="single" w:sz="4" w:space="0" w:color="auto"/>
              <w:bottom w:val="single" w:sz="4" w:space="0" w:color="auto"/>
              <w:right w:val="single" w:sz="4" w:space="0" w:color="auto"/>
            </w:tcBorders>
          </w:tcPr>
          <w:p w14:paraId="6292C50A" w14:textId="77777777" w:rsidR="008800D7" w:rsidRPr="0070444C" w:rsidRDefault="008800D7" w:rsidP="00FE0558">
            <w:pPr>
              <w:keepNext/>
              <w:keepLines/>
              <w:jc w:val="center"/>
              <w:rPr>
                <w:b/>
                <w:sz w:val="18"/>
                <w:lang w:val="pl-PL"/>
              </w:rPr>
            </w:pPr>
            <w:r w:rsidRPr="0070444C">
              <w:rPr>
                <w:b/>
                <w:sz w:val="18"/>
                <w:lang w:val="pl-PL"/>
              </w:rPr>
              <w:t>Bardzo często</w:t>
            </w:r>
          </w:p>
        </w:tc>
        <w:tc>
          <w:tcPr>
            <w:tcW w:w="1559" w:type="dxa"/>
            <w:tcBorders>
              <w:top w:val="single" w:sz="4" w:space="0" w:color="auto"/>
              <w:left w:val="single" w:sz="4" w:space="0" w:color="auto"/>
              <w:bottom w:val="single" w:sz="4" w:space="0" w:color="auto"/>
              <w:right w:val="single" w:sz="4" w:space="0" w:color="auto"/>
            </w:tcBorders>
          </w:tcPr>
          <w:p w14:paraId="339DED65" w14:textId="77777777" w:rsidR="008800D7" w:rsidRPr="0070444C" w:rsidRDefault="008800D7" w:rsidP="00FE0558">
            <w:pPr>
              <w:keepNext/>
              <w:keepLines/>
              <w:jc w:val="center"/>
              <w:rPr>
                <w:b/>
                <w:sz w:val="18"/>
                <w:lang w:val="pl-PL"/>
              </w:rPr>
            </w:pPr>
            <w:r w:rsidRPr="0070444C">
              <w:rPr>
                <w:b/>
                <w:sz w:val="18"/>
                <w:lang w:val="pl-PL"/>
              </w:rPr>
              <w:t>Często</w:t>
            </w:r>
          </w:p>
        </w:tc>
        <w:tc>
          <w:tcPr>
            <w:tcW w:w="1276" w:type="dxa"/>
            <w:tcBorders>
              <w:top w:val="single" w:sz="4" w:space="0" w:color="auto"/>
              <w:left w:val="single" w:sz="4" w:space="0" w:color="auto"/>
              <w:bottom w:val="single" w:sz="4" w:space="0" w:color="auto"/>
              <w:right w:val="nil"/>
            </w:tcBorders>
          </w:tcPr>
          <w:p w14:paraId="4CA91096" w14:textId="77777777" w:rsidR="008800D7" w:rsidRPr="0070444C" w:rsidRDefault="008800D7" w:rsidP="00FE0558">
            <w:pPr>
              <w:keepNext/>
              <w:keepLines/>
              <w:jc w:val="center"/>
              <w:rPr>
                <w:b/>
                <w:sz w:val="18"/>
                <w:lang w:val="pl-PL"/>
              </w:rPr>
            </w:pPr>
            <w:r w:rsidRPr="0070444C">
              <w:rPr>
                <w:b/>
                <w:sz w:val="18"/>
                <w:lang w:val="pl-PL"/>
              </w:rPr>
              <w:t>Niezbyt często</w:t>
            </w:r>
          </w:p>
        </w:tc>
        <w:tc>
          <w:tcPr>
            <w:tcW w:w="933" w:type="dxa"/>
            <w:tcBorders>
              <w:top w:val="single" w:sz="4" w:space="0" w:color="auto"/>
              <w:left w:val="single" w:sz="4" w:space="0" w:color="auto"/>
              <w:bottom w:val="single" w:sz="4" w:space="0" w:color="auto"/>
              <w:right w:val="nil"/>
            </w:tcBorders>
          </w:tcPr>
          <w:p w14:paraId="0CEE1C9E" w14:textId="77777777" w:rsidR="008800D7" w:rsidRPr="0070444C" w:rsidRDefault="008800D7" w:rsidP="00FE0558">
            <w:pPr>
              <w:keepNext/>
              <w:keepLines/>
              <w:jc w:val="center"/>
              <w:rPr>
                <w:b/>
                <w:sz w:val="18"/>
                <w:lang w:val="pl-PL"/>
              </w:rPr>
            </w:pPr>
            <w:r w:rsidRPr="0070444C">
              <w:rPr>
                <w:b/>
                <w:sz w:val="18"/>
                <w:lang w:val="pl-PL"/>
              </w:rPr>
              <w:t>Rzadko</w:t>
            </w:r>
          </w:p>
        </w:tc>
        <w:tc>
          <w:tcPr>
            <w:tcW w:w="1304" w:type="dxa"/>
            <w:tcBorders>
              <w:top w:val="single" w:sz="4" w:space="0" w:color="auto"/>
              <w:left w:val="single" w:sz="4" w:space="0" w:color="auto"/>
              <w:bottom w:val="single" w:sz="4" w:space="0" w:color="auto"/>
              <w:right w:val="nil"/>
            </w:tcBorders>
          </w:tcPr>
          <w:p w14:paraId="25CC8FE0" w14:textId="77777777" w:rsidR="008800D7" w:rsidRPr="0070444C" w:rsidRDefault="008800D7" w:rsidP="00FE0558">
            <w:pPr>
              <w:keepNext/>
              <w:keepLines/>
              <w:jc w:val="center"/>
              <w:rPr>
                <w:b/>
                <w:sz w:val="18"/>
                <w:lang w:val="pl-PL"/>
              </w:rPr>
            </w:pPr>
            <w:r w:rsidRPr="0070444C">
              <w:rPr>
                <w:b/>
                <w:sz w:val="18"/>
                <w:lang w:val="pl-PL"/>
              </w:rPr>
              <w:t>Bardzo rzadko</w:t>
            </w:r>
          </w:p>
        </w:tc>
        <w:tc>
          <w:tcPr>
            <w:tcW w:w="1448" w:type="dxa"/>
            <w:tcBorders>
              <w:top w:val="single" w:sz="4" w:space="0" w:color="auto"/>
              <w:left w:val="single" w:sz="4" w:space="0" w:color="auto"/>
              <w:bottom w:val="single" w:sz="4" w:space="0" w:color="auto"/>
              <w:right w:val="single" w:sz="4" w:space="0" w:color="auto"/>
            </w:tcBorders>
          </w:tcPr>
          <w:p w14:paraId="33B839E0" w14:textId="77777777" w:rsidR="008800D7" w:rsidRPr="0070444C" w:rsidRDefault="00593878" w:rsidP="00FE0558">
            <w:pPr>
              <w:keepNext/>
              <w:keepLines/>
              <w:jc w:val="center"/>
              <w:rPr>
                <w:b/>
                <w:sz w:val="18"/>
                <w:lang w:val="pl-PL"/>
              </w:rPr>
            </w:pPr>
            <w:r w:rsidRPr="0070444C">
              <w:rPr>
                <w:b/>
                <w:sz w:val="18"/>
                <w:lang w:val="pl-PL"/>
              </w:rPr>
              <w:t xml:space="preserve">Częstość </w:t>
            </w:r>
            <w:r w:rsidRPr="0070444C">
              <w:rPr>
                <w:b/>
                <w:sz w:val="18"/>
                <w:lang w:val="pl-PL"/>
              </w:rPr>
              <w:br/>
              <w:t>nie</w:t>
            </w:r>
            <w:r w:rsidR="008800D7" w:rsidRPr="0070444C">
              <w:rPr>
                <w:b/>
                <w:sz w:val="18"/>
                <w:lang w:val="pl-PL"/>
              </w:rPr>
              <w:t>znana</w:t>
            </w:r>
          </w:p>
        </w:tc>
      </w:tr>
      <w:tr w:rsidR="008800D7" w:rsidRPr="0015541C" w14:paraId="73181C8D" w14:textId="77777777" w:rsidTr="000F44C8">
        <w:trPr>
          <w:trHeight w:val="737"/>
        </w:trPr>
        <w:tc>
          <w:tcPr>
            <w:tcW w:w="1303" w:type="dxa"/>
            <w:tcBorders>
              <w:top w:val="single" w:sz="4" w:space="0" w:color="auto"/>
              <w:left w:val="single" w:sz="4" w:space="0" w:color="auto"/>
              <w:bottom w:val="single" w:sz="4" w:space="0" w:color="auto"/>
              <w:right w:val="single" w:sz="4" w:space="0" w:color="auto"/>
            </w:tcBorders>
          </w:tcPr>
          <w:p w14:paraId="01C78417" w14:textId="77777777" w:rsidR="008800D7" w:rsidRPr="0070444C" w:rsidRDefault="008800D7" w:rsidP="00FE0558">
            <w:pPr>
              <w:keepNext/>
              <w:keepLines/>
              <w:rPr>
                <w:color w:val="000000"/>
                <w:sz w:val="18"/>
                <w:lang w:val="pl-PL"/>
              </w:rPr>
            </w:pPr>
            <w:r w:rsidRPr="0070444C">
              <w:rPr>
                <w:color w:val="000000"/>
                <w:sz w:val="18"/>
                <w:lang w:val="pl-PL"/>
              </w:rPr>
              <w:t>Zakażenia</w:t>
            </w:r>
          </w:p>
          <w:p w14:paraId="5E231855" w14:textId="77777777" w:rsidR="008800D7" w:rsidRPr="0070444C" w:rsidRDefault="008800D7" w:rsidP="00FE0558">
            <w:pPr>
              <w:keepNext/>
              <w:keepLines/>
              <w:rPr>
                <w:i/>
                <w:sz w:val="18"/>
                <w:lang w:val="pl-PL"/>
              </w:rPr>
            </w:pPr>
            <w:r w:rsidRPr="0070444C">
              <w:rPr>
                <w:color w:val="000000"/>
                <w:sz w:val="18"/>
                <w:lang w:val="pl-PL"/>
              </w:rPr>
              <w:t>i zarażenia pasożytnicze</w:t>
            </w:r>
          </w:p>
        </w:tc>
        <w:tc>
          <w:tcPr>
            <w:tcW w:w="1450" w:type="dxa"/>
            <w:tcBorders>
              <w:top w:val="single" w:sz="4" w:space="0" w:color="auto"/>
              <w:left w:val="single" w:sz="4" w:space="0" w:color="auto"/>
              <w:bottom w:val="single" w:sz="4" w:space="0" w:color="auto"/>
              <w:right w:val="single" w:sz="4" w:space="0" w:color="auto"/>
            </w:tcBorders>
          </w:tcPr>
          <w:p w14:paraId="036954A5" w14:textId="77777777" w:rsidR="008800D7" w:rsidRPr="0070444C" w:rsidRDefault="008800D7" w:rsidP="00FE0558">
            <w:pPr>
              <w:keepNext/>
              <w:keepLines/>
              <w:jc w:val="center"/>
              <w:rPr>
                <w:sz w:val="18"/>
                <w:lang w:val="pl-PL"/>
              </w:rPr>
            </w:pPr>
          </w:p>
        </w:tc>
        <w:tc>
          <w:tcPr>
            <w:tcW w:w="1559" w:type="dxa"/>
            <w:tcBorders>
              <w:top w:val="single" w:sz="4" w:space="0" w:color="auto"/>
              <w:left w:val="single" w:sz="4" w:space="0" w:color="auto"/>
              <w:bottom w:val="single" w:sz="4" w:space="0" w:color="auto"/>
              <w:right w:val="single" w:sz="4" w:space="0" w:color="auto"/>
            </w:tcBorders>
          </w:tcPr>
          <w:p w14:paraId="7AE0E74C" w14:textId="77777777" w:rsidR="008800D7" w:rsidRPr="0015541C" w:rsidRDefault="008800D7" w:rsidP="00FE0558">
            <w:pPr>
              <w:keepNext/>
              <w:keepLines/>
              <w:jc w:val="center"/>
              <w:rPr>
                <w:sz w:val="18"/>
                <w:szCs w:val="18"/>
                <w:lang w:val="pl-PL"/>
              </w:rPr>
            </w:pPr>
            <w:r w:rsidRPr="0015541C">
              <w:rPr>
                <w:sz w:val="18"/>
                <w:szCs w:val="18"/>
                <w:lang w:val="pl-PL"/>
              </w:rPr>
              <w:t>Posocznica,</w:t>
            </w:r>
          </w:p>
          <w:p w14:paraId="21165901" w14:textId="77777777" w:rsidR="00C13C64" w:rsidRPr="0015541C" w:rsidRDefault="006C54FF" w:rsidP="00FE0558">
            <w:pPr>
              <w:keepNext/>
              <w:keepLines/>
              <w:jc w:val="center"/>
              <w:rPr>
                <w:sz w:val="18"/>
                <w:szCs w:val="18"/>
                <w:lang w:val="pl-PL"/>
              </w:rPr>
            </w:pPr>
            <w:r w:rsidRPr="0015541C">
              <w:rPr>
                <w:sz w:val="18"/>
                <w:szCs w:val="18"/>
                <w:lang w:val="pl-PL"/>
              </w:rPr>
              <w:t>Zapalenie tkanki łącznej</w:t>
            </w:r>
            <w:r w:rsidR="00C13C64" w:rsidRPr="0015541C">
              <w:rPr>
                <w:sz w:val="18"/>
                <w:szCs w:val="18"/>
                <w:lang w:val="pl-PL"/>
              </w:rPr>
              <w:t>,</w:t>
            </w:r>
          </w:p>
          <w:p w14:paraId="716141B8" w14:textId="77777777" w:rsidR="008800D7" w:rsidRPr="0015541C" w:rsidRDefault="008800D7" w:rsidP="00FE0558">
            <w:pPr>
              <w:keepNext/>
              <w:keepLines/>
              <w:jc w:val="center"/>
              <w:rPr>
                <w:sz w:val="18"/>
                <w:szCs w:val="18"/>
                <w:lang w:val="pl-PL"/>
              </w:rPr>
            </w:pPr>
            <w:r w:rsidRPr="0015541C">
              <w:rPr>
                <w:sz w:val="18"/>
                <w:szCs w:val="18"/>
                <w:lang w:val="pl-PL"/>
              </w:rPr>
              <w:t>Ropień</w:t>
            </w:r>
            <w:r w:rsidRPr="0015541C">
              <w:rPr>
                <w:sz w:val="18"/>
                <w:szCs w:val="18"/>
                <w:vertAlign w:val="superscript"/>
                <w:lang w:val="pl-PL"/>
              </w:rPr>
              <w:t>a,b,</w:t>
            </w:r>
            <w:r w:rsidRPr="0015541C">
              <w:rPr>
                <w:sz w:val="18"/>
                <w:szCs w:val="18"/>
                <w:lang w:val="pl-PL"/>
              </w:rPr>
              <w:t>,</w:t>
            </w:r>
          </w:p>
          <w:p w14:paraId="3B231F30" w14:textId="77777777" w:rsidR="008800D7" w:rsidRPr="0015541C" w:rsidRDefault="008800D7" w:rsidP="00FE0558">
            <w:pPr>
              <w:keepNext/>
              <w:keepLines/>
              <w:jc w:val="center"/>
              <w:rPr>
                <w:sz w:val="18"/>
                <w:szCs w:val="18"/>
                <w:lang w:val="pl-PL"/>
              </w:rPr>
            </w:pPr>
            <w:r w:rsidRPr="0015541C">
              <w:rPr>
                <w:sz w:val="18"/>
                <w:szCs w:val="18"/>
                <w:lang w:val="pl-PL"/>
              </w:rPr>
              <w:t>Zakażenie,</w:t>
            </w:r>
          </w:p>
          <w:p w14:paraId="4D704B47" w14:textId="77777777" w:rsidR="008800D7" w:rsidRPr="0015541C" w:rsidRDefault="008800D7" w:rsidP="00FE0558">
            <w:pPr>
              <w:keepNext/>
              <w:keepLines/>
              <w:jc w:val="center"/>
              <w:rPr>
                <w:sz w:val="18"/>
                <w:szCs w:val="18"/>
                <w:lang w:val="pl-PL"/>
              </w:rPr>
            </w:pPr>
            <w:r w:rsidRPr="0015541C">
              <w:rPr>
                <w:sz w:val="18"/>
                <w:szCs w:val="18"/>
                <w:lang w:val="pl-PL"/>
              </w:rPr>
              <w:t>Zakażenie dróg moczowych</w:t>
            </w:r>
          </w:p>
        </w:tc>
        <w:tc>
          <w:tcPr>
            <w:tcW w:w="1276" w:type="dxa"/>
            <w:tcBorders>
              <w:top w:val="single" w:sz="4" w:space="0" w:color="auto"/>
              <w:left w:val="single" w:sz="4" w:space="0" w:color="auto"/>
              <w:bottom w:val="single" w:sz="4" w:space="0" w:color="auto"/>
              <w:right w:val="nil"/>
            </w:tcBorders>
          </w:tcPr>
          <w:p w14:paraId="6804D0A3" w14:textId="77777777" w:rsidR="008800D7" w:rsidRPr="0015541C" w:rsidRDefault="008800D7" w:rsidP="00FE0558">
            <w:pPr>
              <w:keepNext/>
              <w:keepLines/>
              <w:jc w:val="center"/>
              <w:rPr>
                <w:sz w:val="18"/>
                <w:szCs w:val="18"/>
                <w:lang w:val="pl-PL"/>
              </w:rPr>
            </w:pPr>
          </w:p>
        </w:tc>
        <w:tc>
          <w:tcPr>
            <w:tcW w:w="933" w:type="dxa"/>
            <w:tcBorders>
              <w:top w:val="single" w:sz="4" w:space="0" w:color="auto"/>
              <w:left w:val="single" w:sz="4" w:space="0" w:color="auto"/>
              <w:bottom w:val="single" w:sz="4" w:space="0" w:color="auto"/>
              <w:right w:val="nil"/>
            </w:tcBorders>
          </w:tcPr>
          <w:p w14:paraId="1BC4E1FF" w14:textId="77777777" w:rsidR="008800D7" w:rsidRPr="0015541C" w:rsidRDefault="008800D7" w:rsidP="00FE0558">
            <w:pPr>
              <w:keepNext/>
              <w:keepLines/>
              <w:jc w:val="center"/>
              <w:rPr>
                <w:sz w:val="18"/>
                <w:szCs w:val="18"/>
                <w:lang w:val="pl-PL"/>
              </w:rPr>
            </w:pPr>
          </w:p>
        </w:tc>
        <w:tc>
          <w:tcPr>
            <w:tcW w:w="1304" w:type="dxa"/>
            <w:tcBorders>
              <w:top w:val="single" w:sz="4" w:space="0" w:color="auto"/>
              <w:left w:val="single" w:sz="4" w:space="0" w:color="auto"/>
              <w:bottom w:val="single" w:sz="4" w:space="0" w:color="auto"/>
              <w:right w:val="nil"/>
            </w:tcBorders>
          </w:tcPr>
          <w:p w14:paraId="6B1EB2E0" w14:textId="77777777" w:rsidR="008800D7" w:rsidRPr="0015541C" w:rsidRDefault="008800D7" w:rsidP="00FE0558">
            <w:pPr>
              <w:keepNext/>
              <w:keepLines/>
              <w:jc w:val="center"/>
              <w:rPr>
                <w:sz w:val="18"/>
                <w:szCs w:val="18"/>
                <w:lang w:val="pl-PL"/>
              </w:rPr>
            </w:pPr>
          </w:p>
        </w:tc>
        <w:tc>
          <w:tcPr>
            <w:tcW w:w="1448" w:type="dxa"/>
            <w:tcBorders>
              <w:top w:val="single" w:sz="4" w:space="0" w:color="auto"/>
              <w:left w:val="single" w:sz="4" w:space="0" w:color="auto"/>
              <w:bottom w:val="single" w:sz="4" w:space="0" w:color="auto"/>
              <w:right w:val="single" w:sz="4" w:space="0" w:color="auto"/>
            </w:tcBorders>
          </w:tcPr>
          <w:p w14:paraId="13C120E8" w14:textId="77777777" w:rsidR="008800D7" w:rsidRPr="0015541C" w:rsidRDefault="008800D7" w:rsidP="00FE0558">
            <w:pPr>
              <w:keepNext/>
              <w:keepLines/>
              <w:jc w:val="center"/>
              <w:rPr>
                <w:sz w:val="18"/>
                <w:szCs w:val="18"/>
                <w:lang w:val="pl-PL"/>
              </w:rPr>
            </w:pPr>
            <w:r w:rsidRPr="0015541C">
              <w:rPr>
                <w:sz w:val="18"/>
                <w:szCs w:val="18"/>
                <w:lang w:val="pl-PL"/>
              </w:rPr>
              <w:t>Martwicze zapalenie powięzi</w:t>
            </w:r>
            <w:r w:rsidRPr="0015541C">
              <w:rPr>
                <w:sz w:val="18"/>
                <w:szCs w:val="18"/>
                <w:vertAlign w:val="superscript"/>
                <w:lang w:val="pl-PL"/>
              </w:rPr>
              <w:t>c</w:t>
            </w:r>
          </w:p>
        </w:tc>
      </w:tr>
      <w:tr w:rsidR="008800D7" w:rsidRPr="0015541C" w14:paraId="06B2ED1A" w14:textId="77777777" w:rsidTr="000F44C8">
        <w:trPr>
          <w:trHeight w:val="1174"/>
        </w:trPr>
        <w:tc>
          <w:tcPr>
            <w:tcW w:w="1303" w:type="dxa"/>
            <w:tcBorders>
              <w:top w:val="single" w:sz="4" w:space="0" w:color="auto"/>
              <w:left w:val="single" w:sz="4" w:space="0" w:color="auto"/>
              <w:bottom w:val="single" w:sz="4" w:space="0" w:color="auto"/>
              <w:right w:val="single" w:sz="4" w:space="0" w:color="auto"/>
            </w:tcBorders>
          </w:tcPr>
          <w:p w14:paraId="7F0C36DE" w14:textId="77777777" w:rsidR="008800D7" w:rsidRPr="00260CEC" w:rsidRDefault="008800D7" w:rsidP="00FC0C5F">
            <w:pPr>
              <w:rPr>
                <w:sz w:val="18"/>
                <w:szCs w:val="18"/>
                <w:lang w:val="pl-PL"/>
              </w:rPr>
            </w:pPr>
            <w:r w:rsidRPr="0015541C">
              <w:rPr>
                <w:sz w:val="18"/>
                <w:szCs w:val="18"/>
                <w:lang w:val="pl-PL"/>
              </w:rPr>
              <w:t>Zaburzenia krwi i układu chłonnego</w:t>
            </w:r>
          </w:p>
        </w:tc>
        <w:tc>
          <w:tcPr>
            <w:tcW w:w="1450" w:type="dxa"/>
            <w:tcBorders>
              <w:top w:val="single" w:sz="4" w:space="0" w:color="auto"/>
              <w:left w:val="single" w:sz="4" w:space="0" w:color="auto"/>
              <w:bottom w:val="single" w:sz="4" w:space="0" w:color="auto"/>
              <w:right w:val="single" w:sz="4" w:space="0" w:color="auto"/>
            </w:tcBorders>
          </w:tcPr>
          <w:p w14:paraId="12A1E759" w14:textId="77777777" w:rsidR="008800D7" w:rsidRPr="0015541C" w:rsidRDefault="008800D7" w:rsidP="00FC0C5F">
            <w:pPr>
              <w:jc w:val="center"/>
              <w:rPr>
                <w:sz w:val="18"/>
                <w:szCs w:val="18"/>
                <w:lang w:val="pl-PL"/>
              </w:rPr>
            </w:pPr>
            <w:r w:rsidRPr="0015541C">
              <w:rPr>
                <w:sz w:val="18"/>
                <w:szCs w:val="18"/>
                <w:lang w:val="pl-PL"/>
              </w:rPr>
              <w:t>Gorączka neutropeniczna,</w:t>
            </w:r>
          </w:p>
          <w:p w14:paraId="68350F2E" w14:textId="77777777" w:rsidR="008800D7" w:rsidRPr="0015541C" w:rsidRDefault="008800D7" w:rsidP="00FC0C5F">
            <w:pPr>
              <w:jc w:val="center"/>
              <w:rPr>
                <w:sz w:val="18"/>
                <w:szCs w:val="18"/>
                <w:lang w:val="pl-PL"/>
              </w:rPr>
            </w:pPr>
            <w:r w:rsidRPr="0015541C">
              <w:rPr>
                <w:sz w:val="18"/>
                <w:szCs w:val="18"/>
                <w:lang w:val="pl-PL"/>
              </w:rPr>
              <w:t>Leukopenia,</w:t>
            </w:r>
          </w:p>
          <w:p w14:paraId="56944D59" w14:textId="77777777" w:rsidR="008800D7" w:rsidRPr="0015541C" w:rsidRDefault="008800D7" w:rsidP="00FC0C5F">
            <w:pPr>
              <w:jc w:val="center"/>
              <w:rPr>
                <w:sz w:val="18"/>
                <w:szCs w:val="18"/>
                <w:lang w:val="pl-PL"/>
              </w:rPr>
            </w:pPr>
            <w:r w:rsidRPr="0015541C">
              <w:rPr>
                <w:sz w:val="18"/>
                <w:szCs w:val="18"/>
                <w:lang w:val="pl-PL"/>
              </w:rPr>
              <w:t>Neutropenia</w:t>
            </w:r>
            <w:r w:rsidRPr="0015541C">
              <w:rPr>
                <w:sz w:val="18"/>
                <w:szCs w:val="18"/>
                <w:vertAlign w:val="superscript"/>
                <w:lang w:val="pl-PL"/>
              </w:rPr>
              <w:t>a</w:t>
            </w:r>
            <w:r w:rsidRPr="0015541C">
              <w:rPr>
                <w:sz w:val="18"/>
                <w:szCs w:val="18"/>
                <w:lang w:val="pl-PL"/>
              </w:rPr>
              <w:t>,</w:t>
            </w:r>
          </w:p>
          <w:p w14:paraId="12682FEB" w14:textId="77777777" w:rsidR="008800D7" w:rsidRPr="0015541C" w:rsidRDefault="008800D7" w:rsidP="00FC0C5F">
            <w:pPr>
              <w:jc w:val="center"/>
              <w:rPr>
                <w:sz w:val="18"/>
                <w:szCs w:val="18"/>
                <w:lang w:val="pl-PL"/>
              </w:rPr>
            </w:pPr>
            <w:r w:rsidRPr="0015541C">
              <w:rPr>
                <w:sz w:val="18"/>
                <w:szCs w:val="18"/>
                <w:lang w:val="pl-PL"/>
              </w:rPr>
              <w:t>Małopłytkowość</w:t>
            </w:r>
          </w:p>
        </w:tc>
        <w:tc>
          <w:tcPr>
            <w:tcW w:w="1559" w:type="dxa"/>
            <w:tcBorders>
              <w:top w:val="single" w:sz="4" w:space="0" w:color="auto"/>
              <w:left w:val="single" w:sz="4" w:space="0" w:color="auto"/>
              <w:bottom w:val="single" w:sz="4" w:space="0" w:color="auto"/>
              <w:right w:val="single" w:sz="4" w:space="0" w:color="auto"/>
            </w:tcBorders>
          </w:tcPr>
          <w:p w14:paraId="42030304" w14:textId="77777777" w:rsidR="008800D7" w:rsidRPr="0070444C" w:rsidRDefault="008800D7" w:rsidP="00FC0C5F">
            <w:pPr>
              <w:jc w:val="center"/>
              <w:rPr>
                <w:color w:val="000000"/>
                <w:sz w:val="18"/>
                <w:lang w:val="pl-PL"/>
              </w:rPr>
            </w:pPr>
            <w:r w:rsidRPr="0070444C">
              <w:rPr>
                <w:color w:val="000000"/>
                <w:sz w:val="18"/>
                <w:lang w:val="pl-PL"/>
              </w:rPr>
              <w:t>Niedokrwistość</w:t>
            </w:r>
            <w:r w:rsidR="00C13C64" w:rsidRPr="0070444C">
              <w:rPr>
                <w:color w:val="000000"/>
                <w:sz w:val="18"/>
                <w:lang w:val="pl-PL"/>
              </w:rPr>
              <w:t>,</w:t>
            </w:r>
          </w:p>
          <w:p w14:paraId="08979696" w14:textId="77777777" w:rsidR="00C13C64" w:rsidRPr="0070444C" w:rsidRDefault="00C13C64" w:rsidP="00FC0C5F">
            <w:pPr>
              <w:jc w:val="center"/>
              <w:rPr>
                <w:sz w:val="18"/>
                <w:lang w:val="pl-PL"/>
              </w:rPr>
            </w:pPr>
            <w:r w:rsidRPr="0070444C">
              <w:rPr>
                <w:color w:val="000000"/>
                <w:sz w:val="18"/>
                <w:lang w:val="pl-PL"/>
              </w:rPr>
              <w:t>Limfopenia</w:t>
            </w:r>
          </w:p>
        </w:tc>
        <w:tc>
          <w:tcPr>
            <w:tcW w:w="1276" w:type="dxa"/>
            <w:tcBorders>
              <w:top w:val="single" w:sz="4" w:space="0" w:color="auto"/>
              <w:left w:val="single" w:sz="4" w:space="0" w:color="auto"/>
              <w:bottom w:val="single" w:sz="4" w:space="0" w:color="auto"/>
              <w:right w:val="nil"/>
            </w:tcBorders>
          </w:tcPr>
          <w:p w14:paraId="3A789BB6" w14:textId="77777777" w:rsidR="008800D7" w:rsidRPr="0070444C" w:rsidRDefault="008800D7" w:rsidP="00FC0C5F">
            <w:pPr>
              <w:jc w:val="center"/>
              <w:rPr>
                <w:sz w:val="18"/>
                <w:lang w:val="pl-PL"/>
              </w:rPr>
            </w:pPr>
          </w:p>
        </w:tc>
        <w:tc>
          <w:tcPr>
            <w:tcW w:w="933" w:type="dxa"/>
            <w:tcBorders>
              <w:top w:val="single" w:sz="4" w:space="0" w:color="auto"/>
              <w:left w:val="single" w:sz="4" w:space="0" w:color="auto"/>
              <w:bottom w:val="single" w:sz="4" w:space="0" w:color="auto"/>
              <w:right w:val="nil"/>
            </w:tcBorders>
          </w:tcPr>
          <w:p w14:paraId="3FFA56D4" w14:textId="77777777" w:rsidR="008800D7" w:rsidRPr="0070444C" w:rsidRDefault="008800D7" w:rsidP="00FC0C5F">
            <w:pPr>
              <w:jc w:val="center"/>
              <w:rPr>
                <w:sz w:val="18"/>
                <w:lang w:val="pl-PL"/>
              </w:rPr>
            </w:pPr>
          </w:p>
        </w:tc>
        <w:tc>
          <w:tcPr>
            <w:tcW w:w="1304" w:type="dxa"/>
            <w:tcBorders>
              <w:top w:val="single" w:sz="4" w:space="0" w:color="auto"/>
              <w:left w:val="single" w:sz="4" w:space="0" w:color="auto"/>
              <w:bottom w:val="single" w:sz="4" w:space="0" w:color="auto"/>
              <w:right w:val="nil"/>
            </w:tcBorders>
          </w:tcPr>
          <w:p w14:paraId="01E1E853" w14:textId="77777777" w:rsidR="008800D7" w:rsidRPr="0070444C" w:rsidRDefault="008800D7" w:rsidP="00FC0C5F">
            <w:pPr>
              <w:jc w:val="center"/>
              <w:rPr>
                <w:sz w:val="18"/>
                <w:lang w:val="pl-PL"/>
              </w:rPr>
            </w:pPr>
          </w:p>
        </w:tc>
        <w:tc>
          <w:tcPr>
            <w:tcW w:w="1448" w:type="dxa"/>
            <w:tcBorders>
              <w:top w:val="single" w:sz="4" w:space="0" w:color="auto"/>
              <w:left w:val="single" w:sz="4" w:space="0" w:color="auto"/>
              <w:bottom w:val="single" w:sz="4" w:space="0" w:color="auto"/>
              <w:right w:val="single" w:sz="4" w:space="0" w:color="auto"/>
            </w:tcBorders>
          </w:tcPr>
          <w:p w14:paraId="529A5B71" w14:textId="77777777" w:rsidR="008800D7" w:rsidRPr="0070444C" w:rsidRDefault="008800D7" w:rsidP="00FC0C5F">
            <w:pPr>
              <w:jc w:val="center"/>
              <w:rPr>
                <w:sz w:val="18"/>
                <w:lang w:val="pl-PL"/>
              </w:rPr>
            </w:pPr>
          </w:p>
        </w:tc>
      </w:tr>
      <w:tr w:rsidR="008800D7" w:rsidRPr="008D11DD" w14:paraId="276F52FF" w14:textId="77777777" w:rsidTr="000F44C8">
        <w:trPr>
          <w:trHeight w:val="895"/>
        </w:trPr>
        <w:tc>
          <w:tcPr>
            <w:tcW w:w="1303" w:type="dxa"/>
            <w:tcBorders>
              <w:top w:val="single" w:sz="4" w:space="0" w:color="auto"/>
              <w:left w:val="single" w:sz="4" w:space="0" w:color="auto"/>
              <w:bottom w:val="single" w:sz="4" w:space="0" w:color="auto"/>
              <w:right w:val="single" w:sz="4" w:space="0" w:color="auto"/>
            </w:tcBorders>
          </w:tcPr>
          <w:p w14:paraId="193EA9E8" w14:textId="76E1D038" w:rsidR="008800D7" w:rsidRPr="0015541C" w:rsidRDefault="008800D7" w:rsidP="00FC0C5F">
            <w:pPr>
              <w:rPr>
                <w:sz w:val="18"/>
                <w:szCs w:val="18"/>
                <w:lang w:val="pl-PL"/>
              </w:rPr>
            </w:pPr>
            <w:r w:rsidRPr="0070444C">
              <w:rPr>
                <w:sz w:val="18"/>
                <w:lang w:val="pl-PL"/>
              </w:rPr>
              <w:t>Zaburzenia układu immunologi</w:t>
            </w:r>
            <w:r w:rsidR="003C74A1" w:rsidRPr="0070444C">
              <w:rPr>
                <w:sz w:val="18"/>
                <w:lang w:val="pl-PL"/>
              </w:rPr>
              <w:t>cz</w:t>
            </w:r>
            <w:r w:rsidRPr="0070444C">
              <w:rPr>
                <w:sz w:val="18"/>
                <w:lang w:val="pl-PL"/>
              </w:rPr>
              <w:t>-nego</w:t>
            </w:r>
          </w:p>
        </w:tc>
        <w:tc>
          <w:tcPr>
            <w:tcW w:w="1450" w:type="dxa"/>
            <w:tcBorders>
              <w:top w:val="single" w:sz="4" w:space="0" w:color="auto"/>
              <w:left w:val="single" w:sz="4" w:space="0" w:color="auto"/>
              <w:bottom w:val="single" w:sz="4" w:space="0" w:color="auto"/>
              <w:right w:val="single" w:sz="4" w:space="0" w:color="auto"/>
            </w:tcBorders>
          </w:tcPr>
          <w:p w14:paraId="1408EA3F" w14:textId="77777777" w:rsidR="008800D7" w:rsidRPr="0015541C" w:rsidRDefault="008800D7" w:rsidP="00FC0C5F">
            <w:pPr>
              <w:jc w:val="center"/>
              <w:rPr>
                <w:sz w:val="18"/>
                <w:szCs w:val="18"/>
                <w:lang w:val="pl-PL"/>
              </w:rPr>
            </w:pPr>
          </w:p>
        </w:tc>
        <w:tc>
          <w:tcPr>
            <w:tcW w:w="1559" w:type="dxa"/>
            <w:tcBorders>
              <w:top w:val="single" w:sz="4" w:space="0" w:color="auto"/>
              <w:left w:val="single" w:sz="4" w:space="0" w:color="auto"/>
              <w:bottom w:val="single" w:sz="4" w:space="0" w:color="auto"/>
              <w:right w:val="single" w:sz="4" w:space="0" w:color="auto"/>
            </w:tcBorders>
          </w:tcPr>
          <w:p w14:paraId="350F38DF" w14:textId="54885C9D" w:rsidR="008800D7" w:rsidRPr="0015541C" w:rsidRDefault="00420F0C" w:rsidP="00FC0C5F">
            <w:pPr>
              <w:jc w:val="center"/>
              <w:rPr>
                <w:color w:val="000000"/>
                <w:sz w:val="18"/>
                <w:szCs w:val="18"/>
                <w:lang w:val="pl-PL" w:eastAsia="en-US"/>
              </w:rPr>
            </w:pPr>
            <w:r w:rsidRPr="0015541C">
              <w:rPr>
                <w:sz w:val="18"/>
                <w:lang w:val="pl-PL"/>
              </w:rPr>
              <w:t xml:space="preserve">Nadwrażliwość, reakcje </w:t>
            </w:r>
            <w:r w:rsidRPr="0015541C">
              <w:rPr>
                <w:sz w:val="18"/>
                <w:szCs w:val="18"/>
                <w:lang w:val="pl-PL" w:eastAsia="en-US"/>
              </w:rPr>
              <w:t>związane z wlewem</w:t>
            </w:r>
            <w:r w:rsidRPr="0015541C">
              <w:rPr>
                <w:sz w:val="18"/>
                <w:vertAlign w:val="superscript"/>
                <w:lang w:val="pl-PL"/>
              </w:rPr>
              <w:t>a,b,c</w:t>
            </w:r>
          </w:p>
        </w:tc>
        <w:tc>
          <w:tcPr>
            <w:tcW w:w="1276" w:type="dxa"/>
            <w:tcBorders>
              <w:top w:val="single" w:sz="4" w:space="0" w:color="auto"/>
              <w:left w:val="single" w:sz="4" w:space="0" w:color="auto"/>
              <w:bottom w:val="single" w:sz="4" w:space="0" w:color="auto"/>
              <w:right w:val="nil"/>
            </w:tcBorders>
          </w:tcPr>
          <w:p w14:paraId="24058F84" w14:textId="77777777" w:rsidR="008800D7" w:rsidRPr="0015541C" w:rsidRDefault="008800D7" w:rsidP="00FC0C5F">
            <w:pPr>
              <w:jc w:val="center"/>
              <w:rPr>
                <w:sz w:val="18"/>
                <w:szCs w:val="18"/>
                <w:lang w:val="pl-PL"/>
              </w:rPr>
            </w:pPr>
          </w:p>
        </w:tc>
        <w:tc>
          <w:tcPr>
            <w:tcW w:w="933" w:type="dxa"/>
            <w:tcBorders>
              <w:top w:val="single" w:sz="4" w:space="0" w:color="auto"/>
              <w:left w:val="single" w:sz="4" w:space="0" w:color="auto"/>
              <w:bottom w:val="single" w:sz="4" w:space="0" w:color="auto"/>
              <w:right w:val="nil"/>
            </w:tcBorders>
          </w:tcPr>
          <w:p w14:paraId="045F7FE4" w14:textId="77777777" w:rsidR="008800D7" w:rsidRPr="0015541C" w:rsidRDefault="008800D7" w:rsidP="00FC0C5F">
            <w:pPr>
              <w:jc w:val="center"/>
              <w:rPr>
                <w:sz w:val="18"/>
                <w:szCs w:val="18"/>
                <w:lang w:val="pl-PL"/>
              </w:rPr>
            </w:pPr>
          </w:p>
        </w:tc>
        <w:tc>
          <w:tcPr>
            <w:tcW w:w="1304" w:type="dxa"/>
            <w:tcBorders>
              <w:top w:val="single" w:sz="4" w:space="0" w:color="auto"/>
              <w:left w:val="single" w:sz="4" w:space="0" w:color="auto"/>
              <w:bottom w:val="single" w:sz="4" w:space="0" w:color="auto"/>
              <w:right w:val="nil"/>
            </w:tcBorders>
          </w:tcPr>
          <w:p w14:paraId="5EBA0580" w14:textId="77777777" w:rsidR="008800D7" w:rsidRPr="0015541C" w:rsidRDefault="008800D7" w:rsidP="00FC0C5F">
            <w:pPr>
              <w:jc w:val="center"/>
              <w:rPr>
                <w:sz w:val="18"/>
                <w:szCs w:val="18"/>
                <w:lang w:val="pl-PL"/>
              </w:rPr>
            </w:pPr>
          </w:p>
        </w:tc>
        <w:tc>
          <w:tcPr>
            <w:tcW w:w="1448" w:type="dxa"/>
            <w:tcBorders>
              <w:top w:val="single" w:sz="4" w:space="0" w:color="auto"/>
              <w:left w:val="single" w:sz="4" w:space="0" w:color="auto"/>
              <w:bottom w:val="single" w:sz="4" w:space="0" w:color="auto"/>
              <w:right w:val="single" w:sz="4" w:space="0" w:color="auto"/>
            </w:tcBorders>
          </w:tcPr>
          <w:p w14:paraId="2171D7C5" w14:textId="287D1D67" w:rsidR="008800D7" w:rsidRPr="0015541C" w:rsidRDefault="008800D7" w:rsidP="00FC0C5F">
            <w:pPr>
              <w:jc w:val="center"/>
              <w:rPr>
                <w:sz w:val="18"/>
                <w:szCs w:val="18"/>
                <w:lang w:val="pl-PL"/>
              </w:rPr>
            </w:pPr>
          </w:p>
        </w:tc>
      </w:tr>
      <w:tr w:rsidR="008800D7" w:rsidRPr="0015541C" w14:paraId="2629778C" w14:textId="77777777" w:rsidTr="000F44C8">
        <w:trPr>
          <w:trHeight w:val="737"/>
        </w:trPr>
        <w:tc>
          <w:tcPr>
            <w:tcW w:w="1303" w:type="dxa"/>
            <w:tcBorders>
              <w:top w:val="single" w:sz="4" w:space="0" w:color="auto"/>
              <w:left w:val="single" w:sz="4" w:space="0" w:color="auto"/>
              <w:bottom w:val="single" w:sz="4" w:space="0" w:color="auto"/>
              <w:right w:val="single" w:sz="4" w:space="0" w:color="auto"/>
            </w:tcBorders>
          </w:tcPr>
          <w:p w14:paraId="74CFBD7A" w14:textId="77777777" w:rsidR="008800D7" w:rsidRPr="0070444C" w:rsidRDefault="008800D7" w:rsidP="00FC0C5F">
            <w:pPr>
              <w:rPr>
                <w:sz w:val="18"/>
                <w:lang w:val="pl-PL"/>
              </w:rPr>
            </w:pPr>
            <w:r w:rsidRPr="0070444C">
              <w:rPr>
                <w:sz w:val="18"/>
                <w:lang w:val="pl-PL"/>
              </w:rPr>
              <w:t>Zaburzenia metabolizmu i odżywiania</w:t>
            </w:r>
          </w:p>
        </w:tc>
        <w:tc>
          <w:tcPr>
            <w:tcW w:w="1450" w:type="dxa"/>
            <w:tcBorders>
              <w:top w:val="single" w:sz="4" w:space="0" w:color="auto"/>
              <w:left w:val="single" w:sz="4" w:space="0" w:color="auto"/>
              <w:bottom w:val="single" w:sz="4" w:space="0" w:color="auto"/>
              <w:right w:val="single" w:sz="4" w:space="0" w:color="auto"/>
            </w:tcBorders>
          </w:tcPr>
          <w:p w14:paraId="60A4DE0A" w14:textId="77777777" w:rsidR="008800D7" w:rsidRPr="0070444C" w:rsidRDefault="008800D7" w:rsidP="00FC0C5F">
            <w:pPr>
              <w:keepNext/>
              <w:keepLines/>
              <w:jc w:val="center"/>
              <w:rPr>
                <w:sz w:val="18"/>
                <w:lang w:val="pl-PL"/>
              </w:rPr>
            </w:pPr>
          </w:p>
        </w:tc>
        <w:tc>
          <w:tcPr>
            <w:tcW w:w="1559" w:type="dxa"/>
            <w:tcBorders>
              <w:top w:val="single" w:sz="4" w:space="0" w:color="auto"/>
              <w:left w:val="single" w:sz="4" w:space="0" w:color="auto"/>
              <w:bottom w:val="single" w:sz="4" w:space="0" w:color="auto"/>
              <w:right w:val="single" w:sz="4" w:space="0" w:color="auto"/>
            </w:tcBorders>
          </w:tcPr>
          <w:p w14:paraId="2FE7150D" w14:textId="77777777" w:rsidR="008800D7" w:rsidRPr="0070444C" w:rsidRDefault="008800D7" w:rsidP="00FC0C5F">
            <w:pPr>
              <w:keepNext/>
              <w:keepLines/>
              <w:jc w:val="center"/>
              <w:rPr>
                <w:color w:val="000000"/>
                <w:sz w:val="18"/>
                <w:lang w:val="pl-PL"/>
              </w:rPr>
            </w:pPr>
            <w:r w:rsidRPr="0070444C">
              <w:rPr>
                <w:color w:val="000000"/>
                <w:sz w:val="18"/>
                <w:lang w:val="pl-PL"/>
              </w:rPr>
              <w:t>Odwodnienie</w:t>
            </w:r>
          </w:p>
          <w:p w14:paraId="4F1F7162" w14:textId="77777777" w:rsidR="00F36C47" w:rsidRPr="0070444C" w:rsidRDefault="00F36C47" w:rsidP="00FC0C5F">
            <w:pPr>
              <w:keepNext/>
              <w:keepLines/>
              <w:jc w:val="center"/>
              <w:rPr>
                <w:sz w:val="18"/>
                <w:lang w:val="pl-PL"/>
              </w:rPr>
            </w:pPr>
            <w:r w:rsidRPr="0070444C">
              <w:rPr>
                <w:color w:val="000000"/>
                <w:sz w:val="18"/>
                <w:lang w:val="pl-PL"/>
              </w:rPr>
              <w:t>Hiponatremia</w:t>
            </w:r>
          </w:p>
        </w:tc>
        <w:tc>
          <w:tcPr>
            <w:tcW w:w="1276" w:type="dxa"/>
            <w:tcBorders>
              <w:top w:val="single" w:sz="4" w:space="0" w:color="auto"/>
              <w:left w:val="single" w:sz="4" w:space="0" w:color="auto"/>
              <w:bottom w:val="single" w:sz="4" w:space="0" w:color="auto"/>
              <w:right w:val="nil"/>
            </w:tcBorders>
          </w:tcPr>
          <w:p w14:paraId="044D9865" w14:textId="77777777" w:rsidR="008800D7" w:rsidRPr="0070444C" w:rsidRDefault="008800D7" w:rsidP="00FC0C5F">
            <w:pPr>
              <w:jc w:val="center"/>
              <w:rPr>
                <w:sz w:val="18"/>
                <w:lang w:val="pl-PL"/>
              </w:rPr>
            </w:pPr>
          </w:p>
        </w:tc>
        <w:tc>
          <w:tcPr>
            <w:tcW w:w="933" w:type="dxa"/>
            <w:tcBorders>
              <w:top w:val="single" w:sz="4" w:space="0" w:color="auto"/>
              <w:left w:val="single" w:sz="4" w:space="0" w:color="auto"/>
              <w:bottom w:val="single" w:sz="4" w:space="0" w:color="auto"/>
              <w:right w:val="nil"/>
            </w:tcBorders>
          </w:tcPr>
          <w:p w14:paraId="2FDBFB5D" w14:textId="4FDF540A" w:rsidR="008800D7" w:rsidRPr="0070444C" w:rsidRDefault="00420F0C" w:rsidP="00FC0C5F">
            <w:pPr>
              <w:jc w:val="center"/>
              <w:rPr>
                <w:sz w:val="18"/>
                <w:lang w:val="pl-PL"/>
              </w:rPr>
            </w:pPr>
            <w:r w:rsidRPr="00420F0C">
              <w:rPr>
                <w:sz w:val="18"/>
                <w:lang w:val="pl-PL"/>
              </w:rPr>
              <w:t>Wstrząs anafilaktyczny</w:t>
            </w:r>
          </w:p>
        </w:tc>
        <w:tc>
          <w:tcPr>
            <w:tcW w:w="1304" w:type="dxa"/>
            <w:tcBorders>
              <w:top w:val="single" w:sz="4" w:space="0" w:color="auto"/>
              <w:left w:val="single" w:sz="4" w:space="0" w:color="auto"/>
              <w:bottom w:val="single" w:sz="4" w:space="0" w:color="auto"/>
              <w:right w:val="nil"/>
            </w:tcBorders>
          </w:tcPr>
          <w:p w14:paraId="2546D9C1" w14:textId="77777777" w:rsidR="008800D7" w:rsidRPr="0070444C" w:rsidRDefault="008800D7" w:rsidP="00FC0C5F">
            <w:pPr>
              <w:jc w:val="center"/>
              <w:rPr>
                <w:sz w:val="18"/>
                <w:lang w:val="pl-PL"/>
              </w:rPr>
            </w:pPr>
          </w:p>
        </w:tc>
        <w:tc>
          <w:tcPr>
            <w:tcW w:w="1448" w:type="dxa"/>
            <w:tcBorders>
              <w:top w:val="single" w:sz="4" w:space="0" w:color="auto"/>
              <w:left w:val="single" w:sz="4" w:space="0" w:color="auto"/>
              <w:bottom w:val="single" w:sz="4" w:space="0" w:color="auto"/>
              <w:right w:val="single" w:sz="4" w:space="0" w:color="auto"/>
            </w:tcBorders>
          </w:tcPr>
          <w:p w14:paraId="2A1C9915" w14:textId="77777777" w:rsidR="008800D7" w:rsidRPr="0070444C" w:rsidRDefault="008800D7" w:rsidP="00FC0C5F">
            <w:pPr>
              <w:jc w:val="center"/>
              <w:rPr>
                <w:sz w:val="18"/>
                <w:lang w:val="pl-PL"/>
              </w:rPr>
            </w:pPr>
          </w:p>
        </w:tc>
      </w:tr>
      <w:tr w:rsidR="008800D7" w:rsidRPr="0015541C" w14:paraId="0D11120A" w14:textId="77777777" w:rsidTr="000F44C8">
        <w:trPr>
          <w:trHeight w:val="964"/>
        </w:trPr>
        <w:tc>
          <w:tcPr>
            <w:tcW w:w="1303" w:type="dxa"/>
            <w:tcBorders>
              <w:top w:val="single" w:sz="4" w:space="0" w:color="auto"/>
              <w:left w:val="single" w:sz="4" w:space="0" w:color="auto"/>
              <w:bottom w:val="single" w:sz="4" w:space="0" w:color="auto"/>
              <w:right w:val="single" w:sz="4" w:space="0" w:color="auto"/>
            </w:tcBorders>
          </w:tcPr>
          <w:p w14:paraId="1FDC0330" w14:textId="77777777" w:rsidR="008800D7" w:rsidRPr="0070444C" w:rsidRDefault="008800D7" w:rsidP="00FC0C5F">
            <w:pPr>
              <w:rPr>
                <w:sz w:val="18"/>
                <w:lang w:val="pl-PL"/>
              </w:rPr>
            </w:pPr>
            <w:r w:rsidRPr="0070444C">
              <w:rPr>
                <w:sz w:val="18"/>
                <w:lang w:val="pl-PL"/>
              </w:rPr>
              <w:t>Zaburzenia układu nerwowego</w:t>
            </w:r>
          </w:p>
        </w:tc>
        <w:tc>
          <w:tcPr>
            <w:tcW w:w="1450" w:type="dxa"/>
            <w:tcBorders>
              <w:top w:val="single" w:sz="4" w:space="0" w:color="auto"/>
              <w:left w:val="single" w:sz="4" w:space="0" w:color="auto"/>
              <w:bottom w:val="single" w:sz="4" w:space="0" w:color="auto"/>
              <w:right w:val="single" w:sz="4" w:space="0" w:color="auto"/>
            </w:tcBorders>
          </w:tcPr>
          <w:p w14:paraId="56730D4C" w14:textId="77777777" w:rsidR="008800D7" w:rsidRPr="0070444C" w:rsidRDefault="008800D7" w:rsidP="00FC0C5F">
            <w:pPr>
              <w:jc w:val="center"/>
              <w:rPr>
                <w:sz w:val="18"/>
                <w:lang w:val="pl-PL"/>
              </w:rPr>
            </w:pPr>
            <w:r w:rsidRPr="0070444C">
              <w:rPr>
                <w:sz w:val="18"/>
                <w:lang w:val="pl-PL"/>
              </w:rPr>
              <w:t>Obwodowa neuropatia czuciowa</w:t>
            </w:r>
            <w:r w:rsidRPr="0070444C">
              <w:rPr>
                <w:sz w:val="18"/>
                <w:vertAlign w:val="superscript"/>
                <w:lang w:val="pl-PL"/>
              </w:rPr>
              <w:t>a</w:t>
            </w:r>
          </w:p>
        </w:tc>
        <w:tc>
          <w:tcPr>
            <w:tcW w:w="1559" w:type="dxa"/>
            <w:tcBorders>
              <w:top w:val="single" w:sz="4" w:space="0" w:color="auto"/>
              <w:left w:val="single" w:sz="4" w:space="0" w:color="auto"/>
              <w:bottom w:val="single" w:sz="4" w:space="0" w:color="auto"/>
              <w:right w:val="single" w:sz="4" w:space="0" w:color="auto"/>
            </w:tcBorders>
          </w:tcPr>
          <w:p w14:paraId="16D1F3AE" w14:textId="77777777" w:rsidR="008800D7" w:rsidRPr="0015541C" w:rsidRDefault="008800D7" w:rsidP="00FC0C5F">
            <w:pPr>
              <w:jc w:val="center"/>
              <w:rPr>
                <w:sz w:val="18"/>
                <w:szCs w:val="18"/>
                <w:lang w:val="pl-PL"/>
              </w:rPr>
            </w:pPr>
            <w:r w:rsidRPr="0015541C">
              <w:rPr>
                <w:sz w:val="18"/>
                <w:szCs w:val="18"/>
                <w:lang w:val="pl-PL"/>
              </w:rPr>
              <w:t>Udar mózgu,</w:t>
            </w:r>
          </w:p>
          <w:p w14:paraId="0F7E103D" w14:textId="77777777" w:rsidR="008800D7" w:rsidRPr="0015541C" w:rsidRDefault="008800D7" w:rsidP="00FC0C5F">
            <w:pPr>
              <w:jc w:val="center"/>
              <w:rPr>
                <w:sz w:val="18"/>
                <w:szCs w:val="18"/>
                <w:lang w:val="pl-PL"/>
              </w:rPr>
            </w:pPr>
            <w:r w:rsidRPr="0015541C">
              <w:rPr>
                <w:sz w:val="18"/>
                <w:szCs w:val="18"/>
                <w:lang w:val="pl-PL"/>
              </w:rPr>
              <w:t>Omdlenie,</w:t>
            </w:r>
          </w:p>
          <w:p w14:paraId="7241A636" w14:textId="77777777" w:rsidR="008800D7" w:rsidRPr="0015541C" w:rsidRDefault="008800D7" w:rsidP="00FC0C5F">
            <w:pPr>
              <w:jc w:val="center"/>
              <w:rPr>
                <w:sz w:val="18"/>
                <w:szCs w:val="18"/>
                <w:lang w:val="pl-PL"/>
              </w:rPr>
            </w:pPr>
            <w:r w:rsidRPr="0015541C">
              <w:rPr>
                <w:sz w:val="18"/>
                <w:szCs w:val="18"/>
                <w:lang w:val="pl-PL"/>
              </w:rPr>
              <w:t>Senność,</w:t>
            </w:r>
          </w:p>
          <w:p w14:paraId="5B924C58" w14:textId="77777777" w:rsidR="008800D7" w:rsidRPr="0015541C" w:rsidRDefault="008800D7" w:rsidP="00FC0C5F">
            <w:pPr>
              <w:jc w:val="center"/>
              <w:rPr>
                <w:sz w:val="18"/>
                <w:szCs w:val="18"/>
                <w:lang w:val="pl-PL"/>
              </w:rPr>
            </w:pPr>
            <w:r w:rsidRPr="0015541C">
              <w:rPr>
                <w:sz w:val="18"/>
                <w:szCs w:val="18"/>
                <w:lang w:val="pl-PL"/>
              </w:rPr>
              <w:t>Ból głowy</w:t>
            </w:r>
          </w:p>
        </w:tc>
        <w:tc>
          <w:tcPr>
            <w:tcW w:w="1276" w:type="dxa"/>
            <w:tcBorders>
              <w:top w:val="single" w:sz="4" w:space="0" w:color="auto"/>
              <w:left w:val="single" w:sz="4" w:space="0" w:color="auto"/>
              <w:bottom w:val="single" w:sz="4" w:space="0" w:color="auto"/>
              <w:right w:val="nil"/>
            </w:tcBorders>
          </w:tcPr>
          <w:p w14:paraId="1687A702" w14:textId="77777777" w:rsidR="008800D7" w:rsidRPr="0015541C" w:rsidRDefault="008800D7" w:rsidP="00FC0C5F">
            <w:pPr>
              <w:jc w:val="center"/>
              <w:rPr>
                <w:sz w:val="18"/>
                <w:szCs w:val="18"/>
                <w:lang w:val="pl-PL"/>
              </w:rPr>
            </w:pPr>
          </w:p>
        </w:tc>
        <w:tc>
          <w:tcPr>
            <w:tcW w:w="933" w:type="dxa"/>
            <w:tcBorders>
              <w:top w:val="single" w:sz="4" w:space="0" w:color="auto"/>
              <w:left w:val="single" w:sz="4" w:space="0" w:color="auto"/>
              <w:bottom w:val="single" w:sz="4" w:space="0" w:color="auto"/>
              <w:right w:val="nil"/>
            </w:tcBorders>
          </w:tcPr>
          <w:p w14:paraId="6D1EC5CD" w14:textId="77777777" w:rsidR="008800D7" w:rsidRPr="0015541C" w:rsidRDefault="008800D7" w:rsidP="00FC0C5F">
            <w:pPr>
              <w:jc w:val="center"/>
              <w:rPr>
                <w:sz w:val="18"/>
                <w:szCs w:val="18"/>
                <w:lang w:val="pl-PL"/>
              </w:rPr>
            </w:pPr>
          </w:p>
        </w:tc>
        <w:tc>
          <w:tcPr>
            <w:tcW w:w="1304" w:type="dxa"/>
            <w:tcBorders>
              <w:top w:val="single" w:sz="4" w:space="0" w:color="auto"/>
              <w:left w:val="single" w:sz="4" w:space="0" w:color="auto"/>
              <w:bottom w:val="single" w:sz="4" w:space="0" w:color="auto"/>
              <w:right w:val="nil"/>
            </w:tcBorders>
          </w:tcPr>
          <w:p w14:paraId="50972DA7" w14:textId="77777777" w:rsidR="008800D7" w:rsidRPr="0015541C" w:rsidRDefault="008800D7" w:rsidP="00FC0C5F">
            <w:pPr>
              <w:jc w:val="center"/>
              <w:rPr>
                <w:sz w:val="18"/>
                <w:szCs w:val="18"/>
                <w:lang w:val="pl-PL"/>
              </w:rPr>
            </w:pPr>
          </w:p>
        </w:tc>
        <w:tc>
          <w:tcPr>
            <w:tcW w:w="1448" w:type="dxa"/>
            <w:tcBorders>
              <w:top w:val="single" w:sz="4" w:space="0" w:color="auto"/>
              <w:left w:val="single" w:sz="4" w:space="0" w:color="auto"/>
              <w:bottom w:val="single" w:sz="4" w:space="0" w:color="auto"/>
              <w:right w:val="single" w:sz="4" w:space="0" w:color="auto"/>
            </w:tcBorders>
          </w:tcPr>
          <w:p w14:paraId="52BF33F6" w14:textId="77777777" w:rsidR="008800D7" w:rsidRPr="0015541C" w:rsidRDefault="008800D7" w:rsidP="00FC0C5F">
            <w:pPr>
              <w:jc w:val="center"/>
              <w:rPr>
                <w:sz w:val="18"/>
                <w:szCs w:val="18"/>
                <w:lang w:val="pl-PL"/>
              </w:rPr>
            </w:pPr>
            <w:r w:rsidRPr="0015541C">
              <w:rPr>
                <w:sz w:val="18"/>
                <w:szCs w:val="18"/>
                <w:lang w:val="pl-PL"/>
              </w:rPr>
              <w:t>Zespół tylnej odwracalnej encefalopatii</w:t>
            </w:r>
            <w:r w:rsidRPr="0015541C">
              <w:rPr>
                <w:sz w:val="18"/>
                <w:szCs w:val="18"/>
                <w:vertAlign w:val="superscript"/>
                <w:lang w:val="pl-PL"/>
              </w:rPr>
              <w:t>a,b,c</w:t>
            </w:r>
            <w:r w:rsidRPr="0015541C">
              <w:rPr>
                <w:sz w:val="18"/>
                <w:szCs w:val="18"/>
                <w:lang w:val="pl-PL"/>
              </w:rPr>
              <w:t>,</w:t>
            </w:r>
          </w:p>
          <w:p w14:paraId="0C394B79" w14:textId="77777777" w:rsidR="008800D7" w:rsidRPr="0015541C" w:rsidRDefault="008800D7" w:rsidP="00FC0C5F">
            <w:pPr>
              <w:jc w:val="center"/>
              <w:rPr>
                <w:sz w:val="18"/>
                <w:szCs w:val="18"/>
                <w:lang w:val="pl-PL"/>
              </w:rPr>
            </w:pPr>
            <w:r w:rsidRPr="0015541C">
              <w:rPr>
                <w:sz w:val="18"/>
                <w:szCs w:val="18"/>
                <w:lang w:val="pl-PL"/>
              </w:rPr>
              <w:t>Encefalopatia nadciśnieniowa</w:t>
            </w:r>
            <w:r w:rsidRPr="0015541C">
              <w:rPr>
                <w:sz w:val="18"/>
                <w:szCs w:val="18"/>
                <w:vertAlign w:val="superscript"/>
                <w:lang w:val="pl-PL"/>
              </w:rPr>
              <w:t>c</w:t>
            </w:r>
            <w:r w:rsidR="00064871" w:rsidRPr="0015541C">
              <w:rPr>
                <w:sz w:val="18"/>
                <w:szCs w:val="18"/>
                <w:vertAlign w:val="superscript"/>
                <w:lang w:val="pl-PL"/>
              </w:rPr>
              <w:t xml:space="preserve"> </w:t>
            </w:r>
          </w:p>
        </w:tc>
      </w:tr>
      <w:tr w:rsidR="008800D7" w:rsidRPr="00A5462B" w14:paraId="2322BEAB" w14:textId="77777777" w:rsidTr="000F44C8">
        <w:trPr>
          <w:trHeight w:val="1102"/>
        </w:trPr>
        <w:tc>
          <w:tcPr>
            <w:tcW w:w="1303" w:type="dxa"/>
            <w:tcBorders>
              <w:top w:val="single" w:sz="4" w:space="0" w:color="auto"/>
              <w:left w:val="single" w:sz="4" w:space="0" w:color="auto"/>
              <w:bottom w:val="single" w:sz="4" w:space="0" w:color="auto"/>
              <w:right w:val="single" w:sz="4" w:space="0" w:color="auto"/>
            </w:tcBorders>
          </w:tcPr>
          <w:p w14:paraId="62EDBC22" w14:textId="77777777" w:rsidR="008800D7" w:rsidRPr="0070444C" w:rsidRDefault="008800D7" w:rsidP="00FC0C5F">
            <w:pPr>
              <w:rPr>
                <w:sz w:val="18"/>
                <w:lang w:val="pl-PL"/>
              </w:rPr>
            </w:pPr>
            <w:r w:rsidRPr="0070444C">
              <w:rPr>
                <w:color w:val="000000"/>
                <w:sz w:val="18"/>
                <w:lang w:val="pl-PL"/>
              </w:rPr>
              <w:t>Zaburzenia serca</w:t>
            </w:r>
          </w:p>
        </w:tc>
        <w:tc>
          <w:tcPr>
            <w:tcW w:w="1450" w:type="dxa"/>
            <w:tcBorders>
              <w:top w:val="single" w:sz="4" w:space="0" w:color="auto"/>
              <w:left w:val="single" w:sz="4" w:space="0" w:color="auto"/>
              <w:bottom w:val="single" w:sz="4" w:space="0" w:color="auto"/>
              <w:right w:val="single" w:sz="4" w:space="0" w:color="auto"/>
            </w:tcBorders>
          </w:tcPr>
          <w:p w14:paraId="55574E86" w14:textId="77777777" w:rsidR="008800D7" w:rsidRPr="0070444C" w:rsidRDefault="008800D7" w:rsidP="00FC0C5F">
            <w:pPr>
              <w:jc w:val="center"/>
              <w:rPr>
                <w:sz w:val="18"/>
                <w:lang w:val="pl-PL"/>
              </w:rPr>
            </w:pPr>
          </w:p>
        </w:tc>
        <w:tc>
          <w:tcPr>
            <w:tcW w:w="1559" w:type="dxa"/>
            <w:tcBorders>
              <w:top w:val="single" w:sz="4" w:space="0" w:color="auto"/>
              <w:left w:val="single" w:sz="4" w:space="0" w:color="auto"/>
              <w:bottom w:val="single" w:sz="4" w:space="0" w:color="auto"/>
              <w:right w:val="single" w:sz="4" w:space="0" w:color="auto"/>
            </w:tcBorders>
          </w:tcPr>
          <w:p w14:paraId="116C5348" w14:textId="77777777" w:rsidR="008800D7" w:rsidRPr="0015541C" w:rsidRDefault="008800D7" w:rsidP="00FC0C5F">
            <w:pPr>
              <w:jc w:val="center"/>
              <w:rPr>
                <w:sz w:val="18"/>
                <w:szCs w:val="18"/>
                <w:lang w:val="pl-PL"/>
              </w:rPr>
            </w:pPr>
            <w:r w:rsidRPr="0015541C">
              <w:rPr>
                <w:sz w:val="18"/>
                <w:szCs w:val="18"/>
                <w:lang w:val="pl-PL"/>
              </w:rPr>
              <w:t>Zastoinowa niewydolność serca</w:t>
            </w:r>
            <w:r w:rsidRPr="0015541C">
              <w:rPr>
                <w:sz w:val="18"/>
                <w:szCs w:val="18"/>
                <w:vertAlign w:val="superscript"/>
                <w:lang w:val="pl-PL"/>
              </w:rPr>
              <w:t>a,b</w:t>
            </w:r>
            <w:r w:rsidRPr="0015541C">
              <w:rPr>
                <w:sz w:val="18"/>
                <w:szCs w:val="18"/>
                <w:lang w:val="pl-PL"/>
              </w:rPr>
              <w:t>,</w:t>
            </w:r>
          </w:p>
          <w:p w14:paraId="03C3BA84" w14:textId="77777777" w:rsidR="008800D7" w:rsidRPr="0015541C" w:rsidRDefault="008800D7" w:rsidP="00FC0C5F">
            <w:pPr>
              <w:jc w:val="center"/>
              <w:rPr>
                <w:sz w:val="18"/>
                <w:szCs w:val="18"/>
                <w:lang w:val="pl-PL"/>
              </w:rPr>
            </w:pPr>
            <w:r w:rsidRPr="0015541C">
              <w:rPr>
                <w:sz w:val="18"/>
                <w:szCs w:val="18"/>
                <w:lang w:val="pl-PL"/>
              </w:rPr>
              <w:t>Tachykardia nadkomorowa</w:t>
            </w:r>
          </w:p>
        </w:tc>
        <w:tc>
          <w:tcPr>
            <w:tcW w:w="1276" w:type="dxa"/>
            <w:tcBorders>
              <w:top w:val="single" w:sz="4" w:space="0" w:color="auto"/>
              <w:left w:val="single" w:sz="4" w:space="0" w:color="auto"/>
              <w:bottom w:val="single" w:sz="4" w:space="0" w:color="auto"/>
              <w:right w:val="nil"/>
            </w:tcBorders>
          </w:tcPr>
          <w:p w14:paraId="06D706C4" w14:textId="77777777" w:rsidR="008800D7" w:rsidRPr="0015541C" w:rsidRDefault="008800D7" w:rsidP="00FC0C5F">
            <w:pPr>
              <w:jc w:val="center"/>
              <w:rPr>
                <w:sz w:val="18"/>
                <w:szCs w:val="18"/>
                <w:lang w:val="pl-PL"/>
              </w:rPr>
            </w:pPr>
          </w:p>
        </w:tc>
        <w:tc>
          <w:tcPr>
            <w:tcW w:w="933" w:type="dxa"/>
            <w:tcBorders>
              <w:top w:val="single" w:sz="4" w:space="0" w:color="auto"/>
              <w:left w:val="single" w:sz="4" w:space="0" w:color="auto"/>
              <w:bottom w:val="single" w:sz="4" w:space="0" w:color="auto"/>
              <w:right w:val="nil"/>
            </w:tcBorders>
          </w:tcPr>
          <w:p w14:paraId="022B3226" w14:textId="77777777" w:rsidR="008800D7" w:rsidRPr="0015541C" w:rsidRDefault="008800D7" w:rsidP="00FC0C5F">
            <w:pPr>
              <w:jc w:val="center"/>
              <w:rPr>
                <w:sz w:val="18"/>
                <w:szCs w:val="18"/>
                <w:lang w:val="pl-PL"/>
              </w:rPr>
            </w:pPr>
          </w:p>
        </w:tc>
        <w:tc>
          <w:tcPr>
            <w:tcW w:w="1304" w:type="dxa"/>
            <w:tcBorders>
              <w:top w:val="single" w:sz="4" w:space="0" w:color="auto"/>
              <w:left w:val="single" w:sz="4" w:space="0" w:color="auto"/>
              <w:bottom w:val="single" w:sz="4" w:space="0" w:color="auto"/>
              <w:right w:val="nil"/>
            </w:tcBorders>
          </w:tcPr>
          <w:p w14:paraId="4E2F7DF9" w14:textId="77777777" w:rsidR="008800D7" w:rsidRPr="0015541C" w:rsidRDefault="008800D7" w:rsidP="00FC0C5F">
            <w:pPr>
              <w:jc w:val="center"/>
              <w:rPr>
                <w:sz w:val="18"/>
                <w:szCs w:val="18"/>
                <w:lang w:val="pl-PL"/>
              </w:rPr>
            </w:pPr>
          </w:p>
        </w:tc>
        <w:tc>
          <w:tcPr>
            <w:tcW w:w="1448" w:type="dxa"/>
            <w:tcBorders>
              <w:top w:val="single" w:sz="4" w:space="0" w:color="auto"/>
              <w:left w:val="single" w:sz="4" w:space="0" w:color="auto"/>
              <w:bottom w:val="single" w:sz="4" w:space="0" w:color="auto"/>
              <w:right w:val="single" w:sz="4" w:space="0" w:color="auto"/>
            </w:tcBorders>
          </w:tcPr>
          <w:p w14:paraId="0F008CB5" w14:textId="77777777" w:rsidR="008800D7" w:rsidRPr="0015541C" w:rsidRDefault="008800D7" w:rsidP="00FC0C5F">
            <w:pPr>
              <w:jc w:val="center"/>
              <w:rPr>
                <w:sz w:val="18"/>
                <w:szCs w:val="18"/>
                <w:lang w:val="pl-PL"/>
              </w:rPr>
            </w:pPr>
          </w:p>
        </w:tc>
      </w:tr>
      <w:tr w:rsidR="008800D7" w:rsidRPr="008D11DD" w14:paraId="002A4298" w14:textId="77777777" w:rsidTr="000F44C8">
        <w:trPr>
          <w:trHeight w:val="1699"/>
        </w:trPr>
        <w:tc>
          <w:tcPr>
            <w:tcW w:w="1303" w:type="dxa"/>
            <w:tcBorders>
              <w:top w:val="single" w:sz="4" w:space="0" w:color="auto"/>
              <w:left w:val="single" w:sz="4" w:space="0" w:color="auto"/>
              <w:bottom w:val="single" w:sz="4" w:space="0" w:color="auto"/>
              <w:right w:val="single" w:sz="4" w:space="0" w:color="auto"/>
            </w:tcBorders>
          </w:tcPr>
          <w:p w14:paraId="06F96178" w14:textId="77777777" w:rsidR="008800D7" w:rsidRPr="0070444C" w:rsidRDefault="008800D7" w:rsidP="00FC0C5F">
            <w:pPr>
              <w:rPr>
                <w:sz w:val="18"/>
                <w:lang w:val="pl-PL"/>
              </w:rPr>
            </w:pPr>
            <w:r w:rsidRPr="0070444C">
              <w:rPr>
                <w:color w:val="000000"/>
                <w:sz w:val="18"/>
                <w:lang w:val="pl-PL"/>
              </w:rPr>
              <w:t>Zaburzenia naczyniowe</w:t>
            </w:r>
          </w:p>
        </w:tc>
        <w:tc>
          <w:tcPr>
            <w:tcW w:w="1450" w:type="dxa"/>
            <w:tcBorders>
              <w:top w:val="single" w:sz="4" w:space="0" w:color="auto"/>
              <w:left w:val="single" w:sz="4" w:space="0" w:color="auto"/>
              <w:bottom w:val="single" w:sz="4" w:space="0" w:color="auto"/>
              <w:right w:val="single" w:sz="4" w:space="0" w:color="auto"/>
            </w:tcBorders>
          </w:tcPr>
          <w:p w14:paraId="281CE6AD" w14:textId="77777777" w:rsidR="008800D7" w:rsidRPr="0070444C" w:rsidRDefault="008800D7" w:rsidP="00FC0C5F">
            <w:pPr>
              <w:jc w:val="center"/>
              <w:rPr>
                <w:sz w:val="18"/>
                <w:lang w:val="pl-PL"/>
              </w:rPr>
            </w:pPr>
            <w:r w:rsidRPr="0070444C">
              <w:rPr>
                <w:color w:val="000000"/>
                <w:sz w:val="18"/>
                <w:lang w:val="pl-PL"/>
              </w:rPr>
              <w:t>Nadciśnienie</w:t>
            </w:r>
            <w:r w:rsidR="00022EB2" w:rsidRPr="0070444C">
              <w:rPr>
                <w:color w:val="000000"/>
                <w:sz w:val="18"/>
                <w:lang w:val="pl-PL"/>
              </w:rPr>
              <w:t xml:space="preserve"> tętnicze</w:t>
            </w:r>
            <w:r w:rsidRPr="0070444C">
              <w:rPr>
                <w:color w:val="000000"/>
                <w:sz w:val="18"/>
                <w:vertAlign w:val="superscript"/>
                <w:lang w:val="pl-PL"/>
              </w:rPr>
              <w:t>a,b</w:t>
            </w:r>
          </w:p>
        </w:tc>
        <w:tc>
          <w:tcPr>
            <w:tcW w:w="1559" w:type="dxa"/>
            <w:tcBorders>
              <w:top w:val="single" w:sz="4" w:space="0" w:color="auto"/>
              <w:left w:val="single" w:sz="4" w:space="0" w:color="auto"/>
              <w:bottom w:val="single" w:sz="4" w:space="0" w:color="auto"/>
              <w:right w:val="single" w:sz="4" w:space="0" w:color="auto"/>
            </w:tcBorders>
          </w:tcPr>
          <w:p w14:paraId="77CA4985" w14:textId="77777777" w:rsidR="008800D7" w:rsidRPr="0015541C" w:rsidRDefault="008800D7" w:rsidP="00FC0C5F">
            <w:pPr>
              <w:jc w:val="center"/>
              <w:rPr>
                <w:color w:val="000000"/>
                <w:sz w:val="18"/>
                <w:szCs w:val="18"/>
                <w:lang w:val="pl-PL" w:eastAsia="en-US"/>
              </w:rPr>
            </w:pPr>
            <w:r w:rsidRPr="0015541C">
              <w:rPr>
                <w:color w:val="000000"/>
                <w:sz w:val="18"/>
                <w:szCs w:val="18"/>
                <w:lang w:val="pl-PL" w:eastAsia="en-US"/>
              </w:rPr>
              <w:t>Zakrzepica zatorowa (tętnicza)</w:t>
            </w:r>
            <w:r w:rsidRPr="0015541C">
              <w:rPr>
                <w:color w:val="000000"/>
                <w:sz w:val="18"/>
                <w:szCs w:val="18"/>
                <w:vertAlign w:val="superscript"/>
                <w:lang w:val="pl-PL" w:eastAsia="en-US"/>
              </w:rPr>
              <w:t>a,b</w:t>
            </w:r>
            <w:r w:rsidRPr="0015541C">
              <w:rPr>
                <w:color w:val="000000"/>
                <w:sz w:val="18"/>
                <w:szCs w:val="18"/>
                <w:lang w:val="pl-PL" w:eastAsia="en-US"/>
              </w:rPr>
              <w:t>,</w:t>
            </w:r>
          </w:p>
          <w:p w14:paraId="267368E1" w14:textId="77777777" w:rsidR="008800D7" w:rsidRPr="0015541C" w:rsidRDefault="008800D7" w:rsidP="00FC0C5F">
            <w:pPr>
              <w:jc w:val="center"/>
              <w:rPr>
                <w:color w:val="000000"/>
                <w:sz w:val="18"/>
                <w:szCs w:val="18"/>
                <w:lang w:val="pl-PL" w:eastAsia="en-US"/>
              </w:rPr>
            </w:pPr>
            <w:r w:rsidRPr="0015541C">
              <w:rPr>
                <w:color w:val="000000"/>
                <w:sz w:val="18"/>
                <w:szCs w:val="18"/>
                <w:lang w:val="pl-PL" w:eastAsia="en-US"/>
              </w:rPr>
              <w:t>Krwotok</w:t>
            </w:r>
            <w:r w:rsidRPr="0015541C">
              <w:rPr>
                <w:color w:val="000000"/>
                <w:sz w:val="18"/>
                <w:szCs w:val="18"/>
                <w:vertAlign w:val="superscript"/>
                <w:lang w:val="pl-PL" w:eastAsia="en-US"/>
              </w:rPr>
              <w:t>a,b</w:t>
            </w:r>
            <w:r w:rsidRPr="0015541C">
              <w:rPr>
                <w:color w:val="000000"/>
                <w:sz w:val="18"/>
                <w:szCs w:val="18"/>
                <w:lang w:val="pl-PL" w:eastAsia="en-US"/>
              </w:rPr>
              <w:t>,</w:t>
            </w:r>
          </w:p>
          <w:p w14:paraId="348B596E" w14:textId="77777777" w:rsidR="008800D7" w:rsidRPr="0015541C" w:rsidRDefault="008800D7" w:rsidP="00FC0C5F">
            <w:pPr>
              <w:jc w:val="center"/>
              <w:rPr>
                <w:color w:val="000000"/>
                <w:sz w:val="18"/>
                <w:szCs w:val="18"/>
                <w:lang w:val="pl-PL" w:eastAsia="en-US"/>
              </w:rPr>
            </w:pPr>
            <w:r w:rsidRPr="0015541C">
              <w:rPr>
                <w:color w:val="000000"/>
                <w:sz w:val="18"/>
                <w:szCs w:val="18"/>
                <w:lang w:val="pl-PL" w:eastAsia="en-US"/>
              </w:rPr>
              <w:t>Zakrzepica zatorowa (żylna)</w:t>
            </w:r>
            <w:r w:rsidRPr="0015541C">
              <w:rPr>
                <w:color w:val="000000"/>
                <w:sz w:val="18"/>
                <w:szCs w:val="18"/>
                <w:vertAlign w:val="superscript"/>
                <w:lang w:val="pl-PL" w:eastAsia="en-US"/>
              </w:rPr>
              <w:t>a,b</w:t>
            </w:r>
            <w:r w:rsidRPr="0015541C">
              <w:rPr>
                <w:color w:val="000000"/>
                <w:sz w:val="18"/>
                <w:szCs w:val="18"/>
                <w:lang w:val="pl-PL" w:eastAsia="en-US"/>
              </w:rPr>
              <w:t>,</w:t>
            </w:r>
          </w:p>
          <w:p w14:paraId="60F294B2" w14:textId="77777777" w:rsidR="008800D7" w:rsidRPr="0070444C" w:rsidRDefault="008800D7" w:rsidP="00FC0C5F">
            <w:pPr>
              <w:jc w:val="center"/>
              <w:rPr>
                <w:sz w:val="18"/>
                <w:lang w:val="pl-PL"/>
              </w:rPr>
            </w:pPr>
            <w:r w:rsidRPr="0070444C">
              <w:rPr>
                <w:color w:val="000000"/>
                <w:sz w:val="18"/>
                <w:lang w:val="pl-PL"/>
              </w:rPr>
              <w:t>Zakrzepica żył głębokich</w:t>
            </w:r>
          </w:p>
        </w:tc>
        <w:tc>
          <w:tcPr>
            <w:tcW w:w="1276" w:type="dxa"/>
            <w:tcBorders>
              <w:top w:val="single" w:sz="4" w:space="0" w:color="auto"/>
              <w:left w:val="single" w:sz="4" w:space="0" w:color="auto"/>
              <w:bottom w:val="single" w:sz="4" w:space="0" w:color="auto"/>
              <w:right w:val="nil"/>
            </w:tcBorders>
          </w:tcPr>
          <w:p w14:paraId="553F524B" w14:textId="77777777" w:rsidR="008800D7" w:rsidRPr="0070444C" w:rsidRDefault="008800D7" w:rsidP="00FC0C5F">
            <w:pPr>
              <w:jc w:val="center"/>
              <w:rPr>
                <w:sz w:val="18"/>
                <w:lang w:val="pl-PL"/>
              </w:rPr>
            </w:pPr>
          </w:p>
        </w:tc>
        <w:tc>
          <w:tcPr>
            <w:tcW w:w="933" w:type="dxa"/>
            <w:tcBorders>
              <w:top w:val="single" w:sz="4" w:space="0" w:color="auto"/>
              <w:left w:val="single" w:sz="4" w:space="0" w:color="auto"/>
              <w:bottom w:val="single" w:sz="4" w:space="0" w:color="auto"/>
              <w:right w:val="nil"/>
            </w:tcBorders>
          </w:tcPr>
          <w:p w14:paraId="7944FB15" w14:textId="77777777" w:rsidR="008800D7" w:rsidRPr="0070444C" w:rsidRDefault="008800D7" w:rsidP="00FC0C5F">
            <w:pPr>
              <w:jc w:val="center"/>
              <w:rPr>
                <w:sz w:val="18"/>
                <w:lang w:val="pl-PL"/>
              </w:rPr>
            </w:pPr>
          </w:p>
        </w:tc>
        <w:tc>
          <w:tcPr>
            <w:tcW w:w="1304" w:type="dxa"/>
            <w:tcBorders>
              <w:top w:val="single" w:sz="4" w:space="0" w:color="auto"/>
              <w:left w:val="single" w:sz="4" w:space="0" w:color="auto"/>
              <w:bottom w:val="single" w:sz="4" w:space="0" w:color="auto"/>
              <w:right w:val="nil"/>
            </w:tcBorders>
          </w:tcPr>
          <w:p w14:paraId="66614DC9" w14:textId="77777777" w:rsidR="008800D7" w:rsidRPr="0070444C" w:rsidRDefault="008800D7" w:rsidP="00FC0C5F">
            <w:pPr>
              <w:jc w:val="center"/>
              <w:rPr>
                <w:sz w:val="18"/>
                <w:lang w:val="pl-PL"/>
              </w:rPr>
            </w:pPr>
          </w:p>
        </w:tc>
        <w:tc>
          <w:tcPr>
            <w:tcW w:w="1448" w:type="dxa"/>
            <w:tcBorders>
              <w:top w:val="single" w:sz="4" w:space="0" w:color="auto"/>
              <w:left w:val="single" w:sz="4" w:space="0" w:color="auto"/>
              <w:bottom w:val="single" w:sz="4" w:space="0" w:color="auto"/>
              <w:right w:val="single" w:sz="4" w:space="0" w:color="auto"/>
            </w:tcBorders>
          </w:tcPr>
          <w:p w14:paraId="3DF20D48" w14:textId="77777777" w:rsidR="008C1787" w:rsidRPr="0015541C" w:rsidRDefault="008800D7" w:rsidP="00FC0C5F">
            <w:pPr>
              <w:jc w:val="center"/>
              <w:rPr>
                <w:sz w:val="18"/>
                <w:szCs w:val="18"/>
                <w:lang w:val="pl-PL"/>
              </w:rPr>
            </w:pPr>
            <w:r w:rsidRPr="0015541C">
              <w:rPr>
                <w:sz w:val="18"/>
                <w:szCs w:val="18"/>
                <w:lang w:val="pl-PL"/>
              </w:rPr>
              <w:t>Mikroangiopatia zakrzepowa nerek</w:t>
            </w:r>
            <w:r w:rsidRPr="0015541C">
              <w:rPr>
                <w:sz w:val="18"/>
                <w:szCs w:val="18"/>
                <w:vertAlign w:val="superscript"/>
                <w:lang w:val="pl-PL"/>
              </w:rPr>
              <w:t>b,c</w:t>
            </w:r>
            <w:r w:rsidR="009F2EA4" w:rsidRPr="0015541C">
              <w:rPr>
                <w:sz w:val="18"/>
                <w:szCs w:val="18"/>
                <w:lang w:val="pl-PL"/>
              </w:rPr>
              <w:t xml:space="preserve">, </w:t>
            </w:r>
          </w:p>
          <w:p w14:paraId="09F46744" w14:textId="77777777" w:rsidR="008800D7" w:rsidRPr="0015541C" w:rsidRDefault="009F2EA4" w:rsidP="00FC0C5F">
            <w:pPr>
              <w:jc w:val="center"/>
              <w:rPr>
                <w:sz w:val="18"/>
                <w:szCs w:val="18"/>
                <w:lang w:val="pl-PL"/>
              </w:rPr>
            </w:pPr>
            <w:r w:rsidRPr="0015541C">
              <w:rPr>
                <w:sz w:val="18"/>
                <w:szCs w:val="18"/>
                <w:lang w:val="pl-PL"/>
              </w:rPr>
              <w:t>Tętniak i rozwarstwienie tętnicy</w:t>
            </w:r>
          </w:p>
        </w:tc>
      </w:tr>
      <w:tr w:rsidR="008800D7" w:rsidRPr="00A5462B" w14:paraId="2DCC40D7" w14:textId="77777777" w:rsidTr="000F44C8">
        <w:trPr>
          <w:trHeight w:val="1398"/>
        </w:trPr>
        <w:tc>
          <w:tcPr>
            <w:tcW w:w="1303" w:type="dxa"/>
            <w:tcBorders>
              <w:top w:val="single" w:sz="4" w:space="0" w:color="auto"/>
              <w:left w:val="single" w:sz="4" w:space="0" w:color="auto"/>
              <w:bottom w:val="single" w:sz="4" w:space="0" w:color="auto"/>
              <w:right w:val="single" w:sz="4" w:space="0" w:color="auto"/>
            </w:tcBorders>
          </w:tcPr>
          <w:p w14:paraId="70497F1B" w14:textId="77777777" w:rsidR="008800D7" w:rsidRPr="0015541C" w:rsidRDefault="008800D7" w:rsidP="00FC0C5F">
            <w:pPr>
              <w:rPr>
                <w:sz w:val="18"/>
                <w:szCs w:val="18"/>
                <w:lang w:val="pl-PL"/>
              </w:rPr>
            </w:pPr>
            <w:r w:rsidRPr="0015541C">
              <w:rPr>
                <w:color w:val="000000"/>
                <w:sz w:val="18"/>
                <w:szCs w:val="18"/>
                <w:lang w:val="pl-PL" w:eastAsia="en-US"/>
              </w:rPr>
              <w:t>Zaburzenia układu oddechowego,</w:t>
            </w:r>
            <w:r w:rsidRPr="00260CEC">
              <w:rPr>
                <w:color w:val="000000"/>
                <w:sz w:val="18"/>
                <w:szCs w:val="18"/>
                <w:lang w:val="pl-PL" w:eastAsia="en-US"/>
              </w:rPr>
              <w:t xml:space="preserve"> klatki piersiowej i śródpiersia</w:t>
            </w:r>
          </w:p>
        </w:tc>
        <w:tc>
          <w:tcPr>
            <w:tcW w:w="1450" w:type="dxa"/>
            <w:tcBorders>
              <w:top w:val="single" w:sz="4" w:space="0" w:color="auto"/>
              <w:left w:val="single" w:sz="4" w:space="0" w:color="auto"/>
              <w:bottom w:val="single" w:sz="4" w:space="0" w:color="auto"/>
              <w:right w:val="single" w:sz="4" w:space="0" w:color="auto"/>
            </w:tcBorders>
          </w:tcPr>
          <w:p w14:paraId="4E9E305C" w14:textId="77777777" w:rsidR="008800D7" w:rsidRPr="0015541C" w:rsidRDefault="008800D7" w:rsidP="00FC0C5F">
            <w:pPr>
              <w:jc w:val="center"/>
              <w:rPr>
                <w:sz w:val="18"/>
                <w:szCs w:val="18"/>
                <w:lang w:val="pl-PL"/>
              </w:rPr>
            </w:pPr>
          </w:p>
        </w:tc>
        <w:tc>
          <w:tcPr>
            <w:tcW w:w="1559" w:type="dxa"/>
            <w:tcBorders>
              <w:top w:val="single" w:sz="4" w:space="0" w:color="auto"/>
              <w:left w:val="single" w:sz="4" w:space="0" w:color="auto"/>
              <w:bottom w:val="single" w:sz="4" w:space="0" w:color="auto"/>
              <w:right w:val="single" w:sz="4" w:space="0" w:color="auto"/>
            </w:tcBorders>
          </w:tcPr>
          <w:p w14:paraId="25B223E6" w14:textId="77777777" w:rsidR="008800D7" w:rsidRPr="0015541C" w:rsidRDefault="008800D7" w:rsidP="00FC0C5F">
            <w:pPr>
              <w:jc w:val="center"/>
              <w:rPr>
                <w:sz w:val="18"/>
                <w:szCs w:val="18"/>
                <w:lang w:val="pl-PL"/>
              </w:rPr>
            </w:pPr>
            <w:r w:rsidRPr="0015541C">
              <w:rPr>
                <w:sz w:val="18"/>
                <w:szCs w:val="18"/>
                <w:lang w:val="pl-PL"/>
              </w:rPr>
              <w:t>Krwotok płucny/</w:t>
            </w:r>
          </w:p>
          <w:p w14:paraId="3E17E64D" w14:textId="77777777" w:rsidR="008800D7" w:rsidRPr="0015541C" w:rsidRDefault="008800D7" w:rsidP="00FC0C5F">
            <w:pPr>
              <w:jc w:val="center"/>
              <w:rPr>
                <w:sz w:val="18"/>
                <w:szCs w:val="18"/>
                <w:lang w:val="pl-PL"/>
              </w:rPr>
            </w:pPr>
            <w:r w:rsidRPr="0015541C">
              <w:rPr>
                <w:sz w:val="18"/>
                <w:szCs w:val="18"/>
                <w:lang w:val="pl-PL"/>
              </w:rPr>
              <w:t>Krwioplucie</w:t>
            </w:r>
            <w:r w:rsidRPr="0015541C">
              <w:rPr>
                <w:sz w:val="18"/>
                <w:szCs w:val="18"/>
                <w:vertAlign w:val="superscript"/>
                <w:lang w:val="pl-PL"/>
              </w:rPr>
              <w:t>a,b</w:t>
            </w:r>
            <w:r w:rsidRPr="0015541C">
              <w:rPr>
                <w:sz w:val="18"/>
                <w:szCs w:val="18"/>
                <w:lang w:val="pl-PL"/>
              </w:rPr>
              <w:t>,</w:t>
            </w:r>
          </w:p>
          <w:p w14:paraId="35EAF735" w14:textId="77777777" w:rsidR="008800D7" w:rsidRPr="0015541C" w:rsidRDefault="008800D7" w:rsidP="00FC0C5F">
            <w:pPr>
              <w:jc w:val="center"/>
              <w:rPr>
                <w:sz w:val="18"/>
                <w:szCs w:val="18"/>
                <w:lang w:val="pl-PL"/>
              </w:rPr>
            </w:pPr>
            <w:r w:rsidRPr="0015541C">
              <w:rPr>
                <w:sz w:val="18"/>
                <w:szCs w:val="18"/>
                <w:lang w:val="pl-PL"/>
              </w:rPr>
              <w:t>Zatorowość płucna,</w:t>
            </w:r>
          </w:p>
          <w:p w14:paraId="121A80ED" w14:textId="77777777" w:rsidR="008800D7" w:rsidRPr="0015541C" w:rsidRDefault="008800D7" w:rsidP="00FC0C5F">
            <w:pPr>
              <w:jc w:val="center"/>
              <w:rPr>
                <w:sz w:val="18"/>
                <w:szCs w:val="18"/>
                <w:lang w:val="pl-PL"/>
              </w:rPr>
            </w:pPr>
            <w:r w:rsidRPr="0015541C">
              <w:rPr>
                <w:sz w:val="18"/>
                <w:szCs w:val="18"/>
                <w:lang w:val="pl-PL"/>
              </w:rPr>
              <w:t>Krwawienie z nosa,</w:t>
            </w:r>
          </w:p>
          <w:p w14:paraId="1DD0C151" w14:textId="77777777" w:rsidR="008800D7" w:rsidRPr="0015541C" w:rsidRDefault="008800D7" w:rsidP="00FC0C5F">
            <w:pPr>
              <w:jc w:val="center"/>
              <w:rPr>
                <w:sz w:val="18"/>
                <w:szCs w:val="18"/>
                <w:lang w:val="pl-PL"/>
              </w:rPr>
            </w:pPr>
            <w:r w:rsidRPr="0015541C">
              <w:rPr>
                <w:sz w:val="18"/>
                <w:szCs w:val="18"/>
                <w:lang w:val="pl-PL"/>
              </w:rPr>
              <w:t>Duszność,</w:t>
            </w:r>
          </w:p>
          <w:p w14:paraId="6C950342" w14:textId="77777777" w:rsidR="008800D7" w:rsidRPr="0015541C" w:rsidRDefault="008800D7" w:rsidP="00FC0C5F">
            <w:pPr>
              <w:jc w:val="center"/>
              <w:rPr>
                <w:sz w:val="18"/>
                <w:szCs w:val="18"/>
                <w:lang w:val="pl-PL"/>
              </w:rPr>
            </w:pPr>
            <w:r w:rsidRPr="0015541C">
              <w:rPr>
                <w:sz w:val="18"/>
                <w:szCs w:val="18"/>
                <w:lang w:val="pl-PL"/>
              </w:rPr>
              <w:t>Niedotlenienie,</w:t>
            </w:r>
          </w:p>
        </w:tc>
        <w:tc>
          <w:tcPr>
            <w:tcW w:w="1276" w:type="dxa"/>
            <w:tcBorders>
              <w:top w:val="single" w:sz="4" w:space="0" w:color="auto"/>
              <w:left w:val="single" w:sz="4" w:space="0" w:color="auto"/>
              <w:bottom w:val="single" w:sz="4" w:space="0" w:color="auto"/>
              <w:right w:val="nil"/>
            </w:tcBorders>
          </w:tcPr>
          <w:p w14:paraId="2BAAFC14" w14:textId="77777777" w:rsidR="008800D7" w:rsidRPr="0015541C" w:rsidRDefault="008800D7" w:rsidP="00FC0C5F">
            <w:pPr>
              <w:jc w:val="center"/>
              <w:rPr>
                <w:sz w:val="18"/>
                <w:szCs w:val="18"/>
                <w:lang w:val="pl-PL"/>
              </w:rPr>
            </w:pPr>
          </w:p>
        </w:tc>
        <w:tc>
          <w:tcPr>
            <w:tcW w:w="933" w:type="dxa"/>
            <w:tcBorders>
              <w:top w:val="single" w:sz="4" w:space="0" w:color="auto"/>
              <w:left w:val="single" w:sz="4" w:space="0" w:color="auto"/>
              <w:bottom w:val="single" w:sz="4" w:space="0" w:color="auto"/>
              <w:right w:val="nil"/>
            </w:tcBorders>
          </w:tcPr>
          <w:p w14:paraId="599563E8" w14:textId="77777777" w:rsidR="008800D7" w:rsidRPr="0015541C" w:rsidRDefault="008800D7" w:rsidP="00FC0C5F">
            <w:pPr>
              <w:jc w:val="center"/>
              <w:rPr>
                <w:sz w:val="18"/>
                <w:szCs w:val="18"/>
                <w:lang w:val="pl-PL"/>
              </w:rPr>
            </w:pPr>
          </w:p>
        </w:tc>
        <w:tc>
          <w:tcPr>
            <w:tcW w:w="1304" w:type="dxa"/>
            <w:tcBorders>
              <w:top w:val="single" w:sz="4" w:space="0" w:color="auto"/>
              <w:left w:val="single" w:sz="4" w:space="0" w:color="auto"/>
              <w:bottom w:val="single" w:sz="4" w:space="0" w:color="auto"/>
              <w:right w:val="nil"/>
            </w:tcBorders>
          </w:tcPr>
          <w:p w14:paraId="5326908C" w14:textId="77777777" w:rsidR="008800D7" w:rsidRPr="0015541C" w:rsidRDefault="008800D7" w:rsidP="00FC0C5F">
            <w:pPr>
              <w:jc w:val="center"/>
              <w:rPr>
                <w:sz w:val="18"/>
                <w:szCs w:val="18"/>
                <w:lang w:val="pl-PL"/>
              </w:rPr>
            </w:pPr>
          </w:p>
        </w:tc>
        <w:tc>
          <w:tcPr>
            <w:tcW w:w="1448" w:type="dxa"/>
            <w:tcBorders>
              <w:top w:val="single" w:sz="4" w:space="0" w:color="auto"/>
              <w:left w:val="single" w:sz="4" w:space="0" w:color="auto"/>
              <w:bottom w:val="single" w:sz="4" w:space="0" w:color="auto"/>
              <w:right w:val="single" w:sz="4" w:space="0" w:color="auto"/>
            </w:tcBorders>
          </w:tcPr>
          <w:p w14:paraId="09843FD3" w14:textId="77777777" w:rsidR="008800D7" w:rsidRPr="0015541C" w:rsidRDefault="008800D7" w:rsidP="00FC0C5F">
            <w:pPr>
              <w:jc w:val="center"/>
              <w:rPr>
                <w:sz w:val="18"/>
                <w:szCs w:val="18"/>
                <w:lang w:val="pl-PL"/>
              </w:rPr>
            </w:pPr>
            <w:r w:rsidRPr="0015541C">
              <w:rPr>
                <w:sz w:val="18"/>
                <w:szCs w:val="18"/>
                <w:lang w:val="pl-PL"/>
              </w:rPr>
              <w:t>Nadciśnienie płucne</w:t>
            </w:r>
            <w:r w:rsidRPr="0015541C">
              <w:rPr>
                <w:sz w:val="18"/>
                <w:szCs w:val="18"/>
                <w:vertAlign w:val="superscript"/>
                <w:lang w:val="pl-PL"/>
              </w:rPr>
              <w:t>c</w:t>
            </w:r>
            <w:r w:rsidRPr="0015541C">
              <w:rPr>
                <w:sz w:val="18"/>
                <w:szCs w:val="18"/>
                <w:lang w:val="pl-PL"/>
              </w:rPr>
              <w:t>,</w:t>
            </w:r>
          </w:p>
          <w:p w14:paraId="319149E2" w14:textId="77777777" w:rsidR="008800D7" w:rsidRPr="0015541C" w:rsidRDefault="008800D7" w:rsidP="00FC0C5F">
            <w:pPr>
              <w:jc w:val="center"/>
              <w:rPr>
                <w:sz w:val="18"/>
                <w:szCs w:val="18"/>
                <w:lang w:val="pl-PL"/>
              </w:rPr>
            </w:pPr>
            <w:r w:rsidRPr="0015541C">
              <w:rPr>
                <w:sz w:val="18"/>
                <w:szCs w:val="18"/>
                <w:lang w:val="pl-PL"/>
              </w:rPr>
              <w:t>Peforacja przegrody nosa</w:t>
            </w:r>
            <w:r w:rsidRPr="0015541C">
              <w:rPr>
                <w:sz w:val="18"/>
                <w:szCs w:val="18"/>
                <w:vertAlign w:val="superscript"/>
                <w:lang w:val="pl-PL"/>
              </w:rPr>
              <w:t>c</w:t>
            </w:r>
          </w:p>
        </w:tc>
      </w:tr>
      <w:tr w:rsidR="008800D7" w:rsidRPr="0015541C" w14:paraId="71EF8DDB" w14:textId="77777777" w:rsidTr="000F44C8">
        <w:trPr>
          <w:trHeight w:val="1973"/>
        </w:trPr>
        <w:tc>
          <w:tcPr>
            <w:tcW w:w="1303" w:type="dxa"/>
            <w:tcBorders>
              <w:top w:val="single" w:sz="4" w:space="0" w:color="auto"/>
              <w:left w:val="single" w:sz="4" w:space="0" w:color="auto"/>
              <w:bottom w:val="single" w:sz="4" w:space="0" w:color="auto"/>
              <w:right w:val="single" w:sz="4" w:space="0" w:color="auto"/>
            </w:tcBorders>
          </w:tcPr>
          <w:p w14:paraId="0FE03480" w14:textId="77777777" w:rsidR="008800D7" w:rsidRPr="0070444C" w:rsidRDefault="008800D7" w:rsidP="00FC0C5F">
            <w:pPr>
              <w:rPr>
                <w:sz w:val="18"/>
                <w:lang w:val="pl-PL"/>
              </w:rPr>
            </w:pPr>
            <w:r w:rsidRPr="0070444C">
              <w:rPr>
                <w:color w:val="000000"/>
                <w:sz w:val="18"/>
                <w:lang w:val="pl-PL"/>
              </w:rPr>
              <w:t>Zaburzenia żołądka i jelit</w:t>
            </w:r>
          </w:p>
        </w:tc>
        <w:tc>
          <w:tcPr>
            <w:tcW w:w="1450" w:type="dxa"/>
            <w:tcBorders>
              <w:top w:val="single" w:sz="4" w:space="0" w:color="auto"/>
              <w:left w:val="single" w:sz="4" w:space="0" w:color="auto"/>
              <w:bottom w:val="single" w:sz="4" w:space="0" w:color="auto"/>
              <w:right w:val="single" w:sz="4" w:space="0" w:color="auto"/>
            </w:tcBorders>
          </w:tcPr>
          <w:p w14:paraId="274AD56A" w14:textId="77777777" w:rsidR="008800D7" w:rsidRPr="0015541C" w:rsidRDefault="008800D7" w:rsidP="00FC0C5F">
            <w:pPr>
              <w:jc w:val="center"/>
              <w:rPr>
                <w:sz w:val="18"/>
                <w:szCs w:val="18"/>
                <w:lang w:val="pl-PL"/>
              </w:rPr>
            </w:pPr>
            <w:r w:rsidRPr="0015541C">
              <w:rPr>
                <w:sz w:val="18"/>
                <w:szCs w:val="18"/>
                <w:lang w:val="pl-PL"/>
              </w:rPr>
              <w:t>Biegunka,</w:t>
            </w:r>
          </w:p>
          <w:p w14:paraId="7CE9FED9" w14:textId="77777777" w:rsidR="008800D7" w:rsidRPr="0015541C" w:rsidRDefault="008800D7" w:rsidP="00FC0C5F">
            <w:pPr>
              <w:jc w:val="center"/>
              <w:rPr>
                <w:sz w:val="18"/>
                <w:szCs w:val="18"/>
                <w:lang w:val="pl-PL"/>
              </w:rPr>
            </w:pPr>
            <w:r w:rsidRPr="0015541C">
              <w:rPr>
                <w:sz w:val="18"/>
                <w:szCs w:val="18"/>
                <w:lang w:val="pl-PL"/>
              </w:rPr>
              <w:t>Nudności,</w:t>
            </w:r>
          </w:p>
          <w:p w14:paraId="37E2C5A4" w14:textId="77777777" w:rsidR="008800D7" w:rsidRPr="0015541C" w:rsidRDefault="008800D7" w:rsidP="00FC0C5F">
            <w:pPr>
              <w:jc w:val="center"/>
              <w:rPr>
                <w:sz w:val="18"/>
                <w:szCs w:val="18"/>
                <w:lang w:val="pl-PL"/>
              </w:rPr>
            </w:pPr>
            <w:r w:rsidRPr="0015541C">
              <w:rPr>
                <w:sz w:val="18"/>
                <w:szCs w:val="18"/>
                <w:lang w:val="pl-PL"/>
              </w:rPr>
              <w:t>Wymioty</w:t>
            </w:r>
            <w:r w:rsidR="00C13C64" w:rsidRPr="0015541C">
              <w:rPr>
                <w:sz w:val="18"/>
                <w:szCs w:val="18"/>
                <w:lang w:val="pl-PL"/>
              </w:rPr>
              <w:t>,</w:t>
            </w:r>
          </w:p>
          <w:p w14:paraId="11C4F355" w14:textId="77777777" w:rsidR="00C13C64" w:rsidRPr="0015541C" w:rsidRDefault="00C13C64" w:rsidP="00FC0C5F">
            <w:pPr>
              <w:jc w:val="center"/>
              <w:rPr>
                <w:sz w:val="18"/>
                <w:szCs w:val="18"/>
                <w:lang w:val="pl-PL"/>
              </w:rPr>
            </w:pPr>
            <w:r w:rsidRPr="0015541C">
              <w:rPr>
                <w:sz w:val="18"/>
                <w:szCs w:val="18"/>
                <w:lang w:val="pl-PL"/>
              </w:rPr>
              <w:t>Ból brzucha</w:t>
            </w:r>
          </w:p>
        </w:tc>
        <w:tc>
          <w:tcPr>
            <w:tcW w:w="1559" w:type="dxa"/>
            <w:tcBorders>
              <w:top w:val="single" w:sz="4" w:space="0" w:color="auto"/>
              <w:left w:val="single" w:sz="4" w:space="0" w:color="auto"/>
              <w:bottom w:val="single" w:sz="4" w:space="0" w:color="auto"/>
              <w:right w:val="single" w:sz="4" w:space="0" w:color="auto"/>
            </w:tcBorders>
          </w:tcPr>
          <w:p w14:paraId="4BB7B3AF" w14:textId="77777777" w:rsidR="008800D7" w:rsidRPr="0015541C" w:rsidRDefault="008800D7" w:rsidP="00FC0C5F">
            <w:pPr>
              <w:jc w:val="center"/>
              <w:rPr>
                <w:sz w:val="18"/>
                <w:szCs w:val="18"/>
                <w:lang w:val="pl-PL"/>
              </w:rPr>
            </w:pPr>
            <w:r w:rsidRPr="0015541C">
              <w:rPr>
                <w:sz w:val="18"/>
                <w:szCs w:val="18"/>
                <w:lang w:val="pl-PL"/>
              </w:rPr>
              <w:t>Perforacja jelita,</w:t>
            </w:r>
          </w:p>
          <w:p w14:paraId="61751611" w14:textId="77777777" w:rsidR="008800D7" w:rsidRPr="0015541C" w:rsidRDefault="008800D7" w:rsidP="00FC0C5F">
            <w:pPr>
              <w:jc w:val="center"/>
              <w:rPr>
                <w:sz w:val="18"/>
                <w:szCs w:val="18"/>
                <w:lang w:val="pl-PL"/>
              </w:rPr>
            </w:pPr>
            <w:r w:rsidRPr="0015541C">
              <w:rPr>
                <w:sz w:val="18"/>
                <w:szCs w:val="18"/>
                <w:lang w:val="pl-PL"/>
              </w:rPr>
              <w:t>Niedrożność jelita,</w:t>
            </w:r>
          </w:p>
          <w:p w14:paraId="63DC6DAE" w14:textId="77777777" w:rsidR="008800D7" w:rsidRPr="0015541C" w:rsidRDefault="008800D7" w:rsidP="00FC0C5F">
            <w:pPr>
              <w:jc w:val="center"/>
              <w:rPr>
                <w:sz w:val="18"/>
                <w:szCs w:val="18"/>
                <w:lang w:val="pl-PL"/>
              </w:rPr>
            </w:pPr>
            <w:r w:rsidRPr="0015541C">
              <w:rPr>
                <w:sz w:val="18"/>
                <w:szCs w:val="18"/>
                <w:lang w:val="pl-PL"/>
              </w:rPr>
              <w:t>Niedrożność jelit,</w:t>
            </w:r>
          </w:p>
          <w:p w14:paraId="1A688E72" w14:textId="77777777" w:rsidR="00C13C64" w:rsidRPr="0015541C" w:rsidRDefault="00C13C64" w:rsidP="00C13C64">
            <w:pPr>
              <w:keepNext/>
              <w:keepLines/>
              <w:jc w:val="center"/>
              <w:rPr>
                <w:sz w:val="18"/>
                <w:szCs w:val="18"/>
                <w:lang w:val="pl-PL" w:eastAsia="en-US"/>
              </w:rPr>
            </w:pPr>
            <w:r w:rsidRPr="0015541C">
              <w:rPr>
                <w:bCs/>
                <w:sz w:val="18"/>
                <w:szCs w:val="18"/>
                <w:lang w:val="pl-PL" w:eastAsia="zh-TW"/>
              </w:rPr>
              <w:t>Przetoki odbytniczo-pochwowe</w:t>
            </w:r>
            <w:r w:rsidR="0053192D" w:rsidRPr="0015541C">
              <w:rPr>
                <w:bCs/>
                <w:sz w:val="18"/>
                <w:szCs w:val="18"/>
                <w:vertAlign w:val="superscript"/>
                <w:lang w:val="pl-PL" w:eastAsia="zh-TW"/>
              </w:rPr>
              <w:t>c</w:t>
            </w:r>
            <w:r w:rsidRPr="0015541C">
              <w:rPr>
                <w:bCs/>
                <w:sz w:val="18"/>
                <w:szCs w:val="18"/>
                <w:vertAlign w:val="superscript"/>
                <w:lang w:val="pl-PL" w:eastAsia="zh-TW"/>
              </w:rPr>
              <w:t>,</w:t>
            </w:r>
            <w:r w:rsidR="0053192D" w:rsidRPr="0015541C">
              <w:rPr>
                <w:bCs/>
                <w:sz w:val="18"/>
                <w:szCs w:val="18"/>
                <w:vertAlign w:val="superscript"/>
                <w:lang w:val="pl-PL" w:eastAsia="zh-TW"/>
              </w:rPr>
              <w:t>d</w:t>
            </w:r>
            <w:r w:rsidRPr="0015541C">
              <w:rPr>
                <w:bCs/>
                <w:sz w:val="18"/>
                <w:szCs w:val="18"/>
                <w:lang w:val="pl-PL" w:eastAsia="zh-TW"/>
              </w:rPr>
              <w:t>,</w:t>
            </w:r>
          </w:p>
          <w:p w14:paraId="382D63E9" w14:textId="77777777" w:rsidR="008800D7" w:rsidRPr="0015541C" w:rsidRDefault="008800D7" w:rsidP="00FC0C5F">
            <w:pPr>
              <w:jc w:val="center"/>
              <w:rPr>
                <w:sz w:val="18"/>
                <w:szCs w:val="18"/>
                <w:lang w:val="pl-PL"/>
              </w:rPr>
            </w:pPr>
            <w:r w:rsidRPr="0015541C">
              <w:rPr>
                <w:sz w:val="18"/>
                <w:szCs w:val="18"/>
                <w:lang w:val="pl-PL"/>
              </w:rPr>
              <w:t xml:space="preserve">Zaburzenia żołądkowo-jelitowe, </w:t>
            </w:r>
          </w:p>
          <w:p w14:paraId="405EB9D6" w14:textId="77777777" w:rsidR="008800D7" w:rsidRPr="0015541C" w:rsidRDefault="008800D7" w:rsidP="00FC0C5F">
            <w:pPr>
              <w:jc w:val="center"/>
              <w:rPr>
                <w:sz w:val="18"/>
                <w:szCs w:val="18"/>
                <w:lang w:val="pl-PL"/>
              </w:rPr>
            </w:pPr>
            <w:r w:rsidRPr="0015541C">
              <w:rPr>
                <w:sz w:val="18"/>
                <w:szCs w:val="18"/>
                <w:lang w:val="pl-PL"/>
              </w:rPr>
              <w:lastRenderedPageBreak/>
              <w:t>Zapalenie błony śluzowej jamy ustnej</w:t>
            </w:r>
            <w:r w:rsidR="00C13C64" w:rsidRPr="0015541C">
              <w:rPr>
                <w:sz w:val="18"/>
                <w:szCs w:val="18"/>
                <w:lang w:val="pl-PL"/>
              </w:rPr>
              <w:t>,</w:t>
            </w:r>
          </w:p>
          <w:p w14:paraId="0D0C1891" w14:textId="77777777" w:rsidR="00C13C64" w:rsidRPr="0015541C" w:rsidRDefault="006C10E9" w:rsidP="006C10E9">
            <w:pPr>
              <w:jc w:val="center"/>
              <w:rPr>
                <w:sz w:val="18"/>
                <w:szCs w:val="18"/>
                <w:lang w:val="pl-PL"/>
              </w:rPr>
            </w:pPr>
            <w:r w:rsidRPr="0070444C">
              <w:rPr>
                <w:sz w:val="18"/>
                <w:lang w:val="pl-PL"/>
              </w:rPr>
              <w:t xml:space="preserve">Ból </w:t>
            </w:r>
            <w:r w:rsidR="00C13C64" w:rsidRPr="0070444C">
              <w:rPr>
                <w:sz w:val="18"/>
                <w:lang w:val="pl-PL"/>
              </w:rPr>
              <w:t>odbytu</w:t>
            </w:r>
          </w:p>
        </w:tc>
        <w:tc>
          <w:tcPr>
            <w:tcW w:w="1276" w:type="dxa"/>
            <w:tcBorders>
              <w:top w:val="single" w:sz="4" w:space="0" w:color="auto"/>
              <w:left w:val="single" w:sz="4" w:space="0" w:color="auto"/>
              <w:bottom w:val="single" w:sz="4" w:space="0" w:color="auto"/>
              <w:right w:val="nil"/>
            </w:tcBorders>
          </w:tcPr>
          <w:p w14:paraId="241733A4" w14:textId="77777777" w:rsidR="008800D7" w:rsidRPr="0015541C" w:rsidRDefault="008800D7" w:rsidP="00FC0C5F">
            <w:pPr>
              <w:jc w:val="center"/>
              <w:rPr>
                <w:sz w:val="18"/>
                <w:szCs w:val="18"/>
                <w:lang w:val="pl-PL"/>
              </w:rPr>
            </w:pPr>
          </w:p>
        </w:tc>
        <w:tc>
          <w:tcPr>
            <w:tcW w:w="933" w:type="dxa"/>
            <w:tcBorders>
              <w:top w:val="single" w:sz="4" w:space="0" w:color="auto"/>
              <w:left w:val="single" w:sz="4" w:space="0" w:color="auto"/>
              <w:bottom w:val="single" w:sz="4" w:space="0" w:color="auto"/>
              <w:right w:val="nil"/>
            </w:tcBorders>
          </w:tcPr>
          <w:p w14:paraId="2924E090" w14:textId="77777777" w:rsidR="008800D7" w:rsidRPr="0015541C" w:rsidRDefault="008800D7" w:rsidP="00FC0C5F">
            <w:pPr>
              <w:jc w:val="center"/>
              <w:rPr>
                <w:sz w:val="18"/>
                <w:szCs w:val="18"/>
                <w:lang w:val="pl-PL"/>
              </w:rPr>
            </w:pPr>
          </w:p>
        </w:tc>
        <w:tc>
          <w:tcPr>
            <w:tcW w:w="1304" w:type="dxa"/>
            <w:tcBorders>
              <w:top w:val="single" w:sz="4" w:space="0" w:color="auto"/>
              <w:left w:val="single" w:sz="4" w:space="0" w:color="auto"/>
              <w:bottom w:val="single" w:sz="4" w:space="0" w:color="auto"/>
              <w:right w:val="nil"/>
            </w:tcBorders>
          </w:tcPr>
          <w:p w14:paraId="06C7C0D1" w14:textId="77777777" w:rsidR="008800D7" w:rsidRPr="0015541C" w:rsidRDefault="008800D7" w:rsidP="00FC0C5F">
            <w:pPr>
              <w:jc w:val="center"/>
              <w:rPr>
                <w:sz w:val="18"/>
                <w:szCs w:val="18"/>
                <w:lang w:val="pl-PL"/>
              </w:rPr>
            </w:pPr>
          </w:p>
        </w:tc>
        <w:tc>
          <w:tcPr>
            <w:tcW w:w="1448" w:type="dxa"/>
            <w:tcBorders>
              <w:top w:val="single" w:sz="4" w:space="0" w:color="auto"/>
              <w:left w:val="single" w:sz="4" w:space="0" w:color="auto"/>
              <w:bottom w:val="single" w:sz="4" w:space="0" w:color="auto"/>
              <w:right w:val="single" w:sz="4" w:space="0" w:color="auto"/>
            </w:tcBorders>
          </w:tcPr>
          <w:p w14:paraId="383CD6DC" w14:textId="77777777" w:rsidR="008800D7" w:rsidRPr="0015541C" w:rsidRDefault="008800D7" w:rsidP="00FC0C5F">
            <w:pPr>
              <w:jc w:val="center"/>
              <w:rPr>
                <w:sz w:val="18"/>
                <w:szCs w:val="18"/>
                <w:lang w:val="pl-PL"/>
              </w:rPr>
            </w:pPr>
            <w:r w:rsidRPr="0015541C">
              <w:rPr>
                <w:sz w:val="18"/>
                <w:szCs w:val="18"/>
                <w:lang w:val="pl-PL"/>
              </w:rPr>
              <w:t>Perforacje żołądkowo-jelitowe</w:t>
            </w:r>
            <w:r w:rsidRPr="0015541C">
              <w:rPr>
                <w:sz w:val="18"/>
                <w:szCs w:val="18"/>
                <w:vertAlign w:val="superscript"/>
                <w:lang w:val="pl-PL"/>
              </w:rPr>
              <w:t>a,b</w:t>
            </w:r>
            <w:r w:rsidRPr="0015541C">
              <w:rPr>
                <w:sz w:val="18"/>
                <w:szCs w:val="18"/>
                <w:lang w:val="pl-PL"/>
              </w:rPr>
              <w:t>,</w:t>
            </w:r>
          </w:p>
          <w:p w14:paraId="110B93F6" w14:textId="77777777" w:rsidR="008800D7" w:rsidRPr="0015541C" w:rsidRDefault="008800D7" w:rsidP="00FC0C5F">
            <w:pPr>
              <w:jc w:val="center"/>
              <w:rPr>
                <w:sz w:val="18"/>
                <w:szCs w:val="18"/>
                <w:lang w:val="pl-PL"/>
              </w:rPr>
            </w:pPr>
            <w:r w:rsidRPr="0015541C">
              <w:rPr>
                <w:sz w:val="18"/>
                <w:szCs w:val="18"/>
                <w:lang w:val="pl-PL"/>
              </w:rPr>
              <w:t>Choroba wrzodowa żołądka i dwunastnicy</w:t>
            </w:r>
            <w:r w:rsidRPr="0015541C">
              <w:rPr>
                <w:sz w:val="18"/>
                <w:szCs w:val="18"/>
                <w:vertAlign w:val="superscript"/>
                <w:lang w:val="pl-PL"/>
              </w:rPr>
              <w:t>c</w:t>
            </w:r>
            <w:r w:rsidRPr="0015541C">
              <w:rPr>
                <w:sz w:val="18"/>
                <w:szCs w:val="18"/>
                <w:lang w:val="pl-PL"/>
              </w:rPr>
              <w:t>,</w:t>
            </w:r>
          </w:p>
          <w:p w14:paraId="0437F646" w14:textId="77777777" w:rsidR="008800D7" w:rsidRPr="0015541C" w:rsidRDefault="008800D7" w:rsidP="00FC0C5F">
            <w:pPr>
              <w:jc w:val="center"/>
              <w:rPr>
                <w:sz w:val="18"/>
                <w:szCs w:val="18"/>
                <w:lang w:val="pl-PL"/>
              </w:rPr>
            </w:pPr>
            <w:r w:rsidRPr="0015541C">
              <w:rPr>
                <w:sz w:val="18"/>
                <w:szCs w:val="18"/>
                <w:lang w:val="pl-PL"/>
              </w:rPr>
              <w:t>Krwotok z odbytnicy</w:t>
            </w:r>
          </w:p>
        </w:tc>
      </w:tr>
      <w:tr w:rsidR="008800D7" w:rsidRPr="008D11DD" w14:paraId="27DAD32A" w14:textId="77777777" w:rsidTr="000F44C8">
        <w:trPr>
          <w:trHeight w:val="666"/>
        </w:trPr>
        <w:tc>
          <w:tcPr>
            <w:tcW w:w="1303" w:type="dxa"/>
            <w:tcBorders>
              <w:top w:val="single" w:sz="4" w:space="0" w:color="auto"/>
              <w:left w:val="single" w:sz="4" w:space="0" w:color="auto"/>
              <w:bottom w:val="single" w:sz="4" w:space="0" w:color="auto"/>
              <w:right w:val="single" w:sz="4" w:space="0" w:color="auto"/>
            </w:tcBorders>
          </w:tcPr>
          <w:p w14:paraId="0E21EDC4" w14:textId="77777777" w:rsidR="008800D7" w:rsidRPr="00260CEC" w:rsidRDefault="008800D7" w:rsidP="00FC0C5F">
            <w:pPr>
              <w:rPr>
                <w:color w:val="000000"/>
                <w:sz w:val="18"/>
                <w:szCs w:val="18"/>
                <w:lang w:val="pl-PL" w:eastAsia="en-US"/>
              </w:rPr>
            </w:pPr>
            <w:r w:rsidRPr="0015541C">
              <w:rPr>
                <w:sz w:val="18"/>
                <w:lang w:val="pl-PL"/>
              </w:rPr>
              <w:t>Zaburzenia wątroby i dróg żółciowych</w:t>
            </w:r>
          </w:p>
        </w:tc>
        <w:tc>
          <w:tcPr>
            <w:tcW w:w="1450" w:type="dxa"/>
            <w:tcBorders>
              <w:top w:val="single" w:sz="4" w:space="0" w:color="auto"/>
              <w:left w:val="single" w:sz="4" w:space="0" w:color="auto"/>
              <w:bottom w:val="single" w:sz="4" w:space="0" w:color="auto"/>
              <w:right w:val="single" w:sz="4" w:space="0" w:color="auto"/>
            </w:tcBorders>
          </w:tcPr>
          <w:p w14:paraId="46AB3E90" w14:textId="77777777" w:rsidR="008800D7" w:rsidRPr="0015541C" w:rsidRDefault="008800D7" w:rsidP="00FC0C5F">
            <w:pPr>
              <w:jc w:val="center"/>
              <w:rPr>
                <w:sz w:val="18"/>
                <w:szCs w:val="18"/>
                <w:lang w:val="pl-PL"/>
              </w:rPr>
            </w:pPr>
          </w:p>
        </w:tc>
        <w:tc>
          <w:tcPr>
            <w:tcW w:w="1559" w:type="dxa"/>
            <w:tcBorders>
              <w:top w:val="single" w:sz="4" w:space="0" w:color="auto"/>
              <w:left w:val="single" w:sz="4" w:space="0" w:color="auto"/>
              <w:bottom w:val="single" w:sz="4" w:space="0" w:color="auto"/>
              <w:right w:val="single" w:sz="4" w:space="0" w:color="auto"/>
            </w:tcBorders>
          </w:tcPr>
          <w:p w14:paraId="328BE34B" w14:textId="77777777" w:rsidR="008800D7" w:rsidRPr="0015541C" w:rsidRDefault="008800D7" w:rsidP="00FC0C5F">
            <w:pPr>
              <w:jc w:val="center"/>
              <w:rPr>
                <w:sz w:val="18"/>
                <w:szCs w:val="18"/>
                <w:lang w:val="pl-PL"/>
              </w:rPr>
            </w:pPr>
          </w:p>
        </w:tc>
        <w:tc>
          <w:tcPr>
            <w:tcW w:w="1276" w:type="dxa"/>
            <w:tcBorders>
              <w:top w:val="single" w:sz="4" w:space="0" w:color="auto"/>
              <w:left w:val="single" w:sz="4" w:space="0" w:color="auto"/>
              <w:bottom w:val="single" w:sz="4" w:space="0" w:color="auto"/>
              <w:right w:val="nil"/>
            </w:tcBorders>
          </w:tcPr>
          <w:p w14:paraId="3B9B8AF0" w14:textId="77777777" w:rsidR="008800D7" w:rsidRPr="0015541C" w:rsidRDefault="008800D7" w:rsidP="00FC0C5F">
            <w:pPr>
              <w:jc w:val="center"/>
              <w:rPr>
                <w:sz w:val="18"/>
                <w:szCs w:val="18"/>
                <w:lang w:val="pl-PL"/>
              </w:rPr>
            </w:pPr>
          </w:p>
        </w:tc>
        <w:tc>
          <w:tcPr>
            <w:tcW w:w="933" w:type="dxa"/>
            <w:tcBorders>
              <w:top w:val="single" w:sz="4" w:space="0" w:color="auto"/>
              <w:left w:val="single" w:sz="4" w:space="0" w:color="auto"/>
              <w:bottom w:val="single" w:sz="4" w:space="0" w:color="auto"/>
              <w:right w:val="nil"/>
            </w:tcBorders>
          </w:tcPr>
          <w:p w14:paraId="592DF918" w14:textId="77777777" w:rsidR="008800D7" w:rsidRPr="0015541C" w:rsidRDefault="008800D7" w:rsidP="00FC0C5F">
            <w:pPr>
              <w:jc w:val="center"/>
              <w:rPr>
                <w:sz w:val="18"/>
                <w:szCs w:val="18"/>
                <w:lang w:val="pl-PL"/>
              </w:rPr>
            </w:pPr>
          </w:p>
        </w:tc>
        <w:tc>
          <w:tcPr>
            <w:tcW w:w="1304" w:type="dxa"/>
            <w:tcBorders>
              <w:top w:val="single" w:sz="4" w:space="0" w:color="auto"/>
              <w:left w:val="single" w:sz="4" w:space="0" w:color="auto"/>
              <w:bottom w:val="single" w:sz="4" w:space="0" w:color="auto"/>
              <w:right w:val="nil"/>
            </w:tcBorders>
          </w:tcPr>
          <w:p w14:paraId="53B9FABD" w14:textId="77777777" w:rsidR="008800D7" w:rsidRPr="0015541C" w:rsidRDefault="008800D7" w:rsidP="00FC0C5F">
            <w:pPr>
              <w:jc w:val="center"/>
              <w:rPr>
                <w:sz w:val="18"/>
                <w:szCs w:val="18"/>
                <w:lang w:val="pl-PL"/>
              </w:rPr>
            </w:pPr>
          </w:p>
        </w:tc>
        <w:tc>
          <w:tcPr>
            <w:tcW w:w="1448" w:type="dxa"/>
            <w:tcBorders>
              <w:top w:val="single" w:sz="4" w:space="0" w:color="auto"/>
              <w:left w:val="single" w:sz="4" w:space="0" w:color="auto"/>
              <w:bottom w:val="single" w:sz="4" w:space="0" w:color="auto"/>
              <w:right w:val="single" w:sz="4" w:space="0" w:color="auto"/>
            </w:tcBorders>
          </w:tcPr>
          <w:p w14:paraId="20D50984" w14:textId="77777777" w:rsidR="008800D7" w:rsidRPr="0015541C" w:rsidRDefault="008800D7" w:rsidP="00FC0C5F">
            <w:pPr>
              <w:jc w:val="center"/>
              <w:rPr>
                <w:sz w:val="18"/>
                <w:szCs w:val="18"/>
                <w:lang w:val="pl-PL"/>
              </w:rPr>
            </w:pPr>
            <w:r w:rsidRPr="0015541C">
              <w:rPr>
                <w:sz w:val="18"/>
                <w:lang w:val="pl-PL"/>
              </w:rPr>
              <w:t>Perforacja pęcherzyka żółciowego</w:t>
            </w:r>
            <w:r w:rsidRPr="0015541C">
              <w:rPr>
                <w:sz w:val="18"/>
                <w:vertAlign w:val="superscript"/>
                <w:lang w:val="pl-PL"/>
              </w:rPr>
              <w:t>b,c</w:t>
            </w:r>
          </w:p>
        </w:tc>
      </w:tr>
      <w:tr w:rsidR="008800D7" w:rsidRPr="008D11DD" w14:paraId="26B0209C" w14:textId="77777777" w:rsidTr="000F44C8">
        <w:trPr>
          <w:trHeight w:val="1265"/>
        </w:trPr>
        <w:tc>
          <w:tcPr>
            <w:tcW w:w="1303" w:type="dxa"/>
            <w:tcBorders>
              <w:top w:val="single" w:sz="4" w:space="0" w:color="auto"/>
              <w:left w:val="single" w:sz="4" w:space="0" w:color="auto"/>
              <w:bottom w:val="single" w:sz="4" w:space="0" w:color="auto"/>
              <w:right w:val="single" w:sz="4" w:space="0" w:color="auto"/>
            </w:tcBorders>
          </w:tcPr>
          <w:p w14:paraId="10E3AD4E" w14:textId="77777777" w:rsidR="008800D7" w:rsidRPr="00260CEC" w:rsidRDefault="008800D7" w:rsidP="00FC0C5F">
            <w:pPr>
              <w:keepNext/>
              <w:keepLines/>
              <w:rPr>
                <w:sz w:val="18"/>
                <w:szCs w:val="18"/>
                <w:lang w:val="pl-PL"/>
              </w:rPr>
            </w:pPr>
            <w:r w:rsidRPr="0015541C">
              <w:rPr>
                <w:sz w:val="18"/>
                <w:szCs w:val="18"/>
                <w:lang w:val="pl-PL"/>
              </w:rPr>
              <w:t>Zaburzenia skóry i tkanki podskórnej</w:t>
            </w:r>
          </w:p>
        </w:tc>
        <w:tc>
          <w:tcPr>
            <w:tcW w:w="1450" w:type="dxa"/>
            <w:tcBorders>
              <w:top w:val="single" w:sz="4" w:space="0" w:color="auto"/>
              <w:left w:val="single" w:sz="4" w:space="0" w:color="auto"/>
              <w:bottom w:val="single" w:sz="4" w:space="0" w:color="auto"/>
              <w:right w:val="single" w:sz="4" w:space="0" w:color="auto"/>
            </w:tcBorders>
          </w:tcPr>
          <w:p w14:paraId="097C41E9" w14:textId="77777777" w:rsidR="008800D7" w:rsidRPr="0015541C" w:rsidRDefault="008800D7" w:rsidP="00FC0C5F">
            <w:pPr>
              <w:keepNext/>
              <w:keepLines/>
              <w:jc w:val="center"/>
              <w:rPr>
                <w:sz w:val="18"/>
                <w:szCs w:val="18"/>
                <w:lang w:val="pl-PL"/>
              </w:rPr>
            </w:pPr>
          </w:p>
        </w:tc>
        <w:tc>
          <w:tcPr>
            <w:tcW w:w="1559" w:type="dxa"/>
            <w:tcBorders>
              <w:top w:val="single" w:sz="4" w:space="0" w:color="auto"/>
              <w:left w:val="single" w:sz="4" w:space="0" w:color="auto"/>
              <w:bottom w:val="single" w:sz="4" w:space="0" w:color="auto"/>
              <w:right w:val="single" w:sz="4" w:space="0" w:color="auto"/>
            </w:tcBorders>
          </w:tcPr>
          <w:p w14:paraId="7EF94070" w14:textId="77777777" w:rsidR="008800D7" w:rsidRPr="0015541C" w:rsidRDefault="008800D7" w:rsidP="00FC0C5F">
            <w:pPr>
              <w:keepNext/>
              <w:keepLines/>
              <w:jc w:val="center"/>
              <w:rPr>
                <w:sz w:val="18"/>
                <w:szCs w:val="18"/>
                <w:lang w:val="pl-PL"/>
              </w:rPr>
            </w:pPr>
            <w:r w:rsidRPr="0015541C">
              <w:rPr>
                <w:sz w:val="18"/>
                <w:szCs w:val="18"/>
                <w:lang w:val="pl-PL"/>
              </w:rPr>
              <w:t>Komplikacje w gojeniu ran</w:t>
            </w:r>
            <w:r w:rsidRPr="0015541C">
              <w:rPr>
                <w:sz w:val="18"/>
                <w:szCs w:val="18"/>
                <w:vertAlign w:val="superscript"/>
                <w:lang w:val="pl-PL"/>
              </w:rPr>
              <w:t>a,b</w:t>
            </w:r>
            <w:r w:rsidRPr="0015541C">
              <w:rPr>
                <w:sz w:val="18"/>
                <w:szCs w:val="18"/>
                <w:lang w:val="pl-PL"/>
              </w:rPr>
              <w:t>,</w:t>
            </w:r>
          </w:p>
          <w:p w14:paraId="3B29FCC1" w14:textId="77777777" w:rsidR="008800D7" w:rsidRPr="0070444C" w:rsidRDefault="008800D7" w:rsidP="00FC0C5F">
            <w:pPr>
              <w:keepNext/>
              <w:keepLines/>
              <w:jc w:val="center"/>
              <w:rPr>
                <w:sz w:val="18"/>
                <w:lang w:val="pl-PL"/>
              </w:rPr>
            </w:pPr>
            <w:r w:rsidRPr="0070444C">
              <w:rPr>
                <w:sz w:val="18"/>
                <w:lang w:val="pl-PL"/>
              </w:rPr>
              <w:t>Zespół erytrodysestezji dłoniowo-podeszwowej</w:t>
            </w:r>
          </w:p>
        </w:tc>
        <w:tc>
          <w:tcPr>
            <w:tcW w:w="1276" w:type="dxa"/>
            <w:tcBorders>
              <w:top w:val="single" w:sz="4" w:space="0" w:color="auto"/>
              <w:left w:val="single" w:sz="4" w:space="0" w:color="auto"/>
              <w:bottom w:val="single" w:sz="4" w:space="0" w:color="auto"/>
              <w:right w:val="nil"/>
            </w:tcBorders>
          </w:tcPr>
          <w:p w14:paraId="54D23986" w14:textId="77777777" w:rsidR="008800D7" w:rsidRPr="0070444C" w:rsidRDefault="008800D7" w:rsidP="00FC0C5F">
            <w:pPr>
              <w:keepNext/>
              <w:keepLines/>
              <w:jc w:val="center"/>
              <w:rPr>
                <w:sz w:val="18"/>
                <w:lang w:val="pl-PL"/>
              </w:rPr>
            </w:pPr>
          </w:p>
        </w:tc>
        <w:tc>
          <w:tcPr>
            <w:tcW w:w="933" w:type="dxa"/>
            <w:tcBorders>
              <w:top w:val="single" w:sz="4" w:space="0" w:color="auto"/>
              <w:left w:val="single" w:sz="4" w:space="0" w:color="auto"/>
              <w:bottom w:val="single" w:sz="4" w:space="0" w:color="auto"/>
              <w:right w:val="nil"/>
            </w:tcBorders>
          </w:tcPr>
          <w:p w14:paraId="1FF5B97A" w14:textId="77777777" w:rsidR="008800D7" w:rsidRPr="0070444C" w:rsidRDefault="008800D7" w:rsidP="00FC0C5F">
            <w:pPr>
              <w:keepNext/>
              <w:keepLines/>
              <w:jc w:val="center"/>
              <w:rPr>
                <w:sz w:val="18"/>
                <w:lang w:val="pl-PL"/>
              </w:rPr>
            </w:pPr>
          </w:p>
        </w:tc>
        <w:tc>
          <w:tcPr>
            <w:tcW w:w="1304" w:type="dxa"/>
            <w:tcBorders>
              <w:top w:val="single" w:sz="4" w:space="0" w:color="auto"/>
              <w:left w:val="single" w:sz="4" w:space="0" w:color="auto"/>
              <w:bottom w:val="single" w:sz="4" w:space="0" w:color="auto"/>
              <w:right w:val="nil"/>
            </w:tcBorders>
          </w:tcPr>
          <w:p w14:paraId="30D93119" w14:textId="77777777" w:rsidR="008800D7" w:rsidRPr="0070444C" w:rsidRDefault="008800D7" w:rsidP="00FC0C5F">
            <w:pPr>
              <w:keepNext/>
              <w:keepLines/>
              <w:jc w:val="center"/>
              <w:rPr>
                <w:sz w:val="18"/>
                <w:lang w:val="pl-PL"/>
              </w:rPr>
            </w:pPr>
          </w:p>
        </w:tc>
        <w:tc>
          <w:tcPr>
            <w:tcW w:w="1448" w:type="dxa"/>
            <w:tcBorders>
              <w:top w:val="single" w:sz="4" w:space="0" w:color="auto"/>
              <w:left w:val="single" w:sz="4" w:space="0" w:color="auto"/>
              <w:bottom w:val="single" w:sz="4" w:space="0" w:color="auto"/>
              <w:right w:val="single" w:sz="4" w:space="0" w:color="auto"/>
            </w:tcBorders>
          </w:tcPr>
          <w:p w14:paraId="173D5344" w14:textId="77777777" w:rsidR="008800D7" w:rsidRPr="0070444C" w:rsidRDefault="008800D7" w:rsidP="00FC0C5F">
            <w:pPr>
              <w:keepNext/>
              <w:keepLines/>
              <w:jc w:val="center"/>
              <w:rPr>
                <w:sz w:val="18"/>
                <w:lang w:val="pl-PL"/>
              </w:rPr>
            </w:pPr>
          </w:p>
        </w:tc>
      </w:tr>
      <w:tr w:rsidR="008800D7" w:rsidRPr="0015541C" w14:paraId="0730B3E3" w14:textId="77777777" w:rsidTr="000F44C8">
        <w:trPr>
          <w:trHeight w:val="985"/>
        </w:trPr>
        <w:tc>
          <w:tcPr>
            <w:tcW w:w="1303" w:type="dxa"/>
            <w:tcBorders>
              <w:top w:val="single" w:sz="4" w:space="0" w:color="auto"/>
              <w:left w:val="single" w:sz="4" w:space="0" w:color="auto"/>
              <w:bottom w:val="single" w:sz="4" w:space="0" w:color="auto"/>
              <w:right w:val="single" w:sz="4" w:space="0" w:color="auto"/>
            </w:tcBorders>
          </w:tcPr>
          <w:p w14:paraId="4DDFD065" w14:textId="77777777" w:rsidR="008800D7" w:rsidRPr="0015541C" w:rsidRDefault="008800D7" w:rsidP="00FC0C5F">
            <w:pPr>
              <w:rPr>
                <w:i/>
                <w:sz w:val="18"/>
                <w:szCs w:val="18"/>
                <w:lang w:val="pl-PL"/>
              </w:rPr>
            </w:pPr>
            <w:r w:rsidRPr="0015541C">
              <w:rPr>
                <w:color w:val="000000"/>
                <w:sz w:val="18"/>
                <w:szCs w:val="18"/>
                <w:lang w:val="pl-PL" w:eastAsia="en-US"/>
              </w:rPr>
              <w:t xml:space="preserve">Zaburzenia mięśniowo-szkieletowe i </w:t>
            </w:r>
            <w:r w:rsidRPr="00260CEC">
              <w:rPr>
                <w:color w:val="000000"/>
                <w:sz w:val="18"/>
                <w:szCs w:val="18"/>
                <w:lang w:val="pl-PL" w:eastAsia="en-US"/>
              </w:rPr>
              <w:t>tkanki łącznej</w:t>
            </w:r>
          </w:p>
        </w:tc>
        <w:tc>
          <w:tcPr>
            <w:tcW w:w="1450" w:type="dxa"/>
            <w:tcBorders>
              <w:top w:val="single" w:sz="4" w:space="0" w:color="auto"/>
              <w:left w:val="single" w:sz="4" w:space="0" w:color="auto"/>
              <w:bottom w:val="single" w:sz="4" w:space="0" w:color="auto"/>
              <w:right w:val="single" w:sz="4" w:space="0" w:color="auto"/>
            </w:tcBorders>
          </w:tcPr>
          <w:p w14:paraId="1E4A96B9" w14:textId="77777777" w:rsidR="008800D7" w:rsidRPr="0015541C" w:rsidRDefault="008800D7" w:rsidP="00FC0C5F">
            <w:pPr>
              <w:jc w:val="center"/>
              <w:rPr>
                <w:sz w:val="18"/>
                <w:szCs w:val="18"/>
                <w:lang w:val="pl-PL"/>
              </w:rPr>
            </w:pPr>
          </w:p>
        </w:tc>
        <w:tc>
          <w:tcPr>
            <w:tcW w:w="1559" w:type="dxa"/>
            <w:tcBorders>
              <w:top w:val="single" w:sz="4" w:space="0" w:color="auto"/>
              <w:left w:val="single" w:sz="4" w:space="0" w:color="auto"/>
              <w:bottom w:val="single" w:sz="4" w:space="0" w:color="auto"/>
              <w:right w:val="single" w:sz="4" w:space="0" w:color="auto"/>
            </w:tcBorders>
          </w:tcPr>
          <w:p w14:paraId="2E84FD7E" w14:textId="77777777" w:rsidR="00C13C64" w:rsidRPr="0015541C" w:rsidRDefault="00C13C64" w:rsidP="00FC0C5F">
            <w:pPr>
              <w:jc w:val="center"/>
              <w:rPr>
                <w:sz w:val="18"/>
                <w:szCs w:val="18"/>
                <w:lang w:val="pl-PL"/>
              </w:rPr>
            </w:pPr>
            <w:r w:rsidRPr="0015541C">
              <w:rPr>
                <w:sz w:val="18"/>
                <w:szCs w:val="18"/>
                <w:lang w:val="pl-PL"/>
              </w:rPr>
              <w:t>Przetoka</w:t>
            </w:r>
            <w:r w:rsidRPr="0015541C">
              <w:rPr>
                <w:sz w:val="18"/>
                <w:szCs w:val="18"/>
                <w:vertAlign w:val="superscript"/>
                <w:lang w:val="pl-PL"/>
              </w:rPr>
              <w:t>a,b</w:t>
            </w:r>
            <w:r w:rsidRPr="0015541C">
              <w:rPr>
                <w:sz w:val="18"/>
                <w:szCs w:val="18"/>
                <w:lang w:val="pl-PL"/>
              </w:rPr>
              <w:t>,</w:t>
            </w:r>
          </w:p>
          <w:p w14:paraId="3EFD8CC9" w14:textId="77777777" w:rsidR="008800D7" w:rsidRPr="0015541C" w:rsidRDefault="008800D7" w:rsidP="00FC0C5F">
            <w:pPr>
              <w:jc w:val="center"/>
              <w:rPr>
                <w:sz w:val="18"/>
                <w:szCs w:val="18"/>
                <w:lang w:val="pl-PL"/>
              </w:rPr>
            </w:pPr>
            <w:r w:rsidRPr="0015541C">
              <w:rPr>
                <w:sz w:val="18"/>
                <w:szCs w:val="18"/>
                <w:lang w:val="pl-PL"/>
              </w:rPr>
              <w:t>Bóle mięśniowe,</w:t>
            </w:r>
          </w:p>
          <w:p w14:paraId="200ED5D6" w14:textId="77777777" w:rsidR="008800D7" w:rsidRPr="0015541C" w:rsidRDefault="008800D7" w:rsidP="00FC0C5F">
            <w:pPr>
              <w:jc w:val="center"/>
              <w:rPr>
                <w:sz w:val="18"/>
                <w:szCs w:val="18"/>
                <w:lang w:val="pl-PL"/>
              </w:rPr>
            </w:pPr>
            <w:r w:rsidRPr="0015541C">
              <w:rPr>
                <w:sz w:val="18"/>
                <w:szCs w:val="18"/>
                <w:lang w:val="pl-PL"/>
              </w:rPr>
              <w:t>Bóle stawów, Osłabienie mięśni</w:t>
            </w:r>
            <w:r w:rsidR="00C13C64" w:rsidRPr="0015541C">
              <w:rPr>
                <w:sz w:val="18"/>
                <w:szCs w:val="18"/>
                <w:lang w:val="pl-PL"/>
              </w:rPr>
              <w:t>,</w:t>
            </w:r>
          </w:p>
          <w:p w14:paraId="742E2BE9" w14:textId="77777777" w:rsidR="00C13C64" w:rsidRPr="0015541C" w:rsidRDefault="00C13C64" w:rsidP="00FC0C5F">
            <w:pPr>
              <w:jc w:val="center"/>
              <w:rPr>
                <w:sz w:val="18"/>
                <w:szCs w:val="18"/>
                <w:lang w:val="pl-PL"/>
              </w:rPr>
            </w:pPr>
            <w:r w:rsidRPr="0015541C">
              <w:rPr>
                <w:sz w:val="18"/>
                <w:szCs w:val="18"/>
                <w:lang w:val="pl-PL"/>
              </w:rPr>
              <w:t>Ból pleców</w:t>
            </w:r>
          </w:p>
        </w:tc>
        <w:tc>
          <w:tcPr>
            <w:tcW w:w="1276" w:type="dxa"/>
            <w:tcBorders>
              <w:top w:val="single" w:sz="4" w:space="0" w:color="auto"/>
              <w:left w:val="single" w:sz="4" w:space="0" w:color="auto"/>
              <w:bottom w:val="single" w:sz="4" w:space="0" w:color="auto"/>
              <w:right w:val="nil"/>
            </w:tcBorders>
          </w:tcPr>
          <w:p w14:paraId="2A577A30" w14:textId="77777777" w:rsidR="008800D7" w:rsidRPr="0015541C" w:rsidRDefault="008800D7" w:rsidP="00FC0C5F">
            <w:pPr>
              <w:jc w:val="center"/>
              <w:rPr>
                <w:sz w:val="18"/>
                <w:szCs w:val="18"/>
                <w:lang w:val="pl-PL"/>
              </w:rPr>
            </w:pPr>
          </w:p>
        </w:tc>
        <w:tc>
          <w:tcPr>
            <w:tcW w:w="933" w:type="dxa"/>
            <w:tcBorders>
              <w:top w:val="single" w:sz="4" w:space="0" w:color="auto"/>
              <w:left w:val="single" w:sz="4" w:space="0" w:color="auto"/>
              <w:bottom w:val="single" w:sz="4" w:space="0" w:color="auto"/>
              <w:right w:val="nil"/>
            </w:tcBorders>
          </w:tcPr>
          <w:p w14:paraId="78F756AE" w14:textId="77777777" w:rsidR="008800D7" w:rsidRPr="0015541C" w:rsidRDefault="008800D7" w:rsidP="00FC0C5F">
            <w:pPr>
              <w:jc w:val="center"/>
              <w:rPr>
                <w:sz w:val="18"/>
                <w:szCs w:val="18"/>
                <w:lang w:val="pl-PL"/>
              </w:rPr>
            </w:pPr>
          </w:p>
        </w:tc>
        <w:tc>
          <w:tcPr>
            <w:tcW w:w="1304" w:type="dxa"/>
            <w:tcBorders>
              <w:top w:val="single" w:sz="4" w:space="0" w:color="auto"/>
              <w:left w:val="single" w:sz="4" w:space="0" w:color="auto"/>
              <w:bottom w:val="single" w:sz="4" w:space="0" w:color="auto"/>
              <w:right w:val="nil"/>
            </w:tcBorders>
          </w:tcPr>
          <w:p w14:paraId="43C549D8" w14:textId="77777777" w:rsidR="008800D7" w:rsidRPr="0015541C" w:rsidRDefault="008800D7" w:rsidP="00FC0C5F">
            <w:pPr>
              <w:jc w:val="center"/>
              <w:rPr>
                <w:sz w:val="18"/>
                <w:szCs w:val="18"/>
                <w:lang w:val="pl-PL"/>
              </w:rPr>
            </w:pPr>
          </w:p>
        </w:tc>
        <w:tc>
          <w:tcPr>
            <w:tcW w:w="1448" w:type="dxa"/>
            <w:tcBorders>
              <w:top w:val="single" w:sz="4" w:space="0" w:color="auto"/>
              <w:left w:val="single" w:sz="4" w:space="0" w:color="auto"/>
              <w:bottom w:val="single" w:sz="4" w:space="0" w:color="auto"/>
              <w:right w:val="single" w:sz="4" w:space="0" w:color="auto"/>
            </w:tcBorders>
          </w:tcPr>
          <w:p w14:paraId="02AECE65" w14:textId="77777777" w:rsidR="008800D7" w:rsidRPr="0015541C" w:rsidRDefault="008800D7" w:rsidP="00FC0C5F">
            <w:pPr>
              <w:jc w:val="center"/>
              <w:rPr>
                <w:sz w:val="18"/>
                <w:szCs w:val="18"/>
                <w:lang w:val="pl-PL"/>
              </w:rPr>
            </w:pPr>
            <w:r w:rsidRPr="0015541C">
              <w:rPr>
                <w:sz w:val="18"/>
                <w:szCs w:val="18"/>
                <w:lang w:val="pl-PL"/>
              </w:rPr>
              <w:t>Martwica kości szczęki</w:t>
            </w:r>
            <w:r w:rsidRPr="0015541C">
              <w:rPr>
                <w:sz w:val="18"/>
                <w:szCs w:val="18"/>
                <w:vertAlign w:val="superscript"/>
                <w:lang w:val="pl-PL"/>
              </w:rPr>
              <w:t>b,c</w:t>
            </w:r>
          </w:p>
        </w:tc>
      </w:tr>
      <w:tr w:rsidR="008800D7" w:rsidRPr="0015541C" w14:paraId="79FE89DB" w14:textId="77777777" w:rsidTr="000F44C8">
        <w:trPr>
          <w:trHeight w:val="701"/>
        </w:trPr>
        <w:tc>
          <w:tcPr>
            <w:tcW w:w="1303" w:type="dxa"/>
            <w:tcBorders>
              <w:top w:val="single" w:sz="4" w:space="0" w:color="auto"/>
              <w:left w:val="single" w:sz="4" w:space="0" w:color="auto"/>
              <w:bottom w:val="single" w:sz="4" w:space="0" w:color="auto"/>
              <w:right w:val="single" w:sz="4" w:space="0" w:color="auto"/>
            </w:tcBorders>
          </w:tcPr>
          <w:p w14:paraId="7271D1F9" w14:textId="77777777" w:rsidR="008800D7" w:rsidRPr="00260CEC" w:rsidRDefault="008800D7" w:rsidP="00FC0C5F">
            <w:pPr>
              <w:rPr>
                <w:i/>
                <w:sz w:val="18"/>
                <w:szCs w:val="18"/>
                <w:lang w:val="pl-PL"/>
              </w:rPr>
            </w:pPr>
            <w:r w:rsidRPr="0015541C">
              <w:rPr>
                <w:color w:val="000000"/>
                <w:sz w:val="18"/>
                <w:szCs w:val="18"/>
                <w:lang w:val="pl-PL" w:eastAsia="en-US"/>
              </w:rPr>
              <w:t>Zaburzenia nerek i dróg moczowych</w:t>
            </w:r>
          </w:p>
        </w:tc>
        <w:tc>
          <w:tcPr>
            <w:tcW w:w="1450" w:type="dxa"/>
            <w:tcBorders>
              <w:top w:val="single" w:sz="4" w:space="0" w:color="auto"/>
              <w:left w:val="single" w:sz="4" w:space="0" w:color="auto"/>
              <w:bottom w:val="single" w:sz="4" w:space="0" w:color="auto"/>
              <w:right w:val="single" w:sz="4" w:space="0" w:color="auto"/>
            </w:tcBorders>
          </w:tcPr>
          <w:p w14:paraId="13912B5F" w14:textId="77777777" w:rsidR="008800D7" w:rsidRPr="0015541C" w:rsidRDefault="008800D7" w:rsidP="00FC0C5F">
            <w:pPr>
              <w:keepNext/>
              <w:keepLines/>
              <w:jc w:val="center"/>
              <w:rPr>
                <w:sz w:val="18"/>
                <w:szCs w:val="18"/>
                <w:lang w:val="pl-PL"/>
              </w:rPr>
            </w:pPr>
          </w:p>
        </w:tc>
        <w:tc>
          <w:tcPr>
            <w:tcW w:w="1559" w:type="dxa"/>
            <w:tcBorders>
              <w:top w:val="single" w:sz="4" w:space="0" w:color="auto"/>
              <w:left w:val="single" w:sz="4" w:space="0" w:color="auto"/>
              <w:bottom w:val="single" w:sz="4" w:space="0" w:color="auto"/>
              <w:right w:val="single" w:sz="4" w:space="0" w:color="auto"/>
            </w:tcBorders>
          </w:tcPr>
          <w:p w14:paraId="433991AF" w14:textId="77777777" w:rsidR="008800D7" w:rsidRPr="0015541C" w:rsidRDefault="008800D7" w:rsidP="00BE1B58">
            <w:pPr>
              <w:keepNext/>
              <w:keepLines/>
              <w:ind w:left="220" w:hanging="220"/>
              <w:jc w:val="center"/>
              <w:rPr>
                <w:sz w:val="18"/>
                <w:szCs w:val="18"/>
                <w:vertAlign w:val="superscript"/>
                <w:lang w:val="pl-PL"/>
              </w:rPr>
            </w:pPr>
            <w:r w:rsidRPr="0015541C">
              <w:rPr>
                <w:sz w:val="18"/>
                <w:szCs w:val="18"/>
                <w:lang w:val="pl-PL"/>
              </w:rPr>
              <w:t>Białkomocz</w:t>
            </w:r>
            <w:r w:rsidRPr="0015541C">
              <w:rPr>
                <w:sz w:val="18"/>
                <w:szCs w:val="18"/>
                <w:vertAlign w:val="superscript"/>
                <w:lang w:val="pl-PL"/>
              </w:rPr>
              <w:t>a,b</w:t>
            </w:r>
          </w:p>
        </w:tc>
        <w:tc>
          <w:tcPr>
            <w:tcW w:w="1276" w:type="dxa"/>
            <w:tcBorders>
              <w:top w:val="single" w:sz="4" w:space="0" w:color="auto"/>
              <w:left w:val="single" w:sz="4" w:space="0" w:color="auto"/>
              <w:bottom w:val="single" w:sz="4" w:space="0" w:color="auto"/>
              <w:right w:val="nil"/>
            </w:tcBorders>
          </w:tcPr>
          <w:p w14:paraId="1296CCEE" w14:textId="77777777" w:rsidR="008800D7" w:rsidRPr="0015541C" w:rsidRDefault="008800D7" w:rsidP="00FC0C5F">
            <w:pPr>
              <w:keepNext/>
              <w:keepLines/>
              <w:jc w:val="center"/>
              <w:rPr>
                <w:sz w:val="18"/>
                <w:szCs w:val="18"/>
                <w:lang w:val="pl-PL"/>
              </w:rPr>
            </w:pPr>
          </w:p>
        </w:tc>
        <w:tc>
          <w:tcPr>
            <w:tcW w:w="933" w:type="dxa"/>
            <w:tcBorders>
              <w:top w:val="single" w:sz="4" w:space="0" w:color="auto"/>
              <w:left w:val="single" w:sz="4" w:space="0" w:color="auto"/>
              <w:bottom w:val="single" w:sz="4" w:space="0" w:color="auto"/>
              <w:right w:val="nil"/>
            </w:tcBorders>
          </w:tcPr>
          <w:p w14:paraId="3E407E95" w14:textId="77777777" w:rsidR="008800D7" w:rsidRPr="0015541C" w:rsidRDefault="008800D7" w:rsidP="00FC0C5F">
            <w:pPr>
              <w:keepNext/>
              <w:keepLines/>
              <w:jc w:val="center"/>
              <w:rPr>
                <w:sz w:val="18"/>
                <w:szCs w:val="18"/>
                <w:lang w:val="pl-PL"/>
              </w:rPr>
            </w:pPr>
          </w:p>
        </w:tc>
        <w:tc>
          <w:tcPr>
            <w:tcW w:w="1304" w:type="dxa"/>
            <w:tcBorders>
              <w:top w:val="single" w:sz="4" w:space="0" w:color="auto"/>
              <w:left w:val="single" w:sz="4" w:space="0" w:color="auto"/>
              <w:bottom w:val="single" w:sz="4" w:space="0" w:color="auto"/>
              <w:right w:val="nil"/>
            </w:tcBorders>
          </w:tcPr>
          <w:p w14:paraId="4B44F5D7" w14:textId="77777777" w:rsidR="008800D7" w:rsidRPr="0015541C" w:rsidRDefault="008800D7" w:rsidP="00FC0C5F">
            <w:pPr>
              <w:keepNext/>
              <w:keepLines/>
              <w:jc w:val="center"/>
              <w:rPr>
                <w:sz w:val="18"/>
                <w:szCs w:val="18"/>
                <w:lang w:val="pl-PL"/>
              </w:rPr>
            </w:pPr>
          </w:p>
        </w:tc>
        <w:tc>
          <w:tcPr>
            <w:tcW w:w="1448" w:type="dxa"/>
            <w:tcBorders>
              <w:top w:val="single" w:sz="4" w:space="0" w:color="auto"/>
              <w:left w:val="single" w:sz="4" w:space="0" w:color="auto"/>
              <w:bottom w:val="single" w:sz="4" w:space="0" w:color="auto"/>
              <w:right w:val="single" w:sz="4" w:space="0" w:color="auto"/>
            </w:tcBorders>
          </w:tcPr>
          <w:p w14:paraId="2F981F89" w14:textId="77777777" w:rsidR="008800D7" w:rsidRPr="0015541C" w:rsidRDefault="008800D7" w:rsidP="00FC0C5F">
            <w:pPr>
              <w:keepNext/>
              <w:keepLines/>
              <w:jc w:val="center"/>
              <w:rPr>
                <w:sz w:val="18"/>
                <w:szCs w:val="18"/>
                <w:lang w:val="pl-PL"/>
              </w:rPr>
            </w:pPr>
          </w:p>
        </w:tc>
      </w:tr>
      <w:tr w:rsidR="008800D7" w:rsidRPr="008D11DD" w14:paraId="21D834DE" w14:textId="77777777" w:rsidTr="000F44C8">
        <w:trPr>
          <w:trHeight w:val="701"/>
        </w:trPr>
        <w:tc>
          <w:tcPr>
            <w:tcW w:w="1303" w:type="dxa"/>
            <w:tcBorders>
              <w:top w:val="single" w:sz="4" w:space="0" w:color="auto"/>
              <w:left w:val="single" w:sz="4" w:space="0" w:color="auto"/>
              <w:bottom w:val="single" w:sz="4" w:space="0" w:color="auto"/>
              <w:right w:val="single" w:sz="4" w:space="0" w:color="auto"/>
            </w:tcBorders>
          </w:tcPr>
          <w:p w14:paraId="34FB9484" w14:textId="77777777" w:rsidR="008800D7" w:rsidRPr="00260CEC" w:rsidRDefault="008800D7" w:rsidP="00FC0C5F">
            <w:pPr>
              <w:rPr>
                <w:color w:val="000000"/>
                <w:sz w:val="18"/>
                <w:szCs w:val="18"/>
                <w:lang w:val="pl-PL" w:eastAsia="en-US"/>
              </w:rPr>
            </w:pPr>
            <w:r w:rsidRPr="0015541C">
              <w:rPr>
                <w:sz w:val="18"/>
                <w:lang w:val="pl-PL"/>
              </w:rPr>
              <w:t>Zaburzenia układu rozrodczego i piersi</w:t>
            </w:r>
          </w:p>
        </w:tc>
        <w:tc>
          <w:tcPr>
            <w:tcW w:w="1450" w:type="dxa"/>
            <w:tcBorders>
              <w:top w:val="single" w:sz="4" w:space="0" w:color="auto"/>
              <w:left w:val="single" w:sz="4" w:space="0" w:color="auto"/>
              <w:bottom w:val="single" w:sz="4" w:space="0" w:color="auto"/>
              <w:right w:val="single" w:sz="4" w:space="0" w:color="auto"/>
            </w:tcBorders>
          </w:tcPr>
          <w:p w14:paraId="327D4C78" w14:textId="77777777" w:rsidR="008800D7" w:rsidRPr="0015541C" w:rsidRDefault="008800D7" w:rsidP="00FC0C5F">
            <w:pPr>
              <w:keepNext/>
              <w:keepLines/>
              <w:jc w:val="center"/>
              <w:rPr>
                <w:sz w:val="18"/>
                <w:szCs w:val="18"/>
                <w:lang w:val="pl-PL"/>
              </w:rPr>
            </w:pPr>
          </w:p>
        </w:tc>
        <w:tc>
          <w:tcPr>
            <w:tcW w:w="1559" w:type="dxa"/>
            <w:tcBorders>
              <w:top w:val="single" w:sz="4" w:space="0" w:color="auto"/>
              <w:left w:val="single" w:sz="4" w:space="0" w:color="auto"/>
              <w:bottom w:val="single" w:sz="4" w:space="0" w:color="auto"/>
              <w:right w:val="single" w:sz="4" w:space="0" w:color="auto"/>
            </w:tcBorders>
          </w:tcPr>
          <w:p w14:paraId="0BEB5A22" w14:textId="77777777" w:rsidR="008800D7" w:rsidRPr="0015541C" w:rsidRDefault="00C13C64" w:rsidP="006F624F">
            <w:pPr>
              <w:keepNext/>
              <w:keepLines/>
              <w:ind w:left="220" w:hanging="220"/>
              <w:jc w:val="center"/>
              <w:rPr>
                <w:sz w:val="18"/>
                <w:szCs w:val="18"/>
                <w:lang w:val="pl-PL"/>
              </w:rPr>
            </w:pPr>
            <w:r w:rsidRPr="0015541C">
              <w:rPr>
                <w:sz w:val="18"/>
                <w:szCs w:val="18"/>
                <w:lang w:val="pl-PL"/>
              </w:rPr>
              <w:t>Ból miednicy</w:t>
            </w:r>
          </w:p>
        </w:tc>
        <w:tc>
          <w:tcPr>
            <w:tcW w:w="1276" w:type="dxa"/>
            <w:tcBorders>
              <w:top w:val="single" w:sz="4" w:space="0" w:color="auto"/>
              <w:left w:val="single" w:sz="4" w:space="0" w:color="auto"/>
              <w:bottom w:val="single" w:sz="4" w:space="0" w:color="auto"/>
              <w:right w:val="nil"/>
            </w:tcBorders>
          </w:tcPr>
          <w:p w14:paraId="5EED8937" w14:textId="77777777" w:rsidR="008800D7" w:rsidRPr="0015541C" w:rsidRDefault="008800D7" w:rsidP="00FC0C5F">
            <w:pPr>
              <w:keepNext/>
              <w:keepLines/>
              <w:jc w:val="center"/>
              <w:rPr>
                <w:sz w:val="18"/>
                <w:szCs w:val="18"/>
                <w:lang w:val="pl-PL"/>
              </w:rPr>
            </w:pPr>
          </w:p>
        </w:tc>
        <w:tc>
          <w:tcPr>
            <w:tcW w:w="933" w:type="dxa"/>
            <w:tcBorders>
              <w:top w:val="single" w:sz="4" w:space="0" w:color="auto"/>
              <w:left w:val="single" w:sz="4" w:space="0" w:color="auto"/>
              <w:bottom w:val="single" w:sz="4" w:space="0" w:color="auto"/>
              <w:right w:val="nil"/>
            </w:tcBorders>
          </w:tcPr>
          <w:p w14:paraId="59B5EC07" w14:textId="77777777" w:rsidR="008800D7" w:rsidRPr="0015541C" w:rsidRDefault="008800D7" w:rsidP="00FC0C5F">
            <w:pPr>
              <w:keepNext/>
              <w:keepLines/>
              <w:jc w:val="center"/>
              <w:rPr>
                <w:sz w:val="18"/>
                <w:szCs w:val="18"/>
                <w:lang w:val="pl-PL"/>
              </w:rPr>
            </w:pPr>
          </w:p>
        </w:tc>
        <w:tc>
          <w:tcPr>
            <w:tcW w:w="1304" w:type="dxa"/>
            <w:tcBorders>
              <w:top w:val="single" w:sz="4" w:space="0" w:color="auto"/>
              <w:left w:val="single" w:sz="4" w:space="0" w:color="auto"/>
              <w:bottom w:val="single" w:sz="4" w:space="0" w:color="auto"/>
              <w:right w:val="nil"/>
            </w:tcBorders>
          </w:tcPr>
          <w:p w14:paraId="332CBBB5" w14:textId="77777777" w:rsidR="008800D7" w:rsidRPr="0015541C" w:rsidRDefault="008800D7" w:rsidP="00FC0C5F">
            <w:pPr>
              <w:keepNext/>
              <w:keepLines/>
              <w:jc w:val="center"/>
              <w:rPr>
                <w:sz w:val="18"/>
                <w:szCs w:val="18"/>
                <w:lang w:val="pl-PL"/>
              </w:rPr>
            </w:pPr>
          </w:p>
        </w:tc>
        <w:tc>
          <w:tcPr>
            <w:tcW w:w="1448" w:type="dxa"/>
            <w:tcBorders>
              <w:top w:val="single" w:sz="4" w:space="0" w:color="auto"/>
              <w:left w:val="single" w:sz="4" w:space="0" w:color="auto"/>
              <w:bottom w:val="single" w:sz="4" w:space="0" w:color="auto"/>
              <w:right w:val="single" w:sz="4" w:space="0" w:color="auto"/>
            </w:tcBorders>
          </w:tcPr>
          <w:p w14:paraId="5629EF8F" w14:textId="77777777" w:rsidR="008800D7" w:rsidRPr="0015541C" w:rsidRDefault="008800D7" w:rsidP="00FC0C5F">
            <w:pPr>
              <w:keepNext/>
              <w:keepLines/>
              <w:jc w:val="center"/>
              <w:rPr>
                <w:sz w:val="18"/>
                <w:szCs w:val="18"/>
                <w:lang w:val="pl-PL"/>
              </w:rPr>
            </w:pPr>
            <w:r w:rsidRPr="0070444C">
              <w:rPr>
                <w:sz w:val="18"/>
                <w:lang w:val="pl-PL"/>
              </w:rPr>
              <w:t>Niewydolność jajników</w:t>
            </w:r>
            <w:r w:rsidRPr="0070444C">
              <w:rPr>
                <w:sz w:val="18"/>
                <w:vertAlign w:val="superscript"/>
                <w:lang w:val="pl-PL"/>
              </w:rPr>
              <w:t>a,b</w:t>
            </w:r>
          </w:p>
        </w:tc>
      </w:tr>
      <w:tr w:rsidR="00F86048" w:rsidRPr="0015541C" w14:paraId="3A76B204" w14:textId="77777777" w:rsidTr="000F44C8">
        <w:trPr>
          <w:trHeight w:val="701"/>
        </w:trPr>
        <w:tc>
          <w:tcPr>
            <w:tcW w:w="1303" w:type="dxa"/>
            <w:tcBorders>
              <w:top w:val="single" w:sz="4" w:space="0" w:color="auto"/>
              <w:left w:val="single" w:sz="4" w:space="0" w:color="auto"/>
              <w:bottom w:val="single" w:sz="4" w:space="0" w:color="auto"/>
              <w:right w:val="single" w:sz="4" w:space="0" w:color="auto"/>
            </w:tcBorders>
          </w:tcPr>
          <w:p w14:paraId="7E70DC0C" w14:textId="77777777" w:rsidR="00F86048" w:rsidRPr="00260CEC" w:rsidRDefault="00F86048" w:rsidP="009E44C7">
            <w:pPr>
              <w:keepNext/>
              <w:keepLines/>
              <w:rPr>
                <w:sz w:val="18"/>
                <w:lang w:val="pl-PL"/>
              </w:rPr>
            </w:pPr>
            <w:r w:rsidRPr="0015541C">
              <w:rPr>
                <w:sz w:val="18"/>
                <w:szCs w:val="18"/>
                <w:lang w:val="pl-PL"/>
              </w:rPr>
              <w:t>Wady wrodzone, choroby rodzinne i genetyczne</w:t>
            </w:r>
          </w:p>
        </w:tc>
        <w:tc>
          <w:tcPr>
            <w:tcW w:w="1450" w:type="dxa"/>
            <w:tcBorders>
              <w:top w:val="single" w:sz="4" w:space="0" w:color="auto"/>
              <w:left w:val="single" w:sz="4" w:space="0" w:color="auto"/>
              <w:bottom w:val="single" w:sz="4" w:space="0" w:color="auto"/>
              <w:right w:val="single" w:sz="4" w:space="0" w:color="auto"/>
            </w:tcBorders>
          </w:tcPr>
          <w:p w14:paraId="4AB6A96D" w14:textId="77777777" w:rsidR="00F86048" w:rsidRPr="0015541C" w:rsidRDefault="00F86048" w:rsidP="00EA7AC4">
            <w:pPr>
              <w:keepNext/>
              <w:keepLines/>
              <w:jc w:val="center"/>
              <w:rPr>
                <w:sz w:val="18"/>
                <w:szCs w:val="18"/>
                <w:lang w:val="pl-PL"/>
              </w:rPr>
            </w:pPr>
          </w:p>
        </w:tc>
        <w:tc>
          <w:tcPr>
            <w:tcW w:w="1559" w:type="dxa"/>
            <w:tcBorders>
              <w:top w:val="single" w:sz="4" w:space="0" w:color="auto"/>
              <w:left w:val="single" w:sz="4" w:space="0" w:color="auto"/>
              <w:bottom w:val="single" w:sz="4" w:space="0" w:color="auto"/>
              <w:right w:val="single" w:sz="4" w:space="0" w:color="auto"/>
            </w:tcBorders>
          </w:tcPr>
          <w:p w14:paraId="5C8E982F" w14:textId="77777777" w:rsidR="00F86048" w:rsidRPr="0015541C" w:rsidRDefault="00F86048" w:rsidP="004B041F">
            <w:pPr>
              <w:keepNext/>
              <w:keepLines/>
              <w:ind w:left="220" w:hanging="220"/>
              <w:jc w:val="center"/>
              <w:rPr>
                <w:sz w:val="18"/>
                <w:szCs w:val="18"/>
                <w:lang w:val="pl-PL"/>
              </w:rPr>
            </w:pPr>
          </w:p>
        </w:tc>
        <w:tc>
          <w:tcPr>
            <w:tcW w:w="1276" w:type="dxa"/>
            <w:tcBorders>
              <w:top w:val="single" w:sz="4" w:space="0" w:color="auto"/>
              <w:left w:val="single" w:sz="4" w:space="0" w:color="auto"/>
              <w:bottom w:val="single" w:sz="4" w:space="0" w:color="auto"/>
              <w:right w:val="nil"/>
            </w:tcBorders>
          </w:tcPr>
          <w:p w14:paraId="657117E4" w14:textId="77777777" w:rsidR="00F86048" w:rsidRPr="0015541C" w:rsidRDefault="00F86048" w:rsidP="00D2009E">
            <w:pPr>
              <w:keepNext/>
              <w:keepLines/>
              <w:jc w:val="center"/>
              <w:rPr>
                <w:sz w:val="18"/>
                <w:szCs w:val="18"/>
                <w:lang w:val="pl-PL"/>
              </w:rPr>
            </w:pPr>
          </w:p>
        </w:tc>
        <w:tc>
          <w:tcPr>
            <w:tcW w:w="933" w:type="dxa"/>
            <w:tcBorders>
              <w:top w:val="single" w:sz="4" w:space="0" w:color="auto"/>
              <w:left w:val="single" w:sz="4" w:space="0" w:color="auto"/>
              <w:bottom w:val="single" w:sz="4" w:space="0" w:color="auto"/>
              <w:right w:val="nil"/>
            </w:tcBorders>
          </w:tcPr>
          <w:p w14:paraId="3EAE7758" w14:textId="77777777" w:rsidR="00F86048" w:rsidRPr="0015541C" w:rsidRDefault="00F86048" w:rsidP="004C73AA">
            <w:pPr>
              <w:keepNext/>
              <w:keepLines/>
              <w:jc w:val="center"/>
              <w:rPr>
                <w:sz w:val="18"/>
                <w:szCs w:val="18"/>
                <w:lang w:val="pl-PL"/>
              </w:rPr>
            </w:pPr>
          </w:p>
        </w:tc>
        <w:tc>
          <w:tcPr>
            <w:tcW w:w="1304" w:type="dxa"/>
            <w:tcBorders>
              <w:top w:val="single" w:sz="4" w:space="0" w:color="auto"/>
              <w:left w:val="single" w:sz="4" w:space="0" w:color="auto"/>
              <w:bottom w:val="single" w:sz="4" w:space="0" w:color="auto"/>
              <w:right w:val="nil"/>
            </w:tcBorders>
          </w:tcPr>
          <w:p w14:paraId="46254BED" w14:textId="77777777" w:rsidR="00F86048" w:rsidRPr="0015541C" w:rsidRDefault="00F86048" w:rsidP="00ED27C6">
            <w:pPr>
              <w:keepNext/>
              <w:keepLines/>
              <w:jc w:val="center"/>
              <w:rPr>
                <w:sz w:val="18"/>
                <w:szCs w:val="18"/>
                <w:lang w:val="pl-PL"/>
              </w:rPr>
            </w:pPr>
          </w:p>
        </w:tc>
        <w:tc>
          <w:tcPr>
            <w:tcW w:w="1448" w:type="dxa"/>
            <w:tcBorders>
              <w:top w:val="single" w:sz="4" w:space="0" w:color="auto"/>
              <w:left w:val="single" w:sz="4" w:space="0" w:color="auto"/>
              <w:bottom w:val="single" w:sz="4" w:space="0" w:color="auto"/>
              <w:right w:val="single" w:sz="4" w:space="0" w:color="auto"/>
            </w:tcBorders>
          </w:tcPr>
          <w:p w14:paraId="1FDE9E96" w14:textId="77777777" w:rsidR="00F86048" w:rsidRPr="0015541C" w:rsidRDefault="00F86048" w:rsidP="009E44C7">
            <w:pPr>
              <w:keepNext/>
              <w:keepLines/>
              <w:jc w:val="center"/>
              <w:rPr>
                <w:sz w:val="18"/>
                <w:lang w:val="pl-PL"/>
              </w:rPr>
            </w:pPr>
            <w:r w:rsidRPr="0015541C">
              <w:rPr>
                <w:sz w:val="18"/>
                <w:szCs w:val="18"/>
                <w:lang w:val="pl-PL" w:eastAsia="zh-TW"/>
              </w:rPr>
              <w:t>Wady rozwojowe płod</w:t>
            </w:r>
            <w:r w:rsidRPr="0070444C">
              <w:rPr>
                <w:sz w:val="20"/>
                <w:u w:val="single"/>
                <w:lang w:val="pl-PL"/>
              </w:rPr>
              <w:t>u</w:t>
            </w:r>
            <w:r w:rsidRPr="0070444C">
              <w:rPr>
                <w:sz w:val="20"/>
                <w:u w:val="single"/>
                <w:vertAlign w:val="superscript"/>
                <w:lang w:val="pl-PL"/>
              </w:rPr>
              <w:t>a,c</w:t>
            </w:r>
          </w:p>
        </w:tc>
      </w:tr>
      <w:tr w:rsidR="00C13C64" w:rsidRPr="008D11DD" w14:paraId="309769E3" w14:textId="77777777" w:rsidTr="000F44C8">
        <w:trPr>
          <w:trHeight w:val="701"/>
        </w:trPr>
        <w:tc>
          <w:tcPr>
            <w:tcW w:w="1303" w:type="dxa"/>
            <w:tcBorders>
              <w:top w:val="single" w:sz="4" w:space="0" w:color="auto"/>
              <w:left w:val="single" w:sz="4" w:space="0" w:color="auto"/>
              <w:bottom w:val="single" w:sz="4" w:space="0" w:color="auto"/>
              <w:right w:val="single" w:sz="4" w:space="0" w:color="auto"/>
            </w:tcBorders>
          </w:tcPr>
          <w:p w14:paraId="76980EE7" w14:textId="77777777" w:rsidR="00C13C64" w:rsidRPr="00260CEC" w:rsidRDefault="00C13C64" w:rsidP="009E44C7">
            <w:pPr>
              <w:keepNext/>
              <w:keepLines/>
              <w:rPr>
                <w:sz w:val="18"/>
                <w:lang w:val="pl-PL"/>
              </w:rPr>
            </w:pPr>
            <w:r w:rsidRPr="0015541C">
              <w:rPr>
                <w:color w:val="000000"/>
                <w:sz w:val="18"/>
                <w:szCs w:val="18"/>
                <w:lang w:val="pl-PL" w:eastAsia="en-US"/>
              </w:rPr>
              <w:t>Zaburzenia ogólne i stany w miejscu podania</w:t>
            </w:r>
          </w:p>
        </w:tc>
        <w:tc>
          <w:tcPr>
            <w:tcW w:w="1450" w:type="dxa"/>
            <w:tcBorders>
              <w:top w:val="single" w:sz="4" w:space="0" w:color="auto"/>
              <w:left w:val="single" w:sz="4" w:space="0" w:color="auto"/>
              <w:bottom w:val="single" w:sz="4" w:space="0" w:color="auto"/>
              <w:right w:val="single" w:sz="4" w:space="0" w:color="auto"/>
            </w:tcBorders>
          </w:tcPr>
          <w:p w14:paraId="4280B0C0" w14:textId="77777777" w:rsidR="00C13C64" w:rsidRPr="0070444C" w:rsidRDefault="00C13C64" w:rsidP="00EA7AC4">
            <w:pPr>
              <w:keepNext/>
              <w:keepLines/>
              <w:jc w:val="center"/>
              <w:rPr>
                <w:sz w:val="18"/>
                <w:lang w:val="pl-PL"/>
              </w:rPr>
            </w:pPr>
            <w:r w:rsidRPr="0070444C">
              <w:rPr>
                <w:sz w:val="18"/>
                <w:lang w:val="pl-PL"/>
              </w:rPr>
              <w:t>Osłabienie,</w:t>
            </w:r>
          </w:p>
          <w:p w14:paraId="5E0980E7" w14:textId="77777777" w:rsidR="00C13C64" w:rsidRPr="0015541C" w:rsidRDefault="00C13C64" w:rsidP="004B041F">
            <w:pPr>
              <w:keepNext/>
              <w:keepLines/>
              <w:jc w:val="center"/>
              <w:rPr>
                <w:sz w:val="18"/>
                <w:szCs w:val="18"/>
                <w:lang w:val="pl-PL"/>
              </w:rPr>
            </w:pPr>
            <w:r w:rsidRPr="0070444C">
              <w:rPr>
                <w:sz w:val="18"/>
                <w:lang w:val="pl-PL"/>
              </w:rPr>
              <w:t>Zmęczenie</w:t>
            </w:r>
          </w:p>
        </w:tc>
        <w:tc>
          <w:tcPr>
            <w:tcW w:w="1559" w:type="dxa"/>
            <w:tcBorders>
              <w:top w:val="single" w:sz="4" w:space="0" w:color="auto"/>
              <w:left w:val="single" w:sz="4" w:space="0" w:color="auto"/>
              <w:bottom w:val="single" w:sz="4" w:space="0" w:color="auto"/>
              <w:right w:val="single" w:sz="4" w:space="0" w:color="auto"/>
            </w:tcBorders>
          </w:tcPr>
          <w:p w14:paraId="2DA2FEE0" w14:textId="77777777" w:rsidR="00C13C64" w:rsidRPr="0015541C" w:rsidRDefault="00C13C64" w:rsidP="00D2009E">
            <w:pPr>
              <w:keepNext/>
              <w:keepLines/>
              <w:jc w:val="center"/>
              <w:rPr>
                <w:sz w:val="18"/>
                <w:szCs w:val="18"/>
                <w:lang w:val="pl-PL"/>
              </w:rPr>
            </w:pPr>
            <w:r w:rsidRPr="0015541C">
              <w:rPr>
                <w:sz w:val="18"/>
                <w:szCs w:val="18"/>
                <w:lang w:val="pl-PL"/>
              </w:rPr>
              <w:t>Ból,</w:t>
            </w:r>
          </w:p>
          <w:p w14:paraId="6118B2DC" w14:textId="77777777" w:rsidR="00C13C64" w:rsidRPr="0015541C" w:rsidRDefault="00C13C64" w:rsidP="004C73AA">
            <w:pPr>
              <w:keepNext/>
              <w:keepLines/>
              <w:jc w:val="center"/>
              <w:rPr>
                <w:sz w:val="18"/>
                <w:szCs w:val="18"/>
                <w:lang w:val="pl-PL"/>
              </w:rPr>
            </w:pPr>
            <w:r w:rsidRPr="0015541C">
              <w:rPr>
                <w:sz w:val="18"/>
                <w:szCs w:val="18"/>
                <w:lang w:val="pl-PL"/>
              </w:rPr>
              <w:t>Ospałość,</w:t>
            </w:r>
          </w:p>
          <w:p w14:paraId="0B9299D0" w14:textId="77777777" w:rsidR="00C13C64" w:rsidRPr="0015541C" w:rsidRDefault="00C13C64" w:rsidP="00ED27C6">
            <w:pPr>
              <w:keepNext/>
              <w:keepLines/>
              <w:ind w:left="220" w:hanging="220"/>
              <w:jc w:val="center"/>
              <w:rPr>
                <w:sz w:val="18"/>
                <w:szCs w:val="18"/>
                <w:lang w:val="pl-PL"/>
              </w:rPr>
            </w:pPr>
            <w:r w:rsidRPr="0015541C">
              <w:rPr>
                <w:sz w:val="18"/>
                <w:szCs w:val="18"/>
                <w:lang w:val="pl-PL"/>
              </w:rPr>
              <w:t>Zapalenie błon śluzowych</w:t>
            </w:r>
          </w:p>
        </w:tc>
        <w:tc>
          <w:tcPr>
            <w:tcW w:w="1276" w:type="dxa"/>
            <w:tcBorders>
              <w:top w:val="single" w:sz="4" w:space="0" w:color="auto"/>
              <w:left w:val="single" w:sz="4" w:space="0" w:color="auto"/>
              <w:bottom w:val="single" w:sz="4" w:space="0" w:color="auto"/>
              <w:right w:val="nil"/>
            </w:tcBorders>
          </w:tcPr>
          <w:p w14:paraId="122365A8" w14:textId="77777777" w:rsidR="00C13C64" w:rsidRPr="0015541C" w:rsidRDefault="00C13C64" w:rsidP="009E44C7">
            <w:pPr>
              <w:keepNext/>
              <w:keepLines/>
              <w:jc w:val="center"/>
              <w:rPr>
                <w:sz w:val="18"/>
                <w:szCs w:val="18"/>
                <w:lang w:val="pl-PL"/>
              </w:rPr>
            </w:pPr>
          </w:p>
        </w:tc>
        <w:tc>
          <w:tcPr>
            <w:tcW w:w="933" w:type="dxa"/>
            <w:tcBorders>
              <w:top w:val="single" w:sz="4" w:space="0" w:color="auto"/>
              <w:left w:val="single" w:sz="4" w:space="0" w:color="auto"/>
              <w:bottom w:val="single" w:sz="4" w:space="0" w:color="auto"/>
              <w:right w:val="nil"/>
            </w:tcBorders>
          </w:tcPr>
          <w:p w14:paraId="72FF8E22" w14:textId="77777777" w:rsidR="00C13C64" w:rsidRPr="0015541C" w:rsidRDefault="00C13C64" w:rsidP="009E44C7">
            <w:pPr>
              <w:keepNext/>
              <w:keepLines/>
              <w:jc w:val="center"/>
              <w:rPr>
                <w:sz w:val="18"/>
                <w:szCs w:val="18"/>
                <w:lang w:val="pl-PL"/>
              </w:rPr>
            </w:pPr>
          </w:p>
        </w:tc>
        <w:tc>
          <w:tcPr>
            <w:tcW w:w="1304" w:type="dxa"/>
            <w:tcBorders>
              <w:top w:val="single" w:sz="4" w:space="0" w:color="auto"/>
              <w:left w:val="single" w:sz="4" w:space="0" w:color="auto"/>
              <w:bottom w:val="single" w:sz="4" w:space="0" w:color="auto"/>
              <w:right w:val="nil"/>
            </w:tcBorders>
          </w:tcPr>
          <w:p w14:paraId="50FC9FB8" w14:textId="77777777" w:rsidR="00C13C64" w:rsidRPr="0015541C" w:rsidRDefault="00C13C64" w:rsidP="009E44C7">
            <w:pPr>
              <w:keepNext/>
              <w:keepLines/>
              <w:jc w:val="center"/>
              <w:rPr>
                <w:sz w:val="18"/>
                <w:szCs w:val="18"/>
                <w:lang w:val="pl-PL"/>
              </w:rPr>
            </w:pPr>
          </w:p>
        </w:tc>
        <w:tc>
          <w:tcPr>
            <w:tcW w:w="1448" w:type="dxa"/>
            <w:tcBorders>
              <w:top w:val="single" w:sz="4" w:space="0" w:color="auto"/>
              <w:left w:val="single" w:sz="4" w:space="0" w:color="auto"/>
              <w:bottom w:val="single" w:sz="4" w:space="0" w:color="auto"/>
              <w:right w:val="single" w:sz="4" w:space="0" w:color="auto"/>
            </w:tcBorders>
          </w:tcPr>
          <w:p w14:paraId="068828F1" w14:textId="77777777" w:rsidR="00C13C64" w:rsidRPr="0015541C" w:rsidRDefault="00C13C64" w:rsidP="009E44C7">
            <w:pPr>
              <w:keepNext/>
              <w:keepLines/>
              <w:jc w:val="center"/>
              <w:rPr>
                <w:sz w:val="18"/>
                <w:lang w:val="pl-PL"/>
              </w:rPr>
            </w:pPr>
          </w:p>
        </w:tc>
      </w:tr>
    </w:tbl>
    <w:p w14:paraId="3BC5F61E" w14:textId="5C2E3585" w:rsidR="008800D7" w:rsidRPr="0015541C" w:rsidRDefault="008800D7" w:rsidP="00EA7AC4">
      <w:pPr>
        <w:keepNext/>
        <w:keepLines/>
        <w:tabs>
          <w:tab w:val="left" w:pos="4920"/>
        </w:tabs>
        <w:rPr>
          <w:sz w:val="20"/>
          <w:szCs w:val="18"/>
          <w:lang w:val="pl-PL"/>
        </w:rPr>
      </w:pPr>
      <w:r w:rsidRPr="0015541C">
        <w:rPr>
          <w:sz w:val="20"/>
          <w:szCs w:val="18"/>
          <w:lang w:val="pl-PL"/>
        </w:rPr>
        <w:t>Tabela 2 zawiera częstość występowania ciężkich działań niepożądanych. Ciężkie działania niepożądane zostały określone jako obserwowane z przynajmniej 2% różnicą w porównaniu do grupy kontrolnej w badaniach klinicznych dla reakcji w stopniu nasilenia 3-5 wg skali NCI</w:t>
      </w:r>
      <w:r w:rsidR="00715294" w:rsidRPr="00260CEC">
        <w:rPr>
          <w:sz w:val="20"/>
          <w:szCs w:val="18"/>
          <w:lang w:val="pl-PL"/>
        </w:rPr>
        <w:noBreakHyphen/>
      </w:r>
      <w:r w:rsidRPr="0015541C">
        <w:rPr>
          <w:sz w:val="20"/>
          <w:szCs w:val="18"/>
          <w:lang w:val="pl-PL"/>
        </w:rPr>
        <w:t>CTCAE. Tabela 2 zawiera również działania niepożądane, które zostały uznane przez podmiot odpowiedzialny za mające znaczenie kliniczne lub ciężkie. Reakcje te były obserwowane w badaniach klinicznych, jednak częstość ich występowania w stopniu nasilenia 3-5 nie spełniała kryterium przynajmniej 2% różnicy w porównaniu do grupy kontrolnej. Tabela 2 zawiera również działania niepożądane mające znaczenie kliniczne obserwowane po wprowadzeniu produktu do obrotu, dlatego częstość ich występowania oraz stopień nasilenia wg skali NCI</w:t>
      </w:r>
      <w:r w:rsidR="00715294" w:rsidRPr="0015541C">
        <w:rPr>
          <w:sz w:val="20"/>
          <w:szCs w:val="18"/>
          <w:lang w:val="pl-PL"/>
        </w:rPr>
        <w:noBreakHyphen/>
      </w:r>
      <w:r w:rsidRPr="0015541C">
        <w:rPr>
          <w:sz w:val="20"/>
          <w:szCs w:val="18"/>
          <w:lang w:val="pl-PL"/>
        </w:rPr>
        <w:t>CTCAE nie jest znany. Z tego powodu, reakcje te zostały zawarte w Tabeli 2 w kolumnie „Częstość nieznana”.</w:t>
      </w:r>
    </w:p>
    <w:p w14:paraId="347FAFC5" w14:textId="5D86E485" w:rsidR="008800D7" w:rsidRPr="0015541C" w:rsidRDefault="008800D7" w:rsidP="00A960AD">
      <w:pPr>
        <w:tabs>
          <w:tab w:val="left" w:pos="4920"/>
        </w:tabs>
        <w:rPr>
          <w:sz w:val="20"/>
          <w:szCs w:val="18"/>
          <w:lang w:val="pl-PL"/>
        </w:rPr>
      </w:pPr>
      <w:r w:rsidRPr="0015541C">
        <w:rPr>
          <w:sz w:val="20"/>
          <w:szCs w:val="18"/>
          <w:vertAlign w:val="superscript"/>
          <w:lang w:val="pl-PL"/>
        </w:rPr>
        <w:t>a</w:t>
      </w:r>
      <w:r w:rsidRPr="0015541C">
        <w:rPr>
          <w:sz w:val="20"/>
          <w:szCs w:val="18"/>
          <w:lang w:val="pl-PL"/>
        </w:rPr>
        <w:t>Pojęcia medyczne przedstawiają zbiorcze działania niepożądane a nie pojedyncze jednostki chorobowe lub terminy medyczne słownika MedDRA stosowane przed i po dopuszczeni</w:t>
      </w:r>
      <w:r w:rsidR="00DE24F1" w:rsidRPr="0015541C">
        <w:rPr>
          <w:sz w:val="20"/>
          <w:szCs w:val="18"/>
          <w:lang w:val="pl-PL"/>
        </w:rPr>
        <w:t>u</w:t>
      </w:r>
      <w:r w:rsidRPr="0015541C">
        <w:rPr>
          <w:sz w:val="20"/>
          <w:szCs w:val="18"/>
          <w:lang w:val="pl-PL"/>
        </w:rPr>
        <w:t xml:space="preserve"> produktu do obrotu (ang. Medical Dictionary for Regulatory Activities). Pojęcia te mogą być związane z takim samym podłożem patofizjologicznym (np. działania niepożądane o charakterze zakrzepowo-zatorowym, wliczając w to incydenty w obrębie naczyń mózgowych, zawał </w:t>
      </w:r>
      <w:r w:rsidR="00A960AD" w:rsidRPr="0015541C">
        <w:rPr>
          <w:sz w:val="20"/>
          <w:szCs w:val="18"/>
          <w:lang w:val="pl-PL"/>
        </w:rPr>
        <w:t xml:space="preserve">mięśnia </w:t>
      </w:r>
      <w:r w:rsidRPr="0015541C">
        <w:rPr>
          <w:sz w:val="20"/>
          <w:szCs w:val="18"/>
          <w:lang w:val="pl-PL"/>
        </w:rPr>
        <w:t>serc</w:t>
      </w:r>
      <w:r w:rsidR="00A960AD" w:rsidRPr="0015541C">
        <w:rPr>
          <w:sz w:val="20"/>
          <w:szCs w:val="18"/>
          <w:lang w:val="pl-PL"/>
        </w:rPr>
        <w:t>owego</w:t>
      </w:r>
      <w:r w:rsidRPr="0015541C">
        <w:rPr>
          <w:sz w:val="20"/>
          <w:szCs w:val="18"/>
          <w:lang w:val="pl-PL"/>
        </w:rPr>
        <w:t>, przemijające napady niedokrwienne mózgu i inn</w:t>
      </w:r>
      <w:r w:rsidR="003C74A1" w:rsidRPr="0015541C">
        <w:rPr>
          <w:sz w:val="20"/>
          <w:szCs w:val="18"/>
          <w:lang w:val="pl-PL"/>
        </w:rPr>
        <w:t>e</w:t>
      </w:r>
      <w:r w:rsidR="00A960AD" w:rsidRPr="0015541C">
        <w:rPr>
          <w:sz w:val="20"/>
          <w:szCs w:val="18"/>
          <w:lang w:val="pl-PL"/>
        </w:rPr>
        <w:t xml:space="preserve"> </w:t>
      </w:r>
      <w:r w:rsidRPr="0015541C">
        <w:rPr>
          <w:sz w:val="20"/>
          <w:szCs w:val="18"/>
          <w:lang w:val="pl-PL"/>
        </w:rPr>
        <w:t>zdarzenia zakrzepowo-zatorowe).</w:t>
      </w:r>
    </w:p>
    <w:p w14:paraId="2186EE5D" w14:textId="77777777" w:rsidR="008800D7" w:rsidRPr="0015541C" w:rsidRDefault="008800D7" w:rsidP="008800D7">
      <w:pPr>
        <w:tabs>
          <w:tab w:val="left" w:pos="4920"/>
        </w:tabs>
        <w:rPr>
          <w:sz w:val="20"/>
          <w:szCs w:val="18"/>
          <w:lang w:val="pl-PL"/>
        </w:rPr>
      </w:pPr>
      <w:r w:rsidRPr="0015541C">
        <w:rPr>
          <w:sz w:val="20"/>
          <w:szCs w:val="18"/>
          <w:vertAlign w:val="superscript"/>
          <w:lang w:val="pl-PL"/>
        </w:rPr>
        <w:t>b</w:t>
      </w:r>
      <w:r w:rsidRPr="0015541C">
        <w:rPr>
          <w:sz w:val="20"/>
          <w:szCs w:val="18"/>
          <w:lang w:val="pl-PL"/>
        </w:rPr>
        <w:t>Dodatkowe informacje można znaleźć poniżej w części „Dodatkowe informacje dotyczące wybranych działań niepożądanych”.</w:t>
      </w:r>
    </w:p>
    <w:p w14:paraId="50731870" w14:textId="77777777" w:rsidR="008800D7" w:rsidRPr="0015541C" w:rsidRDefault="008800D7" w:rsidP="008800D7">
      <w:pPr>
        <w:tabs>
          <w:tab w:val="left" w:pos="4920"/>
        </w:tabs>
        <w:rPr>
          <w:sz w:val="20"/>
          <w:szCs w:val="18"/>
          <w:lang w:val="pl-PL"/>
        </w:rPr>
      </w:pPr>
      <w:r w:rsidRPr="0015541C">
        <w:rPr>
          <w:sz w:val="20"/>
          <w:szCs w:val="18"/>
          <w:vertAlign w:val="superscript"/>
          <w:lang w:val="pl-PL"/>
        </w:rPr>
        <w:t>c</w:t>
      </w:r>
      <w:r w:rsidRPr="0015541C">
        <w:rPr>
          <w:sz w:val="20"/>
          <w:szCs w:val="18"/>
          <w:lang w:val="pl-PL"/>
        </w:rPr>
        <w:t>Więcej informacji można znaleźć w Tabeli 3 „Działania niepożądane obserwowane po wprowadzeniu produktu do obrotu”.</w:t>
      </w:r>
    </w:p>
    <w:p w14:paraId="6A7D526F" w14:textId="77777777" w:rsidR="00C13C64" w:rsidRPr="0015541C" w:rsidRDefault="00C13C64" w:rsidP="00C13C64">
      <w:pPr>
        <w:keepNext/>
        <w:keepLines/>
        <w:tabs>
          <w:tab w:val="left" w:pos="4920"/>
        </w:tabs>
        <w:rPr>
          <w:sz w:val="20"/>
          <w:szCs w:val="18"/>
          <w:lang w:val="pl-PL"/>
        </w:rPr>
      </w:pPr>
      <w:r w:rsidRPr="0015541C">
        <w:rPr>
          <w:sz w:val="20"/>
          <w:szCs w:val="18"/>
          <w:vertAlign w:val="superscript"/>
          <w:lang w:val="pl-PL"/>
        </w:rPr>
        <w:t>d</w:t>
      </w:r>
      <w:r w:rsidRPr="0015541C">
        <w:rPr>
          <w:sz w:val="20"/>
          <w:szCs w:val="18"/>
          <w:lang w:val="pl-PL"/>
        </w:rPr>
        <w:t>Przetoki odbytniczo-pochwowe należą do najczęst</w:t>
      </w:r>
      <w:r w:rsidR="00EA7AC4" w:rsidRPr="0015541C">
        <w:rPr>
          <w:sz w:val="20"/>
          <w:szCs w:val="18"/>
          <w:lang w:val="pl-PL"/>
        </w:rPr>
        <w:t>s</w:t>
      </w:r>
      <w:r w:rsidRPr="0015541C">
        <w:rPr>
          <w:sz w:val="20"/>
          <w:szCs w:val="18"/>
          <w:lang w:val="pl-PL"/>
        </w:rPr>
        <w:t>zych przetok w kategorii przetok pomiędzy pochwą a przewodem pokarmowym.</w:t>
      </w:r>
    </w:p>
    <w:p w14:paraId="64D04CAE" w14:textId="77777777" w:rsidR="00C13C64" w:rsidRPr="0015541C" w:rsidRDefault="00C13C64" w:rsidP="008800D7">
      <w:pPr>
        <w:tabs>
          <w:tab w:val="left" w:pos="4920"/>
        </w:tabs>
        <w:rPr>
          <w:sz w:val="20"/>
          <w:lang w:val="pl-PL"/>
        </w:rPr>
      </w:pPr>
    </w:p>
    <w:p w14:paraId="261A9FAE" w14:textId="77777777" w:rsidR="00994050" w:rsidRPr="0015541C" w:rsidRDefault="00C53FF5" w:rsidP="0009262C">
      <w:pPr>
        <w:keepNext/>
        <w:rPr>
          <w:u w:val="single"/>
          <w:lang w:val="pl-PL"/>
        </w:rPr>
      </w:pPr>
      <w:r w:rsidRPr="0015541C">
        <w:rPr>
          <w:u w:val="single"/>
          <w:lang w:val="pl-PL"/>
        </w:rPr>
        <w:lastRenderedPageBreak/>
        <w:t>Opis</w:t>
      </w:r>
      <w:r w:rsidR="00994050" w:rsidRPr="0015541C">
        <w:rPr>
          <w:u w:val="single"/>
          <w:lang w:val="pl-PL"/>
        </w:rPr>
        <w:t xml:space="preserve"> wybranych działań niepożądanych:</w:t>
      </w:r>
    </w:p>
    <w:p w14:paraId="666CA256" w14:textId="77777777" w:rsidR="00994050" w:rsidRPr="0015541C" w:rsidRDefault="00994050" w:rsidP="0009262C">
      <w:pPr>
        <w:keepNext/>
        <w:rPr>
          <w:i/>
          <w:lang w:val="pl-PL"/>
        </w:rPr>
      </w:pPr>
    </w:p>
    <w:p w14:paraId="709CAC0F" w14:textId="77777777" w:rsidR="00125507" w:rsidRPr="0070444C" w:rsidRDefault="00994050" w:rsidP="0009262C">
      <w:pPr>
        <w:keepNext/>
        <w:rPr>
          <w:u w:val="single"/>
          <w:lang w:val="pl-PL"/>
        </w:rPr>
      </w:pPr>
      <w:r w:rsidRPr="0070444C">
        <w:rPr>
          <w:i/>
          <w:u w:val="single"/>
          <w:lang w:val="pl-PL"/>
        </w:rPr>
        <w:t xml:space="preserve">Perforacje żołądkowo-jelitowe </w:t>
      </w:r>
      <w:r w:rsidR="00C13C64" w:rsidRPr="0070444C">
        <w:rPr>
          <w:i/>
          <w:u w:val="single"/>
          <w:lang w:val="pl-PL"/>
        </w:rPr>
        <w:t>i przetoki</w:t>
      </w:r>
      <w:r w:rsidR="00C13C64" w:rsidRPr="0070444C">
        <w:rPr>
          <w:u w:val="single"/>
          <w:lang w:val="pl-PL"/>
        </w:rPr>
        <w:t xml:space="preserve"> </w:t>
      </w:r>
      <w:r w:rsidRPr="0070444C">
        <w:rPr>
          <w:u w:val="single"/>
          <w:lang w:val="pl-PL"/>
        </w:rPr>
        <w:t>(patrz punkt 4.4)</w:t>
      </w:r>
    </w:p>
    <w:p w14:paraId="4581AE17" w14:textId="77777777" w:rsidR="002F39CA" w:rsidRPr="0015541C" w:rsidRDefault="00994050" w:rsidP="00994050">
      <w:pPr>
        <w:rPr>
          <w:lang w:val="pl-PL"/>
        </w:rPr>
      </w:pPr>
      <w:r w:rsidRPr="0015541C">
        <w:rPr>
          <w:lang w:val="pl-PL"/>
        </w:rPr>
        <w:t xml:space="preserve">Podawanie </w:t>
      </w:r>
      <w:r w:rsidR="009B3095" w:rsidRPr="0015541C">
        <w:rPr>
          <w:lang w:val="pl-PL"/>
        </w:rPr>
        <w:t>bewacyzumab</w:t>
      </w:r>
      <w:r w:rsidRPr="0015541C">
        <w:rPr>
          <w:lang w:val="pl-PL"/>
        </w:rPr>
        <w:t>u było związane z występowaniem ciężkich przypadków perforacji żołądkowo-jelitowych.</w:t>
      </w:r>
    </w:p>
    <w:p w14:paraId="1B007EE6" w14:textId="77777777" w:rsidR="002F39CA" w:rsidRPr="0015541C" w:rsidRDefault="002F39CA" w:rsidP="00994050">
      <w:pPr>
        <w:rPr>
          <w:lang w:val="pl-PL"/>
        </w:rPr>
      </w:pPr>
    </w:p>
    <w:p w14:paraId="7D110F86" w14:textId="1AF9A141" w:rsidR="00994050" w:rsidRPr="0015541C" w:rsidRDefault="00994050" w:rsidP="00994050">
      <w:pPr>
        <w:rPr>
          <w:lang w:val="pl-PL"/>
        </w:rPr>
      </w:pPr>
      <w:r w:rsidRPr="0015541C">
        <w:rPr>
          <w:lang w:val="pl-PL"/>
        </w:rPr>
        <w:t xml:space="preserve">W badaniach klinicznych perforacje żołądkowo-jelitowe występowały z częstością mniejszą niż 1% u pacjentów z niepłaskonabłonkowym, niedrobnokomórkowym rakiem płuca, </w:t>
      </w:r>
      <w:r w:rsidR="00A8254F" w:rsidRPr="0015541C">
        <w:rPr>
          <w:lang w:val="pl-PL"/>
        </w:rPr>
        <w:t xml:space="preserve">do 1,3% u pacjentów z rakiem piersi z przerzutami, </w:t>
      </w:r>
      <w:r w:rsidRPr="0015541C">
        <w:rPr>
          <w:lang w:val="pl-PL"/>
        </w:rPr>
        <w:t xml:space="preserve">do 2% u </w:t>
      </w:r>
      <w:r w:rsidR="004D413B" w:rsidRPr="0015541C">
        <w:rPr>
          <w:lang w:val="pl-PL"/>
        </w:rPr>
        <w:t xml:space="preserve">chorych na </w:t>
      </w:r>
      <w:r w:rsidR="00A2076F" w:rsidRPr="0015541C">
        <w:rPr>
          <w:lang w:val="pl-PL"/>
        </w:rPr>
        <w:t xml:space="preserve">rozsianego raka nerki lub </w:t>
      </w:r>
      <w:r w:rsidR="004D413B" w:rsidRPr="0015541C">
        <w:rPr>
          <w:lang w:val="pl-PL"/>
        </w:rPr>
        <w:t>raka jajnika</w:t>
      </w:r>
      <w:r w:rsidR="00A81B12" w:rsidRPr="0015541C">
        <w:rPr>
          <w:lang w:val="pl-PL"/>
        </w:rPr>
        <w:t xml:space="preserve"> oraz do 2,7% (w tym </w:t>
      </w:r>
      <w:r w:rsidR="00A81B12" w:rsidRPr="0015541C">
        <w:rPr>
          <w:rStyle w:val="st"/>
          <w:lang w:val="pl-PL"/>
        </w:rPr>
        <w:t>przetoka żołądkowo-jelitowa</w:t>
      </w:r>
      <w:r w:rsidR="00A81B12" w:rsidRPr="0015541C">
        <w:rPr>
          <w:lang w:val="pl-PL"/>
        </w:rPr>
        <w:t xml:space="preserve"> i ropień) u pacjentów z rakiem okrężnicy lub odbytnicy z przerzutami</w:t>
      </w:r>
      <w:r w:rsidRPr="0015541C">
        <w:rPr>
          <w:lang w:val="pl-PL"/>
        </w:rPr>
        <w:t xml:space="preserve">. </w:t>
      </w:r>
      <w:r w:rsidR="00FC5FF2" w:rsidRPr="0015541C">
        <w:rPr>
          <w:lang w:val="pl-PL"/>
        </w:rPr>
        <w:t xml:space="preserve">W badaniu klinicznym u </w:t>
      </w:r>
      <w:r w:rsidR="00474AB5" w:rsidRPr="0015541C">
        <w:rPr>
          <w:lang w:val="pl-PL"/>
        </w:rPr>
        <w:t>pacjentek</w:t>
      </w:r>
      <w:r w:rsidR="00FC5FF2" w:rsidRPr="0015541C">
        <w:rPr>
          <w:lang w:val="pl-PL"/>
        </w:rPr>
        <w:t xml:space="preserve"> z przetrwałym, nawrotowym lub przerzutowym rakiem szyjki macicy (badanie GOG</w:t>
      </w:r>
      <w:r w:rsidR="00584E44" w:rsidRPr="0015541C">
        <w:rPr>
          <w:lang w:val="pl-PL"/>
        </w:rPr>
        <w:noBreakHyphen/>
      </w:r>
      <w:r w:rsidR="00FC5FF2" w:rsidRPr="0015541C">
        <w:rPr>
          <w:lang w:val="pl-PL"/>
        </w:rPr>
        <w:t>0240), perforacje żołądkowo-jelitowe (wszystkie stopnie)</w:t>
      </w:r>
      <w:r w:rsidR="00C03D91" w:rsidRPr="0015541C">
        <w:rPr>
          <w:lang w:val="pl-PL"/>
        </w:rPr>
        <w:t xml:space="preserve"> zgłaszano</w:t>
      </w:r>
      <w:r w:rsidR="00FC5FF2" w:rsidRPr="0015541C">
        <w:rPr>
          <w:lang w:val="pl-PL"/>
        </w:rPr>
        <w:t xml:space="preserve"> u 3,2% pacjent</w:t>
      </w:r>
      <w:r w:rsidR="006D3BD4" w:rsidRPr="0015541C">
        <w:rPr>
          <w:lang w:val="pl-PL"/>
        </w:rPr>
        <w:t>ek</w:t>
      </w:r>
      <w:r w:rsidR="006C10E9" w:rsidRPr="0015541C">
        <w:rPr>
          <w:lang w:val="pl-PL"/>
        </w:rPr>
        <w:t xml:space="preserve">. Wszystkie pacjentki z tym powikłaniem były uprzednio poddawane </w:t>
      </w:r>
      <w:r w:rsidR="00FC5FF2" w:rsidRPr="0015541C">
        <w:rPr>
          <w:lang w:val="pl-PL"/>
        </w:rPr>
        <w:t>radioterapi</w:t>
      </w:r>
      <w:r w:rsidR="006C10E9" w:rsidRPr="0015541C">
        <w:rPr>
          <w:lang w:val="pl-PL"/>
        </w:rPr>
        <w:t>i</w:t>
      </w:r>
      <w:r w:rsidR="00FC5FF2" w:rsidRPr="0015541C">
        <w:rPr>
          <w:lang w:val="pl-PL"/>
        </w:rPr>
        <w:t xml:space="preserve"> miednicy. </w:t>
      </w:r>
    </w:p>
    <w:p w14:paraId="128D7CF2" w14:textId="77777777" w:rsidR="00994050" w:rsidRPr="0015541C" w:rsidRDefault="00994050" w:rsidP="00994050">
      <w:pPr>
        <w:rPr>
          <w:lang w:val="pl-PL"/>
        </w:rPr>
      </w:pPr>
    </w:p>
    <w:p w14:paraId="58FF0DBB" w14:textId="77777777" w:rsidR="00994050" w:rsidRPr="0015541C" w:rsidRDefault="00994050" w:rsidP="00994050">
      <w:pPr>
        <w:rPr>
          <w:lang w:val="pl-PL"/>
        </w:rPr>
      </w:pPr>
      <w:r w:rsidRPr="0015541C">
        <w:rPr>
          <w:lang w:val="pl-PL"/>
        </w:rPr>
        <w:t xml:space="preserve">Występowanie tych </w:t>
      </w:r>
      <w:r w:rsidR="00D7286A" w:rsidRPr="0015541C">
        <w:rPr>
          <w:lang w:val="pl-PL"/>
        </w:rPr>
        <w:t>zdarzeń</w:t>
      </w:r>
      <w:r w:rsidR="00D81F17" w:rsidRPr="0015541C">
        <w:rPr>
          <w:lang w:val="pl-PL"/>
        </w:rPr>
        <w:t xml:space="preserve"> </w:t>
      </w:r>
      <w:r w:rsidRPr="0015541C">
        <w:rPr>
          <w:lang w:val="pl-PL"/>
        </w:rPr>
        <w:t>różniło się w zakresie rodzaju i ciężkości, od objawu bańki powietrza widocznego na zdjęciu przeglądowym jamy brzusznej, który ustępował bez leczenia, aż do perforacji jelitowej z ropniem w jamie brzusznej i śmierci pacjenta. W niektórych przypadkach występowało zapalenie w obrębie jamy brzusznej spowodowane chorobą wrzodową żołądka, martwicą guza, zapaleniem uchyłka lub zapaleniem jelit związanym z chemioterapią.</w:t>
      </w:r>
    </w:p>
    <w:p w14:paraId="4BBE9327" w14:textId="77777777" w:rsidR="00FC5FF2" w:rsidRPr="0015541C" w:rsidRDefault="00FC5FF2" w:rsidP="00994050">
      <w:pPr>
        <w:rPr>
          <w:lang w:val="pl-PL"/>
        </w:rPr>
      </w:pPr>
    </w:p>
    <w:p w14:paraId="69201F4C" w14:textId="77777777" w:rsidR="00FC5FF2" w:rsidRPr="0015541C" w:rsidRDefault="00FC5FF2" w:rsidP="00994050">
      <w:pPr>
        <w:rPr>
          <w:lang w:val="pl-PL"/>
        </w:rPr>
      </w:pPr>
      <w:r w:rsidRPr="0015541C">
        <w:rPr>
          <w:lang w:val="pl-PL"/>
        </w:rPr>
        <w:t>Zgonem zakończyła się około trzecia część ciężkich przypadków perforacji żołądkowo-jelitowych, co</w:t>
      </w:r>
      <w:r w:rsidR="00114E7B" w:rsidRPr="0015541C">
        <w:rPr>
          <w:lang w:val="pl-PL"/>
        </w:rPr>
        <w:t> </w:t>
      </w:r>
      <w:r w:rsidRPr="0015541C">
        <w:rPr>
          <w:lang w:val="pl-PL"/>
        </w:rPr>
        <w:t xml:space="preserve">odpowiada 0,2%-1% wszystkich pacjentów otrzymujących </w:t>
      </w:r>
      <w:r w:rsidR="00F26FFA" w:rsidRPr="0015541C">
        <w:rPr>
          <w:lang w:val="pl-PL"/>
        </w:rPr>
        <w:t>bewacyzumab</w:t>
      </w:r>
      <w:r w:rsidRPr="0015541C">
        <w:rPr>
          <w:lang w:val="pl-PL"/>
        </w:rPr>
        <w:t>.</w:t>
      </w:r>
    </w:p>
    <w:p w14:paraId="105DA88A" w14:textId="77777777" w:rsidR="00FC5FF2" w:rsidRPr="0015541C" w:rsidRDefault="00FC5FF2" w:rsidP="00994050">
      <w:pPr>
        <w:rPr>
          <w:lang w:val="pl-PL"/>
        </w:rPr>
      </w:pPr>
    </w:p>
    <w:p w14:paraId="74176842" w14:textId="77777777" w:rsidR="00945E00" w:rsidRPr="0015541C" w:rsidRDefault="0009749D" w:rsidP="00FC5FF2">
      <w:pPr>
        <w:rPr>
          <w:lang w:val="pl-PL"/>
        </w:rPr>
      </w:pPr>
      <w:r w:rsidRPr="0015541C">
        <w:rPr>
          <w:lang w:val="pl-PL"/>
        </w:rPr>
        <w:t xml:space="preserve">W badaniach klinicznych </w:t>
      </w:r>
      <w:r w:rsidR="00312C30" w:rsidRPr="0015541C">
        <w:rPr>
          <w:lang w:val="pl-PL"/>
        </w:rPr>
        <w:t>bewacyzumab</w:t>
      </w:r>
      <w:r w:rsidRPr="0015541C">
        <w:rPr>
          <w:lang w:val="pl-PL"/>
        </w:rPr>
        <w:t xml:space="preserve">u, przetoki (wszystkie stopnie) w obrębie przewodu pokarmowego występowały z częstością do 2% u </w:t>
      </w:r>
      <w:r w:rsidR="00C434B9" w:rsidRPr="0015541C">
        <w:rPr>
          <w:lang w:val="pl-PL"/>
        </w:rPr>
        <w:t>chorych</w:t>
      </w:r>
      <w:r w:rsidRPr="0015541C">
        <w:rPr>
          <w:lang w:val="pl-PL"/>
        </w:rPr>
        <w:t xml:space="preserve"> </w:t>
      </w:r>
      <w:r w:rsidR="00C434B9" w:rsidRPr="0015541C">
        <w:rPr>
          <w:lang w:val="pl-PL"/>
        </w:rPr>
        <w:t xml:space="preserve">na </w:t>
      </w:r>
      <w:r w:rsidRPr="0015541C">
        <w:rPr>
          <w:lang w:val="pl-PL"/>
        </w:rPr>
        <w:t>rak</w:t>
      </w:r>
      <w:r w:rsidR="00C434B9" w:rsidRPr="0015541C">
        <w:rPr>
          <w:lang w:val="pl-PL"/>
        </w:rPr>
        <w:t>a</w:t>
      </w:r>
      <w:r w:rsidRPr="0015541C">
        <w:rPr>
          <w:lang w:val="pl-PL"/>
        </w:rPr>
        <w:t xml:space="preserve"> </w:t>
      </w:r>
      <w:r w:rsidR="00C434B9" w:rsidRPr="0015541C">
        <w:rPr>
          <w:lang w:val="pl-PL"/>
        </w:rPr>
        <w:t>okrężnicy</w:t>
      </w:r>
      <w:r w:rsidRPr="0015541C">
        <w:rPr>
          <w:lang w:val="pl-PL"/>
        </w:rPr>
        <w:t xml:space="preserve"> i odbytnicy z przerzutami oraz</w:t>
      </w:r>
      <w:r w:rsidR="00F23351" w:rsidRPr="0015541C">
        <w:rPr>
          <w:lang w:val="pl-PL"/>
        </w:rPr>
        <w:t xml:space="preserve"> </w:t>
      </w:r>
      <w:r w:rsidR="00C434B9" w:rsidRPr="0015541C">
        <w:rPr>
          <w:lang w:val="pl-PL"/>
        </w:rPr>
        <w:t xml:space="preserve">chorych na </w:t>
      </w:r>
      <w:r w:rsidRPr="0015541C">
        <w:rPr>
          <w:lang w:val="pl-PL"/>
        </w:rPr>
        <w:t>rak</w:t>
      </w:r>
      <w:r w:rsidR="00C434B9" w:rsidRPr="0015541C">
        <w:rPr>
          <w:lang w:val="pl-PL"/>
        </w:rPr>
        <w:t>a</w:t>
      </w:r>
      <w:r w:rsidRPr="0015541C">
        <w:rPr>
          <w:lang w:val="pl-PL"/>
        </w:rPr>
        <w:t xml:space="preserve"> jajnika, jednak były również obserwowane </w:t>
      </w:r>
      <w:r w:rsidR="00C434B9" w:rsidRPr="0015541C">
        <w:rPr>
          <w:lang w:val="pl-PL"/>
        </w:rPr>
        <w:t xml:space="preserve">rzadziej </w:t>
      </w:r>
      <w:r w:rsidRPr="0015541C">
        <w:rPr>
          <w:lang w:val="pl-PL"/>
        </w:rPr>
        <w:t xml:space="preserve">u pacjentów z innymi rodzajami nowotworów. </w:t>
      </w:r>
    </w:p>
    <w:p w14:paraId="410799AC" w14:textId="77777777" w:rsidR="00945E00" w:rsidRPr="0015541C" w:rsidRDefault="00945E00" w:rsidP="00FC5FF2">
      <w:pPr>
        <w:rPr>
          <w:lang w:val="pl-PL"/>
        </w:rPr>
      </w:pPr>
    </w:p>
    <w:p w14:paraId="5B9F3253" w14:textId="77777777" w:rsidR="00945E00" w:rsidRPr="0070444C" w:rsidRDefault="00945E00" w:rsidP="006D0C20">
      <w:pPr>
        <w:keepNext/>
        <w:keepLines/>
        <w:rPr>
          <w:i/>
          <w:u w:val="single"/>
          <w:lang w:val="pl-PL"/>
        </w:rPr>
      </w:pPr>
      <w:r w:rsidRPr="0070444C">
        <w:rPr>
          <w:i/>
          <w:u w:val="single"/>
          <w:lang w:val="pl-PL"/>
        </w:rPr>
        <w:t>Przetoki pomiędzy układem pokarmowym a pochwą w badaniu GOG-0240</w:t>
      </w:r>
    </w:p>
    <w:p w14:paraId="055A8800" w14:textId="77777777" w:rsidR="0009749D" w:rsidRPr="0015541C" w:rsidRDefault="0009749D" w:rsidP="006D0C20">
      <w:pPr>
        <w:keepNext/>
        <w:keepLines/>
        <w:rPr>
          <w:lang w:val="pl-PL"/>
        </w:rPr>
      </w:pPr>
      <w:r w:rsidRPr="0015541C">
        <w:rPr>
          <w:lang w:val="pl-PL"/>
        </w:rPr>
        <w:t>W badani</w:t>
      </w:r>
      <w:r w:rsidR="00C434B9" w:rsidRPr="0015541C">
        <w:rPr>
          <w:lang w:val="pl-PL"/>
        </w:rPr>
        <w:t>u</w:t>
      </w:r>
      <w:r w:rsidRPr="0015541C">
        <w:rPr>
          <w:lang w:val="pl-PL"/>
        </w:rPr>
        <w:t xml:space="preserve"> z udziałem pacjent</w:t>
      </w:r>
      <w:r w:rsidR="006D3BD4" w:rsidRPr="0015541C">
        <w:rPr>
          <w:lang w:val="pl-PL"/>
        </w:rPr>
        <w:t>ek</w:t>
      </w:r>
      <w:r w:rsidRPr="0015541C">
        <w:rPr>
          <w:lang w:val="pl-PL"/>
        </w:rPr>
        <w:t xml:space="preserve"> z przetrwałym, nawrotowym lub przerzutowym rakiem szyjki macicy, przetoki pomiędzy pochwą a przewodem pokarmowym występowały z częstością 8,3% w grupie leczonej </w:t>
      </w:r>
      <w:r w:rsidR="00C96C02" w:rsidRPr="0015541C">
        <w:rPr>
          <w:lang w:val="pl-PL"/>
        </w:rPr>
        <w:t>bewacyzumab</w:t>
      </w:r>
      <w:r w:rsidRPr="0015541C">
        <w:rPr>
          <w:lang w:val="pl-PL"/>
        </w:rPr>
        <w:t>em i 0,9% w grupie kontrolnej</w:t>
      </w:r>
      <w:r w:rsidR="00841774" w:rsidRPr="0015541C">
        <w:rPr>
          <w:lang w:val="pl-PL"/>
        </w:rPr>
        <w:t xml:space="preserve">, </w:t>
      </w:r>
      <w:r w:rsidR="00C434B9" w:rsidRPr="0015541C">
        <w:rPr>
          <w:lang w:val="pl-PL"/>
        </w:rPr>
        <w:t>wszystkie pacjentki z tym powikłaniem były uprzednio poddawane radioterapii miednicy.</w:t>
      </w:r>
      <w:r w:rsidRPr="0015541C">
        <w:rPr>
          <w:lang w:val="pl-PL"/>
        </w:rPr>
        <w:t xml:space="preserve"> </w:t>
      </w:r>
      <w:r w:rsidR="00945E00" w:rsidRPr="0015541C">
        <w:rPr>
          <w:lang w:val="pl-PL"/>
        </w:rPr>
        <w:t xml:space="preserve">Częstość powstawania przetok pomiędzy układem pokarmowym a pochwą </w:t>
      </w:r>
      <w:r w:rsidR="00FE6F7C" w:rsidRPr="0015541C">
        <w:rPr>
          <w:lang w:val="pl-PL"/>
        </w:rPr>
        <w:t>była</w:t>
      </w:r>
      <w:r w:rsidR="00945E00" w:rsidRPr="0015541C">
        <w:rPr>
          <w:lang w:val="pl-PL"/>
        </w:rPr>
        <w:t xml:space="preserve"> większa u pacjente</w:t>
      </w:r>
      <w:r w:rsidR="00E969E5" w:rsidRPr="0015541C">
        <w:rPr>
          <w:lang w:val="pl-PL"/>
        </w:rPr>
        <w:t>k</w:t>
      </w:r>
      <w:r w:rsidR="00945E00" w:rsidRPr="0015541C">
        <w:rPr>
          <w:lang w:val="pl-PL"/>
        </w:rPr>
        <w:t xml:space="preserve"> leczonych </w:t>
      </w:r>
      <w:r w:rsidR="00B0526A" w:rsidRPr="0015541C">
        <w:rPr>
          <w:lang w:val="pl-PL"/>
        </w:rPr>
        <w:t>bewacyzumab</w:t>
      </w:r>
      <w:r w:rsidR="00945E00" w:rsidRPr="0015541C">
        <w:rPr>
          <w:lang w:val="pl-PL"/>
        </w:rPr>
        <w:t xml:space="preserve">em </w:t>
      </w:r>
      <w:r w:rsidR="00FE6F7C" w:rsidRPr="0015541C">
        <w:rPr>
          <w:lang w:val="pl-PL"/>
        </w:rPr>
        <w:t xml:space="preserve">w skojarzeniu z </w:t>
      </w:r>
      <w:r w:rsidR="00945E00" w:rsidRPr="0015541C">
        <w:rPr>
          <w:lang w:val="pl-PL"/>
        </w:rPr>
        <w:t>chemioterapią jeżeli wznowa nowotworu była w obrębie poddawanym radioterapii (16,7%)</w:t>
      </w:r>
      <w:r w:rsidR="00FE6F7C" w:rsidRPr="0015541C">
        <w:rPr>
          <w:lang w:val="pl-PL"/>
        </w:rPr>
        <w:t xml:space="preserve">, w porównaniu z grupą pacjentek </w:t>
      </w:r>
      <w:r w:rsidR="00F36C47" w:rsidRPr="0015541C">
        <w:rPr>
          <w:lang w:val="pl-PL"/>
        </w:rPr>
        <w:t xml:space="preserve">bez </w:t>
      </w:r>
      <w:r w:rsidR="005F703E" w:rsidRPr="0015541C">
        <w:rPr>
          <w:lang w:val="pl-PL"/>
        </w:rPr>
        <w:t>wcześniejszej radioterapii</w:t>
      </w:r>
      <w:r w:rsidR="00F36C47" w:rsidRPr="0015541C">
        <w:rPr>
          <w:lang w:val="pl-PL"/>
        </w:rPr>
        <w:t xml:space="preserve"> i (lub) bez wznowy w pol</w:t>
      </w:r>
      <w:r w:rsidR="00601D12" w:rsidRPr="0015541C">
        <w:rPr>
          <w:lang w:val="pl-PL"/>
        </w:rPr>
        <w:t>u</w:t>
      </w:r>
      <w:r w:rsidR="00F36C47" w:rsidRPr="0015541C">
        <w:rPr>
          <w:lang w:val="pl-PL"/>
        </w:rPr>
        <w:t xml:space="preserve"> wcześniejszego </w:t>
      </w:r>
      <w:r w:rsidR="005F703E" w:rsidRPr="0015541C">
        <w:rPr>
          <w:lang w:val="pl-PL"/>
        </w:rPr>
        <w:t>napromieni</w:t>
      </w:r>
      <w:r w:rsidR="008851BA" w:rsidRPr="0015541C">
        <w:rPr>
          <w:lang w:val="pl-PL"/>
        </w:rPr>
        <w:t>a</w:t>
      </w:r>
      <w:r w:rsidR="005F703E" w:rsidRPr="0015541C">
        <w:rPr>
          <w:lang w:val="pl-PL"/>
        </w:rPr>
        <w:t>nia</w:t>
      </w:r>
      <w:r w:rsidR="00F36C47" w:rsidRPr="0015541C">
        <w:rPr>
          <w:lang w:val="pl-PL"/>
        </w:rPr>
        <w:t xml:space="preserve"> (3,6%). </w:t>
      </w:r>
      <w:r w:rsidR="00945E00" w:rsidRPr="0015541C">
        <w:rPr>
          <w:lang w:val="pl-PL"/>
        </w:rPr>
        <w:t xml:space="preserve">W grupie kontrolnej otrzymującej </w:t>
      </w:r>
      <w:r w:rsidR="00FE6F7C" w:rsidRPr="0015541C">
        <w:rPr>
          <w:lang w:val="pl-PL"/>
        </w:rPr>
        <w:t xml:space="preserve">wyłącznie </w:t>
      </w:r>
      <w:r w:rsidR="00945E00" w:rsidRPr="0015541C">
        <w:rPr>
          <w:lang w:val="pl-PL"/>
        </w:rPr>
        <w:t>chemioterapię</w:t>
      </w:r>
      <w:r w:rsidR="00E969E5" w:rsidRPr="0015541C">
        <w:rPr>
          <w:lang w:val="pl-PL"/>
        </w:rPr>
        <w:t xml:space="preserve"> </w:t>
      </w:r>
      <w:r w:rsidR="00945E00" w:rsidRPr="0015541C">
        <w:rPr>
          <w:lang w:val="pl-PL"/>
        </w:rPr>
        <w:t xml:space="preserve">częstość </w:t>
      </w:r>
      <w:r w:rsidR="00C03D91" w:rsidRPr="0015541C">
        <w:rPr>
          <w:lang w:val="pl-PL"/>
        </w:rPr>
        <w:t xml:space="preserve">występowania </w:t>
      </w:r>
      <w:r w:rsidR="00FE6F7C" w:rsidRPr="0015541C">
        <w:rPr>
          <w:lang w:val="pl-PL"/>
        </w:rPr>
        <w:t xml:space="preserve">przetok </w:t>
      </w:r>
      <w:r w:rsidR="00945E00" w:rsidRPr="0015541C">
        <w:rPr>
          <w:lang w:val="pl-PL"/>
        </w:rPr>
        <w:t xml:space="preserve">wynosiła odpowiednio 1,1% vs. 0,8%. </w:t>
      </w:r>
      <w:r w:rsidR="00841774" w:rsidRPr="0015541C">
        <w:rPr>
          <w:lang w:val="pl-PL"/>
        </w:rPr>
        <w:t>Pacjentki u których wystąpi przetoka pomiędzy pochwą a przewodem pokarmowym mogą także mieć niedrożność jelit i wymagać interwencji chirurgicznej</w:t>
      </w:r>
      <w:r w:rsidR="00C434B9" w:rsidRPr="0015541C">
        <w:rPr>
          <w:lang w:val="pl-PL"/>
        </w:rPr>
        <w:t xml:space="preserve">, </w:t>
      </w:r>
      <w:r w:rsidR="00F23351" w:rsidRPr="0015541C">
        <w:rPr>
          <w:lang w:val="pl-PL"/>
        </w:rPr>
        <w:t>ja</w:t>
      </w:r>
      <w:r w:rsidR="00C434B9" w:rsidRPr="0015541C">
        <w:rPr>
          <w:lang w:val="pl-PL"/>
        </w:rPr>
        <w:t xml:space="preserve">k również </w:t>
      </w:r>
      <w:r w:rsidR="00841774" w:rsidRPr="0015541C">
        <w:rPr>
          <w:lang w:val="pl-PL"/>
        </w:rPr>
        <w:t>wytworzenia stomii.</w:t>
      </w:r>
    </w:p>
    <w:p w14:paraId="7D202669" w14:textId="77777777" w:rsidR="00994050" w:rsidRPr="0015541C" w:rsidRDefault="00994050" w:rsidP="00994050">
      <w:pPr>
        <w:rPr>
          <w:lang w:val="pl-PL"/>
        </w:rPr>
      </w:pPr>
    </w:p>
    <w:p w14:paraId="556E961C" w14:textId="77777777" w:rsidR="00994050" w:rsidRPr="0070444C" w:rsidRDefault="00994050" w:rsidP="00903311">
      <w:pPr>
        <w:keepNext/>
        <w:tabs>
          <w:tab w:val="left" w:pos="1843"/>
        </w:tabs>
        <w:autoSpaceDE w:val="0"/>
        <w:autoSpaceDN w:val="0"/>
        <w:adjustRightInd w:val="0"/>
        <w:rPr>
          <w:u w:val="single"/>
          <w:lang w:val="pl-PL"/>
        </w:rPr>
      </w:pPr>
      <w:r w:rsidRPr="0070444C">
        <w:rPr>
          <w:i/>
          <w:u w:val="single"/>
          <w:lang w:val="pl-PL"/>
        </w:rPr>
        <w:t xml:space="preserve">Przetoki </w:t>
      </w:r>
      <w:r w:rsidR="00FC5FF2" w:rsidRPr="0070444C">
        <w:rPr>
          <w:i/>
          <w:u w:val="single"/>
          <w:lang w:val="pl-PL"/>
        </w:rPr>
        <w:t xml:space="preserve">(inne niż żołądkowo-jelitowe) </w:t>
      </w:r>
      <w:r w:rsidRPr="0070444C">
        <w:rPr>
          <w:u w:val="single"/>
          <w:lang w:val="pl-PL"/>
        </w:rPr>
        <w:t>(patrz punkt 4.4)</w:t>
      </w:r>
    </w:p>
    <w:p w14:paraId="0E8195B4" w14:textId="77777777" w:rsidR="00994050" w:rsidRPr="0015541C" w:rsidRDefault="00994050" w:rsidP="00994050">
      <w:pPr>
        <w:autoSpaceDE w:val="0"/>
        <w:autoSpaceDN w:val="0"/>
        <w:adjustRightInd w:val="0"/>
        <w:rPr>
          <w:lang w:val="pl-PL"/>
        </w:rPr>
      </w:pPr>
      <w:r w:rsidRPr="0015541C">
        <w:rPr>
          <w:lang w:val="pl-PL"/>
        </w:rPr>
        <w:t xml:space="preserve">Podawanie </w:t>
      </w:r>
      <w:r w:rsidR="008A37C9" w:rsidRPr="0015541C">
        <w:rPr>
          <w:lang w:val="pl-PL"/>
        </w:rPr>
        <w:t>bewacyzumab</w:t>
      </w:r>
      <w:r w:rsidRPr="0015541C">
        <w:rPr>
          <w:lang w:val="pl-PL"/>
        </w:rPr>
        <w:t>u było związane z występowaniem ciężkich przypadków przetok, z których niektóre prowadziły do zgonu.</w:t>
      </w:r>
      <w:r w:rsidR="00C434B9" w:rsidRPr="0015541C">
        <w:rPr>
          <w:lang w:val="pl-PL"/>
        </w:rPr>
        <w:t xml:space="preserve"> </w:t>
      </w:r>
    </w:p>
    <w:p w14:paraId="1C58D297" w14:textId="77777777" w:rsidR="00FC5FF2" w:rsidRPr="0015541C" w:rsidRDefault="00FC5FF2" w:rsidP="00994050">
      <w:pPr>
        <w:autoSpaceDE w:val="0"/>
        <w:autoSpaceDN w:val="0"/>
        <w:adjustRightInd w:val="0"/>
        <w:rPr>
          <w:lang w:val="pl-PL"/>
        </w:rPr>
      </w:pPr>
    </w:p>
    <w:p w14:paraId="1693A72D" w14:textId="77777777" w:rsidR="00FC5FF2" w:rsidRPr="0015541C" w:rsidRDefault="00FC5FF2" w:rsidP="00994050">
      <w:pPr>
        <w:autoSpaceDE w:val="0"/>
        <w:autoSpaceDN w:val="0"/>
        <w:adjustRightInd w:val="0"/>
        <w:rPr>
          <w:lang w:val="pl-PL"/>
        </w:rPr>
      </w:pPr>
      <w:r w:rsidRPr="0015541C">
        <w:rPr>
          <w:lang w:val="pl-PL"/>
        </w:rPr>
        <w:t xml:space="preserve">W badaniu klinicznym u </w:t>
      </w:r>
      <w:r w:rsidR="00474AB5" w:rsidRPr="0015541C">
        <w:rPr>
          <w:lang w:val="pl-PL"/>
        </w:rPr>
        <w:t>pacjentek</w:t>
      </w:r>
      <w:r w:rsidRPr="0015541C">
        <w:rPr>
          <w:lang w:val="pl-PL"/>
        </w:rPr>
        <w:t xml:space="preserve"> z przetrwałym, nawrotowym lub przerzutowym rakiem szyjki macicy (badanie GOG-0240), u 1,8% </w:t>
      </w:r>
      <w:r w:rsidR="00C434B9" w:rsidRPr="0015541C">
        <w:rPr>
          <w:lang w:val="pl-PL"/>
        </w:rPr>
        <w:t>chorych</w:t>
      </w:r>
      <w:r w:rsidRPr="0015541C">
        <w:rPr>
          <w:lang w:val="pl-PL"/>
        </w:rPr>
        <w:t xml:space="preserve"> leczonych </w:t>
      </w:r>
      <w:r w:rsidR="00B249A7" w:rsidRPr="0015541C">
        <w:rPr>
          <w:lang w:val="pl-PL"/>
        </w:rPr>
        <w:t>bewacyzumab</w:t>
      </w:r>
      <w:r w:rsidRPr="0015541C">
        <w:rPr>
          <w:lang w:val="pl-PL"/>
        </w:rPr>
        <w:t xml:space="preserve">em i u 1,4% </w:t>
      </w:r>
      <w:r w:rsidR="00C434B9" w:rsidRPr="0015541C">
        <w:rPr>
          <w:lang w:val="pl-PL"/>
        </w:rPr>
        <w:t>chorych</w:t>
      </w:r>
      <w:r w:rsidRPr="0015541C">
        <w:rPr>
          <w:lang w:val="pl-PL"/>
        </w:rPr>
        <w:t xml:space="preserve"> z grupy kontrolnej </w:t>
      </w:r>
      <w:r w:rsidR="00C03D91" w:rsidRPr="0015541C">
        <w:rPr>
          <w:lang w:val="pl-PL"/>
        </w:rPr>
        <w:t>zgłaszano</w:t>
      </w:r>
      <w:r w:rsidRPr="0015541C">
        <w:rPr>
          <w:lang w:val="pl-PL"/>
        </w:rPr>
        <w:t xml:space="preserve"> przetoki </w:t>
      </w:r>
      <w:r w:rsidR="00435254" w:rsidRPr="0015541C">
        <w:rPr>
          <w:lang w:val="pl-PL"/>
        </w:rPr>
        <w:t xml:space="preserve">poza przewodem pokarmowym - </w:t>
      </w:r>
      <w:r w:rsidR="00DD574E" w:rsidRPr="0015541C">
        <w:rPr>
          <w:lang w:val="pl-PL"/>
        </w:rPr>
        <w:t>pochwy</w:t>
      </w:r>
      <w:r w:rsidR="00435254" w:rsidRPr="0015541C">
        <w:rPr>
          <w:lang w:val="pl-PL"/>
        </w:rPr>
        <w:t>,</w:t>
      </w:r>
      <w:r w:rsidR="00DD574E" w:rsidRPr="0015541C">
        <w:rPr>
          <w:lang w:val="pl-PL"/>
        </w:rPr>
        <w:t xml:space="preserve"> pęcherza moczowego lub dr</w:t>
      </w:r>
      <w:r w:rsidR="00435254" w:rsidRPr="0015541C">
        <w:rPr>
          <w:lang w:val="pl-PL"/>
        </w:rPr>
        <w:t>ó</w:t>
      </w:r>
      <w:r w:rsidR="00DD574E" w:rsidRPr="0015541C">
        <w:rPr>
          <w:lang w:val="pl-PL"/>
        </w:rPr>
        <w:t>g rodnych.</w:t>
      </w:r>
    </w:p>
    <w:p w14:paraId="3981254A" w14:textId="77777777" w:rsidR="00994050" w:rsidRPr="0015541C" w:rsidRDefault="00994050" w:rsidP="00994050">
      <w:pPr>
        <w:autoSpaceDE w:val="0"/>
        <w:autoSpaceDN w:val="0"/>
        <w:adjustRightInd w:val="0"/>
        <w:rPr>
          <w:lang w:val="pl-PL"/>
        </w:rPr>
      </w:pPr>
    </w:p>
    <w:p w14:paraId="2A806DB6" w14:textId="77777777" w:rsidR="00994050" w:rsidRPr="0015541C" w:rsidRDefault="00994050" w:rsidP="00994050">
      <w:pPr>
        <w:autoSpaceDE w:val="0"/>
        <w:autoSpaceDN w:val="0"/>
        <w:adjustRightInd w:val="0"/>
        <w:rPr>
          <w:lang w:val="pl-PL"/>
        </w:rPr>
      </w:pPr>
      <w:r w:rsidRPr="0015541C">
        <w:rPr>
          <w:lang w:val="pl-PL"/>
        </w:rPr>
        <w:t>Niezbyt często (</w:t>
      </w:r>
      <w:r w:rsidRPr="0015541C">
        <w:rPr>
          <w:lang w:val="pl-PL"/>
        </w:rPr>
        <w:sym w:font="Symbol" w:char="F0B3"/>
      </w:r>
      <w:r w:rsidRPr="0015541C">
        <w:rPr>
          <w:lang w:val="pl-PL"/>
        </w:rPr>
        <w:t> 0,1% do &lt; 1%) obserwowano przetok</w:t>
      </w:r>
      <w:r w:rsidR="00DD574E" w:rsidRPr="0015541C">
        <w:rPr>
          <w:lang w:val="pl-PL"/>
        </w:rPr>
        <w:t>i</w:t>
      </w:r>
      <w:r w:rsidRPr="00260CEC">
        <w:rPr>
          <w:lang w:val="pl-PL"/>
        </w:rPr>
        <w:t>, poza przewodem pokarmowym (np. oskrzelowo-opłucnowe i żółciowe), występujące w przypadku różnych wskazań. Występowanie przetok było również obserwowane po wprowadzeniu leku do obrotu.</w:t>
      </w:r>
    </w:p>
    <w:p w14:paraId="1BFDB330" w14:textId="77777777" w:rsidR="00994050" w:rsidRPr="0015541C" w:rsidRDefault="00994050" w:rsidP="00994050">
      <w:pPr>
        <w:autoSpaceDE w:val="0"/>
        <w:autoSpaceDN w:val="0"/>
        <w:adjustRightInd w:val="0"/>
        <w:rPr>
          <w:lang w:val="pl-PL"/>
        </w:rPr>
      </w:pPr>
    </w:p>
    <w:p w14:paraId="6ED00AA2" w14:textId="77777777" w:rsidR="00994050" w:rsidRPr="0015541C" w:rsidRDefault="00D81F17" w:rsidP="00994050">
      <w:pPr>
        <w:autoSpaceDE w:val="0"/>
        <w:autoSpaceDN w:val="0"/>
        <w:adjustRightInd w:val="0"/>
        <w:rPr>
          <w:lang w:val="pl-PL"/>
        </w:rPr>
      </w:pPr>
      <w:r w:rsidRPr="0015541C">
        <w:rPr>
          <w:lang w:val="pl-PL"/>
        </w:rPr>
        <w:lastRenderedPageBreak/>
        <w:t>Powyższe działania niepożądane</w:t>
      </w:r>
      <w:r w:rsidR="00994050" w:rsidRPr="0015541C">
        <w:rPr>
          <w:lang w:val="pl-PL"/>
        </w:rPr>
        <w:t xml:space="preserve"> występowały w różnym momencie leczenia: od 1 tygodnia do 1 roku od rozpoczęcia podawania </w:t>
      </w:r>
      <w:r w:rsidR="000914DF" w:rsidRPr="0015541C">
        <w:rPr>
          <w:lang w:val="pl-PL"/>
        </w:rPr>
        <w:t>bewacyzumab</w:t>
      </w:r>
      <w:r w:rsidR="00994050" w:rsidRPr="0015541C">
        <w:rPr>
          <w:lang w:val="pl-PL"/>
        </w:rPr>
        <w:t xml:space="preserve">u, przy czym większość </w:t>
      </w:r>
      <w:r w:rsidRPr="0015541C">
        <w:rPr>
          <w:lang w:val="pl-PL"/>
        </w:rPr>
        <w:t xml:space="preserve">działań </w:t>
      </w:r>
      <w:r w:rsidR="00994050" w:rsidRPr="0015541C">
        <w:rPr>
          <w:lang w:val="pl-PL"/>
        </w:rPr>
        <w:t>wystąpiła w ciągu pierwszych 6 miesięcy terapii.</w:t>
      </w:r>
    </w:p>
    <w:p w14:paraId="3E34CCA8" w14:textId="77777777" w:rsidR="00994050" w:rsidRPr="0015541C" w:rsidRDefault="00994050" w:rsidP="00994050">
      <w:pPr>
        <w:rPr>
          <w:lang w:val="pl-PL"/>
        </w:rPr>
      </w:pPr>
    </w:p>
    <w:p w14:paraId="0A9C20C7" w14:textId="77777777" w:rsidR="00994050" w:rsidRPr="0070444C" w:rsidRDefault="00994050" w:rsidP="00BC3A2D">
      <w:pPr>
        <w:keepNext/>
        <w:keepLines/>
        <w:rPr>
          <w:u w:val="single"/>
          <w:lang w:val="pl-PL"/>
        </w:rPr>
      </w:pPr>
      <w:r w:rsidRPr="0070444C">
        <w:rPr>
          <w:i/>
          <w:u w:val="single"/>
          <w:lang w:val="pl-PL"/>
        </w:rPr>
        <w:t>Komplikacje w gojeniu ran</w:t>
      </w:r>
      <w:r w:rsidRPr="0070444C">
        <w:rPr>
          <w:u w:val="single"/>
          <w:lang w:val="pl-PL"/>
        </w:rPr>
        <w:t xml:space="preserve"> (patrz punkt 4.4)</w:t>
      </w:r>
    </w:p>
    <w:p w14:paraId="22A21A4F" w14:textId="77777777" w:rsidR="00994050" w:rsidRPr="0015541C" w:rsidRDefault="00994050" w:rsidP="00BC3A2D">
      <w:pPr>
        <w:keepNext/>
        <w:keepLines/>
        <w:rPr>
          <w:rFonts w:eastAsia="MS Mincho"/>
          <w:lang w:val="pl-PL"/>
        </w:rPr>
      </w:pPr>
      <w:r w:rsidRPr="0015541C">
        <w:rPr>
          <w:rFonts w:eastAsia="MS Mincho"/>
          <w:lang w:val="pl-PL"/>
        </w:rPr>
        <w:t xml:space="preserve">Ponieważ </w:t>
      </w:r>
      <w:r w:rsidR="00346B6F" w:rsidRPr="0015541C">
        <w:rPr>
          <w:lang w:val="pl-PL"/>
        </w:rPr>
        <w:t>bewacyzumab</w:t>
      </w:r>
      <w:r w:rsidRPr="0015541C">
        <w:rPr>
          <w:rFonts w:eastAsia="MS Mincho"/>
          <w:lang w:val="pl-PL"/>
        </w:rPr>
        <w:t xml:space="preserve"> może mieć negatywny wpływ na proces gojenia ran, chorzy, którzy byli poddawani większym zabiegom chirurgicznym w okresie krótszym niż 28 dni od rozpoczęcia podawania leku, byli wykluczani z badań klinicznych fazy III.</w:t>
      </w:r>
    </w:p>
    <w:p w14:paraId="3FD7FC07" w14:textId="77777777" w:rsidR="00994050" w:rsidRPr="0015541C" w:rsidRDefault="00994050" w:rsidP="00994050">
      <w:pPr>
        <w:rPr>
          <w:rFonts w:eastAsia="MS Mincho"/>
          <w:lang w:val="pl-PL"/>
        </w:rPr>
      </w:pPr>
    </w:p>
    <w:p w14:paraId="5BEC5C47" w14:textId="77777777" w:rsidR="00994050" w:rsidRPr="0015541C" w:rsidRDefault="00994050" w:rsidP="00994050">
      <w:pPr>
        <w:rPr>
          <w:lang w:val="pl-PL"/>
        </w:rPr>
      </w:pPr>
      <w:r w:rsidRPr="0015541C">
        <w:rPr>
          <w:rFonts w:eastAsia="MS Mincho"/>
          <w:lang w:val="pl-PL"/>
        </w:rPr>
        <w:t xml:space="preserve">W badaniach klinicznych chorych z rakiem okrężnicy i odbytnicy z przerzutami, nie obserwowano zwiększonego ryzyka wystąpienia krwawienia pooperacyjnego lub powikłań w gojeniu ran, u pacjentów, którzy byli poddawani dużym zabiegom chirurgicznym w okresie od 28 do 60 dni przed rozpoczęciem podawania </w:t>
      </w:r>
      <w:r w:rsidR="00B90D82" w:rsidRPr="0015541C">
        <w:rPr>
          <w:rFonts w:eastAsia="MS Mincho"/>
          <w:lang w:val="pl-PL"/>
        </w:rPr>
        <w:t>bewacyzumabu</w:t>
      </w:r>
      <w:r w:rsidRPr="0015541C">
        <w:rPr>
          <w:rFonts w:eastAsia="MS Mincho"/>
          <w:lang w:val="pl-PL"/>
        </w:rPr>
        <w:t xml:space="preserve">. W ciągu 60 dni po dużym zabiegu chirurgicznym u pacjentów przyjmujących </w:t>
      </w:r>
      <w:r w:rsidR="00B90D82" w:rsidRPr="0015541C">
        <w:rPr>
          <w:rFonts w:eastAsia="MS Mincho"/>
          <w:lang w:val="pl-PL"/>
        </w:rPr>
        <w:t>bewacyzumab</w:t>
      </w:r>
      <w:r w:rsidRPr="0015541C">
        <w:rPr>
          <w:rFonts w:eastAsia="MS Mincho"/>
          <w:lang w:val="pl-PL"/>
        </w:rPr>
        <w:t xml:space="preserve"> w okresie wykonywania zabiegu obserwowano zwiększoną częstość występowania krwawienia pooperacyjnego lub powikłań w gojeniu ran. Częstość występowania wahała się pomiędzy 10% (4/40) a 20% (3/15).</w:t>
      </w:r>
    </w:p>
    <w:p w14:paraId="159CF16D" w14:textId="77777777" w:rsidR="00994050" w:rsidRPr="0015541C" w:rsidRDefault="00994050" w:rsidP="00994050">
      <w:pPr>
        <w:rPr>
          <w:lang w:val="pl-PL"/>
        </w:rPr>
      </w:pPr>
    </w:p>
    <w:p w14:paraId="40E6B013" w14:textId="77777777" w:rsidR="00F815FD" w:rsidRPr="0015541C" w:rsidRDefault="00A7194F" w:rsidP="00994050">
      <w:pPr>
        <w:rPr>
          <w:lang w:val="pl-PL"/>
        </w:rPr>
      </w:pPr>
      <w:r w:rsidRPr="0015541C">
        <w:rPr>
          <w:lang w:val="pl-PL"/>
        </w:rPr>
        <w:t>Donoszono o przypadkach komplikacji w gojeniu się ran</w:t>
      </w:r>
      <w:r w:rsidR="00966EFA" w:rsidRPr="0015541C">
        <w:rPr>
          <w:lang w:val="pl-PL"/>
        </w:rPr>
        <w:t xml:space="preserve"> o ciężkim przebiegu</w:t>
      </w:r>
      <w:r w:rsidRPr="0015541C">
        <w:rPr>
          <w:lang w:val="pl-PL"/>
        </w:rPr>
        <w:t>, włączając komplikacje związane z zespoleniami. Niektóre z tych przypadków zakończ</w:t>
      </w:r>
      <w:r w:rsidR="000E4E4A" w:rsidRPr="0015541C">
        <w:rPr>
          <w:lang w:val="pl-PL"/>
        </w:rPr>
        <w:t>yły</w:t>
      </w:r>
      <w:r w:rsidRPr="0015541C">
        <w:rPr>
          <w:lang w:val="pl-PL"/>
        </w:rPr>
        <w:t xml:space="preserve"> </w:t>
      </w:r>
      <w:r w:rsidR="000E4E4A" w:rsidRPr="0015541C">
        <w:rPr>
          <w:lang w:val="pl-PL"/>
        </w:rPr>
        <w:t xml:space="preserve">się </w:t>
      </w:r>
      <w:r w:rsidRPr="0015541C">
        <w:rPr>
          <w:lang w:val="pl-PL"/>
        </w:rPr>
        <w:t>śmiercią pacjenta.</w:t>
      </w:r>
    </w:p>
    <w:p w14:paraId="6CFD9BB2" w14:textId="77777777" w:rsidR="00A7194F" w:rsidRPr="0015541C" w:rsidRDefault="00A7194F" w:rsidP="00994050">
      <w:pPr>
        <w:rPr>
          <w:lang w:val="pl-PL"/>
        </w:rPr>
      </w:pPr>
    </w:p>
    <w:p w14:paraId="584AF0DA" w14:textId="75ABF368" w:rsidR="00994050" w:rsidRPr="0015541C" w:rsidRDefault="000A76A3" w:rsidP="00994050">
      <w:pPr>
        <w:rPr>
          <w:lang w:val="pl-PL"/>
        </w:rPr>
      </w:pPr>
      <w:r w:rsidRPr="0015541C">
        <w:rPr>
          <w:lang w:val="pl-PL"/>
        </w:rPr>
        <w:t>W badaniach klinicznych u</w:t>
      </w:r>
      <w:r w:rsidR="00994050" w:rsidRPr="0015541C">
        <w:rPr>
          <w:lang w:val="pl-PL"/>
        </w:rPr>
        <w:t xml:space="preserve"> pacjentów z rakiem piersi z przerzutami i miejscowymi nawrotami obserwowano powikłania gojenia ran w stopniu 3-5 u </w:t>
      </w:r>
      <w:r w:rsidRPr="0015541C">
        <w:rPr>
          <w:lang w:val="pl-PL"/>
        </w:rPr>
        <w:t xml:space="preserve">do </w:t>
      </w:r>
      <w:r w:rsidR="00994050" w:rsidRPr="0015541C">
        <w:rPr>
          <w:lang w:val="pl-PL"/>
        </w:rPr>
        <w:t xml:space="preserve">1,1% pacjentów przyjmujących </w:t>
      </w:r>
      <w:r w:rsidR="00C2720F" w:rsidRPr="0015541C">
        <w:rPr>
          <w:lang w:val="pl-PL"/>
        </w:rPr>
        <w:t>bewacyzumab</w:t>
      </w:r>
      <w:r w:rsidR="00994050" w:rsidRPr="0015541C">
        <w:rPr>
          <w:lang w:val="pl-PL"/>
        </w:rPr>
        <w:t xml:space="preserve"> </w:t>
      </w:r>
      <w:r w:rsidRPr="0015541C">
        <w:rPr>
          <w:lang w:val="pl-PL"/>
        </w:rPr>
        <w:t>w porównaniu z do 0,9% u pacjentów w ramieniu kontrolnym</w:t>
      </w:r>
      <w:r w:rsidR="00D81F17" w:rsidRPr="0015541C">
        <w:rPr>
          <w:lang w:val="pl-PL"/>
        </w:rPr>
        <w:t xml:space="preserve"> (NCI</w:t>
      </w:r>
      <w:r w:rsidR="00802A33" w:rsidRPr="0015541C">
        <w:rPr>
          <w:lang w:val="pl-PL"/>
        </w:rPr>
        <w:noBreakHyphen/>
      </w:r>
      <w:r w:rsidR="00D81F17" w:rsidRPr="0015541C">
        <w:rPr>
          <w:lang w:val="pl-PL"/>
        </w:rPr>
        <w:t>CTCAE v.3)</w:t>
      </w:r>
      <w:r w:rsidRPr="0015541C">
        <w:rPr>
          <w:lang w:val="pl-PL"/>
        </w:rPr>
        <w:t>.</w:t>
      </w:r>
    </w:p>
    <w:p w14:paraId="4E06B855" w14:textId="77777777" w:rsidR="004D413B" w:rsidRPr="0015541C" w:rsidRDefault="004D413B" w:rsidP="00994050">
      <w:pPr>
        <w:rPr>
          <w:lang w:val="pl-PL"/>
        </w:rPr>
      </w:pPr>
    </w:p>
    <w:p w14:paraId="72DA6640" w14:textId="60A5D0D8" w:rsidR="006F5522" w:rsidRPr="0015541C" w:rsidRDefault="004D413B" w:rsidP="00994050">
      <w:pPr>
        <w:rPr>
          <w:lang w:val="pl-PL"/>
        </w:rPr>
      </w:pPr>
      <w:r w:rsidRPr="0015541C">
        <w:rPr>
          <w:lang w:val="pl-PL"/>
        </w:rPr>
        <w:t xml:space="preserve">W badaniach klinicznych z udziałem chorych na raka jajnika obserwowano powikłania gojenia </w:t>
      </w:r>
      <w:r w:rsidR="00E6419D" w:rsidRPr="0015541C">
        <w:rPr>
          <w:lang w:val="pl-PL"/>
        </w:rPr>
        <w:t xml:space="preserve">się </w:t>
      </w:r>
      <w:r w:rsidRPr="0015541C">
        <w:rPr>
          <w:lang w:val="pl-PL"/>
        </w:rPr>
        <w:t>ran w stopniu 3-5 u maksymalnie 1,</w:t>
      </w:r>
      <w:r w:rsidR="00F36C47" w:rsidRPr="0015541C">
        <w:rPr>
          <w:lang w:val="pl-PL"/>
        </w:rPr>
        <w:t>8</w:t>
      </w:r>
      <w:r w:rsidRPr="0015541C">
        <w:rPr>
          <w:lang w:val="pl-PL"/>
        </w:rPr>
        <w:t>% pacjentek w grupie otrzymującej bewac</w:t>
      </w:r>
      <w:r w:rsidR="002F43D2" w:rsidRPr="0015541C">
        <w:rPr>
          <w:lang w:val="pl-PL"/>
        </w:rPr>
        <w:t>y</w:t>
      </w:r>
      <w:r w:rsidRPr="0015541C">
        <w:rPr>
          <w:lang w:val="pl-PL"/>
        </w:rPr>
        <w:t xml:space="preserve">zumab oraz u 0,1% pacjentek w </w:t>
      </w:r>
      <w:r w:rsidR="002F43D2" w:rsidRPr="0015541C">
        <w:rPr>
          <w:lang w:val="pl-PL"/>
        </w:rPr>
        <w:t>grupie kontrolnej</w:t>
      </w:r>
      <w:r w:rsidR="00D81F17" w:rsidRPr="0015541C">
        <w:rPr>
          <w:lang w:val="pl-PL"/>
        </w:rPr>
        <w:t xml:space="preserve"> (NCI</w:t>
      </w:r>
      <w:r w:rsidR="00802A33" w:rsidRPr="0015541C">
        <w:rPr>
          <w:lang w:val="pl-PL"/>
        </w:rPr>
        <w:noBreakHyphen/>
      </w:r>
      <w:r w:rsidR="00D81F17" w:rsidRPr="0015541C">
        <w:rPr>
          <w:lang w:val="pl-PL"/>
        </w:rPr>
        <w:t>CTCAE v.3)</w:t>
      </w:r>
      <w:r w:rsidRPr="0015541C">
        <w:rPr>
          <w:lang w:val="pl-PL"/>
        </w:rPr>
        <w:t xml:space="preserve">. </w:t>
      </w:r>
    </w:p>
    <w:p w14:paraId="3F918921" w14:textId="77777777" w:rsidR="00994050" w:rsidRPr="0015541C" w:rsidRDefault="00994050" w:rsidP="00994050">
      <w:pPr>
        <w:rPr>
          <w:lang w:val="pl-PL"/>
        </w:rPr>
      </w:pPr>
    </w:p>
    <w:p w14:paraId="4D4695C6" w14:textId="77777777" w:rsidR="00994050" w:rsidRPr="0070444C" w:rsidRDefault="00994050" w:rsidP="00EE7A0B">
      <w:pPr>
        <w:keepNext/>
        <w:keepLines/>
        <w:rPr>
          <w:u w:val="single"/>
          <w:lang w:val="pl-PL"/>
        </w:rPr>
      </w:pPr>
      <w:r w:rsidRPr="0070444C">
        <w:rPr>
          <w:i/>
          <w:u w:val="single"/>
          <w:lang w:val="pl-PL"/>
        </w:rPr>
        <w:t>Nadciśnienie</w:t>
      </w:r>
      <w:r w:rsidR="00FE2ABB" w:rsidRPr="0070444C">
        <w:rPr>
          <w:i/>
          <w:u w:val="single"/>
          <w:lang w:val="pl-PL"/>
        </w:rPr>
        <w:t xml:space="preserve"> tętnicze</w:t>
      </w:r>
      <w:r w:rsidRPr="0070444C">
        <w:rPr>
          <w:u w:val="single"/>
          <w:lang w:val="pl-PL"/>
        </w:rPr>
        <w:t xml:space="preserve"> (patrz punkt 4.4)</w:t>
      </w:r>
    </w:p>
    <w:p w14:paraId="27EC9E27" w14:textId="5449D63E" w:rsidR="001A6150" w:rsidRPr="0015541C" w:rsidRDefault="001A6150" w:rsidP="00EE7A0B">
      <w:pPr>
        <w:keepNext/>
        <w:keepLines/>
        <w:rPr>
          <w:lang w:val="pl-PL"/>
        </w:rPr>
      </w:pPr>
      <w:r w:rsidRPr="0015541C">
        <w:rPr>
          <w:lang w:val="pl-PL"/>
        </w:rPr>
        <w:t>W badaniach klinicznych, z wyjątkiem badania JO25567, całkowita częstość występowania nadciśnienia</w:t>
      </w:r>
      <w:r w:rsidR="00626F40" w:rsidRPr="0015541C">
        <w:rPr>
          <w:lang w:val="pl-PL"/>
        </w:rPr>
        <w:t xml:space="preserve"> tętniczego</w:t>
      </w:r>
      <w:r w:rsidRPr="0015541C">
        <w:rPr>
          <w:lang w:val="pl-PL"/>
        </w:rPr>
        <w:t xml:space="preserve"> (wszystkich stopni) wynosiła do 42,1% w grupach przyjmujących </w:t>
      </w:r>
      <w:r w:rsidR="0045051D" w:rsidRPr="0015541C">
        <w:rPr>
          <w:lang w:val="pl-PL"/>
        </w:rPr>
        <w:t>bewacyzumab</w:t>
      </w:r>
      <w:r w:rsidRPr="0015541C">
        <w:rPr>
          <w:lang w:val="pl-PL"/>
        </w:rPr>
        <w:t xml:space="preserve">, w porównaniu do 14% w grupach kontrolnych. Całkowita częstość występowania nadciśnienia </w:t>
      </w:r>
      <w:r w:rsidR="00626F40" w:rsidRPr="0015541C">
        <w:rPr>
          <w:lang w:val="pl-PL"/>
        </w:rPr>
        <w:t xml:space="preserve">tętniczego </w:t>
      </w:r>
      <w:r w:rsidRPr="0015541C">
        <w:rPr>
          <w:lang w:val="pl-PL"/>
        </w:rPr>
        <w:t>stopnia 3 i 4 wg NCI</w:t>
      </w:r>
      <w:r w:rsidR="00802A33" w:rsidRPr="0015541C">
        <w:rPr>
          <w:lang w:val="pl-PL"/>
        </w:rPr>
        <w:noBreakHyphen/>
      </w:r>
      <w:r w:rsidRPr="0015541C">
        <w:rPr>
          <w:lang w:val="pl-PL"/>
        </w:rPr>
        <w:t xml:space="preserve">CTC u pacjentów przyjmujących </w:t>
      </w:r>
      <w:r w:rsidR="00CB65E3" w:rsidRPr="0015541C">
        <w:rPr>
          <w:lang w:val="pl-PL"/>
        </w:rPr>
        <w:t>bewacyzumab</w:t>
      </w:r>
      <w:r w:rsidRPr="0015541C">
        <w:rPr>
          <w:lang w:val="pl-PL"/>
        </w:rPr>
        <w:t xml:space="preserve"> wynosiła od 0,4% do 17,9%. Nadciśnienie </w:t>
      </w:r>
      <w:r w:rsidR="00334F6E" w:rsidRPr="0015541C">
        <w:rPr>
          <w:lang w:val="pl-PL"/>
        </w:rPr>
        <w:t xml:space="preserve">tętnicze </w:t>
      </w:r>
      <w:r w:rsidRPr="0015541C">
        <w:rPr>
          <w:lang w:val="pl-PL"/>
        </w:rPr>
        <w:t xml:space="preserve">stopnia 4 (przełom nadciśnieniowy) wystąpiło z częstością do 1,0% u pacjentów przyjmujących </w:t>
      </w:r>
      <w:r w:rsidR="00AB6EDA" w:rsidRPr="0015541C">
        <w:rPr>
          <w:lang w:val="pl-PL"/>
        </w:rPr>
        <w:t>bewacyzumab</w:t>
      </w:r>
      <w:r w:rsidRPr="0015541C">
        <w:rPr>
          <w:lang w:val="pl-PL"/>
        </w:rPr>
        <w:t xml:space="preserve"> oraz chemioterapię, w porównaniu do 0,2% </w:t>
      </w:r>
      <w:r w:rsidR="000F32E4" w:rsidRPr="0015541C">
        <w:rPr>
          <w:lang w:val="pl-PL"/>
        </w:rPr>
        <w:t xml:space="preserve">u </w:t>
      </w:r>
      <w:r w:rsidRPr="0015541C">
        <w:rPr>
          <w:lang w:val="pl-PL"/>
        </w:rPr>
        <w:t xml:space="preserve">pacjentów </w:t>
      </w:r>
      <w:r w:rsidR="000F32E4" w:rsidRPr="0015541C">
        <w:rPr>
          <w:lang w:val="pl-PL"/>
        </w:rPr>
        <w:t xml:space="preserve">przyjmujących </w:t>
      </w:r>
      <w:r w:rsidRPr="0015541C">
        <w:rPr>
          <w:lang w:val="pl-PL"/>
        </w:rPr>
        <w:t xml:space="preserve">tylko chemioterapię. </w:t>
      </w:r>
    </w:p>
    <w:p w14:paraId="3B7C141C" w14:textId="77777777" w:rsidR="00994050" w:rsidRPr="0015541C" w:rsidRDefault="00994050" w:rsidP="00994050">
      <w:pPr>
        <w:rPr>
          <w:lang w:val="pl-PL"/>
        </w:rPr>
      </w:pPr>
    </w:p>
    <w:p w14:paraId="221C5D20" w14:textId="2FACF851" w:rsidR="001A6150" w:rsidRPr="0015541C" w:rsidRDefault="001A6150" w:rsidP="001A6150">
      <w:pPr>
        <w:rPr>
          <w:lang w:val="pl-PL"/>
        </w:rPr>
      </w:pPr>
      <w:r w:rsidRPr="0015541C">
        <w:rPr>
          <w:lang w:val="pl-PL"/>
        </w:rPr>
        <w:t xml:space="preserve">W badaniu JO25567, nadciśnienie </w:t>
      </w:r>
      <w:r w:rsidR="00F9442B" w:rsidRPr="0015541C">
        <w:rPr>
          <w:lang w:val="pl-PL"/>
        </w:rPr>
        <w:t xml:space="preserve">tętnicze </w:t>
      </w:r>
      <w:r w:rsidRPr="0015541C">
        <w:rPr>
          <w:lang w:val="pl-PL"/>
        </w:rPr>
        <w:t xml:space="preserve">wszystkich stopni obserwowano u 77,3% pacjentów z niepłaskonabłonkowym NSCLC z aktywującymi mutacjami w genie EGFR przyjmujących </w:t>
      </w:r>
      <w:r w:rsidR="0087272A" w:rsidRPr="0015541C">
        <w:rPr>
          <w:lang w:val="pl-PL"/>
        </w:rPr>
        <w:t>bewacyzumab</w:t>
      </w:r>
      <w:r w:rsidRPr="0015541C">
        <w:rPr>
          <w:lang w:val="pl-PL"/>
        </w:rPr>
        <w:t xml:space="preserve"> w skojarzeniu z erlotynibem w leczeniu pierwszego rzutu, w porównaniu do 14,3% pacjentów przyjmujących tylko erlotynib. Nadciśnienie </w:t>
      </w:r>
      <w:r w:rsidR="007E29B6" w:rsidRPr="0015541C">
        <w:rPr>
          <w:lang w:val="pl-PL"/>
        </w:rPr>
        <w:t xml:space="preserve">tętnicze </w:t>
      </w:r>
      <w:r w:rsidRPr="0015541C">
        <w:rPr>
          <w:lang w:val="pl-PL"/>
        </w:rPr>
        <w:t xml:space="preserve">stopnia 3 obserwowano u 60,0% pacjentów przyjmujących </w:t>
      </w:r>
      <w:r w:rsidR="0087272A" w:rsidRPr="0015541C">
        <w:rPr>
          <w:lang w:val="pl-PL"/>
        </w:rPr>
        <w:t>bewacyzumab</w:t>
      </w:r>
      <w:r w:rsidRPr="0015541C">
        <w:rPr>
          <w:lang w:val="pl-PL"/>
        </w:rPr>
        <w:t xml:space="preserve"> w skojarzeniu z erlotynibem w porównaniu do 11,7% pacjentów przyjmujących tylko erlotynib. Nie występowały przypadki nadciśnienia </w:t>
      </w:r>
      <w:r w:rsidR="00F9442B" w:rsidRPr="0015541C">
        <w:rPr>
          <w:lang w:val="pl-PL"/>
        </w:rPr>
        <w:t xml:space="preserve">tętniczego </w:t>
      </w:r>
      <w:r w:rsidRPr="0015541C">
        <w:rPr>
          <w:lang w:val="pl-PL"/>
        </w:rPr>
        <w:t>stopnia 4 lub 5.</w:t>
      </w:r>
    </w:p>
    <w:p w14:paraId="352D5E21" w14:textId="77777777" w:rsidR="001A6150" w:rsidRPr="0015541C" w:rsidRDefault="001A6150" w:rsidP="00994050">
      <w:pPr>
        <w:rPr>
          <w:lang w:val="pl-PL"/>
        </w:rPr>
      </w:pPr>
    </w:p>
    <w:p w14:paraId="2880F919" w14:textId="19BF1591" w:rsidR="00994050" w:rsidRPr="0015541C" w:rsidRDefault="00994050" w:rsidP="00994050">
      <w:pPr>
        <w:rPr>
          <w:lang w:val="pl-PL"/>
        </w:rPr>
      </w:pPr>
      <w:r w:rsidRPr="0015541C">
        <w:rPr>
          <w:lang w:val="pl-PL"/>
        </w:rPr>
        <w:t xml:space="preserve">Nadciśnienie </w:t>
      </w:r>
      <w:r w:rsidR="00F9442B" w:rsidRPr="0015541C">
        <w:rPr>
          <w:lang w:val="pl-PL"/>
        </w:rPr>
        <w:t xml:space="preserve">tętnicze </w:t>
      </w:r>
      <w:r w:rsidRPr="0015541C">
        <w:rPr>
          <w:lang w:val="pl-PL"/>
        </w:rPr>
        <w:t xml:space="preserve">było odpowiednio kontrolowane doustnymi lekami przeciwnadciśnieniowymi, takimi jak inhibitory konwertazy angiotensyny, leki moczopędne i </w:t>
      </w:r>
      <w:r w:rsidR="00D433B3" w:rsidRPr="0015541C">
        <w:rPr>
          <w:lang w:val="pl-PL"/>
        </w:rPr>
        <w:t xml:space="preserve">antagoniści </w:t>
      </w:r>
      <w:r w:rsidRPr="0015541C">
        <w:rPr>
          <w:lang w:val="pl-PL"/>
        </w:rPr>
        <w:t xml:space="preserve">kanału wapniowego. W rzadkich przypadkach nadciśnienie </w:t>
      </w:r>
      <w:r w:rsidR="00D433B3" w:rsidRPr="0015541C">
        <w:rPr>
          <w:lang w:val="pl-PL"/>
        </w:rPr>
        <w:t xml:space="preserve">tętnicze </w:t>
      </w:r>
      <w:r w:rsidRPr="0015541C">
        <w:rPr>
          <w:lang w:val="pl-PL"/>
        </w:rPr>
        <w:t xml:space="preserve">prowadziło do przerwania leczenia </w:t>
      </w:r>
      <w:r w:rsidR="00820407" w:rsidRPr="0015541C">
        <w:rPr>
          <w:lang w:val="pl-PL"/>
        </w:rPr>
        <w:t>bewacyzumab</w:t>
      </w:r>
      <w:r w:rsidRPr="0015541C">
        <w:rPr>
          <w:lang w:val="pl-PL"/>
        </w:rPr>
        <w:t xml:space="preserve">em lub hospitalizacji. </w:t>
      </w:r>
    </w:p>
    <w:p w14:paraId="76E0F724" w14:textId="77777777" w:rsidR="00994050" w:rsidRPr="0015541C" w:rsidRDefault="00994050" w:rsidP="00994050">
      <w:pPr>
        <w:rPr>
          <w:lang w:val="pl-PL"/>
        </w:rPr>
      </w:pPr>
    </w:p>
    <w:p w14:paraId="2F760FB9" w14:textId="77777777" w:rsidR="00994050" w:rsidRPr="0015541C" w:rsidRDefault="00994050" w:rsidP="00994050">
      <w:pPr>
        <w:rPr>
          <w:lang w:val="pl-PL"/>
        </w:rPr>
      </w:pPr>
      <w:r w:rsidRPr="0015541C">
        <w:rPr>
          <w:lang w:val="pl-PL"/>
        </w:rPr>
        <w:t xml:space="preserve">Opisano bardzo rzadkie przypadki encefalopatii nadciśnieniowej, z których niektóre prowadziły do zgonu. </w:t>
      </w:r>
    </w:p>
    <w:p w14:paraId="5F45F88F" w14:textId="77777777" w:rsidR="00994050" w:rsidRPr="0015541C" w:rsidRDefault="00994050" w:rsidP="00994050">
      <w:pPr>
        <w:rPr>
          <w:lang w:val="pl-PL"/>
        </w:rPr>
      </w:pPr>
    </w:p>
    <w:p w14:paraId="1A5D6350" w14:textId="77777777" w:rsidR="00994050" w:rsidRPr="0015541C" w:rsidRDefault="00994050" w:rsidP="00994050">
      <w:pPr>
        <w:rPr>
          <w:lang w:val="pl-PL"/>
        </w:rPr>
      </w:pPr>
      <w:r w:rsidRPr="0015541C">
        <w:rPr>
          <w:lang w:val="pl-PL"/>
        </w:rPr>
        <w:t xml:space="preserve">Ryzyko wystąpienia nadciśnienia związanego z podawaniem </w:t>
      </w:r>
      <w:r w:rsidR="001D1A68" w:rsidRPr="0015541C">
        <w:rPr>
          <w:lang w:val="pl-PL"/>
        </w:rPr>
        <w:t>bewacyzumabu</w:t>
      </w:r>
      <w:r w:rsidRPr="0015541C">
        <w:rPr>
          <w:lang w:val="pl-PL"/>
        </w:rPr>
        <w:t xml:space="preserve"> nie miało związku ze stanem początkowym pacjenta, chorobą zasadniczą lub z leczeniem towarzyszącym.</w:t>
      </w:r>
    </w:p>
    <w:p w14:paraId="0BB7B3FB" w14:textId="77777777" w:rsidR="00994050" w:rsidRPr="0015541C" w:rsidRDefault="00994050" w:rsidP="00994050">
      <w:pPr>
        <w:rPr>
          <w:lang w:val="pl-PL"/>
        </w:rPr>
      </w:pPr>
    </w:p>
    <w:p w14:paraId="21805557" w14:textId="77777777" w:rsidR="003670C8" w:rsidRPr="0070444C" w:rsidRDefault="003670C8" w:rsidP="00770AC9">
      <w:pPr>
        <w:keepNext/>
        <w:keepLines/>
        <w:rPr>
          <w:u w:val="single"/>
          <w:lang w:val="pl-PL"/>
        </w:rPr>
      </w:pPr>
      <w:r w:rsidRPr="0070444C">
        <w:rPr>
          <w:i/>
          <w:u w:val="single"/>
          <w:lang w:val="pl-PL"/>
        </w:rPr>
        <w:lastRenderedPageBreak/>
        <w:t>Zespół tylnej odwracalnej encefalopatii</w:t>
      </w:r>
      <w:r w:rsidRPr="0070444C">
        <w:rPr>
          <w:u w:val="single"/>
          <w:lang w:val="pl-PL"/>
        </w:rPr>
        <w:t xml:space="preserve"> (patrz punkt 4.4)</w:t>
      </w:r>
    </w:p>
    <w:p w14:paraId="5356A413" w14:textId="77777777" w:rsidR="003670C8" w:rsidRPr="0015541C" w:rsidRDefault="003670C8" w:rsidP="003670C8">
      <w:pPr>
        <w:rPr>
          <w:rFonts w:eastAsia="SimSun"/>
          <w:lang w:val="pl-PL" w:eastAsia="zh-CN"/>
        </w:rPr>
      </w:pPr>
      <w:r w:rsidRPr="0015541C">
        <w:rPr>
          <w:rFonts w:eastAsia="SimSun"/>
          <w:lang w:val="pl-PL"/>
        </w:rPr>
        <w:t xml:space="preserve">U pacjentów otrzymujących </w:t>
      </w:r>
      <w:r w:rsidR="002166F7" w:rsidRPr="0015541C">
        <w:rPr>
          <w:rFonts w:eastAsia="SimSun"/>
          <w:lang w:val="pl-PL"/>
        </w:rPr>
        <w:t>bewacyzumab</w:t>
      </w:r>
      <w:r w:rsidRPr="0015541C">
        <w:rPr>
          <w:rFonts w:eastAsia="SimSun"/>
          <w:lang w:val="pl-PL"/>
        </w:rPr>
        <w:t xml:space="preserve"> rzadko opisywano objawy podmiotowe i przedmiotowe wskazujące na wystąpienie rzadkiego zaburzenia neurologicznego – zespołu tylnej odwracalnej encefalopatii (ang. posterior reversible encephalopathy syndrome – PRES). Objawy mogą obejmować drgawki, ból głowy, zaburzenia psychiczne oraz zaburzenia widzenia lub ślepotę korową, z towarzyszącym nadciśnieniem </w:t>
      </w:r>
      <w:r w:rsidR="0013764A" w:rsidRPr="0015541C">
        <w:rPr>
          <w:lang w:val="pl-PL"/>
        </w:rPr>
        <w:t xml:space="preserve">tętniczym </w:t>
      </w:r>
      <w:r w:rsidRPr="0015541C">
        <w:rPr>
          <w:rFonts w:eastAsia="SimSun"/>
          <w:lang w:val="pl-PL"/>
        </w:rPr>
        <w:t xml:space="preserve">lub bez niego. </w:t>
      </w:r>
      <w:r w:rsidRPr="0015541C">
        <w:rPr>
          <w:rFonts w:eastAsia="MS Mincho"/>
          <w:color w:val="292526"/>
          <w:szCs w:val="22"/>
          <w:lang w:val="pl-PL" w:eastAsia="en-US"/>
        </w:rPr>
        <w:t xml:space="preserve">Objawy kliniczne PRES są często niespecyficzne, a zatem </w:t>
      </w:r>
      <w:r w:rsidRPr="0015541C">
        <w:rPr>
          <w:rFonts w:eastAsia="MS Mincho"/>
          <w:szCs w:val="22"/>
          <w:lang w:val="pl-PL" w:eastAsia="en-US"/>
        </w:rPr>
        <w:t>rozpoznanie</w:t>
      </w:r>
      <w:r w:rsidRPr="0015541C">
        <w:rPr>
          <w:rFonts w:eastAsia="MS Mincho"/>
          <w:color w:val="292526"/>
          <w:szCs w:val="22"/>
          <w:lang w:val="pl-PL" w:eastAsia="en-US"/>
        </w:rPr>
        <w:t xml:space="preserve"> </w:t>
      </w:r>
      <w:r w:rsidRPr="0015541C">
        <w:rPr>
          <w:rFonts w:eastAsia="MS Mincho"/>
          <w:szCs w:val="22"/>
          <w:lang w:val="pl-PL" w:eastAsia="en-US"/>
        </w:rPr>
        <w:t>PRES wymaga potwierdzenia za pomocą obrazowania mózgu, zwłaszcza metodą rezonansu magnetycznego (MRI).</w:t>
      </w:r>
    </w:p>
    <w:p w14:paraId="3DE152F5" w14:textId="77777777" w:rsidR="003670C8" w:rsidRPr="0015541C" w:rsidRDefault="003670C8" w:rsidP="003670C8">
      <w:pPr>
        <w:rPr>
          <w:rFonts w:eastAsia="SimSun"/>
          <w:bCs/>
          <w:kern w:val="36"/>
          <w:lang w:val="pl-PL" w:eastAsia="zh-CN"/>
        </w:rPr>
      </w:pPr>
    </w:p>
    <w:p w14:paraId="0838439E" w14:textId="77777777" w:rsidR="003670C8" w:rsidRPr="0015541C" w:rsidRDefault="003670C8" w:rsidP="003670C8">
      <w:pPr>
        <w:rPr>
          <w:rFonts w:eastAsia="SimSun"/>
          <w:szCs w:val="22"/>
          <w:lang w:val="pl-PL" w:eastAsia="zh-CN"/>
        </w:rPr>
      </w:pPr>
      <w:r w:rsidRPr="0015541C">
        <w:rPr>
          <w:rFonts w:eastAsia="SimSun"/>
          <w:bCs/>
          <w:kern w:val="36"/>
          <w:lang w:val="pl-PL" w:eastAsia="zh-CN"/>
        </w:rPr>
        <w:t>U pacjentów, u których występuje PRES, wskazane jest wczesne zauważenie objawów i niezwłoczne leczenie określonych objawów, w tym kontrola ciśnienia</w:t>
      </w:r>
      <w:r w:rsidR="00417026" w:rsidRPr="0015541C">
        <w:rPr>
          <w:rFonts w:eastAsia="SimSun"/>
          <w:bCs/>
          <w:kern w:val="36"/>
          <w:lang w:val="pl-PL" w:eastAsia="zh-CN"/>
        </w:rPr>
        <w:t xml:space="preserve"> tętniczego</w:t>
      </w:r>
      <w:r w:rsidRPr="0015541C">
        <w:rPr>
          <w:rFonts w:eastAsia="SimSun"/>
          <w:bCs/>
          <w:kern w:val="36"/>
          <w:lang w:val="pl-PL" w:eastAsia="zh-CN"/>
        </w:rPr>
        <w:t xml:space="preserve"> krwi (jeżeli zaburzeniu towarzyszy ciężkie niekontrolowane nadciśnienie</w:t>
      </w:r>
      <w:r w:rsidR="00F872BE" w:rsidRPr="0015541C">
        <w:rPr>
          <w:rFonts w:eastAsia="SimSun"/>
          <w:bCs/>
          <w:kern w:val="36"/>
          <w:lang w:val="pl-PL" w:eastAsia="zh-CN"/>
        </w:rPr>
        <w:t xml:space="preserve"> </w:t>
      </w:r>
      <w:r w:rsidR="00F872BE" w:rsidRPr="0015541C">
        <w:rPr>
          <w:lang w:val="pl-PL"/>
        </w:rPr>
        <w:t>tętnicze</w:t>
      </w:r>
      <w:r w:rsidRPr="0015541C">
        <w:rPr>
          <w:rFonts w:eastAsia="SimSun"/>
          <w:bCs/>
          <w:kern w:val="36"/>
          <w:lang w:val="pl-PL" w:eastAsia="zh-CN"/>
        </w:rPr>
        <w:t>), oprócz przerwania stosowania bewacyzumabu.</w:t>
      </w:r>
      <w:r w:rsidRPr="0015541C">
        <w:rPr>
          <w:rFonts w:eastAsia="SimSun"/>
          <w:lang w:val="pl-PL" w:eastAsia="zh-CN"/>
        </w:rPr>
        <w:t xml:space="preserve"> </w:t>
      </w:r>
      <w:r w:rsidRPr="0015541C">
        <w:rPr>
          <w:rFonts w:eastAsia="SimSun"/>
          <w:lang w:val="pl-PL"/>
        </w:rPr>
        <w:t>Objawy zwykle ustępują lub ulegają złagodzeniu w ciągu kilku dni po przerwaniu leczenia, aczkolwiek u niektórych pacjentów pozostają pewne następstwa neurologiczne.</w:t>
      </w:r>
      <w:r w:rsidRPr="0015541C">
        <w:rPr>
          <w:rFonts w:eastAsia="SimSun"/>
          <w:szCs w:val="22"/>
          <w:lang w:val="pl-PL" w:eastAsia="zh-CN"/>
        </w:rPr>
        <w:t xml:space="preserve"> Nie ma danych dotyczących bezpieczeństwa ponownego zastosowania </w:t>
      </w:r>
      <w:r w:rsidR="00DF2426" w:rsidRPr="0015541C">
        <w:rPr>
          <w:rFonts w:eastAsia="SimSun"/>
          <w:szCs w:val="22"/>
          <w:lang w:val="pl-PL" w:eastAsia="zh-CN"/>
        </w:rPr>
        <w:t>bewacyzumab</w:t>
      </w:r>
      <w:r w:rsidR="007450B5" w:rsidRPr="0015541C">
        <w:rPr>
          <w:rFonts w:eastAsia="SimSun"/>
          <w:szCs w:val="22"/>
          <w:lang w:val="pl-PL" w:eastAsia="zh-CN"/>
        </w:rPr>
        <w:t>u</w:t>
      </w:r>
      <w:r w:rsidRPr="0015541C">
        <w:rPr>
          <w:rFonts w:eastAsia="SimSun"/>
          <w:szCs w:val="22"/>
          <w:lang w:val="pl-PL" w:eastAsia="zh-CN"/>
        </w:rPr>
        <w:t xml:space="preserve"> u pacjentów, u których wcześniej wystąpił</w:t>
      </w:r>
      <w:r w:rsidR="00A3472F" w:rsidRPr="0015541C">
        <w:rPr>
          <w:rFonts w:eastAsia="SimSun"/>
          <w:szCs w:val="22"/>
          <w:lang w:val="pl-PL" w:eastAsia="zh-CN"/>
        </w:rPr>
        <w:t>a</w:t>
      </w:r>
      <w:r w:rsidRPr="0015541C">
        <w:rPr>
          <w:rFonts w:eastAsia="SimSun"/>
          <w:szCs w:val="22"/>
          <w:lang w:val="pl-PL" w:eastAsia="zh-CN"/>
        </w:rPr>
        <w:t xml:space="preserve"> PRES. </w:t>
      </w:r>
    </w:p>
    <w:p w14:paraId="7186CA3B" w14:textId="77777777" w:rsidR="003670C8" w:rsidRPr="0015541C" w:rsidRDefault="003670C8" w:rsidP="003670C8">
      <w:pPr>
        <w:rPr>
          <w:rFonts w:eastAsia="SimSun"/>
          <w:lang w:val="pl-PL"/>
        </w:rPr>
      </w:pPr>
    </w:p>
    <w:p w14:paraId="5B091E5C" w14:textId="77777777" w:rsidR="003670C8" w:rsidRPr="0015541C" w:rsidRDefault="003670C8" w:rsidP="003670C8">
      <w:pPr>
        <w:rPr>
          <w:rFonts w:eastAsia="SimSun"/>
          <w:u w:val="single"/>
          <w:lang w:val="pl-PL" w:eastAsia="zh-CN"/>
        </w:rPr>
      </w:pPr>
      <w:r w:rsidRPr="0015541C">
        <w:rPr>
          <w:rFonts w:eastAsia="SimSun"/>
          <w:lang w:val="pl-PL"/>
        </w:rPr>
        <w:t>W badaniach klinicznych zgłoszono łącznie 8 przypadków PRES.</w:t>
      </w:r>
      <w:r w:rsidRPr="0015541C">
        <w:rPr>
          <w:rFonts w:eastAsia="SimSun"/>
          <w:bCs/>
          <w:kern w:val="36"/>
          <w:lang w:val="pl-PL" w:eastAsia="zh-CN"/>
        </w:rPr>
        <w:t xml:space="preserve"> Spośród tych 8 przypadków w dwóch rozpoznanie nie zostało potwierdzone za pomocą MRI.</w:t>
      </w:r>
    </w:p>
    <w:p w14:paraId="07DEA30A" w14:textId="77777777" w:rsidR="003670C8" w:rsidRPr="0015541C" w:rsidRDefault="003670C8" w:rsidP="00994050">
      <w:pPr>
        <w:rPr>
          <w:lang w:val="pl-PL"/>
        </w:rPr>
      </w:pPr>
    </w:p>
    <w:p w14:paraId="03217487" w14:textId="77777777" w:rsidR="00994050" w:rsidRPr="0070444C" w:rsidRDefault="00994050" w:rsidP="00994050">
      <w:pPr>
        <w:rPr>
          <w:u w:val="single"/>
          <w:lang w:val="pl-PL"/>
        </w:rPr>
      </w:pPr>
      <w:r w:rsidRPr="0070444C">
        <w:rPr>
          <w:i/>
          <w:u w:val="single"/>
          <w:lang w:val="pl-PL"/>
        </w:rPr>
        <w:t xml:space="preserve">Białkomocz </w:t>
      </w:r>
      <w:r w:rsidRPr="0070444C">
        <w:rPr>
          <w:u w:val="single"/>
          <w:lang w:val="pl-PL"/>
        </w:rPr>
        <w:t>(patrz punkt 4.4)</w:t>
      </w:r>
    </w:p>
    <w:p w14:paraId="358013DE" w14:textId="77777777" w:rsidR="00994050" w:rsidRPr="0015541C" w:rsidRDefault="00994050" w:rsidP="00994050">
      <w:pPr>
        <w:rPr>
          <w:lang w:val="pl-PL"/>
        </w:rPr>
      </w:pPr>
      <w:r w:rsidRPr="0015541C">
        <w:rPr>
          <w:lang w:val="pl-PL"/>
        </w:rPr>
        <w:t xml:space="preserve">W badaniach klinicznych, białkomocz był obserwowany w zakresie od 0,7% do </w:t>
      </w:r>
      <w:r w:rsidR="00C76036" w:rsidRPr="0015541C">
        <w:rPr>
          <w:lang w:val="pl-PL"/>
        </w:rPr>
        <w:t>54,7</w:t>
      </w:r>
      <w:r w:rsidRPr="0015541C">
        <w:rPr>
          <w:lang w:val="pl-PL"/>
        </w:rPr>
        <w:t xml:space="preserve">% w grupie pacjentów przyjmujących </w:t>
      </w:r>
      <w:r w:rsidR="00DF371D" w:rsidRPr="0015541C">
        <w:rPr>
          <w:lang w:val="pl-PL"/>
        </w:rPr>
        <w:t>bewacyzumab</w:t>
      </w:r>
      <w:r w:rsidRPr="0015541C">
        <w:rPr>
          <w:lang w:val="pl-PL"/>
        </w:rPr>
        <w:t xml:space="preserve">. </w:t>
      </w:r>
    </w:p>
    <w:p w14:paraId="0D8707AB" w14:textId="77777777" w:rsidR="00125507" w:rsidRPr="0015541C" w:rsidRDefault="00125507" w:rsidP="00994050">
      <w:pPr>
        <w:rPr>
          <w:lang w:val="pl-PL"/>
        </w:rPr>
      </w:pPr>
    </w:p>
    <w:p w14:paraId="103DD156" w14:textId="52AB22DB" w:rsidR="00994050" w:rsidRPr="0015541C" w:rsidRDefault="00994050" w:rsidP="00994050">
      <w:pPr>
        <w:rPr>
          <w:lang w:val="pl-PL"/>
        </w:rPr>
      </w:pPr>
      <w:r w:rsidRPr="0015541C">
        <w:rPr>
          <w:lang w:val="pl-PL"/>
        </w:rPr>
        <w:t>Białkomocz w zależności od ciężkości mógł mieć postać od klinicznie bezobjawowej, przemijającej, w postaci śladowego białkomoczu aż do zespołu nerczycowego, w większości przypadków białkomocz był stopnia 1</w:t>
      </w:r>
      <w:r w:rsidR="003072A5" w:rsidRPr="0015541C">
        <w:rPr>
          <w:lang w:val="pl-PL"/>
        </w:rPr>
        <w:t xml:space="preserve"> (NCI</w:t>
      </w:r>
      <w:r w:rsidR="00802A33" w:rsidRPr="0015541C">
        <w:rPr>
          <w:lang w:val="pl-PL"/>
        </w:rPr>
        <w:noBreakHyphen/>
      </w:r>
      <w:r w:rsidR="003072A5" w:rsidRPr="0015541C">
        <w:rPr>
          <w:lang w:val="pl-PL"/>
        </w:rPr>
        <w:t>CTCAE v.3)</w:t>
      </w:r>
      <w:r w:rsidRPr="0015541C">
        <w:rPr>
          <w:lang w:val="pl-PL"/>
        </w:rPr>
        <w:t>. Białkomocz stopnia 3</w:t>
      </w:r>
      <w:r w:rsidR="009409B2" w:rsidRPr="0015541C">
        <w:rPr>
          <w:lang w:val="pl-PL"/>
        </w:rPr>
        <w:t xml:space="preserve"> występował z częstością do </w:t>
      </w:r>
      <w:r w:rsidR="00243691" w:rsidRPr="0015541C">
        <w:rPr>
          <w:lang w:val="pl-PL"/>
        </w:rPr>
        <w:t>10,9</w:t>
      </w:r>
      <w:r w:rsidR="009409B2" w:rsidRPr="0015541C">
        <w:rPr>
          <w:lang w:val="pl-PL"/>
        </w:rPr>
        <w:t>%</w:t>
      </w:r>
      <w:r w:rsidRPr="0015541C">
        <w:rPr>
          <w:lang w:val="pl-PL"/>
        </w:rPr>
        <w:t xml:space="preserve"> </w:t>
      </w:r>
      <w:r w:rsidR="009409B2" w:rsidRPr="0015541C">
        <w:rPr>
          <w:lang w:val="pl-PL"/>
        </w:rPr>
        <w:t xml:space="preserve">leczonych pacjentów. </w:t>
      </w:r>
      <w:r w:rsidRPr="0015541C">
        <w:rPr>
          <w:lang w:val="pl-PL"/>
        </w:rPr>
        <w:t xml:space="preserve">Białkomocz stopnia 4 (zespół nerczycowy) był obserwowany u maksymalnie 1,4% leczonych pacjentów. Białkomocz obserwowany u pacjentów otrzymujących </w:t>
      </w:r>
      <w:r w:rsidR="002102C9" w:rsidRPr="0015541C">
        <w:rPr>
          <w:lang w:val="pl-PL"/>
        </w:rPr>
        <w:t>bewacyzumab</w:t>
      </w:r>
      <w:r w:rsidRPr="0015541C">
        <w:rPr>
          <w:lang w:val="pl-PL"/>
        </w:rPr>
        <w:t xml:space="preserve"> w ramach badań klinicznych nie był związany z zaburzeniem czynności nerek i rzadko wymagał całkowitego zaprzestania podawania </w:t>
      </w:r>
      <w:r w:rsidR="002102C9" w:rsidRPr="0015541C">
        <w:rPr>
          <w:lang w:val="pl-PL"/>
        </w:rPr>
        <w:t>bewacyzumab</w:t>
      </w:r>
      <w:r w:rsidRPr="0015541C">
        <w:rPr>
          <w:lang w:val="pl-PL"/>
        </w:rPr>
        <w:t xml:space="preserve">u. Przed rozpoczęciem leczenia </w:t>
      </w:r>
      <w:r w:rsidR="002102C9" w:rsidRPr="0015541C">
        <w:rPr>
          <w:lang w:val="pl-PL"/>
        </w:rPr>
        <w:t>bewacyzumab</w:t>
      </w:r>
      <w:r w:rsidRPr="0015541C">
        <w:rPr>
          <w:lang w:val="pl-PL"/>
        </w:rPr>
        <w:t xml:space="preserve">em zaleca się wykonanie badania </w:t>
      </w:r>
      <w:r w:rsidR="00E14293" w:rsidRPr="0015541C">
        <w:rPr>
          <w:lang w:val="pl-PL"/>
        </w:rPr>
        <w:t xml:space="preserve">moczu na obecność </w:t>
      </w:r>
      <w:r w:rsidRPr="0015541C">
        <w:rPr>
          <w:lang w:val="pl-PL"/>
        </w:rPr>
        <w:t>białk</w:t>
      </w:r>
      <w:r w:rsidR="00E14293" w:rsidRPr="0015541C">
        <w:rPr>
          <w:lang w:val="pl-PL"/>
        </w:rPr>
        <w:t>a</w:t>
      </w:r>
      <w:r w:rsidRPr="0015541C">
        <w:rPr>
          <w:lang w:val="pl-PL"/>
        </w:rPr>
        <w:t xml:space="preserve">. W większości badań klinicznych białkomocz dobowy był większy lub równy 2 g na dobę i prowadził do przerwania stosowania </w:t>
      </w:r>
      <w:r w:rsidR="002102C9" w:rsidRPr="0015541C">
        <w:rPr>
          <w:lang w:val="pl-PL"/>
        </w:rPr>
        <w:t>bewacyzumab</w:t>
      </w:r>
      <w:r w:rsidRPr="0015541C">
        <w:rPr>
          <w:lang w:val="pl-PL"/>
        </w:rPr>
        <w:t>u do powrotu do stężenia mniejszego niż 2 g na dobę.</w:t>
      </w:r>
    </w:p>
    <w:p w14:paraId="2E949C25" w14:textId="77777777" w:rsidR="00994050" w:rsidRPr="0015541C" w:rsidRDefault="00994050" w:rsidP="00994050">
      <w:pPr>
        <w:rPr>
          <w:lang w:val="pl-PL"/>
        </w:rPr>
      </w:pPr>
    </w:p>
    <w:p w14:paraId="1637115C" w14:textId="77777777" w:rsidR="00994050" w:rsidRPr="0070444C" w:rsidRDefault="00994050" w:rsidP="0088461C">
      <w:pPr>
        <w:keepNext/>
        <w:rPr>
          <w:u w:val="single"/>
          <w:lang w:val="pl-PL"/>
        </w:rPr>
      </w:pPr>
      <w:r w:rsidRPr="0070444C">
        <w:rPr>
          <w:i/>
          <w:u w:val="single"/>
          <w:lang w:val="pl-PL"/>
        </w:rPr>
        <w:t xml:space="preserve">Krwotoki </w:t>
      </w:r>
      <w:r w:rsidRPr="0070444C">
        <w:rPr>
          <w:u w:val="single"/>
          <w:lang w:val="pl-PL"/>
        </w:rPr>
        <w:t>(patrz punkt 4.4)</w:t>
      </w:r>
    </w:p>
    <w:p w14:paraId="59A1A8B3" w14:textId="0A651AD5" w:rsidR="00994050" w:rsidRPr="0015541C" w:rsidRDefault="00994050" w:rsidP="00622BEF">
      <w:pPr>
        <w:keepNext/>
        <w:keepLines/>
        <w:rPr>
          <w:lang w:val="pl-PL"/>
        </w:rPr>
      </w:pPr>
      <w:r w:rsidRPr="0015541C">
        <w:rPr>
          <w:lang w:val="pl-PL"/>
        </w:rPr>
        <w:t xml:space="preserve">W badaniach klinicznych we wszystkich wskazaniach, całkowita częstość występowania krwawienia stopnia 3-5 wg skali </w:t>
      </w:r>
      <w:r w:rsidR="003072A5" w:rsidRPr="0015541C">
        <w:rPr>
          <w:lang w:val="pl-PL"/>
        </w:rPr>
        <w:t>(NCI</w:t>
      </w:r>
      <w:r w:rsidR="00802A33" w:rsidRPr="0015541C">
        <w:rPr>
          <w:lang w:val="pl-PL"/>
        </w:rPr>
        <w:noBreakHyphen/>
      </w:r>
      <w:r w:rsidR="003072A5" w:rsidRPr="0015541C">
        <w:rPr>
          <w:lang w:val="pl-PL"/>
        </w:rPr>
        <w:t xml:space="preserve">CTCAE v.3) </w:t>
      </w:r>
      <w:r w:rsidRPr="0015541C">
        <w:rPr>
          <w:lang w:val="pl-PL"/>
        </w:rPr>
        <w:t xml:space="preserve">wynosiła od 0,4% do </w:t>
      </w:r>
      <w:r w:rsidR="009409B2" w:rsidRPr="0015541C">
        <w:rPr>
          <w:lang w:val="pl-PL"/>
        </w:rPr>
        <w:t>6,</w:t>
      </w:r>
      <w:r w:rsidR="00DD574E" w:rsidRPr="0015541C">
        <w:rPr>
          <w:lang w:val="pl-PL"/>
        </w:rPr>
        <w:t>9</w:t>
      </w:r>
      <w:r w:rsidRPr="0015541C">
        <w:rPr>
          <w:lang w:val="pl-PL"/>
        </w:rPr>
        <w:t xml:space="preserve">% chorych otrzymujących </w:t>
      </w:r>
      <w:r w:rsidR="0039034C" w:rsidRPr="0015541C">
        <w:rPr>
          <w:lang w:val="pl-PL"/>
        </w:rPr>
        <w:t>bewacyzumab</w:t>
      </w:r>
      <w:r w:rsidRPr="0015541C">
        <w:rPr>
          <w:lang w:val="pl-PL"/>
        </w:rPr>
        <w:t xml:space="preserve">, w porównaniu do maksymalnie </w:t>
      </w:r>
      <w:r w:rsidR="00DD574E" w:rsidRPr="0015541C">
        <w:rPr>
          <w:lang w:val="pl-PL"/>
        </w:rPr>
        <w:t>4,5</w:t>
      </w:r>
      <w:r w:rsidRPr="0015541C">
        <w:rPr>
          <w:lang w:val="pl-PL"/>
        </w:rPr>
        <w:t>% pacjentów w grupie kontrolnej otrzymującej chemioterapię.</w:t>
      </w:r>
    </w:p>
    <w:p w14:paraId="29D1B04C" w14:textId="77777777" w:rsidR="00DD574E" w:rsidRPr="0015541C" w:rsidRDefault="00DD574E" w:rsidP="00622BEF">
      <w:pPr>
        <w:keepNext/>
        <w:keepLines/>
        <w:rPr>
          <w:lang w:val="pl-PL"/>
        </w:rPr>
      </w:pPr>
    </w:p>
    <w:p w14:paraId="6C652235" w14:textId="4BE664B0" w:rsidR="00DD574E" w:rsidRPr="0015541C" w:rsidRDefault="003244EC" w:rsidP="00622BEF">
      <w:pPr>
        <w:keepNext/>
        <w:keepLines/>
        <w:rPr>
          <w:lang w:val="pl-PL"/>
        </w:rPr>
      </w:pPr>
      <w:r w:rsidRPr="0015541C">
        <w:rPr>
          <w:lang w:val="pl-PL"/>
        </w:rPr>
        <w:t>W bad</w:t>
      </w:r>
      <w:r w:rsidR="00474AB5" w:rsidRPr="0015541C">
        <w:rPr>
          <w:lang w:val="pl-PL"/>
        </w:rPr>
        <w:t>a</w:t>
      </w:r>
      <w:r w:rsidRPr="0015541C">
        <w:rPr>
          <w:lang w:val="pl-PL"/>
        </w:rPr>
        <w:t>ni</w:t>
      </w:r>
      <w:r w:rsidR="00474AB5" w:rsidRPr="0015541C">
        <w:rPr>
          <w:lang w:val="pl-PL"/>
        </w:rPr>
        <w:t>u</w:t>
      </w:r>
      <w:r w:rsidRPr="0015541C">
        <w:rPr>
          <w:lang w:val="pl-PL"/>
        </w:rPr>
        <w:t xml:space="preserve"> kliniczny</w:t>
      </w:r>
      <w:r w:rsidR="00474AB5" w:rsidRPr="0015541C">
        <w:rPr>
          <w:lang w:val="pl-PL"/>
        </w:rPr>
        <w:t>m</w:t>
      </w:r>
      <w:r w:rsidRPr="0015541C">
        <w:rPr>
          <w:lang w:val="pl-PL"/>
        </w:rPr>
        <w:t xml:space="preserve"> u pacjentek z przetrwałym, nawrotowym lub przerzutowym rakiem szyjki macicy </w:t>
      </w:r>
      <w:r w:rsidR="00DD574E" w:rsidRPr="0015541C">
        <w:rPr>
          <w:lang w:val="pl-PL"/>
        </w:rPr>
        <w:t>(</w:t>
      </w:r>
      <w:r w:rsidRPr="0015541C">
        <w:rPr>
          <w:lang w:val="pl-PL"/>
        </w:rPr>
        <w:t>badanie</w:t>
      </w:r>
      <w:r w:rsidR="00DD574E" w:rsidRPr="0015541C">
        <w:rPr>
          <w:lang w:val="pl-PL"/>
        </w:rPr>
        <w:t xml:space="preserve"> GOG-0240), </w:t>
      </w:r>
      <w:r w:rsidRPr="0015541C">
        <w:rPr>
          <w:lang w:val="pl-PL"/>
        </w:rPr>
        <w:t>krwawienia stopnia</w:t>
      </w:r>
      <w:r w:rsidR="00DD574E" w:rsidRPr="0015541C">
        <w:rPr>
          <w:lang w:val="pl-PL"/>
        </w:rPr>
        <w:t xml:space="preserve"> 3-5 </w:t>
      </w:r>
      <w:r w:rsidRPr="0015541C">
        <w:rPr>
          <w:lang w:val="pl-PL"/>
        </w:rPr>
        <w:t xml:space="preserve">były opisywane </w:t>
      </w:r>
      <w:r w:rsidR="006D3BD4" w:rsidRPr="0015541C">
        <w:rPr>
          <w:lang w:val="pl-PL"/>
        </w:rPr>
        <w:t>u</w:t>
      </w:r>
      <w:r w:rsidR="00DD574E" w:rsidRPr="0015541C">
        <w:rPr>
          <w:lang w:val="pl-PL"/>
        </w:rPr>
        <w:t xml:space="preserve"> </w:t>
      </w:r>
      <w:r w:rsidR="00966CDF" w:rsidRPr="0015541C">
        <w:rPr>
          <w:lang w:val="pl-PL"/>
        </w:rPr>
        <w:t>8</w:t>
      </w:r>
      <w:r w:rsidR="006F4F5E" w:rsidRPr="0015541C">
        <w:rPr>
          <w:lang w:val="pl-PL"/>
        </w:rPr>
        <w:t>,</w:t>
      </w:r>
      <w:r w:rsidR="00966CDF" w:rsidRPr="0015541C">
        <w:rPr>
          <w:lang w:val="pl-PL"/>
        </w:rPr>
        <w:t xml:space="preserve">3% </w:t>
      </w:r>
      <w:r w:rsidRPr="0015541C">
        <w:rPr>
          <w:lang w:val="pl-PL"/>
        </w:rPr>
        <w:t xml:space="preserve">pacjentek leczonych </w:t>
      </w:r>
      <w:r w:rsidR="00911C3B" w:rsidRPr="0015541C">
        <w:rPr>
          <w:lang w:val="pl-PL"/>
        </w:rPr>
        <w:t>bewacyzumab</w:t>
      </w:r>
      <w:r w:rsidRPr="0015541C">
        <w:rPr>
          <w:lang w:val="pl-PL"/>
        </w:rPr>
        <w:t xml:space="preserve">em w skojarzeniu z paklitakselem i topotekanem w porównaniu do </w:t>
      </w:r>
      <w:r w:rsidR="00DD574E" w:rsidRPr="0015541C">
        <w:rPr>
          <w:lang w:val="pl-PL"/>
        </w:rPr>
        <w:t>4</w:t>
      </w:r>
      <w:r w:rsidR="006F4F5E" w:rsidRPr="0015541C">
        <w:rPr>
          <w:lang w:val="pl-PL"/>
        </w:rPr>
        <w:t>,</w:t>
      </w:r>
      <w:r w:rsidR="00DD574E" w:rsidRPr="0015541C">
        <w:rPr>
          <w:lang w:val="pl-PL"/>
        </w:rPr>
        <w:t xml:space="preserve">6% </w:t>
      </w:r>
      <w:r w:rsidR="00966CDF" w:rsidRPr="0015541C">
        <w:rPr>
          <w:lang w:val="pl-PL"/>
        </w:rPr>
        <w:t>w grupie cho</w:t>
      </w:r>
      <w:r w:rsidR="00817954" w:rsidRPr="0015541C">
        <w:rPr>
          <w:lang w:val="pl-PL"/>
        </w:rPr>
        <w:t>r</w:t>
      </w:r>
      <w:r w:rsidR="00966CDF" w:rsidRPr="0015541C">
        <w:rPr>
          <w:lang w:val="pl-PL"/>
        </w:rPr>
        <w:t>ych</w:t>
      </w:r>
      <w:r w:rsidRPr="0015541C">
        <w:rPr>
          <w:lang w:val="pl-PL"/>
        </w:rPr>
        <w:t xml:space="preserve"> leczonych paklitakselem i </w:t>
      </w:r>
      <w:r w:rsidR="006D3BD4" w:rsidRPr="0015541C">
        <w:rPr>
          <w:lang w:val="pl-PL"/>
        </w:rPr>
        <w:t>t</w:t>
      </w:r>
      <w:r w:rsidRPr="0015541C">
        <w:rPr>
          <w:lang w:val="pl-PL"/>
        </w:rPr>
        <w:t>opotekanem</w:t>
      </w:r>
      <w:r w:rsidR="00DD574E" w:rsidRPr="0015541C">
        <w:rPr>
          <w:color w:val="000000"/>
          <w:lang w:val="pl-PL"/>
        </w:rPr>
        <w:t>.</w:t>
      </w:r>
    </w:p>
    <w:p w14:paraId="7EDE39D8" w14:textId="77777777" w:rsidR="00994050" w:rsidRPr="0015541C" w:rsidRDefault="00994050" w:rsidP="00994050">
      <w:pPr>
        <w:rPr>
          <w:lang w:val="pl-PL"/>
        </w:rPr>
      </w:pPr>
    </w:p>
    <w:p w14:paraId="2E5E1792" w14:textId="77777777" w:rsidR="00994050" w:rsidRPr="0015541C" w:rsidRDefault="00994050" w:rsidP="00994050">
      <w:pPr>
        <w:rPr>
          <w:lang w:val="pl-PL"/>
        </w:rPr>
      </w:pPr>
      <w:r w:rsidRPr="0015541C">
        <w:rPr>
          <w:lang w:val="pl-PL"/>
        </w:rPr>
        <w:t>Krwotoki obserwowane w badaniach klinicznych były głównie krwotokami związanymi z guzem (patrz poniżej) i krwawieniami z błon śluzowych o niewielkim nasileniu (np. krwawienie z nosa).</w:t>
      </w:r>
    </w:p>
    <w:p w14:paraId="6ABAF881" w14:textId="77777777" w:rsidR="00994050" w:rsidRPr="0015541C" w:rsidRDefault="00994050" w:rsidP="00994050">
      <w:pPr>
        <w:rPr>
          <w:lang w:val="pl-PL"/>
        </w:rPr>
      </w:pPr>
    </w:p>
    <w:p w14:paraId="21DC5D1C" w14:textId="77777777" w:rsidR="00994050" w:rsidRPr="0070444C" w:rsidRDefault="00994050" w:rsidP="00CD07A8">
      <w:pPr>
        <w:keepNext/>
        <w:keepLines/>
        <w:rPr>
          <w:u w:val="single"/>
          <w:lang w:val="pl-PL"/>
        </w:rPr>
      </w:pPr>
      <w:r w:rsidRPr="0070444C">
        <w:rPr>
          <w:i/>
          <w:u w:val="single"/>
          <w:lang w:val="pl-PL"/>
        </w:rPr>
        <w:t>Krwotoki związane z guzem (</w:t>
      </w:r>
      <w:r w:rsidRPr="0070444C">
        <w:rPr>
          <w:u w:val="single"/>
          <w:lang w:val="pl-PL"/>
        </w:rPr>
        <w:t>patrz punkt 4.4)</w:t>
      </w:r>
    </w:p>
    <w:p w14:paraId="1DECB265" w14:textId="77777777" w:rsidR="00994050" w:rsidRPr="0015541C" w:rsidRDefault="00994050" w:rsidP="00994050">
      <w:pPr>
        <w:rPr>
          <w:lang w:val="pl-PL"/>
        </w:rPr>
      </w:pPr>
      <w:r w:rsidRPr="0015541C">
        <w:rPr>
          <w:lang w:val="pl-PL"/>
        </w:rPr>
        <w:t xml:space="preserve">Ciężkie lub intensywne krwotoki płucne i (lub) krwioplucie obserwowano głównie u chorych na niedrobnokomórkowego raka płuca. Do możliwych czynników ryzyka należą: płaskonabłonkowy typ histologiczny, stosowanie leków przeciwreumatycznych i (lub) przeciwzapalnych, stosowanie leków przeciwzakrzepowych, wcześniej stosowana radioterapia, </w:t>
      </w:r>
      <w:r w:rsidR="00916A77" w:rsidRPr="0015541C">
        <w:rPr>
          <w:lang w:val="pl-PL"/>
        </w:rPr>
        <w:t>bewacyzumab</w:t>
      </w:r>
      <w:r w:rsidRPr="0015541C">
        <w:rPr>
          <w:lang w:val="pl-PL"/>
        </w:rPr>
        <w:t xml:space="preserve">em, miażdżyca tętnic w wywiadzie, guz zlokalizowany centralnie oraz powstawanie jam w obrębie guza podczas leczenia. Jedynymi czynnikami wskazującymi na statystycznie istotną zależność z występowaniem krwawień były leczenie </w:t>
      </w:r>
      <w:r w:rsidR="00AF7B28" w:rsidRPr="0015541C">
        <w:rPr>
          <w:lang w:val="pl-PL"/>
        </w:rPr>
        <w:t>bewacyzumab</w:t>
      </w:r>
      <w:r w:rsidRPr="0015541C">
        <w:rPr>
          <w:lang w:val="pl-PL"/>
        </w:rPr>
        <w:t xml:space="preserve">em oraz rak płaskonabłonkowy. Pacjenci z niedrobnokomórkowym </w:t>
      </w:r>
      <w:r w:rsidRPr="0015541C">
        <w:rPr>
          <w:lang w:val="pl-PL"/>
        </w:rPr>
        <w:lastRenderedPageBreak/>
        <w:t xml:space="preserve">rakiem płuca ze stwierdzonym płaskonabłonkowym typem histologicznym lub mieszanym typem komórek z przewagą typu płaskonabłonkowego byli wyłączani z dalszych badań fazy III, zaś pacjenci bez weryfikacji histologicznej nowotworu byli włączani do badań. </w:t>
      </w:r>
    </w:p>
    <w:p w14:paraId="1C84A183" w14:textId="77777777" w:rsidR="00994050" w:rsidRPr="0015541C" w:rsidRDefault="00994050" w:rsidP="00994050">
      <w:pPr>
        <w:rPr>
          <w:lang w:val="pl-PL"/>
        </w:rPr>
      </w:pPr>
    </w:p>
    <w:p w14:paraId="2734E9BF" w14:textId="60B1A095" w:rsidR="00994050" w:rsidRPr="0015541C" w:rsidRDefault="00994050" w:rsidP="00994050">
      <w:pPr>
        <w:rPr>
          <w:lang w:val="pl-PL"/>
        </w:rPr>
      </w:pPr>
      <w:r w:rsidRPr="0015541C">
        <w:rPr>
          <w:lang w:val="pl-PL"/>
        </w:rPr>
        <w:t>W grupie pacjentów z niedrobnokomórkowym rakiem płuca, z wyjątkiem pacjentów z rakiem z przewagą komórek typu płaskonabłonkowego, obserwowano incydenty krwotoczne wszystkich stopni z częstością do 9</w:t>
      </w:r>
      <w:r w:rsidR="00C76036" w:rsidRPr="0015541C">
        <w:rPr>
          <w:lang w:val="pl-PL"/>
        </w:rPr>
        <w:t>,3</w:t>
      </w:r>
      <w:r w:rsidRPr="0015541C">
        <w:rPr>
          <w:lang w:val="pl-PL"/>
        </w:rPr>
        <w:t xml:space="preserve">% w grupie leczonych </w:t>
      </w:r>
      <w:r w:rsidR="005E7872" w:rsidRPr="0015541C">
        <w:rPr>
          <w:lang w:val="pl-PL"/>
        </w:rPr>
        <w:t>bewacyzumab</w:t>
      </w:r>
      <w:r w:rsidRPr="0015541C">
        <w:rPr>
          <w:lang w:val="pl-PL"/>
        </w:rPr>
        <w:t xml:space="preserve">em i chemioterapią w porównaniu do </w:t>
      </w:r>
      <w:r w:rsidR="00BC4091" w:rsidRPr="0015541C">
        <w:rPr>
          <w:lang w:val="pl-PL"/>
        </w:rPr>
        <w:t xml:space="preserve">nie więcej niż </w:t>
      </w:r>
      <w:r w:rsidRPr="0015541C">
        <w:rPr>
          <w:lang w:val="pl-PL"/>
        </w:rPr>
        <w:t xml:space="preserve">5% w grupie pacjentów otrzymujących tylko samą chemioterapię. Krwotok płucny i (lub) krwioplucie stopnia 3-5 obserwowano maksymalnie u 2,3% pacjentów leczonych </w:t>
      </w:r>
      <w:r w:rsidR="005E7872" w:rsidRPr="0015541C">
        <w:rPr>
          <w:lang w:val="pl-PL"/>
        </w:rPr>
        <w:t>bewacyzumab</w:t>
      </w:r>
      <w:r w:rsidRPr="0015541C">
        <w:rPr>
          <w:lang w:val="pl-PL"/>
        </w:rPr>
        <w:t>em i chemioterapią w porównaniu do &lt; 1% u otrzymujących tylko samą chemioterapię</w:t>
      </w:r>
      <w:r w:rsidR="003072A5" w:rsidRPr="0015541C">
        <w:rPr>
          <w:lang w:val="pl-PL"/>
        </w:rPr>
        <w:t xml:space="preserve"> (NCI</w:t>
      </w:r>
      <w:r w:rsidR="00802A33" w:rsidRPr="0015541C">
        <w:rPr>
          <w:lang w:val="pl-PL"/>
        </w:rPr>
        <w:noBreakHyphen/>
      </w:r>
      <w:r w:rsidR="003072A5" w:rsidRPr="0015541C">
        <w:rPr>
          <w:lang w:val="pl-PL"/>
        </w:rPr>
        <w:t>CTCAE v.3)</w:t>
      </w:r>
      <w:r w:rsidRPr="0015541C">
        <w:rPr>
          <w:lang w:val="pl-PL"/>
        </w:rPr>
        <w:t>. Ciężkie lub intensywne krwotoki płucne i (lub) krwioplucie mogą wystąpić nagle i w prawie dwóch trzecich przypadków ciężkiego krwotoku płucnego nastąpił zgon pacjenta.</w:t>
      </w:r>
    </w:p>
    <w:p w14:paraId="33F7FEFB" w14:textId="77777777" w:rsidR="00994050" w:rsidRPr="0015541C" w:rsidRDefault="00994050" w:rsidP="00994050">
      <w:pPr>
        <w:rPr>
          <w:lang w:val="pl-PL"/>
        </w:rPr>
      </w:pPr>
    </w:p>
    <w:p w14:paraId="4BFDBEAC" w14:textId="77777777" w:rsidR="00994050" w:rsidRPr="0015541C" w:rsidRDefault="00994050" w:rsidP="00994050">
      <w:pPr>
        <w:rPr>
          <w:lang w:val="pl-PL"/>
        </w:rPr>
      </w:pPr>
      <w:r w:rsidRPr="0015541C">
        <w:rPr>
          <w:lang w:val="pl-PL"/>
        </w:rPr>
        <w:t>U pacjentów z rakiem odbytnicy i okrężnicy obserwowano krwotoki z przewodu pokarmowego, w tym krwotoki z odbytnicy oraz smołowate stolce, zakwalifikowane jako krwotoki związane z guzem.</w:t>
      </w:r>
    </w:p>
    <w:p w14:paraId="60889E01" w14:textId="77777777" w:rsidR="00994050" w:rsidRPr="0015541C" w:rsidRDefault="00994050" w:rsidP="00994050">
      <w:pPr>
        <w:rPr>
          <w:lang w:val="pl-PL"/>
        </w:rPr>
      </w:pPr>
    </w:p>
    <w:p w14:paraId="74227E2D" w14:textId="77777777" w:rsidR="00994050" w:rsidRPr="0015541C" w:rsidRDefault="00994050" w:rsidP="00994050">
      <w:pPr>
        <w:rPr>
          <w:lang w:val="pl-PL"/>
        </w:rPr>
      </w:pPr>
      <w:r w:rsidRPr="0015541C">
        <w:rPr>
          <w:lang w:val="pl-PL"/>
        </w:rPr>
        <w:t xml:space="preserve">Krwotoki związane z guzem były również rzadko obserwowane w innych nowotworach, wliczając w to przypadki krwawienia w obrębie ośrodkowego układu nerwowego (OUN) u chorych, z przerzutami do OUN (patrz punkt 4.4). </w:t>
      </w:r>
    </w:p>
    <w:p w14:paraId="6A4F812D" w14:textId="77777777" w:rsidR="00994050" w:rsidRPr="0015541C" w:rsidRDefault="00994050" w:rsidP="00994050">
      <w:pPr>
        <w:rPr>
          <w:lang w:val="pl-PL"/>
        </w:rPr>
      </w:pPr>
    </w:p>
    <w:p w14:paraId="071B8CDE" w14:textId="196A5C82" w:rsidR="00994050" w:rsidRPr="0015541C" w:rsidRDefault="00994050" w:rsidP="00994050">
      <w:pPr>
        <w:rPr>
          <w:lang w:val="pl-PL"/>
        </w:rPr>
      </w:pPr>
      <w:r w:rsidRPr="0015541C">
        <w:rPr>
          <w:lang w:val="pl-PL"/>
        </w:rPr>
        <w:t xml:space="preserve">Przypadki krwawienia do OUN u pacjentów z nieleczonymi przerzutami do OUN otrzymujących bewacyzumab nie były oceniane prospektywnie w randomizowanych badaniach klinicznych. W analizie retrospektywnej danych z 13 zakończonych randomizowanych badań klinicznych u pacjentów z różnymi typami guzów, u 3 z 91 (3,3%) z przerzutami do mózgu leczonych bewacyzumabem wystąpiło krwawienie do OUN (wszyscy 4 stopień) w porównaniu do 1 przypadku (stopień 5) z 96 pacjentów (1%) nie poddanych leczeniu bewacyzumabem. W dwóch </w:t>
      </w:r>
      <w:r w:rsidR="00D940FB" w:rsidRPr="0015541C">
        <w:rPr>
          <w:lang w:val="pl-PL"/>
        </w:rPr>
        <w:t xml:space="preserve">kolejnych </w:t>
      </w:r>
      <w:r w:rsidRPr="0015541C">
        <w:rPr>
          <w:lang w:val="pl-PL"/>
        </w:rPr>
        <w:t>badaniach u leczonych pacjentów z przerzutami do OUN</w:t>
      </w:r>
      <w:r w:rsidR="00D940FB" w:rsidRPr="0015541C">
        <w:rPr>
          <w:lang w:val="pl-PL"/>
        </w:rPr>
        <w:t xml:space="preserve"> (w których uczestniczyło około 800 pacjentów)</w:t>
      </w:r>
      <w:r w:rsidRPr="0015541C">
        <w:rPr>
          <w:lang w:val="pl-PL"/>
        </w:rPr>
        <w:t>, w cząstkowej analizie bezpieczeństwa, zgłoszono jeden przypadek krwawienia stopnia 2. w grupie 83 pacjentów leczonych bewacyzumabem (1,2%)</w:t>
      </w:r>
      <w:r w:rsidR="003072A5" w:rsidRPr="0015541C">
        <w:rPr>
          <w:lang w:val="pl-PL"/>
        </w:rPr>
        <w:t xml:space="preserve"> (NCI</w:t>
      </w:r>
      <w:r w:rsidR="007D74E0" w:rsidRPr="0015541C">
        <w:rPr>
          <w:lang w:val="pl-PL"/>
        </w:rPr>
        <w:noBreakHyphen/>
      </w:r>
      <w:r w:rsidR="003072A5" w:rsidRPr="0015541C">
        <w:rPr>
          <w:lang w:val="pl-PL"/>
        </w:rPr>
        <w:t>CTCAE v.3)</w:t>
      </w:r>
      <w:r w:rsidRPr="0015541C">
        <w:rPr>
          <w:lang w:val="pl-PL"/>
        </w:rPr>
        <w:t>.</w:t>
      </w:r>
    </w:p>
    <w:p w14:paraId="46F7DB3E" w14:textId="77777777" w:rsidR="000848B4" w:rsidRPr="0015541C" w:rsidRDefault="000848B4" w:rsidP="00994050">
      <w:pPr>
        <w:rPr>
          <w:lang w:val="pl-PL"/>
        </w:rPr>
      </w:pPr>
    </w:p>
    <w:p w14:paraId="2DA2B503" w14:textId="456748C8" w:rsidR="00994050" w:rsidRPr="0015541C" w:rsidRDefault="00994050" w:rsidP="00994050">
      <w:pPr>
        <w:rPr>
          <w:lang w:val="pl-PL"/>
        </w:rPr>
      </w:pPr>
      <w:r w:rsidRPr="0015541C">
        <w:rPr>
          <w:lang w:val="pl-PL"/>
        </w:rPr>
        <w:t xml:space="preserve">We wszystkich badaniach </w:t>
      </w:r>
      <w:r w:rsidR="000848B4" w:rsidRPr="0015541C">
        <w:rPr>
          <w:lang w:val="pl-PL"/>
        </w:rPr>
        <w:t>bewacyzumab</w:t>
      </w:r>
      <w:r w:rsidRPr="0015541C">
        <w:rPr>
          <w:lang w:val="pl-PL"/>
        </w:rPr>
        <w:t xml:space="preserve">u, krwawienia z błon śluzowych były obserwowane u </w:t>
      </w:r>
      <w:r w:rsidR="000A76A3" w:rsidRPr="0015541C">
        <w:rPr>
          <w:lang w:val="pl-PL"/>
        </w:rPr>
        <w:t>do 50</w:t>
      </w:r>
      <w:r w:rsidRPr="0015541C">
        <w:rPr>
          <w:lang w:val="pl-PL"/>
        </w:rPr>
        <w:t xml:space="preserve">% pacjentów otrzymujących </w:t>
      </w:r>
      <w:r w:rsidR="006D57A5" w:rsidRPr="0015541C">
        <w:rPr>
          <w:lang w:val="pl-PL"/>
        </w:rPr>
        <w:t>bewacyzumab</w:t>
      </w:r>
      <w:r w:rsidRPr="0015541C">
        <w:rPr>
          <w:lang w:val="pl-PL"/>
        </w:rPr>
        <w:t>. Były to najczęściej krwawienia z nosa stopnia 1. w</w:t>
      </w:r>
      <w:r w:rsidR="003072A5" w:rsidRPr="0015541C">
        <w:rPr>
          <w:lang w:val="pl-PL"/>
        </w:rPr>
        <w:t>g</w:t>
      </w:r>
      <w:r w:rsidRPr="0015541C">
        <w:rPr>
          <w:lang w:val="pl-PL"/>
        </w:rPr>
        <w:t xml:space="preserve"> </w:t>
      </w:r>
      <w:r w:rsidR="003072A5" w:rsidRPr="0015541C">
        <w:rPr>
          <w:lang w:val="pl-PL"/>
        </w:rPr>
        <w:t>(NCI</w:t>
      </w:r>
      <w:r w:rsidR="005B01B3" w:rsidRPr="0015541C">
        <w:rPr>
          <w:lang w:val="pl-PL"/>
        </w:rPr>
        <w:noBreakHyphen/>
      </w:r>
      <w:r w:rsidR="003072A5" w:rsidRPr="0015541C">
        <w:rPr>
          <w:lang w:val="pl-PL"/>
        </w:rPr>
        <w:t>CTCAE v.3)</w:t>
      </w:r>
      <w:r w:rsidRPr="0015541C">
        <w:rPr>
          <w:lang w:val="pl-PL"/>
        </w:rPr>
        <w:t xml:space="preserve">, które trwały krócej niż 5 minut, ustępowały bez leczenia i nie wymagały żadnych zmian w sposobie podawania </w:t>
      </w:r>
      <w:r w:rsidR="004A07C8" w:rsidRPr="0015541C">
        <w:rPr>
          <w:lang w:val="pl-PL"/>
        </w:rPr>
        <w:t>bewacyzumabu</w:t>
      </w:r>
      <w:r w:rsidRPr="0015541C">
        <w:rPr>
          <w:lang w:val="pl-PL"/>
        </w:rPr>
        <w:t xml:space="preserve">. Kliniczne dane dotyczące bezpieczeństwa wskazują, że występowanie mniejszych krwotoków z błon śluzowych (np. krwawienie z nosa) może być zależne od dawki leku. </w:t>
      </w:r>
    </w:p>
    <w:p w14:paraId="5607059C" w14:textId="77777777" w:rsidR="00994050" w:rsidRPr="0015541C" w:rsidRDefault="00994050" w:rsidP="00994050">
      <w:pPr>
        <w:rPr>
          <w:lang w:val="pl-PL"/>
        </w:rPr>
      </w:pPr>
    </w:p>
    <w:p w14:paraId="666F237C" w14:textId="77777777" w:rsidR="00994050" w:rsidRPr="0015541C" w:rsidRDefault="00994050" w:rsidP="00994050">
      <w:pPr>
        <w:rPr>
          <w:lang w:val="pl-PL"/>
        </w:rPr>
      </w:pPr>
      <w:r w:rsidRPr="0015541C">
        <w:rPr>
          <w:lang w:val="pl-PL"/>
        </w:rPr>
        <w:t>Rzadziej występowały również krwawienia o niewielkim nasileniu z błon śluzowych w innych lokalizacjach, np. krwawienie z dziąseł lub krwawienie z pochwy.</w:t>
      </w:r>
    </w:p>
    <w:p w14:paraId="50B148E0" w14:textId="77777777" w:rsidR="00994050" w:rsidRPr="0015541C" w:rsidRDefault="00994050" w:rsidP="00994050">
      <w:pPr>
        <w:rPr>
          <w:lang w:val="pl-PL"/>
        </w:rPr>
      </w:pPr>
    </w:p>
    <w:p w14:paraId="3C45AABE" w14:textId="77777777" w:rsidR="00994050" w:rsidRPr="0070444C" w:rsidRDefault="00994050" w:rsidP="0022002F">
      <w:pPr>
        <w:keepNext/>
        <w:rPr>
          <w:u w:val="single"/>
          <w:lang w:val="pl-PL"/>
        </w:rPr>
      </w:pPr>
      <w:r w:rsidRPr="0070444C">
        <w:rPr>
          <w:i/>
          <w:u w:val="single"/>
          <w:lang w:val="pl-PL"/>
        </w:rPr>
        <w:t>Zakrzepica zatorowa</w:t>
      </w:r>
      <w:r w:rsidRPr="0070444C">
        <w:rPr>
          <w:u w:val="single"/>
          <w:lang w:val="pl-PL"/>
        </w:rPr>
        <w:t xml:space="preserve"> (patrz punkt 4.4):</w:t>
      </w:r>
    </w:p>
    <w:p w14:paraId="57B40E0B" w14:textId="77777777" w:rsidR="00994050" w:rsidRPr="0015541C" w:rsidRDefault="00994050" w:rsidP="00D74975">
      <w:pPr>
        <w:rPr>
          <w:lang w:val="pl-PL"/>
        </w:rPr>
      </w:pPr>
      <w:r w:rsidRPr="0015541C">
        <w:rPr>
          <w:i/>
          <w:lang w:val="pl-PL"/>
        </w:rPr>
        <w:t>Zakrzepica zatorowa tętnic:</w:t>
      </w:r>
      <w:r w:rsidR="00D74975" w:rsidRPr="0015541C">
        <w:rPr>
          <w:lang w:val="pl-PL"/>
        </w:rPr>
        <w:t xml:space="preserve"> </w:t>
      </w:r>
      <w:r w:rsidRPr="0015541C">
        <w:rPr>
          <w:lang w:val="pl-PL"/>
        </w:rPr>
        <w:t xml:space="preserve">U pacjentów przyjmujących </w:t>
      </w:r>
      <w:r w:rsidR="000D64A5" w:rsidRPr="0015541C">
        <w:rPr>
          <w:lang w:val="pl-PL"/>
        </w:rPr>
        <w:t>bewacyzumab</w:t>
      </w:r>
      <w:r w:rsidRPr="0015541C">
        <w:rPr>
          <w:lang w:val="pl-PL"/>
        </w:rPr>
        <w:t xml:space="preserve"> we wszystkich wskazaniach obserwowano większą częstość występowania epizodów tętniczej zakrzepicy zatorowej, w tym incydentów mózgowo-naczyniowych, zawałów mięśnia sercowego, przemijających napadów niedokrwiennych mózgu i innych incydentów zakrzepowo-zatorowych.</w:t>
      </w:r>
    </w:p>
    <w:p w14:paraId="318B9FBA" w14:textId="77777777" w:rsidR="00994050" w:rsidRPr="0015541C" w:rsidRDefault="00994050" w:rsidP="00994050">
      <w:pPr>
        <w:outlineLvl w:val="0"/>
        <w:rPr>
          <w:lang w:val="pl-PL"/>
        </w:rPr>
      </w:pPr>
    </w:p>
    <w:p w14:paraId="547B7358" w14:textId="77777777" w:rsidR="00994050" w:rsidRPr="0015541C" w:rsidRDefault="00994050" w:rsidP="00FE0558">
      <w:pPr>
        <w:keepLines/>
        <w:outlineLvl w:val="0"/>
        <w:rPr>
          <w:lang w:val="pl-PL"/>
        </w:rPr>
      </w:pPr>
      <w:r w:rsidRPr="0015541C">
        <w:rPr>
          <w:lang w:val="pl-PL"/>
        </w:rPr>
        <w:t xml:space="preserve">W badaniach klinicznych, ogólna częstość występowania tętniczej zakrzepicy zatorowej wahała się do 3,8% w grupie pacjentów przyjmujących </w:t>
      </w:r>
      <w:r w:rsidR="00B47EB3" w:rsidRPr="0015541C">
        <w:rPr>
          <w:lang w:val="pl-PL"/>
        </w:rPr>
        <w:t>bewacyzumab</w:t>
      </w:r>
      <w:r w:rsidRPr="0015541C">
        <w:rPr>
          <w:lang w:val="pl-PL"/>
        </w:rPr>
        <w:t xml:space="preserve">, w porównaniu do maksymalnie </w:t>
      </w:r>
      <w:r w:rsidR="00A8254F" w:rsidRPr="0015541C">
        <w:rPr>
          <w:lang w:val="pl-PL"/>
        </w:rPr>
        <w:t>2,1</w:t>
      </w:r>
      <w:r w:rsidRPr="0015541C">
        <w:rPr>
          <w:lang w:val="pl-PL"/>
        </w:rPr>
        <w:t xml:space="preserve">% w grupie otrzymującej chemioterapię. Zgony obserwowano u 0,8% pacjentów przyjmujących </w:t>
      </w:r>
      <w:r w:rsidR="00B47EB3" w:rsidRPr="0015541C">
        <w:rPr>
          <w:lang w:val="pl-PL"/>
        </w:rPr>
        <w:t>bewacyzumab</w:t>
      </w:r>
      <w:r w:rsidRPr="0015541C">
        <w:rPr>
          <w:lang w:val="pl-PL"/>
        </w:rPr>
        <w:t xml:space="preserve">, w porównaniu do 0,5% u pacjentów otrzymujących tylko chemioterapię. Incydenty naczyniowo-mózgowe (w tym przemijające napady niedokrwienne mózgu (TIA) wystąpiły u </w:t>
      </w:r>
      <w:r w:rsidR="00885478" w:rsidRPr="0015541C">
        <w:rPr>
          <w:lang w:val="pl-PL"/>
        </w:rPr>
        <w:t xml:space="preserve">nie więcej niż </w:t>
      </w:r>
      <w:r w:rsidRPr="0015541C">
        <w:rPr>
          <w:lang w:val="pl-PL"/>
        </w:rPr>
        <w:t>2,</w:t>
      </w:r>
      <w:r w:rsidR="00885478" w:rsidRPr="0015541C">
        <w:rPr>
          <w:lang w:val="pl-PL"/>
        </w:rPr>
        <w:t>7</w:t>
      </w:r>
      <w:r w:rsidRPr="0015541C">
        <w:rPr>
          <w:lang w:val="pl-PL"/>
        </w:rPr>
        <w:t xml:space="preserve">% chorych otrzymujących </w:t>
      </w:r>
      <w:r w:rsidR="00B47EB3" w:rsidRPr="0015541C">
        <w:rPr>
          <w:lang w:val="pl-PL"/>
        </w:rPr>
        <w:t>bewacyzumab</w:t>
      </w:r>
      <w:r w:rsidRPr="0015541C">
        <w:rPr>
          <w:lang w:val="pl-PL"/>
        </w:rPr>
        <w:t xml:space="preserve"> w skojarzeniu z chemioterapią w porównaniu do </w:t>
      </w:r>
      <w:r w:rsidR="00885478" w:rsidRPr="0015541C">
        <w:rPr>
          <w:lang w:val="pl-PL"/>
        </w:rPr>
        <w:t xml:space="preserve">nie więcej niż </w:t>
      </w:r>
      <w:r w:rsidRPr="0015541C">
        <w:rPr>
          <w:lang w:val="pl-PL"/>
        </w:rPr>
        <w:t xml:space="preserve">0,5% chorych otrzymujących samą chemioterapię. Zawał mięśnia sercowego (MI) wystąpił u </w:t>
      </w:r>
      <w:r w:rsidR="00885478" w:rsidRPr="0015541C">
        <w:rPr>
          <w:lang w:val="pl-PL"/>
        </w:rPr>
        <w:t xml:space="preserve">nie więcej niż </w:t>
      </w:r>
      <w:r w:rsidRPr="0015541C">
        <w:rPr>
          <w:lang w:val="pl-PL"/>
        </w:rPr>
        <w:t xml:space="preserve">1,4% chorych otrzymujących </w:t>
      </w:r>
      <w:r w:rsidR="00B47EB3" w:rsidRPr="0015541C">
        <w:rPr>
          <w:lang w:val="pl-PL"/>
        </w:rPr>
        <w:t>bewacyzumab</w:t>
      </w:r>
      <w:r w:rsidRPr="0015541C">
        <w:rPr>
          <w:lang w:val="pl-PL"/>
        </w:rPr>
        <w:t xml:space="preserve"> w skojarzeniu z chemioterapią w porównaniu do </w:t>
      </w:r>
      <w:r w:rsidR="00885478" w:rsidRPr="0015541C">
        <w:rPr>
          <w:lang w:val="pl-PL"/>
        </w:rPr>
        <w:t xml:space="preserve">nie więcej niż </w:t>
      </w:r>
      <w:r w:rsidRPr="0015541C">
        <w:rPr>
          <w:lang w:val="pl-PL"/>
        </w:rPr>
        <w:t>0,7% chorych otrzymujących samą chemioterapię.</w:t>
      </w:r>
    </w:p>
    <w:p w14:paraId="1F04C978" w14:textId="77777777" w:rsidR="00994050" w:rsidRPr="0015541C" w:rsidRDefault="00994050" w:rsidP="00994050">
      <w:pPr>
        <w:outlineLvl w:val="0"/>
        <w:rPr>
          <w:lang w:val="pl-PL"/>
        </w:rPr>
      </w:pPr>
    </w:p>
    <w:p w14:paraId="15B1B38C" w14:textId="6E1FC36D" w:rsidR="00994050" w:rsidRPr="0015541C" w:rsidRDefault="00994050" w:rsidP="00994050">
      <w:pPr>
        <w:outlineLvl w:val="0"/>
        <w:rPr>
          <w:lang w:val="pl-PL"/>
        </w:rPr>
      </w:pPr>
      <w:r w:rsidRPr="0015541C">
        <w:rPr>
          <w:lang w:val="pl-PL"/>
        </w:rPr>
        <w:lastRenderedPageBreak/>
        <w:t>Do jednego badania klinicznego</w:t>
      </w:r>
      <w:r w:rsidR="00B3622A" w:rsidRPr="0015541C">
        <w:rPr>
          <w:lang w:val="pl-PL"/>
        </w:rPr>
        <w:t xml:space="preserve">, oceniającego </w:t>
      </w:r>
      <w:r w:rsidR="00D942A8" w:rsidRPr="0015541C">
        <w:rPr>
          <w:lang w:val="pl-PL"/>
        </w:rPr>
        <w:t>bewacyzumab</w:t>
      </w:r>
      <w:r w:rsidR="00B3622A" w:rsidRPr="0015541C">
        <w:rPr>
          <w:lang w:val="pl-PL"/>
        </w:rPr>
        <w:t xml:space="preserve"> w skojarzeniu z 5</w:t>
      </w:r>
      <w:r w:rsidR="004F4A41" w:rsidRPr="0015541C">
        <w:rPr>
          <w:lang w:val="pl-PL"/>
        </w:rPr>
        <w:noBreakHyphen/>
      </w:r>
      <w:r w:rsidR="00B3622A" w:rsidRPr="0015541C">
        <w:rPr>
          <w:lang w:val="pl-PL"/>
        </w:rPr>
        <w:t>fluorouracylem/kwasem folinowym</w:t>
      </w:r>
      <w:r w:rsidRPr="0015541C">
        <w:rPr>
          <w:lang w:val="pl-PL"/>
        </w:rPr>
        <w:t xml:space="preserve">, AVF2192g, włączono pacjentów z rakiem odbytnicy i okrężnicy z przerzutami, którzy nie zostali zaklasyfikowani do leczenia irynotekanem. W tym badaniu </w:t>
      </w:r>
      <w:r w:rsidR="003072A5" w:rsidRPr="0015541C">
        <w:rPr>
          <w:lang w:val="pl-PL"/>
        </w:rPr>
        <w:t>działań niepożądanych o charakterze</w:t>
      </w:r>
      <w:r w:rsidRPr="0015541C">
        <w:rPr>
          <w:lang w:val="pl-PL"/>
        </w:rPr>
        <w:t xml:space="preserve"> zakrzepicy z zatorami obserwowano u 11% pacjentów (11/100), w porównaniu do 5,8% (6/104) w grupie kontrolnej otrzymującej chemioterapię.</w:t>
      </w:r>
    </w:p>
    <w:p w14:paraId="5D41C91D" w14:textId="77777777" w:rsidR="00994050" w:rsidRPr="0015541C" w:rsidRDefault="00994050" w:rsidP="00994050">
      <w:pPr>
        <w:outlineLvl w:val="0"/>
        <w:rPr>
          <w:lang w:val="pl-PL"/>
        </w:rPr>
      </w:pPr>
    </w:p>
    <w:p w14:paraId="3FCD53C6" w14:textId="77777777" w:rsidR="00994050" w:rsidRPr="0015541C" w:rsidRDefault="00994050" w:rsidP="008C19D4">
      <w:pPr>
        <w:rPr>
          <w:lang w:val="pl-PL"/>
        </w:rPr>
      </w:pPr>
      <w:r w:rsidRPr="0015541C">
        <w:rPr>
          <w:i/>
          <w:lang w:val="pl-PL"/>
        </w:rPr>
        <w:t>Zakrzepica zatorowa żył:</w:t>
      </w:r>
      <w:r w:rsidR="00D74975" w:rsidRPr="0015541C">
        <w:rPr>
          <w:lang w:val="pl-PL"/>
        </w:rPr>
        <w:t xml:space="preserve"> </w:t>
      </w:r>
      <w:r w:rsidRPr="0015541C">
        <w:rPr>
          <w:lang w:val="pl-PL"/>
        </w:rPr>
        <w:t xml:space="preserve">W badaniach klinicznych częstość występowania </w:t>
      </w:r>
      <w:r w:rsidR="003072A5" w:rsidRPr="0015541C">
        <w:rPr>
          <w:lang w:val="pl-PL"/>
        </w:rPr>
        <w:t xml:space="preserve">działań niepożądanych o charakterze </w:t>
      </w:r>
      <w:r w:rsidRPr="0015541C">
        <w:rPr>
          <w:lang w:val="pl-PL"/>
        </w:rPr>
        <w:t xml:space="preserve">żylnej zakrzepicy zatorowej była zbliżona u pacjentów przyjmujących </w:t>
      </w:r>
      <w:r w:rsidR="003726C0" w:rsidRPr="0015541C">
        <w:rPr>
          <w:lang w:val="pl-PL"/>
        </w:rPr>
        <w:t>bewacyzumab</w:t>
      </w:r>
      <w:r w:rsidRPr="0015541C">
        <w:rPr>
          <w:lang w:val="pl-PL"/>
        </w:rPr>
        <w:t xml:space="preserve">, w porównaniu do pacjentów otrzymujących tylko chemioterapię. Epizody żylnej zakrzepicy zatorowej obejmują zakrzepicę żył głębokich, zatory tętnicy płucnej i zakrzepowe zapalenie żył. </w:t>
      </w:r>
    </w:p>
    <w:p w14:paraId="43139E88" w14:textId="77777777" w:rsidR="00994050" w:rsidRPr="0015541C" w:rsidRDefault="00994050" w:rsidP="00994050">
      <w:pPr>
        <w:outlineLvl w:val="0"/>
        <w:rPr>
          <w:lang w:val="pl-PL"/>
        </w:rPr>
      </w:pPr>
    </w:p>
    <w:p w14:paraId="62B5ABCF" w14:textId="77777777" w:rsidR="00994050" w:rsidRPr="0015541C" w:rsidRDefault="00994050" w:rsidP="00994050">
      <w:pPr>
        <w:outlineLvl w:val="0"/>
        <w:rPr>
          <w:lang w:val="pl-PL"/>
        </w:rPr>
      </w:pPr>
      <w:r w:rsidRPr="0015541C">
        <w:rPr>
          <w:lang w:val="pl-PL"/>
        </w:rPr>
        <w:t xml:space="preserve">W badaniach klinicznych </w:t>
      </w:r>
      <w:r w:rsidRPr="0015541C">
        <w:rPr>
          <w:szCs w:val="22"/>
          <w:lang w:val="pl-PL"/>
        </w:rPr>
        <w:t xml:space="preserve">we wszystkich wskazaniach ogólna częstość występowania </w:t>
      </w:r>
      <w:r w:rsidR="003072A5" w:rsidRPr="0015541C">
        <w:rPr>
          <w:lang w:val="pl-PL"/>
        </w:rPr>
        <w:t>działań niepożądanych o charakterze</w:t>
      </w:r>
      <w:r w:rsidRPr="0015541C">
        <w:rPr>
          <w:szCs w:val="22"/>
          <w:lang w:val="pl-PL"/>
        </w:rPr>
        <w:t xml:space="preserve"> </w:t>
      </w:r>
      <w:r w:rsidRPr="0015541C">
        <w:rPr>
          <w:lang w:val="pl-PL"/>
        </w:rPr>
        <w:t xml:space="preserve">żylnej zakrzepicy zatorowej, </w:t>
      </w:r>
      <w:r w:rsidRPr="0015541C">
        <w:rPr>
          <w:szCs w:val="22"/>
          <w:lang w:val="pl-PL"/>
        </w:rPr>
        <w:t xml:space="preserve">wahała się od 2,8% do 17,3% </w:t>
      </w:r>
      <w:r w:rsidRPr="0015541C">
        <w:rPr>
          <w:lang w:val="pl-PL"/>
        </w:rPr>
        <w:t xml:space="preserve">u chorych otrzymujących </w:t>
      </w:r>
      <w:r w:rsidR="003726C0" w:rsidRPr="0015541C">
        <w:rPr>
          <w:lang w:val="pl-PL"/>
        </w:rPr>
        <w:t>bewacyzumab</w:t>
      </w:r>
      <w:r w:rsidRPr="0015541C">
        <w:rPr>
          <w:lang w:val="pl-PL"/>
        </w:rPr>
        <w:t xml:space="preserve"> w porównaniu do </w:t>
      </w:r>
      <w:r w:rsidRPr="0015541C">
        <w:rPr>
          <w:szCs w:val="22"/>
          <w:lang w:val="pl-PL"/>
        </w:rPr>
        <w:t xml:space="preserve">częstości występowania od </w:t>
      </w:r>
      <w:r w:rsidRPr="0015541C">
        <w:rPr>
          <w:lang w:val="pl-PL"/>
        </w:rPr>
        <w:t>3,2% do 15,6% w grupach kontrolnych.</w:t>
      </w:r>
    </w:p>
    <w:p w14:paraId="6E8D0D52" w14:textId="77777777" w:rsidR="00994050" w:rsidRPr="0015541C" w:rsidRDefault="00994050" w:rsidP="00994050">
      <w:pPr>
        <w:outlineLvl w:val="0"/>
        <w:rPr>
          <w:lang w:val="pl-PL"/>
        </w:rPr>
      </w:pPr>
      <w:r w:rsidRPr="0015541C">
        <w:rPr>
          <w:lang w:val="pl-PL"/>
        </w:rPr>
        <w:t xml:space="preserve"> </w:t>
      </w:r>
    </w:p>
    <w:p w14:paraId="3444FCEC" w14:textId="539925D5" w:rsidR="00994050" w:rsidRPr="0015541C" w:rsidRDefault="003072A5" w:rsidP="00994050">
      <w:pPr>
        <w:rPr>
          <w:lang w:val="pl-PL"/>
        </w:rPr>
      </w:pPr>
      <w:r w:rsidRPr="0015541C">
        <w:rPr>
          <w:lang w:val="pl-PL"/>
        </w:rPr>
        <w:t>Działania niepożądane o charakterze</w:t>
      </w:r>
      <w:r w:rsidR="00994050" w:rsidRPr="0015541C">
        <w:rPr>
          <w:lang w:val="pl-PL"/>
        </w:rPr>
        <w:t xml:space="preserve"> żylnej zakrzepicy zatorowej stopnia 3-5</w:t>
      </w:r>
      <w:r w:rsidR="00AA616D" w:rsidRPr="0015541C">
        <w:rPr>
          <w:lang w:val="pl-PL"/>
        </w:rPr>
        <w:t xml:space="preserve"> </w:t>
      </w:r>
      <w:r w:rsidRPr="0015541C">
        <w:rPr>
          <w:lang w:val="pl-PL"/>
        </w:rPr>
        <w:t>(NCI</w:t>
      </w:r>
      <w:r w:rsidR="007D74E0" w:rsidRPr="0015541C">
        <w:rPr>
          <w:lang w:val="pl-PL"/>
        </w:rPr>
        <w:noBreakHyphen/>
      </w:r>
      <w:r w:rsidRPr="0015541C">
        <w:rPr>
          <w:lang w:val="pl-PL"/>
        </w:rPr>
        <w:t xml:space="preserve">CTCAE v.3) </w:t>
      </w:r>
      <w:r w:rsidR="00994050" w:rsidRPr="0015541C">
        <w:rPr>
          <w:lang w:val="pl-PL"/>
        </w:rPr>
        <w:t xml:space="preserve">obserwowano maksymalnie u 7,8% pacjentów poddawanych chemioterapii wraz z </w:t>
      </w:r>
      <w:r w:rsidR="00235508" w:rsidRPr="0015541C">
        <w:rPr>
          <w:lang w:val="pl-PL"/>
        </w:rPr>
        <w:t>bewacyzumabem</w:t>
      </w:r>
      <w:r w:rsidR="00994050" w:rsidRPr="0015541C">
        <w:rPr>
          <w:lang w:val="pl-PL"/>
        </w:rPr>
        <w:t>, w porównaniu do 4,9% w grupie kontrolnej pacjentów otrzymujących wyłącznie chemioterapię</w:t>
      </w:r>
      <w:r w:rsidR="00CC6D80" w:rsidRPr="0015541C">
        <w:rPr>
          <w:lang w:val="pl-PL"/>
        </w:rPr>
        <w:t xml:space="preserve"> (we wskazaniach z wyłączeniem przetrwałego, nawrotowego </w:t>
      </w:r>
      <w:r w:rsidR="00474AB5" w:rsidRPr="0015541C">
        <w:rPr>
          <w:lang w:val="pl-PL"/>
        </w:rPr>
        <w:t>lub</w:t>
      </w:r>
      <w:r w:rsidR="00CC6D80" w:rsidRPr="0015541C">
        <w:rPr>
          <w:lang w:val="pl-PL"/>
        </w:rPr>
        <w:t xml:space="preserve"> przerzutowego raka szyjki macicy)</w:t>
      </w:r>
      <w:r w:rsidR="00994050" w:rsidRPr="0015541C">
        <w:rPr>
          <w:lang w:val="pl-PL"/>
        </w:rPr>
        <w:t xml:space="preserve">. </w:t>
      </w:r>
    </w:p>
    <w:p w14:paraId="55A7C692" w14:textId="77777777" w:rsidR="00CC6D80" w:rsidRPr="0015541C" w:rsidRDefault="00CC6D80" w:rsidP="00994050">
      <w:pPr>
        <w:rPr>
          <w:lang w:val="pl-PL"/>
        </w:rPr>
      </w:pPr>
    </w:p>
    <w:p w14:paraId="2079AAE7" w14:textId="6D905ABD" w:rsidR="00CC6D80" w:rsidRPr="0015541C" w:rsidRDefault="00CC6D80" w:rsidP="00994050">
      <w:pPr>
        <w:rPr>
          <w:lang w:val="pl-PL"/>
        </w:rPr>
      </w:pPr>
      <w:r w:rsidRPr="0015541C">
        <w:rPr>
          <w:lang w:val="pl-PL"/>
        </w:rPr>
        <w:t>W badani</w:t>
      </w:r>
      <w:r w:rsidR="00474AB5" w:rsidRPr="0015541C">
        <w:rPr>
          <w:lang w:val="pl-PL"/>
        </w:rPr>
        <w:t>u</w:t>
      </w:r>
      <w:r w:rsidRPr="0015541C">
        <w:rPr>
          <w:lang w:val="pl-PL"/>
        </w:rPr>
        <w:t xml:space="preserve"> kliniczny</w:t>
      </w:r>
      <w:r w:rsidR="00474AB5" w:rsidRPr="0015541C">
        <w:rPr>
          <w:lang w:val="pl-PL"/>
        </w:rPr>
        <w:t>m</w:t>
      </w:r>
      <w:r w:rsidRPr="0015541C">
        <w:rPr>
          <w:lang w:val="pl-PL"/>
        </w:rPr>
        <w:t xml:space="preserve"> u pacjentek z przetrwałym, nawrotowym </w:t>
      </w:r>
      <w:r w:rsidR="00474AB5" w:rsidRPr="0015541C">
        <w:rPr>
          <w:lang w:val="pl-PL"/>
        </w:rPr>
        <w:t>lub</w:t>
      </w:r>
      <w:r w:rsidRPr="0015541C">
        <w:rPr>
          <w:lang w:val="pl-PL"/>
        </w:rPr>
        <w:t xml:space="preserve"> przerzutowym rakiem szyjki macicy (badanie GOG-0240), </w:t>
      </w:r>
      <w:r w:rsidR="00966CDF" w:rsidRPr="0015541C">
        <w:rPr>
          <w:lang w:val="pl-PL"/>
        </w:rPr>
        <w:t xml:space="preserve">żylne </w:t>
      </w:r>
      <w:r w:rsidRPr="0015541C">
        <w:rPr>
          <w:lang w:val="pl-PL"/>
        </w:rPr>
        <w:t>epizody zakrzep</w:t>
      </w:r>
      <w:r w:rsidR="00966CDF" w:rsidRPr="0015541C">
        <w:rPr>
          <w:lang w:val="pl-PL"/>
        </w:rPr>
        <w:t>owo-zatorowe</w:t>
      </w:r>
      <w:r w:rsidRPr="0015541C">
        <w:rPr>
          <w:lang w:val="pl-PL"/>
        </w:rPr>
        <w:t xml:space="preserve"> w stopniu 3-5 były opisywane </w:t>
      </w:r>
      <w:r w:rsidR="00966CDF" w:rsidRPr="0015541C">
        <w:rPr>
          <w:lang w:val="pl-PL"/>
        </w:rPr>
        <w:t>u</w:t>
      </w:r>
      <w:r w:rsidRPr="0015541C">
        <w:rPr>
          <w:lang w:val="pl-PL"/>
        </w:rPr>
        <w:t xml:space="preserve"> 15</w:t>
      </w:r>
      <w:r w:rsidR="00797B2B" w:rsidRPr="0015541C">
        <w:rPr>
          <w:lang w:val="pl-PL"/>
        </w:rPr>
        <w:t>,</w:t>
      </w:r>
      <w:r w:rsidRPr="0015541C">
        <w:rPr>
          <w:lang w:val="pl-PL"/>
        </w:rPr>
        <w:t xml:space="preserve">6% pacjentek leczonych </w:t>
      </w:r>
      <w:r w:rsidR="001353FE" w:rsidRPr="0015541C">
        <w:rPr>
          <w:lang w:val="pl-PL"/>
        </w:rPr>
        <w:t>bewacyzumab</w:t>
      </w:r>
      <w:r w:rsidRPr="0015541C">
        <w:rPr>
          <w:lang w:val="pl-PL"/>
        </w:rPr>
        <w:t xml:space="preserve">em w skojarzeniu z paklitakselem </w:t>
      </w:r>
      <w:r w:rsidR="00474AB5" w:rsidRPr="0015541C">
        <w:rPr>
          <w:lang w:val="pl-PL"/>
        </w:rPr>
        <w:t>i</w:t>
      </w:r>
      <w:r w:rsidRPr="0015541C">
        <w:rPr>
          <w:lang w:val="pl-PL"/>
        </w:rPr>
        <w:t xml:space="preserve"> cisplatyną w porównaniu do 7</w:t>
      </w:r>
      <w:r w:rsidR="00797B2B" w:rsidRPr="0015541C">
        <w:rPr>
          <w:lang w:val="pl-PL"/>
        </w:rPr>
        <w:t>,</w:t>
      </w:r>
      <w:r w:rsidRPr="0015541C">
        <w:rPr>
          <w:lang w:val="pl-PL"/>
        </w:rPr>
        <w:t>0% pacjentek leczonych paklitakselem i cisplatyną</w:t>
      </w:r>
      <w:r w:rsidR="00E14293" w:rsidRPr="0015541C">
        <w:rPr>
          <w:lang w:val="pl-PL"/>
        </w:rPr>
        <w:t>.</w:t>
      </w:r>
    </w:p>
    <w:p w14:paraId="769E2DEA" w14:textId="77777777" w:rsidR="00994050" w:rsidRPr="0015541C" w:rsidRDefault="00994050" w:rsidP="00994050">
      <w:pPr>
        <w:rPr>
          <w:lang w:val="pl-PL"/>
        </w:rPr>
      </w:pPr>
    </w:p>
    <w:p w14:paraId="2D546D95" w14:textId="77777777" w:rsidR="00994050" w:rsidRPr="0015541C" w:rsidRDefault="00994050" w:rsidP="00994050">
      <w:pPr>
        <w:outlineLvl w:val="0"/>
        <w:rPr>
          <w:lang w:val="pl-PL"/>
        </w:rPr>
      </w:pPr>
      <w:r w:rsidRPr="0015541C">
        <w:rPr>
          <w:szCs w:val="22"/>
          <w:lang w:val="pl-PL"/>
        </w:rPr>
        <w:t xml:space="preserve">Pacjenci, u których wystąpił epizod żylnej zakrzepicy zatorowej, mogą być bardziej zagrożeni ponownym jego wystąpieniem, jeśli otrzymują </w:t>
      </w:r>
      <w:r w:rsidR="00A627F6" w:rsidRPr="0015541C">
        <w:rPr>
          <w:szCs w:val="22"/>
          <w:lang w:val="pl-PL"/>
        </w:rPr>
        <w:t>bewacyzumab</w:t>
      </w:r>
      <w:r w:rsidRPr="0015541C">
        <w:rPr>
          <w:szCs w:val="22"/>
          <w:lang w:val="pl-PL"/>
        </w:rPr>
        <w:t xml:space="preserve"> w skojarzeniu z chemioterapią, w porównaniu do pacjentów przyjmujących tylko chemioterapię.</w:t>
      </w:r>
    </w:p>
    <w:p w14:paraId="1AFCC579" w14:textId="77777777" w:rsidR="00994050" w:rsidRPr="0015541C" w:rsidRDefault="00994050" w:rsidP="00994050">
      <w:pPr>
        <w:outlineLvl w:val="0"/>
        <w:rPr>
          <w:lang w:val="pl-PL"/>
        </w:rPr>
      </w:pPr>
    </w:p>
    <w:p w14:paraId="6E306C5A" w14:textId="77777777" w:rsidR="00994050" w:rsidRPr="0070444C" w:rsidRDefault="00994050" w:rsidP="00994050">
      <w:pPr>
        <w:outlineLvl w:val="0"/>
        <w:rPr>
          <w:i/>
          <w:u w:val="single"/>
          <w:lang w:val="pl-PL"/>
        </w:rPr>
      </w:pPr>
      <w:r w:rsidRPr="0070444C">
        <w:rPr>
          <w:i/>
          <w:u w:val="single"/>
          <w:lang w:val="pl-PL"/>
        </w:rPr>
        <w:t>Zastoinowa niewydolność serca (CHF)</w:t>
      </w:r>
    </w:p>
    <w:p w14:paraId="52B997C7" w14:textId="57B2C039" w:rsidR="00372944" w:rsidRPr="0015541C" w:rsidRDefault="00994050" w:rsidP="00372944">
      <w:pPr>
        <w:outlineLvl w:val="0"/>
        <w:rPr>
          <w:lang w:val="pl-PL"/>
        </w:rPr>
      </w:pPr>
      <w:r w:rsidRPr="0015541C">
        <w:rPr>
          <w:lang w:val="pl-PL"/>
        </w:rPr>
        <w:t xml:space="preserve">W badaniach klinicznych </w:t>
      </w:r>
      <w:r w:rsidR="002A7722" w:rsidRPr="0015541C">
        <w:rPr>
          <w:lang w:val="pl-PL"/>
        </w:rPr>
        <w:t>bewacyzumab</w:t>
      </w:r>
      <w:r w:rsidRPr="0015541C">
        <w:rPr>
          <w:lang w:val="pl-PL"/>
        </w:rPr>
        <w:t xml:space="preserve">u, zastoinową niewydolność serca (CHF) obserwowano we wszystkich </w:t>
      </w:r>
      <w:r w:rsidR="0067274D" w:rsidRPr="0015541C">
        <w:rPr>
          <w:lang w:val="pl-PL"/>
        </w:rPr>
        <w:t xml:space="preserve">badanych dotychczas </w:t>
      </w:r>
      <w:r w:rsidRPr="0015541C">
        <w:rPr>
          <w:lang w:val="pl-PL"/>
        </w:rPr>
        <w:t xml:space="preserve">wskazaniach, lecz występowała ona głównie u pacjentów z rakiem piersi z przerzutami. W </w:t>
      </w:r>
      <w:r w:rsidR="00372944" w:rsidRPr="0015541C">
        <w:rPr>
          <w:lang w:val="pl-PL"/>
        </w:rPr>
        <w:t>czterech</w:t>
      </w:r>
      <w:r w:rsidRPr="0015541C">
        <w:rPr>
          <w:lang w:val="pl-PL"/>
        </w:rPr>
        <w:t xml:space="preserve"> badaniach klinicznych III fazy (AVF2119g</w:t>
      </w:r>
      <w:r w:rsidR="00372944" w:rsidRPr="0015541C">
        <w:rPr>
          <w:lang w:val="pl-PL"/>
        </w:rPr>
        <w:t xml:space="preserve">, </w:t>
      </w:r>
      <w:r w:rsidRPr="0015541C">
        <w:rPr>
          <w:lang w:val="pl-PL"/>
        </w:rPr>
        <w:t>E2100</w:t>
      </w:r>
      <w:r w:rsidR="00372944" w:rsidRPr="0015541C">
        <w:rPr>
          <w:lang w:val="pl-PL"/>
        </w:rPr>
        <w:t>, BO17708 i AVF3694g</w:t>
      </w:r>
      <w:r w:rsidRPr="0015541C">
        <w:rPr>
          <w:lang w:val="pl-PL"/>
        </w:rPr>
        <w:t xml:space="preserve">) u pacjentów z rakiem piersi z przerzutami </w:t>
      </w:r>
      <w:r w:rsidR="00372944" w:rsidRPr="0015541C">
        <w:rPr>
          <w:lang w:val="pl-PL"/>
        </w:rPr>
        <w:t xml:space="preserve">zgłaszano zastoinową niewydolność serca </w:t>
      </w:r>
      <w:r w:rsidRPr="0015541C">
        <w:rPr>
          <w:lang w:val="pl-PL"/>
        </w:rPr>
        <w:t xml:space="preserve">stopnia 3. lub wyższego </w:t>
      </w:r>
      <w:r w:rsidR="003072A5" w:rsidRPr="0015541C">
        <w:rPr>
          <w:lang w:val="pl-PL"/>
        </w:rPr>
        <w:t>(NCI</w:t>
      </w:r>
      <w:r w:rsidR="007D74E0" w:rsidRPr="0015541C">
        <w:rPr>
          <w:lang w:val="pl-PL"/>
        </w:rPr>
        <w:noBreakHyphen/>
      </w:r>
      <w:r w:rsidR="003072A5" w:rsidRPr="0015541C">
        <w:rPr>
          <w:lang w:val="pl-PL"/>
        </w:rPr>
        <w:t xml:space="preserve">CTCAE v.3) </w:t>
      </w:r>
      <w:r w:rsidRPr="0015541C">
        <w:rPr>
          <w:lang w:val="pl-PL"/>
        </w:rPr>
        <w:t>u</w:t>
      </w:r>
      <w:r w:rsidR="00372944" w:rsidRPr="0015541C">
        <w:rPr>
          <w:lang w:val="pl-PL"/>
        </w:rPr>
        <w:t xml:space="preserve"> maksymalnie 3,5% </w:t>
      </w:r>
      <w:r w:rsidRPr="0015541C">
        <w:rPr>
          <w:lang w:val="pl-PL"/>
        </w:rPr>
        <w:t xml:space="preserve">pacjentów </w:t>
      </w:r>
      <w:r w:rsidR="0067274D" w:rsidRPr="0015541C">
        <w:rPr>
          <w:lang w:val="pl-PL"/>
        </w:rPr>
        <w:t xml:space="preserve">leczonych </w:t>
      </w:r>
      <w:r w:rsidR="00771E68" w:rsidRPr="0015541C">
        <w:rPr>
          <w:lang w:val="pl-PL"/>
        </w:rPr>
        <w:t>bewacyzumab</w:t>
      </w:r>
      <w:r w:rsidR="0067274D" w:rsidRPr="0015541C">
        <w:rPr>
          <w:lang w:val="pl-PL"/>
        </w:rPr>
        <w:t>em</w:t>
      </w:r>
      <w:r w:rsidRPr="0015541C">
        <w:rPr>
          <w:lang w:val="pl-PL"/>
        </w:rPr>
        <w:t xml:space="preserve"> </w:t>
      </w:r>
      <w:r w:rsidR="00372944" w:rsidRPr="0015541C">
        <w:rPr>
          <w:lang w:val="pl-PL"/>
        </w:rPr>
        <w:t>w skojarzeniu z chemioterapią</w:t>
      </w:r>
      <w:r w:rsidRPr="0015541C">
        <w:rPr>
          <w:lang w:val="pl-PL"/>
        </w:rPr>
        <w:t xml:space="preserve"> w porównaniu do maksymalnie 0,9% w ramionach kontrolnych.</w:t>
      </w:r>
      <w:r w:rsidR="0067274D" w:rsidRPr="0015541C">
        <w:rPr>
          <w:lang w:val="pl-PL"/>
        </w:rPr>
        <w:t xml:space="preserve"> </w:t>
      </w:r>
      <w:r w:rsidR="00372944" w:rsidRPr="0015541C">
        <w:rPr>
          <w:lang w:val="pl-PL"/>
        </w:rPr>
        <w:t xml:space="preserve">U pacjentów uczestniczących w badaniu AVF3694g, którzy byli leczeni równocześnie antracyklinami i bewacyzumabem, zastoinowa niewydolność serca stopnia 3. lub wyższego występowała w grupie otrzymującej bewacyzumab i w grupie kontrolnej z podobną częstością jak w innych badaniach z udziałem pacjentów z rozsianym rakiem piersi: 2,9% u chorych otrzymujących antracyklinę + bewacyzumab i 0% w grupie otrzymującej antracyklinę + placebo. Dodatkowo w badaniu AVF3694g </w:t>
      </w:r>
      <w:r w:rsidR="00CE0490" w:rsidRPr="0015541C">
        <w:rPr>
          <w:lang w:val="pl-PL"/>
        </w:rPr>
        <w:t xml:space="preserve">częstość </w:t>
      </w:r>
      <w:r w:rsidR="00372944" w:rsidRPr="0015541C">
        <w:rPr>
          <w:lang w:val="pl-PL"/>
        </w:rPr>
        <w:t xml:space="preserve">występowania zastoinowej niewydolności serca dowolnego stopnia w grupie leczonej antracykliną z </w:t>
      </w:r>
      <w:r w:rsidR="00AA2FB2" w:rsidRPr="0015541C">
        <w:rPr>
          <w:lang w:val="pl-PL"/>
        </w:rPr>
        <w:t>bewacyzumab</w:t>
      </w:r>
      <w:r w:rsidR="00372944" w:rsidRPr="0015541C">
        <w:rPr>
          <w:lang w:val="pl-PL"/>
        </w:rPr>
        <w:t>em (6,2%) była podobna do tej zaobserwowanej w grupie leczonej antracykliną z placebo (6,0%).</w:t>
      </w:r>
    </w:p>
    <w:p w14:paraId="35009A77" w14:textId="77777777" w:rsidR="00372944" w:rsidRPr="0015541C" w:rsidRDefault="00372944" w:rsidP="00372944">
      <w:pPr>
        <w:outlineLvl w:val="0"/>
        <w:rPr>
          <w:szCs w:val="22"/>
          <w:lang w:val="pl-PL"/>
        </w:rPr>
      </w:pPr>
    </w:p>
    <w:p w14:paraId="733293A8" w14:textId="77777777" w:rsidR="00372944" w:rsidRPr="0015541C" w:rsidRDefault="00994050" w:rsidP="00372944">
      <w:pPr>
        <w:outlineLvl w:val="0"/>
        <w:rPr>
          <w:lang w:val="pl-PL"/>
        </w:rPr>
      </w:pPr>
      <w:r w:rsidRPr="0015541C">
        <w:rPr>
          <w:szCs w:val="22"/>
          <w:lang w:val="pl-PL"/>
        </w:rPr>
        <w:t>U większoś</w:t>
      </w:r>
      <w:r w:rsidR="00372944" w:rsidRPr="0015541C">
        <w:rPr>
          <w:szCs w:val="22"/>
          <w:lang w:val="pl-PL"/>
        </w:rPr>
        <w:t>ci</w:t>
      </w:r>
      <w:r w:rsidRPr="0015541C">
        <w:rPr>
          <w:szCs w:val="22"/>
          <w:lang w:val="pl-PL"/>
        </w:rPr>
        <w:t xml:space="preserve"> pacjentów</w:t>
      </w:r>
      <w:r w:rsidR="00372944" w:rsidRPr="0015541C">
        <w:rPr>
          <w:szCs w:val="22"/>
          <w:lang w:val="pl-PL"/>
        </w:rPr>
        <w:t xml:space="preserve">, u których wystąpiła CHF w czasie badania klinicznego w populacji chorych z rozsianym rakiem piersi, obserwowano </w:t>
      </w:r>
      <w:r w:rsidRPr="0015541C">
        <w:rPr>
          <w:szCs w:val="22"/>
          <w:lang w:val="pl-PL"/>
        </w:rPr>
        <w:t>popraw</w:t>
      </w:r>
      <w:r w:rsidR="00372944" w:rsidRPr="0015541C">
        <w:rPr>
          <w:szCs w:val="22"/>
          <w:lang w:val="pl-PL"/>
        </w:rPr>
        <w:t>ę</w:t>
      </w:r>
      <w:r w:rsidRPr="0015541C">
        <w:rPr>
          <w:szCs w:val="22"/>
          <w:lang w:val="pl-PL"/>
        </w:rPr>
        <w:t xml:space="preserve"> w zakresie objawów i (lub) funkcji lewej komory po zastosowaniu odpowiedniego leczenia.</w:t>
      </w:r>
      <w:r w:rsidR="00372944" w:rsidRPr="0015541C">
        <w:rPr>
          <w:lang w:val="pl-PL"/>
        </w:rPr>
        <w:t xml:space="preserve"> </w:t>
      </w:r>
    </w:p>
    <w:p w14:paraId="7657785B" w14:textId="77777777" w:rsidR="00994050" w:rsidRPr="0015541C" w:rsidRDefault="00994050" w:rsidP="00994050">
      <w:pPr>
        <w:outlineLvl w:val="0"/>
        <w:rPr>
          <w:szCs w:val="22"/>
          <w:lang w:val="pl-PL"/>
        </w:rPr>
      </w:pPr>
    </w:p>
    <w:p w14:paraId="14B143A8" w14:textId="3539199B" w:rsidR="00994050" w:rsidRPr="0015541C" w:rsidRDefault="00994050" w:rsidP="00994050">
      <w:pPr>
        <w:outlineLvl w:val="0"/>
        <w:rPr>
          <w:szCs w:val="22"/>
          <w:lang w:val="pl-PL"/>
        </w:rPr>
      </w:pPr>
      <w:r w:rsidRPr="0015541C">
        <w:rPr>
          <w:szCs w:val="22"/>
          <w:lang w:val="pl-PL"/>
        </w:rPr>
        <w:t xml:space="preserve">W większości badań klinicznych </w:t>
      </w:r>
      <w:r w:rsidR="00B539BD" w:rsidRPr="0015541C">
        <w:rPr>
          <w:szCs w:val="22"/>
          <w:lang w:val="pl-PL"/>
        </w:rPr>
        <w:t>bewacyzumab</w:t>
      </w:r>
      <w:r w:rsidRPr="0015541C">
        <w:rPr>
          <w:szCs w:val="22"/>
          <w:lang w:val="pl-PL"/>
        </w:rPr>
        <w:t>u, pacjenci z CHF stopnia II-IV wg NYHA (New York Heart Association) byli wykluczeni z badań, w związku z tym nie ma żadnych dostępnych danych dotyczących ryzyka CHF w tej populacji pacjentów</w:t>
      </w:r>
      <w:r w:rsidRPr="0015541C">
        <w:rPr>
          <w:lang w:val="pl-PL"/>
        </w:rPr>
        <w:t>.</w:t>
      </w:r>
    </w:p>
    <w:p w14:paraId="6F7D3C99" w14:textId="77777777" w:rsidR="00994050" w:rsidRPr="0015541C" w:rsidRDefault="00994050" w:rsidP="00994050">
      <w:pPr>
        <w:outlineLvl w:val="0"/>
        <w:rPr>
          <w:lang w:val="pl-PL"/>
        </w:rPr>
      </w:pPr>
    </w:p>
    <w:p w14:paraId="328ABF1B" w14:textId="77777777" w:rsidR="00994050" w:rsidRPr="0015541C" w:rsidRDefault="00994050" w:rsidP="0062793A">
      <w:pPr>
        <w:outlineLvl w:val="0"/>
        <w:rPr>
          <w:szCs w:val="22"/>
          <w:lang w:val="pl-PL"/>
        </w:rPr>
      </w:pPr>
      <w:r w:rsidRPr="0015541C">
        <w:rPr>
          <w:szCs w:val="22"/>
          <w:lang w:val="pl-PL"/>
        </w:rPr>
        <w:t>Wcześniejsze stosowanie antracyklin i (lub) napromieniowanie okolicy klatki piersiowej mogą być czynnikami ryzyka wystąpienia zastoinowej niewydolności serca.</w:t>
      </w:r>
    </w:p>
    <w:p w14:paraId="0FD23CAA" w14:textId="77777777" w:rsidR="006226FB" w:rsidRPr="0015541C" w:rsidRDefault="006226FB" w:rsidP="0062793A">
      <w:pPr>
        <w:outlineLvl w:val="0"/>
        <w:rPr>
          <w:szCs w:val="22"/>
          <w:lang w:val="pl-PL"/>
        </w:rPr>
      </w:pPr>
    </w:p>
    <w:p w14:paraId="0F6DEEAC" w14:textId="6A981BF5" w:rsidR="006226FB" w:rsidRPr="0015541C" w:rsidRDefault="006226FB" w:rsidP="0036056D">
      <w:pPr>
        <w:rPr>
          <w:lang w:val="pl-PL"/>
        </w:rPr>
      </w:pPr>
      <w:r w:rsidRPr="0015541C">
        <w:rPr>
          <w:szCs w:val="22"/>
          <w:lang w:val="pl-PL"/>
        </w:rPr>
        <w:lastRenderedPageBreak/>
        <w:t xml:space="preserve">U badaniu klinicznym z udziałem chorych na chłoniaka rozlanego </w:t>
      </w:r>
      <w:r w:rsidR="00BB6127" w:rsidRPr="0015541C">
        <w:rPr>
          <w:szCs w:val="22"/>
          <w:lang w:val="pl-PL"/>
        </w:rPr>
        <w:t xml:space="preserve">z </w:t>
      </w:r>
      <w:r w:rsidRPr="0015541C">
        <w:rPr>
          <w:szCs w:val="22"/>
          <w:lang w:val="pl-PL"/>
        </w:rPr>
        <w:t xml:space="preserve">dużych komórek B obserwowano zwiększoną częstość występowania CHF w grupie pacjentów leczonych bewacyzumabem </w:t>
      </w:r>
      <w:r w:rsidR="001D6AE7" w:rsidRPr="0015541C">
        <w:rPr>
          <w:szCs w:val="22"/>
          <w:lang w:val="pl-PL"/>
        </w:rPr>
        <w:br/>
      </w:r>
      <w:r w:rsidRPr="0015541C">
        <w:rPr>
          <w:szCs w:val="22"/>
          <w:lang w:val="pl-PL"/>
        </w:rPr>
        <w:t>i doksorubicyną w skumulowanej dawce większej niż 300</w:t>
      </w:r>
      <w:r w:rsidR="00183451" w:rsidRPr="0015541C">
        <w:rPr>
          <w:szCs w:val="22"/>
          <w:lang w:val="pl-PL"/>
        </w:rPr>
        <w:t> </w:t>
      </w:r>
      <w:r w:rsidRPr="0015541C">
        <w:rPr>
          <w:szCs w:val="22"/>
          <w:lang w:val="pl-PL"/>
        </w:rPr>
        <w:t>mg/m</w:t>
      </w:r>
      <w:r w:rsidRPr="0015541C">
        <w:rPr>
          <w:szCs w:val="22"/>
          <w:vertAlign w:val="superscript"/>
          <w:lang w:val="pl-PL"/>
        </w:rPr>
        <w:t>2</w:t>
      </w:r>
      <w:r w:rsidRPr="0015541C">
        <w:rPr>
          <w:szCs w:val="22"/>
          <w:lang w:val="pl-PL"/>
        </w:rPr>
        <w:t xml:space="preserve">. </w:t>
      </w:r>
      <w:r w:rsidR="0069345B" w:rsidRPr="0015541C">
        <w:rPr>
          <w:szCs w:val="22"/>
          <w:lang w:val="pl-PL"/>
        </w:rPr>
        <w:t xml:space="preserve">W badaniu III fazy porównano </w:t>
      </w:r>
      <w:r w:rsidRPr="0015541C">
        <w:rPr>
          <w:szCs w:val="22"/>
          <w:lang w:val="pl-PL"/>
        </w:rPr>
        <w:t>rytuksymab/cykl</w:t>
      </w:r>
      <w:r w:rsidR="00273BC9" w:rsidRPr="0015541C">
        <w:rPr>
          <w:szCs w:val="22"/>
          <w:lang w:val="pl-PL"/>
        </w:rPr>
        <w:t>o</w:t>
      </w:r>
      <w:r w:rsidRPr="0015541C">
        <w:rPr>
          <w:szCs w:val="22"/>
          <w:lang w:val="pl-PL"/>
        </w:rPr>
        <w:t>fosfamid/</w:t>
      </w:r>
      <w:r w:rsidR="0036056D" w:rsidRPr="0015541C">
        <w:rPr>
          <w:szCs w:val="22"/>
          <w:lang w:val="pl-PL"/>
        </w:rPr>
        <w:t>doksorubicyna/</w:t>
      </w:r>
      <w:r w:rsidRPr="0015541C">
        <w:rPr>
          <w:szCs w:val="22"/>
          <w:lang w:val="pl-PL"/>
        </w:rPr>
        <w:t xml:space="preserve"> winkrystyna/prednison (R-CHOP) plus bewacyzumab </w:t>
      </w:r>
      <w:r w:rsidR="001D6AE7" w:rsidRPr="0015541C">
        <w:rPr>
          <w:szCs w:val="22"/>
          <w:lang w:val="pl-PL"/>
        </w:rPr>
        <w:br/>
      </w:r>
      <w:r w:rsidRPr="0015541C">
        <w:rPr>
          <w:szCs w:val="22"/>
          <w:lang w:val="pl-PL"/>
        </w:rPr>
        <w:t>z leczeniem wyłącznie schematem R-CHOP. Jakkolwiek częstość występowania CHF była w obydwu ramionach badania wyższa niż uprzednio obserwowana po zastosowaniu doksorubicyny, CHF częściej występowała u pacjentów otrzymujących R-CHOP z bewacyzumabem.</w:t>
      </w:r>
      <w:r w:rsidR="0036056D" w:rsidRPr="0015541C">
        <w:rPr>
          <w:szCs w:val="22"/>
          <w:lang w:val="pl-PL"/>
        </w:rPr>
        <w:t xml:space="preserve"> Uzyskane dane wskazują na </w:t>
      </w:r>
      <w:r w:rsidR="001D6AE7" w:rsidRPr="0015541C">
        <w:rPr>
          <w:szCs w:val="22"/>
          <w:lang w:val="pl-PL"/>
        </w:rPr>
        <w:t>konieczność</w:t>
      </w:r>
      <w:r w:rsidR="0036056D" w:rsidRPr="0015541C">
        <w:rPr>
          <w:szCs w:val="22"/>
          <w:lang w:val="pl-PL"/>
        </w:rPr>
        <w:t xml:space="preserve"> </w:t>
      </w:r>
      <w:r w:rsidR="00C977D3" w:rsidRPr="0015541C">
        <w:rPr>
          <w:szCs w:val="22"/>
          <w:lang w:val="pl-PL"/>
        </w:rPr>
        <w:t xml:space="preserve">bardzo dokładnego </w:t>
      </w:r>
      <w:r w:rsidR="0036056D" w:rsidRPr="0015541C">
        <w:rPr>
          <w:szCs w:val="22"/>
          <w:lang w:val="pl-PL"/>
        </w:rPr>
        <w:t>monitorowania klinicznego z odpowiednią oceną funkcji serca u pacjentów leczonych doksorubicyną w skumulowanej dawce większej niż 300</w:t>
      </w:r>
      <w:r w:rsidR="00183451" w:rsidRPr="0015541C">
        <w:rPr>
          <w:szCs w:val="22"/>
          <w:lang w:val="pl-PL"/>
        </w:rPr>
        <w:t> </w:t>
      </w:r>
      <w:r w:rsidR="0036056D" w:rsidRPr="0015541C">
        <w:rPr>
          <w:szCs w:val="22"/>
          <w:lang w:val="pl-PL"/>
        </w:rPr>
        <w:t>mg/m</w:t>
      </w:r>
      <w:r w:rsidR="0036056D" w:rsidRPr="0015541C">
        <w:rPr>
          <w:szCs w:val="22"/>
          <w:vertAlign w:val="superscript"/>
          <w:lang w:val="pl-PL"/>
        </w:rPr>
        <w:t xml:space="preserve">2 </w:t>
      </w:r>
      <w:r w:rsidR="0036056D" w:rsidRPr="0015541C">
        <w:rPr>
          <w:szCs w:val="22"/>
          <w:lang w:val="pl-PL"/>
        </w:rPr>
        <w:t>w skojarzeniu z</w:t>
      </w:r>
      <w:r w:rsidR="0036056D" w:rsidRPr="0015541C">
        <w:rPr>
          <w:szCs w:val="22"/>
          <w:vertAlign w:val="superscript"/>
          <w:lang w:val="pl-PL"/>
        </w:rPr>
        <w:t xml:space="preserve"> </w:t>
      </w:r>
      <w:r w:rsidR="0036056D" w:rsidRPr="0015541C">
        <w:rPr>
          <w:szCs w:val="22"/>
          <w:lang w:val="pl-PL"/>
        </w:rPr>
        <w:t xml:space="preserve">bewacyzumabem. </w:t>
      </w:r>
    </w:p>
    <w:p w14:paraId="0769F6B5" w14:textId="77777777" w:rsidR="00DF7212" w:rsidRPr="0015541C" w:rsidRDefault="00DF7212" w:rsidP="000C05AB">
      <w:pPr>
        <w:rPr>
          <w:lang w:val="pl-PL"/>
        </w:rPr>
      </w:pPr>
    </w:p>
    <w:p w14:paraId="072A3667" w14:textId="30AA5370" w:rsidR="00754D91" w:rsidRPr="0070444C" w:rsidRDefault="00754D91" w:rsidP="00754D91">
      <w:pPr>
        <w:rPr>
          <w:i/>
          <w:u w:val="single"/>
          <w:lang w:val="pl-PL"/>
        </w:rPr>
      </w:pPr>
      <w:r w:rsidRPr="0070444C">
        <w:rPr>
          <w:i/>
          <w:u w:val="single"/>
          <w:lang w:val="pl-PL"/>
        </w:rPr>
        <w:t>Reakcje nadwrażliwości</w:t>
      </w:r>
      <w:r w:rsidR="00420F0C">
        <w:rPr>
          <w:i/>
          <w:u w:val="single"/>
          <w:lang w:val="pl-PL"/>
        </w:rPr>
        <w:t xml:space="preserve"> </w:t>
      </w:r>
      <w:r w:rsidR="00420F0C" w:rsidRPr="00420F0C">
        <w:rPr>
          <w:i/>
          <w:u w:val="single"/>
          <w:lang w:val="pl-PL"/>
        </w:rPr>
        <w:t>(w tym wstrząs anafilaktyczny)</w:t>
      </w:r>
      <w:r w:rsidRPr="0070444C">
        <w:rPr>
          <w:i/>
          <w:u w:val="single"/>
          <w:lang w:val="pl-PL"/>
        </w:rPr>
        <w:t xml:space="preserve">/reakcje podczas wlewu </w:t>
      </w:r>
      <w:r w:rsidRPr="0070444C">
        <w:rPr>
          <w:u w:val="single"/>
          <w:lang w:val="pl-PL"/>
        </w:rPr>
        <w:t>(patrz punkt 4.4 i doświadczenia po wprowadzeniu produktu do obrotu patrz poniżej)</w:t>
      </w:r>
    </w:p>
    <w:p w14:paraId="7975CD2E" w14:textId="77777777" w:rsidR="00754D91" w:rsidRPr="0015541C" w:rsidRDefault="00754D91" w:rsidP="00754D91">
      <w:pPr>
        <w:rPr>
          <w:lang w:val="pl-PL"/>
        </w:rPr>
      </w:pPr>
      <w:r w:rsidRPr="0015541C">
        <w:rPr>
          <w:lang w:val="pl-PL"/>
        </w:rPr>
        <w:t xml:space="preserve">W niektórych badaniach klinicznych reakcje anafilaktyczne oraz anafilakoidalne występowały częściej u pacjentów otrzymujących bewacyzumab w połączeniu z chemioterapią niż otrzymujących jedynie chemioterapię. W niektórych badaniach reakcje te występowały często (do 5% w grupie chorych otrzymujących bewacyzumab). </w:t>
      </w:r>
    </w:p>
    <w:p w14:paraId="374D4DA8" w14:textId="77777777" w:rsidR="00DD574E" w:rsidRPr="0015541C" w:rsidRDefault="00DD574E" w:rsidP="00754D91">
      <w:pPr>
        <w:rPr>
          <w:lang w:val="pl-PL"/>
        </w:rPr>
      </w:pPr>
    </w:p>
    <w:p w14:paraId="2BA8E7E5" w14:textId="77777777" w:rsidR="00DD574E" w:rsidRPr="0070444C" w:rsidRDefault="00CC6D80" w:rsidP="00DD574E">
      <w:pPr>
        <w:rPr>
          <w:i/>
          <w:u w:val="single"/>
          <w:lang w:val="pl-PL"/>
        </w:rPr>
      </w:pPr>
      <w:r w:rsidRPr="0070444C">
        <w:rPr>
          <w:i/>
          <w:u w:val="single"/>
          <w:lang w:val="pl-PL"/>
        </w:rPr>
        <w:t>Zakażenia</w:t>
      </w:r>
    </w:p>
    <w:p w14:paraId="09D50912" w14:textId="68757F3C" w:rsidR="00DD574E" w:rsidRPr="0015541C" w:rsidRDefault="00CC6D80" w:rsidP="00754D91">
      <w:pPr>
        <w:rPr>
          <w:lang w:val="pl-PL"/>
        </w:rPr>
      </w:pPr>
      <w:r w:rsidRPr="0015541C">
        <w:rPr>
          <w:lang w:val="pl-PL"/>
        </w:rPr>
        <w:t>W badani</w:t>
      </w:r>
      <w:r w:rsidR="00474AB5" w:rsidRPr="0015541C">
        <w:rPr>
          <w:lang w:val="pl-PL"/>
        </w:rPr>
        <w:t>u</w:t>
      </w:r>
      <w:r w:rsidRPr="0015541C">
        <w:rPr>
          <w:lang w:val="pl-PL"/>
        </w:rPr>
        <w:t xml:space="preserve"> klinicznym u pacjentek z przetrwałym, nawrotowym </w:t>
      </w:r>
      <w:r w:rsidR="00474AB5" w:rsidRPr="0015541C">
        <w:rPr>
          <w:lang w:val="pl-PL"/>
        </w:rPr>
        <w:t>lub</w:t>
      </w:r>
      <w:r w:rsidRPr="0015541C">
        <w:rPr>
          <w:lang w:val="pl-PL"/>
        </w:rPr>
        <w:t xml:space="preserve"> przerzutowym rakiem szy</w:t>
      </w:r>
      <w:r w:rsidR="00FD75CC" w:rsidRPr="0015541C">
        <w:rPr>
          <w:lang w:val="pl-PL"/>
        </w:rPr>
        <w:t>j</w:t>
      </w:r>
      <w:r w:rsidRPr="0015541C">
        <w:rPr>
          <w:lang w:val="pl-PL"/>
        </w:rPr>
        <w:t>ki macicy (badanie G</w:t>
      </w:r>
      <w:r w:rsidR="00DD574E" w:rsidRPr="0015541C">
        <w:rPr>
          <w:lang w:val="pl-PL"/>
        </w:rPr>
        <w:t xml:space="preserve">OG-0240), </w:t>
      </w:r>
      <w:r w:rsidR="00C03D91" w:rsidRPr="0015541C">
        <w:rPr>
          <w:lang w:val="pl-PL"/>
        </w:rPr>
        <w:t xml:space="preserve">zgłaszano </w:t>
      </w:r>
      <w:r w:rsidR="00407085" w:rsidRPr="0015541C">
        <w:rPr>
          <w:lang w:val="pl-PL"/>
        </w:rPr>
        <w:t xml:space="preserve">zakażenia </w:t>
      </w:r>
      <w:r w:rsidRPr="0015541C">
        <w:rPr>
          <w:lang w:val="pl-PL"/>
        </w:rPr>
        <w:t>stopnia</w:t>
      </w:r>
      <w:r w:rsidR="00DD574E" w:rsidRPr="0015541C">
        <w:rPr>
          <w:lang w:val="pl-PL"/>
        </w:rPr>
        <w:t xml:space="preserve"> 3-5 </w:t>
      </w:r>
      <w:r w:rsidR="00966CDF" w:rsidRPr="0015541C">
        <w:rPr>
          <w:lang w:val="pl-PL"/>
        </w:rPr>
        <w:t>u</w:t>
      </w:r>
      <w:r w:rsidR="00DD574E" w:rsidRPr="0015541C">
        <w:rPr>
          <w:lang w:val="pl-PL"/>
        </w:rPr>
        <w:t xml:space="preserve"> 24% pa</w:t>
      </w:r>
      <w:r w:rsidRPr="0015541C">
        <w:rPr>
          <w:lang w:val="pl-PL"/>
        </w:rPr>
        <w:t xml:space="preserve">cjentek leczonych </w:t>
      </w:r>
      <w:r w:rsidR="007D6805" w:rsidRPr="0015541C">
        <w:rPr>
          <w:lang w:val="pl-PL"/>
        </w:rPr>
        <w:t>bewacyzumab</w:t>
      </w:r>
      <w:r w:rsidRPr="0015541C">
        <w:rPr>
          <w:lang w:val="pl-PL"/>
        </w:rPr>
        <w:t>em</w:t>
      </w:r>
      <w:r w:rsidR="00DD574E" w:rsidRPr="0015541C">
        <w:rPr>
          <w:lang w:val="pl-PL"/>
        </w:rPr>
        <w:t xml:space="preserve"> </w:t>
      </w:r>
      <w:r w:rsidRPr="0015541C">
        <w:rPr>
          <w:lang w:val="pl-PL"/>
        </w:rPr>
        <w:t>w skojarzeniu z paklitakselem i topotekanem w porównaniu do</w:t>
      </w:r>
      <w:r w:rsidR="00DD574E" w:rsidRPr="0015541C">
        <w:rPr>
          <w:lang w:val="pl-PL"/>
        </w:rPr>
        <w:t xml:space="preserve"> 13% </w:t>
      </w:r>
      <w:r w:rsidRPr="0015541C">
        <w:rPr>
          <w:lang w:val="pl-PL"/>
        </w:rPr>
        <w:t>pacjentek</w:t>
      </w:r>
      <w:r w:rsidR="00DD574E" w:rsidRPr="0015541C">
        <w:rPr>
          <w:lang w:val="pl-PL"/>
        </w:rPr>
        <w:t xml:space="preserve"> </w:t>
      </w:r>
      <w:r w:rsidRPr="0015541C">
        <w:rPr>
          <w:lang w:val="pl-PL"/>
        </w:rPr>
        <w:t>leczonych paklitakselem i topotekanem</w:t>
      </w:r>
      <w:r w:rsidR="00DD574E" w:rsidRPr="0015541C">
        <w:rPr>
          <w:lang w:val="pl-PL"/>
        </w:rPr>
        <w:t>.</w:t>
      </w:r>
    </w:p>
    <w:p w14:paraId="4CC9B8F3" w14:textId="77777777" w:rsidR="00EC57DE" w:rsidRPr="0015541C" w:rsidRDefault="00EC57DE" w:rsidP="00754D91">
      <w:pPr>
        <w:rPr>
          <w:lang w:val="pl-PL"/>
        </w:rPr>
      </w:pPr>
    </w:p>
    <w:p w14:paraId="71C93211" w14:textId="77777777" w:rsidR="00EC57DE" w:rsidRPr="0070444C" w:rsidRDefault="00EC57DE" w:rsidP="00EC57DE">
      <w:pPr>
        <w:keepNext/>
        <w:rPr>
          <w:i/>
          <w:u w:val="single"/>
          <w:lang w:val="pl-PL"/>
        </w:rPr>
      </w:pPr>
      <w:r w:rsidRPr="0070444C">
        <w:rPr>
          <w:i/>
          <w:u w:val="single"/>
          <w:lang w:val="pl-PL"/>
        </w:rPr>
        <w:t>Niewydolność jajników/płodność</w:t>
      </w:r>
      <w:r w:rsidRPr="0070444C">
        <w:rPr>
          <w:u w:val="single"/>
          <w:lang w:val="pl-PL"/>
        </w:rPr>
        <w:t xml:space="preserve"> (patrz punkty 4.4 i 4.6)</w:t>
      </w:r>
    </w:p>
    <w:p w14:paraId="4E92B6AD" w14:textId="77777777" w:rsidR="00EC57DE" w:rsidRPr="0015541C" w:rsidRDefault="00EC57DE" w:rsidP="00EC57DE">
      <w:pPr>
        <w:rPr>
          <w:szCs w:val="22"/>
          <w:lang w:val="pl-PL"/>
        </w:rPr>
      </w:pPr>
      <w:r w:rsidRPr="0015541C">
        <w:rPr>
          <w:szCs w:val="22"/>
          <w:lang w:val="pl-PL"/>
        </w:rPr>
        <w:t xml:space="preserve">W badaniu III fazy NSABP C-08, dotyczącym stosowania </w:t>
      </w:r>
      <w:r w:rsidR="00710327" w:rsidRPr="0015541C">
        <w:rPr>
          <w:szCs w:val="22"/>
          <w:lang w:val="pl-PL"/>
        </w:rPr>
        <w:t>bewacyzumab</w:t>
      </w:r>
      <w:r w:rsidRPr="0015541C">
        <w:rPr>
          <w:szCs w:val="22"/>
          <w:lang w:val="pl-PL"/>
        </w:rPr>
        <w:t xml:space="preserve">u jako leczenia uzupełniającego u chorych na raka jelita grubego, częstość występowania niewydolności jajników, zdefiniowanej jako brak miesiączki trwający przez 3 lub więcej miesięcy, stężenie FSH </w:t>
      </w:r>
      <w:r w:rsidRPr="0015541C">
        <w:rPr>
          <w:rFonts w:hint="eastAsia"/>
          <w:szCs w:val="22"/>
          <w:lang w:val="pl-PL"/>
        </w:rPr>
        <w:t>≥</w:t>
      </w:r>
      <w:r w:rsidRPr="0015541C">
        <w:rPr>
          <w:szCs w:val="22"/>
          <w:lang w:val="pl-PL"/>
        </w:rPr>
        <w:t xml:space="preserve">30 </w:t>
      </w:r>
      <w:r w:rsidR="00120F7E" w:rsidRPr="0015541C">
        <w:rPr>
          <w:szCs w:val="22"/>
          <w:lang w:val="pl-PL"/>
        </w:rPr>
        <w:br/>
      </w:r>
      <w:r w:rsidRPr="0015541C">
        <w:rPr>
          <w:szCs w:val="22"/>
          <w:lang w:val="pl-PL"/>
        </w:rPr>
        <w:t xml:space="preserve">mili j.m./ml oraz negatywny wynik testu ciążowego β-HCG w surowicy, oceniono u 295 kobiet przed menopauzą. Nowe przypadki wystąpienia niewydolności jajników odnotowano u 2,6 % pacjentek </w:t>
      </w:r>
      <w:r w:rsidRPr="0015541C">
        <w:rPr>
          <w:szCs w:val="22"/>
          <w:lang w:val="pl-PL"/>
        </w:rPr>
        <w:br/>
        <w:t xml:space="preserve">w grupie leczonej wyłącznie mFOLFOX-6 i u 39% w grupie leczonej schematem mFOLFOX-6 </w:t>
      </w:r>
      <w:r w:rsidRPr="0015541C">
        <w:rPr>
          <w:szCs w:val="22"/>
          <w:lang w:val="pl-PL"/>
        </w:rPr>
        <w:br/>
        <w:t xml:space="preserve">w skojarzeniu z bewacyzumabem. Po zaprzestaniu leczenia bewacyzumabem czynność jajników powróciła u 86,2% kobiet poddanych ocenie. Długoterminowy wpływ leczenia bewacyzumabem </w:t>
      </w:r>
      <w:r w:rsidRPr="0015541C">
        <w:rPr>
          <w:szCs w:val="22"/>
          <w:lang w:val="pl-PL"/>
        </w:rPr>
        <w:br/>
        <w:t>na płodność nie jest znany.</w:t>
      </w:r>
    </w:p>
    <w:p w14:paraId="6D76F877" w14:textId="77777777" w:rsidR="00EC57DE" w:rsidRPr="0015541C" w:rsidRDefault="00EC57DE" w:rsidP="00EC57DE">
      <w:pPr>
        <w:rPr>
          <w:sz w:val="24"/>
          <w:szCs w:val="24"/>
          <w:lang w:val="pl-PL"/>
        </w:rPr>
      </w:pPr>
    </w:p>
    <w:p w14:paraId="0826E379" w14:textId="77777777" w:rsidR="00EC57DE" w:rsidRPr="0070444C" w:rsidRDefault="00EC57DE" w:rsidP="00EC57DE">
      <w:pPr>
        <w:keepNext/>
        <w:keepLines/>
        <w:rPr>
          <w:i/>
          <w:u w:val="single"/>
          <w:lang w:val="pl-PL"/>
        </w:rPr>
      </w:pPr>
      <w:r w:rsidRPr="0070444C">
        <w:rPr>
          <w:i/>
          <w:u w:val="single"/>
          <w:lang w:val="pl-PL"/>
        </w:rPr>
        <w:t>Nieprawidłowości w badaniach laboratoryjnych</w:t>
      </w:r>
    </w:p>
    <w:p w14:paraId="56F13E58" w14:textId="77777777" w:rsidR="00EC57DE" w:rsidRPr="0015541C" w:rsidRDefault="00EC57DE" w:rsidP="00EC57DE">
      <w:pPr>
        <w:keepNext/>
        <w:keepLines/>
        <w:rPr>
          <w:lang w:val="pl-PL"/>
        </w:rPr>
      </w:pPr>
      <w:r w:rsidRPr="0015541C">
        <w:rPr>
          <w:lang w:val="pl-PL"/>
        </w:rPr>
        <w:t xml:space="preserve">Zmniejszona liczba neutrofili, zmniejszona liczba leukocytów i obecność białka w moczu mogą być związane z leczeniem </w:t>
      </w:r>
      <w:r w:rsidR="00716425" w:rsidRPr="0015541C">
        <w:rPr>
          <w:lang w:val="pl-PL"/>
        </w:rPr>
        <w:t>bewacyzumab</w:t>
      </w:r>
      <w:r w:rsidRPr="0015541C">
        <w:rPr>
          <w:lang w:val="pl-PL"/>
        </w:rPr>
        <w:t>em.</w:t>
      </w:r>
    </w:p>
    <w:p w14:paraId="7FF1A84E" w14:textId="77777777" w:rsidR="00EC57DE" w:rsidRPr="0015541C" w:rsidRDefault="00EC57DE" w:rsidP="00EC57DE">
      <w:pPr>
        <w:rPr>
          <w:lang w:val="pl-PL"/>
        </w:rPr>
      </w:pPr>
    </w:p>
    <w:p w14:paraId="74D2BF94" w14:textId="7E9F1CF3" w:rsidR="00EC57DE" w:rsidRPr="0015541C" w:rsidRDefault="00EC57DE" w:rsidP="00EC57DE">
      <w:pPr>
        <w:rPr>
          <w:lang w:val="pl-PL"/>
        </w:rPr>
      </w:pPr>
      <w:r w:rsidRPr="0015541C">
        <w:rPr>
          <w:lang w:val="pl-PL"/>
        </w:rPr>
        <w:t>We wszystkich badaniach klinicznych, następujące nieprawidłowości wyników laboratoryjnych stopnia 3 i 4 (NCI</w:t>
      </w:r>
      <w:r w:rsidR="007D74E0" w:rsidRPr="0015541C">
        <w:rPr>
          <w:lang w:val="pl-PL"/>
        </w:rPr>
        <w:noBreakHyphen/>
      </w:r>
      <w:r w:rsidRPr="0015541C">
        <w:rPr>
          <w:lang w:val="pl-PL"/>
        </w:rPr>
        <w:t xml:space="preserve">CTCAE v.3) wystąpiły u pacjentów </w:t>
      </w:r>
      <w:r w:rsidR="00F30C64" w:rsidRPr="0015541C">
        <w:rPr>
          <w:lang w:val="pl-PL"/>
        </w:rPr>
        <w:t xml:space="preserve">leczonych bewacyzumabem </w:t>
      </w:r>
      <w:r w:rsidRPr="0015541C">
        <w:rPr>
          <w:lang w:val="pl-PL"/>
        </w:rPr>
        <w:t xml:space="preserve">z częstością różniącą się o co najmniej 2% w porównaniu do odpowiadających im grup kontrolnych: hiperglikemia, zmniejszenie stężenia hemoglobiny, hipokaliemia, hiponatremia, zmniejszona liczba leukocytów, zwiększony znormalizowany współczynnik międzynarodowy (INR). </w:t>
      </w:r>
    </w:p>
    <w:p w14:paraId="540C8BB9" w14:textId="77777777" w:rsidR="00EC57DE" w:rsidRPr="0015541C" w:rsidRDefault="00EC57DE" w:rsidP="00754D91">
      <w:pPr>
        <w:rPr>
          <w:lang w:val="pl-PL"/>
        </w:rPr>
      </w:pPr>
    </w:p>
    <w:p w14:paraId="005914E6" w14:textId="77777777" w:rsidR="00770AC9" w:rsidRPr="0015541C" w:rsidRDefault="000D578A" w:rsidP="00770AC9">
      <w:pPr>
        <w:rPr>
          <w:lang w:val="pl-PL"/>
        </w:rPr>
      </w:pPr>
      <w:r w:rsidRPr="0015541C">
        <w:rPr>
          <w:lang w:val="pl-PL"/>
        </w:rPr>
        <w:t xml:space="preserve">Badania kliniczne wykazały, że przejściowy wzrost stężenia kreatyniny w surowicy (wzrost w zakresie 1,5-1,9 razy stężenie wyjściowe), z towarzyszącą proteinurią lub bez proteinurii, związany jest ze stosowaniem </w:t>
      </w:r>
      <w:r w:rsidR="00E302A4" w:rsidRPr="0015541C">
        <w:rPr>
          <w:lang w:val="pl-PL"/>
        </w:rPr>
        <w:t>bewacyzumab</w:t>
      </w:r>
      <w:r w:rsidRPr="0015541C">
        <w:rPr>
          <w:lang w:val="pl-PL"/>
        </w:rPr>
        <w:t xml:space="preserve">u. Obserwowany wzrost stężenia kreatyniny w surowicy nie był związany z częstszym występowaniem objawowych zaburzeń czynności nerek u pacjentów leczonych </w:t>
      </w:r>
      <w:r w:rsidR="00E302A4" w:rsidRPr="0015541C">
        <w:rPr>
          <w:lang w:val="pl-PL"/>
        </w:rPr>
        <w:t>bewacyzumab</w:t>
      </w:r>
      <w:r w:rsidRPr="0015541C">
        <w:rPr>
          <w:lang w:val="pl-PL"/>
        </w:rPr>
        <w:t>em.</w:t>
      </w:r>
    </w:p>
    <w:p w14:paraId="7483631D" w14:textId="77777777" w:rsidR="00770AC9" w:rsidRPr="0015541C" w:rsidRDefault="00770AC9" w:rsidP="00754D91">
      <w:pPr>
        <w:rPr>
          <w:lang w:val="pl-PL"/>
        </w:rPr>
      </w:pPr>
    </w:p>
    <w:p w14:paraId="6F7E4C24" w14:textId="77777777" w:rsidR="00EC57DE" w:rsidRPr="0015541C" w:rsidRDefault="00EC57DE" w:rsidP="004A6AF4">
      <w:pPr>
        <w:keepNext/>
        <w:keepLines/>
        <w:rPr>
          <w:u w:val="single"/>
          <w:lang w:val="pl-PL"/>
        </w:rPr>
      </w:pPr>
      <w:r w:rsidRPr="0015541C">
        <w:rPr>
          <w:u w:val="single"/>
          <w:lang w:val="pl-PL"/>
        </w:rPr>
        <w:lastRenderedPageBreak/>
        <w:t xml:space="preserve">Inne </w:t>
      </w:r>
      <w:r w:rsidR="004C73AA" w:rsidRPr="0015541C">
        <w:rPr>
          <w:u w:val="single"/>
          <w:lang w:val="pl-PL"/>
        </w:rPr>
        <w:t xml:space="preserve">szczególne </w:t>
      </w:r>
      <w:r w:rsidRPr="0015541C">
        <w:rPr>
          <w:u w:val="single"/>
          <w:lang w:val="pl-PL"/>
        </w:rPr>
        <w:t>grupy chorych</w:t>
      </w:r>
    </w:p>
    <w:p w14:paraId="5B3BEC00" w14:textId="77777777" w:rsidR="00754D91" w:rsidRPr="0015541C" w:rsidRDefault="00754D91" w:rsidP="004A6AF4">
      <w:pPr>
        <w:keepNext/>
        <w:keepLines/>
        <w:rPr>
          <w:lang w:val="pl-PL"/>
        </w:rPr>
      </w:pPr>
    </w:p>
    <w:p w14:paraId="24D99DA2" w14:textId="77777777" w:rsidR="00994050" w:rsidRPr="0070444C" w:rsidRDefault="00247D7C" w:rsidP="00220A7D">
      <w:pPr>
        <w:keepNext/>
        <w:keepLines/>
        <w:rPr>
          <w:i/>
          <w:u w:val="single"/>
          <w:lang w:val="pl-PL"/>
        </w:rPr>
      </w:pPr>
      <w:r w:rsidRPr="0070444C">
        <w:rPr>
          <w:i/>
          <w:u w:val="single"/>
          <w:lang w:val="pl-PL"/>
        </w:rPr>
        <w:t xml:space="preserve">Osoby </w:t>
      </w:r>
      <w:r w:rsidR="00994050" w:rsidRPr="0070444C">
        <w:rPr>
          <w:i/>
          <w:u w:val="single"/>
          <w:lang w:val="pl-PL"/>
        </w:rPr>
        <w:t xml:space="preserve">w podeszłym wieku </w:t>
      </w:r>
    </w:p>
    <w:p w14:paraId="4B811D54" w14:textId="21F7F5A7" w:rsidR="00994050" w:rsidRPr="0015541C" w:rsidRDefault="00994050" w:rsidP="00220A7D">
      <w:pPr>
        <w:keepNext/>
        <w:keepLines/>
        <w:outlineLvl w:val="0"/>
        <w:rPr>
          <w:lang w:val="pl-PL"/>
        </w:rPr>
      </w:pPr>
      <w:r w:rsidRPr="0015541C">
        <w:rPr>
          <w:lang w:val="pl-PL"/>
        </w:rPr>
        <w:t>W randomizowanych badaniach klinicznych wiek &gt; 65 lat był związany ze zwiększonym ryzykiem wystąpienia tętniczej zakrzepicy zatorowej, wliczając w to incydenty naczyniowo-mózgowe (CVA), przemijające napady niedokrwienne mózgu (TIA), zawały mięśnia sercowego (MI). Do innych działań niepożądanych występujących z większą częstością u pacjentów powyżej 65 lat należały leukopenia stopnia 3-4 i trombocytopenia</w:t>
      </w:r>
      <w:r w:rsidR="00525C4E" w:rsidRPr="0015541C">
        <w:rPr>
          <w:lang w:val="pl-PL"/>
        </w:rPr>
        <w:t xml:space="preserve"> (NCI</w:t>
      </w:r>
      <w:r w:rsidR="007D74E0" w:rsidRPr="0015541C">
        <w:rPr>
          <w:lang w:val="pl-PL"/>
        </w:rPr>
        <w:noBreakHyphen/>
      </w:r>
      <w:r w:rsidR="00525C4E" w:rsidRPr="0015541C">
        <w:rPr>
          <w:lang w:val="pl-PL"/>
        </w:rPr>
        <w:t>CTCAE v.3)</w:t>
      </w:r>
      <w:r w:rsidRPr="0015541C">
        <w:rPr>
          <w:lang w:val="pl-PL"/>
        </w:rPr>
        <w:t xml:space="preserve">; neutropenia każdego stopnia, biegunka, nudności, ból głowy oraz zmęczenie u chorych otrzymujących </w:t>
      </w:r>
      <w:r w:rsidR="00004276" w:rsidRPr="0015541C">
        <w:rPr>
          <w:lang w:val="pl-PL"/>
        </w:rPr>
        <w:t>bewacyzumab</w:t>
      </w:r>
      <w:r w:rsidRPr="0015541C">
        <w:rPr>
          <w:rFonts w:hint="eastAsia"/>
          <w:lang w:val="pl-PL"/>
        </w:rPr>
        <w:t xml:space="preserve">, w porównaniu do pacjentów </w:t>
      </w:r>
      <w:r w:rsidRPr="0015541C">
        <w:rPr>
          <w:rFonts w:hint="eastAsia"/>
          <w:lang w:val="pl-PL"/>
        </w:rPr>
        <w:t>≤</w:t>
      </w:r>
      <w:r w:rsidRPr="0015541C">
        <w:rPr>
          <w:rFonts w:hint="eastAsia"/>
          <w:lang w:val="pl-PL"/>
        </w:rPr>
        <w:t xml:space="preserve"> 65 lat (patrz punkt 4.4 </w:t>
      </w:r>
      <w:r w:rsidRPr="0015541C">
        <w:rPr>
          <w:lang w:val="pl-PL"/>
        </w:rPr>
        <w:t xml:space="preserve">i 4.8 </w:t>
      </w:r>
      <w:r w:rsidRPr="0015541C">
        <w:rPr>
          <w:i/>
          <w:lang w:val="pl-PL"/>
        </w:rPr>
        <w:t>Zakrzepica zatorowa</w:t>
      </w:r>
      <w:r w:rsidRPr="0015541C">
        <w:rPr>
          <w:lang w:val="pl-PL"/>
        </w:rPr>
        <w:t xml:space="preserve">). </w:t>
      </w:r>
      <w:r w:rsidR="00097D07" w:rsidRPr="0015541C">
        <w:rPr>
          <w:lang w:val="pl-PL"/>
        </w:rPr>
        <w:t xml:space="preserve">W jednym badaniu klinicznym częstość nadciśnienia </w:t>
      </w:r>
      <w:r w:rsidR="00A45045" w:rsidRPr="0015541C">
        <w:rPr>
          <w:lang w:val="pl-PL"/>
        </w:rPr>
        <w:t xml:space="preserve">tętniczego </w:t>
      </w:r>
      <w:r w:rsidR="00097D07" w:rsidRPr="0015541C">
        <w:rPr>
          <w:lang w:val="pl-PL"/>
        </w:rPr>
        <w:t xml:space="preserve">stopnia </w:t>
      </w:r>
      <w:r w:rsidR="002B58FF" w:rsidRPr="0015541C">
        <w:rPr>
          <w:rFonts w:hint="eastAsia"/>
          <w:lang w:val="pl-PL"/>
        </w:rPr>
        <w:t>≥</w:t>
      </w:r>
      <w:r w:rsidR="00097D07" w:rsidRPr="0015541C">
        <w:rPr>
          <w:lang w:val="pl-PL"/>
        </w:rPr>
        <w:t>3 była dwukrotnie większa w grupie pacjentów &gt;</w:t>
      </w:r>
      <w:r w:rsidR="00495A7C" w:rsidRPr="0015541C">
        <w:rPr>
          <w:lang w:val="pl-PL"/>
        </w:rPr>
        <w:t> </w:t>
      </w:r>
      <w:r w:rsidR="00097D07" w:rsidRPr="0015541C">
        <w:rPr>
          <w:lang w:val="pl-PL"/>
        </w:rPr>
        <w:t>65 lat, w porównaniu z młodszymi pacjentami (&lt;</w:t>
      </w:r>
      <w:r w:rsidR="00495A7C" w:rsidRPr="0015541C">
        <w:rPr>
          <w:lang w:val="pl-PL"/>
        </w:rPr>
        <w:t> </w:t>
      </w:r>
      <w:r w:rsidR="00097D07" w:rsidRPr="0015541C">
        <w:rPr>
          <w:lang w:val="pl-PL"/>
        </w:rPr>
        <w:t>65 lat).</w:t>
      </w:r>
      <w:r w:rsidR="00D20862" w:rsidRPr="0015541C">
        <w:rPr>
          <w:lang w:val="pl-PL"/>
        </w:rPr>
        <w:t xml:space="preserve"> W badaniu z udziałem pacjentek z nawrotowym rakiem jajnika opornym</w:t>
      </w:r>
      <w:r w:rsidR="00506FA9" w:rsidRPr="0015541C">
        <w:rPr>
          <w:lang w:val="pl-PL"/>
        </w:rPr>
        <w:t xml:space="preserve"> </w:t>
      </w:r>
      <w:r w:rsidR="00D20862" w:rsidRPr="0015541C">
        <w:rPr>
          <w:lang w:val="pl-PL"/>
        </w:rPr>
        <w:t xml:space="preserve">na związki platyny zgłaszano łysienie, zapalenie błon śluzowych, obwodową neuropatię czuciową, białkomocz i </w:t>
      </w:r>
      <w:r w:rsidR="00055E78" w:rsidRPr="0015541C">
        <w:rPr>
          <w:lang w:val="pl-PL"/>
        </w:rPr>
        <w:t xml:space="preserve">tętnicze </w:t>
      </w:r>
      <w:r w:rsidR="00D20862" w:rsidRPr="0015541C">
        <w:rPr>
          <w:lang w:val="pl-PL"/>
        </w:rPr>
        <w:t xml:space="preserve">nadciśnienie, które występowały z częstością co najmniej 5% wyższą w ramieniu CT + BT w przypadku pacjentek w wieku </w:t>
      </w:r>
      <w:r w:rsidR="00D20862" w:rsidRPr="0015541C">
        <w:rPr>
          <w:lang w:val="pl-PL"/>
        </w:rPr>
        <w:sym w:font="Symbol" w:char="F0B3"/>
      </w:r>
      <w:r w:rsidR="00D20862" w:rsidRPr="0015541C">
        <w:rPr>
          <w:lang w:val="pl-PL"/>
        </w:rPr>
        <w:t xml:space="preserve"> 65 lat leczonych bewacyzumabem, w porównaniu do pacjentek w wieku </w:t>
      </w:r>
      <w:r w:rsidR="008F3EB8" w:rsidRPr="00260CEC">
        <w:rPr>
          <w:lang w:val="pl-PL"/>
        </w:rPr>
        <w:t>&lt;</w:t>
      </w:r>
      <w:r w:rsidR="00D20862" w:rsidRPr="0015541C">
        <w:rPr>
          <w:lang w:val="pl-PL"/>
        </w:rPr>
        <w:t> 65 lat leczonych bewacyzumabem.</w:t>
      </w:r>
    </w:p>
    <w:p w14:paraId="334EF250" w14:textId="77777777" w:rsidR="00994050" w:rsidRPr="0015541C" w:rsidRDefault="00994050" w:rsidP="00994050">
      <w:pPr>
        <w:outlineLvl w:val="0"/>
        <w:rPr>
          <w:lang w:val="pl-PL"/>
        </w:rPr>
      </w:pPr>
      <w:r w:rsidRPr="0015541C">
        <w:rPr>
          <w:rFonts w:hint="eastAsia"/>
          <w:lang w:val="pl-PL"/>
        </w:rPr>
        <w:t xml:space="preserve">W grupie chorych w podeszłym wieku (&gt; 65 lat), w porównaniu do chorych w wieku </w:t>
      </w:r>
      <w:r w:rsidRPr="0015541C">
        <w:rPr>
          <w:rFonts w:hint="eastAsia"/>
          <w:lang w:val="pl-PL"/>
        </w:rPr>
        <w:t>≤</w:t>
      </w:r>
      <w:r w:rsidRPr="0015541C">
        <w:rPr>
          <w:rFonts w:hint="eastAsia"/>
          <w:lang w:val="pl-PL"/>
        </w:rPr>
        <w:t xml:space="preserve"> 65 lat, którzy otrzymywali </w:t>
      </w:r>
      <w:r w:rsidR="00FD572A" w:rsidRPr="0015541C">
        <w:rPr>
          <w:lang w:val="pl-PL"/>
        </w:rPr>
        <w:t>bewacyzumab</w:t>
      </w:r>
      <w:r w:rsidRPr="0015541C">
        <w:rPr>
          <w:lang w:val="pl-PL"/>
        </w:rPr>
        <w:t xml:space="preserve">, nie obserwowano wzrostu częstości występowania innych reakcji, </w:t>
      </w:r>
      <w:r w:rsidR="00055E78" w:rsidRPr="0015541C">
        <w:rPr>
          <w:lang w:val="pl-PL"/>
        </w:rPr>
        <w:br/>
      </w:r>
      <w:r w:rsidRPr="0015541C">
        <w:rPr>
          <w:lang w:val="pl-PL"/>
        </w:rPr>
        <w:t xml:space="preserve">w tym perforacji żołądkowo-jelitowych, powikłań w gojeniu ran, zastoinowej niewydolności serca </w:t>
      </w:r>
      <w:r w:rsidR="00055E78" w:rsidRPr="0015541C">
        <w:rPr>
          <w:lang w:val="pl-PL"/>
        </w:rPr>
        <w:br/>
      </w:r>
      <w:r w:rsidRPr="0015541C">
        <w:rPr>
          <w:lang w:val="pl-PL"/>
        </w:rPr>
        <w:t>i krwotoków.</w:t>
      </w:r>
    </w:p>
    <w:p w14:paraId="76B2B5E2" w14:textId="77777777" w:rsidR="00994050" w:rsidRPr="0015541C" w:rsidRDefault="00994050" w:rsidP="00994050">
      <w:pPr>
        <w:rPr>
          <w:lang w:val="pl-PL"/>
        </w:rPr>
      </w:pPr>
    </w:p>
    <w:p w14:paraId="40F8A29A" w14:textId="77777777" w:rsidR="003E4622" w:rsidRPr="0070444C" w:rsidRDefault="00BB2A29" w:rsidP="003E4622">
      <w:pPr>
        <w:rPr>
          <w:i/>
          <w:u w:val="single"/>
          <w:lang w:val="pl-PL"/>
        </w:rPr>
      </w:pPr>
      <w:r w:rsidRPr="0070444C">
        <w:rPr>
          <w:i/>
          <w:u w:val="single"/>
          <w:lang w:val="pl-PL"/>
        </w:rPr>
        <w:t>Dzieci i młodzież</w:t>
      </w:r>
    </w:p>
    <w:p w14:paraId="1D82BF65" w14:textId="77777777" w:rsidR="00457400" w:rsidRPr="0015541C" w:rsidRDefault="003E4622" w:rsidP="003E4622">
      <w:pPr>
        <w:rPr>
          <w:lang w:val="pl-PL"/>
        </w:rPr>
      </w:pPr>
      <w:r w:rsidRPr="0015541C">
        <w:rPr>
          <w:lang w:val="pl-PL"/>
        </w:rPr>
        <w:t xml:space="preserve">Nie ustalono bezpieczeństwa stosowania i skuteczności </w:t>
      </w:r>
      <w:r w:rsidR="00782EA9" w:rsidRPr="0015541C">
        <w:rPr>
          <w:lang w:val="pl-PL"/>
        </w:rPr>
        <w:t>bewacyzumabu</w:t>
      </w:r>
      <w:r w:rsidRPr="0015541C">
        <w:rPr>
          <w:lang w:val="pl-PL"/>
        </w:rPr>
        <w:t xml:space="preserve"> u dzieci </w:t>
      </w:r>
      <w:r w:rsidR="00000749" w:rsidRPr="0015541C">
        <w:rPr>
          <w:lang w:val="pl-PL"/>
        </w:rPr>
        <w:t xml:space="preserve">w wieku </w:t>
      </w:r>
      <w:r w:rsidR="00457400" w:rsidRPr="0015541C">
        <w:rPr>
          <w:lang w:val="pl-PL"/>
        </w:rPr>
        <w:t>poniżej 18 lat</w:t>
      </w:r>
      <w:r w:rsidRPr="0015541C">
        <w:rPr>
          <w:lang w:val="pl-PL"/>
        </w:rPr>
        <w:t>.</w:t>
      </w:r>
      <w:r w:rsidR="002952F7" w:rsidRPr="0015541C">
        <w:rPr>
          <w:lang w:val="pl-PL"/>
        </w:rPr>
        <w:t xml:space="preserve"> </w:t>
      </w:r>
    </w:p>
    <w:p w14:paraId="3BF54A2D" w14:textId="77777777" w:rsidR="00457400" w:rsidRPr="0015541C" w:rsidRDefault="00457400" w:rsidP="003E4622">
      <w:pPr>
        <w:rPr>
          <w:lang w:val="pl-PL"/>
        </w:rPr>
      </w:pPr>
    </w:p>
    <w:p w14:paraId="4C2B7AEF" w14:textId="77777777" w:rsidR="00494E71" w:rsidRPr="0015541C" w:rsidRDefault="00494E71" w:rsidP="007B2625">
      <w:pPr>
        <w:widowControl w:val="0"/>
        <w:autoSpaceDE w:val="0"/>
        <w:autoSpaceDN w:val="0"/>
        <w:adjustRightInd w:val="0"/>
        <w:rPr>
          <w:lang w:val="pl-PL"/>
        </w:rPr>
      </w:pPr>
      <w:r w:rsidRPr="0015541C">
        <w:rPr>
          <w:lang w:val="pl-PL"/>
        </w:rPr>
        <w:t xml:space="preserve">W badaniu BO25041 </w:t>
      </w:r>
      <w:r w:rsidR="00C77A5D" w:rsidRPr="0015541C">
        <w:rPr>
          <w:lang w:val="pl-PL"/>
        </w:rPr>
        <w:t>bewacyzumab</w:t>
      </w:r>
      <w:r w:rsidRPr="0015541C">
        <w:rPr>
          <w:lang w:val="pl-PL"/>
        </w:rPr>
        <w:t xml:space="preserve"> dołączon</w:t>
      </w:r>
      <w:r w:rsidR="00FF6B9C" w:rsidRPr="0015541C">
        <w:rPr>
          <w:lang w:val="pl-PL"/>
        </w:rPr>
        <w:t>o</w:t>
      </w:r>
      <w:r w:rsidRPr="0015541C">
        <w:rPr>
          <w:lang w:val="pl-PL"/>
        </w:rPr>
        <w:t xml:space="preserve"> do radioterapii pooperacyjnej z jednoczesną</w:t>
      </w:r>
      <w:r w:rsidR="00B60E71" w:rsidRPr="0015541C">
        <w:rPr>
          <w:lang w:val="pl-PL"/>
        </w:rPr>
        <w:t>,</w:t>
      </w:r>
      <w:r w:rsidRPr="0015541C">
        <w:rPr>
          <w:lang w:val="pl-PL"/>
        </w:rPr>
        <w:t xml:space="preserve"> adjuwantową terapią temozolomidem u dzieci i młodzieży ze świeżo rozpoznaną lokalizacją glejaka móżdżku, nadnamiotową lub podnamiotową albo konarową o wysokim stopniu złośliwości</w:t>
      </w:r>
      <w:r w:rsidR="00FF6B9C" w:rsidRPr="0015541C">
        <w:rPr>
          <w:lang w:val="pl-PL"/>
        </w:rPr>
        <w:t>.</w:t>
      </w:r>
      <w:r w:rsidRPr="0015541C">
        <w:rPr>
          <w:lang w:val="pl-PL"/>
        </w:rPr>
        <w:t xml:space="preserve"> </w:t>
      </w:r>
      <w:r w:rsidR="00FF6B9C" w:rsidRPr="0015541C">
        <w:rPr>
          <w:lang w:val="pl-PL"/>
        </w:rPr>
        <w:t>P</w:t>
      </w:r>
      <w:r w:rsidRPr="0015541C">
        <w:rPr>
          <w:lang w:val="pl-PL"/>
        </w:rPr>
        <w:t xml:space="preserve">rofil bezpieczeństwa był porównywalny do profilu obserwowanego w innych typach guzów u dorosłych leczonych </w:t>
      </w:r>
      <w:r w:rsidR="00C77A5D" w:rsidRPr="0015541C">
        <w:rPr>
          <w:lang w:val="pl-PL"/>
        </w:rPr>
        <w:t>bewacyzumab</w:t>
      </w:r>
      <w:r w:rsidRPr="0015541C">
        <w:rPr>
          <w:lang w:val="pl-PL"/>
        </w:rPr>
        <w:t xml:space="preserve">em. </w:t>
      </w:r>
    </w:p>
    <w:p w14:paraId="3B1813D1" w14:textId="77777777" w:rsidR="007B2625" w:rsidRPr="0015541C" w:rsidRDefault="007B2625" w:rsidP="00C86C9E">
      <w:pPr>
        <w:widowControl w:val="0"/>
        <w:autoSpaceDE w:val="0"/>
        <w:autoSpaceDN w:val="0"/>
        <w:adjustRightInd w:val="0"/>
        <w:rPr>
          <w:lang w:val="pl-PL"/>
        </w:rPr>
      </w:pPr>
    </w:p>
    <w:p w14:paraId="25BD0F78" w14:textId="77777777" w:rsidR="00457400" w:rsidRPr="0015541C" w:rsidRDefault="00457400" w:rsidP="003E4622">
      <w:pPr>
        <w:rPr>
          <w:lang w:val="pl-PL"/>
        </w:rPr>
      </w:pPr>
      <w:r w:rsidRPr="0015541C">
        <w:rPr>
          <w:lang w:val="pl-PL"/>
        </w:rPr>
        <w:t xml:space="preserve">W badaniu BO20924 dotyczącym </w:t>
      </w:r>
      <w:r w:rsidR="006B71EF" w:rsidRPr="0015541C">
        <w:rPr>
          <w:lang w:val="pl-PL"/>
        </w:rPr>
        <w:t xml:space="preserve">stosowania </w:t>
      </w:r>
      <w:r w:rsidR="00D26EBC" w:rsidRPr="0015541C">
        <w:rPr>
          <w:lang w:val="pl-PL"/>
        </w:rPr>
        <w:t>bewacyzumab</w:t>
      </w:r>
      <w:r w:rsidRPr="0015541C">
        <w:rPr>
          <w:lang w:val="pl-PL"/>
        </w:rPr>
        <w:t xml:space="preserve">u w połączeniu z obecnym </w:t>
      </w:r>
      <w:r w:rsidR="0052677F" w:rsidRPr="0015541C">
        <w:rPr>
          <w:lang w:val="pl-PL"/>
        </w:rPr>
        <w:t>leczeniem standardowym</w:t>
      </w:r>
      <w:r w:rsidRPr="0015541C">
        <w:rPr>
          <w:lang w:val="pl-PL"/>
        </w:rPr>
        <w:t xml:space="preserve"> u pacjentów z </w:t>
      </w:r>
      <w:r w:rsidR="008959C7" w:rsidRPr="0015541C">
        <w:rPr>
          <w:lang w:val="pl-PL"/>
        </w:rPr>
        <w:t xml:space="preserve">rozsianym </w:t>
      </w:r>
      <w:r w:rsidR="00000749" w:rsidRPr="0015541C">
        <w:rPr>
          <w:lang w:val="pl-PL"/>
        </w:rPr>
        <w:t>mięśniako</w:t>
      </w:r>
      <w:r w:rsidRPr="0015541C">
        <w:rPr>
          <w:lang w:val="pl-PL"/>
        </w:rPr>
        <w:t>mięsakiem prążkowanokomórkowym i nieprążkowanokomórkowym</w:t>
      </w:r>
      <w:r w:rsidR="00250B15" w:rsidRPr="0015541C">
        <w:rPr>
          <w:lang w:val="pl-PL"/>
        </w:rPr>
        <w:t xml:space="preserve">, profil bezpieczeństwa u dzieci leczonych </w:t>
      </w:r>
      <w:r w:rsidR="00EC186C" w:rsidRPr="0015541C">
        <w:rPr>
          <w:lang w:val="pl-PL"/>
        </w:rPr>
        <w:t>bewacyzumab</w:t>
      </w:r>
      <w:r w:rsidR="00250B15" w:rsidRPr="0015541C">
        <w:rPr>
          <w:lang w:val="pl-PL"/>
        </w:rPr>
        <w:t xml:space="preserve">em </w:t>
      </w:r>
      <w:r w:rsidR="00554A45" w:rsidRPr="0015541C">
        <w:rPr>
          <w:lang w:val="pl-PL"/>
        </w:rPr>
        <w:t>był porównywalny z</w:t>
      </w:r>
      <w:r w:rsidR="00250B15" w:rsidRPr="0015541C">
        <w:rPr>
          <w:lang w:val="pl-PL"/>
        </w:rPr>
        <w:t xml:space="preserve"> prof</w:t>
      </w:r>
      <w:r w:rsidR="00554A45" w:rsidRPr="0015541C">
        <w:rPr>
          <w:lang w:val="pl-PL"/>
        </w:rPr>
        <w:t>ilem bezpieczeństwa obserwowanym</w:t>
      </w:r>
      <w:r w:rsidR="00250B15" w:rsidRPr="0015541C">
        <w:rPr>
          <w:lang w:val="pl-PL"/>
        </w:rPr>
        <w:t xml:space="preserve"> u dorosłych pacjentów leczonych </w:t>
      </w:r>
      <w:r w:rsidR="00EC186C" w:rsidRPr="0015541C">
        <w:rPr>
          <w:lang w:val="pl-PL"/>
        </w:rPr>
        <w:t>bewacyzumab</w:t>
      </w:r>
      <w:r w:rsidR="00250B15" w:rsidRPr="0015541C">
        <w:rPr>
          <w:lang w:val="pl-PL"/>
        </w:rPr>
        <w:t xml:space="preserve">em. </w:t>
      </w:r>
    </w:p>
    <w:p w14:paraId="61074090" w14:textId="77777777" w:rsidR="00457400" w:rsidRPr="0015541C" w:rsidRDefault="00457400" w:rsidP="003E4622">
      <w:pPr>
        <w:rPr>
          <w:lang w:val="pl-PL"/>
        </w:rPr>
      </w:pPr>
    </w:p>
    <w:p w14:paraId="6E44C993" w14:textId="77777777" w:rsidR="003E4622" w:rsidRPr="0015541C" w:rsidRDefault="000925EB" w:rsidP="003E4622">
      <w:pPr>
        <w:rPr>
          <w:lang w:val="pl-PL"/>
        </w:rPr>
      </w:pPr>
      <w:r w:rsidRPr="0015541C">
        <w:rPr>
          <w:lang w:val="pl-PL"/>
        </w:rPr>
        <w:t>Bewacyzumab</w:t>
      </w:r>
      <w:r w:rsidR="002952F7" w:rsidRPr="0015541C">
        <w:rPr>
          <w:lang w:val="pl-PL"/>
        </w:rPr>
        <w:t xml:space="preserve"> nie jest zatwierdzony do stosowania u pacjentów w wieku poniżej 18 lat. </w:t>
      </w:r>
      <w:r w:rsidR="00ED27C6" w:rsidRPr="0015541C">
        <w:rPr>
          <w:lang w:val="pl-PL"/>
        </w:rPr>
        <w:br/>
      </w:r>
      <w:r w:rsidR="002952F7" w:rsidRPr="0015541C">
        <w:rPr>
          <w:lang w:val="pl-PL"/>
        </w:rPr>
        <w:t xml:space="preserve">W opublikowanych </w:t>
      </w:r>
      <w:r w:rsidR="004C73AA" w:rsidRPr="0015541C">
        <w:rPr>
          <w:lang w:val="pl-PL"/>
        </w:rPr>
        <w:t>raportach</w:t>
      </w:r>
      <w:r w:rsidR="00C751DC" w:rsidRPr="0015541C">
        <w:rPr>
          <w:lang w:val="pl-PL"/>
        </w:rPr>
        <w:t>, donoszono o przypadkach</w:t>
      </w:r>
      <w:r w:rsidR="002952F7" w:rsidRPr="0015541C">
        <w:rPr>
          <w:lang w:val="pl-PL"/>
        </w:rPr>
        <w:t xml:space="preserve"> martwicy kości innych niż szczęki </w:t>
      </w:r>
      <w:r w:rsidR="001334C9" w:rsidRPr="0015541C">
        <w:rPr>
          <w:lang w:val="pl-PL"/>
        </w:rPr>
        <w:t xml:space="preserve">lub żuchwy </w:t>
      </w:r>
      <w:r w:rsidR="002952F7" w:rsidRPr="0015541C">
        <w:rPr>
          <w:lang w:val="pl-PL"/>
        </w:rPr>
        <w:t xml:space="preserve">u pacjentów w wieku poniżej 18 lat leczonych </w:t>
      </w:r>
      <w:r w:rsidRPr="0015541C">
        <w:rPr>
          <w:lang w:val="pl-PL"/>
        </w:rPr>
        <w:t>bewacyzumab</w:t>
      </w:r>
      <w:r w:rsidR="00923F97" w:rsidRPr="0015541C">
        <w:rPr>
          <w:lang w:val="pl-PL"/>
        </w:rPr>
        <w:t>em</w:t>
      </w:r>
      <w:r w:rsidR="00C751DC" w:rsidRPr="0015541C">
        <w:rPr>
          <w:lang w:val="pl-PL"/>
        </w:rPr>
        <w:t>.</w:t>
      </w:r>
    </w:p>
    <w:p w14:paraId="5FF5F081" w14:textId="77777777" w:rsidR="003E4622" w:rsidRPr="0015541C" w:rsidRDefault="003E4622" w:rsidP="00831E76">
      <w:pPr>
        <w:rPr>
          <w:lang w:val="pl-PL"/>
        </w:rPr>
      </w:pPr>
    </w:p>
    <w:p w14:paraId="79187879" w14:textId="77777777" w:rsidR="00994050" w:rsidRPr="0015541C" w:rsidRDefault="00994050" w:rsidP="00831E76">
      <w:pPr>
        <w:rPr>
          <w:szCs w:val="22"/>
          <w:u w:val="single"/>
          <w:lang w:val="pl-PL"/>
        </w:rPr>
      </w:pPr>
      <w:r w:rsidRPr="0015541C">
        <w:rPr>
          <w:szCs w:val="22"/>
          <w:u w:val="single"/>
          <w:lang w:val="pl-PL"/>
        </w:rPr>
        <w:t>Doświadczenie po wprowadzeniu produktu do obrotu</w:t>
      </w:r>
    </w:p>
    <w:p w14:paraId="3AD2C493" w14:textId="77777777" w:rsidR="00994050" w:rsidRPr="0015541C" w:rsidRDefault="00994050" w:rsidP="00831E76">
      <w:pPr>
        <w:rPr>
          <w:i/>
          <w:szCs w:val="22"/>
          <w:lang w:val="pl-PL"/>
        </w:rPr>
      </w:pPr>
    </w:p>
    <w:p w14:paraId="42CC16BD" w14:textId="77777777" w:rsidR="00994050" w:rsidRPr="0070444C" w:rsidRDefault="00994050" w:rsidP="003C6FA3">
      <w:pPr>
        <w:keepNext/>
        <w:keepLines/>
        <w:ind w:left="540" w:hanging="540"/>
        <w:rPr>
          <w:lang w:val="pl-PL"/>
        </w:rPr>
      </w:pPr>
      <w:r w:rsidRPr="0015541C">
        <w:rPr>
          <w:rStyle w:val="HdTab1Char"/>
          <w:rFonts w:ascii="Times New Roman" w:eastAsia="MS Mincho" w:hAnsi="Times New Roman"/>
          <w:sz w:val="22"/>
          <w:szCs w:val="22"/>
          <w:lang w:val="pl-PL"/>
        </w:rPr>
        <w:lastRenderedPageBreak/>
        <w:t>Tabela</w:t>
      </w:r>
      <w:r w:rsidR="000505B2" w:rsidRPr="0015541C">
        <w:rPr>
          <w:rStyle w:val="HdTab1Char"/>
          <w:rFonts w:ascii="Times New Roman" w:eastAsia="MS Mincho" w:hAnsi="Times New Roman"/>
          <w:sz w:val="22"/>
          <w:szCs w:val="22"/>
          <w:lang w:val="pl-PL"/>
        </w:rPr>
        <w:t> </w:t>
      </w:r>
      <w:r w:rsidR="008800D7" w:rsidRPr="0015541C">
        <w:rPr>
          <w:rStyle w:val="HdTab1Char"/>
          <w:rFonts w:ascii="Times New Roman" w:eastAsia="MS Mincho" w:hAnsi="Times New Roman"/>
          <w:sz w:val="22"/>
          <w:szCs w:val="22"/>
          <w:lang w:val="pl-PL"/>
        </w:rPr>
        <w:t>3</w:t>
      </w:r>
      <w:r w:rsidRPr="0015541C">
        <w:rPr>
          <w:rStyle w:val="HdTab1Char"/>
          <w:rFonts w:ascii="Times New Roman" w:eastAsia="MS Mincho" w:hAnsi="Times New Roman"/>
          <w:sz w:val="22"/>
          <w:szCs w:val="22"/>
          <w:lang w:val="pl-PL"/>
        </w:rPr>
        <w:t>:</w:t>
      </w:r>
      <w:r w:rsidRPr="0015541C">
        <w:rPr>
          <w:rStyle w:val="HdTab1Char"/>
          <w:rFonts w:ascii="Times New Roman" w:hAnsi="Times New Roman"/>
          <w:sz w:val="22"/>
          <w:szCs w:val="22"/>
          <w:lang w:val="pl-PL"/>
        </w:rPr>
        <w:tab/>
        <w:t>Zdarzenia niepożądane obserwowane po wprowadzeniu produktu do obrotu</w:t>
      </w:r>
    </w:p>
    <w:tbl>
      <w:tblPr>
        <w:tblW w:w="0" w:type="auto"/>
        <w:tblInd w:w="228" w:type="dxa"/>
        <w:tblCellMar>
          <w:left w:w="0" w:type="dxa"/>
          <w:right w:w="0" w:type="dxa"/>
        </w:tblCellMar>
        <w:tblLook w:val="0000" w:firstRow="0" w:lastRow="0" w:firstColumn="0" w:lastColumn="0" w:noHBand="0" w:noVBand="0"/>
      </w:tblPr>
      <w:tblGrid>
        <w:gridCol w:w="2557"/>
        <w:gridCol w:w="6265"/>
      </w:tblGrid>
      <w:tr w:rsidR="00994050" w:rsidRPr="0015541C" w14:paraId="40D259DE" w14:textId="77777777" w:rsidTr="00831E76">
        <w:trPr>
          <w:tblHeader/>
        </w:trPr>
        <w:tc>
          <w:tcPr>
            <w:tcW w:w="2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913A9C" w14:textId="77777777" w:rsidR="00994050" w:rsidRPr="0070444C" w:rsidRDefault="00994050" w:rsidP="00112762">
            <w:pPr>
              <w:keepNext/>
              <w:keepLines/>
              <w:spacing w:before="120" w:after="120"/>
              <w:jc w:val="center"/>
              <w:rPr>
                <w:b/>
                <w:lang w:val="pl-PL"/>
              </w:rPr>
            </w:pPr>
            <w:r w:rsidRPr="0070444C">
              <w:rPr>
                <w:b/>
                <w:lang w:val="pl-PL"/>
              </w:rPr>
              <w:t>Klasyfikacja układów i narządów (</w:t>
            </w:r>
            <w:r w:rsidR="007F4ECA" w:rsidRPr="0070444C">
              <w:rPr>
                <w:b/>
                <w:lang w:val="pl-PL"/>
              </w:rPr>
              <w:t xml:space="preserve">ang. </w:t>
            </w:r>
            <w:r w:rsidRPr="0070444C">
              <w:rPr>
                <w:b/>
                <w:lang w:val="pl-PL"/>
              </w:rPr>
              <w:t>SOC)</w:t>
            </w:r>
          </w:p>
        </w:tc>
        <w:tc>
          <w:tcPr>
            <w:tcW w:w="63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82465E" w14:textId="77777777" w:rsidR="00994050" w:rsidRPr="0070444C" w:rsidRDefault="00994050" w:rsidP="00112762">
            <w:pPr>
              <w:keepNext/>
              <w:keepLines/>
              <w:spacing w:before="120" w:after="120"/>
              <w:jc w:val="center"/>
              <w:rPr>
                <w:b/>
                <w:lang w:val="pl-PL"/>
              </w:rPr>
            </w:pPr>
            <w:r w:rsidRPr="0070444C">
              <w:rPr>
                <w:b/>
                <w:lang w:val="pl-PL"/>
              </w:rPr>
              <w:t>Reakcje (częstość*)</w:t>
            </w:r>
          </w:p>
        </w:tc>
      </w:tr>
      <w:tr w:rsidR="00F86048" w:rsidRPr="008D11DD" w14:paraId="11D87E64" w14:textId="77777777" w:rsidTr="00831E76">
        <w:tc>
          <w:tcPr>
            <w:tcW w:w="2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CE6BB1" w14:textId="77777777" w:rsidR="00F86048" w:rsidRPr="0070444C" w:rsidRDefault="00F86048" w:rsidP="00112762">
            <w:pPr>
              <w:keepNext/>
              <w:keepLines/>
              <w:spacing w:before="120" w:after="120"/>
              <w:jc w:val="center"/>
              <w:rPr>
                <w:lang w:val="pl-PL"/>
              </w:rPr>
            </w:pPr>
            <w:r w:rsidRPr="0070444C">
              <w:rPr>
                <w:lang w:val="pl-PL"/>
              </w:rPr>
              <w:t>Zakażenia i zarażenia pasożytnicze</w:t>
            </w:r>
          </w:p>
        </w:tc>
        <w:tc>
          <w:tcPr>
            <w:tcW w:w="6372" w:type="dxa"/>
            <w:tcBorders>
              <w:top w:val="nil"/>
              <w:left w:val="nil"/>
              <w:bottom w:val="single" w:sz="8" w:space="0" w:color="auto"/>
              <w:right w:val="single" w:sz="8" w:space="0" w:color="auto"/>
            </w:tcBorders>
            <w:tcMar>
              <w:top w:w="0" w:type="dxa"/>
              <w:left w:w="108" w:type="dxa"/>
              <w:bottom w:w="0" w:type="dxa"/>
              <w:right w:w="108" w:type="dxa"/>
            </w:tcMar>
          </w:tcPr>
          <w:p w14:paraId="6A066188" w14:textId="77777777" w:rsidR="00F86048" w:rsidRPr="0015541C" w:rsidRDefault="00F86048" w:rsidP="00112762">
            <w:pPr>
              <w:keepNext/>
              <w:keepLines/>
              <w:spacing w:before="120" w:after="120"/>
              <w:rPr>
                <w:szCs w:val="22"/>
                <w:lang w:val="pl-PL"/>
              </w:rPr>
            </w:pPr>
            <w:r w:rsidRPr="0015541C">
              <w:rPr>
                <w:rFonts w:eastAsia="MS Mincho"/>
                <w:lang w:val="pl-PL"/>
              </w:rPr>
              <w:t xml:space="preserve">Martwicze zapalenie powięzi zazwyczaj wtórne do powikłanego gojenia ran, perforacji układu pokarmowego lub powstania przetoki (rzadko) </w:t>
            </w:r>
            <w:r w:rsidRPr="0015541C">
              <w:rPr>
                <w:szCs w:val="22"/>
                <w:lang w:val="pl-PL"/>
              </w:rPr>
              <w:t>(patrz także punkt 4.4)</w:t>
            </w:r>
          </w:p>
        </w:tc>
      </w:tr>
      <w:tr w:rsidR="00F86048" w:rsidRPr="008D11DD" w14:paraId="6BB77D75" w14:textId="77777777" w:rsidTr="00831E76">
        <w:trPr>
          <w:trHeight w:val="486"/>
        </w:trPr>
        <w:tc>
          <w:tcPr>
            <w:tcW w:w="2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758FF4" w14:textId="77777777" w:rsidR="00F86048" w:rsidRPr="0070444C" w:rsidRDefault="00F86048" w:rsidP="00112762">
            <w:pPr>
              <w:keepNext/>
              <w:keepLines/>
              <w:spacing w:before="120" w:after="120"/>
              <w:jc w:val="center"/>
              <w:rPr>
                <w:lang w:val="pl-PL"/>
              </w:rPr>
            </w:pPr>
            <w:r w:rsidRPr="0070444C">
              <w:rPr>
                <w:lang w:val="pl-PL"/>
              </w:rPr>
              <w:t>Zaburzenia układu immunologicznego</w:t>
            </w:r>
          </w:p>
        </w:tc>
        <w:tc>
          <w:tcPr>
            <w:tcW w:w="6372" w:type="dxa"/>
            <w:tcBorders>
              <w:top w:val="nil"/>
              <w:left w:val="nil"/>
              <w:bottom w:val="single" w:sz="8" w:space="0" w:color="auto"/>
              <w:right w:val="single" w:sz="8" w:space="0" w:color="auto"/>
            </w:tcBorders>
            <w:tcMar>
              <w:top w:w="0" w:type="dxa"/>
              <w:left w:w="108" w:type="dxa"/>
              <w:bottom w:w="0" w:type="dxa"/>
              <w:right w:w="108" w:type="dxa"/>
            </w:tcMar>
          </w:tcPr>
          <w:p w14:paraId="044E41C1" w14:textId="4A17A01A" w:rsidR="00F86048" w:rsidRDefault="00F86048" w:rsidP="00112762">
            <w:pPr>
              <w:keepNext/>
              <w:keepLines/>
              <w:spacing w:before="120" w:after="120"/>
              <w:rPr>
                <w:szCs w:val="22"/>
                <w:lang w:val="pl-PL"/>
              </w:rPr>
            </w:pPr>
            <w:r w:rsidRPr="0015541C">
              <w:rPr>
                <w:szCs w:val="22"/>
                <w:lang w:val="pl-PL"/>
              </w:rPr>
              <w:t>Reakcje nadwrażliwoś</w:t>
            </w:r>
            <w:r w:rsidR="00593878" w:rsidRPr="0015541C">
              <w:rPr>
                <w:szCs w:val="22"/>
                <w:lang w:val="pl-PL"/>
              </w:rPr>
              <w:t>ci i reakcje podczas wlewu (</w:t>
            </w:r>
            <w:r w:rsidR="00420F0C">
              <w:rPr>
                <w:szCs w:val="22"/>
                <w:lang w:val="pl-PL"/>
              </w:rPr>
              <w:t>często</w:t>
            </w:r>
            <w:r w:rsidRPr="0015541C">
              <w:rPr>
                <w:szCs w:val="22"/>
                <w:lang w:val="pl-PL"/>
              </w:rPr>
              <w:t>); z</w:t>
            </w:r>
            <w:r w:rsidR="00C03D91" w:rsidRPr="0015541C">
              <w:rPr>
                <w:szCs w:val="22"/>
                <w:lang w:val="pl-PL"/>
              </w:rPr>
              <w:t> </w:t>
            </w:r>
            <w:r w:rsidRPr="0015541C">
              <w:rPr>
                <w:szCs w:val="22"/>
                <w:lang w:val="pl-PL"/>
              </w:rPr>
              <w:t>możliwymi objawami współi</w:t>
            </w:r>
            <w:r w:rsidR="00C03D91" w:rsidRPr="0015541C">
              <w:rPr>
                <w:szCs w:val="22"/>
                <w:lang w:val="pl-PL"/>
              </w:rPr>
              <w:t xml:space="preserve">stniejącymi: duszność/trudności </w:t>
            </w:r>
            <w:r w:rsidRPr="0015541C">
              <w:rPr>
                <w:szCs w:val="22"/>
                <w:lang w:val="pl-PL"/>
              </w:rPr>
              <w:t>w</w:t>
            </w:r>
            <w:r w:rsidR="00C03D91" w:rsidRPr="0015541C">
              <w:rPr>
                <w:szCs w:val="22"/>
                <w:lang w:val="pl-PL"/>
              </w:rPr>
              <w:t> </w:t>
            </w:r>
            <w:r w:rsidRPr="0015541C">
              <w:rPr>
                <w:szCs w:val="22"/>
                <w:lang w:val="pl-PL"/>
              </w:rPr>
              <w:t>oddychaniu, nagłe zaczerwienienie/rumień/wysypka, obniżone ciśnienie tętnicze lub nadciśnienie</w:t>
            </w:r>
            <w:r w:rsidR="0095238D" w:rsidRPr="0015541C">
              <w:rPr>
                <w:szCs w:val="22"/>
                <w:lang w:val="pl-PL"/>
              </w:rPr>
              <w:t xml:space="preserve"> tętnicze</w:t>
            </w:r>
            <w:r w:rsidRPr="0015541C">
              <w:rPr>
                <w:szCs w:val="22"/>
                <w:lang w:val="pl-PL"/>
              </w:rPr>
              <w:t xml:space="preserve">, desaturacja krwi tętniczej tlenem, bóle w klatce piersiowej, dreszcze i nudności/wymioty (patrz również punkt 4.4 i </w:t>
            </w:r>
            <w:r w:rsidRPr="0015541C">
              <w:rPr>
                <w:i/>
                <w:szCs w:val="22"/>
                <w:lang w:val="pl-PL"/>
              </w:rPr>
              <w:t>Reakcje nadwrażliwości</w:t>
            </w:r>
            <w:r w:rsidR="00B504A6">
              <w:rPr>
                <w:i/>
                <w:szCs w:val="22"/>
                <w:lang w:val="pl-PL"/>
              </w:rPr>
              <w:t xml:space="preserve"> </w:t>
            </w:r>
            <w:r w:rsidR="00B504A6" w:rsidRPr="00B504A6">
              <w:rPr>
                <w:i/>
                <w:szCs w:val="22"/>
                <w:lang w:val="pl-PL"/>
              </w:rPr>
              <w:t>(w tym wstrząs anafilaktyczny)</w:t>
            </w:r>
            <w:r w:rsidRPr="0015541C">
              <w:rPr>
                <w:i/>
                <w:szCs w:val="22"/>
                <w:lang w:val="pl-PL"/>
              </w:rPr>
              <w:t xml:space="preserve"> i reakcje podczas wlewu </w:t>
            </w:r>
            <w:r w:rsidRPr="0015541C">
              <w:rPr>
                <w:szCs w:val="22"/>
                <w:lang w:val="pl-PL"/>
              </w:rPr>
              <w:t>powyżej).</w:t>
            </w:r>
          </w:p>
          <w:p w14:paraId="6E20645F" w14:textId="493D4AFA" w:rsidR="00420F0C" w:rsidRPr="0015541C" w:rsidRDefault="00420F0C" w:rsidP="00112762">
            <w:pPr>
              <w:keepNext/>
              <w:keepLines/>
              <w:spacing w:before="120" w:after="120"/>
              <w:rPr>
                <w:szCs w:val="22"/>
                <w:lang w:val="pl-PL"/>
              </w:rPr>
            </w:pPr>
            <w:r>
              <w:rPr>
                <w:szCs w:val="22"/>
                <w:lang w:val="pl-PL"/>
              </w:rPr>
              <w:t>Wstrząs anafilaktyczny (rzadko) (patrz także punkt 4.4).</w:t>
            </w:r>
          </w:p>
        </w:tc>
      </w:tr>
      <w:tr w:rsidR="00F86048" w:rsidRPr="0015541C" w14:paraId="5434C96F" w14:textId="77777777" w:rsidTr="00831E76">
        <w:trPr>
          <w:trHeight w:val="1433"/>
        </w:trPr>
        <w:tc>
          <w:tcPr>
            <w:tcW w:w="2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54CF89" w14:textId="77777777" w:rsidR="00F86048" w:rsidRPr="0070444C" w:rsidRDefault="00F86048" w:rsidP="00831E76">
            <w:pPr>
              <w:spacing w:before="120" w:after="120"/>
              <w:jc w:val="center"/>
              <w:rPr>
                <w:lang w:val="pl-PL"/>
              </w:rPr>
            </w:pPr>
            <w:r w:rsidRPr="0070444C">
              <w:rPr>
                <w:lang w:val="pl-PL"/>
              </w:rPr>
              <w:t>Zaburzenia układu nerwowego</w:t>
            </w:r>
          </w:p>
        </w:tc>
        <w:tc>
          <w:tcPr>
            <w:tcW w:w="6372" w:type="dxa"/>
            <w:tcBorders>
              <w:top w:val="nil"/>
              <w:left w:val="nil"/>
              <w:bottom w:val="single" w:sz="8" w:space="0" w:color="auto"/>
              <w:right w:val="single" w:sz="8" w:space="0" w:color="auto"/>
            </w:tcBorders>
            <w:tcMar>
              <w:top w:w="0" w:type="dxa"/>
              <w:left w:w="108" w:type="dxa"/>
              <w:bottom w:w="0" w:type="dxa"/>
              <w:right w:w="108" w:type="dxa"/>
            </w:tcMar>
          </w:tcPr>
          <w:p w14:paraId="45AAB979" w14:textId="77777777" w:rsidR="00F86048" w:rsidRPr="0015541C" w:rsidRDefault="00F86048" w:rsidP="00831E76">
            <w:pPr>
              <w:spacing w:before="120" w:after="120"/>
              <w:rPr>
                <w:szCs w:val="22"/>
                <w:lang w:val="pl-PL"/>
              </w:rPr>
            </w:pPr>
            <w:r w:rsidRPr="0015541C">
              <w:rPr>
                <w:szCs w:val="22"/>
                <w:lang w:val="pl-PL"/>
              </w:rPr>
              <w:t xml:space="preserve">Encefalopatia nadciśnieniowa (bardzo rzadko) (patrz również punkt </w:t>
            </w:r>
            <w:r w:rsidRPr="0015541C">
              <w:rPr>
                <w:lang w:val="pl-PL"/>
              </w:rPr>
              <w:t>4.4 oraz</w:t>
            </w:r>
            <w:r w:rsidRPr="0015541C">
              <w:rPr>
                <w:szCs w:val="22"/>
                <w:lang w:val="pl-PL"/>
              </w:rPr>
              <w:t xml:space="preserve"> </w:t>
            </w:r>
            <w:r w:rsidRPr="0015541C">
              <w:rPr>
                <w:i/>
                <w:lang w:val="pl-PL"/>
              </w:rPr>
              <w:t>Nadciśnienie</w:t>
            </w:r>
            <w:r w:rsidRPr="0015541C">
              <w:rPr>
                <w:lang w:val="pl-PL"/>
              </w:rPr>
              <w:t xml:space="preserve"> </w:t>
            </w:r>
            <w:r w:rsidR="00E02B2F" w:rsidRPr="0015541C">
              <w:rPr>
                <w:i/>
                <w:szCs w:val="22"/>
                <w:lang w:val="pl-PL"/>
              </w:rPr>
              <w:t>tętnicze</w:t>
            </w:r>
            <w:r w:rsidR="00E02B2F" w:rsidRPr="0015541C">
              <w:rPr>
                <w:szCs w:val="22"/>
                <w:lang w:val="pl-PL"/>
              </w:rPr>
              <w:t xml:space="preserve"> </w:t>
            </w:r>
            <w:r w:rsidRPr="0015541C">
              <w:rPr>
                <w:lang w:val="pl-PL"/>
              </w:rPr>
              <w:t>w punkcie 4.8</w:t>
            </w:r>
            <w:r w:rsidRPr="0015541C">
              <w:rPr>
                <w:szCs w:val="22"/>
                <w:lang w:val="pl-PL"/>
              </w:rPr>
              <w:t>)</w:t>
            </w:r>
          </w:p>
          <w:p w14:paraId="419A36CA" w14:textId="77777777" w:rsidR="00F86048" w:rsidRPr="0015541C" w:rsidRDefault="00F86048" w:rsidP="00831E76">
            <w:pPr>
              <w:spacing w:before="120" w:after="120"/>
              <w:rPr>
                <w:szCs w:val="22"/>
                <w:lang w:val="pl-PL"/>
              </w:rPr>
            </w:pPr>
            <w:r w:rsidRPr="0015541C">
              <w:rPr>
                <w:szCs w:val="22"/>
                <w:lang w:val="pl-PL"/>
              </w:rPr>
              <w:t xml:space="preserve">Zespół tylnej odwracalnej encefalopatii </w:t>
            </w:r>
            <w:r w:rsidR="003D4FBC" w:rsidRPr="0015541C">
              <w:rPr>
                <w:szCs w:val="22"/>
                <w:lang w:val="pl-PL"/>
              </w:rPr>
              <w:t>(</w:t>
            </w:r>
            <w:r w:rsidR="004C73AA" w:rsidRPr="0015541C">
              <w:rPr>
                <w:szCs w:val="22"/>
                <w:lang w:val="pl-PL"/>
              </w:rPr>
              <w:t xml:space="preserve">ang. </w:t>
            </w:r>
            <w:r w:rsidR="004C73AA" w:rsidRPr="0070444C">
              <w:rPr>
                <w:lang w:val="pl-PL"/>
              </w:rPr>
              <w:t>Posterior Reversible Encephalopathy Syndrome</w:t>
            </w:r>
            <w:r w:rsidR="004C73AA" w:rsidRPr="0015541C">
              <w:rPr>
                <w:szCs w:val="22"/>
                <w:lang w:val="pl-PL"/>
              </w:rPr>
              <w:t xml:space="preserve">, </w:t>
            </w:r>
            <w:r w:rsidR="003D4FBC" w:rsidRPr="0015541C">
              <w:rPr>
                <w:szCs w:val="22"/>
                <w:lang w:val="pl-PL"/>
              </w:rPr>
              <w:t xml:space="preserve">PRES) </w:t>
            </w:r>
            <w:r w:rsidRPr="0015541C">
              <w:rPr>
                <w:szCs w:val="22"/>
                <w:lang w:val="pl-PL"/>
              </w:rPr>
              <w:t xml:space="preserve">(rzadko) (patrz również punkt </w:t>
            </w:r>
            <w:r w:rsidRPr="0015541C">
              <w:rPr>
                <w:lang w:val="pl-PL"/>
              </w:rPr>
              <w:t>4.4</w:t>
            </w:r>
            <w:r w:rsidRPr="0015541C">
              <w:rPr>
                <w:szCs w:val="22"/>
                <w:lang w:val="pl-PL"/>
              </w:rPr>
              <w:t>)</w:t>
            </w:r>
          </w:p>
        </w:tc>
      </w:tr>
      <w:tr w:rsidR="00F86048" w:rsidRPr="008D11DD" w14:paraId="6A9B86C3" w14:textId="77777777" w:rsidTr="00831E76">
        <w:trPr>
          <w:trHeight w:val="1060"/>
        </w:trPr>
        <w:tc>
          <w:tcPr>
            <w:tcW w:w="2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20904D" w14:textId="77777777" w:rsidR="00F86048" w:rsidRPr="0070444C" w:rsidRDefault="00F86048" w:rsidP="00831E76">
            <w:pPr>
              <w:spacing w:before="120" w:after="120"/>
              <w:jc w:val="center"/>
              <w:rPr>
                <w:lang w:val="pl-PL"/>
              </w:rPr>
            </w:pPr>
            <w:r w:rsidRPr="0070444C">
              <w:rPr>
                <w:lang w:val="pl-PL"/>
              </w:rPr>
              <w:t>Zaburzenia naczyniowe</w:t>
            </w:r>
          </w:p>
        </w:tc>
        <w:tc>
          <w:tcPr>
            <w:tcW w:w="6372" w:type="dxa"/>
            <w:tcBorders>
              <w:top w:val="nil"/>
              <w:left w:val="nil"/>
              <w:bottom w:val="single" w:sz="8" w:space="0" w:color="auto"/>
              <w:right w:val="single" w:sz="8" w:space="0" w:color="auto"/>
            </w:tcBorders>
            <w:tcMar>
              <w:top w:w="0" w:type="dxa"/>
              <w:left w:w="108" w:type="dxa"/>
              <w:bottom w:w="0" w:type="dxa"/>
              <w:right w:w="108" w:type="dxa"/>
            </w:tcMar>
          </w:tcPr>
          <w:p w14:paraId="644C9FCE" w14:textId="77777777" w:rsidR="00F86048" w:rsidRPr="0015541C" w:rsidRDefault="00F86048" w:rsidP="00831E76">
            <w:pPr>
              <w:spacing w:before="120" w:after="120"/>
              <w:rPr>
                <w:szCs w:val="22"/>
                <w:lang w:val="pl-PL"/>
              </w:rPr>
            </w:pPr>
            <w:r w:rsidRPr="0015541C">
              <w:rPr>
                <w:lang w:val="pl-PL"/>
              </w:rPr>
              <w:t>Zakrzepowa mikroangiopatia nerkowa, która może objawiać s</w:t>
            </w:r>
            <w:r w:rsidR="00593878" w:rsidRPr="0015541C">
              <w:rPr>
                <w:lang w:val="pl-PL"/>
              </w:rPr>
              <w:t>ię klinicznie białkomoczem (nie</w:t>
            </w:r>
            <w:r w:rsidRPr="0015541C">
              <w:rPr>
                <w:lang w:val="pl-PL"/>
              </w:rPr>
              <w:t xml:space="preserve">znana) niezależnie od jednoczasowego stosowania sunitynibu. Więcej informacji o białkomoczu w punkcie 4.4 oraz </w:t>
            </w:r>
            <w:r w:rsidRPr="0015541C">
              <w:rPr>
                <w:i/>
                <w:lang w:val="pl-PL"/>
              </w:rPr>
              <w:t>Białkomocz</w:t>
            </w:r>
            <w:r w:rsidRPr="0015541C">
              <w:rPr>
                <w:lang w:val="pl-PL"/>
              </w:rPr>
              <w:t xml:space="preserve"> w punkcie 4.8.</w:t>
            </w:r>
          </w:p>
        </w:tc>
      </w:tr>
      <w:tr w:rsidR="00F86048" w:rsidRPr="0015541C" w14:paraId="041B9836" w14:textId="77777777" w:rsidTr="00831E76">
        <w:tc>
          <w:tcPr>
            <w:tcW w:w="258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B8DDA60" w14:textId="77777777" w:rsidR="00F86048" w:rsidRPr="0070444C" w:rsidRDefault="00F86048" w:rsidP="00831E76">
            <w:pPr>
              <w:spacing w:before="120" w:after="120"/>
              <w:jc w:val="center"/>
              <w:rPr>
                <w:lang w:val="pl-PL"/>
              </w:rPr>
            </w:pPr>
            <w:r w:rsidRPr="0070444C">
              <w:rPr>
                <w:lang w:val="pl-PL"/>
              </w:rPr>
              <w:t>Zaburzenia układu oddechowego, klatki piersiowej i śródpiersia</w:t>
            </w:r>
          </w:p>
        </w:tc>
        <w:tc>
          <w:tcPr>
            <w:tcW w:w="6372" w:type="dxa"/>
            <w:tcBorders>
              <w:top w:val="nil"/>
              <w:left w:val="nil"/>
              <w:bottom w:val="single" w:sz="4" w:space="0" w:color="auto"/>
              <w:right w:val="single" w:sz="8" w:space="0" w:color="auto"/>
            </w:tcBorders>
            <w:tcMar>
              <w:top w:w="0" w:type="dxa"/>
              <w:left w:w="108" w:type="dxa"/>
              <w:bottom w:w="0" w:type="dxa"/>
              <w:right w:w="108" w:type="dxa"/>
            </w:tcMar>
          </w:tcPr>
          <w:p w14:paraId="3BFF9886" w14:textId="77777777" w:rsidR="00F86048" w:rsidRPr="0015541C" w:rsidRDefault="00593878" w:rsidP="00831E76">
            <w:pPr>
              <w:spacing w:before="120" w:after="120"/>
              <w:rPr>
                <w:szCs w:val="22"/>
                <w:lang w:val="pl-PL"/>
              </w:rPr>
            </w:pPr>
            <w:r w:rsidRPr="0015541C">
              <w:rPr>
                <w:szCs w:val="22"/>
                <w:lang w:val="pl-PL"/>
              </w:rPr>
              <w:t>Perforacja przegrody nosa (nie</w:t>
            </w:r>
            <w:r w:rsidR="00F86048" w:rsidRPr="0015541C">
              <w:rPr>
                <w:szCs w:val="22"/>
                <w:lang w:val="pl-PL"/>
              </w:rPr>
              <w:t>znana)</w:t>
            </w:r>
          </w:p>
          <w:p w14:paraId="578B2C10" w14:textId="77777777" w:rsidR="00F86048" w:rsidRPr="0015541C" w:rsidRDefault="00593878" w:rsidP="00831E76">
            <w:pPr>
              <w:spacing w:before="120" w:after="120"/>
              <w:rPr>
                <w:szCs w:val="22"/>
                <w:lang w:val="pl-PL"/>
              </w:rPr>
            </w:pPr>
            <w:r w:rsidRPr="0015541C">
              <w:rPr>
                <w:szCs w:val="22"/>
                <w:lang w:val="pl-PL"/>
              </w:rPr>
              <w:t>Nadciśnienie płucne (nie</w:t>
            </w:r>
            <w:r w:rsidR="00F86048" w:rsidRPr="0015541C">
              <w:rPr>
                <w:szCs w:val="22"/>
                <w:lang w:val="pl-PL"/>
              </w:rPr>
              <w:t>znana)</w:t>
            </w:r>
          </w:p>
          <w:p w14:paraId="1126446C" w14:textId="77777777" w:rsidR="00F86048" w:rsidRPr="0015541C" w:rsidRDefault="00F86048" w:rsidP="00831E76">
            <w:pPr>
              <w:spacing w:before="120" w:after="120"/>
              <w:rPr>
                <w:szCs w:val="22"/>
                <w:lang w:val="pl-PL"/>
              </w:rPr>
            </w:pPr>
            <w:r w:rsidRPr="0015541C">
              <w:rPr>
                <w:szCs w:val="22"/>
                <w:lang w:val="pl-PL"/>
              </w:rPr>
              <w:t>Dysfonia (często)</w:t>
            </w:r>
          </w:p>
        </w:tc>
      </w:tr>
      <w:tr w:rsidR="00F86048" w:rsidRPr="00A5462B" w14:paraId="7A6DA135" w14:textId="77777777" w:rsidTr="00831E76">
        <w:trPr>
          <w:trHeight w:val="525"/>
        </w:trPr>
        <w:tc>
          <w:tcPr>
            <w:tcW w:w="2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AB1334" w14:textId="77777777" w:rsidR="00F86048" w:rsidRPr="0070444C" w:rsidRDefault="00F86048" w:rsidP="00831E76">
            <w:pPr>
              <w:spacing w:before="120" w:after="120"/>
              <w:jc w:val="center"/>
              <w:rPr>
                <w:lang w:val="pl-PL"/>
              </w:rPr>
            </w:pPr>
            <w:r w:rsidRPr="0070444C">
              <w:rPr>
                <w:lang w:val="pl-PL"/>
              </w:rPr>
              <w:t>Zaburzenia żołądka</w:t>
            </w:r>
            <w:r w:rsidRPr="0070444C">
              <w:rPr>
                <w:lang w:val="pl-PL"/>
              </w:rPr>
              <w:br/>
              <w:t xml:space="preserve"> i jelit</w:t>
            </w:r>
          </w:p>
        </w:tc>
        <w:tc>
          <w:tcPr>
            <w:tcW w:w="63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0C8597" w14:textId="77777777" w:rsidR="00F86048" w:rsidRPr="0015541C" w:rsidRDefault="00F86048" w:rsidP="00831E76">
            <w:pPr>
              <w:spacing w:before="120" w:after="120"/>
              <w:rPr>
                <w:szCs w:val="22"/>
                <w:lang w:val="pl-PL"/>
              </w:rPr>
            </w:pPr>
            <w:r w:rsidRPr="0015541C">
              <w:rPr>
                <w:szCs w:val="22"/>
                <w:lang w:val="pl-PL"/>
              </w:rPr>
              <w:t>Choroba wrzo</w:t>
            </w:r>
            <w:r w:rsidR="00593878" w:rsidRPr="0015541C">
              <w:rPr>
                <w:szCs w:val="22"/>
                <w:lang w:val="pl-PL"/>
              </w:rPr>
              <w:t>dowa żołądka i dwunastnicy (nie</w:t>
            </w:r>
            <w:r w:rsidRPr="0015541C">
              <w:rPr>
                <w:szCs w:val="22"/>
                <w:lang w:val="pl-PL"/>
              </w:rPr>
              <w:t>znana)</w:t>
            </w:r>
          </w:p>
        </w:tc>
      </w:tr>
      <w:tr w:rsidR="00F86048" w:rsidRPr="008D11DD" w14:paraId="0035A0B1" w14:textId="77777777" w:rsidTr="00831E76">
        <w:trPr>
          <w:trHeight w:val="607"/>
        </w:trPr>
        <w:tc>
          <w:tcPr>
            <w:tcW w:w="2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ACE66AA" w14:textId="77777777" w:rsidR="00F86048" w:rsidRPr="0070444C" w:rsidRDefault="00F86048" w:rsidP="00831E76">
            <w:pPr>
              <w:jc w:val="center"/>
              <w:rPr>
                <w:lang w:val="pl-PL"/>
              </w:rPr>
            </w:pPr>
            <w:r w:rsidRPr="0070444C">
              <w:rPr>
                <w:lang w:val="pl-PL"/>
              </w:rPr>
              <w:t>Zaburzenia wątroby</w:t>
            </w:r>
          </w:p>
          <w:p w14:paraId="3B455DB4" w14:textId="77777777" w:rsidR="00F86048" w:rsidRPr="0015541C" w:rsidRDefault="00F86048" w:rsidP="00831E76">
            <w:pPr>
              <w:jc w:val="center"/>
              <w:rPr>
                <w:rFonts w:eastAsia="SimSun"/>
                <w:lang w:val="pl-PL" w:eastAsia="zh-CN"/>
              </w:rPr>
            </w:pPr>
            <w:r w:rsidRPr="0070444C">
              <w:rPr>
                <w:lang w:val="pl-PL"/>
              </w:rPr>
              <w:t>i dróg żółciowych</w:t>
            </w:r>
          </w:p>
        </w:tc>
        <w:tc>
          <w:tcPr>
            <w:tcW w:w="637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F2882FA" w14:textId="77777777" w:rsidR="00F86048" w:rsidRPr="0015541C" w:rsidRDefault="00F86048" w:rsidP="00831E76">
            <w:pPr>
              <w:spacing w:before="120" w:after="120"/>
              <w:rPr>
                <w:szCs w:val="22"/>
                <w:lang w:val="pl-PL"/>
              </w:rPr>
            </w:pPr>
            <w:r w:rsidRPr="0015541C">
              <w:rPr>
                <w:szCs w:val="22"/>
                <w:lang w:val="pl-PL"/>
              </w:rPr>
              <w:t xml:space="preserve">Perforacja pęcherzyka </w:t>
            </w:r>
            <w:r w:rsidR="00593878" w:rsidRPr="0015541C">
              <w:rPr>
                <w:szCs w:val="22"/>
                <w:lang w:val="pl-PL"/>
              </w:rPr>
              <w:t>żółciowego (nie</w:t>
            </w:r>
            <w:r w:rsidRPr="0015541C">
              <w:rPr>
                <w:szCs w:val="22"/>
                <w:lang w:val="pl-PL"/>
              </w:rPr>
              <w:t>znana)</w:t>
            </w:r>
          </w:p>
        </w:tc>
      </w:tr>
      <w:tr w:rsidR="00F86048" w:rsidRPr="008D11DD" w14:paraId="69836833" w14:textId="77777777" w:rsidTr="00831E76">
        <w:tc>
          <w:tcPr>
            <w:tcW w:w="2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462611F" w14:textId="77777777" w:rsidR="00F86048" w:rsidRPr="0070444C" w:rsidRDefault="00F86048" w:rsidP="00831E76">
            <w:pPr>
              <w:pStyle w:val="TextTi12"/>
              <w:jc w:val="center"/>
              <w:rPr>
                <w:sz w:val="22"/>
                <w:lang w:val="pl-PL"/>
              </w:rPr>
            </w:pPr>
            <w:r w:rsidRPr="0070444C">
              <w:rPr>
                <w:sz w:val="22"/>
                <w:lang w:val="pl-PL"/>
              </w:rPr>
              <w:t>Zaburzenia mięśniowo-szkieletowe i tkanki łącznej</w:t>
            </w:r>
          </w:p>
          <w:p w14:paraId="6D34AC4A" w14:textId="77777777" w:rsidR="00F86048" w:rsidRPr="0070444C" w:rsidRDefault="00F86048" w:rsidP="00831E76">
            <w:pPr>
              <w:spacing w:before="120" w:after="120"/>
              <w:jc w:val="center"/>
              <w:rPr>
                <w:lang w:val="pl-PL"/>
              </w:rPr>
            </w:pPr>
          </w:p>
        </w:tc>
        <w:tc>
          <w:tcPr>
            <w:tcW w:w="63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C28CCB" w14:textId="77777777" w:rsidR="00F86048" w:rsidRPr="0015541C" w:rsidRDefault="00F86048" w:rsidP="00831E76">
            <w:pPr>
              <w:spacing w:before="120" w:after="120"/>
              <w:rPr>
                <w:szCs w:val="22"/>
                <w:lang w:val="pl-PL"/>
              </w:rPr>
            </w:pPr>
            <w:r w:rsidRPr="0015541C">
              <w:rPr>
                <w:szCs w:val="22"/>
                <w:lang w:val="pl-PL"/>
              </w:rPr>
              <w:t xml:space="preserve">Wśród pacjentów leczonych </w:t>
            </w:r>
            <w:r w:rsidR="00B33E08" w:rsidRPr="0015541C">
              <w:rPr>
                <w:szCs w:val="22"/>
                <w:lang w:val="pl-PL"/>
              </w:rPr>
              <w:t>bewacyzumab</w:t>
            </w:r>
            <w:r w:rsidRPr="0015541C">
              <w:rPr>
                <w:szCs w:val="22"/>
                <w:lang w:val="pl-PL"/>
              </w:rPr>
              <w:t>em obserwowano przypadki martwicy kości szczęki lub żuchwy</w:t>
            </w:r>
            <w:r w:rsidRPr="0015541C">
              <w:rPr>
                <w:iCs/>
                <w:szCs w:val="22"/>
                <w:lang w:val="pl-PL" w:eastAsia="de-CH" w:bidi="th-TH"/>
              </w:rPr>
              <w:t xml:space="preserve">, w większości zdarzenia te występowały u pacjentów ze znanymi czynnikami ryzyka wystąpienia </w:t>
            </w:r>
            <w:r w:rsidRPr="0015541C">
              <w:rPr>
                <w:szCs w:val="22"/>
                <w:lang w:val="pl-PL"/>
              </w:rPr>
              <w:t>martwicy kości szczęki</w:t>
            </w:r>
            <w:r w:rsidRPr="0015541C">
              <w:rPr>
                <w:rFonts w:ascii="Arial" w:hAnsi="Arial"/>
                <w:szCs w:val="22"/>
                <w:lang w:val="pl-PL"/>
              </w:rPr>
              <w:t>/</w:t>
            </w:r>
            <w:r w:rsidRPr="0015541C">
              <w:rPr>
                <w:szCs w:val="22"/>
                <w:lang w:val="pl-PL"/>
              </w:rPr>
              <w:t>żuchwy</w:t>
            </w:r>
            <w:r w:rsidRPr="0015541C">
              <w:rPr>
                <w:rFonts w:ascii="Arial" w:hAnsi="Arial"/>
                <w:szCs w:val="22"/>
                <w:lang w:val="pl-PL"/>
              </w:rPr>
              <w:t>,</w:t>
            </w:r>
            <w:r w:rsidRPr="0015541C">
              <w:rPr>
                <w:szCs w:val="22"/>
                <w:lang w:val="pl-PL"/>
              </w:rPr>
              <w:t xml:space="preserve"> zwłaszcza leczonych bisfosfonianami w postaci dożylnej i (lub) chorobami jamy ustnej wymagającymi zastosowania inwazyjnej procedury stomatologicznej (patrz punkt 4.4)</w:t>
            </w:r>
          </w:p>
          <w:p w14:paraId="7AA00F99" w14:textId="77777777" w:rsidR="003D4FBC" w:rsidRPr="0015541C" w:rsidRDefault="009A36DF" w:rsidP="00831E76">
            <w:pPr>
              <w:spacing w:before="120" w:after="120"/>
              <w:rPr>
                <w:szCs w:val="22"/>
                <w:lang w:val="pl-PL"/>
              </w:rPr>
            </w:pPr>
            <w:r w:rsidRPr="0015541C">
              <w:rPr>
                <w:szCs w:val="22"/>
                <w:lang w:val="pl-PL"/>
              </w:rPr>
              <w:t xml:space="preserve">Zgłaszano przypadki </w:t>
            </w:r>
            <w:r w:rsidR="004C73AA" w:rsidRPr="0015541C">
              <w:rPr>
                <w:szCs w:val="22"/>
                <w:lang w:val="pl-PL"/>
              </w:rPr>
              <w:t>martwicy</w:t>
            </w:r>
            <w:r w:rsidRPr="0015541C">
              <w:rPr>
                <w:szCs w:val="22"/>
                <w:lang w:val="pl-PL"/>
              </w:rPr>
              <w:t xml:space="preserve"> kości innych niż szczęki </w:t>
            </w:r>
            <w:r w:rsidR="001334C9" w:rsidRPr="0015541C">
              <w:rPr>
                <w:szCs w:val="22"/>
                <w:lang w:val="pl-PL"/>
              </w:rPr>
              <w:t xml:space="preserve">lub żuchwy </w:t>
            </w:r>
            <w:r w:rsidRPr="0015541C">
              <w:rPr>
                <w:szCs w:val="22"/>
                <w:lang w:val="pl-PL"/>
              </w:rPr>
              <w:t xml:space="preserve">u dzieci i młodzieży leczonych </w:t>
            </w:r>
            <w:r w:rsidR="00107A98" w:rsidRPr="0015541C">
              <w:rPr>
                <w:szCs w:val="22"/>
                <w:lang w:val="pl-PL"/>
              </w:rPr>
              <w:t>bewacyzumab</w:t>
            </w:r>
            <w:r w:rsidR="00B92213" w:rsidRPr="0015541C">
              <w:rPr>
                <w:szCs w:val="22"/>
                <w:lang w:val="pl-PL"/>
              </w:rPr>
              <w:t>em</w:t>
            </w:r>
            <w:r w:rsidRPr="0015541C">
              <w:rPr>
                <w:szCs w:val="22"/>
                <w:lang w:val="pl-PL"/>
              </w:rPr>
              <w:t xml:space="preserve"> (patrz punkt 4.8, dzieci i młodzież</w:t>
            </w:r>
            <w:r w:rsidR="001334C9" w:rsidRPr="0015541C">
              <w:rPr>
                <w:szCs w:val="22"/>
                <w:lang w:val="pl-PL"/>
              </w:rPr>
              <w:t>).</w:t>
            </w:r>
          </w:p>
        </w:tc>
      </w:tr>
      <w:tr w:rsidR="00F86048" w:rsidRPr="008D11DD" w14:paraId="5E15FF88" w14:textId="77777777" w:rsidTr="00831E76">
        <w:tc>
          <w:tcPr>
            <w:tcW w:w="2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1416409" w14:textId="77777777" w:rsidR="00F86048" w:rsidRPr="0070444C" w:rsidRDefault="00F86048" w:rsidP="00831E76">
            <w:pPr>
              <w:pStyle w:val="TextTi12"/>
              <w:jc w:val="center"/>
              <w:rPr>
                <w:sz w:val="22"/>
                <w:lang w:val="pl-PL"/>
              </w:rPr>
            </w:pPr>
            <w:r w:rsidRPr="0070444C">
              <w:rPr>
                <w:sz w:val="22"/>
                <w:lang w:val="pl-PL"/>
              </w:rPr>
              <w:t>Wady wrodzone, choroby rodzinne i genetyczne</w:t>
            </w:r>
          </w:p>
        </w:tc>
        <w:tc>
          <w:tcPr>
            <w:tcW w:w="63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A7A29B" w14:textId="77777777" w:rsidR="00F86048" w:rsidRPr="0015541C" w:rsidRDefault="00F86048" w:rsidP="00831E76">
            <w:pPr>
              <w:spacing w:before="120" w:after="120"/>
              <w:rPr>
                <w:szCs w:val="22"/>
                <w:lang w:val="pl-PL"/>
              </w:rPr>
            </w:pPr>
            <w:r w:rsidRPr="0015541C">
              <w:rPr>
                <w:szCs w:val="22"/>
                <w:lang w:val="pl-PL"/>
              </w:rPr>
              <w:t>Zgłaszano przypadki wad rozwojowych płodu u kobiet leczonych bewacyzumabem w monoterapii lub w połączeniu z chemioterapeutykami o znanym embriotoksycznym działaniu (patrz punkt 4.6).</w:t>
            </w:r>
          </w:p>
        </w:tc>
      </w:tr>
    </w:tbl>
    <w:p w14:paraId="0CF8DB8D" w14:textId="77777777" w:rsidR="00994050" w:rsidRPr="0015541C" w:rsidRDefault="00994050" w:rsidP="00831E76">
      <w:pPr>
        <w:rPr>
          <w:sz w:val="20"/>
          <w:lang w:val="pl-PL"/>
        </w:rPr>
      </w:pPr>
      <w:r w:rsidRPr="0015541C">
        <w:rPr>
          <w:sz w:val="20"/>
          <w:lang w:val="pl-PL"/>
        </w:rPr>
        <w:lastRenderedPageBreak/>
        <w:t>* tam gdzie zostały podane, dane dotyczące częstości pochodzą z badań klinicznych</w:t>
      </w:r>
    </w:p>
    <w:p w14:paraId="420B6D37" w14:textId="77777777" w:rsidR="006E67E0" w:rsidRPr="00260CEC" w:rsidRDefault="006E67E0" w:rsidP="00831E76">
      <w:pPr>
        <w:rPr>
          <w:sz w:val="20"/>
          <w:lang w:val="pl-PL"/>
        </w:rPr>
      </w:pPr>
    </w:p>
    <w:p w14:paraId="4B69AB46" w14:textId="77777777" w:rsidR="006E67E0" w:rsidRPr="0015541C" w:rsidRDefault="006E67E0" w:rsidP="00831E76">
      <w:pPr>
        <w:rPr>
          <w:szCs w:val="22"/>
          <w:u w:val="single"/>
          <w:lang w:val="pl-PL"/>
        </w:rPr>
      </w:pPr>
      <w:r w:rsidRPr="0015541C">
        <w:rPr>
          <w:szCs w:val="22"/>
          <w:u w:val="single"/>
          <w:lang w:val="pl-PL"/>
        </w:rPr>
        <w:t>Zgłaszanie podejrzewanych działań niepożądanych</w:t>
      </w:r>
    </w:p>
    <w:p w14:paraId="2FDC8388" w14:textId="77777777" w:rsidR="00994050" w:rsidRPr="0015541C" w:rsidRDefault="006E67E0" w:rsidP="00831E76">
      <w:pPr>
        <w:rPr>
          <w:rStyle w:val="Hyperlink"/>
          <w:color w:val="auto"/>
          <w:lang w:val="pl-PL"/>
        </w:rPr>
      </w:pPr>
      <w:r w:rsidRPr="0015541C">
        <w:rPr>
          <w:szCs w:val="22"/>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15541C">
        <w:rPr>
          <w:szCs w:val="22"/>
          <w:highlight w:val="lightGray"/>
          <w:lang w:val="pl-PL"/>
        </w:rPr>
        <w:t xml:space="preserve">krajowego systemu zgłaszania wymienionego w </w:t>
      </w:r>
      <w:hyperlink r:id="rId12" w:history="1">
        <w:r w:rsidRPr="0015541C">
          <w:rPr>
            <w:rStyle w:val="Hyperlink"/>
            <w:highlight w:val="lightGray"/>
            <w:lang w:val="pl-PL"/>
          </w:rPr>
          <w:t>załączniku V</w:t>
        </w:r>
      </w:hyperlink>
      <w:r w:rsidRPr="0015541C">
        <w:rPr>
          <w:rStyle w:val="Hyperlink"/>
          <w:lang w:val="pl-PL"/>
        </w:rPr>
        <w:t>.</w:t>
      </w:r>
    </w:p>
    <w:p w14:paraId="39AECFD9" w14:textId="77777777" w:rsidR="006C0B1A" w:rsidRPr="00260CEC" w:rsidRDefault="006C0B1A" w:rsidP="00831E76">
      <w:pPr>
        <w:rPr>
          <w:lang w:val="pl-PL"/>
        </w:rPr>
      </w:pPr>
    </w:p>
    <w:p w14:paraId="026890B3" w14:textId="77777777" w:rsidR="00994050" w:rsidRPr="0015541C" w:rsidRDefault="00994050" w:rsidP="00831E76">
      <w:pPr>
        <w:keepNext/>
        <w:ind w:left="567" w:hanging="567"/>
        <w:rPr>
          <w:b/>
          <w:lang w:val="pl-PL"/>
        </w:rPr>
      </w:pPr>
      <w:r w:rsidRPr="0015541C">
        <w:rPr>
          <w:b/>
          <w:lang w:val="pl-PL"/>
        </w:rPr>
        <w:t>4.9</w:t>
      </w:r>
      <w:r w:rsidRPr="0015541C">
        <w:rPr>
          <w:b/>
          <w:lang w:val="pl-PL"/>
        </w:rPr>
        <w:tab/>
        <w:t>Przedawkowanie</w:t>
      </w:r>
    </w:p>
    <w:p w14:paraId="0083E6D7" w14:textId="77777777" w:rsidR="00994050" w:rsidRPr="0015541C" w:rsidRDefault="00994050" w:rsidP="00831E76">
      <w:pPr>
        <w:keepNext/>
        <w:rPr>
          <w:lang w:val="pl-PL"/>
        </w:rPr>
      </w:pPr>
    </w:p>
    <w:p w14:paraId="5F3B8858" w14:textId="77777777" w:rsidR="00994050" w:rsidRPr="0015541C" w:rsidRDefault="00994050" w:rsidP="00831E76">
      <w:pPr>
        <w:keepNext/>
        <w:rPr>
          <w:lang w:val="pl-PL"/>
        </w:rPr>
      </w:pPr>
      <w:r w:rsidRPr="0015541C">
        <w:rPr>
          <w:lang w:val="pl-PL"/>
        </w:rPr>
        <w:t>Największe dawki podawane ludziom (20 mg/kg mc., dożylnie, co 2 tygodnie) powodowały u niektórych pacjentów ciężką migrenę.</w:t>
      </w:r>
    </w:p>
    <w:p w14:paraId="09EA7853" w14:textId="77777777" w:rsidR="00994050" w:rsidRPr="0015541C" w:rsidRDefault="00994050" w:rsidP="00994050">
      <w:pPr>
        <w:rPr>
          <w:lang w:val="pl-PL"/>
        </w:rPr>
      </w:pPr>
    </w:p>
    <w:p w14:paraId="0316BF27" w14:textId="77777777" w:rsidR="00994050" w:rsidRPr="0015541C" w:rsidRDefault="00994050" w:rsidP="00994050">
      <w:pPr>
        <w:rPr>
          <w:lang w:val="pl-PL"/>
        </w:rPr>
      </w:pPr>
    </w:p>
    <w:p w14:paraId="1AAFFB16" w14:textId="77777777" w:rsidR="00994050" w:rsidRPr="0015541C" w:rsidRDefault="00994050" w:rsidP="002C0295">
      <w:pPr>
        <w:keepNext/>
        <w:keepLines/>
        <w:ind w:left="567" w:hanging="567"/>
        <w:rPr>
          <w:b/>
          <w:lang w:val="pl-PL"/>
        </w:rPr>
      </w:pPr>
      <w:r w:rsidRPr="0015541C">
        <w:rPr>
          <w:b/>
          <w:lang w:val="pl-PL"/>
        </w:rPr>
        <w:t>5.</w:t>
      </w:r>
      <w:r w:rsidRPr="0015541C">
        <w:rPr>
          <w:b/>
          <w:lang w:val="pl-PL"/>
        </w:rPr>
        <w:tab/>
        <w:t>WŁAŚCIWOŚCI FARMAKOLOGICZNE</w:t>
      </w:r>
    </w:p>
    <w:p w14:paraId="6C402C25" w14:textId="77777777" w:rsidR="00994050" w:rsidRPr="0015541C" w:rsidRDefault="00994050" w:rsidP="002C0295">
      <w:pPr>
        <w:keepNext/>
        <w:keepLines/>
        <w:rPr>
          <w:lang w:val="pl-PL"/>
        </w:rPr>
      </w:pPr>
    </w:p>
    <w:p w14:paraId="74EA7E46" w14:textId="77777777" w:rsidR="00994050" w:rsidRPr="0015541C" w:rsidRDefault="00994050" w:rsidP="002C0295">
      <w:pPr>
        <w:keepNext/>
        <w:keepLines/>
        <w:ind w:left="540" w:hanging="540"/>
        <w:rPr>
          <w:b/>
          <w:lang w:val="pl-PL"/>
        </w:rPr>
      </w:pPr>
      <w:r w:rsidRPr="0015541C">
        <w:rPr>
          <w:b/>
          <w:lang w:val="pl-PL"/>
        </w:rPr>
        <w:t>5.1</w:t>
      </w:r>
      <w:r w:rsidRPr="0015541C">
        <w:rPr>
          <w:b/>
          <w:lang w:val="pl-PL"/>
        </w:rPr>
        <w:tab/>
        <w:t>Właściwości farmakodynamiczne</w:t>
      </w:r>
    </w:p>
    <w:p w14:paraId="62FB46ED" w14:textId="77777777" w:rsidR="00994050" w:rsidRPr="0015541C" w:rsidRDefault="00994050" w:rsidP="002C0295">
      <w:pPr>
        <w:keepNext/>
        <w:keepLines/>
        <w:rPr>
          <w:lang w:val="pl-PL"/>
        </w:rPr>
      </w:pPr>
    </w:p>
    <w:p w14:paraId="5CDCE9E8" w14:textId="0F65D3B4" w:rsidR="00994050" w:rsidRPr="0015541C" w:rsidRDefault="00994050" w:rsidP="002C0295">
      <w:pPr>
        <w:keepNext/>
        <w:keepLines/>
        <w:rPr>
          <w:lang w:val="pl-PL"/>
        </w:rPr>
      </w:pPr>
      <w:r w:rsidRPr="0015541C">
        <w:rPr>
          <w:lang w:val="pl-PL"/>
        </w:rPr>
        <w:t>Grupa farmakoterapeutyczna:</w:t>
      </w:r>
      <w:r w:rsidR="00D74975" w:rsidRPr="0015541C">
        <w:rPr>
          <w:lang w:val="pl-PL"/>
        </w:rPr>
        <w:t xml:space="preserve"> </w:t>
      </w:r>
      <w:r w:rsidR="004C6E08" w:rsidRPr="0015541C">
        <w:rPr>
          <w:lang w:val="pl-PL"/>
        </w:rPr>
        <w:t xml:space="preserve">leki przeciwnowotworowe i immunomodulujące, cytostatyki, przeciwciała </w:t>
      </w:r>
      <w:r w:rsidRPr="0015541C">
        <w:rPr>
          <w:lang w:val="pl-PL"/>
        </w:rPr>
        <w:t>monoklonalne</w:t>
      </w:r>
      <w:r w:rsidR="006C6C37">
        <w:rPr>
          <w:lang w:val="pl-PL"/>
        </w:rPr>
        <w:t xml:space="preserve"> </w:t>
      </w:r>
      <w:r w:rsidR="006C6C37" w:rsidRPr="00A679FD">
        <w:rPr>
          <w:lang w:val="pl-PL"/>
        </w:rPr>
        <w:t>oraz przeciwciała skoniugowane z cytostatykami</w:t>
      </w:r>
      <w:r w:rsidRPr="0015541C">
        <w:rPr>
          <w:lang w:val="pl-PL"/>
        </w:rPr>
        <w:t>, kod ATC: </w:t>
      </w:r>
      <w:r w:rsidR="00BD4523" w:rsidRPr="00BD4523">
        <w:rPr>
          <w:lang w:val="pl-PL"/>
        </w:rPr>
        <w:t>L01F</w:t>
      </w:r>
      <w:r w:rsidR="000C6576">
        <w:rPr>
          <w:lang w:val="pl-PL"/>
        </w:rPr>
        <w:t xml:space="preserve"> </w:t>
      </w:r>
      <w:r w:rsidR="00BD4523" w:rsidRPr="00BD4523">
        <w:rPr>
          <w:lang w:val="pl-PL"/>
        </w:rPr>
        <w:t>G01</w:t>
      </w:r>
    </w:p>
    <w:p w14:paraId="22065422" w14:textId="77777777" w:rsidR="00681339" w:rsidRPr="0015541C" w:rsidRDefault="00681339" w:rsidP="00D16D61">
      <w:pPr>
        <w:keepNext/>
        <w:keepLines/>
        <w:rPr>
          <w:lang w:val="pl-PL"/>
        </w:rPr>
      </w:pPr>
    </w:p>
    <w:p w14:paraId="67D65093" w14:textId="77777777" w:rsidR="00681339" w:rsidRPr="0015541C" w:rsidRDefault="00681339" w:rsidP="003C6FA3">
      <w:pPr>
        <w:rPr>
          <w:lang w:val="pl-PL"/>
        </w:rPr>
      </w:pPr>
      <w:r w:rsidRPr="0015541C">
        <w:rPr>
          <w:lang w:val="pl-PL"/>
        </w:rPr>
        <w:t xml:space="preserve">Aybintio jest produktem leczniczym biopodobnym. Szczegółowe informacje są dostępne na stronie internetowej Europejskiej Agencji Leków </w:t>
      </w:r>
      <w:hyperlink r:id="rId13" w:history="1">
        <w:r w:rsidRPr="0015541C">
          <w:rPr>
            <w:rStyle w:val="Hyperlink"/>
            <w:lang w:val="pl-PL"/>
          </w:rPr>
          <w:t>http://www.ema.europa.eu</w:t>
        </w:r>
      </w:hyperlink>
      <w:r w:rsidRPr="0015541C">
        <w:rPr>
          <w:lang w:val="pl-PL"/>
        </w:rPr>
        <w:t>.</w:t>
      </w:r>
    </w:p>
    <w:p w14:paraId="23DE0865" w14:textId="77777777" w:rsidR="00994050" w:rsidRPr="00260CEC" w:rsidRDefault="00994050" w:rsidP="00994050">
      <w:pPr>
        <w:rPr>
          <w:lang w:val="pl-PL"/>
        </w:rPr>
      </w:pPr>
    </w:p>
    <w:p w14:paraId="17F4E13D" w14:textId="77777777" w:rsidR="00994050" w:rsidRPr="0015541C" w:rsidRDefault="00994050" w:rsidP="00994050">
      <w:pPr>
        <w:rPr>
          <w:iCs/>
          <w:u w:val="single"/>
          <w:lang w:val="pl-PL"/>
        </w:rPr>
      </w:pPr>
      <w:r w:rsidRPr="0015541C">
        <w:rPr>
          <w:iCs/>
          <w:u w:val="single"/>
          <w:lang w:val="pl-PL"/>
        </w:rPr>
        <w:t>Mechanizm działania</w:t>
      </w:r>
    </w:p>
    <w:p w14:paraId="28718CC5" w14:textId="77777777" w:rsidR="00994050" w:rsidRPr="0015541C" w:rsidRDefault="00994050" w:rsidP="00994050">
      <w:pPr>
        <w:rPr>
          <w:lang w:val="pl-PL"/>
        </w:rPr>
      </w:pPr>
      <w:r w:rsidRPr="0015541C">
        <w:rPr>
          <w:lang w:val="pl-PL"/>
        </w:rPr>
        <w:t xml:space="preserve">Bewacyzumab wiąże się z czynnikiem wzrostu </w:t>
      </w:r>
      <w:r w:rsidR="00E15393" w:rsidRPr="0015541C">
        <w:rPr>
          <w:lang w:val="pl-PL"/>
        </w:rPr>
        <w:t xml:space="preserve">śródbłonka </w:t>
      </w:r>
      <w:r w:rsidRPr="0015541C">
        <w:rPr>
          <w:lang w:val="pl-PL"/>
        </w:rPr>
        <w:t>naczyń (VEGF), kluczowym mediatorem waskulogenezy i angiogenezy, hamując wiązanie VEGF z receptorami Flt-1 (VEGFR-1) i KDR (VEGFR-2) na powierzchni komórek śródbłonka. Neutralizacja biologicznej aktywności VEGF cofa nowopowstałe unaczynienie guza, normalizuje pozostające unaczynienie guza oraz zatrzymuje powstawanie nowych naczyń w guzie, przez co hamuje wzrost guza.</w:t>
      </w:r>
    </w:p>
    <w:p w14:paraId="27323078" w14:textId="77777777" w:rsidR="00994050" w:rsidRPr="0015541C" w:rsidRDefault="00994050" w:rsidP="00994050">
      <w:pPr>
        <w:rPr>
          <w:lang w:val="pl-PL"/>
        </w:rPr>
      </w:pPr>
    </w:p>
    <w:p w14:paraId="4B7A2956" w14:textId="77777777" w:rsidR="00994050" w:rsidRPr="0015541C" w:rsidRDefault="00994050" w:rsidP="0031640C">
      <w:pPr>
        <w:keepNext/>
        <w:rPr>
          <w:iCs/>
          <w:u w:val="single"/>
          <w:lang w:val="pl-PL"/>
        </w:rPr>
      </w:pPr>
      <w:r w:rsidRPr="0015541C">
        <w:rPr>
          <w:iCs/>
          <w:u w:val="single"/>
          <w:lang w:val="pl-PL"/>
        </w:rPr>
        <w:t>Działanie farmakodynamiczne</w:t>
      </w:r>
    </w:p>
    <w:p w14:paraId="2890957F" w14:textId="77777777" w:rsidR="00994050" w:rsidRPr="0015541C" w:rsidRDefault="00994050" w:rsidP="0031640C">
      <w:pPr>
        <w:keepNext/>
        <w:rPr>
          <w:lang w:val="pl-PL"/>
        </w:rPr>
      </w:pPr>
      <w:r w:rsidRPr="0015541C">
        <w:rPr>
          <w:lang w:val="pl-PL"/>
        </w:rPr>
        <w:t>Podanie bewacyzumabu lub macierzystego przeciwciała mysiego w modelach doświadczalnych nowotworów po przeszczepieniach obcogatunkowych u nagich myszy prowadziło do aktywności przeciwnowotworowej o szerokim zakresie w stosunku do ludzkich nowotworów, w tym raka okrężnicy, piersi, trzustki i gruczołu krokowego. Występowało hamowanie progresji zmian przerzutowych i zmniejszenie przepuszczalności naczyń mikrokrążenia.</w:t>
      </w:r>
    </w:p>
    <w:p w14:paraId="4DC3E707" w14:textId="77777777" w:rsidR="00994050" w:rsidRPr="0015541C" w:rsidRDefault="00994050" w:rsidP="00994050">
      <w:pPr>
        <w:rPr>
          <w:lang w:val="pl-PL"/>
        </w:rPr>
      </w:pPr>
    </w:p>
    <w:p w14:paraId="6F82D2BA" w14:textId="77777777" w:rsidR="00994050" w:rsidRPr="0015541C" w:rsidRDefault="00994050" w:rsidP="00BE1B58">
      <w:pPr>
        <w:keepNext/>
        <w:rPr>
          <w:iCs/>
          <w:u w:val="single"/>
          <w:lang w:val="pl-PL"/>
        </w:rPr>
      </w:pPr>
      <w:r w:rsidRPr="0015541C">
        <w:rPr>
          <w:iCs/>
          <w:u w:val="single"/>
          <w:lang w:val="pl-PL"/>
        </w:rPr>
        <w:t>Skuteczność kliniczna</w:t>
      </w:r>
      <w:r w:rsidR="00D349E6" w:rsidRPr="0015541C">
        <w:rPr>
          <w:u w:val="single"/>
          <w:lang w:val="pl-PL"/>
        </w:rPr>
        <w:t xml:space="preserve"> i bezpieczeństwo stosowania</w:t>
      </w:r>
    </w:p>
    <w:p w14:paraId="08DB2BF3" w14:textId="77777777" w:rsidR="00994050" w:rsidRPr="0015541C" w:rsidRDefault="00994050" w:rsidP="00BE1B58">
      <w:pPr>
        <w:keepNext/>
        <w:rPr>
          <w:i/>
          <w:iCs/>
          <w:lang w:val="pl-PL"/>
        </w:rPr>
      </w:pPr>
    </w:p>
    <w:p w14:paraId="5B31BEDA" w14:textId="77777777" w:rsidR="00994050" w:rsidRPr="0015541C" w:rsidRDefault="00994050" w:rsidP="00BE1B58">
      <w:pPr>
        <w:keepNext/>
        <w:rPr>
          <w:i/>
          <w:u w:val="single"/>
          <w:lang w:val="pl-PL"/>
        </w:rPr>
      </w:pPr>
      <w:r w:rsidRPr="0015541C">
        <w:rPr>
          <w:i/>
          <w:u w:val="single"/>
          <w:lang w:val="pl-PL"/>
        </w:rPr>
        <w:t>Rak okrężnicy lub odbytnicy z przerzutami (mCRC)</w:t>
      </w:r>
    </w:p>
    <w:p w14:paraId="1E73862B" w14:textId="77777777" w:rsidR="00994050" w:rsidRPr="0015541C" w:rsidRDefault="00994050" w:rsidP="00BE1B58">
      <w:pPr>
        <w:keepNext/>
        <w:rPr>
          <w:lang w:val="pl-PL"/>
        </w:rPr>
      </w:pPr>
    </w:p>
    <w:p w14:paraId="50EED259" w14:textId="77777777" w:rsidR="00994050" w:rsidRPr="0015541C" w:rsidRDefault="00994050" w:rsidP="00BE1B58">
      <w:pPr>
        <w:keepNext/>
        <w:rPr>
          <w:lang w:val="pl-PL"/>
        </w:rPr>
      </w:pPr>
      <w:r w:rsidRPr="0015541C">
        <w:rPr>
          <w:lang w:val="pl-PL"/>
        </w:rPr>
        <w:t xml:space="preserve">Bezpieczeństwo i skuteczność zalecanej dawki (5 mg/kg masy ciała, co dwa tygodnie) w raku okrężnicy lub odbytnicy z przerzutami było badane w trzech randomizowanych badaniach klinicznych z aktywną kontrolą, w skojarzeniu z chemioterapią pierwszego rzutu opartą na pochodnych fluoropirymidyny. </w:t>
      </w:r>
      <w:r w:rsidR="002E6D7D" w:rsidRPr="0015541C">
        <w:rPr>
          <w:lang w:val="pl-PL"/>
        </w:rPr>
        <w:t>Bewacyzumab</w:t>
      </w:r>
      <w:r w:rsidRPr="0015541C">
        <w:rPr>
          <w:lang w:val="pl-PL"/>
        </w:rPr>
        <w:t xml:space="preserve"> był skojarzony z dwoma schematami leczenia:</w:t>
      </w:r>
    </w:p>
    <w:p w14:paraId="7508790B" w14:textId="77777777" w:rsidR="00994050" w:rsidRPr="0015541C" w:rsidRDefault="00994050" w:rsidP="00994050">
      <w:pPr>
        <w:rPr>
          <w:lang w:val="pl-PL"/>
        </w:rPr>
      </w:pPr>
    </w:p>
    <w:p w14:paraId="61189D98" w14:textId="4097D1C6" w:rsidR="00994050" w:rsidRPr="0015541C" w:rsidRDefault="00994050" w:rsidP="00994050">
      <w:pPr>
        <w:ind w:left="540" w:hanging="540"/>
        <w:rPr>
          <w:lang w:val="pl-PL"/>
        </w:rPr>
      </w:pPr>
      <w:r w:rsidRPr="0015541C">
        <w:rPr>
          <w:rFonts w:hint="eastAsia"/>
          <w:bCs/>
          <w:sz w:val="18"/>
          <w:szCs w:val="18"/>
          <w:lang w:val="pl-PL"/>
        </w:rPr>
        <w:t>●</w:t>
      </w:r>
      <w:r w:rsidRPr="0015541C">
        <w:rPr>
          <w:bCs/>
          <w:sz w:val="18"/>
          <w:szCs w:val="18"/>
          <w:lang w:val="pl-PL"/>
        </w:rPr>
        <w:tab/>
      </w:r>
      <w:r w:rsidRPr="0015541C">
        <w:rPr>
          <w:bCs/>
          <w:lang w:val="pl-PL"/>
        </w:rPr>
        <w:t>AVF2107g</w:t>
      </w:r>
      <w:r w:rsidRPr="0015541C">
        <w:rPr>
          <w:lang w:val="pl-PL"/>
        </w:rPr>
        <w:t>: schemat dawkowania raz w tygodniu o składzie: irynotekan/5</w:t>
      </w:r>
      <w:r w:rsidR="004F4A41" w:rsidRPr="0015541C">
        <w:rPr>
          <w:lang w:val="pl-PL"/>
        </w:rPr>
        <w:noBreakHyphen/>
      </w:r>
      <w:r w:rsidRPr="0015541C">
        <w:rPr>
          <w:lang w:val="pl-PL"/>
        </w:rPr>
        <w:t>fluorouracyl (bolus)/kwas folinowy (IFL) ogółem przez 4 tygodnie w każdym cyklu 6-tygodniowym (Saltz).</w:t>
      </w:r>
    </w:p>
    <w:p w14:paraId="0862C124" w14:textId="02CCB8E9" w:rsidR="00994050" w:rsidRPr="0015541C" w:rsidRDefault="00994050" w:rsidP="00994050">
      <w:pPr>
        <w:ind w:left="540" w:hanging="540"/>
        <w:rPr>
          <w:lang w:val="pl-PL"/>
        </w:rPr>
      </w:pPr>
      <w:r w:rsidRPr="0015541C">
        <w:rPr>
          <w:rFonts w:hint="eastAsia"/>
          <w:bCs/>
          <w:sz w:val="18"/>
          <w:szCs w:val="18"/>
          <w:lang w:val="pl-PL"/>
        </w:rPr>
        <w:t>●</w:t>
      </w:r>
      <w:r w:rsidRPr="0015541C">
        <w:rPr>
          <w:bCs/>
          <w:sz w:val="18"/>
          <w:szCs w:val="18"/>
          <w:lang w:val="pl-PL"/>
        </w:rPr>
        <w:tab/>
      </w:r>
      <w:r w:rsidRPr="0015541C">
        <w:rPr>
          <w:bCs/>
          <w:lang w:val="pl-PL"/>
        </w:rPr>
        <w:t>AVF0780g</w:t>
      </w:r>
      <w:r w:rsidRPr="0015541C">
        <w:rPr>
          <w:lang w:val="pl-PL"/>
        </w:rPr>
        <w:t>: w skojarzeniu z 5</w:t>
      </w:r>
      <w:r w:rsidR="004F4A41" w:rsidRPr="0015541C">
        <w:rPr>
          <w:lang w:val="pl-PL"/>
        </w:rPr>
        <w:noBreakHyphen/>
      </w:r>
      <w:r w:rsidRPr="0015541C">
        <w:rPr>
          <w:lang w:val="pl-PL"/>
        </w:rPr>
        <w:t>fluorouracylem/kwasem folinowym (5</w:t>
      </w:r>
      <w:r w:rsidR="004F4A41" w:rsidRPr="0015541C">
        <w:rPr>
          <w:lang w:val="pl-PL"/>
        </w:rPr>
        <w:noBreakHyphen/>
      </w:r>
      <w:r w:rsidRPr="0015541C">
        <w:rPr>
          <w:lang w:val="pl-PL"/>
        </w:rPr>
        <w:t>FU/FA) w postaci bolusu ogółem przez 6 tygodni w każdym cyklu 8-tygodniowym (Roswell Park).</w:t>
      </w:r>
    </w:p>
    <w:p w14:paraId="4F982B4A" w14:textId="02DE6890" w:rsidR="00994050" w:rsidRPr="0015541C" w:rsidRDefault="00994050" w:rsidP="00994050">
      <w:pPr>
        <w:ind w:left="540" w:hanging="540"/>
        <w:rPr>
          <w:lang w:val="pl-PL"/>
        </w:rPr>
      </w:pPr>
      <w:r w:rsidRPr="0015541C">
        <w:rPr>
          <w:rFonts w:hint="eastAsia"/>
          <w:bCs/>
          <w:sz w:val="18"/>
          <w:szCs w:val="18"/>
          <w:lang w:val="pl-PL"/>
        </w:rPr>
        <w:t>●</w:t>
      </w:r>
      <w:r w:rsidRPr="0015541C">
        <w:rPr>
          <w:bCs/>
          <w:sz w:val="18"/>
          <w:szCs w:val="18"/>
          <w:lang w:val="pl-PL"/>
        </w:rPr>
        <w:tab/>
      </w:r>
      <w:r w:rsidRPr="0015541C">
        <w:rPr>
          <w:bCs/>
          <w:lang w:val="pl-PL"/>
        </w:rPr>
        <w:t>AVF2192g</w:t>
      </w:r>
      <w:r w:rsidRPr="0015541C">
        <w:rPr>
          <w:lang w:val="pl-PL"/>
        </w:rPr>
        <w:t>: w skojarzeniu z bolusem 5</w:t>
      </w:r>
      <w:r w:rsidR="004F4A41" w:rsidRPr="0015541C">
        <w:rPr>
          <w:lang w:val="pl-PL"/>
        </w:rPr>
        <w:noBreakHyphen/>
      </w:r>
      <w:r w:rsidRPr="0015541C">
        <w:rPr>
          <w:lang w:val="pl-PL"/>
        </w:rPr>
        <w:t>FU/FA ogółem przez 6 tygodni w każdym cyklu 8</w:t>
      </w:r>
      <w:r w:rsidRPr="0015541C">
        <w:rPr>
          <w:lang w:val="pl-PL"/>
        </w:rPr>
        <w:noBreakHyphen/>
        <w:t>tygodniowym (Roswell Park) u pacjentów, którzy nie byli optymalnymi kandydatami do chemioterapii pierwszego rzutu z zastosowaniem irynotekanu.</w:t>
      </w:r>
    </w:p>
    <w:p w14:paraId="1BC18BFA" w14:textId="77777777" w:rsidR="00994050" w:rsidRPr="0015541C" w:rsidRDefault="00994050" w:rsidP="00994050">
      <w:pPr>
        <w:rPr>
          <w:lang w:val="pl-PL"/>
        </w:rPr>
      </w:pPr>
    </w:p>
    <w:p w14:paraId="6B23C458" w14:textId="180C6701" w:rsidR="00A81B12" w:rsidRPr="0015541C" w:rsidRDefault="00A81B12" w:rsidP="006C0B1A">
      <w:pPr>
        <w:keepNext/>
        <w:keepLines/>
        <w:rPr>
          <w:lang w:val="pl-PL"/>
        </w:rPr>
      </w:pPr>
      <w:r w:rsidRPr="0015541C">
        <w:rPr>
          <w:lang w:val="pl-PL"/>
        </w:rPr>
        <w:lastRenderedPageBreak/>
        <w:t>Przeprowadzono trzy dodatkowe badania dotyczące stosowania bewacyzumabu u pacjentów z rakiem okrężnicy lub odbytnicy z przerzutami: w leczeniu pierwszego rzutu (NO16966), drugiego rzutu bez uprzedniego leczenia bewacyzumabem (E3200) i drugiego rzutu, po uprzednim leczeniu bewacyzumabem, po wystąpieniu progresji w pierwszym rzucie (ML18147). W tych badaniach bewacyzumab podawano w następujących schematach w skojarzeniu z chemioterapią FOLFOX-4 (5</w:t>
      </w:r>
      <w:r w:rsidR="004F4A41" w:rsidRPr="0015541C">
        <w:rPr>
          <w:lang w:val="pl-PL"/>
        </w:rPr>
        <w:noBreakHyphen/>
      </w:r>
      <w:r w:rsidRPr="0015541C">
        <w:rPr>
          <w:lang w:val="pl-PL"/>
        </w:rPr>
        <w:t xml:space="preserve">fluorouracyl/leukoworyna/oksaliplatyna) i XELOX (kapecytabina/oksaliplatyna) oraz </w:t>
      </w:r>
      <w:r w:rsidRPr="0015541C">
        <w:rPr>
          <w:lang w:val="pl-PL" w:eastAsia="de-CH"/>
        </w:rPr>
        <w:t>fluoropirymidyną</w:t>
      </w:r>
      <w:r w:rsidRPr="0015541C">
        <w:rPr>
          <w:lang w:val="pl-PL"/>
        </w:rPr>
        <w:t xml:space="preserve">/irynotekanem i </w:t>
      </w:r>
      <w:r w:rsidRPr="0015541C">
        <w:rPr>
          <w:lang w:val="pl-PL" w:eastAsia="de-CH"/>
        </w:rPr>
        <w:t>fluoropirymidyną</w:t>
      </w:r>
      <w:r w:rsidRPr="0015541C">
        <w:rPr>
          <w:lang w:val="pl-PL"/>
        </w:rPr>
        <w:t>/oksaliplatyną:</w:t>
      </w:r>
    </w:p>
    <w:p w14:paraId="56304B98" w14:textId="77777777" w:rsidR="00A81B12" w:rsidRPr="0015541C" w:rsidRDefault="00A81B12" w:rsidP="006C0B1A">
      <w:pPr>
        <w:keepNext/>
        <w:keepLines/>
        <w:rPr>
          <w:lang w:val="pl-PL"/>
        </w:rPr>
      </w:pPr>
    </w:p>
    <w:p w14:paraId="15D0E827" w14:textId="3CACFD0F" w:rsidR="00A81B12" w:rsidRPr="0015541C" w:rsidRDefault="00A81B12" w:rsidP="00A81B12">
      <w:pPr>
        <w:keepNext/>
        <w:keepLines/>
        <w:ind w:left="547" w:hanging="547"/>
        <w:rPr>
          <w:lang w:val="pl-PL"/>
        </w:rPr>
      </w:pPr>
      <w:r w:rsidRPr="0015541C">
        <w:rPr>
          <w:rFonts w:hint="eastAsia"/>
          <w:b/>
          <w:bCs/>
          <w:sz w:val="18"/>
          <w:szCs w:val="18"/>
          <w:lang w:val="pl-PL"/>
        </w:rPr>
        <w:t>●</w:t>
      </w:r>
      <w:r w:rsidRPr="0015541C">
        <w:rPr>
          <w:lang w:val="pl-PL"/>
        </w:rPr>
        <w:tab/>
        <w:t xml:space="preserve">NO16966: </w:t>
      </w:r>
      <w:r w:rsidR="005825C8" w:rsidRPr="0015541C">
        <w:rPr>
          <w:lang w:val="pl-PL"/>
        </w:rPr>
        <w:t>bewacyzumab</w:t>
      </w:r>
      <w:r w:rsidRPr="0015541C">
        <w:rPr>
          <w:lang w:val="pl-PL"/>
        </w:rPr>
        <w:t xml:space="preserve"> 7,5 mg/kg mc. co 3 tygodnie w skojarzeniu z kapecytabiną podawaną doustnie i oksaliplatyną podawaną dożylnie (XELOX) lub </w:t>
      </w:r>
      <w:r w:rsidR="005825C8" w:rsidRPr="0015541C">
        <w:rPr>
          <w:lang w:val="pl-PL"/>
        </w:rPr>
        <w:t>bewacyzumab</w:t>
      </w:r>
      <w:r w:rsidRPr="0015541C">
        <w:rPr>
          <w:lang w:val="pl-PL"/>
        </w:rPr>
        <w:t xml:space="preserve"> 5 mg/kg </w:t>
      </w:r>
      <w:r w:rsidR="006C1132" w:rsidRPr="0015541C">
        <w:rPr>
          <w:lang w:val="pl-PL"/>
        </w:rPr>
        <w:t xml:space="preserve">mc, </w:t>
      </w:r>
      <w:r w:rsidRPr="0015541C">
        <w:rPr>
          <w:lang w:val="pl-PL"/>
        </w:rPr>
        <w:t>co 2 tygodnie w skojarzeniu z leukoworyną i 5</w:t>
      </w:r>
      <w:r w:rsidR="004F4A41" w:rsidRPr="0015541C">
        <w:rPr>
          <w:lang w:val="pl-PL"/>
        </w:rPr>
        <w:noBreakHyphen/>
      </w:r>
      <w:r w:rsidRPr="0015541C">
        <w:rPr>
          <w:lang w:val="pl-PL"/>
        </w:rPr>
        <w:t>fluorouracylem w bolusie, następnie 5</w:t>
      </w:r>
      <w:r w:rsidR="004F4A41" w:rsidRPr="0015541C">
        <w:rPr>
          <w:lang w:val="pl-PL"/>
        </w:rPr>
        <w:noBreakHyphen/>
      </w:r>
      <w:r w:rsidRPr="0015541C">
        <w:rPr>
          <w:lang w:val="pl-PL"/>
        </w:rPr>
        <w:t>fluorouracylem we wlewie i oksaliplatyną podawaną dożylnie (FOLFOX-4).</w:t>
      </w:r>
    </w:p>
    <w:p w14:paraId="0A66E328" w14:textId="77777777" w:rsidR="00A81B12" w:rsidRPr="0015541C" w:rsidRDefault="00A81B12" w:rsidP="00A81B12">
      <w:pPr>
        <w:ind w:left="540" w:hanging="540"/>
        <w:rPr>
          <w:lang w:val="pl-PL"/>
        </w:rPr>
      </w:pPr>
    </w:p>
    <w:p w14:paraId="282537D8" w14:textId="1DEBDB95" w:rsidR="00A81B12" w:rsidRPr="0015541C" w:rsidRDefault="00A81B12" w:rsidP="00A81B12">
      <w:pPr>
        <w:ind w:left="540" w:hanging="540"/>
        <w:rPr>
          <w:lang w:val="pl-PL"/>
        </w:rPr>
      </w:pPr>
      <w:r w:rsidRPr="0015541C">
        <w:rPr>
          <w:rFonts w:hint="eastAsia"/>
          <w:b/>
          <w:bCs/>
          <w:sz w:val="18"/>
          <w:szCs w:val="18"/>
          <w:lang w:val="pl-PL"/>
        </w:rPr>
        <w:t>●</w:t>
      </w:r>
      <w:r w:rsidRPr="0015541C">
        <w:rPr>
          <w:lang w:val="pl-PL"/>
        </w:rPr>
        <w:tab/>
        <w:t xml:space="preserve">E3200: </w:t>
      </w:r>
      <w:r w:rsidR="005825C8" w:rsidRPr="0015541C">
        <w:rPr>
          <w:lang w:val="pl-PL"/>
        </w:rPr>
        <w:t>bewacyzumab</w:t>
      </w:r>
      <w:r w:rsidRPr="0015541C">
        <w:rPr>
          <w:lang w:val="pl-PL"/>
        </w:rPr>
        <w:t xml:space="preserve"> 10 mg/kg mc. co 2 tygodnie w skojarzeniu leukoworyną i 5</w:t>
      </w:r>
      <w:r w:rsidR="004F4A41" w:rsidRPr="0015541C">
        <w:rPr>
          <w:lang w:val="pl-PL"/>
        </w:rPr>
        <w:noBreakHyphen/>
      </w:r>
      <w:r w:rsidRPr="0015541C">
        <w:rPr>
          <w:lang w:val="pl-PL"/>
        </w:rPr>
        <w:t>fluorouracylem w bolusie, następnie 5</w:t>
      </w:r>
      <w:r w:rsidR="00B722C9" w:rsidRPr="0015541C">
        <w:rPr>
          <w:lang w:val="pl-PL"/>
        </w:rPr>
        <w:noBreakHyphen/>
      </w:r>
      <w:r w:rsidRPr="0015541C">
        <w:rPr>
          <w:lang w:val="pl-PL"/>
        </w:rPr>
        <w:t>fluorouracylem we wlewie i oksaliplatyną dożylnie (FOLFOX-4) u pacjentów, którzy nie byli wcześniej leczeni bewacyzumabem.</w:t>
      </w:r>
    </w:p>
    <w:p w14:paraId="36DC29CB" w14:textId="77777777" w:rsidR="00A81B12" w:rsidRPr="0015541C" w:rsidRDefault="00A81B12" w:rsidP="00A81B12">
      <w:pPr>
        <w:rPr>
          <w:lang w:val="pl-PL"/>
        </w:rPr>
      </w:pPr>
    </w:p>
    <w:p w14:paraId="373C1FCC" w14:textId="77777777" w:rsidR="00A81B12" w:rsidRPr="0015541C" w:rsidRDefault="005A46BA" w:rsidP="00C95233">
      <w:pPr>
        <w:keepNext/>
        <w:keepLines/>
        <w:ind w:left="539" w:hanging="539"/>
        <w:rPr>
          <w:lang w:val="pl-PL"/>
        </w:rPr>
      </w:pPr>
      <w:r w:rsidRPr="0015541C">
        <w:rPr>
          <w:rFonts w:hint="eastAsia"/>
          <w:b/>
          <w:bCs/>
          <w:sz w:val="18"/>
          <w:szCs w:val="18"/>
          <w:lang w:val="pl-PL"/>
        </w:rPr>
        <w:t>●</w:t>
      </w:r>
      <w:r w:rsidRPr="0015541C">
        <w:rPr>
          <w:lang w:val="pl-PL"/>
        </w:rPr>
        <w:tab/>
      </w:r>
      <w:r w:rsidR="00A81B12" w:rsidRPr="0015541C">
        <w:rPr>
          <w:bCs/>
          <w:color w:val="000000"/>
          <w:lang w:val="pl-PL"/>
        </w:rPr>
        <w:t>ML18147</w:t>
      </w:r>
      <w:r w:rsidR="00A81B12" w:rsidRPr="0015541C">
        <w:rPr>
          <w:lang w:val="pl-PL"/>
        </w:rPr>
        <w:t xml:space="preserve">: </w:t>
      </w:r>
      <w:r w:rsidR="005825C8" w:rsidRPr="0015541C">
        <w:rPr>
          <w:lang w:val="pl-PL"/>
        </w:rPr>
        <w:t>bewacyzumab</w:t>
      </w:r>
      <w:r w:rsidR="00A81B12" w:rsidRPr="0015541C">
        <w:rPr>
          <w:lang w:val="pl-PL"/>
        </w:rPr>
        <w:t xml:space="preserve"> 5,0 mg/kg mc. co 2 tygodnie lub </w:t>
      </w:r>
      <w:r w:rsidR="005825C8" w:rsidRPr="0015541C">
        <w:rPr>
          <w:lang w:val="pl-PL"/>
        </w:rPr>
        <w:t>bewacyzumab</w:t>
      </w:r>
      <w:r w:rsidR="00A81B12" w:rsidRPr="0015541C">
        <w:rPr>
          <w:lang w:val="pl-PL"/>
        </w:rPr>
        <w:t xml:space="preserve"> 7,5 mg/kg mc. co 3 tygodnie w skojarzeniu z </w:t>
      </w:r>
      <w:r w:rsidR="00A81B12" w:rsidRPr="0015541C">
        <w:rPr>
          <w:lang w:val="pl-PL" w:eastAsia="de-CH"/>
        </w:rPr>
        <w:t>fluoropirymidyną</w:t>
      </w:r>
      <w:r w:rsidR="00A81B12" w:rsidRPr="0015541C">
        <w:rPr>
          <w:lang w:val="pl-PL"/>
        </w:rPr>
        <w:t xml:space="preserve">/irynotekanem lub </w:t>
      </w:r>
      <w:r w:rsidR="00A81B12" w:rsidRPr="0015541C">
        <w:rPr>
          <w:lang w:val="pl-PL" w:eastAsia="de-CH"/>
        </w:rPr>
        <w:t>fluoropirymidyną</w:t>
      </w:r>
      <w:r w:rsidR="00A81B12" w:rsidRPr="0015541C">
        <w:rPr>
          <w:lang w:val="pl-PL"/>
        </w:rPr>
        <w:t>/oksaliplatyną u pacjentów, u których po zastosowaniu bewacyzumabu w leczeniu pierwszego rzutu wystąpiła progresja choroby. Zamiennie stosowano schemat z użyciem irynotekanu lub oksaliplatyny w zależności od tego, który z tych produktów stosowano w pierwszym rzucie.</w:t>
      </w:r>
    </w:p>
    <w:p w14:paraId="189CA0CA" w14:textId="77777777" w:rsidR="00994050" w:rsidRPr="0015541C" w:rsidRDefault="00994050" w:rsidP="00994050">
      <w:pPr>
        <w:rPr>
          <w:lang w:val="pl-PL"/>
        </w:rPr>
      </w:pPr>
    </w:p>
    <w:p w14:paraId="4BD12A64" w14:textId="77777777" w:rsidR="00D74975" w:rsidRPr="0015541C" w:rsidRDefault="00994050" w:rsidP="007E5473">
      <w:pPr>
        <w:keepNext/>
        <w:rPr>
          <w:lang w:val="pl-PL"/>
        </w:rPr>
      </w:pPr>
      <w:r w:rsidRPr="0015541C">
        <w:rPr>
          <w:bCs/>
          <w:i/>
          <w:lang w:val="pl-PL"/>
        </w:rPr>
        <w:t>AVF2107g</w:t>
      </w:r>
    </w:p>
    <w:p w14:paraId="32542355" w14:textId="32155852" w:rsidR="00994050" w:rsidRPr="0015541C" w:rsidRDefault="00994050" w:rsidP="00994050">
      <w:pPr>
        <w:rPr>
          <w:lang w:val="pl-PL"/>
        </w:rPr>
      </w:pPr>
      <w:r w:rsidRPr="0015541C">
        <w:rPr>
          <w:lang w:val="pl-PL"/>
        </w:rPr>
        <w:t xml:space="preserve">Było to randomizowane badanie kliniczne trzeciej fazy, z podwójnie ślepą próbą i aktywną kontrolą, oceniające zastosowanie </w:t>
      </w:r>
      <w:r w:rsidR="00AC1608" w:rsidRPr="0015541C">
        <w:rPr>
          <w:lang w:val="pl-PL"/>
        </w:rPr>
        <w:t>bewacyzumab</w:t>
      </w:r>
      <w:r w:rsidRPr="0015541C">
        <w:rPr>
          <w:lang w:val="pl-PL"/>
        </w:rPr>
        <w:t xml:space="preserve">u w skojarzeniu z IFL jako leczenia pierwszego rzutu w raku okrężnicy lub odbytnicy z przerzutami. 813 pacjentów zostało losowo przydzielonych do grup otrzymujących IFL + placebo (Ramię 1) lub IFL + </w:t>
      </w:r>
      <w:r w:rsidR="00AC1608" w:rsidRPr="0015541C">
        <w:rPr>
          <w:lang w:val="pl-PL"/>
        </w:rPr>
        <w:t>bewacyzumab</w:t>
      </w:r>
      <w:r w:rsidRPr="0015541C">
        <w:rPr>
          <w:lang w:val="pl-PL"/>
        </w:rPr>
        <w:t xml:space="preserve"> (5 </w:t>
      </w:r>
      <w:r w:rsidR="006C1132" w:rsidRPr="0015541C">
        <w:rPr>
          <w:lang w:val="pl-PL"/>
        </w:rPr>
        <w:t>mg/kg mc.</w:t>
      </w:r>
      <w:r w:rsidRPr="0015541C">
        <w:rPr>
          <w:lang w:val="pl-PL"/>
        </w:rPr>
        <w:t>, co dwa tygodnie, Ramię 2). Trzecia grupa licząca 110 pacjentów otrzymała 5</w:t>
      </w:r>
      <w:r w:rsidR="00B722C9" w:rsidRPr="0015541C">
        <w:rPr>
          <w:lang w:val="pl-PL"/>
        </w:rPr>
        <w:noBreakHyphen/>
      </w:r>
      <w:r w:rsidRPr="0015541C">
        <w:rPr>
          <w:lang w:val="pl-PL"/>
        </w:rPr>
        <w:t xml:space="preserve">FU (bolus)/FA + </w:t>
      </w:r>
      <w:r w:rsidR="00AC1608" w:rsidRPr="0015541C">
        <w:rPr>
          <w:lang w:val="pl-PL"/>
        </w:rPr>
        <w:t>bewacyzumab</w:t>
      </w:r>
      <w:r w:rsidRPr="0015541C">
        <w:rPr>
          <w:lang w:val="pl-PL"/>
        </w:rPr>
        <w:t xml:space="preserve"> (Ramię 3). Rekrutację do grupy 3 przerwano, zgodnie z wcześniejszymi ustaleniami, gdy bezpieczeństwo </w:t>
      </w:r>
      <w:r w:rsidR="00AC1608" w:rsidRPr="0015541C">
        <w:rPr>
          <w:lang w:val="pl-PL"/>
        </w:rPr>
        <w:t>bewacyzumab</w:t>
      </w:r>
      <w:r w:rsidRPr="0015541C">
        <w:rPr>
          <w:lang w:val="pl-PL"/>
        </w:rPr>
        <w:t>u w skojarzeniu ze schematem IFL zostało określone i uznane za możliwe do zaakceptowania. Wszystkie rodzaje leczenia były kontynuowane do czasu wystąpienia progresji choroby. Średnia wieku ogółem wynosiła 59,4 lat; u 56,6% pacjentów sprawność według klasyfikacji ECOG wynosiła 0, u 43% osiągała wartość 1, a u 0,4% – wartość 2. 15,5% pacjentów otrzymywało wcześniej radioterapię i 28,4% otrzymywało wcześniej chemioterapię.</w:t>
      </w:r>
    </w:p>
    <w:p w14:paraId="60DC4806" w14:textId="77777777" w:rsidR="00994050" w:rsidRPr="0015541C" w:rsidRDefault="00994050" w:rsidP="00994050">
      <w:pPr>
        <w:rPr>
          <w:lang w:val="pl-PL"/>
        </w:rPr>
      </w:pPr>
    </w:p>
    <w:p w14:paraId="7DC3E757" w14:textId="5BBBF4DC" w:rsidR="00994050" w:rsidRPr="0015541C" w:rsidRDefault="00994050" w:rsidP="00994050">
      <w:pPr>
        <w:rPr>
          <w:lang w:val="pl-PL"/>
        </w:rPr>
      </w:pPr>
      <w:r w:rsidRPr="0015541C">
        <w:rPr>
          <w:lang w:val="pl-PL"/>
        </w:rPr>
        <w:t>Głównym kryterium skuteczności w badaniu był całkowity czas przeżycia</w:t>
      </w:r>
      <w:r w:rsidR="00B8305E" w:rsidRPr="0015541C">
        <w:rPr>
          <w:lang w:val="pl-PL"/>
        </w:rPr>
        <w:t xml:space="preserve"> (</w:t>
      </w:r>
      <w:r w:rsidR="00A251D8" w:rsidRPr="0015541C">
        <w:rPr>
          <w:lang w:val="pl-PL"/>
        </w:rPr>
        <w:t>OS</w:t>
      </w:r>
      <w:r w:rsidR="00B8305E" w:rsidRPr="0015541C">
        <w:rPr>
          <w:lang w:val="pl-PL"/>
        </w:rPr>
        <w:t>)</w:t>
      </w:r>
      <w:r w:rsidRPr="0015541C">
        <w:rPr>
          <w:lang w:val="pl-PL"/>
        </w:rPr>
        <w:t xml:space="preserve">. Dodanie </w:t>
      </w:r>
      <w:r w:rsidR="008D4C59" w:rsidRPr="0015541C">
        <w:rPr>
          <w:lang w:val="pl-PL"/>
        </w:rPr>
        <w:t>bewacyzumab</w:t>
      </w:r>
      <w:r w:rsidRPr="0015541C">
        <w:rPr>
          <w:lang w:val="pl-PL"/>
        </w:rPr>
        <w:t xml:space="preserve">u do schematu IFL spowodowało statystycznie istotne wydłużenie </w:t>
      </w:r>
      <w:r w:rsidR="00D37AC2">
        <w:rPr>
          <w:lang w:val="pl-PL"/>
        </w:rPr>
        <w:t xml:space="preserve">OS, </w:t>
      </w:r>
      <w:r w:rsidRPr="0015541C">
        <w:rPr>
          <w:lang w:val="pl-PL"/>
        </w:rPr>
        <w:t>całkowitego czasu przeżycia</w:t>
      </w:r>
      <w:r w:rsidR="00B8305E" w:rsidRPr="0015541C">
        <w:rPr>
          <w:lang w:val="pl-PL"/>
        </w:rPr>
        <w:t xml:space="preserve"> bez progresji choroby (</w:t>
      </w:r>
      <w:r w:rsidR="00A251D8" w:rsidRPr="0015541C">
        <w:rPr>
          <w:lang w:val="pl-PL"/>
        </w:rPr>
        <w:t>PFS</w:t>
      </w:r>
      <w:r w:rsidR="00B8305E" w:rsidRPr="0015541C">
        <w:rPr>
          <w:lang w:val="pl-PL"/>
        </w:rPr>
        <w:t>)</w:t>
      </w:r>
      <w:r w:rsidRPr="0015541C">
        <w:rPr>
          <w:lang w:val="pl-PL"/>
        </w:rPr>
        <w:t xml:space="preserve"> oraz całkowitego odsetka odpowiedzi (patrz Tabela</w:t>
      </w:r>
      <w:r w:rsidR="009E25BD" w:rsidRPr="0015541C">
        <w:rPr>
          <w:lang w:val="pl-PL"/>
        </w:rPr>
        <w:t> </w:t>
      </w:r>
      <w:r w:rsidR="008800D7" w:rsidRPr="0015541C">
        <w:rPr>
          <w:lang w:val="pl-PL"/>
        </w:rPr>
        <w:t>4</w:t>
      </w:r>
      <w:r w:rsidRPr="0015541C">
        <w:rPr>
          <w:lang w:val="pl-PL"/>
        </w:rPr>
        <w:t xml:space="preserve">). Kliniczne korzyści związane z zastosowaniem </w:t>
      </w:r>
      <w:r w:rsidR="00720155" w:rsidRPr="0015541C">
        <w:rPr>
          <w:lang w:val="pl-PL"/>
        </w:rPr>
        <w:t>bewacyzumab</w:t>
      </w:r>
      <w:r w:rsidRPr="0015541C">
        <w:rPr>
          <w:lang w:val="pl-PL"/>
        </w:rPr>
        <w:t xml:space="preserve">u, mierzone jako wydłużenie </w:t>
      </w:r>
      <w:r w:rsidR="00A251D8" w:rsidRPr="0015541C">
        <w:rPr>
          <w:lang w:val="pl-PL"/>
        </w:rPr>
        <w:t>OS</w:t>
      </w:r>
      <w:r w:rsidRPr="0015541C">
        <w:rPr>
          <w:lang w:val="pl-PL"/>
        </w:rPr>
        <w:t>, były widoczne we wszystkich opisanych wcześniej podgrupach pacjentów, wyodrębnionych ze względu na wiek, płeć, stopień sprawności, lokalizację pierwotnej zmiany nowotworowej, liczbę narządów objętych procesem chorobowym i czas od pojawienia się przerzutów.</w:t>
      </w:r>
    </w:p>
    <w:p w14:paraId="5F8EFAA7" w14:textId="77777777" w:rsidR="00994050" w:rsidRPr="0015541C" w:rsidRDefault="00994050" w:rsidP="00994050">
      <w:pPr>
        <w:rPr>
          <w:lang w:val="pl-PL"/>
        </w:rPr>
      </w:pPr>
    </w:p>
    <w:p w14:paraId="0B32B0DD" w14:textId="77777777" w:rsidR="00994050" w:rsidRPr="0015541C" w:rsidRDefault="00994050" w:rsidP="00994050">
      <w:pPr>
        <w:rPr>
          <w:lang w:val="pl-PL"/>
        </w:rPr>
      </w:pPr>
      <w:r w:rsidRPr="0015541C">
        <w:rPr>
          <w:lang w:val="pl-PL"/>
        </w:rPr>
        <w:t xml:space="preserve">Wyniki oceny skuteczności </w:t>
      </w:r>
      <w:r w:rsidR="00AB3EA8" w:rsidRPr="0015541C">
        <w:rPr>
          <w:lang w:val="pl-PL"/>
        </w:rPr>
        <w:t>bewacyzumab</w:t>
      </w:r>
      <w:r w:rsidRPr="0015541C">
        <w:rPr>
          <w:lang w:val="pl-PL"/>
        </w:rPr>
        <w:t>u w skojarzeniu z chemioterapią IFL zostały przedstawione w Tabeli</w:t>
      </w:r>
      <w:r w:rsidR="00BE3250" w:rsidRPr="0015541C">
        <w:rPr>
          <w:lang w:val="pl-PL"/>
        </w:rPr>
        <w:t> </w:t>
      </w:r>
      <w:r w:rsidR="008800D7" w:rsidRPr="0015541C">
        <w:rPr>
          <w:lang w:val="pl-PL"/>
        </w:rPr>
        <w:t>4</w:t>
      </w:r>
      <w:r w:rsidRPr="0015541C">
        <w:rPr>
          <w:lang w:val="pl-PL"/>
        </w:rPr>
        <w:t>.</w:t>
      </w:r>
    </w:p>
    <w:p w14:paraId="32B7B9BF" w14:textId="77777777" w:rsidR="00994050" w:rsidRPr="0015541C" w:rsidRDefault="00994050" w:rsidP="00994050">
      <w:pPr>
        <w:rPr>
          <w:lang w:val="pl-PL"/>
        </w:rPr>
      </w:pPr>
    </w:p>
    <w:p w14:paraId="4D5D9559" w14:textId="77777777" w:rsidR="00994050" w:rsidRPr="0070444C" w:rsidRDefault="00994050" w:rsidP="003C6FA3">
      <w:pPr>
        <w:keepNext/>
        <w:ind w:left="540" w:hanging="540"/>
        <w:rPr>
          <w:lang w:val="pl-PL"/>
        </w:rPr>
      </w:pPr>
      <w:r w:rsidRPr="0015541C">
        <w:rPr>
          <w:b/>
          <w:bCs/>
          <w:lang w:val="pl-PL"/>
        </w:rPr>
        <w:lastRenderedPageBreak/>
        <w:t>Tabela</w:t>
      </w:r>
      <w:r w:rsidR="00266020" w:rsidRPr="0015541C">
        <w:rPr>
          <w:b/>
          <w:bCs/>
          <w:lang w:val="pl-PL"/>
        </w:rPr>
        <w:t> </w:t>
      </w:r>
      <w:r w:rsidR="008800D7" w:rsidRPr="0015541C">
        <w:rPr>
          <w:b/>
          <w:bCs/>
          <w:lang w:val="pl-PL"/>
        </w:rPr>
        <w:t>4</w:t>
      </w:r>
      <w:r w:rsidRPr="0015541C">
        <w:rPr>
          <w:b/>
          <w:bCs/>
          <w:lang w:val="pl-PL"/>
        </w:rPr>
        <w:t>.</w:t>
      </w:r>
      <w:r w:rsidRPr="0015541C">
        <w:rPr>
          <w:b/>
          <w:bCs/>
          <w:lang w:val="pl-PL"/>
        </w:rPr>
        <w:tab/>
        <w:t>Wyniki oceny skuteczności dla badania AVF2107g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90"/>
        <w:gridCol w:w="2610"/>
        <w:gridCol w:w="2610"/>
      </w:tblGrid>
      <w:tr w:rsidR="00994050" w:rsidRPr="0015541C" w14:paraId="3691938B" w14:textId="77777777" w:rsidTr="00831E76">
        <w:trPr>
          <w:cantSplit/>
          <w:trHeight w:val="57"/>
          <w:tblHeader/>
        </w:trPr>
        <w:tc>
          <w:tcPr>
            <w:tcW w:w="3490" w:type="dxa"/>
            <w:vMerge w:val="restart"/>
          </w:tcPr>
          <w:p w14:paraId="1A3763AE" w14:textId="77777777" w:rsidR="00994050" w:rsidRPr="0070444C" w:rsidRDefault="00994050" w:rsidP="00831E76">
            <w:pPr>
              <w:keepNext/>
              <w:spacing w:before="40" w:after="40"/>
              <w:jc w:val="both"/>
              <w:rPr>
                <w:b/>
                <w:lang w:val="pl-PL"/>
              </w:rPr>
            </w:pPr>
          </w:p>
          <w:p w14:paraId="59F7D6B6" w14:textId="77777777" w:rsidR="00831E76" w:rsidRPr="0070444C" w:rsidRDefault="00831E76" w:rsidP="00831E76">
            <w:pPr>
              <w:keepNext/>
              <w:spacing w:before="40" w:after="40"/>
              <w:jc w:val="both"/>
              <w:rPr>
                <w:b/>
                <w:lang w:val="pl-PL"/>
              </w:rPr>
            </w:pPr>
          </w:p>
        </w:tc>
        <w:tc>
          <w:tcPr>
            <w:tcW w:w="5220" w:type="dxa"/>
            <w:gridSpan w:val="2"/>
          </w:tcPr>
          <w:p w14:paraId="13F4EF6B" w14:textId="77777777" w:rsidR="00994050" w:rsidRPr="0070444C" w:rsidRDefault="00994050" w:rsidP="00831E76">
            <w:pPr>
              <w:keepNext/>
              <w:spacing w:before="40" w:after="40"/>
              <w:jc w:val="center"/>
              <w:rPr>
                <w:b/>
                <w:lang w:val="pl-PL"/>
              </w:rPr>
            </w:pPr>
            <w:r w:rsidRPr="0070444C">
              <w:rPr>
                <w:b/>
                <w:lang w:val="pl-PL"/>
              </w:rPr>
              <w:t>AVF2107g</w:t>
            </w:r>
          </w:p>
        </w:tc>
      </w:tr>
      <w:tr w:rsidR="00994050" w:rsidRPr="0015541C" w14:paraId="16496097" w14:textId="77777777" w:rsidTr="00831E76">
        <w:trPr>
          <w:cantSplit/>
          <w:trHeight w:val="463"/>
          <w:tblHeader/>
        </w:trPr>
        <w:tc>
          <w:tcPr>
            <w:tcW w:w="3490" w:type="dxa"/>
            <w:vMerge/>
          </w:tcPr>
          <w:p w14:paraId="09D613C4" w14:textId="77777777" w:rsidR="00994050" w:rsidRPr="0070444C" w:rsidRDefault="00994050" w:rsidP="00831E76">
            <w:pPr>
              <w:keepNext/>
              <w:spacing w:before="40" w:after="40"/>
              <w:jc w:val="both"/>
              <w:rPr>
                <w:b/>
                <w:lang w:val="pl-PL"/>
              </w:rPr>
            </w:pPr>
          </w:p>
        </w:tc>
        <w:tc>
          <w:tcPr>
            <w:tcW w:w="2610" w:type="dxa"/>
          </w:tcPr>
          <w:p w14:paraId="74C0F8A1" w14:textId="77777777" w:rsidR="00994050" w:rsidRPr="0070444C" w:rsidRDefault="00994050" w:rsidP="00831E76">
            <w:pPr>
              <w:keepNext/>
              <w:spacing w:before="40" w:after="40"/>
              <w:jc w:val="center"/>
              <w:rPr>
                <w:b/>
                <w:lang w:val="pl-PL"/>
              </w:rPr>
            </w:pPr>
            <w:r w:rsidRPr="0070444C">
              <w:rPr>
                <w:b/>
                <w:lang w:val="pl-PL"/>
              </w:rPr>
              <w:t>Ramię 1</w:t>
            </w:r>
          </w:p>
          <w:p w14:paraId="2A0F1BB2" w14:textId="77777777" w:rsidR="00994050" w:rsidRPr="0070444C" w:rsidRDefault="00994050" w:rsidP="00831E76">
            <w:pPr>
              <w:keepNext/>
              <w:spacing w:before="40" w:after="40"/>
              <w:jc w:val="center"/>
              <w:rPr>
                <w:b/>
                <w:lang w:val="pl-PL"/>
              </w:rPr>
            </w:pPr>
            <w:r w:rsidRPr="0070444C">
              <w:rPr>
                <w:b/>
                <w:lang w:val="pl-PL"/>
              </w:rPr>
              <w:t>IFL + placebo</w:t>
            </w:r>
          </w:p>
        </w:tc>
        <w:tc>
          <w:tcPr>
            <w:tcW w:w="2610" w:type="dxa"/>
          </w:tcPr>
          <w:p w14:paraId="20A64206" w14:textId="77777777" w:rsidR="00994050" w:rsidRPr="0070444C" w:rsidRDefault="00994050" w:rsidP="00831E76">
            <w:pPr>
              <w:keepNext/>
              <w:spacing w:before="40" w:after="40"/>
              <w:jc w:val="center"/>
              <w:rPr>
                <w:b/>
                <w:lang w:val="pl-PL"/>
              </w:rPr>
            </w:pPr>
            <w:r w:rsidRPr="0070444C">
              <w:rPr>
                <w:b/>
                <w:lang w:val="pl-PL"/>
              </w:rPr>
              <w:t>Ramię 2</w:t>
            </w:r>
          </w:p>
          <w:p w14:paraId="253FA929" w14:textId="77777777" w:rsidR="00994050" w:rsidRPr="0070444C" w:rsidRDefault="00994050" w:rsidP="00831E76">
            <w:pPr>
              <w:keepNext/>
              <w:spacing w:before="40" w:after="40"/>
              <w:jc w:val="center"/>
              <w:rPr>
                <w:b/>
                <w:vertAlign w:val="superscript"/>
                <w:lang w:val="pl-PL"/>
              </w:rPr>
            </w:pPr>
            <w:r w:rsidRPr="0070444C">
              <w:rPr>
                <w:b/>
                <w:lang w:val="pl-PL"/>
              </w:rPr>
              <w:t>IFL +</w:t>
            </w:r>
            <w:r w:rsidR="00DE2370" w:rsidRPr="0070444C">
              <w:rPr>
                <w:b/>
                <w:lang w:val="pl-PL"/>
              </w:rPr>
              <w:t xml:space="preserve"> </w:t>
            </w:r>
            <w:r w:rsidR="00DE2370" w:rsidRPr="0015541C">
              <w:rPr>
                <w:b/>
                <w:bCs/>
                <w:szCs w:val="22"/>
                <w:lang w:val="pl-PL"/>
              </w:rPr>
              <w:t>bewacyzumab</w:t>
            </w:r>
            <w:r w:rsidRPr="0015541C">
              <w:rPr>
                <w:b/>
                <w:bCs/>
                <w:szCs w:val="22"/>
                <w:vertAlign w:val="superscript"/>
                <w:lang w:val="pl-PL"/>
              </w:rPr>
              <w:t>a</w:t>
            </w:r>
          </w:p>
        </w:tc>
      </w:tr>
      <w:tr w:rsidR="00994050" w:rsidRPr="0015541C" w14:paraId="387C09B0" w14:textId="77777777" w:rsidTr="00831E76">
        <w:trPr>
          <w:trHeight w:val="57"/>
        </w:trPr>
        <w:tc>
          <w:tcPr>
            <w:tcW w:w="3490" w:type="dxa"/>
          </w:tcPr>
          <w:p w14:paraId="180B3A67" w14:textId="77777777" w:rsidR="00994050" w:rsidRPr="0015541C" w:rsidRDefault="00994050" w:rsidP="00831E76">
            <w:pPr>
              <w:keepNext/>
              <w:spacing w:before="40" w:after="40"/>
              <w:rPr>
                <w:szCs w:val="22"/>
                <w:lang w:val="pl-PL"/>
              </w:rPr>
            </w:pPr>
            <w:r w:rsidRPr="0015541C">
              <w:rPr>
                <w:szCs w:val="22"/>
                <w:lang w:val="pl-PL"/>
              </w:rPr>
              <w:t>Liczba pacjentów</w:t>
            </w:r>
          </w:p>
        </w:tc>
        <w:tc>
          <w:tcPr>
            <w:tcW w:w="2610" w:type="dxa"/>
          </w:tcPr>
          <w:p w14:paraId="01CC4814" w14:textId="77777777" w:rsidR="00994050" w:rsidRPr="0015541C" w:rsidRDefault="00994050" w:rsidP="00831E76">
            <w:pPr>
              <w:keepNext/>
              <w:spacing w:before="40" w:after="40"/>
              <w:jc w:val="center"/>
              <w:rPr>
                <w:szCs w:val="22"/>
                <w:lang w:val="pl-PL"/>
              </w:rPr>
            </w:pPr>
            <w:r w:rsidRPr="00260CEC">
              <w:rPr>
                <w:szCs w:val="22"/>
                <w:lang w:val="pl-PL"/>
              </w:rPr>
              <w:t>411</w:t>
            </w:r>
          </w:p>
        </w:tc>
        <w:tc>
          <w:tcPr>
            <w:tcW w:w="2610" w:type="dxa"/>
          </w:tcPr>
          <w:p w14:paraId="14F5E5C2" w14:textId="77777777" w:rsidR="00994050" w:rsidRPr="0015541C" w:rsidRDefault="00994050" w:rsidP="00831E76">
            <w:pPr>
              <w:keepNext/>
              <w:spacing w:before="40" w:after="40"/>
              <w:jc w:val="center"/>
              <w:rPr>
                <w:szCs w:val="22"/>
                <w:lang w:val="pl-PL"/>
              </w:rPr>
            </w:pPr>
            <w:r w:rsidRPr="0015541C">
              <w:rPr>
                <w:szCs w:val="22"/>
                <w:lang w:val="pl-PL"/>
              </w:rPr>
              <w:t>402</w:t>
            </w:r>
          </w:p>
        </w:tc>
      </w:tr>
      <w:tr w:rsidR="00994050" w:rsidRPr="0015541C" w14:paraId="6CBD776A" w14:textId="77777777" w:rsidTr="00831E76">
        <w:trPr>
          <w:trHeight w:val="57"/>
        </w:trPr>
        <w:tc>
          <w:tcPr>
            <w:tcW w:w="8710" w:type="dxa"/>
            <w:gridSpan w:val="3"/>
          </w:tcPr>
          <w:p w14:paraId="098C76FD" w14:textId="77777777" w:rsidR="00994050" w:rsidRPr="0015541C" w:rsidRDefault="00994050" w:rsidP="00831E76">
            <w:pPr>
              <w:keepNext/>
              <w:spacing w:before="40" w:after="40"/>
              <w:rPr>
                <w:szCs w:val="22"/>
                <w:lang w:val="pl-PL"/>
              </w:rPr>
            </w:pPr>
            <w:r w:rsidRPr="0015541C">
              <w:rPr>
                <w:bCs/>
                <w:szCs w:val="22"/>
                <w:lang w:val="pl-PL"/>
              </w:rPr>
              <w:t>Całkowity czas przeżycia</w:t>
            </w:r>
          </w:p>
        </w:tc>
      </w:tr>
      <w:tr w:rsidR="00994050" w:rsidRPr="0015541C" w14:paraId="1884B2DC" w14:textId="77777777" w:rsidTr="00831E76">
        <w:trPr>
          <w:trHeight w:val="57"/>
        </w:trPr>
        <w:tc>
          <w:tcPr>
            <w:tcW w:w="3490" w:type="dxa"/>
          </w:tcPr>
          <w:p w14:paraId="3B9AFD7E" w14:textId="77777777" w:rsidR="00994050" w:rsidRPr="0015541C" w:rsidRDefault="00994050" w:rsidP="00831E76">
            <w:pPr>
              <w:keepNext/>
              <w:spacing w:before="40" w:after="40"/>
              <w:ind w:left="284"/>
              <w:rPr>
                <w:szCs w:val="22"/>
                <w:lang w:val="pl-PL"/>
              </w:rPr>
            </w:pPr>
            <w:r w:rsidRPr="0015541C">
              <w:rPr>
                <w:szCs w:val="22"/>
                <w:lang w:val="pl-PL"/>
              </w:rPr>
              <w:t>Mediana (w miesiącach)</w:t>
            </w:r>
          </w:p>
        </w:tc>
        <w:tc>
          <w:tcPr>
            <w:tcW w:w="2610" w:type="dxa"/>
          </w:tcPr>
          <w:p w14:paraId="43FB9879" w14:textId="77777777" w:rsidR="00994050" w:rsidRPr="0015541C" w:rsidRDefault="00994050" w:rsidP="00831E76">
            <w:pPr>
              <w:keepNext/>
              <w:spacing w:before="40" w:after="40"/>
              <w:jc w:val="center"/>
              <w:rPr>
                <w:szCs w:val="22"/>
                <w:lang w:val="pl-PL"/>
              </w:rPr>
            </w:pPr>
            <w:r w:rsidRPr="00260CEC">
              <w:rPr>
                <w:szCs w:val="22"/>
                <w:lang w:val="pl-PL"/>
              </w:rPr>
              <w:t>15,6</w:t>
            </w:r>
          </w:p>
        </w:tc>
        <w:tc>
          <w:tcPr>
            <w:tcW w:w="2610" w:type="dxa"/>
          </w:tcPr>
          <w:p w14:paraId="261541A9" w14:textId="77777777" w:rsidR="00994050" w:rsidRPr="0015541C" w:rsidRDefault="00994050" w:rsidP="00831E76">
            <w:pPr>
              <w:keepNext/>
              <w:spacing w:before="40" w:after="40"/>
              <w:jc w:val="center"/>
              <w:rPr>
                <w:szCs w:val="22"/>
                <w:lang w:val="pl-PL"/>
              </w:rPr>
            </w:pPr>
            <w:r w:rsidRPr="0015541C">
              <w:rPr>
                <w:szCs w:val="22"/>
                <w:lang w:val="pl-PL"/>
              </w:rPr>
              <w:t>20,3</w:t>
            </w:r>
          </w:p>
        </w:tc>
      </w:tr>
      <w:tr w:rsidR="00994050" w:rsidRPr="0015541C" w14:paraId="0395128F" w14:textId="77777777" w:rsidTr="00831E76">
        <w:trPr>
          <w:trHeight w:val="57"/>
        </w:trPr>
        <w:tc>
          <w:tcPr>
            <w:tcW w:w="3490" w:type="dxa"/>
          </w:tcPr>
          <w:p w14:paraId="35CE59D2" w14:textId="77777777" w:rsidR="00994050" w:rsidRPr="0015541C" w:rsidRDefault="00994050" w:rsidP="00831E76">
            <w:pPr>
              <w:keepNext/>
              <w:spacing w:before="40" w:after="40"/>
              <w:ind w:left="284"/>
              <w:rPr>
                <w:szCs w:val="22"/>
                <w:lang w:val="pl-PL"/>
              </w:rPr>
            </w:pPr>
            <w:r w:rsidRPr="0015541C">
              <w:rPr>
                <w:szCs w:val="22"/>
                <w:lang w:val="pl-PL"/>
              </w:rPr>
              <w:t>95%</w:t>
            </w:r>
            <w:r w:rsidRPr="0015541C">
              <w:rPr>
                <w:sz w:val="18"/>
                <w:lang w:val="pl-PL"/>
              </w:rPr>
              <w:t xml:space="preserve"> </w:t>
            </w:r>
            <w:r w:rsidR="00525C4E" w:rsidRPr="0015541C">
              <w:rPr>
                <w:szCs w:val="22"/>
                <w:lang w:val="pl-PL"/>
              </w:rPr>
              <w:t>CI</w:t>
            </w:r>
          </w:p>
        </w:tc>
        <w:tc>
          <w:tcPr>
            <w:tcW w:w="2610" w:type="dxa"/>
          </w:tcPr>
          <w:p w14:paraId="48589419" w14:textId="77777777" w:rsidR="00994050" w:rsidRPr="0015541C" w:rsidRDefault="00994050" w:rsidP="00831E76">
            <w:pPr>
              <w:keepNext/>
              <w:spacing w:before="40" w:after="40"/>
              <w:jc w:val="center"/>
              <w:rPr>
                <w:szCs w:val="22"/>
                <w:lang w:val="pl-PL"/>
              </w:rPr>
            </w:pPr>
            <w:r w:rsidRPr="00260CEC">
              <w:rPr>
                <w:szCs w:val="22"/>
                <w:lang w:val="pl-PL"/>
              </w:rPr>
              <w:t>14,29 – 16,99</w:t>
            </w:r>
          </w:p>
        </w:tc>
        <w:tc>
          <w:tcPr>
            <w:tcW w:w="2610" w:type="dxa"/>
          </w:tcPr>
          <w:p w14:paraId="09364F83" w14:textId="77777777" w:rsidR="00994050" w:rsidRPr="0015541C" w:rsidRDefault="00994050" w:rsidP="00831E76">
            <w:pPr>
              <w:keepNext/>
              <w:spacing w:before="40" w:after="40"/>
              <w:jc w:val="center"/>
              <w:rPr>
                <w:szCs w:val="22"/>
                <w:lang w:val="pl-PL"/>
              </w:rPr>
            </w:pPr>
            <w:r w:rsidRPr="0015541C">
              <w:rPr>
                <w:szCs w:val="22"/>
                <w:lang w:val="pl-PL"/>
              </w:rPr>
              <w:t>18,46 – 24,18</w:t>
            </w:r>
          </w:p>
        </w:tc>
      </w:tr>
      <w:tr w:rsidR="00994050" w:rsidRPr="0015541C" w14:paraId="45D4833C" w14:textId="77777777" w:rsidTr="00831E76">
        <w:trPr>
          <w:trHeight w:val="57"/>
        </w:trPr>
        <w:tc>
          <w:tcPr>
            <w:tcW w:w="3490" w:type="dxa"/>
          </w:tcPr>
          <w:p w14:paraId="08F5B3BF" w14:textId="77777777" w:rsidR="00994050" w:rsidRPr="0015541C" w:rsidRDefault="00994050" w:rsidP="00831E76">
            <w:pPr>
              <w:keepNext/>
              <w:spacing w:before="40" w:after="40"/>
              <w:ind w:left="284"/>
              <w:rPr>
                <w:szCs w:val="22"/>
                <w:vertAlign w:val="superscript"/>
                <w:lang w:val="pl-PL"/>
              </w:rPr>
            </w:pPr>
            <w:r w:rsidRPr="0015541C">
              <w:rPr>
                <w:szCs w:val="22"/>
                <w:lang w:val="pl-PL"/>
              </w:rPr>
              <w:t>Współczynnik ryzyka</w:t>
            </w:r>
            <w:r w:rsidRPr="0015541C">
              <w:rPr>
                <w:szCs w:val="22"/>
                <w:vertAlign w:val="superscript"/>
                <w:lang w:val="pl-PL"/>
              </w:rPr>
              <w:t>b</w:t>
            </w:r>
          </w:p>
        </w:tc>
        <w:tc>
          <w:tcPr>
            <w:tcW w:w="5220" w:type="dxa"/>
            <w:gridSpan w:val="2"/>
          </w:tcPr>
          <w:p w14:paraId="54FD57EA" w14:textId="77777777" w:rsidR="00994050" w:rsidRPr="0015541C" w:rsidRDefault="00994050" w:rsidP="00831E76">
            <w:pPr>
              <w:keepNext/>
              <w:spacing w:before="40" w:after="40"/>
              <w:jc w:val="center"/>
              <w:rPr>
                <w:szCs w:val="22"/>
                <w:lang w:val="pl-PL"/>
              </w:rPr>
            </w:pPr>
            <w:r w:rsidRPr="00260CEC">
              <w:rPr>
                <w:szCs w:val="22"/>
                <w:lang w:val="pl-PL"/>
              </w:rPr>
              <w:t>0,660</w:t>
            </w:r>
          </w:p>
          <w:p w14:paraId="16228853" w14:textId="77777777" w:rsidR="00994050" w:rsidRPr="0015541C" w:rsidRDefault="00994050" w:rsidP="00831E76">
            <w:pPr>
              <w:keepNext/>
              <w:spacing w:before="40" w:after="40"/>
              <w:jc w:val="center"/>
              <w:rPr>
                <w:szCs w:val="22"/>
                <w:lang w:val="pl-PL"/>
              </w:rPr>
            </w:pPr>
            <w:r w:rsidRPr="0015541C">
              <w:rPr>
                <w:szCs w:val="22"/>
                <w:lang w:val="pl-PL"/>
              </w:rPr>
              <w:t>(wartość p= 0,00004)</w:t>
            </w:r>
          </w:p>
        </w:tc>
      </w:tr>
      <w:tr w:rsidR="00994050" w:rsidRPr="0015541C" w14:paraId="281CB788" w14:textId="77777777" w:rsidTr="00831E76">
        <w:trPr>
          <w:trHeight w:val="57"/>
        </w:trPr>
        <w:tc>
          <w:tcPr>
            <w:tcW w:w="8710" w:type="dxa"/>
            <w:gridSpan w:val="3"/>
          </w:tcPr>
          <w:p w14:paraId="04BB7FA6" w14:textId="21D2BA3E" w:rsidR="00994050" w:rsidRPr="0015541C" w:rsidRDefault="00994050" w:rsidP="0015541C">
            <w:pPr>
              <w:keepNext/>
              <w:spacing w:before="40" w:after="40"/>
              <w:rPr>
                <w:szCs w:val="22"/>
                <w:lang w:val="pl-PL"/>
              </w:rPr>
            </w:pPr>
            <w:r w:rsidRPr="0015541C">
              <w:rPr>
                <w:bCs/>
                <w:szCs w:val="22"/>
                <w:lang w:val="pl-PL"/>
              </w:rPr>
              <w:t xml:space="preserve">Czas przeżycia </w:t>
            </w:r>
            <w:r w:rsidR="00A251D8" w:rsidRPr="0015541C">
              <w:rPr>
                <w:bCs/>
                <w:szCs w:val="22"/>
                <w:lang w:val="pl-PL"/>
              </w:rPr>
              <w:t xml:space="preserve">wolny od </w:t>
            </w:r>
            <w:r w:rsidRPr="0015541C">
              <w:rPr>
                <w:bCs/>
                <w:szCs w:val="22"/>
                <w:lang w:val="pl-PL"/>
              </w:rPr>
              <w:t>progresji</w:t>
            </w:r>
            <w:r w:rsidR="00D37AC2">
              <w:rPr>
                <w:bCs/>
                <w:szCs w:val="22"/>
                <w:lang w:val="pl-PL"/>
              </w:rPr>
              <w:t xml:space="preserve"> choroby</w:t>
            </w:r>
          </w:p>
        </w:tc>
      </w:tr>
      <w:tr w:rsidR="00994050" w:rsidRPr="0015541C" w14:paraId="2C9B498B" w14:textId="77777777" w:rsidTr="00831E76">
        <w:trPr>
          <w:trHeight w:val="57"/>
        </w:trPr>
        <w:tc>
          <w:tcPr>
            <w:tcW w:w="3490" w:type="dxa"/>
          </w:tcPr>
          <w:p w14:paraId="70B9A708" w14:textId="77777777" w:rsidR="00994050" w:rsidRPr="0015541C" w:rsidRDefault="00994050" w:rsidP="00831E76">
            <w:pPr>
              <w:keepNext/>
              <w:spacing w:before="40" w:after="40"/>
              <w:ind w:left="284"/>
              <w:rPr>
                <w:szCs w:val="22"/>
                <w:lang w:val="pl-PL"/>
              </w:rPr>
            </w:pPr>
            <w:r w:rsidRPr="0015541C">
              <w:rPr>
                <w:szCs w:val="22"/>
                <w:lang w:val="pl-PL"/>
              </w:rPr>
              <w:t>Mediana (w miesiącach)</w:t>
            </w:r>
          </w:p>
        </w:tc>
        <w:tc>
          <w:tcPr>
            <w:tcW w:w="2610" w:type="dxa"/>
          </w:tcPr>
          <w:p w14:paraId="1D49DAD0" w14:textId="77777777" w:rsidR="00994050" w:rsidRPr="0015541C" w:rsidRDefault="00994050" w:rsidP="00831E76">
            <w:pPr>
              <w:keepNext/>
              <w:spacing w:before="40" w:after="40"/>
              <w:jc w:val="center"/>
              <w:rPr>
                <w:szCs w:val="22"/>
                <w:lang w:val="pl-PL"/>
              </w:rPr>
            </w:pPr>
            <w:r w:rsidRPr="0015541C">
              <w:rPr>
                <w:szCs w:val="22"/>
                <w:lang w:val="pl-PL"/>
              </w:rPr>
              <w:t>6,2</w:t>
            </w:r>
          </w:p>
        </w:tc>
        <w:tc>
          <w:tcPr>
            <w:tcW w:w="2610" w:type="dxa"/>
          </w:tcPr>
          <w:p w14:paraId="355C2F9C" w14:textId="77777777" w:rsidR="00994050" w:rsidRPr="0015541C" w:rsidRDefault="00994050" w:rsidP="00831E76">
            <w:pPr>
              <w:keepNext/>
              <w:spacing w:before="40" w:after="40"/>
              <w:jc w:val="center"/>
              <w:rPr>
                <w:szCs w:val="22"/>
                <w:lang w:val="pl-PL"/>
              </w:rPr>
            </w:pPr>
            <w:r w:rsidRPr="00260CEC">
              <w:rPr>
                <w:szCs w:val="22"/>
                <w:lang w:val="pl-PL"/>
              </w:rPr>
              <w:t>10,6</w:t>
            </w:r>
          </w:p>
        </w:tc>
      </w:tr>
      <w:tr w:rsidR="00994050" w:rsidRPr="0015541C" w14:paraId="61E1B517" w14:textId="77777777" w:rsidTr="00831E76">
        <w:trPr>
          <w:trHeight w:val="57"/>
        </w:trPr>
        <w:tc>
          <w:tcPr>
            <w:tcW w:w="3490" w:type="dxa"/>
          </w:tcPr>
          <w:p w14:paraId="5C61131D" w14:textId="77777777" w:rsidR="00994050" w:rsidRPr="0015541C" w:rsidRDefault="00994050" w:rsidP="00831E76">
            <w:pPr>
              <w:keepNext/>
              <w:spacing w:before="40" w:after="40"/>
              <w:ind w:left="284"/>
              <w:rPr>
                <w:szCs w:val="22"/>
                <w:lang w:val="pl-PL"/>
              </w:rPr>
            </w:pPr>
            <w:r w:rsidRPr="0015541C">
              <w:rPr>
                <w:szCs w:val="22"/>
                <w:lang w:val="pl-PL"/>
              </w:rPr>
              <w:t>Współczynnik ryzyka</w:t>
            </w:r>
          </w:p>
        </w:tc>
        <w:tc>
          <w:tcPr>
            <w:tcW w:w="5220" w:type="dxa"/>
            <w:gridSpan w:val="2"/>
          </w:tcPr>
          <w:p w14:paraId="13273387" w14:textId="77777777" w:rsidR="00994050" w:rsidRPr="0015541C" w:rsidRDefault="00994050" w:rsidP="00831E76">
            <w:pPr>
              <w:keepNext/>
              <w:spacing w:before="40" w:after="40"/>
              <w:jc w:val="center"/>
              <w:rPr>
                <w:szCs w:val="22"/>
                <w:lang w:val="pl-PL"/>
              </w:rPr>
            </w:pPr>
            <w:r w:rsidRPr="0015541C">
              <w:rPr>
                <w:szCs w:val="22"/>
                <w:lang w:val="pl-PL"/>
              </w:rPr>
              <w:t>0,54</w:t>
            </w:r>
          </w:p>
          <w:p w14:paraId="61F07C69" w14:textId="77777777" w:rsidR="00994050" w:rsidRPr="0015541C" w:rsidRDefault="00994050" w:rsidP="00831E76">
            <w:pPr>
              <w:keepNext/>
              <w:spacing w:before="40" w:after="40"/>
              <w:jc w:val="center"/>
              <w:rPr>
                <w:szCs w:val="22"/>
                <w:lang w:val="pl-PL"/>
              </w:rPr>
            </w:pPr>
            <w:r w:rsidRPr="00260CEC">
              <w:rPr>
                <w:szCs w:val="22"/>
                <w:lang w:val="pl-PL"/>
              </w:rPr>
              <w:t>(wartość p &lt; 0,0001)</w:t>
            </w:r>
          </w:p>
        </w:tc>
      </w:tr>
      <w:tr w:rsidR="00994050" w:rsidRPr="0015541C" w14:paraId="63BB41DA" w14:textId="77777777" w:rsidTr="00831E76">
        <w:trPr>
          <w:trHeight w:val="57"/>
        </w:trPr>
        <w:tc>
          <w:tcPr>
            <w:tcW w:w="8710" w:type="dxa"/>
            <w:gridSpan w:val="3"/>
          </w:tcPr>
          <w:p w14:paraId="2AED113E" w14:textId="77777777" w:rsidR="00994050" w:rsidRPr="0015541C" w:rsidRDefault="00994050" w:rsidP="00831E76">
            <w:pPr>
              <w:keepNext/>
              <w:spacing w:before="40" w:after="40"/>
              <w:rPr>
                <w:szCs w:val="22"/>
                <w:lang w:val="pl-PL"/>
              </w:rPr>
            </w:pPr>
            <w:r w:rsidRPr="0015541C">
              <w:rPr>
                <w:bCs/>
                <w:szCs w:val="22"/>
                <w:lang w:val="pl-PL"/>
              </w:rPr>
              <w:t>Całkowity współczynnik odpowiedzi</w:t>
            </w:r>
          </w:p>
        </w:tc>
      </w:tr>
      <w:tr w:rsidR="00994050" w:rsidRPr="0015541C" w14:paraId="2010013E" w14:textId="77777777" w:rsidTr="00831E76">
        <w:trPr>
          <w:trHeight w:val="57"/>
        </w:trPr>
        <w:tc>
          <w:tcPr>
            <w:tcW w:w="3490" w:type="dxa"/>
          </w:tcPr>
          <w:p w14:paraId="21DA293B" w14:textId="77777777" w:rsidR="00994050" w:rsidRPr="0015541C" w:rsidRDefault="00994050" w:rsidP="00831E76">
            <w:pPr>
              <w:keepNext/>
              <w:spacing w:before="40" w:after="40"/>
              <w:ind w:left="284"/>
              <w:rPr>
                <w:szCs w:val="22"/>
                <w:lang w:val="pl-PL"/>
              </w:rPr>
            </w:pPr>
            <w:r w:rsidRPr="0015541C">
              <w:rPr>
                <w:szCs w:val="22"/>
                <w:lang w:val="pl-PL"/>
              </w:rPr>
              <w:t>Współczynnik (w procentach)</w:t>
            </w:r>
          </w:p>
        </w:tc>
        <w:tc>
          <w:tcPr>
            <w:tcW w:w="2610" w:type="dxa"/>
          </w:tcPr>
          <w:p w14:paraId="496C7887" w14:textId="77777777" w:rsidR="00994050" w:rsidRPr="0015541C" w:rsidRDefault="00994050" w:rsidP="00831E76">
            <w:pPr>
              <w:keepNext/>
              <w:spacing w:before="40" w:after="40"/>
              <w:jc w:val="center"/>
              <w:rPr>
                <w:szCs w:val="22"/>
                <w:lang w:val="pl-PL"/>
              </w:rPr>
            </w:pPr>
            <w:r w:rsidRPr="0015541C">
              <w:rPr>
                <w:szCs w:val="22"/>
                <w:lang w:val="pl-PL"/>
              </w:rPr>
              <w:t>34,8</w:t>
            </w:r>
          </w:p>
        </w:tc>
        <w:tc>
          <w:tcPr>
            <w:tcW w:w="2610" w:type="dxa"/>
          </w:tcPr>
          <w:p w14:paraId="6158A071" w14:textId="77777777" w:rsidR="00994050" w:rsidRPr="0015541C" w:rsidRDefault="00994050" w:rsidP="00831E76">
            <w:pPr>
              <w:keepNext/>
              <w:spacing w:before="40" w:after="40"/>
              <w:jc w:val="center"/>
              <w:rPr>
                <w:szCs w:val="22"/>
                <w:lang w:val="pl-PL"/>
              </w:rPr>
            </w:pPr>
            <w:r w:rsidRPr="00260CEC">
              <w:rPr>
                <w:szCs w:val="22"/>
                <w:lang w:val="pl-PL"/>
              </w:rPr>
              <w:t>44,8</w:t>
            </w:r>
          </w:p>
        </w:tc>
      </w:tr>
      <w:tr w:rsidR="00994050" w:rsidRPr="0015541C" w14:paraId="383CB9F4" w14:textId="77777777" w:rsidTr="00831E76">
        <w:trPr>
          <w:trHeight w:val="57"/>
        </w:trPr>
        <w:tc>
          <w:tcPr>
            <w:tcW w:w="3490" w:type="dxa"/>
          </w:tcPr>
          <w:p w14:paraId="210C7A79" w14:textId="77777777" w:rsidR="00994050" w:rsidRPr="0015541C" w:rsidRDefault="00994050" w:rsidP="00831E76">
            <w:pPr>
              <w:keepNext/>
              <w:spacing w:before="40" w:after="40"/>
              <w:ind w:left="284"/>
              <w:rPr>
                <w:szCs w:val="22"/>
                <w:lang w:val="pl-PL"/>
              </w:rPr>
            </w:pPr>
          </w:p>
        </w:tc>
        <w:tc>
          <w:tcPr>
            <w:tcW w:w="5220" w:type="dxa"/>
            <w:gridSpan w:val="2"/>
          </w:tcPr>
          <w:p w14:paraId="76C32A5A" w14:textId="77777777" w:rsidR="00994050" w:rsidRPr="0015541C" w:rsidRDefault="00994050" w:rsidP="00831E76">
            <w:pPr>
              <w:keepNext/>
              <w:spacing w:before="40" w:after="40"/>
              <w:jc w:val="center"/>
              <w:rPr>
                <w:szCs w:val="22"/>
                <w:lang w:val="pl-PL"/>
              </w:rPr>
            </w:pPr>
            <w:r w:rsidRPr="0015541C">
              <w:rPr>
                <w:szCs w:val="22"/>
                <w:lang w:val="pl-PL"/>
              </w:rPr>
              <w:t>(wartość p= 0,0036)</w:t>
            </w:r>
          </w:p>
        </w:tc>
      </w:tr>
    </w:tbl>
    <w:p w14:paraId="0CB697D7" w14:textId="77EA11BC" w:rsidR="00994050" w:rsidRPr="0015541C" w:rsidRDefault="00994050" w:rsidP="00831E76">
      <w:pPr>
        <w:keepNext/>
        <w:rPr>
          <w:sz w:val="20"/>
          <w:lang w:val="pl-PL"/>
        </w:rPr>
      </w:pPr>
      <w:r w:rsidRPr="0015541C">
        <w:rPr>
          <w:sz w:val="20"/>
          <w:vertAlign w:val="superscript"/>
          <w:lang w:val="pl-PL"/>
        </w:rPr>
        <w:t>a</w:t>
      </w:r>
      <w:r w:rsidRPr="0015541C">
        <w:rPr>
          <w:sz w:val="20"/>
          <w:lang w:val="pl-PL"/>
        </w:rPr>
        <w:t xml:space="preserve"> 5 </w:t>
      </w:r>
      <w:r w:rsidR="006C1132" w:rsidRPr="0015541C">
        <w:rPr>
          <w:sz w:val="20"/>
          <w:lang w:val="pl-PL"/>
        </w:rPr>
        <w:t>mg/kg mc.</w:t>
      </w:r>
      <w:r w:rsidRPr="0015541C">
        <w:rPr>
          <w:sz w:val="20"/>
          <w:lang w:val="pl-PL"/>
        </w:rPr>
        <w:t>, co 2 tygodnie</w:t>
      </w:r>
    </w:p>
    <w:p w14:paraId="53EBD08C" w14:textId="77777777" w:rsidR="00994050" w:rsidRPr="0015541C" w:rsidRDefault="00994050" w:rsidP="00831E76">
      <w:pPr>
        <w:keepNext/>
        <w:rPr>
          <w:sz w:val="20"/>
          <w:lang w:val="pl-PL"/>
        </w:rPr>
      </w:pPr>
      <w:r w:rsidRPr="0015541C">
        <w:rPr>
          <w:sz w:val="20"/>
          <w:vertAlign w:val="superscript"/>
          <w:lang w:val="pl-PL"/>
        </w:rPr>
        <w:t>b</w:t>
      </w:r>
      <w:r w:rsidRPr="0015541C">
        <w:rPr>
          <w:sz w:val="20"/>
          <w:lang w:val="pl-PL"/>
        </w:rPr>
        <w:t xml:space="preserve"> W stosunku do ramienia kontrolnego</w:t>
      </w:r>
    </w:p>
    <w:p w14:paraId="18AC629A" w14:textId="77777777" w:rsidR="00994050" w:rsidRPr="00260CEC" w:rsidRDefault="00994050" w:rsidP="00831E76">
      <w:pPr>
        <w:rPr>
          <w:lang w:val="pl-PL"/>
        </w:rPr>
      </w:pPr>
    </w:p>
    <w:p w14:paraId="284F7C52" w14:textId="2C3F9253" w:rsidR="00994050" w:rsidRPr="0015541C" w:rsidRDefault="00994050" w:rsidP="00831E76">
      <w:pPr>
        <w:rPr>
          <w:lang w:val="pl-PL"/>
        </w:rPr>
      </w:pPr>
      <w:r w:rsidRPr="0015541C">
        <w:rPr>
          <w:lang w:val="pl-PL"/>
        </w:rPr>
        <w:t>Wśród 110 pacjentów przydzielonych losowo do Ramienia 3 (5</w:t>
      </w:r>
      <w:r w:rsidR="00B722C9" w:rsidRPr="0015541C">
        <w:rPr>
          <w:lang w:val="pl-PL"/>
        </w:rPr>
        <w:noBreakHyphen/>
      </w:r>
      <w:r w:rsidRPr="0015541C">
        <w:rPr>
          <w:lang w:val="pl-PL"/>
        </w:rPr>
        <w:t xml:space="preserve">FU/FA + </w:t>
      </w:r>
      <w:r w:rsidR="008B45EB" w:rsidRPr="0015541C">
        <w:rPr>
          <w:lang w:val="pl-PL"/>
        </w:rPr>
        <w:t>bewacyzumab</w:t>
      </w:r>
      <w:r w:rsidRPr="0015541C">
        <w:rPr>
          <w:lang w:val="pl-PL"/>
        </w:rPr>
        <w:t xml:space="preserve">), przed zamknięciem tego ramienia, mediana </w:t>
      </w:r>
      <w:r w:rsidR="00A251D8" w:rsidRPr="0015541C">
        <w:rPr>
          <w:lang w:val="pl-PL"/>
        </w:rPr>
        <w:t>OS</w:t>
      </w:r>
      <w:r w:rsidRPr="0015541C">
        <w:rPr>
          <w:lang w:val="pl-PL"/>
        </w:rPr>
        <w:t xml:space="preserve"> wynosiła 18,3 miesięcy a mediana </w:t>
      </w:r>
      <w:r w:rsidR="00A251D8" w:rsidRPr="0015541C">
        <w:rPr>
          <w:lang w:val="pl-PL"/>
        </w:rPr>
        <w:t>PFS</w:t>
      </w:r>
      <w:r w:rsidRPr="0015541C">
        <w:rPr>
          <w:lang w:val="pl-PL"/>
        </w:rPr>
        <w:t xml:space="preserve"> – 8,8 miesięcy.</w:t>
      </w:r>
    </w:p>
    <w:p w14:paraId="0C612F7B" w14:textId="77777777" w:rsidR="00994050" w:rsidRPr="0015541C" w:rsidRDefault="00994050" w:rsidP="00831E76">
      <w:pPr>
        <w:rPr>
          <w:lang w:val="pl-PL"/>
        </w:rPr>
      </w:pPr>
    </w:p>
    <w:p w14:paraId="0767456C" w14:textId="77777777" w:rsidR="00D74975" w:rsidRPr="0015541C" w:rsidRDefault="00994050" w:rsidP="00831E76">
      <w:pPr>
        <w:rPr>
          <w:lang w:val="pl-PL"/>
        </w:rPr>
      </w:pPr>
      <w:r w:rsidRPr="0015541C">
        <w:rPr>
          <w:bCs/>
          <w:i/>
          <w:lang w:val="pl-PL"/>
        </w:rPr>
        <w:t>AVF2192g</w:t>
      </w:r>
    </w:p>
    <w:p w14:paraId="1FDEFB81" w14:textId="7228C1E2" w:rsidR="00994050" w:rsidRPr="0015541C" w:rsidRDefault="00994050" w:rsidP="00831E76">
      <w:pPr>
        <w:rPr>
          <w:lang w:val="pl-PL"/>
        </w:rPr>
      </w:pPr>
      <w:r w:rsidRPr="0015541C">
        <w:rPr>
          <w:lang w:val="pl-PL"/>
        </w:rPr>
        <w:t xml:space="preserve">Było to randomizowane badanie kliniczne drugiej fazy, z podwójnie ślepą próbą i aktywną kontrolą, oceniające skuteczność i bezpieczeństwo </w:t>
      </w:r>
      <w:r w:rsidR="008B45EB" w:rsidRPr="0015541C">
        <w:rPr>
          <w:lang w:val="pl-PL"/>
        </w:rPr>
        <w:t>bewacyzumab</w:t>
      </w:r>
      <w:r w:rsidRPr="0015541C">
        <w:rPr>
          <w:lang w:val="pl-PL"/>
        </w:rPr>
        <w:t>u w skojarzeniu z 5</w:t>
      </w:r>
      <w:r w:rsidR="00B722C9" w:rsidRPr="0015541C">
        <w:rPr>
          <w:lang w:val="pl-PL"/>
        </w:rPr>
        <w:noBreakHyphen/>
      </w:r>
      <w:r w:rsidRPr="0015541C">
        <w:rPr>
          <w:lang w:val="pl-PL"/>
        </w:rPr>
        <w:t>FU/FA jako leczenia pierwszego rzutu w raku okrężnicy lub odbytnicy z przerzutami u pacjentów, którzy nie byli optymalnymi kandydatami do leczenia pierwszego rzutu z zastosowaniem irynotekanu. 105 pacjentów zostało losowo przydzielonych do ramienia 5</w:t>
      </w:r>
      <w:r w:rsidR="00B722C9" w:rsidRPr="0015541C">
        <w:rPr>
          <w:lang w:val="pl-PL"/>
        </w:rPr>
        <w:noBreakHyphen/>
      </w:r>
      <w:r w:rsidRPr="0015541C">
        <w:rPr>
          <w:lang w:val="pl-PL"/>
        </w:rPr>
        <w:t xml:space="preserve">FU/FA + placebo, a 104 pacjentów do ramienia </w:t>
      </w:r>
      <w:r w:rsidR="001A56C3" w:rsidRPr="0015541C">
        <w:rPr>
          <w:lang w:val="pl-PL"/>
        </w:rPr>
        <w:br/>
      </w:r>
      <w:r w:rsidRPr="0015541C">
        <w:rPr>
          <w:lang w:val="pl-PL"/>
        </w:rPr>
        <w:t>5</w:t>
      </w:r>
      <w:r w:rsidR="00B722C9" w:rsidRPr="0015541C">
        <w:rPr>
          <w:lang w:val="pl-PL"/>
        </w:rPr>
        <w:noBreakHyphen/>
      </w:r>
      <w:r w:rsidRPr="0015541C">
        <w:rPr>
          <w:lang w:val="pl-PL"/>
        </w:rPr>
        <w:t xml:space="preserve">FU/FA + </w:t>
      </w:r>
      <w:r w:rsidR="00BF41F3" w:rsidRPr="0015541C">
        <w:rPr>
          <w:lang w:val="pl-PL"/>
        </w:rPr>
        <w:t>bewacyzumab</w:t>
      </w:r>
      <w:r w:rsidRPr="0015541C">
        <w:rPr>
          <w:lang w:val="pl-PL"/>
        </w:rPr>
        <w:t xml:space="preserve"> (5 </w:t>
      </w:r>
      <w:r w:rsidR="006C1132" w:rsidRPr="0015541C">
        <w:rPr>
          <w:lang w:val="pl-PL"/>
        </w:rPr>
        <w:t>mg/kg mc.</w:t>
      </w:r>
      <w:r w:rsidRPr="0015541C">
        <w:rPr>
          <w:lang w:val="pl-PL"/>
        </w:rPr>
        <w:t xml:space="preserve">, co dwa tygodnie). Wszystkie rodzaje leczenia były kontynuowane do czasu wystąpienia progresji choroby. Dodanie </w:t>
      </w:r>
      <w:r w:rsidR="00D37AC2">
        <w:rPr>
          <w:lang w:val="pl-PL"/>
        </w:rPr>
        <w:t xml:space="preserve">bewacyzumabu </w:t>
      </w:r>
      <w:r w:rsidRPr="0015541C">
        <w:rPr>
          <w:lang w:val="pl-PL"/>
        </w:rPr>
        <w:t>w dawce 5 </w:t>
      </w:r>
      <w:r w:rsidR="006C1132" w:rsidRPr="0015541C">
        <w:rPr>
          <w:lang w:val="pl-PL"/>
        </w:rPr>
        <w:t>mg/kg mc.</w:t>
      </w:r>
      <w:r w:rsidRPr="0015541C">
        <w:rPr>
          <w:lang w:val="pl-PL"/>
        </w:rPr>
        <w:t>, co dwa tygodnie do schematu 5</w:t>
      </w:r>
      <w:r w:rsidR="00B722C9" w:rsidRPr="0015541C">
        <w:rPr>
          <w:lang w:val="pl-PL"/>
        </w:rPr>
        <w:noBreakHyphen/>
      </w:r>
      <w:r w:rsidRPr="0015541C">
        <w:rPr>
          <w:lang w:val="pl-PL"/>
        </w:rPr>
        <w:t xml:space="preserve">FU/FA prowadziło do uzyskania wyższych obiektywnych współczynników odpowiedzi, znacząco dłuższego </w:t>
      </w:r>
      <w:r w:rsidR="00A251D8" w:rsidRPr="0015541C">
        <w:rPr>
          <w:lang w:val="pl-PL"/>
        </w:rPr>
        <w:t>PFS</w:t>
      </w:r>
      <w:r w:rsidRPr="0015541C">
        <w:rPr>
          <w:lang w:val="pl-PL"/>
        </w:rPr>
        <w:t>, z tendencją do dłuższego okresu przeżycia w porównaniu z samą chemioterapią 5</w:t>
      </w:r>
      <w:r w:rsidR="00B722C9" w:rsidRPr="0015541C">
        <w:rPr>
          <w:lang w:val="pl-PL"/>
        </w:rPr>
        <w:noBreakHyphen/>
      </w:r>
      <w:r w:rsidRPr="0015541C">
        <w:rPr>
          <w:lang w:val="pl-PL"/>
        </w:rPr>
        <w:t>FU/FA.</w:t>
      </w:r>
    </w:p>
    <w:p w14:paraId="48635157" w14:textId="77777777" w:rsidR="00994050" w:rsidRPr="0015541C" w:rsidRDefault="00994050" w:rsidP="00994050">
      <w:pPr>
        <w:rPr>
          <w:lang w:val="pl-PL"/>
        </w:rPr>
      </w:pPr>
    </w:p>
    <w:p w14:paraId="25344967" w14:textId="77777777" w:rsidR="00D74975" w:rsidRPr="0015541C" w:rsidRDefault="00994050" w:rsidP="00D16D61">
      <w:pPr>
        <w:keepNext/>
        <w:rPr>
          <w:b/>
          <w:bCs/>
          <w:lang w:val="pl-PL"/>
        </w:rPr>
      </w:pPr>
      <w:r w:rsidRPr="0015541C">
        <w:rPr>
          <w:bCs/>
          <w:i/>
          <w:lang w:val="pl-PL"/>
        </w:rPr>
        <w:t>AVF0780g</w:t>
      </w:r>
    </w:p>
    <w:p w14:paraId="61F0C33E" w14:textId="185D28FF" w:rsidR="00994050" w:rsidRPr="0015541C" w:rsidRDefault="00994050" w:rsidP="00994050">
      <w:pPr>
        <w:rPr>
          <w:lang w:val="pl-PL"/>
        </w:rPr>
      </w:pPr>
      <w:r w:rsidRPr="0015541C">
        <w:rPr>
          <w:lang w:val="pl-PL"/>
        </w:rPr>
        <w:t xml:space="preserve">Było to randomizowane badanie kliniczne drugiej fazy, z jawną próbą i aktywną kontrolą, oceniające zastosowanie </w:t>
      </w:r>
      <w:r w:rsidR="00177E64" w:rsidRPr="0015541C">
        <w:rPr>
          <w:lang w:val="pl-PL"/>
        </w:rPr>
        <w:t>bewacyzumab</w:t>
      </w:r>
      <w:r w:rsidRPr="0015541C">
        <w:rPr>
          <w:lang w:val="pl-PL"/>
        </w:rPr>
        <w:t>u w skojarzeniu z 5</w:t>
      </w:r>
      <w:r w:rsidR="00B722C9" w:rsidRPr="0015541C">
        <w:rPr>
          <w:lang w:val="pl-PL"/>
        </w:rPr>
        <w:noBreakHyphen/>
      </w:r>
      <w:r w:rsidRPr="0015541C">
        <w:rPr>
          <w:lang w:val="pl-PL"/>
        </w:rPr>
        <w:t xml:space="preserve">FU/FA jako leczenia pierwszego rzutu w raku okrężnicy lub odbytnicy z przerzutami. </w:t>
      </w:r>
      <w:r w:rsidR="00AF40AA" w:rsidRPr="0015541C">
        <w:rPr>
          <w:lang w:val="pl-PL"/>
        </w:rPr>
        <w:t xml:space="preserve">Mediana wieku wynosiła 64 lata.19% pacjentów otrzymywało wcześniej chemioterapię i 14% otrzymywało wcześniej radioterapię. </w:t>
      </w:r>
      <w:r w:rsidRPr="0015541C">
        <w:rPr>
          <w:lang w:val="pl-PL"/>
        </w:rPr>
        <w:t>71 pacjentów zostało losowo przydzielonych do grupy otrzymującej 5</w:t>
      </w:r>
      <w:r w:rsidR="00B722C9" w:rsidRPr="0015541C">
        <w:rPr>
          <w:lang w:val="pl-PL"/>
        </w:rPr>
        <w:noBreakHyphen/>
      </w:r>
      <w:r w:rsidRPr="0015541C">
        <w:rPr>
          <w:lang w:val="pl-PL"/>
        </w:rPr>
        <w:t>FU/FA w postaci bolusu lub 5</w:t>
      </w:r>
      <w:r w:rsidR="00B722C9" w:rsidRPr="0015541C">
        <w:rPr>
          <w:lang w:val="pl-PL"/>
        </w:rPr>
        <w:noBreakHyphen/>
      </w:r>
      <w:r w:rsidRPr="0015541C">
        <w:rPr>
          <w:lang w:val="pl-PL"/>
        </w:rPr>
        <w:t xml:space="preserve">FU/FA + </w:t>
      </w:r>
      <w:r w:rsidR="00177E64" w:rsidRPr="0015541C">
        <w:rPr>
          <w:lang w:val="pl-PL"/>
        </w:rPr>
        <w:t>bewacyzumab</w:t>
      </w:r>
      <w:r w:rsidRPr="0015541C">
        <w:rPr>
          <w:lang w:val="pl-PL"/>
        </w:rPr>
        <w:t xml:space="preserve"> (5 </w:t>
      </w:r>
      <w:r w:rsidR="006C1132" w:rsidRPr="0015541C">
        <w:rPr>
          <w:lang w:val="pl-PL"/>
        </w:rPr>
        <w:t>mg/kg mc.</w:t>
      </w:r>
      <w:r w:rsidRPr="0015541C">
        <w:rPr>
          <w:lang w:val="pl-PL"/>
        </w:rPr>
        <w:t>, co dwa tygodnie). Trzecia grupa licząca 33 pacjentów otrzymywała 5</w:t>
      </w:r>
      <w:r w:rsidR="00B722C9" w:rsidRPr="0015541C">
        <w:rPr>
          <w:lang w:val="pl-PL"/>
        </w:rPr>
        <w:noBreakHyphen/>
      </w:r>
      <w:r w:rsidRPr="0015541C">
        <w:rPr>
          <w:lang w:val="pl-PL"/>
        </w:rPr>
        <w:t xml:space="preserve">FU/FA (bolus) + </w:t>
      </w:r>
      <w:r w:rsidR="00177E64" w:rsidRPr="0015541C">
        <w:rPr>
          <w:lang w:val="pl-PL"/>
        </w:rPr>
        <w:t>bewacyzumab</w:t>
      </w:r>
      <w:r w:rsidRPr="0015541C">
        <w:rPr>
          <w:lang w:val="pl-PL"/>
        </w:rPr>
        <w:t xml:space="preserve"> (10 </w:t>
      </w:r>
      <w:r w:rsidR="006C1132" w:rsidRPr="0015541C">
        <w:rPr>
          <w:lang w:val="pl-PL"/>
        </w:rPr>
        <w:t>mg/kg mc.</w:t>
      </w:r>
      <w:r w:rsidRPr="0015541C">
        <w:rPr>
          <w:lang w:val="pl-PL"/>
        </w:rPr>
        <w:t xml:space="preserve">, co dwa tygodnie). Pacjenci byli leczeni do czasu wystąpienia progresji choroby. Głównymi punktami końcowymi badania były: obiektywny współczynnik odpowiedzi i </w:t>
      </w:r>
      <w:r w:rsidR="00A251D8" w:rsidRPr="0015541C">
        <w:rPr>
          <w:lang w:val="pl-PL"/>
        </w:rPr>
        <w:t>PFS</w:t>
      </w:r>
      <w:r w:rsidRPr="0015541C">
        <w:rPr>
          <w:lang w:val="pl-PL"/>
        </w:rPr>
        <w:t xml:space="preserve">. Dodanie </w:t>
      </w:r>
      <w:r w:rsidR="00177E64" w:rsidRPr="0015541C">
        <w:rPr>
          <w:lang w:val="pl-PL"/>
        </w:rPr>
        <w:t>bewacyzumab</w:t>
      </w:r>
      <w:r w:rsidRPr="0015541C">
        <w:rPr>
          <w:lang w:val="pl-PL"/>
        </w:rPr>
        <w:t>u w dawce 5 </w:t>
      </w:r>
      <w:r w:rsidR="006C1132" w:rsidRPr="0015541C">
        <w:rPr>
          <w:lang w:val="pl-PL"/>
        </w:rPr>
        <w:t>mg/kg mc.</w:t>
      </w:r>
      <w:r w:rsidRPr="0015541C">
        <w:rPr>
          <w:lang w:val="pl-PL"/>
        </w:rPr>
        <w:t xml:space="preserve">, co dwa tygodnie do schematu </w:t>
      </w:r>
      <w:r w:rsidR="00783CCC" w:rsidRPr="0015541C">
        <w:rPr>
          <w:lang w:val="pl-PL"/>
        </w:rPr>
        <w:br/>
      </w:r>
      <w:r w:rsidRPr="0015541C">
        <w:rPr>
          <w:lang w:val="pl-PL"/>
        </w:rPr>
        <w:t>5</w:t>
      </w:r>
      <w:r w:rsidR="00B722C9" w:rsidRPr="0015541C">
        <w:rPr>
          <w:lang w:val="pl-PL"/>
        </w:rPr>
        <w:noBreakHyphen/>
      </w:r>
      <w:r w:rsidRPr="0015541C">
        <w:rPr>
          <w:lang w:val="pl-PL"/>
        </w:rPr>
        <w:t xml:space="preserve">FU/FA prowadziło do uzyskania wyższych obiektywnych współczynników odpowiedzi, znacząco dłuższego </w:t>
      </w:r>
      <w:r w:rsidR="00A251D8" w:rsidRPr="0015541C">
        <w:rPr>
          <w:lang w:val="pl-PL"/>
        </w:rPr>
        <w:t>PFS</w:t>
      </w:r>
      <w:r w:rsidRPr="0015541C">
        <w:rPr>
          <w:lang w:val="pl-PL"/>
        </w:rPr>
        <w:t>, z tendencją do dłuższego okresu przeżycia w porównaniu z samą chemioterapią 5</w:t>
      </w:r>
      <w:r w:rsidR="00B722C9" w:rsidRPr="0015541C">
        <w:rPr>
          <w:lang w:val="pl-PL"/>
        </w:rPr>
        <w:noBreakHyphen/>
      </w:r>
      <w:r w:rsidRPr="0015541C">
        <w:rPr>
          <w:lang w:val="pl-PL"/>
        </w:rPr>
        <w:t>FU/FA (patrz Tabela</w:t>
      </w:r>
      <w:r w:rsidR="00A272F6" w:rsidRPr="0015541C">
        <w:rPr>
          <w:lang w:val="pl-PL"/>
        </w:rPr>
        <w:t> </w:t>
      </w:r>
      <w:r w:rsidR="008800D7" w:rsidRPr="0015541C">
        <w:rPr>
          <w:lang w:val="pl-PL"/>
        </w:rPr>
        <w:t>5</w:t>
      </w:r>
      <w:r w:rsidRPr="0015541C">
        <w:rPr>
          <w:lang w:val="pl-PL"/>
        </w:rPr>
        <w:t>). Wspomniane parametry skuteczności były zgodne z wynikami obserwowanymi w badaniu AVF2107g.</w:t>
      </w:r>
    </w:p>
    <w:p w14:paraId="6C7EFEA8" w14:textId="77777777" w:rsidR="00994050" w:rsidRPr="0015541C" w:rsidRDefault="00994050" w:rsidP="00994050">
      <w:pPr>
        <w:rPr>
          <w:lang w:val="pl-PL"/>
        </w:rPr>
      </w:pPr>
    </w:p>
    <w:p w14:paraId="5EFC6AC4" w14:textId="4816FAC7" w:rsidR="00994050" w:rsidRPr="0015541C" w:rsidRDefault="00994050" w:rsidP="00994050">
      <w:pPr>
        <w:rPr>
          <w:lang w:val="pl-PL"/>
        </w:rPr>
      </w:pPr>
      <w:r w:rsidRPr="0015541C">
        <w:rPr>
          <w:lang w:val="pl-PL"/>
        </w:rPr>
        <w:lastRenderedPageBreak/>
        <w:t xml:space="preserve">Dane dotyczące skuteczności uzyskane w badaniach AVF0780g i AVF2192g, oceniających zastosowanie </w:t>
      </w:r>
      <w:r w:rsidR="00B35D2D" w:rsidRPr="0015541C">
        <w:rPr>
          <w:lang w:val="pl-PL"/>
        </w:rPr>
        <w:t>bewacyzumab</w:t>
      </w:r>
      <w:r w:rsidRPr="0015541C">
        <w:rPr>
          <w:lang w:val="pl-PL"/>
        </w:rPr>
        <w:t>u w skojarzeniu z chemioterapią 5</w:t>
      </w:r>
      <w:r w:rsidR="00B722C9" w:rsidRPr="0015541C">
        <w:rPr>
          <w:lang w:val="pl-PL"/>
        </w:rPr>
        <w:noBreakHyphen/>
      </w:r>
      <w:r w:rsidRPr="0015541C">
        <w:rPr>
          <w:lang w:val="pl-PL"/>
        </w:rPr>
        <w:t>FU/FA zostały w skrócie przedstawione w Tabeli</w:t>
      </w:r>
      <w:r w:rsidR="000850B8" w:rsidRPr="0015541C">
        <w:rPr>
          <w:lang w:val="pl-PL"/>
        </w:rPr>
        <w:t> </w:t>
      </w:r>
      <w:r w:rsidR="008800D7" w:rsidRPr="0015541C">
        <w:rPr>
          <w:lang w:val="pl-PL"/>
        </w:rPr>
        <w:t>5</w:t>
      </w:r>
      <w:r w:rsidRPr="0015541C">
        <w:rPr>
          <w:lang w:val="pl-PL"/>
        </w:rPr>
        <w:t>.</w:t>
      </w:r>
    </w:p>
    <w:p w14:paraId="1498C53C" w14:textId="77777777" w:rsidR="00994050" w:rsidRPr="0015541C" w:rsidRDefault="00994050" w:rsidP="00994050">
      <w:pPr>
        <w:rPr>
          <w:sz w:val="20"/>
          <w:lang w:val="pl-PL"/>
        </w:rPr>
      </w:pPr>
    </w:p>
    <w:p w14:paraId="43D35514" w14:textId="77777777" w:rsidR="00994050" w:rsidRPr="0070444C" w:rsidRDefault="00994050" w:rsidP="003C6FA3">
      <w:pPr>
        <w:keepNext/>
        <w:keepLines/>
        <w:ind w:left="539" w:hanging="539"/>
        <w:rPr>
          <w:sz w:val="16"/>
          <w:lang w:val="pl-PL"/>
        </w:rPr>
      </w:pPr>
      <w:r w:rsidRPr="0015541C">
        <w:rPr>
          <w:b/>
          <w:bCs/>
          <w:lang w:val="pl-PL"/>
        </w:rPr>
        <w:t>Tabela</w:t>
      </w:r>
      <w:r w:rsidR="00FE0887" w:rsidRPr="0015541C">
        <w:rPr>
          <w:b/>
          <w:bCs/>
          <w:lang w:val="pl-PL"/>
        </w:rPr>
        <w:t> </w:t>
      </w:r>
      <w:r w:rsidR="008800D7" w:rsidRPr="0015541C">
        <w:rPr>
          <w:b/>
          <w:bCs/>
          <w:lang w:val="pl-PL"/>
        </w:rPr>
        <w:t>5</w:t>
      </w:r>
      <w:r w:rsidRPr="0015541C">
        <w:rPr>
          <w:b/>
          <w:bCs/>
          <w:lang w:val="pl-PL"/>
        </w:rPr>
        <w:t>.</w:t>
      </w:r>
      <w:r w:rsidRPr="0015541C">
        <w:rPr>
          <w:b/>
          <w:bCs/>
          <w:lang w:val="pl-PL"/>
        </w:rPr>
        <w:tab/>
        <w:t xml:space="preserve">Wyniki oceny skuteczności dla badań </w:t>
      </w:r>
      <w:r w:rsidRPr="0015541C">
        <w:rPr>
          <w:b/>
          <w:lang w:val="pl-PL"/>
        </w:rPr>
        <w:t>AVF0780g i AVF2192g</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6"/>
        <w:gridCol w:w="53"/>
        <w:gridCol w:w="1176"/>
        <w:gridCol w:w="1473"/>
        <w:gridCol w:w="1473"/>
        <w:gridCol w:w="1226"/>
        <w:gridCol w:w="1473"/>
      </w:tblGrid>
      <w:tr w:rsidR="00994050" w:rsidRPr="0015541C" w14:paraId="7AEABD89" w14:textId="77777777" w:rsidTr="00D16D61">
        <w:trPr>
          <w:cantSplit/>
          <w:tblHeader/>
        </w:trPr>
        <w:tc>
          <w:tcPr>
            <w:tcW w:w="2480" w:type="dxa"/>
            <w:gridSpan w:val="2"/>
            <w:vMerge w:val="restart"/>
          </w:tcPr>
          <w:p w14:paraId="1D73C8A5" w14:textId="77777777" w:rsidR="00994050" w:rsidRPr="0015541C" w:rsidRDefault="00994050" w:rsidP="00514BE3">
            <w:pPr>
              <w:keepNext/>
              <w:keepLines/>
              <w:spacing w:before="40" w:after="40" w:line="200" w:lineRule="exact"/>
              <w:rPr>
                <w:szCs w:val="22"/>
                <w:lang w:val="pl-PL"/>
              </w:rPr>
            </w:pPr>
          </w:p>
        </w:tc>
        <w:tc>
          <w:tcPr>
            <w:tcW w:w="3926" w:type="dxa"/>
            <w:gridSpan w:val="3"/>
          </w:tcPr>
          <w:p w14:paraId="7DE51663" w14:textId="77777777" w:rsidR="00994050" w:rsidRPr="0070444C" w:rsidRDefault="00994050" w:rsidP="00514BE3">
            <w:pPr>
              <w:keepNext/>
              <w:keepLines/>
              <w:spacing w:before="40" w:after="40" w:line="200" w:lineRule="exact"/>
              <w:jc w:val="center"/>
              <w:rPr>
                <w:b/>
                <w:lang w:val="pl-PL"/>
              </w:rPr>
            </w:pPr>
            <w:r w:rsidRPr="0070444C">
              <w:rPr>
                <w:b/>
                <w:lang w:val="pl-PL"/>
              </w:rPr>
              <w:t>AVF0780g</w:t>
            </w:r>
          </w:p>
        </w:tc>
        <w:tc>
          <w:tcPr>
            <w:tcW w:w="2664" w:type="dxa"/>
            <w:gridSpan w:val="2"/>
          </w:tcPr>
          <w:p w14:paraId="5898D9DC" w14:textId="77777777" w:rsidR="00994050" w:rsidRPr="0070444C" w:rsidRDefault="00994050" w:rsidP="00514BE3">
            <w:pPr>
              <w:keepNext/>
              <w:keepLines/>
              <w:spacing w:before="40" w:after="40" w:line="200" w:lineRule="exact"/>
              <w:jc w:val="center"/>
              <w:rPr>
                <w:b/>
                <w:lang w:val="pl-PL"/>
              </w:rPr>
            </w:pPr>
            <w:r w:rsidRPr="0070444C">
              <w:rPr>
                <w:b/>
                <w:lang w:val="pl-PL"/>
              </w:rPr>
              <w:t>AVF2192g</w:t>
            </w:r>
          </w:p>
        </w:tc>
      </w:tr>
      <w:tr w:rsidR="00994050" w:rsidRPr="0015541C" w14:paraId="288FE6D7" w14:textId="77777777">
        <w:trPr>
          <w:cantSplit/>
          <w:tblHeader/>
        </w:trPr>
        <w:tc>
          <w:tcPr>
            <w:tcW w:w="2480" w:type="dxa"/>
            <w:gridSpan w:val="2"/>
            <w:vMerge/>
          </w:tcPr>
          <w:p w14:paraId="1A763133" w14:textId="77777777" w:rsidR="00994050" w:rsidRPr="0015541C" w:rsidRDefault="00994050" w:rsidP="00514BE3">
            <w:pPr>
              <w:keepNext/>
              <w:keepLines/>
              <w:spacing w:before="40" w:after="40" w:line="200" w:lineRule="exact"/>
              <w:rPr>
                <w:szCs w:val="22"/>
                <w:lang w:val="pl-PL"/>
              </w:rPr>
            </w:pPr>
          </w:p>
        </w:tc>
        <w:tc>
          <w:tcPr>
            <w:tcW w:w="1262" w:type="dxa"/>
          </w:tcPr>
          <w:p w14:paraId="434A31E4" w14:textId="349F7B70" w:rsidR="00994050" w:rsidRPr="0070444C" w:rsidRDefault="00994050" w:rsidP="00514BE3">
            <w:pPr>
              <w:keepNext/>
              <w:keepLines/>
              <w:spacing w:before="40" w:after="40" w:line="200" w:lineRule="exact"/>
              <w:jc w:val="center"/>
              <w:rPr>
                <w:b/>
                <w:lang w:val="pl-PL"/>
              </w:rPr>
            </w:pPr>
            <w:r w:rsidRPr="0070444C">
              <w:rPr>
                <w:b/>
                <w:lang w:val="pl-PL"/>
              </w:rPr>
              <w:t>5</w:t>
            </w:r>
            <w:r w:rsidR="00B722C9" w:rsidRPr="0070444C">
              <w:rPr>
                <w:b/>
                <w:lang w:val="pl-PL"/>
              </w:rPr>
              <w:noBreakHyphen/>
            </w:r>
            <w:r w:rsidRPr="0070444C">
              <w:rPr>
                <w:b/>
                <w:lang w:val="pl-PL"/>
              </w:rPr>
              <w:t>FU/FA</w:t>
            </w:r>
          </w:p>
        </w:tc>
        <w:tc>
          <w:tcPr>
            <w:tcW w:w="1332" w:type="dxa"/>
          </w:tcPr>
          <w:p w14:paraId="1068D2CB" w14:textId="654F34AD" w:rsidR="00994050" w:rsidRPr="0070444C" w:rsidRDefault="00994050" w:rsidP="00514BE3">
            <w:pPr>
              <w:keepNext/>
              <w:keepLines/>
              <w:spacing w:before="40" w:after="40" w:line="200" w:lineRule="exact"/>
              <w:jc w:val="center"/>
              <w:rPr>
                <w:b/>
                <w:vertAlign w:val="superscript"/>
                <w:lang w:val="pl-PL"/>
              </w:rPr>
            </w:pPr>
            <w:r w:rsidRPr="0070444C">
              <w:rPr>
                <w:b/>
                <w:lang w:val="pl-PL"/>
              </w:rPr>
              <w:t>5</w:t>
            </w:r>
            <w:r w:rsidR="00B722C9" w:rsidRPr="0070444C">
              <w:rPr>
                <w:b/>
                <w:lang w:val="pl-PL"/>
              </w:rPr>
              <w:noBreakHyphen/>
            </w:r>
            <w:r w:rsidRPr="0070444C">
              <w:rPr>
                <w:b/>
                <w:lang w:val="pl-PL"/>
              </w:rPr>
              <w:t xml:space="preserve">FU/FA + </w:t>
            </w:r>
            <w:r w:rsidR="00B35D2D" w:rsidRPr="0015541C">
              <w:rPr>
                <w:b/>
                <w:bCs/>
                <w:szCs w:val="22"/>
                <w:lang w:val="pl-PL"/>
              </w:rPr>
              <w:t>bewacyzumab</w:t>
            </w:r>
            <w:r w:rsidR="00B35D2D" w:rsidRPr="0015541C" w:rsidDel="00D46663">
              <w:rPr>
                <w:b/>
                <w:bCs/>
                <w:szCs w:val="22"/>
                <w:lang w:val="pl-PL"/>
              </w:rPr>
              <w:t xml:space="preserve"> </w:t>
            </w:r>
            <w:r w:rsidRPr="0015541C">
              <w:rPr>
                <w:b/>
                <w:bCs/>
                <w:szCs w:val="22"/>
                <w:vertAlign w:val="superscript"/>
                <w:lang w:val="pl-PL"/>
              </w:rPr>
              <w:t>a</w:t>
            </w:r>
          </w:p>
        </w:tc>
        <w:tc>
          <w:tcPr>
            <w:tcW w:w="1332" w:type="dxa"/>
          </w:tcPr>
          <w:p w14:paraId="206B7CDB" w14:textId="2AA4CB82" w:rsidR="00994050" w:rsidRPr="0070444C" w:rsidRDefault="00994050" w:rsidP="00514BE3">
            <w:pPr>
              <w:keepNext/>
              <w:keepLines/>
              <w:spacing w:before="40" w:after="40" w:line="200" w:lineRule="exact"/>
              <w:jc w:val="center"/>
              <w:rPr>
                <w:b/>
                <w:lang w:val="pl-PL"/>
              </w:rPr>
            </w:pPr>
            <w:r w:rsidRPr="0070444C">
              <w:rPr>
                <w:b/>
                <w:lang w:val="pl-PL"/>
              </w:rPr>
              <w:t>5</w:t>
            </w:r>
            <w:r w:rsidR="00B722C9" w:rsidRPr="0070444C">
              <w:rPr>
                <w:b/>
                <w:lang w:val="pl-PL"/>
              </w:rPr>
              <w:noBreakHyphen/>
            </w:r>
            <w:r w:rsidRPr="0070444C">
              <w:rPr>
                <w:b/>
                <w:lang w:val="pl-PL"/>
              </w:rPr>
              <w:t xml:space="preserve">FU/FA + </w:t>
            </w:r>
            <w:r w:rsidR="00B35D2D" w:rsidRPr="0015541C">
              <w:rPr>
                <w:b/>
                <w:bCs/>
                <w:szCs w:val="22"/>
                <w:lang w:val="pl-PL"/>
              </w:rPr>
              <w:t>bewacyzumab</w:t>
            </w:r>
            <w:r w:rsidR="00B35D2D" w:rsidRPr="0015541C" w:rsidDel="00D46663">
              <w:rPr>
                <w:b/>
                <w:bCs/>
                <w:szCs w:val="22"/>
                <w:lang w:val="pl-PL"/>
              </w:rPr>
              <w:t xml:space="preserve"> </w:t>
            </w:r>
            <w:r w:rsidRPr="0015541C">
              <w:rPr>
                <w:b/>
                <w:bCs/>
                <w:szCs w:val="22"/>
                <w:vertAlign w:val="superscript"/>
                <w:lang w:val="pl-PL"/>
              </w:rPr>
              <w:t>b</w:t>
            </w:r>
          </w:p>
        </w:tc>
        <w:tc>
          <w:tcPr>
            <w:tcW w:w="1332" w:type="dxa"/>
          </w:tcPr>
          <w:p w14:paraId="56A19F7F" w14:textId="0F1FFAF8" w:rsidR="00994050" w:rsidRPr="0070444C" w:rsidRDefault="00994050" w:rsidP="00514BE3">
            <w:pPr>
              <w:keepNext/>
              <w:keepLines/>
              <w:spacing w:before="40" w:after="40" w:line="200" w:lineRule="exact"/>
              <w:jc w:val="center"/>
              <w:rPr>
                <w:b/>
                <w:lang w:val="pl-PL"/>
              </w:rPr>
            </w:pPr>
            <w:r w:rsidRPr="0070444C">
              <w:rPr>
                <w:b/>
                <w:lang w:val="pl-PL"/>
              </w:rPr>
              <w:t>5</w:t>
            </w:r>
            <w:r w:rsidR="00B722C9" w:rsidRPr="0070444C">
              <w:rPr>
                <w:b/>
                <w:lang w:val="pl-PL"/>
              </w:rPr>
              <w:noBreakHyphen/>
            </w:r>
            <w:r w:rsidRPr="0070444C">
              <w:rPr>
                <w:b/>
                <w:lang w:val="pl-PL"/>
              </w:rPr>
              <w:t>FU/FA + placebo</w:t>
            </w:r>
          </w:p>
        </w:tc>
        <w:tc>
          <w:tcPr>
            <w:tcW w:w="1332" w:type="dxa"/>
          </w:tcPr>
          <w:p w14:paraId="11709EFC" w14:textId="58EBAD2C" w:rsidR="00994050" w:rsidRPr="0070444C" w:rsidRDefault="00994050" w:rsidP="00514BE3">
            <w:pPr>
              <w:keepNext/>
              <w:keepLines/>
              <w:spacing w:before="40" w:after="40" w:line="200" w:lineRule="exact"/>
              <w:jc w:val="center"/>
              <w:rPr>
                <w:b/>
                <w:lang w:val="pl-PL"/>
              </w:rPr>
            </w:pPr>
            <w:r w:rsidRPr="0070444C">
              <w:rPr>
                <w:b/>
                <w:lang w:val="pl-PL"/>
              </w:rPr>
              <w:t>5</w:t>
            </w:r>
            <w:r w:rsidR="00B722C9" w:rsidRPr="0070444C">
              <w:rPr>
                <w:b/>
                <w:lang w:val="pl-PL"/>
              </w:rPr>
              <w:noBreakHyphen/>
            </w:r>
            <w:r w:rsidRPr="0070444C">
              <w:rPr>
                <w:b/>
                <w:lang w:val="pl-PL"/>
              </w:rPr>
              <w:t xml:space="preserve">FU/FA + </w:t>
            </w:r>
            <w:r w:rsidR="00B35D2D" w:rsidRPr="0015541C">
              <w:rPr>
                <w:b/>
                <w:bCs/>
                <w:szCs w:val="22"/>
                <w:lang w:val="pl-PL"/>
              </w:rPr>
              <w:t>bewacyzumab</w:t>
            </w:r>
          </w:p>
        </w:tc>
      </w:tr>
      <w:tr w:rsidR="00994050" w:rsidRPr="0015541C" w14:paraId="74F7A5D2" w14:textId="77777777" w:rsidTr="00D16D61">
        <w:trPr>
          <w:cantSplit/>
        </w:trPr>
        <w:tc>
          <w:tcPr>
            <w:tcW w:w="2480" w:type="dxa"/>
            <w:gridSpan w:val="2"/>
          </w:tcPr>
          <w:p w14:paraId="33978FE9" w14:textId="77777777" w:rsidR="00994050" w:rsidRPr="0015541C" w:rsidRDefault="00994050" w:rsidP="00514BE3">
            <w:pPr>
              <w:keepNext/>
              <w:keepLines/>
              <w:spacing w:before="40" w:after="40" w:line="200" w:lineRule="exact"/>
              <w:rPr>
                <w:szCs w:val="22"/>
                <w:lang w:val="pl-PL"/>
              </w:rPr>
            </w:pPr>
            <w:r w:rsidRPr="0015541C">
              <w:rPr>
                <w:szCs w:val="22"/>
                <w:lang w:val="pl-PL"/>
              </w:rPr>
              <w:t>Liczba pacjentów</w:t>
            </w:r>
          </w:p>
        </w:tc>
        <w:tc>
          <w:tcPr>
            <w:tcW w:w="1262" w:type="dxa"/>
          </w:tcPr>
          <w:p w14:paraId="5878B443" w14:textId="77777777" w:rsidR="00994050" w:rsidRPr="0015541C" w:rsidRDefault="00994050" w:rsidP="00514BE3">
            <w:pPr>
              <w:keepNext/>
              <w:keepLines/>
              <w:spacing w:before="40" w:after="40" w:line="200" w:lineRule="exact"/>
              <w:jc w:val="center"/>
              <w:rPr>
                <w:szCs w:val="22"/>
                <w:lang w:val="pl-PL"/>
              </w:rPr>
            </w:pPr>
            <w:r w:rsidRPr="00260CEC">
              <w:rPr>
                <w:szCs w:val="22"/>
                <w:lang w:val="pl-PL"/>
              </w:rPr>
              <w:t>36</w:t>
            </w:r>
          </w:p>
        </w:tc>
        <w:tc>
          <w:tcPr>
            <w:tcW w:w="1332" w:type="dxa"/>
          </w:tcPr>
          <w:p w14:paraId="29A84748"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35</w:t>
            </w:r>
          </w:p>
        </w:tc>
        <w:tc>
          <w:tcPr>
            <w:tcW w:w="1332" w:type="dxa"/>
          </w:tcPr>
          <w:p w14:paraId="37C35FEF"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33</w:t>
            </w:r>
          </w:p>
        </w:tc>
        <w:tc>
          <w:tcPr>
            <w:tcW w:w="1332" w:type="dxa"/>
          </w:tcPr>
          <w:p w14:paraId="5D44384D"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105</w:t>
            </w:r>
          </w:p>
        </w:tc>
        <w:tc>
          <w:tcPr>
            <w:tcW w:w="1332" w:type="dxa"/>
          </w:tcPr>
          <w:p w14:paraId="1D30D211"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104</w:t>
            </w:r>
          </w:p>
        </w:tc>
      </w:tr>
      <w:tr w:rsidR="00994050" w:rsidRPr="0015541C" w14:paraId="5AD47308" w14:textId="77777777">
        <w:trPr>
          <w:cantSplit/>
        </w:trPr>
        <w:tc>
          <w:tcPr>
            <w:tcW w:w="9070" w:type="dxa"/>
            <w:gridSpan w:val="7"/>
          </w:tcPr>
          <w:p w14:paraId="5BA16CB6" w14:textId="77777777" w:rsidR="00994050" w:rsidRPr="0015541C" w:rsidRDefault="00994050" w:rsidP="00514BE3">
            <w:pPr>
              <w:keepNext/>
              <w:keepLines/>
              <w:spacing w:before="40" w:after="40" w:line="200" w:lineRule="exact"/>
              <w:rPr>
                <w:bCs/>
                <w:szCs w:val="22"/>
                <w:lang w:val="pl-PL"/>
              </w:rPr>
            </w:pPr>
            <w:r w:rsidRPr="0015541C">
              <w:rPr>
                <w:bCs/>
                <w:szCs w:val="22"/>
                <w:lang w:val="pl-PL"/>
              </w:rPr>
              <w:t>Całkowity czas przeżycia</w:t>
            </w:r>
          </w:p>
        </w:tc>
      </w:tr>
      <w:tr w:rsidR="00994050" w:rsidRPr="0015541C" w14:paraId="5C185FD1" w14:textId="77777777" w:rsidTr="00D16D61">
        <w:trPr>
          <w:cantSplit/>
        </w:trPr>
        <w:tc>
          <w:tcPr>
            <w:tcW w:w="2480" w:type="dxa"/>
            <w:gridSpan w:val="2"/>
          </w:tcPr>
          <w:p w14:paraId="234DEFD8" w14:textId="77777777" w:rsidR="00994050" w:rsidRPr="0015541C" w:rsidRDefault="00994050" w:rsidP="00514BE3">
            <w:pPr>
              <w:keepNext/>
              <w:keepLines/>
              <w:spacing w:before="40" w:after="40" w:line="200" w:lineRule="exact"/>
              <w:ind w:left="284"/>
              <w:rPr>
                <w:szCs w:val="22"/>
                <w:lang w:val="pl-PL"/>
              </w:rPr>
            </w:pPr>
            <w:r w:rsidRPr="0015541C">
              <w:rPr>
                <w:szCs w:val="22"/>
                <w:lang w:val="pl-PL"/>
              </w:rPr>
              <w:t>Mediana (w miesiącach)</w:t>
            </w:r>
          </w:p>
        </w:tc>
        <w:tc>
          <w:tcPr>
            <w:tcW w:w="1262" w:type="dxa"/>
          </w:tcPr>
          <w:p w14:paraId="7FF7078F" w14:textId="77777777" w:rsidR="00994050" w:rsidRPr="0015541C" w:rsidRDefault="00994050" w:rsidP="00514BE3">
            <w:pPr>
              <w:keepNext/>
              <w:keepLines/>
              <w:spacing w:before="40" w:after="40" w:line="200" w:lineRule="exact"/>
              <w:jc w:val="center"/>
              <w:rPr>
                <w:szCs w:val="22"/>
                <w:lang w:val="pl-PL"/>
              </w:rPr>
            </w:pPr>
            <w:r w:rsidRPr="00260CEC">
              <w:rPr>
                <w:szCs w:val="22"/>
                <w:lang w:val="pl-PL"/>
              </w:rPr>
              <w:t>13,6</w:t>
            </w:r>
          </w:p>
        </w:tc>
        <w:tc>
          <w:tcPr>
            <w:tcW w:w="1332" w:type="dxa"/>
          </w:tcPr>
          <w:p w14:paraId="42E9EDD6"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17,7</w:t>
            </w:r>
          </w:p>
        </w:tc>
        <w:tc>
          <w:tcPr>
            <w:tcW w:w="1332" w:type="dxa"/>
          </w:tcPr>
          <w:p w14:paraId="2356125F"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15,2</w:t>
            </w:r>
          </w:p>
        </w:tc>
        <w:tc>
          <w:tcPr>
            <w:tcW w:w="1332" w:type="dxa"/>
          </w:tcPr>
          <w:p w14:paraId="380B8201"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12,9</w:t>
            </w:r>
          </w:p>
        </w:tc>
        <w:tc>
          <w:tcPr>
            <w:tcW w:w="1332" w:type="dxa"/>
          </w:tcPr>
          <w:p w14:paraId="2C8742BF"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16,6</w:t>
            </w:r>
          </w:p>
        </w:tc>
      </w:tr>
      <w:tr w:rsidR="00994050" w:rsidRPr="0015541C" w14:paraId="69A49414" w14:textId="77777777" w:rsidTr="00D16D61">
        <w:tc>
          <w:tcPr>
            <w:tcW w:w="2410" w:type="dxa"/>
          </w:tcPr>
          <w:p w14:paraId="2E20CB3D" w14:textId="77777777" w:rsidR="00994050" w:rsidRPr="00260CEC" w:rsidRDefault="00994050" w:rsidP="00514BE3">
            <w:pPr>
              <w:keepNext/>
              <w:keepLines/>
              <w:spacing w:before="40" w:after="40" w:line="200" w:lineRule="exact"/>
              <w:ind w:left="284"/>
              <w:rPr>
                <w:szCs w:val="22"/>
                <w:lang w:val="pl-PL"/>
              </w:rPr>
            </w:pPr>
            <w:r w:rsidRPr="0015541C">
              <w:rPr>
                <w:szCs w:val="22"/>
                <w:lang w:val="pl-PL"/>
              </w:rPr>
              <w:t>95%</w:t>
            </w:r>
            <w:r w:rsidRPr="0015541C">
              <w:rPr>
                <w:sz w:val="18"/>
                <w:lang w:val="pl-PL"/>
              </w:rPr>
              <w:t xml:space="preserve"> </w:t>
            </w:r>
            <w:r w:rsidR="00525C4E" w:rsidRPr="0015541C">
              <w:rPr>
                <w:szCs w:val="22"/>
                <w:lang w:val="pl-PL"/>
              </w:rPr>
              <w:t>CI</w:t>
            </w:r>
          </w:p>
        </w:tc>
        <w:tc>
          <w:tcPr>
            <w:tcW w:w="1332" w:type="dxa"/>
            <w:gridSpan w:val="2"/>
          </w:tcPr>
          <w:p w14:paraId="3B21B5BB" w14:textId="77777777" w:rsidR="00994050" w:rsidRPr="0015541C" w:rsidRDefault="00994050" w:rsidP="00514BE3">
            <w:pPr>
              <w:keepNext/>
              <w:keepLines/>
              <w:spacing w:before="40" w:after="40" w:line="200" w:lineRule="exact"/>
              <w:jc w:val="center"/>
              <w:rPr>
                <w:szCs w:val="22"/>
                <w:lang w:val="pl-PL"/>
              </w:rPr>
            </w:pPr>
          </w:p>
        </w:tc>
        <w:tc>
          <w:tcPr>
            <w:tcW w:w="1332" w:type="dxa"/>
          </w:tcPr>
          <w:p w14:paraId="1745A738" w14:textId="77777777" w:rsidR="00994050" w:rsidRPr="0015541C" w:rsidRDefault="00994050" w:rsidP="00514BE3">
            <w:pPr>
              <w:keepNext/>
              <w:keepLines/>
              <w:spacing w:before="40" w:after="40" w:line="200" w:lineRule="exact"/>
              <w:jc w:val="center"/>
              <w:rPr>
                <w:szCs w:val="22"/>
                <w:lang w:val="pl-PL"/>
              </w:rPr>
            </w:pPr>
          </w:p>
        </w:tc>
        <w:tc>
          <w:tcPr>
            <w:tcW w:w="1332" w:type="dxa"/>
          </w:tcPr>
          <w:p w14:paraId="662CD27A" w14:textId="77777777" w:rsidR="00994050" w:rsidRPr="0015541C" w:rsidRDefault="00994050" w:rsidP="00514BE3">
            <w:pPr>
              <w:keepNext/>
              <w:keepLines/>
              <w:spacing w:before="40" w:after="40" w:line="200" w:lineRule="exact"/>
              <w:jc w:val="center"/>
              <w:rPr>
                <w:szCs w:val="22"/>
                <w:lang w:val="pl-PL"/>
              </w:rPr>
            </w:pPr>
          </w:p>
        </w:tc>
        <w:tc>
          <w:tcPr>
            <w:tcW w:w="1332" w:type="dxa"/>
          </w:tcPr>
          <w:p w14:paraId="609388EE"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10,35 - 16,95</w:t>
            </w:r>
          </w:p>
        </w:tc>
        <w:tc>
          <w:tcPr>
            <w:tcW w:w="1332" w:type="dxa"/>
          </w:tcPr>
          <w:p w14:paraId="16F900E8"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13,63 - 19,32</w:t>
            </w:r>
          </w:p>
        </w:tc>
      </w:tr>
      <w:tr w:rsidR="00994050" w:rsidRPr="0015541C" w14:paraId="0D883342" w14:textId="77777777" w:rsidTr="00D16D61">
        <w:trPr>
          <w:cantSplit/>
        </w:trPr>
        <w:tc>
          <w:tcPr>
            <w:tcW w:w="2480" w:type="dxa"/>
            <w:gridSpan w:val="2"/>
          </w:tcPr>
          <w:p w14:paraId="69D1AE43" w14:textId="77777777" w:rsidR="00994050" w:rsidRPr="0015541C" w:rsidRDefault="00994050" w:rsidP="00514BE3">
            <w:pPr>
              <w:keepNext/>
              <w:keepLines/>
              <w:spacing w:before="40" w:after="40" w:line="200" w:lineRule="exact"/>
              <w:ind w:left="284"/>
              <w:rPr>
                <w:szCs w:val="22"/>
                <w:vertAlign w:val="superscript"/>
                <w:lang w:val="pl-PL"/>
              </w:rPr>
            </w:pPr>
            <w:r w:rsidRPr="0015541C">
              <w:rPr>
                <w:szCs w:val="22"/>
                <w:lang w:val="pl-PL"/>
              </w:rPr>
              <w:t>Współczynnik ryzyka</w:t>
            </w:r>
            <w:r w:rsidRPr="0015541C">
              <w:rPr>
                <w:szCs w:val="22"/>
                <w:vertAlign w:val="superscript"/>
                <w:lang w:val="pl-PL"/>
              </w:rPr>
              <w:t>c</w:t>
            </w:r>
          </w:p>
        </w:tc>
        <w:tc>
          <w:tcPr>
            <w:tcW w:w="1262" w:type="dxa"/>
          </w:tcPr>
          <w:p w14:paraId="2C1728DE" w14:textId="77777777" w:rsidR="00994050" w:rsidRPr="0015541C" w:rsidRDefault="00994050" w:rsidP="00514BE3">
            <w:pPr>
              <w:keepNext/>
              <w:keepLines/>
              <w:spacing w:before="40" w:after="40" w:line="200" w:lineRule="exact"/>
              <w:jc w:val="center"/>
              <w:rPr>
                <w:szCs w:val="22"/>
                <w:lang w:val="pl-PL"/>
              </w:rPr>
            </w:pPr>
            <w:r w:rsidRPr="00260CEC">
              <w:rPr>
                <w:szCs w:val="22"/>
                <w:lang w:val="pl-PL"/>
              </w:rPr>
              <w:t>-</w:t>
            </w:r>
          </w:p>
        </w:tc>
        <w:tc>
          <w:tcPr>
            <w:tcW w:w="1332" w:type="dxa"/>
          </w:tcPr>
          <w:p w14:paraId="0F878F0A"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0,52</w:t>
            </w:r>
          </w:p>
        </w:tc>
        <w:tc>
          <w:tcPr>
            <w:tcW w:w="1332" w:type="dxa"/>
          </w:tcPr>
          <w:p w14:paraId="5E87238F"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1,01</w:t>
            </w:r>
          </w:p>
        </w:tc>
        <w:tc>
          <w:tcPr>
            <w:tcW w:w="1332" w:type="dxa"/>
          </w:tcPr>
          <w:p w14:paraId="016C163F" w14:textId="77777777" w:rsidR="00994050" w:rsidRPr="0015541C" w:rsidRDefault="00994050" w:rsidP="00514BE3">
            <w:pPr>
              <w:keepNext/>
              <w:keepLines/>
              <w:spacing w:before="40" w:after="40" w:line="200" w:lineRule="exact"/>
              <w:jc w:val="center"/>
              <w:rPr>
                <w:szCs w:val="22"/>
                <w:lang w:val="pl-PL"/>
              </w:rPr>
            </w:pPr>
          </w:p>
        </w:tc>
        <w:tc>
          <w:tcPr>
            <w:tcW w:w="1332" w:type="dxa"/>
          </w:tcPr>
          <w:p w14:paraId="2A9E1494"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0,79</w:t>
            </w:r>
          </w:p>
        </w:tc>
      </w:tr>
      <w:tr w:rsidR="00994050" w:rsidRPr="0015541C" w14:paraId="24AD7A24" w14:textId="77777777" w:rsidTr="00D16D61">
        <w:trPr>
          <w:cantSplit/>
        </w:trPr>
        <w:tc>
          <w:tcPr>
            <w:tcW w:w="2480" w:type="dxa"/>
            <w:gridSpan w:val="2"/>
          </w:tcPr>
          <w:p w14:paraId="3D232083" w14:textId="77777777" w:rsidR="00994050" w:rsidRPr="0015541C" w:rsidRDefault="00994050" w:rsidP="00514BE3">
            <w:pPr>
              <w:keepNext/>
              <w:keepLines/>
              <w:spacing w:before="40" w:after="40" w:line="200" w:lineRule="exact"/>
              <w:ind w:left="284"/>
              <w:rPr>
                <w:szCs w:val="22"/>
                <w:lang w:val="pl-PL"/>
              </w:rPr>
            </w:pPr>
            <w:r w:rsidRPr="0015541C">
              <w:rPr>
                <w:szCs w:val="22"/>
                <w:lang w:val="pl-PL"/>
              </w:rPr>
              <w:t>Wartość p</w:t>
            </w:r>
          </w:p>
        </w:tc>
        <w:tc>
          <w:tcPr>
            <w:tcW w:w="1262" w:type="dxa"/>
          </w:tcPr>
          <w:p w14:paraId="07A32642" w14:textId="77777777" w:rsidR="00994050" w:rsidRPr="00260CEC" w:rsidRDefault="00994050" w:rsidP="00514BE3">
            <w:pPr>
              <w:keepNext/>
              <w:keepLines/>
              <w:spacing w:before="40" w:after="40" w:line="200" w:lineRule="exact"/>
              <w:jc w:val="center"/>
              <w:rPr>
                <w:szCs w:val="22"/>
                <w:lang w:val="pl-PL"/>
              </w:rPr>
            </w:pPr>
          </w:p>
        </w:tc>
        <w:tc>
          <w:tcPr>
            <w:tcW w:w="1332" w:type="dxa"/>
          </w:tcPr>
          <w:p w14:paraId="18FF79E9"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0,073</w:t>
            </w:r>
          </w:p>
        </w:tc>
        <w:tc>
          <w:tcPr>
            <w:tcW w:w="1332" w:type="dxa"/>
          </w:tcPr>
          <w:p w14:paraId="1BF4A182"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0,978</w:t>
            </w:r>
          </w:p>
        </w:tc>
        <w:tc>
          <w:tcPr>
            <w:tcW w:w="1332" w:type="dxa"/>
          </w:tcPr>
          <w:p w14:paraId="12E4C51B" w14:textId="77777777" w:rsidR="00994050" w:rsidRPr="0015541C" w:rsidRDefault="00994050" w:rsidP="00514BE3">
            <w:pPr>
              <w:keepNext/>
              <w:keepLines/>
              <w:spacing w:before="40" w:after="40" w:line="200" w:lineRule="exact"/>
              <w:jc w:val="center"/>
              <w:rPr>
                <w:szCs w:val="22"/>
                <w:lang w:val="pl-PL"/>
              </w:rPr>
            </w:pPr>
          </w:p>
        </w:tc>
        <w:tc>
          <w:tcPr>
            <w:tcW w:w="1332" w:type="dxa"/>
          </w:tcPr>
          <w:p w14:paraId="6D6A5E38"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0,16</w:t>
            </w:r>
          </w:p>
        </w:tc>
      </w:tr>
      <w:tr w:rsidR="00994050" w:rsidRPr="0015541C" w14:paraId="05971ABF" w14:textId="77777777">
        <w:trPr>
          <w:cantSplit/>
        </w:trPr>
        <w:tc>
          <w:tcPr>
            <w:tcW w:w="9070" w:type="dxa"/>
            <w:gridSpan w:val="7"/>
          </w:tcPr>
          <w:p w14:paraId="2E336ADB" w14:textId="48FA8D76" w:rsidR="00994050" w:rsidRPr="0015541C" w:rsidRDefault="00994050" w:rsidP="00514BE3">
            <w:pPr>
              <w:keepNext/>
              <w:keepLines/>
              <w:spacing w:before="40" w:after="40" w:line="200" w:lineRule="exact"/>
              <w:rPr>
                <w:bCs/>
                <w:szCs w:val="22"/>
                <w:lang w:val="pl-PL"/>
              </w:rPr>
            </w:pPr>
            <w:r w:rsidRPr="0015541C">
              <w:rPr>
                <w:bCs/>
                <w:szCs w:val="22"/>
                <w:lang w:val="pl-PL"/>
              </w:rPr>
              <w:t xml:space="preserve">Czas przeżycia </w:t>
            </w:r>
            <w:r w:rsidR="00A251D8" w:rsidRPr="0015541C">
              <w:rPr>
                <w:bCs/>
                <w:szCs w:val="22"/>
                <w:lang w:val="pl-PL"/>
              </w:rPr>
              <w:t xml:space="preserve">wolny od </w:t>
            </w:r>
            <w:r w:rsidRPr="0015541C">
              <w:rPr>
                <w:bCs/>
                <w:szCs w:val="22"/>
                <w:lang w:val="pl-PL"/>
              </w:rPr>
              <w:t>progresji</w:t>
            </w:r>
            <w:r w:rsidR="00A251D8" w:rsidRPr="00260CEC">
              <w:rPr>
                <w:bCs/>
                <w:szCs w:val="22"/>
                <w:lang w:val="pl-PL"/>
              </w:rPr>
              <w:t xml:space="preserve"> choroby</w:t>
            </w:r>
          </w:p>
        </w:tc>
      </w:tr>
      <w:tr w:rsidR="00994050" w:rsidRPr="0015541C" w14:paraId="00668A97" w14:textId="77777777" w:rsidTr="00D16D61">
        <w:trPr>
          <w:cantSplit/>
        </w:trPr>
        <w:tc>
          <w:tcPr>
            <w:tcW w:w="2480" w:type="dxa"/>
            <w:gridSpan w:val="2"/>
          </w:tcPr>
          <w:p w14:paraId="10E9B3EF" w14:textId="77777777" w:rsidR="00994050" w:rsidRPr="0015541C" w:rsidRDefault="00994050" w:rsidP="00514BE3">
            <w:pPr>
              <w:keepNext/>
              <w:keepLines/>
              <w:spacing w:before="40" w:after="40" w:line="200" w:lineRule="exact"/>
              <w:ind w:left="284"/>
              <w:rPr>
                <w:szCs w:val="22"/>
                <w:lang w:val="pl-PL"/>
              </w:rPr>
            </w:pPr>
            <w:r w:rsidRPr="0015541C">
              <w:rPr>
                <w:szCs w:val="22"/>
                <w:lang w:val="pl-PL"/>
              </w:rPr>
              <w:t>Mediana (w miesiącach)</w:t>
            </w:r>
          </w:p>
        </w:tc>
        <w:tc>
          <w:tcPr>
            <w:tcW w:w="1262" w:type="dxa"/>
          </w:tcPr>
          <w:p w14:paraId="70A8812F" w14:textId="77777777" w:rsidR="00994050" w:rsidRPr="0015541C" w:rsidRDefault="00994050" w:rsidP="00514BE3">
            <w:pPr>
              <w:keepNext/>
              <w:keepLines/>
              <w:spacing w:before="40" w:after="40" w:line="200" w:lineRule="exact"/>
              <w:jc w:val="center"/>
              <w:rPr>
                <w:szCs w:val="22"/>
                <w:lang w:val="pl-PL"/>
              </w:rPr>
            </w:pPr>
            <w:r w:rsidRPr="00260CEC">
              <w:rPr>
                <w:szCs w:val="22"/>
                <w:lang w:val="pl-PL"/>
              </w:rPr>
              <w:t>5,2</w:t>
            </w:r>
          </w:p>
        </w:tc>
        <w:tc>
          <w:tcPr>
            <w:tcW w:w="1332" w:type="dxa"/>
          </w:tcPr>
          <w:p w14:paraId="0B70CC1B"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9,0</w:t>
            </w:r>
          </w:p>
        </w:tc>
        <w:tc>
          <w:tcPr>
            <w:tcW w:w="1332" w:type="dxa"/>
          </w:tcPr>
          <w:p w14:paraId="0152EE2C"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7,2</w:t>
            </w:r>
          </w:p>
        </w:tc>
        <w:tc>
          <w:tcPr>
            <w:tcW w:w="1332" w:type="dxa"/>
          </w:tcPr>
          <w:p w14:paraId="6587B099"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5,5</w:t>
            </w:r>
          </w:p>
        </w:tc>
        <w:tc>
          <w:tcPr>
            <w:tcW w:w="1332" w:type="dxa"/>
          </w:tcPr>
          <w:p w14:paraId="218EDAA4"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9,2</w:t>
            </w:r>
          </w:p>
        </w:tc>
      </w:tr>
      <w:tr w:rsidR="00994050" w:rsidRPr="0015541C" w14:paraId="6249DBC6" w14:textId="77777777" w:rsidTr="00D16D61">
        <w:trPr>
          <w:cantSplit/>
        </w:trPr>
        <w:tc>
          <w:tcPr>
            <w:tcW w:w="2480" w:type="dxa"/>
            <w:gridSpan w:val="2"/>
          </w:tcPr>
          <w:p w14:paraId="78DF817E" w14:textId="77777777" w:rsidR="00994050" w:rsidRPr="0015541C" w:rsidRDefault="00994050" w:rsidP="00514BE3">
            <w:pPr>
              <w:keepNext/>
              <w:keepLines/>
              <w:spacing w:before="40" w:after="40" w:line="200" w:lineRule="exact"/>
              <w:ind w:left="284"/>
              <w:rPr>
                <w:szCs w:val="22"/>
                <w:lang w:val="pl-PL"/>
              </w:rPr>
            </w:pPr>
            <w:r w:rsidRPr="0015541C">
              <w:rPr>
                <w:szCs w:val="22"/>
                <w:lang w:val="pl-PL"/>
              </w:rPr>
              <w:t>Współczynnik ryzyka</w:t>
            </w:r>
            <w:r w:rsidRPr="0015541C">
              <w:rPr>
                <w:szCs w:val="22"/>
                <w:vertAlign w:val="superscript"/>
                <w:lang w:val="pl-PL"/>
              </w:rPr>
              <w:t>c</w:t>
            </w:r>
          </w:p>
        </w:tc>
        <w:tc>
          <w:tcPr>
            <w:tcW w:w="1262" w:type="dxa"/>
          </w:tcPr>
          <w:p w14:paraId="3177B949" w14:textId="77777777" w:rsidR="00994050" w:rsidRPr="00260CEC" w:rsidRDefault="00994050" w:rsidP="00514BE3">
            <w:pPr>
              <w:keepNext/>
              <w:keepLines/>
              <w:spacing w:before="40" w:after="40" w:line="200" w:lineRule="exact"/>
              <w:jc w:val="center"/>
              <w:rPr>
                <w:szCs w:val="22"/>
                <w:lang w:val="pl-PL"/>
              </w:rPr>
            </w:pPr>
          </w:p>
        </w:tc>
        <w:tc>
          <w:tcPr>
            <w:tcW w:w="1332" w:type="dxa"/>
          </w:tcPr>
          <w:p w14:paraId="590BE6C8"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0,44</w:t>
            </w:r>
          </w:p>
        </w:tc>
        <w:tc>
          <w:tcPr>
            <w:tcW w:w="1332" w:type="dxa"/>
          </w:tcPr>
          <w:p w14:paraId="38A16883"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0,69</w:t>
            </w:r>
          </w:p>
        </w:tc>
        <w:tc>
          <w:tcPr>
            <w:tcW w:w="1332" w:type="dxa"/>
          </w:tcPr>
          <w:p w14:paraId="23334BF9" w14:textId="77777777" w:rsidR="00994050" w:rsidRPr="0015541C" w:rsidRDefault="00994050" w:rsidP="00514BE3">
            <w:pPr>
              <w:keepNext/>
              <w:keepLines/>
              <w:spacing w:before="40" w:after="40" w:line="200" w:lineRule="exact"/>
              <w:jc w:val="center"/>
              <w:rPr>
                <w:szCs w:val="22"/>
                <w:lang w:val="pl-PL"/>
              </w:rPr>
            </w:pPr>
          </w:p>
        </w:tc>
        <w:tc>
          <w:tcPr>
            <w:tcW w:w="1332" w:type="dxa"/>
          </w:tcPr>
          <w:p w14:paraId="01F655E5"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0,5</w:t>
            </w:r>
          </w:p>
        </w:tc>
      </w:tr>
      <w:tr w:rsidR="00994050" w:rsidRPr="0015541C" w14:paraId="0EECE754" w14:textId="77777777" w:rsidTr="00D16D61">
        <w:trPr>
          <w:cantSplit/>
        </w:trPr>
        <w:tc>
          <w:tcPr>
            <w:tcW w:w="2480" w:type="dxa"/>
            <w:gridSpan w:val="2"/>
          </w:tcPr>
          <w:p w14:paraId="468133DE" w14:textId="77777777" w:rsidR="00994050" w:rsidRPr="0015541C" w:rsidRDefault="00994050" w:rsidP="00514BE3">
            <w:pPr>
              <w:keepNext/>
              <w:keepLines/>
              <w:spacing w:before="40" w:after="40" w:line="200" w:lineRule="exact"/>
              <w:ind w:left="284"/>
              <w:rPr>
                <w:szCs w:val="22"/>
                <w:vertAlign w:val="superscript"/>
                <w:lang w:val="pl-PL"/>
              </w:rPr>
            </w:pPr>
            <w:r w:rsidRPr="0015541C">
              <w:rPr>
                <w:szCs w:val="22"/>
                <w:lang w:val="pl-PL"/>
              </w:rPr>
              <w:t>Wartość p</w:t>
            </w:r>
          </w:p>
        </w:tc>
        <w:tc>
          <w:tcPr>
            <w:tcW w:w="1262" w:type="dxa"/>
          </w:tcPr>
          <w:p w14:paraId="65AF9C92" w14:textId="77777777" w:rsidR="00994050" w:rsidRPr="0015541C" w:rsidRDefault="00994050" w:rsidP="00514BE3">
            <w:pPr>
              <w:keepNext/>
              <w:keepLines/>
              <w:spacing w:before="40" w:after="40" w:line="200" w:lineRule="exact"/>
              <w:jc w:val="center"/>
              <w:rPr>
                <w:szCs w:val="22"/>
                <w:lang w:val="pl-PL"/>
              </w:rPr>
            </w:pPr>
            <w:r w:rsidRPr="00260CEC">
              <w:rPr>
                <w:szCs w:val="22"/>
                <w:lang w:val="pl-PL"/>
              </w:rPr>
              <w:t>-</w:t>
            </w:r>
          </w:p>
        </w:tc>
        <w:tc>
          <w:tcPr>
            <w:tcW w:w="1332" w:type="dxa"/>
          </w:tcPr>
          <w:p w14:paraId="1D166D79"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0,0049</w:t>
            </w:r>
          </w:p>
        </w:tc>
        <w:tc>
          <w:tcPr>
            <w:tcW w:w="1332" w:type="dxa"/>
          </w:tcPr>
          <w:p w14:paraId="00728C09"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0,217</w:t>
            </w:r>
          </w:p>
        </w:tc>
        <w:tc>
          <w:tcPr>
            <w:tcW w:w="1332" w:type="dxa"/>
          </w:tcPr>
          <w:p w14:paraId="4572D6EA" w14:textId="77777777" w:rsidR="00994050" w:rsidRPr="0015541C" w:rsidRDefault="00994050" w:rsidP="00514BE3">
            <w:pPr>
              <w:keepNext/>
              <w:keepLines/>
              <w:spacing w:before="40" w:after="40" w:line="200" w:lineRule="exact"/>
              <w:jc w:val="center"/>
              <w:rPr>
                <w:szCs w:val="22"/>
                <w:lang w:val="pl-PL"/>
              </w:rPr>
            </w:pPr>
          </w:p>
        </w:tc>
        <w:tc>
          <w:tcPr>
            <w:tcW w:w="1332" w:type="dxa"/>
          </w:tcPr>
          <w:p w14:paraId="61AB97D6"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0,0002</w:t>
            </w:r>
          </w:p>
        </w:tc>
      </w:tr>
      <w:tr w:rsidR="00994050" w:rsidRPr="0015541C" w14:paraId="2CB63B15" w14:textId="77777777">
        <w:trPr>
          <w:cantSplit/>
        </w:trPr>
        <w:tc>
          <w:tcPr>
            <w:tcW w:w="9070" w:type="dxa"/>
            <w:gridSpan w:val="7"/>
          </w:tcPr>
          <w:p w14:paraId="31733B49" w14:textId="77777777" w:rsidR="00994050" w:rsidRPr="0015541C" w:rsidRDefault="00994050" w:rsidP="00514BE3">
            <w:pPr>
              <w:keepNext/>
              <w:keepLines/>
              <w:spacing w:before="40" w:after="40" w:line="200" w:lineRule="exact"/>
              <w:rPr>
                <w:bCs/>
                <w:szCs w:val="22"/>
                <w:lang w:val="pl-PL"/>
              </w:rPr>
            </w:pPr>
            <w:r w:rsidRPr="0015541C">
              <w:rPr>
                <w:bCs/>
                <w:szCs w:val="22"/>
                <w:lang w:val="pl-PL"/>
              </w:rPr>
              <w:t>Całkowity współczynnik odpowiedzi</w:t>
            </w:r>
          </w:p>
        </w:tc>
      </w:tr>
      <w:tr w:rsidR="00994050" w:rsidRPr="0015541C" w14:paraId="1C5203F3" w14:textId="77777777" w:rsidTr="00D16D61">
        <w:trPr>
          <w:cantSplit/>
        </w:trPr>
        <w:tc>
          <w:tcPr>
            <w:tcW w:w="2480" w:type="dxa"/>
            <w:gridSpan w:val="2"/>
          </w:tcPr>
          <w:p w14:paraId="66056D1E" w14:textId="77777777" w:rsidR="00994050" w:rsidRPr="0015541C" w:rsidRDefault="00994050" w:rsidP="00514BE3">
            <w:pPr>
              <w:keepNext/>
              <w:keepLines/>
              <w:spacing w:before="40" w:after="40" w:line="200" w:lineRule="exact"/>
              <w:ind w:left="284"/>
              <w:rPr>
                <w:szCs w:val="22"/>
                <w:lang w:val="pl-PL"/>
              </w:rPr>
            </w:pPr>
            <w:r w:rsidRPr="0015541C">
              <w:rPr>
                <w:szCs w:val="22"/>
                <w:lang w:val="pl-PL"/>
              </w:rPr>
              <w:t>Współczynnik</w:t>
            </w:r>
          </w:p>
          <w:p w14:paraId="79380597" w14:textId="77777777" w:rsidR="00994050" w:rsidRPr="0015541C" w:rsidRDefault="00994050" w:rsidP="00514BE3">
            <w:pPr>
              <w:keepNext/>
              <w:keepLines/>
              <w:spacing w:before="40" w:after="40" w:line="200" w:lineRule="exact"/>
              <w:ind w:left="284"/>
              <w:rPr>
                <w:szCs w:val="22"/>
                <w:lang w:val="pl-PL"/>
              </w:rPr>
            </w:pPr>
            <w:r w:rsidRPr="00260CEC">
              <w:rPr>
                <w:szCs w:val="22"/>
                <w:lang w:val="pl-PL"/>
              </w:rPr>
              <w:t>(w procentach)</w:t>
            </w:r>
          </w:p>
        </w:tc>
        <w:tc>
          <w:tcPr>
            <w:tcW w:w="1262" w:type="dxa"/>
          </w:tcPr>
          <w:p w14:paraId="753B6F0F"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16,7</w:t>
            </w:r>
          </w:p>
        </w:tc>
        <w:tc>
          <w:tcPr>
            <w:tcW w:w="1332" w:type="dxa"/>
          </w:tcPr>
          <w:p w14:paraId="0420805F"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40,0</w:t>
            </w:r>
          </w:p>
        </w:tc>
        <w:tc>
          <w:tcPr>
            <w:tcW w:w="1332" w:type="dxa"/>
          </w:tcPr>
          <w:p w14:paraId="6DE981F8"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24,2</w:t>
            </w:r>
          </w:p>
        </w:tc>
        <w:tc>
          <w:tcPr>
            <w:tcW w:w="1332" w:type="dxa"/>
          </w:tcPr>
          <w:p w14:paraId="322BEF8C"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15,2</w:t>
            </w:r>
          </w:p>
        </w:tc>
        <w:tc>
          <w:tcPr>
            <w:tcW w:w="1332" w:type="dxa"/>
          </w:tcPr>
          <w:p w14:paraId="5A91896D"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26</w:t>
            </w:r>
          </w:p>
        </w:tc>
      </w:tr>
      <w:tr w:rsidR="00994050" w:rsidRPr="0015541C" w14:paraId="50C49DAD" w14:textId="77777777" w:rsidTr="00D16D61">
        <w:tc>
          <w:tcPr>
            <w:tcW w:w="2410" w:type="dxa"/>
          </w:tcPr>
          <w:p w14:paraId="116E4398" w14:textId="77777777" w:rsidR="00994050" w:rsidRPr="00260CEC" w:rsidRDefault="00994050" w:rsidP="00514BE3">
            <w:pPr>
              <w:keepNext/>
              <w:keepLines/>
              <w:spacing w:before="40" w:after="40" w:line="200" w:lineRule="exact"/>
              <w:ind w:left="284"/>
              <w:rPr>
                <w:szCs w:val="22"/>
                <w:lang w:val="pl-PL"/>
              </w:rPr>
            </w:pPr>
            <w:r w:rsidRPr="0015541C">
              <w:rPr>
                <w:szCs w:val="22"/>
                <w:lang w:val="pl-PL"/>
              </w:rPr>
              <w:t>95%</w:t>
            </w:r>
            <w:r w:rsidRPr="0015541C">
              <w:rPr>
                <w:sz w:val="18"/>
                <w:lang w:val="pl-PL"/>
              </w:rPr>
              <w:t xml:space="preserve"> </w:t>
            </w:r>
            <w:r w:rsidRPr="0015541C">
              <w:rPr>
                <w:szCs w:val="22"/>
                <w:lang w:val="pl-PL"/>
              </w:rPr>
              <w:t>przedział ufności</w:t>
            </w:r>
          </w:p>
        </w:tc>
        <w:tc>
          <w:tcPr>
            <w:tcW w:w="1332" w:type="dxa"/>
            <w:gridSpan w:val="2"/>
          </w:tcPr>
          <w:p w14:paraId="4E23C82E"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7,0 – 33,5</w:t>
            </w:r>
          </w:p>
        </w:tc>
        <w:tc>
          <w:tcPr>
            <w:tcW w:w="1332" w:type="dxa"/>
          </w:tcPr>
          <w:p w14:paraId="4DC35BC3"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24,4 – 57,8</w:t>
            </w:r>
          </w:p>
        </w:tc>
        <w:tc>
          <w:tcPr>
            <w:tcW w:w="1332" w:type="dxa"/>
          </w:tcPr>
          <w:p w14:paraId="5AA41384"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11,7 – 42,6</w:t>
            </w:r>
          </w:p>
        </w:tc>
        <w:tc>
          <w:tcPr>
            <w:tcW w:w="1332" w:type="dxa"/>
          </w:tcPr>
          <w:p w14:paraId="638D9A53"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9,2 – 23,9</w:t>
            </w:r>
          </w:p>
        </w:tc>
        <w:tc>
          <w:tcPr>
            <w:tcW w:w="1332" w:type="dxa"/>
          </w:tcPr>
          <w:p w14:paraId="4A664728"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18,1 – 35,6</w:t>
            </w:r>
          </w:p>
        </w:tc>
      </w:tr>
      <w:tr w:rsidR="00994050" w:rsidRPr="0015541C" w14:paraId="46548F0B" w14:textId="77777777" w:rsidTr="00D16D61">
        <w:trPr>
          <w:cantSplit/>
        </w:trPr>
        <w:tc>
          <w:tcPr>
            <w:tcW w:w="2480" w:type="dxa"/>
            <w:gridSpan w:val="2"/>
          </w:tcPr>
          <w:p w14:paraId="21E1CF04" w14:textId="77777777" w:rsidR="00994050" w:rsidRPr="0015541C" w:rsidRDefault="00994050" w:rsidP="00514BE3">
            <w:pPr>
              <w:keepNext/>
              <w:keepLines/>
              <w:spacing w:before="40" w:after="40" w:line="200" w:lineRule="exact"/>
              <w:ind w:left="284"/>
              <w:rPr>
                <w:szCs w:val="22"/>
                <w:vertAlign w:val="superscript"/>
                <w:lang w:val="pl-PL"/>
              </w:rPr>
            </w:pPr>
            <w:r w:rsidRPr="0015541C">
              <w:rPr>
                <w:szCs w:val="22"/>
                <w:lang w:val="pl-PL"/>
              </w:rPr>
              <w:t>Wartość p</w:t>
            </w:r>
          </w:p>
        </w:tc>
        <w:tc>
          <w:tcPr>
            <w:tcW w:w="1262" w:type="dxa"/>
          </w:tcPr>
          <w:p w14:paraId="6ECF85C5" w14:textId="77777777" w:rsidR="00994050" w:rsidRPr="00260CEC" w:rsidRDefault="00994050" w:rsidP="00514BE3">
            <w:pPr>
              <w:keepNext/>
              <w:keepLines/>
              <w:spacing w:before="40" w:after="40" w:line="200" w:lineRule="exact"/>
              <w:jc w:val="center"/>
              <w:rPr>
                <w:szCs w:val="22"/>
                <w:lang w:val="pl-PL"/>
              </w:rPr>
            </w:pPr>
          </w:p>
        </w:tc>
        <w:tc>
          <w:tcPr>
            <w:tcW w:w="1332" w:type="dxa"/>
          </w:tcPr>
          <w:p w14:paraId="2A4BD50C"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0,029</w:t>
            </w:r>
          </w:p>
        </w:tc>
        <w:tc>
          <w:tcPr>
            <w:tcW w:w="1332" w:type="dxa"/>
          </w:tcPr>
          <w:p w14:paraId="3A38F837"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0,43</w:t>
            </w:r>
          </w:p>
        </w:tc>
        <w:tc>
          <w:tcPr>
            <w:tcW w:w="1332" w:type="dxa"/>
          </w:tcPr>
          <w:p w14:paraId="36971B11" w14:textId="77777777" w:rsidR="00994050" w:rsidRPr="0015541C" w:rsidRDefault="00994050" w:rsidP="00514BE3">
            <w:pPr>
              <w:keepNext/>
              <w:keepLines/>
              <w:spacing w:before="40" w:after="40" w:line="200" w:lineRule="exact"/>
              <w:jc w:val="center"/>
              <w:rPr>
                <w:szCs w:val="22"/>
                <w:lang w:val="pl-PL"/>
              </w:rPr>
            </w:pPr>
          </w:p>
        </w:tc>
        <w:tc>
          <w:tcPr>
            <w:tcW w:w="1332" w:type="dxa"/>
          </w:tcPr>
          <w:p w14:paraId="5DF620C8"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0,055</w:t>
            </w:r>
          </w:p>
        </w:tc>
      </w:tr>
      <w:tr w:rsidR="00994050" w:rsidRPr="0015541C" w14:paraId="6D36CDEE" w14:textId="77777777">
        <w:trPr>
          <w:cantSplit/>
        </w:trPr>
        <w:tc>
          <w:tcPr>
            <w:tcW w:w="9070" w:type="dxa"/>
            <w:gridSpan w:val="7"/>
          </w:tcPr>
          <w:p w14:paraId="35007289" w14:textId="77777777" w:rsidR="00994050" w:rsidRPr="0015541C" w:rsidRDefault="00994050" w:rsidP="00514BE3">
            <w:pPr>
              <w:keepNext/>
              <w:keepLines/>
              <w:spacing w:before="40" w:after="40" w:line="200" w:lineRule="exact"/>
              <w:rPr>
                <w:bCs/>
                <w:szCs w:val="22"/>
                <w:lang w:val="pl-PL"/>
              </w:rPr>
            </w:pPr>
            <w:r w:rsidRPr="0015541C">
              <w:rPr>
                <w:bCs/>
                <w:szCs w:val="22"/>
                <w:lang w:val="pl-PL"/>
              </w:rPr>
              <w:t>Czas trwania odpowiedzi</w:t>
            </w:r>
          </w:p>
        </w:tc>
      </w:tr>
      <w:tr w:rsidR="00994050" w:rsidRPr="0015541C" w14:paraId="6195F88A" w14:textId="77777777" w:rsidTr="00D16D61">
        <w:trPr>
          <w:cantSplit/>
        </w:trPr>
        <w:tc>
          <w:tcPr>
            <w:tcW w:w="2480" w:type="dxa"/>
            <w:gridSpan w:val="2"/>
          </w:tcPr>
          <w:p w14:paraId="6A870D55" w14:textId="77777777" w:rsidR="00994050" w:rsidRPr="0015541C" w:rsidRDefault="00994050" w:rsidP="00514BE3">
            <w:pPr>
              <w:keepNext/>
              <w:keepLines/>
              <w:spacing w:before="40" w:after="40" w:line="200" w:lineRule="exact"/>
              <w:ind w:left="284"/>
              <w:rPr>
                <w:szCs w:val="22"/>
                <w:lang w:val="pl-PL"/>
              </w:rPr>
            </w:pPr>
            <w:r w:rsidRPr="0015541C">
              <w:rPr>
                <w:szCs w:val="22"/>
                <w:lang w:val="pl-PL"/>
              </w:rPr>
              <w:t>Mediana (w miesiącach)</w:t>
            </w:r>
          </w:p>
        </w:tc>
        <w:tc>
          <w:tcPr>
            <w:tcW w:w="1262" w:type="dxa"/>
          </w:tcPr>
          <w:p w14:paraId="5A17690B" w14:textId="77777777" w:rsidR="00994050" w:rsidRPr="0015541C" w:rsidRDefault="00994050" w:rsidP="00514BE3">
            <w:pPr>
              <w:keepNext/>
              <w:keepLines/>
              <w:spacing w:before="40" w:after="40" w:line="200" w:lineRule="exact"/>
              <w:jc w:val="center"/>
              <w:rPr>
                <w:szCs w:val="22"/>
                <w:lang w:val="pl-PL"/>
              </w:rPr>
            </w:pPr>
            <w:r w:rsidRPr="00260CEC">
              <w:rPr>
                <w:szCs w:val="22"/>
                <w:lang w:val="pl-PL"/>
              </w:rPr>
              <w:t>NO</w:t>
            </w:r>
          </w:p>
        </w:tc>
        <w:tc>
          <w:tcPr>
            <w:tcW w:w="1332" w:type="dxa"/>
          </w:tcPr>
          <w:p w14:paraId="4F25ABCE"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9,3</w:t>
            </w:r>
          </w:p>
        </w:tc>
        <w:tc>
          <w:tcPr>
            <w:tcW w:w="1332" w:type="dxa"/>
          </w:tcPr>
          <w:p w14:paraId="733CCB62"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5,0</w:t>
            </w:r>
          </w:p>
        </w:tc>
        <w:tc>
          <w:tcPr>
            <w:tcW w:w="1332" w:type="dxa"/>
          </w:tcPr>
          <w:p w14:paraId="7E536EBA"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6,8</w:t>
            </w:r>
          </w:p>
        </w:tc>
        <w:tc>
          <w:tcPr>
            <w:tcW w:w="1332" w:type="dxa"/>
          </w:tcPr>
          <w:p w14:paraId="61CBC6C9" w14:textId="77777777" w:rsidR="00994050" w:rsidRPr="0015541C" w:rsidRDefault="00994050" w:rsidP="00514BE3">
            <w:pPr>
              <w:keepNext/>
              <w:keepLines/>
              <w:spacing w:before="40" w:after="40" w:line="200" w:lineRule="exact"/>
              <w:jc w:val="center"/>
              <w:rPr>
                <w:szCs w:val="22"/>
                <w:lang w:val="pl-PL"/>
              </w:rPr>
            </w:pPr>
            <w:r w:rsidRPr="0015541C">
              <w:rPr>
                <w:szCs w:val="22"/>
                <w:lang w:val="pl-PL"/>
              </w:rPr>
              <w:t>9,2</w:t>
            </w:r>
          </w:p>
        </w:tc>
      </w:tr>
      <w:tr w:rsidR="00994050" w:rsidRPr="0015541C" w14:paraId="2786BD47" w14:textId="77777777" w:rsidTr="00D16D61">
        <w:trPr>
          <w:cantSplit/>
        </w:trPr>
        <w:tc>
          <w:tcPr>
            <w:tcW w:w="2480" w:type="dxa"/>
            <w:gridSpan w:val="2"/>
          </w:tcPr>
          <w:p w14:paraId="516CB912" w14:textId="77777777" w:rsidR="00994050" w:rsidRPr="0015541C" w:rsidRDefault="00994050" w:rsidP="002C0295">
            <w:pPr>
              <w:spacing w:before="40" w:after="40" w:line="200" w:lineRule="exact"/>
              <w:ind w:left="284"/>
              <w:rPr>
                <w:szCs w:val="22"/>
                <w:lang w:val="pl-PL"/>
              </w:rPr>
            </w:pPr>
            <w:r w:rsidRPr="0015541C">
              <w:rPr>
                <w:szCs w:val="22"/>
                <w:lang w:val="pl-PL"/>
              </w:rPr>
              <w:t>25-75 percentyl</w:t>
            </w:r>
          </w:p>
          <w:p w14:paraId="5304D9CE" w14:textId="77777777" w:rsidR="00994050" w:rsidRPr="0015541C" w:rsidRDefault="00994050" w:rsidP="002C0295">
            <w:pPr>
              <w:spacing w:before="40" w:after="40" w:line="200" w:lineRule="exact"/>
              <w:ind w:left="284"/>
              <w:rPr>
                <w:szCs w:val="22"/>
                <w:lang w:val="pl-PL"/>
              </w:rPr>
            </w:pPr>
            <w:r w:rsidRPr="00260CEC">
              <w:rPr>
                <w:szCs w:val="22"/>
                <w:lang w:val="pl-PL"/>
              </w:rPr>
              <w:t>(w miesiącach)</w:t>
            </w:r>
          </w:p>
        </w:tc>
        <w:tc>
          <w:tcPr>
            <w:tcW w:w="1262" w:type="dxa"/>
          </w:tcPr>
          <w:p w14:paraId="7C248DBF" w14:textId="77777777" w:rsidR="00994050" w:rsidRPr="0015541C" w:rsidRDefault="00994050" w:rsidP="002C0295">
            <w:pPr>
              <w:spacing w:before="40" w:after="40" w:line="200" w:lineRule="exact"/>
              <w:jc w:val="center"/>
              <w:rPr>
                <w:szCs w:val="22"/>
                <w:lang w:val="pl-PL"/>
              </w:rPr>
            </w:pPr>
            <w:r w:rsidRPr="0015541C">
              <w:rPr>
                <w:szCs w:val="22"/>
                <w:lang w:val="pl-PL"/>
              </w:rPr>
              <w:t>5,5 - NO</w:t>
            </w:r>
          </w:p>
        </w:tc>
        <w:tc>
          <w:tcPr>
            <w:tcW w:w="1332" w:type="dxa"/>
          </w:tcPr>
          <w:p w14:paraId="215ED764" w14:textId="77777777" w:rsidR="00994050" w:rsidRPr="0015541C" w:rsidRDefault="00994050" w:rsidP="002C0295">
            <w:pPr>
              <w:spacing w:before="40" w:after="40" w:line="200" w:lineRule="exact"/>
              <w:jc w:val="center"/>
              <w:rPr>
                <w:szCs w:val="22"/>
                <w:lang w:val="pl-PL"/>
              </w:rPr>
            </w:pPr>
            <w:r w:rsidRPr="0015541C">
              <w:rPr>
                <w:szCs w:val="22"/>
                <w:lang w:val="pl-PL"/>
              </w:rPr>
              <w:t>6,1 - NO</w:t>
            </w:r>
          </w:p>
        </w:tc>
        <w:tc>
          <w:tcPr>
            <w:tcW w:w="1332" w:type="dxa"/>
          </w:tcPr>
          <w:p w14:paraId="4E79ECAC" w14:textId="77777777" w:rsidR="00994050" w:rsidRPr="0015541C" w:rsidRDefault="00994050" w:rsidP="002C0295">
            <w:pPr>
              <w:spacing w:before="40" w:after="40" w:line="200" w:lineRule="exact"/>
              <w:jc w:val="center"/>
              <w:rPr>
                <w:szCs w:val="22"/>
                <w:lang w:val="pl-PL"/>
              </w:rPr>
            </w:pPr>
            <w:r w:rsidRPr="0015541C">
              <w:rPr>
                <w:szCs w:val="22"/>
                <w:lang w:val="pl-PL"/>
              </w:rPr>
              <w:t>3,8 – 7,8</w:t>
            </w:r>
          </w:p>
        </w:tc>
        <w:tc>
          <w:tcPr>
            <w:tcW w:w="1332" w:type="dxa"/>
          </w:tcPr>
          <w:p w14:paraId="3679580E" w14:textId="77777777" w:rsidR="00994050" w:rsidRPr="0015541C" w:rsidRDefault="00994050" w:rsidP="002C0295">
            <w:pPr>
              <w:spacing w:before="40" w:after="40" w:line="200" w:lineRule="exact"/>
              <w:jc w:val="center"/>
              <w:rPr>
                <w:szCs w:val="22"/>
                <w:lang w:val="pl-PL"/>
              </w:rPr>
            </w:pPr>
            <w:r w:rsidRPr="0015541C">
              <w:rPr>
                <w:szCs w:val="22"/>
                <w:lang w:val="pl-PL"/>
              </w:rPr>
              <w:t>5,59 – 9,17</w:t>
            </w:r>
          </w:p>
        </w:tc>
        <w:tc>
          <w:tcPr>
            <w:tcW w:w="1332" w:type="dxa"/>
          </w:tcPr>
          <w:p w14:paraId="6833D532" w14:textId="77777777" w:rsidR="00994050" w:rsidRPr="0015541C" w:rsidRDefault="00994050" w:rsidP="002C0295">
            <w:pPr>
              <w:spacing w:before="40" w:after="40" w:line="200" w:lineRule="exact"/>
              <w:jc w:val="center"/>
              <w:rPr>
                <w:szCs w:val="22"/>
                <w:lang w:val="pl-PL"/>
              </w:rPr>
            </w:pPr>
            <w:r w:rsidRPr="0015541C">
              <w:rPr>
                <w:szCs w:val="22"/>
                <w:lang w:val="pl-PL"/>
              </w:rPr>
              <w:t>5,88 – 13,01</w:t>
            </w:r>
          </w:p>
        </w:tc>
      </w:tr>
    </w:tbl>
    <w:p w14:paraId="771805A9" w14:textId="645F49D9" w:rsidR="00994050" w:rsidRPr="0015541C" w:rsidRDefault="00994050" w:rsidP="002C0295">
      <w:pPr>
        <w:keepNext/>
        <w:keepLines/>
        <w:spacing w:line="200" w:lineRule="exact"/>
        <w:rPr>
          <w:sz w:val="20"/>
          <w:lang w:val="pl-PL"/>
        </w:rPr>
      </w:pPr>
      <w:r w:rsidRPr="0015541C">
        <w:rPr>
          <w:sz w:val="20"/>
          <w:vertAlign w:val="superscript"/>
          <w:lang w:val="pl-PL"/>
        </w:rPr>
        <w:t>a</w:t>
      </w:r>
      <w:r w:rsidRPr="0015541C">
        <w:rPr>
          <w:sz w:val="20"/>
          <w:lang w:val="pl-PL"/>
        </w:rPr>
        <w:t xml:space="preserve"> 5 </w:t>
      </w:r>
      <w:r w:rsidR="006C1132" w:rsidRPr="0015541C">
        <w:rPr>
          <w:sz w:val="20"/>
          <w:lang w:val="pl-PL"/>
        </w:rPr>
        <w:t>mg/kg mc.</w:t>
      </w:r>
      <w:r w:rsidRPr="00260CEC">
        <w:rPr>
          <w:sz w:val="20"/>
          <w:lang w:val="pl-PL"/>
        </w:rPr>
        <w:t>, co 2 tygodnie</w:t>
      </w:r>
    </w:p>
    <w:p w14:paraId="6F9E1F6D" w14:textId="36A0F402" w:rsidR="00994050" w:rsidRPr="0015541C" w:rsidRDefault="00994050" w:rsidP="002C0295">
      <w:pPr>
        <w:keepNext/>
        <w:keepLines/>
        <w:spacing w:line="200" w:lineRule="exact"/>
        <w:rPr>
          <w:sz w:val="20"/>
          <w:lang w:val="pl-PL"/>
        </w:rPr>
      </w:pPr>
      <w:r w:rsidRPr="0015541C">
        <w:rPr>
          <w:sz w:val="20"/>
          <w:vertAlign w:val="superscript"/>
          <w:lang w:val="pl-PL"/>
        </w:rPr>
        <w:t>b</w:t>
      </w:r>
      <w:r w:rsidRPr="0015541C">
        <w:rPr>
          <w:sz w:val="20"/>
          <w:lang w:val="pl-PL"/>
        </w:rPr>
        <w:t xml:space="preserve"> 10 </w:t>
      </w:r>
      <w:r w:rsidR="006C1132" w:rsidRPr="0015541C">
        <w:rPr>
          <w:sz w:val="20"/>
          <w:lang w:val="pl-PL"/>
        </w:rPr>
        <w:t>mg/kg mc.</w:t>
      </w:r>
      <w:r w:rsidRPr="0015541C">
        <w:rPr>
          <w:sz w:val="20"/>
          <w:lang w:val="pl-PL"/>
        </w:rPr>
        <w:t>, co 2 tygodnie</w:t>
      </w:r>
    </w:p>
    <w:p w14:paraId="20287C54" w14:textId="77777777" w:rsidR="00994050" w:rsidRPr="0015541C" w:rsidRDefault="00994050" w:rsidP="002C0295">
      <w:pPr>
        <w:keepNext/>
        <w:keepLines/>
        <w:spacing w:line="200" w:lineRule="exact"/>
        <w:rPr>
          <w:sz w:val="20"/>
          <w:lang w:val="pl-PL"/>
        </w:rPr>
      </w:pPr>
      <w:r w:rsidRPr="0015541C">
        <w:rPr>
          <w:sz w:val="20"/>
          <w:vertAlign w:val="superscript"/>
          <w:lang w:val="pl-PL"/>
        </w:rPr>
        <w:t>c</w:t>
      </w:r>
      <w:r w:rsidRPr="0015541C">
        <w:rPr>
          <w:sz w:val="20"/>
          <w:lang w:val="pl-PL"/>
        </w:rPr>
        <w:t xml:space="preserve"> W stosunku do ramienia kontrolnego</w:t>
      </w:r>
    </w:p>
    <w:p w14:paraId="4C36735D" w14:textId="77777777" w:rsidR="00994050" w:rsidRPr="0015541C" w:rsidRDefault="00994050" w:rsidP="002C0295">
      <w:pPr>
        <w:keepNext/>
        <w:keepLines/>
        <w:spacing w:line="200" w:lineRule="exact"/>
        <w:ind w:left="180"/>
        <w:rPr>
          <w:sz w:val="20"/>
          <w:lang w:val="pl-PL"/>
        </w:rPr>
      </w:pPr>
      <w:r w:rsidRPr="0015541C">
        <w:rPr>
          <w:sz w:val="20"/>
          <w:lang w:val="pl-PL"/>
        </w:rPr>
        <w:t>NO – nie osiągnięto</w:t>
      </w:r>
    </w:p>
    <w:p w14:paraId="5FF4903F" w14:textId="77777777" w:rsidR="00994050" w:rsidRPr="0015541C" w:rsidRDefault="00994050" w:rsidP="00994050">
      <w:pPr>
        <w:rPr>
          <w:sz w:val="20"/>
          <w:lang w:val="pl-PL"/>
        </w:rPr>
      </w:pPr>
    </w:p>
    <w:p w14:paraId="444EBC72" w14:textId="77777777" w:rsidR="00A9049A" w:rsidRPr="0070444C" w:rsidRDefault="00994050" w:rsidP="00D16D61">
      <w:pPr>
        <w:keepNext/>
        <w:outlineLvl w:val="0"/>
        <w:rPr>
          <w:lang w:val="pl-PL"/>
        </w:rPr>
      </w:pPr>
      <w:r w:rsidRPr="0015541C">
        <w:rPr>
          <w:i/>
          <w:lang w:val="pl-PL"/>
        </w:rPr>
        <w:t>NO16966</w:t>
      </w:r>
    </w:p>
    <w:p w14:paraId="1BA0290C" w14:textId="4AA603F5" w:rsidR="00994050" w:rsidRPr="0015541C" w:rsidRDefault="00994050" w:rsidP="00831E76">
      <w:pPr>
        <w:rPr>
          <w:lang w:val="pl-PL"/>
        </w:rPr>
      </w:pPr>
      <w:r w:rsidRPr="0015541C">
        <w:rPr>
          <w:lang w:val="pl-PL"/>
        </w:rPr>
        <w:t xml:space="preserve">Było to randomizowane badanie kliniczne III fazy z podwójnie ślepą próbą (dla bewacyzumabu) dotyczące stosowania </w:t>
      </w:r>
      <w:r w:rsidR="0067765B" w:rsidRPr="0015541C">
        <w:rPr>
          <w:lang w:val="pl-PL"/>
        </w:rPr>
        <w:t>bewacyzumab</w:t>
      </w:r>
      <w:r w:rsidRPr="0015541C">
        <w:rPr>
          <w:lang w:val="pl-PL"/>
        </w:rPr>
        <w:t>u w dawce 7,5 </w:t>
      </w:r>
      <w:r w:rsidR="006C1132" w:rsidRPr="0015541C">
        <w:rPr>
          <w:lang w:val="pl-PL"/>
        </w:rPr>
        <w:t>mg/kg mc.</w:t>
      </w:r>
      <w:r w:rsidRPr="0015541C">
        <w:rPr>
          <w:lang w:val="pl-PL"/>
        </w:rPr>
        <w:t xml:space="preserve"> w skojarzeniu z kapecytabiną podawaną doustnie i </w:t>
      </w:r>
      <w:r w:rsidR="00A251D8" w:rsidRPr="0015541C">
        <w:rPr>
          <w:lang w:val="pl-PL"/>
        </w:rPr>
        <w:t xml:space="preserve">podawaną dożylnie </w:t>
      </w:r>
      <w:r w:rsidRPr="0015541C">
        <w:rPr>
          <w:lang w:val="pl-PL"/>
        </w:rPr>
        <w:t>oksaliplatyną (XELOX), w schemacie dawkowania co 3 tygodnie; lub w dawce 5 </w:t>
      </w:r>
      <w:r w:rsidR="006C1132" w:rsidRPr="0015541C">
        <w:rPr>
          <w:lang w:val="pl-PL"/>
        </w:rPr>
        <w:t>mg/kg mc.</w:t>
      </w:r>
      <w:r w:rsidRPr="0015541C">
        <w:rPr>
          <w:lang w:val="pl-PL"/>
        </w:rPr>
        <w:t xml:space="preserve"> w skojarzeniu z leukoworyną i 5</w:t>
      </w:r>
      <w:r w:rsidR="00B722C9" w:rsidRPr="0015541C">
        <w:rPr>
          <w:lang w:val="pl-PL"/>
        </w:rPr>
        <w:noBreakHyphen/>
      </w:r>
      <w:r w:rsidRPr="0015541C">
        <w:rPr>
          <w:lang w:val="pl-PL"/>
        </w:rPr>
        <w:t>fluorouracylem w bolusie, a następnie 5</w:t>
      </w:r>
      <w:r w:rsidR="00B722C9" w:rsidRPr="0015541C">
        <w:rPr>
          <w:lang w:val="pl-PL"/>
        </w:rPr>
        <w:noBreakHyphen/>
      </w:r>
      <w:r w:rsidRPr="0015541C">
        <w:rPr>
          <w:lang w:val="pl-PL"/>
        </w:rPr>
        <w:t xml:space="preserve">fluorouracyl we wlewie i </w:t>
      </w:r>
      <w:r w:rsidR="00A251D8" w:rsidRPr="0015541C">
        <w:rPr>
          <w:lang w:val="pl-PL"/>
        </w:rPr>
        <w:t>podawan</w:t>
      </w:r>
      <w:r w:rsidR="00D37AC2">
        <w:rPr>
          <w:lang w:val="pl-PL"/>
        </w:rPr>
        <w:t>a</w:t>
      </w:r>
      <w:r w:rsidR="00A251D8" w:rsidRPr="0015541C">
        <w:rPr>
          <w:lang w:val="pl-PL"/>
        </w:rPr>
        <w:t xml:space="preserve"> dożylnie </w:t>
      </w:r>
      <w:r w:rsidRPr="0015541C">
        <w:rPr>
          <w:lang w:val="pl-PL"/>
        </w:rPr>
        <w:t>oksaliplatyna (FOLFOX-4), w schemacie dawkowania co 2 tygodnie. Badanie składało się z dwóch części: początkowo pacjentów przydzielano losowo do dwóch grup terapeutycznych: XELOX oraz FOLFOX-4, nie stosując przy tym ślepej próby (część I), a następnie przydzielano ich do czterech grup terapeutycznych: XELOX + placebo, FOLFOX</w:t>
      </w:r>
      <w:r w:rsidRPr="0015541C">
        <w:rPr>
          <w:lang w:val="pl-PL"/>
        </w:rPr>
        <w:noBreakHyphen/>
        <w:t>4 + placebo, XELOX + </w:t>
      </w:r>
      <w:r w:rsidR="0067765B" w:rsidRPr="0015541C">
        <w:rPr>
          <w:lang w:val="pl-PL"/>
        </w:rPr>
        <w:t>bewacyzumab</w:t>
      </w:r>
      <w:r w:rsidRPr="0015541C">
        <w:rPr>
          <w:lang w:val="pl-PL"/>
        </w:rPr>
        <w:t>, FOLFOX</w:t>
      </w:r>
      <w:r w:rsidRPr="0015541C">
        <w:rPr>
          <w:lang w:val="pl-PL"/>
        </w:rPr>
        <w:noBreakHyphen/>
        <w:t>4 + </w:t>
      </w:r>
      <w:r w:rsidR="0067765B" w:rsidRPr="0015541C">
        <w:rPr>
          <w:lang w:val="pl-PL"/>
        </w:rPr>
        <w:t>bewacyzumab</w:t>
      </w:r>
      <w:r w:rsidRPr="0015541C">
        <w:rPr>
          <w:lang w:val="pl-PL"/>
        </w:rPr>
        <w:t xml:space="preserve"> (część II, prowadzona w schemacie 2x2). W części II stosowano zasadę podwójnie ślepej próby w odniesieniu do </w:t>
      </w:r>
      <w:r w:rsidR="0067765B" w:rsidRPr="0015541C">
        <w:rPr>
          <w:lang w:val="pl-PL"/>
        </w:rPr>
        <w:t>bewacyzumab</w:t>
      </w:r>
      <w:r w:rsidRPr="0015541C">
        <w:rPr>
          <w:lang w:val="pl-PL"/>
        </w:rPr>
        <w:t>u.</w:t>
      </w:r>
    </w:p>
    <w:p w14:paraId="6A537DB6" w14:textId="77777777" w:rsidR="00994050" w:rsidRPr="0015541C" w:rsidRDefault="00994050" w:rsidP="00831E76">
      <w:pPr>
        <w:rPr>
          <w:lang w:val="pl-PL"/>
        </w:rPr>
      </w:pPr>
    </w:p>
    <w:p w14:paraId="200A8C7B" w14:textId="77777777" w:rsidR="00994050" w:rsidRPr="0015541C" w:rsidRDefault="00994050" w:rsidP="00831E76">
      <w:pPr>
        <w:rPr>
          <w:lang w:val="pl-PL"/>
        </w:rPr>
      </w:pPr>
      <w:r w:rsidRPr="0015541C">
        <w:rPr>
          <w:lang w:val="pl-PL"/>
        </w:rPr>
        <w:t xml:space="preserve">W drugiej części badania do każdej z 4 grup przydzielono ok. 350 osób. </w:t>
      </w:r>
    </w:p>
    <w:p w14:paraId="4FBC0A99" w14:textId="77777777" w:rsidR="00994050" w:rsidRPr="0015541C" w:rsidRDefault="00994050" w:rsidP="00EE7A0B">
      <w:pPr>
        <w:keepLines/>
        <w:rPr>
          <w:lang w:val="pl-PL"/>
        </w:rPr>
      </w:pPr>
    </w:p>
    <w:p w14:paraId="7BEF6718" w14:textId="77777777" w:rsidR="00994050" w:rsidRPr="0015541C" w:rsidRDefault="00994050" w:rsidP="003C6FA3">
      <w:pPr>
        <w:keepNext/>
        <w:keepLines/>
        <w:ind w:left="539" w:hanging="539"/>
        <w:outlineLvl w:val="0"/>
        <w:rPr>
          <w:b/>
          <w:lang w:val="pl-PL"/>
        </w:rPr>
      </w:pPr>
      <w:r w:rsidRPr="0015541C">
        <w:rPr>
          <w:b/>
          <w:lang w:val="pl-PL"/>
        </w:rPr>
        <w:lastRenderedPageBreak/>
        <w:t>Tabela</w:t>
      </w:r>
      <w:r w:rsidR="00A628B5" w:rsidRPr="0015541C">
        <w:rPr>
          <w:b/>
          <w:lang w:val="pl-PL"/>
        </w:rPr>
        <w:t> </w:t>
      </w:r>
      <w:r w:rsidR="008800D7" w:rsidRPr="0015541C">
        <w:rPr>
          <w:b/>
          <w:lang w:val="pl-PL"/>
        </w:rPr>
        <w:t>6</w:t>
      </w:r>
      <w:r w:rsidRPr="0015541C">
        <w:rPr>
          <w:b/>
          <w:lang w:val="pl-PL"/>
        </w:rPr>
        <w:t xml:space="preserve">. </w:t>
      </w:r>
      <w:r w:rsidR="008428C3" w:rsidRPr="0015541C">
        <w:rPr>
          <w:b/>
          <w:lang w:val="pl-PL"/>
        </w:rPr>
        <w:tab/>
      </w:r>
      <w:r w:rsidRPr="0015541C">
        <w:rPr>
          <w:b/>
          <w:lang w:val="pl-PL"/>
        </w:rPr>
        <w:t>Schematy leczenia w badaniu N</w:t>
      </w:r>
      <w:r w:rsidR="0026465C" w:rsidRPr="0015541C">
        <w:rPr>
          <w:b/>
          <w:lang w:val="pl-PL"/>
        </w:rPr>
        <w:t>O</w:t>
      </w:r>
      <w:r w:rsidRPr="0015541C">
        <w:rPr>
          <w:b/>
          <w:lang w:val="pl-PL"/>
        </w:rPr>
        <w:t>16966 (rak okrężnicy lub odbytnicy z przerzutami)</w:t>
      </w:r>
    </w:p>
    <w:tbl>
      <w:tblPr>
        <w:tblW w:w="5000" w:type="pct"/>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1726"/>
        <w:gridCol w:w="1620"/>
        <w:gridCol w:w="2947"/>
        <w:gridCol w:w="2757"/>
      </w:tblGrid>
      <w:tr w:rsidR="00713846" w:rsidRPr="0015541C" w14:paraId="3DBE1418" w14:textId="77777777" w:rsidTr="001535A2">
        <w:trPr>
          <w:jc w:val="center"/>
        </w:trPr>
        <w:tc>
          <w:tcPr>
            <w:tcW w:w="954" w:type="pct"/>
            <w:tcBorders>
              <w:top w:val="single" w:sz="8" w:space="0" w:color="auto"/>
              <w:bottom w:val="single" w:sz="8" w:space="0" w:color="auto"/>
              <w:right w:val="single" w:sz="8" w:space="0" w:color="auto"/>
            </w:tcBorders>
            <w:vAlign w:val="bottom"/>
          </w:tcPr>
          <w:p w14:paraId="2A5309EB" w14:textId="77777777" w:rsidR="00994050" w:rsidRPr="0015541C" w:rsidRDefault="00994050" w:rsidP="00C92589">
            <w:pPr>
              <w:pStyle w:val="TableCellCenter"/>
              <w:rPr>
                <w:b/>
                <w:sz w:val="22"/>
                <w:szCs w:val="22"/>
                <w:lang w:val="pl-PL"/>
              </w:rPr>
            </w:pPr>
          </w:p>
        </w:tc>
        <w:tc>
          <w:tcPr>
            <w:tcW w:w="895" w:type="pct"/>
            <w:tcBorders>
              <w:top w:val="single" w:sz="8" w:space="0" w:color="auto"/>
              <w:left w:val="single" w:sz="8" w:space="0" w:color="auto"/>
              <w:bottom w:val="single" w:sz="8" w:space="0" w:color="auto"/>
              <w:right w:val="single" w:sz="8" w:space="0" w:color="auto"/>
            </w:tcBorders>
            <w:vAlign w:val="bottom"/>
          </w:tcPr>
          <w:p w14:paraId="4EB03C22" w14:textId="77777777" w:rsidR="00994050" w:rsidRPr="0070444C" w:rsidRDefault="00994050" w:rsidP="00C92589">
            <w:pPr>
              <w:pStyle w:val="TableCellCenter"/>
              <w:rPr>
                <w:b/>
                <w:sz w:val="22"/>
                <w:lang w:val="pl-PL"/>
              </w:rPr>
            </w:pPr>
            <w:r w:rsidRPr="0070444C">
              <w:rPr>
                <w:b/>
                <w:sz w:val="22"/>
                <w:lang w:val="pl-PL"/>
              </w:rPr>
              <w:t>Leczenie</w:t>
            </w:r>
          </w:p>
        </w:tc>
        <w:tc>
          <w:tcPr>
            <w:tcW w:w="1628" w:type="pct"/>
            <w:tcBorders>
              <w:top w:val="single" w:sz="8" w:space="0" w:color="auto"/>
              <w:left w:val="single" w:sz="8" w:space="0" w:color="auto"/>
              <w:bottom w:val="single" w:sz="8" w:space="0" w:color="auto"/>
              <w:right w:val="single" w:sz="8" w:space="0" w:color="auto"/>
            </w:tcBorders>
            <w:vAlign w:val="bottom"/>
          </w:tcPr>
          <w:p w14:paraId="59FFD44B" w14:textId="77777777" w:rsidR="00994050" w:rsidRPr="0070444C" w:rsidRDefault="00994050" w:rsidP="00C92589">
            <w:pPr>
              <w:pStyle w:val="TableCellCenter"/>
              <w:rPr>
                <w:b/>
                <w:sz w:val="22"/>
                <w:lang w:val="pl-PL"/>
              </w:rPr>
            </w:pPr>
            <w:r w:rsidRPr="0070444C">
              <w:rPr>
                <w:b/>
                <w:sz w:val="22"/>
                <w:lang w:val="pl-PL"/>
              </w:rPr>
              <w:t>Dawka początkowa</w:t>
            </w:r>
          </w:p>
        </w:tc>
        <w:tc>
          <w:tcPr>
            <w:tcW w:w="1523" w:type="pct"/>
            <w:tcBorders>
              <w:top w:val="single" w:sz="8" w:space="0" w:color="auto"/>
              <w:left w:val="single" w:sz="8" w:space="0" w:color="auto"/>
              <w:bottom w:val="single" w:sz="8" w:space="0" w:color="auto"/>
            </w:tcBorders>
            <w:vAlign w:val="bottom"/>
          </w:tcPr>
          <w:p w14:paraId="46802952" w14:textId="77777777" w:rsidR="00994050" w:rsidRPr="0070444C" w:rsidRDefault="00994050" w:rsidP="00C92589">
            <w:pPr>
              <w:pStyle w:val="TableCellCenter"/>
              <w:rPr>
                <w:b/>
                <w:sz w:val="22"/>
                <w:lang w:val="pl-PL"/>
              </w:rPr>
            </w:pPr>
            <w:r w:rsidRPr="0070444C">
              <w:rPr>
                <w:b/>
                <w:sz w:val="22"/>
                <w:lang w:val="pl-PL"/>
              </w:rPr>
              <w:t>Schemat</w:t>
            </w:r>
          </w:p>
        </w:tc>
      </w:tr>
      <w:tr w:rsidR="00713846" w:rsidRPr="0015541C" w14:paraId="4B6267F8" w14:textId="77777777" w:rsidTr="001535A2">
        <w:trPr>
          <w:cantSplit/>
          <w:jc w:val="center"/>
        </w:trPr>
        <w:tc>
          <w:tcPr>
            <w:tcW w:w="954" w:type="pct"/>
            <w:vMerge w:val="restart"/>
            <w:tcBorders>
              <w:top w:val="single" w:sz="8" w:space="0" w:color="auto"/>
              <w:bottom w:val="single" w:sz="8" w:space="0" w:color="auto"/>
              <w:right w:val="single" w:sz="8" w:space="0" w:color="auto"/>
            </w:tcBorders>
          </w:tcPr>
          <w:p w14:paraId="4015A660" w14:textId="77777777" w:rsidR="00994050" w:rsidRPr="0015541C" w:rsidRDefault="00994050" w:rsidP="00C92589">
            <w:pPr>
              <w:pStyle w:val="TableCellCenter"/>
              <w:rPr>
                <w:sz w:val="22"/>
                <w:szCs w:val="22"/>
                <w:lang w:val="pl-PL"/>
              </w:rPr>
            </w:pPr>
            <w:r w:rsidRPr="0015541C">
              <w:rPr>
                <w:sz w:val="22"/>
                <w:szCs w:val="22"/>
                <w:lang w:val="pl-PL"/>
              </w:rPr>
              <w:t xml:space="preserve">FOLFOX-4 </w:t>
            </w:r>
          </w:p>
          <w:p w14:paraId="199C798F" w14:textId="77777777" w:rsidR="00994050" w:rsidRPr="0015541C" w:rsidRDefault="00994050" w:rsidP="00C92589">
            <w:pPr>
              <w:pStyle w:val="TableCellCenter"/>
              <w:rPr>
                <w:sz w:val="22"/>
                <w:szCs w:val="22"/>
                <w:lang w:val="pl-PL"/>
              </w:rPr>
            </w:pPr>
            <w:r w:rsidRPr="00260CEC">
              <w:rPr>
                <w:sz w:val="22"/>
                <w:szCs w:val="22"/>
                <w:lang w:val="pl-PL"/>
              </w:rPr>
              <w:t xml:space="preserve">lub </w:t>
            </w:r>
          </w:p>
          <w:p w14:paraId="22F01DC5" w14:textId="77777777" w:rsidR="00994050" w:rsidRPr="0015541C" w:rsidRDefault="00994050" w:rsidP="00C92589">
            <w:pPr>
              <w:pStyle w:val="TableCellCenter"/>
              <w:rPr>
                <w:sz w:val="22"/>
                <w:szCs w:val="22"/>
                <w:lang w:val="pl-PL"/>
              </w:rPr>
            </w:pPr>
            <w:r w:rsidRPr="0015541C">
              <w:rPr>
                <w:sz w:val="22"/>
                <w:szCs w:val="22"/>
                <w:lang w:val="pl-PL"/>
              </w:rPr>
              <w:t xml:space="preserve">FOLFOX-4 + </w:t>
            </w:r>
            <w:r w:rsidR="00CB5262" w:rsidRPr="0015541C">
              <w:rPr>
                <w:sz w:val="22"/>
                <w:szCs w:val="22"/>
                <w:lang w:val="pl-PL"/>
              </w:rPr>
              <w:t>bewacyzumab</w:t>
            </w:r>
          </w:p>
        </w:tc>
        <w:tc>
          <w:tcPr>
            <w:tcW w:w="895" w:type="pct"/>
            <w:tcBorders>
              <w:top w:val="single" w:sz="8" w:space="0" w:color="auto"/>
              <w:left w:val="single" w:sz="8" w:space="0" w:color="auto"/>
              <w:bottom w:val="nil"/>
              <w:right w:val="single" w:sz="8" w:space="0" w:color="auto"/>
            </w:tcBorders>
          </w:tcPr>
          <w:p w14:paraId="70B2D898" w14:textId="77777777" w:rsidR="00994050" w:rsidRPr="0015541C" w:rsidRDefault="00994050" w:rsidP="00C92589">
            <w:pPr>
              <w:pStyle w:val="TableCellLeft"/>
              <w:rPr>
                <w:sz w:val="22"/>
                <w:szCs w:val="22"/>
                <w:lang w:val="pl-PL"/>
              </w:rPr>
            </w:pPr>
            <w:r w:rsidRPr="0015541C">
              <w:rPr>
                <w:sz w:val="22"/>
                <w:szCs w:val="22"/>
                <w:lang w:val="pl-PL"/>
              </w:rPr>
              <w:t>oksaliplatyna</w:t>
            </w:r>
          </w:p>
        </w:tc>
        <w:tc>
          <w:tcPr>
            <w:tcW w:w="1628" w:type="pct"/>
            <w:tcBorders>
              <w:top w:val="single" w:sz="8" w:space="0" w:color="auto"/>
              <w:left w:val="single" w:sz="8" w:space="0" w:color="auto"/>
              <w:bottom w:val="nil"/>
              <w:right w:val="single" w:sz="8" w:space="0" w:color="auto"/>
            </w:tcBorders>
          </w:tcPr>
          <w:p w14:paraId="182C2ABE" w14:textId="7F8B2A92" w:rsidR="00994050" w:rsidRPr="0015541C" w:rsidRDefault="00994050" w:rsidP="00C92589">
            <w:pPr>
              <w:pStyle w:val="TableCellLeft"/>
              <w:rPr>
                <w:sz w:val="22"/>
                <w:szCs w:val="22"/>
                <w:lang w:val="pl-PL"/>
              </w:rPr>
            </w:pPr>
            <w:r w:rsidRPr="0015541C">
              <w:rPr>
                <w:sz w:val="22"/>
                <w:szCs w:val="22"/>
                <w:lang w:val="pl-PL"/>
              </w:rPr>
              <w:t>85</w:t>
            </w:r>
            <w:r w:rsidR="00031411" w:rsidRPr="0015541C">
              <w:rPr>
                <w:sz w:val="22"/>
                <w:szCs w:val="22"/>
                <w:lang w:val="pl-PL"/>
              </w:rPr>
              <w:t> </w:t>
            </w:r>
            <w:r w:rsidRPr="0015541C">
              <w:rPr>
                <w:sz w:val="22"/>
                <w:szCs w:val="22"/>
                <w:lang w:val="pl-PL"/>
              </w:rPr>
              <w:t>mg/m</w:t>
            </w:r>
            <w:r w:rsidRPr="0015541C">
              <w:rPr>
                <w:sz w:val="22"/>
                <w:szCs w:val="22"/>
                <w:vertAlign w:val="superscript"/>
                <w:lang w:val="pl-PL"/>
              </w:rPr>
              <w:t>2</w:t>
            </w:r>
            <w:r w:rsidRPr="0015541C">
              <w:rPr>
                <w:sz w:val="22"/>
                <w:szCs w:val="22"/>
                <w:lang w:val="pl-PL"/>
              </w:rPr>
              <w:t xml:space="preserve"> </w:t>
            </w:r>
            <w:r w:rsidR="006A43C2" w:rsidRPr="0015541C">
              <w:rPr>
                <w:szCs w:val="22"/>
                <w:lang w:val="pl-PL"/>
              </w:rPr>
              <w:t>dożylnie</w:t>
            </w:r>
            <w:r w:rsidRPr="0015541C">
              <w:rPr>
                <w:sz w:val="22"/>
                <w:szCs w:val="22"/>
                <w:lang w:val="pl-PL"/>
              </w:rPr>
              <w:t xml:space="preserve"> przez 2 godz.</w:t>
            </w:r>
          </w:p>
        </w:tc>
        <w:tc>
          <w:tcPr>
            <w:tcW w:w="1523" w:type="pct"/>
            <w:vMerge w:val="restart"/>
            <w:tcBorders>
              <w:top w:val="single" w:sz="8" w:space="0" w:color="auto"/>
              <w:left w:val="single" w:sz="8" w:space="0" w:color="auto"/>
            </w:tcBorders>
          </w:tcPr>
          <w:p w14:paraId="717087AC" w14:textId="77777777" w:rsidR="00994050" w:rsidRPr="0015541C" w:rsidRDefault="00994050" w:rsidP="00C92589">
            <w:pPr>
              <w:pStyle w:val="TableCellLeft"/>
              <w:rPr>
                <w:sz w:val="22"/>
                <w:szCs w:val="22"/>
                <w:lang w:val="pl-PL"/>
              </w:rPr>
            </w:pPr>
            <w:r w:rsidRPr="0015541C">
              <w:rPr>
                <w:sz w:val="22"/>
                <w:szCs w:val="22"/>
                <w:lang w:val="pl-PL"/>
              </w:rPr>
              <w:t>oksaliplatyna w dniu 1.</w:t>
            </w:r>
          </w:p>
          <w:p w14:paraId="0511CAB9" w14:textId="77777777" w:rsidR="00994050" w:rsidRPr="0015541C" w:rsidRDefault="00994050" w:rsidP="00C92589">
            <w:pPr>
              <w:pStyle w:val="TableCellLeft"/>
              <w:rPr>
                <w:sz w:val="22"/>
                <w:szCs w:val="22"/>
                <w:lang w:val="pl-PL"/>
              </w:rPr>
            </w:pPr>
            <w:r w:rsidRPr="0015541C">
              <w:rPr>
                <w:sz w:val="22"/>
                <w:szCs w:val="22"/>
                <w:lang w:val="pl-PL"/>
              </w:rPr>
              <w:t>leukoworyna w dniu 1. i 2.</w:t>
            </w:r>
          </w:p>
          <w:p w14:paraId="169ACACA" w14:textId="5BD859FE" w:rsidR="00994050" w:rsidRPr="0015541C" w:rsidRDefault="00994050" w:rsidP="00C92589">
            <w:pPr>
              <w:pStyle w:val="TableCellLeft"/>
              <w:rPr>
                <w:sz w:val="22"/>
                <w:szCs w:val="22"/>
                <w:lang w:val="pl-PL"/>
              </w:rPr>
            </w:pPr>
            <w:r w:rsidRPr="0015541C">
              <w:rPr>
                <w:sz w:val="22"/>
                <w:szCs w:val="22"/>
                <w:lang w:val="pl-PL"/>
              </w:rPr>
              <w:t>5</w:t>
            </w:r>
            <w:r w:rsidR="00B722C9" w:rsidRPr="0015541C">
              <w:rPr>
                <w:sz w:val="22"/>
                <w:szCs w:val="22"/>
                <w:lang w:val="pl-PL"/>
              </w:rPr>
              <w:noBreakHyphen/>
            </w:r>
            <w:r w:rsidRPr="0015541C">
              <w:rPr>
                <w:sz w:val="22"/>
                <w:szCs w:val="22"/>
                <w:lang w:val="pl-PL"/>
              </w:rPr>
              <w:t xml:space="preserve">fluorouracyl </w:t>
            </w:r>
            <w:r w:rsidR="006A43C2" w:rsidRPr="0015541C">
              <w:rPr>
                <w:szCs w:val="22"/>
                <w:lang w:val="pl-PL"/>
              </w:rPr>
              <w:t>dożylnie</w:t>
            </w:r>
            <w:r w:rsidRPr="0015541C">
              <w:rPr>
                <w:sz w:val="22"/>
                <w:szCs w:val="22"/>
                <w:lang w:val="pl-PL"/>
              </w:rPr>
              <w:t xml:space="preserve"> w bolusie / we wlewie w dniu 1. i 2. </w:t>
            </w:r>
          </w:p>
        </w:tc>
      </w:tr>
      <w:tr w:rsidR="00713846" w:rsidRPr="00CD4A5E" w14:paraId="7D935F4D" w14:textId="77777777" w:rsidTr="001535A2">
        <w:trPr>
          <w:cantSplit/>
          <w:jc w:val="center"/>
        </w:trPr>
        <w:tc>
          <w:tcPr>
            <w:tcW w:w="954" w:type="pct"/>
            <w:vMerge/>
            <w:tcBorders>
              <w:top w:val="nil"/>
              <w:bottom w:val="single" w:sz="8" w:space="0" w:color="auto"/>
              <w:right w:val="single" w:sz="8" w:space="0" w:color="auto"/>
            </w:tcBorders>
          </w:tcPr>
          <w:p w14:paraId="193B84F7" w14:textId="77777777" w:rsidR="00994050" w:rsidRPr="0015541C" w:rsidRDefault="00994050" w:rsidP="00C92589">
            <w:pPr>
              <w:pStyle w:val="TableCellCenter"/>
              <w:rPr>
                <w:sz w:val="22"/>
                <w:szCs w:val="22"/>
                <w:lang w:val="pl-PL"/>
              </w:rPr>
            </w:pPr>
          </w:p>
        </w:tc>
        <w:tc>
          <w:tcPr>
            <w:tcW w:w="895" w:type="pct"/>
            <w:tcBorders>
              <w:top w:val="nil"/>
              <w:left w:val="single" w:sz="8" w:space="0" w:color="auto"/>
              <w:bottom w:val="nil"/>
              <w:right w:val="single" w:sz="8" w:space="0" w:color="auto"/>
            </w:tcBorders>
          </w:tcPr>
          <w:p w14:paraId="1B68B27A" w14:textId="77777777" w:rsidR="00994050" w:rsidRPr="0015541C" w:rsidRDefault="00994050" w:rsidP="00C92589">
            <w:pPr>
              <w:pStyle w:val="TableCellLeft"/>
              <w:rPr>
                <w:sz w:val="22"/>
                <w:szCs w:val="22"/>
                <w:lang w:val="pl-PL"/>
              </w:rPr>
            </w:pPr>
            <w:r w:rsidRPr="0015541C">
              <w:rPr>
                <w:sz w:val="22"/>
                <w:szCs w:val="22"/>
                <w:lang w:val="pl-PL"/>
              </w:rPr>
              <w:t>leukoworyna</w:t>
            </w:r>
          </w:p>
        </w:tc>
        <w:tc>
          <w:tcPr>
            <w:tcW w:w="1628" w:type="pct"/>
            <w:tcBorders>
              <w:top w:val="nil"/>
              <w:left w:val="single" w:sz="8" w:space="0" w:color="auto"/>
              <w:bottom w:val="nil"/>
              <w:right w:val="single" w:sz="8" w:space="0" w:color="auto"/>
            </w:tcBorders>
          </w:tcPr>
          <w:p w14:paraId="1A93B562" w14:textId="4D377B28" w:rsidR="00994050" w:rsidRPr="0015541C" w:rsidRDefault="00994050" w:rsidP="00C92589">
            <w:pPr>
              <w:pStyle w:val="TableCellLeft"/>
              <w:rPr>
                <w:sz w:val="22"/>
                <w:szCs w:val="22"/>
                <w:lang w:val="pl-PL"/>
              </w:rPr>
            </w:pPr>
            <w:r w:rsidRPr="0015541C">
              <w:rPr>
                <w:sz w:val="22"/>
                <w:szCs w:val="22"/>
                <w:lang w:val="pl-PL"/>
              </w:rPr>
              <w:t>200</w:t>
            </w:r>
            <w:r w:rsidR="00031411" w:rsidRPr="0015541C">
              <w:rPr>
                <w:sz w:val="22"/>
                <w:szCs w:val="22"/>
                <w:lang w:val="pl-PL"/>
              </w:rPr>
              <w:t> </w:t>
            </w:r>
            <w:r w:rsidRPr="0015541C">
              <w:rPr>
                <w:sz w:val="22"/>
                <w:szCs w:val="22"/>
                <w:lang w:val="pl-PL"/>
              </w:rPr>
              <w:t>mg/m</w:t>
            </w:r>
            <w:r w:rsidRPr="0015541C">
              <w:rPr>
                <w:sz w:val="22"/>
                <w:szCs w:val="22"/>
                <w:vertAlign w:val="superscript"/>
                <w:lang w:val="pl-PL"/>
              </w:rPr>
              <w:t>2</w:t>
            </w:r>
            <w:r w:rsidRPr="0015541C">
              <w:rPr>
                <w:sz w:val="22"/>
                <w:szCs w:val="22"/>
                <w:lang w:val="pl-PL"/>
              </w:rPr>
              <w:t xml:space="preserve"> </w:t>
            </w:r>
            <w:r w:rsidR="006A43C2" w:rsidRPr="0015541C">
              <w:rPr>
                <w:szCs w:val="22"/>
                <w:lang w:val="pl-PL"/>
              </w:rPr>
              <w:t>dożylnie</w:t>
            </w:r>
            <w:r w:rsidRPr="0015541C">
              <w:rPr>
                <w:sz w:val="22"/>
                <w:szCs w:val="22"/>
                <w:lang w:val="pl-PL"/>
              </w:rPr>
              <w:t xml:space="preserve"> przez 2 godz.</w:t>
            </w:r>
          </w:p>
        </w:tc>
        <w:tc>
          <w:tcPr>
            <w:tcW w:w="1523" w:type="pct"/>
            <w:vMerge/>
            <w:tcBorders>
              <w:left w:val="single" w:sz="8" w:space="0" w:color="auto"/>
            </w:tcBorders>
          </w:tcPr>
          <w:p w14:paraId="2FA239E2" w14:textId="77777777" w:rsidR="00994050" w:rsidRPr="0015541C" w:rsidRDefault="00994050" w:rsidP="00C92589">
            <w:pPr>
              <w:pStyle w:val="TableCellLeft"/>
              <w:rPr>
                <w:sz w:val="22"/>
                <w:szCs w:val="22"/>
                <w:lang w:val="pl-PL"/>
              </w:rPr>
            </w:pPr>
          </w:p>
        </w:tc>
      </w:tr>
      <w:tr w:rsidR="00713846" w:rsidRPr="00CD4A5E" w14:paraId="5C30DFAB" w14:textId="77777777" w:rsidTr="001535A2">
        <w:trPr>
          <w:cantSplit/>
          <w:jc w:val="center"/>
        </w:trPr>
        <w:tc>
          <w:tcPr>
            <w:tcW w:w="954" w:type="pct"/>
            <w:vMerge/>
            <w:tcBorders>
              <w:top w:val="nil"/>
              <w:bottom w:val="single" w:sz="8" w:space="0" w:color="auto"/>
              <w:right w:val="single" w:sz="8" w:space="0" w:color="auto"/>
            </w:tcBorders>
          </w:tcPr>
          <w:p w14:paraId="19BC02C3" w14:textId="77777777" w:rsidR="00994050" w:rsidRPr="0015541C" w:rsidRDefault="00994050" w:rsidP="00C92589">
            <w:pPr>
              <w:pStyle w:val="TableCellCenter"/>
              <w:rPr>
                <w:sz w:val="22"/>
                <w:szCs w:val="22"/>
                <w:lang w:val="pl-PL"/>
              </w:rPr>
            </w:pPr>
          </w:p>
        </w:tc>
        <w:tc>
          <w:tcPr>
            <w:tcW w:w="895" w:type="pct"/>
            <w:tcBorders>
              <w:top w:val="nil"/>
              <w:left w:val="single" w:sz="8" w:space="0" w:color="auto"/>
              <w:bottom w:val="single" w:sz="8" w:space="0" w:color="auto"/>
              <w:right w:val="single" w:sz="8" w:space="0" w:color="auto"/>
            </w:tcBorders>
          </w:tcPr>
          <w:p w14:paraId="5CC2BAFF" w14:textId="628CA5B6" w:rsidR="00994050" w:rsidRPr="0015541C" w:rsidRDefault="00994050" w:rsidP="00C92589">
            <w:pPr>
              <w:pStyle w:val="TableCellLeft"/>
              <w:rPr>
                <w:sz w:val="22"/>
                <w:szCs w:val="22"/>
                <w:lang w:val="pl-PL"/>
              </w:rPr>
            </w:pPr>
            <w:r w:rsidRPr="0015541C">
              <w:rPr>
                <w:sz w:val="22"/>
                <w:szCs w:val="22"/>
                <w:lang w:val="pl-PL"/>
              </w:rPr>
              <w:t>5</w:t>
            </w:r>
            <w:r w:rsidR="00B722C9" w:rsidRPr="0015541C">
              <w:rPr>
                <w:sz w:val="22"/>
                <w:szCs w:val="22"/>
                <w:lang w:val="pl-PL"/>
              </w:rPr>
              <w:noBreakHyphen/>
            </w:r>
            <w:r w:rsidRPr="0015541C">
              <w:rPr>
                <w:sz w:val="22"/>
                <w:szCs w:val="22"/>
                <w:lang w:val="pl-PL"/>
              </w:rPr>
              <w:t>fluorouracyl</w:t>
            </w:r>
          </w:p>
        </w:tc>
        <w:tc>
          <w:tcPr>
            <w:tcW w:w="1628" w:type="pct"/>
            <w:tcBorders>
              <w:top w:val="nil"/>
              <w:left w:val="single" w:sz="8" w:space="0" w:color="auto"/>
              <w:bottom w:val="single" w:sz="8" w:space="0" w:color="auto"/>
              <w:right w:val="single" w:sz="8" w:space="0" w:color="auto"/>
            </w:tcBorders>
          </w:tcPr>
          <w:p w14:paraId="358C9F68" w14:textId="1AC65DA4" w:rsidR="00994050" w:rsidRPr="0015541C" w:rsidRDefault="00994050" w:rsidP="00C92589">
            <w:pPr>
              <w:pStyle w:val="TableCellLeft"/>
              <w:rPr>
                <w:sz w:val="22"/>
                <w:szCs w:val="22"/>
                <w:lang w:val="pl-PL"/>
              </w:rPr>
            </w:pPr>
            <w:r w:rsidRPr="0015541C">
              <w:rPr>
                <w:sz w:val="22"/>
                <w:szCs w:val="22"/>
                <w:lang w:val="pl-PL"/>
              </w:rPr>
              <w:t>400</w:t>
            </w:r>
            <w:r w:rsidR="00031411" w:rsidRPr="0015541C">
              <w:rPr>
                <w:sz w:val="22"/>
                <w:szCs w:val="22"/>
                <w:lang w:val="pl-PL"/>
              </w:rPr>
              <w:t> </w:t>
            </w:r>
            <w:r w:rsidRPr="0015541C">
              <w:rPr>
                <w:sz w:val="22"/>
                <w:szCs w:val="22"/>
                <w:lang w:val="pl-PL"/>
              </w:rPr>
              <w:t>mg/m</w:t>
            </w:r>
            <w:r w:rsidRPr="0015541C">
              <w:rPr>
                <w:sz w:val="22"/>
                <w:szCs w:val="22"/>
                <w:vertAlign w:val="superscript"/>
                <w:lang w:val="pl-PL"/>
              </w:rPr>
              <w:t>2</w:t>
            </w:r>
            <w:r w:rsidRPr="0015541C">
              <w:rPr>
                <w:sz w:val="22"/>
                <w:szCs w:val="22"/>
                <w:lang w:val="pl-PL"/>
              </w:rPr>
              <w:t xml:space="preserve"> </w:t>
            </w:r>
            <w:r w:rsidR="006A43C2" w:rsidRPr="0015541C">
              <w:rPr>
                <w:szCs w:val="22"/>
                <w:lang w:val="pl-PL"/>
              </w:rPr>
              <w:t>dożylnie</w:t>
            </w:r>
            <w:r w:rsidRPr="0015541C">
              <w:rPr>
                <w:sz w:val="22"/>
                <w:szCs w:val="22"/>
                <w:lang w:val="pl-PL"/>
              </w:rPr>
              <w:t xml:space="preserve"> w bolusie, </w:t>
            </w:r>
          </w:p>
          <w:p w14:paraId="6ECC194B" w14:textId="5C29D3A5" w:rsidR="00994050" w:rsidRPr="0015541C" w:rsidRDefault="00994050" w:rsidP="00C92589">
            <w:pPr>
              <w:pStyle w:val="TableCellLeft"/>
              <w:rPr>
                <w:sz w:val="22"/>
                <w:szCs w:val="22"/>
                <w:lang w:val="pl-PL"/>
              </w:rPr>
            </w:pPr>
            <w:r w:rsidRPr="0015541C">
              <w:rPr>
                <w:sz w:val="22"/>
                <w:szCs w:val="22"/>
                <w:lang w:val="pl-PL"/>
              </w:rPr>
              <w:t>600</w:t>
            </w:r>
            <w:r w:rsidR="00031411" w:rsidRPr="0015541C">
              <w:rPr>
                <w:sz w:val="22"/>
                <w:szCs w:val="22"/>
                <w:lang w:val="pl-PL"/>
              </w:rPr>
              <w:t> </w:t>
            </w:r>
            <w:r w:rsidRPr="0015541C">
              <w:rPr>
                <w:sz w:val="22"/>
                <w:szCs w:val="22"/>
                <w:lang w:val="pl-PL"/>
              </w:rPr>
              <w:t>mg/m</w:t>
            </w:r>
            <w:r w:rsidRPr="0015541C">
              <w:rPr>
                <w:sz w:val="22"/>
                <w:szCs w:val="22"/>
                <w:vertAlign w:val="superscript"/>
                <w:lang w:val="pl-PL"/>
              </w:rPr>
              <w:t>2</w:t>
            </w:r>
            <w:r w:rsidRPr="0015541C">
              <w:rPr>
                <w:sz w:val="22"/>
                <w:szCs w:val="22"/>
                <w:lang w:val="pl-PL"/>
              </w:rPr>
              <w:t xml:space="preserve"> </w:t>
            </w:r>
            <w:r w:rsidR="006A43C2" w:rsidRPr="0015541C">
              <w:rPr>
                <w:szCs w:val="22"/>
                <w:lang w:val="pl-PL"/>
              </w:rPr>
              <w:t>dożylnie</w:t>
            </w:r>
            <w:r w:rsidRPr="0015541C">
              <w:rPr>
                <w:sz w:val="22"/>
                <w:szCs w:val="22"/>
                <w:lang w:val="pl-PL"/>
              </w:rPr>
              <w:t xml:space="preserve"> przez 22 godz.</w:t>
            </w:r>
          </w:p>
        </w:tc>
        <w:tc>
          <w:tcPr>
            <w:tcW w:w="1523" w:type="pct"/>
            <w:vMerge/>
            <w:tcBorders>
              <w:left w:val="single" w:sz="8" w:space="0" w:color="auto"/>
              <w:bottom w:val="single" w:sz="8" w:space="0" w:color="auto"/>
            </w:tcBorders>
          </w:tcPr>
          <w:p w14:paraId="26F33B26" w14:textId="77777777" w:rsidR="00994050" w:rsidRPr="0015541C" w:rsidRDefault="00994050" w:rsidP="00C92589">
            <w:pPr>
              <w:pStyle w:val="TableCellLeft"/>
              <w:rPr>
                <w:sz w:val="22"/>
                <w:szCs w:val="22"/>
                <w:lang w:val="pl-PL"/>
              </w:rPr>
            </w:pPr>
          </w:p>
        </w:tc>
      </w:tr>
      <w:tr w:rsidR="00713846" w:rsidRPr="00A5462B" w14:paraId="201D1571" w14:textId="77777777" w:rsidTr="001535A2">
        <w:trPr>
          <w:cantSplit/>
          <w:jc w:val="center"/>
        </w:trPr>
        <w:tc>
          <w:tcPr>
            <w:tcW w:w="954" w:type="pct"/>
            <w:vMerge/>
            <w:tcBorders>
              <w:top w:val="nil"/>
              <w:bottom w:val="single" w:sz="4" w:space="0" w:color="auto"/>
              <w:right w:val="single" w:sz="8" w:space="0" w:color="auto"/>
            </w:tcBorders>
          </w:tcPr>
          <w:p w14:paraId="5A018C2B" w14:textId="77777777" w:rsidR="00994050" w:rsidRPr="0015541C" w:rsidRDefault="00994050" w:rsidP="00D06AE1">
            <w:pPr>
              <w:pStyle w:val="TableCellCenter"/>
              <w:keepNext w:val="0"/>
              <w:keepLines w:val="0"/>
              <w:rPr>
                <w:sz w:val="22"/>
                <w:szCs w:val="22"/>
                <w:lang w:val="pl-PL"/>
              </w:rPr>
            </w:pPr>
          </w:p>
        </w:tc>
        <w:tc>
          <w:tcPr>
            <w:tcW w:w="895" w:type="pct"/>
            <w:tcBorders>
              <w:top w:val="single" w:sz="8" w:space="0" w:color="auto"/>
              <w:left w:val="single" w:sz="8" w:space="0" w:color="auto"/>
              <w:bottom w:val="single" w:sz="4" w:space="0" w:color="auto"/>
              <w:right w:val="single" w:sz="8" w:space="0" w:color="auto"/>
            </w:tcBorders>
          </w:tcPr>
          <w:p w14:paraId="086B40CA" w14:textId="77777777" w:rsidR="00994050" w:rsidRPr="0015541C" w:rsidRDefault="00994050" w:rsidP="00D06AE1">
            <w:pPr>
              <w:pStyle w:val="TableCellLeft"/>
              <w:keepNext w:val="0"/>
              <w:keepLines w:val="0"/>
              <w:rPr>
                <w:sz w:val="22"/>
                <w:szCs w:val="22"/>
                <w:lang w:val="pl-PL"/>
              </w:rPr>
            </w:pPr>
            <w:r w:rsidRPr="0015541C">
              <w:rPr>
                <w:sz w:val="22"/>
                <w:szCs w:val="22"/>
                <w:lang w:val="pl-PL"/>
              </w:rPr>
              <w:t xml:space="preserve">placebo lub </w:t>
            </w:r>
            <w:r w:rsidR="00CB5262" w:rsidRPr="0015541C">
              <w:rPr>
                <w:sz w:val="22"/>
                <w:szCs w:val="22"/>
                <w:lang w:val="pl-PL"/>
              </w:rPr>
              <w:t>bewacyzumab</w:t>
            </w:r>
          </w:p>
        </w:tc>
        <w:tc>
          <w:tcPr>
            <w:tcW w:w="1628" w:type="pct"/>
            <w:tcBorders>
              <w:top w:val="single" w:sz="8" w:space="0" w:color="auto"/>
              <w:left w:val="single" w:sz="8" w:space="0" w:color="auto"/>
              <w:bottom w:val="single" w:sz="4" w:space="0" w:color="auto"/>
              <w:right w:val="single" w:sz="8" w:space="0" w:color="auto"/>
            </w:tcBorders>
          </w:tcPr>
          <w:p w14:paraId="15A13FD4" w14:textId="36B6B707" w:rsidR="00994050" w:rsidRPr="0015541C" w:rsidRDefault="00994050" w:rsidP="00D06AE1">
            <w:pPr>
              <w:pStyle w:val="TableCellLeft"/>
              <w:keepNext w:val="0"/>
              <w:keepLines w:val="0"/>
              <w:rPr>
                <w:sz w:val="22"/>
                <w:szCs w:val="22"/>
                <w:lang w:val="pl-PL"/>
              </w:rPr>
            </w:pPr>
            <w:r w:rsidRPr="0015541C">
              <w:rPr>
                <w:sz w:val="22"/>
                <w:szCs w:val="22"/>
                <w:lang w:val="pl-PL"/>
              </w:rPr>
              <w:t>5</w:t>
            </w:r>
            <w:r w:rsidR="00031411" w:rsidRPr="0015541C">
              <w:rPr>
                <w:sz w:val="22"/>
                <w:szCs w:val="22"/>
                <w:lang w:val="pl-PL"/>
              </w:rPr>
              <w:t> </w:t>
            </w:r>
            <w:r w:rsidR="006C1132" w:rsidRPr="0015541C">
              <w:rPr>
                <w:sz w:val="22"/>
                <w:szCs w:val="22"/>
                <w:lang w:val="pl-PL"/>
              </w:rPr>
              <w:t>mg/kg mc.</w:t>
            </w:r>
            <w:r w:rsidRPr="0015541C">
              <w:rPr>
                <w:sz w:val="22"/>
                <w:szCs w:val="22"/>
                <w:lang w:val="pl-PL"/>
              </w:rPr>
              <w:t xml:space="preserve"> </w:t>
            </w:r>
            <w:r w:rsidR="006A43C2" w:rsidRPr="0015541C">
              <w:rPr>
                <w:szCs w:val="22"/>
                <w:lang w:val="pl-PL"/>
              </w:rPr>
              <w:t>dożylnie</w:t>
            </w:r>
            <w:r w:rsidRPr="0015541C">
              <w:rPr>
                <w:sz w:val="22"/>
                <w:szCs w:val="22"/>
                <w:lang w:val="pl-PL"/>
              </w:rPr>
              <w:t xml:space="preserve"> przez 30-90 min.</w:t>
            </w:r>
          </w:p>
        </w:tc>
        <w:tc>
          <w:tcPr>
            <w:tcW w:w="1523" w:type="pct"/>
            <w:tcBorders>
              <w:top w:val="single" w:sz="8" w:space="0" w:color="auto"/>
              <w:left w:val="single" w:sz="8" w:space="0" w:color="auto"/>
              <w:bottom w:val="single" w:sz="4" w:space="0" w:color="auto"/>
            </w:tcBorders>
          </w:tcPr>
          <w:p w14:paraId="661A7590" w14:textId="77777777" w:rsidR="00994050" w:rsidRPr="0015541C" w:rsidRDefault="00994050" w:rsidP="00D06AE1">
            <w:pPr>
              <w:pStyle w:val="TableCellLeft"/>
              <w:keepNext w:val="0"/>
              <w:keepLines w:val="0"/>
              <w:rPr>
                <w:sz w:val="22"/>
                <w:szCs w:val="22"/>
                <w:lang w:val="pl-PL"/>
              </w:rPr>
            </w:pPr>
            <w:r w:rsidRPr="0015541C">
              <w:rPr>
                <w:sz w:val="22"/>
                <w:szCs w:val="22"/>
                <w:lang w:val="pl-PL"/>
              </w:rPr>
              <w:t>dzień 1., przed rozpoczęciem chemioterapii FOLFOX-4, co 2 tygodnie</w:t>
            </w:r>
          </w:p>
        </w:tc>
      </w:tr>
      <w:tr w:rsidR="00713846" w:rsidRPr="008D11DD" w14:paraId="0903C6A5" w14:textId="77777777" w:rsidTr="001535A2">
        <w:trPr>
          <w:cantSplit/>
          <w:jc w:val="center"/>
        </w:trPr>
        <w:tc>
          <w:tcPr>
            <w:tcW w:w="954" w:type="pct"/>
            <w:vMerge w:val="restart"/>
            <w:tcBorders>
              <w:top w:val="single" w:sz="4" w:space="0" w:color="auto"/>
              <w:left w:val="single" w:sz="4" w:space="0" w:color="auto"/>
              <w:bottom w:val="single" w:sz="8" w:space="0" w:color="auto"/>
              <w:right w:val="single" w:sz="8" w:space="0" w:color="auto"/>
            </w:tcBorders>
          </w:tcPr>
          <w:p w14:paraId="16CC5AC2" w14:textId="77777777" w:rsidR="00994050" w:rsidRPr="0015541C" w:rsidRDefault="00994050" w:rsidP="00D06AE1">
            <w:pPr>
              <w:pStyle w:val="TableCellCenter"/>
              <w:keepNext w:val="0"/>
              <w:keepLines w:val="0"/>
              <w:rPr>
                <w:sz w:val="22"/>
                <w:szCs w:val="22"/>
                <w:lang w:val="pl-PL"/>
              </w:rPr>
            </w:pPr>
            <w:r w:rsidRPr="0015541C">
              <w:rPr>
                <w:sz w:val="22"/>
                <w:szCs w:val="22"/>
                <w:lang w:val="pl-PL"/>
              </w:rPr>
              <w:t xml:space="preserve">XELOX </w:t>
            </w:r>
          </w:p>
          <w:p w14:paraId="38C27BA0" w14:textId="77777777" w:rsidR="00994050" w:rsidRPr="0015541C" w:rsidRDefault="00994050" w:rsidP="00D06AE1">
            <w:pPr>
              <w:pStyle w:val="TableCellCenter"/>
              <w:keepNext w:val="0"/>
              <w:keepLines w:val="0"/>
              <w:rPr>
                <w:sz w:val="22"/>
                <w:szCs w:val="22"/>
                <w:lang w:val="pl-PL"/>
              </w:rPr>
            </w:pPr>
            <w:r w:rsidRPr="00260CEC">
              <w:rPr>
                <w:sz w:val="22"/>
                <w:szCs w:val="22"/>
                <w:lang w:val="pl-PL"/>
              </w:rPr>
              <w:t>lub</w:t>
            </w:r>
          </w:p>
          <w:p w14:paraId="180D76FA" w14:textId="77777777" w:rsidR="00994050" w:rsidRPr="0015541C" w:rsidRDefault="00994050" w:rsidP="00D06AE1">
            <w:pPr>
              <w:pStyle w:val="TableCellCenter"/>
              <w:keepNext w:val="0"/>
              <w:keepLines w:val="0"/>
              <w:rPr>
                <w:sz w:val="22"/>
                <w:szCs w:val="22"/>
                <w:lang w:val="pl-PL"/>
              </w:rPr>
            </w:pPr>
            <w:r w:rsidRPr="0015541C">
              <w:rPr>
                <w:sz w:val="22"/>
                <w:szCs w:val="22"/>
                <w:lang w:val="pl-PL"/>
              </w:rPr>
              <w:t xml:space="preserve">XELOX+ </w:t>
            </w:r>
            <w:r w:rsidR="00CB5262" w:rsidRPr="0015541C">
              <w:rPr>
                <w:sz w:val="22"/>
                <w:szCs w:val="22"/>
                <w:lang w:val="pl-PL"/>
              </w:rPr>
              <w:t>bewacyzumab</w:t>
            </w:r>
          </w:p>
        </w:tc>
        <w:tc>
          <w:tcPr>
            <w:tcW w:w="895" w:type="pct"/>
            <w:tcBorders>
              <w:top w:val="single" w:sz="4" w:space="0" w:color="auto"/>
              <w:left w:val="single" w:sz="8" w:space="0" w:color="auto"/>
              <w:bottom w:val="nil"/>
              <w:right w:val="single" w:sz="8" w:space="0" w:color="auto"/>
            </w:tcBorders>
          </w:tcPr>
          <w:p w14:paraId="579A2418" w14:textId="77777777" w:rsidR="00994050" w:rsidRPr="0015541C" w:rsidRDefault="00994050" w:rsidP="00D06AE1">
            <w:pPr>
              <w:pStyle w:val="TableCellLeft"/>
              <w:keepNext w:val="0"/>
              <w:keepLines w:val="0"/>
              <w:rPr>
                <w:sz w:val="22"/>
                <w:szCs w:val="22"/>
                <w:lang w:val="pl-PL"/>
              </w:rPr>
            </w:pPr>
            <w:r w:rsidRPr="0015541C">
              <w:rPr>
                <w:sz w:val="22"/>
                <w:szCs w:val="22"/>
                <w:lang w:val="pl-PL"/>
              </w:rPr>
              <w:t>oksaliplatyna</w:t>
            </w:r>
          </w:p>
        </w:tc>
        <w:tc>
          <w:tcPr>
            <w:tcW w:w="1628" w:type="pct"/>
            <w:tcBorders>
              <w:top w:val="single" w:sz="4" w:space="0" w:color="auto"/>
              <w:left w:val="single" w:sz="8" w:space="0" w:color="auto"/>
              <w:bottom w:val="nil"/>
              <w:right w:val="single" w:sz="8" w:space="0" w:color="auto"/>
            </w:tcBorders>
          </w:tcPr>
          <w:p w14:paraId="4F678D4D" w14:textId="607879D1" w:rsidR="00994050" w:rsidRPr="0015541C" w:rsidRDefault="00994050" w:rsidP="00D06AE1">
            <w:pPr>
              <w:pStyle w:val="TableCellLeft"/>
              <w:keepNext w:val="0"/>
              <w:keepLines w:val="0"/>
              <w:rPr>
                <w:sz w:val="22"/>
                <w:szCs w:val="22"/>
                <w:lang w:val="pl-PL"/>
              </w:rPr>
            </w:pPr>
            <w:r w:rsidRPr="0015541C">
              <w:rPr>
                <w:sz w:val="22"/>
                <w:szCs w:val="22"/>
                <w:lang w:val="pl-PL"/>
              </w:rPr>
              <w:t>130</w:t>
            </w:r>
            <w:r w:rsidR="00031411" w:rsidRPr="0015541C">
              <w:rPr>
                <w:sz w:val="22"/>
                <w:szCs w:val="22"/>
                <w:lang w:val="pl-PL"/>
              </w:rPr>
              <w:t> </w:t>
            </w:r>
            <w:r w:rsidRPr="0015541C">
              <w:rPr>
                <w:sz w:val="22"/>
                <w:szCs w:val="22"/>
                <w:lang w:val="pl-PL"/>
              </w:rPr>
              <w:t>mg/m</w:t>
            </w:r>
            <w:r w:rsidRPr="0015541C">
              <w:rPr>
                <w:sz w:val="22"/>
                <w:szCs w:val="22"/>
                <w:vertAlign w:val="superscript"/>
                <w:lang w:val="pl-PL"/>
              </w:rPr>
              <w:t>2</w:t>
            </w:r>
            <w:r w:rsidRPr="0015541C">
              <w:rPr>
                <w:sz w:val="22"/>
                <w:szCs w:val="22"/>
                <w:lang w:val="pl-PL"/>
              </w:rPr>
              <w:t xml:space="preserve"> </w:t>
            </w:r>
            <w:r w:rsidR="006A43C2" w:rsidRPr="0015541C">
              <w:rPr>
                <w:szCs w:val="22"/>
                <w:lang w:val="pl-PL"/>
              </w:rPr>
              <w:t>dożylnie</w:t>
            </w:r>
            <w:r w:rsidRPr="0015541C">
              <w:rPr>
                <w:sz w:val="22"/>
                <w:szCs w:val="22"/>
                <w:lang w:val="pl-PL"/>
              </w:rPr>
              <w:t xml:space="preserve"> przez 2 godz.</w:t>
            </w:r>
          </w:p>
        </w:tc>
        <w:tc>
          <w:tcPr>
            <w:tcW w:w="1523" w:type="pct"/>
            <w:vMerge w:val="restart"/>
            <w:tcBorders>
              <w:top w:val="single" w:sz="4" w:space="0" w:color="auto"/>
              <w:left w:val="single" w:sz="8" w:space="0" w:color="auto"/>
              <w:right w:val="single" w:sz="4" w:space="0" w:color="auto"/>
            </w:tcBorders>
          </w:tcPr>
          <w:p w14:paraId="52A4A1FB" w14:textId="77777777" w:rsidR="00994050" w:rsidRPr="0015541C" w:rsidRDefault="00994050" w:rsidP="00D06AE1">
            <w:pPr>
              <w:pStyle w:val="TableCellLeft"/>
              <w:keepNext w:val="0"/>
              <w:keepLines w:val="0"/>
              <w:rPr>
                <w:sz w:val="22"/>
                <w:szCs w:val="22"/>
                <w:lang w:val="pl-PL"/>
              </w:rPr>
            </w:pPr>
            <w:r w:rsidRPr="0015541C">
              <w:rPr>
                <w:sz w:val="22"/>
                <w:szCs w:val="22"/>
                <w:lang w:val="pl-PL"/>
              </w:rPr>
              <w:t>oksaliplatyna w dniu 1.</w:t>
            </w:r>
          </w:p>
          <w:p w14:paraId="10E70050" w14:textId="77777777" w:rsidR="00994050" w:rsidRPr="0015541C" w:rsidRDefault="00994050" w:rsidP="00D06AE1">
            <w:pPr>
              <w:pStyle w:val="TableCellLeft"/>
              <w:keepNext w:val="0"/>
              <w:keepLines w:val="0"/>
              <w:rPr>
                <w:sz w:val="22"/>
                <w:szCs w:val="22"/>
                <w:lang w:val="pl-PL"/>
              </w:rPr>
            </w:pPr>
            <w:r w:rsidRPr="0015541C">
              <w:rPr>
                <w:sz w:val="22"/>
                <w:szCs w:val="22"/>
                <w:lang w:val="pl-PL"/>
              </w:rPr>
              <w:t>kapecytabina doustnie 2 razy na dobę przez 2 tygodnie (następnie 1 tydzień bez leczenia)</w:t>
            </w:r>
          </w:p>
        </w:tc>
      </w:tr>
      <w:tr w:rsidR="00713846" w:rsidRPr="0015541C" w:rsidDel="007D0861" w14:paraId="610ED629" w14:textId="77777777" w:rsidTr="001535A2">
        <w:trPr>
          <w:cantSplit/>
          <w:jc w:val="center"/>
        </w:trPr>
        <w:tc>
          <w:tcPr>
            <w:tcW w:w="954" w:type="pct"/>
            <w:vMerge/>
            <w:tcBorders>
              <w:top w:val="nil"/>
              <w:left w:val="single" w:sz="4" w:space="0" w:color="auto"/>
              <w:bottom w:val="single" w:sz="8" w:space="0" w:color="auto"/>
              <w:right w:val="single" w:sz="8" w:space="0" w:color="auto"/>
            </w:tcBorders>
          </w:tcPr>
          <w:p w14:paraId="70E869A7" w14:textId="77777777" w:rsidR="00994050" w:rsidRPr="0015541C" w:rsidDel="007D0861" w:rsidRDefault="00994050" w:rsidP="00D06AE1">
            <w:pPr>
              <w:pStyle w:val="TableCellCenter"/>
              <w:keepNext w:val="0"/>
              <w:keepLines w:val="0"/>
              <w:rPr>
                <w:sz w:val="22"/>
                <w:szCs w:val="22"/>
                <w:lang w:val="pl-PL"/>
              </w:rPr>
            </w:pPr>
          </w:p>
        </w:tc>
        <w:tc>
          <w:tcPr>
            <w:tcW w:w="895" w:type="pct"/>
            <w:tcBorders>
              <w:top w:val="nil"/>
              <w:left w:val="single" w:sz="8" w:space="0" w:color="auto"/>
              <w:bottom w:val="nil"/>
              <w:right w:val="single" w:sz="8" w:space="0" w:color="auto"/>
            </w:tcBorders>
          </w:tcPr>
          <w:p w14:paraId="1F2A10F9" w14:textId="77777777" w:rsidR="00994050" w:rsidRPr="0015541C" w:rsidDel="007D0861" w:rsidRDefault="00994050" w:rsidP="00D06AE1">
            <w:pPr>
              <w:pStyle w:val="TableCellLeft"/>
              <w:keepNext w:val="0"/>
              <w:keepLines w:val="0"/>
              <w:rPr>
                <w:sz w:val="22"/>
                <w:szCs w:val="22"/>
                <w:lang w:val="pl-PL"/>
              </w:rPr>
            </w:pPr>
            <w:r w:rsidRPr="0015541C">
              <w:rPr>
                <w:sz w:val="22"/>
                <w:szCs w:val="22"/>
                <w:lang w:val="pl-PL"/>
              </w:rPr>
              <w:t>kapecytabina</w:t>
            </w:r>
          </w:p>
        </w:tc>
        <w:tc>
          <w:tcPr>
            <w:tcW w:w="1628" w:type="pct"/>
            <w:tcBorders>
              <w:top w:val="nil"/>
              <w:left w:val="single" w:sz="8" w:space="0" w:color="auto"/>
              <w:bottom w:val="nil"/>
              <w:right w:val="single" w:sz="8" w:space="0" w:color="auto"/>
            </w:tcBorders>
          </w:tcPr>
          <w:p w14:paraId="2BD9EA1D" w14:textId="77777777" w:rsidR="00994050" w:rsidRPr="0015541C" w:rsidDel="007D0861" w:rsidRDefault="00994050" w:rsidP="00D06AE1">
            <w:pPr>
              <w:pStyle w:val="TableCellLeft"/>
              <w:keepNext w:val="0"/>
              <w:keepLines w:val="0"/>
              <w:rPr>
                <w:sz w:val="22"/>
                <w:szCs w:val="22"/>
                <w:lang w:val="pl-PL"/>
              </w:rPr>
            </w:pPr>
            <w:r w:rsidRPr="0015541C">
              <w:rPr>
                <w:sz w:val="22"/>
                <w:szCs w:val="22"/>
                <w:lang w:val="pl-PL"/>
              </w:rPr>
              <w:t>1000</w:t>
            </w:r>
            <w:r w:rsidR="00031411" w:rsidRPr="0015541C">
              <w:rPr>
                <w:sz w:val="22"/>
                <w:szCs w:val="22"/>
                <w:lang w:val="pl-PL"/>
              </w:rPr>
              <w:t> </w:t>
            </w:r>
            <w:r w:rsidRPr="0015541C">
              <w:rPr>
                <w:sz w:val="22"/>
                <w:szCs w:val="22"/>
                <w:lang w:val="pl-PL"/>
              </w:rPr>
              <w:t>mg/m</w:t>
            </w:r>
            <w:r w:rsidRPr="0015541C">
              <w:rPr>
                <w:sz w:val="22"/>
                <w:szCs w:val="22"/>
                <w:vertAlign w:val="superscript"/>
                <w:lang w:val="pl-PL"/>
              </w:rPr>
              <w:t>2</w:t>
            </w:r>
            <w:r w:rsidRPr="0015541C">
              <w:rPr>
                <w:sz w:val="22"/>
                <w:szCs w:val="22"/>
                <w:lang w:val="pl-PL"/>
              </w:rPr>
              <w:t xml:space="preserve"> doustnie 2 razy na dobę</w:t>
            </w:r>
          </w:p>
        </w:tc>
        <w:tc>
          <w:tcPr>
            <w:tcW w:w="1523" w:type="pct"/>
            <w:vMerge/>
            <w:tcBorders>
              <w:left w:val="single" w:sz="8" w:space="0" w:color="auto"/>
              <w:right w:val="single" w:sz="4" w:space="0" w:color="auto"/>
            </w:tcBorders>
          </w:tcPr>
          <w:p w14:paraId="61F72337" w14:textId="77777777" w:rsidR="00994050" w:rsidRPr="0015541C" w:rsidDel="007D0861" w:rsidRDefault="00994050" w:rsidP="00D06AE1">
            <w:pPr>
              <w:pStyle w:val="TableCellLeft"/>
              <w:keepNext w:val="0"/>
              <w:keepLines w:val="0"/>
              <w:rPr>
                <w:sz w:val="22"/>
                <w:szCs w:val="22"/>
                <w:lang w:val="pl-PL"/>
              </w:rPr>
            </w:pPr>
          </w:p>
        </w:tc>
      </w:tr>
      <w:tr w:rsidR="00713846" w:rsidRPr="0015541C" w14:paraId="33D54240" w14:textId="77777777" w:rsidTr="001535A2">
        <w:trPr>
          <w:cantSplit/>
          <w:jc w:val="center"/>
        </w:trPr>
        <w:tc>
          <w:tcPr>
            <w:tcW w:w="954" w:type="pct"/>
            <w:vMerge/>
            <w:tcBorders>
              <w:top w:val="nil"/>
              <w:left w:val="single" w:sz="4" w:space="0" w:color="auto"/>
              <w:bottom w:val="single" w:sz="8" w:space="0" w:color="auto"/>
              <w:right w:val="single" w:sz="8" w:space="0" w:color="auto"/>
            </w:tcBorders>
          </w:tcPr>
          <w:p w14:paraId="113AD34A" w14:textId="77777777" w:rsidR="00994050" w:rsidRPr="0015541C" w:rsidRDefault="00994050" w:rsidP="00D06AE1">
            <w:pPr>
              <w:pStyle w:val="TableCellCenter"/>
              <w:keepNext w:val="0"/>
              <w:keepLines w:val="0"/>
              <w:rPr>
                <w:sz w:val="22"/>
                <w:szCs w:val="22"/>
                <w:lang w:val="pl-PL"/>
              </w:rPr>
            </w:pPr>
          </w:p>
        </w:tc>
        <w:tc>
          <w:tcPr>
            <w:tcW w:w="895" w:type="pct"/>
            <w:tcBorders>
              <w:top w:val="nil"/>
              <w:left w:val="single" w:sz="8" w:space="0" w:color="auto"/>
              <w:bottom w:val="single" w:sz="8" w:space="0" w:color="auto"/>
              <w:right w:val="single" w:sz="8" w:space="0" w:color="auto"/>
            </w:tcBorders>
          </w:tcPr>
          <w:p w14:paraId="18C8830B" w14:textId="77777777" w:rsidR="00994050" w:rsidRPr="0015541C" w:rsidRDefault="00994050" w:rsidP="00D06AE1">
            <w:pPr>
              <w:pStyle w:val="TableCellLeft"/>
              <w:keepNext w:val="0"/>
              <w:keepLines w:val="0"/>
              <w:rPr>
                <w:sz w:val="22"/>
                <w:szCs w:val="22"/>
                <w:lang w:val="pl-PL"/>
              </w:rPr>
            </w:pPr>
          </w:p>
        </w:tc>
        <w:tc>
          <w:tcPr>
            <w:tcW w:w="1628" w:type="pct"/>
            <w:tcBorders>
              <w:top w:val="nil"/>
              <w:left w:val="single" w:sz="8" w:space="0" w:color="auto"/>
              <w:bottom w:val="single" w:sz="8" w:space="0" w:color="auto"/>
              <w:right w:val="single" w:sz="8" w:space="0" w:color="auto"/>
            </w:tcBorders>
          </w:tcPr>
          <w:p w14:paraId="5F580992" w14:textId="77777777" w:rsidR="00994050" w:rsidRPr="0015541C" w:rsidRDefault="00994050" w:rsidP="00D06AE1">
            <w:pPr>
              <w:pStyle w:val="TableCellLeft"/>
              <w:keepNext w:val="0"/>
              <w:keepLines w:val="0"/>
              <w:rPr>
                <w:sz w:val="22"/>
                <w:szCs w:val="22"/>
                <w:lang w:val="pl-PL"/>
              </w:rPr>
            </w:pPr>
          </w:p>
        </w:tc>
        <w:tc>
          <w:tcPr>
            <w:tcW w:w="1523" w:type="pct"/>
            <w:vMerge/>
            <w:tcBorders>
              <w:left w:val="single" w:sz="8" w:space="0" w:color="auto"/>
              <w:bottom w:val="single" w:sz="8" w:space="0" w:color="auto"/>
              <w:right w:val="single" w:sz="4" w:space="0" w:color="auto"/>
            </w:tcBorders>
          </w:tcPr>
          <w:p w14:paraId="4F74184E" w14:textId="77777777" w:rsidR="00994050" w:rsidRPr="0015541C" w:rsidRDefault="00994050" w:rsidP="00D06AE1">
            <w:pPr>
              <w:pStyle w:val="TableCellLeft"/>
              <w:keepNext w:val="0"/>
              <w:keepLines w:val="0"/>
              <w:rPr>
                <w:sz w:val="22"/>
                <w:szCs w:val="22"/>
                <w:lang w:val="pl-PL"/>
              </w:rPr>
            </w:pPr>
          </w:p>
        </w:tc>
      </w:tr>
      <w:tr w:rsidR="00713846" w:rsidRPr="00A5462B" w14:paraId="265F8793" w14:textId="77777777" w:rsidTr="001535A2">
        <w:trPr>
          <w:cantSplit/>
          <w:jc w:val="center"/>
        </w:trPr>
        <w:tc>
          <w:tcPr>
            <w:tcW w:w="954" w:type="pct"/>
            <w:vMerge/>
            <w:tcBorders>
              <w:top w:val="nil"/>
              <w:left w:val="single" w:sz="4" w:space="0" w:color="auto"/>
              <w:bottom w:val="single" w:sz="4" w:space="0" w:color="auto"/>
              <w:right w:val="single" w:sz="8" w:space="0" w:color="auto"/>
            </w:tcBorders>
          </w:tcPr>
          <w:p w14:paraId="175B69E5" w14:textId="77777777" w:rsidR="00994050" w:rsidRPr="0015541C" w:rsidRDefault="00994050" w:rsidP="00D06AE1">
            <w:pPr>
              <w:pStyle w:val="TableCellCenter"/>
              <w:keepNext w:val="0"/>
              <w:keepLines w:val="0"/>
              <w:rPr>
                <w:sz w:val="22"/>
                <w:szCs w:val="22"/>
                <w:lang w:val="pl-PL"/>
              </w:rPr>
            </w:pPr>
          </w:p>
        </w:tc>
        <w:tc>
          <w:tcPr>
            <w:tcW w:w="895" w:type="pct"/>
            <w:tcBorders>
              <w:top w:val="single" w:sz="8" w:space="0" w:color="auto"/>
              <w:left w:val="single" w:sz="8" w:space="0" w:color="auto"/>
              <w:bottom w:val="single" w:sz="4" w:space="0" w:color="auto"/>
              <w:right w:val="single" w:sz="8" w:space="0" w:color="auto"/>
            </w:tcBorders>
          </w:tcPr>
          <w:p w14:paraId="28FA2519" w14:textId="77777777" w:rsidR="00994050" w:rsidRPr="0015541C" w:rsidRDefault="00994050" w:rsidP="00D06AE1">
            <w:pPr>
              <w:pStyle w:val="TableCellLeft"/>
              <w:keepNext w:val="0"/>
              <w:keepLines w:val="0"/>
              <w:rPr>
                <w:sz w:val="22"/>
                <w:szCs w:val="22"/>
                <w:lang w:val="pl-PL"/>
              </w:rPr>
            </w:pPr>
            <w:r w:rsidRPr="0015541C">
              <w:rPr>
                <w:sz w:val="22"/>
                <w:szCs w:val="22"/>
                <w:lang w:val="pl-PL"/>
              </w:rPr>
              <w:t xml:space="preserve">placebo lub </w:t>
            </w:r>
            <w:r w:rsidR="00CB5262" w:rsidRPr="0015541C">
              <w:rPr>
                <w:sz w:val="22"/>
                <w:szCs w:val="22"/>
                <w:lang w:val="pl-PL"/>
              </w:rPr>
              <w:t>bewacyzumab</w:t>
            </w:r>
          </w:p>
        </w:tc>
        <w:tc>
          <w:tcPr>
            <w:tcW w:w="1628" w:type="pct"/>
            <w:tcBorders>
              <w:top w:val="single" w:sz="8" w:space="0" w:color="auto"/>
              <w:left w:val="single" w:sz="8" w:space="0" w:color="auto"/>
              <w:bottom w:val="single" w:sz="4" w:space="0" w:color="auto"/>
              <w:right w:val="single" w:sz="8" w:space="0" w:color="auto"/>
            </w:tcBorders>
          </w:tcPr>
          <w:p w14:paraId="1F6DFEAF" w14:textId="0482F754" w:rsidR="00994050" w:rsidRPr="0015541C" w:rsidRDefault="00994050" w:rsidP="00D06AE1">
            <w:pPr>
              <w:pStyle w:val="TableCellLeft"/>
              <w:keepNext w:val="0"/>
              <w:keepLines w:val="0"/>
              <w:rPr>
                <w:sz w:val="22"/>
                <w:szCs w:val="22"/>
                <w:lang w:val="pl-PL"/>
              </w:rPr>
            </w:pPr>
            <w:r w:rsidRPr="0015541C">
              <w:rPr>
                <w:sz w:val="22"/>
                <w:szCs w:val="22"/>
                <w:lang w:val="pl-PL"/>
              </w:rPr>
              <w:t>7,5</w:t>
            </w:r>
            <w:r w:rsidR="00031411" w:rsidRPr="0015541C">
              <w:rPr>
                <w:sz w:val="22"/>
                <w:szCs w:val="22"/>
                <w:lang w:val="pl-PL"/>
              </w:rPr>
              <w:t> </w:t>
            </w:r>
            <w:r w:rsidR="006C1132" w:rsidRPr="0015541C">
              <w:rPr>
                <w:sz w:val="22"/>
                <w:szCs w:val="22"/>
                <w:lang w:val="pl-PL"/>
              </w:rPr>
              <w:t>mg/kg mc.</w:t>
            </w:r>
            <w:r w:rsidRPr="0015541C">
              <w:rPr>
                <w:sz w:val="22"/>
                <w:szCs w:val="22"/>
                <w:lang w:val="pl-PL"/>
              </w:rPr>
              <w:t xml:space="preserve"> </w:t>
            </w:r>
            <w:r w:rsidR="006A43C2" w:rsidRPr="0015541C">
              <w:rPr>
                <w:szCs w:val="22"/>
                <w:lang w:val="pl-PL"/>
              </w:rPr>
              <w:t>dożylnie</w:t>
            </w:r>
            <w:r w:rsidRPr="0015541C">
              <w:rPr>
                <w:sz w:val="22"/>
                <w:szCs w:val="22"/>
                <w:lang w:val="pl-PL"/>
              </w:rPr>
              <w:t xml:space="preserve"> przez 30-90 min.</w:t>
            </w:r>
          </w:p>
        </w:tc>
        <w:tc>
          <w:tcPr>
            <w:tcW w:w="1523" w:type="pct"/>
            <w:tcBorders>
              <w:top w:val="single" w:sz="8" w:space="0" w:color="auto"/>
              <w:left w:val="single" w:sz="8" w:space="0" w:color="auto"/>
              <w:bottom w:val="single" w:sz="4" w:space="0" w:color="auto"/>
              <w:right w:val="single" w:sz="4" w:space="0" w:color="auto"/>
            </w:tcBorders>
          </w:tcPr>
          <w:p w14:paraId="59D047CE" w14:textId="77777777" w:rsidR="00994050" w:rsidRPr="0015541C" w:rsidRDefault="00994050" w:rsidP="00D06AE1">
            <w:pPr>
              <w:pStyle w:val="TableCellLeft"/>
              <w:keepNext w:val="0"/>
              <w:keepLines w:val="0"/>
              <w:rPr>
                <w:sz w:val="22"/>
                <w:szCs w:val="22"/>
                <w:lang w:val="pl-PL"/>
              </w:rPr>
            </w:pPr>
            <w:r w:rsidRPr="0015541C">
              <w:rPr>
                <w:sz w:val="22"/>
                <w:szCs w:val="22"/>
                <w:lang w:val="pl-PL"/>
              </w:rPr>
              <w:t>dzień 1., przed rozpoczęciem chemioterapii XELOX, co 3 tygodnie</w:t>
            </w:r>
          </w:p>
        </w:tc>
      </w:tr>
      <w:tr w:rsidR="00994050" w:rsidRPr="00A5462B" w14:paraId="006A2B06" w14:textId="77777777" w:rsidTr="00D16D61">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39E0CECC" w14:textId="5A911CC6" w:rsidR="00994050" w:rsidRPr="0015541C" w:rsidRDefault="00994050" w:rsidP="00D06AE1">
            <w:pPr>
              <w:pStyle w:val="TableFooter"/>
              <w:keepNext w:val="0"/>
              <w:keepLines w:val="0"/>
              <w:rPr>
                <w:sz w:val="22"/>
                <w:szCs w:val="22"/>
                <w:lang w:val="pl-PL"/>
              </w:rPr>
            </w:pPr>
            <w:r w:rsidRPr="0015541C">
              <w:rPr>
                <w:sz w:val="22"/>
                <w:szCs w:val="22"/>
                <w:lang w:val="pl-PL"/>
              </w:rPr>
              <w:t xml:space="preserve">5-fluorouracyl: </w:t>
            </w:r>
            <w:r w:rsidRPr="0015541C">
              <w:rPr>
                <w:sz w:val="22"/>
                <w:szCs w:val="22"/>
                <w:lang w:val="pl-PL"/>
              </w:rPr>
              <w:tab/>
              <w:t xml:space="preserve">wstrzyknięcie </w:t>
            </w:r>
            <w:r w:rsidR="006A43C2" w:rsidRPr="0015541C">
              <w:rPr>
                <w:szCs w:val="22"/>
                <w:lang w:val="pl-PL"/>
              </w:rPr>
              <w:t>dożylne</w:t>
            </w:r>
            <w:r w:rsidRPr="0015541C">
              <w:rPr>
                <w:sz w:val="22"/>
                <w:szCs w:val="22"/>
                <w:lang w:val="pl-PL"/>
              </w:rPr>
              <w:t xml:space="preserve"> w bolusie natychmiast po podaniu leukoworyny </w:t>
            </w:r>
          </w:p>
        </w:tc>
      </w:tr>
    </w:tbl>
    <w:p w14:paraId="04014087" w14:textId="77777777" w:rsidR="00994050" w:rsidRPr="0015541C" w:rsidRDefault="00994050" w:rsidP="00994050">
      <w:pPr>
        <w:rPr>
          <w:lang w:val="pl-PL"/>
        </w:rPr>
      </w:pPr>
    </w:p>
    <w:p w14:paraId="3F152920" w14:textId="5B7A49EA" w:rsidR="00994050" w:rsidRPr="0015541C" w:rsidRDefault="00994050" w:rsidP="00994050">
      <w:pPr>
        <w:rPr>
          <w:lang w:val="pl-PL"/>
        </w:rPr>
      </w:pPr>
      <w:r w:rsidRPr="0015541C">
        <w:rPr>
          <w:lang w:val="pl-PL"/>
        </w:rPr>
        <w:t xml:space="preserve">W badaniu tym pierwszorzędowym parametrem skuteczności był </w:t>
      </w:r>
      <w:r w:rsidR="006A43C2" w:rsidRPr="0015541C">
        <w:rPr>
          <w:lang w:val="pl-PL"/>
        </w:rPr>
        <w:t>PFS</w:t>
      </w:r>
      <w:r w:rsidRPr="0015541C">
        <w:rPr>
          <w:lang w:val="pl-PL"/>
        </w:rPr>
        <w:t xml:space="preserve">. Badanie miało dwa główne cele: wykazanie, że schemat chemioterapii XELOX nie jest gorszy od FOLFOX-4 oraz wykazanie przewagi leczenia </w:t>
      </w:r>
      <w:r w:rsidR="00C21F8F" w:rsidRPr="00260CEC">
        <w:rPr>
          <w:lang w:val="pl-PL"/>
        </w:rPr>
        <w:t>bewacyzumab</w:t>
      </w:r>
      <w:r w:rsidRPr="0015541C">
        <w:rPr>
          <w:lang w:val="pl-PL"/>
        </w:rPr>
        <w:t>em w skojarzeniu z chemioterapią FOLFOX-4 lub XELOX w stosunku do leczenia samą chemioterapią. Oba główne cele badania zostały osiągnięte:</w:t>
      </w:r>
    </w:p>
    <w:p w14:paraId="29D78ACC" w14:textId="77777777" w:rsidR="00994050" w:rsidRPr="0015541C" w:rsidRDefault="00994050" w:rsidP="00994050">
      <w:pPr>
        <w:rPr>
          <w:lang w:val="pl-PL"/>
        </w:rPr>
      </w:pPr>
    </w:p>
    <w:p w14:paraId="4CF48A5A" w14:textId="2DD1801F" w:rsidR="00994050" w:rsidRPr="0015541C" w:rsidRDefault="00816156" w:rsidP="00B1642E">
      <w:pPr>
        <w:ind w:left="540" w:hanging="540"/>
        <w:rPr>
          <w:lang w:val="pl-PL"/>
        </w:rPr>
      </w:pPr>
      <w:r w:rsidRPr="0015541C">
        <w:rPr>
          <w:rFonts w:hint="eastAsia"/>
          <w:b/>
          <w:bCs/>
          <w:sz w:val="18"/>
          <w:szCs w:val="18"/>
          <w:lang w:val="pl-PL"/>
        </w:rPr>
        <w:t>●</w:t>
      </w:r>
      <w:r w:rsidR="00B1642E" w:rsidRPr="0015541C">
        <w:rPr>
          <w:lang w:val="pl-PL"/>
        </w:rPr>
        <w:tab/>
      </w:r>
      <w:r w:rsidR="00994050" w:rsidRPr="0015541C">
        <w:rPr>
          <w:lang w:val="pl-PL"/>
        </w:rPr>
        <w:t xml:space="preserve">W badaniu wykazano, że schemat chemioterapii XELOX nie jest gorszy od schematu chemioterapii FOLFOX-4 na podstawie ogólnego porównania </w:t>
      </w:r>
      <w:r w:rsidR="006A43C2" w:rsidRPr="0015541C">
        <w:rPr>
          <w:lang w:val="pl-PL"/>
        </w:rPr>
        <w:t>PFS</w:t>
      </w:r>
      <w:r w:rsidR="00994050" w:rsidRPr="0015541C">
        <w:rPr>
          <w:lang w:val="pl-PL"/>
        </w:rPr>
        <w:t xml:space="preserve"> oraz </w:t>
      </w:r>
      <w:r w:rsidR="006A43C2" w:rsidRPr="0015541C">
        <w:rPr>
          <w:lang w:val="pl-PL"/>
        </w:rPr>
        <w:t xml:space="preserve">OS </w:t>
      </w:r>
      <w:r w:rsidR="00994050" w:rsidRPr="0015541C">
        <w:rPr>
          <w:lang w:val="pl-PL"/>
        </w:rPr>
        <w:t xml:space="preserve"> pacjentów spełniających kryteria włączenia, należących do populacji „per protocol”.</w:t>
      </w:r>
    </w:p>
    <w:p w14:paraId="5C6C7B28" w14:textId="77777777" w:rsidR="00994050" w:rsidRPr="0015541C" w:rsidRDefault="00994050" w:rsidP="00B1642E">
      <w:pPr>
        <w:ind w:left="540" w:hanging="540"/>
        <w:rPr>
          <w:lang w:val="pl-PL"/>
        </w:rPr>
      </w:pPr>
    </w:p>
    <w:p w14:paraId="48BD8CEA" w14:textId="592CF06A" w:rsidR="00994050" w:rsidRPr="0015541C" w:rsidRDefault="00816156" w:rsidP="00B1642E">
      <w:pPr>
        <w:ind w:left="540" w:hanging="540"/>
        <w:rPr>
          <w:lang w:val="pl-PL"/>
        </w:rPr>
      </w:pPr>
      <w:r w:rsidRPr="0015541C">
        <w:rPr>
          <w:rFonts w:hint="eastAsia"/>
          <w:b/>
          <w:bCs/>
          <w:sz w:val="18"/>
          <w:szCs w:val="18"/>
          <w:lang w:val="pl-PL"/>
        </w:rPr>
        <w:t>●</w:t>
      </w:r>
      <w:r w:rsidR="00B1642E" w:rsidRPr="0015541C">
        <w:rPr>
          <w:lang w:val="pl-PL"/>
        </w:rPr>
        <w:tab/>
      </w:r>
      <w:r w:rsidR="00994050" w:rsidRPr="0015541C">
        <w:rPr>
          <w:lang w:val="pl-PL"/>
        </w:rPr>
        <w:t xml:space="preserve">Na podstawie ogólnego porównania </w:t>
      </w:r>
      <w:r w:rsidR="006A43C2" w:rsidRPr="0015541C">
        <w:rPr>
          <w:lang w:val="pl-PL"/>
        </w:rPr>
        <w:t>PFS</w:t>
      </w:r>
      <w:r w:rsidR="00994050" w:rsidRPr="0015541C">
        <w:rPr>
          <w:lang w:val="pl-PL"/>
        </w:rPr>
        <w:t xml:space="preserve"> w badanej populacji ITT („intention to treat”) wykazano przewagę ramion, w których stosowano </w:t>
      </w:r>
      <w:r w:rsidR="00CA7668" w:rsidRPr="0015541C">
        <w:rPr>
          <w:lang w:val="pl-PL"/>
        </w:rPr>
        <w:t>bewacyzumab</w:t>
      </w:r>
      <w:r w:rsidR="00994050" w:rsidRPr="0015541C">
        <w:rPr>
          <w:lang w:val="pl-PL"/>
        </w:rPr>
        <w:t xml:space="preserve"> w stosunku do ramion z samą chemioterapią (tabela</w:t>
      </w:r>
      <w:r w:rsidR="001710FE" w:rsidRPr="0015541C">
        <w:rPr>
          <w:lang w:val="pl-PL"/>
        </w:rPr>
        <w:t> </w:t>
      </w:r>
      <w:r w:rsidR="008800D7" w:rsidRPr="0015541C">
        <w:rPr>
          <w:lang w:val="pl-PL"/>
        </w:rPr>
        <w:t>7</w:t>
      </w:r>
      <w:r w:rsidR="00994050" w:rsidRPr="0015541C">
        <w:rPr>
          <w:lang w:val="pl-PL"/>
        </w:rPr>
        <w:t>).</w:t>
      </w:r>
    </w:p>
    <w:p w14:paraId="2AD3CF9D" w14:textId="77777777" w:rsidR="00994050" w:rsidRPr="0015541C" w:rsidRDefault="00994050" w:rsidP="00994050">
      <w:pPr>
        <w:rPr>
          <w:lang w:val="pl-PL"/>
        </w:rPr>
      </w:pPr>
    </w:p>
    <w:p w14:paraId="1AD09560" w14:textId="2C0FF377" w:rsidR="00994050" w:rsidRPr="0015541C" w:rsidRDefault="00994050" w:rsidP="00994050">
      <w:pPr>
        <w:rPr>
          <w:lang w:val="pl-PL"/>
        </w:rPr>
      </w:pPr>
      <w:r w:rsidRPr="0015541C">
        <w:rPr>
          <w:lang w:val="pl-PL"/>
        </w:rPr>
        <w:t xml:space="preserve">Wtórne analizy PFS  oparte na ocenie odpowiedzi w czasie leczenia potwierdziły istotną klinicznie przewagę </w:t>
      </w:r>
      <w:r w:rsidR="00867BB9" w:rsidRPr="0015541C">
        <w:rPr>
          <w:lang w:val="pl-PL"/>
        </w:rPr>
        <w:t>bewacyzumab</w:t>
      </w:r>
      <w:r w:rsidRPr="0015541C">
        <w:rPr>
          <w:lang w:val="pl-PL"/>
        </w:rPr>
        <w:t xml:space="preserve">u w zakresie korzyści klinicznych </w:t>
      </w:r>
      <w:r w:rsidR="00EA25B2" w:rsidRPr="0015541C">
        <w:rPr>
          <w:lang w:val="pl-PL"/>
        </w:rPr>
        <w:br/>
      </w:r>
      <w:r w:rsidRPr="0015541C">
        <w:rPr>
          <w:lang w:val="pl-PL"/>
        </w:rPr>
        <w:t>(analizy przedstawione w tabeli</w:t>
      </w:r>
      <w:r w:rsidR="00736082" w:rsidRPr="0015541C">
        <w:rPr>
          <w:lang w:val="pl-PL"/>
        </w:rPr>
        <w:t> </w:t>
      </w:r>
      <w:r w:rsidR="008800D7" w:rsidRPr="0015541C">
        <w:rPr>
          <w:lang w:val="pl-PL"/>
        </w:rPr>
        <w:t>7</w:t>
      </w:r>
      <w:r w:rsidRPr="0015541C">
        <w:rPr>
          <w:lang w:val="pl-PL"/>
        </w:rPr>
        <w:t>). Analizy zbiorcze również wykazały istotne statystycznie korzyści.</w:t>
      </w:r>
    </w:p>
    <w:p w14:paraId="4EFF4776" w14:textId="77777777" w:rsidR="00994050" w:rsidRPr="0015541C" w:rsidRDefault="00994050" w:rsidP="00994050">
      <w:pPr>
        <w:rPr>
          <w:b/>
          <w:lang w:val="pl-PL"/>
        </w:rPr>
      </w:pPr>
    </w:p>
    <w:p w14:paraId="32654D90" w14:textId="77777777" w:rsidR="00994050" w:rsidRPr="0070444C" w:rsidRDefault="00994050" w:rsidP="003C6FA3">
      <w:pPr>
        <w:keepNext/>
        <w:keepLines/>
        <w:ind w:left="567" w:hanging="567"/>
        <w:rPr>
          <w:b/>
          <w:lang w:val="pl-PL"/>
        </w:rPr>
      </w:pPr>
      <w:r w:rsidRPr="0015541C">
        <w:rPr>
          <w:b/>
          <w:lang w:val="pl-PL"/>
        </w:rPr>
        <w:lastRenderedPageBreak/>
        <w:t>Tabela </w:t>
      </w:r>
      <w:r w:rsidR="008800D7" w:rsidRPr="0015541C">
        <w:rPr>
          <w:b/>
          <w:lang w:val="pl-PL"/>
        </w:rPr>
        <w:t>7</w:t>
      </w:r>
      <w:r w:rsidRPr="0015541C">
        <w:rPr>
          <w:b/>
          <w:lang w:val="pl-PL"/>
        </w:rPr>
        <w:t xml:space="preserve">. </w:t>
      </w:r>
      <w:r w:rsidR="004C7588" w:rsidRPr="0015541C">
        <w:rPr>
          <w:b/>
          <w:lang w:val="pl-PL"/>
        </w:rPr>
        <w:tab/>
      </w:r>
      <w:r w:rsidRPr="0015541C">
        <w:rPr>
          <w:b/>
          <w:lang w:val="pl-PL"/>
        </w:rPr>
        <w:t>Wartości głównych parametrów skuteczności dla analizy przewagi leku</w:t>
      </w:r>
      <w:r w:rsidR="009A2AB4" w:rsidRPr="0015541C">
        <w:rPr>
          <w:b/>
          <w:lang w:val="pl-PL"/>
        </w:rPr>
        <w:t xml:space="preserve"> </w:t>
      </w:r>
      <w:r w:rsidRPr="0015541C">
        <w:rPr>
          <w:b/>
          <w:lang w:val="pl-PL"/>
        </w:rPr>
        <w:t xml:space="preserve">(populacja </w:t>
      </w:r>
      <w:r w:rsidR="009A2AB4" w:rsidRPr="0015541C">
        <w:rPr>
          <w:b/>
          <w:lang w:val="pl-PL"/>
        </w:rPr>
        <w:tab/>
      </w:r>
      <w:r w:rsidRPr="0015541C">
        <w:rPr>
          <w:b/>
          <w:lang w:val="pl-PL"/>
        </w:rPr>
        <w:t>ITT, badanie NO16966)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1798"/>
        <w:gridCol w:w="1799"/>
        <w:gridCol w:w="1346"/>
      </w:tblGrid>
      <w:tr w:rsidR="00994050" w:rsidRPr="0015541C" w14:paraId="1F7FED3A" w14:textId="77777777" w:rsidTr="00247D7C">
        <w:tc>
          <w:tcPr>
            <w:tcW w:w="2272" w:type="pct"/>
            <w:shd w:val="clear" w:color="auto" w:fill="auto"/>
          </w:tcPr>
          <w:p w14:paraId="735D6307" w14:textId="77777777" w:rsidR="00994050" w:rsidRPr="0070444C" w:rsidRDefault="00994050" w:rsidP="00C9229F">
            <w:pPr>
              <w:keepNext/>
              <w:keepLines/>
              <w:rPr>
                <w:b/>
                <w:lang w:val="pl-PL"/>
              </w:rPr>
            </w:pPr>
            <w:r w:rsidRPr="0070444C">
              <w:rPr>
                <w:b/>
                <w:lang w:val="pl-PL"/>
              </w:rPr>
              <w:t>Punkt końcowy (miesiące)</w:t>
            </w:r>
          </w:p>
        </w:tc>
        <w:tc>
          <w:tcPr>
            <w:tcW w:w="992" w:type="pct"/>
            <w:shd w:val="clear" w:color="auto" w:fill="auto"/>
          </w:tcPr>
          <w:p w14:paraId="60ACFBF3" w14:textId="77777777" w:rsidR="00994050" w:rsidRPr="0070444C" w:rsidRDefault="00994050" w:rsidP="00C9229F">
            <w:pPr>
              <w:keepNext/>
              <w:keepLines/>
              <w:jc w:val="center"/>
              <w:rPr>
                <w:b/>
                <w:lang w:val="pl-PL"/>
              </w:rPr>
            </w:pPr>
            <w:r w:rsidRPr="0070444C">
              <w:rPr>
                <w:b/>
                <w:lang w:val="pl-PL"/>
              </w:rPr>
              <w:t xml:space="preserve">FOLFOX-4 </w:t>
            </w:r>
            <w:r w:rsidRPr="0070444C">
              <w:rPr>
                <w:b/>
                <w:lang w:val="pl-PL"/>
              </w:rPr>
              <w:br/>
              <w:t>lub XELOX</w:t>
            </w:r>
          </w:p>
          <w:p w14:paraId="674A9595" w14:textId="77777777" w:rsidR="00994050" w:rsidRPr="0070444C" w:rsidRDefault="00994050" w:rsidP="00C9229F">
            <w:pPr>
              <w:keepNext/>
              <w:keepLines/>
              <w:jc w:val="center"/>
              <w:rPr>
                <w:b/>
                <w:lang w:val="pl-PL"/>
              </w:rPr>
            </w:pPr>
            <w:r w:rsidRPr="0070444C">
              <w:rPr>
                <w:b/>
                <w:lang w:val="pl-PL"/>
              </w:rPr>
              <w:t>+ placebo</w:t>
            </w:r>
          </w:p>
          <w:p w14:paraId="33595C15" w14:textId="77777777" w:rsidR="00994050" w:rsidRPr="0070444C" w:rsidRDefault="00994050" w:rsidP="00C9229F">
            <w:pPr>
              <w:keepNext/>
              <w:keepLines/>
              <w:jc w:val="center"/>
              <w:rPr>
                <w:b/>
                <w:lang w:val="pl-PL"/>
              </w:rPr>
            </w:pPr>
            <w:r w:rsidRPr="0070444C">
              <w:rPr>
                <w:b/>
                <w:lang w:val="pl-PL"/>
              </w:rPr>
              <w:t>(n = 701)</w:t>
            </w:r>
          </w:p>
        </w:tc>
        <w:tc>
          <w:tcPr>
            <w:tcW w:w="993" w:type="pct"/>
            <w:shd w:val="clear" w:color="auto" w:fill="auto"/>
          </w:tcPr>
          <w:p w14:paraId="062E5B23" w14:textId="77777777" w:rsidR="00994050" w:rsidRPr="0070444C" w:rsidRDefault="00994050" w:rsidP="00C9229F">
            <w:pPr>
              <w:keepNext/>
              <w:keepLines/>
              <w:jc w:val="center"/>
              <w:rPr>
                <w:b/>
                <w:lang w:val="pl-PL"/>
              </w:rPr>
            </w:pPr>
            <w:r w:rsidRPr="0070444C">
              <w:rPr>
                <w:b/>
                <w:lang w:val="pl-PL"/>
              </w:rPr>
              <w:t xml:space="preserve">FOLFOX-4 </w:t>
            </w:r>
            <w:r w:rsidRPr="0070444C">
              <w:rPr>
                <w:b/>
                <w:lang w:val="pl-PL"/>
              </w:rPr>
              <w:br/>
              <w:t>lub XELOX</w:t>
            </w:r>
          </w:p>
          <w:p w14:paraId="3B6B0876" w14:textId="77777777" w:rsidR="00994050" w:rsidRPr="0070444C" w:rsidRDefault="00994050" w:rsidP="00C9229F">
            <w:pPr>
              <w:keepNext/>
              <w:keepLines/>
              <w:jc w:val="center"/>
              <w:rPr>
                <w:b/>
                <w:lang w:val="pl-PL"/>
              </w:rPr>
            </w:pPr>
            <w:r w:rsidRPr="0070444C">
              <w:rPr>
                <w:b/>
                <w:lang w:val="pl-PL"/>
              </w:rPr>
              <w:t xml:space="preserve">+ bewacyzumab </w:t>
            </w:r>
          </w:p>
          <w:p w14:paraId="143059EE" w14:textId="77777777" w:rsidR="00994050" w:rsidRPr="0070444C" w:rsidRDefault="00994050" w:rsidP="00C9229F">
            <w:pPr>
              <w:keepNext/>
              <w:keepLines/>
              <w:jc w:val="center"/>
              <w:rPr>
                <w:b/>
                <w:lang w:val="pl-PL"/>
              </w:rPr>
            </w:pPr>
            <w:r w:rsidRPr="0070444C">
              <w:rPr>
                <w:b/>
                <w:lang w:val="pl-PL"/>
              </w:rPr>
              <w:t>(n = 699)</w:t>
            </w:r>
          </w:p>
        </w:tc>
        <w:tc>
          <w:tcPr>
            <w:tcW w:w="743" w:type="pct"/>
            <w:shd w:val="clear" w:color="auto" w:fill="auto"/>
          </w:tcPr>
          <w:p w14:paraId="1DF6C8BE" w14:textId="77777777" w:rsidR="00994050" w:rsidRPr="0070444C" w:rsidRDefault="00994050" w:rsidP="00C9229F">
            <w:pPr>
              <w:keepNext/>
              <w:keepLines/>
              <w:jc w:val="center"/>
              <w:rPr>
                <w:b/>
                <w:lang w:val="pl-PL"/>
              </w:rPr>
            </w:pPr>
            <w:r w:rsidRPr="0070444C">
              <w:rPr>
                <w:b/>
                <w:lang w:val="pl-PL"/>
              </w:rPr>
              <w:t xml:space="preserve">Wartość p </w:t>
            </w:r>
          </w:p>
        </w:tc>
      </w:tr>
      <w:tr w:rsidR="00994050" w:rsidRPr="0015541C" w14:paraId="2359654B" w14:textId="77777777" w:rsidTr="00FB4FA7">
        <w:tc>
          <w:tcPr>
            <w:tcW w:w="5000" w:type="pct"/>
            <w:gridSpan w:val="4"/>
            <w:shd w:val="clear" w:color="auto" w:fill="auto"/>
          </w:tcPr>
          <w:p w14:paraId="09BC997F" w14:textId="77777777" w:rsidR="00994050" w:rsidRPr="0015541C" w:rsidRDefault="00994050" w:rsidP="00C9229F">
            <w:pPr>
              <w:keepNext/>
              <w:keepLines/>
              <w:spacing w:line="480" w:lineRule="auto"/>
              <w:rPr>
                <w:szCs w:val="22"/>
                <w:lang w:val="pl-PL" w:eastAsia="da-DK"/>
              </w:rPr>
            </w:pPr>
            <w:r w:rsidRPr="0015541C">
              <w:rPr>
                <w:szCs w:val="22"/>
                <w:lang w:val="pl-PL" w:eastAsia="da-DK"/>
              </w:rPr>
              <w:t>Pierwszorzędowy punkt końcowy</w:t>
            </w:r>
          </w:p>
        </w:tc>
      </w:tr>
      <w:tr w:rsidR="00994050" w:rsidRPr="0015541C" w14:paraId="64350487" w14:textId="77777777" w:rsidTr="00247D7C">
        <w:tc>
          <w:tcPr>
            <w:tcW w:w="2272" w:type="pct"/>
            <w:shd w:val="clear" w:color="auto" w:fill="auto"/>
          </w:tcPr>
          <w:p w14:paraId="378FC504" w14:textId="77777777" w:rsidR="00994050" w:rsidRPr="0015541C" w:rsidRDefault="00994050" w:rsidP="00C9229F">
            <w:pPr>
              <w:keepNext/>
              <w:keepLines/>
              <w:spacing w:line="360" w:lineRule="auto"/>
              <w:ind w:left="360"/>
              <w:rPr>
                <w:szCs w:val="22"/>
                <w:lang w:val="pl-PL" w:eastAsia="da-DK"/>
              </w:rPr>
            </w:pPr>
            <w:r w:rsidRPr="0015541C">
              <w:rPr>
                <w:szCs w:val="22"/>
                <w:lang w:val="pl-PL" w:eastAsia="da-DK"/>
              </w:rPr>
              <w:t>Mediana PFS**</w:t>
            </w:r>
          </w:p>
        </w:tc>
        <w:tc>
          <w:tcPr>
            <w:tcW w:w="992" w:type="pct"/>
            <w:shd w:val="clear" w:color="auto" w:fill="auto"/>
          </w:tcPr>
          <w:p w14:paraId="2185EAF8" w14:textId="77777777" w:rsidR="00994050" w:rsidRPr="0015541C" w:rsidRDefault="00994050" w:rsidP="00C9229F">
            <w:pPr>
              <w:keepNext/>
              <w:keepLines/>
              <w:spacing w:line="360" w:lineRule="auto"/>
              <w:jc w:val="center"/>
              <w:rPr>
                <w:szCs w:val="22"/>
                <w:lang w:val="pl-PL" w:eastAsia="da-DK"/>
              </w:rPr>
            </w:pPr>
            <w:r w:rsidRPr="00260CEC">
              <w:rPr>
                <w:szCs w:val="22"/>
                <w:lang w:val="pl-PL" w:eastAsia="da-DK"/>
              </w:rPr>
              <w:t>8,0</w:t>
            </w:r>
          </w:p>
        </w:tc>
        <w:tc>
          <w:tcPr>
            <w:tcW w:w="993" w:type="pct"/>
            <w:shd w:val="clear" w:color="auto" w:fill="auto"/>
          </w:tcPr>
          <w:p w14:paraId="2993EEA2" w14:textId="77777777" w:rsidR="00994050" w:rsidRPr="0015541C" w:rsidRDefault="00994050" w:rsidP="00C9229F">
            <w:pPr>
              <w:keepNext/>
              <w:keepLines/>
              <w:spacing w:line="360" w:lineRule="auto"/>
              <w:jc w:val="center"/>
              <w:rPr>
                <w:szCs w:val="22"/>
                <w:lang w:val="pl-PL" w:eastAsia="da-DK"/>
              </w:rPr>
            </w:pPr>
            <w:r w:rsidRPr="0015541C">
              <w:rPr>
                <w:szCs w:val="22"/>
                <w:lang w:val="pl-PL" w:eastAsia="da-DK"/>
              </w:rPr>
              <w:t>9,4</w:t>
            </w:r>
          </w:p>
        </w:tc>
        <w:tc>
          <w:tcPr>
            <w:tcW w:w="743" w:type="pct"/>
            <w:shd w:val="clear" w:color="auto" w:fill="auto"/>
          </w:tcPr>
          <w:p w14:paraId="2B367BB8" w14:textId="77777777" w:rsidR="00994050" w:rsidRPr="0015541C" w:rsidRDefault="00994050" w:rsidP="00C9229F">
            <w:pPr>
              <w:keepNext/>
              <w:keepLines/>
              <w:spacing w:line="480" w:lineRule="auto"/>
              <w:jc w:val="center"/>
              <w:rPr>
                <w:szCs w:val="22"/>
                <w:lang w:val="pl-PL" w:eastAsia="da-DK"/>
              </w:rPr>
            </w:pPr>
            <w:r w:rsidRPr="0015541C">
              <w:rPr>
                <w:szCs w:val="22"/>
                <w:lang w:val="pl-PL" w:eastAsia="da-DK"/>
              </w:rPr>
              <w:t>0,0023</w:t>
            </w:r>
          </w:p>
        </w:tc>
      </w:tr>
      <w:tr w:rsidR="00994050" w:rsidRPr="0015541C" w14:paraId="030F5C8E" w14:textId="77777777" w:rsidTr="00247D7C">
        <w:tc>
          <w:tcPr>
            <w:tcW w:w="2272" w:type="pct"/>
            <w:shd w:val="clear" w:color="auto" w:fill="auto"/>
          </w:tcPr>
          <w:p w14:paraId="60FBA235" w14:textId="77777777" w:rsidR="00994050" w:rsidRPr="0015541C" w:rsidRDefault="00994050" w:rsidP="00C9229F">
            <w:pPr>
              <w:keepNext/>
              <w:keepLines/>
              <w:spacing w:line="360" w:lineRule="auto"/>
              <w:ind w:left="720"/>
              <w:rPr>
                <w:szCs w:val="22"/>
                <w:vertAlign w:val="superscript"/>
                <w:lang w:val="pl-PL" w:eastAsia="da-DK"/>
              </w:rPr>
            </w:pPr>
            <w:r w:rsidRPr="0015541C">
              <w:rPr>
                <w:szCs w:val="22"/>
                <w:lang w:val="pl-PL"/>
              </w:rPr>
              <w:t>Współczynnik ryzyka</w:t>
            </w:r>
            <w:r w:rsidRPr="0015541C" w:rsidDel="00A919BA">
              <w:rPr>
                <w:szCs w:val="22"/>
                <w:lang w:val="pl-PL" w:eastAsia="da-DK"/>
              </w:rPr>
              <w:t xml:space="preserve"> </w:t>
            </w:r>
            <w:r w:rsidRPr="0015541C">
              <w:rPr>
                <w:szCs w:val="22"/>
                <w:lang w:val="pl-PL" w:eastAsia="da-DK"/>
              </w:rPr>
              <w:t>(97,</w:t>
            </w:r>
            <w:r w:rsidRPr="00260CEC">
              <w:rPr>
                <w:szCs w:val="22"/>
                <w:lang w:val="pl-PL" w:eastAsia="da-DK"/>
              </w:rPr>
              <w:t>5</w:t>
            </w:r>
            <w:r w:rsidRPr="0015541C">
              <w:rPr>
                <w:sz w:val="20"/>
                <w:lang w:val="pl-PL" w:eastAsia="da-DK"/>
              </w:rPr>
              <w:t xml:space="preserve">% </w:t>
            </w:r>
            <w:r w:rsidRPr="0015541C">
              <w:rPr>
                <w:szCs w:val="22"/>
                <w:lang w:val="pl-PL" w:eastAsia="da-DK"/>
              </w:rPr>
              <w:t>CI)</w:t>
            </w:r>
            <w:r w:rsidRPr="0015541C">
              <w:rPr>
                <w:szCs w:val="22"/>
                <w:vertAlign w:val="superscript"/>
                <w:lang w:val="pl-PL" w:eastAsia="da-DK"/>
              </w:rPr>
              <w:t>a</w:t>
            </w:r>
          </w:p>
        </w:tc>
        <w:tc>
          <w:tcPr>
            <w:tcW w:w="1985" w:type="pct"/>
            <w:gridSpan w:val="2"/>
            <w:shd w:val="clear" w:color="auto" w:fill="auto"/>
          </w:tcPr>
          <w:p w14:paraId="308AAC10" w14:textId="77777777" w:rsidR="00994050" w:rsidRPr="0015541C" w:rsidRDefault="00994050" w:rsidP="00C9229F">
            <w:pPr>
              <w:keepNext/>
              <w:keepLines/>
              <w:spacing w:line="360" w:lineRule="auto"/>
              <w:jc w:val="center"/>
              <w:rPr>
                <w:szCs w:val="22"/>
                <w:lang w:val="pl-PL" w:eastAsia="da-DK"/>
              </w:rPr>
            </w:pPr>
            <w:r w:rsidRPr="0015541C">
              <w:rPr>
                <w:szCs w:val="22"/>
                <w:lang w:val="pl-PL" w:eastAsia="da-DK"/>
              </w:rPr>
              <w:t>0,83 (0,72–0,95)</w:t>
            </w:r>
          </w:p>
        </w:tc>
        <w:tc>
          <w:tcPr>
            <w:tcW w:w="743" w:type="pct"/>
            <w:shd w:val="clear" w:color="auto" w:fill="auto"/>
          </w:tcPr>
          <w:p w14:paraId="52F7AF5D" w14:textId="77777777" w:rsidR="00994050" w:rsidRPr="0015541C" w:rsidRDefault="00994050" w:rsidP="00C9229F">
            <w:pPr>
              <w:keepNext/>
              <w:keepLines/>
              <w:spacing w:line="480" w:lineRule="auto"/>
              <w:rPr>
                <w:szCs w:val="22"/>
                <w:lang w:val="pl-PL" w:eastAsia="da-DK"/>
              </w:rPr>
            </w:pPr>
          </w:p>
        </w:tc>
      </w:tr>
      <w:tr w:rsidR="00994050" w:rsidRPr="0015541C" w14:paraId="615FFC9C" w14:textId="77777777" w:rsidTr="00FB4FA7">
        <w:tc>
          <w:tcPr>
            <w:tcW w:w="5000" w:type="pct"/>
            <w:gridSpan w:val="4"/>
            <w:shd w:val="clear" w:color="auto" w:fill="auto"/>
          </w:tcPr>
          <w:p w14:paraId="7F5E57EC" w14:textId="77777777" w:rsidR="00994050" w:rsidRPr="0015541C" w:rsidRDefault="00994050" w:rsidP="00C9229F">
            <w:pPr>
              <w:keepNext/>
              <w:keepLines/>
              <w:spacing w:line="480" w:lineRule="auto"/>
              <w:rPr>
                <w:szCs w:val="22"/>
                <w:lang w:val="pl-PL" w:eastAsia="da-DK"/>
              </w:rPr>
            </w:pPr>
            <w:r w:rsidRPr="0015541C">
              <w:rPr>
                <w:szCs w:val="22"/>
                <w:lang w:val="pl-PL" w:eastAsia="da-DK"/>
              </w:rPr>
              <w:t>Drugorzędowe punkty końcowe</w:t>
            </w:r>
          </w:p>
        </w:tc>
      </w:tr>
      <w:tr w:rsidR="00994050" w:rsidRPr="0015541C" w14:paraId="763B9741" w14:textId="77777777" w:rsidTr="00247D7C">
        <w:trPr>
          <w:trHeight w:val="619"/>
        </w:trPr>
        <w:tc>
          <w:tcPr>
            <w:tcW w:w="2272" w:type="pct"/>
            <w:shd w:val="clear" w:color="auto" w:fill="auto"/>
          </w:tcPr>
          <w:p w14:paraId="3A6AD19A" w14:textId="77777777" w:rsidR="00994050" w:rsidRPr="0015541C" w:rsidRDefault="00994050" w:rsidP="00FB4FA7">
            <w:pPr>
              <w:spacing w:line="360" w:lineRule="auto"/>
              <w:ind w:left="360"/>
              <w:rPr>
                <w:szCs w:val="22"/>
                <w:lang w:val="pl-PL" w:eastAsia="da-DK"/>
              </w:rPr>
            </w:pPr>
            <w:r w:rsidRPr="0015541C">
              <w:rPr>
                <w:szCs w:val="22"/>
                <w:lang w:val="pl-PL" w:eastAsia="da-DK"/>
              </w:rPr>
              <w:t>Mediana PFS (w trakcie leczenia)**</w:t>
            </w:r>
          </w:p>
        </w:tc>
        <w:tc>
          <w:tcPr>
            <w:tcW w:w="992" w:type="pct"/>
            <w:shd w:val="clear" w:color="auto" w:fill="auto"/>
          </w:tcPr>
          <w:p w14:paraId="2EF7CE1F" w14:textId="77777777" w:rsidR="00994050" w:rsidRPr="0015541C" w:rsidRDefault="00994050" w:rsidP="00FB4FA7">
            <w:pPr>
              <w:spacing w:line="360" w:lineRule="auto"/>
              <w:jc w:val="center"/>
              <w:rPr>
                <w:szCs w:val="22"/>
                <w:lang w:val="pl-PL" w:eastAsia="da-DK"/>
              </w:rPr>
            </w:pPr>
            <w:r w:rsidRPr="00260CEC">
              <w:rPr>
                <w:szCs w:val="22"/>
                <w:lang w:val="pl-PL" w:eastAsia="da-DK"/>
              </w:rPr>
              <w:t>7,9</w:t>
            </w:r>
          </w:p>
        </w:tc>
        <w:tc>
          <w:tcPr>
            <w:tcW w:w="993" w:type="pct"/>
            <w:shd w:val="clear" w:color="auto" w:fill="auto"/>
          </w:tcPr>
          <w:p w14:paraId="73AB588B" w14:textId="77777777" w:rsidR="00994050" w:rsidRPr="0015541C" w:rsidRDefault="00994050" w:rsidP="00FB4FA7">
            <w:pPr>
              <w:spacing w:line="360" w:lineRule="auto"/>
              <w:jc w:val="center"/>
              <w:rPr>
                <w:szCs w:val="22"/>
                <w:lang w:val="pl-PL" w:eastAsia="da-DK"/>
              </w:rPr>
            </w:pPr>
            <w:r w:rsidRPr="0015541C">
              <w:rPr>
                <w:szCs w:val="22"/>
                <w:lang w:val="pl-PL" w:eastAsia="da-DK"/>
              </w:rPr>
              <w:t>10,4</w:t>
            </w:r>
          </w:p>
        </w:tc>
        <w:tc>
          <w:tcPr>
            <w:tcW w:w="743" w:type="pct"/>
            <w:shd w:val="clear" w:color="auto" w:fill="auto"/>
          </w:tcPr>
          <w:p w14:paraId="0F70D22C" w14:textId="77777777" w:rsidR="00994050" w:rsidRPr="0015541C" w:rsidRDefault="00994050" w:rsidP="00FB4FA7">
            <w:pPr>
              <w:spacing w:line="480" w:lineRule="auto"/>
              <w:jc w:val="center"/>
              <w:rPr>
                <w:szCs w:val="22"/>
                <w:lang w:val="pl-PL" w:eastAsia="da-DK"/>
              </w:rPr>
            </w:pPr>
            <w:r w:rsidRPr="0015541C">
              <w:rPr>
                <w:szCs w:val="22"/>
                <w:lang w:val="pl-PL" w:eastAsia="da-DK"/>
              </w:rPr>
              <w:t>&lt; 0,0001</w:t>
            </w:r>
          </w:p>
        </w:tc>
      </w:tr>
      <w:tr w:rsidR="00994050" w:rsidRPr="0015541C" w14:paraId="157CD2AD" w14:textId="77777777" w:rsidTr="00247D7C">
        <w:tc>
          <w:tcPr>
            <w:tcW w:w="2272" w:type="pct"/>
            <w:shd w:val="clear" w:color="auto" w:fill="auto"/>
          </w:tcPr>
          <w:p w14:paraId="67269E6F" w14:textId="77777777" w:rsidR="00994050" w:rsidRPr="0015541C" w:rsidRDefault="00994050" w:rsidP="00FB4FA7">
            <w:pPr>
              <w:keepNext/>
              <w:spacing w:line="360" w:lineRule="auto"/>
              <w:ind w:left="720"/>
              <w:rPr>
                <w:szCs w:val="22"/>
                <w:lang w:val="pl-PL" w:eastAsia="da-DK"/>
              </w:rPr>
            </w:pPr>
            <w:r w:rsidRPr="0015541C">
              <w:rPr>
                <w:szCs w:val="22"/>
                <w:lang w:val="pl-PL"/>
              </w:rPr>
              <w:t>Współczynnik ryzyka</w:t>
            </w:r>
            <w:r w:rsidRPr="0015541C" w:rsidDel="00A919BA">
              <w:rPr>
                <w:szCs w:val="22"/>
                <w:lang w:val="pl-PL" w:eastAsia="da-DK"/>
              </w:rPr>
              <w:t xml:space="preserve"> </w:t>
            </w:r>
            <w:r w:rsidRPr="0015541C">
              <w:rPr>
                <w:szCs w:val="22"/>
                <w:lang w:val="pl-PL" w:eastAsia="da-DK"/>
              </w:rPr>
              <w:t>(97,</w:t>
            </w:r>
            <w:r w:rsidRPr="00260CEC">
              <w:rPr>
                <w:szCs w:val="22"/>
                <w:lang w:val="pl-PL" w:eastAsia="da-DK"/>
              </w:rPr>
              <w:t>5</w:t>
            </w:r>
            <w:r w:rsidRPr="0015541C">
              <w:rPr>
                <w:sz w:val="20"/>
                <w:lang w:val="pl-PL" w:eastAsia="da-DK"/>
              </w:rPr>
              <w:t xml:space="preserve">% </w:t>
            </w:r>
            <w:r w:rsidRPr="0015541C">
              <w:rPr>
                <w:szCs w:val="22"/>
                <w:lang w:val="pl-PL" w:eastAsia="da-DK"/>
              </w:rPr>
              <w:t>CI)</w:t>
            </w:r>
          </w:p>
        </w:tc>
        <w:tc>
          <w:tcPr>
            <w:tcW w:w="1985" w:type="pct"/>
            <w:gridSpan w:val="2"/>
            <w:shd w:val="clear" w:color="auto" w:fill="auto"/>
          </w:tcPr>
          <w:p w14:paraId="4F98F20C" w14:textId="77777777" w:rsidR="00994050" w:rsidRPr="0015541C" w:rsidRDefault="00994050" w:rsidP="00FB4FA7">
            <w:pPr>
              <w:spacing w:line="360" w:lineRule="auto"/>
              <w:jc w:val="center"/>
              <w:rPr>
                <w:szCs w:val="22"/>
                <w:lang w:val="pl-PL" w:eastAsia="da-DK"/>
              </w:rPr>
            </w:pPr>
            <w:r w:rsidRPr="0015541C">
              <w:rPr>
                <w:szCs w:val="22"/>
                <w:lang w:val="pl-PL" w:eastAsia="da-DK"/>
              </w:rPr>
              <w:t>0,63 (0,52-0,75)</w:t>
            </w:r>
          </w:p>
        </w:tc>
        <w:tc>
          <w:tcPr>
            <w:tcW w:w="743" w:type="pct"/>
            <w:shd w:val="clear" w:color="auto" w:fill="auto"/>
          </w:tcPr>
          <w:p w14:paraId="398A9B83" w14:textId="77777777" w:rsidR="00994050" w:rsidRPr="0015541C" w:rsidRDefault="00994050" w:rsidP="00FB4FA7">
            <w:pPr>
              <w:spacing w:line="480" w:lineRule="auto"/>
              <w:rPr>
                <w:szCs w:val="22"/>
                <w:lang w:val="pl-PL" w:eastAsia="da-DK"/>
              </w:rPr>
            </w:pPr>
          </w:p>
        </w:tc>
      </w:tr>
      <w:tr w:rsidR="00994050" w:rsidRPr="0015541C" w14:paraId="62D90E2E" w14:textId="77777777" w:rsidTr="00247D7C">
        <w:tc>
          <w:tcPr>
            <w:tcW w:w="2272" w:type="pct"/>
            <w:shd w:val="clear" w:color="auto" w:fill="auto"/>
          </w:tcPr>
          <w:p w14:paraId="70AAE167" w14:textId="77777777" w:rsidR="00994050" w:rsidRPr="0015541C" w:rsidRDefault="00994050" w:rsidP="00FB4FA7">
            <w:pPr>
              <w:keepNext/>
              <w:ind w:left="357"/>
              <w:rPr>
                <w:sz w:val="20"/>
                <w:lang w:val="pl-PL" w:eastAsia="da-DK"/>
              </w:rPr>
            </w:pPr>
            <w:r w:rsidRPr="0015541C">
              <w:rPr>
                <w:sz w:val="20"/>
                <w:lang w:val="pl-PL" w:eastAsia="da-DK"/>
              </w:rPr>
              <w:t xml:space="preserve">Całkowity odsetek odpowiedzi </w:t>
            </w:r>
          </w:p>
          <w:p w14:paraId="66963336" w14:textId="77777777" w:rsidR="00994050" w:rsidRPr="0015541C" w:rsidRDefault="00994050" w:rsidP="00FB4FA7">
            <w:pPr>
              <w:keepNext/>
              <w:spacing w:line="360" w:lineRule="auto"/>
              <w:ind w:left="357"/>
              <w:rPr>
                <w:sz w:val="20"/>
                <w:lang w:val="pl-PL" w:eastAsia="da-DK"/>
              </w:rPr>
            </w:pPr>
            <w:r w:rsidRPr="00260CEC">
              <w:rPr>
                <w:sz w:val="20"/>
                <w:lang w:val="pl-PL" w:eastAsia="da-DK"/>
              </w:rPr>
              <w:t>(ocena badacza)**</w:t>
            </w:r>
          </w:p>
        </w:tc>
        <w:tc>
          <w:tcPr>
            <w:tcW w:w="992" w:type="pct"/>
            <w:shd w:val="clear" w:color="auto" w:fill="auto"/>
          </w:tcPr>
          <w:p w14:paraId="2B379621" w14:textId="77777777" w:rsidR="00994050" w:rsidRPr="0015541C" w:rsidRDefault="00994050" w:rsidP="00FB4FA7">
            <w:pPr>
              <w:keepNext/>
              <w:spacing w:line="360" w:lineRule="auto"/>
              <w:jc w:val="center"/>
              <w:rPr>
                <w:sz w:val="20"/>
                <w:lang w:val="pl-PL" w:eastAsia="da-DK"/>
              </w:rPr>
            </w:pPr>
            <w:r w:rsidRPr="0015541C">
              <w:rPr>
                <w:sz w:val="20"/>
                <w:lang w:val="pl-PL" w:eastAsia="da-DK"/>
              </w:rPr>
              <w:t>49,2%</w:t>
            </w:r>
          </w:p>
        </w:tc>
        <w:tc>
          <w:tcPr>
            <w:tcW w:w="993" w:type="pct"/>
            <w:shd w:val="clear" w:color="auto" w:fill="auto"/>
          </w:tcPr>
          <w:p w14:paraId="0E873EF7" w14:textId="77777777" w:rsidR="00994050" w:rsidRPr="0015541C" w:rsidRDefault="00994050" w:rsidP="00FB4FA7">
            <w:pPr>
              <w:keepNext/>
              <w:spacing w:line="360" w:lineRule="auto"/>
              <w:jc w:val="center"/>
              <w:rPr>
                <w:sz w:val="20"/>
                <w:lang w:val="pl-PL" w:eastAsia="da-DK"/>
              </w:rPr>
            </w:pPr>
            <w:r w:rsidRPr="0015541C">
              <w:rPr>
                <w:sz w:val="20"/>
                <w:lang w:val="pl-PL" w:eastAsia="da-DK"/>
              </w:rPr>
              <w:t>46,5%</w:t>
            </w:r>
          </w:p>
        </w:tc>
        <w:tc>
          <w:tcPr>
            <w:tcW w:w="743" w:type="pct"/>
            <w:shd w:val="clear" w:color="auto" w:fill="auto"/>
          </w:tcPr>
          <w:p w14:paraId="75874E70" w14:textId="77777777" w:rsidR="00994050" w:rsidRPr="0015541C" w:rsidRDefault="00994050" w:rsidP="00FB4FA7">
            <w:pPr>
              <w:keepNext/>
              <w:spacing w:line="480" w:lineRule="auto"/>
              <w:jc w:val="center"/>
              <w:rPr>
                <w:sz w:val="20"/>
                <w:lang w:val="pl-PL" w:eastAsia="da-DK"/>
              </w:rPr>
            </w:pPr>
          </w:p>
        </w:tc>
      </w:tr>
      <w:tr w:rsidR="00994050" w:rsidRPr="0015541C" w14:paraId="24F0B5F3" w14:textId="77777777" w:rsidTr="00247D7C">
        <w:tc>
          <w:tcPr>
            <w:tcW w:w="2272" w:type="pct"/>
            <w:shd w:val="clear" w:color="auto" w:fill="auto"/>
          </w:tcPr>
          <w:p w14:paraId="3C01DF57" w14:textId="4A2AF066" w:rsidR="00994050" w:rsidRPr="00260CEC" w:rsidRDefault="00994050" w:rsidP="00FB4FA7">
            <w:pPr>
              <w:spacing w:line="360" w:lineRule="auto"/>
              <w:ind w:left="360"/>
              <w:rPr>
                <w:szCs w:val="22"/>
                <w:lang w:val="pl-PL" w:eastAsia="da-DK"/>
              </w:rPr>
            </w:pPr>
            <w:r w:rsidRPr="0015541C">
              <w:rPr>
                <w:szCs w:val="22"/>
                <w:lang w:val="pl-PL" w:eastAsia="da-DK"/>
              </w:rPr>
              <w:t xml:space="preserve">Mediana całkowitego </w:t>
            </w:r>
            <w:r w:rsidR="006A43C2" w:rsidRPr="0015541C">
              <w:rPr>
                <w:szCs w:val="22"/>
                <w:lang w:val="pl-PL" w:eastAsia="da-DK"/>
              </w:rPr>
              <w:t xml:space="preserve">czasu </w:t>
            </w:r>
            <w:r w:rsidRPr="0015541C">
              <w:rPr>
                <w:szCs w:val="22"/>
                <w:lang w:val="pl-PL" w:eastAsia="da-DK"/>
              </w:rPr>
              <w:t>przeżycia*</w:t>
            </w:r>
          </w:p>
        </w:tc>
        <w:tc>
          <w:tcPr>
            <w:tcW w:w="992" w:type="pct"/>
            <w:shd w:val="clear" w:color="auto" w:fill="auto"/>
          </w:tcPr>
          <w:p w14:paraId="2EE1E446" w14:textId="77777777" w:rsidR="00994050" w:rsidRPr="0015541C" w:rsidRDefault="00994050" w:rsidP="00FB4FA7">
            <w:pPr>
              <w:spacing w:line="360" w:lineRule="auto"/>
              <w:jc w:val="center"/>
              <w:rPr>
                <w:szCs w:val="22"/>
                <w:lang w:val="pl-PL" w:eastAsia="da-DK"/>
              </w:rPr>
            </w:pPr>
            <w:r w:rsidRPr="0015541C">
              <w:rPr>
                <w:szCs w:val="22"/>
                <w:lang w:val="pl-PL" w:eastAsia="da-DK"/>
              </w:rPr>
              <w:t>19,9</w:t>
            </w:r>
          </w:p>
        </w:tc>
        <w:tc>
          <w:tcPr>
            <w:tcW w:w="993" w:type="pct"/>
            <w:shd w:val="clear" w:color="auto" w:fill="auto"/>
          </w:tcPr>
          <w:p w14:paraId="2AFF18D7" w14:textId="77777777" w:rsidR="00994050" w:rsidRPr="0015541C" w:rsidRDefault="00994050" w:rsidP="00FB4FA7">
            <w:pPr>
              <w:spacing w:line="360" w:lineRule="auto"/>
              <w:jc w:val="center"/>
              <w:rPr>
                <w:szCs w:val="22"/>
                <w:lang w:val="pl-PL" w:eastAsia="da-DK"/>
              </w:rPr>
            </w:pPr>
            <w:r w:rsidRPr="0015541C">
              <w:rPr>
                <w:szCs w:val="22"/>
                <w:lang w:val="pl-PL" w:eastAsia="da-DK"/>
              </w:rPr>
              <w:t>21,2</w:t>
            </w:r>
          </w:p>
        </w:tc>
        <w:tc>
          <w:tcPr>
            <w:tcW w:w="743" w:type="pct"/>
            <w:shd w:val="clear" w:color="auto" w:fill="auto"/>
          </w:tcPr>
          <w:p w14:paraId="1768A78E" w14:textId="77777777" w:rsidR="00994050" w:rsidRPr="0015541C" w:rsidRDefault="00994050" w:rsidP="00FB4FA7">
            <w:pPr>
              <w:spacing w:line="480" w:lineRule="auto"/>
              <w:jc w:val="center"/>
              <w:rPr>
                <w:szCs w:val="22"/>
                <w:lang w:val="pl-PL" w:eastAsia="da-DK"/>
              </w:rPr>
            </w:pPr>
            <w:r w:rsidRPr="0015541C">
              <w:rPr>
                <w:szCs w:val="22"/>
                <w:lang w:val="pl-PL" w:eastAsia="da-DK"/>
              </w:rPr>
              <w:t>0,0769</w:t>
            </w:r>
          </w:p>
        </w:tc>
      </w:tr>
      <w:tr w:rsidR="00994050" w:rsidRPr="0015541C" w14:paraId="62CEABFC" w14:textId="77777777" w:rsidTr="00E53D38">
        <w:trPr>
          <w:trHeight w:val="287"/>
        </w:trPr>
        <w:tc>
          <w:tcPr>
            <w:tcW w:w="2272" w:type="pct"/>
            <w:shd w:val="clear" w:color="auto" w:fill="auto"/>
          </w:tcPr>
          <w:p w14:paraId="4180EA11" w14:textId="77777777" w:rsidR="00994050" w:rsidRPr="0015541C" w:rsidRDefault="00994050" w:rsidP="00FB4FA7">
            <w:pPr>
              <w:keepNext/>
              <w:spacing w:line="360" w:lineRule="auto"/>
              <w:ind w:left="720"/>
              <w:rPr>
                <w:szCs w:val="22"/>
                <w:lang w:val="pl-PL" w:eastAsia="da-DK"/>
              </w:rPr>
            </w:pPr>
            <w:r w:rsidRPr="0015541C">
              <w:rPr>
                <w:szCs w:val="22"/>
                <w:lang w:val="pl-PL"/>
              </w:rPr>
              <w:t>Współczynnik ryzyka</w:t>
            </w:r>
            <w:r w:rsidRPr="0015541C" w:rsidDel="00A919BA">
              <w:rPr>
                <w:szCs w:val="22"/>
                <w:lang w:val="pl-PL" w:eastAsia="da-DK"/>
              </w:rPr>
              <w:t xml:space="preserve"> </w:t>
            </w:r>
            <w:r w:rsidRPr="0015541C">
              <w:rPr>
                <w:szCs w:val="22"/>
                <w:lang w:val="pl-PL" w:eastAsia="da-DK"/>
              </w:rPr>
              <w:t>(97,</w:t>
            </w:r>
            <w:r w:rsidRPr="00260CEC">
              <w:rPr>
                <w:szCs w:val="22"/>
                <w:lang w:val="pl-PL" w:eastAsia="da-DK"/>
              </w:rPr>
              <w:t>5</w:t>
            </w:r>
            <w:r w:rsidRPr="0015541C">
              <w:rPr>
                <w:sz w:val="20"/>
                <w:lang w:val="pl-PL" w:eastAsia="da-DK"/>
              </w:rPr>
              <w:t xml:space="preserve">% </w:t>
            </w:r>
            <w:r w:rsidRPr="0015541C">
              <w:rPr>
                <w:szCs w:val="22"/>
                <w:lang w:val="pl-PL" w:eastAsia="da-DK"/>
              </w:rPr>
              <w:t>CI)</w:t>
            </w:r>
          </w:p>
        </w:tc>
        <w:tc>
          <w:tcPr>
            <w:tcW w:w="1985" w:type="pct"/>
            <w:gridSpan w:val="2"/>
            <w:shd w:val="clear" w:color="auto" w:fill="auto"/>
          </w:tcPr>
          <w:p w14:paraId="09A07043" w14:textId="77777777" w:rsidR="00994050" w:rsidRPr="0015541C" w:rsidRDefault="00994050" w:rsidP="00FB4FA7">
            <w:pPr>
              <w:spacing w:line="360" w:lineRule="auto"/>
              <w:jc w:val="center"/>
              <w:rPr>
                <w:szCs w:val="22"/>
                <w:lang w:val="pl-PL" w:eastAsia="da-DK"/>
              </w:rPr>
            </w:pPr>
            <w:r w:rsidRPr="0015541C">
              <w:rPr>
                <w:szCs w:val="22"/>
                <w:lang w:val="pl-PL" w:eastAsia="da-DK"/>
              </w:rPr>
              <w:t>0,89 (0,76-1,03)</w:t>
            </w:r>
          </w:p>
        </w:tc>
        <w:tc>
          <w:tcPr>
            <w:tcW w:w="743" w:type="pct"/>
            <w:shd w:val="clear" w:color="auto" w:fill="auto"/>
          </w:tcPr>
          <w:p w14:paraId="6AFF64E6" w14:textId="77777777" w:rsidR="00994050" w:rsidRPr="0015541C" w:rsidRDefault="00994050" w:rsidP="00FB4FA7">
            <w:pPr>
              <w:spacing w:line="480" w:lineRule="auto"/>
              <w:rPr>
                <w:szCs w:val="22"/>
                <w:lang w:val="pl-PL" w:eastAsia="da-DK"/>
              </w:rPr>
            </w:pPr>
          </w:p>
        </w:tc>
      </w:tr>
    </w:tbl>
    <w:p w14:paraId="2DA8DA0F" w14:textId="7AFBF7B7" w:rsidR="00994050" w:rsidRPr="00260CEC" w:rsidRDefault="00994050" w:rsidP="00EE1E71">
      <w:pPr>
        <w:rPr>
          <w:sz w:val="20"/>
          <w:lang w:val="pl-PL"/>
        </w:rPr>
      </w:pPr>
      <w:r w:rsidRPr="0015541C">
        <w:rPr>
          <w:sz w:val="20"/>
          <w:lang w:val="pl-PL"/>
        </w:rPr>
        <w:t xml:space="preserve">* Analiza </w:t>
      </w:r>
      <w:r w:rsidR="006A43C2" w:rsidRPr="0015541C">
        <w:rPr>
          <w:sz w:val="20"/>
          <w:lang w:val="pl-PL"/>
        </w:rPr>
        <w:t>OS</w:t>
      </w:r>
      <w:r w:rsidRPr="0015541C">
        <w:rPr>
          <w:sz w:val="20"/>
          <w:lang w:val="pl-PL"/>
        </w:rPr>
        <w:t>, ustalana na podstawie parametrów klinicznych z dnia 31 stycznia 2007 r.</w:t>
      </w:r>
    </w:p>
    <w:p w14:paraId="41C2406D" w14:textId="77777777" w:rsidR="00994050" w:rsidRPr="0015541C" w:rsidRDefault="00994050" w:rsidP="00EE1E71">
      <w:pPr>
        <w:rPr>
          <w:sz w:val="20"/>
          <w:lang w:val="pl-PL"/>
        </w:rPr>
      </w:pPr>
      <w:r w:rsidRPr="0015541C">
        <w:rPr>
          <w:sz w:val="20"/>
          <w:lang w:val="pl-PL"/>
        </w:rPr>
        <w:t>** Analiza pierwszorazowa ustalana na podstawie parametrów klinicznych z dnia 31 stycznia 2006 r.</w:t>
      </w:r>
    </w:p>
    <w:p w14:paraId="542E5A4E" w14:textId="6955F9CB" w:rsidR="00994050" w:rsidRPr="0015541C" w:rsidRDefault="00994050" w:rsidP="00EE1E71">
      <w:pPr>
        <w:rPr>
          <w:sz w:val="20"/>
          <w:lang w:val="pl-PL"/>
        </w:rPr>
      </w:pPr>
      <w:r w:rsidRPr="0015541C">
        <w:rPr>
          <w:sz w:val="20"/>
          <w:vertAlign w:val="superscript"/>
          <w:lang w:val="pl-PL"/>
        </w:rPr>
        <w:t>a</w:t>
      </w:r>
      <w:r w:rsidRPr="0015541C">
        <w:rPr>
          <w:sz w:val="20"/>
          <w:lang w:val="pl-PL"/>
        </w:rPr>
        <w:t xml:space="preserve"> </w:t>
      </w:r>
      <w:r w:rsidR="00B504A6">
        <w:rPr>
          <w:sz w:val="20"/>
          <w:lang w:val="pl-PL"/>
        </w:rPr>
        <w:t>W</w:t>
      </w:r>
      <w:r w:rsidR="00B504A6" w:rsidRPr="0015541C">
        <w:rPr>
          <w:sz w:val="20"/>
          <w:lang w:val="pl-PL"/>
        </w:rPr>
        <w:t xml:space="preserve"> </w:t>
      </w:r>
      <w:r w:rsidRPr="0015541C">
        <w:rPr>
          <w:sz w:val="20"/>
          <w:lang w:val="pl-PL"/>
        </w:rPr>
        <w:t xml:space="preserve">porównaniu do grupy kontrolnej </w:t>
      </w:r>
    </w:p>
    <w:p w14:paraId="114B51D5" w14:textId="77777777" w:rsidR="00994050" w:rsidRPr="0015541C" w:rsidRDefault="00994050" w:rsidP="00EE1E71">
      <w:pPr>
        <w:rPr>
          <w:lang w:val="pl-PL"/>
        </w:rPr>
      </w:pPr>
    </w:p>
    <w:p w14:paraId="118F16A6" w14:textId="751BF382" w:rsidR="00994050" w:rsidRPr="0015541C" w:rsidRDefault="00994050" w:rsidP="00994050">
      <w:pPr>
        <w:rPr>
          <w:bCs/>
          <w:lang w:val="pl-PL"/>
        </w:rPr>
      </w:pPr>
      <w:r w:rsidRPr="0015541C">
        <w:rPr>
          <w:bCs/>
          <w:lang w:val="pl-PL"/>
        </w:rPr>
        <w:t xml:space="preserve">W podgrupie pacjentów leczonych według schematu FOLFOX mediana PFS wyniosła 8,6 miesiąca w ramieniu otrzymującym placebo oraz 9,4 miesiąca w ramieniu otrzymującym bewacyzumab, </w:t>
      </w:r>
      <w:r w:rsidR="006A43C2" w:rsidRPr="0015541C">
        <w:rPr>
          <w:bCs/>
          <w:lang w:val="pl-PL"/>
        </w:rPr>
        <w:t xml:space="preserve">współczynnik ryzyka (ang. hazard ratio – HR) </w:t>
      </w:r>
      <w:r w:rsidRPr="0015541C">
        <w:rPr>
          <w:bCs/>
          <w:lang w:val="pl-PL"/>
        </w:rPr>
        <w:t xml:space="preserve"> = 0,89, 97,5% CI = [0,73 ; 1,08]; p = 0,1871, podczas gdy w podgrupie pacjentów leczonych według schematu XELOX wartości te wynosiły odpowiednio 7,4 vs. 9,3 miesiąca, HR = 0,77, 97,5% CI = [0,63 ; 0,94]; p = 0,0026.</w:t>
      </w:r>
    </w:p>
    <w:p w14:paraId="39648F9C" w14:textId="77777777" w:rsidR="00994050" w:rsidRPr="0015541C" w:rsidRDefault="00994050" w:rsidP="00994050">
      <w:pPr>
        <w:rPr>
          <w:bCs/>
          <w:lang w:val="pl-PL"/>
        </w:rPr>
      </w:pPr>
    </w:p>
    <w:p w14:paraId="61E61B14" w14:textId="297F3367" w:rsidR="00994050" w:rsidRPr="0015541C" w:rsidRDefault="00994050" w:rsidP="00994050">
      <w:pPr>
        <w:rPr>
          <w:bCs/>
          <w:lang w:val="pl-PL"/>
        </w:rPr>
      </w:pPr>
      <w:r w:rsidRPr="0015541C">
        <w:rPr>
          <w:bCs/>
          <w:lang w:val="pl-PL"/>
        </w:rPr>
        <w:t xml:space="preserve">W podgrupie pacjentów leczonych według schematu FOLFOX mediana OS wyniosła 20,3 miesiąca w ramieniu otrzymującym placebo oraz 21,2 </w:t>
      </w:r>
      <w:r w:rsidR="00F35903" w:rsidRPr="0015541C">
        <w:rPr>
          <w:bCs/>
          <w:lang w:val="pl-PL"/>
        </w:rPr>
        <w:t xml:space="preserve">miesiąca </w:t>
      </w:r>
      <w:r w:rsidRPr="0015541C">
        <w:rPr>
          <w:bCs/>
          <w:lang w:val="pl-PL"/>
        </w:rPr>
        <w:t>w ramieniu otrzymującym bewacyzumab, HR = 0,94, 97,5% CI = [0,75 ; 1,16]; p = 0,4937, podczas gdy w podgrupie pacjentów leczonych według schematu XELOX wartości te wynosiły odpowiednio 19,2 vs. 21,4 miesiąca, HR = 0,84, 97,5% CI = [0,68 ; 1,04]; p = 0,0698.</w:t>
      </w:r>
    </w:p>
    <w:p w14:paraId="53A9AC13" w14:textId="77777777" w:rsidR="00994050" w:rsidRPr="0015541C" w:rsidRDefault="00994050" w:rsidP="00994050">
      <w:pPr>
        <w:outlineLvl w:val="0"/>
        <w:rPr>
          <w:b/>
          <w:lang w:val="pl-PL"/>
        </w:rPr>
      </w:pPr>
    </w:p>
    <w:p w14:paraId="2F3B3EA1" w14:textId="77777777" w:rsidR="00994050" w:rsidRPr="0015541C" w:rsidRDefault="00994050" w:rsidP="00994050">
      <w:pPr>
        <w:outlineLvl w:val="0"/>
        <w:rPr>
          <w:i/>
          <w:lang w:val="pl-PL"/>
        </w:rPr>
      </w:pPr>
      <w:r w:rsidRPr="0015541C">
        <w:rPr>
          <w:i/>
          <w:lang w:val="pl-PL"/>
        </w:rPr>
        <w:t xml:space="preserve">Badanie ECOG E3200 </w:t>
      </w:r>
    </w:p>
    <w:p w14:paraId="0EDE6548" w14:textId="6D5CC88F" w:rsidR="00994050" w:rsidRPr="0015541C" w:rsidRDefault="00994050" w:rsidP="00994050">
      <w:pPr>
        <w:rPr>
          <w:lang w:val="pl-PL"/>
        </w:rPr>
      </w:pPr>
      <w:r w:rsidRPr="0015541C">
        <w:rPr>
          <w:lang w:val="pl-PL"/>
        </w:rPr>
        <w:t xml:space="preserve">Było to otwarte, randomizowane badanie III fazy z grupą kontrolną otrzymującą aktywny lek, dotyczące stosowania </w:t>
      </w:r>
      <w:r w:rsidR="00D37AC2">
        <w:rPr>
          <w:lang w:val="pl-PL"/>
        </w:rPr>
        <w:t>bewacyzumabu</w:t>
      </w:r>
      <w:r w:rsidRPr="0015541C">
        <w:rPr>
          <w:lang w:val="pl-PL"/>
        </w:rPr>
        <w:t xml:space="preserve"> w dawce 10 </w:t>
      </w:r>
      <w:r w:rsidR="006C1132" w:rsidRPr="0015541C">
        <w:rPr>
          <w:lang w:val="pl-PL"/>
        </w:rPr>
        <w:t>mg/kg mc.</w:t>
      </w:r>
      <w:r w:rsidRPr="0015541C">
        <w:rPr>
          <w:lang w:val="pl-PL"/>
        </w:rPr>
        <w:t xml:space="preserve"> w skojarzeniu z leukoworyną, 5</w:t>
      </w:r>
      <w:r w:rsidR="00B722C9" w:rsidRPr="0015541C">
        <w:rPr>
          <w:lang w:val="pl-PL"/>
        </w:rPr>
        <w:noBreakHyphen/>
      </w:r>
      <w:r w:rsidRPr="0015541C">
        <w:rPr>
          <w:lang w:val="pl-PL"/>
        </w:rPr>
        <w:t xml:space="preserve">fluorouracylem (początkowo w bolusie, następnie we wlewie) oraz </w:t>
      </w:r>
      <w:r w:rsidR="006A43C2" w:rsidRPr="0015541C">
        <w:rPr>
          <w:lang w:val="pl-PL"/>
        </w:rPr>
        <w:t xml:space="preserve">podawaną </w:t>
      </w:r>
      <w:r w:rsidR="006A43C2" w:rsidRPr="0015541C">
        <w:rPr>
          <w:szCs w:val="22"/>
          <w:lang w:val="pl-PL"/>
        </w:rPr>
        <w:t xml:space="preserve">dożylnie </w:t>
      </w:r>
      <w:r w:rsidRPr="0015541C">
        <w:rPr>
          <w:lang w:val="pl-PL"/>
        </w:rPr>
        <w:t>oksaliplatyną (FOLFOX-4) w schemacie dawkowania co 2 tygodnie u uprzednio leczonych pacjentów (leczenie drugiego rzutu) z zaawansowanym rakiem okrężnicy lub odbytnicy. W ramionach badania, w których stosowana była chemioterapia, w ramach cyklu FOLFOX-4 stosowano takie same dawki leków i takie same schematy dawkowania jak w badaniu NO16966 (przedstawione w tabeli</w:t>
      </w:r>
      <w:r w:rsidR="00EE1CDE" w:rsidRPr="0015541C">
        <w:rPr>
          <w:lang w:val="pl-PL"/>
        </w:rPr>
        <w:t> </w:t>
      </w:r>
      <w:r w:rsidR="008800D7" w:rsidRPr="0015541C">
        <w:rPr>
          <w:lang w:val="pl-PL"/>
        </w:rPr>
        <w:t>6</w:t>
      </w:r>
      <w:r w:rsidRPr="0015541C">
        <w:rPr>
          <w:lang w:val="pl-PL"/>
        </w:rPr>
        <w:t xml:space="preserve">). </w:t>
      </w:r>
    </w:p>
    <w:p w14:paraId="04E036E1" w14:textId="77777777" w:rsidR="00994050" w:rsidRPr="0015541C" w:rsidRDefault="00994050" w:rsidP="00994050">
      <w:pPr>
        <w:rPr>
          <w:lang w:val="pl-PL"/>
        </w:rPr>
      </w:pPr>
    </w:p>
    <w:p w14:paraId="28A6004D" w14:textId="795616EE" w:rsidR="00994050" w:rsidRPr="0015541C" w:rsidRDefault="00994050" w:rsidP="00994050">
      <w:pPr>
        <w:rPr>
          <w:lang w:val="pl-PL"/>
        </w:rPr>
      </w:pPr>
      <w:r w:rsidRPr="0015541C">
        <w:rPr>
          <w:lang w:val="pl-PL"/>
        </w:rPr>
        <w:t xml:space="preserve">W badaniu tym pierwszorzędowym parametrem skuteczności był </w:t>
      </w:r>
      <w:r w:rsidR="006A43C2" w:rsidRPr="0015541C">
        <w:rPr>
          <w:lang w:val="pl-PL"/>
        </w:rPr>
        <w:t>OS</w:t>
      </w:r>
      <w:r w:rsidRPr="0015541C">
        <w:rPr>
          <w:lang w:val="pl-PL"/>
        </w:rPr>
        <w:t xml:space="preserve">, definiowany jako czas od randomizacji do zgonu z dowolnej przyczyny. Osiemset dwudziestu dziewięciu pacjentów losowo przydzielono do grup leczenia (292 pacjentów – FOLFOX-4; 293 – </w:t>
      </w:r>
      <w:r w:rsidR="000C7FD3" w:rsidRPr="0015541C">
        <w:rPr>
          <w:lang w:val="pl-PL"/>
        </w:rPr>
        <w:t>bewacyzumab</w:t>
      </w:r>
      <w:r w:rsidRPr="0015541C">
        <w:rPr>
          <w:lang w:val="pl-PL"/>
        </w:rPr>
        <w:t xml:space="preserve"> + FOLFOX-4; 244 – </w:t>
      </w:r>
      <w:r w:rsidR="000C7FD3" w:rsidRPr="0015541C">
        <w:rPr>
          <w:lang w:val="pl-PL"/>
        </w:rPr>
        <w:t>bewacyzumab</w:t>
      </w:r>
      <w:r w:rsidRPr="0015541C">
        <w:rPr>
          <w:lang w:val="pl-PL"/>
        </w:rPr>
        <w:t xml:space="preserve"> w monoterapii). Dołączenie </w:t>
      </w:r>
      <w:r w:rsidR="000C7FD3" w:rsidRPr="0015541C">
        <w:rPr>
          <w:lang w:val="pl-PL"/>
        </w:rPr>
        <w:t>bewacyzumab</w:t>
      </w:r>
      <w:r w:rsidRPr="0015541C">
        <w:rPr>
          <w:lang w:val="pl-PL"/>
        </w:rPr>
        <w:t xml:space="preserve">u do schematu leczenia FOLFOX-4 powodowało znaczące statystycznie wydłużenie przeżycia. Ponadto zaobserwowano istotną statystycznie poprawę w zakresie </w:t>
      </w:r>
      <w:r w:rsidR="006A43C2" w:rsidRPr="0015541C">
        <w:rPr>
          <w:lang w:val="pl-PL"/>
        </w:rPr>
        <w:t>PFS</w:t>
      </w:r>
      <w:r w:rsidRPr="0015541C">
        <w:rPr>
          <w:lang w:val="pl-PL"/>
        </w:rPr>
        <w:t xml:space="preserve"> i odsetka obiektywnych odpowiedzi na leczenie (patrz tabela</w:t>
      </w:r>
      <w:r w:rsidR="006A2379" w:rsidRPr="0015541C">
        <w:rPr>
          <w:lang w:val="pl-PL"/>
        </w:rPr>
        <w:t> </w:t>
      </w:r>
      <w:r w:rsidR="008800D7" w:rsidRPr="0015541C">
        <w:rPr>
          <w:lang w:val="pl-PL"/>
        </w:rPr>
        <w:t>8</w:t>
      </w:r>
      <w:r w:rsidRPr="0015541C">
        <w:rPr>
          <w:lang w:val="pl-PL"/>
        </w:rPr>
        <w:t>).</w:t>
      </w:r>
    </w:p>
    <w:p w14:paraId="0366440C" w14:textId="77777777" w:rsidR="00994050" w:rsidRPr="0015541C" w:rsidRDefault="00994050" w:rsidP="00994050">
      <w:pPr>
        <w:rPr>
          <w:lang w:val="pl-PL"/>
        </w:rPr>
      </w:pPr>
    </w:p>
    <w:p w14:paraId="054D2B13" w14:textId="77777777" w:rsidR="00994050" w:rsidRPr="0015541C" w:rsidRDefault="00994050" w:rsidP="003C6FA3">
      <w:pPr>
        <w:ind w:left="540" w:hanging="540"/>
        <w:outlineLvl w:val="0"/>
        <w:rPr>
          <w:b/>
          <w:lang w:val="pl-PL"/>
        </w:rPr>
      </w:pPr>
      <w:r w:rsidRPr="0015541C">
        <w:rPr>
          <w:b/>
          <w:lang w:val="pl-PL"/>
        </w:rPr>
        <w:lastRenderedPageBreak/>
        <w:t>Tabela</w:t>
      </w:r>
      <w:r w:rsidR="00AB09CC" w:rsidRPr="0015541C">
        <w:rPr>
          <w:b/>
          <w:lang w:val="pl-PL"/>
        </w:rPr>
        <w:t> </w:t>
      </w:r>
      <w:r w:rsidR="008800D7" w:rsidRPr="0015541C">
        <w:rPr>
          <w:b/>
          <w:lang w:val="pl-PL"/>
        </w:rPr>
        <w:t>8</w:t>
      </w:r>
      <w:r w:rsidRPr="0015541C">
        <w:rPr>
          <w:b/>
          <w:lang w:val="pl-PL"/>
        </w:rPr>
        <w:t xml:space="preserve">. </w:t>
      </w:r>
      <w:r w:rsidR="004C7588" w:rsidRPr="0015541C">
        <w:rPr>
          <w:b/>
          <w:lang w:val="pl-PL"/>
        </w:rPr>
        <w:tab/>
      </w:r>
      <w:r w:rsidRPr="0015541C">
        <w:rPr>
          <w:b/>
          <w:lang w:val="pl-PL"/>
        </w:rPr>
        <w:t>Wartości parametrów skuteczności dla badania E3200</w:t>
      </w:r>
    </w:p>
    <w:tbl>
      <w:tblPr>
        <w:tblW w:w="5000" w:type="pct"/>
        <w:jc w:val="center"/>
        <w:tblLayout w:type="fixed"/>
        <w:tblLook w:val="0000" w:firstRow="0" w:lastRow="0" w:firstColumn="0" w:lastColumn="0" w:noHBand="0" w:noVBand="0"/>
      </w:tblPr>
      <w:tblGrid>
        <w:gridCol w:w="4693"/>
        <w:gridCol w:w="2120"/>
        <w:gridCol w:w="2237"/>
      </w:tblGrid>
      <w:tr w:rsidR="00994050" w:rsidRPr="0015541C" w14:paraId="00AFC70F" w14:textId="77777777" w:rsidTr="00D16D61">
        <w:trPr>
          <w:cantSplit/>
          <w:trHeight w:val="360"/>
          <w:jc w:val="center"/>
        </w:trPr>
        <w:tc>
          <w:tcPr>
            <w:tcW w:w="2593" w:type="pct"/>
            <w:tcBorders>
              <w:top w:val="single" w:sz="4" w:space="0" w:color="auto"/>
              <w:left w:val="single" w:sz="8" w:space="0" w:color="auto"/>
              <w:right w:val="single" w:sz="8" w:space="0" w:color="auto"/>
            </w:tcBorders>
            <w:vAlign w:val="bottom"/>
          </w:tcPr>
          <w:p w14:paraId="7C7A198B" w14:textId="77777777" w:rsidR="00994050" w:rsidRPr="0015541C" w:rsidRDefault="00994050" w:rsidP="00EE5D63">
            <w:pPr>
              <w:pStyle w:val="TableCellCenter"/>
              <w:keepNext w:val="0"/>
              <w:keepLines w:val="0"/>
              <w:rPr>
                <w:sz w:val="22"/>
                <w:szCs w:val="22"/>
                <w:lang w:val="pl-PL"/>
              </w:rPr>
            </w:pPr>
          </w:p>
        </w:tc>
        <w:tc>
          <w:tcPr>
            <w:tcW w:w="2407" w:type="pct"/>
            <w:gridSpan w:val="2"/>
            <w:tcBorders>
              <w:top w:val="single" w:sz="4" w:space="0" w:color="auto"/>
              <w:left w:val="single" w:sz="8" w:space="0" w:color="auto"/>
              <w:bottom w:val="single" w:sz="8" w:space="0" w:color="auto"/>
              <w:right w:val="single" w:sz="8" w:space="0" w:color="auto"/>
            </w:tcBorders>
            <w:vAlign w:val="bottom"/>
          </w:tcPr>
          <w:p w14:paraId="7332D8B0" w14:textId="77777777" w:rsidR="00994050" w:rsidRPr="0070444C" w:rsidRDefault="00994050" w:rsidP="00EE5D63">
            <w:pPr>
              <w:pStyle w:val="TableCellCenter"/>
              <w:keepNext w:val="0"/>
              <w:keepLines w:val="0"/>
              <w:rPr>
                <w:b/>
                <w:sz w:val="22"/>
                <w:lang w:val="pl-PL"/>
              </w:rPr>
            </w:pPr>
            <w:r w:rsidRPr="0070444C">
              <w:rPr>
                <w:b/>
                <w:sz w:val="22"/>
                <w:lang w:val="pl-PL"/>
              </w:rPr>
              <w:t>E3200</w:t>
            </w:r>
          </w:p>
        </w:tc>
      </w:tr>
      <w:tr w:rsidR="00713846" w:rsidRPr="0015541C" w14:paraId="04216C53" w14:textId="77777777" w:rsidTr="001535A2">
        <w:trPr>
          <w:cantSplit/>
          <w:trHeight w:val="457"/>
          <w:jc w:val="center"/>
        </w:trPr>
        <w:tc>
          <w:tcPr>
            <w:tcW w:w="2593" w:type="pct"/>
            <w:tcBorders>
              <w:left w:val="single" w:sz="8" w:space="0" w:color="auto"/>
              <w:bottom w:val="single" w:sz="8" w:space="0" w:color="auto"/>
              <w:right w:val="single" w:sz="8" w:space="0" w:color="auto"/>
            </w:tcBorders>
            <w:vAlign w:val="bottom"/>
          </w:tcPr>
          <w:p w14:paraId="72744C4F" w14:textId="77777777" w:rsidR="00994050" w:rsidRPr="0015541C" w:rsidRDefault="00994050" w:rsidP="00EE5D63">
            <w:pPr>
              <w:pStyle w:val="TableCellCenter"/>
              <w:keepNext w:val="0"/>
              <w:keepLines w:val="0"/>
              <w:rPr>
                <w:sz w:val="22"/>
                <w:szCs w:val="22"/>
                <w:lang w:val="pl-PL"/>
              </w:rPr>
            </w:pPr>
          </w:p>
        </w:tc>
        <w:tc>
          <w:tcPr>
            <w:tcW w:w="1171" w:type="pct"/>
            <w:tcBorders>
              <w:top w:val="single" w:sz="4" w:space="0" w:color="auto"/>
              <w:left w:val="single" w:sz="8" w:space="0" w:color="auto"/>
              <w:bottom w:val="single" w:sz="8" w:space="0" w:color="auto"/>
              <w:right w:val="single" w:sz="4" w:space="0" w:color="auto"/>
            </w:tcBorders>
            <w:vAlign w:val="bottom"/>
          </w:tcPr>
          <w:p w14:paraId="72A065F0" w14:textId="77777777" w:rsidR="00994050" w:rsidRPr="0070444C" w:rsidRDefault="00994050" w:rsidP="00EE5D63">
            <w:pPr>
              <w:pStyle w:val="TableCellCenter"/>
              <w:keepNext w:val="0"/>
              <w:keepLines w:val="0"/>
              <w:rPr>
                <w:b/>
                <w:sz w:val="22"/>
                <w:lang w:val="pl-PL"/>
              </w:rPr>
            </w:pPr>
            <w:r w:rsidRPr="0070444C">
              <w:rPr>
                <w:b/>
                <w:sz w:val="22"/>
                <w:lang w:val="pl-PL"/>
              </w:rPr>
              <w:t>FOLFOX-4</w:t>
            </w:r>
          </w:p>
        </w:tc>
        <w:tc>
          <w:tcPr>
            <w:tcW w:w="1236" w:type="pct"/>
            <w:tcBorders>
              <w:top w:val="single" w:sz="4" w:space="0" w:color="auto"/>
              <w:left w:val="single" w:sz="4" w:space="0" w:color="auto"/>
              <w:bottom w:val="single" w:sz="8" w:space="0" w:color="auto"/>
              <w:right w:val="single" w:sz="8" w:space="0" w:color="auto"/>
            </w:tcBorders>
            <w:shd w:val="clear" w:color="auto" w:fill="auto"/>
            <w:vAlign w:val="bottom"/>
          </w:tcPr>
          <w:p w14:paraId="0E739B81" w14:textId="77777777" w:rsidR="00994050" w:rsidRPr="0070444C" w:rsidRDefault="00994050" w:rsidP="00EE5D63">
            <w:pPr>
              <w:pStyle w:val="TableCellCenter"/>
              <w:keepNext w:val="0"/>
              <w:keepLines w:val="0"/>
              <w:rPr>
                <w:b/>
                <w:sz w:val="22"/>
                <w:lang w:val="pl-PL"/>
              </w:rPr>
            </w:pPr>
            <w:r w:rsidRPr="0070444C">
              <w:rPr>
                <w:b/>
                <w:sz w:val="22"/>
                <w:lang w:val="pl-PL"/>
              </w:rPr>
              <w:t>FOLFOX-4 </w:t>
            </w:r>
            <w:r w:rsidRPr="0070444C">
              <w:rPr>
                <w:rFonts w:ascii="Symbol" w:hAnsi="Symbol"/>
                <w:b/>
                <w:sz w:val="22"/>
                <w:lang w:val="pl-PL"/>
              </w:rPr>
              <w:t></w:t>
            </w:r>
            <w:r w:rsidRPr="0070444C">
              <w:rPr>
                <w:b/>
                <w:sz w:val="22"/>
                <w:lang w:val="pl-PL"/>
              </w:rPr>
              <w:t xml:space="preserve"> </w:t>
            </w:r>
            <w:r w:rsidR="001B6D81" w:rsidRPr="0015541C">
              <w:rPr>
                <w:b/>
                <w:sz w:val="22"/>
                <w:szCs w:val="22"/>
                <w:lang w:val="pl-PL"/>
              </w:rPr>
              <w:t>bewacyzumab</w:t>
            </w:r>
            <w:r w:rsidR="001B6D81" w:rsidRPr="0015541C" w:rsidDel="00D46663">
              <w:rPr>
                <w:b/>
                <w:sz w:val="22"/>
                <w:szCs w:val="22"/>
                <w:lang w:val="pl-PL"/>
              </w:rPr>
              <w:t xml:space="preserve"> </w:t>
            </w:r>
            <w:r w:rsidRPr="0015541C">
              <w:rPr>
                <w:b/>
                <w:sz w:val="22"/>
                <w:szCs w:val="22"/>
                <w:vertAlign w:val="superscript"/>
                <w:lang w:val="pl-PL"/>
              </w:rPr>
              <w:t>a</w:t>
            </w:r>
          </w:p>
        </w:tc>
      </w:tr>
      <w:tr w:rsidR="003D62EE" w:rsidRPr="0015541C" w14:paraId="67FC2D0B" w14:textId="77777777" w:rsidTr="001535A2">
        <w:trPr>
          <w:cantSplit/>
          <w:jc w:val="center"/>
        </w:trPr>
        <w:tc>
          <w:tcPr>
            <w:tcW w:w="2593" w:type="pct"/>
            <w:tcBorders>
              <w:top w:val="single" w:sz="8" w:space="0" w:color="auto"/>
              <w:left w:val="single" w:sz="8" w:space="0" w:color="auto"/>
              <w:bottom w:val="single" w:sz="4" w:space="0" w:color="auto"/>
              <w:right w:val="single" w:sz="8" w:space="0" w:color="auto"/>
            </w:tcBorders>
          </w:tcPr>
          <w:p w14:paraId="11455212" w14:textId="77777777" w:rsidR="00994050" w:rsidRPr="0015541C" w:rsidRDefault="00994050" w:rsidP="00EE5D63">
            <w:pPr>
              <w:pStyle w:val="TableCellLeft"/>
              <w:keepNext w:val="0"/>
              <w:keepLines w:val="0"/>
              <w:rPr>
                <w:sz w:val="22"/>
                <w:szCs w:val="22"/>
                <w:lang w:val="pl-PL"/>
              </w:rPr>
            </w:pPr>
            <w:r w:rsidRPr="0015541C">
              <w:rPr>
                <w:sz w:val="22"/>
                <w:szCs w:val="22"/>
                <w:lang w:val="pl-PL"/>
              </w:rPr>
              <w:t>Liczba pacjentów</w:t>
            </w:r>
          </w:p>
        </w:tc>
        <w:tc>
          <w:tcPr>
            <w:tcW w:w="1171" w:type="pct"/>
            <w:tcBorders>
              <w:top w:val="single" w:sz="8" w:space="0" w:color="auto"/>
              <w:left w:val="single" w:sz="8" w:space="0" w:color="auto"/>
              <w:bottom w:val="single" w:sz="4" w:space="0" w:color="auto"/>
              <w:right w:val="single" w:sz="4" w:space="0" w:color="auto"/>
            </w:tcBorders>
          </w:tcPr>
          <w:p w14:paraId="2B6A2C92" w14:textId="77777777" w:rsidR="00994050" w:rsidRPr="0015541C" w:rsidRDefault="00994050" w:rsidP="00EE5D63">
            <w:pPr>
              <w:pStyle w:val="TableCellCenter"/>
              <w:keepNext w:val="0"/>
              <w:keepLines w:val="0"/>
              <w:rPr>
                <w:sz w:val="22"/>
                <w:szCs w:val="22"/>
                <w:lang w:val="pl-PL"/>
              </w:rPr>
            </w:pPr>
            <w:r w:rsidRPr="00260CEC">
              <w:rPr>
                <w:sz w:val="22"/>
                <w:szCs w:val="22"/>
                <w:lang w:val="pl-PL"/>
              </w:rPr>
              <w:t>292</w:t>
            </w:r>
          </w:p>
        </w:tc>
        <w:tc>
          <w:tcPr>
            <w:tcW w:w="1236" w:type="pct"/>
            <w:tcBorders>
              <w:top w:val="single" w:sz="8" w:space="0" w:color="auto"/>
              <w:left w:val="single" w:sz="4" w:space="0" w:color="auto"/>
              <w:bottom w:val="single" w:sz="4" w:space="0" w:color="auto"/>
              <w:right w:val="single" w:sz="8" w:space="0" w:color="auto"/>
            </w:tcBorders>
          </w:tcPr>
          <w:p w14:paraId="233CA113" w14:textId="77777777" w:rsidR="00994050" w:rsidRPr="0015541C" w:rsidRDefault="00994050" w:rsidP="00EE5D63">
            <w:pPr>
              <w:pStyle w:val="TableCellCenter"/>
              <w:keepNext w:val="0"/>
              <w:keepLines w:val="0"/>
              <w:rPr>
                <w:sz w:val="22"/>
                <w:szCs w:val="22"/>
                <w:lang w:val="pl-PL"/>
              </w:rPr>
            </w:pPr>
            <w:r w:rsidRPr="0015541C">
              <w:rPr>
                <w:sz w:val="22"/>
                <w:szCs w:val="22"/>
                <w:lang w:val="pl-PL"/>
              </w:rPr>
              <w:t>293</w:t>
            </w:r>
          </w:p>
        </w:tc>
      </w:tr>
      <w:tr w:rsidR="00994050" w:rsidRPr="0015541C" w14:paraId="7CF06AFC" w14:textId="77777777" w:rsidTr="00D16D61">
        <w:trPr>
          <w:cantSplit/>
          <w:jc w:val="center"/>
        </w:trPr>
        <w:tc>
          <w:tcPr>
            <w:tcW w:w="5000" w:type="pct"/>
            <w:gridSpan w:val="3"/>
            <w:tcBorders>
              <w:top w:val="single" w:sz="4" w:space="0" w:color="auto"/>
              <w:left w:val="single" w:sz="8" w:space="0" w:color="auto"/>
              <w:bottom w:val="single" w:sz="4" w:space="0" w:color="auto"/>
              <w:right w:val="single" w:sz="8" w:space="0" w:color="auto"/>
            </w:tcBorders>
          </w:tcPr>
          <w:p w14:paraId="5058E25A" w14:textId="6FC32C13" w:rsidR="00994050" w:rsidRPr="0015541C" w:rsidRDefault="00994050" w:rsidP="00EE5D63">
            <w:pPr>
              <w:pStyle w:val="TableCellCenter"/>
              <w:keepNext w:val="0"/>
              <w:keepLines w:val="0"/>
              <w:jc w:val="left"/>
              <w:rPr>
                <w:sz w:val="22"/>
                <w:szCs w:val="22"/>
                <w:lang w:val="pl-PL"/>
              </w:rPr>
            </w:pPr>
            <w:r w:rsidRPr="0015541C">
              <w:rPr>
                <w:bCs/>
                <w:sz w:val="22"/>
                <w:szCs w:val="22"/>
                <w:lang w:val="pl-PL"/>
              </w:rPr>
              <w:t>Całkowit</w:t>
            </w:r>
            <w:r w:rsidR="006A43C2" w:rsidRPr="0015541C">
              <w:rPr>
                <w:bCs/>
                <w:sz w:val="22"/>
                <w:szCs w:val="22"/>
                <w:lang w:val="pl-PL"/>
              </w:rPr>
              <w:t xml:space="preserve">y </w:t>
            </w:r>
            <w:r w:rsidR="006A43C2" w:rsidRPr="0015541C">
              <w:rPr>
                <w:bCs/>
                <w:szCs w:val="22"/>
                <w:lang w:val="pl-PL"/>
              </w:rPr>
              <w:t>czas</w:t>
            </w:r>
            <w:r w:rsidRPr="00260CEC">
              <w:rPr>
                <w:bCs/>
                <w:sz w:val="22"/>
                <w:szCs w:val="22"/>
                <w:lang w:val="pl-PL"/>
              </w:rPr>
              <w:t xml:space="preserve"> przeżyci</w:t>
            </w:r>
            <w:r w:rsidR="006A43C2" w:rsidRPr="0015541C">
              <w:rPr>
                <w:bCs/>
                <w:sz w:val="22"/>
                <w:szCs w:val="22"/>
                <w:lang w:val="pl-PL"/>
              </w:rPr>
              <w:t>a</w:t>
            </w:r>
          </w:p>
        </w:tc>
      </w:tr>
      <w:tr w:rsidR="00713846" w:rsidRPr="0015541C" w14:paraId="21090C3E" w14:textId="77777777" w:rsidTr="001535A2">
        <w:trPr>
          <w:cantSplit/>
          <w:jc w:val="center"/>
        </w:trPr>
        <w:tc>
          <w:tcPr>
            <w:tcW w:w="2593" w:type="pct"/>
            <w:tcBorders>
              <w:top w:val="single" w:sz="4" w:space="0" w:color="auto"/>
              <w:left w:val="single" w:sz="8" w:space="0" w:color="auto"/>
              <w:bottom w:val="single" w:sz="4" w:space="0" w:color="auto"/>
              <w:right w:val="single" w:sz="8" w:space="0" w:color="auto"/>
            </w:tcBorders>
          </w:tcPr>
          <w:p w14:paraId="2E455303" w14:textId="77777777" w:rsidR="00994050" w:rsidRPr="0015541C" w:rsidRDefault="00994050" w:rsidP="00EE5D63">
            <w:pPr>
              <w:pStyle w:val="TableCellLeft"/>
              <w:keepNext w:val="0"/>
              <w:keepLines w:val="0"/>
              <w:ind w:left="360"/>
              <w:rPr>
                <w:sz w:val="22"/>
                <w:szCs w:val="22"/>
                <w:lang w:val="pl-PL"/>
              </w:rPr>
            </w:pPr>
            <w:r w:rsidRPr="0015541C">
              <w:rPr>
                <w:sz w:val="22"/>
                <w:szCs w:val="22"/>
                <w:lang w:val="pl-PL"/>
              </w:rPr>
              <w:t>Mediana (miesiące)</w:t>
            </w:r>
          </w:p>
        </w:tc>
        <w:tc>
          <w:tcPr>
            <w:tcW w:w="1171" w:type="pct"/>
            <w:tcBorders>
              <w:top w:val="single" w:sz="4" w:space="0" w:color="auto"/>
              <w:left w:val="single" w:sz="8" w:space="0" w:color="auto"/>
              <w:bottom w:val="single" w:sz="4" w:space="0" w:color="auto"/>
              <w:right w:val="single" w:sz="4" w:space="0" w:color="auto"/>
            </w:tcBorders>
          </w:tcPr>
          <w:p w14:paraId="348E7188" w14:textId="77777777" w:rsidR="00994050" w:rsidRPr="0015541C" w:rsidRDefault="00994050" w:rsidP="00EE5D63">
            <w:pPr>
              <w:pStyle w:val="TableCellCenter"/>
              <w:keepNext w:val="0"/>
              <w:keepLines w:val="0"/>
              <w:rPr>
                <w:sz w:val="22"/>
                <w:szCs w:val="22"/>
                <w:lang w:val="pl-PL"/>
              </w:rPr>
            </w:pPr>
            <w:r w:rsidRPr="00260CEC">
              <w:rPr>
                <w:sz w:val="22"/>
                <w:szCs w:val="22"/>
                <w:lang w:val="pl-PL"/>
              </w:rPr>
              <w:t>10,8</w:t>
            </w:r>
          </w:p>
        </w:tc>
        <w:tc>
          <w:tcPr>
            <w:tcW w:w="1236" w:type="pct"/>
            <w:tcBorders>
              <w:top w:val="single" w:sz="4" w:space="0" w:color="auto"/>
              <w:left w:val="single" w:sz="4" w:space="0" w:color="auto"/>
              <w:bottom w:val="single" w:sz="4" w:space="0" w:color="auto"/>
              <w:right w:val="single" w:sz="8" w:space="0" w:color="auto"/>
            </w:tcBorders>
          </w:tcPr>
          <w:p w14:paraId="57A64745" w14:textId="77777777" w:rsidR="00994050" w:rsidRPr="0015541C" w:rsidRDefault="00994050" w:rsidP="00EE5D63">
            <w:pPr>
              <w:pStyle w:val="TableCellCenter"/>
              <w:keepNext w:val="0"/>
              <w:keepLines w:val="0"/>
              <w:rPr>
                <w:sz w:val="22"/>
                <w:szCs w:val="22"/>
                <w:lang w:val="pl-PL"/>
              </w:rPr>
            </w:pPr>
            <w:r w:rsidRPr="0015541C">
              <w:rPr>
                <w:sz w:val="22"/>
                <w:szCs w:val="22"/>
                <w:lang w:val="pl-PL"/>
              </w:rPr>
              <w:t>13,0</w:t>
            </w:r>
          </w:p>
        </w:tc>
      </w:tr>
      <w:tr w:rsidR="00713846" w:rsidRPr="0015541C" w14:paraId="0BFE956B" w14:textId="77777777" w:rsidTr="001535A2">
        <w:trPr>
          <w:cantSplit/>
          <w:jc w:val="center"/>
        </w:trPr>
        <w:tc>
          <w:tcPr>
            <w:tcW w:w="2593" w:type="pct"/>
            <w:tcBorders>
              <w:top w:val="single" w:sz="4" w:space="0" w:color="auto"/>
              <w:left w:val="single" w:sz="8" w:space="0" w:color="auto"/>
              <w:bottom w:val="single" w:sz="4" w:space="0" w:color="auto"/>
              <w:right w:val="single" w:sz="8" w:space="0" w:color="auto"/>
            </w:tcBorders>
          </w:tcPr>
          <w:p w14:paraId="732768C2" w14:textId="77777777" w:rsidR="00994050" w:rsidRPr="00260CEC" w:rsidRDefault="00994050" w:rsidP="00525C4E">
            <w:pPr>
              <w:pStyle w:val="TableCellLeft"/>
              <w:ind w:left="360"/>
              <w:rPr>
                <w:sz w:val="22"/>
                <w:szCs w:val="22"/>
                <w:lang w:val="pl-PL"/>
              </w:rPr>
            </w:pPr>
            <w:r w:rsidRPr="0015541C">
              <w:rPr>
                <w:sz w:val="22"/>
                <w:szCs w:val="22"/>
                <w:lang w:val="pl-PL"/>
              </w:rPr>
              <w:t>95%</w:t>
            </w:r>
            <w:r w:rsidRPr="0015541C">
              <w:rPr>
                <w:sz w:val="18"/>
                <w:szCs w:val="18"/>
                <w:lang w:val="pl-PL"/>
              </w:rPr>
              <w:t xml:space="preserve"> </w:t>
            </w:r>
            <w:r w:rsidR="00525C4E" w:rsidRPr="0015541C">
              <w:rPr>
                <w:sz w:val="22"/>
                <w:szCs w:val="22"/>
                <w:lang w:val="pl-PL"/>
              </w:rPr>
              <w:t>CI</w:t>
            </w:r>
          </w:p>
        </w:tc>
        <w:tc>
          <w:tcPr>
            <w:tcW w:w="1171" w:type="pct"/>
            <w:tcBorders>
              <w:top w:val="single" w:sz="4" w:space="0" w:color="auto"/>
              <w:left w:val="single" w:sz="8" w:space="0" w:color="auto"/>
              <w:bottom w:val="single" w:sz="4" w:space="0" w:color="auto"/>
              <w:right w:val="single" w:sz="4" w:space="0" w:color="auto"/>
            </w:tcBorders>
          </w:tcPr>
          <w:p w14:paraId="49EACA32" w14:textId="77777777" w:rsidR="00994050" w:rsidRPr="0015541C" w:rsidRDefault="00994050" w:rsidP="00EE5D63">
            <w:pPr>
              <w:pStyle w:val="TableCellCenter"/>
              <w:keepNext w:val="0"/>
              <w:keepLines w:val="0"/>
              <w:rPr>
                <w:sz w:val="22"/>
                <w:szCs w:val="22"/>
                <w:lang w:val="pl-PL"/>
              </w:rPr>
            </w:pPr>
            <w:r w:rsidRPr="0015541C">
              <w:rPr>
                <w:sz w:val="22"/>
                <w:szCs w:val="22"/>
                <w:lang w:val="pl-PL"/>
              </w:rPr>
              <w:t>10,12 – 11,86</w:t>
            </w:r>
          </w:p>
        </w:tc>
        <w:tc>
          <w:tcPr>
            <w:tcW w:w="1236" w:type="pct"/>
            <w:tcBorders>
              <w:top w:val="single" w:sz="4" w:space="0" w:color="auto"/>
              <w:left w:val="single" w:sz="4" w:space="0" w:color="auto"/>
              <w:bottom w:val="single" w:sz="4" w:space="0" w:color="auto"/>
              <w:right w:val="single" w:sz="8" w:space="0" w:color="auto"/>
            </w:tcBorders>
          </w:tcPr>
          <w:p w14:paraId="4F5BB369" w14:textId="77777777" w:rsidR="00994050" w:rsidRPr="0015541C" w:rsidRDefault="00994050" w:rsidP="00EE5D63">
            <w:pPr>
              <w:pStyle w:val="TableCellCenter"/>
              <w:keepNext w:val="0"/>
              <w:keepLines w:val="0"/>
              <w:rPr>
                <w:sz w:val="22"/>
                <w:szCs w:val="22"/>
                <w:lang w:val="pl-PL"/>
              </w:rPr>
            </w:pPr>
            <w:r w:rsidRPr="0015541C">
              <w:rPr>
                <w:sz w:val="22"/>
                <w:szCs w:val="22"/>
                <w:lang w:val="pl-PL"/>
              </w:rPr>
              <w:t>12,09 – 14,03</w:t>
            </w:r>
          </w:p>
        </w:tc>
      </w:tr>
      <w:tr w:rsidR="00994050" w:rsidRPr="0015541C" w14:paraId="7C66E429" w14:textId="77777777" w:rsidTr="00D16D61">
        <w:trPr>
          <w:cantSplit/>
          <w:jc w:val="center"/>
        </w:trPr>
        <w:tc>
          <w:tcPr>
            <w:tcW w:w="2593" w:type="pct"/>
            <w:tcBorders>
              <w:top w:val="single" w:sz="4" w:space="0" w:color="auto"/>
              <w:left w:val="single" w:sz="8" w:space="0" w:color="auto"/>
              <w:bottom w:val="single" w:sz="4" w:space="0" w:color="auto"/>
              <w:right w:val="single" w:sz="8" w:space="0" w:color="auto"/>
            </w:tcBorders>
          </w:tcPr>
          <w:p w14:paraId="40B6EE48" w14:textId="77777777" w:rsidR="00994050" w:rsidRPr="0015541C" w:rsidRDefault="00994050" w:rsidP="00EE5D63">
            <w:pPr>
              <w:pStyle w:val="TableCellLeft"/>
              <w:keepNext w:val="0"/>
              <w:keepLines w:val="0"/>
              <w:ind w:left="360"/>
              <w:rPr>
                <w:sz w:val="22"/>
                <w:szCs w:val="22"/>
                <w:lang w:val="pl-PL"/>
              </w:rPr>
            </w:pPr>
            <w:r w:rsidRPr="0015541C">
              <w:rPr>
                <w:sz w:val="22"/>
                <w:szCs w:val="22"/>
                <w:lang w:val="pl-PL"/>
              </w:rPr>
              <w:t>Współczynnik ryzyka</w:t>
            </w:r>
            <w:r w:rsidRPr="0015541C">
              <w:rPr>
                <w:sz w:val="22"/>
                <w:szCs w:val="22"/>
                <w:vertAlign w:val="superscript"/>
                <w:lang w:val="pl-PL"/>
              </w:rPr>
              <w:t>b</w:t>
            </w:r>
          </w:p>
        </w:tc>
        <w:tc>
          <w:tcPr>
            <w:tcW w:w="2407" w:type="pct"/>
            <w:gridSpan w:val="2"/>
            <w:tcBorders>
              <w:top w:val="single" w:sz="4" w:space="0" w:color="auto"/>
              <w:left w:val="single" w:sz="8" w:space="0" w:color="auto"/>
              <w:bottom w:val="single" w:sz="4" w:space="0" w:color="auto"/>
              <w:right w:val="single" w:sz="8" w:space="0" w:color="auto"/>
            </w:tcBorders>
          </w:tcPr>
          <w:p w14:paraId="44E013C7" w14:textId="77777777" w:rsidR="00994050" w:rsidRPr="0015541C" w:rsidRDefault="00994050" w:rsidP="00EE5D63">
            <w:pPr>
              <w:pStyle w:val="TableCellCenter"/>
              <w:keepNext w:val="0"/>
              <w:keepLines w:val="0"/>
              <w:rPr>
                <w:sz w:val="22"/>
                <w:szCs w:val="22"/>
                <w:lang w:val="pl-PL"/>
              </w:rPr>
            </w:pPr>
            <w:r w:rsidRPr="00260CEC">
              <w:rPr>
                <w:sz w:val="22"/>
                <w:szCs w:val="22"/>
                <w:lang w:val="pl-PL"/>
              </w:rPr>
              <w:t>0,751</w:t>
            </w:r>
          </w:p>
          <w:p w14:paraId="6363880A" w14:textId="77777777" w:rsidR="00994050" w:rsidRPr="0015541C" w:rsidRDefault="00994050" w:rsidP="00EE5D63">
            <w:pPr>
              <w:pStyle w:val="TableCellCenter"/>
              <w:keepNext w:val="0"/>
              <w:keepLines w:val="0"/>
              <w:rPr>
                <w:sz w:val="22"/>
                <w:szCs w:val="22"/>
                <w:lang w:val="pl-PL"/>
              </w:rPr>
            </w:pPr>
            <w:r w:rsidRPr="0015541C">
              <w:rPr>
                <w:sz w:val="22"/>
                <w:szCs w:val="22"/>
                <w:lang w:val="pl-PL"/>
              </w:rPr>
              <w:t>(wartość p = 0,0012)</w:t>
            </w:r>
          </w:p>
        </w:tc>
      </w:tr>
      <w:tr w:rsidR="00994050" w:rsidRPr="0015541C" w14:paraId="06F94D55" w14:textId="77777777" w:rsidTr="00D16D61">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124BF4C1" w14:textId="2D7EC512" w:rsidR="00994050" w:rsidRPr="0015541C" w:rsidRDefault="006A43C2" w:rsidP="00EE5D63">
            <w:pPr>
              <w:pStyle w:val="TableCellCenter"/>
              <w:keepNext w:val="0"/>
              <w:keepLines w:val="0"/>
              <w:jc w:val="left"/>
              <w:rPr>
                <w:sz w:val="22"/>
                <w:szCs w:val="22"/>
                <w:lang w:val="pl-PL"/>
              </w:rPr>
            </w:pPr>
            <w:r w:rsidRPr="0015541C">
              <w:rPr>
                <w:bCs/>
                <w:szCs w:val="22"/>
                <w:lang w:val="pl-PL"/>
              </w:rPr>
              <w:t>Czas przeżycia wolny od progresji choroby</w:t>
            </w:r>
          </w:p>
        </w:tc>
      </w:tr>
      <w:tr w:rsidR="00994050" w:rsidRPr="0015541C" w14:paraId="60139BF1" w14:textId="77777777" w:rsidTr="00D16D61">
        <w:trPr>
          <w:cantSplit/>
          <w:jc w:val="center"/>
        </w:trPr>
        <w:tc>
          <w:tcPr>
            <w:tcW w:w="2593" w:type="pct"/>
            <w:tcBorders>
              <w:top w:val="single" w:sz="4" w:space="0" w:color="auto"/>
              <w:left w:val="single" w:sz="4" w:space="0" w:color="auto"/>
              <w:bottom w:val="single" w:sz="4" w:space="0" w:color="auto"/>
              <w:right w:val="single" w:sz="4" w:space="0" w:color="auto"/>
            </w:tcBorders>
          </w:tcPr>
          <w:p w14:paraId="251878B8" w14:textId="77777777" w:rsidR="00994050" w:rsidRPr="0015541C" w:rsidRDefault="00994050" w:rsidP="00EE5D63">
            <w:pPr>
              <w:pStyle w:val="TableCellLeft"/>
              <w:keepNext w:val="0"/>
              <w:keepLines w:val="0"/>
              <w:ind w:left="360"/>
              <w:rPr>
                <w:sz w:val="22"/>
                <w:szCs w:val="22"/>
                <w:lang w:val="pl-PL"/>
              </w:rPr>
            </w:pPr>
            <w:r w:rsidRPr="0015541C">
              <w:rPr>
                <w:sz w:val="22"/>
                <w:szCs w:val="22"/>
                <w:lang w:val="pl-PL"/>
              </w:rPr>
              <w:t>Mediana (miesiące)</w:t>
            </w:r>
          </w:p>
        </w:tc>
        <w:tc>
          <w:tcPr>
            <w:tcW w:w="1171" w:type="pct"/>
            <w:tcBorders>
              <w:top w:val="single" w:sz="4" w:space="0" w:color="auto"/>
              <w:left w:val="single" w:sz="4" w:space="0" w:color="auto"/>
              <w:bottom w:val="single" w:sz="4" w:space="0" w:color="auto"/>
              <w:right w:val="single" w:sz="4" w:space="0" w:color="auto"/>
            </w:tcBorders>
          </w:tcPr>
          <w:p w14:paraId="36DBDF38" w14:textId="77777777" w:rsidR="00994050" w:rsidRPr="0015541C" w:rsidRDefault="00994050" w:rsidP="00EE5D63">
            <w:pPr>
              <w:pStyle w:val="TableCellCenter"/>
              <w:keepNext w:val="0"/>
              <w:keepLines w:val="0"/>
              <w:rPr>
                <w:sz w:val="22"/>
                <w:szCs w:val="22"/>
                <w:lang w:val="pl-PL"/>
              </w:rPr>
            </w:pPr>
            <w:r w:rsidRPr="00260CEC">
              <w:rPr>
                <w:sz w:val="22"/>
                <w:szCs w:val="22"/>
                <w:lang w:val="pl-PL"/>
              </w:rPr>
              <w:t>4,5</w:t>
            </w:r>
          </w:p>
        </w:tc>
        <w:tc>
          <w:tcPr>
            <w:tcW w:w="1236" w:type="pct"/>
            <w:tcBorders>
              <w:top w:val="single" w:sz="4" w:space="0" w:color="auto"/>
              <w:left w:val="single" w:sz="4" w:space="0" w:color="auto"/>
              <w:bottom w:val="single" w:sz="4" w:space="0" w:color="auto"/>
              <w:right w:val="single" w:sz="4" w:space="0" w:color="auto"/>
            </w:tcBorders>
          </w:tcPr>
          <w:p w14:paraId="2C0F3FE9" w14:textId="77777777" w:rsidR="00994050" w:rsidRPr="0015541C" w:rsidRDefault="00994050" w:rsidP="00EE5D63">
            <w:pPr>
              <w:pStyle w:val="TableCellCenter"/>
              <w:keepNext w:val="0"/>
              <w:keepLines w:val="0"/>
              <w:rPr>
                <w:sz w:val="22"/>
                <w:szCs w:val="22"/>
                <w:lang w:val="pl-PL"/>
              </w:rPr>
            </w:pPr>
            <w:r w:rsidRPr="0015541C">
              <w:rPr>
                <w:sz w:val="22"/>
                <w:szCs w:val="22"/>
                <w:lang w:val="pl-PL"/>
              </w:rPr>
              <w:t>7,5</w:t>
            </w:r>
          </w:p>
        </w:tc>
      </w:tr>
      <w:tr w:rsidR="00994050" w:rsidRPr="0015541C" w14:paraId="49843FFA" w14:textId="77777777" w:rsidTr="00D16D61">
        <w:trPr>
          <w:cantSplit/>
          <w:jc w:val="center"/>
        </w:trPr>
        <w:tc>
          <w:tcPr>
            <w:tcW w:w="2593" w:type="pct"/>
            <w:tcBorders>
              <w:top w:val="single" w:sz="4" w:space="0" w:color="auto"/>
              <w:left w:val="single" w:sz="4" w:space="0" w:color="auto"/>
              <w:bottom w:val="single" w:sz="4" w:space="0" w:color="auto"/>
              <w:right w:val="single" w:sz="4" w:space="0" w:color="auto"/>
            </w:tcBorders>
          </w:tcPr>
          <w:p w14:paraId="6B5265A2" w14:textId="77777777" w:rsidR="00994050" w:rsidRPr="0015541C" w:rsidRDefault="00994050" w:rsidP="00EE5D63">
            <w:pPr>
              <w:pStyle w:val="TableCellLeft"/>
              <w:keepNext w:val="0"/>
              <w:keepLines w:val="0"/>
              <w:ind w:left="360"/>
              <w:rPr>
                <w:sz w:val="22"/>
                <w:szCs w:val="22"/>
                <w:lang w:val="pl-PL"/>
              </w:rPr>
            </w:pPr>
            <w:r w:rsidRPr="0015541C">
              <w:rPr>
                <w:sz w:val="22"/>
                <w:szCs w:val="22"/>
                <w:lang w:val="pl-PL"/>
              </w:rPr>
              <w:t>Współczynnik ryzyka</w:t>
            </w:r>
          </w:p>
        </w:tc>
        <w:tc>
          <w:tcPr>
            <w:tcW w:w="2407" w:type="pct"/>
            <w:gridSpan w:val="2"/>
            <w:tcBorders>
              <w:top w:val="single" w:sz="4" w:space="0" w:color="auto"/>
              <w:left w:val="single" w:sz="4" w:space="0" w:color="auto"/>
              <w:bottom w:val="single" w:sz="4" w:space="0" w:color="auto"/>
              <w:right w:val="single" w:sz="4" w:space="0" w:color="auto"/>
            </w:tcBorders>
          </w:tcPr>
          <w:p w14:paraId="5311E612" w14:textId="77777777" w:rsidR="00994050" w:rsidRPr="0015541C" w:rsidRDefault="00994050" w:rsidP="00EE5D63">
            <w:pPr>
              <w:pStyle w:val="TableCellCenter"/>
              <w:keepNext w:val="0"/>
              <w:keepLines w:val="0"/>
              <w:rPr>
                <w:sz w:val="22"/>
                <w:szCs w:val="22"/>
                <w:lang w:val="pl-PL"/>
              </w:rPr>
            </w:pPr>
            <w:r w:rsidRPr="00260CEC">
              <w:rPr>
                <w:sz w:val="22"/>
                <w:szCs w:val="22"/>
                <w:lang w:val="pl-PL"/>
              </w:rPr>
              <w:t>0,518</w:t>
            </w:r>
          </w:p>
          <w:p w14:paraId="70B421DE" w14:textId="77777777" w:rsidR="00994050" w:rsidRPr="0015541C" w:rsidRDefault="00994050" w:rsidP="00EE5D63">
            <w:pPr>
              <w:pStyle w:val="TableCellCenter"/>
              <w:keepNext w:val="0"/>
              <w:keepLines w:val="0"/>
              <w:rPr>
                <w:sz w:val="22"/>
                <w:szCs w:val="22"/>
                <w:lang w:val="pl-PL"/>
              </w:rPr>
            </w:pPr>
            <w:r w:rsidRPr="0015541C">
              <w:rPr>
                <w:sz w:val="22"/>
                <w:szCs w:val="22"/>
                <w:lang w:val="pl-PL"/>
              </w:rPr>
              <w:t xml:space="preserve">(wartość p </w:t>
            </w:r>
            <w:r w:rsidRPr="0015541C">
              <w:rPr>
                <w:rFonts w:ascii="Symbol" w:hAnsi="Symbol"/>
                <w:sz w:val="22"/>
                <w:szCs w:val="22"/>
                <w:lang w:val="pl-PL"/>
              </w:rPr>
              <w:t></w:t>
            </w:r>
            <w:r w:rsidRPr="0015541C">
              <w:rPr>
                <w:sz w:val="22"/>
                <w:szCs w:val="22"/>
                <w:lang w:val="pl-PL"/>
              </w:rPr>
              <w:t> 0,0001)</w:t>
            </w:r>
          </w:p>
        </w:tc>
      </w:tr>
      <w:tr w:rsidR="00994050" w:rsidRPr="0015541C" w14:paraId="52159B83" w14:textId="77777777" w:rsidTr="00D16D61">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71973D3F" w14:textId="77777777" w:rsidR="00994050" w:rsidRPr="0015541C" w:rsidRDefault="00994050" w:rsidP="00EE5D63">
            <w:pPr>
              <w:pStyle w:val="TableCellCenter"/>
              <w:keepNext w:val="0"/>
              <w:keepLines w:val="0"/>
              <w:jc w:val="left"/>
              <w:rPr>
                <w:sz w:val="22"/>
                <w:szCs w:val="22"/>
                <w:lang w:val="pl-PL"/>
              </w:rPr>
            </w:pPr>
            <w:r w:rsidRPr="0015541C">
              <w:rPr>
                <w:bCs/>
                <w:sz w:val="22"/>
                <w:szCs w:val="22"/>
                <w:lang w:val="pl-PL"/>
              </w:rPr>
              <w:t>Odsetek obiektywnych odpowiedzi na leczenie</w:t>
            </w:r>
          </w:p>
        </w:tc>
      </w:tr>
      <w:tr w:rsidR="00994050" w:rsidRPr="0015541C" w14:paraId="4FDEF8E4" w14:textId="77777777" w:rsidTr="00D16D61">
        <w:trPr>
          <w:cantSplit/>
          <w:jc w:val="center"/>
        </w:trPr>
        <w:tc>
          <w:tcPr>
            <w:tcW w:w="2593" w:type="pct"/>
            <w:tcBorders>
              <w:top w:val="single" w:sz="4" w:space="0" w:color="auto"/>
              <w:left w:val="single" w:sz="4" w:space="0" w:color="auto"/>
              <w:bottom w:val="single" w:sz="4" w:space="0" w:color="auto"/>
              <w:right w:val="single" w:sz="4" w:space="0" w:color="auto"/>
            </w:tcBorders>
          </w:tcPr>
          <w:p w14:paraId="21FBD3B9" w14:textId="77777777" w:rsidR="00994050" w:rsidRPr="0015541C" w:rsidRDefault="00994050" w:rsidP="00622BEF">
            <w:pPr>
              <w:pStyle w:val="TableCellLeft"/>
              <w:ind w:left="360"/>
              <w:rPr>
                <w:sz w:val="22"/>
                <w:szCs w:val="22"/>
                <w:lang w:val="pl-PL"/>
              </w:rPr>
            </w:pPr>
            <w:r w:rsidRPr="0015541C">
              <w:rPr>
                <w:sz w:val="22"/>
                <w:szCs w:val="22"/>
                <w:lang w:val="pl-PL"/>
              </w:rPr>
              <w:t>Odsetek</w:t>
            </w:r>
          </w:p>
        </w:tc>
        <w:tc>
          <w:tcPr>
            <w:tcW w:w="1171" w:type="pct"/>
            <w:tcBorders>
              <w:top w:val="single" w:sz="4" w:space="0" w:color="auto"/>
              <w:left w:val="single" w:sz="4" w:space="0" w:color="auto"/>
              <w:bottom w:val="single" w:sz="4" w:space="0" w:color="auto"/>
              <w:right w:val="single" w:sz="4" w:space="0" w:color="auto"/>
            </w:tcBorders>
          </w:tcPr>
          <w:p w14:paraId="54F61F98" w14:textId="77777777" w:rsidR="00994050" w:rsidRPr="0015541C" w:rsidRDefault="00994050" w:rsidP="00622BEF">
            <w:pPr>
              <w:pStyle w:val="TableCellCenter"/>
              <w:rPr>
                <w:sz w:val="22"/>
                <w:szCs w:val="22"/>
                <w:lang w:val="pl-PL"/>
              </w:rPr>
            </w:pPr>
            <w:r w:rsidRPr="00260CEC">
              <w:rPr>
                <w:sz w:val="22"/>
                <w:szCs w:val="22"/>
                <w:lang w:val="pl-PL"/>
              </w:rPr>
              <w:t>8,6%</w:t>
            </w:r>
          </w:p>
        </w:tc>
        <w:tc>
          <w:tcPr>
            <w:tcW w:w="1236" w:type="pct"/>
            <w:tcBorders>
              <w:top w:val="single" w:sz="4" w:space="0" w:color="auto"/>
              <w:left w:val="single" w:sz="4" w:space="0" w:color="auto"/>
              <w:bottom w:val="single" w:sz="4" w:space="0" w:color="auto"/>
              <w:right w:val="single" w:sz="4" w:space="0" w:color="auto"/>
            </w:tcBorders>
          </w:tcPr>
          <w:p w14:paraId="0126FDB0" w14:textId="77777777" w:rsidR="00994050" w:rsidRPr="0015541C" w:rsidRDefault="00994050" w:rsidP="00622BEF">
            <w:pPr>
              <w:pStyle w:val="TableCellCenter"/>
              <w:rPr>
                <w:sz w:val="22"/>
                <w:szCs w:val="22"/>
                <w:lang w:val="pl-PL"/>
              </w:rPr>
            </w:pPr>
            <w:r w:rsidRPr="0015541C">
              <w:rPr>
                <w:sz w:val="22"/>
                <w:szCs w:val="22"/>
                <w:lang w:val="pl-PL"/>
              </w:rPr>
              <w:t>22,2%</w:t>
            </w:r>
          </w:p>
        </w:tc>
      </w:tr>
      <w:tr w:rsidR="00994050" w:rsidRPr="0015541C" w14:paraId="04CE0C5C" w14:textId="77777777" w:rsidTr="00D16D61">
        <w:trPr>
          <w:cantSplit/>
          <w:jc w:val="center"/>
        </w:trPr>
        <w:tc>
          <w:tcPr>
            <w:tcW w:w="2593" w:type="pct"/>
            <w:tcBorders>
              <w:top w:val="single" w:sz="4" w:space="0" w:color="auto"/>
              <w:left w:val="single" w:sz="4" w:space="0" w:color="auto"/>
              <w:bottom w:val="single" w:sz="4" w:space="0" w:color="auto"/>
              <w:right w:val="single" w:sz="4" w:space="0" w:color="auto"/>
            </w:tcBorders>
          </w:tcPr>
          <w:p w14:paraId="37FF2643" w14:textId="77777777" w:rsidR="00994050" w:rsidRPr="0015541C" w:rsidRDefault="00994050" w:rsidP="00EE5D63">
            <w:pPr>
              <w:pStyle w:val="TableCellLeft"/>
              <w:keepNext w:val="0"/>
              <w:keepLines w:val="0"/>
              <w:ind w:left="360"/>
              <w:rPr>
                <w:sz w:val="22"/>
                <w:szCs w:val="22"/>
                <w:lang w:val="pl-PL"/>
              </w:rPr>
            </w:pPr>
          </w:p>
        </w:tc>
        <w:tc>
          <w:tcPr>
            <w:tcW w:w="2407" w:type="pct"/>
            <w:gridSpan w:val="2"/>
            <w:tcBorders>
              <w:top w:val="single" w:sz="4" w:space="0" w:color="auto"/>
              <w:left w:val="single" w:sz="4" w:space="0" w:color="auto"/>
              <w:bottom w:val="single" w:sz="4" w:space="0" w:color="auto"/>
              <w:right w:val="single" w:sz="4" w:space="0" w:color="auto"/>
            </w:tcBorders>
          </w:tcPr>
          <w:p w14:paraId="526B98B4" w14:textId="77777777" w:rsidR="00994050" w:rsidRPr="0015541C" w:rsidRDefault="00994050" w:rsidP="00EE5D63">
            <w:pPr>
              <w:pStyle w:val="TableCellCenter"/>
              <w:keepNext w:val="0"/>
              <w:keepLines w:val="0"/>
              <w:rPr>
                <w:sz w:val="22"/>
                <w:szCs w:val="22"/>
                <w:lang w:val="pl-PL"/>
              </w:rPr>
            </w:pPr>
            <w:r w:rsidRPr="0015541C">
              <w:rPr>
                <w:sz w:val="22"/>
                <w:szCs w:val="22"/>
                <w:lang w:val="pl-PL"/>
              </w:rPr>
              <w:t xml:space="preserve">(wartość p </w:t>
            </w:r>
            <w:r w:rsidRPr="0015541C">
              <w:rPr>
                <w:rFonts w:ascii="Symbol" w:hAnsi="Symbol"/>
                <w:sz w:val="22"/>
                <w:szCs w:val="22"/>
                <w:lang w:val="pl-PL"/>
              </w:rPr>
              <w:t></w:t>
            </w:r>
            <w:r w:rsidRPr="00260CEC">
              <w:rPr>
                <w:sz w:val="22"/>
                <w:szCs w:val="22"/>
                <w:lang w:val="pl-PL"/>
              </w:rPr>
              <w:t> 0</w:t>
            </w:r>
            <w:r w:rsidR="00F21625" w:rsidRPr="0015541C">
              <w:rPr>
                <w:sz w:val="22"/>
                <w:szCs w:val="22"/>
                <w:lang w:val="pl-PL"/>
              </w:rPr>
              <w:t>,</w:t>
            </w:r>
            <w:r w:rsidRPr="0015541C">
              <w:rPr>
                <w:sz w:val="22"/>
                <w:szCs w:val="22"/>
                <w:lang w:val="pl-PL"/>
              </w:rPr>
              <w:t>0001)</w:t>
            </w:r>
          </w:p>
        </w:tc>
      </w:tr>
      <w:tr w:rsidR="00994050" w:rsidRPr="0015541C" w14:paraId="1E133ECC" w14:textId="77777777" w:rsidTr="00D16D61">
        <w:trPr>
          <w:cantSplit/>
          <w:jc w:val="center"/>
        </w:trPr>
        <w:tc>
          <w:tcPr>
            <w:tcW w:w="5000" w:type="pct"/>
            <w:gridSpan w:val="3"/>
            <w:tcBorders>
              <w:top w:val="single" w:sz="4" w:space="0" w:color="auto"/>
            </w:tcBorders>
          </w:tcPr>
          <w:p w14:paraId="6FBCC62A" w14:textId="59C34B27" w:rsidR="00994050" w:rsidRPr="0015541C" w:rsidRDefault="00994050" w:rsidP="00EE5D63">
            <w:pPr>
              <w:pStyle w:val="TableFooter"/>
              <w:keepNext w:val="0"/>
              <w:keepLines w:val="0"/>
              <w:tabs>
                <w:tab w:val="left" w:pos="1440"/>
              </w:tabs>
              <w:spacing w:before="40" w:after="40" w:line="240" w:lineRule="auto"/>
              <w:ind w:left="1440" w:hanging="1440"/>
              <w:rPr>
                <w:lang w:val="pl-PL"/>
              </w:rPr>
            </w:pPr>
            <w:r w:rsidRPr="0015541C">
              <w:rPr>
                <w:vertAlign w:val="superscript"/>
                <w:lang w:val="pl-PL"/>
              </w:rPr>
              <w:t>a</w:t>
            </w:r>
            <w:r w:rsidRPr="0015541C">
              <w:rPr>
                <w:lang w:val="pl-PL"/>
              </w:rPr>
              <w:t xml:space="preserve"> 10</w:t>
            </w:r>
            <w:r w:rsidR="00CD700F" w:rsidRPr="0015541C">
              <w:rPr>
                <w:lang w:val="pl-PL"/>
              </w:rPr>
              <w:t> </w:t>
            </w:r>
            <w:r w:rsidR="006C1132" w:rsidRPr="00260CEC">
              <w:rPr>
                <w:lang w:val="pl-PL"/>
              </w:rPr>
              <w:t>mg/kg mc.</w:t>
            </w:r>
            <w:r w:rsidRPr="0015541C">
              <w:rPr>
                <w:lang w:val="pl-PL"/>
              </w:rPr>
              <w:t xml:space="preserve"> co 2 tygodnie</w:t>
            </w:r>
          </w:p>
          <w:p w14:paraId="380B218F" w14:textId="77777777" w:rsidR="00994050" w:rsidRPr="0015541C" w:rsidRDefault="00994050" w:rsidP="00EE5D63">
            <w:pPr>
              <w:pStyle w:val="TableFooter"/>
              <w:keepNext w:val="0"/>
              <w:keepLines w:val="0"/>
              <w:tabs>
                <w:tab w:val="left" w:pos="1440"/>
              </w:tabs>
              <w:spacing w:before="40" w:after="40" w:line="240" w:lineRule="auto"/>
              <w:ind w:left="1440" w:hanging="1440"/>
              <w:rPr>
                <w:lang w:val="pl-PL"/>
              </w:rPr>
            </w:pPr>
            <w:r w:rsidRPr="0015541C">
              <w:rPr>
                <w:vertAlign w:val="superscript"/>
                <w:lang w:val="pl-PL"/>
              </w:rPr>
              <w:t>b</w:t>
            </w:r>
            <w:r w:rsidRPr="0015541C">
              <w:rPr>
                <w:lang w:val="pl-PL"/>
              </w:rPr>
              <w:t xml:space="preserve"> w porównaniu do grupy kontrolnej</w:t>
            </w:r>
          </w:p>
        </w:tc>
      </w:tr>
    </w:tbl>
    <w:p w14:paraId="635CD566" w14:textId="77777777" w:rsidR="00994050" w:rsidRPr="0015541C" w:rsidRDefault="00994050" w:rsidP="00EE5D63">
      <w:pPr>
        <w:rPr>
          <w:lang w:val="pl-PL"/>
        </w:rPr>
      </w:pPr>
    </w:p>
    <w:p w14:paraId="7B739A38" w14:textId="090A2958" w:rsidR="00994050" w:rsidRPr="0015541C" w:rsidRDefault="00994050" w:rsidP="00EE5D63">
      <w:pPr>
        <w:rPr>
          <w:sz w:val="20"/>
          <w:lang w:val="pl-PL"/>
        </w:rPr>
      </w:pPr>
      <w:r w:rsidRPr="0015541C">
        <w:rPr>
          <w:lang w:val="pl-PL"/>
        </w:rPr>
        <w:t xml:space="preserve">Nie zaobserwowano istotnej różnicy w zakresie </w:t>
      </w:r>
      <w:r w:rsidR="006A43C2" w:rsidRPr="0015541C">
        <w:rPr>
          <w:lang w:val="pl-PL"/>
        </w:rPr>
        <w:t>OS</w:t>
      </w:r>
      <w:r w:rsidRPr="00260CEC">
        <w:rPr>
          <w:lang w:val="pl-PL"/>
        </w:rPr>
        <w:t xml:space="preserve"> pacjentów otrzymujących </w:t>
      </w:r>
      <w:r w:rsidR="00B03F3B" w:rsidRPr="0015541C">
        <w:rPr>
          <w:lang w:val="pl-PL"/>
        </w:rPr>
        <w:t>bewacyzumab</w:t>
      </w:r>
      <w:r w:rsidRPr="0015541C">
        <w:rPr>
          <w:lang w:val="pl-PL"/>
        </w:rPr>
        <w:t xml:space="preserve"> w monoterapii oraz pacjentów leczonych w schemacie FOLFOX-4. </w:t>
      </w:r>
      <w:r w:rsidR="006A43C2" w:rsidRPr="0015541C">
        <w:rPr>
          <w:lang w:val="pl-PL"/>
        </w:rPr>
        <w:t>PFS</w:t>
      </w:r>
      <w:r w:rsidRPr="0015541C">
        <w:rPr>
          <w:lang w:val="pl-PL"/>
        </w:rPr>
        <w:t xml:space="preserve"> oraz odsetek obiektywnych odpowiedzi były mniejsze w ramieniu monoterapii </w:t>
      </w:r>
      <w:r w:rsidR="00B03F3B" w:rsidRPr="0015541C">
        <w:rPr>
          <w:lang w:val="pl-PL"/>
        </w:rPr>
        <w:t>bewacyzumab</w:t>
      </w:r>
      <w:r w:rsidRPr="0015541C">
        <w:rPr>
          <w:lang w:val="pl-PL"/>
        </w:rPr>
        <w:t xml:space="preserve">em niż w ramieniu terapii FOLFOX-4. </w:t>
      </w:r>
    </w:p>
    <w:p w14:paraId="1CF05354" w14:textId="77777777" w:rsidR="00465F34" w:rsidRPr="0015541C" w:rsidRDefault="00465F34" w:rsidP="00465F34">
      <w:pPr>
        <w:rPr>
          <w:i/>
          <w:lang w:val="pl-PL"/>
        </w:rPr>
      </w:pPr>
    </w:p>
    <w:p w14:paraId="4AB97018" w14:textId="77777777" w:rsidR="00465F34" w:rsidRPr="0015541C" w:rsidRDefault="00465F34" w:rsidP="00465F34">
      <w:pPr>
        <w:rPr>
          <w:i/>
          <w:lang w:val="pl-PL"/>
        </w:rPr>
      </w:pPr>
      <w:r w:rsidRPr="0015541C">
        <w:rPr>
          <w:i/>
          <w:lang w:val="pl-PL"/>
        </w:rPr>
        <w:t xml:space="preserve">ML18147 </w:t>
      </w:r>
    </w:p>
    <w:p w14:paraId="470E137F" w14:textId="21453DE1" w:rsidR="00465F34" w:rsidRPr="0015541C" w:rsidRDefault="00465F34" w:rsidP="00465F34">
      <w:pPr>
        <w:rPr>
          <w:szCs w:val="22"/>
          <w:lang w:val="pl-PL"/>
        </w:rPr>
      </w:pPr>
      <w:r w:rsidRPr="0015541C">
        <w:rPr>
          <w:szCs w:val="22"/>
          <w:lang w:val="pl-PL"/>
        </w:rPr>
        <w:t xml:space="preserve">Było to otwarte randomizowane, kontrolowane badanie III fazy </w:t>
      </w:r>
      <w:r w:rsidRPr="0015541C">
        <w:rPr>
          <w:lang w:val="pl-PL"/>
        </w:rPr>
        <w:t xml:space="preserve">dotyczące stosowania </w:t>
      </w:r>
      <w:r w:rsidR="005E0FEC" w:rsidRPr="0015541C">
        <w:rPr>
          <w:lang w:val="pl-PL"/>
        </w:rPr>
        <w:t>bewacyzumab</w:t>
      </w:r>
      <w:r w:rsidRPr="0015541C">
        <w:rPr>
          <w:lang w:val="pl-PL"/>
        </w:rPr>
        <w:t xml:space="preserve">u w dawce </w:t>
      </w:r>
      <w:r w:rsidRPr="0015541C">
        <w:rPr>
          <w:szCs w:val="22"/>
          <w:lang w:val="pl-PL"/>
        </w:rPr>
        <w:t>5,0</w:t>
      </w:r>
      <w:r w:rsidR="00685C01" w:rsidRPr="0015541C">
        <w:rPr>
          <w:szCs w:val="22"/>
          <w:lang w:val="pl-PL"/>
        </w:rPr>
        <w:t> </w:t>
      </w:r>
      <w:r w:rsidR="006C1132" w:rsidRPr="0015541C">
        <w:rPr>
          <w:szCs w:val="22"/>
          <w:lang w:val="pl-PL"/>
        </w:rPr>
        <w:t>mg/kg mc.</w:t>
      </w:r>
      <w:r w:rsidRPr="0015541C">
        <w:rPr>
          <w:szCs w:val="22"/>
          <w:lang w:val="pl-PL"/>
        </w:rPr>
        <w:t xml:space="preserve"> co 2 tygodnie lub 7,5</w:t>
      </w:r>
      <w:r w:rsidR="00685C01" w:rsidRPr="0015541C">
        <w:rPr>
          <w:szCs w:val="22"/>
          <w:lang w:val="pl-PL"/>
        </w:rPr>
        <w:t> </w:t>
      </w:r>
      <w:r w:rsidR="006C1132" w:rsidRPr="0015541C">
        <w:rPr>
          <w:szCs w:val="22"/>
          <w:lang w:val="pl-PL"/>
        </w:rPr>
        <w:t>mg/kg mc.</w:t>
      </w:r>
      <w:r w:rsidRPr="0015541C">
        <w:rPr>
          <w:szCs w:val="22"/>
          <w:lang w:val="pl-PL"/>
        </w:rPr>
        <w:t xml:space="preserve"> co 3 tygodnie w skojarzeniu z chemioterapią opartą na fluoropirymidynie w porównaniu z samą chemioterapia opartą na fluoropirymidynie u chorych na </w:t>
      </w:r>
      <w:r w:rsidRPr="0015541C">
        <w:rPr>
          <w:lang w:val="pl-PL"/>
        </w:rPr>
        <w:t xml:space="preserve">raka okrężnicy lub odbytnicy z przerzutami, u których po zastosowaniu bewacyzumabu w leczeniu pierwszego rzutu wystąpiła </w:t>
      </w:r>
      <w:r w:rsidRPr="0015541C">
        <w:rPr>
          <w:szCs w:val="22"/>
          <w:lang w:val="pl-PL"/>
        </w:rPr>
        <w:t xml:space="preserve">progresja choroby. </w:t>
      </w:r>
    </w:p>
    <w:p w14:paraId="020ED39F" w14:textId="77777777" w:rsidR="00BE61A6" w:rsidRPr="0015541C" w:rsidRDefault="00BE61A6" w:rsidP="00465F34">
      <w:pPr>
        <w:rPr>
          <w:szCs w:val="22"/>
          <w:lang w:val="pl-PL"/>
        </w:rPr>
      </w:pPr>
    </w:p>
    <w:p w14:paraId="0DD91E22" w14:textId="1B871627" w:rsidR="00465F34" w:rsidRPr="0015541C" w:rsidRDefault="00465F34" w:rsidP="00465F34">
      <w:pPr>
        <w:rPr>
          <w:rFonts w:cs="Arial"/>
          <w:lang w:val="pl-PL"/>
        </w:rPr>
      </w:pPr>
      <w:r w:rsidRPr="0015541C">
        <w:rPr>
          <w:lang w:val="pl-PL"/>
        </w:rPr>
        <w:t xml:space="preserve">Pacjentów z histologicznie potwierdzonym rakiem okrężnicy lub odbytnicy z przerzutami, u których wystąpiła progresja choroby, losowo przydzielono do grupy przyjmującej chemioterapię fluoropirymidyna/oksaliplatyna lub fluoropirymidyna/irynotekan (wybór w zależności od typu chemioterapii stosowanej w pierwszym rzucie), z zastosowaniem bewacyzumabu lub bez niego, </w:t>
      </w:r>
      <w:r w:rsidR="0024164E" w:rsidRPr="0015541C">
        <w:rPr>
          <w:lang w:val="pl-PL"/>
        </w:rPr>
        <w:br/>
      </w:r>
      <w:r w:rsidRPr="0015541C">
        <w:rPr>
          <w:lang w:val="pl-PL"/>
        </w:rPr>
        <w:t xml:space="preserve">w stosunku 1:1 w okresie 3 miesięcy od zakończenia leczenia bewacyzumabem jako lekiem pierwszego rzutu. Leczenie prowadzono aż do wystąpienia progresji lub niedopuszczalnej toksyczności. Pierwszorzędowym punktem końcowym był </w:t>
      </w:r>
      <w:r w:rsidR="006A43C2" w:rsidRPr="0015541C">
        <w:rPr>
          <w:lang w:val="pl-PL"/>
        </w:rPr>
        <w:t>OS</w:t>
      </w:r>
      <w:r w:rsidRPr="0015541C">
        <w:rPr>
          <w:lang w:val="pl-PL"/>
        </w:rPr>
        <w:t xml:space="preserve"> z</w:t>
      </w:r>
      <w:r w:rsidRPr="0015541C">
        <w:rPr>
          <w:rFonts w:cs="Arial"/>
          <w:lang w:val="pl-PL"/>
        </w:rPr>
        <w:t>definiowan</w:t>
      </w:r>
      <w:r w:rsidR="006A43C2" w:rsidRPr="0015541C">
        <w:rPr>
          <w:rFonts w:cs="Arial"/>
          <w:lang w:val="pl-PL"/>
        </w:rPr>
        <w:t>y</w:t>
      </w:r>
      <w:r w:rsidRPr="0015541C">
        <w:rPr>
          <w:rFonts w:cs="Arial"/>
          <w:lang w:val="pl-PL"/>
        </w:rPr>
        <w:t xml:space="preserve"> jako czas od randomizacji do zgonu niezależnie od przyczyny.</w:t>
      </w:r>
    </w:p>
    <w:p w14:paraId="5D65A7A3" w14:textId="77777777" w:rsidR="00BE61A6" w:rsidRPr="0015541C" w:rsidRDefault="00BE61A6" w:rsidP="00465F34">
      <w:pPr>
        <w:rPr>
          <w:lang w:val="pl-PL"/>
        </w:rPr>
      </w:pPr>
    </w:p>
    <w:p w14:paraId="1FDD0C48" w14:textId="77777777" w:rsidR="00465F34" w:rsidRPr="0015541C" w:rsidRDefault="00465F34" w:rsidP="00465F34">
      <w:pPr>
        <w:rPr>
          <w:lang w:val="pl-PL"/>
        </w:rPr>
      </w:pPr>
      <w:r w:rsidRPr="0015541C">
        <w:rPr>
          <w:lang w:val="pl-PL"/>
        </w:rPr>
        <w:t xml:space="preserve">Randomizacji poddano w sumie 820 pacjentów. Dołączenie bewacyzumabu do chemioterapii opartej na fluoropirymidynie spowodowało statystycznie istotne wydłużenie czasu przeżycia u pacjentów </w:t>
      </w:r>
      <w:r w:rsidR="00042C8C" w:rsidRPr="0015541C">
        <w:rPr>
          <w:lang w:val="pl-PL"/>
        </w:rPr>
        <w:br/>
      </w:r>
      <w:r w:rsidRPr="0015541C">
        <w:rPr>
          <w:lang w:val="pl-PL"/>
        </w:rPr>
        <w:t xml:space="preserve">z rakiem okrężnicy lub odbytnicy z przerzutami, u których po zastosowaniu bewacyzumabu jako leku pierwszego rzutu wystąpiła progresja choroby (ITT = 819) (patrz Tabela </w:t>
      </w:r>
      <w:r w:rsidR="008800D7" w:rsidRPr="0015541C">
        <w:rPr>
          <w:lang w:val="pl-PL"/>
        </w:rPr>
        <w:t>9</w:t>
      </w:r>
      <w:r w:rsidRPr="0015541C">
        <w:rPr>
          <w:lang w:val="pl-PL"/>
        </w:rPr>
        <w:t>).</w:t>
      </w:r>
    </w:p>
    <w:p w14:paraId="7E2CE77E" w14:textId="77777777" w:rsidR="00465F34" w:rsidRPr="0015541C" w:rsidRDefault="00465F34" w:rsidP="008D0A59">
      <w:pPr>
        <w:rPr>
          <w:lang w:val="pl-PL"/>
        </w:rPr>
      </w:pPr>
    </w:p>
    <w:p w14:paraId="1BB9B59A" w14:textId="77777777" w:rsidR="00465F34" w:rsidRPr="0015541C" w:rsidRDefault="00465F34" w:rsidP="0088461C">
      <w:pPr>
        <w:keepNext/>
        <w:keepLines/>
        <w:rPr>
          <w:b/>
          <w:lang w:val="pl-PL"/>
        </w:rPr>
      </w:pPr>
      <w:r w:rsidRPr="0015541C">
        <w:rPr>
          <w:b/>
          <w:lang w:val="pl-PL"/>
        </w:rPr>
        <w:lastRenderedPageBreak/>
        <w:t xml:space="preserve">Tabela </w:t>
      </w:r>
      <w:r w:rsidR="008800D7" w:rsidRPr="0015541C">
        <w:rPr>
          <w:b/>
          <w:lang w:val="pl-PL"/>
        </w:rPr>
        <w:t>9.</w:t>
      </w:r>
      <w:r w:rsidRPr="0015541C">
        <w:rPr>
          <w:b/>
          <w:lang w:val="pl-PL"/>
        </w:rPr>
        <w:tab/>
        <w:t>Wyniki badania ML18147 dotyczące skuteczności (populacja ITT)</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3233"/>
        <w:gridCol w:w="3233"/>
      </w:tblGrid>
      <w:tr w:rsidR="00465F34" w:rsidRPr="0015541C" w14:paraId="1C44371D" w14:textId="77777777" w:rsidTr="00465F34">
        <w:tc>
          <w:tcPr>
            <w:tcW w:w="2720" w:type="dxa"/>
            <w:tcBorders>
              <w:top w:val="single" w:sz="4" w:space="0" w:color="auto"/>
            </w:tcBorders>
            <w:shd w:val="clear" w:color="auto" w:fill="auto"/>
            <w:vAlign w:val="center"/>
          </w:tcPr>
          <w:p w14:paraId="3E788CEB" w14:textId="77777777" w:rsidR="00465F34" w:rsidRPr="0015541C" w:rsidRDefault="00465F34" w:rsidP="0088461C">
            <w:pPr>
              <w:pStyle w:val="TextTi12"/>
              <w:keepNext/>
              <w:keepLines/>
              <w:spacing w:after="0"/>
              <w:jc w:val="center"/>
              <w:rPr>
                <w:sz w:val="22"/>
                <w:szCs w:val="22"/>
                <w:lang w:val="pl-PL"/>
              </w:rPr>
            </w:pPr>
          </w:p>
        </w:tc>
        <w:tc>
          <w:tcPr>
            <w:tcW w:w="6566" w:type="dxa"/>
            <w:gridSpan w:val="2"/>
            <w:tcBorders>
              <w:top w:val="single" w:sz="4" w:space="0" w:color="auto"/>
            </w:tcBorders>
            <w:shd w:val="clear" w:color="auto" w:fill="auto"/>
            <w:vAlign w:val="center"/>
          </w:tcPr>
          <w:p w14:paraId="31C2E126" w14:textId="77777777" w:rsidR="00465F34" w:rsidRPr="0070444C" w:rsidRDefault="00465F34" w:rsidP="0088461C">
            <w:pPr>
              <w:pStyle w:val="TextTi12"/>
              <w:keepNext/>
              <w:keepLines/>
              <w:spacing w:after="0"/>
              <w:jc w:val="center"/>
              <w:rPr>
                <w:b/>
                <w:sz w:val="22"/>
                <w:lang w:val="pl-PL"/>
              </w:rPr>
            </w:pPr>
            <w:r w:rsidRPr="0070444C">
              <w:rPr>
                <w:b/>
                <w:sz w:val="22"/>
                <w:lang w:val="pl-PL"/>
              </w:rPr>
              <w:t>ML18147</w:t>
            </w:r>
          </w:p>
        </w:tc>
      </w:tr>
      <w:tr w:rsidR="00465F34" w:rsidRPr="008D11DD" w14:paraId="7D6931E1" w14:textId="77777777" w:rsidTr="00465F34">
        <w:tc>
          <w:tcPr>
            <w:tcW w:w="2720" w:type="dxa"/>
            <w:tcBorders>
              <w:top w:val="single" w:sz="4" w:space="0" w:color="auto"/>
            </w:tcBorders>
            <w:shd w:val="clear" w:color="auto" w:fill="auto"/>
            <w:vAlign w:val="center"/>
          </w:tcPr>
          <w:p w14:paraId="000311E1" w14:textId="77777777" w:rsidR="00465F34" w:rsidRPr="0015541C" w:rsidRDefault="00465F34" w:rsidP="0088461C">
            <w:pPr>
              <w:pStyle w:val="TextTi12"/>
              <w:keepNext/>
              <w:keepLines/>
              <w:spacing w:after="0"/>
              <w:jc w:val="center"/>
              <w:rPr>
                <w:sz w:val="22"/>
                <w:szCs w:val="22"/>
                <w:lang w:val="pl-PL"/>
              </w:rPr>
            </w:pPr>
          </w:p>
        </w:tc>
        <w:tc>
          <w:tcPr>
            <w:tcW w:w="3283" w:type="dxa"/>
            <w:tcBorders>
              <w:top w:val="single" w:sz="4" w:space="0" w:color="auto"/>
            </w:tcBorders>
            <w:shd w:val="clear" w:color="auto" w:fill="auto"/>
            <w:vAlign w:val="center"/>
          </w:tcPr>
          <w:p w14:paraId="10D19D03" w14:textId="77777777" w:rsidR="00465F34" w:rsidRPr="0070444C" w:rsidRDefault="00465F34" w:rsidP="00B7471F">
            <w:pPr>
              <w:keepNext/>
              <w:keepLines/>
              <w:autoSpaceDE w:val="0"/>
              <w:autoSpaceDN w:val="0"/>
              <w:adjustRightInd w:val="0"/>
              <w:jc w:val="center"/>
              <w:rPr>
                <w:b/>
                <w:sz w:val="20"/>
                <w:lang w:val="pl-PL"/>
              </w:rPr>
            </w:pPr>
            <w:r w:rsidRPr="0070444C">
              <w:rPr>
                <w:b/>
                <w:sz w:val="20"/>
                <w:lang w:val="pl-PL"/>
              </w:rPr>
              <w:t>Chemioterapia na bazie fluoropirymidyny/irynotekanu lub</w:t>
            </w:r>
            <w:r w:rsidR="00B7471F" w:rsidRPr="0070444C">
              <w:rPr>
                <w:b/>
                <w:sz w:val="20"/>
                <w:lang w:val="pl-PL"/>
              </w:rPr>
              <w:br/>
            </w:r>
            <w:r w:rsidRPr="0070444C">
              <w:rPr>
                <w:b/>
                <w:sz w:val="20"/>
                <w:lang w:val="pl-PL"/>
              </w:rPr>
              <w:t>fluoropirymidyny/oksaliplatyny</w:t>
            </w:r>
          </w:p>
        </w:tc>
        <w:tc>
          <w:tcPr>
            <w:tcW w:w="3283" w:type="dxa"/>
            <w:tcBorders>
              <w:top w:val="single" w:sz="4" w:space="0" w:color="auto"/>
            </w:tcBorders>
            <w:shd w:val="clear" w:color="auto" w:fill="auto"/>
            <w:vAlign w:val="center"/>
          </w:tcPr>
          <w:p w14:paraId="54813F60" w14:textId="77777777" w:rsidR="00465F34" w:rsidRPr="0070444C" w:rsidRDefault="00465F34" w:rsidP="00B7471F">
            <w:pPr>
              <w:keepNext/>
              <w:keepLines/>
              <w:autoSpaceDE w:val="0"/>
              <w:autoSpaceDN w:val="0"/>
              <w:adjustRightInd w:val="0"/>
              <w:jc w:val="center"/>
              <w:rPr>
                <w:b/>
                <w:sz w:val="20"/>
                <w:lang w:val="pl-PL"/>
              </w:rPr>
            </w:pPr>
            <w:r w:rsidRPr="0070444C">
              <w:rPr>
                <w:b/>
                <w:sz w:val="20"/>
                <w:lang w:val="pl-PL"/>
              </w:rPr>
              <w:t>Chemioterapia na bazie fluoropirymidyny/irynotekanu lub</w:t>
            </w:r>
            <w:r w:rsidR="00B7471F" w:rsidRPr="0070444C">
              <w:rPr>
                <w:b/>
                <w:sz w:val="20"/>
                <w:lang w:val="pl-PL"/>
              </w:rPr>
              <w:br/>
            </w:r>
            <w:r w:rsidRPr="0070444C">
              <w:rPr>
                <w:b/>
                <w:sz w:val="20"/>
                <w:lang w:val="pl-PL"/>
              </w:rPr>
              <w:t xml:space="preserve">fluoropirymidyny/oksaliplatyny + </w:t>
            </w:r>
            <w:r w:rsidR="00163031" w:rsidRPr="0015541C">
              <w:rPr>
                <w:b/>
                <w:sz w:val="20"/>
                <w:lang w:val="pl-PL"/>
              </w:rPr>
              <w:t>bewacyzumab</w:t>
            </w:r>
            <w:r w:rsidRPr="0015541C">
              <w:rPr>
                <w:b/>
                <w:sz w:val="20"/>
                <w:vertAlign w:val="superscript"/>
                <w:lang w:val="pl-PL"/>
              </w:rPr>
              <w:t>a</w:t>
            </w:r>
          </w:p>
        </w:tc>
      </w:tr>
      <w:tr w:rsidR="00465F34" w:rsidRPr="0015541C" w14:paraId="2B8C82C3" w14:textId="77777777" w:rsidTr="00465F34">
        <w:tc>
          <w:tcPr>
            <w:tcW w:w="2720" w:type="dxa"/>
            <w:tcBorders>
              <w:top w:val="single" w:sz="4" w:space="0" w:color="auto"/>
            </w:tcBorders>
            <w:shd w:val="clear" w:color="auto" w:fill="auto"/>
            <w:vAlign w:val="center"/>
          </w:tcPr>
          <w:p w14:paraId="47AB91C1" w14:textId="77777777" w:rsidR="00465F34" w:rsidRPr="0015541C" w:rsidRDefault="00465F34" w:rsidP="006F624F">
            <w:pPr>
              <w:pStyle w:val="TextTi12"/>
              <w:spacing w:after="0"/>
              <w:jc w:val="left"/>
              <w:rPr>
                <w:sz w:val="22"/>
                <w:szCs w:val="22"/>
                <w:lang w:val="pl-PL"/>
              </w:rPr>
            </w:pPr>
            <w:r w:rsidRPr="0015541C">
              <w:rPr>
                <w:sz w:val="22"/>
                <w:szCs w:val="22"/>
                <w:lang w:val="pl-PL"/>
              </w:rPr>
              <w:t>Liczba pacjentów</w:t>
            </w:r>
          </w:p>
        </w:tc>
        <w:tc>
          <w:tcPr>
            <w:tcW w:w="3283" w:type="dxa"/>
            <w:tcBorders>
              <w:top w:val="single" w:sz="4" w:space="0" w:color="auto"/>
            </w:tcBorders>
            <w:shd w:val="clear" w:color="auto" w:fill="auto"/>
            <w:vAlign w:val="center"/>
          </w:tcPr>
          <w:p w14:paraId="1C036D43" w14:textId="77777777" w:rsidR="00465F34" w:rsidRPr="0015541C" w:rsidRDefault="00465F34" w:rsidP="006F624F">
            <w:pPr>
              <w:pStyle w:val="TextTi12"/>
              <w:spacing w:after="0"/>
              <w:jc w:val="center"/>
              <w:rPr>
                <w:sz w:val="22"/>
                <w:szCs w:val="22"/>
                <w:lang w:val="pl-PL"/>
              </w:rPr>
            </w:pPr>
            <w:r w:rsidRPr="00260CEC">
              <w:rPr>
                <w:sz w:val="22"/>
                <w:szCs w:val="22"/>
                <w:lang w:val="pl-PL"/>
              </w:rPr>
              <w:t>410</w:t>
            </w:r>
          </w:p>
        </w:tc>
        <w:tc>
          <w:tcPr>
            <w:tcW w:w="3283" w:type="dxa"/>
            <w:tcBorders>
              <w:top w:val="single" w:sz="4" w:space="0" w:color="auto"/>
            </w:tcBorders>
            <w:shd w:val="clear" w:color="auto" w:fill="auto"/>
            <w:vAlign w:val="center"/>
          </w:tcPr>
          <w:p w14:paraId="4A835624" w14:textId="77777777" w:rsidR="00465F34" w:rsidRPr="0015541C" w:rsidRDefault="00465F34" w:rsidP="006F624F">
            <w:pPr>
              <w:pStyle w:val="TextTi12"/>
              <w:spacing w:after="0"/>
              <w:jc w:val="center"/>
              <w:rPr>
                <w:sz w:val="22"/>
                <w:szCs w:val="22"/>
                <w:lang w:val="pl-PL"/>
              </w:rPr>
            </w:pPr>
            <w:r w:rsidRPr="0015541C">
              <w:rPr>
                <w:sz w:val="22"/>
                <w:szCs w:val="22"/>
                <w:lang w:val="pl-PL"/>
              </w:rPr>
              <w:t>409</w:t>
            </w:r>
          </w:p>
        </w:tc>
      </w:tr>
      <w:tr w:rsidR="00465F34" w:rsidRPr="0015541C" w14:paraId="6C74B401" w14:textId="77777777" w:rsidTr="00465F34">
        <w:tc>
          <w:tcPr>
            <w:tcW w:w="2720" w:type="dxa"/>
            <w:tcBorders>
              <w:top w:val="single" w:sz="4" w:space="0" w:color="auto"/>
            </w:tcBorders>
            <w:shd w:val="clear" w:color="auto" w:fill="auto"/>
            <w:vAlign w:val="center"/>
          </w:tcPr>
          <w:p w14:paraId="48814AF5" w14:textId="54C5FC64" w:rsidR="00465F34" w:rsidRPr="0015541C" w:rsidRDefault="00C15158" w:rsidP="00882A1B">
            <w:pPr>
              <w:pStyle w:val="TextTi12"/>
              <w:jc w:val="left"/>
              <w:rPr>
                <w:b/>
                <w:sz w:val="22"/>
                <w:szCs w:val="22"/>
                <w:u w:val="single"/>
                <w:lang w:val="pl-PL"/>
              </w:rPr>
            </w:pPr>
            <w:r w:rsidRPr="0015541C">
              <w:rPr>
                <w:b/>
                <w:bCs/>
                <w:sz w:val="22"/>
                <w:szCs w:val="22"/>
                <w:lang w:val="pl-PL"/>
              </w:rPr>
              <w:t>Całkowity czas przeżycia</w:t>
            </w:r>
          </w:p>
        </w:tc>
        <w:tc>
          <w:tcPr>
            <w:tcW w:w="6566" w:type="dxa"/>
            <w:gridSpan w:val="2"/>
            <w:tcBorders>
              <w:top w:val="single" w:sz="4" w:space="0" w:color="auto"/>
            </w:tcBorders>
            <w:shd w:val="clear" w:color="auto" w:fill="auto"/>
            <w:vAlign w:val="center"/>
          </w:tcPr>
          <w:p w14:paraId="232563DC" w14:textId="77777777" w:rsidR="00465F34" w:rsidRPr="00260CEC" w:rsidRDefault="00465F34" w:rsidP="006F624F">
            <w:pPr>
              <w:pStyle w:val="TextTi12"/>
              <w:spacing w:after="0"/>
              <w:jc w:val="center"/>
              <w:rPr>
                <w:sz w:val="22"/>
                <w:szCs w:val="22"/>
                <w:lang w:val="pl-PL"/>
              </w:rPr>
            </w:pPr>
          </w:p>
        </w:tc>
      </w:tr>
      <w:tr w:rsidR="00465F34" w:rsidRPr="0015541C" w14:paraId="2C900B94" w14:textId="77777777" w:rsidTr="00465F34">
        <w:tc>
          <w:tcPr>
            <w:tcW w:w="2720" w:type="dxa"/>
            <w:tcBorders>
              <w:top w:val="single" w:sz="4" w:space="0" w:color="auto"/>
            </w:tcBorders>
            <w:shd w:val="clear" w:color="auto" w:fill="auto"/>
            <w:vAlign w:val="center"/>
          </w:tcPr>
          <w:p w14:paraId="542A7656" w14:textId="77777777" w:rsidR="00465F34" w:rsidRPr="0015541C" w:rsidRDefault="00465F34" w:rsidP="00190D1D">
            <w:pPr>
              <w:pStyle w:val="TextTi12"/>
              <w:spacing w:after="0"/>
              <w:ind w:left="720" w:hanging="578"/>
              <w:jc w:val="left"/>
              <w:rPr>
                <w:sz w:val="22"/>
                <w:szCs w:val="22"/>
                <w:lang w:val="pl-PL"/>
              </w:rPr>
            </w:pPr>
            <w:r w:rsidRPr="0015541C">
              <w:rPr>
                <w:sz w:val="22"/>
                <w:szCs w:val="22"/>
                <w:lang w:val="pl-PL"/>
              </w:rPr>
              <w:t>Mediana (miesiące)</w:t>
            </w:r>
          </w:p>
        </w:tc>
        <w:tc>
          <w:tcPr>
            <w:tcW w:w="3283" w:type="dxa"/>
            <w:tcBorders>
              <w:top w:val="single" w:sz="4" w:space="0" w:color="auto"/>
            </w:tcBorders>
            <w:shd w:val="clear" w:color="auto" w:fill="auto"/>
            <w:vAlign w:val="center"/>
          </w:tcPr>
          <w:p w14:paraId="7C0A9156" w14:textId="77777777" w:rsidR="00465F34" w:rsidRPr="0015541C" w:rsidRDefault="00465F34" w:rsidP="006F624F">
            <w:pPr>
              <w:pStyle w:val="TextTi12"/>
              <w:spacing w:after="0"/>
              <w:jc w:val="center"/>
              <w:rPr>
                <w:sz w:val="22"/>
                <w:szCs w:val="22"/>
                <w:lang w:val="pl-PL"/>
              </w:rPr>
            </w:pPr>
            <w:r w:rsidRPr="00260CEC">
              <w:rPr>
                <w:sz w:val="22"/>
                <w:szCs w:val="22"/>
                <w:lang w:val="pl-PL"/>
              </w:rPr>
              <w:t>9,8</w:t>
            </w:r>
          </w:p>
        </w:tc>
        <w:tc>
          <w:tcPr>
            <w:tcW w:w="3283" w:type="dxa"/>
            <w:tcBorders>
              <w:top w:val="single" w:sz="4" w:space="0" w:color="auto"/>
            </w:tcBorders>
            <w:shd w:val="clear" w:color="auto" w:fill="auto"/>
            <w:vAlign w:val="center"/>
          </w:tcPr>
          <w:p w14:paraId="3C76971D" w14:textId="77777777" w:rsidR="00465F34" w:rsidRPr="0015541C" w:rsidRDefault="00465F34" w:rsidP="006F624F">
            <w:pPr>
              <w:pStyle w:val="TextTi12"/>
              <w:spacing w:after="0"/>
              <w:jc w:val="center"/>
              <w:rPr>
                <w:sz w:val="22"/>
                <w:szCs w:val="22"/>
                <w:lang w:val="pl-PL"/>
              </w:rPr>
            </w:pPr>
            <w:r w:rsidRPr="0015541C">
              <w:rPr>
                <w:sz w:val="22"/>
                <w:szCs w:val="22"/>
                <w:lang w:val="pl-PL"/>
              </w:rPr>
              <w:t>11,2</w:t>
            </w:r>
          </w:p>
        </w:tc>
      </w:tr>
      <w:tr w:rsidR="00465F34" w:rsidRPr="0015541C" w14:paraId="343CA938" w14:textId="77777777" w:rsidTr="00465F34">
        <w:tc>
          <w:tcPr>
            <w:tcW w:w="2720" w:type="dxa"/>
            <w:tcBorders>
              <w:top w:val="single" w:sz="4" w:space="0" w:color="auto"/>
            </w:tcBorders>
            <w:shd w:val="clear" w:color="auto" w:fill="auto"/>
            <w:vAlign w:val="center"/>
          </w:tcPr>
          <w:p w14:paraId="2D18F0A7" w14:textId="77777777" w:rsidR="00465F34" w:rsidRPr="00260CEC" w:rsidRDefault="00465F34" w:rsidP="00190D1D">
            <w:pPr>
              <w:pStyle w:val="TextTi12"/>
              <w:spacing w:after="0"/>
              <w:ind w:left="142"/>
              <w:jc w:val="left"/>
              <w:rPr>
                <w:rFonts w:cs="Arial"/>
                <w:sz w:val="22"/>
                <w:szCs w:val="22"/>
                <w:vertAlign w:val="superscript"/>
                <w:lang w:val="pl-PL"/>
              </w:rPr>
            </w:pPr>
            <w:r w:rsidRPr="0015541C">
              <w:rPr>
                <w:sz w:val="22"/>
                <w:szCs w:val="22"/>
                <w:lang w:val="pl-PL"/>
              </w:rPr>
              <w:t>Współczynnik ryzyka</w:t>
            </w:r>
            <w:r w:rsidRPr="0015541C">
              <w:rPr>
                <w:rFonts w:cs="Arial"/>
                <w:sz w:val="22"/>
                <w:szCs w:val="22"/>
                <w:lang w:val="pl-PL"/>
              </w:rPr>
              <w:t xml:space="preserve"> (95% przedział ufności)</w:t>
            </w:r>
          </w:p>
        </w:tc>
        <w:tc>
          <w:tcPr>
            <w:tcW w:w="6566" w:type="dxa"/>
            <w:gridSpan w:val="2"/>
            <w:tcBorders>
              <w:top w:val="single" w:sz="4" w:space="0" w:color="auto"/>
            </w:tcBorders>
            <w:shd w:val="clear" w:color="auto" w:fill="auto"/>
            <w:vAlign w:val="center"/>
          </w:tcPr>
          <w:p w14:paraId="30D4FFE0" w14:textId="77777777" w:rsidR="00465F34" w:rsidRPr="0015541C" w:rsidRDefault="00465F34" w:rsidP="006F624F">
            <w:pPr>
              <w:pStyle w:val="TextTi12"/>
              <w:spacing w:after="0"/>
              <w:jc w:val="center"/>
              <w:rPr>
                <w:rFonts w:cs="Arial"/>
                <w:sz w:val="22"/>
                <w:szCs w:val="22"/>
                <w:lang w:val="pl-PL"/>
              </w:rPr>
            </w:pPr>
            <w:r w:rsidRPr="0015541C">
              <w:rPr>
                <w:rFonts w:cs="Arial"/>
                <w:sz w:val="22"/>
                <w:szCs w:val="22"/>
                <w:lang w:val="pl-PL"/>
              </w:rPr>
              <w:t>0,81 (0,69 – 0,94)</w:t>
            </w:r>
          </w:p>
          <w:p w14:paraId="7668F99B" w14:textId="77777777" w:rsidR="00465F34" w:rsidRPr="0015541C" w:rsidRDefault="00465F34" w:rsidP="006F624F">
            <w:pPr>
              <w:pStyle w:val="TextTi12"/>
              <w:spacing w:after="0"/>
              <w:jc w:val="center"/>
              <w:rPr>
                <w:rFonts w:cs="Arial"/>
                <w:sz w:val="22"/>
                <w:szCs w:val="22"/>
                <w:lang w:val="pl-PL"/>
              </w:rPr>
            </w:pPr>
            <w:r w:rsidRPr="0015541C">
              <w:rPr>
                <w:rFonts w:cs="Arial"/>
                <w:sz w:val="22"/>
                <w:szCs w:val="22"/>
                <w:lang w:val="pl-PL"/>
              </w:rPr>
              <w:t>(wartość p = 0,0062)</w:t>
            </w:r>
          </w:p>
        </w:tc>
      </w:tr>
      <w:tr w:rsidR="00465F34" w:rsidRPr="0015541C" w14:paraId="6AB01A04" w14:textId="77777777" w:rsidTr="00465F34">
        <w:tc>
          <w:tcPr>
            <w:tcW w:w="2720" w:type="dxa"/>
            <w:tcBorders>
              <w:top w:val="single" w:sz="4" w:space="0" w:color="auto"/>
            </w:tcBorders>
            <w:shd w:val="clear" w:color="auto" w:fill="auto"/>
            <w:vAlign w:val="center"/>
          </w:tcPr>
          <w:p w14:paraId="16349134" w14:textId="4A7069CF" w:rsidR="00465F34" w:rsidRPr="0015541C" w:rsidRDefault="00C15158" w:rsidP="00882A1B">
            <w:pPr>
              <w:pStyle w:val="TextTi12"/>
              <w:jc w:val="left"/>
              <w:rPr>
                <w:rFonts w:cs="Arial"/>
                <w:b/>
                <w:sz w:val="22"/>
                <w:szCs w:val="22"/>
                <w:u w:val="single"/>
                <w:lang w:val="pl-PL"/>
              </w:rPr>
            </w:pPr>
            <w:r w:rsidRPr="0015541C">
              <w:rPr>
                <w:b/>
                <w:bCs/>
                <w:sz w:val="22"/>
                <w:szCs w:val="22"/>
                <w:lang w:val="pl-PL"/>
              </w:rPr>
              <w:t>Czas przeżycia wolny od progresji choroby</w:t>
            </w:r>
          </w:p>
        </w:tc>
        <w:tc>
          <w:tcPr>
            <w:tcW w:w="6566" w:type="dxa"/>
            <w:gridSpan w:val="2"/>
            <w:tcBorders>
              <w:top w:val="single" w:sz="4" w:space="0" w:color="auto"/>
            </w:tcBorders>
            <w:shd w:val="clear" w:color="auto" w:fill="auto"/>
            <w:vAlign w:val="center"/>
          </w:tcPr>
          <w:p w14:paraId="79B332C8" w14:textId="77777777" w:rsidR="00465F34" w:rsidRPr="00260CEC" w:rsidRDefault="00465F34" w:rsidP="006F624F">
            <w:pPr>
              <w:pStyle w:val="TextTi12"/>
              <w:spacing w:after="0"/>
              <w:jc w:val="center"/>
              <w:rPr>
                <w:rFonts w:cs="Arial"/>
                <w:sz w:val="22"/>
                <w:szCs w:val="22"/>
                <w:lang w:val="pl-PL"/>
              </w:rPr>
            </w:pPr>
          </w:p>
        </w:tc>
      </w:tr>
      <w:tr w:rsidR="00465F34" w:rsidRPr="0015541C" w14:paraId="76D05E78" w14:textId="77777777" w:rsidTr="00465F34">
        <w:tc>
          <w:tcPr>
            <w:tcW w:w="2720" w:type="dxa"/>
            <w:tcBorders>
              <w:top w:val="single" w:sz="4" w:space="0" w:color="auto"/>
            </w:tcBorders>
            <w:shd w:val="clear" w:color="auto" w:fill="auto"/>
            <w:vAlign w:val="center"/>
          </w:tcPr>
          <w:p w14:paraId="00E2F2EF" w14:textId="77777777" w:rsidR="00465F34" w:rsidRPr="0015541C" w:rsidRDefault="00465F34" w:rsidP="00190D1D">
            <w:pPr>
              <w:pStyle w:val="TextTi12"/>
              <w:spacing w:after="0"/>
              <w:ind w:left="720" w:hanging="578"/>
              <w:jc w:val="left"/>
              <w:rPr>
                <w:rFonts w:cs="Arial"/>
                <w:sz w:val="22"/>
                <w:szCs w:val="22"/>
                <w:lang w:val="pl-PL"/>
              </w:rPr>
            </w:pPr>
            <w:r w:rsidRPr="0015541C">
              <w:rPr>
                <w:sz w:val="22"/>
                <w:szCs w:val="22"/>
                <w:lang w:val="pl-PL"/>
              </w:rPr>
              <w:t>Mediana (miesiące</w:t>
            </w:r>
            <w:r w:rsidRPr="0015541C">
              <w:rPr>
                <w:rFonts w:cs="Arial"/>
                <w:sz w:val="22"/>
                <w:szCs w:val="22"/>
                <w:lang w:val="pl-PL"/>
              </w:rPr>
              <w:t>)</w:t>
            </w:r>
          </w:p>
        </w:tc>
        <w:tc>
          <w:tcPr>
            <w:tcW w:w="3283" w:type="dxa"/>
            <w:tcBorders>
              <w:top w:val="single" w:sz="4" w:space="0" w:color="auto"/>
            </w:tcBorders>
            <w:shd w:val="clear" w:color="auto" w:fill="auto"/>
            <w:vAlign w:val="center"/>
          </w:tcPr>
          <w:p w14:paraId="1D8E6862" w14:textId="77777777" w:rsidR="00465F34" w:rsidRPr="0015541C" w:rsidRDefault="00465F34" w:rsidP="006F624F">
            <w:pPr>
              <w:pStyle w:val="TextTi12"/>
              <w:spacing w:after="0"/>
              <w:jc w:val="center"/>
              <w:rPr>
                <w:rFonts w:cs="Arial"/>
                <w:sz w:val="22"/>
                <w:szCs w:val="22"/>
                <w:lang w:val="pl-PL"/>
              </w:rPr>
            </w:pPr>
            <w:r w:rsidRPr="00260CEC">
              <w:rPr>
                <w:rFonts w:cs="Arial"/>
                <w:sz w:val="22"/>
                <w:szCs w:val="22"/>
                <w:lang w:val="pl-PL"/>
              </w:rPr>
              <w:t>4,1</w:t>
            </w:r>
          </w:p>
        </w:tc>
        <w:tc>
          <w:tcPr>
            <w:tcW w:w="3283" w:type="dxa"/>
            <w:tcBorders>
              <w:top w:val="single" w:sz="4" w:space="0" w:color="auto"/>
            </w:tcBorders>
            <w:shd w:val="clear" w:color="auto" w:fill="auto"/>
            <w:vAlign w:val="center"/>
          </w:tcPr>
          <w:p w14:paraId="7B473BDC" w14:textId="77777777" w:rsidR="00465F34" w:rsidRPr="0015541C" w:rsidRDefault="00465F34" w:rsidP="006F624F">
            <w:pPr>
              <w:pStyle w:val="TextTi12"/>
              <w:spacing w:after="0"/>
              <w:jc w:val="center"/>
              <w:rPr>
                <w:rFonts w:cs="Arial"/>
                <w:sz w:val="22"/>
                <w:szCs w:val="22"/>
                <w:lang w:val="pl-PL"/>
              </w:rPr>
            </w:pPr>
            <w:r w:rsidRPr="0015541C">
              <w:rPr>
                <w:rFonts w:cs="Arial"/>
                <w:sz w:val="22"/>
                <w:szCs w:val="22"/>
                <w:lang w:val="pl-PL"/>
              </w:rPr>
              <w:t>5,7</w:t>
            </w:r>
          </w:p>
        </w:tc>
      </w:tr>
      <w:tr w:rsidR="00465F34" w:rsidRPr="0015541C" w14:paraId="2051C6B3" w14:textId="77777777" w:rsidTr="00465F34">
        <w:tc>
          <w:tcPr>
            <w:tcW w:w="2720" w:type="dxa"/>
            <w:tcBorders>
              <w:top w:val="single" w:sz="4" w:space="0" w:color="auto"/>
            </w:tcBorders>
            <w:shd w:val="clear" w:color="auto" w:fill="auto"/>
            <w:vAlign w:val="center"/>
          </w:tcPr>
          <w:p w14:paraId="32C50746" w14:textId="77777777" w:rsidR="00465F34" w:rsidRPr="00260CEC" w:rsidRDefault="00465F34" w:rsidP="00190D1D">
            <w:pPr>
              <w:pStyle w:val="TextTi12"/>
              <w:spacing w:after="0"/>
              <w:ind w:left="142"/>
              <w:jc w:val="left"/>
              <w:rPr>
                <w:rFonts w:cs="Arial"/>
                <w:sz w:val="22"/>
                <w:szCs w:val="22"/>
                <w:lang w:val="pl-PL"/>
              </w:rPr>
            </w:pPr>
            <w:r w:rsidRPr="0015541C">
              <w:rPr>
                <w:sz w:val="22"/>
                <w:szCs w:val="22"/>
                <w:lang w:val="pl-PL"/>
              </w:rPr>
              <w:t>Współczynnik ryzyka</w:t>
            </w:r>
            <w:r w:rsidRPr="0015541C">
              <w:rPr>
                <w:rFonts w:cs="Arial"/>
                <w:sz w:val="22"/>
                <w:szCs w:val="22"/>
                <w:lang w:val="pl-PL"/>
              </w:rPr>
              <w:t xml:space="preserve"> (95% przedział ufności)</w:t>
            </w:r>
          </w:p>
        </w:tc>
        <w:tc>
          <w:tcPr>
            <w:tcW w:w="6566" w:type="dxa"/>
            <w:gridSpan w:val="2"/>
            <w:tcBorders>
              <w:top w:val="single" w:sz="4" w:space="0" w:color="auto"/>
            </w:tcBorders>
            <w:shd w:val="clear" w:color="auto" w:fill="auto"/>
            <w:vAlign w:val="center"/>
          </w:tcPr>
          <w:p w14:paraId="4BB4CEA3" w14:textId="77777777" w:rsidR="00465F34" w:rsidRPr="0015541C" w:rsidRDefault="00465F34" w:rsidP="006F624F">
            <w:pPr>
              <w:pStyle w:val="TextTi12"/>
              <w:spacing w:after="0"/>
              <w:jc w:val="center"/>
              <w:rPr>
                <w:rFonts w:cs="Arial"/>
                <w:sz w:val="22"/>
                <w:szCs w:val="22"/>
                <w:lang w:val="pl-PL"/>
              </w:rPr>
            </w:pPr>
            <w:r w:rsidRPr="0015541C">
              <w:rPr>
                <w:rFonts w:cs="Arial"/>
                <w:sz w:val="22"/>
                <w:szCs w:val="22"/>
                <w:lang w:val="pl-PL"/>
              </w:rPr>
              <w:t>0,68 (0,59 – 0,78)</w:t>
            </w:r>
          </w:p>
          <w:p w14:paraId="7268249E" w14:textId="77777777" w:rsidR="00465F34" w:rsidRPr="0015541C" w:rsidRDefault="00465F34" w:rsidP="006F624F">
            <w:pPr>
              <w:pStyle w:val="TextTi12"/>
              <w:spacing w:after="0"/>
              <w:jc w:val="center"/>
              <w:rPr>
                <w:rFonts w:cs="Arial"/>
                <w:sz w:val="22"/>
                <w:szCs w:val="22"/>
                <w:lang w:val="pl-PL"/>
              </w:rPr>
            </w:pPr>
            <w:r w:rsidRPr="0015541C">
              <w:rPr>
                <w:rFonts w:cs="Arial"/>
                <w:sz w:val="22"/>
                <w:szCs w:val="22"/>
                <w:lang w:val="pl-PL"/>
              </w:rPr>
              <w:t>(wartość p &lt; 0,0001)</w:t>
            </w:r>
          </w:p>
        </w:tc>
      </w:tr>
      <w:tr w:rsidR="00465F34" w:rsidRPr="0015541C" w14:paraId="6F800B6F" w14:textId="77777777" w:rsidTr="00465F34">
        <w:tc>
          <w:tcPr>
            <w:tcW w:w="2720" w:type="dxa"/>
            <w:tcBorders>
              <w:top w:val="single" w:sz="4" w:space="0" w:color="auto"/>
            </w:tcBorders>
            <w:shd w:val="clear" w:color="auto" w:fill="auto"/>
            <w:vAlign w:val="center"/>
          </w:tcPr>
          <w:p w14:paraId="7C4079E5" w14:textId="77777777" w:rsidR="00465F34" w:rsidRPr="0015541C" w:rsidRDefault="00465F34" w:rsidP="00465F34">
            <w:pPr>
              <w:pStyle w:val="TextTi12"/>
              <w:spacing w:after="0"/>
              <w:jc w:val="left"/>
              <w:rPr>
                <w:rFonts w:cs="Arial"/>
                <w:b/>
                <w:sz w:val="22"/>
                <w:szCs w:val="22"/>
                <w:u w:val="single"/>
                <w:lang w:val="pl-PL"/>
              </w:rPr>
            </w:pPr>
            <w:r w:rsidRPr="0015541C">
              <w:rPr>
                <w:b/>
                <w:bCs/>
                <w:sz w:val="22"/>
                <w:szCs w:val="22"/>
                <w:lang w:val="pl-PL"/>
              </w:rPr>
              <w:t>Odsetek obiektywnych odpowiedzi na leczenie</w:t>
            </w:r>
          </w:p>
        </w:tc>
        <w:tc>
          <w:tcPr>
            <w:tcW w:w="6566" w:type="dxa"/>
            <w:gridSpan w:val="2"/>
            <w:tcBorders>
              <w:top w:val="single" w:sz="4" w:space="0" w:color="auto"/>
            </w:tcBorders>
            <w:shd w:val="clear" w:color="auto" w:fill="auto"/>
            <w:vAlign w:val="center"/>
          </w:tcPr>
          <w:p w14:paraId="50914139" w14:textId="77777777" w:rsidR="00465F34" w:rsidRPr="00260CEC" w:rsidRDefault="00465F34" w:rsidP="006F624F">
            <w:pPr>
              <w:pStyle w:val="TextTi12"/>
              <w:spacing w:after="0"/>
              <w:jc w:val="center"/>
              <w:rPr>
                <w:rFonts w:cs="Arial"/>
                <w:sz w:val="22"/>
                <w:szCs w:val="22"/>
                <w:lang w:val="pl-PL"/>
              </w:rPr>
            </w:pPr>
          </w:p>
        </w:tc>
      </w:tr>
      <w:tr w:rsidR="00465F34" w:rsidRPr="0015541C" w14:paraId="0770C67D" w14:textId="77777777" w:rsidTr="00465F34">
        <w:tc>
          <w:tcPr>
            <w:tcW w:w="2720" w:type="dxa"/>
            <w:tcBorders>
              <w:top w:val="single" w:sz="4" w:space="0" w:color="auto"/>
            </w:tcBorders>
            <w:shd w:val="clear" w:color="auto" w:fill="auto"/>
            <w:vAlign w:val="center"/>
          </w:tcPr>
          <w:p w14:paraId="1E439876" w14:textId="77777777" w:rsidR="00465F34" w:rsidRPr="0015541C" w:rsidRDefault="00465F34" w:rsidP="00190D1D">
            <w:pPr>
              <w:pStyle w:val="TextTi12"/>
              <w:spacing w:after="0"/>
              <w:ind w:left="142"/>
              <w:jc w:val="left"/>
              <w:rPr>
                <w:rFonts w:cs="Arial"/>
                <w:sz w:val="22"/>
                <w:szCs w:val="22"/>
                <w:lang w:val="pl-PL"/>
              </w:rPr>
            </w:pPr>
            <w:r w:rsidRPr="0015541C">
              <w:rPr>
                <w:rFonts w:cs="Arial"/>
                <w:sz w:val="22"/>
                <w:szCs w:val="22"/>
                <w:lang w:val="pl-PL"/>
              </w:rPr>
              <w:t>Pacjenci włączeni do analizy</w:t>
            </w:r>
          </w:p>
        </w:tc>
        <w:tc>
          <w:tcPr>
            <w:tcW w:w="3283" w:type="dxa"/>
            <w:tcBorders>
              <w:top w:val="single" w:sz="4" w:space="0" w:color="auto"/>
            </w:tcBorders>
            <w:shd w:val="clear" w:color="auto" w:fill="auto"/>
            <w:vAlign w:val="center"/>
          </w:tcPr>
          <w:p w14:paraId="223CB984" w14:textId="77777777" w:rsidR="00465F34" w:rsidRPr="0015541C" w:rsidRDefault="00465F34" w:rsidP="006F624F">
            <w:pPr>
              <w:pStyle w:val="TextTi12"/>
              <w:spacing w:after="0"/>
              <w:jc w:val="center"/>
              <w:rPr>
                <w:rFonts w:cs="Arial"/>
                <w:sz w:val="22"/>
                <w:szCs w:val="22"/>
                <w:lang w:val="pl-PL"/>
              </w:rPr>
            </w:pPr>
            <w:r w:rsidRPr="00260CEC">
              <w:rPr>
                <w:rFonts w:cs="Arial"/>
                <w:sz w:val="22"/>
                <w:szCs w:val="22"/>
                <w:lang w:val="pl-PL"/>
              </w:rPr>
              <w:t>406</w:t>
            </w:r>
          </w:p>
        </w:tc>
        <w:tc>
          <w:tcPr>
            <w:tcW w:w="3283" w:type="dxa"/>
            <w:tcBorders>
              <w:top w:val="single" w:sz="4" w:space="0" w:color="auto"/>
            </w:tcBorders>
            <w:shd w:val="clear" w:color="auto" w:fill="auto"/>
            <w:vAlign w:val="center"/>
          </w:tcPr>
          <w:p w14:paraId="0EA5BDD8" w14:textId="77777777" w:rsidR="00465F34" w:rsidRPr="0015541C" w:rsidRDefault="00465F34" w:rsidP="006F624F">
            <w:pPr>
              <w:pStyle w:val="TextTi12"/>
              <w:spacing w:after="0"/>
              <w:jc w:val="center"/>
              <w:rPr>
                <w:rFonts w:cs="Arial"/>
                <w:sz w:val="22"/>
                <w:szCs w:val="22"/>
                <w:lang w:val="pl-PL"/>
              </w:rPr>
            </w:pPr>
            <w:r w:rsidRPr="0015541C">
              <w:rPr>
                <w:rFonts w:cs="Arial"/>
                <w:sz w:val="22"/>
                <w:szCs w:val="22"/>
                <w:lang w:val="pl-PL"/>
              </w:rPr>
              <w:t>404</w:t>
            </w:r>
          </w:p>
        </w:tc>
      </w:tr>
      <w:tr w:rsidR="00465F34" w:rsidRPr="0015541C" w14:paraId="1295DB3F" w14:textId="77777777" w:rsidTr="00465F34">
        <w:tc>
          <w:tcPr>
            <w:tcW w:w="2720" w:type="dxa"/>
            <w:tcBorders>
              <w:top w:val="single" w:sz="4" w:space="0" w:color="auto"/>
            </w:tcBorders>
            <w:shd w:val="clear" w:color="auto" w:fill="auto"/>
            <w:vAlign w:val="center"/>
          </w:tcPr>
          <w:p w14:paraId="0C7B53AC" w14:textId="77777777" w:rsidR="00465F34" w:rsidRPr="0015541C" w:rsidRDefault="00465F34" w:rsidP="00190D1D">
            <w:pPr>
              <w:pStyle w:val="TextTi12"/>
              <w:spacing w:after="0"/>
              <w:ind w:left="720" w:hanging="578"/>
              <w:jc w:val="left"/>
              <w:rPr>
                <w:rFonts w:cs="Arial"/>
                <w:sz w:val="22"/>
                <w:szCs w:val="22"/>
                <w:lang w:val="pl-PL"/>
              </w:rPr>
            </w:pPr>
            <w:r w:rsidRPr="0015541C">
              <w:rPr>
                <w:rFonts w:cs="Arial"/>
                <w:sz w:val="22"/>
                <w:szCs w:val="22"/>
                <w:lang w:val="pl-PL"/>
              </w:rPr>
              <w:t>Odsetek</w:t>
            </w:r>
          </w:p>
        </w:tc>
        <w:tc>
          <w:tcPr>
            <w:tcW w:w="3283" w:type="dxa"/>
            <w:tcBorders>
              <w:top w:val="single" w:sz="4" w:space="0" w:color="auto"/>
            </w:tcBorders>
            <w:shd w:val="clear" w:color="auto" w:fill="auto"/>
            <w:vAlign w:val="center"/>
          </w:tcPr>
          <w:p w14:paraId="7245B20B" w14:textId="77777777" w:rsidR="00465F34" w:rsidRPr="0015541C" w:rsidRDefault="00465F34" w:rsidP="006F624F">
            <w:pPr>
              <w:pStyle w:val="TextTi12"/>
              <w:spacing w:after="0"/>
              <w:jc w:val="center"/>
              <w:rPr>
                <w:rFonts w:cs="Arial"/>
                <w:sz w:val="22"/>
                <w:szCs w:val="22"/>
                <w:lang w:val="pl-PL"/>
              </w:rPr>
            </w:pPr>
            <w:r w:rsidRPr="00260CEC">
              <w:rPr>
                <w:rFonts w:cs="Arial"/>
                <w:sz w:val="22"/>
                <w:szCs w:val="22"/>
                <w:lang w:val="pl-PL"/>
              </w:rPr>
              <w:t>3,9%</w:t>
            </w:r>
          </w:p>
        </w:tc>
        <w:tc>
          <w:tcPr>
            <w:tcW w:w="3283" w:type="dxa"/>
            <w:tcBorders>
              <w:top w:val="single" w:sz="4" w:space="0" w:color="auto"/>
            </w:tcBorders>
            <w:shd w:val="clear" w:color="auto" w:fill="auto"/>
            <w:vAlign w:val="center"/>
          </w:tcPr>
          <w:p w14:paraId="76CC318D" w14:textId="77777777" w:rsidR="00465F34" w:rsidRPr="0015541C" w:rsidRDefault="00465F34" w:rsidP="006F624F">
            <w:pPr>
              <w:pStyle w:val="TextTi12"/>
              <w:spacing w:after="0"/>
              <w:jc w:val="center"/>
              <w:rPr>
                <w:rFonts w:cs="Arial"/>
                <w:sz w:val="22"/>
                <w:szCs w:val="22"/>
                <w:lang w:val="pl-PL"/>
              </w:rPr>
            </w:pPr>
            <w:r w:rsidRPr="0015541C">
              <w:rPr>
                <w:rFonts w:cs="Arial"/>
                <w:sz w:val="22"/>
                <w:szCs w:val="22"/>
                <w:lang w:val="pl-PL"/>
              </w:rPr>
              <w:t>5,4%</w:t>
            </w:r>
          </w:p>
        </w:tc>
      </w:tr>
      <w:tr w:rsidR="00465F34" w:rsidRPr="0015541C" w14:paraId="172D41B7" w14:textId="77777777" w:rsidTr="00465F34">
        <w:tc>
          <w:tcPr>
            <w:tcW w:w="2720" w:type="dxa"/>
            <w:tcBorders>
              <w:top w:val="single" w:sz="4" w:space="0" w:color="auto"/>
            </w:tcBorders>
            <w:shd w:val="clear" w:color="auto" w:fill="auto"/>
            <w:vAlign w:val="center"/>
          </w:tcPr>
          <w:p w14:paraId="1A08BE74" w14:textId="77777777" w:rsidR="00465F34" w:rsidRPr="0015541C" w:rsidRDefault="00465F34" w:rsidP="006F624F">
            <w:pPr>
              <w:pStyle w:val="TextTi12"/>
              <w:spacing w:after="0"/>
              <w:ind w:left="720"/>
              <w:jc w:val="center"/>
              <w:rPr>
                <w:rFonts w:cs="Arial"/>
                <w:sz w:val="22"/>
                <w:szCs w:val="22"/>
                <w:lang w:val="pl-PL"/>
              </w:rPr>
            </w:pPr>
          </w:p>
        </w:tc>
        <w:tc>
          <w:tcPr>
            <w:tcW w:w="6566" w:type="dxa"/>
            <w:gridSpan w:val="2"/>
            <w:tcBorders>
              <w:top w:val="single" w:sz="4" w:space="0" w:color="auto"/>
            </w:tcBorders>
            <w:shd w:val="clear" w:color="auto" w:fill="auto"/>
            <w:vAlign w:val="center"/>
          </w:tcPr>
          <w:p w14:paraId="5C7F3551" w14:textId="77777777" w:rsidR="00465F34" w:rsidRPr="0015541C" w:rsidRDefault="00465F34" w:rsidP="006F624F">
            <w:pPr>
              <w:pStyle w:val="TextTi12"/>
              <w:spacing w:after="0"/>
              <w:jc w:val="center"/>
              <w:rPr>
                <w:rFonts w:cs="Arial"/>
                <w:sz w:val="22"/>
                <w:szCs w:val="22"/>
                <w:lang w:val="pl-PL"/>
              </w:rPr>
            </w:pPr>
            <w:r w:rsidRPr="0015541C">
              <w:rPr>
                <w:rFonts w:cs="Arial"/>
                <w:sz w:val="22"/>
                <w:szCs w:val="22"/>
                <w:lang w:val="pl-PL"/>
              </w:rPr>
              <w:t>(</w:t>
            </w:r>
            <w:r w:rsidRPr="0015541C">
              <w:rPr>
                <w:sz w:val="22"/>
                <w:szCs w:val="22"/>
                <w:lang w:val="pl-PL"/>
              </w:rPr>
              <w:t>wartość p</w:t>
            </w:r>
            <w:r w:rsidRPr="0015541C">
              <w:rPr>
                <w:rFonts w:cs="Arial"/>
                <w:sz w:val="22"/>
                <w:szCs w:val="22"/>
                <w:lang w:val="pl-PL"/>
              </w:rPr>
              <w:t xml:space="preserve"> = 0,3113)</w:t>
            </w:r>
          </w:p>
        </w:tc>
      </w:tr>
    </w:tbl>
    <w:p w14:paraId="3E3EC26D" w14:textId="4F64609A" w:rsidR="00465F34" w:rsidRPr="0015541C" w:rsidRDefault="00465F34" w:rsidP="00E36AC0">
      <w:pPr>
        <w:rPr>
          <w:sz w:val="20"/>
          <w:lang w:val="pl-PL"/>
        </w:rPr>
      </w:pPr>
      <w:r w:rsidRPr="0015541C">
        <w:rPr>
          <w:sz w:val="20"/>
          <w:vertAlign w:val="superscript"/>
          <w:lang w:val="pl-PL"/>
        </w:rPr>
        <w:t>a</w:t>
      </w:r>
      <w:r w:rsidRPr="0015541C">
        <w:rPr>
          <w:sz w:val="20"/>
          <w:lang w:val="pl-PL"/>
        </w:rPr>
        <w:t xml:space="preserve"> 5,0</w:t>
      </w:r>
      <w:r w:rsidR="00685C01" w:rsidRPr="0015541C">
        <w:rPr>
          <w:sz w:val="20"/>
          <w:lang w:val="pl-PL"/>
        </w:rPr>
        <w:t> </w:t>
      </w:r>
      <w:r w:rsidR="006C1132" w:rsidRPr="0015541C">
        <w:rPr>
          <w:sz w:val="20"/>
          <w:lang w:val="pl-PL"/>
        </w:rPr>
        <w:t>mg/kg mc.</w:t>
      </w:r>
      <w:r w:rsidRPr="0015541C">
        <w:rPr>
          <w:sz w:val="20"/>
          <w:lang w:val="pl-PL"/>
        </w:rPr>
        <w:t xml:space="preserve"> co 2 tygodnie lub 7,5</w:t>
      </w:r>
      <w:r w:rsidR="00685C01" w:rsidRPr="00260CEC">
        <w:rPr>
          <w:sz w:val="20"/>
          <w:lang w:val="pl-PL"/>
        </w:rPr>
        <w:t> </w:t>
      </w:r>
      <w:r w:rsidR="006C1132" w:rsidRPr="0015541C">
        <w:rPr>
          <w:sz w:val="20"/>
          <w:lang w:val="pl-PL"/>
        </w:rPr>
        <w:t>mg/kg mc.</w:t>
      </w:r>
      <w:r w:rsidRPr="0015541C">
        <w:rPr>
          <w:sz w:val="20"/>
          <w:lang w:val="pl-PL"/>
        </w:rPr>
        <w:t xml:space="preserve"> co 3 tygodnie</w:t>
      </w:r>
    </w:p>
    <w:p w14:paraId="08B5AB3D" w14:textId="77777777" w:rsidR="00465F34" w:rsidRPr="0015541C" w:rsidRDefault="00465F34" w:rsidP="00E36AC0">
      <w:pPr>
        <w:rPr>
          <w:lang w:val="pl-PL"/>
        </w:rPr>
      </w:pPr>
    </w:p>
    <w:p w14:paraId="3C76FC42" w14:textId="5598101A" w:rsidR="00465F34" w:rsidRPr="0015541C" w:rsidRDefault="00465F34" w:rsidP="00465F34">
      <w:pPr>
        <w:rPr>
          <w:lang w:val="pl-PL"/>
        </w:rPr>
      </w:pPr>
      <w:r w:rsidRPr="0015541C">
        <w:rPr>
          <w:rFonts w:cs="Arial"/>
          <w:szCs w:val="22"/>
          <w:lang w:val="pl-PL"/>
        </w:rPr>
        <w:t xml:space="preserve">Obserwowano również statystycznie istotną poprawę w zakresie </w:t>
      </w:r>
      <w:r w:rsidR="00C15158" w:rsidRPr="0015541C">
        <w:rPr>
          <w:rFonts w:cs="Arial"/>
          <w:szCs w:val="22"/>
          <w:lang w:val="pl-PL"/>
        </w:rPr>
        <w:t>PFS</w:t>
      </w:r>
      <w:r w:rsidRPr="0015541C">
        <w:rPr>
          <w:rFonts w:cs="Arial"/>
          <w:szCs w:val="22"/>
          <w:lang w:val="pl-PL"/>
        </w:rPr>
        <w:t>. Wskaźnik obiektywnych odpowiedzi na leczenie był niski w obu grupach, a różnica nie była istotna</w:t>
      </w:r>
      <w:r w:rsidRPr="0015541C">
        <w:rPr>
          <w:lang w:val="pl-PL"/>
        </w:rPr>
        <w:t>.</w:t>
      </w:r>
    </w:p>
    <w:p w14:paraId="3BB83330" w14:textId="77777777" w:rsidR="00AA0D13" w:rsidRPr="0015541C" w:rsidRDefault="00AA0D13" w:rsidP="00465F34">
      <w:pPr>
        <w:rPr>
          <w:lang w:val="pl-PL"/>
        </w:rPr>
      </w:pPr>
    </w:p>
    <w:p w14:paraId="24908FA8" w14:textId="54E9B31F" w:rsidR="00994050" w:rsidRPr="0015541C" w:rsidRDefault="00AA0D13" w:rsidP="00994050">
      <w:pPr>
        <w:rPr>
          <w:lang w:val="pl-PL"/>
        </w:rPr>
      </w:pPr>
      <w:r w:rsidRPr="0015541C">
        <w:rPr>
          <w:lang w:val="pl-PL"/>
        </w:rPr>
        <w:t xml:space="preserve">W badaniu E3200 zastosowano dawkę </w:t>
      </w:r>
      <w:r w:rsidR="006C4FB4" w:rsidRPr="0015541C">
        <w:rPr>
          <w:lang w:val="pl-PL"/>
        </w:rPr>
        <w:t xml:space="preserve">bewacyzumabu </w:t>
      </w:r>
      <w:r w:rsidRPr="0015541C">
        <w:rPr>
          <w:lang w:val="pl-PL"/>
        </w:rPr>
        <w:t>odpowiadającą 5</w:t>
      </w:r>
      <w:r w:rsidR="005A46BA" w:rsidRPr="0015541C">
        <w:rPr>
          <w:lang w:val="pl-PL"/>
        </w:rPr>
        <w:t> </w:t>
      </w:r>
      <w:r w:rsidR="006C1132" w:rsidRPr="0015541C">
        <w:rPr>
          <w:lang w:val="pl-PL"/>
        </w:rPr>
        <w:t>mg/kg mc.</w:t>
      </w:r>
      <w:r w:rsidRPr="0015541C">
        <w:rPr>
          <w:lang w:val="pl-PL"/>
        </w:rPr>
        <w:t xml:space="preserve">/tydzień u chorych, </w:t>
      </w:r>
      <w:r w:rsidR="00901511" w:rsidRPr="0015541C">
        <w:rPr>
          <w:lang w:val="pl-PL"/>
        </w:rPr>
        <w:br/>
      </w:r>
      <w:r w:rsidRPr="0015541C">
        <w:rPr>
          <w:lang w:val="pl-PL"/>
        </w:rPr>
        <w:t>u których nie stosowano uprzednio tego leku, natomiast w badaniu ML18147 została zastosowana dawka odpowiadająca 2,5</w:t>
      </w:r>
      <w:r w:rsidR="005A46BA" w:rsidRPr="0015541C">
        <w:rPr>
          <w:lang w:val="pl-PL"/>
        </w:rPr>
        <w:t> </w:t>
      </w:r>
      <w:r w:rsidR="006C1132" w:rsidRPr="0015541C">
        <w:rPr>
          <w:lang w:val="pl-PL"/>
        </w:rPr>
        <w:t>mg/kg mc.</w:t>
      </w:r>
      <w:r w:rsidRPr="0015541C">
        <w:rPr>
          <w:lang w:val="pl-PL"/>
        </w:rPr>
        <w:t xml:space="preserve">/tydzień bewacyzumabu u chorych uprzednio leczonych bewacyzumabem. Możliwość porównania </w:t>
      </w:r>
      <w:r w:rsidR="001C3C47" w:rsidRPr="0015541C">
        <w:rPr>
          <w:lang w:val="pl-PL"/>
        </w:rPr>
        <w:t xml:space="preserve">danych skuteczności i bezpieczeństwa uzyskanych </w:t>
      </w:r>
      <w:r w:rsidR="00901511" w:rsidRPr="0015541C">
        <w:rPr>
          <w:lang w:val="pl-PL"/>
        </w:rPr>
        <w:br/>
      </w:r>
      <w:r w:rsidR="001C3C47" w:rsidRPr="0015541C">
        <w:rPr>
          <w:lang w:val="pl-PL"/>
        </w:rPr>
        <w:t>w badaniach</w:t>
      </w:r>
      <w:r w:rsidRPr="0015541C">
        <w:rPr>
          <w:lang w:val="pl-PL"/>
        </w:rPr>
        <w:t xml:space="preserve"> jest ograniczona ze względu na różnice pomiędzy badaniami, dotyczące przede wszystkim populacji pacjentów, uprzedniego zastosowania bewacyzumabu oraz schematów chemioterapii. </w:t>
      </w:r>
      <w:r w:rsidR="00BC36AB" w:rsidRPr="0015541C">
        <w:rPr>
          <w:lang w:val="pl-PL"/>
        </w:rPr>
        <w:t>Zarówno po zastosowaniu dawki odpowiadającej 5</w:t>
      </w:r>
      <w:r w:rsidR="005A46BA" w:rsidRPr="0015541C">
        <w:rPr>
          <w:lang w:val="pl-PL"/>
        </w:rPr>
        <w:t> </w:t>
      </w:r>
      <w:r w:rsidR="006C1132" w:rsidRPr="0015541C">
        <w:rPr>
          <w:lang w:val="pl-PL"/>
        </w:rPr>
        <w:t>mg/kg mc.</w:t>
      </w:r>
      <w:r w:rsidR="00BC36AB" w:rsidRPr="0015541C">
        <w:rPr>
          <w:lang w:val="pl-PL"/>
        </w:rPr>
        <w:t xml:space="preserve">/tydzień bewacyzumabu, jak </w:t>
      </w:r>
      <w:r w:rsidR="00901511" w:rsidRPr="0015541C">
        <w:rPr>
          <w:lang w:val="pl-PL"/>
        </w:rPr>
        <w:br/>
      </w:r>
      <w:r w:rsidR="00BC36AB" w:rsidRPr="0015541C">
        <w:rPr>
          <w:lang w:val="pl-PL"/>
        </w:rPr>
        <w:t>i dawki 2,5</w:t>
      </w:r>
      <w:r w:rsidR="005A46BA" w:rsidRPr="0015541C">
        <w:rPr>
          <w:lang w:val="pl-PL"/>
        </w:rPr>
        <w:t> </w:t>
      </w:r>
      <w:r w:rsidR="006C1132" w:rsidRPr="0015541C">
        <w:rPr>
          <w:lang w:val="pl-PL"/>
        </w:rPr>
        <w:t>mg/kg mc.</w:t>
      </w:r>
      <w:r w:rsidR="00BC36AB" w:rsidRPr="0015541C">
        <w:rPr>
          <w:lang w:val="pl-PL"/>
        </w:rPr>
        <w:t xml:space="preserve">/tydzień, obserwowano istotną statystycznie korzyść w zakresie </w:t>
      </w:r>
      <w:r w:rsidR="00C15158" w:rsidRPr="0015541C">
        <w:rPr>
          <w:lang w:val="pl-PL"/>
        </w:rPr>
        <w:t>OS</w:t>
      </w:r>
      <w:r w:rsidR="00BC36AB" w:rsidRPr="0015541C">
        <w:rPr>
          <w:lang w:val="pl-PL"/>
        </w:rPr>
        <w:t xml:space="preserve"> (HR 0,751 w badaniu E3200; HR 0,81 w badaniu ML18147) i </w:t>
      </w:r>
      <w:r w:rsidR="00C15158" w:rsidRPr="0015541C">
        <w:rPr>
          <w:lang w:val="pl-PL"/>
        </w:rPr>
        <w:t>PFS</w:t>
      </w:r>
      <w:r w:rsidR="00BC36AB" w:rsidRPr="0015541C">
        <w:rPr>
          <w:lang w:val="pl-PL"/>
        </w:rPr>
        <w:t xml:space="preserve"> (HR 0,518 w badaniu E3200; HR 0,68 w badaniu ML18147). Odnośnie bezpieczeństwa</w:t>
      </w:r>
      <w:r w:rsidR="0080563B" w:rsidRPr="0015541C">
        <w:rPr>
          <w:lang w:val="pl-PL"/>
        </w:rPr>
        <w:t>,</w:t>
      </w:r>
      <w:r w:rsidR="00BC36AB" w:rsidRPr="0015541C">
        <w:rPr>
          <w:lang w:val="pl-PL"/>
        </w:rPr>
        <w:t xml:space="preserve"> obserwowano większą ilość </w:t>
      </w:r>
      <w:r w:rsidR="006C4FB4" w:rsidRPr="0015541C">
        <w:rPr>
          <w:lang w:val="pl-PL"/>
        </w:rPr>
        <w:t>zdarzeń</w:t>
      </w:r>
      <w:r w:rsidR="00BC36AB" w:rsidRPr="0015541C">
        <w:rPr>
          <w:lang w:val="pl-PL"/>
        </w:rPr>
        <w:t xml:space="preserve"> niepożądanych stopnia 3-5 w badaniu E3200, w porównaniu z badaniem ML18147.</w:t>
      </w:r>
    </w:p>
    <w:p w14:paraId="58E3E3FD" w14:textId="77777777" w:rsidR="00DE5C2C" w:rsidRPr="0015541C" w:rsidRDefault="00DE5C2C" w:rsidP="00994050">
      <w:pPr>
        <w:rPr>
          <w:i/>
          <w:lang w:val="pl-PL"/>
        </w:rPr>
      </w:pPr>
    </w:p>
    <w:p w14:paraId="39AE5773" w14:textId="77777777" w:rsidR="00994050" w:rsidRPr="0015541C" w:rsidRDefault="00994050" w:rsidP="00994050">
      <w:pPr>
        <w:rPr>
          <w:i/>
          <w:u w:val="single"/>
          <w:lang w:val="pl-PL"/>
        </w:rPr>
      </w:pPr>
      <w:r w:rsidRPr="0015541C">
        <w:rPr>
          <w:i/>
          <w:u w:val="single"/>
          <w:lang w:val="pl-PL"/>
        </w:rPr>
        <w:t>Rozsiany rak piersi (mBC)</w:t>
      </w:r>
    </w:p>
    <w:p w14:paraId="705D97E3" w14:textId="77777777" w:rsidR="0090255D" w:rsidRPr="0015541C" w:rsidRDefault="0090255D" w:rsidP="0090255D">
      <w:pPr>
        <w:rPr>
          <w:lang w:val="pl-PL"/>
        </w:rPr>
      </w:pPr>
    </w:p>
    <w:p w14:paraId="5198D9BF" w14:textId="77777777" w:rsidR="001161CF" w:rsidRPr="0015541C" w:rsidRDefault="001161CF" w:rsidP="001161CF">
      <w:pPr>
        <w:rPr>
          <w:lang w:val="pl-PL"/>
        </w:rPr>
      </w:pPr>
      <w:r w:rsidRPr="0015541C">
        <w:rPr>
          <w:iCs/>
          <w:lang w:val="pl-PL"/>
        </w:rPr>
        <w:t xml:space="preserve">Przeprowadzono dwa duże badania kliniczne III fazy, w których oceniono działanie </w:t>
      </w:r>
      <w:r w:rsidR="000B1F28" w:rsidRPr="0015541C">
        <w:rPr>
          <w:iCs/>
          <w:lang w:val="pl-PL"/>
        </w:rPr>
        <w:t>bewacyzumab</w:t>
      </w:r>
      <w:r w:rsidRPr="0015541C">
        <w:rPr>
          <w:iCs/>
          <w:lang w:val="pl-PL"/>
        </w:rPr>
        <w:t>u w skojarzeniu z dwoma różnymi lekami cytotoksycznymi, z oceną czasu przeżycia wolnego od progresji (PFS) jako pierwszorzędowym</w:t>
      </w:r>
      <w:r w:rsidR="0054248C" w:rsidRPr="0015541C">
        <w:rPr>
          <w:iCs/>
          <w:lang w:val="pl-PL"/>
        </w:rPr>
        <w:t xml:space="preserve"> punktem końcowym. W obu tych</w:t>
      </w:r>
      <w:r w:rsidRPr="0015541C">
        <w:rPr>
          <w:iCs/>
          <w:lang w:val="pl-PL"/>
        </w:rPr>
        <w:t xml:space="preserve"> badaniach obserwowano istotne kliniczne i znamienne statystycznie </w:t>
      </w:r>
      <w:r w:rsidRPr="0015541C">
        <w:rPr>
          <w:lang w:val="pl-PL"/>
        </w:rPr>
        <w:t>wydłużenia czasu przeżycia wolnego od progresji.</w:t>
      </w:r>
    </w:p>
    <w:p w14:paraId="6FE65F02" w14:textId="77777777" w:rsidR="001161CF" w:rsidRPr="0015541C" w:rsidRDefault="001161CF" w:rsidP="001161CF">
      <w:pPr>
        <w:rPr>
          <w:lang w:val="pl-PL"/>
        </w:rPr>
      </w:pPr>
    </w:p>
    <w:p w14:paraId="73D7BBC5" w14:textId="77777777" w:rsidR="001161CF" w:rsidRPr="0015541C" w:rsidRDefault="001161CF" w:rsidP="001161CF">
      <w:pPr>
        <w:rPr>
          <w:iCs/>
          <w:lang w:val="pl-PL"/>
        </w:rPr>
      </w:pPr>
      <w:r w:rsidRPr="0015541C">
        <w:rPr>
          <w:iCs/>
          <w:lang w:val="pl-PL"/>
        </w:rPr>
        <w:t>Wyniki uzyskane dla parametru PFS u chorych na rozsianego raka piersi dla poszczególnych leków cytotoksycznych postały zestawione poniżej:</w:t>
      </w:r>
    </w:p>
    <w:p w14:paraId="364B7212" w14:textId="77777777" w:rsidR="001161CF" w:rsidRPr="0015541C" w:rsidRDefault="001161CF" w:rsidP="001161CF">
      <w:pPr>
        <w:rPr>
          <w:iCs/>
          <w:lang w:val="pl-PL"/>
        </w:rPr>
      </w:pPr>
    </w:p>
    <w:p w14:paraId="0763FFF9" w14:textId="77777777" w:rsidR="001161CF" w:rsidRPr="0015541C" w:rsidRDefault="00476A6B" w:rsidP="00BC3A2D">
      <w:pPr>
        <w:ind w:left="720" w:hanging="360"/>
        <w:rPr>
          <w:iCs/>
          <w:lang w:val="pl-PL"/>
        </w:rPr>
      </w:pPr>
      <w:r w:rsidRPr="0015541C">
        <w:rPr>
          <w:iCs/>
          <w:lang w:val="pl-PL"/>
        </w:rPr>
        <w:sym w:font="Symbol" w:char="F0B7"/>
      </w:r>
      <w:r w:rsidRPr="0015541C">
        <w:rPr>
          <w:iCs/>
          <w:lang w:val="pl-PL"/>
        </w:rPr>
        <w:tab/>
      </w:r>
      <w:r w:rsidR="001161CF" w:rsidRPr="0015541C">
        <w:rPr>
          <w:iCs/>
          <w:lang w:val="pl-PL"/>
        </w:rPr>
        <w:t>Badanie E2100 (paklitaksel)</w:t>
      </w:r>
    </w:p>
    <w:p w14:paraId="225FA85C" w14:textId="77777777" w:rsidR="001161CF" w:rsidRPr="0015541C" w:rsidRDefault="00476A6B" w:rsidP="003B62E6">
      <w:pPr>
        <w:ind w:left="1260" w:hanging="360"/>
        <w:rPr>
          <w:iCs/>
          <w:lang w:val="pl-PL"/>
        </w:rPr>
      </w:pPr>
      <w:r w:rsidRPr="0015541C">
        <w:rPr>
          <w:iCs/>
          <w:lang w:val="pl-PL"/>
        </w:rPr>
        <w:sym w:font="Symbol" w:char="F0B7"/>
      </w:r>
      <w:r w:rsidRPr="0015541C">
        <w:rPr>
          <w:iCs/>
          <w:lang w:val="pl-PL"/>
        </w:rPr>
        <w:tab/>
      </w:r>
      <w:r w:rsidR="001161CF" w:rsidRPr="0015541C">
        <w:rPr>
          <w:iCs/>
          <w:lang w:val="pl-PL"/>
        </w:rPr>
        <w:t>Wydłużenie mediany PFS o 5,6 mies., HR 0,421 (p&lt;0,0001, 95% CI 0,343; 0,516)</w:t>
      </w:r>
    </w:p>
    <w:p w14:paraId="4ACA8E0A" w14:textId="77777777" w:rsidR="001161CF" w:rsidRPr="0015541C" w:rsidRDefault="00476A6B" w:rsidP="00DE5C2C">
      <w:pPr>
        <w:ind w:left="720" w:hanging="360"/>
        <w:rPr>
          <w:iCs/>
          <w:lang w:val="pl-PL"/>
        </w:rPr>
      </w:pPr>
      <w:r w:rsidRPr="0015541C">
        <w:rPr>
          <w:iCs/>
          <w:lang w:val="pl-PL"/>
        </w:rPr>
        <w:sym w:font="Symbol" w:char="F0B7"/>
      </w:r>
      <w:r w:rsidRPr="0015541C">
        <w:rPr>
          <w:iCs/>
          <w:lang w:val="pl-PL"/>
        </w:rPr>
        <w:tab/>
      </w:r>
      <w:r w:rsidR="001161CF" w:rsidRPr="0015541C">
        <w:rPr>
          <w:iCs/>
          <w:lang w:val="pl-PL"/>
        </w:rPr>
        <w:t>Badanie AVF3694g (kapecytabina)</w:t>
      </w:r>
    </w:p>
    <w:p w14:paraId="57B7ED73" w14:textId="77777777" w:rsidR="001161CF" w:rsidRPr="0015541C" w:rsidRDefault="00476A6B" w:rsidP="003B62E6">
      <w:pPr>
        <w:ind w:left="1260" w:hanging="360"/>
        <w:rPr>
          <w:iCs/>
          <w:lang w:val="pl-PL"/>
        </w:rPr>
      </w:pPr>
      <w:r w:rsidRPr="0015541C">
        <w:rPr>
          <w:iCs/>
          <w:lang w:val="pl-PL"/>
        </w:rPr>
        <w:sym w:font="Symbol" w:char="F0B7"/>
      </w:r>
      <w:r w:rsidRPr="0015541C">
        <w:rPr>
          <w:iCs/>
          <w:lang w:val="pl-PL"/>
        </w:rPr>
        <w:tab/>
      </w:r>
      <w:r w:rsidR="001161CF" w:rsidRPr="0015541C">
        <w:rPr>
          <w:iCs/>
          <w:lang w:val="pl-PL"/>
        </w:rPr>
        <w:t>Wydłużenie mediany PFS o 2,9 mies., HR 0,69 (p=0,0002, 95% CI 0,56; 0,84)</w:t>
      </w:r>
    </w:p>
    <w:p w14:paraId="461D2A1F" w14:textId="77777777" w:rsidR="001161CF" w:rsidRPr="00260CEC" w:rsidRDefault="001161CF" w:rsidP="00CB0256">
      <w:pPr>
        <w:ind w:left="1260" w:hanging="720"/>
        <w:rPr>
          <w:iCs/>
          <w:lang w:val="pl-PL"/>
        </w:rPr>
      </w:pPr>
    </w:p>
    <w:p w14:paraId="67E5BCD4" w14:textId="77777777" w:rsidR="001161CF" w:rsidRPr="0015541C" w:rsidRDefault="001161CF" w:rsidP="001161CF">
      <w:pPr>
        <w:rPr>
          <w:iCs/>
          <w:lang w:val="pl-PL"/>
        </w:rPr>
      </w:pPr>
      <w:r w:rsidRPr="0015541C">
        <w:rPr>
          <w:iCs/>
          <w:lang w:val="pl-PL"/>
        </w:rPr>
        <w:t>Dalsze informacje dotyczące poszczególnych badań i ich wyniki zostały przedstawione poniżej.</w:t>
      </w:r>
    </w:p>
    <w:p w14:paraId="7389FB7C" w14:textId="77777777" w:rsidR="001161CF" w:rsidRPr="0015541C" w:rsidRDefault="001161CF" w:rsidP="0090255D">
      <w:pPr>
        <w:rPr>
          <w:i/>
          <w:lang w:val="pl-PL"/>
        </w:rPr>
      </w:pPr>
    </w:p>
    <w:p w14:paraId="0F81C886" w14:textId="77777777" w:rsidR="0090255D" w:rsidRPr="0015541C" w:rsidRDefault="0090255D" w:rsidP="00247D7C">
      <w:pPr>
        <w:keepNext/>
        <w:rPr>
          <w:i/>
          <w:lang w:val="pl-PL"/>
        </w:rPr>
      </w:pPr>
      <w:r w:rsidRPr="0015541C">
        <w:rPr>
          <w:i/>
          <w:lang w:val="pl-PL"/>
        </w:rPr>
        <w:t>ECOG E2100</w:t>
      </w:r>
    </w:p>
    <w:p w14:paraId="00F6758E" w14:textId="225CC29B" w:rsidR="00994050" w:rsidRPr="00260CEC" w:rsidRDefault="00994050" w:rsidP="00247D7C">
      <w:pPr>
        <w:keepNext/>
        <w:rPr>
          <w:szCs w:val="22"/>
          <w:lang w:val="pl-PL"/>
        </w:rPr>
      </w:pPr>
      <w:r w:rsidRPr="0015541C">
        <w:rPr>
          <w:szCs w:val="22"/>
          <w:lang w:val="pl-PL"/>
        </w:rPr>
        <w:t xml:space="preserve">Wieloośrodkowe badanie E2100 prowadzono metodą otwartej próby z randomizacją i stosowaniem produktu aktywnego w grupie kontrolnej w celu oceny terapii skojarzonej paklitakselem i </w:t>
      </w:r>
      <w:r w:rsidR="00222D7F" w:rsidRPr="0015541C">
        <w:rPr>
          <w:szCs w:val="22"/>
          <w:lang w:val="pl-PL"/>
        </w:rPr>
        <w:t>bewacyzumab</w:t>
      </w:r>
      <w:r w:rsidRPr="0015541C">
        <w:rPr>
          <w:szCs w:val="22"/>
          <w:lang w:val="pl-PL"/>
        </w:rPr>
        <w:t>em chorych, u których wystąpiła miejscowa wznowa lub przerzuty raka piersi i dotychczas nie stosowano chemioterapii z powodu miejscowej wznowy lub przerzutów nowotworowych. Chorych losowo rozdzielono do grupy otrzymującej wyłącznie paklitaksel (90 mg/m</w:t>
      </w:r>
      <w:r w:rsidRPr="0015541C">
        <w:rPr>
          <w:szCs w:val="22"/>
          <w:vertAlign w:val="superscript"/>
          <w:lang w:val="pl-PL"/>
        </w:rPr>
        <w:t>2</w:t>
      </w:r>
      <w:r w:rsidRPr="0015541C">
        <w:rPr>
          <w:szCs w:val="22"/>
          <w:lang w:val="pl-PL"/>
        </w:rPr>
        <w:t xml:space="preserve"> pc. podawane </w:t>
      </w:r>
      <w:r w:rsidR="0048590C">
        <w:rPr>
          <w:szCs w:val="22"/>
          <w:lang w:val="pl-PL"/>
        </w:rPr>
        <w:t xml:space="preserve">we wlewie dożylnym </w:t>
      </w:r>
      <w:r w:rsidRPr="0015541C">
        <w:rPr>
          <w:szCs w:val="22"/>
          <w:lang w:val="pl-PL"/>
        </w:rPr>
        <w:t xml:space="preserve">w ciągu godziny raz w tygodniu w cyklach trzytygodniowych z jednotygodniową przerwą) lub paklitaksel w połączeniu z </w:t>
      </w:r>
      <w:r w:rsidR="00222D7F" w:rsidRPr="0015541C">
        <w:rPr>
          <w:szCs w:val="22"/>
          <w:lang w:val="pl-PL"/>
        </w:rPr>
        <w:t>bewacyzumab</w:t>
      </w:r>
      <w:r w:rsidRPr="0015541C">
        <w:rPr>
          <w:szCs w:val="22"/>
          <w:lang w:val="pl-PL"/>
        </w:rPr>
        <w:t>em (10 </w:t>
      </w:r>
      <w:r w:rsidR="006C1132" w:rsidRPr="0015541C">
        <w:rPr>
          <w:szCs w:val="22"/>
          <w:lang w:val="pl-PL"/>
        </w:rPr>
        <w:t>mg/</w:t>
      </w:r>
      <w:r w:rsidR="00B8305E" w:rsidRPr="0015541C">
        <w:rPr>
          <w:szCs w:val="22"/>
          <w:lang w:val="pl-PL"/>
        </w:rPr>
        <w:t xml:space="preserve">kg </w:t>
      </w:r>
      <w:r w:rsidRPr="0015541C">
        <w:rPr>
          <w:szCs w:val="22"/>
          <w:lang w:val="pl-PL"/>
        </w:rPr>
        <w:t xml:space="preserve">mc. podawane we wlewie dożylnym raz na dwa tygodnie). Akceptowano udział chorych, którzy uprzednio otrzymywali leczenie hormonalne z powodu choroby nowotworowej z przerzutami. W badaniu mogli również brać udział chorzy, u których stosowano leczenie uzupełniające taksanem co najmniej 12 miesięcy przed przystąpieniem do badania. U większości (90%) z 722 chorych biorących udział w badaniu nie występowała ekspresja receptora HER2. U niewielkiej liczby chorych o nieznanej (8%) lub potwierdzonej (2%) ekspresji HER2 w przeszłości stosowano leczenie trastuzumabem lub ustalono brak wskazań do stosowania tego leku. Ponadto 65% chorych otrzymało w przeszłości chemioterapię adiuwantową (19% przy użyciu taksanów a 49% — antracyklin). Z badania wykluczono chorych ze stwierdzonymi przerzutami do ośrodkowego układu nerwowego, w tym chorych, u których zastosowano leczenie farmakologiczne lub resekcję ognisk w obrębie mózgu. </w:t>
      </w:r>
    </w:p>
    <w:p w14:paraId="0A0876E5" w14:textId="77777777" w:rsidR="00994050" w:rsidRPr="0015541C" w:rsidRDefault="00994050" w:rsidP="00994050">
      <w:pPr>
        <w:rPr>
          <w:shd w:val="clear" w:color="auto" w:fill="FFCCFF"/>
          <w:lang w:val="pl-PL"/>
        </w:rPr>
      </w:pPr>
    </w:p>
    <w:p w14:paraId="01C5EC6A" w14:textId="4C771345" w:rsidR="00994050" w:rsidRPr="0015541C" w:rsidRDefault="00994050" w:rsidP="00994050">
      <w:pPr>
        <w:rPr>
          <w:lang w:val="pl-PL"/>
        </w:rPr>
      </w:pPr>
      <w:r w:rsidRPr="0015541C">
        <w:rPr>
          <w:lang w:val="pl-PL"/>
        </w:rPr>
        <w:t xml:space="preserve">Chorzy w badaniu E2100 otrzymali leczenie do czasu progresji choroby. Jeżeli konieczne było przedwczesne przerwanie chemioterapii, kontynuowano monoterapię </w:t>
      </w:r>
      <w:r w:rsidR="005F06BE" w:rsidRPr="0015541C">
        <w:rPr>
          <w:lang w:val="pl-PL"/>
        </w:rPr>
        <w:t>bewacyzumab</w:t>
      </w:r>
      <w:r w:rsidRPr="0015541C">
        <w:rPr>
          <w:lang w:val="pl-PL"/>
        </w:rPr>
        <w:t>em do czasu progresji choroby. Charakterystyka chorych w obu badanych grupach była podobna. Głównym punktem końcowym badania był PFS, na podstawie którego, badacze oceniali progresję choroby. Dodatkowo przeprowadzono niezależną ocenę pierwotnego punktu końcowego. Wyniki badania przedstawiono w Tabeli</w:t>
      </w:r>
      <w:r w:rsidR="004D25B9" w:rsidRPr="0015541C">
        <w:rPr>
          <w:lang w:val="pl-PL"/>
        </w:rPr>
        <w:t> </w:t>
      </w:r>
      <w:r w:rsidR="008800D7" w:rsidRPr="0015541C">
        <w:rPr>
          <w:lang w:val="pl-PL"/>
        </w:rPr>
        <w:t>10</w:t>
      </w:r>
      <w:r w:rsidRPr="0015541C">
        <w:rPr>
          <w:lang w:val="pl-PL"/>
        </w:rPr>
        <w:t xml:space="preserve">. </w:t>
      </w:r>
    </w:p>
    <w:p w14:paraId="210B467C" w14:textId="77777777" w:rsidR="00994050" w:rsidRPr="0015541C" w:rsidRDefault="00994050" w:rsidP="00994050">
      <w:pPr>
        <w:rPr>
          <w:lang w:val="pl-PL"/>
        </w:rPr>
      </w:pPr>
    </w:p>
    <w:p w14:paraId="489BC613" w14:textId="77777777" w:rsidR="00994050" w:rsidRPr="0015541C" w:rsidRDefault="00994050" w:rsidP="003C6FA3">
      <w:pPr>
        <w:keepNext/>
        <w:keepLines/>
        <w:ind w:left="539" w:hanging="539"/>
        <w:rPr>
          <w:b/>
          <w:lang w:val="pl-PL"/>
        </w:rPr>
      </w:pPr>
      <w:r w:rsidRPr="0015541C">
        <w:rPr>
          <w:b/>
          <w:lang w:val="pl-PL"/>
        </w:rPr>
        <w:lastRenderedPageBreak/>
        <w:t>Tabela</w:t>
      </w:r>
      <w:r w:rsidR="005723D5" w:rsidRPr="0015541C">
        <w:rPr>
          <w:b/>
          <w:lang w:val="pl-PL"/>
        </w:rPr>
        <w:t> </w:t>
      </w:r>
      <w:r w:rsidR="008800D7" w:rsidRPr="0015541C">
        <w:rPr>
          <w:b/>
          <w:lang w:val="pl-PL"/>
        </w:rPr>
        <w:t>10</w:t>
      </w:r>
      <w:r w:rsidRPr="0015541C">
        <w:rPr>
          <w:b/>
          <w:lang w:val="pl-PL"/>
        </w:rPr>
        <w:t>.</w:t>
      </w:r>
      <w:r w:rsidRPr="0015541C">
        <w:rPr>
          <w:b/>
          <w:lang w:val="pl-PL"/>
        </w:rPr>
        <w:tab/>
        <w:t>Wyniki badania E2100 dotyczące skuteczności</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417"/>
        <w:gridCol w:w="1998"/>
        <w:gridCol w:w="1263"/>
        <w:gridCol w:w="1977"/>
      </w:tblGrid>
      <w:tr w:rsidR="00994050" w:rsidRPr="0015541C" w14:paraId="7F5716BA" w14:textId="77777777" w:rsidTr="00FB4FA7">
        <w:trPr>
          <w:cantSplit/>
          <w:trHeight w:val="340"/>
        </w:trPr>
        <w:tc>
          <w:tcPr>
            <w:tcW w:w="8748" w:type="dxa"/>
            <w:gridSpan w:val="5"/>
            <w:shd w:val="clear" w:color="auto" w:fill="auto"/>
          </w:tcPr>
          <w:p w14:paraId="1B0A9086" w14:textId="77777777" w:rsidR="00994050" w:rsidRPr="0015541C" w:rsidRDefault="00994050" w:rsidP="00112762">
            <w:pPr>
              <w:keepNext/>
              <w:keepLines/>
              <w:rPr>
                <w:sz w:val="21"/>
                <w:szCs w:val="21"/>
                <w:lang w:val="pl-PL"/>
              </w:rPr>
            </w:pPr>
            <w:r w:rsidRPr="0015541C">
              <w:rPr>
                <w:sz w:val="21"/>
                <w:szCs w:val="21"/>
                <w:lang w:val="pl-PL"/>
              </w:rPr>
              <w:t xml:space="preserve">Czas przeżycia wolny od progresji </w:t>
            </w:r>
          </w:p>
        </w:tc>
      </w:tr>
      <w:tr w:rsidR="00994050" w:rsidRPr="0015541C" w14:paraId="6A7D8D3B" w14:textId="77777777" w:rsidTr="00FB4FA7">
        <w:trPr>
          <w:cantSplit/>
        </w:trPr>
        <w:tc>
          <w:tcPr>
            <w:tcW w:w="2093" w:type="dxa"/>
            <w:shd w:val="clear" w:color="auto" w:fill="auto"/>
          </w:tcPr>
          <w:p w14:paraId="4B0FEAA9" w14:textId="77777777" w:rsidR="00994050" w:rsidRPr="0015541C" w:rsidRDefault="00994050" w:rsidP="00112762">
            <w:pPr>
              <w:keepNext/>
              <w:keepLines/>
              <w:jc w:val="center"/>
              <w:rPr>
                <w:sz w:val="21"/>
                <w:szCs w:val="21"/>
                <w:lang w:val="pl-PL"/>
              </w:rPr>
            </w:pPr>
          </w:p>
        </w:tc>
        <w:tc>
          <w:tcPr>
            <w:tcW w:w="3415" w:type="dxa"/>
            <w:gridSpan w:val="2"/>
            <w:shd w:val="clear" w:color="auto" w:fill="auto"/>
          </w:tcPr>
          <w:p w14:paraId="3CAA306F" w14:textId="77777777" w:rsidR="00994050" w:rsidRPr="0015541C" w:rsidRDefault="00994050" w:rsidP="00112762">
            <w:pPr>
              <w:keepNext/>
              <w:keepLines/>
              <w:jc w:val="center"/>
              <w:rPr>
                <w:sz w:val="21"/>
                <w:szCs w:val="21"/>
                <w:lang w:val="pl-PL"/>
              </w:rPr>
            </w:pPr>
            <w:r w:rsidRPr="0015541C">
              <w:rPr>
                <w:sz w:val="21"/>
                <w:szCs w:val="21"/>
                <w:lang w:val="pl-PL"/>
              </w:rPr>
              <w:t xml:space="preserve">Ocena badaczy * </w:t>
            </w:r>
          </w:p>
        </w:tc>
        <w:tc>
          <w:tcPr>
            <w:tcW w:w="3240" w:type="dxa"/>
            <w:gridSpan w:val="2"/>
            <w:shd w:val="clear" w:color="auto" w:fill="auto"/>
          </w:tcPr>
          <w:p w14:paraId="6810E066" w14:textId="77777777" w:rsidR="00994050" w:rsidRPr="00AC3958" w:rsidRDefault="00994050" w:rsidP="00112762">
            <w:pPr>
              <w:keepNext/>
              <w:keepLines/>
              <w:jc w:val="center"/>
              <w:rPr>
                <w:sz w:val="21"/>
                <w:szCs w:val="21"/>
                <w:lang w:val="pl-PL"/>
              </w:rPr>
            </w:pPr>
            <w:r w:rsidRPr="0015541C">
              <w:rPr>
                <w:sz w:val="21"/>
                <w:szCs w:val="21"/>
                <w:lang w:val="pl-PL"/>
              </w:rPr>
              <w:t xml:space="preserve">Ocena niezależnych ekspertów </w:t>
            </w:r>
          </w:p>
        </w:tc>
      </w:tr>
      <w:tr w:rsidR="00994050" w:rsidRPr="0015541C" w14:paraId="0518C15A" w14:textId="77777777" w:rsidTr="00FB4FA7">
        <w:trPr>
          <w:cantSplit/>
        </w:trPr>
        <w:tc>
          <w:tcPr>
            <w:tcW w:w="2093" w:type="dxa"/>
            <w:shd w:val="clear" w:color="auto" w:fill="auto"/>
          </w:tcPr>
          <w:p w14:paraId="6DA00B04" w14:textId="77777777" w:rsidR="00994050" w:rsidRPr="0015541C" w:rsidRDefault="00994050" w:rsidP="00112762">
            <w:pPr>
              <w:keepNext/>
              <w:keepLines/>
              <w:jc w:val="center"/>
              <w:rPr>
                <w:sz w:val="21"/>
                <w:szCs w:val="21"/>
                <w:lang w:val="pl-PL"/>
              </w:rPr>
            </w:pPr>
          </w:p>
        </w:tc>
        <w:tc>
          <w:tcPr>
            <w:tcW w:w="1417" w:type="dxa"/>
            <w:shd w:val="clear" w:color="auto" w:fill="auto"/>
          </w:tcPr>
          <w:p w14:paraId="2FD37896" w14:textId="77777777" w:rsidR="00994050" w:rsidRPr="0015541C" w:rsidRDefault="00994050" w:rsidP="00112762">
            <w:pPr>
              <w:keepNext/>
              <w:keepLines/>
              <w:jc w:val="center"/>
              <w:rPr>
                <w:sz w:val="21"/>
                <w:szCs w:val="21"/>
                <w:lang w:val="pl-PL"/>
              </w:rPr>
            </w:pPr>
            <w:r w:rsidRPr="0015541C">
              <w:rPr>
                <w:sz w:val="21"/>
                <w:szCs w:val="21"/>
                <w:lang w:val="pl-PL"/>
              </w:rPr>
              <w:t>Paklitaksel</w:t>
            </w:r>
          </w:p>
          <w:p w14:paraId="5EC5EE21" w14:textId="77777777" w:rsidR="00994050" w:rsidRPr="00AC3958" w:rsidRDefault="00994050" w:rsidP="00112762">
            <w:pPr>
              <w:keepNext/>
              <w:keepLines/>
              <w:jc w:val="center"/>
              <w:rPr>
                <w:sz w:val="21"/>
                <w:szCs w:val="21"/>
                <w:lang w:val="pl-PL"/>
              </w:rPr>
            </w:pPr>
            <w:r w:rsidRPr="0015541C">
              <w:rPr>
                <w:sz w:val="21"/>
                <w:szCs w:val="21"/>
                <w:lang w:val="pl-PL"/>
              </w:rPr>
              <w:t>(n=354)</w:t>
            </w:r>
          </w:p>
        </w:tc>
        <w:tc>
          <w:tcPr>
            <w:tcW w:w="1998" w:type="dxa"/>
            <w:shd w:val="clear" w:color="auto" w:fill="auto"/>
          </w:tcPr>
          <w:p w14:paraId="6A4D4772" w14:textId="77777777" w:rsidR="00994050" w:rsidRPr="0015541C" w:rsidRDefault="00994050" w:rsidP="00112762">
            <w:pPr>
              <w:keepNext/>
              <w:keepLines/>
              <w:jc w:val="center"/>
              <w:rPr>
                <w:sz w:val="21"/>
                <w:szCs w:val="21"/>
                <w:lang w:val="pl-PL"/>
              </w:rPr>
            </w:pPr>
            <w:r w:rsidRPr="00260CEC">
              <w:rPr>
                <w:sz w:val="21"/>
                <w:szCs w:val="21"/>
                <w:lang w:val="pl-PL"/>
              </w:rPr>
              <w:t>Paklitaksel/</w:t>
            </w:r>
            <w:r w:rsidR="003F265E" w:rsidRPr="0015541C">
              <w:rPr>
                <w:lang w:val="pl-PL"/>
              </w:rPr>
              <w:t xml:space="preserve"> </w:t>
            </w:r>
            <w:r w:rsidR="003F265E" w:rsidRPr="0015541C">
              <w:rPr>
                <w:sz w:val="21"/>
                <w:szCs w:val="21"/>
                <w:lang w:val="pl-PL"/>
              </w:rPr>
              <w:t>bewacyzumab</w:t>
            </w:r>
          </w:p>
          <w:p w14:paraId="31BAC9FD" w14:textId="77777777" w:rsidR="00994050" w:rsidRPr="0015541C" w:rsidRDefault="00994050" w:rsidP="00112762">
            <w:pPr>
              <w:keepNext/>
              <w:keepLines/>
              <w:jc w:val="center"/>
              <w:rPr>
                <w:sz w:val="21"/>
                <w:szCs w:val="21"/>
                <w:lang w:val="pl-PL"/>
              </w:rPr>
            </w:pPr>
            <w:r w:rsidRPr="0015541C">
              <w:rPr>
                <w:sz w:val="21"/>
                <w:szCs w:val="21"/>
                <w:lang w:val="pl-PL"/>
              </w:rPr>
              <w:t>(n=368)</w:t>
            </w:r>
          </w:p>
        </w:tc>
        <w:tc>
          <w:tcPr>
            <w:tcW w:w="1263" w:type="dxa"/>
            <w:shd w:val="clear" w:color="auto" w:fill="auto"/>
          </w:tcPr>
          <w:p w14:paraId="65E3C620" w14:textId="77777777" w:rsidR="00994050" w:rsidRPr="0015541C" w:rsidRDefault="00994050" w:rsidP="00112762">
            <w:pPr>
              <w:keepNext/>
              <w:keepLines/>
              <w:jc w:val="center"/>
              <w:rPr>
                <w:sz w:val="21"/>
                <w:szCs w:val="21"/>
                <w:lang w:val="pl-PL"/>
              </w:rPr>
            </w:pPr>
            <w:r w:rsidRPr="0015541C">
              <w:rPr>
                <w:sz w:val="21"/>
                <w:szCs w:val="21"/>
                <w:lang w:val="pl-PL"/>
              </w:rPr>
              <w:t>Paklitaksel</w:t>
            </w:r>
          </w:p>
          <w:p w14:paraId="6E34A3F2" w14:textId="77777777" w:rsidR="00994050" w:rsidRPr="0015541C" w:rsidRDefault="00994050" w:rsidP="00112762">
            <w:pPr>
              <w:keepNext/>
              <w:keepLines/>
              <w:jc w:val="center"/>
              <w:rPr>
                <w:sz w:val="21"/>
                <w:szCs w:val="21"/>
                <w:lang w:val="pl-PL"/>
              </w:rPr>
            </w:pPr>
            <w:r w:rsidRPr="0015541C">
              <w:rPr>
                <w:sz w:val="21"/>
                <w:szCs w:val="21"/>
                <w:lang w:val="pl-PL"/>
              </w:rPr>
              <w:t>(n=354)</w:t>
            </w:r>
          </w:p>
        </w:tc>
        <w:tc>
          <w:tcPr>
            <w:tcW w:w="1977" w:type="dxa"/>
            <w:shd w:val="clear" w:color="auto" w:fill="auto"/>
          </w:tcPr>
          <w:p w14:paraId="74827173" w14:textId="77777777" w:rsidR="00994050" w:rsidRPr="0015541C" w:rsidRDefault="00994050" w:rsidP="00112762">
            <w:pPr>
              <w:keepNext/>
              <w:keepLines/>
              <w:jc w:val="center"/>
              <w:rPr>
                <w:sz w:val="21"/>
                <w:szCs w:val="21"/>
                <w:lang w:val="pl-PL"/>
              </w:rPr>
            </w:pPr>
            <w:r w:rsidRPr="0015541C">
              <w:rPr>
                <w:sz w:val="21"/>
                <w:szCs w:val="21"/>
                <w:lang w:val="pl-PL"/>
              </w:rPr>
              <w:t>Paklitaksel/</w:t>
            </w:r>
            <w:r w:rsidR="003F265E" w:rsidRPr="0015541C">
              <w:rPr>
                <w:lang w:val="pl-PL"/>
              </w:rPr>
              <w:t xml:space="preserve"> </w:t>
            </w:r>
            <w:r w:rsidR="003F265E" w:rsidRPr="0015541C">
              <w:rPr>
                <w:sz w:val="21"/>
                <w:szCs w:val="21"/>
                <w:lang w:val="pl-PL"/>
              </w:rPr>
              <w:t>bewacyzumab</w:t>
            </w:r>
          </w:p>
          <w:p w14:paraId="4B473067" w14:textId="77777777" w:rsidR="00994050" w:rsidRPr="0015541C" w:rsidRDefault="00994050" w:rsidP="00112762">
            <w:pPr>
              <w:keepNext/>
              <w:keepLines/>
              <w:jc w:val="center"/>
              <w:rPr>
                <w:sz w:val="21"/>
                <w:szCs w:val="21"/>
                <w:lang w:val="pl-PL"/>
              </w:rPr>
            </w:pPr>
            <w:r w:rsidRPr="0015541C">
              <w:rPr>
                <w:sz w:val="21"/>
                <w:szCs w:val="21"/>
                <w:lang w:val="pl-PL"/>
              </w:rPr>
              <w:t>(n=368)</w:t>
            </w:r>
          </w:p>
        </w:tc>
      </w:tr>
      <w:tr w:rsidR="00994050" w:rsidRPr="0015541C" w14:paraId="05D0B03F" w14:textId="77777777" w:rsidTr="00FB4FA7">
        <w:trPr>
          <w:cantSplit/>
        </w:trPr>
        <w:tc>
          <w:tcPr>
            <w:tcW w:w="2093" w:type="dxa"/>
            <w:shd w:val="clear" w:color="auto" w:fill="auto"/>
          </w:tcPr>
          <w:p w14:paraId="21BE5CAF" w14:textId="77777777" w:rsidR="00994050" w:rsidRPr="0015541C" w:rsidRDefault="00994050" w:rsidP="00112762">
            <w:pPr>
              <w:keepNext/>
              <w:keepLines/>
              <w:jc w:val="center"/>
              <w:rPr>
                <w:sz w:val="21"/>
                <w:szCs w:val="21"/>
                <w:lang w:val="pl-PL"/>
              </w:rPr>
            </w:pPr>
            <w:r w:rsidRPr="0015541C">
              <w:rPr>
                <w:sz w:val="21"/>
                <w:szCs w:val="21"/>
                <w:lang w:val="pl-PL"/>
              </w:rPr>
              <w:t>Mediana PFS (miesiące)</w:t>
            </w:r>
          </w:p>
        </w:tc>
        <w:tc>
          <w:tcPr>
            <w:tcW w:w="1417" w:type="dxa"/>
            <w:shd w:val="clear" w:color="auto" w:fill="auto"/>
          </w:tcPr>
          <w:p w14:paraId="1EF667E3" w14:textId="77777777" w:rsidR="00994050" w:rsidRPr="00AC3958" w:rsidRDefault="00994050" w:rsidP="00112762">
            <w:pPr>
              <w:keepNext/>
              <w:keepLines/>
              <w:jc w:val="center"/>
              <w:rPr>
                <w:sz w:val="21"/>
                <w:szCs w:val="21"/>
                <w:lang w:val="pl-PL"/>
              </w:rPr>
            </w:pPr>
            <w:r w:rsidRPr="0015541C">
              <w:rPr>
                <w:sz w:val="21"/>
                <w:szCs w:val="21"/>
                <w:lang w:val="pl-PL"/>
              </w:rPr>
              <w:t>5,8</w:t>
            </w:r>
          </w:p>
        </w:tc>
        <w:tc>
          <w:tcPr>
            <w:tcW w:w="1998" w:type="dxa"/>
            <w:shd w:val="clear" w:color="auto" w:fill="auto"/>
          </w:tcPr>
          <w:p w14:paraId="6DFC3FC9" w14:textId="77777777" w:rsidR="00994050" w:rsidRPr="0015541C" w:rsidRDefault="00994050" w:rsidP="00112762">
            <w:pPr>
              <w:keepNext/>
              <w:keepLines/>
              <w:jc w:val="center"/>
              <w:rPr>
                <w:sz w:val="21"/>
                <w:szCs w:val="21"/>
                <w:lang w:val="pl-PL"/>
              </w:rPr>
            </w:pPr>
            <w:r w:rsidRPr="00260CEC">
              <w:rPr>
                <w:sz w:val="21"/>
                <w:szCs w:val="21"/>
                <w:lang w:val="pl-PL"/>
              </w:rPr>
              <w:t>11,4</w:t>
            </w:r>
          </w:p>
        </w:tc>
        <w:tc>
          <w:tcPr>
            <w:tcW w:w="1263" w:type="dxa"/>
            <w:shd w:val="clear" w:color="auto" w:fill="auto"/>
          </w:tcPr>
          <w:p w14:paraId="0127F770" w14:textId="77777777" w:rsidR="00994050" w:rsidRPr="0015541C" w:rsidRDefault="00994050" w:rsidP="00112762">
            <w:pPr>
              <w:keepNext/>
              <w:keepLines/>
              <w:jc w:val="center"/>
              <w:rPr>
                <w:sz w:val="21"/>
                <w:szCs w:val="21"/>
                <w:lang w:val="pl-PL"/>
              </w:rPr>
            </w:pPr>
            <w:r w:rsidRPr="0015541C">
              <w:rPr>
                <w:sz w:val="21"/>
                <w:szCs w:val="21"/>
                <w:lang w:val="pl-PL"/>
              </w:rPr>
              <w:t>5,8</w:t>
            </w:r>
          </w:p>
        </w:tc>
        <w:tc>
          <w:tcPr>
            <w:tcW w:w="1977" w:type="dxa"/>
            <w:shd w:val="clear" w:color="auto" w:fill="auto"/>
          </w:tcPr>
          <w:p w14:paraId="754C2913" w14:textId="77777777" w:rsidR="00994050" w:rsidRPr="0015541C" w:rsidRDefault="00994050" w:rsidP="00112762">
            <w:pPr>
              <w:keepNext/>
              <w:keepLines/>
              <w:jc w:val="center"/>
              <w:rPr>
                <w:sz w:val="21"/>
                <w:szCs w:val="21"/>
                <w:lang w:val="pl-PL"/>
              </w:rPr>
            </w:pPr>
            <w:r w:rsidRPr="0015541C">
              <w:rPr>
                <w:sz w:val="21"/>
                <w:szCs w:val="21"/>
                <w:lang w:val="pl-PL"/>
              </w:rPr>
              <w:t>11,3</w:t>
            </w:r>
          </w:p>
        </w:tc>
      </w:tr>
      <w:tr w:rsidR="00994050" w:rsidRPr="0015541C" w14:paraId="6B61BBA1" w14:textId="77777777" w:rsidTr="0096109D">
        <w:tc>
          <w:tcPr>
            <w:tcW w:w="2093" w:type="dxa"/>
            <w:shd w:val="clear" w:color="auto" w:fill="auto"/>
          </w:tcPr>
          <w:p w14:paraId="320626F2" w14:textId="77777777" w:rsidR="00994050" w:rsidRPr="0015541C" w:rsidRDefault="00994050" w:rsidP="00112762">
            <w:pPr>
              <w:keepNext/>
              <w:keepLines/>
              <w:jc w:val="center"/>
              <w:rPr>
                <w:sz w:val="21"/>
                <w:szCs w:val="21"/>
                <w:lang w:val="pl-PL"/>
              </w:rPr>
            </w:pPr>
            <w:r w:rsidRPr="0015541C">
              <w:rPr>
                <w:sz w:val="21"/>
                <w:szCs w:val="21"/>
                <w:lang w:val="pl-PL"/>
              </w:rPr>
              <w:t xml:space="preserve">HR </w:t>
            </w:r>
          </w:p>
          <w:p w14:paraId="3110E563" w14:textId="77777777" w:rsidR="00994050" w:rsidRPr="00AC3958" w:rsidRDefault="00994050" w:rsidP="00112762">
            <w:pPr>
              <w:keepNext/>
              <w:keepLines/>
              <w:jc w:val="center"/>
              <w:rPr>
                <w:sz w:val="21"/>
                <w:szCs w:val="21"/>
                <w:lang w:val="pl-PL"/>
              </w:rPr>
            </w:pPr>
            <w:r w:rsidRPr="0015541C">
              <w:rPr>
                <w:sz w:val="21"/>
                <w:szCs w:val="21"/>
                <w:lang w:val="pl-PL"/>
              </w:rPr>
              <w:t>(95% CI)</w:t>
            </w:r>
          </w:p>
        </w:tc>
        <w:tc>
          <w:tcPr>
            <w:tcW w:w="3415" w:type="dxa"/>
            <w:gridSpan w:val="2"/>
            <w:shd w:val="clear" w:color="auto" w:fill="auto"/>
          </w:tcPr>
          <w:p w14:paraId="703CC7C6" w14:textId="77777777" w:rsidR="00994050" w:rsidRPr="0015541C" w:rsidRDefault="00994050" w:rsidP="00112762">
            <w:pPr>
              <w:keepNext/>
              <w:keepLines/>
              <w:jc w:val="center"/>
              <w:rPr>
                <w:sz w:val="21"/>
                <w:szCs w:val="21"/>
                <w:lang w:val="pl-PL"/>
              </w:rPr>
            </w:pPr>
            <w:r w:rsidRPr="00260CEC">
              <w:rPr>
                <w:sz w:val="21"/>
                <w:szCs w:val="21"/>
                <w:lang w:val="pl-PL"/>
              </w:rPr>
              <w:t xml:space="preserve">0,421 </w:t>
            </w:r>
          </w:p>
          <w:p w14:paraId="66C8FBB3" w14:textId="77777777" w:rsidR="00994050" w:rsidRPr="0015541C" w:rsidRDefault="00994050" w:rsidP="00112762">
            <w:pPr>
              <w:keepNext/>
              <w:keepLines/>
              <w:jc w:val="center"/>
              <w:rPr>
                <w:sz w:val="21"/>
                <w:szCs w:val="21"/>
                <w:lang w:val="pl-PL"/>
              </w:rPr>
            </w:pPr>
            <w:r w:rsidRPr="0015541C">
              <w:rPr>
                <w:sz w:val="21"/>
                <w:szCs w:val="21"/>
                <w:lang w:val="pl-PL"/>
              </w:rPr>
              <w:t>(0,343 ; 0,516)</w:t>
            </w:r>
          </w:p>
        </w:tc>
        <w:tc>
          <w:tcPr>
            <w:tcW w:w="3240" w:type="dxa"/>
            <w:gridSpan w:val="2"/>
            <w:shd w:val="clear" w:color="auto" w:fill="auto"/>
          </w:tcPr>
          <w:p w14:paraId="476CFD22" w14:textId="77777777" w:rsidR="00994050" w:rsidRPr="0015541C" w:rsidRDefault="00994050" w:rsidP="00112762">
            <w:pPr>
              <w:keepNext/>
              <w:keepLines/>
              <w:jc w:val="center"/>
              <w:rPr>
                <w:sz w:val="21"/>
                <w:szCs w:val="21"/>
                <w:lang w:val="pl-PL"/>
              </w:rPr>
            </w:pPr>
            <w:r w:rsidRPr="0015541C">
              <w:rPr>
                <w:sz w:val="21"/>
                <w:szCs w:val="21"/>
                <w:lang w:val="pl-PL"/>
              </w:rPr>
              <w:t xml:space="preserve">0,483 </w:t>
            </w:r>
          </w:p>
          <w:p w14:paraId="3B37EBE6" w14:textId="77777777" w:rsidR="00994050" w:rsidRPr="0015541C" w:rsidRDefault="00994050" w:rsidP="00112762">
            <w:pPr>
              <w:keepNext/>
              <w:keepLines/>
              <w:jc w:val="center"/>
              <w:rPr>
                <w:sz w:val="21"/>
                <w:szCs w:val="21"/>
                <w:lang w:val="pl-PL"/>
              </w:rPr>
            </w:pPr>
            <w:r w:rsidRPr="0015541C">
              <w:rPr>
                <w:sz w:val="21"/>
                <w:szCs w:val="21"/>
                <w:lang w:val="pl-PL"/>
              </w:rPr>
              <w:t>(0,385 ; 0,607)</w:t>
            </w:r>
          </w:p>
        </w:tc>
      </w:tr>
      <w:tr w:rsidR="00994050" w:rsidRPr="0015541C" w14:paraId="326C25A8" w14:textId="77777777" w:rsidTr="00FB4FA7">
        <w:trPr>
          <w:cantSplit/>
        </w:trPr>
        <w:tc>
          <w:tcPr>
            <w:tcW w:w="2093" w:type="dxa"/>
            <w:shd w:val="clear" w:color="auto" w:fill="auto"/>
          </w:tcPr>
          <w:p w14:paraId="1F6810F7" w14:textId="77777777" w:rsidR="00994050" w:rsidRPr="0015541C" w:rsidRDefault="00994050" w:rsidP="00112762">
            <w:pPr>
              <w:keepNext/>
              <w:keepLines/>
              <w:jc w:val="center"/>
              <w:rPr>
                <w:sz w:val="21"/>
                <w:szCs w:val="21"/>
                <w:lang w:val="pl-PL"/>
              </w:rPr>
            </w:pPr>
            <w:r w:rsidRPr="0015541C">
              <w:rPr>
                <w:sz w:val="21"/>
                <w:szCs w:val="21"/>
                <w:lang w:val="pl-PL"/>
              </w:rPr>
              <w:t>Współczynnik p</w:t>
            </w:r>
          </w:p>
        </w:tc>
        <w:tc>
          <w:tcPr>
            <w:tcW w:w="3415" w:type="dxa"/>
            <w:gridSpan w:val="2"/>
            <w:shd w:val="clear" w:color="auto" w:fill="auto"/>
          </w:tcPr>
          <w:p w14:paraId="765FA8C5" w14:textId="77777777" w:rsidR="00994050" w:rsidRPr="00AC3958" w:rsidRDefault="00994050" w:rsidP="00112762">
            <w:pPr>
              <w:keepNext/>
              <w:keepLines/>
              <w:jc w:val="center"/>
              <w:rPr>
                <w:sz w:val="21"/>
                <w:szCs w:val="21"/>
                <w:lang w:val="pl-PL"/>
              </w:rPr>
            </w:pPr>
            <w:r w:rsidRPr="0015541C">
              <w:rPr>
                <w:sz w:val="21"/>
                <w:szCs w:val="21"/>
                <w:lang w:val="pl-PL"/>
              </w:rPr>
              <w:t>&lt;0,0001</w:t>
            </w:r>
          </w:p>
        </w:tc>
        <w:tc>
          <w:tcPr>
            <w:tcW w:w="3240" w:type="dxa"/>
            <w:gridSpan w:val="2"/>
            <w:shd w:val="clear" w:color="auto" w:fill="auto"/>
          </w:tcPr>
          <w:p w14:paraId="4EDA93FD" w14:textId="77777777" w:rsidR="00994050" w:rsidRPr="0015541C" w:rsidRDefault="00994050" w:rsidP="00112762">
            <w:pPr>
              <w:keepNext/>
              <w:keepLines/>
              <w:jc w:val="center"/>
              <w:rPr>
                <w:sz w:val="21"/>
                <w:szCs w:val="21"/>
                <w:lang w:val="pl-PL"/>
              </w:rPr>
            </w:pPr>
            <w:r w:rsidRPr="00260CEC">
              <w:rPr>
                <w:sz w:val="21"/>
                <w:szCs w:val="21"/>
                <w:lang w:val="pl-PL"/>
              </w:rPr>
              <w:t>&lt;0,0001</w:t>
            </w:r>
          </w:p>
        </w:tc>
      </w:tr>
      <w:tr w:rsidR="00994050" w:rsidRPr="0015541C" w14:paraId="22DDBD10" w14:textId="77777777" w:rsidTr="00FB4FA7">
        <w:trPr>
          <w:cantSplit/>
        </w:trPr>
        <w:tc>
          <w:tcPr>
            <w:tcW w:w="8748" w:type="dxa"/>
            <w:gridSpan w:val="5"/>
            <w:shd w:val="clear" w:color="auto" w:fill="auto"/>
          </w:tcPr>
          <w:p w14:paraId="79ED6236" w14:textId="77777777" w:rsidR="00994050" w:rsidRPr="0015541C" w:rsidRDefault="00994050" w:rsidP="00112762">
            <w:pPr>
              <w:keepNext/>
              <w:keepLines/>
              <w:spacing w:before="120" w:after="120"/>
              <w:rPr>
                <w:sz w:val="21"/>
                <w:szCs w:val="21"/>
                <w:lang w:val="pl-PL"/>
              </w:rPr>
            </w:pPr>
            <w:r w:rsidRPr="0015541C">
              <w:rPr>
                <w:sz w:val="21"/>
                <w:szCs w:val="21"/>
                <w:lang w:val="pl-PL"/>
              </w:rPr>
              <w:t>Współczynnik odpowiedzi (dla pacjentów z mierzalną chorobą)</w:t>
            </w:r>
          </w:p>
        </w:tc>
      </w:tr>
      <w:tr w:rsidR="00994050" w:rsidRPr="0015541C" w14:paraId="02A87AB3" w14:textId="77777777" w:rsidTr="00FB4FA7">
        <w:trPr>
          <w:cantSplit/>
        </w:trPr>
        <w:tc>
          <w:tcPr>
            <w:tcW w:w="2093" w:type="dxa"/>
            <w:shd w:val="clear" w:color="auto" w:fill="auto"/>
          </w:tcPr>
          <w:p w14:paraId="2FAAC3A3" w14:textId="77777777" w:rsidR="00994050" w:rsidRPr="0015541C" w:rsidRDefault="00994050" w:rsidP="00112762">
            <w:pPr>
              <w:keepNext/>
              <w:keepLines/>
              <w:jc w:val="center"/>
              <w:rPr>
                <w:sz w:val="21"/>
                <w:szCs w:val="21"/>
                <w:lang w:val="pl-PL"/>
              </w:rPr>
            </w:pPr>
          </w:p>
        </w:tc>
        <w:tc>
          <w:tcPr>
            <w:tcW w:w="3415" w:type="dxa"/>
            <w:gridSpan w:val="2"/>
            <w:shd w:val="clear" w:color="auto" w:fill="auto"/>
          </w:tcPr>
          <w:p w14:paraId="4520203A" w14:textId="77777777" w:rsidR="00994050" w:rsidRPr="0015541C" w:rsidRDefault="00994050" w:rsidP="00112762">
            <w:pPr>
              <w:keepNext/>
              <w:keepLines/>
              <w:jc w:val="center"/>
              <w:rPr>
                <w:sz w:val="21"/>
                <w:szCs w:val="21"/>
                <w:lang w:val="pl-PL"/>
              </w:rPr>
            </w:pPr>
            <w:r w:rsidRPr="0015541C">
              <w:rPr>
                <w:sz w:val="21"/>
                <w:szCs w:val="21"/>
                <w:lang w:val="pl-PL"/>
              </w:rPr>
              <w:t xml:space="preserve">Ocena badaczy </w:t>
            </w:r>
          </w:p>
        </w:tc>
        <w:tc>
          <w:tcPr>
            <w:tcW w:w="3240" w:type="dxa"/>
            <w:gridSpan w:val="2"/>
            <w:shd w:val="clear" w:color="auto" w:fill="auto"/>
          </w:tcPr>
          <w:p w14:paraId="7C812D01" w14:textId="77777777" w:rsidR="00994050" w:rsidRPr="00AC3958" w:rsidRDefault="00994050" w:rsidP="00112762">
            <w:pPr>
              <w:keepNext/>
              <w:keepLines/>
              <w:jc w:val="center"/>
              <w:rPr>
                <w:sz w:val="21"/>
                <w:szCs w:val="21"/>
                <w:lang w:val="pl-PL"/>
              </w:rPr>
            </w:pPr>
            <w:r w:rsidRPr="0015541C">
              <w:rPr>
                <w:sz w:val="21"/>
                <w:szCs w:val="21"/>
                <w:lang w:val="pl-PL"/>
              </w:rPr>
              <w:t>Ocena niezależnych ekspertów</w:t>
            </w:r>
          </w:p>
        </w:tc>
      </w:tr>
      <w:tr w:rsidR="00994050" w:rsidRPr="0015541C" w14:paraId="0CE4B710" w14:textId="77777777" w:rsidTr="00FB4FA7">
        <w:trPr>
          <w:cantSplit/>
        </w:trPr>
        <w:tc>
          <w:tcPr>
            <w:tcW w:w="2093" w:type="dxa"/>
            <w:shd w:val="clear" w:color="auto" w:fill="auto"/>
          </w:tcPr>
          <w:p w14:paraId="1477D7E8" w14:textId="77777777" w:rsidR="00994050" w:rsidRPr="0015541C" w:rsidRDefault="00994050" w:rsidP="00112762">
            <w:pPr>
              <w:keepNext/>
              <w:keepLines/>
              <w:jc w:val="center"/>
              <w:rPr>
                <w:sz w:val="21"/>
                <w:szCs w:val="21"/>
                <w:lang w:val="pl-PL"/>
              </w:rPr>
            </w:pPr>
          </w:p>
        </w:tc>
        <w:tc>
          <w:tcPr>
            <w:tcW w:w="1417" w:type="dxa"/>
            <w:shd w:val="clear" w:color="auto" w:fill="auto"/>
          </w:tcPr>
          <w:p w14:paraId="54A29F92" w14:textId="77777777" w:rsidR="00994050" w:rsidRPr="0015541C" w:rsidRDefault="00994050" w:rsidP="00112762">
            <w:pPr>
              <w:keepNext/>
              <w:keepLines/>
              <w:jc w:val="center"/>
              <w:rPr>
                <w:sz w:val="21"/>
                <w:szCs w:val="21"/>
                <w:lang w:val="pl-PL"/>
              </w:rPr>
            </w:pPr>
            <w:r w:rsidRPr="0015541C">
              <w:rPr>
                <w:sz w:val="21"/>
                <w:szCs w:val="21"/>
                <w:lang w:val="pl-PL"/>
              </w:rPr>
              <w:t>Paklitaksel</w:t>
            </w:r>
          </w:p>
          <w:p w14:paraId="7DD08F09" w14:textId="77777777" w:rsidR="00994050" w:rsidRPr="0015541C" w:rsidRDefault="00994050" w:rsidP="00112762">
            <w:pPr>
              <w:keepNext/>
              <w:keepLines/>
              <w:jc w:val="center"/>
              <w:rPr>
                <w:sz w:val="21"/>
                <w:szCs w:val="21"/>
                <w:lang w:val="pl-PL"/>
              </w:rPr>
            </w:pPr>
            <w:r w:rsidRPr="0015541C">
              <w:rPr>
                <w:sz w:val="21"/>
                <w:szCs w:val="21"/>
                <w:lang w:val="pl-PL"/>
              </w:rPr>
              <w:t>(n=</w:t>
            </w:r>
            <w:r w:rsidR="0090255D" w:rsidRPr="00AC3958">
              <w:rPr>
                <w:sz w:val="21"/>
                <w:szCs w:val="21"/>
                <w:lang w:val="pl-PL"/>
              </w:rPr>
              <w:t>273</w:t>
            </w:r>
            <w:r w:rsidRPr="00260CEC">
              <w:rPr>
                <w:sz w:val="21"/>
                <w:szCs w:val="21"/>
                <w:lang w:val="pl-PL"/>
              </w:rPr>
              <w:t>)</w:t>
            </w:r>
          </w:p>
        </w:tc>
        <w:tc>
          <w:tcPr>
            <w:tcW w:w="1998" w:type="dxa"/>
            <w:shd w:val="clear" w:color="auto" w:fill="auto"/>
          </w:tcPr>
          <w:p w14:paraId="450C34CB" w14:textId="77777777" w:rsidR="00994050" w:rsidRPr="0015541C" w:rsidRDefault="00994050" w:rsidP="00112762">
            <w:pPr>
              <w:keepNext/>
              <w:keepLines/>
              <w:jc w:val="center"/>
              <w:rPr>
                <w:sz w:val="21"/>
                <w:szCs w:val="21"/>
                <w:lang w:val="pl-PL"/>
              </w:rPr>
            </w:pPr>
            <w:r w:rsidRPr="0015541C">
              <w:rPr>
                <w:sz w:val="21"/>
                <w:szCs w:val="21"/>
                <w:lang w:val="pl-PL"/>
              </w:rPr>
              <w:t>Paklitaksel/</w:t>
            </w:r>
            <w:r w:rsidR="003F265E" w:rsidRPr="0015541C">
              <w:rPr>
                <w:lang w:val="pl-PL"/>
              </w:rPr>
              <w:t xml:space="preserve"> </w:t>
            </w:r>
            <w:r w:rsidR="003F265E" w:rsidRPr="0015541C">
              <w:rPr>
                <w:sz w:val="21"/>
                <w:szCs w:val="21"/>
                <w:lang w:val="pl-PL"/>
              </w:rPr>
              <w:t>bewacyzumab</w:t>
            </w:r>
          </w:p>
          <w:p w14:paraId="00523893" w14:textId="77777777" w:rsidR="00994050" w:rsidRPr="0015541C" w:rsidRDefault="00994050" w:rsidP="00112762">
            <w:pPr>
              <w:keepNext/>
              <w:keepLines/>
              <w:jc w:val="center"/>
              <w:rPr>
                <w:sz w:val="21"/>
                <w:szCs w:val="21"/>
                <w:lang w:val="pl-PL"/>
              </w:rPr>
            </w:pPr>
            <w:r w:rsidRPr="0015541C">
              <w:rPr>
                <w:sz w:val="21"/>
                <w:szCs w:val="21"/>
                <w:lang w:val="pl-PL"/>
              </w:rPr>
              <w:t>(n=</w:t>
            </w:r>
            <w:r w:rsidR="0090255D" w:rsidRPr="0015541C">
              <w:rPr>
                <w:sz w:val="21"/>
                <w:szCs w:val="21"/>
                <w:lang w:val="pl-PL"/>
              </w:rPr>
              <w:t>252</w:t>
            </w:r>
            <w:r w:rsidRPr="0015541C">
              <w:rPr>
                <w:sz w:val="21"/>
                <w:szCs w:val="21"/>
                <w:lang w:val="pl-PL"/>
              </w:rPr>
              <w:t>)</w:t>
            </w:r>
          </w:p>
        </w:tc>
        <w:tc>
          <w:tcPr>
            <w:tcW w:w="1263" w:type="dxa"/>
            <w:shd w:val="clear" w:color="auto" w:fill="auto"/>
          </w:tcPr>
          <w:p w14:paraId="6D51174C" w14:textId="77777777" w:rsidR="00994050" w:rsidRPr="0015541C" w:rsidRDefault="00994050" w:rsidP="00112762">
            <w:pPr>
              <w:keepNext/>
              <w:keepLines/>
              <w:jc w:val="center"/>
              <w:rPr>
                <w:sz w:val="21"/>
                <w:szCs w:val="21"/>
                <w:lang w:val="pl-PL"/>
              </w:rPr>
            </w:pPr>
            <w:r w:rsidRPr="0015541C">
              <w:rPr>
                <w:sz w:val="21"/>
                <w:szCs w:val="21"/>
                <w:lang w:val="pl-PL"/>
              </w:rPr>
              <w:t>Paklitaksel</w:t>
            </w:r>
          </w:p>
          <w:p w14:paraId="5AF7ABC8" w14:textId="77777777" w:rsidR="00994050" w:rsidRPr="0015541C" w:rsidRDefault="00994050" w:rsidP="00112762">
            <w:pPr>
              <w:keepNext/>
              <w:keepLines/>
              <w:jc w:val="center"/>
              <w:rPr>
                <w:sz w:val="21"/>
                <w:szCs w:val="21"/>
                <w:lang w:val="pl-PL"/>
              </w:rPr>
            </w:pPr>
            <w:r w:rsidRPr="0015541C">
              <w:rPr>
                <w:sz w:val="21"/>
                <w:szCs w:val="21"/>
                <w:lang w:val="pl-PL"/>
              </w:rPr>
              <w:t>(n=243)</w:t>
            </w:r>
          </w:p>
        </w:tc>
        <w:tc>
          <w:tcPr>
            <w:tcW w:w="1977" w:type="dxa"/>
            <w:shd w:val="clear" w:color="auto" w:fill="auto"/>
          </w:tcPr>
          <w:p w14:paraId="6A85F28B" w14:textId="77777777" w:rsidR="00994050" w:rsidRPr="0015541C" w:rsidRDefault="00994050" w:rsidP="00112762">
            <w:pPr>
              <w:keepNext/>
              <w:keepLines/>
              <w:jc w:val="center"/>
              <w:rPr>
                <w:sz w:val="21"/>
                <w:szCs w:val="21"/>
                <w:lang w:val="pl-PL"/>
              </w:rPr>
            </w:pPr>
            <w:r w:rsidRPr="0015541C">
              <w:rPr>
                <w:sz w:val="21"/>
                <w:szCs w:val="21"/>
                <w:lang w:val="pl-PL"/>
              </w:rPr>
              <w:t>Paklitaksel/</w:t>
            </w:r>
            <w:r w:rsidR="003F265E" w:rsidRPr="0015541C">
              <w:rPr>
                <w:lang w:val="pl-PL"/>
              </w:rPr>
              <w:t xml:space="preserve"> </w:t>
            </w:r>
            <w:r w:rsidR="003F265E" w:rsidRPr="0015541C">
              <w:rPr>
                <w:sz w:val="21"/>
                <w:szCs w:val="21"/>
                <w:lang w:val="pl-PL"/>
              </w:rPr>
              <w:t>bewacyzumab</w:t>
            </w:r>
          </w:p>
          <w:p w14:paraId="2FB6A500" w14:textId="77777777" w:rsidR="00994050" w:rsidRPr="0015541C" w:rsidRDefault="00994050" w:rsidP="00112762">
            <w:pPr>
              <w:keepNext/>
              <w:keepLines/>
              <w:jc w:val="center"/>
              <w:rPr>
                <w:sz w:val="21"/>
                <w:szCs w:val="21"/>
                <w:lang w:val="pl-PL"/>
              </w:rPr>
            </w:pPr>
            <w:r w:rsidRPr="0015541C">
              <w:rPr>
                <w:sz w:val="21"/>
                <w:szCs w:val="21"/>
                <w:lang w:val="pl-PL"/>
              </w:rPr>
              <w:t>(n=229)</w:t>
            </w:r>
          </w:p>
        </w:tc>
      </w:tr>
      <w:tr w:rsidR="00994050" w:rsidRPr="0015541C" w14:paraId="1B465E78" w14:textId="77777777" w:rsidTr="0096109D">
        <w:tc>
          <w:tcPr>
            <w:tcW w:w="2093" w:type="dxa"/>
            <w:shd w:val="clear" w:color="auto" w:fill="auto"/>
          </w:tcPr>
          <w:p w14:paraId="3D4F8DEB" w14:textId="77777777" w:rsidR="00994050" w:rsidRPr="0015541C" w:rsidRDefault="00994050" w:rsidP="00112762">
            <w:pPr>
              <w:keepNext/>
              <w:keepLines/>
              <w:jc w:val="center"/>
              <w:rPr>
                <w:sz w:val="21"/>
                <w:szCs w:val="21"/>
                <w:lang w:val="pl-PL"/>
              </w:rPr>
            </w:pPr>
            <w:r w:rsidRPr="0015541C">
              <w:rPr>
                <w:sz w:val="21"/>
                <w:szCs w:val="21"/>
                <w:lang w:val="pl-PL"/>
              </w:rPr>
              <w:t xml:space="preserve">% pacjentów z obiektywną odpowiedzią </w:t>
            </w:r>
          </w:p>
        </w:tc>
        <w:tc>
          <w:tcPr>
            <w:tcW w:w="1417" w:type="dxa"/>
            <w:shd w:val="clear" w:color="auto" w:fill="auto"/>
          </w:tcPr>
          <w:p w14:paraId="3004578C" w14:textId="77777777" w:rsidR="00994050" w:rsidRPr="00AC3958" w:rsidRDefault="00994050" w:rsidP="00112762">
            <w:pPr>
              <w:keepNext/>
              <w:keepLines/>
              <w:jc w:val="center"/>
              <w:rPr>
                <w:sz w:val="21"/>
                <w:szCs w:val="21"/>
                <w:lang w:val="pl-PL"/>
              </w:rPr>
            </w:pPr>
            <w:r w:rsidRPr="0015541C">
              <w:rPr>
                <w:sz w:val="21"/>
                <w:szCs w:val="21"/>
                <w:lang w:val="pl-PL"/>
              </w:rPr>
              <w:t>23,4</w:t>
            </w:r>
          </w:p>
        </w:tc>
        <w:tc>
          <w:tcPr>
            <w:tcW w:w="1998" w:type="dxa"/>
            <w:shd w:val="clear" w:color="auto" w:fill="auto"/>
          </w:tcPr>
          <w:p w14:paraId="319F7445" w14:textId="77777777" w:rsidR="00994050" w:rsidRPr="0015541C" w:rsidRDefault="00994050" w:rsidP="00112762">
            <w:pPr>
              <w:keepNext/>
              <w:keepLines/>
              <w:jc w:val="center"/>
              <w:rPr>
                <w:sz w:val="21"/>
                <w:szCs w:val="21"/>
                <w:lang w:val="pl-PL"/>
              </w:rPr>
            </w:pPr>
            <w:r w:rsidRPr="00260CEC">
              <w:rPr>
                <w:sz w:val="21"/>
                <w:szCs w:val="21"/>
                <w:lang w:val="pl-PL"/>
              </w:rPr>
              <w:t>48,0</w:t>
            </w:r>
          </w:p>
        </w:tc>
        <w:tc>
          <w:tcPr>
            <w:tcW w:w="1263" w:type="dxa"/>
            <w:shd w:val="clear" w:color="auto" w:fill="auto"/>
          </w:tcPr>
          <w:p w14:paraId="4D3C4FCF" w14:textId="77777777" w:rsidR="00994050" w:rsidRPr="0015541C" w:rsidRDefault="00994050" w:rsidP="00112762">
            <w:pPr>
              <w:keepNext/>
              <w:keepLines/>
              <w:jc w:val="center"/>
              <w:rPr>
                <w:sz w:val="21"/>
                <w:szCs w:val="21"/>
                <w:lang w:val="pl-PL"/>
              </w:rPr>
            </w:pPr>
            <w:r w:rsidRPr="0015541C">
              <w:rPr>
                <w:sz w:val="21"/>
                <w:szCs w:val="21"/>
                <w:lang w:val="pl-PL"/>
              </w:rPr>
              <w:t>22,2</w:t>
            </w:r>
          </w:p>
        </w:tc>
        <w:tc>
          <w:tcPr>
            <w:tcW w:w="1977" w:type="dxa"/>
            <w:shd w:val="clear" w:color="auto" w:fill="auto"/>
          </w:tcPr>
          <w:p w14:paraId="1DCEA2C0" w14:textId="77777777" w:rsidR="00994050" w:rsidRPr="0015541C" w:rsidRDefault="00994050" w:rsidP="00112762">
            <w:pPr>
              <w:keepNext/>
              <w:keepLines/>
              <w:jc w:val="center"/>
              <w:rPr>
                <w:sz w:val="21"/>
                <w:szCs w:val="21"/>
                <w:lang w:val="pl-PL"/>
              </w:rPr>
            </w:pPr>
            <w:r w:rsidRPr="0015541C">
              <w:rPr>
                <w:sz w:val="21"/>
                <w:szCs w:val="21"/>
                <w:lang w:val="pl-PL"/>
              </w:rPr>
              <w:t>49,8</w:t>
            </w:r>
          </w:p>
        </w:tc>
      </w:tr>
      <w:tr w:rsidR="00994050" w:rsidRPr="0015541C" w14:paraId="06BBA847" w14:textId="77777777" w:rsidTr="00FB4FA7">
        <w:trPr>
          <w:cantSplit/>
        </w:trPr>
        <w:tc>
          <w:tcPr>
            <w:tcW w:w="2093" w:type="dxa"/>
            <w:shd w:val="clear" w:color="auto" w:fill="auto"/>
          </w:tcPr>
          <w:p w14:paraId="75A2D657" w14:textId="77777777" w:rsidR="00994050" w:rsidRPr="0015541C" w:rsidRDefault="00994050" w:rsidP="00112762">
            <w:pPr>
              <w:keepNext/>
              <w:keepLines/>
              <w:jc w:val="center"/>
              <w:rPr>
                <w:sz w:val="21"/>
                <w:szCs w:val="21"/>
                <w:lang w:val="pl-PL"/>
              </w:rPr>
            </w:pPr>
            <w:r w:rsidRPr="0015541C">
              <w:rPr>
                <w:sz w:val="21"/>
                <w:szCs w:val="21"/>
                <w:lang w:val="pl-PL"/>
              </w:rPr>
              <w:t>Współczynnik p</w:t>
            </w:r>
          </w:p>
        </w:tc>
        <w:tc>
          <w:tcPr>
            <w:tcW w:w="3415" w:type="dxa"/>
            <w:gridSpan w:val="2"/>
            <w:shd w:val="clear" w:color="auto" w:fill="auto"/>
          </w:tcPr>
          <w:p w14:paraId="0305C304" w14:textId="77777777" w:rsidR="00994050" w:rsidRPr="00AC3958" w:rsidRDefault="00994050" w:rsidP="00112762">
            <w:pPr>
              <w:keepNext/>
              <w:keepLines/>
              <w:jc w:val="center"/>
              <w:rPr>
                <w:sz w:val="21"/>
                <w:szCs w:val="21"/>
                <w:lang w:val="pl-PL"/>
              </w:rPr>
            </w:pPr>
            <w:r w:rsidRPr="0015541C">
              <w:rPr>
                <w:sz w:val="21"/>
                <w:szCs w:val="21"/>
                <w:lang w:val="pl-PL"/>
              </w:rPr>
              <w:t>&lt;0,0001</w:t>
            </w:r>
          </w:p>
        </w:tc>
        <w:tc>
          <w:tcPr>
            <w:tcW w:w="3240" w:type="dxa"/>
            <w:gridSpan w:val="2"/>
            <w:shd w:val="clear" w:color="auto" w:fill="auto"/>
          </w:tcPr>
          <w:p w14:paraId="0F172A3A" w14:textId="77777777" w:rsidR="00994050" w:rsidRPr="0015541C" w:rsidRDefault="00994050" w:rsidP="00112762">
            <w:pPr>
              <w:keepNext/>
              <w:keepLines/>
              <w:jc w:val="center"/>
              <w:rPr>
                <w:sz w:val="21"/>
                <w:szCs w:val="21"/>
                <w:lang w:val="pl-PL"/>
              </w:rPr>
            </w:pPr>
            <w:r w:rsidRPr="00260CEC">
              <w:rPr>
                <w:sz w:val="21"/>
                <w:szCs w:val="21"/>
                <w:lang w:val="pl-PL"/>
              </w:rPr>
              <w:t>&lt;0,0001</w:t>
            </w:r>
          </w:p>
        </w:tc>
      </w:tr>
    </w:tbl>
    <w:p w14:paraId="68334E8F" w14:textId="77777777" w:rsidR="00994050" w:rsidRPr="0015541C" w:rsidRDefault="00994050" w:rsidP="00112762">
      <w:pPr>
        <w:keepNext/>
        <w:keepLines/>
        <w:rPr>
          <w:sz w:val="21"/>
          <w:szCs w:val="21"/>
          <w:lang w:val="pl-PL"/>
        </w:rPr>
      </w:pPr>
      <w:r w:rsidRPr="0015541C">
        <w:rPr>
          <w:sz w:val="21"/>
          <w:szCs w:val="21"/>
          <w:lang w:val="pl-PL"/>
        </w:rPr>
        <w:t>* analiza pierwotna</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240"/>
        <w:gridCol w:w="3240"/>
      </w:tblGrid>
      <w:tr w:rsidR="00994050" w:rsidRPr="0015541C" w14:paraId="71A50D6E" w14:textId="77777777" w:rsidTr="00FB4FA7">
        <w:trPr>
          <w:cantSplit/>
        </w:trPr>
        <w:tc>
          <w:tcPr>
            <w:tcW w:w="8748" w:type="dxa"/>
            <w:gridSpan w:val="3"/>
            <w:shd w:val="clear" w:color="auto" w:fill="auto"/>
          </w:tcPr>
          <w:p w14:paraId="1359A895" w14:textId="0F2B1E34" w:rsidR="00994050" w:rsidRPr="00AC3958" w:rsidRDefault="00C15158" w:rsidP="00112762">
            <w:pPr>
              <w:keepNext/>
              <w:keepLines/>
              <w:rPr>
                <w:sz w:val="21"/>
                <w:szCs w:val="21"/>
                <w:lang w:val="pl-PL"/>
              </w:rPr>
            </w:pPr>
            <w:r w:rsidRPr="0015541C">
              <w:rPr>
                <w:sz w:val="21"/>
                <w:szCs w:val="21"/>
                <w:lang w:val="pl-PL"/>
              </w:rPr>
              <w:t>Całkowity czas przeżycia</w:t>
            </w:r>
          </w:p>
        </w:tc>
      </w:tr>
      <w:tr w:rsidR="00994050" w:rsidRPr="0015541C" w14:paraId="166D9146" w14:textId="77777777" w:rsidTr="00FB4FA7">
        <w:trPr>
          <w:cantSplit/>
        </w:trPr>
        <w:tc>
          <w:tcPr>
            <w:tcW w:w="2268" w:type="dxa"/>
            <w:shd w:val="clear" w:color="auto" w:fill="auto"/>
          </w:tcPr>
          <w:p w14:paraId="640122BB" w14:textId="77777777" w:rsidR="00994050" w:rsidRPr="0015541C" w:rsidRDefault="00994050" w:rsidP="00112762">
            <w:pPr>
              <w:keepNext/>
              <w:keepLines/>
              <w:rPr>
                <w:sz w:val="21"/>
                <w:szCs w:val="21"/>
                <w:lang w:val="pl-PL"/>
              </w:rPr>
            </w:pPr>
          </w:p>
        </w:tc>
        <w:tc>
          <w:tcPr>
            <w:tcW w:w="3240" w:type="dxa"/>
            <w:shd w:val="clear" w:color="auto" w:fill="auto"/>
          </w:tcPr>
          <w:p w14:paraId="1A9E3DD2" w14:textId="77777777" w:rsidR="00994050" w:rsidRPr="0015541C" w:rsidRDefault="00994050" w:rsidP="00112762">
            <w:pPr>
              <w:keepNext/>
              <w:keepLines/>
              <w:jc w:val="center"/>
              <w:rPr>
                <w:sz w:val="21"/>
                <w:szCs w:val="21"/>
                <w:lang w:val="pl-PL"/>
              </w:rPr>
            </w:pPr>
            <w:r w:rsidRPr="0015541C">
              <w:rPr>
                <w:sz w:val="21"/>
                <w:szCs w:val="21"/>
                <w:lang w:val="pl-PL"/>
              </w:rPr>
              <w:t>Paklitaksel</w:t>
            </w:r>
          </w:p>
          <w:p w14:paraId="43B66B9E" w14:textId="77777777" w:rsidR="00994050" w:rsidRPr="00AC3958" w:rsidRDefault="00994050" w:rsidP="00112762">
            <w:pPr>
              <w:keepNext/>
              <w:keepLines/>
              <w:jc w:val="center"/>
              <w:rPr>
                <w:sz w:val="21"/>
                <w:szCs w:val="21"/>
                <w:lang w:val="pl-PL"/>
              </w:rPr>
            </w:pPr>
            <w:r w:rsidRPr="0015541C">
              <w:rPr>
                <w:sz w:val="21"/>
                <w:szCs w:val="21"/>
                <w:lang w:val="pl-PL"/>
              </w:rPr>
              <w:t>(n=354)</w:t>
            </w:r>
          </w:p>
        </w:tc>
        <w:tc>
          <w:tcPr>
            <w:tcW w:w="3240" w:type="dxa"/>
            <w:shd w:val="clear" w:color="auto" w:fill="auto"/>
          </w:tcPr>
          <w:p w14:paraId="484B6D6E" w14:textId="77777777" w:rsidR="00994050" w:rsidRPr="0015541C" w:rsidRDefault="00994050" w:rsidP="00112762">
            <w:pPr>
              <w:keepNext/>
              <w:keepLines/>
              <w:jc w:val="center"/>
              <w:rPr>
                <w:sz w:val="21"/>
                <w:szCs w:val="21"/>
                <w:lang w:val="pl-PL"/>
              </w:rPr>
            </w:pPr>
            <w:r w:rsidRPr="00260CEC">
              <w:rPr>
                <w:sz w:val="21"/>
                <w:szCs w:val="21"/>
                <w:lang w:val="pl-PL"/>
              </w:rPr>
              <w:t>Paklitaksel/</w:t>
            </w:r>
            <w:r w:rsidR="003F265E" w:rsidRPr="0015541C">
              <w:rPr>
                <w:sz w:val="21"/>
                <w:szCs w:val="21"/>
                <w:lang w:val="pl-PL"/>
              </w:rPr>
              <w:t>bewacyzumab</w:t>
            </w:r>
          </w:p>
          <w:p w14:paraId="10B1F76C" w14:textId="77777777" w:rsidR="00994050" w:rsidRPr="0015541C" w:rsidRDefault="00994050" w:rsidP="00112762">
            <w:pPr>
              <w:keepNext/>
              <w:keepLines/>
              <w:jc w:val="center"/>
              <w:rPr>
                <w:sz w:val="21"/>
                <w:szCs w:val="21"/>
                <w:lang w:val="pl-PL"/>
              </w:rPr>
            </w:pPr>
            <w:r w:rsidRPr="0015541C">
              <w:rPr>
                <w:sz w:val="21"/>
                <w:szCs w:val="21"/>
                <w:lang w:val="pl-PL"/>
              </w:rPr>
              <w:t>(n=368)</w:t>
            </w:r>
          </w:p>
        </w:tc>
      </w:tr>
      <w:tr w:rsidR="00994050" w:rsidRPr="0015541C" w14:paraId="5FBAA307" w14:textId="77777777" w:rsidTr="00FB4FA7">
        <w:trPr>
          <w:cantSplit/>
        </w:trPr>
        <w:tc>
          <w:tcPr>
            <w:tcW w:w="2268" w:type="dxa"/>
            <w:shd w:val="clear" w:color="auto" w:fill="auto"/>
          </w:tcPr>
          <w:p w14:paraId="046AF643" w14:textId="77777777" w:rsidR="00994050" w:rsidRPr="0015541C" w:rsidRDefault="00994050" w:rsidP="00112762">
            <w:pPr>
              <w:keepNext/>
              <w:keepLines/>
              <w:jc w:val="center"/>
              <w:rPr>
                <w:sz w:val="21"/>
                <w:szCs w:val="21"/>
                <w:lang w:val="pl-PL"/>
              </w:rPr>
            </w:pPr>
            <w:r w:rsidRPr="0015541C">
              <w:rPr>
                <w:sz w:val="21"/>
                <w:szCs w:val="21"/>
                <w:lang w:val="pl-PL"/>
              </w:rPr>
              <w:t>Mediana OS (miesiące)</w:t>
            </w:r>
          </w:p>
        </w:tc>
        <w:tc>
          <w:tcPr>
            <w:tcW w:w="3240" w:type="dxa"/>
            <w:shd w:val="clear" w:color="auto" w:fill="auto"/>
          </w:tcPr>
          <w:p w14:paraId="167614ED" w14:textId="77777777" w:rsidR="00994050" w:rsidRPr="00AC3958" w:rsidRDefault="00994050" w:rsidP="00112762">
            <w:pPr>
              <w:keepNext/>
              <w:keepLines/>
              <w:jc w:val="center"/>
              <w:rPr>
                <w:sz w:val="21"/>
                <w:szCs w:val="21"/>
                <w:lang w:val="pl-PL"/>
              </w:rPr>
            </w:pPr>
            <w:r w:rsidRPr="0015541C">
              <w:rPr>
                <w:sz w:val="21"/>
                <w:szCs w:val="21"/>
                <w:lang w:val="pl-PL"/>
              </w:rPr>
              <w:t>24,8</w:t>
            </w:r>
          </w:p>
        </w:tc>
        <w:tc>
          <w:tcPr>
            <w:tcW w:w="3240" w:type="dxa"/>
            <w:shd w:val="clear" w:color="auto" w:fill="auto"/>
          </w:tcPr>
          <w:p w14:paraId="4B0D7E7F" w14:textId="77777777" w:rsidR="00994050" w:rsidRPr="0015541C" w:rsidRDefault="00994050" w:rsidP="00112762">
            <w:pPr>
              <w:keepNext/>
              <w:keepLines/>
              <w:jc w:val="center"/>
              <w:rPr>
                <w:sz w:val="21"/>
                <w:szCs w:val="21"/>
                <w:lang w:val="pl-PL"/>
              </w:rPr>
            </w:pPr>
            <w:r w:rsidRPr="00260CEC">
              <w:rPr>
                <w:sz w:val="21"/>
                <w:szCs w:val="21"/>
                <w:lang w:val="pl-PL"/>
              </w:rPr>
              <w:t>26,5</w:t>
            </w:r>
          </w:p>
        </w:tc>
      </w:tr>
      <w:tr w:rsidR="00994050" w:rsidRPr="0015541C" w14:paraId="0C13CFA1" w14:textId="77777777" w:rsidTr="00FB4FA7">
        <w:tc>
          <w:tcPr>
            <w:tcW w:w="2268" w:type="dxa"/>
            <w:shd w:val="clear" w:color="auto" w:fill="auto"/>
          </w:tcPr>
          <w:p w14:paraId="160D3C08" w14:textId="77777777" w:rsidR="00994050" w:rsidRPr="0015541C" w:rsidRDefault="00994050" w:rsidP="00112762">
            <w:pPr>
              <w:keepNext/>
              <w:keepLines/>
              <w:jc w:val="center"/>
              <w:rPr>
                <w:sz w:val="21"/>
                <w:szCs w:val="21"/>
                <w:lang w:val="pl-PL"/>
              </w:rPr>
            </w:pPr>
            <w:r w:rsidRPr="0015541C">
              <w:rPr>
                <w:sz w:val="21"/>
                <w:szCs w:val="21"/>
                <w:lang w:val="pl-PL"/>
              </w:rPr>
              <w:t>współczynnik ryzyka</w:t>
            </w:r>
          </w:p>
          <w:p w14:paraId="14C4B562" w14:textId="77777777" w:rsidR="00994050" w:rsidRPr="00AC3958" w:rsidRDefault="00994050" w:rsidP="00112762">
            <w:pPr>
              <w:keepNext/>
              <w:keepLines/>
              <w:jc w:val="center"/>
              <w:rPr>
                <w:sz w:val="21"/>
                <w:szCs w:val="21"/>
                <w:lang w:val="pl-PL"/>
              </w:rPr>
            </w:pPr>
            <w:r w:rsidRPr="0015541C">
              <w:rPr>
                <w:sz w:val="21"/>
                <w:szCs w:val="21"/>
                <w:lang w:val="pl-PL"/>
              </w:rPr>
              <w:t>(95% CI)</w:t>
            </w:r>
          </w:p>
        </w:tc>
        <w:tc>
          <w:tcPr>
            <w:tcW w:w="6480" w:type="dxa"/>
            <w:gridSpan w:val="2"/>
            <w:shd w:val="clear" w:color="auto" w:fill="auto"/>
          </w:tcPr>
          <w:p w14:paraId="596F2619" w14:textId="77777777" w:rsidR="00994050" w:rsidRPr="0015541C" w:rsidRDefault="00994050" w:rsidP="00112762">
            <w:pPr>
              <w:keepNext/>
              <w:keepLines/>
              <w:jc w:val="center"/>
              <w:rPr>
                <w:sz w:val="21"/>
                <w:szCs w:val="21"/>
                <w:lang w:val="pl-PL"/>
              </w:rPr>
            </w:pPr>
            <w:r w:rsidRPr="00260CEC">
              <w:rPr>
                <w:sz w:val="21"/>
                <w:szCs w:val="21"/>
                <w:lang w:val="pl-PL"/>
              </w:rPr>
              <w:t xml:space="preserve">0,869 </w:t>
            </w:r>
          </w:p>
          <w:p w14:paraId="18158173" w14:textId="77777777" w:rsidR="00994050" w:rsidRPr="0015541C" w:rsidRDefault="00994050" w:rsidP="00112762">
            <w:pPr>
              <w:keepNext/>
              <w:keepLines/>
              <w:jc w:val="center"/>
              <w:rPr>
                <w:sz w:val="21"/>
                <w:szCs w:val="21"/>
                <w:lang w:val="pl-PL"/>
              </w:rPr>
            </w:pPr>
            <w:r w:rsidRPr="0015541C">
              <w:rPr>
                <w:sz w:val="21"/>
                <w:szCs w:val="21"/>
                <w:lang w:val="pl-PL"/>
              </w:rPr>
              <w:t>(0,722 ; 1,046)</w:t>
            </w:r>
          </w:p>
        </w:tc>
      </w:tr>
      <w:tr w:rsidR="00994050" w:rsidRPr="0015541C" w14:paraId="04201A26" w14:textId="77777777" w:rsidTr="00FB4FA7">
        <w:trPr>
          <w:cantSplit/>
        </w:trPr>
        <w:tc>
          <w:tcPr>
            <w:tcW w:w="2268" w:type="dxa"/>
            <w:shd w:val="clear" w:color="auto" w:fill="auto"/>
          </w:tcPr>
          <w:p w14:paraId="6F110577" w14:textId="77777777" w:rsidR="00994050" w:rsidRPr="0015541C" w:rsidRDefault="00994050" w:rsidP="00112762">
            <w:pPr>
              <w:keepNext/>
              <w:keepLines/>
              <w:jc w:val="center"/>
              <w:rPr>
                <w:sz w:val="21"/>
                <w:szCs w:val="21"/>
                <w:lang w:val="pl-PL"/>
              </w:rPr>
            </w:pPr>
            <w:r w:rsidRPr="0015541C">
              <w:rPr>
                <w:sz w:val="21"/>
                <w:szCs w:val="21"/>
                <w:lang w:val="pl-PL"/>
              </w:rPr>
              <w:t xml:space="preserve">Współczynnik p </w:t>
            </w:r>
          </w:p>
        </w:tc>
        <w:tc>
          <w:tcPr>
            <w:tcW w:w="6480" w:type="dxa"/>
            <w:gridSpan w:val="2"/>
            <w:shd w:val="clear" w:color="auto" w:fill="auto"/>
          </w:tcPr>
          <w:p w14:paraId="7B0B85FC" w14:textId="77777777" w:rsidR="00994050" w:rsidRPr="00AC3958" w:rsidRDefault="00994050" w:rsidP="00112762">
            <w:pPr>
              <w:keepNext/>
              <w:keepLines/>
              <w:jc w:val="center"/>
              <w:rPr>
                <w:sz w:val="21"/>
                <w:szCs w:val="21"/>
                <w:lang w:val="pl-PL"/>
              </w:rPr>
            </w:pPr>
            <w:r w:rsidRPr="0015541C">
              <w:rPr>
                <w:sz w:val="21"/>
                <w:szCs w:val="21"/>
                <w:lang w:val="pl-PL"/>
              </w:rPr>
              <w:t>0,1374</w:t>
            </w:r>
          </w:p>
        </w:tc>
      </w:tr>
    </w:tbl>
    <w:p w14:paraId="5E97D22F" w14:textId="77777777" w:rsidR="00994050" w:rsidRPr="0015541C" w:rsidRDefault="00994050" w:rsidP="00AB6F99">
      <w:pPr>
        <w:rPr>
          <w:b/>
          <w:lang w:val="pl-PL"/>
        </w:rPr>
      </w:pPr>
    </w:p>
    <w:p w14:paraId="01673FA0" w14:textId="1C8358D9" w:rsidR="0090255D" w:rsidRPr="0015541C" w:rsidRDefault="00994050" w:rsidP="0090255D">
      <w:pPr>
        <w:rPr>
          <w:b/>
          <w:lang w:val="pl-PL"/>
        </w:rPr>
      </w:pPr>
      <w:r w:rsidRPr="0015541C">
        <w:rPr>
          <w:lang w:val="pl-PL"/>
        </w:rPr>
        <w:t xml:space="preserve">Korzyść kliniczną działania </w:t>
      </w:r>
      <w:r w:rsidR="003F265E" w:rsidRPr="0015541C">
        <w:rPr>
          <w:lang w:val="pl-PL"/>
        </w:rPr>
        <w:t>bewacyzumab</w:t>
      </w:r>
      <w:r w:rsidRPr="0015541C">
        <w:rPr>
          <w:lang w:val="pl-PL"/>
        </w:rPr>
        <w:t xml:space="preserve">u ocenianą na podstawie wydłużenia </w:t>
      </w:r>
      <w:r w:rsidR="00C15158" w:rsidRPr="00AC3958">
        <w:rPr>
          <w:lang w:val="pl-PL"/>
        </w:rPr>
        <w:t>PFS</w:t>
      </w:r>
      <w:r w:rsidRPr="00260CEC">
        <w:rPr>
          <w:lang w:val="pl-PL"/>
        </w:rPr>
        <w:t xml:space="preserve"> stwierdzono we wszystkich wcześniej zdefiniowanych podgrupach chorych (wyodrębnionych ze względu na okres wolny od objawów choroby, liczbę ognisk przerzutowych, uprzednie leczenie chemioterapią adiuwantową oraz status receptorów estrogenowych).</w:t>
      </w:r>
    </w:p>
    <w:p w14:paraId="71009BD6" w14:textId="77777777" w:rsidR="004621AB" w:rsidRPr="0015541C" w:rsidRDefault="004621AB" w:rsidP="00A93B88">
      <w:pPr>
        <w:rPr>
          <w:szCs w:val="22"/>
          <w:lang w:val="pl-PL"/>
        </w:rPr>
      </w:pPr>
    </w:p>
    <w:p w14:paraId="3F676238" w14:textId="77777777" w:rsidR="00A93B88" w:rsidRPr="0015541C" w:rsidRDefault="00A93B88" w:rsidP="00A93B88">
      <w:pPr>
        <w:rPr>
          <w:i/>
          <w:szCs w:val="22"/>
          <w:lang w:val="pl-PL"/>
        </w:rPr>
      </w:pPr>
      <w:r w:rsidRPr="0015541C">
        <w:rPr>
          <w:i/>
          <w:szCs w:val="22"/>
          <w:lang w:val="pl-PL"/>
        </w:rPr>
        <w:t>AVF3694g</w:t>
      </w:r>
    </w:p>
    <w:p w14:paraId="7C2FDEEC" w14:textId="77777777" w:rsidR="00A93B88" w:rsidRPr="0015541C" w:rsidRDefault="00A93B88" w:rsidP="00A93B88">
      <w:pPr>
        <w:rPr>
          <w:bCs/>
          <w:lang w:val="pl-PL"/>
        </w:rPr>
      </w:pPr>
      <w:r w:rsidRPr="0015541C">
        <w:rPr>
          <w:bCs/>
          <w:lang w:val="pl-PL"/>
        </w:rPr>
        <w:t>Przeprowadzono wieloośrodkowe badanie fazy III</w:t>
      </w:r>
      <w:r w:rsidRPr="0015541C">
        <w:rPr>
          <w:szCs w:val="22"/>
          <w:lang w:val="pl-PL"/>
        </w:rPr>
        <w:t xml:space="preserve"> (AVF3694g)</w:t>
      </w:r>
      <w:r w:rsidRPr="0015541C">
        <w:rPr>
          <w:bCs/>
          <w:lang w:val="pl-PL"/>
        </w:rPr>
        <w:t xml:space="preserve">, randomizowane, podwójnie zaślepione, kontrolowane placebo, aby ocenić skuteczność i bezpieczeństwo </w:t>
      </w:r>
      <w:r w:rsidR="00DB67BF" w:rsidRPr="0015541C">
        <w:rPr>
          <w:bCs/>
          <w:lang w:val="pl-PL"/>
        </w:rPr>
        <w:t>bewacyzumab</w:t>
      </w:r>
      <w:r w:rsidRPr="0015541C">
        <w:rPr>
          <w:bCs/>
          <w:lang w:val="pl-PL"/>
        </w:rPr>
        <w:t xml:space="preserve">u w skojarzeniu z lekiem z grupy chemioterapeutyków w porównaniu do chemioterapeutyku </w:t>
      </w:r>
      <w:r w:rsidR="004D3824" w:rsidRPr="0015541C">
        <w:rPr>
          <w:bCs/>
          <w:lang w:val="pl-PL"/>
        </w:rPr>
        <w:t>w</w:t>
      </w:r>
      <w:r w:rsidRPr="0015541C">
        <w:rPr>
          <w:bCs/>
          <w:lang w:val="pl-PL"/>
        </w:rPr>
        <w:t xml:space="preserve"> skojarzeniu z placebo w pierwsz</w:t>
      </w:r>
      <w:r w:rsidR="007A3DB9" w:rsidRPr="0015541C">
        <w:rPr>
          <w:bCs/>
          <w:lang w:val="pl-PL"/>
        </w:rPr>
        <w:t>ym rz</w:t>
      </w:r>
      <w:r w:rsidR="001D5B4D" w:rsidRPr="0015541C">
        <w:rPr>
          <w:bCs/>
          <w:lang w:val="pl-PL"/>
        </w:rPr>
        <w:t>u</w:t>
      </w:r>
      <w:r w:rsidR="007A3DB9" w:rsidRPr="0015541C">
        <w:rPr>
          <w:bCs/>
          <w:lang w:val="pl-PL"/>
        </w:rPr>
        <w:t>cie</w:t>
      </w:r>
      <w:r w:rsidRPr="0015541C">
        <w:rPr>
          <w:bCs/>
          <w:lang w:val="pl-PL"/>
        </w:rPr>
        <w:t xml:space="preserve"> leczenia pacjentów z HER2-ujemnym rakiem piersi z przerzutami lub z miejscową wznową.</w:t>
      </w:r>
    </w:p>
    <w:p w14:paraId="5388091B" w14:textId="77777777" w:rsidR="00A93B88" w:rsidRPr="0015541C" w:rsidRDefault="00A93B88" w:rsidP="00A93B88">
      <w:pPr>
        <w:rPr>
          <w:bCs/>
          <w:lang w:val="pl-PL"/>
        </w:rPr>
      </w:pPr>
    </w:p>
    <w:p w14:paraId="24D236F0" w14:textId="48F4DC2D" w:rsidR="00A93B88" w:rsidRPr="0015541C" w:rsidRDefault="00A93B88" w:rsidP="00A93B88">
      <w:pPr>
        <w:rPr>
          <w:szCs w:val="22"/>
          <w:lang w:val="pl-PL"/>
        </w:rPr>
      </w:pPr>
      <w:r w:rsidRPr="0015541C">
        <w:rPr>
          <w:szCs w:val="22"/>
          <w:lang w:val="pl-PL"/>
        </w:rPr>
        <w:t>Wyboru chemioterapii dokonywał badacz przed randomizacją w stosunku 2:1 do g</w:t>
      </w:r>
      <w:r w:rsidR="00EB0A49" w:rsidRPr="0015541C">
        <w:rPr>
          <w:szCs w:val="22"/>
          <w:lang w:val="pl-PL"/>
        </w:rPr>
        <w:t xml:space="preserve">rupy otrzymującej chemioterapię plus </w:t>
      </w:r>
      <w:r w:rsidR="00975AC6" w:rsidRPr="0015541C">
        <w:rPr>
          <w:szCs w:val="22"/>
          <w:lang w:val="pl-PL"/>
        </w:rPr>
        <w:t>bewacyzumab</w:t>
      </w:r>
      <w:r w:rsidR="00EB0A49" w:rsidRPr="0015541C">
        <w:rPr>
          <w:szCs w:val="22"/>
          <w:lang w:val="pl-PL"/>
        </w:rPr>
        <w:t xml:space="preserve"> lub chemioterapię plus </w:t>
      </w:r>
      <w:r w:rsidRPr="0015541C">
        <w:rPr>
          <w:szCs w:val="22"/>
          <w:lang w:val="pl-PL"/>
        </w:rPr>
        <w:t xml:space="preserve">placebo. Wybór schematów chemioterapii obejmował: kapecytabinę, taksany (związany z białkiem paklitaksel, docetaksel), schematy oparte na antracyklinach (doksorubicyna/cyklofosfamid, epirubicyna/cyklofosfamid, </w:t>
      </w:r>
      <w:r w:rsidR="008C78B8" w:rsidRPr="0015541C">
        <w:rPr>
          <w:szCs w:val="22"/>
          <w:lang w:val="pl-PL"/>
        </w:rPr>
        <w:br/>
      </w:r>
      <w:r w:rsidRPr="0015541C">
        <w:rPr>
          <w:szCs w:val="22"/>
          <w:lang w:val="pl-PL"/>
        </w:rPr>
        <w:t>5</w:t>
      </w:r>
      <w:r w:rsidR="00B722C9" w:rsidRPr="0015541C">
        <w:rPr>
          <w:szCs w:val="22"/>
          <w:lang w:val="pl-PL"/>
        </w:rPr>
        <w:noBreakHyphen/>
      </w:r>
      <w:r w:rsidRPr="0015541C">
        <w:rPr>
          <w:szCs w:val="22"/>
          <w:lang w:val="pl-PL"/>
        </w:rPr>
        <w:t>fluorouracyl/doksorubicyna/</w:t>
      </w:r>
      <w:r w:rsidR="005D0E8F" w:rsidRPr="0015541C">
        <w:rPr>
          <w:szCs w:val="22"/>
          <w:lang w:val="pl-PL"/>
        </w:rPr>
        <w:t xml:space="preserve"> cyklofosfamid</w:t>
      </w:r>
      <w:r w:rsidRPr="0015541C">
        <w:rPr>
          <w:szCs w:val="22"/>
          <w:lang w:val="pl-PL"/>
        </w:rPr>
        <w:t>, 5</w:t>
      </w:r>
      <w:r w:rsidR="00B722C9" w:rsidRPr="0015541C">
        <w:rPr>
          <w:szCs w:val="22"/>
          <w:lang w:val="pl-PL"/>
        </w:rPr>
        <w:noBreakHyphen/>
      </w:r>
      <w:r w:rsidRPr="0015541C">
        <w:rPr>
          <w:szCs w:val="22"/>
          <w:lang w:val="pl-PL"/>
        </w:rPr>
        <w:t xml:space="preserve">fluorouracyl/ epirubicyna/cyklofosfamid) </w:t>
      </w:r>
      <w:r w:rsidR="001D5B4D" w:rsidRPr="0015541C">
        <w:rPr>
          <w:szCs w:val="22"/>
          <w:lang w:val="pl-PL"/>
        </w:rPr>
        <w:t>stosowane, co</w:t>
      </w:r>
      <w:r w:rsidRPr="0015541C">
        <w:rPr>
          <w:szCs w:val="22"/>
          <w:lang w:val="pl-PL"/>
        </w:rPr>
        <w:t xml:space="preserve"> 3 tygodnie. </w:t>
      </w:r>
      <w:r w:rsidR="00054A4E" w:rsidRPr="0015541C">
        <w:rPr>
          <w:szCs w:val="22"/>
          <w:lang w:val="pl-PL"/>
        </w:rPr>
        <w:t>B</w:t>
      </w:r>
      <w:r w:rsidR="00975AC6" w:rsidRPr="0015541C">
        <w:rPr>
          <w:szCs w:val="22"/>
          <w:lang w:val="pl-PL"/>
        </w:rPr>
        <w:t>ewacyzumab</w:t>
      </w:r>
      <w:r w:rsidRPr="0015541C">
        <w:rPr>
          <w:szCs w:val="22"/>
          <w:lang w:val="pl-PL"/>
        </w:rPr>
        <w:t xml:space="preserve"> lub placebo były stosowane w dawce 15 </w:t>
      </w:r>
      <w:r w:rsidR="00892FB2" w:rsidRPr="0015541C">
        <w:rPr>
          <w:szCs w:val="22"/>
          <w:lang w:val="pl-PL"/>
        </w:rPr>
        <w:t>mg/kg mc.</w:t>
      </w:r>
      <w:r w:rsidRPr="0015541C">
        <w:rPr>
          <w:szCs w:val="22"/>
          <w:lang w:val="pl-PL"/>
        </w:rPr>
        <w:t xml:space="preserve"> co 3 tygodnie.</w:t>
      </w:r>
    </w:p>
    <w:p w14:paraId="2F925EC5" w14:textId="77777777" w:rsidR="00A93B88" w:rsidRPr="0015541C" w:rsidRDefault="00A93B88" w:rsidP="00A93B88">
      <w:pPr>
        <w:rPr>
          <w:szCs w:val="22"/>
          <w:lang w:val="pl-PL"/>
        </w:rPr>
      </w:pPr>
    </w:p>
    <w:p w14:paraId="1D4A6D48" w14:textId="77777777" w:rsidR="004621AB" w:rsidRPr="0015541C" w:rsidRDefault="00A93B88" w:rsidP="00A93B88">
      <w:pPr>
        <w:rPr>
          <w:rFonts w:eastAsia="PMingLiU"/>
          <w:lang w:val="pl-PL" w:eastAsia="zh-CN"/>
        </w:rPr>
      </w:pPr>
      <w:r w:rsidRPr="0015541C">
        <w:rPr>
          <w:szCs w:val="22"/>
          <w:lang w:val="pl-PL"/>
        </w:rPr>
        <w:t>Badanie składało się zaślepionej fazy leczenia, opcjonalnej fazy po progresji, prowadzonej metodą otwartej próby i fazy dalszej obserwacji przeżycia. W czasie zaślepionej fazy leczenia pacjenci otrzymywali chemioterapię i produkt badany (</w:t>
      </w:r>
      <w:r w:rsidR="00F0425B" w:rsidRPr="0015541C">
        <w:rPr>
          <w:szCs w:val="22"/>
          <w:lang w:val="pl-PL"/>
        </w:rPr>
        <w:t>bewacyzumab</w:t>
      </w:r>
      <w:r w:rsidRPr="0015541C">
        <w:rPr>
          <w:szCs w:val="22"/>
          <w:lang w:val="pl-PL"/>
        </w:rPr>
        <w:t xml:space="preserve"> lub placebo) co 3 tygodnie do wystąpienia progresji choroby, toksyczności uniemożliwiającej dalsze leczenia lub zgonu pacjenta. Pacjent z potwierdzoną progresją choroby, który brał udział w otwartej opcjonalnej fazie badania, mógł otrzymywać </w:t>
      </w:r>
      <w:r w:rsidR="00F0425B" w:rsidRPr="0015541C">
        <w:rPr>
          <w:rFonts w:eastAsia="PMingLiU"/>
          <w:lang w:val="pl-PL" w:eastAsia="zh-CN"/>
        </w:rPr>
        <w:t>bewacyzumab</w:t>
      </w:r>
      <w:r w:rsidRPr="0015541C">
        <w:rPr>
          <w:rFonts w:eastAsia="PMingLiU"/>
          <w:lang w:val="pl-PL" w:eastAsia="zh-CN"/>
        </w:rPr>
        <w:t xml:space="preserve"> bez zaślepienia wraz z wieloma możliwymi terapiami w ramach drugiej linii leczenia. </w:t>
      </w:r>
    </w:p>
    <w:p w14:paraId="4B4F2218" w14:textId="77777777" w:rsidR="00A93B88" w:rsidRPr="0015541C" w:rsidRDefault="00A93B88" w:rsidP="00A93B88">
      <w:pPr>
        <w:rPr>
          <w:rFonts w:eastAsia="PMingLiU"/>
          <w:lang w:val="pl-PL" w:eastAsia="zh-CN"/>
        </w:rPr>
      </w:pPr>
    </w:p>
    <w:p w14:paraId="35DBE2BD" w14:textId="3B9D7096" w:rsidR="00A93B88" w:rsidRPr="0015541C" w:rsidRDefault="004621AB" w:rsidP="00A93B88">
      <w:pPr>
        <w:rPr>
          <w:szCs w:val="22"/>
          <w:lang w:val="pl-PL"/>
        </w:rPr>
      </w:pPr>
      <w:r w:rsidRPr="0015541C">
        <w:rPr>
          <w:rFonts w:eastAsia="PMingLiU"/>
          <w:lang w:val="pl-PL" w:eastAsia="zh-CN"/>
        </w:rPr>
        <w:lastRenderedPageBreak/>
        <w:t>Analiza statystyczna był</w:t>
      </w:r>
      <w:r w:rsidR="00DE24FA" w:rsidRPr="0015541C">
        <w:rPr>
          <w:rFonts w:eastAsia="PMingLiU"/>
          <w:lang w:val="pl-PL" w:eastAsia="zh-CN"/>
        </w:rPr>
        <w:t>a</w:t>
      </w:r>
      <w:r w:rsidRPr="0015541C">
        <w:rPr>
          <w:rFonts w:eastAsia="PMingLiU"/>
          <w:lang w:val="pl-PL" w:eastAsia="zh-CN"/>
        </w:rPr>
        <w:t xml:space="preserve"> prz</w:t>
      </w:r>
      <w:r w:rsidR="00F66274" w:rsidRPr="0015541C">
        <w:rPr>
          <w:rFonts w:eastAsia="PMingLiU"/>
          <w:lang w:val="pl-PL" w:eastAsia="zh-CN"/>
        </w:rPr>
        <w:t>e</w:t>
      </w:r>
      <w:r w:rsidRPr="0015541C">
        <w:rPr>
          <w:rFonts w:eastAsia="PMingLiU"/>
          <w:lang w:val="pl-PL" w:eastAsia="zh-CN"/>
        </w:rPr>
        <w:t xml:space="preserve">prowadzona niezależnie dla 1) </w:t>
      </w:r>
      <w:r w:rsidRPr="0015541C">
        <w:rPr>
          <w:szCs w:val="22"/>
          <w:lang w:val="pl-PL"/>
        </w:rPr>
        <w:t>p</w:t>
      </w:r>
      <w:r w:rsidR="0054248C" w:rsidRPr="0015541C">
        <w:rPr>
          <w:szCs w:val="22"/>
          <w:lang w:val="pl-PL"/>
        </w:rPr>
        <w:t>acjentów</w:t>
      </w:r>
      <w:r w:rsidR="00A93B88" w:rsidRPr="0015541C">
        <w:rPr>
          <w:szCs w:val="22"/>
          <w:lang w:val="pl-PL"/>
        </w:rPr>
        <w:t xml:space="preserve"> otrzymujący</w:t>
      </w:r>
      <w:r w:rsidR="00B8305E" w:rsidRPr="0015541C">
        <w:rPr>
          <w:szCs w:val="22"/>
          <w:lang w:val="pl-PL"/>
        </w:rPr>
        <w:t>ch</w:t>
      </w:r>
      <w:r w:rsidR="00A93B88" w:rsidRPr="0015541C">
        <w:rPr>
          <w:szCs w:val="22"/>
          <w:lang w:val="pl-PL"/>
        </w:rPr>
        <w:t xml:space="preserve"> kapecytabinę</w:t>
      </w:r>
      <w:r w:rsidR="0054248C" w:rsidRPr="0015541C">
        <w:rPr>
          <w:szCs w:val="22"/>
          <w:lang w:val="pl-PL"/>
        </w:rPr>
        <w:t xml:space="preserve"> </w:t>
      </w:r>
      <w:r w:rsidR="00A81369" w:rsidRPr="0015541C">
        <w:rPr>
          <w:szCs w:val="22"/>
          <w:lang w:val="pl-PL"/>
        </w:rPr>
        <w:br/>
      </w:r>
      <w:r w:rsidR="0054248C" w:rsidRPr="0015541C">
        <w:rPr>
          <w:szCs w:val="22"/>
          <w:lang w:val="pl-PL"/>
        </w:rPr>
        <w:t xml:space="preserve">w skojarzeniu z </w:t>
      </w:r>
      <w:r w:rsidR="00E561E8" w:rsidRPr="0015541C">
        <w:rPr>
          <w:szCs w:val="22"/>
          <w:lang w:val="pl-PL"/>
        </w:rPr>
        <w:t>bewacyzumab</w:t>
      </w:r>
      <w:r w:rsidR="0054248C" w:rsidRPr="0015541C">
        <w:rPr>
          <w:szCs w:val="22"/>
          <w:lang w:val="pl-PL"/>
        </w:rPr>
        <w:t>em</w:t>
      </w:r>
      <w:r w:rsidR="00050FA4" w:rsidRPr="0015541C">
        <w:rPr>
          <w:szCs w:val="22"/>
          <w:lang w:val="pl-PL"/>
        </w:rPr>
        <w:t xml:space="preserve"> </w:t>
      </w:r>
      <w:r w:rsidR="0054248C" w:rsidRPr="0015541C">
        <w:rPr>
          <w:szCs w:val="22"/>
          <w:lang w:val="pl-PL"/>
        </w:rPr>
        <w:t xml:space="preserve">lub </w:t>
      </w:r>
      <w:r w:rsidR="00A93B88" w:rsidRPr="0015541C">
        <w:rPr>
          <w:szCs w:val="22"/>
          <w:lang w:val="pl-PL"/>
        </w:rPr>
        <w:t>placebo</w:t>
      </w:r>
      <w:r w:rsidRPr="0015541C">
        <w:rPr>
          <w:szCs w:val="22"/>
          <w:lang w:val="pl-PL"/>
        </w:rPr>
        <w:t>; 2)</w:t>
      </w:r>
      <w:r w:rsidRPr="0015541C">
        <w:rPr>
          <w:rFonts w:eastAsia="PMingLiU"/>
          <w:lang w:val="pl-PL" w:eastAsia="zh-CN"/>
        </w:rPr>
        <w:t xml:space="preserve"> </w:t>
      </w:r>
      <w:r w:rsidRPr="0015541C">
        <w:rPr>
          <w:szCs w:val="22"/>
          <w:lang w:val="pl-PL"/>
        </w:rPr>
        <w:t>p</w:t>
      </w:r>
      <w:r w:rsidR="0054248C" w:rsidRPr="0015541C">
        <w:rPr>
          <w:szCs w:val="22"/>
          <w:lang w:val="pl-PL"/>
        </w:rPr>
        <w:t>acjentów</w:t>
      </w:r>
      <w:r w:rsidR="00A93B88" w:rsidRPr="0015541C">
        <w:rPr>
          <w:szCs w:val="22"/>
          <w:lang w:val="pl-PL"/>
        </w:rPr>
        <w:t xml:space="preserve"> otrzymujący</w:t>
      </w:r>
      <w:r w:rsidR="0054248C" w:rsidRPr="0015541C">
        <w:rPr>
          <w:szCs w:val="22"/>
          <w:lang w:val="pl-PL"/>
        </w:rPr>
        <w:t xml:space="preserve">ch taksan lub antracyklinę w skojarzeniu z </w:t>
      </w:r>
      <w:r w:rsidR="00C02ADF" w:rsidRPr="0015541C">
        <w:rPr>
          <w:szCs w:val="22"/>
          <w:lang w:val="pl-PL"/>
        </w:rPr>
        <w:t>bewacyzumab</w:t>
      </w:r>
      <w:r w:rsidR="0054248C" w:rsidRPr="0015541C">
        <w:rPr>
          <w:szCs w:val="22"/>
          <w:lang w:val="pl-PL"/>
        </w:rPr>
        <w:t xml:space="preserve">em lub </w:t>
      </w:r>
      <w:r w:rsidR="00A93B88" w:rsidRPr="0015541C">
        <w:rPr>
          <w:szCs w:val="22"/>
          <w:lang w:val="pl-PL"/>
        </w:rPr>
        <w:t>placebo</w:t>
      </w:r>
      <w:r w:rsidR="005D0E8F" w:rsidRPr="0015541C">
        <w:rPr>
          <w:szCs w:val="22"/>
          <w:lang w:val="pl-PL"/>
        </w:rPr>
        <w:t>.</w:t>
      </w:r>
      <w:r w:rsidR="00A93B88" w:rsidRPr="0015541C">
        <w:rPr>
          <w:szCs w:val="22"/>
          <w:lang w:val="pl-PL"/>
        </w:rPr>
        <w:t xml:space="preserve"> Za pierwszorzędowy punkt końcowy przyjęto czas wolny od progresji choroby </w:t>
      </w:r>
      <w:r w:rsidRPr="0015541C">
        <w:rPr>
          <w:szCs w:val="22"/>
          <w:lang w:val="pl-PL"/>
        </w:rPr>
        <w:t xml:space="preserve">(PFS) </w:t>
      </w:r>
      <w:r w:rsidR="005D0E8F" w:rsidRPr="0015541C">
        <w:rPr>
          <w:szCs w:val="22"/>
          <w:lang w:val="pl-PL"/>
        </w:rPr>
        <w:t>oceniany przez badacza</w:t>
      </w:r>
      <w:r w:rsidRPr="0015541C">
        <w:rPr>
          <w:szCs w:val="22"/>
          <w:lang w:val="pl-PL"/>
        </w:rPr>
        <w:t xml:space="preserve">. </w:t>
      </w:r>
      <w:r w:rsidR="00A93B88" w:rsidRPr="0015541C">
        <w:rPr>
          <w:szCs w:val="22"/>
          <w:lang w:val="pl-PL"/>
        </w:rPr>
        <w:t xml:space="preserve">Dodatkowo, </w:t>
      </w:r>
      <w:r w:rsidR="0054248C" w:rsidRPr="0015541C">
        <w:rPr>
          <w:szCs w:val="22"/>
          <w:lang w:val="pl-PL"/>
        </w:rPr>
        <w:t>ocena pierwszorzędowego punktu końcowego została przeprowadzona przez niezależnych ekspertów (</w:t>
      </w:r>
      <w:r w:rsidRPr="0015541C">
        <w:rPr>
          <w:szCs w:val="22"/>
          <w:lang w:val="pl-PL"/>
        </w:rPr>
        <w:t>ang. IRC - independent review committee</w:t>
      </w:r>
      <w:r w:rsidR="0054248C" w:rsidRPr="0015541C">
        <w:rPr>
          <w:szCs w:val="22"/>
          <w:lang w:val="pl-PL"/>
        </w:rPr>
        <w:t>)</w:t>
      </w:r>
      <w:r w:rsidRPr="0015541C">
        <w:rPr>
          <w:szCs w:val="22"/>
          <w:lang w:val="pl-PL"/>
        </w:rPr>
        <w:t>.</w:t>
      </w:r>
    </w:p>
    <w:p w14:paraId="4F963557" w14:textId="77777777" w:rsidR="00A93B88" w:rsidRPr="0015541C" w:rsidRDefault="00A93B88" w:rsidP="00A93B88">
      <w:pPr>
        <w:rPr>
          <w:szCs w:val="22"/>
          <w:lang w:val="pl-PL"/>
        </w:rPr>
      </w:pPr>
    </w:p>
    <w:p w14:paraId="50892BC9" w14:textId="36E7D61A" w:rsidR="00A93B88" w:rsidRPr="0015541C" w:rsidRDefault="00A93B88" w:rsidP="00A93B88">
      <w:pPr>
        <w:rPr>
          <w:szCs w:val="22"/>
          <w:lang w:val="pl-PL"/>
        </w:rPr>
      </w:pPr>
      <w:r w:rsidRPr="0015541C">
        <w:rPr>
          <w:szCs w:val="22"/>
          <w:lang w:val="pl-PL"/>
        </w:rPr>
        <w:t xml:space="preserve">Wyniki badania uzyskane po przeprowadzeniu końcowych analiz zdefiniowanych w protokole dla PFS i odsetka odpowiedzi </w:t>
      </w:r>
      <w:r w:rsidR="0054248C" w:rsidRPr="0015541C">
        <w:rPr>
          <w:szCs w:val="22"/>
          <w:lang w:val="pl-PL"/>
        </w:rPr>
        <w:t xml:space="preserve">dla </w:t>
      </w:r>
      <w:r w:rsidR="00744E5D" w:rsidRPr="0015541C">
        <w:rPr>
          <w:szCs w:val="22"/>
          <w:lang w:val="pl-PL"/>
        </w:rPr>
        <w:t>niezależnej</w:t>
      </w:r>
      <w:r w:rsidR="00CE5168" w:rsidRPr="0015541C">
        <w:rPr>
          <w:szCs w:val="22"/>
          <w:lang w:val="pl-PL"/>
        </w:rPr>
        <w:t>,</w:t>
      </w:r>
      <w:r w:rsidR="0054248C" w:rsidRPr="0015541C">
        <w:rPr>
          <w:szCs w:val="22"/>
          <w:lang w:val="pl-PL"/>
        </w:rPr>
        <w:t xml:space="preserve"> </w:t>
      </w:r>
      <w:r w:rsidR="00744E5D" w:rsidRPr="0015541C">
        <w:rPr>
          <w:szCs w:val="22"/>
          <w:lang w:val="pl-PL"/>
        </w:rPr>
        <w:t xml:space="preserve">odpowiednio licznej </w:t>
      </w:r>
      <w:r w:rsidR="0054248C" w:rsidRPr="0015541C">
        <w:rPr>
          <w:szCs w:val="22"/>
          <w:lang w:val="pl-PL"/>
        </w:rPr>
        <w:t>kohort</w:t>
      </w:r>
      <w:r w:rsidR="00744E5D" w:rsidRPr="0015541C">
        <w:rPr>
          <w:szCs w:val="22"/>
          <w:lang w:val="pl-PL"/>
        </w:rPr>
        <w:t>y z kapecytabiną</w:t>
      </w:r>
      <w:r w:rsidR="0054248C" w:rsidRPr="0015541C">
        <w:rPr>
          <w:szCs w:val="22"/>
          <w:lang w:val="pl-PL"/>
        </w:rPr>
        <w:t xml:space="preserve"> </w:t>
      </w:r>
      <w:r w:rsidR="000F5980" w:rsidRPr="0015541C">
        <w:rPr>
          <w:szCs w:val="22"/>
          <w:lang w:val="pl-PL"/>
        </w:rPr>
        <w:br/>
      </w:r>
      <w:r w:rsidR="0054248C" w:rsidRPr="0015541C">
        <w:rPr>
          <w:szCs w:val="22"/>
          <w:lang w:val="pl-PL"/>
        </w:rPr>
        <w:t>w badaniu AVF36</w:t>
      </w:r>
      <w:r w:rsidR="00744E5D" w:rsidRPr="0015541C">
        <w:rPr>
          <w:szCs w:val="22"/>
          <w:lang w:val="pl-PL"/>
        </w:rPr>
        <w:t xml:space="preserve">94g </w:t>
      </w:r>
      <w:r w:rsidRPr="0015541C">
        <w:rPr>
          <w:szCs w:val="22"/>
          <w:lang w:val="pl-PL"/>
        </w:rPr>
        <w:t>z</w:t>
      </w:r>
      <w:r w:rsidR="004F2B25" w:rsidRPr="0015541C">
        <w:rPr>
          <w:szCs w:val="22"/>
          <w:lang w:val="pl-PL"/>
        </w:rPr>
        <w:t xml:space="preserve">ostały przedstawione w Tabeli </w:t>
      </w:r>
      <w:r w:rsidR="00FA3939" w:rsidRPr="0015541C">
        <w:rPr>
          <w:szCs w:val="22"/>
          <w:lang w:val="pl-PL"/>
        </w:rPr>
        <w:t>1</w:t>
      </w:r>
      <w:r w:rsidR="008800D7" w:rsidRPr="0015541C">
        <w:rPr>
          <w:szCs w:val="22"/>
          <w:lang w:val="pl-PL"/>
        </w:rPr>
        <w:t>1</w:t>
      </w:r>
      <w:r w:rsidRPr="0015541C">
        <w:rPr>
          <w:szCs w:val="22"/>
          <w:lang w:val="pl-PL"/>
        </w:rPr>
        <w:t xml:space="preserve">. </w:t>
      </w:r>
      <w:r w:rsidR="00257F17" w:rsidRPr="0015541C">
        <w:rPr>
          <w:szCs w:val="22"/>
          <w:lang w:val="pl-PL"/>
        </w:rPr>
        <w:t>Zostały także przedstawione w</w:t>
      </w:r>
      <w:r w:rsidRPr="0015541C">
        <w:rPr>
          <w:szCs w:val="22"/>
          <w:lang w:val="pl-PL"/>
        </w:rPr>
        <w:t xml:space="preserve">yniki eksploracyjnej analizy </w:t>
      </w:r>
      <w:r w:rsidR="00C15158" w:rsidRPr="0015541C">
        <w:rPr>
          <w:szCs w:val="22"/>
          <w:lang w:val="pl-PL"/>
        </w:rPr>
        <w:t>OS</w:t>
      </w:r>
      <w:r w:rsidRPr="0015541C">
        <w:rPr>
          <w:szCs w:val="22"/>
          <w:lang w:val="pl-PL"/>
        </w:rPr>
        <w:t xml:space="preserve">, która objęła 7 miesięcy dalszej obserwacji </w:t>
      </w:r>
      <w:r w:rsidR="004F2B25" w:rsidRPr="0015541C">
        <w:rPr>
          <w:szCs w:val="22"/>
          <w:lang w:val="pl-PL"/>
        </w:rPr>
        <w:t xml:space="preserve">(około 46 % </w:t>
      </w:r>
      <w:r w:rsidR="00257F17" w:rsidRPr="0015541C">
        <w:rPr>
          <w:szCs w:val="22"/>
          <w:lang w:val="pl-PL"/>
        </w:rPr>
        <w:t>pacjentów zmarło)</w:t>
      </w:r>
      <w:r w:rsidRPr="0015541C">
        <w:rPr>
          <w:szCs w:val="22"/>
          <w:lang w:val="pl-PL"/>
        </w:rPr>
        <w:t xml:space="preserve">. </w:t>
      </w:r>
      <w:r w:rsidR="004F2B25" w:rsidRPr="0015541C">
        <w:rPr>
          <w:szCs w:val="22"/>
          <w:lang w:val="pl-PL"/>
        </w:rPr>
        <w:t xml:space="preserve">Odsetek </w:t>
      </w:r>
      <w:r w:rsidR="001D5B4D" w:rsidRPr="0015541C">
        <w:rPr>
          <w:szCs w:val="22"/>
          <w:lang w:val="pl-PL"/>
        </w:rPr>
        <w:t>pacjentów, którzy</w:t>
      </w:r>
      <w:r w:rsidR="004F2B25" w:rsidRPr="0015541C">
        <w:rPr>
          <w:szCs w:val="22"/>
          <w:lang w:val="pl-PL"/>
        </w:rPr>
        <w:t xml:space="preserve"> otrzymali </w:t>
      </w:r>
      <w:r w:rsidR="00C31682" w:rsidRPr="0015541C">
        <w:rPr>
          <w:szCs w:val="22"/>
          <w:lang w:val="pl-PL"/>
        </w:rPr>
        <w:t>bewacyzumab</w:t>
      </w:r>
      <w:r w:rsidR="004F2B25" w:rsidRPr="0015541C">
        <w:rPr>
          <w:szCs w:val="22"/>
          <w:lang w:val="pl-PL"/>
        </w:rPr>
        <w:t xml:space="preserve"> w fazie bez zaślepienia wynosił 62,1 % w ramieniu kapecytabina +</w:t>
      </w:r>
      <w:r w:rsidR="00E14293" w:rsidRPr="0015541C">
        <w:rPr>
          <w:szCs w:val="22"/>
          <w:lang w:val="pl-PL"/>
        </w:rPr>
        <w:t xml:space="preserve"> </w:t>
      </w:r>
      <w:r w:rsidR="004F2B25" w:rsidRPr="0015541C">
        <w:rPr>
          <w:szCs w:val="22"/>
          <w:lang w:val="pl-PL"/>
        </w:rPr>
        <w:t xml:space="preserve">placebo i </w:t>
      </w:r>
      <w:r w:rsidR="001D5B4D" w:rsidRPr="0015541C">
        <w:rPr>
          <w:szCs w:val="22"/>
          <w:lang w:val="pl-PL"/>
        </w:rPr>
        <w:t xml:space="preserve">49,9 % w ramieniu kapecytabina </w:t>
      </w:r>
      <w:r w:rsidR="004F2B25" w:rsidRPr="0015541C">
        <w:rPr>
          <w:szCs w:val="22"/>
          <w:lang w:val="pl-PL"/>
        </w:rPr>
        <w:t>+</w:t>
      </w:r>
      <w:r w:rsidR="001D5B4D" w:rsidRPr="0015541C">
        <w:rPr>
          <w:szCs w:val="22"/>
          <w:lang w:val="pl-PL"/>
        </w:rPr>
        <w:t xml:space="preserve"> </w:t>
      </w:r>
      <w:r w:rsidR="00C31682" w:rsidRPr="0015541C">
        <w:rPr>
          <w:szCs w:val="22"/>
          <w:lang w:val="pl-PL"/>
        </w:rPr>
        <w:t>bewacyzumab</w:t>
      </w:r>
      <w:r w:rsidR="004F2B25" w:rsidRPr="0015541C">
        <w:rPr>
          <w:szCs w:val="22"/>
          <w:lang w:val="pl-PL"/>
        </w:rPr>
        <w:t xml:space="preserve">. </w:t>
      </w:r>
    </w:p>
    <w:p w14:paraId="3961AE6A" w14:textId="77777777" w:rsidR="00A93B88" w:rsidRPr="0015541C" w:rsidRDefault="00A93B88" w:rsidP="00A93B88">
      <w:pPr>
        <w:rPr>
          <w:szCs w:val="22"/>
          <w:lang w:val="pl-PL"/>
        </w:rPr>
      </w:pPr>
    </w:p>
    <w:p w14:paraId="736CDDAA" w14:textId="77777777" w:rsidR="00A93B88" w:rsidRPr="0070444C" w:rsidRDefault="00A93B88" w:rsidP="00112762">
      <w:pPr>
        <w:keepNext/>
        <w:keepLines/>
        <w:rPr>
          <w:lang w:val="pl-PL"/>
        </w:rPr>
      </w:pPr>
      <w:r w:rsidRPr="0015541C">
        <w:rPr>
          <w:b/>
          <w:bCs/>
          <w:szCs w:val="22"/>
          <w:lang w:val="pl-PL"/>
        </w:rPr>
        <w:t>Tabela </w:t>
      </w:r>
      <w:r w:rsidR="00FA3939" w:rsidRPr="0015541C">
        <w:rPr>
          <w:b/>
          <w:bCs/>
          <w:szCs w:val="22"/>
          <w:lang w:val="pl-PL"/>
        </w:rPr>
        <w:t>1</w:t>
      </w:r>
      <w:r w:rsidR="008800D7" w:rsidRPr="0015541C">
        <w:rPr>
          <w:b/>
          <w:bCs/>
          <w:szCs w:val="22"/>
          <w:lang w:val="pl-PL"/>
        </w:rPr>
        <w:t>1.</w:t>
      </w:r>
      <w:r w:rsidR="00257F17" w:rsidRPr="0015541C">
        <w:rPr>
          <w:b/>
          <w:bCs/>
          <w:szCs w:val="22"/>
          <w:lang w:val="pl-PL"/>
        </w:rPr>
        <w:t xml:space="preserve"> </w:t>
      </w:r>
      <w:r w:rsidRPr="0015541C">
        <w:rPr>
          <w:b/>
          <w:lang w:val="pl-PL"/>
        </w:rPr>
        <w:t>Wyniki badania AVF3694g dotyczące skuteczności – kapecytabina</w:t>
      </w:r>
      <w:r w:rsidR="00257F17" w:rsidRPr="0015541C">
        <w:rPr>
          <w:b/>
          <w:vertAlign w:val="superscript"/>
          <w:lang w:val="pl-PL"/>
        </w:rPr>
        <w:t>a</w:t>
      </w:r>
      <w:r w:rsidRPr="0015541C">
        <w:rPr>
          <w:b/>
          <w:lang w:val="pl-PL"/>
        </w:rPr>
        <w:t xml:space="preserve"> i </w:t>
      </w:r>
      <w:r w:rsidR="007C42CA" w:rsidRPr="0015541C">
        <w:rPr>
          <w:b/>
          <w:lang w:val="pl-PL"/>
        </w:rPr>
        <w:t>bewacyzumab</w:t>
      </w:r>
      <w:r w:rsidR="007C42CA" w:rsidRPr="0015541C" w:rsidDel="00D46663">
        <w:rPr>
          <w:b/>
          <w:lang w:val="pl-PL"/>
        </w:rPr>
        <w:t xml:space="preserve"> </w:t>
      </w:r>
      <w:r w:rsidRPr="0015541C">
        <w:rPr>
          <w:b/>
          <w:lang w:val="pl-PL"/>
        </w:rPr>
        <w:t>/placebo</w:t>
      </w:r>
      <w:r w:rsidR="00257F17" w:rsidRPr="0015541C">
        <w:rPr>
          <w:b/>
          <w:lang w:val="pl-PL"/>
        </w:rPr>
        <w:t xml:space="preserve"> (Cap + </w:t>
      </w:r>
      <w:r w:rsidR="007C42CA" w:rsidRPr="0015541C">
        <w:rPr>
          <w:b/>
          <w:lang w:val="pl-PL"/>
        </w:rPr>
        <w:t>bewacyzumab</w:t>
      </w:r>
      <w:r w:rsidR="00257F17" w:rsidRPr="0015541C">
        <w:rPr>
          <w:b/>
          <w:lang w:val="pl-PL"/>
        </w:rPr>
        <w:t>/PI)</w:t>
      </w:r>
    </w:p>
    <w:tbl>
      <w:tblPr>
        <w:tblW w:w="8449" w:type="dxa"/>
        <w:tblInd w:w="111" w:type="dxa"/>
        <w:tblLayout w:type="fixed"/>
        <w:tblCellMar>
          <w:left w:w="0" w:type="dxa"/>
          <w:right w:w="0" w:type="dxa"/>
        </w:tblCellMar>
        <w:tblLook w:val="0000" w:firstRow="0" w:lastRow="0" w:firstColumn="0" w:lastColumn="0" w:noHBand="0" w:noVBand="0"/>
      </w:tblPr>
      <w:tblGrid>
        <w:gridCol w:w="2691"/>
        <w:gridCol w:w="1134"/>
        <w:gridCol w:w="1559"/>
        <w:gridCol w:w="1559"/>
        <w:gridCol w:w="1506"/>
      </w:tblGrid>
      <w:tr w:rsidR="00A93B88" w:rsidRPr="0015541C" w14:paraId="0EC76015" w14:textId="77777777" w:rsidTr="00D77B77">
        <w:trPr>
          <w:trHeight w:val="305"/>
          <w:tblHeader/>
        </w:trPr>
        <w:tc>
          <w:tcPr>
            <w:tcW w:w="8449"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80B5B3" w14:textId="77777777" w:rsidR="00A93B88" w:rsidRPr="0015541C" w:rsidRDefault="00A93B88" w:rsidP="00112762">
            <w:pPr>
              <w:keepNext/>
              <w:keepLines/>
              <w:rPr>
                <w:rFonts w:eastAsia="SimSun"/>
                <w:vertAlign w:val="superscript"/>
                <w:lang w:val="pl-PL" w:eastAsia="zh-CN"/>
              </w:rPr>
            </w:pPr>
            <w:r w:rsidRPr="0015541C">
              <w:rPr>
                <w:rFonts w:eastAsia="SimSun"/>
                <w:lang w:val="pl-PL" w:eastAsia="zh-CN"/>
              </w:rPr>
              <w:t>Cz</w:t>
            </w:r>
            <w:r w:rsidR="00257F17" w:rsidRPr="0015541C">
              <w:rPr>
                <w:rFonts w:eastAsia="SimSun"/>
                <w:lang w:val="pl-PL" w:eastAsia="zh-CN"/>
              </w:rPr>
              <w:t>as przeżycia wolny od progresji</w:t>
            </w:r>
            <w:r w:rsidR="00257F17" w:rsidRPr="0015541C">
              <w:rPr>
                <w:rFonts w:eastAsia="SimSun"/>
                <w:vertAlign w:val="superscript"/>
                <w:lang w:val="pl-PL" w:eastAsia="zh-CN"/>
              </w:rPr>
              <w:t>b</w:t>
            </w:r>
          </w:p>
        </w:tc>
      </w:tr>
      <w:tr w:rsidR="00A93B88" w:rsidRPr="0015541C" w14:paraId="257E870C" w14:textId="77777777" w:rsidTr="00B7471F">
        <w:trPr>
          <w:tblHeader/>
        </w:trPr>
        <w:tc>
          <w:tcPr>
            <w:tcW w:w="2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BDC71F" w14:textId="77777777" w:rsidR="00A93B88" w:rsidRPr="0015541C" w:rsidRDefault="00A93B88" w:rsidP="00112762">
            <w:pPr>
              <w:keepNext/>
              <w:keepLines/>
              <w:rPr>
                <w:rFonts w:eastAsia="SimSun"/>
                <w:lang w:val="pl-PL" w:eastAsia="zh-CN"/>
              </w:rPr>
            </w:pPr>
          </w:p>
        </w:tc>
        <w:tc>
          <w:tcPr>
            <w:tcW w:w="2693" w:type="dxa"/>
            <w:gridSpan w:val="2"/>
            <w:tcBorders>
              <w:top w:val="nil"/>
              <w:left w:val="nil"/>
              <w:bottom w:val="single" w:sz="8" w:space="0" w:color="auto"/>
              <w:right w:val="single" w:sz="8" w:space="0" w:color="auto"/>
            </w:tcBorders>
            <w:tcMar>
              <w:top w:w="0" w:type="dxa"/>
              <w:left w:w="108" w:type="dxa"/>
              <w:bottom w:w="0" w:type="dxa"/>
              <w:right w:w="108" w:type="dxa"/>
            </w:tcMar>
          </w:tcPr>
          <w:p w14:paraId="388C9A4C" w14:textId="77777777" w:rsidR="00A93B88" w:rsidRPr="0015541C" w:rsidRDefault="00A93B88" w:rsidP="00112762">
            <w:pPr>
              <w:keepNext/>
              <w:keepLines/>
              <w:rPr>
                <w:rFonts w:eastAsia="SimSun"/>
                <w:lang w:val="pl-PL" w:eastAsia="zh-CN"/>
              </w:rPr>
            </w:pPr>
            <w:r w:rsidRPr="0015541C">
              <w:rPr>
                <w:lang w:val="pl-PL"/>
              </w:rPr>
              <w:t>Ocena badaczy</w:t>
            </w:r>
          </w:p>
        </w:tc>
        <w:tc>
          <w:tcPr>
            <w:tcW w:w="3065" w:type="dxa"/>
            <w:gridSpan w:val="2"/>
            <w:tcBorders>
              <w:top w:val="nil"/>
              <w:left w:val="nil"/>
              <w:bottom w:val="single" w:sz="8" w:space="0" w:color="auto"/>
              <w:right w:val="single" w:sz="8" w:space="0" w:color="auto"/>
            </w:tcBorders>
            <w:tcMar>
              <w:top w:w="0" w:type="dxa"/>
              <w:left w:w="108" w:type="dxa"/>
              <w:bottom w:w="0" w:type="dxa"/>
              <w:right w:w="108" w:type="dxa"/>
            </w:tcMar>
          </w:tcPr>
          <w:p w14:paraId="05082BA2" w14:textId="77777777" w:rsidR="00A93B88" w:rsidRPr="0015541C" w:rsidRDefault="00A93B88" w:rsidP="00112762">
            <w:pPr>
              <w:keepNext/>
              <w:keepLines/>
              <w:rPr>
                <w:rFonts w:eastAsia="SimSun"/>
                <w:lang w:val="pl-PL" w:eastAsia="zh-CN"/>
              </w:rPr>
            </w:pPr>
            <w:r w:rsidRPr="00260CEC">
              <w:rPr>
                <w:lang w:val="pl-PL"/>
              </w:rPr>
              <w:t>Ocena niezależnych ekspertów</w:t>
            </w:r>
            <w:r w:rsidR="006A55B6" w:rsidRPr="0015541C">
              <w:rPr>
                <w:lang w:val="pl-PL"/>
              </w:rPr>
              <w:t xml:space="preserve"> (ICR)</w:t>
            </w:r>
          </w:p>
        </w:tc>
      </w:tr>
      <w:tr w:rsidR="00A93B88" w:rsidRPr="0015541C" w14:paraId="39121832" w14:textId="77777777" w:rsidTr="00B7471F">
        <w:trPr>
          <w:trHeight w:val="749"/>
        </w:trPr>
        <w:tc>
          <w:tcPr>
            <w:tcW w:w="2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0F9CBF" w14:textId="77777777" w:rsidR="00A93B88" w:rsidRPr="0015541C" w:rsidRDefault="00A93B88" w:rsidP="00112762">
            <w:pPr>
              <w:keepNext/>
              <w:keepLines/>
              <w:rPr>
                <w:rFonts w:eastAsia="SimSun"/>
                <w:lang w:val="pl-PL" w:eastAsia="zh-CN"/>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BFD0682" w14:textId="77777777" w:rsidR="00A93B88" w:rsidRPr="00AC3958" w:rsidRDefault="00A93B88" w:rsidP="00112762">
            <w:pPr>
              <w:keepNext/>
              <w:keepLines/>
              <w:jc w:val="center"/>
              <w:rPr>
                <w:rFonts w:eastAsia="SimSun"/>
                <w:lang w:val="pl-PL" w:eastAsia="zh-CN"/>
              </w:rPr>
            </w:pPr>
            <w:r w:rsidRPr="0015541C">
              <w:rPr>
                <w:rFonts w:eastAsia="SimSun"/>
                <w:lang w:val="pl-PL" w:eastAsia="zh-CN"/>
              </w:rPr>
              <w:t xml:space="preserve">kapecytabina + placebo </w:t>
            </w:r>
            <w:r w:rsidRPr="0015541C">
              <w:rPr>
                <w:rFonts w:eastAsia="SimSun"/>
                <w:lang w:val="pl-PL" w:eastAsia="zh-CN"/>
              </w:rPr>
              <w:br/>
              <w:t>(n= 206)</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4EF68C5" w14:textId="77777777" w:rsidR="00A93B88" w:rsidRPr="0015541C" w:rsidRDefault="00A93B88" w:rsidP="00112762">
            <w:pPr>
              <w:keepNext/>
              <w:keepLines/>
              <w:jc w:val="center"/>
              <w:rPr>
                <w:rFonts w:eastAsia="SimSun"/>
                <w:lang w:val="pl-PL" w:eastAsia="zh-CN"/>
              </w:rPr>
            </w:pPr>
            <w:r w:rsidRPr="00260CEC">
              <w:rPr>
                <w:rFonts w:eastAsia="SimSun"/>
                <w:lang w:val="pl-PL" w:eastAsia="zh-CN"/>
              </w:rPr>
              <w:t xml:space="preserve">kapecytabina + </w:t>
            </w:r>
            <w:r w:rsidR="006A6FBB" w:rsidRPr="0015541C">
              <w:rPr>
                <w:rFonts w:eastAsia="SimSun"/>
                <w:lang w:val="pl-PL" w:eastAsia="zh-CN"/>
              </w:rPr>
              <w:t>bewacyzumab</w:t>
            </w:r>
            <w:r w:rsidRPr="0015541C">
              <w:rPr>
                <w:rFonts w:eastAsia="SimSun"/>
                <w:lang w:val="pl-PL" w:eastAsia="zh-CN"/>
              </w:rPr>
              <w:t xml:space="preserve"> (n=409)</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F93193F" w14:textId="77777777" w:rsidR="00A93B88" w:rsidRPr="0015541C" w:rsidRDefault="00A93B88" w:rsidP="00112762">
            <w:pPr>
              <w:keepNext/>
              <w:keepLines/>
              <w:jc w:val="center"/>
              <w:rPr>
                <w:rFonts w:eastAsia="SimSun"/>
                <w:lang w:val="pl-PL" w:eastAsia="zh-CN"/>
              </w:rPr>
            </w:pPr>
            <w:r w:rsidRPr="0015541C">
              <w:rPr>
                <w:rFonts w:eastAsia="SimSun"/>
                <w:lang w:val="pl-PL" w:eastAsia="zh-CN"/>
              </w:rPr>
              <w:t xml:space="preserve">kapecytabina + placebo </w:t>
            </w:r>
            <w:r w:rsidRPr="0015541C">
              <w:rPr>
                <w:rFonts w:eastAsia="SimSun"/>
                <w:lang w:val="pl-PL" w:eastAsia="zh-CN"/>
              </w:rPr>
              <w:br/>
              <w:t>(n= 206)</w:t>
            </w: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193C4AE6" w14:textId="77777777" w:rsidR="00A93B88" w:rsidRPr="0015541C" w:rsidRDefault="00A93B88" w:rsidP="00112762">
            <w:pPr>
              <w:keepNext/>
              <w:keepLines/>
              <w:spacing w:before="60" w:after="170"/>
              <w:jc w:val="center"/>
              <w:rPr>
                <w:rFonts w:eastAsia="SimSun"/>
                <w:bCs/>
                <w:iCs/>
                <w:color w:val="000000"/>
                <w:szCs w:val="22"/>
                <w:lang w:val="pl-PL" w:eastAsia="zh-CN"/>
              </w:rPr>
            </w:pPr>
            <w:r w:rsidRPr="0015541C">
              <w:rPr>
                <w:rFonts w:eastAsia="SimSun"/>
                <w:bCs/>
                <w:iCs/>
                <w:color w:val="000000"/>
                <w:szCs w:val="22"/>
                <w:lang w:val="pl-PL" w:eastAsia="zh-CN"/>
              </w:rPr>
              <w:t xml:space="preserve">kapecytabina + </w:t>
            </w:r>
            <w:r w:rsidR="006A6FBB" w:rsidRPr="0015541C">
              <w:rPr>
                <w:rFonts w:eastAsia="SimSun"/>
                <w:bCs/>
                <w:iCs/>
                <w:color w:val="000000"/>
                <w:szCs w:val="22"/>
                <w:lang w:val="pl-PL" w:eastAsia="zh-CN"/>
              </w:rPr>
              <w:t>bewacyzumab</w:t>
            </w:r>
            <w:r w:rsidRPr="0015541C">
              <w:rPr>
                <w:rFonts w:eastAsia="SimSun"/>
                <w:bCs/>
                <w:iCs/>
                <w:color w:val="000000"/>
                <w:szCs w:val="22"/>
                <w:lang w:val="pl-PL" w:eastAsia="zh-CN"/>
              </w:rPr>
              <w:t xml:space="preserve"> </w:t>
            </w:r>
            <w:r w:rsidRPr="0015541C">
              <w:rPr>
                <w:rFonts w:eastAsia="SimSun"/>
                <w:bCs/>
                <w:iCs/>
                <w:color w:val="000000"/>
                <w:szCs w:val="22"/>
                <w:lang w:val="pl-PL" w:eastAsia="zh-CN"/>
              </w:rPr>
              <w:br/>
              <w:t>(n=409)</w:t>
            </w:r>
          </w:p>
        </w:tc>
      </w:tr>
      <w:tr w:rsidR="00A93B88" w:rsidRPr="0015541C" w14:paraId="3168A50B" w14:textId="77777777" w:rsidTr="00B7471F">
        <w:trPr>
          <w:trHeight w:val="593"/>
        </w:trPr>
        <w:tc>
          <w:tcPr>
            <w:tcW w:w="2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370A50" w14:textId="77777777" w:rsidR="00A93B88" w:rsidRPr="0015541C" w:rsidRDefault="00A93B88" w:rsidP="00112762">
            <w:pPr>
              <w:keepNext/>
              <w:keepLines/>
              <w:rPr>
                <w:rFonts w:eastAsia="SimSun"/>
                <w:lang w:val="pl-PL" w:eastAsia="zh-CN"/>
              </w:rPr>
            </w:pPr>
            <w:r w:rsidRPr="0015541C">
              <w:rPr>
                <w:rFonts w:eastAsia="SimSun"/>
                <w:lang w:val="pl-PL" w:eastAsia="zh-CN"/>
              </w:rPr>
              <w:t>Mediana PFS (miesiące)</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89351DE" w14:textId="77777777" w:rsidR="00A93B88" w:rsidRPr="00AC3958" w:rsidRDefault="00A93B88" w:rsidP="00112762">
            <w:pPr>
              <w:keepNext/>
              <w:keepLines/>
              <w:jc w:val="center"/>
              <w:rPr>
                <w:rFonts w:eastAsia="SimSun"/>
                <w:lang w:val="pl-PL" w:eastAsia="zh-CN"/>
              </w:rPr>
            </w:pPr>
            <w:r w:rsidRPr="0015541C">
              <w:rPr>
                <w:rFonts w:eastAsia="SimSun"/>
                <w:lang w:val="pl-PL" w:eastAsia="zh-CN"/>
              </w:rPr>
              <w:t>5,7</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6B86AF9" w14:textId="77777777" w:rsidR="00A93B88" w:rsidRPr="0015541C" w:rsidRDefault="00A93B88" w:rsidP="00112762">
            <w:pPr>
              <w:keepNext/>
              <w:keepLines/>
              <w:jc w:val="center"/>
              <w:rPr>
                <w:rFonts w:eastAsia="SimSun"/>
                <w:lang w:val="pl-PL" w:eastAsia="zh-CN"/>
              </w:rPr>
            </w:pPr>
            <w:r w:rsidRPr="00260CEC">
              <w:rPr>
                <w:rFonts w:eastAsia="SimSun"/>
                <w:lang w:val="pl-PL" w:eastAsia="zh-CN"/>
              </w:rPr>
              <w:t>8,6</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3BEC8436" w14:textId="77777777" w:rsidR="00A93B88" w:rsidRPr="0015541C" w:rsidRDefault="00A93B88" w:rsidP="00112762">
            <w:pPr>
              <w:keepNext/>
              <w:keepLines/>
              <w:jc w:val="center"/>
              <w:rPr>
                <w:rFonts w:eastAsia="SimSun"/>
                <w:lang w:val="pl-PL" w:eastAsia="zh-CN"/>
              </w:rPr>
            </w:pPr>
            <w:r w:rsidRPr="0015541C">
              <w:rPr>
                <w:rFonts w:eastAsia="SimSun"/>
                <w:lang w:val="pl-PL" w:eastAsia="zh-CN"/>
              </w:rPr>
              <w:t>6,2</w:t>
            </w: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7B98D678" w14:textId="77777777" w:rsidR="00A93B88" w:rsidRPr="0015541C" w:rsidRDefault="00A93B88" w:rsidP="00112762">
            <w:pPr>
              <w:keepNext/>
              <w:keepLines/>
              <w:jc w:val="center"/>
              <w:rPr>
                <w:rFonts w:eastAsia="SimSun"/>
                <w:lang w:val="pl-PL" w:eastAsia="zh-CN"/>
              </w:rPr>
            </w:pPr>
            <w:r w:rsidRPr="0015541C">
              <w:rPr>
                <w:rFonts w:eastAsia="SimSun"/>
                <w:lang w:val="pl-PL" w:eastAsia="zh-CN"/>
              </w:rPr>
              <w:t>9,8</w:t>
            </w:r>
          </w:p>
        </w:tc>
      </w:tr>
      <w:tr w:rsidR="00A93B88" w:rsidRPr="0015541C" w14:paraId="33A4A971" w14:textId="77777777" w:rsidTr="00B7471F">
        <w:trPr>
          <w:trHeight w:val="809"/>
        </w:trPr>
        <w:tc>
          <w:tcPr>
            <w:tcW w:w="2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905CC2" w14:textId="77777777" w:rsidR="00A93B88" w:rsidRPr="0015541C" w:rsidRDefault="00A93B88" w:rsidP="00112762">
            <w:pPr>
              <w:keepNext/>
              <w:keepLines/>
              <w:rPr>
                <w:rFonts w:eastAsia="SimSun"/>
                <w:lang w:val="pl-PL" w:eastAsia="zh-CN"/>
              </w:rPr>
            </w:pPr>
            <w:r w:rsidRPr="0015541C">
              <w:rPr>
                <w:rFonts w:eastAsia="SimSun"/>
                <w:lang w:val="pl-PL" w:eastAsia="zh-CN"/>
              </w:rPr>
              <w:t>Współczynnik ryzyka vs. ramię placebo (95% CI)</w:t>
            </w:r>
          </w:p>
        </w:tc>
        <w:tc>
          <w:tcPr>
            <w:tcW w:w="2693" w:type="dxa"/>
            <w:gridSpan w:val="2"/>
            <w:tcBorders>
              <w:top w:val="nil"/>
              <w:left w:val="nil"/>
              <w:bottom w:val="single" w:sz="8" w:space="0" w:color="auto"/>
              <w:right w:val="single" w:sz="8" w:space="0" w:color="auto"/>
            </w:tcBorders>
            <w:tcMar>
              <w:top w:w="0" w:type="dxa"/>
              <w:left w:w="108" w:type="dxa"/>
              <w:bottom w:w="0" w:type="dxa"/>
              <w:right w:w="108" w:type="dxa"/>
            </w:tcMar>
          </w:tcPr>
          <w:p w14:paraId="3B433613" w14:textId="77777777" w:rsidR="00A93B88" w:rsidRPr="00AC3958" w:rsidRDefault="00A93B88" w:rsidP="00112762">
            <w:pPr>
              <w:keepNext/>
              <w:keepLines/>
              <w:jc w:val="center"/>
              <w:rPr>
                <w:rFonts w:eastAsia="SimSun"/>
                <w:lang w:val="pl-PL" w:eastAsia="zh-CN"/>
              </w:rPr>
            </w:pPr>
            <w:r w:rsidRPr="0015541C">
              <w:rPr>
                <w:rFonts w:eastAsia="SimSun"/>
                <w:lang w:val="pl-PL" w:eastAsia="zh-CN"/>
              </w:rPr>
              <w:t>0,69 (0,56; 0,84)</w:t>
            </w:r>
          </w:p>
        </w:tc>
        <w:tc>
          <w:tcPr>
            <w:tcW w:w="3065" w:type="dxa"/>
            <w:gridSpan w:val="2"/>
            <w:tcBorders>
              <w:top w:val="nil"/>
              <w:left w:val="nil"/>
              <w:bottom w:val="single" w:sz="8" w:space="0" w:color="auto"/>
              <w:right w:val="single" w:sz="8" w:space="0" w:color="auto"/>
            </w:tcBorders>
            <w:tcMar>
              <w:top w:w="0" w:type="dxa"/>
              <w:left w:w="108" w:type="dxa"/>
              <w:bottom w:w="0" w:type="dxa"/>
              <w:right w:w="108" w:type="dxa"/>
            </w:tcMar>
          </w:tcPr>
          <w:p w14:paraId="1C7E4834" w14:textId="77777777" w:rsidR="00A93B88" w:rsidRPr="0015541C" w:rsidRDefault="00A93B88" w:rsidP="00112762">
            <w:pPr>
              <w:keepNext/>
              <w:keepLines/>
              <w:jc w:val="center"/>
              <w:rPr>
                <w:rFonts w:eastAsia="SimSun"/>
                <w:lang w:val="pl-PL" w:eastAsia="zh-CN"/>
              </w:rPr>
            </w:pPr>
            <w:r w:rsidRPr="00260CEC">
              <w:rPr>
                <w:rFonts w:eastAsia="SimSun"/>
                <w:lang w:val="pl-PL" w:eastAsia="zh-CN"/>
              </w:rPr>
              <w:t>0,68 (0,54; 0,86)</w:t>
            </w:r>
          </w:p>
        </w:tc>
      </w:tr>
      <w:tr w:rsidR="00A93B88" w:rsidRPr="0015541C" w14:paraId="63327191" w14:textId="77777777" w:rsidTr="00B7471F">
        <w:trPr>
          <w:trHeight w:val="409"/>
        </w:trPr>
        <w:tc>
          <w:tcPr>
            <w:tcW w:w="2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051084" w14:textId="77777777" w:rsidR="00A93B88" w:rsidRPr="0015541C" w:rsidRDefault="00A93B88" w:rsidP="003009ED">
            <w:pPr>
              <w:rPr>
                <w:rFonts w:eastAsia="SimSun"/>
                <w:bCs/>
                <w:iCs/>
                <w:color w:val="000000"/>
                <w:lang w:val="pl-PL" w:eastAsia="zh-CN"/>
              </w:rPr>
            </w:pPr>
            <w:r w:rsidRPr="0015541C">
              <w:rPr>
                <w:lang w:val="pl-PL"/>
              </w:rPr>
              <w:t>współczynnik p</w:t>
            </w:r>
          </w:p>
        </w:tc>
        <w:tc>
          <w:tcPr>
            <w:tcW w:w="2693" w:type="dxa"/>
            <w:gridSpan w:val="2"/>
            <w:tcBorders>
              <w:top w:val="nil"/>
              <w:left w:val="nil"/>
              <w:bottom w:val="single" w:sz="8" w:space="0" w:color="auto"/>
              <w:right w:val="single" w:sz="8" w:space="0" w:color="auto"/>
            </w:tcBorders>
            <w:tcMar>
              <w:top w:w="0" w:type="dxa"/>
              <w:left w:w="108" w:type="dxa"/>
              <w:bottom w:w="0" w:type="dxa"/>
              <w:right w:w="108" w:type="dxa"/>
            </w:tcMar>
          </w:tcPr>
          <w:p w14:paraId="10578833" w14:textId="77777777" w:rsidR="00A93B88" w:rsidRPr="00AC3958" w:rsidRDefault="00A93B88" w:rsidP="00D77B77">
            <w:pPr>
              <w:jc w:val="center"/>
              <w:rPr>
                <w:rFonts w:eastAsia="SimSun"/>
                <w:bCs/>
                <w:iCs/>
                <w:color w:val="000000"/>
                <w:lang w:val="pl-PL" w:eastAsia="zh-CN"/>
              </w:rPr>
            </w:pPr>
            <w:r w:rsidRPr="0015541C">
              <w:rPr>
                <w:rFonts w:eastAsia="SimSun"/>
                <w:bCs/>
                <w:iCs/>
                <w:color w:val="000000"/>
                <w:lang w:val="pl-PL" w:eastAsia="zh-CN"/>
              </w:rPr>
              <w:t>0,0002</w:t>
            </w:r>
          </w:p>
        </w:tc>
        <w:tc>
          <w:tcPr>
            <w:tcW w:w="3065" w:type="dxa"/>
            <w:gridSpan w:val="2"/>
            <w:tcBorders>
              <w:top w:val="nil"/>
              <w:left w:val="nil"/>
              <w:bottom w:val="single" w:sz="8" w:space="0" w:color="auto"/>
              <w:right w:val="single" w:sz="8" w:space="0" w:color="auto"/>
            </w:tcBorders>
            <w:tcMar>
              <w:top w:w="0" w:type="dxa"/>
              <w:left w:w="108" w:type="dxa"/>
              <w:bottom w:w="0" w:type="dxa"/>
              <w:right w:w="108" w:type="dxa"/>
            </w:tcMar>
          </w:tcPr>
          <w:p w14:paraId="0910C3C1" w14:textId="77777777" w:rsidR="00A93B88" w:rsidRPr="0015541C" w:rsidRDefault="00A93B88" w:rsidP="00D77B77">
            <w:pPr>
              <w:jc w:val="center"/>
              <w:rPr>
                <w:rFonts w:eastAsia="SimSun"/>
                <w:bCs/>
                <w:iCs/>
                <w:color w:val="000000"/>
                <w:lang w:val="pl-PL" w:eastAsia="zh-CN"/>
              </w:rPr>
            </w:pPr>
            <w:r w:rsidRPr="00260CEC">
              <w:rPr>
                <w:rFonts w:eastAsia="SimSun"/>
                <w:bCs/>
                <w:iCs/>
                <w:color w:val="000000"/>
                <w:lang w:val="pl-PL" w:eastAsia="zh-CN"/>
              </w:rPr>
              <w:t>0,0011</w:t>
            </w:r>
          </w:p>
        </w:tc>
      </w:tr>
      <w:tr w:rsidR="00A93B88" w:rsidRPr="0015541C" w14:paraId="0B3C6DC3" w14:textId="77777777" w:rsidTr="00D77B77">
        <w:trPr>
          <w:trHeight w:val="401"/>
        </w:trPr>
        <w:tc>
          <w:tcPr>
            <w:tcW w:w="8449"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213BB932" w14:textId="77777777" w:rsidR="00A93B88" w:rsidRPr="0015541C" w:rsidRDefault="00A93B88" w:rsidP="00D77B77">
            <w:pPr>
              <w:rPr>
                <w:rFonts w:eastAsia="SimSun"/>
                <w:iCs/>
                <w:color w:val="000000"/>
                <w:lang w:val="pl-PL" w:eastAsia="zh-CN"/>
              </w:rPr>
            </w:pPr>
            <w:r w:rsidRPr="0015541C">
              <w:rPr>
                <w:rFonts w:eastAsia="SimSun"/>
                <w:bCs/>
                <w:iCs/>
                <w:color w:val="000000"/>
                <w:lang w:val="pl-PL" w:eastAsia="zh-CN"/>
              </w:rPr>
              <w:t>Współczynnik odpowiedzi (dla pacjentów z mierzalną chorobą)</w:t>
            </w:r>
            <w:r w:rsidR="00744E5D" w:rsidRPr="0015541C">
              <w:rPr>
                <w:rFonts w:eastAsia="SimSun"/>
                <w:bCs/>
                <w:iCs/>
                <w:color w:val="000000"/>
                <w:vertAlign w:val="superscript"/>
                <w:lang w:val="pl-PL" w:eastAsia="zh-CN"/>
              </w:rPr>
              <w:t xml:space="preserve"> b</w:t>
            </w:r>
          </w:p>
        </w:tc>
      </w:tr>
      <w:tr w:rsidR="00A93B88" w:rsidRPr="0015541C" w14:paraId="162002B9" w14:textId="77777777" w:rsidTr="00B7471F">
        <w:tc>
          <w:tcPr>
            <w:tcW w:w="2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4B86F7" w14:textId="77777777" w:rsidR="00A93B88" w:rsidRPr="0015541C" w:rsidRDefault="00A93B88" w:rsidP="003009ED">
            <w:pPr>
              <w:rPr>
                <w:rFonts w:eastAsia="SimSun"/>
                <w:bCs/>
                <w:iCs/>
                <w:color w:val="000000"/>
                <w:lang w:val="pl-PL" w:eastAsia="zh-CN"/>
              </w:rPr>
            </w:pPr>
          </w:p>
        </w:tc>
        <w:tc>
          <w:tcPr>
            <w:tcW w:w="2693" w:type="dxa"/>
            <w:gridSpan w:val="2"/>
            <w:tcBorders>
              <w:top w:val="nil"/>
              <w:left w:val="nil"/>
              <w:bottom w:val="single" w:sz="8" w:space="0" w:color="auto"/>
              <w:right w:val="single" w:sz="8" w:space="0" w:color="auto"/>
            </w:tcBorders>
            <w:tcMar>
              <w:top w:w="0" w:type="dxa"/>
              <w:left w:w="108" w:type="dxa"/>
              <w:bottom w:w="0" w:type="dxa"/>
              <w:right w:w="108" w:type="dxa"/>
            </w:tcMar>
          </w:tcPr>
          <w:p w14:paraId="74858340" w14:textId="77777777" w:rsidR="00A93B88" w:rsidRPr="0015541C" w:rsidRDefault="00A93B88" w:rsidP="00D77B77">
            <w:pPr>
              <w:jc w:val="center"/>
              <w:rPr>
                <w:rFonts w:eastAsia="SimSun"/>
                <w:bCs/>
                <w:iCs/>
                <w:color w:val="000000"/>
                <w:lang w:val="pl-PL" w:eastAsia="zh-CN"/>
              </w:rPr>
            </w:pPr>
            <w:r w:rsidRPr="0015541C">
              <w:rPr>
                <w:rFonts w:eastAsia="SimSun"/>
                <w:bCs/>
                <w:iCs/>
                <w:color w:val="000000"/>
                <w:lang w:val="pl-PL" w:eastAsia="zh-CN"/>
              </w:rPr>
              <w:t xml:space="preserve">kapecytabina + placebo </w:t>
            </w:r>
            <w:r w:rsidRPr="0015541C">
              <w:rPr>
                <w:rFonts w:eastAsia="SimSun"/>
                <w:bCs/>
                <w:iCs/>
                <w:color w:val="000000"/>
                <w:lang w:val="pl-PL" w:eastAsia="zh-CN"/>
              </w:rPr>
              <w:br/>
              <w:t>(n= 161)</w:t>
            </w:r>
          </w:p>
        </w:tc>
        <w:tc>
          <w:tcPr>
            <w:tcW w:w="3065" w:type="dxa"/>
            <w:gridSpan w:val="2"/>
            <w:tcBorders>
              <w:top w:val="nil"/>
              <w:left w:val="nil"/>
              <w:bottom w:val="single" w:sz="8" w:space="0" w:color="auto"/>
              <w:right w:val="single" w:sz="8" w:space="0" w:color="auto"/>
            </w:tcBorders>
            <w:tcMar>
              <w:top w:w="0" w:type="dxa"/>
              <w:left w:w="108" w:type="dxa"/>
              <w:bottom w:w="0" w:type="dxa"/>
              <w:right w:w="108" w:type="dxa"/>
            </w:tcMar>
          </w:tcPr>
          <w:p w14:paraId="41092011" w14:textId="77777777" w:rsidR="00A93B88" w:rsidRPr="0015541C" w:rsidRDefault="00A93B88" w:rsidP="00D77B77">
            <w:pPr>
              <w:jc w:val="center"/>
              <w:rPr>
                <w:rFonts w:eastAsia="SimSun"/>
                <w:bCs/>
                <w:iCs/>
                <w:color w:val="000000"/>
                <w:lang w:val="pl-PL" w:eastAsia="zh-CN"/>
              </w:rPr>
            </w:pPr>
            <w:r w:rsidRPr="00260CEC">
              <w:rPr>
                <w:rFonts w:eastAsia="SimSun"/>
                <w:bCs/>
                <w:iCs/>
                <w:color w:val="000000"/>
                <w:lang w:val="pl-PL" w:eastAsia="zh-CN"/>
              </w:rPr>
              <w:t xml:space="preserve">kapecytabina + </w:t>
            </w:r>
            <w:r w:rsidR="006A6FBB" w:rsidRPr="0015541C">
              <w:rPr>
                <w:rFonts w:eastAsia="SimSun"/>
                <w:bCs/>
                <w:iCs/>
                <w:color w:val="000000"/>
                <w:lang w:val="pl-PL" w:eastAsia="zh-CN"/>
              </w:rPr>
              <w:t>bewacyzumab</w:t>
            </w:r>
            <w:r w:rsidRPr="0015541C">
              <w:rPr>
                <w:rFonts w:eastAsia="SimSun"/>
                <w:bCs/>
                <w:iCs/>
                <w:color w:val="000000"/>
                <w:lang w:val="pl-PL" w:eastAsia="zh-CN"/>
              </w:rPr>
              <w:t xml:space="preserve"> </w:t>
            </w:r>
            <w:r w:rsidRPr="0015541C">
              <w:rPr>
                <w:rFonts w:eastAsia="SimSun"/>
                <w:bCs/>
                <w:iCs/>
                <w:color w:val="000000"/>
                <w:lang w:val="pl-PL" w:eastAsia="zh-CN"/>
              </w:rPr>
              <w:br/>
              <w:t>(n=325)</w:t>
            </w:r>
          </w:p>
        </w:tc>
      </w:tr>
      <w:tr w:rsidR="00A93B88" w:rsidRPr="0015541C" w14:paraId="11BFCFBB" w14:textId="77777777" w:rsidTr="00B7471F">
        <w:tc>
          <w:tcPr>
            <w:tcW w:w="2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151ED0" w14:textId="77777777" w:rsidR="00A93B88" w:rsidRPr="0015541C" w:rsidRDefault="00A93B88" w:rsidP="003009ED">
            <w:pPr>
              <w:rPr>
                <w:rFonts w:eastAsia="SimSun"/>
                <w:bCs/>
                <w:iCs/>
                <w:color w:val="000000"/>
                <w:lang w:val="pl-PL" w:eastAsia="zh-CN"/>
              </w:rPr>
            </w:pPr>
            <w:r w:rsidRPr="0015541C">
              <w:rPr>
                <w:rFonts w:eastAsia="SimSun"/>
                <w:bCs/>
                <w:iCs/>
                <w:color w:val="000000"/>
                <w:lang w:val="pl-PL" w:eastAsia="zh-CN"/>
              </w:rPr>
              <w:t>% pacjentów z obiektywną odpowiedzią</w:t>
            </w:r>
          </w:p>
        </w:tc>
        <w:tc>
          <w:tcPr>
            <w:tcW w:w="26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64C06D3" w14:textId="77777777" w:rsidR="00A93B88" w:rsidRPr="00AC3958" w:rsidRDefault="00A93B88" w:rsidP="00D77B77">
            <w:pPr>
              <w:jc w:val="center"/>
              <w:rPr>
                <w:rFonts w:eastAsia="SimSun"/>
                <w:bCs/>
                <w:iCs/>
                <w:color w:val="000000"/>
                <w:lang w:val="pl-PL" w:eastAsia="zh-CN"/>
              </w:rPr>
            </w:pPr>
            <w:r w:rsidRPr="0015541C">
              <w:rPr>
                <w:rFonts w:eastAsia="SimSun"/>
                <w:bCs/>
                <w:iCs/>
                <w:color w:val="000000"/>
                <w:lang w:val="pl-PL" w:eastAsia="zh-CN"/>
              </w:rPr>
              <w:t>23,6</w:t>
            </w:r>
          </w:p>
        </w:tc>
        <w:tc>
          <w:tcPr>
            <w:tcW w:w="306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DAEB0C1" w14:textId="77777777" w:rsidR="00A93B88" w:rsidRPr="0015541C" w:rsidRDefault="00A93B88" w:rsidP="00D77B77">
            <w:pPr>
              <w:jc w:val="center"/>
              <w:rPr>
                <w:rFonts w:eastAsia="SimSun"/>
                <w:bCs/>
                <w:iCs/>
                <w:color w:val="000000"/>
                <w:lang w:val="pl-PL" w:eastAsia="zh-CN"/>
              </w:rPr>
            </w:pPr>
            <w:r w:rsidRPr="00260CEC">
              <w:rPr>
                <w:rFonts w:eastAsia="SimSun"/>
                <w:bCs/>
                <w:iCs/>
                <w:color w:val="000000"/>
                <w:lang w:val="pl-PL" w:eastAsia="zh-CN"/>
              </w:rPr>
              <w:t>35,4</w:t>
            </w:r>
          </w:p>
        </w:tc>
      </w:tr>
      <w:tr w:rsidR="00A93B88" w:rsidRPr="0015541C" w14:paraId="4BBA2F1E" w14:textId="77777777" w:rsidTr="00B7471F">
        <w:trPr>
          <w:trHeight w:val="369"/>
        </w:trPr>
        <w:tc>
          <w:tcPr>
            <w:tcW w:w="2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90F6D4" w14:textId="77777777" w:rsidR="00A93B88" w:rsidRPr="0015541C" w:rsidRDefault="00A93B88" w:rsidP="003009ED">
            <w:pPr>
              <w:rPr>
                <w:rFonts w:eastAsia="SimSun"/>
                <w:bCs/>
                <w:iCs/>
                <w:color w:val="000000"/>
                <w:lang w:val="pl-PL" w:eastAsia="zh-CN"/>
              </w:rPr>
            </w:pPr>
            <w:r w:rsidRPr="0015541C">
              <w:rPr>
                <w:lang w:val="pl-PL"/>
              </w:rPr>
              <w:t>współczynnik p</w:t>
            </w:r>
          </w:p>
        </w:tc>
        <w:tc>
          <w:tcPr>
            <w:tcW w:w="5758"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0259D7D8" w14:textId="77777777" w:rsidR="00A93B88" w:rsidRPr="00AC3958" w:rsidRDefault="00A93B88" w:rsidP="00D77B77">
            <w:pPr>
              <w:jc w:val="center"/>
              <w:rPr>
                <w:rFonts w:eastAsia="SimSun"/>
                <w:bCs/>
                <w:iCs/>
                <w:color w:val="000000"/>
                <w:lang w:val="pl-PL" w:eastAsia="zh-CN"/>
              </w:rPr>
            </w:pPr>
            <w:r w:rsidRPr="0015541C">
              <w:rPr>
                <w:rFonts w:eastAsia="SimSun"/>
                <w:bCs/>
                <w:iCs/>
                <w:color w:val="000000"/>
                <w:lang w:val="pl-PL" w:eastAsia="zh-CN"/>
              </w:rPr>
              <w:t>0,0097</w:t>
            </w:r>
          </w:p>
        </w:tc>
      </w:tr>
      <w:tr w:rsidR="00A93B88" w:rsidRPr="0015541C" w14:paraId="7EB896B6" w14:textId="77777777" w:rsidTr="00D77B77">
        <w:trPr>
          <w:trHeight w:val="403"/>
        </w:trPr>
        <w:tc>
          <w:tcPr>
            <w:tcW w:w="8449"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AE6DD7" w14:textId="58CECABF" w:rsidR="00A93B88" w:rsidRPr="0015541C" w:rsidRDefault="00C15158" w:rsidP="003009ED">
            <w:pPr>
              <w:rPr>
                <w:rFonts w:eastAsia="SimSun"/>
                <w:lang w:val="pl-PL" w:eastAsia="zh-CN"/>
              </w:rPr>
            </w:pPr>
            <w:r w:rsidRPr="0015541C">
              <w:rPr>
                <w:rFonts w:eastAsia="SimSun"/>
                <w:lang w:val="pl-PL" w:eastAsia="zh-CN"/>
              </w:rPr>
              <w:t>Całkowity czas przeżycia</w:t>
            </w:r>
            <w:r w:rsidRPr="0015541C">
              <w:rPr>
                <w:rFonts w:eastAsia="SimSun"/>
                <w:vertAlign w:val="superscript"/>
                <w:lang w:val="pl-PL" w:eastAsia="zh-CN"/>
              </w:rPr>
              <w:t>b</w:t>
            </w:r>
          </w:p>
        </w:tc>
      </w:tr>
      <w:tr w:rsidR="00A93B88" w:rsidRPr="0015541C" w14:paraId="6B7C16A3" w14:textId="77777777" w:rsidTr="00B7471F">
        <w:tc>
          <w:tcPr>
            <w:tcW w:w="2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7ABA82" w14:textId="77777777" w:rsidR="00A93B88" w:rsidRPr="0015541C" w:rsidRDefault="00A93B88" w:rsidP="003009ED">
            <w:pPr>
              <w:rPr>
                <w:lang w:val="pl-PL"/>
              </w:rPr>
            </w:pPr>
            <w:r w:rsidRPr="0015541C">
              <w:rPr>
                <w:lang w:val="pl-PL"/>
              </w:rPr>
              <w:t xml:space="preserve">HR </w:t>
            </w:r>
          </w:p>
          <w:p w14:paraId="2151C068" w14:textId="77777777" w:rsidR="00A93B88" w:rsidRPr="00260CEC" w:rsidRDefault="00A93B88" w:rsidP="003009ED">
            <w:pPr>
              <w:rPr>
                <w:lang w:val="pl-PL" w:eastAsia="de-DE"/>
              </w:rPr>
            </w:pPr>
            <w:r w:rsidRPr="0015541C">
              <w:rPr>
                <w:lang w:val="pl-PL"/>
              </w:rPr>
              <w:t xml:space="preserve">(95% </w:t>
            </w:r>
            <w:r w:rsidRPr="00AC3958">
              <w:rPr>
                <w:lang w:val="pl-PL"/>
              </w:rPr>
              <w:t>CI)</w:t>
            </w:r>
          </w:p>
        </w:tc>
        <w:tc>
          <w:tcPr>
            <w:tcW w:w="5758" w:type="dxa"/>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4F0B94" w14:textId="77777777" w:rsidR="00A93B88" w:rsidRPr="0015541C" w:rsidRDefault="00A93B88" w:rsidP="00D77B77">
            <w:pPr>
              <w:jc w:val="center"/>
              <w:rPr>
                <w:rFonts w:eastAsia="SimSun"/>
                <w:lang w:val="pl-PL" w:eastAsia="zh-CN"/>
              </w:rPr>
            </w:pPr>
            <w:r w:rsidRPr="0015541C">
              <w:rPr>
                <w:lang w:val="pl-PL"/>
              </w:rPr>
              <w:t>0,88 (0,69</w:t>
            </w:r>
            <w:r w:rsidR="00A7194F" w:rsidRPr="0015541C">
              <w:rPr>
                <w:lang w:val="pl-PL"/>
              </w:rPr>
              <w:t xml:space="preserve">; </w:t>
            </w:r>
            <w:r w:rsidRPr="0015541C">
              <w:rPr>
                <w:lang w:val="pl-PL"/>
              </w:rPr>
              <w:t>1,13)</w:t>
            </w:r>
          </w:p>
        </w:tc>
      </w:tr>
      <w:tr w:rsidR="00A93B88" w:rsidRPr="0015541C" w14:paraId="4C4E8005" w14:textId="77777777" w:rsidTr="00B7471F">
        <w:trPr>
          <w:trHeight w:val="489"/>
        </w:trPr>
        <w:tc>
          <w:tcPr>
            <w:tcW w:w="2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7D5E4F" w14:textId="77777777" w:rsidR="00A93B88" w:rsidRPr="0015541C" w:rsidRDefault="00A93B88" w:rsidP="003009ED">
            <w:pPr>
              <w:rPr>
                <w:lang w:val="pl-PL" w:eastAsia="de-DE"/>
              </w:rPr>
            </w:pPr>
            <w:r w:rsidRPr="0015541C">
              <w:rPr>
                <w:lang w:val="pl-PL"/>
              </w:rPr>
              <w:t>współczynnik p (eksploracyjny)</w:t>
            </w:r>
          </w:p>
        </w:tc>
        <w:tc>
          <w:tcPr>
            <w:tcW w:w="5758"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E97B02C" w14:textId="77777777" w:rsidR="00A93B88" w:rsidRPr="00AC3958" w:rsidRDefault="00A93B88" w:rsidP="00D77B77">
            <w:pPr>
              <w:jc w:val="center"/>
              <w:rPr>
                <w:rFonts w:eastAsia="SimSun"/>
                <w:lang w:val="pl-PL" w:eastAsia="zh-CN"/>
              </w:rPr>
            </w:pPr>
            <w:r w:rsidRPr="0015541C">
              <w:rPr>
                <w:lang w:val="pl-PL"/>
              </w:rPr>
              <w:t>0,33</w:t>
            </w:r>
          </w:p>
        </w:tc>
      </w:tr>
    </w:tbl>
    <w:p w14:paraId="7A92195A" w14:textId="77777777" w:rsidR="00257F17" w:rsidRPr="0015541C" w:rsidRDefault="00257F17" w:rsidP="00C24314">
      <w:pPr>
        <w:keepNext/>
        <w:keepLines/>
        <w:rPr>
          <w:sz w:val="20"/>
          <w:lang w:val="pl-PL"/>
        </w:rPr>
      </w:pPr>
      <w:r w:rsidRPr="0015541C">
        <w:rPr>
          <w:sz w:val="20"/>
          <w:vertAlign w:val="superscript"/>
          <w:lang w:val="pl-PL"/>
        </w:rPr>
        <w:t>a</w:t>
      </w:r>
      <w:r w:rsidRPr="0015541C">
        <w:rPr>
          <w:sz w:val="20"/>
          <w:lang w:val="pl-PL"/>
        </w:rPr>
        <w:t xml:space="preserve"> 1000</w:t>
      </w:r>
      <w:r w:rsidR="00685C01" w:rsidRPr="0015541C">
        <w:rPr>
          <w:sz w:val="20"/>
          <w:lang w:val="pl-PL"/>
        </w:rPr>
        <w:t> mg</w:t>
      </w:r>
      <w:r w:rsidRPr="00AC3958">
        <w:rPr>
          <w:sz w:val="20"/>
          <w:lang w:val="pl-PL"/>
        </w:rPr>
        <w:t>/m</w:t>
      </w:r>
      <w:r w:rsidRPr="00260CEC">
        <w:rPr>
          <w:sz w:val="20"/>
          <w:vertAlign w:val="superscript"/>
          <w:lang w:val="pl-PL"/>
        </w:rPr>
        <w:t xml:space="preserve">2 </w:t>
      </w:r>
      <w:r w:rsidRPr="0015541C">
        <w:rPr>
          <w:sz w:val="20"/>
          <w:lang w:val="pl-PL"/>
        </w:rPr>
        <w:t xml:space="preserve">dwa razy </w:t>
      </w:r>
      <w:r w:rsidR="005F006C" w:rsidRPr="0015541C">
        <w:rPr>
          <w:sz w:val="20"/>
          <w:lang w:val="pl-PL"/>
        </w:rPr>
        <w:t>na dobę</w:t>
      </w:r>
      <w:r w:rsidRPr="0015541C">
        <w:rPr>
          <w:sz w:val="20"/>
          <w:lang w:val="pl-PL"/>
        </w:rPr>
        <w:t xml:space="preserve"> przez 14 dni podawane co 3 tygodnie</w:t>
      </w:r>
    </w:p>
    <w:p w14:paraId="51E39438" w14:textId="77777777" w:rsidR="00A93B88" w:rsidRPr="0015541C" w:rsidRDefault="00257F17" w:rsidP="00AF40AA">
      <w:pPr>
        <w:keepNext/>
        <w:keepLines/>
        <w:ind w:left="180" w:hanging="180"/>
        <w:rPr>
          <w:sz w:val="20"/>
          <w:lang w:val="pl-PL"/>
        </w:rPr>
      </w:pPr>
      <w:r w:rsidRPr="0015541C">
        <w:rPr>
          <w:sz w:val="20"/>
          <w:vertAlign w:val="superscript"/>
          <w:lang w:val="pl-PL"/>
        </w:rPr>
        <w:t>b</w:t>
      </w:r>
      <w:r w:rsidR="00A93B88" w:rsidRPr="0015541C">
        <w:rPr>
          <w:sz w:val="20"/>
          <w:lang w:val="pl-PL"/>
        </w:rPr>
        <w:t xml:space="preserve"> Analiza po stratyfikacji, zawierająca wszystkie zdarzenia progresji lub zgonu</w:t>
      </w:r>
      <w:r w:rsidR="00A130AC" w:rsidRPr="0015541C">
        <w:rPr>
          <w:sz w:val="20"/>
          <w:lang w:val="pl-PL"/>
        </w:rPr>
        <w:t>,</w:t>
      </w:r>
      <w:r w:rsidR="00A93B88" w:rsidRPr="0015541C">
        <w:rPr>
          <w:sz w:val="20"/>
          <w:lang w:val="pl-PL"/>
        </w:rPr>
        <w:t xml:space="preserve"> z wykluczeniem </w:t>
      </w:r>
      <w:r w:rsidR="00A130AC" w:rsidRPr="0015541C">
        <w:rPr>
          <w:sz w:val="20"/>
          <w:lang w:val="pl-PL"/>
        </w:rPr>
        <w:t>zdarzeń u pacjentów</w:t>
      </w:r>
      <w:r w:rsidR="0096109D" w:rsidRPr="0015541C">
        <w:rPr>
          <w:sz w:val="20"/>
          <w:lang w:val="pl-PL"/>
        </w:rPr>
        <w:t xml:space="preserve">, </w:t>
      </w:r>
      <w:r w:rsidR="00A130AC" w:rsidRPr="0015541C">
        <w:rPr>
          <w:sz w:val="20"/>
          <w:lang w:val="pl-PL"/>
        </w:rPr>
        <w:t xml:space="preserve">u których przed udokumentowaną progresją włączono </w:t>
      </w:r>
      <w:r w:rsidR="00A93B88" w:rsidRPr="0015541C">
        <w:rPr>
          <w:sz w:val="20"/>
          <w:lang w:val="pl-PL"/>
        </w:rPr>
        <w:t>terapi</w:t>
      </w:r>
      <w:r w:rsidR="00A130AC" w:rsidRPr="0015541C">
        <w:rPr>
          <w:sz w:val="20"/>
          <w:lang w:val="pl-PL"/>
        </w:rPr>
        <w:t>ę</w:t>
      </w:r>
      <w:r w:rsidR="00A93B88" w:rsidRPr="0015541C">
        <w:rPr>
          <w:sz w:val="20"/>
          <w:lang w:val="pl-PL"/>
        </w:rPr>
        <w:t xml:space="preserve"> inn</w:t>
      </w:r>
      <w:r w:rsidR="00A130AC" w:rsidRPr="0015541C">
        <w:rPr>
          <w:sz w:val="20"/>
          <w:lang w:val="pl-PL"/>
        </w:rPr>
        <w:t xml:space="preserve">ą </w:t>
      </w:r>
      <w:r w:rsidR="00A93B88" w:rsidRPr="0015541C">
        <w:rPr>
          <w:sz w:val="20"/>
          <w:lang w:val="pl-PL"/>
        </w:rPr>
        <w:t xml:space="preserve">niż w protokole (ang. NPT- non-protocol therapy) – u tych pacjentów ocenzurowano dane </w:t>
      </w:r>
      <w:r w:rsidR="00A130AC" w:rsidRPr="0015541C">
        <w:rPr>
          <w:sz w:val="20"/>
          <w:lang w:val="pl-PL"/>
        </w:rPr>
        <w:t xml:space="preserve">w czasie </w:t>
      </w:r>
      <w:r w:rsidR="00A93B88" w:rsidRPr="0015541C">
        <w:rPr>
          <w:sz w:val="20"/>
          <w:lang w:val="pl-PL"/>
        </w:rPr>
        <w:t>ostatni</w:t>
      </w:r>
      <w:r w:rsidR="00A130AC" w:rsidRPr="0015541C">
        <w:rPr>
          <w:sz w:val="20"/>
          <w:lang w:val="pl-PL"/>
        </w:rPr>
        <w:t xml:space="preserve">ej </w:t>
      </w:r>
      <w:r w:rsidR="00A93B88" w:rsidRPr="0015541C">
        <w:rPr>
          <w:sz w:val="20"/>
          <w:lang w:val="pl-PL"/>
        </w:rPr>
        <w:t>ocen</w:t>
      </w:r>
      <w:r w:rsidR="00A130AC" w:rsidRPr="0015541C">
        <w:rPr>
          <w:sz w:val="20"/>
          <w:lang w:val="pl-PL"/>
        </w:rPr>
        <w:t>y</w:t>
      </w:r>
      <w:r w:rsidR="00A93B88" w:rsidRPr="0015541C">
        <w:rPr>
          <w:sz w:val="20"/>
          <w:lang w:val="pl-PL"/>
        </w:rPr>
        <w:t xml:space="preserve"> guza</w:t>
      </w:r>
      <w:r w:rsidR="00A130AC" w:rsidRPr="0015541C">
        <w:rPr>
          <w:sz w:val="20"/>
          <w:lang w:val="pl-PL"/>
        </w:rPr>
        <w:t xml:space="preserve"> </w:t>
      </w:r>
      <w:r w:rsidR="00A93B88" w:rsidRPr="0015541C">
        <w:rPr>
          <w:sz w:val="20"/>
          <w:lang w:val="pl-PL"/>
        </w:rPr>
        <w:t>przed rozpoczęciem terapii innych niż w protokole (NPT).</w:t>
      </w:r>
    </w:p>
    <w:p w14:paraId="22BA125F" w14:textId="77777777" w:rsidR="0090255D" w:rsidRPr="0015541C" w:rsidRDefault="0090255D" w:rsidP="008478A0">
      <w:pPr>
        <w:rPr>
          <w:sz w:val="20"/>
          <w:lang w:val="pl-PL"/>
        </w:rPr>
      </w:pPr>
    </w:p>
    <w:p w14:paraId="575F7AD0" w14:textId="77777777" w:rsidR="00257F17" w:rsidRPr="0015541C" w:rsidRDefault="00C00537" w:rsidP="00023726">
      <w:pPr>
        <w:spacing w:before="60" w:after="60"/>
        <w:rPr>
          <w:lang w:val="pl-PL"/>
        </w:rPr>
      </w:pPr>
      <w:r w:rsidRPr="0015541C">
        <w:rPr>
          <w:rFonts w:eastAsia="SimSun"/>
          <w:color w:val="000000"/>
          <w:lang w:val="pl-PL" w:eastAsia="zh-CN"/>
        </w:rPr>
        <w:t>Analiza PFS (w ocenie badacza) bez stratyfikacji</w:t>
      </w:r>
      <w:r w:rsidR="00F66274" w:rsidRPr="0015541C">
        <w:rPr>
          <w:rFonts w:eastAsia="SimSun"/>
          <w:color w:val="000000"/>
          <w:lang w:val="pl-PL" w:eastAsia="zh-CN"/>
        </w:rPr>
        <w:t> </w:t>
      </w:r>
      <w:r w:rsidRPr="0015541C">
        <w:rPr>
          <w:rFonts w:eastAsia="SimSun"/>
          <w:color w:val="000000"/>
          <w:lang w:val="pl-PL" w:eastAsia="zh-CN"/>
        </w:rPr>
        <w:t xml:space="preserve">została przeprowadzona bez cenzurowania danych </w:t>
      </w:r>
      <w:r w:rsidR="00936C6A" w:rsidRPr="0015541C">
        <w:rPr>
          <w:rFonts w:eastAsia="SimSun"/>
          <w:color w:val="000000"/>
          <w:lang w:val="pl-PL" w:eastAsia="zh-CN"/>
        </w:rPr>
        <w:br/>
      </w:r>
      <w:r w:rsidRPr="0015541C">
        <w:rPr>
          <w:rFonts w:eastAsia="SimSun"/>
          <w:color w:val="000000"/>
          <w:lang w:val="pl-PL" w:eastAsia="zh-CN"/>
        </w:rPr>
        <w:t xml:space="preserve">z terapii niezawartych w protokole przed </w:t>
      </w:r>
      <w:r w:rsidR="00744E5D" w:rsidRPr="0015541C">
        <w:rPr>
          <w:rFonts w:eastAsia="SimSun"/>
          <w:color w:val="000000"/>
          <w:lang w:val="pl-PL" w:eastAsia="zh-CN"/>
        </w:rPr>
        <w:t>progresją</w:t>
      </w:r>
      <w:r w:rsidRPr="0015541C">
        <w:rPr>
          <w:rFonts w:eastAsia="SimSun"/>
          <w:color w:val="000000"/>
          <w:lang w:val="pl-PL" w:eastAsia="zh-CN"/>
        </w:rPr>
        <w:t xml:space="preserve"> choroby. Wyniki tej analizy były bardzo podobne do analizy </w:t>
      </w:r>
      <w:r w:rsidR="00744E5D" w:rsidRPr="0015541C">
        <w:rPr>
          <w:rFonts w:eastAsia="SimSun"/>
          <w:color w:val="000000"/>
          <w:lang w:val="pl-PL" w:eastAsia="zh-CN"/>
        </w:rPr>
        <w:t>pierwotnej</w:t>
      </w:r>
      <w:r w:rsidRPr="0015541C">
        <w:rPr>
          <w:rFonts w:eastAsia="SimSun"/>
          <w:color w:val="000000"/>
          <w:lang w:val="pl-PL" w:eastAsia="zh-CN"/>
        </w:rPr>
        <w:t xml:space="preserve"> wyników PFS.</w:t>
      </w:r>
    </w:p>
    <w:p w14:paraId="04F74F2A" w14:textId="77777777" w:rsidR="00F66274" w:rsidRPr="0015541C" w:rsidRDefault="00F66274" w:rsidP="00994050">
      <w:pPr>
        <w:rPr>
          <w:i/>
          <w:u w:val="single"/>
          <w:lang w:val="pl-PL"/>
        </w:rPr>
      </w:pPr>
    </w:p>
    <w:p w14:paraId="1EA4AA51" w14:textId="77777777" w:rsidR="00994050" w:rsidRPr="0015541C" w:rsidRDefault="00994050" w:rsidP="00994050">
      <w:pPr>
        <w:rPr>
          <w:i/>
          <w:u w:val="single"/>
          <w:lang w:val="pl-PL"/>
        </w:rPr>
      </w:pPr>
      <w:r w:rsidRPr="0015541C">
        <w:rPr>
          <w:i/>
          <w:u w:val="single"/>
          <w:lang w:val="pl-PL"/>
        </w:rPr>
        <w:t>Niedrobnokomórkowy rak płuca (NSCLC)</w:t>
      </w:r>
    </w:p>
    <w:p w14:paraId="2E26B7C6" w14:textId="77777777" w:rsidR="00994050" w:rsidRPr="0015541C" w:rsidRDefault="00994050" w:rsidP="00994050">
      <w:pPr>
        <w:rPr>
          <w:b/>
          <w:lang w:val="pl-PL"/>
        </w:rPr>
      </w:pPr>
    </w:p>
    <w:p w14:paraId="1E64F24F" w14:textId="77777777" w:rsidR="003137EC" w:rsidRPr="0015541C" w:rsidRDefault="003137EC" w:rsidP="00994050">
      <w:pPr>
        <w:rPr>
          <w:i/>
          <w:iCs/>
          <w:lang w:val="pl-PL"/>
        </w:rPr>
      </w:pPr>
      <w:r w:rsidRPr="0015541C">
        <w:rPr>
          <w:i/>
          <w:iCs/>
          <w:lang w:val="pl-PL"/>
        </w:rPr>
        <w:lastRenderedPageBreak/>
        <w:t xml:space="preserve">Leczenie pierwszego rzutu u pacjentów z </w:t>
      </w:r>
      <w:r w:rsidR="00D61B28" w:rsidRPr="0015541C">
        <w:rPr>
          <w:i/>
          <w:iCs/>
          <w:lang w:val="pl-PL"/>
        </w:rPr>
        <w:t xml:space="preserve">niepłaskonabłonkowym </w:t>
      </w:r>
      <w:r w:rsidRPr="0015541C">
        <w:rPr>
          <w:i/>
          <w:iCs/>
          <w:lang w:val="pl-PL"/>
        </w:rPr>
        <w:t>NSCLC w skojarzeniu</w:t>
      </w:r>
      <w:r w:rsidR="00CD336F" w:rsidRPr="0015541C">
        <w:rPr>
          <w:i/>
          <w:iCs/>
          <w:lang w:val="pl-PL"/>
        </w:rPr>
        <w:br/>
      </w:r>
      <w:r w:rsidRPr="0015541C">
        <w:rPr>
          <w:i/>
          <w:iCs/>
          <w:lang w:val="pl-PL"/>
        </w:rPr>
        <w:t xml:space="preserve"> z chemioterapią opartą na pochodnych platyny</w:t>
      </w:r>
    </w:p>
    <w:p w14:paraId="21B09033" w14:textId="77777777" w:rsidR="003137EC" w:rsidRPr="0015541C" w:rsidRDefault="003137EC" w:rsidP="00994050">
      <w:pPr>
        <w:rPr>
          <w:b/>
          <w:lang w:val="pl-PL"/>
        </w:rPr>
      </w:pPr>
    </w:p>
    <w:p w14:paraId="0D98C3A8" w14:textId="737C21AB" w:rsidR="00994050" w:rsidRPr="0015541C" w:rsidRDefault="00994050" w:rsidP="00994050">
      <w:pPr>
        <w:rPr>
          <w:lang w:val="pl-PL"/>
        </w:rPr>
      </w:pPr>
      <w:r w:rsidRPr="0015541C">
        <w:rPr>
          <w:lang w:val="pl-PL"/>
        </w:rPr>
        <w:t xml:space="preserve">Bezpieczeństwo i skuteczność </w:t>
      </w:r>
      <w:r w:rsidR="00D93BC4" w:rsidRPr="0015541C">
        <w:rPr>
          <w:lang w:val="pl-PL"/>
        </w:rPr>
        <w:t>bewacyzumab</w:t>
      </w:r>
      <w:r w:rsidRPr="0015541C">
        <w:rPr>
          <w:lang w:val="pl-PL"/>
        </w:rPr>
        <w:t xml:space="preserve">u w skojarzeniu ze chemioterapią zawierającą pochodne platyny w leczeniu pierwszego rzutu pacjentów z nieoperacyjnym lub nawrotowym niepłaskonabłonkowym, niedrobnokomórkowym rakiem płuca (NSCLC) oceniano w badaniach E4599 i BO17704. Korzyść dotyczącą </w:t>
      </w:r>
      <w:r w:rsidR="006D023F" w:rsidRPr="0015541C">
        <w:rPr>
          <w:lang w:val="pl-PL"/>
        </w:rPr>
        <w:t>OS</w:t>
      </w:r>
      <w:r w:rsidRPr="0015541C">
        <w:rPr>
          <w:lang w:val="pl-PL"/>
        </w:rPr>
        <w:t xml:space="preserve"> wykazano w badaniu E4599 stosując dawkę bewacyzumabu 15 </w:t>
      </w:r>
      <w:r w:rsidR="00892FB2" w:rsidRPr="0015541C">
        <w:rPr>
          <w:lang w:val="pl-PL"/>
        </w:rPr>
        <w:t xml:space="preserve">mg/kg </w:t>
      </w:r>
      <w:r w:rsidRPr="0015541C">
        <w:rPr>
          <w:lang w:val="pl-PL"/>
        </w:rPr>
        <w:t>mc. co 3 tygodnie. Badanie BO17704 wykazało, że zarówno 7,5 </w:t>
      </w:r>
      <w:r w:rsidR="00892FB2" w:rsidRPr="0015541C">
        <w:rPr>
          <w:lang w:val="pl-PL"/>
        </w:rPr>
        <w:t xml:space="preserve">mg/kg </w:t>
      </w:r>
      <w:r w:rsidRPr="0015541C">
        <w:rPr>
          <w:lang w:val="pl-PL"/>
        </w:rPr>
        <w:t>mc. co 3 tygodnie jak i 15 </w:t>
      </w:r>
      <w:r w:rsidR="00892FB2" w:rsidRPr="0015541C">
        <w:rPr>
          <w:lang w:val="pl-PL"/>
        </w:rPr>
        <w:t xml:space="preserve">mg/kg </w:t>
      </w:r>
      <w:r w:rsidRPr="0015541C">
        <w:rPr>
          <w:lang w:val="pl-PL"/>
        </w:rPr>
        <w:t xml:space="preserve">mc. co 3 tygodnie wydłużały </w:t>
      </w:r>
      <w:r w:rsidR="006D023F" w:rsidRPr="0015541C">
        <w:rPr>
          <w:lang w:val="pl-PL"/>
        </w:rPr>
        <w:t>PFS</w:t>
      </w:r>
      <w:r w:rsidR="00D37AC2">
        <w:rPr>
          <w:lang w:val="pl-PL"/>
        </w:rPr>
        <w:t>,</w:t>
      </w:r>
      <w:r w:rsidRPr="0015541C">
        <w:rPr>
          <w:lang w:val="pl-PL"/>
        </w:rPr>
        <w:t xml:space="preserve"> zwiększając odpowiedź na leczenie. </w:t>
      </w:r>
    </w:p>
    <w:p w14:paraId="3896B051" w14:textId="77777777" w:rsidR="00994050" w:rsidRPr="0015541C" w:rsidRDefault="00994050" w:rsidP="00994050">
      <w:pPr>
        <w:rPr>
          <w:lang w:val="pl-PL"/>
        </w:rPr>
      </w:pPr>
    </w:p>
    <w:p w14:paraId="07F6D451" w14:textId="77777777" w:rsidR="00994050" w:rsidRPr="0015541C" w:rsidRDefault="00994050" w:rsidP="00994050">
      <w:pPr>
        <w:rPr>
          <w:i/>
          <w:szCs w:val="22"/>
          <w:lang w:val="pl-PL"/>
        </w:rPr>
      </w:pPr>
      <w:r w:rsidRPr="0015541C">
        <w:rPr>
          <w:i/>
          <w:szCs w:val="22"/>
          <w:lang w:val="pl-PL"/>
        </w:rPr>
        <w:t>E4599</w:t>
      </w:r>
    </w:p>
    <w:p w14:paraId="233BE671" w14:textId="77777777" w:rsidR="00994050" w:rsidRPr="0015541C" w:rsidRDefault="00994050" w:rsidP="00994050">
      <w:pPr>
        <w:rPr>
          <w:b/>
          <w:lang w:val="pl-PL"/>
        </w:rPr>
      </w:pPr>
      <w:r w:rsidRPr="0015541C">
        <w:rPr>
          <w:szCs w:val="22"/>
          <w:lang w:val="pl-PL"/>
        </w:rPr>
        <w:t xml:space="preserve">Wieloośrodkowe badanie E4599 prowadzono metodą otwartej próby z randomizacją i aktywną kontrolą, badając </w:t>
      </w:r>
      <w:r w:rsidR="00A63ECE" w:rsidRPr="0015541C">
        <w:rPr>
          <w:szCs w:val="22"/>
          <w:lang w:val="pl-PL"/>
        </w:rPr>
        <w:t>bewacyzumab</w:t>
      </w:r>
      <w:r w:rsidRPr="0015541C">
        <w:rPr>
          <w:szCs w:val="22"/>
          <w:lang w:val="pl-PL"/>
        </w:rPr>
        <w:t xml:space="preserve"> w leczeniu pierwszego rzutu pacjentów z miejscowo zaawansowanym (stopień IIIb z nowotworowym wysiękiem opłucnowym), rozsianym lub nawracającym NSCLC o typie histologicznym innym niż płaskonabłonkowy.</w:t>
      </w:r>
    </w:p>
    <w:p w14:paraId="4C044DAC" w14:textId="77777777" w:rsidR="00994050" w:rsidRPr="0015541C" w:rsidRDefault="00994050" w:rsidP="00994050">
      <w:pPr>
        <w:rPr>
          <w:szCs w:val="22"/>
          <w:lang w:val="pl-PL"/>
        </w:rPr>
      </w:pPr>
    </w:p>
    <w:p w14:paraId="5C24AA68" w14:textId="77777777" w:rsidR="00994050" w:rsidRPr="0015541C" w:rsidRDefault="00994050" w:rsidP="00994050">
      <w:pPr>
        <w:rPr>
          <w:szCs w:val="22"/>
          <w:lang w:val="pl-PL"/>
        </w:rPr>
      </w:pPr>
      <w:r w:rsidRPr="0015541C">
        <w:rPr>
          <w:szCs w:val="22"/>
          <w:lang w:val="pl-PL"/>
        </w:rPr>
        <w:t>Pacjentów poddano randomizacji do grupy otrzymującej chemioterapię opartą na pochodnych platyny (paklitaksel 200 mg/m</w:t>
      </w:r>
      <w:r w:rsidRPr="0015541C">
        <w:rPr>
          <w:szCs w:val="22"/>
          <w:vertAlign w:val="superscript"/>
          <w:lang w:val="pl-PL"/>
        </w:rPr>
        <w:t>2</w:t>
      </w:r>
      <w:r w:rsidRPr="0015541C">
        <w:rPr>
          <w:szCs w:val="22"/>
          <w:lang w:val="pl-PL"/>
        </w:rPr>
        <w:t xml:space="preserve"> i karboplatyna – pole pod krzywą stężeń – AUC = 6,0, oba leki podawane drogą wlewu dożylnego) (PC) podawane w pierwszym dniu 3 tygodniowego cyklu przez okres do 6 cykli lub do grupy PC w skojarzeniu z </w:t>
      </w:r>
      <w:r w:rsidR="00D0501C" w:rsidRPr="0015541C">
        <w:rPr>
          <w:szCs w:val="22"/>
          <w:lang w:val="pl-PL"/>
        </w:rPr>
        <w:t>bewacyzumab</w:t>
      </w:r>
      <w:r w:rsidRPr="0015541C">
        <w:rPr>
          <w:szCs w:val="22"/>
          <w:lang w:val="pl-PL"/>
        </w:rPr>
        <w:t>em</w:t>
      </w:r>
      <w:r w:rsidR="00050FA4" w:rsidRPr="0015541C">
        <w:rPr>
          <w:szCs w:val="22"/>
          <w:lang w:val="pl-PL"/>
        </w:rPr>
        <w:t xml:space="preserve"> </w:t>
      </w:r>
      <w:r w:rsidRPr="0015541C">
        <w:rPr>
          <w:szCs w:val="22"/>
          <w:lang w:val="pl-PL"/>
        </w:rPr>
        <w:t xml:space="preserve">w dawce 15 mg/kg mc. we wlewie dożylnym podawanym w pierwszym dniu każdego 3 tygodniowego cyklu. Po zakończeniu 6 cykli chemioterapii karboplatyną i paklitakselem lub po wcześniejszym przerwaniu stosowania chemioterapii, pacjenci w ramieniu leczonym </w:t>
      </w:r>
      <w:r w:rsidR="00D0501C" w:rsidRPr="0015541C">
        <w:rPr>
          <w:szCs w:val="22"/>
          <w:lang w:val="pl-PL"/>
        </w:rPr>
        <w:t>bewacyzumab</w:t>
      </w:r>
      <w:r w:rsidRPr="0015541C">
        <w:rPr>
          <w:szCs w:val="22"/>
          <w:lang w:val="pl-PL"/>
        </w:rPr>
        <w:t xml:space="preserve">em w skojarzeniu z karboplatyną i paklitakselem nadal otrzymywali </w:t>
      </w:r>
      <w:r w:rsidR="00D0501C" w:rsidRPr="0015541C">
        <w:rPr>
          <w:szCs w:val="22"/>
          <w:lang w:val="pl-PL"/>
        </w:rPr>
        <w:t>bewacyzumab</w:t>
      </w:r>
      <w:r w:rsidRPr="0015541C">
        <w:rPr>
          <w:szCs w:val="22"/>
          <w:lang w:val="pl-PL"/>
        </w:rPr>
        <w:t xml:space="preserve"> jako jedyny lek co 3 tygodnie do progresji choroby. Do obu ramion zrandomizowano 878 pacjentów.</w:t>
      </w:r>
    </w:p>
    <w:p w14:paraId="05AA3957" w14:textId="77777777" w:rsidR="00994050" w:rsidRPr="0015541C" w:rsidRDefault="00994050" w:rsidP="00994050">
      <w:pPr>
        <w:rPr>
          <w:szCs w:val="22"/>
          <w:lang w:val="pl-PL"/>
        </w:rPr>
      </w:pPr>
    </w:p>
    <w:p w14:paraId="6E66851C" w14:textId="77777777" w:rsidR="00994050" w:rsidRPr="0015541C" w:rsidRDefault="00994050" w:rsidP="00994050">
      <w:pPr>
        <w:rPr>
          <w:szCs w:val="22"/>
          <w:lang w:val="pl-PL"/>
        </w:rPr>
      </w:pPr>
      <w:r w:rsidRPr="0015541C">
        <w:rPr>
          <w:szCs w:val="22"/>
          <w:lang w:val="pl-PL"/>
        </w:rPr>
        <w:t xml:space="preserve">W czasie badania, wśród pacjentów którzy otrzymali w badaniu leczenie, 32,2% (136/422) pacjentów otrzymało 7-12 dawek </w:t>
      </w:r>
      <w:r w:rsidR="00D0501C" w:rsidRPr="0015541C">
        <w:rPr>
          <w:szCs w:val="22"/>
          <w:lang w:val="pl-PL"/>
        </w:rPr>
        <w:t>bewacyzumab</w:t>
      </w:r>
      <w:r w:rsidRPr="0015541C">
        <w:rPr>
          <w:szCs w:val="22"/>
          <w:lang w:val="pl-PL"/>
        </w:rPr>
        <w:t xml:space="preserve">u i 21,1% (89/422) pacjentów otrzymało 13 i więcej dawek </w:t>
      </w:r>
      <w:r w:rsidR="00E41426" w:rsidRPr="0015541C">
        <w:rPr>
          <w:szCs w:val="22"/>
          <w:lang w:val="pl-PL"/>
        </w:rPr>
        <w:t>bewacyzumab</w:t>
      </w:r>
      <w:r w:rsidRPr="0015541C">
        <w:rPr>
          <w:szCs w:val="22"/>
          <w:lang w:val="pl-PL"/>
        </w:rPr>
        <w:t xml:space="preserve">u. </w:t>
      </w:r>
    </w:p>
    <w:p w14:paraId="6E0D8073" w14:textId="77777777" w:rsidR="00994050" w:rsidRPr="0015541C" w:rsidRDefault="00994050" w:rsidP="00994050">
      <w:pPr>
        <w:tabs>
          <w:tab w:val="left" w:pos="3150"/>
        </w:tabs>
        <w:rPr>
          <w:szCs w:val="22"/>
          <w:lang w:val="pl-PL"/>
        </w:rPr>
      </w:pPr>
    </w:p>
    <w:p w14:paraId="1705B098" w14:textId="77777777" w:rsidR="00994050" w:rsidRPr="0015541C" w:rsidRDefault="00994050" w:rsidP="00994050">
      <w:pPr>
        <w:rPr>
          <w:szCs w:val="22"/>
          <w:lang w:val="pl-PL"/>
        </w:rPr>
      </w:pPr>
      <w:r w:rsidRPr="0015541C">
        <w:rPr>
          <w:szCs w:val="22"/>
          <w:lang w:val="pl-PL"/>
        </w:rPr>
        <w:t>Pierwszorzędowym punktem końcowym badania był</w:t>
      </w:r>
      <w:r w:rsidR="00D42A61" w:rsidRPr="0015541C">
        <w:rPr>
          <w:szCs w:val="22"/>
          <w:lang w:val="pl-PL"/>
        </w:rPr>
        <w:t>a</w:t>
      </w:r>
      <w:r w:rsidRPr="0015541C">
        <w:rPr>
          <w:szCs w:val="22"/>
          <w:lang w:val="pl-PL"/>
        </w:rPr>
        <w:t xml:space="preserve"> długość czasu przeżycia całkowitego. Wyniki badania przedstawiono w Tabeli</w:t>
      </w:r>
      <w:r w:rsidR="00EB04F6" w:rsidRPr="0015541C">
        <w:rPr>
          <w:szCs w:val="22"/>
          <w:lang w:val="pl-PL"/>
        </w:rPr>
        <w:t> </w:t>
      </w:r>
      <w:r w:rsidR="00257F17" w:rsidRPr="0015541C">
        <w:rPr>
          <w:szCs w:val="22"/>
          <w:lang w:val="pl-PL"/>
        </w:rPr>
        <w:t>1</w:t>
      </w:r>
      <w:r w:rsidR="008800D7" w:rsidRPr="0015541C">
        <w:rPr>
          <w:szCs w:val="22"/>
          <w:lang w:val="pl-PL"/>
        </w:rPr>
        <w:t>2</w:t>
      </w:r>
      <w:r w:rsidRPr="0015541C">
        <w:rPr>
          <w:szCs w:val="22"/>
          <w:lang w:val="pl-PL"/>
        </w:rPr>
        <w:t>.</w:t>
      </w:r>
    </w:p>
    <w:p w14:paraId="50547196" w14:textId="77777777" w:rsidR="00994050" w:rsidRPr="0015541C" w:rsidRDefault="00994050" w:rsidP="00994050">
      <w:pPr>
        <w:rPr>
          <w:szCs w:val="22"/>
          <w:lang w:val="pl-PL"/>
        </w:rPr>
      </w:pPr>
    </w:p>
    <w:p w14:paraId="52967470" w14:textId="77777777" w:rsidR="00994050" w:rsidRPr="0070444C" w:rsidRDefault="00994050" w:rsidP="003C6FA3">
      <w:pPr>
        <w:keepNext/>
        <w:keepLines/>
        <w:ind w:left="567" w:hanging="567"/>
        <w:rPr>
          <w:lang w:val="pl-PL"/>
        </w:rPr>
      </w:pPr>
      <w:r w:rsidRPr="0015541C">
        <w:rPr>
          <w:b/>
          <w:lang w:val="pl-PL"/>
        </w:rPr>
        <w:t>Tabela</w:t>
      </w:r>
      <w:r w:rsidR="005723D5" w:rsidRPr="0015541C">
        <w:rPr>
          <w:b/>
          <w:lang w:val="pl-PL"/>
        </w:rPr>
        <w:t> </w:t>
      </w:r>
      <w:r w:rsidR="00257F17" w:rsidRPr="0015541C">
        <w:rPr>
          <w:b/>
          <w:lang w:val="pl-PL"/>
        </w:rPr>
        <w:t>1</w:t>
      </w:r>
      <w:r w:rsidR="008800D7" w:rsidRPr="0015541C">
        <w:rPr>
          <w:b/>
          <w:lang w:val="pl-PL"/>
        </w:rPr>
        <w:t>2</w:t>
      </w:r>
      <w:r w:rsidRPr="0015541C">
        <w:rPr>
          <w:b/>
          <w:lang w:val="pl-PL"/>
        </w:rPr>
        <w:t>.</w:t>
      </w:r>
      <w:r w:rsidRPr="0015541C">
        <w:rPr>
          <w:b/>
          <w:lang w:val="pl-PL"/>
        </w:rPr>
        <w:tab/>
        <w:t>Wyniki badania E4599 dotyczące skuteczności</w:t>
      </w:r>
    </w:p>
    <w:tbl>
      <w:tblPr>
        <w:tblW w:w="0" w:type="auto"/>
        <w:tblCellMar>
          <w:left w:w="57" w:type="dxa"/>
          <w:right w:w="57" w:type="dxa"/>
        </w:tblCellMar>
        <w:tblLook w:val="0000" w:firstRow="0" w:lastRow="0" w:firstColumn="0" w:lastColumn="0" w:noHBand="0" w:noVBand="0"/>
      </w:tblPr>
      <w:tblGrid>
        <w:gridCol w:w="3743"/>
        <w:gridCol w:w="2295"/>
        <w:gridCol w:w="2950"/>
      </w:tblGrid>
      <w:tr w:rsidR="00994050" w:rsidRPr="008D11DD" w14:paraId="6AFED0A5" w14:textId="77777777">
        <w:trPr>
          <w:cantSplit/>
          <w:tblHeader/>
        </w:trPr>
        <w:tc>
          <w:tcPr>
            <w:tcW w:w="3743" w:type="dxa"/>
            <w:tcBorders>
              <w:top w:val="single" w:sz="8" w:space="0" w:color="auto"/>
              <w:left w:val="single" w:sz="8" w:space="0" w:color="auto"/>
              <w:bottom w:val="single" w:sz="8" w:space="0" w:color="auto"/>
              <w:right w:val="single" w:sz="8" w:space="0" w:color="auto"/>
            </w:tcBorders>
            <w:vAlign w:val="bottom"/>
          </w:tcPr>
          <w:p w14:paraId="70FDCA92" w14:textId="77777777" w:rsidR="00994050" w:rsidRPr="0015541C" w:rsidRDefault="00994050" w:rsidP="00E3202B">
            <w:pPr>
              <w:pStyle w:val="TextTi10"/>
              <w:keepNext/>
              <w:keepLines/>
              <w:jc w:val="center"/>
              <w:rPr>
                <w:sz w:val="22"/>
                <w:szCs w:val="22"/>
                <w:lang w:val="pl-PL"/>
              </w:rPr>
            </w:pPr>
          </w:p>
        </w:tc>
        <w:tc>
          <w:tcPr>
            <w:tcW w:w="2295" w:type="dxa"/>
            <w:tcBorders>
              <w:top w:val="single" w:sz="8" w:space="0" w:color="auto"/>
              <w:left w:val="single" w:sz="8" w:space="0" w:color="auto"/>
              <w:bottom w:val="single" w:sz="8" w:space="0" w:color="auto"/>
              <w:right w:val="single" w:sz="8" w:space="0" w:color="auto"/>
            </w:tcBorders>
          </w:tcPr>
          <w:p w14:paraId="535133BB" w14:textId="77777777" w:rsidR="00994050" w:rsidRPr="0070444C" w:rsidRDefault="00994050" w:rsidP="00E3202B">
            <w:pPr>
              <w:pStyle w:val="TextTi10"/>
              <w:keepNext/>
              <w:keepLines/>
              <w:jc w:val="center"/>
              <w:rPr>
                <w:b/>
                <w:sz w:val="22"/>
                <w:lang w:val="pl-PL"/>
              </w:rPr>
            </w:pPr>
            <w:r w:rsidRPr="0070444C">
              <w:rPr>
                <w:b/>
                <w:sz w:val="22"/>
                <w:lang w:val="pl-PL"/>
              </w:rPr>
              <w:t>Ramię 1</w:t>
            </w:r>
          </w:p>
          <w:p w14:paraId="6D3A6DF7" w14:textId="77777777" w:rsidR="00994050" w:rsidRPr="0070444C" w:rsidRDefault="00994050" w:rsidP="00E3202B">
            <w:pPr>
              <w:pStyle w:val="TextTi10"/>
              <w:keepNext/>
              <w:keepLines/>
              <w:jc w:val="center"/>
              <w:rPr>
                <w:b/>
                <w:sz w:val="22"/>
                <w:lang w:val="pl-PL"/>
              </w:rPr>
            </w:pPr>
          </w:p>
          <w:p w14:paraId="75997F2F" w14:textId="77777777" w:rsidR="00994050" w:rsidRPr="0070444C" w:rsidRDefault="00994050" w:rsidP="00E3202B">
            <w:pPr>
              <w:pStyle w:val="TextTi10"/>
              <w:keepNext/>
              <w:keepLines/>
              <w:jc w:val="center"/>
              <w:rPr>
                <w:b/>
                <w:sz w:val="22"/>
                <w:lang w:val="pl-PL"/>
              </w:rPr>
            </w:pPr>
            <w:r w:rsidRPr="0070444C">
              <w:rPr>
                <w:b/>
                <w:sz w:val="22"/>
                <w:lang w:val="pl-PL"/>
              </w:rPr>
              <w:t>Karboplatyna/</w:t>
            </w:r>
          </w:p>
          <w:p w14:paraId="1CB121FE" w14:textId="77777777" w:rsidR="00994050" w:rsidRPr="0070444C" w:rsidRDefault="00994050" w:rsidP="00E3202B">
            <w:pPr>
              <w:pStyle w:val="TextTi10"/>
              <w:keepNext/>
              <w:keepLines/>
              <w:jc w:val="center"/>
              <w:rPr>
                <w:b/>
                <w:sz w:val="22"/>
                <w:lang w:val="pl-PL"/>
              </w:rPr>
            </w:pPr>
            <w:r w:rsidRPr="0070444C">
              <w:rPr>
                <w:b/>
                <w:sz w:val="22"/>
                <w:lang w:val="pl-PL"/>
              </w:rPr>
              <w:t>Paklitaksel</w:t>
            </w:r>
          </w:p>
          <w:p w14:paraId="5271C0C0" w14:textId="77777777" w:rsidR="00994050" w:rsidRPr="0070444C" w:rsidRDefault="00994050" w:rsidP="00E3202B">
            <w:pPr>
              <w:pStyle w:val="TextTi10"/>
              <w:keepNext/>
              <w:keepLines/>
              <w:jc w:val="center"/>
              <w:rPr>
                <w:b/>
                <w:sz w:val="22"/>
                <w:lang w:val="pl-PL"/>
              </w:rPr>
            </w:pPr>
          </w:p>
          <w:p w14:paraId="70FC576B" w14:textId="77777777" w:rsidR="00994050" w:rsidRPr="0070444C" w:rsidRDefault="00994050" w:rsidP="00E3202B">
            <w:pPr>
              <w:pStyle w:val="TextTi10"/>
              <w:keepNext/>
              <w:keepLines/>
              <w:jc w:val="center"/>
              <w:rPr>
                <w:b/>
                <w:sz w:val="22"/>
                <w:lang w:val="pl-PL"/>
              </w:rPr>
            </w:pPr>
          </w:p>
        </w:tc>
        <w:tc>
          <w:tcPr>
            <w:tcW w:w="2950" w:type="dxa"/>
            <w:tcBorders>
              <w:top w:val="single" w:sz="8" w:space="0" w:color="auto"/>
              <w:left w:val="single" w:sz="8" w:space="0" w:color="auto"/>
              <w:bottom w:val="single" w:sz="8" w:space="0" w:color="auto"/>
              <w:right w:val="single" w:sz="8" w:space="0" w:color="auto"/>
            </w:tcBorders>
            <w:vAlign w:val="bottom"/>
          </w:tcPr>
          <w:p w14:paraId="1BB2A3A0" w14:textId="77777777" w:rsidR="00994050" w:rsidRPr="0070444C" w:rsidRDefault="00994050" w:rsidP="00E3202B">
            <w:pPr>
              <w:pStyle w:val="TextTi10"/>
              <w:keepNext/>
              <w:keepLines/>
              <w:jc w:val="center"/>
              <w:rPr>
                <w:b/>
                <w:sz w:val="22"/>
                <w:lang w:val="pl-PL"/>
              </w:rPr>
            </w:pPr>
            <w:r w:rsidRPr="0070444C">
              <w:rPr>
                <w:b/>
                <w:sz w:val="22"/>
                <w:lang w:val="pl-PL"/>
              </w:rPr>
              <w:t>Ramię 2</w:t>
            </w:r>
          </w:p>
          <w:p w14:paraId="2F3BFF6D" w14:textId="77777777" w:rsidR="00994050" w:rsidRPr="0070444C" w:rsidRDefault="00994050" w:rsidP="00E3202B">
            <w:pPr>
              <w:pStyle w:val="TextTi10"/>
              <w:keepNext/>
              <w:keepLines/>
              <w:jc w:val="center"/>
              <w:rPr>
                <w:b/>
                <w:sz w:val="22"/>
                <w:lang w:val="pl-PL"/>
              </w:rPr>
            </w:pPr>
          </w:p>
          <w:p w14:paraId="2BC2CB52" w14:textId="77777777" w:rsidR="00994050" w:rsidRPr="0070444C" w:rsidRDefault="00994050" w:rsidP="00E3202B">
            <w:pPr>
              <w:pStyle w:val="TextTi10"/>
              <w:keepNext/>
              <w:keepLines/>
              <w:jc w:val="center"/>
              <w:rPr>
                <w:b/>
                <w:sz w:val="22"/>
                <w:lang w:val="pl-PL"/>
              </w:rPr>
            </w:pPr>
            <w:r w:rsidRPr="0070444C">
              <w:rPr>
                <w:b/>
                <w:sz w:val="22"/>
                <w:lang w:val="pl-PL"/>
              </w:rPr>
              <w:t xml:space="preserve">Karboplatyna/ Paklitaksel + </w:t>
            </w:r>
            <w:r w:rsidRPr="0070444C">
              <w:rPr>
                <w:b/>
                <w:sz w:val="22"/>
                <w:lang w:val="pl-PL"/>
              </w:rPr>
              <w:br/>
            </w:r>
            <w:r w:rsidR="00201A29" w:rsidRPr="0015541C">
              <w:rPr>
                <w:b/>
                <w:sz w:val="22"/>
                <w:szCs w:val="22"/>
                <w:lang w:val="pl-PL"/>
              </w:rPr>
              <w:t>b</w:t>
            </w:r>
            <w:r w:rsidR="007855B7" w:rsidRPr="0015541C">
              <w:rPr>
                <w:b/>
                <w:sz w:val="22"/>
                <w:szCs w:val="22"/>
                <w:lang w:val="pl-PL"/>
              </w:rPr>
              <w:t>ewacyzumab</w:t>
            </w:r>
            <w:r w:rsidRPr="0070444C">
              <w:rPr>
                <w:b/>
                <w:sz w:val="22"/>
                <w:lang w:val="pl-PL"/>
              </w:rPr>
              <w:br/>
              <w:t xml:space="preserve">15 mg/kg mc. co </w:t>
            </w:r>
            <w:r w:rsidRPr="0070444C">
              <w:rPr>
                <w:b/>
                <w:sz w:val="22"/>
                <w:lang w:val="pl-PL"/>
              </w:rPr>
              <w:br/>
              <w:t>3 tygodnie</w:t>
            </w:r>
          </w:p>
        </w:tc>
      </w:tr>
      <w:tr w:rsidR="00994050" w:rsidRPr="0015541C" w14:paraId="69FD065C" w14:textId="77777777">
        <w:trPr>
          <w:cantSplit/>
        </w:trPr>
        <w:tc>
          <w:tcPr>
            <w:tcW w:w="3743" w:type="dxa"/>
            <w:tcBorders>
              <w:top w:val="single" w:sz="8" w:space="0" w:color="auto"/>
              <w:left w:val="single" w:sz="8" w:space="0" w:color="auto"/>
              <w:bottom w:val="single" w:sz="4" w:space="0" w:color="auto"/>
              <w:right w:val="single" w:sz="8" w:space="0" w:color="auto"/>
            </w:tcBorders>
          </w:tcPr>
          <w:p w14:paraId="4C972B33" w14:textId="77777777" w:rsidR="00994050" w:rsidRPr="0015541C" w:rsidRDefault="00994050" w:rsidP="00E3202B">
            <w:pPr>
              <w:pStyle w:val="TableCellHead"/>
              <w:spacing w:before="40" w:after="40" w:line="240" w:lineRule="auto"/>
              <w:rPr>
                <w:sz w:val="22"/>
                <w:szCs w:val="22"/>
                <w:u w:val="none"/>
                <w:lang w:val="pl-PL"/>
              </w:rPr>
            </w:pPr>
            <w:r w:rsidRPr="0015541C">
              <w:rPr>
                <w:sz w:val="22"/>
                <w:szCs w:val="22"/>
                <w:u w:val="none"/>
                <w:lang w:val="pl-PL"/>
              </w:rPr>
              <w:t>Liczba pacjentów</w:t>
            </w:r>
          </w:p>
        </w:tc>
        <w:tc>
          <w:tcPr>
            <w:tcW w:w="2295" w:type="dxa"/>
            <w:tcBorders>
              <w:top w:val="single" w:sz="8" w:space="0" w:color="auto"/>
              <w:left w:val="single" w:sz="8" w:space="0" w:color="auto"/>
              <w:bottom w:val="single" w:sz="4" w:space="0" w:color="auto"/>
              <w:right w:val="single" w:sz="8" w:space="0" w:color="auto"/>
            </w:tcBorders>
            <w:vAlign w:val="center"/>
          </w:tcPr>
          <w:p w14:paraId="5E6114AC" w14:textId="77777777" w:rsidR="00994050" w:rsidRPr="00AC3958" w:rsidRDefault="00994050" w:rsidP="00E3202B">
            <w:pPr>
              <w:pStyle w:val="TextTi10"/>
              <w:keepNext/>
              <w:keepLines/>
              <w:ind w:left="240"/>
              <w:jc w:val="center"/>
              <w:rPr>
                <w:sz w:val="22"/>
                <w:szCs w:val="22"/>
                <w:lang w:val="pl-PL"/>
              </w:rPr>
            </w:pPr>
            <w:r w:rsidRPr="0015541C">
              <w:rPr>
                <w:sz w:val="22"/>
                <w:szCs w:val="22"/>
                <w:lang w:val="pl-PL"/>
              </w:rPr>
              <w:t>444</w:t>
            </w:r>
          </w:p>
        </w:tc>
        <w:tc>
          <w:tcPr>
            <w:tcW w:w="2950" w:type="dxa"/>
            <w:tcBorders>
              <w:top w:val="single" w:sz="8" w:space="0" w:color="auto"/>
              <w:left w:val="single" w:sz="8" w:space="0" w:color="auto"/>
              <w:bottom w:val="single" w:sz="4" w:space="0" w:color="auto"/>
              <w:right w:val="single" w:sz="8" w:space="0" w:color="auto"/>
            </w:tcBorders>
            <w:vAlign w:val="center"/>
          </w:tcPr>
          <w:p w14:paraId="4D62FFD2" w14:textId="77777777" w:rsidR="00994050" w:rsidRPr="0015541C" w:rsidRDefault="00994050" w:rsidP="00E3202B">
            <w:pPr>
              <w:pStyle w:val="TextTi10"/>
              <w:keepNext/>
              <w:keepLines/>
              <w:ind w:left="240"/>
              <w:jc w:val="center"/>
              <w:rPr>
                <w:sz w:val="22"/>
                <w:szCs w:val="22"/>
                <w:lang w:val="pl-PL"/>
              </w:rPr>
            </w:pPr>
            <w:r w:rsidRPr="00260CEC">
              <w:rPr>
                <w:sz w:val="22"/>
                <w:szCs w:val="22"/>
                <w:lang w:val="pl-PL"/>
              </w:rPr>
              <w:t>434</w:t>
            </w:r>
          </w:p>
        </w:tc>
      </w:tr>
    </w:tbl>
    <w:p w14:paraId="0BB87386" w14:textId="77777777" w:rsidR="006D023F" w:rsidRPr="0015541C" w:rsidRDefault="006D023F" w:rsidP="006D023F">
      <w:pPr>
        <w:pStyle w:val="TextTi10"/>
        <w:keepNext/>
        <w:keepLines/>
        <w:tabs>
          <w:tab w:val="left" w:pos="576"/>
        </w:tabs>
        <w:ind w:left="240"/>
        <w:rPr>
          <w:sz w:val="22"/>
          <w:szCs w:val="22"/>
          <w:lang w:val="pl-PL"/>
        </w:rPr>
      </w:pPr>
      <w:r w:rsidRPr="0015541C">
        <w:rPr>
          <w:bCs/>
          <w:sz w:val="22"/>
          <w:szCs w:val="22"/>
          <w:lang w:val="pl-PL"/>
        </w:rPr>
        <w:t>Całkowity czas przeżycia</w:t>
      </w:r>
    </w:p>
    <w:tbl>
      <w:tblPr>
        <w:tblW w:w="0" w:type="auto"/>
        <w:tblCellMar>
          <w:left w:w="57" w:type="dxa"/>
          <w:right w:w="57" w:type="dxa"/>
        </w:tblCellMar>
        <w:tblLook w:val="0000" w:firstRow="0" w:lastRow="0" w:firstColumn="0" w:lastColumn="0" w:noHBand="0" w:noVBand="0"/>
      </w:tblPr>
      <w:tblGrid>
        <w:gridCol w:w="3743"/>
        <w:gridCol w:w="2295"/>
        <w:gridCol w:w="2950"/>
      </w:tblGrid>
      <w:tr w:rsidR="00994050" w:rsidRPr="0015541C" w14:paraId="6A4C83A2" w14:textId="77777777">
        <w:trPr>
          <w:cantSplit/>
        </w:trPr>
        <w:tc>
          <w:tcPr>
            <w:tcW w:w="8988" w:type="dxa"/>
            <w:gridSpan w:val="3"/>
            <w:tcBorders>
              <w:top w:val="single" w:sz="4" w:space="0" w:color="auto"/>
              <w:left w:val="single" w:sz="8" w:space="0" w:color="auto"/>
              <w:bottom w:val="single" w:sz="4" w:space="0" w:color="auto"/>
              <w:right w:val="single" w:sz="8" w:space="0" w:color="auto"/>
            </w:tcBorders>
          </w:tcPr>
          <w:p w14:paraId="2AE9E6EB" w14:textId="77777777" w:rsidR="00994050" w:rsidRPr="00AC3958" w:rsidRDefault="00994050" w:rsidP="00E3202B">
            <w:pPr>
              <w:pStyle w:val="TextTi10"/>
              <w:keepNext/>
              <w:keepLines/>
              <w:tabs>
                <w:tab w:val="left" w:pos="576"/>
              </w:tabs>
              <w:ind w:left="240"/>
              <w:rPr>
                <w:sz w:val="22"/>
                <w:szCs w:val="22"/>
                <w:lang w:val="pl-PL"/>
              </w:rPr>
            </w:pPr>
            <w:r w:rsidRPr="0015541C">
              <w:rPr>
                <w:bCs/>
                <w:sz w:val="22"/>
                <w:szCs w:val="22"/>
                <w:lang w:val="pl-PL"/>
              </w:rPr>
              <w:t>Czas przeżycia całkowitego</w:t>
            </w:r>
          </w:p>
        </w:tc>
      </w:tr>
      <w:tr w:rsidR="00994050" w:rsidRPr="0015541C" w14:paraId="477B6BFE" w14:textId="77777777">
        <w:trPr>
          <w:cantSplit/>
        </w:trPr>
        <w:tc>
          <w:tcPr>
            <w:tcW w:w="3743" w:type="dxa"/>
            <w:tcBorders>
              <w:top w:val="single" w:sz="4" w:space="0" w:color="auto"/>
              <w:left w:val="single" w:sz="4" w:space="0" w:color="auto"/>
              <w:bottom w:val="single" w:sz="4" w:space="0" w:color="auto"/>
              <w:right w:val="single" w:sz="4" w:space="0" w:color="auto"/>
            </w:tcBorders>
          </w:tcPr>
          <w:p w14:paraId="1462DBE2" w14:textId="77777777" w:rsidR="00994050" w:rsidRPr="0015541C" w:rsidRDefault="00994050" w:rsidP="00E3202B">
            <w:pPr>
              <w:pStyle w:val="TextTi10"/>
              <w:keepNext/>
              <w:keepLines/>
              <w:ind w:left="240"/>
              <w:rPr>
                <w:sz w:val="22"/>
                <w:szCs w:val="22"/>
                <w:lang w:val="pl-PL"/>
              </w:rPr>
            </w:pPr>
            <w:r w:rsidRPr="0015541C">
              <w:rPr>
                <w:sz w:val="22"/>
                <w:szCs w:val="22"/>
                <w:lang w:val="pl-PL"/>
              </w:rPr>
              <w:t>Mediana (miesiące)</w:t>
            </w:r>
          </w:p>
        </w:tc>
        <w:tc>
          <w:tcPr>
            <w:tcW w:w="2295" w:type="dxa"/>
            <w:tcBorders>
              <w:top w:val="single" w:sz="4" w:space="0" w:color="auto"/>
              <w:left w:val="single" w:sz="4" w:space="0" w:color="auto"/>
              <w:bottom w:val="single" w:sz="4" w:space="0" w:color="auto"/>
              <w:right w:val="single" w:sz="4" w:space="0" w:color="auto"/>
            </w:tcBorders>
            <w:vAlign w:val="center"/>
          </w:tcPr>
          <w:p w14:paraId="2F9A3482" w14:textId="77777777" w:rsidR="00994050" w:rsidRPr="00AC3958" w:rsidRDefault="00994050" w:rsidP="00E3202B">
            <w:pPr>
              <w:pStyle w:val="TextTi10"/>
              <w:keepNext/>
              <w:keepLines/>
              <w:ind w:left="240"/>
              <w:jc w:val="center"/>
              <w:rPr>
                <w:sz w:val="22"/>
                <w:szCs w:val="22"/>
                <w:lang w:val="pl-PL"/>
              </w:rPr>
            </w:pPr>
            <w:r w:rsidRPr="0015541C">
              <w:rPr>
                <w:sz w:val="22"/>
                <w:szCs w:val="22"/>
                <w:lang w:val="pl-PL"/>
              </w:rPr>
              <w:t>10,3</w:t>
            </w:r>
          </w:p>
        </w:tc>
        <w:tc>
          <w:tcPr>
            <w:tcW w:w="2950" w:type="dxa"/>
            <w:tcBorders>
              <w:top w:val="single" w:sz="4" w:space="0" w:color="auto"/>
              <w:left w:val="single" w:sz="4" w:space="0" w:color="auto"/>
              <w:bottom w:val="single" w:sz="4" w:space="0" w:color="auto"/>
              <w:right w:val="single" w:sz="4" w:space="0" w:color="auto"/>
            </w:tcBorders>
            <w:vAlign w:val="center"/>
          </w:tcPr>
          <w:p w14:paraId="49DD3D09" w14:textId="77777777" w:rsidR="00994050" w:rsidRPr="0015541C" w:rsidRDefault="00994050" w:rsidP="00E3202B">
            <w:pPr>
              <w:pStyle w:val="TextTi10"/>
              <w:keepNext/>
              <w:keepLines/>
              <w:ind w:left="240"/>
              <w:jc w:val="center"/>
              <w:rPr>
                <w:sz w:val="22"/>
                <w:szCs w:val="22"/>
                <w:lang w:val="pl-PL"/>
              </w:rPr>
            </w:pPr>
            <w:r w:rsidRPr="00260CEC">
              <w:rPr>
                <w:sz w:val="22"/>
                <w:szCs w:val="22"/>
                <w:lang w:val="pl-PL"/>
              </w:rPr>
              <w:t>12,3</w:t>
            </w:r>
          </w:p>
        </w:tc>
      </w:tr>
      <w:tr w:rsidR="00994050" w:rsidRPr="0015541C" w14:paraId="4DEC3317" w14:textId="77777777">
        <w:trPr>
          <w:cantSplit/>
        </w:trPr>
        <w:tc>
          <w:tcPr>
            <w:tcW w:w="3743" w:type="dxa"/>
            <w:tcBorders>
              <w:top w:val="single" w:sz="4" w:space="0" w:color="auto"/>
              <w:left w:val="single" w:sz="4" w:space="0" w:color="auto"/>
              <w:bottom w:val="single" w:sz="4" w:space="0" w:color="auto"/>
              <w:right w:val="single" w:sz="4" w:space="0" w:color="auto"/>
            </w:tcBorders>
          </w:tcPr>
          <w:p w14:paraId="64EAD46D" w14:textId="77777777" w:rsidR="00994050" w:rsidRPr="0015541C" w:rsidRDefault="00994050" w:rsidP="00E3202B">
            <w:pPr>
              <w:pStyle w:val="TextTi10"/>
              <w:keepNext/>
              <w:keepLines/>
              <w:ind w:left="240"/>
              <w:rPr>
                <w:sz w:val="22"/>
                <w:szCs w:val="22"/>
                <w:lang w:val="pl-PL"/>
              </w:rPr>
            </w:pPr>
            <w:r w:rsidRPr="0015541C">
              <w:rPr>
                <w:sz w:val="22"/>
                <w:szCs w:val="22"/>
                <w:lang w:val="pl-PL"/>
              </w:rPr>
              <w:t>Współczynnik ryzyka</w:t>
            </w:r>
          </w:p>
          <w:p w14:paraId="1FE43BAE" w14:textId="77777777" w:rsidR="00994050" w:rsidRPr="00260CEC" w:rsidRDefault="00994050" w:rsidP="00E3202B">
            <w:pPr>
              <w:pStyle w:val="TextTi10"/>
              <w:keepNext/>
              <w:keepLines/>
              <w:ind w:left="240"/>
              <w:rPr>
                <w:sz w:val="22"/>
                <w:szCs w:val="22"/>
                <w:lang w:val="pl-PL"/>
              </w:rPr>
            </w:pP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11D25323" w14:textId="77777777" w:rsidR="00994050" w:rsidRPr="0015541C" w:rsidRDefault="00994050" w:rsidP="00E3202B">
            <w:pPr>
              <w:pStyle w:val="TextTi10"/>
              <w:keepNext/>
              <w:keepLines/>
              <w:ind w:left="240"/>
              <w:jc w:val="center"/>
              <w:rPr>
                <w:sz w:val="22"/>
                <w:szCs w:val="22"/>
                <w:lang w:val="pl-PL"/>
              </w:rPr>
            </w:pPr>
            <w:r w:rsidRPr="0015541C">
              <w:rPr>
                <w:sz w:val="22"/>
                <w:szCs w:val="22"/>
                <w:lang w:val="pl-PL"/>
              </w:rPr>
              <w:t>0,80 (p=0,003)</w:t>
            </w:r>
          </w:p>
          <w:p w14:paraId="4CCC1FC9" w14:textId="77777777" w:rsidR="00994050" w:rsidRPr="0015541C" w:rsidRDefault="00994050" w:rsidP="00E3202B">
            <w:pPr>
              <w:pStyle w:val="TextTi10"/>
              <w:keepNext/>
              <w:ind w:left="240"/>
              <w:jc w:val="center"/>
              <w:rPr>
                <w:sz w:val="22"/>
                <w:szCs w:val="22"/>
                <w:lang w:val="pl-PL"/>
              </w:rPr>
            </w:pPr>
            <w:r w:rsidRPr="0015541C">
              <w:rPr>
                <w:lang w:val="pl-PL"/>
              </w:rPr>
              <w:t xml:space="preserve">95% </w:t>
            </w:r>
            <w:r w:rsidRPr="0015541C">
              <w:rPr>
                <w:sz w:val="22"/>
                <w:szCs w:val="22"/>
                <w:lang w:val="pl-PL"/>
              </w:rPr>
              <w:t>CI (0,69</w:t>
            </w:r>
            <w:r w:rsidR="00A7194F" w:rsidRPr="0015541C">
              <w:rPr>
                <w:sz w:val="22"/>
                <w:szCs w:val="22"/>
                <w:lang w:val="pl-PL"/>
              </w:rPr>
              <w:t>;</w:t>
            </w:r>
            <w:r w:rsidRPr="0015541C">
              <w:rPr>
                <w:sz w:val="22"/>
                <w:szCs w:val="22"/>
                <w:lang w:val="pl-PL"/>
              </w:rPr>
              <w:t xml:space="preserve"> 0,93)</w:t>
            </w:r>
          </w:p>
        </w:tc>
      </w:tr>
      <w:tr w:rsidR="00994050" w:rsidRPr="0015541C" w14:paraId="7B769366" w14:textId="77777777">
        <w:trPr>
          <w:cantSplit/>
        </w:trPr>
        <w:tc>
          <w:tcPr>
            <w:tcW w:w="8988" w:type="dxa"/>
            <w:gridSpan w:val="3"/>
            <w:tcBorders>
              <w:top w:val="single" w:sz="4" w:space="0" w:color="auto"/>
              <w:left w:val="single" w:sz="8" w:space="0" w:color="auto"/>
              <w:bottom w:val="single" w:sz="4" w:space="0" w:color="auto"/>
              <w:right w:val="single" w:sz="8" w:space="0" w:color="auto"/>
            </w:tcBorders>
          </w:tcPr>
          <w:p w14:paraId="7970E7B9" w14:textId="77777777" w:rsidR="00994050" w:rsidRPr="0015541C" w:rsidRDefault="00994050" w:rsidP="00E3202B">
            <w:pPr>
              <w:pStyle w:val="TextTi10"/>
              <w:keepNext/>
              <w:ind w:left="238"/>
              <w:rPr>
                <w:sz w:val="22"/>
                <w:szCs w:val="22"/>
                <w:lang w:val="pl-PL"/>
              </w:rPr>
            </w:pPr>
            <w:r w:rsidRPr="0015541C">
              <w:rPr>
                <w:bCs/>
                <w:sz w:val="22"/>
                <w:szCs w:val="22"/>
                <w:lang w:val="pl-PL"/>
              </w:rPr>
              <w:t>Czas przeżycia wolny od progresji</w:t>
            </w:r>
          </w:p>
        </w:tc>
      </w:tr>
      <w:tr w:rsidR="00994050" w:rsidRPr="0015541C" w14:paraId="4F9E388C" w14:textId="77777777">
        <w:trPr>
          <w:cantSplit/>
        </w:trPr>
        <w:tc>
          <w:tcPr>
            <w:tcW w:w="3743" w:type="dxa"/>
            <w:tcBorders>
              <w:top w:val="single" w:sz="4" w:space="0" w:color="auto"/>
              <w:left w:val="single" w:sz="4" w:space="0" w:color="auto"/>
              <w:bottom w:val="single" w:sz="4" w:space="0" w:color="auto"/>
              <w:right w:val="single" w:sz="4" w:space="0" w:color="auto"/>
            </w:tcBorders>
            <w:vAlign w:val="center"/>
          </w:tcPr>
          <w:p w14:paraId="0F019F2D" w14:textId="77777777" w:rsidR="00994050" w:rsidRPr="0015541C" w:rsidRDefault="00994050" w:rsidP="00E3202B">
            <w:pPr>
              <w:pStyle w:val="TextTi10"/>
              <w:keepNext/>
              <w:ind w:left="240"/>
              <w:rPr>
                <w:sz w:val="22"/>
                <w:szCs w:val="22"/>
                <w:lang w:val="pl-PL"/>
              </w:rPr>
            </w:pPr>
            <w:r w:rsidRPr="0015541C">
              <w:rPr>
                <w:sz w:val="22"/>
                <w:szCs w:val="22"/>
                <w:lang w:val="pl-PL"/>
              </w:rPr>
              <w:t>Mediana (miesiące)</w:t>
            </w:r>
          </w:p>
        </w:tc>
        <w:tc>
          <w:tcPr>
            <w:tcW w:w="2295" w:type="dxa"/>
            <w:tcBorders>
              <w:top w:val="single" w:sz="4" w:space="0" w:color="auto"/>
              <w:left w:val="single" w:sz="4" w:space="0" w:color="auto"/>
              <w:bottom w:val="single" w:sz="4" w:space="0" w:color="auto"/>
              <w:right w:val="single" w:sz="4" w:space="0" w:color="auto"/>
            </w:tcBorders>
            <w:vAlign w:val="center"/>
          </w:tcPr>
          <w:p w14:paraId="4C444336" w14:textId="77777777" w:rsidR="00994050" w:rsidRPr="00AC3958" w:rsidRDefault="00994050" w:rsidP="00E3202B">
            <w:pPr>
              <w:pStyle w:val="TextTi10"/>
              <w:keepNext/>
              <w:ind w:left="240"/>
              <w:jc w:val="center"/>
              <w:rPr>
                <w:sz w:val="22"/>
                <w:szCs w:val="22"/>
                <w:lang w:val="pl-PL"/>
              </w:rPr>
            </w:pPr>
            <w:r w:rsidRPr="0015541C">
              <w:rPr>
                <w:sz w:val="22"/>
                <w:szCs w:val="22"/>
                <w:lang w:val="pl-PL"/>
              </w:rPr>
              <w:t>4,8</w:t>
            </w:r>
          </w:p>
        </w:tc>
        <w:tc>
          <w:tcPr>
            <w:tcW w:w="2950" w:type="dxa"/>
            <w:tcBorders>
              <w:top w:val="single" w:sz="4" w:space="0" w:color="auto"/>
              <w:left w:val="single" w:sz="4" w:space="0" w:color="auto"/>
              <w:bottom w:val="single" w:sz="4" w:space="0" w:color="auto"/>
              <w:right w:val="single" w:sz="4" w:space="0" w:color="auto"/>
            </w:tcBorders>
            <w:vAlign w:val="center"/>
          </w:tcPr>
          <w:p w14:paraId="71D33B7E" w14:textId="77777777" w:rsidR="00994050" w:rsidRPr="0015541C" w:rsidRDefault="00994050" w:rsidP="00E3202B">
            <w:pPr>
              <w:pStyle w:val="TextTi10"/>
              <w:keepNext/>
              <w:ind w:left="240"/>
              <w:jc w:val="center"/>
              <w:rPr>
                <w:sz w:val="22"/>
                <w:szCs w:val="22"/>
                <w:lang w:val="pl-PL"/>
              </w:rPr>
            </w:pPr>
            <w:r w:rsidRPr="00260CEC">
              <w:rPr>
                <w:sz w:val="22"/>
                <w:szCs w:val="22"/>
                <w:lang w:val="pl-PL"/>
              </w:rPr>
              <w:t>6,4</w:t>
            </w:r>
          </w:p>
        </w:tc>
      </w:tr>
      <w:tr w:rsidR="00994050" w:rsidRPr="0015541C" w14:paraId="2EB82852" w14:textId="77777777">
        <w:trPr>
          <w:cantSplit/>
        </w:trPr>
        <w:tc>
          <w:tcPr>
            <w:tcW w:w="3743" w:type="dxa"/>
            <w:tcBorders>
              <w:top w:val="single" w:sz="4" w:space="0" w:color="auto"/>
              <w:left w:val="single" w:sz="4" w:space="0" w:color="auto"/>
              <w:bottom w:val="single" w:sz="4" w:space="0" w:color="auto"/>
              <w:right w:val="single" w:sz="4" w:space="0" w:color="auto"/>
            </w:tcBorders>
          </w:tcPr>
          <w:p w14:paraId="03EC42BB" w14:textId="77777777" w:rsidR="00994050" w:rsidRPr="0015541C" w:rsidRDefault="00994050" w:rsidP="00E3202B">
            <w:pPr>
              <w:pStyle w:val="TextTi10"/>
              <w:keepNext/>
              <w:ind w:left="240"/>
              <w:rPr>
                <w:sz w:val="22"/>
                <w:szCs w:val="22"/>
                <w:lang w:val="pl-PL"/>
              </w:rPr>
            </w:pPr>
            <w:r w:rsidRPr="0015541C">
              <w:rPr>
                <w:sz w:val="22"/>
                <w:szCs w:val="22"/>
                <w:lang w:val="pl-PL"/>
              </w:rPr>
              <w:t>Współczynnik ryzyka</w:t>
            </w:r>
          </w:p>
          <w:p w14:paraId="19C8BAAE" w14:textId="77777777" w:rsidR="00994050" w:rsidRPr="0015541C" w:rsidRDefault="00994050" w:rsidP="00E3202B">
            <w:pPr>
              <w:pStyle w:val="TextTi10"/>
              <w:keepNext/>
              <w:ind w:left="240"/>
              <w:rPr>
                <w:sz w:val="22"/>
                <w:szCs w:val="22"/>
                <w:lang w:val="pl-PL"/>
              </w:rPr>
            </w:pP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44AE6846" w14:textId="77777777" w:rsidR="00994050" w:rsidRPr="0015541C" w:rsidRDefault="00994050" w:rsidP="00E3202B">
            <w:pPr>
              <w:pStyle w:val="TextTi10"/>
              <w:keepNext/>
              <w:ind w:left="240"/>
              <w:jc w:val="center"/>
              <w:rPr>
                <w:sz w:val="22"/>
                <w:szCs w:val="22"/>
                <w:lang w:val="pl-PL"/>
              </w:rPr>
            </w:pPr>
            <w:r w:rsidRPr="00260CEC">
              <w:rPr>
                <w:sz w:val="22"/>
                <w:szCs w:val="22"/>
                <w:lang w:val="pl-PL"/>
              </w:rPr>
              <w:t>0,65 (p&lt;0,0001)</w:t>
            </w:r>
          </w:p>
          <w:p w14:paraId="71E30EB5" w14:textId="77777777" w:rsidR="00994050" w:rsidRPr="0015541C" w:rsidRDefault="00994050" w:rsidP="00E3202B">
            <w:pPr>
              <w:pStyle w:val="TextTi10"/>
              <w:keepNext/>
              <w:ind w:left="240"/>
              <w:jc w:val="center"/>
              <w:rPr>
                <w:sz w:val="22"/>
                <w:szCs w:val="22"/>
                <w:lang w:val="pl-PL"/>
              </w:rPr>
            </w:pPr>
            <w:r w:rsidRPr="0015541C">
              <w:rPr>
                <w:sz w:val="22"/>
                <w:szCs w:val="22"/>
                <w:lang w:val="pl-PL"/>
              </w:rPr>
              <w:t>95</w:t>
            </w:r>
            <w:r w:rsidRPr="0015541C">
              <w:rPr>
                <w:lang w:val="pl-PL"/>
              </w:rPr>
              <w:t xml:space="preserve">% </w:t>
            </w:r>
            <w:r w:rsidRPr="0015541C">
              <w:rPr>
                <w:sz w:val="22"/>
                <w:szCs w:val="22"/>
                <w:lang w:val="pl-PL"/>
              </w:rPr>
              <w:t>CI (0,56</w:t>
            </w:r>
            <w:r w:rsidR="00A7194F" w:rsidRPr="0015541C">
              <w:rPr>
                <w:sz w:val="22"/>
                <w:szCs w:val="22"/>
                <w:lang w:val="pl-PL"/>
              </w:rPr>
              <w:t>;</w:t>
            </w:r>
            <w:r w:rsidRPr="0015541C">
              <w:rPr>
                <w:sz w:val="22"/>
                <w:szCs w:val="22"/>
                <w:lang w:val="pl-PL"/>
              </w:rPr>
              <w:t xml:space="preserve"> 0,76)</w:t>
            </w:r>
          </w:p>
        </w:tc>
      </w:tr>
      <w:tr w:rsidR="00994050" w:rsidRPr="0015541C" w14:paraId="290B6302" w14:textId="77777777">
        <w:trPr>
          <w:cantSplit/>
        </w:trPr>
        <w:tc>
          <w:tcPr>
            <w:tcW w:w="8988" w:type="dxa"/>
            <w:gridSpan w:val="3"/>
            <w:tcBorders>
              <w:top w:val="single" w:sz="4" w:space="0" w:color="auto"/>
              <w:left w:val="single" w:sz="4" w:space="0" w:color="auto"/>
              <w:bottom w:val="single" w:sz="4" w:space="0" w:color="auto"/>
              <w:right w:val="single" w:sz="4" w:space="0" w:color="auto"/>
            </w:tcBorders>
          </w:tcPr>
          <w:p w14:paraId="69EFA149" w14:textId="77777777" w:rsidR="00994050" w:rsidRPr="0015541C" w:rsidRDefault="00994050" w:rsidP="00E3202B">
            <w:pPr>
              <w:pStyle w:val="TextTi10"/>
              <w:keepNext/>
              <w:ind w:left="240"/>
              <w:rPr>
                <w:sz w:val="22"/>
                <w:szCs w:val="22"/>
                <w:lang w:val="pl-PL"/>
              </w:rPr>
            </w:pPr>
            <w:r w:rsidRPr="0015541C">
              <w:rPr>
                <w:bCs/>
                <w:sz w:val="22"/>
                <w:szCs w:val="22"/>
                <w:lang w:val="pl-PL"/>
              </w:rPr>
              <w:t>Całkowity współczynnik odpowiedzi</w:t>
            </w:r>
          </w:p>
        </w:tc>
      </w:tr>
      <w:tr w:rsidR="00994050" w:rsidRPr="0015541C" w14:paraId="739603F7" w14:textId="77777777">
        <w:trPr>
          <w:cantSplit/>
        </w:trPr>
        <w:tc>
          <w:tcPr>
            <w:tcW w:w="3743" w:type="dxa"/>
            <w:tcBorders>
              <w:top w:val="single" w:sz="4" w:space="0" w:color="auto"/>
              <w:left w:val="single" w:sz="4" w:space="0" w:color="auto"/>
              <w:bottom w:val="single" w:sz="4" w:space="0" w:color="auto"/>
              <w:right w:val="single" w:sz="4" w:space="0" w:color="auto"/>
            </w:tcBorders>
          </w:tcPr>
          <w:p w14:paraId="34E21660" w14:textId="77777777" w:rsidR="00994050" w:rsidRPr="0015541C" w:rsidRDefault="00994050" w:rsidP="00FA1F07">
            <w:pPr>
              <w:pStyle w:val="TextTi10"/>
              <w:ind w:left="240"/>
              <w:rPr>
                <w:sz w:val="22"/>
                <w:szCs w:val="22"/>
                <w:lang w:val="pl-PL"/>
              </w:rPr>
            </w:pPr>
            <w:r w:rsidRPr="0015541C">
              <w:rPr>
                <w:sz w:val="22"/>
                <w:szCs w:val="22"/>
                <w:lang w:val="pl-PL"/>
              </w:rPr>
              <w:t xml:space="preserve">Współczynnik </w:t>
            </w:r>
            <w:r w:rsidRPr="0015541C">
              <w:rPr>
                <w:sz w:val="22"/>
                <w:szCs w:val="22"/>
                <w:lang w:val="pl-PL"/>
              </w:rPr>
              <w:br/>
              <w:t>(w procentach)</w:t>
            </w:r>
          </w:p>
        </w:tc>
        <w:tc>
          <w:tcPr>
            <w:tcW w:w="2295" w:type="dxa"/>
            <w:tcBorders>
              <w:top w:val="single" w:sz="4" w:space="0" w:color="auto"/>
              <w:left w:val="single" w:sz="4" w:space="0" w:color="auto"/>
              <w:bottom w:val="single" w:sz="4" w:space="0" w:color="auto"/>
              <w:right w:val="single" w:sz="4" w:space="0" w:color="auto"/>
            </w:tcBorders>
            <w:vAlign w:val="center"/>
          </w:tcPr>
          <w:p w14:paraId="608121C3" w14:textId="77777777" w:rsidR="00994050" w:rsidRPr="00AC3958" w:rsidRDefault="00994050" w:rsidP="00A14FD5">
            <w:pPr>
              <w:pStyle w:val="TextTi10"/>
              <w:ind w:left="240"/>
              <w:jc w:val="center"/>
              <w:rPr>
                <w:sz w:val="22"/>
                <w:szCs w:val="22"/>
                <w:lang w:val="pl-PL"/>
              </w:rPr>
            </w:pPr>
            <w:r w:rsidRPr="0015541C">
              <w:rPr>
                <w:sz w:val="22"/>
                <w:szCs w:val="22"/>
                <w:lang w:val="pl-PL"/>
              </w:rPr>
              <w:t>12,9</w:t>
            </w:r>
          </w:p>
        </w:tc>
        <w:tc>
          <w:tcPr>
            <w:tcW w:w="2950" w:type="dxa"/>
            <w:tcBorders>
              <w:top w:val="single" w:sz="4" w:space="0" w:color="auto"/>
              <w:left w:val="single" w:sz="4" w:space="0" w:color="auto"/>
              <w:bottom w:val="single" w:sz="4" w:space="0" w:color="auto"/>
              <w:right w:val="single" w:sz="4" w:space="0" w:color="auto"/>
            </w:tcBorders>
            <w:vAlign w:val="center"/>
          </w:tcPr>
          <w:p w14:paraId="54F91B38" w14:textId="77777777" w:rsidR="00994050" w:rsidRPr="0015541C" w:rsidRDefault="00994050" w:rsidP="00A14FD5">
            <w:pPr>
              <w:pStyle w:val="TextTi10"/>
              <w:ind w:left="240"/>
              <w:jc w:val="center"/>
              <w:rPr>
                <w:sz w:val="22"/>
                <w:szCs w:val="22"/>
                <w:lang w:val="pl-PL"/>
              </w:rPr>
            </w:pPr>
            <w:r w:rsidRPr="00260CEC">
              <w:rPr>
                <w:sz w:val="22"/>
                <w:szCs w:val="22"/>
                <w:lang w:val="pl-PL"/>
              </w:rPr>
              <w:t>29,0 (p&lt;0,0001)</w:t>
            </w:r>
          </w:p>
        </w:tc>
      </w:tr>
    </w:tbl>
    <w:p w14:paraId="5D2305A7" w14:textId="77777777" w:rsidR="00994050" w:rsidRPr="0015541C" w:rsidRDefault="00994050" w:rsidP="00994050">
      <w:pPr>
        <w:rPr>
          <w:lang w:val="pl-PL"/>
        </w:rPr>
      </w:pPr>
    </w:p>
    <w:p w14:paraId="239CB94D" w14:textId="2869A7EB" w:rsidR="00994050" w:rsidRPr="0015541C" w:rsidRDefault="00994050" w:rsidP="00994050">
      <w:pPr>
        <w:rPr>
          <w:lang w:val="pl-PL"/>
        </w:rPr>
      </w:pPr>
      <w:r w:rsidRPr="0015541C">
        <w:rPr>
          <w:lang w:val="pl-PL"/>
        </w:rPr>
        <w:t xml:space="preserve">We wstępnej analizie wpływ </w:t>
      </w:r>
      <w:r w:rsidR="00201A29" w:rsidRPr="0015541C">
        <w:rPr>
          <w:lang w:val="pl-PL"/>
        </w:rPr>
        <w:t>bewacyzumab</w:t>
      </w:r>
      <w:r w:rsidRPr="00AC3958">
        <w:rPr>
          <w:lang w:val="pl-PL"/>
        </w:rPr>
        <w:t xml:space="preserve">u na czas </w:t>
      </w:r>
      <w:r w:rsidR="006D023F" w:rsidRPr="00260CEC">
        <w:rPr>
          <w:lang w:val="pl-PL"/>
        </w:rPr>
        <w:t>OS</w:t>
      </w:r>
      <w:r w:rsidRPr="0015541C">
        <w:rPr>
          <w:lang w:val="pl-PL"/>
        </w:rPr>
        <w:t xml:space="preserve"> był mniej widoczny w podgrupie pacjentów z rakiem o typie histologicznym innym niż gruczolakorak.</w:t>
      </w:r>
    </w:p>
    <w:p w14:paraId="4E7D8C73" w14:textId="77777777" w:rsidR="00994050" w:rsidRPr="0015541C" w:rsidRDefault="00994050" w:rsidP="00994050">
      <w:pPr>
        <w:rPr>
          <w:lang w:val="pl-PL"/>
        </w:rPr>
      </w:pPr>
    </w:p>
    <w:p w14:paraId="4181EA93" w14:textId="77777777" w:rsidR="00994050" w:rsidRPr="0015541C" w:rsidRDefault="00994050" w:rsidP="00994050">
      <w:pPr>
        <w:rPr>
          <w:i/>
          <w:szCs w:val="22"/>
          <w:lang w:val="pl-PL"/>
        </w:rPr>
      </w:pPr>
      <w:r w:rsidRPr="0015541C">
        <w:rPr>
          <w:i/>
          <w:szCs w:val="22"/>
          <w:lang w:val="pl-PL"/>
        </w:rPr>
        <w:t>BO17704</w:t>
      </w:r>
    </w:p>
    <w:p w14:paraId="3010D83A" w14:textId="2310AFF9" w:rsidR="00994050" w:rsidRPr="0015541C" w:rsidRDefault="00994050" w:rsidP="00994050">
      <w:pPr>
        <w:rPr>
          <w:szCs w:val="22"/>
          <w:lang w:val="pl-PL"/>
        </w:rPr>
      </w:pPr>
      <w:r w:rsidRPr="0015541C">
        <w:rPr>
          <w:szCs w:val="22"/>
          <w:lang w:val="pl-PL"/>
        </w:rPr>
        <w:t xml:space="preserve">Randomizowane badanie kliniczne trzeciej fazy BO17704 prowadzono z podwójnie ślepą próbą, badając </w:t>
      </w:r>
      <w:r w:rsidR="00B21FD1" w:rsidRPr="0015541C">
        <w:rPr>
          <w:szCs w:val="22"/>
          <w:lang w:val="pl-PL"/>
        </w:rPr>
        <w:t>bewacyzumab</w:t>
      </w:r>
      <w:r w:rsidRPr="0015541C">
        <w:rPr>
          <w:szCs w:val="22"/>
          <w:lang w:val="pl-PL"/>
        </w:rPr>
        <w:t xml:space="preserve"> w skojarzeniu z cisplatyną i gemcytabiną vs. placebo, cisplatyna i gemcytabina u pacjentów z miejscowo zaawansowanym (stopień IIIb z przerzutami do nadobojczykowych węzłów chłonnych lub nowotworowym wysiękiem opłucnowym lub osierdziowym), rozsianym lub nawracającym, niepłaskonabłonkowym NSCLC, którzy nie otrzymali wcześniej chemioterapii. Pierwszorzędowym punktem końcowym badania był </w:t>
      </w:r>
      <w:r w:rsidR="006D023F" w:rsidRPr="0015541C">
        <w:rPr>
          <w:szCs w:val="22"/>
          <w:lang w:val="pl-PL"/>
        </w:rPr>
        <w:t>PFS</w:t>
      </w:r>
      <w:r w:rsidRPr="0015541C">
        <w:rPr>
          <w:szCs w:val="22"/>
          <w:lang w:val="pl-PL"/>
        </w:rPr>
        <w:t xml:space="preserve">, drugorzędowy punkt końcowy badania zawiera </w:t>
      </w:r>
      <w:r w:rsidR="006D023F" w:rsidRPr="0015541C">
        <w:rPr>
          <w:szCs w:val="22"/>
          <w:lang w:val="pl-PL"/>
        </w:rPr>
        <w:t>OS</w:t>
      </w:r>
      <w:r w:rsidRPr="0015541C">
        <w:rPr>
          <w:szCs w:val="22"/>
          <w:lang w:val="pl-PL"/>
        </w:rPr>
        <w:t>.</w:t>
      </w:r>
    </w:p>
    <w:p w14:paraId="11440636" w14:textId="77777777" w:rsidR="00994050" w:rsidRPr="0015541C" w:rsidRDefault="00994050" w:rsidP="00994050">
      <w:pPr>
        <w:rPr>
          <w:lang w:val="pl-PL"/>
        </w:rPr>
      </w:pPr>
    </w:p>
    <w:p w14:paraId="79AEF09F" w14:textId="523BA0F9" w:rsidR="00994050" w:rsidRPr="0015541C" w:rsidRDefault="00994050" w:rsidP="00994050">
      <w:pPr>
        <w:rPr>
          <w:rFonts w:eastAsia="SimSun"/>
          <w:lang w:val="pl-PL" w:eastAsia="zh-CN"/>
        </w:rPr>
      </w:pPr>
      <w:r w:rsidRPr="0015541C">
        <w:rPr>
          <w:szCs w:val="22"/>
          <w:lang w:val="pl-PL"/>
        </w:rPr>
        <w:t>Pacjentów poddano randomizacji do grupy otrzymującej chemioterapię opartą na pochodnych platyny, cisplatyna 80 mg/m</w:t>
      </w:r>
      <w:r w:rsidRPr="0015541C">
        <w:rPr>
          <w:szCs w:val="22"/>
          <w:vertAlign w:val="superscript"/>
          <w:lang w:val="pl-PL"/>
        </w:rPr>
        <w:t>2</w:t>
      </w:r>
      <w:r w:rsidRPr="0015541C">
        <w:rPr>
          <w:szCs w:val="22"/>
          <w:lang w:val="pl-PL"/>
        </w:rPr>
        <w:t xml:space="preserve"> we wlewie dożylnym w pierwszym dniu i gemcytabina 1250 mg/m</w:t>
      </w:r>
      <w:r w:rsidRPr="0015541C">
        <w:rPr>
          <w:szCs w:val="22"/>
          <w:vertAlign w:val="superscript"/>
          <w:lang w:val="pl-PL"/>
        </w:rPr>
        <w:t>2</w:t>
      </w:r>
      <w:r w:rsidRPr="0015541C">
        <w:rPr>
          <w:szCs w:val="22"/>
          <w:lang w:val="pl-PL"/>
        </w:rPr>
        <w:t xml:space="preserve"> we wlewie dożylnym w dniu 1 i 8, 3 tygodniowego cyklu przez okres do 6 cykli (CG) z placebo lub do grupy CG z </w:t>
      </w:r>
      <w:r w:rsidR="001964F0" w:rsidRPr="0015541C">
        <w:rPr>
          <w:szCs w:val="22"/>
          <w:lang w:val="pl-PL"/>
        </w:rPr>
        <w:t>bewacyzumab</w:t>
      </w:r>
      <w:r w:rsidRPr="0015541C">
        <w:rPr>
          <w:szCs w:val="22"/>
          <w:lang w:val="pl-PL"/>
        </w:rPr>
        <w:t xml:space="preserve">em w dawce 7,5 lub 15 mg/kg mc. we wlewie dożylnym podawanym w pierwszym dniu każdego 3 tygodniowego cyklu. W ramionach badania zawierających </w:t>
      </w:r>
      <w:r w:rsidR="00F21388" w:rsidRPr="0015541C">
        <w:rPr>
          <w:szCs w:val="22"/>
          <w:lang w:val="pl-PL"/>
        </w:rPr>
        <w:t>bewacyzumab</w:t>
      </w:r>
      <w:r w:rsidRPr="0015541C">
        <w:rPr>
          <w:szCs w:val="22"/>
          <w:lang w:val="pl-PL"/>
        </w:rPr>
        <w:t xml:space="preserve"> pacjenci mogli otrzymywać </w:t>
      </w:r>
      <w:r w:rsidR="00F21388" w:rsidRPr="0015541C">
        <w:rPr>
          <w:szCs w:val="22"/>
          <w:lang w:val="pl-PL"/>
        </w:rPr>
        <w:t>bewacyzumab</w:t>
      </w:r>
      <w:r w:rsidRPr="0015541C">
        <w:rPr>
          <w:szCs w:val="22"/>
          <w:lang w:val="pl-PL"/>
        </w:rPr>
        <w:t xml:space="preserve"> jako jedyny lek co 3 tygodnie do progresji choroby lub wystąpienia nieakceptowanych działań niepożądanych. Wyniki badania pokazują, że 94% (277/296) spełniających wymagania pacjentów kontynuowało przyjmowanie bewacyzumabu jako jedynego leku w 7 cyklu. Duży</w:t>
      </w:r>
      <w:r w:rsidRPr="0015541C">
        <w:rPr>
          <w:rFonts w:eastAsia="SimSun"/>
          <w:lang w:val="pl-PL" w:eastAsia="zh-CN"/>
        </w:rPr>
        <w:t xml:space="preserve"> odsetek pacjentów (około 62%) otrzymał różne nieobjęte protokołem badania leki przeciwnowotworowe, co może mieć wpływ na badania </w:t>
      </w:r>
      <w:r w:rsidR="006D023F" w:rsidRPr="0015541C">
        <w:rPr>
          <w:rFonts w:eastAsia="SimSun"/>
          <w:lang w:val="pl-PL" w:eastAsia="zh-CN"/>
        </w:rPr>
        <w:t>OS</w:t>
      </w:r>
      <w:r w:rsidRPr="0015541C">
        <w:rPr>
          <w:rFonts w:eastAsia="SimSun"/>
          <w:lang w:val="pl-PL" w:eastAsia="zh-CN"/>
        </w:rPr>
        <w:t xml:space="preserve">. </w:t>
      </w:r>
    </w:p>
    <w:p w14:paraId="47520E01" w14:textId="77777777" w:rsidR="00994050" w:rsidRPr="0015541C" w:rsidRDefault="00994050" w:rsidP="00994050">
      <w:pPr>
        <w:rPr>
          <w:szCs w:val="22"/>
          <w:lang w:val="pl-PL"/>
        </w:rPr>
      </w:pPr>
    </w:p>
    <w:p w14:paraId="31F01B26" w14:textId="77777777" w:rsidR="00994050" w:rsidRPr="0015541C" w:rsidRDefault="00994050" w:rsidP="00A16636">
      <w:pPr>
        <w:keepNext/>
        <w:keepLines/>
        <w:rPr>
          <w:szCs w:val="22"/>
          <w:lang w:val="pl-PL"/>
        </w:rPr>
      </w:pPr>
      <w:r w:rsidRPr="0015541C">
        <w:rPr>
          <w:szCs w:val="22"/>
          <w:lang w:val="pl-PL"/>
        </w:rPr>
        <w:t>Wyniki badania przedstawiono w Tabeli</w:t>
      </w:r>
      <w:r w:rsidR="00C0423E" w:rsidRPr="0015541C">
        <w:rPr>
          <w:szCs w:val="22"/>
          <w:lang w:val="pl-PL"/>
        </w:rPr>
        <w:t> </w:t>
      </w:r>
      <w:r w:rsidRPr="0015541C">
        <w:rPr>
          <w:szCs w:val="22"/>
          <w:lang w:val="pl-PL"/>
        </w:rPr>
        <w:t>1</w:t>
      </w:r>
      <w:r w:rsidR="008800D7" w:rsidRPr="0015541C">
        <w:rPr>
          <w:szCs w:val="22"/>
          <w:lang w:val="pl-PL"/>
        </w:rPr>
        <w:t>3</w:t>
      </w:r>
      <w:r w:rsidRPr="0015541C">
        <w:rPr>
          <w:szCs w:val="22"/>
          <w:lang w:val="pl-PL"/>
        </w:rPr>
        <w:t>.</w:t>
      </w:r>
    </w:p>
    <w:p w14:paraId="634E5206" w14:textId="77777777" w:rsidR="00994050" w:rsidRPr="0015541C" w:rsidRDefault="00994050" w:rsidP="00A16636">
      <w:pPr>
        <w:keepNext/>
        <w:keepLines/>
        <w:rPr>
          <w:szCs w:val="22"/>
          <w:lang w:val="pl-PL"/>
        </w:rPr>
      </w:pPr>
    </w:p>
    <w:p w14:paraId="4EADAC7C" w14:textId="77777777" w:rsidR="00994050" w:rsidRPr="0015541C" w:rsidRDefault="00994050" w:rsidP="00C5238D">
      <w:pPr>
        <w:keepNext/>
        <w:keepLines/>
        <w:rPr>
          <w:b/>
          <w:lang w:val="pl-PL"/>
        </w:rPr>
      </w:pPr>
      <w:r w:rsidRPr="0015541C">
        <w:rPr>
          <w:b/>
          <w:lang w:val="pl-PL"/>
        </w:rPr>
        <w:t>Tabela</w:t>
      </w:r>
      <w:r w:rsidR="002E5CA5" w:rsidRPr="0015541C">
        <w:rPr>
          <w:b/>
          <w:lang w:val="pl-PL"/>
        </w:rPr>
        <w:t> </w:t>
      </w:r>
      <w:r w:rsidRPr="0015541C">
        <w:rPr>
          <w:b/>
          <w:lang w:val="pl-PL"/>
        </w:rPr>
        <w:t>1</w:t>
      </w:r>
      <w:r w:rsidR="008800D7" w:rsidRPr="0015541C">
        <w:rPr>
          <w:b/>
          <w:lang w:val="pl-PL"/>
        </w:rPr>
        <w:t>3</w:t>
      </w:r>
      <w:r w:rsidRPr="0015541C">
        <w:rPr>
          <w:b/>
          <w:lang w:val="pl-PL"/>
        </w:rPr>
        <w:t>.</w:t>
      </w:r>
      <w:r w:rsidRPr="0015541C">
        <w:rPr>
          <w:b/>
          <w:lang w:val="pl-PL"/>
        </w:rPr>
        <w:tab/>
        <w:t>Wyniki badania BO17704 dotyczące skuteczności</w:t>
      </w:r>
    </w:p>
    <w:tbl>
      <w:tblPr>
        <w:tblW w:w="5000" w:type="pct"/>
        <w:jc w:val="center"/>
        <w:tblCellMar>
          <w:left w:w="57" w:type="dxa"/>
          <w:right w:w="57" w:type="dxa"/>
        </w:tblCellMar>
        <w:tblLook w:val="0000" w:firstRow="0" w:lastRow="0" w:firstColumn="0" w:lastColumn="0" w:noHBand="0" w:noVBand="0"/>
      </w:tblPr>
      <w:tblGrid>
        <w:gridCol w:w="1703"/>
        <w:gridCol w:w="2449"/>
        <w:gridCol w:w="2449"/>
        <w:gridCol w:w="2449"/>
      </w:tblGrid>
      <w:tr w:rsidR="00140F25" w:rsidRPr="00A5462B" w14:paraId="3FCFEA5C" w14:textId="77777777" w:rsidTr="00D16D61">
        <w:trPr>
          <w:cantSplit/>
          <w:jc w:val="center"/>
        </w:trPr>
        <w:tc>
          <w:tcPr>
            <w:tcW w:w="1033" w:type="pct"/>
            <w:tcBorders>
              <w:top w:val="single" w:sz="8" w:space="0" w:color="auto"/>
              <w:left w:val="single" w:sz="8" w:space="0" w:color="auto"/>
              <w:bottom w:val="single" w:sz="8" w:space="0" w:color="auto"/>
              <w:right w:val="single" w:sz="8" w:space="0" w:color="auto"/>
            </w:tcBorders>
            <w:vAlign w:val="center"/>
          </w:tcPr>
          <w:p w14:paraId="77BEF7FF" w14:textId="77777777" w:rsidR="00994050" w:rsidRPr="0015541C" w:rsidRDefault="00994050" w:rsidP="00C5238D">
            <w:pPr>
              <w:pStyle w:val="TableCellCenter"/>
              <w:jc w:val="left"/>
              <w:rPr>
                <w:sz w:val="22"/>
                <w:szCs w:val="22"/>
                <w:lang w:val="pl-PL"/>
              </w:rPr>
            </w:pPr>
          </w:p>
        </w:tc>
        <w:tc>
          <w:tcPr>
            <w:tcW w:w="1322" w:type="pct"/>
            <w:tcBorders>
              <w:top w:val="single" w:sz="8" w:space="0" w:color="auto"/>
              <w:left w:val="single" w:sz="8" w:space="0" w:color="auto"/>
              <w:bottom w:val="single" w:sz="8" w:space="0" w:color="auto"/>
              <w:right w:val="single" w:sz="8" w:space="0" w:color="auto"/>
            </w:tcBorders>
            <w:vAlign w:val="center"/>
          </w:tcPr>
          <w:p w14:paraId="743CE180" w14:textId="77777777" w:rsidR="00994050" w:rsidRPr="0070444C" w:rsidRDefault="00994050" w:rsidP="00C5238D">
            <w:pPr>
              <w:pStyle w:val="TableCellCenter"/>
              <w:jc w:val="left"/>
              <w:rPr>
                <w:b/>
                <w:sz w:val="22"/>
                <w:lang w:val="pl-PL"/>
              </w:rPr>
            </w:pPr>
            <w:r w:rsidRPr="0070444C">
              <w:rPr>
                <w:b/>
                <w:sz w:val="22"/>
                <w:lang w:val="pl-PL"/>
              </w:rPr>
              <w:t xml:space="preserve">Cisplatyna/Gemcytabina </w:t>
            </w:r>
            <w:r w:rsidRPr="0070444C">
              <w:rPr>
                <w:b/>
                <w:sz w:val="22"/>
                <w:lang w:val="pl-PL"/>
              </w:rPr>
              <w:br/>
              <w:t>+ placebo</w:t>
            </w:r>
          </w:p>
        </w:tc>
        <w:tc>
          <w:tcPr>
            <w:tcW w:w="1322" w:type="pct"/>
            <w:tcBorders>
              <w:top w:val="single" w:sz="8" w:space="0" w:color="auto"/>
              <w:left w:val="single" w:sz="8" w:space="0" w:color="auto"/>
              <w:bottom w:val="single" w:sz="8" w:space="0" w:color="auto"/>
              <w:right w:val="single" w:sz="8" w:space="0" w:color="auto"/>
            </w:tcBorders>
            <w:shd w:val="clear" w:color="auto" w:fill="auto"/>
            <w:vAlign w:val="center"/>
          </w:tcPr>
          <w:p w14:paraId="5EA3F30B" w14:textId="77777777" w:rsidR="00994050" w:rsidRPr="0070444C" w:rsidRDefault="00994050" w:rsidP="00C5238D">
            <w:pPr>
              <w:pStyle w:val="TableCellCenter"/>
              <w:jc w:val="left"/>
              <w:rPr>
                <w:b/>
                <w:sz w:val="22"/>
                <w:lang w:val="pl-PL"/>
              </w:rPr>
            </w:pPr>
            <w:r w:rsidRPr="0070444C">
              <w:rPr>
                <w:b/>
                <w:sz w:val="22"/>
                <w:lang w:val="pl-PL"/>
              </w:rPr>
              <w:t>Cisplatyna/Gemcytabina</w:t>
            </w:r>
            <w:r w:rsidRPr="0070444C">
              <w:rPr>
                <w:b/>
                <w:sz w:val="22"/>
                <w:lang w:val="pl-PL"/>
              </w:rPr>
              <w:br/>
              <w:t xml:space="preserve">+ </w:t>
            </w:r>
            <w:r w:rsidR="00770164" w:rsidRPr="0015541C">
              <w:rPr>
                <w:b/>
                <w:bCs/>
                <w:sz w:val="22"/>
                <w:szCs w:val="22"/>
                <w:lang w:val="pl-PL"/>
              </w:rPr>
              <w:t>bewacyzumab</w:t>
            </w:r>
            <w:r w:rsidRPr="0070444C">
              <w:rPr>
                <w:b/>
                <w:sz w:val="22"/>
                <w:lang w:val="pl-PL"/>
              </w:rPr>
              <w:br/>
              <w:t xml:space="preserve">7,5 mg/kg </w:t>
            </w:r>
            <w:r w:rsidR="00B53746" w:rsidRPr="0070444C">
              <w:rPr>
                <w:b/>
                <w:sz w:val="22"/>
                <w:lang w:val="pl-PL"/>
              </w:rPr>
              <w:t xml:space="preserve">mc. </w:t>
            </w:r>
            <w:r w:rsidRPr="0070444C">
              <w:rPr>
                <w:b/>
                <w:sz w:val="22"/>
                <w:lang w:val="pl-PL"/>
              </w:rPr>
              <w:t>co 3 tygodnie</w:t>
            </w:r>
          </w:p>
        </w:tc>
        <w:tc>
          <w:tcPr>
            <w:tcW w:w="1322" w:type="pct"/>
            <w:tcBorders>
              <w:top w:val="single" w:sz="8" w:space="0" w:color="auto"/>
              <w:left w:val="single" w:sz="8" w:space="0" w:color="auto"/>
              <w:bottom w:val="single" w:sz="8" w:space="0" w:color="auto"/>
              <w:right w:val="single" w:sz="8" w:space="0" w:color="auto"/>
            </w:tcBorders>
            <w:shd w:val="clear" w:color="auto" w:fill="auto"/>
            <w:vAlign w:val="center"/>
          </w:tcPr>
          <w:p w14:paraId="52AFDD76" w14:textId="77777777" w:rsidR="00994050" w:rsidRPr="0070444C" w:rsidRDefault="00994050" w:rsidP="00C5238D">
            <w:pPr>
              <w:pStyle w:val="TableCellCenter"/>
              <w:jc w:val="left"/>
              <w:rPr>
                <w:b/>
                <w:sz w:val="22"/>
                <w:lang w:val="pl-PL"/>
              </w:rPr>
            </w:pPr>
            <w:r w:rsidRPr="0070444C">
              <w:rPr>
                <w:b/>
                <w:sz w:val="22"/>
                <w:lang w:val="pl-PL"/>
              </w:rPr>
              <w:t>Cisplatyna/Gemcytabina</w:t>
            </w:r>
            <w:r w:rsidRPr="0070444C">
              <w:rPr>
                <w:b/>
                <w:sz w:val="22"/>
                <w:lang w:val="pl-PL"/>
              </w:rPr>
              <w:br/>
              <w:t xml:space="preserve">+ </w:t>
            </w:r>
            <w:r w:rsidR="00770164" w:rsidRPr="0015541C">
              <w:rPr>
                <w:b/>
                <w:bCs/>
                <w:sz w:val="22"/>
                <w:szCs w:val="22"/>
                <w:lang w:val="pl-PL"/>
              </w:rPr>
              <w:t>bewacyzumab</w:t>
            </w:r>
            <w:r w:rsidRPr="0070444C">
              <w:rPr>
                <w:b/>
                <w:sz w:val="22"/>
                <w:lang w:val="pl-PL"/>
              </w:rPr>
              <w:br/>
              <w:t>15 mg/kg</w:t>
            </w:r>
            <w:r w:rsidR="00B53746" w:rsidRPr="0070444C">
              <w:rPr>
                <w:b/>
                <w:sz w:val="22"/>
                <w:lang w:val="pl-PL"/>
              </w:rPr>
              <w:t xml:space="preserve"> mc.</w:t>
            </w:r>
            <w:r w:rsidRPr="0070444C">
              <w:rPr>
                <w:b/>
                <w:sz w:val="22"/>
                <w:lang w:val="pl-PL"/>
              </w:rPr>
              <w:t xml:space="preserve"> co 3 tygodnie</w:t>
            </w:r>
          </w:p>
        </w:tc>
      </w:tr>
      <w:tr w:rsidR="00140F25" w:rsidRPr="0015541C" w14:paraId="183401CC" w14:textId="77777777" w:rsidTr="00D16D61">
        <w:trPr>
          <w:cantSplit/>
          <w:jc w:val="center"/>
        </w:trPr>
        <w:tc>
          <w:tcPr>
            <w:tcW w:w="1033" w:type="pct"/>
            <w:tcBorders>
              <w:top w:val="single" w:sz="8" w:space="0" w:color="auto"/>
              <w:left w:val="single" w:sz="8" w:space="0" w:color="auto"/>
              <w:bottom w:val="single" w:sz="4" w:space="0" w:color="auto"/>
              <w:right w:val="single" w:sz="8" w:space="0" w:color="auto"/>
            </w:tcBorders>
            <w:tcMar>
              <w:left w:w="28" w:type="dxa"/>
              <w:right w:w="28" w:type="dxa"/>
            </w:tcMar>
          </w:tcPr>
          <w:p w14:paraId="265E93E1" w14:textId="77777777" w:rsidR="00994050" w:rsidRPr="0015541C" w:rsidRDefault="00994050" w:rsidP="00C5238D">
            <w:pPr>
              <w:pStyle w:val="TableCellLeft"/>
              <w:spacing w:after="120"/>
              <w:rPr>
                <w:sz w:val="22"/>
                <w:szCs w:val="22"/>
                <w:lang w:val="pl-PL"/>
              </w:rPr>
            </w:pPr>
            <w:r w:rsidRPr="0015541C">
              <w:rPr>
                <w:sz w:val="22"/>
                <w:szCs w:val="22"/>
                <w:lang w:val="pl-PL"/>
              </w:rPr>
              <w:t>Liczba pacjentów</w:t>
            </w:r>
          </w:p>
        </w:tc>
        <w:tc>
          <w:tcPr>
            <w:tcW w:w="1322" w:type="pct"/>
            <w:tcBorders>
              <w:top w:val="single" w:sz="8" w:space="0" w:color="auto"/>
              <w:left w:val="single" w:sz="8" w:space="0" w:color="auto"/>
              <w:bottom w:val="single" w:sz="4" w:space="0" w:color="auto"/>
              <w:right w:val="single" w:sz="8" w:space="0" w:color="auto"/>
            </w:tcBorders>
          </w:tcPr>
          <w:p w14:paraId="155BEB05" w14:textId="77777777" w:rsidR="00994050" w:rsidRPr="00AC3958" w:rsidRDefault="00994050" w:rsidP="00C5238D">
            <w:pPr>
              <w:pStyle w:val="TableCellHead"/>
              <w:jc w:val="center"/>
              <w:rPr>
                <w:sz w:val="22"/>
                <w:szCs w:val="22"/>
                <w:u w:val="none"/>
                <w:lang w:val="pl-PL"/>
              </w:rPr>
            </w:pPr>
            <w:r w:rsidRPr="0015541C">
              <w:rPr>
                <w:sz w:val="22"/>
                <w:szCs w:val="22"/>
                <w:u w:val="none"/>
                <w:lang w:val="pl-PL"/>
              </w:rPr>
              <w:t>347</w:t>
            </w:r>
          </w:p>
        </w:tc>
        <w:tc>
          <w:tcPr>
            <w:tcW w:w="1322" w:type="pct"/>
            <w:tcBorders>
              <w:top w:val="single" w:sz="8" w:space="0" w:color="auto"/>
              <w:left w:val="single" w:sz="8" w:space="0" w:color="auto"/>
              <w:bottom w:val="single" w:sz="4" w:space="0" w:color="auto"/>
              <w:right w:val="single" w:sz="8" w:space="0" w:color="auto"/>
            </w:tcBorders>
            <w:shd w:val="clear" w:color="auto" w:fill="auto"/>
          </w:tcPr>
          <w:p w14:paraId="0253CED9" w14:textId="77777777" w:rsidR="00994050" w:rsidRPr="0015541C" w:rsidRDefault="00994050" w:rsidP="00C5238D">
            <w:pPr>
              <w:pStyle w:val="TableCellHead"/>
              <w:jc w:val="center"/>
              <w:rPr>
                <w:sz w:val="22"/>
                <w:szCs w:val="22"/>
                <w:u w:val="none"/>
                <w:lang w:val="pl-PL"/>
              </w:rPr>
            </w:pPr>
            <w:r w:rsidRPr="00260CEC">
              <w:rPr>
                <w:sz w:val="22"/>
                <w:szCs w:val="22"/>
                <w:u w:val="none"/>
                <w:lang w:val="pl-PL"/>
              </w:rPr>
              <w:t>345</w:t>
            </w:r>
          </w:p>
        </w:tc>
        <w:tc>
          <w:tcPr>
            <w:tcW w:w="1322" w:type="pct"/>
            <w:tcBorders>
              <w:top w:val="single" w:sz="8" w:space="0" w:color="auto"/>
              <w:left w:val="single" w:sz="8" w:space="0" w:color="auto"/>
              <w:bottom w:val="single" w:sz="4" w:space="0" w:color="auto"/>
              <w:right w:val="single" w:sz="8" w:space="0" w:color="auto"/>
            </w:tcBorders>
            <w:shd w:val="clear" w:color="auto" w:fill="auto"/>
          </w:tcPr>
          <w:p w14:paraId="64331EDD" w14:textId="77777777" w:rsidR="00994050" w:rsidRPr="0015541C" w:rsidRDefault="00994050" w:rsidP="00C5238D">
            <w:pPr>
              <w:pStyle w:val="TableCellHead"/>
              <w:jc w:val="center"/>
              <w:rPr>
                <w:sz w:val="22"/>
                <w:szCs w:val="22"/>
                <w:u w:val="none"/>
                <w:lang w:val="pl-PL"/>
              </w:rPr>
            </w:pPr>
            <w:r w:rsidRPr="0015541C">
              <w:rPr>
                <w:sz w:val="22"/>
                <w:szCs w:val="22"/>
                <w:u w:val="none"/>
                <w:lang w:val="pl-PL"/>
              </w:rPr>
              <w:t>351</w:t>
            </w:r>
          </w:p>
        </w:tc>
      </w:tr>
      <w:tr w:rsidR="00140F25" w:rsidRPr="0015541C" w14:paraId="0746C662" w14:textId="77777777" w:rsidTr="00D16D61">
        <w:trPr>
          <w:cantSplit/>
          <w:jc w:val="center"/>
        </w:trPr>
        <w:tc>
          <w:tcPr>
            <w:tcW w:w="1033" w:type="pct"/>
            <w:tcBorders>
              <w:top w:val="single" w:sz="4" w:space="0" w:color="auto"/>
              <w:left w:val="single" w:sz="8" w:space="0" w:color="auto"/>
              <w:right w:val="single" w:sz="8" w:space="0" w:color="auto"/>
            </w:tcBorders>
            <w:tcMar>
              <w:left w:w="28" w:type="dxa"/>
              <w:right w:w="28" w:type="dxa"/>
            </w:tcMar>
          </w:tcPr>
          <w:p w14:paraId="1E359CBE" w14:textId="77777777" w:rsidR="00994050" w:rsidRPr="0015541C" w:rsidRDefault="00994050" w:rsidP="00C5238D">
            <w:pPr>
              <w:pStyle w:val="TableCellCenter"/>
              <w:jc w:val="left"/>
              <w:rPr>
                <w:bCs/>
                <w:sz w:val="22"/>
                <w:szCs w:val="22"/>
                <w:lang w:val="pl-PL"/>
              </w:rPr>
            </w:pPr>
            <w:r w:rsidRPr="0015541C">
              <w:rPr>
                <w:bCs/>
                <w:sz w:val="22"/>
                <w:szCs w:val="22"/>
                <w:lang w:val="pl-PL"/>
              </w:rPr>
              <w:t>Czas przeżycia wolny od progresji</w:t>
            </w:r>
          </w:p>
        </w:tc>
        <w:tc>
          <w:tcPr>
            <w:tcW w:w="1322" w:type="pct"/>
            <w:tcBorders>
              <w:top w:val="single" w:sz="4" w:space="0" w:color="auto"/>
              <w:left w:val="single" w:sz="8" w:space="0" w:color="auto"/>
              <w:right w:val="single" w:sz="8" w:space="0" w:color="auto"/>
            </w:tcBorders>
          </w:tcPr>
          <w:p w14:paraId="09CAF041" w14:textId="77777777" w:rsidR="00994050" w:rsidRPr="0015541C" w:rsidRDefault="00994050" w:rsidP="00C5238D">
            <w:pPr>
              <w:pStyle w:val="TableCellHead"/>
              <w:jc w:val="center"/>
              <w:rPr>
                <w:sz w:val="22"/>
                <w:szCs w:val="22"/>
                <w:lang w:val="pl-PL"/>
              </w:rPr>
            </w:pPr>
          </w:p>
        </w:tc>
        <w:tc>
          <w:tcPr>
            <w:tcW w:w="1322" w:type="pct"/>
            <w:tcBorders>
              <w:top w:val="single" w:sz="4" w:space="0" w:color="auto"/>
              <w:left w:val="single" w:sz="8" w:space="0" w:color="auto"/>
              <w:right w:val="single" w:sz="8" w:space="0" w:color="auto"/>
            </w:tcBorders>
            <w:shd w:val="clear" w:color="auto" w:fill="auto"/>
          </w:tcPr>
          <w:p w14:paraId="496FAF2D" w14:textId="77777777" w:rsidR="00994050" w:rsidRPr="00260CEC" w:rsidRDefault="00994050" w:rsidP="00C5238D">
            <w:pPr>
              <w:pStyle w:val="TableCellHead"/>
              <w:jc w:val="center"/>
              <w:rPr>
                <w:sz w:val="22"/>
                <w:szCs w:val="22"/>
                <w:lang w:val="pl-PL"/>
              </w:rPr>
            </w:pPr>
          </w:p>
        </w:tc>
        <w:tc>
          <w:tcPr>
            <w:tcW w:w="1322" w:type="pct"/>
            <w:tcBorders>
              <w:top w:val="single" w:sz="4" w:space="0" w:color="auto"/>
              <w:left w:val="single" w:sz="8" w:space="0" w:color="auto"/>
              <w:right w:val="single" w:sz="8" w:space="0" w:color="auto"/>
            </w:tcBorders>
            <w:shd w:val="clear" w:color="auto" w:fill="auto"/>
          </w:tcPr>
          <w:p w14:paraId="5CA028B6" w14:textId="77777777" w:rsidR="00994050" w:rsidRPr="0015541C" w:rsidRDefault="00994050" w:rsidP="00C5238D">
            <w:pPr>
              <w:pStyle w:val="TableCellHead"/>
              <w:jc w:val="center"/>
              <w:rPr>
                <w:sz w:val="22"/>
                <w:szCs w:val="22"/>
                <w:lang w:val="pl-PL"/>
              </w:rPr>
            </w:pPr>
          </w:p>
        </w:tc>
      </w:tr>
      <w:tr w:rsidR="00140F25" w:rsidRPr="0015541C" w14:paraId="2CD17AD6" w14:textId="77777777" w:rsidTr="00D16D61">
        <w:trPr>
          <w:cantSplit/>
          <w:jc w:val="center"/>
        </w:trPr>
        <w:tc>
          <w:tcPr>
            <w:tcW w:w="1033" w:type="pct"/>
            <w:tcBorders>
              <w:left w:val="single" w:sz="8" w:space="0" w:color="auto"/>
              <w:right w:val="single" w:sz="8" w:space="0" w:color="auto"/>
            </w:tcBorders>
            <w:tcMar>
              <w:left w:w="28" w:type="dxa"/>
              <w:right w:w="28" w:type="dxa"/>
            </w:tcMar>
            <w:vAlign w:val="center"/>
          </w:tcPr>
          <w:p w14:paraId="41353F2B" w14:textId="77777777" w:rsidR="00994050" w:rsidRPr="0015541C" w:rsidRDefault="00994050" w:rsidP="00A14FD5">
            <w:pPr>
              <w:pStyle w:val="TableCellLeft"/>
              <w:keepNext w:val="0"/>
              <w:keepLines w:val="0"/>
              <w:ind w:left="341"/>
              <w:rPr>
                <w:sz w:val="22"/>
                <w:szCs w:val="22"/>
                <w:lang w:val="pl-PL"/>
              </w:rPr>
            </w:pPr>
            <w:r w:rsidRPr="0015541C">
              <w:rPr>
                <w:sz w:val="22"/>
                <w:szCs w:val="22"/>
                <w:lang w:val="pl-PL"/>
              </w:rPr>
              <w:t>Mediana (miesiące)</w:t>
            </w:r>
          </w:p>
        </w:tc>
        <w:tc>
          <w:tcPr>
            <w:tcW w:w="1322" w:type="pct"/>
            <w:tcBorders>
              <w:left w:val="single" w:sz="8" w:space="0" w:color="auto"/>
              <w:right w:val="single" w:sz="8" w:space="0" w:color="auto"/>
            </w:tcBorders>
          </w:tcPr>
          <w:p w14:paraId="32C53CD9" w14:textId="77777777" w:rsidR="00994050" w:rsidRPr="00AC3958" w:rsidRDefault="00994050" w:rsidP="00A14FD5">
            <w:pPr>
              <w:pStyle w:val="TableCellHead"/>
              <w:keepNext w:val="0"/>
              <w:keepLines w:val="0"/>
              <w:jc w:val="center"/>
              <w:rPr>
                <w:sz w:val="22"/>
                <w:szCs w:val="22"/>
                <w:u w:val="none"/>
                <w:lang w:val="pl-PL"/>
              </w:rPr>
            </w:pPr>
            <w:r w:rsidRPr="0015541C">
              <w:rPr>
                <w:sz w:val="22"/>
                <w:szCs w:val="22"/>
                <w:u w:val="none"/>
                <w:lang w:val="pl-PL"/>
              </w:rPr>
              <w:t>6,1</w:t>
            </w:r>
          </w:p>
        </w:tc>
        <w:tc>
          <w:tcPr>
            <w:tcW w:w="1322" w:type="pct"/>
            <w:tcBorders>
              <w:left w:val="single" w:sz="8" w:space="0" w:color="auto"/>
              <w:right w:val="single" w:sz="8" w:space="0" w:color="auto"/>
            </w:tcBorders>
            <w:shd w:val="clear" w:color="auto" w:fill="auto"/>
          </w:tcPr>
          <w:p w14:paraId="53BC1DB5" w14:textId="77777777" w:rsidR="00994050" w:rsidRPr="0015541C" w:rsidRDefault="00994050" w:rsidP="00A14FD5">
            <w:pPr>
              <w:pStyle w:val="TableCellHead"/>
              <w:keepNext w:val="0"/>
              <w:keepLines w:val="0"/>
              <w:jc w:val="center"/>
              <w:rPr>
                <w:sz w:val="22"/>
                <w:szCs w:val="22"/>
                <w:u w:val="none"/>
                <w:lang w:val="pl-PL"/>
              </w:rPr>
            </w:pPr>
            <w:r w:rsidRPr="00260CEC">
              <w:rPr>
                <w:sz w:val="22"/>
                <w:szCs w:val="22"/>
                <w:u w:val="none"/>
                <w:lang w:val="pl-PL"/>
              </w:rPr>
              <w:t>6,7</w:t>
            </w:r>
            <w:r w:rsidRPr="00260CEC">
              <w:rPr>
                <w:sz w:val="22"/>
                <w:szCs w:val="22"/>
                <w:u w:val="none"/>
                <w:lang w:val="pl-PL"/>
              </w:rPr>
              <w:br/>
              <w:t>(p = 0,0026)</w:t>
            </w:r>
          </w:p>
        </w:tc>
        <w:tc>
          <w:tcPr>
            <w:tcW w:w="1322" w:type="pct"/>
            <w:tcBorders>
              <w:left w:val="single" w:sz="8" w:space="0" w:color="auto"/>
              <w:right w:val="single" w:sz="8" w:space="0" w:color="auto"/>
            </w:tcBorders>
            <w:shd w:val="clear" w:color="auto" w:fill="auto"/>
          </w:tcPr>
          <w:p w14:paraId="72CC9087" w14:textId="77777777" w:rsidR="00994050" w:rsidRPr="0015541C" w:rsidRDefault="00994050" w:rsidP="00A14FD5">
            <w:pPr>
              <w:pStyle w:val="TableCellHead"/>
              <w:keepNext w:val="0"/>
              <w:keepLines w:val="0"/>
              <w:jc w:val="center"/>
              <w:rPr>
                <w:sz w:val="22"/>
                <w:szCs w:val="22"/>
                <w:u w:val="none"/>
                <w:lang w:val="pl-PL"/>
              </w:rPr>
            </w:pPr>
            <w:r w:rsidRPr="0015541C">
              <w:rPr>
                <w:sz w:val="22"/>
                <w:szCs w:val="22"/>
                <w:u w:val="none"/>
                <w:lang w:val="pl-PL"/>
              </w:rPr>
              <w:t>6,5</w:t>
            </w:r>
            <w:r w:rsidRPr="0015541C">
              <w:rPr>
                <w:sz w:val="22"/>
                <w:szCs w:val="22"/>
                <w:u w:val="none"/>
                <w:lang w:val="pl-PL"/>
              </w:rPr>
              <w:br/>
              <w:t>(p = 0,0301)</w:t>
            </w:r>
          </w:p>
        </w:tc>
      </w:tr>
      <w:tr w:rsidR="00140F25" w:rsidRPr="0015541C" w14:paraId="4E7FD09A" w14:textId="77777777" w:rsidTr="00D16D61">
        <w:trPr>
          <w:cantSplit/>
          <w:jc w:val="center"/>
        </w:trPr>
        <w:tc>
          <w:tcPr>
            <w:tcW w:w="1033" w:type="pct"/>
            <w:tcBorders>
              <w:left w:val="single" w:sz="8" w:space="0" w:color="auto"/>
              <w:bottom w:val="single" w:sz="4" w:space="0" w:color="auto"/>
              <w:right w:val="single" w:sz="8" w:space="0" w:color="auto"/>
            </w:tcBorders>
            <w:tcMar>
              <w:left w:w="28" w:type="dxa"/>
              <w:right w:w="28" w:type="dxa"/>
            </w:tcMar>
          </w:tcPr>
          <w:p w14:paraId="7B623DE1" w14:textId="77777777" w:rsidR="00994050" w:rsidRPr="0015541C" w:rsidRDefault="00994050" w:rsidP="00A14FD5">
            <w:pPr>
              <w:pStyle w:val="TableCellLeft"/>
              <w:keepNext w:val="0"/>
              <w:keepLines w:val="0"/>
              <w:spacing w:after="120"/>
              <w:ind w:left="341"/>
              <w:rPr>
                <w:sz w:val="22"/>
                <w:szCs w:val="22"/>
                <w:lang w:val="pl-PL"/>
              </w:rPr>
            </w:pPr>
            <w:r w:rsidRPr="0015541C">
              <w:rPr>
                <w:sz w:val="22"/>
                <w:szCs w:val="22"/>
                <w:lang w:val="pl-PL"/>
              </w:rPr>
              <w:t>Współczynnik ryzyka</w:t>
            </w:r>
          </w:p>
        </w:tc>
        <w:tc>
          <w:tcPr>
            <w:tcW w:w="1322" w:type="pct"/>
            <w:tcBorders>
              <w:left w:val="single" w:sz="8" w:space="0" w:color="auto"/>
              <w:bottom w:val="single" w:sz="4" w:space="0" w:color="auto"/>
              <w:right w:val="single" w:sz="8" w:space="0" w:color="auto"/>
            </w:tcBorders>
          </w:tcPr>
          <w:p w14:paraId="02ECCE4A" w14:textId="77777777" w:rsidR="00994050" w:rsidRPr="0015541C" w:rsidRDefault="00994050" w:rsidP="00A14FD5">
            <w:pPr>
              <w:jc w:val="center"/>
              <w:rPr>
                <w:szCs w:val="22"/>
                <w:u w:val="single"/>
                <w:lang w:val="pl-PL"/>
              </w:rPr>
            </w:pPr>
          </w:p>
        </w:tc>
        <w:tc>
          <w:tcPr>
            <w:tcW w:w="1322" w:type="pct"/>
            <w:tcBorders>
              <w:left w:val="single" w:sz="8" w:space="0" w:color="auto"/>
              <w:bottom w:val="single" w:sz="4" w:space="0" w:color="auto"/>
              <w:right w:val="single" w:sz="8" w:space="0" w:color="auto"/>
            </w:tcBorders>
            <w:shd w:val="clear" w:color="auto" w:fill="auto"/>
          </w:tcPr>
          <w:p w14:paraId="51B28F93" w14:textId="77777777" w:rsidR="00994050" w:rsidRPr="0015541C" w:rsidRDefault="00994050" w:rsidP="00A14FD5">
            <w:pPr>
              <w:pStyle w:val="BodyTextIndent"/>
              <w:jc w:val="center"/>
              <w:rPr>
                <w:b w:val="0"/>
                <w:color w:val="auto"/>
                <w:szCs w:val="22"/>
                <w:lang w:val="pl-PL"/>
              </w:rPr>
            </w:pPr>
            <w:r w:rsidRPr="00260CEC">
              <w:rPr>
                <w:b w:val="0"/>
                <w:color w:val="auto"/>
                <w:szCs w:val="22"/>
                <w:lang w:val="pl-PL"/>
              </w:rPr>
              <w:t>0,75</w:t>
            </w:r>
            <w:r w:rsidRPr="00260CEC">
              <w:rPr>
                <w:b w:val="0"/>
                <w:color w:val="auto"/>
                <w:szCs w:val="22"/>
                <w:lang w:val="pl-PL"/>
              </w:rPr>
              <w:br/>
              <w:t>[0,62;</w:t>
            </w:r>
            <w:r w:rsidR="00A7194F" w:rsidRPr="0015541C">
              <w:rPr>
                <w:b w:val="0"/>
                <w:color w:val="auto"/>
                <w:szCs w:val="22"/>
                <w:lang w:val="pl-PL"/>
              </w:rPr>
              <w:t xml:space="preserve"> </w:t>
            </w:r>
            <w:r w:rsidRPr="0015541C">
              <w:rPr>
                <w:b w:val="0"/>
                <w:color w:val="auto"/>
                <w:szCs w:val="22"/>
                <w:lang w:val="pl-PL"/>
              </w:rPr>
              <w:t>0,91]</w:t>
            </w:r>
          </w:p>
        </w:tc>
        <w:tc>
          <w:tcPr>
            <w:tcW w:w="1322" w:type="pct"/>
            <w:tcBorders>
              <w:left w:val="single" w:sz="8" w:space="0" w:color="auto"/>
              <w:bottom w:val="single" w:sz="4" w:space="0" w:color="auto"/>
              <w:right w:val="single" w:sz="8" w:space="0" w:color="auto"/>
            </w:tcBorders>
            <w:shd w:val="clear" w:color="auto" w:fill="auto"/>
          </w:tcPr>
          <w:p w14:paraId="4A3AD811" w14:textId="77777777" w:rsidR="00994050" w:rsidRPr="0015541C" w:rsidRDefault="00994050" w:rsidP="00A14FD5">
            <w:pPr>
              <w:pStyle w:val="BodyTextIndent"/>
              <w:jc w:val="center"/>
              <w:rPr>
                <w:b w:val="0"/>
                <w:color w:val="auto"/>
                <w:szCs w:val="22"/>
                <w:lang w:val="pl-PL"/>
              </w:rPr>
            </w:pPr>
            <w:r w:rsidRPr="0015541C">
              <w:rPr>
                <w:b w:val="0"/>
                <w:color w:val="auto"/>
                <w:szCs w:val="22"/>
                <w:lang w:val="pl-PL"/>
              </w:rPr>
              <w:t>0,82</w:t>
            </w:r>
            <w:r w:rsidRPr="0015541C">
              <w:rPr>
                <w:b w:val="0"/>
                <w:color w:val="auto"/>
                <w:szCs w:val="22"/>
                <w:lang w:val="pl-PL"/>
              </w:rPr>
              <w:br/>
              <w:t>[0,68;</w:t>
            </w:r>
            <w:r w:rsidR="00A7194F" w:rsidRPr="0015541C">
              <w:rPr>
                <w:b w:val="0"/>
                <w:color w:val="auto"/>
                <w:szCs w:val="22"/>
                <w:lang w:val="pl-PL"/>
              </w:rPr>
              <w:t xml:space="preserve"> </w:t>
            </w:r>
            <w:r w:rsidRPr="0015541C">
              <w:rPr>
                <w:b w:val="0"/>
                <w:color w:val="auto"/>
                <w:szCs w:val="22"/>
                <w:lang w:val="pl-PL"/>
              </w:rPr>
              <w:t>0,98]</w:t>
            </w:r>
          </w:p>
        </w:tc>
      </w:tr>
      <w:tr w:rsidR="00140F25" w:rsidRPr="0015541C" w14:paraId="218B04E2" w14:textId="77777777" w:rsidTr="00D16D61">
        <w:trPr>
          <w:cantSplit/>
          <w:trHeight w:val="930"/>
          <w:jc w:val="center"/>
        </w:trPr>
        <w:tc>
          <w:tcPr>
            <w:tcW w:w="1033" w:type="pct"/>
            <w:tcBorders>
              <w:top w:val="single" w:sz="4" w:space="0" w:color="auto"/>
              <w:left w:val="single" w:sz="8" w:space="0" w:color="auto"/>
              <w:bottom w:val="single" w:sz="4" w:space="0" w:color="auto"/>
              <w:right w:val="single" w:sz="8" w:space="0" w:color="auto"/>
            </w:tcBorders>
            <w:tcMar>
              <w:left w:w="28" w:type="dxa"/>
              <w:right w:w="28" w:type="dxa"/>
            </w:tcMar>
          </w:tcPr>
          <w:p w14:paraId="18728847" w14:textId="77777777" w:rsidR="00994050" w:rsidRPr="0015541C" w:rsidRDefault="00994050" w:rsidP="00517C0A">
            <w:pPr>
              <w:pStyle w:val="TableCellHead"/>
              <w:keepLines w:val="0"/>
              <w:rPr>
                <w:bCs/>
                <w:sz w:val="22"/>
                <w:szCs w:val="22"/>
                <w:u w:val="none"/>
                <w:lang w:val="pl-PL"/>
              </w:rPr>
            </w:pPr>
            <w:r w:rsidRPr="0015541C">
              <w:rPr>
                <w:bCs/>
                <w:sz w:val="22"/>
                <w:szCs w:val="22"/>
                <w:u w:val="none"/>
                <w:lang w:val="pl-PL"/>
              </w:rPr>
              <w:t xml:space="preserve">Współczynnik najlepszej całkowitej odpowiedzi </w:t>
            </w:r>
            <w:r w:rsidRPr="0015541C">
              <w:rPr>
                <w:bCs/>
                <w:sz w:val="22"/>
                <w:szCs w:val="22"/>
                <w:u w:val="none"/>
                <w:vertAlign w:val="superscript"/>
                <w:lang w:val="pl-PL"/>
              </w:rPr>
              <w:t>a</w:t>
            </w:r>
          </w:p>
        </w:tc>
        <w:tc>
          <w:tcPr>
            <w:tcW w:w="1322" w:type="pct"/>
            <w:tcBorders>
              <w:top w:val="single" w:sz="4" w:space="0" w:color="auto"/>
              <w:left w:val="single" w:sz="8" w:space="0" w:color="auto"/>
              <w:bottom w:val="single" w:sz="4" w:space="0" w:color="auto"/>
              <w:right w:val="single" w:sz="8" w:space="0" w:color="auto"/>
            </w:tcBorders>
          </w:tcPr>
          <w:p w14:paraId="7CE2C795" w14:textId="77777777" w:rsidR="00994050" w:rsidRPr="0015541C" w:rsidRDefault="00994050" w:rsidP="00517C0A">
            <w:pPr>
              <w:pStyle w:val="BodyTextIndent"/>
              <w:keepNext/>
              <w:jc w:val="center"/>
              <w:rPr>
                <w:b w:val="0"/>
                <w:color w:val="auto"/>
                <w:szCs w:val="22"/>
                <w:lang w:val="pl-PL"/>
              </w:rPr>
            </w:pPr>
            <w:r w:rsidRPr="00260CEC">
              <w:rPr>
                <w:b w:val="0"/>
                <w:color w:val="auto"/>
                <w:szCs w:val="22"/>
                <w:lang w:val="pl-PL"/>
              </w:rPr>
              <w:t>20,1%</w:t>
            </w:r>
          </w:p>
        </w:tc>
        <w:tc>
          <w:tcPr>
            <w:tcW w:w="1322" w:type="pct"/>
            <w:tcBorders>
              <w:top w:val="single" w:sz="4" w:space="0" w:color="auto"/>
              <w:left w:val="single" w:sz="8" w:space="0" w:color="auto"/>
              <w:bottom w:val="single" w:sz="4" w:space="0" w:color="auto"/>
              <w:right w:val="single" w:sz="8" w:space="0" w:color="auto"/>
            </w:tcBorders>
            <w:shd w:val="clear" w:color="auto" w:fill="auto"/>
          </w:tcPr>
          <w:p w14:paraId="230F9D63" w14:textId="77777777" w:rsidR="00994050" w:rsidRPr="0015541C" w:rsidRDefault="00994050" w:rsidP="00517C0A">
            <w:pPr>
              <w:pStyle w:val="BodyTextIndent"/>
              <w:keepNext/>
              <w:jc w:val="center"/>
              <w:rPr>
                <w:b w:val="0"/>
                <w:color w:val="auto"/>
                <w:szCs w:val="22"/>
                <w:lang w:val="pl-PL"/>
              </w:rPr>
            </w:pPr>
            <w:r w:rsidRPr="0015541C">
              <w:rPr>
                <w:b w:val="0"/>
                <w:color w:val="auto"/>
                <w:szCs w:val="22"/>
                <w:lang w:val="pl-PL"/>
              </w:rPr>
              <w:t>34,1%</w:t>
            </w:r>
            <w:r w:rsidRPr="0015541C">
              <w:rPr>
                <w:b w:val="0"/>
                <w:color w:val="auto"/>
                <w:szCs w:val="22"/>
                <w:lang w:val="pl-PL"/>
              </w:rPr>
              <w:br/>
              <w:t>(p&lt; 0,0001)</w:t>
            </w:r>
          </w:p>
        </w:tc>
        <w:tc>
          <w:tcPr>
            <w:tcW w:w="1322" w:type="pct"/>
            <w:tcBorders>
              <w:top w:val="single" w:sz="4" w:space="0" w:color="auto"/>
              <w:left w:val="single" w:sz="8" w:space="0" w:color="auto"/>
              <w:bottom w:val="single" w:sz="4" w:space="0" w:color="auto"/>
              <w:right w:val="single" w:sz="8" w:space="0" w:color="auto"/>
            </w:tcBorders>
            <w:shd w:val="clear" w:color="auto" w:fill="auto"/>
          </w:tcPr>
          <w:p w14:paraId="291594FD" w14:textId="77777777" w:rsidR="00994050" w:rsidRPr="0015541C" w:rsidRDefault="00994050" w:rsidP="00517C0A">
            <w:pPr>
              <w:pStyle w:val="BodyTextIndent"/>
              <w:keepNext/>
              <w:jc w:val="center"/>
              <w:rPr>
                <w:b w:val="0"/>
                <w:color w:val="auto"/>
                <w:szCs w:val="22"/>
                <w:lang w:val="pl-PL"/>
              </w:rPr>
            </w:pPr>
            <w:r w:rsidRPr="0015541C">
              <w:rPr>
                <w:b w:val="0"/>
                <w:color w:val="auto"/>
                <w:szCs w:val="22"/>
                <w:lang w:val="pl-PL"/>
              </w:rPr>
              <w:t>30,4%</w:t>
            </w:r>
          </w:p>
          <w:p w14:paraId="3C018653" w14:textId="77777777" w:rsidR="00994050" w:rsidRPr="0015541C" w:rsidRDefault="00994050" w:rsidP="00517C0A">
            <w:pPr>
              <w:pStyle w:val="BodyTextIndent"/>
              <w:keepNext/>
              <w:jc w:val="center"/>
              <w:rPr>
                <w:b w:val="0"/>
                <w:color w:val="auto"/>
                <w:szCs w:val="22"/>
                <w:u w:val="single"/>
                <w:lang w:val="pl-PL"/>
              </w:rPr>
            </w:pPr>
            <w:r w:rsidRPr="0015541C">
              <w:rPr>
                <w:b w:val="0"/>
                <w:color w:val="auto"/>
                <w:szCs w:val="22"/>
                <w:lang w:val="pl-PL"/>
              </w:rPr>
              <w:t>(p=0,0023)</w:t>
            </w:r>
          </w:p>
        </w:tc>
      </w:tr>
    </w:tbl>
    <w:p w14:paraId="6D4706B3" w14:textId="77777777" w:rsidR="00994050" w:rsidRPr="0015541C" w:rsidRDefault="00994050" w:rsidP="00A14FD5">
      <w:pPr>
        <w:rPr>
          <w:sz w:val="20"/>
          <w:lang w:val="pl-PL"/>
        </w:rPr>
      </w:pPr>
      <w:r w:rsidRPr="0070444C">
        <w:rPr>
          <w:sz w:val="20"/>
          <w:vertAlign w:val="superscript"/>
          <w:lang w:val="pl-PL"/>
        </w:rPr>
        <w:t>a</w:t>
      </w:r>
      <w:r w:rsidRPr="0015541C">
        <w:rPr>
          <w:sz w:val="20"/>
          <w:lang w:val="pl-PL"/>
        </w:rPr>
        <w:t xml:space="preserve"> pacjenci z mierzalną chorobą na początku badania</w:t>
      </w:r>
    </w:p>
    <w:p w14:paraId="58D8EE7F" w14:textId="77777777" w:rsidR="00994050" w:rsidRPr="0015541C" w:rsidRDefault="00994050" w:rsidP="00A14FD5">
      <w:pPr>
        <w:rPr>
          <w:b/>
          <w:bCs/>
          <w:lang w:val="pl-PL"/>
        </w:rPr>
      </w:pPr>
    </w:p>
    <w:tbl>
      <w:tblPr>
        <w:tblW w:w="5000" w:type="pct"/>
        <w:jc w:val="center"/>
        <w:tblCellMar>
          <w:left w:w="57" w:type="dxa"/>
          <w:right w:w="57" w:type="dxa"/>
        </w:tblCellMar>
        <w:tblLook w:val="0000" w:firstRow="0" w:lastRow="0" w:firstColumn="0" w:lastColumn="0" w:noHBand="0" w:noVBand="0"/>
      </w:tblPr>
      <w:tblGrid>
        <w:gridCol w:w="1829"/>
        <w:gridCol w:w="2395"/>
        <w:gridCol w:w="2395"/>
        <w:gridCol w:w="2431"/>
      </w:tblGrid>
      <w:tr w:rsidR="00994050" w:rsidRPr="0015541C" w14:paraId="2F638A67" w14:textId="77777777" w:rsidTr="00D16D61">
        <w:trPr>
          <w:cantSplit/>
          <w:jc w:val="center"/>
        </w:trPr>
        <w:tc>
          <w:tcPr>
            <w:tcW w:w="5000" w:type="pct"/>
            <w:gridSpan w:val="4"/>
            <w:tcBorders>
              <w:top w:val="single" w:sz="8" w:space="0" w:color="auto"/>
              <w:left w:val="single" w:sz="8" w:space="0" w:color="auto"/>
              <w:bottom w:val="single" w:sz="4" w:space="0" w:color="auto"/>
              <w:right w:val="single" w:sz="8" w:space="0" w:color="auto"/>
            </w:tcBorders>
          </w:tcPr>
          <w:p w14:paraId="15426684" w14:textId="549B4F2A" w:rsidR="00994050" w:rsidRPr="0015541C" w:rsidRDefault="006D023F" w:rsidP="00A14FD5">
            <w:pPr>
              <w:pStyle w:val="TableCellHead"/>
              <w:keepNext w:val="0"/>
              <w:keepLines w:val="0"/>
              <w:ind w:left="567" w:hanging="567"/>
              <w:rPr>
                <w:sz w:val="22"/>
                <w:szCs w:val="22"/>
                <w:u w:val="none"/>
                <w:lang w:val="pl-PL"/>
              </w:rPr>
            </w:pPr>
            <w:r w:rsidRPr="0015541C">
              <w:rPr>
                <w:szCs w:val="22"/>
                <w:lang w:val="pl-PL"/>
              </w:rPr>
              <w:t>Całkowity czas przeżycia</w:t>
            </w:r>
          </w:p>
        </w:tc>
      </w:tr>
      <w:tr w:rsidR="003D62EE" w:rsidRPr="0015541C" w14:paraId="194F2D6F" w14:textId="77777777" w:rsidTr="001535A2">
        <w:trPr>
          <w:cantSplit/>
          <w:jc w:val="center"/>
        </w:trPr>
        <w:tc>
          <w:tcPr>
            <w:tcW w:w="1011" w:type="pct"/>
            <w:tcBorders>
              <w:top w:val="single" w:sz="4" w:space="0" w:color="auto"/>
              <w:left w:val="single" w:sz="8" w:space="0" w:color="auto"/>
              <w:right w:val="single" w:sz="8" w:space="0" w:color="auto"/>
            </w:tcBorders>
            <w:vAlign w:val="center"/>
          </w:tcPr>
          <w:p w14:paraId="18C170F4" w14:textId="77777777" w:rsidR="00994050" w:rsidRPr="0015541C" w:rsidRDefault="00994050" w:rsidP="00A14FD5">
            <w:pPr>
              <w:pStyle w:val="TableCellHead"/>
              <w:keepNext w:val="0"/>
              <w:keepLines w:val="0"/>
              <w:rPr>
                <w:b/>
                <w:sz w:val="22"/>
                <w:szCs w:val="22"/>
                <w:u w:val="none"/>
                <w:lang w:val="pl-PL"/>
              </w:rPr>
            </w:pPr>
            <w:r w:rsidRPr="0015541C">
              <w:rPr>
                <w:sz w:val="22"/>
                <w:szCs w:val="22"/>
                <w:u w:val="none"/>
                <w:lang w:val="pl-PL"/>
              </w:rPr>
              <w:t>Mediana (miesiące)</w:t>
            </w:r>
          </w:p>
        </w:tc>
        <w:tc>
          <w:tcPr>
            <w:tcW w:w="1323" w:type="pct"/>
            <w:tcBorders>
              <w:top w:val="single" w:sz="4" w:space="0" w:color="auto"/>
              <w:left w:val="single" w:sz="8" w:space="0" w:color="auto"/>
              <w:right w:val="single" w:sz="8" w:space="0" w:color="auto"/>
            </w:tcBorders>
            <w:vAlign w:val="center"/>
          </w:tcPr>
          <w:p w14:paraId="50170AD2" w14:textId="77777777" w:rsidR="00994050" w:rsidRPr="00AC3958" w:rsidRDefault="00994050" w:rsidP="00A14FD5">
            <w:pPr>
              <w:pStyle w:val="TableCellHead"/>
              <w:keepNext w:val="0"/>
              <w:keepLines w:val="0"/>
              <w:jc w:val="center"/>
              <w:rPr>
                <w:sz w:val="22"/>
                <w:szCs w:val="22"/>
                <w:u w:val="none"/>
                <w:lang w:val="pl-PL"/>
              </w:rPr>
            </w:pPr>
            <w:r w:rsidRPr="0015541C">
              <w:rPr>
                <w:sz w:val="22"/>
                <w:szCs w:val="22"/>
                <w:u w:val="none"/>
                <w:lang w:val="pl-PL"/>
              </w:rPr>
              <w:t>13,1</w:t>
            </w:r>
          </w:p>
        </w:tc>
        <w:tc>
          <w:tcPr>
            <w:tcW w:w="1323" w:type="pct"/>
            <w:tcBorders>
              <w:top w:val="single" w:sz="4" w:space="0" w:color="auto"/>
              <w:left w:val="single" w:sz="8" w:space="0" w:color="auto"/>
              <w:right w:val="single" w:sz="8" w:space="0" w:color="auto"/>
            </w:tcBorders>
            <w:shd w:val="clear" w:color="auto" w:fill="auto"/>
            <w:vAlign w:val="center"/>
          </w:tcPr>
          <w:p w14:paraId="1F06ED63" w14:textId="77777777" w:rsidR="00994050" w:rsidRPr="0015541C" w:rsidRDefault="00994050" w:rsidP="00A14FD5">
            <w:pPr>
              <w:pStyle w:val="TableCellHead"/>
              <w:keepNext w:val="0"/>
              <w:keepLines w:val="0"/>
              <w:jc w:val="center"/>
              <w:rPr>
                <w:sz w:val="22"/>
                <w:szCs w:val="22"/>
                <w:u w:val="none"/>
                <w:lang w:val="pl-PL"/>
              </w:rPr>
            </w:pPr>
            <w:r w:rsidRPr="00260CEC">
              <w:rPr>
                <w:sz w:val="22"/>
                <w:szCs w:val="22"/>
                <w:u w:val="none"/>
                <w:lang w:val="pl-PL"/>
              </w:rPr>
              <w:t>13,6</w:t>
            </w:r>
          </w:p>
          <w:p w14:paraId="67CDB34C" w14:textId="77777777" w:rsidR="00994050" w:rsidRPr="0015541C" w:rsidRDefault="00994050" w:rsidP="00A14FD5">
            <w:pPr>
              <w:pStyle w:val="TableCellHead"/>
              <w:keepNext w:val="0"/>
              <w:keepLines w:val="0"/>
              <w:spacing w:after="120"/>
              <w:jc w:val="center"/>
              <w:rPr>
                <w:sz w:val="22"/>
                <w:szCs w:val="22"/>
                <w:u w:val="none"/>
                <w:lang w:val="pl-PL"/>
              </w:rPr>
            </w:pPr>
            <w:r w:rsidRPr="0015541C">
              <w:rPr>
                <w:sz w:val="22"/>
                <w:szCs w:val="22"/>
                <w:u w:val="none"/>
                <w:lang w:val="pl-PL"/>
              </w:rPr>
              <w:t>(p = 0,4203)</w:t>
            </w:r>
          </w:p>
        </w:tc>
        <w:tc>
          <w:tcPr>
            <w:tcW w:w="1343" w:type="pct"/>
            <w:tcBorders>
              <w:top w:val="single" w:sz="4" w:space="0" w:color="auto"/>
              <w:left w:val="single" w:sz="8" w:space="0" w:color="auto"/>
              <w:right w:val="single" w:sz="8" w:space="0" w:color="auto"/>
            </w:tcBorders>
            <w:shd w:val="clear" w:color="auto" w:fill="auto"/>
            <w:vAlign w:val="center"/>
          </w:tcPr>
          <w:p w14:paraId="59645DA0" w14:textId="77777777" w:rsidR="00994050" w:rsidRPr="0015541C" w:rsidRDefault="00994050" w:rsidP="00A14FD5">
            <w:pPr>
              <w:pStyle w:val="TableCellHead"/>
              <w:keepNext w:val="0"/>
              <w:keepLines w:val="0"/>
              <w:jc w:val="center"/>
              <w:rPr>
                <w:sz w:val="22"/>
                <w:szCs w:val="22"/>
                <w:u w:val="none"/>
                <w:lang w:val="pl-PL"/>
              </w:rPr>
            </w:pPr>
            <w:r w:rsidRPr="0015541C">
              <w:rPr>
                <w:sz w:val="22"/>
                <w:szCs w:val="22"/>
                <w:u w:val="none"/>
                <w:lang w:val="pl-PL"/>
              </w:rPr>
              <w:t>13,4</w:t>
            </w:r>
          </w:p>
          <w:p w14:paraId="7A6895FE" w14:textId="77777777" w:rsidR="00994050" w:rsidRPr="0015541C" w:rsidRDefault="00994050" w:rsidP="00A14FD5">
            <w:pPr>
              <w:pStyle w:val="TableCellHead"/>
              <w:keepNext w:val="0"/>
              <w:keepLines w:val="0"/>
              <w:jc w:val="center"/>
              <w:rPr>
                <w:sz w:val="22"/>
                <w:szCs w:val="22"/>
                <w:u w:val="none"/>
                <w:lang w:val="pl-PL"/>
              </w:rPr>
            </w:pPr>
            <w:r w:rsidRPr="0015541C">
              <w:rPr>
                <w:sz w:val="22"/>
                <w:szCs w:val="22"/>
                <w:u w:val="none"/>
                <w:lang w:val="pl-PL"/>
              </w:rPr>
              <w:t>(p = 0,7613)</w:t>
            </w:r>
          </w:p>
        </w:tc>
      </w:tr>
      <w:tr w:rsidR="003D62EE" w:rsidRPr="0015541C" w14:paraId="4FFD1585" w14:textId="77777777" w:rsidTr="001535A2">
        <w:trPr>
          <w:cantSplit/>
          <w:jc w:val="center"/>
        </w:trPr>
        <w:tc>
          <w:tcPr>
            <w:tcW w:w="1011" w:type="pct"/>
            <w:tcBorders>
              <w:left w:val="single" w:sz="8" w:space="0" w:color="auto"/>
              <w:bottom w:val="single" w:sz="4" w:space="0" w:color="auto"/>
              <w:right w:val="single" w:sz="8" w:space="0" w:color="auto"/>
            </w:tcBorders>
            <w:vAlign w:val="center"/>
          </w:tcPr>
          <w:p w14:paraId="0D8EAE0E" w14:textId="77777777" w:rsidR="00994050" w:rsidRPr="0015541C" w:rsidRDefault="00994050" w:rsidP="00A14FD5">
            <w:pPr>
              <w:pStyle w:val="TableCellLeft"/>
              <w:keepNext w:val="0"/>
              <w:keepLines w:val="0"/>
              <w:spacing w:after="120"/>
              <w:rPr>
                <w:sz w:val="22"/>
                <w:szCs w:val="22"/>
                <w:lang w:val="pl-PL"/>
              </w:rPr>
            </w:pPr>
            <w:r w:rsidRPr="0015541C">
              <w:rPr>
                <w:sz w:val="22"/>
                <w:szCs w:val="22"/>
                <w:lang w:val="pl-PL"/>
              </w:rPr>
              <w:t>Współczynnik ryzyka</w:t>
            </w:r>
          </w:p>
        </w:tc>
        <w:tc>
          <w:tcPr>
            <w:tcW w:w="1323" w:type="pct"/>
            <w:tcBorders>
              <w:left w:val="single" w:sz="8" w:space="0" w:color="auto"/>
              <w:bottom w:val="single" w:sz="4" w:space="0" w:color="auto"/>
              <w:right w:val="single" w:sz="8" w:space="0" w:color="auto"/>
            </w:tcBorders>
            <w:vAlign w:val="center"/>
          </w:tcPr>
          <w:p w14:paraId="35B80170" w14:textId="77777777" w:rsidR="00994050" w:rsidRPr="0015541C" w:rsidRDefault="00994050" w:rsidP="00A14FD5">
            <w:pPr>
              <w:jc w:val="center"/>
              <w:rPr>
                <w:szCs w:val="22"/>
                <w:lang w:val="pl-PL"/>
              </w:rPr>
            </w:pPr>
          </w:p>
        </w:tc>
        <w:tc>
          <w:tcPr>
            <w:tcW w:w="1323" w:type="pct"/>
            <w:tcBorders>
              <w:left w:val="single" w:sz="8" w:space="0" w:color="auto"/>
              <w:bottom w:val="single" w:sz="4" w:space="0" w:color="auto"/>
              <w:right w:val="single" w:sz="8" w:space="0" w:color="auto"/>
            </w:tcBorders>
            <w:shd w:val="clear" w:color="auto" w:fill="auto"/>
            <w:vAlign w:val="center"/>
          </w:tcPr>
          <w:p w14:paraId="6F1C01EC" w14:textId="77777777" w:rsidR="00994050" w:rsidRPr="0015541C" w:rsidRDefault="00994050" w:rsidP="00A14FD5">
            <w:pPr>
              <w:pStyle w:val="TableCellHead"/>
              <w:keepNext w:val="0"/>
              <w:keepLines w:val="0"/>
              <w:spacing w:after="120"/>
              <w:jc w:val="center"/>
              <w:rPr>
                <w:sz w:val="22"/>
                <w:szCs w:val="22"/>
                <w:u w:val="none"/>
                <w:lang w:val="pl-PL"/>
              </w:rPr>
            </w:pPr>
            <w:r w:rsidRPr="00260CEC">
              <w:rPr>
                <w:sz w:val="22"/>
                <w:szCs w:val="22"/>
                <w:u w:val="none"/>
                <w:lang w:val="pl-PL"/>
              </w:rPr>
              <w:t>0,93</w:t>
            </w:r>
            <w:r w:rsidRPr="00260CEC">
              <w:rPr>
                <w:sz w:val="22"/>
                <w:szCs w:val="22"/>
                <w:u w:val="none"/>
                <w:lang w:val="pl-PL"/>
              </w:rPr>
              <w:br/>
              <w:t>[0,78; 1,11]</w:t>
            </w:r>
          </w:p>
        </w:tc>
        <w:tc>
          <w:tcPr>
            <w:tcW w:w="1343" w:type="pct"/>
            <w:tcBorders>
              <w:left w:val="single" w:sz="8" w:space="0" w:color="auto"/>
              <w:bottom w:val="single" w:sz="4" w:space="0" w:color="auto"/>
              <w:right w:val="single" w:sz="8" w:space="0" w:color="auto"/>
            </w:tcBorders>
            <w:shd w:val="clear" w:color="auto" w:fill="auto"/>
            <w:vAlign w:val="center"/>
          </w:tcPr>
          <w:p w14:paraId="2082AB94" w14:textId="77777777" w:rsidR="00994050" w:rsidRPr="0015541C" w:rsidRDefault="00994050" w:rsidP="00A14FD5">
            <w:pPr>
              <w:pStyle w:val="TableCellHead"/>
              <w:keepNext w:val="0"/>
              <w:keepLines w:val="0"/>
              <w:spacing w:after="120"/>
              <w:jc w:val="center"/>
              <w:rPr>
                <w:sz w:val="22"/>
                <w:szCs w:val="22"/>
                <w:u w:val="none"/>
                <w:lang w:val="pl-PL"/>
              </w:rPr>
            </w:pPr>
            <w:r w:rsidRPr="0015541C">
              <w:rPr>
                <w:sz w:val="22"/>
                <w:szCs w:val="22"/>
                <w:u w:val="none"/>
                <w:lang w:val="pl-PL"/>
              </w:rPr>
              <w:t>1,03</w:t>
            </w:r>
            <w:r w:rsidRPr="0015541C">
              <w:rPr>
                <w:sz w:val="22"/>
                <w:szCs w:val="22"/>
                <w:u w:val="none"/>
                <w:lang w:val="pl-PL"/>
              </w:rPr>
              <w:br/>
              <w:t>[0,86, 1,23]</w:t>
            </w:r>
          </w:p>
        </w:tc>
      </w:tr>
    </w:tbl>
    <w:p w14:paraId="3B2F7778" w14:textId="77777777" w:rsidR="00994050" w:rsidRPr="0015541C" w:rsidRDefault="00994050" w:rsidP="00994050">
      <w:pPr>
        <w:rPr>
          <w:b/>
          <w:bCs/>
          <w:lang w:val="pl-PL"/>
        </w:rPr>
      </w:pPr>
    </w:p>
    <w:p w14:paraId="2706FC81" w14:textId="77777777" w:rsidR="003137EC" w:rsidRPr="0015541C" w:rsidRDefault="003137EC" w:rsidP="003137EC">
      <w:pPr>
        <w:rPr>
          <w:i/>
          <w:iCs/>
          <w:lang w:val="pl-PL"/>
        </w:rPr>
      </w:pPr>
      <w:r w:rsidRPr="0015541C">
        <w:rPr>
          <w:i/>
          <w:iCs/>
          <w:lang w:val="pl-PL"/>
        </w:rPr>
        <w:t xml:space="preserve">Leczenie pierwszego rzutu u pacjentów z </w:t>
      </w:r>
      <w:r w:rsidR="00D61B28" w:rsidRPr="0015541C">
        <w:rPr>
          <w:i/>
          <w:iCs/>
          <w:lang w:val="pl-PL"/>
        </w:rPr>
        <w:t xml:space="preserve">niepłaskonabłonkowym </w:t>
      </w:r>
      <w:r w:rsidRPr="00AC3958">
        <w:rPr>
          <w:i/>
          <w:iCs/>
          <w:lang w:val="pl-PL"/>
        </w:rPr>
        <w:t xml:space="preserve">NSCLC z aktywującymi mutacjami </w:t>
      </w:r>
      <w:r w:rsidR="00DF266C" w:rsidRPr="00260CEC">
        <w:rPr>
          <w:i/>
          <w:iCs/>
          <w:lang w:val="pl-PL"/>
        </w:rPr>
        <w:br/>
      </w:r>
      <w:r w:rsidRPr="0015541C">
        <w:rPr>
          <w:i/>
          <w:iCs/>
          <w:lang w:val="pl-PL"/>
        </w:rPr>
        <w:t>w genie EGFR w skojarzeniu z erlotynibem</w:t>
      </w:r>
    </w:p>
    <w:p w14:paraId="5211A665" w14:textId="77777777" w:rsidR="003137EC" w:rsidRPr="0015541C" w:rsidRDefault="003137EC" w:rsidP="00994050">
      <w:pPr>
        <w:rPr>
          <w:bCs/>
          <w:i/>
          <w:u w:val="single"/>
          <w:lang w:val="pl-PL"/>
        </w:rPr>
      </w:pPr>
    </w:p>
    <w:p w14:paraId="0A29601D" w14:textId="77777777" w:rsidR="00A73107" w:rsidRPr="0015541C" w:rsidRDefault="00A73107" w:rsidP="00A73107">
      <w:pPr>
        <w:rPr>
          <w:bCs/>
          <w:i/>
          <w:lang w:val="pl-PL"/>
        </w:rPr>
      </w:pPr>
      <w:r w:rsidRPr="0015541C">
        <w:rPr>
          <w:bCs/>
          <w:i/>
          <w:lang w:val="pl-PL"/>
        </w:rPr>
        <w:t>JO25567</w:t>
      </w:r>
    </w:p>
    <w:p w14:paraId="7058EFD4" w14:textId="77777777" w:rsidR="00A73107" w:rsidRPr="0015541C" w:rsidRDefault="00A73107" w:rsidP="00A73107">
      <w:pPr>
        <w:rPr>
          <w:bCs/>
          <w:lang w:val="pl-PL"/>
        </w:rPr>
      </w:pPr>
      <w:r w:rsidRPr="0015541C">
        <w:rPr>
          <w:bCs/>
          <w:lang w:val="pl-PL"/>
        </w:rPr>
        <w:lastRenderedPageBreak/>
        <w:t>Badanie JO25567 było randomizowanym, otwartym, wieloo</w:t>
      </w:r>
      <w:r w:rsidR="004F16A8" w:rsidRPr="0015541C">
        <w:rPr>
          <w:bCs/>
          <w:lang w:val="pl-PL"/>
        </w:rPr>
        <w:t>środkowym badaniem klinicznym I</w:t>
      </w:r>
      <w:r w:rsidRPr="0015541C">
        <w:rPr>
          <w:bCs/>
          <w:lang w:val="pl-PL"/>
        </w:rPr>
        <w:t xml:space="preserve">I fazy przeprowadzonym w Japonii w celu oceny skuteczności i bezpieczeństwa </w:t>
      </w:r>
      <w:r w:rsidR="00C23D39" w:rsidRPr="0015541C">
        <w:rPr>
          <w:bCs/>
          <w:lang w:val="pl-PL"/>
        </w:rPr>
        <w:t>bewacyzumab</w:t>
      </w:r>
      <w:r w:rsidRPr="0015541C">
        <w:rPr>
          <w:bCs/>
          <w:lang w:val="pl-PL"/>
        </w:rPr>
        <w:t xml:space="preserve">u </w:t>
      </w:r>
      <w:r w:rsidR="009E49ED" w:rsidRPr="0015541C">
        <w:rPr>
          <w:bCs/>
          <w:lang w:val="pl-PL"/>
        </w:rPr>
        <w:t>stosowanego</w:t>
      </w:r>
      <w:r w:rsidR="004F16A8" w:rsidRPr="0015541C">
        <w:rPr>
          <w:bCs/>
          <w:lang w:val="pl-PL"/>
        </w:rPr>
        <w:t xml:space="preserve"> w skojarzeniu z </w:t>
      </w:r>
      <w:r w:rsidRPr="0015541C">
        <w:rPr>
          <w:bCs/>
          <w:lang w:val="pl-PL"/>
        </w:rPr>
        <w:t xml:space="preserve">erlotynibem u pacjentów z niepłaskonabłonkowym NSCLC z aktywującymi </w:t>
      </w:r>
      <w:r w:rsidR="00A10700" w:rsidRPr="0015541C">
        <w:rPr>
          <w:bCs/>
          <w:lang w:val="pl-PL"/>
        </w:rPr>
        <w:t xml:space="preserve">mutacjami </w:t>
      </w:r>
      <w:r w:rsidRPr="0015541C">
        <w:rPr>
          <w:bCs/>
          <w:lang w:val="pl-PL"/>
        </w:rPr>
        <w:t>w genie EGFR</w:t>
      </w:r>
      <w:r w:rsidR="00024EB8" w:rsidRPr="0015541C">
        <w:rPr>
          <w:bCs/>
          <w:lang w:val="pl-PL"/>
        </w:rPr>
        <w:t xml:space="preserve"> (delecja eksonu 19 lub mutacja L858R eksonu 21)</w:t>
      </w:r>
      <w:r w:rsidRPr="0015541C">
        <w:rPr>
          <w:bCs/>
          <w:lang w:val="pl-PL"/>
        </w:rPr>
        <w:t xml:space="preserve">, którzy nie </w:t>
      </w:r>
      <w:r w:rsidR="004F16A8" w:rsidRPr="0015541C">
        <w:rPr>
          <w:bCs/>
          <w:lang w:val="pl-PL"/>
        </w:rPr>
        <w:t>otrzymywali</w:t>
      </w:r>
      <w:r w:rsidRPr="0015541C">
        <w:rPr>
          <w:bCs/>
          <w:lang w:val="pl-PL"/>
        </w:rPr>
        <w:t xml:space="preserve"> wcześniej</w:t>
      </w:r>
      <w:r w:rsidR="00155C77" w:rsidRPr="0015541C">
        <w:rPr>
          <w:bCs/>
          <w:lang w:val="pl-PL"/>
        </w:rPr>
        <w:t>szego</w:t>
      </w:r>
      <w:r w:rsidRPr="0015541C">
        <w:rPr>
          <w:bCs/>
          <w:lang w:val="pl-PL"/>
        </w:rPr>
        <w:t xml:space="preserve"> leczenia </w:t>
      </w:r>
      <w:r w:rsidR="00DA171C" w:rsidRPr="0015541C">
        <w:rPr>
          <w:bCs/>
          <w:lang w:val="pl-PL"/>
        </w:rPr>
        <w:t>systemowego</w:t>
      </w:r>
      <w:r w:rsidR="00155C77" w:rsidRPr="0015541C">
        <w:rPr>
          <w:bCs/>
          <w:lang w:val="pl-PL"/>
        </w:rPr>
        <w:t xml:space="preserve"> </w:t>
      </w:r>
      <w:r w:rsidR="004F16A8" w:rsidRPr="0015541C">
        <w:rPr>
          <w:bCs/>
          <w:lang w:val="pl-PL"/>
        </w:rPr>
        <w:t xml:space="preserve">w stopniu </w:t>
      </w:r>
      <w:r w:rsidR="00097AC3" w:rsidRPr="0015541C">
        <w:rPr>
          <w:bCs/>
          <w:lang w:val="pl-PL"/>
        </w:rPr>
        <w:t>IIIB/IV lub</w:t>
      </w:r>
      <w:r w:rsidR="00AB2B5C" w:rsidRPr="0015541C">
        <w:rPr>
          <w:bCs/>
          <w:lang w:val="pl-PL"/>
        </w:rPr>
        <w:t xml:space="preserve"> </w:t>
      </w:r>
      <w:r w:rsidR="004F16A8" w:rsidRPr="0015541C">
        <w:rPr>
          <w:bCs/>
          <w:lang w:val="pl-PL"/>
        </w:rPr>
        <w:t>chorobie</w:t>
      </w:r>
      <w:r w:rsidRPr="0015541C">
        <w:rPr>
          <w:bCs/>
          <w:lang w:val="pl-PL"/>
        </w:rPr>
        <w:t xml:space="preserve"> nawrotowej.</w:t>
      </w:r>
    </w:p>
    <w:p w14:paraId="1EF59A2B" w14:textId="77777777" w:rsidR="00271780" w:rsidRPr="0015541C" w:rsidRDefault="00271780" w:rsidP="00A73107">
      <w:pPr>
        <w:rPr>
          <w:bCs/>
          <w:lang w:val="pl-PL"/>
        </w:rPr>
      </w:pPr>
    </w:p>
    <w:p w14:paraId="4F282ABA" w14:textId="785B9C5D" w:rsidR="00A73107" w:rsidRPr="0015541C" w:rsidRDefault="00A73107" w:rsidP="00A73107">
      <w:pPr>
        <w:rPr>
          <w:bCs/>
          <w:szCs w:val="22"/>
          <w:lang w:val="pl-PL"/>
        </w:rPr>
      </w:pPr>
      <w:r w:rsidRPr="0015541C">
        <w:rPr>
          <w:bCs/>
          <w:lang w:val="pl-PL"/>
        </w:rPr>
        <w:t xml:space="preserve">Pierwszorzędowym punktem końcowym był PFS na podstawie </w:t>
      </w:r>
      <w:r w:rsidRPr="0015541C">
        <w:rPr>
          <w:bCs/>
          <w:szCs w:val="22"/>
          <w:lang w:val="pl-PL"/>
        </w:rPr>
        <w:t xml:space="preserve">niezależnej oceny. Drugorzędowe punkty końcowe obejmowały </w:t>
      </w:r>
      <w:r w:rsidR="006D023F" w:rsidRPr="0015541C">
        <w:rPr>
          <w:bCs/>
          <w:szCs w:val="22"/>
          <w:lang w:val="pl-PL"/>
        </w:rPr>
        <w:t>OS</w:t>
      </w:r>
      <w:r w:rsidRPr="0015541C">
        <w:rPr>
          <w:bCs/>
          <w:szCs w:val="22"/>
          <w:lang w:val="pl-PL"/>
        </w:rPr>
        <w:t xml:space="preserve">, </w:t>
      </w:r>
      <w:r w:rsidR="001258F9" w:rsidRPr="0015541C">
        <w:rPr>
          <w:bCs/>
          <w:szCs w:val="22"/>
          <w:lang w:val="pl-PL"/>
        </w:rPr>
        <w:t>wskaźnik</w:t>
      </w:r>
      <w:r w:rsidRPr="0015541C">
        <w:rPr>
          <w:bCs/>
          <w:szCs w:val="22"/>
          <w:lang w:val="pl-PL"/>
        </w:rPr>
        <w:t xml:space="preserve"> odpowiedzi, </w:t>
      </w:r>
      <w:r w:rsidR="0015282A" w:rsidRPr="0015541C">
        <w:rPr>
          <w:bCs/>
          <w:szCs w:val="22"/>
          <w:lang w:val="pl-PL"/>
        </w:rPr>
        <w:t>wskaźnik</w:t>
      </w:r>
      <w:r w:rsidR="00AB2B5C" w:rsidRPr="0015541C">
        <w:rPr>
          <w:bCs/>
          <w:szCs w:val="22"/>
          <w:lang w:val="pl-PL"/>
        </w:rPr>
        <w:t xml:space="preserve"> </w:t>
      </w:r>
      <w:r w:rsidRPr="0015541C">
        <w:rPr>
          <w:bCs/>
          <w:szCs w:val="22"/>
          <w:lang w:val="pl-PL"/>
        </w:rPr>
        <w:t>kontroli c</w:t>
      </w:r>
      <w:r w:rsidR="00D61B28" w:rsidRPr="0015541C">
        <w:rPr>
          <w:bCs/>
          <w:szCs w:val="22"/>
          <w:lang w:val="pl-PL"/>
        </w:rPr>
        <w:t>horoby, czas trwania odpowiedzi</w:t>
      </w:r>
      <w:r w:rsidR="00035CF9" w:rsidRPr="0015541C">
        <w:rPr>
          <w:bCs/>
          <w:szCs w:val="22"/>
          <w:lang w:val="pl-PL"/>
        </w:rPr>
        <w:t xml:space="preserve"> oraz</w:t>
      </w:r>
      <w:r w:rsidR="00D61B28" w:rsidRPr="0015541C">
        <w:rPr>
          <w:bCs/>
          <w:szCs w:val="22"/>
          <w:lang w:val="pl-PL"/>
        </w:rPr>
        <w:t xml:space="preserve"> </w:t>
      </w:r>
      <w:r w:rsidRPr="0015541C">
        <w:rPr>
          <w:bCs/>
          <w:szCs w:val="22"/>
          <w:lang w:val="pl-PL"/>
        </w:rPr>
        <w:t>bezpieczeństwo</w:t>
      </w:r>
      <w:r w:rsidR="00D61B28" w:rsidRPr="0015541C">
        <w:rPr>
          <w:bCs/>
          <w:szCs w:val="22"/>
          <w:lang w:val="pl-PL"/>
        </w:rPr>
        <w:t>.</w:t>
      </w:r>
    </w:p>
    <w:p w14:paraId="52FC09DF" w14:textId="77777777" w:rsidR="00271780" w:rsidRPr="0015541C" w:rsidRDefault="00271780" w:rsidP="00A73107">
      <w:pPr>
        <w:rPr>
          <w:bCs/>
          <w:szCs w:val="22"/>
          <w:lang w:val="pl-PL"/>
        </w:rPr>
      </w:pPr>
    </w:p>
    <w:p w14:paraId="2A1383DC" w14:textId="01BC0CF4" w:rsidR="00A73107" w:rsidRPr="0015541C" w:rsidRDefault="00A73107" w:rsidP="00A73107">
      <w:pPr>
        <w:rPr>
          <w:bCs/>
          <w:szCs w:val="22"/>
          <w:lang w:val="pl-PL"/>
        </w:rPr>
      </w:pPr>
      <w:r w:rsidRPr="0015541C">
        <w:rPr>
          <w:bCs/>
          <w:szCs w:val="22"/>
          <w:lang w:val="pl-PL"/>
        </w:rPr>
        <w:t xml:space="preserve">Status mutacji w genie EGFR określano u każdego pacjenta przed </w:t>
      </w:r>
      <w:r w:rsidR="00CF1BA3" w:rsidRPr="0015541C">
        <w:rPr>
          <w:bCs/>
          <w:szCs w:val="22"/>
          <w:lang w:val="pl-PL"/>
        </w:rPr>
        <w:t>włączeniem do badania</w:t>
      </w:r>
      <w:r w:rsidR="0015282A" w:rsidRPr="0015541C">
        <w:rPr>
          <w:bCs/>
          <w:szCs w:val="22"/>
          <w:lang w:val="pl-PL"/>
        </w:rPr>
        <w:t xml:space="preserve">; </w:t>
      </w:r>
      <w:r w:rsidRPr="0015541C">
        <w:rPr>
          <w:bCs/>
          <w:szCs w:val="22"/>
          <w:lang w:val="pl-PL"/>
        </w:rPr>
        <w:t xml:space="preserve">154 pacjentów </w:t>
      </w:r>
      <w:r w:rsidR="0015282A" w:rsidRPr="0015541C">
        <w:rPr>
          <w:bCs/>
          <w:szCs w:val="22"/>
          <w:lang w:val="pl-PL"/>
        </w:rPr>
        <w:t>zrandomizowano</w:t>
      </w:r>
      <w:r w:rsidRPr="0015541C">
        <w:rPr>
          <w:bCs/>
          <w:szCs w:val="22"/>
          <w:lang w:val="pl-PL"/>
        </w:rPr>
        <w:t xml:space="preserve"> do grupy przyjmującej</w:t>
      </w:r>
      <w:r w:rsidR="0015282A" w:rsidRPr="0015541C">
        <w:rPr>
          <w:bCs/>
          <w:szCs w:val="22"/>
          <w:lang w:val="pl-PL"/>
        </w:rPr>
        <w:t xml:space="preserve"> erlotynib + </w:t>
      </w:r>
      <w:r w:rsidR="00C23D39" w:rsidRPr="0015541C">
        <w:rPr>
          <w:bCs/>
          <w:szCs w:val="22"/>
          <w:lang w:val="pl-PL"/>
        </w:rPr>
        <w:t>bewacyzumab</w:t>
      </w:r>
      <w:r w:rsidR="0015282A" w:rsidRPr="0015541C">
        <w:rPr>
          <w:bCs/>
          <w:szCs w:val="22"/>
          <w:lang w:val="pl-PL"/>
        </w:rPr>
        <w:t xml:space="preserve"> (erlotynib </w:t>
      </w:r>
      <w:r w:rsidRPr="0015541C">
        <w:rPr>
          <w:bCs/>
          <w:szCs w:val="22"/>
          <w:lang w:val="pl-PL"/>
        </w:rPr>
        <w:t xml:space="preserve">doustnie </w:t>
      </w:r>
      <w:r w:rsidR="006D023F" w:rsidRPr="0015541C">
        <w:rPr>
          <w:bCs/>
          <w:szCs w:val="22"/>
          <w:lang w:val="pl-PL"/>
        </w:rPr>
        <w:t> 150 </w:t>
      </w:r>
      <w:r w:rsidRPr="0015541C">
        <w:rPr>
          <w:bCs/>
          <w:szCs w:val="22"/>
          <w:lang w:val="pl-PL"/>
        </w:rPr>
        <w:t xml:space="preserve"> mg/dobę + </w:t>
      </w:r>
      <w:r w:rsidR="00C23D39" w:rsidRPr="0015541C">
        <w:rPr>
          <w:bCs/>
          <w:szCs w:val="22"/>
          <w:lang w:val="pl-PL"/>
        </w:rPr>
        <w:t>bewacyzumab</w:t>
      </w:r>
      <w:r w:rsidRPr="0015541C">
        <w:rPr>
          <w:bCs/>
          <w:szCs w:val="22"/>
          <w:lang w:val="pl-PL"/>
        </w:rPr>
        <w:t xml:space="preserve"> [</w:t>
      </w:r>
      <w:r w:rsidR="006D023F" w:rsidRPr="0015541C">
        <w:rPr>
          <w:bCs/>
          <w:szCs w:val="22"/>
          <w:lang w:val="pl-PL"/>
        </w:rPr>
        <w:t>15 </w:t>
      </w:r>
      <w:r w:rsidRPr="0015541C">
        <w:rPr>
          <w:bCs/>
          <w:szCs w:val="22"/>
          <w:lang w:val="pl-PL"/>
        </w:rPr>
        <w:t xml:space="preserve"> mg/kg mc. </w:t>
      </w:r>
      <w:r w:rsidR="0048590C" w:rsidRPr="007E2685">
        <w:rPr>
          <w:szCs w:val="22"/>
          <w:lang w:val="pl-PL"/>
        </w:rPr>
        <w:t>we wlewie dożylnym</w:t>
      </w:r>
      <w:r w:rsidR="0048590C" w:rsidRPr="007E2685">
        <w:rPr>
          <w:bCs/>
          <w:szCs w:val="22"/>
          <w:lang w:val="pl-PL"/>
        </w:rPr>
        <w:t xml:space="preserve"> </w:t>
      </w:r>
      <w:r w:rsidRPr="0015541C">
        <w:rPr>
          <w:bCs/>
          <w:szCs w:val="22"/>
          <w:lang w:val="pl-PL"/>
        </w:rPr>
        <w:t xml:space="preserve">co 3 tygodnie]) lub erlotynib w monoterapii (doustnie </w:t>
      </w:r>
      <w:r w:rsidR="006D023F" w:rsidRPr="0015541C">
        <w:rPr>
          <w:bCs/>
          <w:szCs w:val="22"/>
          <w:lang w:val="pl-PL"/>
        </w:rPr>
        <w:t> 150 </w:t>
      </w:r>
      <w:r w:rsidRPr="0015541C">
        <w:rPr>
          <w:bCs/>
          <w:szCs w:val="22"/>
          <w:lang w:val="pl-PL"/>
        </w:rPr>
        <w:t xml:space="preserve"> mg/dobę) do czasu progresji choroby</w:t>
      </w:r>
      <w:r w:rsidR="0015282A" w:rsidRPr="0015541C">
        <w:rPr>
          <w:bCs/>
          <w:szCs w:val="22"/>
          <w:lang w:val="pl-PL"/>
        </w:rPr>
        <w:t xml:space="preserve"> (PD)</w:t>
      </w:r>
      <w:r w:rsidRPr="0015541C">
        <w:rPr>
          <w:bCs/>
          <w:szCs w:val="22"/>
          <w:lang w:val="pl-PL"/>
        </w:rPr>
        <w:t xml:space="preserve"> lub wystąpienia nieakceptowalnej toksyczności. </w:t>
      </w:r>
      <w:r w:rsidR="003F2F21" w:rsidRPr="0015541C">
        <w:rPr>
          <w:bCs/>
          <w:szCs w:val="22"/>
          <w:lang w:val="pl-PL"/>
        </w:rPr>
        <w:t>Zgodnie z protokołem badania, w</w:t>
      </w:r>
      <w:r w:rsidRPr="0015541C">
        <w:rPr>
          <w:bCs/>
          <w:szCs w:val="22"/>
          <w:lang w:val="pl-PL"/>
        </w:rPr>
        <w:t xml:space="preserve"> przypadku braku </w:t>
      </w:r>
      <w:r w:rsidR="0015282A" w:rsidRPr="0015541C">
        <w:rPr>
          <w:bCs/>
          <w:szCs w:val="22"/>
          <w:lang w:val="pl-PL"/>
        </w:rPr>
        <w:t>PD</w:t>
      </w:r>
      <w:r w:rsidRPr="0015541C">
        <w:rPr>
          <w:bCs/>
          <w:szCs w:val="22"/>
          <w:lang w:val="pl-PL"/>
        </w:rPr>
        <w:t>, przerwanie przyjmowania jednego bada</w:t>
      </w:r>
      <w:r w:rsidR="003F2F21" w:rsidRPr="0015541C">
        <w:rPr>
          <w:bCs/>
          <w:szCs w:val="22"/>
          <w:lang w:val="pl-PL"/>
        </w:rPr>
        <w:t xml:space="preserve">nego leku w grupie przyjmującej </w:t>
      </w:r>
      <w:r w:rsidRPr="0015541C">
        <w:rPr>
          <w:bCs/>
          <w:szCs w:val="22"/>
          <w:lang w:val="pl-PL"/>
        </w:rPr>
        <w:t xml:space="preserve">erlotynib + </w:t>
      </w:r>
      <w:r w:rsidR="00C23D39" w:rsidRPr="0015541C">
        <w:rPr>
          <w:bCs/>
          <w:szCs w:val="22"/>
          <w:lang w:val="pl-PL"/>
        </w:rPr>
        <w:t>bewacyzumab</w:t>
      </w:r>
      <w:r w:rsidRPr="0015541C">
        <w:rPr>
          <w:bCs/>
          <w:szCs w:val="22"/>
          <w:lang w:val="pl-PL"/>
        </w:rPr>
        <w:t xml:space="preserve"> nie prowad</w:t>
      </w:r>
      <w:r w:rsidR="00477959" w:rsidRPr="0015541C">
        <w:rPr>
          <w:bCs/>
          <w:szCs w:val="22"/>
          <w:lang w:val="pl-PL"/>
        </w:rPr>
        <w:t xml:space="preserve">ziło do przerwania przyjmowania </w:t>
      </w:r>
      <w:r w:rsidRPr="0015541C">
        <w:rPr>
          <w:bCs/>
          <w:szCs w:val="22"/>
          <w:lang w:val="pl-PL"/>
        </w:rPr>
        <w:t>drugiego badanego leku.</w:t>
      </w:r>
    </w:p>
    <w:p w14:paraId="49B64C37" w14:textId="77777777" w:rsidR="0015282A" w:rsidRPr="0015541C" w:rsidRDefault="0015282A" w:rsidP="00A73107">
      <w:pPr>
        <w:rPr>
          <w:bCs/>
          <w:szCs w:val="22"/>
          <w:lang w:val="pl-PL"/>
        </w:rPr>
      </w:pPr>
    </w:p>
    <w:p w14:paraId="7196A3C8" w14:textId="77777777" w:rsidR="00A73107" w:rsidRPr="0015541C" w:rsidRDefault="00A73107" w:rsidP="00A73107">
      <w:pPr>
        <w:rPr>
          <w:bCs/>
          <w:szCs w:val="22"/>
          <w:lang w:val="pl-PL"/>
        </w:rPr>
      </w:pPr>
      <w:r w:rsidRPr="0015541C">
        <w:rPr>
          <w:bCs/>
          <w:szCs w:val="22"/>
          <w:lang w:val="pl-PL"/>
        </w:rPr>
        <w:t>Wyniki badania dotyczące skuteczności przedstawiono w Tabeli 14.</w:t>
      </w:r>
    </w:p>
    <w:p w14:paraId="3B162CA3" w14:textId="77777777" w:rsidR="00A73107" w:rsidRPr="0015541C" w:rsidRDefault="00A73107" w:rsidP="00994050">
      <w:pPr>
        <w:rPr>
          <w:bCs/>
          <w:szCs w:val="22"/>
          <w:lang w:val="pl-PL"/>
        </w:rPr>
      </w:pPr>
    </w:p>
    <w:p w14:paraId="5CBB4227" w14:textId="77777777" w:rsidR="00A73107" w:rsidRPr="0070444C" w:rsidRDefault="00A73107" w:rsidP="003C6FA3">
      <w:pPr>
        <w:keepNext/>
        <w:keepLines/>
        <w:widowControl w:val="0"/>
        <w:ind w:left="540" w:hanging="540"/>
        <w:rPr>
          <w:i/>
          <w:u w:val="single"/>
          <w:lang w:val="pl-PL"/>
        </w:rPr>
      </w:pPr>
      <w:r w:rsidRPr="0015541C">
        <w:rPr>
          <w:b/>
          <w:szCs w:val="22"/>
          <w:lang w:val="pl-PL"/>
        </w:rPr>
        <w:t>Tabela</w:t>
      </w:r>
      <w:r w:rsidRPr="0015541C">
        <w:rPr>
          <w:b/>
          <w:lang w:val="pl-PL"/>
        </w:rPr>
        <w:t> 14.</w:t>
      </w:r>
      <w:r w:rsidRPr="0015541C">
        <w:rPr>
          <w:b/>
          <w:lang w:val="pl-PL"/>
        </w:rPr>
        <w:tab/>
        <w:t>Wyniki badania JO25567 dotyczące skuteczności</w:t>
      </w:r>
    </w:p>
    <w:tbl>
      <w:tblPr>
        <w:tblW w:w="8865" w:type="dxa"/>
        <w:tblBorders>
          <w:top w:val="single" w:sz="6" w:space="0" w:color="000000"/>
          <w:bottom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5177"/>
        <w:gridCol w:w="1844"/>
        <w:gridCol w:w="1844"/>
      </w:tblGrid>
      <w:tr w:rsidR="00A73107" w:rsidRPr="0015541C" w14:paraId="19E4F2C3" w14:textId="77777777" w:rsidTr="003A1670">
        <w:tc>
          <w:tcPr>
            <w:tcW w:w="5177" w:type="dxa"/>
            <w:tcBorders>
              <w:top w:val="single" w:sz="6" w:space="0" w:color="000000"/>
              <w:left w:val="single" w:sz="4" w:space="0" w:color="auto"/>
              <w:bottom w:val="single" w:sz="6" w:space="0" w:color="000000"/>
              <w:right w:val="single" w:sz="6" w:space="0" w:color="000000"/>
            </w:tcBorders>
          </w:tcPr>
          <w:p w14:paraId="16E5C350" w14:textId="77777777" w:rsidR="00A73107" w:rsidRPr="0015541C" w:rsidRDefault="00A73107" w:rsidP="0031058D">
            <w:pPr>
              <w:pStyle w:val="TableCell10Center"/>
              <w:widowControl w:val="0"/>
              <w:jc w:val="left"/>
              <w:rPr>
                <w:rFonts w:ascii="Times New Roman" w:hAnsi="Times New Roman"/>
                <w:szCs w:val="20"/>
                <w:lang w:val="pl-PL" w:eastAsia="ja-JP"/>
              </w:rPr>
            </w:pPr>
          </w:p>
        </w:tc>
        <w:tc>
          <w:tcPr>
            <w:tcW w:w="1844" w:type="dxa"/>
            <w:tcBorders>
              <w:top w:val="single" w:sz="6" w:space="0" w:color="000000"/>
              <w:left w:val="single" w:sz="6" w:space="0" w:color="000000"/>
              <w:bottom w:val="single" w:sz="6" w:space="0" w:color="000000"/>
              <w:right w:val="single" w:sz="6" w:space="0" w:color="000000"/>
            </w:tcBorders>
          </w:tcPr>
          <w:p w14:paraId="0782922F" w14:textId="77777777" w:rsidR="00A73107" w:rsidRPr="0015541C" w:rsidRDefault="00A73107" w:rsidP="0031058D">
            <w:pPr>
              <w:pStyle w:val="TableCell10Center"/>
              <w:widowControl w:val="0"/>
              <w:rPr>
                <w:rFonts w:ascii="Times New Roman" w:hAnsi="Times New Roman"/>
                <w:b/>
                <w:szCs w:val="20"/>
                <w:lang w:val="pl-PL" w:eastAsia="ja-JP"/>
              </w:rPr>
            </w:pPr>
            <w:r w:rsidRPr="0015541C">
              <w:rPr>
                <w:rFonts w:ascii="Times New Roman" w:hAnsi="Times New Roman"/>
                <w:b/>
                <w:szCs w:val="20"/>
                <w:lang w:val="pl-PL" w:eastAsia="ja-JP"/>
              </w:rPr>
              <w:t>Erlotynib</w:t>
            </w:r>
          </w:p>
          <w:p w14:paraId="372EB871" w14:textId="77777777" w:rsidR="00A73107" w:rsidRPr="0015541C" w:rsidRDefault="00A73107" w:rsidP="0031058D">
            <w:pPr>
              <w:pStyle w:val="TableCell10Center"/>
              <w:widowControl w:val="0"/>
              <w:rPr>
                <w:rFonts w:ascii="Times New Roman" w:hAnsi="Times New Roman"/>
                <w:b/>
                <w:szCs w:val="20"/>
                <w:lang w:val="pl-PL" w:eastAsia="ja-JP"/>
              </w:rPr>
            </w:pPr>
            <w:r w:rsidRPr="0015541C">
              <w:rPr>
                <w:rFonts w:ascii="Times New Roman" w:hAnsi="Times New Roman"/>
                <w:b/>
                <w:szCs w:val="20"/>
                <w:lang w:val="pl-PL" w:eastAsia="ja-JP"/>
              </w:rPr>
              <w:t>n = 77</w:t>
            </w:r>
            <w:r w:rsidRPr="0015541C">
              <w:rPr>
                <w:rFonts w:ascii="Times New Roman" w:hAnsi="Times New Roman"/>
                <w:b/>
                <w:szCs w:val="20"/>
                <w:vertAlign w:val="superscript"/>
                <w:lang w:val="pl-PL" w:eastAsia="ja-JP"/>
              </w:rPr>
              <w:t>#</w:t>
            </w:r>
          </w:p>
        </w:tc>
        <w:tc>
          <w:tcPr>
            <w:tcW w:w="1844" w:type="dxa"/>
            <w:tcBorders>
              <w:top w:val="single" w:sz="6" w:space="0" w:color="000000"/>
              <w:left w:val="single" w:sz="6" w:space="0" w:color="000000"/>
              <w:bottom w:val="single" w:sz="6" w:space="0" w:color="000000"/>
              <w:right w:val="single" w:sz="4" w:space="0" w:color="auto"/>
            </w:tcBorders>
          </w:tcPr>
          <w:p w14:paraId="166696B4" w14:textId="77777777" w:rsidR="00A73107" w:rsidRPr="0015541C" w:rsidRDefault="00A73107" w:rsidP="0031058D">
            <w:pPr>
              <w:pStyle w:val="TableCell10Center"/>
              <w:widowControl w:val="0"/>
              <w:rPr>
                <w:rFonts w:ascii="Times New Roman" w:hAnsi="Times New Roman"/>
                <w:b/>
                <w:szCs w:val="20"/>
                <w:lang w:val="pl-PL" w:eastAsia="ja-JP"/>
              </w:rPr>
            </w:pPr>
            <w:r w:rsidRPr="0015541C">
              <w:rPr>
                <w:rFonts w:ascii="Times New Roman" w:hAnsi="Times New Roman"/>
                <w:b/>
                <w:szCs w:val="20"/>
                <w:lang w:val="pl-PL" w:eastAsia="ja-JP"/>
              </w:rPr>
              <w:t xml:space="preserve">Erlotynib + </w:t>
            </w:r>
            <w:r w:rsidR="005216A7" w:rsidRPr="0015541C">
              <w:rPr>
                <w:rFonts w:ascii="Times New Roman" w:hAnsi="Times New Roman"/>
                <w:b/>
                <w:szCs w:val="20"/>
                <w:lang w:val="pl-PL" w:eastAsia="ja-JP"/>
              </w:rPr>
              <w:t>bewacyzumab</w:t>
            </w:r>
          </w:p>
          <w:p w14:paraId="78B02E16" w14:textId="77777777" w:rsidR="00A73107" w:rsidRPr="0015541C" w:rsidRDefault="00A73107" w:rsidP="0031058D">
            <w:pPr>
              <w:pStyle w:val="TableCell10Center"/>
              <w:widowControl w:val="0"/>
              <w:rPr>
                <w:rFonts w:ascii="Times New Roman" w:hAnsi="Times New Roman"/>
                <w:b/>
                <w:szCs w:val="20"/>
                <w:lang w:val="pl-PL" w:eastAsia="ja-JP"/>
              </w:rPr>
            </w:pPr>
            <w:r w:rsidRPr="0015541C">
              <w:rPr>
                <w:rFonts w:ascii="Times New Roman" w:hAnsi="Times New Roman"/>
                <w:b/>
                <w:szCs w:val="20"/>
                <w:lang w:val="pl-PL" w:eastAsia="ja-JP"/>
              </w:rPr>
              <w:t>n = 75</w:t>
            </w:r>
            <w:r w:rsidRPr="0015541C">
              <w:rPr>
                <w:rFonts w:ascii="Times New Roman" w:hAnsi="Times New Roman"/>
                <w:b/>
                <w:szCs w:val="20"/>
                <w:vertAlign w:val="superscript"/>
                <w:lang w:val="pl-PL" w:eastAsia="ja-JP"/>
              </w:rPr>
              <w:t>#</w:t>
            </w:r>
          </w:p>
        </w:tc>
      </w:tr>
      <w:tr w:rsidR="00A73107" w:rsidRPr="0015541C" w14:paraId="54DE6380" w14:textId="77777777" w:rsidTr="003A1670">
        <w:tc>
          <w:tcPr>
            <w:tcW w:w="5177" w:type="dxa"/>
            <w:tcBorders>
              <w:top w:val="single" w:sz="6" w:space="0" w:color="000000"/>
              <w:left w:val="single" w:sz="4" w:space="0" w:color="auto"/>
              <w:bottom w:val="nil"/>
              <w:right w:val="single" w:sz="6" w:space="0" w:color="000000"/>
            </w:tcBorders>
          </w:tcPr>
          <w:p w14:paraId="7F41E48C" w14:textId="77777777" w:rsidR="00A73107" w:rsidRPr="0015541C" w:rsidRDefault="00A73107" w:rsidP="0031058D">
            <w:pPr>
              <w:pStyle w:val="TableCell10Center"/>
              <w:widowControl w:val="0"/>
              <w:jc w:val="left"/>
              <w:rPr>
                <w:rFonts w:ascii="Times New Roman" w:hAnsi="Times New Roman"/>
                <w:szCs w:val="20"/>
                <w:lang w:val="pl-PL" w:eastAsia="ja-JP"/>
              </w:rPr>
            </w:pPr>
            <w:r w:rsidRPr="0070444C">
              <w:rPr>
                <w:rFonts w:ascii="Times New Roman" w:hAnsi="Times New Roman"/>
                <w:lang w:val="pl-PL"/>
              </w:rPr>
              <w:t>Czas prze</w:t>
            </w:r>
            <w:r w:rsidR="00A10700" w:rsidRPr="0070444C">
              <w:rPr>
                <w:rFonts w:ascii="Times New Roman" w:hAnsi="Times New Roman"/>
                <w:lang w:val="pl-PL"/>
              </w:rPr>
              <w:t>życia wolny od progresji</w:t>
            </w:r>
            <w:r w:rsidRPr="0015541C">
              <w:rPr>
                <w:rFonts w:ascii="Times New Roman" w:hAnsi="Times New Roman"/>
                <w:szCs w:val="20"/>
                <w:lang w:val="pl-PL" w:eastAsia="ja-JP"/>
              </w:rPr>
              <w:t>^ (</w:t>
            </w:r>
            <w:r w:rsidR="00A10700" w:rsidRPr="0015541C">
              <w:rPr>
                <w:rFonts w:ascii="Times New Roman" w:hAnsi="Times New Roman"/>
                <w:szCs w:val="20"/>
                <w:lang w:val="pl-PL" w:eastAsia="ja-JP"/>
              </w:rPr>
              <w:t>miesiące</w:t>
            </w:r>
            <w:r w:rsidRPr="0015541C">
              <w:rPr>
                <w:rFonts w:ascii="Times New Roman" w:hAnsi="Times New Roman"/>
                <w:szCs w:val="20"/>
                <w:lang w:val="pl-PL" w:eastAsia="ja-JP"/>
              </w:rPr>
              <w:t>)</w:t>
            </w:r>
          </w:p>
          <w:p w14:paraId="1DE9DA87" w14:textId="77777777" w:rsidR="00A73107" w:rsidRPr="0015541C" w:rsidRDefault="00A73107" w:rsidP="0031058D">
            <w:pPr>
              <w:pStyle w:val="TableCell10Center"/>
              <w:widowControl w:val="0"/>
              <w:jc w:val="left"/>
              <w:rPr>
                <w:rFonts w:ascii="Times New Roman" w:hAnsi="Times New Roman"/>
                <w:szCs w:val="20"/>
                <w:lang w:val="pl-PL" w:eastAsia="ja-JP"/>
              </w:rPr>
            </w:pPr>
            <w:r w:rsidRPr="0015541C">
              <w:rPr>
                <w:rFonts w:ascii="Times New Roman" w:hAnsi="Times New Roman"/>
                <w:szCs w:val="20"/>
                <w:lang w:val="pl-PL" w:eastAsia="ja-JP"/>
              </w:rPr>
              <w:t>Mediana</w:t>
            </w:r>
          </w:p>
        </w:tc>
        <w:tc>
          <w:tcPr>
            <w:tcW w:w="1844" w:type="dxa"/>
            <w:tcBorders>
              <w:top w:val="single" w:sz="6" w:space="0" w:color="000000"/>
              <w:left w:val="single" w:sz="6" w:space="0" w:color="000000"/>
              <w:bottom w:val="nil"/>
              <w:right w:val="single" w:sz="6" w:space="0" w:color="000000"/>
            </w:tcBorders>
          </w:tcPr>
          <w:p w14:paraId="2F7136B3" w14:textId="77777777" w:rsidR="00A73107" w:rsidRPr="0015541C" w:rsidRDefault="00A73107" w:rsidP="0031058D">
            <w:pPr>
              <w:pStyle w:val="TableCell10Center"/>
              <w:widowControl w:val="0"/>
              <w:rPr>
                <w:rFonts w:ascii="Times New Roman" w:hAnsi="Times New Roman"/>
                <w:szCs w:val="20"/>
                <w:lang w:val="pl-PL" w:eastAsia="ja-JP"/>
              </w:rPr>
            </w:pPr>
          </w:p>
          <w:p w14:paraId="254C39B6" w14:textId="77777777" w:rsidR="00A73107" w:rsidRPr="0015541C" w:rsidRDefault="00A73107" w:rsidP="0031058D">
            <w:pPr>
              <w:pStyle w:val="TableCell10Center"/>
              <w:widowControl w:val="0"/>
              <w:rPr>
                <w:rFonts w:ascii="Times New Roman" w:hAnsi="Times New Roman"/>
                <w:szCs w:val="20"/>
                <w:lang w:val="pl-PL" w:eastAsia="ja-JP"/>
              </w:rPr>
            </w:pPr>
            <w:r w:rsidRPr="0015541C">
              <w:rPr>
                <w:rFonts w:ascii="Times New Roman" w:hAnsi="Times New Roman"/>
                <w:szCs w:val="20"/>
                <w:lang w:val="pl-PL" w:eastAsia="ja-JP"/>
              </w:rPr>
              <w:t>9,7</w:t>
            </w:r>
          </w:p>
        </w:tc>
        <w:tc>
          <w:tcPr>
            <w:tcW w:w="1844" w:type="dxa"/>
            <w:tcBorders>
              <w:top w:val="single" w:sz="6" w:space="0" w:color="000000"/>
              <w:left w:val="single" w:sz="6" w:space="0" w:color="000000"/>
              <w:bottom w:val="nil"/>
              <w:right w:val="single" w:sz="4" w:space="0" w:color="auto"/>
            </w:tcBorders>
          </w:tcPr>
          <w:p w14:paraId="784EB5EF" w14:textId="77777777" w:rsidR="00A73107" w:rsidRPr="0015541C" w:rsidRDefault="00A73107" w:rsidP="0031058D">
            <w:pPr>
              <w:pStyle w:val="TableCell10Center"/>
              <w:widowControl w:val="0"/>
              <w:rPr>
                <w:rFonts w:ascii="Times New Roman" w:hAnsi="Times New Roman"/>
                <w:szCs w:val="20"/>
                <w:lang w:val="pl-PL" w:eastAsia="ja-JP"/>
              </w:rPr>
            </w:pPr>
          </w:p>
          <w:p w14:paraId="7EA68237" w14:textId="77777777" w:rsidR="00A73107" w:rsidRPr="0015541C" w:rsidRDefault="00A73107" w:rsidP="0031058D">
            <w:pPr>
              <w:pStyle w:val="TableCell10Center"/>
              <w:widowControl w:val="0"/>
              <w:rPr>
                <w:rFonts w:ascii="Times New Roman" w:hAnsi="Times New Roman"/>
                <w:szCs w:val="20"/>
                <w:lang w:val="pl-PL" w:eastAsia="ja-JP"/>
              </w:rPr>
            </w:pPr>
            <w:r w:rsidRPr="0015541C">
              <w:rPr>
                <w:rFonts w:ascii="Times New Roman" w:hAnsi="Times New Roman"/>
                <w:szCs w:val="20"/>
                <w:lang w:val="pl-PL" w:eastAsia="ja-JP"/>
              </w:rPr>
              <w:t>16,0</w:t>
            </w:r>
          </w:p>
        </w:tc>
      </w:tr>
      <w:tr w:rsidR="00A73107" w:rsidRPr="0015541C" w14:paraId="437345A4" w14:textId="77777777" w:rsidTr="003A1670">
        <w:tc>
          <w:tcPr>
            <w:tcW w:w="5177" w:type="dxa"/>
            <w:tcBorders>
              <w:top w:val="nil"/>
              <w:left w:val="single" w:sz="4" w:space="0" w:color="auto"/>
              <w:bottom w:val="single" w:sz="6" w:space="0" w:color="000000"/>
              <w:right w:val="single" w:sz="6" w:space="0" w:color="000000"/>
            </w:tcBorders>
          </w:tcPr>
          <w:p w14:paraId="729C1883" w14:textId="77777777" w:rsidR="00A73107" w:rsidRPr="0015541C" w:rsidRDefault="00A73107" w:rsidP="0031058D">
            <w:pPr>
              <w:pStyle w:val="TableCell10Center"/>
              <w:widowControl w:val="0"/>
              <w:jc w:val="left"/>
              <w:rPr>
                <w:rFonts w:ascii="Times New Roman" w:hAnsi="Times New Roman"/>
                <w:szCs w:val="20"/>
                <w:lang w:val="pl-PL" w:eastAsia="ja-JP"/>
              </w:rPr>
            </w:pPr>
            <w:r w:rsidRPr="0015541C">
              <w:rPr>
                <w:rFonts w:ascii="Times New Roman" w:hAnsi="Times New Roman"/>
                <w:szCs w:val="20"/>
                <w:lang w:val="pl-PL" w:eastAsia="ja-JP"/>
              </w:rPr>
              <w:t>HR (95% CI)</w:t>
            </w:r>
          </w:p>
          <w:p w14:paraId="696552D2" w14:textId="77777777" w:rsidR="00A73107" w:rsidRPr="00AC3958" w:rsidRDefault="00A73107" w:rsidP="0031058D">
            <w:pPr>
              <w:pStyle w:val="TableCell10Center"/>
              <w:widowControl w:val="0"/>
              <w:jc w:val="left"/>
              <w:rPr>
                <w:rFonts w:ascii="Times New Roman" w:hAnsi="Times New Roman"/>
                <w:szCs w:val="20"/>
                <w:lang w:val="pl-PL" w:eastAsia="ja-JP"/>
              </w:rPr>
            </w:pPr>
            <w:r w:rsidRPr="0015541C">
              <w:rPr>
                <w:rFonts w:ascii="Times New Roman" w:hAnsi="Times New Roman"/>
                <w:szCs w:val="20"/>
                <w:lang w:val="pl-PL" w:eastAsia="ja-JP"/>
              </w:rPr>
              <w:t>Wartość p</w:t>
            </w:r>
          </w:p>
        </w:tc>
        <w:tc>
          <w:tcPr>
            <w:tcW w:w="3688" w:type="dxa"/>
            <w:gridSpan w:val="2"/>
            <w:tcBorders>
              <w:top w:val="nil"/>
              <w:left w:val="single" w:sz="6" w:space="0" w:color="000000"/>
              <w:bottom w:val="single" w:sz="6" w:space="0" w:color="000000"/>
              <w:right w:val="single" w:sz="4" w:space="0" w:color="auto"/>
            </w:tcBorders>
          </w:tcPr>
          <w:p w14:paraId="6F273E98" w14:textId="77777777" w:rsidR="00A73107" w:rsidRPr="0015541C" w:rsidRDefault="00A73107" w:rsidP="0031058D">
            <w:pPr>
              <w:pStyle w:val="TableCell10Center"/>
              <w:widowControl w:val="0"/>
              <w:rPr>
                <w:rFonts w:ascii="Times New Roman" w:hAnsi="Times New Roman"/>
                <w:szCs w:val="20"/>
                <w:lang w:val="pl-PL" w:eastAsia="ja-JP"/>
              </w:rPr>
            </w:pPr>
            <w:r w:rsidRPr="00260CEC">
              <w:rPr>
                <w:rFonts w:ascii="Times New Roman" w:hAnsi="Times New Roman"/>
                <w:szCs w:val="20"/>
                <w:lang w:val="pl-PL" w:eastAsia="ja-JP"/>
              </w:rPr>
              <w:t xml:space="preserve">0,54 (0,36; 0,79) </w:t>
            </w:r>
          </w:p>
          <w:p w14:paraId="4F99342B" w14:textId="77777777" w:rsidR="00A73107" w:rsidRPr="0015541C" w:rsidRDefault="00A73107" w:rsidP="0031058D">
            <w:pPr>
              <w:pStyle w:val="TableCell10Center"/>
              <w:widowControl w:val="0"/>
              <w:rPr>
                <w:rFonts w:ascii="Times New Roman" w:hAnsi="Times New Roman"/>
                <w:szCs w:val="20"/>
                <w:lang w:val="pl-PL" w:eastAsia="ja-JP"/>
              </w:rPr>
            </w:pPr>
            <w:r w:rsidRPr="0015541C">
              <w:rPr>
                <w:rFonts w:ascii="Times New Roman" w:hAnsi="Times New Roman"/>
                <w:szCs w:val="20"/>
                <w:lang w:val="pl-PL" w:eastAsia="ja-JP"/>
              </w:rPr>
              <w:t>0,0015</w:t>
            </w:r>
          </w:p>
        </w:tc>
      </w:tr>
      <w:tr w:rsidR="00A73107" w:rsidRPr="0015541C" w14:paraId="5B83B593" w14:textId="77777777" w:rsidTr="003A1670">
        <w:tc>
          <w:tcPr>
            <w:tcW w:w="5177" w:type="dxa"/>
            <w:vMerge w:val="restart"/>
            <w:tcBorders>
              <w:top w:val="single" w:sz="6" w:space="0" w:color="000000"/>
              <w:left w:val="single" w:sz="4" w:space="0" w:color="auto"/>
              <w:bottom w:val="single" w:sz="4" w:space="0" w:color="auto"/>
              <w:right w:val="single" w:sz="6" w:space="0" w:color="000000"/>
            </w:tcBorders>
          </w:tcPr>
          <w:p w14:paraId="38436D42" w14:textId="77777777" w:rsidR="00A73107" w:rsidRPr="0070444C" w:rsidRDefault="00A73107" w:rsidP="0031058D">
            <w:pPr>
              <w:pStyle w:val="TableCell10Center"/>
              <w:widowControl w:val="0"/>
              <w:jc w:val="left"/>
              <w:rPr>
                <w:rFonts w:ascii="Times New Roman" w:hAnsi="Times New Roman"/>
                <w:lang w:val="pl-PL"/>
              </w:rPr>
            </w:pPr>
            <w:r w:rsidRPr="0070444C">
              <w:rPr>
                <w:rFonts w:ascii="Times New Roman" w:hAnsi="Times New Roman"/>
                <w:lang w:val="pl-PL"/>
              </w:rPr>
              <w:t xml:space="preserve">Całkowity </w:t>
            </w:r>
            <w:r w:rsidR="006800B8" w:rsidRPr="0070444C">
              <w:rPr>
                <w:rFonts w:ascii="Times New Roman" w:hAnsi="Times New Roman"/>
                <w:lang w:val="pl-PL"/>
              </w:rPr>
              <w:t xml:space="preserve">wskaźnik </w:t>
            </w:r>
            <w:r w:rsidR="001258F9" w:rsidRPr="0070444C">
              <w:rPr>
                <w:rFonts w:ascii="Times New Roman" w:hAnsi="Times New Roman"/>
                <w:lang w:val="pl-PL"/>
              </w:rPr>
              <w:t>odpowiedzi</w:t>
            </w:r>
          </w:p>
          <w:p w14:paraId="0DC35E29" w14:textId="77777777" w:rsidR="00A73107" w:rsidRPr="0015541C" w:rsidRDefault="00A73107" w:rsidP="0031058D">
            <w:pPr>
              <w:pStyle w:val="TableCell10Center"/>
              <w:widowControl w:val="0"/>
              <w:jc w:val="left"/>
              <w:rPr>
                <w:rFonts w:ascii="Times New Roman" w:hAnsi="Times New Roman"/>
                <w:b/>
                <w:szCs w:val="20"/>
                <w:lang w:val="pl-PL" w:eastAsia="ja-JP"/>
              </w:rPr>
            </w:pPr>
            <w:r w:rsidRPr="0015541C">
              <w:rPr>
                <w:rFonts w:ascii="Times New Roman" w:hAnsi="Times New Roman"/>
                <w:szCs w:val="20"/>
                <w:lang w:val="pl-PL" w:eastAsia="ja-JP"/>
              </w:rPr>
              <w:t>Odsetek</w:t>
            </w:r>
            <w:r w:rsidR="000F44C8" w:rsidRPr="0015541C">
              <w:rPr>
                <w:rFonts w:ascii="Times New Roman" w:hAnsi="Times New Roman"/>
                <w:szCs w:val="20"/>
                <w:lang w:val="pl-PL" w:eastAsia="ja-JP"/>
              </w:rPr>
              <w:t xml:space="preserve"> (n)</w:t>
            </w:r>
          </w:p>
          <w:p w14:paraId="1B0014ED" w14:textId="77777777" w:rsidR="00A73107" w:rsidRPr="0015541C" w:rsidRDefault="00A73107" w:rsidP="0031058D">
            <w:pPr>
              <w:pStyle w:val="TableCell10Center"/>
              <w:widowControl w:val="0"/>
              <w:jc w:val="left"/>
              <w:rPr>
                <w:rFonts w:ascii="Times New Roman" w:hAnsi="Times New Roman"/>
                <w:strike/>
                <w:szCs w:val="20"/>
                <w:lang w:val="pl-PL" w:eastAsia="ja-JP"/>
              </w:rPr>
            </w:pPr>
            <w:r w:rsidRPr="0015541C">
              <w:rPr>
                <w:rFonts w:ascii="Times New Roman" w:hAnsi="Times New Roman"/>
                <w:szCs w:val="20"/>
                <w:lang w:val="pl-PL" w:eastAsia="ja-JP"/>
              </w:rPr>
              <w:t>Wartość p</w:t>
            </w:r>
          </w:p>
        </w:tc>
        <w:tc>
          <w:tcPr>
            <w:tcW w:w="1844" w:type="dxa"/>
            <w:tcBorders>
              <w:top w:val="single" w:sz="6" w:space="0" w:color="000000"/>
              <w:left w:val="single" w:sz="6" w:space="0" w:color="000000"/>
              <w:bottom w:val="nil"/>
              <w:right w:val="single" w:sz="6" w:space="0" w:color="000000"/>
            </w:tcBorders>
          </w:tcPr>
          <w:p w14:paraId="6D2F8D41" w14:textId="77777777" w:rsidR="00A73107" w:rsidRPr="0015541C" w:rsidRDefault="00A73107" w:rsidP="0031058D">
            <w:pPr>
              <w:pStyle w:val="TableCell10Center"/>
              <w:widowControl w:val="0"/>
              <w:rPr>
                <w:rFonts w:ascii="Times New Roman" w:hAnsi="Times New Roman"/>
                <w:szCs w:val="20"/>
                <w:lang w:val="pl-PL" w:eastAsia="ja-JP"/>
              </w:rPr>
            </w:pPr>
          </w:p>
          <w:p w14:paraId="544AE98D" w14:textId="77777777" w:rsidR="00A73107" w:rsidRPr="0015541C" w:rsidRDefault="00A73107" w:rsidP="0031058D">
            <w:pPr>
              <w:pStyle w:val="TableCell10Center"/>
              <w:widowControl w:val="0"/>
              <w:rPr>
                <w:rFonts w:ascii="Times New Roman" w:hAnsi="Times New Roman"/>
                <w:szCs w:val="20"/>
                <w:lang w:val="pl-PL" w:eastAsia="ja-JP"/>
              </w:rPr>
            </w:pPr>
            <w:r w:rsidRPr="0015541C">
              <w:rPr>
                <w:rFonts w:ascii="Times New Roman" w:hAnsi="Times New Roman"/>
                <w:szCs w:val="20"/>
                <w:lang w:val="pl-PL" w:eastAsia="ja-JP"/>
              </w:rPr>
              <w:t>63,6%</w:t>
            </w:r>
            <w:r w:rsidR="000F44C8" w:rsidRPr="0015541C">
              <w:rPr>
                <w:rFonts w:ascii="Times New Roman" w:hAnsi="Times New Roman"/>
                <w:szCs w:val="20"/>
                <w:lang w:val="pl-PL" w:eastAsia="ja-JP"/>
              </w:rPr>
              <w:t xml:space="preserve"> (49)</w:t>
            </w:r>
          </w:p>
        </w:tc>
        <w:tc>
          <w:tcPr>
            <w:tcW w:w="1844" w:type="dxa"/>
            <w:tcBorders>
              <w:top w:val="single" w:sz="6" w:space="0" w:color="000000"/>
              <w:left w:val="single" w:sz="6" w:space="0" w:color="000000"/>
              <w:bottom w:val="nil"/>
              <w:right w:val="single" w:sz="4" w:space="0" w:color="auto"/>
            </w:tcBorders>
          </w:tcPr>
          <w:p w14:paraId="58EEB8A3" w14:textId="77777777" w:rsidR="00A73107" w:rsidRPr="0015541C" w:rsidRDefault="00A73107" w:rsidP="0031058D">
            <w:pPr>
              <w:pStyle w:val="TableCell10Center"/>
              <w:widowControl w:val="0"/>
              <w:rPr>
                <w:rFonts w:ascii="Times New Roman" w:hAnsi="Times New Roman"/>
                <w:szCs w:val="20"/>
                <w:lang w:val="pl-PL" w:eastAsia="ja-JP"/>
              </w:rPr>
            </w:pPr>
          </w:p>
          <w:p w14:paraId="592E2D10" w14:textId="77777777" w:rsidR="00A73107" w:rsidRPr="0015541C" w:rsidRDefault="00A73107" w:rsidP="0031058D">
            <w:pPr>
              <w:pStyle w:val="TableCell10Center"/>
              <w:widowControl w:val="0"/>
              <w:rPr>
                <w:rFonts w:ascii="Times New Roman" w:hAnsi="Times New Roman"/>
                <w:szCs w:val="20"/>
                <w:lang w:val="pl-PL" w:eastAsia="ja-JP"/>
              </w:rPr>
            </w:pPr>
            <w:r w:rsidRPr="0015541C">
              <w:rPr>
                <w:rFonts w:ascii="Times New Roman" w:hAnsi="Times New Roman"/>
                <w:szCs w:val="20"/>
                <w:lang w:val="pl-PL" w:eastAsia="ja-JP"/>
              </w:rPr>
              <w:t>69,3%</w:t>
            </w:r>
            <w:r w:rsidR="000F44C8" w:rsidRPr="0015541C">
              <w:rPr>
                <w:rFonts w:ascii="Times New Roman" w:hAnsi="Times New Roman"/>
                <w:szCs w:val="20"/>
                <w:lang w:val="pl-PL" w:eastAsia="ja-JP"/>
              </w:rPr>
              <w:t xml:space="preserve"> (52)</w:t>
            </w:r>
          </w:p>
        </w:tc>
      </w:tr>
      <w:tr w:rsidR="00A73107" w:rsidRPr="0015541C" w14:paraId="0DB79D22" w14:textId="77777777" w:rsidTr="003A1670">
        <w:trPr>
          <w:trHeight w:val="227"/>
        </w:trPr>
        <w:tc>
          <w:tcPr>
            <w:tcW w:w="5177" w:type="dxa"/>
            <w:vMerge/>
            <w:tcBorders>
              <w:top w:val="single" w:sz="6" w:space="0" w:color="000000"/>
              <w:left w:val="single" w:sz="4" w:space="0" w:color="auto"/>
              <w:bottom w:val="single" w:sz="4" w:space="0" w:color="auto"/>
              <w:right w:val="single" w:sz="6" w:space="0" w:color="000000"/>
            </w:tcBorders>
            <w:vAlign w:val="center"/>
          </w:tcPr>
          <w:p w14:paraId="66D99E6B" w14:textId="77777777" w:rsidR="00A73107" w:rsidRPr="0015541C" w:rsidRDefault="00A73107" w:rsidP="0031058D">
            <w:pPr>
              <w:keepNext/>
              <w:keepLines/>
              <w:widowControl w:val="0"/>
              <w:rPr>
                <w:rFonts w:eastAsia="SimSun"/>
                <w:strike/>
                <w:sz w:val="20"/>
                <w:lang w:val="pl-PL"/>
              </w:rPr>
            </w:pPr>
          </w:p>
        </w:tc>
        <w:tc>
          <w:tcPr>
            <w:tcW w:w="3688" w:type="dxa"/>
            <w:gridSpan w:val="2"/>
            <w:tcBorders>
              <w:top w:val="nil"/>
              <w:left w:val="single" w:sz="6" w:space="0" w:color="000000"/>
              <w:bottom w:val="single" w:sz="4" w:space="0" w:color="auto"/>
              <w:right w:val="single" w:sz="4" w:space="0" w:color="auto"/>
            </w:tcBorders>
          </w:tcPr>
          <w:p w14:paraId="459F5CCA" w14:textId="77777777" w:rsidR="00A73107" w:rsidRPr="0015541C" w:rsidRDefault="00A73107" w:rsidP="0031058D">
            <w:pPr>
              <w:pStyle w:val="TableCell10Center"/>
              <w:widowControl w:val="0"/>
              <w:rPr>
                <w:rFonts w:ascii="Times New Roman" w:hAnsi="Times New Roman"/>
                <w:szCs w:val="20"/>
                <w:lang w:val="pl-PL" w:eastAsia="ja-JP"/>
              </w:rPr>
            </w:pPr>
            <w:r w:rsidRPr="0015541C">
              <w:rPr>
                <w:rFonts w:ascii="Times New Roman" w:hAnsi="Times New Roman"/>
                <w:szCs w:val="20"/>
                <w:lang w:val="pl-PL" w:eastAsia="ja-JP"/>
              </w:rPr>
              <w:t>0,4951</w:t>
            </w:r>
          </w:p>
        </w:tc>
      </w:tr>
      <w:tr w:rsidR="00A73107" w:rsidRPr="0015541C" w14:paraId="4BA4747C" w14:textId="77777777" w:rsidTr="003A1670">
        <w:tc>
          <w:tcPr>
            <w:tcW w:w="5177" w:type="dxa"/>
            <w:tcBorders>
              <w:top w:val="single" w:sz="4" w:space="0" w:color="auto"/>
              <w:left w:val="single" w:sz="4" w:space="0" w:color="auto"/>
              <w:bottom w:val="nil"/>
              <w:right w:val="single" w:sz="6" w:space="0" w:color="000000"/>
            </w:tcBorders>
          </w:tcPr>
          <w:p w14:paraId="5813DC78" w14:textId="6D8A8C40" w:rsidR="00A73107" w:rsidRPr="0015541C" w:rsidRDefault="00D37AC2" w:rsidP="0031058D">
            <w:pPr>
              <w:pStyle w:val="TableCell10Center"/>
              <w:widowControl w:val="0"/>
              <w:jc w:val="left"/>
              <w:rPr>
                <w:rFonts w:ascii="Times New Roman" w:hAnsi="Times New Roman"/>
                <w:b/>
                <w:szCs w:val="20"/>
                <w:lang w:val="pl-PL" w:eastAsia="ja-JP"/>
              </w:rPr>
            </w:pPr>
            <w:r w:rsidRPr="0070444C">
              <w:rPr>
                <w:rFonts w:ascii="Times New Roman" w:hAnsi="Times New Roman"/>
                <w:lang w:val="pl-PL"/>
              </w:rPr>
              <w:t>Całkowity czas przeżycia</w:t>
            </w:r>
            <w:r w:rsidR="00A73107" w:rsidRPr="0070444C">
              <w:rPr>
                <w:rFonts w:ascii="Times New Roman" w:hAnsi="Times New Roman"/>
                <w:lang w:val="pl-PL"/>
              </w:rPr>
              <w:t>*</w:t>
            </w:r>
            <w:r w:rsidR="00A73107" w:rsidRPr="0015541C">
              <w:rPr>
                <w:rFonts w:ascii="Times New Roman" w:hAnsi="Times New Roman"/>
                <w:b/>
                <w:szCs w:val="20"/>
                <w:lang w:val="pl-PL" w:eastAsia="ja-JP"/>
              </w:rPr>
              <w:t xml:space="preserve"> </w:t>
            </w:r>
            <w:r w:rsidR="00A73107" w:rsidRPr="0015541C">
              <w:rPr>
                <w:rFonts w:ascii="Times New Roman" w:hAnsi="Times New Roman"/>
                <w:szCs w:val="20"/>
                <w:lang w:val="pl-PL" w:eastAsia="ja-JP"/>
              </w:rPr>
              <w:t>(</w:t>
            </w:r>
            <w:r w:rsidR="00A10700" w:rsidRPr="0015541C">
              <w:rPr>
                <w:rFonts w:ascii="Times New Roman" w:hAnsi="Times New Roman"/>
                <w:szCs w:val="20"/>
                <w:lang w:val="pl-PL" w:eastAsia="ja-JP"/>
              </w:rPr>
              <w:t>miesiące</w:t>
            </w:r>
            <w:r w:rsidR="00A73107" w:rsidRPr="0015541C">
              <w:rPr>
                <w:rFonts w:ascii="Times New Roman" w:hAnsi="Times New Roman"/>
                <w:szCs w:val="20"/>
                <w:lang w:val="pl-PL" w:eastAsia="ja-JP"/>
              </w:rPr>
              <w:t>)</w:t>
            </w:r>
          </w:p>
          <w:p w14:paraId="0CFDCD80" w14:textId="77777777" w:rsidR="00A73107" w:rsidRPr="0015541C" w:rsidRDefault="00A73107" w:rsidP="0031058D">
            <w:pPr>
              <w:pStyle w:val="TableCell10Center"/>
              <w:widowControl w:val="0"/>
              <w:jc w:val="left"/>
              <w:rPr>
                <w:rFonts w:ascii="Times New Roman" w:hAnsi="Times New Roman"/>
                <w:b/>
                <w:szCs w:val="20"/>
                <w:lang w:val="pl-PL" w:eastAsia="ja-JP"/>
              </w:rPr>
            </w:pPr>
            <w:r w:rsidRPr="0015541C">
              <w:rPr>
                <w:rFonts w:ascii="Times New Roman" w:hAnsi="Times New Roman"/>
                <w:szCs w:val="20"/>
                <w:lang w:val="pl-PL" w:eastAsia="ja-JP"/>
              </w:rPr>
              <w:t>Mediana</w:t>
            </w:r>
          </w:p>
        </w:tc>
        <w:tc>
          <w:tcPr>
            <w:tcW w:w="1844" w:type="dxa"/>
            <w:tcBorders>
              <w:top w:val="single" w:sz="4" w:space="0" w:color="auto"/>
              <w:left w:val="single" w:sz="6" w:space="0" w:color="000000"/>
              <w:bottom w:val="nil"/>
              <w:right w:val="single" w:sz="6" w:space="0" w:color="000000"/>
            </w:tcBorders>
          </w:tcPr>
          <w:p w14:paraId="7FC15C2C" w14:textId="77777777" w:rsidR="00A73107" w:rsidRPr="0015541C" w:rsidRDefault="00A73107" w:rsidP="0031058D">
            <w:pPr>
              <w:pStyle w:val="TableCell10Center"/>
              <w:widowControl w:val="0"/>
              <w:rPr>
                <w:rFonts w:ascii="Times New Roman" w:hAnsi="Times New Roman"/>
                <w:szCs w:val="20"/>
                <w:lang w:val="pl-PL" w:eastAsia="ja-JP"/>
              </w:rPr>
            </w:pPr>
          </w:p>
          <w:p w14:paraId="37F9F86C" w14:textId="77777777" w:rsidR="00A73107" w:rsidRPr="0015541C" w:rsidRDefault="003A1670" w:rsidP="0031058D">
            <w:pPr>
              <w:pStyle w:val="TableCell10Center"/>
              <w:widowControl w:val="0"/>
              <w:rPr>
                <w:rFonts w:ascii="Times New Roman" w:hAnsi="Times New Roman"/>
                <w:szCs w:val="20"/>
                <w:lang w:val="pl-PL" w:eastAsia="ja-JP"/>
              </w:rPr>
            </w:pPr>
            <w:r w:rsidRPr="0015541C">
              <w:rPr>
                <w:rFonts w:ascii="Times New Roman" w:hAnsi="Times New Roman"/>
                <w:szCs w:val="20"/>
                <w:lang w:val="pl-PL" w:eastAsia="ja-JP"/>
              </w:rPr>
              <w:t>4</w:t>
            </w:r>
            <w:r w:rsidR="004E56F9" w:rsidRPr="0015541C">
              <w:rPr>
                <w:rFonts w:ascii="Times New Roman" w:hAnsi="Times New Roman"/>
                <w:szCs w:val="20"/>
                <w:lang w:val="pl-PL" w:eastAsia="ja-JP"/>
              </w:rPr>
              <w:t>7,4</w:t>
            </w:r>
          </w:p>
        </w:tc>
        <w:tc>
          <w:tcPr>
            <w:tcW w:w="1844" w:type="dxa"/>
            <w:tcBorders>
              <w:top w:val="single" w:sz="4" w:space="0" w:color="auto"/>
              <w:left w:val="single" w:sz="6" w:space="0" w:color="000000"/>
              <w:bottom w:val="nil"/>
              <w:right w:val="single" w:sz="4" w:space="0" w:color="auto"/>
            </w:tcBorders>
          </w:tcPr>
          <w:p w14:paraId="0BBC2B91" w14:textId="77777777" w:rsidR="00A73107" w:rsidRPr="0015541C" w:rsidRDefault="00A73107" w:rsidP="0031058D">
            <w:pPr>
              <w:pStyle w:val="TableCell10Center"/>
              <w:widowControl w:val="0"/>
              <w:rPr>
                <w:rFonts w:ascii="Times New Roman" w:hAnsi="Times New Roman"/>
                <w:szCs w:val="20"/>
                <w:lang w:val="pl-PL" w:eastAsia="ja-JP"/>
              </w:rPr>
            </w:pPr>
          </w:p>
          <w:p w14:paraId="4CE01578" w14:textId="77777777" w:rsidR="00A73107" w:rsidRPr="0015541C" w:rsidRDefault="003A1670" w:rsidP="0031058D">
            <w:pPr>
              <w:pStyle w:val="TableCell10Center"/>
              <w:widowControl w:val="0"/>
              <w:rPr>
                <w:rFonts w:ascii="Times New Roman" w:hAnsi="Times New Roman"/>
                <w:szCs w:val="20"/>
                <w:lang w:val="pl-PL" w:eastAsia="ja-JP"/>
              </w:rPr>
            </w:pPr>
            <w:r w:rsidRPr="0015541C">
              <w:rPr>
                <w:rFonts w:ascii="Times New Roman" w:hAnsi="Times New Roman"/>
                <w:szCs w:val="20"/>
                <w:lang w:val="pl-PL" w:eastAsia="ja-JP"/>
              </w:rPr>
              <w:t>4</w:t>
            </w:r>
            <w:r w:rsidR="004E56F9" w:rsidRPr="0015541C">
              <w:rPr>
                <w:rFonts w:ascii="Times New Roman" w:hAnsi="Times New Roman"/>
                <w:szCs w:val="20"/>
                <w:lang w:val="pl-PL" w:eastAsia="ja-JP"/>
              </w:rPr>
              <w:t>7,0</w:t>
            </w:r>
          </w:p>
        </w:tc>
      </w:tr>
      <w:tr w:rsidR="00A73107" w:rsidRPr="0015541C" w14:paraId="6DEF9BF5" w14:textId="77777777" w:rsidTr="003A1670">
        <w:tc>
          <w:tcPr>
            <w:tcW w:w="5177" w:type="dxa"/>
            <w:tcBorders>
              <w:top w:val="nil"/>
              <w:left w:val="single" w:sz="4" w:space="0" w:color="auto"/>
              <w:bottom w:val="single" w:sz="4" w:space="0" w:color="auto"/>
              <w:right w:val="single" w:sz="6" w:space="0" w:color="000000"/>
            </w:tcBorders>
          </w:tcPr>
          <w:p w14:paraId="7F15955B" w14:textId="77777777" w:rsidR="00A73107" w:rsidRPr="0015541C" w:rsidRDefault="00A73107" w:rsidP="0031058D">
            <w:pPr>
              <w:pStyle w:val="TableCell10Center"/>
              <w:widowControl w:val="0"/>
              <w:jc w:val="left"/>
              <w:rPr>
                <w:rFonts w:ascii="Times New Roman" w:hAnsi="Times New Roman"/>
                <w:szCs w:val="20"/>
                <w:lang w:val="pl-PL" w:eastAsia="ja-JP"/>
              </w:rPr>
            </w:pPr>
            <w:r w:rsidRPr="0015541C">
              <w:rPr>
                <w:rFonts w:ascii="Times New Roman" w:hAnsi="Times New Roman"/>
                <w:szCs w:val="20"/>
                <w:lang w:val="pl-PL" w:eastAsia="ja-JP"/>
              </w:rPr>
              <w:t>HR (95% CI)</w:t>
            </w:r>
          </w:p>
          <w:p w14:paraId="7A0FBBDE" w14:textId="77777777" w:rsidR="00A73107" w:rsidRPr="00AC3958" w:rsidRDefault="00A73107" w:rsidP="0031058D">
            <w:pPr>
              <w:pStyle w:val="TableCell10Center"/>
              <w:widowControl w:val="0"/>
              <w:jc w:val="left"/>
              <w:rPr>
                <w:rFonts w:ascii="Times New Roman" w:hAnsi="Times New Roman"/>
                <w:szCs w:val="20"/>
                <w:lang w:val="pl-PL" w:eastAsia="ja-JP"/>
              </w:rPr>
            </w:pPr>
            <w:r w:rsidRPr="0015541C">
              <w:rPr>
                <w:rFonts w:ascii="Times New Roman" w:hAnsi="Times New Roman"/>
                <w:szCs w:val="20"/>
                <w:lang w:val="pl-PL" w:eastAsia="ja-JP"/>
              </w:rPr>
              <w:t>Wartość p</w:t>
            </w:r>
          </w:p>
        </w:tc>
        <w:tc>
          <w:tcPr>
            <w:tcW w:w="3688" w:type="dxa"/>
            <w:gridSpan w:val="2"/>
            <w:tcBorders>
              <w:top w:val="nil"/>
              <w:left w:val="single" w:sz="6" w:space="0" w:color="000000"/>
              <w:bottom w:val="single" w:sz="4" w:space="0" w:color="auto"/>
              <w:right w:val="single" w:sz="4" w:space="0" w:color="auto"/>
            </w:tcBorders>
          </w:tcPr>
          <w:p w14:paraId="48A71E92" w14:textId="77777777" w:rsidR="004E56F9" w:rsidRPr="0015541C" w:rsidRDefault="004E56F9" w:rsidP="004E56F9">
            <w:pPr>
              <w:pStyle w:val="TableCell10Center"/>
              <w:widowControl w:val="0"/>
              <w:rPr>
                <w:rFonts w:ascii="Times New Roman" w:hAnsi="Times New Roman"/>
                <w:szCs w:val="20"/>
                <w:lang w:val="pl-PL" w:eastAsia="ja-JP"/>
              </w:rPr>
            </w:pPr>
            <w:r w:rsidRPr="00260CEC">
              <w:rPr>
                <w:rFonts w:ascii="Times New Roman" w:hAnsi="Times New Roman"/>
                <w:szCs w:val="20"/>
                <w:lang w:val="pl-PL" w:eastAsia="ja-JP"/>
              </w:rPr>
              <w:t>0,81 (0,53; 1,23)</w:t>
            </w:r>
          </w:p>
          <w:p w14:paraId="4E4CA8AC" w14:textId="77777777" w:rsidR="00A73107" w:rsidRPr="0015541C" w:rsidRDefault="004E56F9" w:rsidP="0031058D">
            <w:pPr>
              <w:pStyle w:val="TableCell10Center"/>
              <w:widowControl w:val="0"/>
              <w:rPr>
                <w:rFonts w:ascii="Times New Roman" w:hAnsi="Times New Roman"/>
                <w:szCs w:val="20"/>
                <w:lang w:val="pl-PL" w:eastAsia="ja-JP"/>
              </w:rPr>
            </w:pPr>
            <w:r w:rsidRPr="0015541C">
              <w:rPr>
                <w:rFonts w:ascii="Times New Roman" w:hAnsi="Times New Roman"/>
                <w:szCs w:val="20"/>
                <w:lang w:val="pl-PL" w:eastAsia="ja-JP"/>
              </w:rPr>
              <w:t>0,3267</w:t>
            </w:r>
          </w:p>
        </w:tc>
      </w:tr>
    </w:tbl>
    <w:p w14:paraId="1C3EFF2A" w14:textId="77777777" w:rsidR="00A73107" w:rsidRPr="0015541C" w:rsidRDefault="00A73107" w:rsidP="0031058D">
      <w:pPr>
        <w:keepNext/>
        <w:keepLines/>
        <w:widowControl w:val="0"/>
        <w:rPr>
          <w:bCs/>
          <w:sz w:val="20"/>
          <w:lang w:val="pl-PL"/>
        </w:rPr>
      </w:pPr>
      <w:r w:rsidRPr="0015541C">
        <w:rPr>
          <w:bCs/>
          <w:sz w:val="20"/>
          <w:lang w:val="pl-PL"/>
        </w:rPr>
        <w:t>#</w:t>
      </w:r>
      <w:r w:rsidR="001258F9" w:rsidRPr="0015541C">
        <w:rPr>
          <w:bCs/>
          <w:sz w:val="20"/>
          <w:lang w:val="pl-PL"/>
        </w:rPr>
        <w:t xml:space="preserve"> </w:t>
      </w:r>
      <w:r w:rsidRPr="0015541C">
        <w:rPr>
          <w:bCs/>
          <w:sz w:val="20"/>
          <w:lang w:val="pl-PL"/>
        </w:rPr>
        <w:t xml:space="preserve">Ogółem </w:t>
      </w:r>
      <w:r w:rsidR="00FD69BC" w:rsidRPr="00AC3958">
        <w:rPr>
          <w:bCs/>
          <w:sz w:val="20"/>
          <w:lang w:val="pl-PL"/>
        </w:rPr>
        <w:t>z</w:t>
      </w:r>
      <w:r w:rsidRPr="00260CEC">
        <w:rPr>
          <w:bCs/>
          <w:sz w:val="20"/>
          <w:lang w:val="pl-PL"/>
        </w:rPr>
        <w:t>randomizowano 154 pacjentów</w:t>
      </w:r>
      <w:r w:rsidR="000F44C8" w:rsidRPr="0015541C">
        <w:rPr>
          <w:bCs/>
          <w:sz w:val="20"/>
          <w:lang w:val="pl-PL"/>
        </w:rPr>
        <w:t xml:space="preserve"> (stan sprawności 0 lub 1 wg skali ECOG)</w:t>
      </w:r>
      <w:r w:rsidRPr="0015541C">
        <w:rPr>
          <w:bCs/>
          <w:sz w:val="20"/>
          <w:lang w:val="pl-PL"/>
        </w:rPr>
        <w:t xml:space="preserve">. Jednakże dwóch spośród </w:t>
      </w:r>
      <w:r w:rsidR="00FD69BC" w:rsidRPr="0015541C">
        <w:rPr>
          <w:bCs/>
          <w:sz w:val="20"/>
          <w:lang w:val="pl-PL"/>
        </w:rPr>
        <w:t>z</w:t>
      </w:r>
      <w:r w:rsidRPr="0015541C">
        <w:rPr>
          <w:bCs/>
          <w:sz w:val="20"/>
          <w:lang w:val="pl-PL"/>
        </w:rPr>
        <w:t>randomizowanych pacjentów przerwało udział w badaniu przed rozpoczęciem przyjmowania jakiegokolwiek badanego leku.</w:t>
      </w:r>
    </w:p>
    <w:p w14:paraId="37CFBD28" w14:textId="77777777" w:rsidR="00A73107" w:rsidRPr="0015541C" w:rsidRDefault="00A73107" w:rsidP="0031058D">
      <w:pPr>
        <w:keepNext/>
        <w:keepLines/>
        <w:widowControl w:val="0"/>
        <w:rPr>
          <w:bCs/>
          <w:sz w:val="20"/>
          <w:lang w:val="pl-PL"/>
        </w:rPr>
      </w:pPr>
      <w:r w:rsidRPr="0015541C">
        <w:rPr>
          <w:bCs/>
          <w:sz w:val="20"/>
          <w:lang w:val="pl-PL"/>
        </w:rPr>
        <w:t xml:space="preserve">^ Zaślepiona niezależna ocena (analiza pierwszorzędowa </w:t>
      </w:r>
      <w:r w:rsidR="00234BEC" w:rsidRPr="0015541C">
        <w:rPr>
          <w:bCs/>
          <w:sz w:val="20"/>
          <w:lang w:val="pl-PL"/>
        </w:rPr>
        <w:t xml:space="preserve">zaplanowana </w:t>
      </w:r>
      <w:r w:rsidRPr="0015541C">
        <w:rPr>
          <w:bCs/>
          <w:sz w:val="20"/>
          <w:lang w:val="pl-PL"/>
        </w:rPr>
        <w:t>w protokole)</w:t>
      </w:r>
      <w:r w:rsidR="001258F9" w:rsidRPr="0015541C">
        <w:rPr>
          <w:bCs/>
          <w:sz w:val="20"/>
          <w:lang w:val="pl-PL"/>
        </w:rPr>
        <w:t>.</w:t>
      </w:r>
    </w:p>
    <w:p w14:paraId="37988BA3" w14:textId="44CDAA91" w:rsidR="00A73107" w:rsidRPr="0015541C" w:rsidRDefault="00A73107" w:rsidP="0031058D">
      <w:pPr>
        <w:keepNext/>
        <w:keepLines/>
        <w:widowControl w:val="0"/>
        <w:rPr>
          <w:bCs/>
          <w:sz w:val="20"/>
          <w:lang w:val="pl-PL"/>
        </w:rPr>
      </w:pPr>
      <w:r w:rsidRPr="0015541C">
        <w:rPr>
          <w:bCs/>
          <w:sz w:val="20"/>
          <w:lang w:val="pl-PL"/>
        </w:rPr>
        <w:t xml:space="preserve">* Analiza </w:t>
      </w:r>
      <w:r w:rsidR="00234BEC" w:rsidRPr="0015541C">
        <w:rPr>
          <w:bCs/>
          <w:sz w:val="20"/>
          <w:lang w:val="pl-PL"/>
        </w:rPr>
        <w:t>eksploracyjna</w:t>
      </w:r>
      <w:r w:rsidRPr="0015541C">
        <w:rPr>
          <w:bCs/>
          <w:sz w:val="20"/>
          <w:lang w:val="pl-PL"/>
        </w:rPr>
        <w:t xml:space="preserve">: </w:t>
      </w:r>
      <w:r w:rsidR="004E56F9" w:rsidRPr="0015541C">
        <w:rPr>
          <w:bCs/>
          <w:sz w:val="20"/>
          <w:lang w:val="pl-PL"/>
        </w:rPr>
        <w:t xml:space="preserve">ostateczne wyniki </w:t>
      </w:r>
      <w:r w:rsidRPr="0015541C">
        <w:rPr>
          <w:bCs/>
          <w:sz w:val="20"/>
          <w:lang w:val="pl-PL"/>
        </w:rPr>
        <w:t>analiz</w:t>
      </w:r>
      <w:r w:rsidR="004E56F9" w:rsidRPr="0015541C">
        <w:rPr>
          <w:bCs/>
          <w:sz w:val="20"/>
          <w:lang w:val="pl-PL"/>
        </w:rPr>
        <w:t>y</w:t>
      </w:r>
      <w:r w:rsidRPr="0015541C">
        <w:rPr>
          <w:bCs/>
          <w:sz w:val="20"/>
          <w:lang w:val="pl-PL"/>
        </w:rPr>
        <w:t xml:space="preserve"> </w:t>
      </w:r>
      <w:r w:rsidR="006D023F" w:rsidRPr="0015541C">
        <w:rPr>
          <w:bCs/>
          <w:sz w:val="20"/>
          <w:lang w:val="pl-PL"/>
        </w:rPr>
        <w:t>OS</w:t>
      </w:r>
      <w:r w:rsidR="00FD69BC" w:rsidRPr="0015541C">
        <w:rPr>
          <w:bCs/>
          <w:sz w:val="20"/>
          <w:lang w:val="pl-PL"/>
        </w:rPr>
        <w:t xml:space="preserve"> </w:t>
      </w:r>
      <w:r w:rsidRPr="0015541C">
        <w:rPr>
          <w:bCs/>
          <w:sz w:val="20"/>
          <w:lang w:val="pl-PL"/>
        </w:rPr>
        <w:t xml:space="preserve">w </w:t>
      </w:r>
      <w:r w:rsidR="00FD69BC" w:rsidRPr="0015541C">
        <w:rPr>
          <w:bCs/>
          <w:sz w:val="20"/>
          <w:lang w:val="pl-PL"/>
        </w:rPr>
        <w:t xml:space="preserve">momencie </w:t>
      </w:r>
      <w:r w:rsidRPr="0015541C">
        <w:rPr>
          <w:bCs/>
          <w:sz w:val="20"/>
          <w:lang w:val="pl-PL"/>
        </w:rPr>
        <w:t xml:space="preserve">odcięcia danych </w:t>
      </w:r>
      <w:r w:rsidR="004E56F9" w:rsidRPr="0015541C">
        <w:rPr>
          <w:bCs/>
          <w:sz w:val="20"/>
          <w:lang w:val="pl-PL"/>
        </w:rPr>
        <w:t>31</w:t>
      </w:r>
      <w:r w:rsidR="007163A2" w:rsidRPr="0015541C">
        <w:rPr>
          <w:bCs/>
          <w:sz w:val="20"/>
          <w:lang w:val="pl-PL"/>
        </w:rPr>
        <w:t> października 201</w:t>
      </w:r>
      <w:r w:rsidR="004E56F9" w:rsidRPr="0015541C">
        <w:rPr>
          <w:bCs/>
          <w:sz w:val="20"/>
          <w:lang w:val="pl-PL"/>
        </w:rPr>
        <w:t>7</w:t>
      </w:r>
      <w:r w:rsidR="001258F9" w:rsidRPr="0015541C">
        <w:rPr>
          <w:bCs/>
          <w:sz w:val="20"/>
          <w:lang w:val="pl-PL"/>
        </w:rPr>
        <w:t xml:space="preserve"> r., </w:t>
      </w:r>
      <w:r w:rsidRPr="0015541C">
        <w:rPr>
          <w:bCs/>
          <w:sz w:val="20"/>
          <w:lang w:val="pl-PL"/>
        </w:rPr>
        <w:t xml:space="preserve">około </w:t>
      </w:r>
      <w:r w:rsidR="00234B5A" w:rsidRPr="0015541C">
        <w:rPr>
          <w:bCs/>
          <w:sz w:val="20"/>
          <w:lang w:val="pl-PL"/>
        </w:rPr>
        <w:t>59</w:t>
      </w:r>
      <w:r w:rsidRPr="0015541C">
        <w:rPr>
          <w:bCs/>
          <w:sz w:val="20"/>
          <w:lang w:val="pl-PL"/>
        </w:rPr>
        <w:t>% pacjentów zmarło</w:t>
      </w:r>
      <w:r w:rsidR="004E56F9" w:rsidRPr="0015541C">
        <w:rPr>
          <w:bCs/>
          <w:sz w:val="20"/>
          <w:lang w:val="pl-PL"/>
        </w:rPr>
        <w:t>.</w:t>
      </w:r>
      <w:r w:rsidRPr="0015541C">
        <w:rPr>
          <w:bCs/>
          <w:sz w:val="20"/>
          <w:lang w:val="pl-PL"/>
        </w:rPr>
        <w:t xml:space="preserve"> </w:t>
      </w:r>
    </w:p>
    <w:p w14:paraId="7231B977" w14:textId="77777777" w:rsidR="00A73107" w:rsidRPr="0015541C" w:rsidRDefault="00A73107" w:rsidP="0031058D">
      <w:pPr>
        <w:keepNext/>
        <w:keepLines/>
        <w:widowControl w:val="0"/>
        <w:rPr>
          <w:bCs/>
          <w:sz w:val="20"/>
          <w:lang w:val="pl-PL"/>
        </w:rPr>
      </w:pPr>
      <w:r w:rsidRPr="0015541C">
        <w:rPr>
          <w:bCs/>
          <w:sz w:val="20"/>
          <w:lang w:val="pl-PL"/>
        </w:rPr>
        <w:t>CI, przedział ufności, HR, współczynnik ryzyka z niestratyfikowanej analizy regresji Coxa, NR, nieosiągnięty</w:t>
      </w:r>
      <w:r w:rsidR="00782A9E" w:rsidRPr="0015541C">
        <w:rPr>
          <w:bCs/>
          <w:sz w:val="20"/>
          <w:lang w:val="pl-PL"/>
        </w:rPr>
        <w:t>.</w:t>
      </w:r>
    </w:p>
    <w:p w14:paraId="78A4EE7B" w14:textId="77777777" w:rsidR="0029228E" w:rsidRPr="0015541C" w:rsidRDefault="0029228E" w:rsidP="0031058D">
      <w:pPr>
        <w:keepNext/>
        <w:keepLines/>
        <w:widowControl w:val="0"/>
        <w:rPr>
          <w:bCs/>
          <w:u w:val="single"/>
          <w:lang w:val="pl-PL"/>
        </w:rPr>
      </w:pPr>
    </w:p>
    <w:p w14:paraId="6A5DE662" w14:textId="77777777" w:rsidR="00994050" w:rsidRPr="0070444C" w:rsidRDefault="00994050" w:rsidP="00994050">
      <w:pPr>
        <w:rPr>
          <w:i/>
          <w:u w:val="single"/>
          <w:lang w:val="pl-PL"/>
        </w:rPr>
      </w:pPr>
      <w:r w:rsidRPr="0070444C">
        <w:rPr>
          <w:i/>
          <w:u w:val="single"/>
          <w:lang w:val="pl-PL"/>
        </w:rPr>
        <w:t>Zaawansowany i (lub) rozsiany rak nerki (ang. advanced and/or metastatic Renal Cell Cancer – mRCC)</w:t>
      </w:r>
    </w:p>
    <w:p w14:paraId="2F5C27A0" w14:textId="77777777" w:rsidR="00994050" w:rsidRPr="0070444C" w:rsidRDefault="00994050" w:rsidP="00994050">
      <w:pPr>
        <w:rPr>
          <w:b/>
          <w:lang w:val="pl-PL"/>
        </w:rPr>
      </w:pPr>
    </w:p>
    <w:p w14:paraId="7D68FFC9" w14:textId="77777777" w:rsidR="00994050" w:rsidRPr="0015541C" w:rsidRDefault="00547ABE" w:rsidP="00994050">
      <w:pPr>
        <w:rPr>
          <w:bCs/>
          <w:i/>
          <w:lang w:val="pl-PL"/>
        </w:rPr>
      </w:pPr>
      <w:r w:rsidRPr="0015541C">
        <w:rPr>
          <w:bCs/>
          <w:i/>
          <w:lang w:val="pl-PL"/>
        </w:rPr>
        <w:t>Bewacyzumab</w:t>
      </w:r>
      <w:r w:rsidR="00994050" w:rsidRPr="0015541C">
        <w:rPr>
          <w:bCs/>
          <w:i/>
          <w:lang w:val="pl-PL"/>
        </w:rPr>
        <w:t xml:space="preserve"> w skojarzeniu z interferonem alfa-2a w leczeniu pierwszego rzutu pacjentów z zaawansowanym i (lub) rozsianym rakiem nerki (BO17705)</w:t>
      </w:r>
    </w:p>
    <w:p w14:paraId="4029B9FB" w14:textId="77777777" w:rsidR="00994050" w:rsidRPr="00260CEC" w:rsidRDefault="00994050" w:rsidP="00994050">
      <w:pPr>
        <w:rPr>
          <w:lang w:val="pl-PL"/>
        </w:rPr>
      </w:pPr>
    </w:p>
    <w:p w14:paraId="1BD0A4AF" w14:textId="77777777" w:rsidR="00994050" w:rsidRPr="0015541C" w:rsidRDefault="00994050" w:rsidP="00994050">
      <w:pPr>
        <w:rPr>
          <w:lang w:val="pl-PL"/>
        </w:rPr>
      </w:pPr>
      <w:r w:rsidRPr="0015541C">
        <w:rPr>
          <w:lang w:val="pl-PL"/>
        </w:rPr>
        <w:t xml:space="preserve">W randomizowanym badaniu III fazy, z podwójnie ślepą próbą przeprowadzono ocenę skuteczności i bezpieczeństwa </w:t>
      </w:r>
      <w:r w:rsidR="00547ABE" w:rsidRPr="0015541C">
        <w:rPr>
          <w:lang w:val="pl-PL"/>
        </w:rPr>
        <w:t>bewacyzumab</w:t>
      </w:r>
      <w:r w:rsidRPr="0015541C">
        <w:rPr>
          <w:lang w:val="pl-PL"/>
        </w:rPr>
        <w:t>u w skojarzeniu z interferonem (IFN) alfa-2a w porównaniu do samego interferonu alfa-2a stosowanych jako leczenie pierwszego rzutu w mRCC. 649 zrandomizowanych do badania pacjentów (641 leczonych) miało ocenianą sprawność wg skali Karno</w:t>
      </w:r>
      <w:r w:rsidR="00D20862" w:rsidRPr="0015541C">
        <w:rPr>
          <w:lang w:val="pl-PL"/>
        </w:rPr>
        <w:t>f</w:t>
      </w:r>
      <w:r w:rsidRPr="0015541C">
        <w:rPr>
          <w:lang w:val="pl-PL"/>
        </w:rPr>
        <w:t xml:space="preserve">sky’iego (ang. </w:t>
      </w:r>
      <w:r w:rsidRPr="0015541C">
        <w:rPr>
          <w:i/>
          <w:iCs/>
          <w:lang w:val="pl-PL"/>
        </w:rPr>
        <w:t>Karno</w:t>
      </w:r>
      <w:r w:rsidR="00D20862" w:rsidRPr="0015541C">
        <w:rPr>
          <w:i/>
          <w:iCs/>
          <w:lang w:val="pl-PL"/>
        </w:rPr>
        <w:t>f</w:t>
      </w:r>
      <w:r w:rsidRPr="0015541C">
        <w:rPr>
          <w:i/>
          <w:iCs/>
          <w:lang w:val="pl-PL"/>
        </w:rPr>
        <w:t>sky Performance Status</w:t>
      </w:r>
      <w:r w:rsidRPr="0015541C">
        <w:rPr>
          <w:rFonts w:hint="eastAsia"/>
          <w:lang w:val="pl-PL"/>
        </w:rPr>
        <w:t xml:space="preserve"> = KPS), która wynosiła </w:t>
      </w:r>
      <w:r w:rsidRPr="0015541C">
        <w:rPr>
          <w:rFonts w:hint="eastAsia"/>
          <w:lang w:val="pl-PL"/>
        </w:rPr>
        <w:t>≥</w:t>
      </w:r>
      <w:r w:rsidRPr="0015541C">
        <w:rPr>
          <w:rFonts w:hint="eastAsia"/>
          <w:lang w:val="pl-PL"/>
        </w:rPr>
        <w:t> 70</w:t>
      </w:r>
      <w:r w:rsidR="00155C5C" w:rsidRPr="0015541C">
        <w:rPr>
          <w:lang w:val="pl-PL"/>
        </w:rPr>
        <w:t> %</w:t>
      </w:r>
      <w:r w:rsidRPr="0015541C">
        <w:rPr>
          <w:lang w:val="pl-PL"/>
        </w:rPr>
        <w:t xml:space="preserve">, nie występowały u nich przerzuty do </w:t>
      </w:r>
      <w:r w:rsidRPr="0015541C">
        <w:rPr>
          <w:lang w:val="pl-PL"/>
        </w:rPr>
        <w:lastRenderedPageBreak/>
        <w:t xml:space="preserve">ośrodkowego układu nerwowego a sprawność poszczególnych narządów była zadowalająca. Z powodu pierwotnego raka jasnokomórkowego nerki pacjentów poddano nefrektomii. </w:t>
      </w:r>
      <w:r w:rsidR="00547ABE" w:rsidRPr="0015541C">
        <w:rPr>
          <w:lang w:val="pl-PL"/>
        </w:rPr>
        <w:t>Bewacyzumab</w:t>
      </w:r>
      <w:r w:rsidRPr="0015541C">
        <w:rPr>
          <w:lang w:val="pl-PL"/>
        </w:rPr>
        <w:t xml:space="preserve"> w dawce 10 mg/kg mc. był podawany raz na dwa tygodnie do czasu progresji choroby. Interferon alfa-2a był podawany do 52 tygodnia lub do czasu progresji choroby w zalecanej dawce 9</w:t>
      </w:r>
      <w:r w:rsidR="0012440C" w:rsidRPr="0015541C">
        <w:rPr>
          <w:lang w:val="pl-PL"/>
        </w:rPr>
        <w:t> ml</w:t>
      </w:r>
      <w:r w:rsidRPr="0015541C">
        <w:rPr>
          <w:lang w:val="pl-PL"/>
        </w:rPr>
        <w:t>n j</w:t>
      </w:r>
      <w:r w:rsidR="00FF0AD4" w:rsidRPr="0015541C">
        <w:rPr>
          <w:lang w:val="pl-PL"/>
        </w:rPr>
        <w:t>.</w:t>
      </w:r>
      <w:r w:rsidRPr="0015541C">
        <w:rPr>
          <w:lang w:val="pl-PL"/>
        </w:rPr>
        <w:t>m. 3 razy na tydzień, z możliwością redukcji dawki do 3</w:t>
      </w:r>
      <w:r w:rsidR="0012440C" w:rsidRPr="0015541C">
        <w:rPr>
          <w:lang w:val="pl-PL"/>
        </w:rPr>
        <w:t> ml</w:t>
      </w:r>
      <w:r w:rsidRPr="0015541C">
        <w:rPr>
          <w:lang w:val="pl-PL"/>
        </w:rPr>
        <w:t>n j</w:t>
      </w:r>
      <w:r w:rsidR="00CA35BD" w:rsidRPr="0015541C">
        <w:rPr>
          <w:lang w:val="pl-PL"/>
        </w:rPr>
        <w:t>.</w:t>
      </w:r>
      <w:r w:rsidRPr="0015541C">
        <w:rPr>
          <w:lang w:val="pl-PL"/>
        </w:rPr>
        <w:t>m. 3 razy na tydzień w 2 etapach. Pacjenci byli poddani stratyfikacji ze względu na kraj i wskaźnik prognostyczny Motzera. Ramiona badania były dobrze zrównoważone pod względem czynników prognostycznych.</w:t>
      </w:r>
    </w:p>
    <w:p w14:paraId="2E4A8087" w14:textId="77777777" w:rsidR="005262A0" w:rsidRPr="0015541C" w:rsidRDefault="005262A0" w:rsidP="005262A0">
      <w:pPr>
        <w:rPr>
          <w:lang w:val="pl-PL"/>
        </w:rPr>
      </w:pPr>
    </w:p>
    <w:p w14:paraId="7B31824C" w14:textId="773365D0" w:rsidR="005262A0" w:rsidRPr="0015541C" w:rsidRDefault="005262A0" w:rsidP="00EE7A0B">
      <w:pPr>
        <w:rPr>
          <w:lang w:val="pl-PL"/>
        </w:rPr>
      </w:pPr>
      <w:r w:rsidRPr="0015541C">
        <w:rPr>
          <w:lang w:val="pl-PL"/>
        </w:rPr>
        <w:t xml:space="preserve">Pierwszorzędowym punktem końcowym </w:t>
      </w:r>
      <w:r w:rsidR="00AC3958" w:rsidRPr="0015541C">
        <w:rPr>
          <w:lang w:val="pl-PL"/>
        </w:rPr>
        <w:t>był</w:t>
      </w:r>
      <w:r w:rsidR="00AC3958">
        <w:rPr>
          <w:lang w:val="pl-PL"/>
        </w:rPr>
        <w:t xml:space="preserve"> </w:t>
      </w:r>
      <w:r w:rsidR="00AC3958" w:rsidRPr="00AC3958">
        <w:rPr>
          <w:lang w:val="pl-PL"/>
        </w:rPr>
        <w:t>OS</w:t>
      </w:r>
      <w:r w:rsidRPr="00AC3958">
        <w:rPr>
          <w:lang w:val="pl-PL"/>
        </w:rPr>
        <w:t xml:space="preserve">, z drugorzędowym punktem końcowym dla tego badania zawierającym </w:t>
      </w:r>
      <w:r w:rsidR="006D023F" w:rsidRPr="00260CEC">
        <w:rPr>
          <w:lang w:val="pl-PL"/>
        </w:rPr>
        <w:t>PFS</w:t>
      </w:r>
      <w:r w:rsidRPr="0015541C">
        <w:rPr>
          <w:lang w:val="pl-PL"/>
        </w:rPr>
        <w:t xml:space="preserve">. Dodanie </w:t>
      </w:r>
      <w:r w:rsidR="008B1A39" w:rsidRPr="0015541C">
        <w:rPr>
          <w:lang w:val="pl-PL"/>
        </w:rPr>
        <w:t>bewacyzumab</w:t>
      </w:r>
      <w:r w:rsidRPr="0015541C">
        <w:rPr>
          <w:lang w:val="pl-PL"/>
        </w:rPr>
        <w:t xml:space="preserve">u do INF alfa-2a znacząco </w:t>
      </w:r>
      <w:r w:rsidR="00211998" w:rsidRPr="0015541C">
        <w:rPr>
          <w:lang w:val="pl-PL"/>
        </w:rPr>
        <w:t>zwiększyło</w:t>
      </w:r>
      <w:r w:rsidRPr="0015541C">
        <w:rPr>
          <w:lang w:val="pl-PL"/>
        </w:rPr>
        <w:t xml:space="preserve"> PFS oraz odsetek odpowiedzi nowotworu na leczenie. </w:t>
      </w:r>
      <w:r w:rsidR="00DE0612" w:rsidRPr="0015541C">
        <w:rPr>
          <w:lang w:val="pl-PL"/>
        </w:rPr>
        <w:t>Wyniki te</w:t>
      </w:r>
      <w:r w:rsidRPr="0015541C">
        <w:rPr>
          <w:lang w:val="pl-PL"/>
        </w:rPr>
        <w:t xml:space="preserve"> zostały potwierdzone przez niezależną ocenę radiologiczną. J</w:t>
      </w:r>
      <w:r w:rsidR="00DE0612" w:rsidRPr="0015541C">
        <w:rPr>
          <w:lang w:val="pl-PL"/>
        </w:rPr>
        <w:t>ednakże</w:t>
      </w:r>
      <w:r w:rsidRPr="0015541C">
        <w:rPr>
          <w:lang w:val="pl-PL"/>
        </w:rPr>
        <w:t xml:space="preserve"> wzrost </w:t>
      </w:r>
      <w:r w:rsidR="006D023F" w:rsidRPr="0015541C">
        <w:rPr>
          <w:lang w:val="pl-PL"/>
        </w:rPr>
        <w:t>OS</w:t>
      </w:r>
      <w:r w:rsidRPr="0015541C">
        <w:rPr>
          <w:lang w:val="pl-PL"/>
        </w:rPr>
        <w:t xml:space="preserve"> o 2 miesiące w pierwszorzędowym punkcie końcowym nie był znaczący (HR= 0,91). </w:t>
      </w:r>
      <w:r w:rsidR="006E0202" w:rsidRPr="0015541C">
        <w:rPr>
          <w:lang w:val="pl-PL"/>
        </w:rPr>
        <w:t>Duży</w:t>
      </w:r>
      <w:r w:rsidRPr="0015541C">
        <w:rPr>
          <w:lang w:val="pl-PL"/>
        </w:rPr>
        <w:t xml:space="preserve"> odsetek pacjentów (w przybliżeniu 63% IFN/placebo; 55% </w:t>
      </w:r>
      <w:r w:rsidR="00C6332F" w:rsidRPr="0015541C">
        <w:rPr>
          <w:lang w:val="pl-PL"/>
        </w:rPr>
        <w:t>bewacyzumab</w:t>
      </w:r>
      <w:r w:rsidRPr="0015541C">
        <w:rPr>
          <w:lang w:val="pl-PL"/>
        </w:rPr>
        <w:t xml:space="preserve">/IFN) otrzymał różne niespecyficzne leczenie przeciwnowotworowe po zakończeniu badania, włączając leki przeciwnowotworowe, które mogą mieć wpływ na analizę </w:t>
      </w:r>
      <w:r w:rsidR="006D023F" w:rsidRPr="0015541C">
        <w:rPr>
          <w:lang w:val="pl-PL"/>
        </w:rPr>
        <w:t>OS</w:t>
      </w:r>
      <w:r w:rsidRPr="0015541C">
        <w:rPr>
          <w:lang w:val="pl-PL"/>
        </w:rPr>
        <w:t>.</w:t>
      </w:r>
    </w:p>
    <w:p w14:paraId="356093D9" w14:textId="77777777" w:rsidR="00E571E3" w:rsidRPr="0015541C" w:rsidRDefault="00E571E3" w:rsidP="00994050">
      <w:pPr>
        <w:rPr>
          <w:lang w:val="pl-PL"/>
        </w:rPr>
      </w:pPr>
    </w:p>
    <w:p w14:paraId="5514B795" w14:textId="77777777" w:rsidR="00994050" w:rsidRPr="0015541C" w:rsidRDefault="0090152D" w:rsidP="00994050">
      <w:pPr>
        <w:rPr>
          <w:lang w:val="pl-PL"/>
        </w:rPr>
      </w:pPr>
      <w:r w:rsidRPr="0015541C">
        <w:rPr>
          <w:lang w:val="pl-PL"/>
        </w:rPr>
        <w:t>Wyniki dotyczące skuteczności z</w:t>
      </w:r>
      <w:r w:rsidR="0090255D" w:rsidRPr="0015541C">
        <w:rPr>
          <w:lang w:val="pl-PL"/>
        </w:rPr>
        <w:t>ostały przedstawione w Tabeli</w:t>
      </w:r>
      <w:r w:rsidR="00DF6CDE" w:rsidRPr="0015541C">
        <w:rPr>
          <w:lang w:val="pl-PL"/>
        </w:rPr>
        <w:t> </w:t>
      </w:r>
      <w:r w:rsidR="00A73107" w:rsidRPr="0015541C">
        <w:rPr>
          <w:lang w:val="pl-PL"/>
        </w:rPr>
        <w:t>15</w:t>
      </w:r>
      <w:r w:rsidRPr="0015541C">
        <w:rPr>
          <w:lang w:val="pl-PL"/>
        </w:rPr>
        <w:t>.</w:t>
      </w:r>
    </w:p>
    <w:p w14:paraId="16D3C179" w14:textId="77777777" w:rsidR="00E571E3" w:rsidRPr="0015541C" w:rsidRDefault="00E571E3" w:rsidP="00994050">
      <w:pPr>
        <w:rPr>
          <w:lang w:val="pl-PL"/>
        </w:rPr>
      </w:pPr>
    </w:p>
    <w:p w14:paraId="54B1F97A" w14:textId="77777777" w:rsidR="00994050" w:rsidRPr="0015541C" w:rsidRDefault="00994050" w:rsidP="00A14FD5">
      <w:pPr>
        <w:keepNext/>
        <w:ind w:left="540" w:hanging="540"/>
        <w:rPr>
          <w:b/>
          <w:lang w:val="pl-PL"/>
        </w:rPr>
      </w:pPr>
      <w:r w:rsidRPr="0015541C">
        <w:rPr>
          <w:b/>
          <w:lang w:val="pl-PL"/>
        </w:rPr>
        <w:t>Tabela</w:t>
      </w:r>
      <w:r w:rsidR="005D589C" w:rsidRPr="0015541C">
        <w:rPr>
          <w:b/>
          <w:lang w:val="pl-PL"/>
        </w:rPr>
        <w:t> </w:t>
      </w:r>
      <w:r w:rsidRPr="0015541C">
        <w:rPr>
          <w:b/>
          <w:lang w:val="pl-PL"/>
        </w:rPr>
        <w:t>1</w:t>
      </w:r>
      <w:r w:rsidR="00A73107" w:rsidRPr="0015541C">
        <w:rPr>
          <w:b/>
          <w:lang w:val="pl-PL"/>
        </w:rPr>
        <w:t>5</w:t>
      </w:r>
      <w:r w:rsidRPr="0015541C">
        <w:rPr>
          <w:b/>
          <w:lang w:val="pl-PL"/>
        </w:rPr>
        <w:t>.</w:t>
      </w:r>
      <w:r w:rsidRPr="0015541C">
        <w:rPr>
          <w:b/>
          <w:lang w:val="pl-PL"/>
        </w:rPr>
        <w:tab/>
        <w:t>Wyniki badania BO17705 dotyczące skuteczności</w:t>
      </w:r>
    </w:p>
    <w:p w14:paraId="4ABC91D7" w14:textId="77777777" w:rsidR="00994050" w:rsidRPr="0015541C" w:rsidRDefault="00994050" w:rsidP="00A14FD5">
      <w:pPr>
        <w:keepNext/>
        <w:rPr>
          <w:lang w:val="pl-PL"/>
        </w:rPr>
      </w:pPr>
    </w:p>
    <w:tbl>
      <w:tblPr>
        <w:tblW w:w="5000" w:type="pct"/>
        <w:jc w:val="center"/>
        <w:tblLayout w:type="fixed"/>
        <w:tblLook w:val="0000" w:firstRow="0" w:lastRow="0" w:firstColumn="0" w:lastColumn="0" w:noHBand="0" w:noVBand="0"/>
      </w:tblPr>
      <w:tblGrid>
        <w:gridCol w:w="4840"/>
        <w:gridCol w:w="1823"/>
        <w:gridCol w:w="2387"/>
      </w:tblGrid>
      <w:tr w:rsidR="00994050" w:rsidRPr="0015541C" w14:paraId="3A94F901" w14:textId="77777777" w:rsidTr="00D16D61">
        <w:trPr>
          <w:cantSplit/>
          <w:trHeight w:val="360"/>
          <w:jc w:val="center"/>
        </w:trPr>
        <w:tc>
          <w:tcPr>
            <w:tcW w:w="2674" w:type="pct"/>
            <w:tcBorders>
              <w:top w:val="single" w:sz="4" w:space="0" w:color="auto"/>
              <w:left w:val="single" w:sz="8" w:space="0" w:color="auto"/>
              <w:right w:val="single" w:sz="8" w:space="0" w:color="auto"/>
            </w:tcBorders>
            <w:vAlign w:val="bottom"/>
          </w:tcPr>
          <w:p w14:paraId="3F33BAC0" w14:textId="77777777" w:rsidR="00994050" w:rsidRPr="0015541C" w:rsidRDefault="00994050" w:rsidP="00A14FD5">
            <w:pPr>
              <w:pStyle w:val="TableCellCenter"/>
              <w:keepLines w:val="0"/>
              <w:rPr>
                <w:sz w:val="22"/>
                <w:szCs w:val="22"/>
                <w:lang w:val="pl-PL"/>
              </w:rPr>
            </w:pPr>
          </w:p>
        </w:tc>
        <w:tc>
          <w:tcPr>
            <w:tcW w:w="2326" w:type="pct"/>
            <w:gridSpan w:val="2"/>
            <w:tcBorders>
              <w:top w:val="single" w:sz="4" w:space="0" w:color="auto"/>
              <w:left w:val="single" w:sz="8" w:space="0" w:color="auto"/>
              <w:bottom w:val="single" w:sz="8" w:space="0" w:color="auto"/>
              <w:right w:val="single" w:sz="8" w:space="0" w:color="auto"/>
            </w:tcBorders>
            <w:vAlign w:val="bottom"/>
          </w:tcPr>
          <w:p w14:paraId="3E9022D4" w14:textId="77777777" w:rsidR="00994050" w:rsidRPr="0070444C" w:rsidRDefault="00994050" w:rsidP="00A14FD5">
            <w:pPr>
              <w:pStyle w:val="TableCellCenter"/>
              <w:keepLines w:val="0"/>
              <w:rPr>
                <w:b/>
                <w:sz w:val="22"/>
                <w:lang w:val="pl-PL"/>
              </w:rPr>
            </w:pPr>
            <w:r w:rsidRPr="0070444C">
              <w:rPr>
                <w:b/>
                <w:sz w:val="22"/>
                <w:lang w:val="pl-PL"/>
              </w:rPr>
              <w:t>BO17705</w:t>
            </w:r>
          </w:p>
        </w:tc>
      </w:tr>
      <w:tr w:rsidR="00713846" w:rsidRPr="0015541C" w14:paraId="0235539E" w14:textId="77777777" w:rsidTr="001535A2">
        <w:trPr>
          <w:cantSplit/>
          <w:trHeight w:val="457"/>
          <w:jc w:val="center"/>
        </w:trPr>
        <w:tc>
          <w:tcPr>
            <w:tcW w:w="2674" w:type="pct"/>
            <w:tcBorders>
              <w:left w:val="single" w:sz="8" w:space="0" w:color="auto"/>
              <w:bottom w:val="single" w:sz="8" w:space="0" w:color="auto"/>
              <w:right w:val="single" w:sz="8" w:space="0" w:color="auto"/>
            </w:tcBorders>
            <w:vAlign w:val="bottom"/>
          </w:tcPr>
          <w:p w14:paraId="00217AFA" w14:textId="77777777" w:rsidR="00994050" w:rsidRPr="0015541C" w:rsidRDefault="00994050" w:rsidP="00A14FD5">
            <w:pPr>
              <w:pStyle w:val="TableCellCenter"/>
              <w:keepLines w:val="0"/>
              <w:rPr>
                <w:sz w:val="22"/>
                <w:szCs w:val="22"/>
                <w:lang w:val="pl-PL"/>
              </w:rPr>
            </w:pPr>
          </w:p>
        </w:tc>
        <w:tc>
          <w:tcPr>
            <w:tcW w:w="1007" w:type="pct"/>
            <w:tcBorders>
              <w:top w:val="single" w:sz="4" w:space="0" w:color="auto"/>
              <w:left w:val="single" w:sz="8" w:space="0" w:color="auto"/>
              <w:bottom w:val="single" w:sz="8" w:space="0" w:color="auto"/>
            </w:tcBorders>
            <w:vAlign w:val="bottom"/>
          </w:tcPr>
          <w:p w14:paraId="1F77739B" w14:textId="77777777" w:rsidR="00994050" w:rsidRPr="0070444C" w:rsidRDefault="00994050" w:rsidP="00A14FD5">
            <w:pPr>
              <w:pStyle w:val="TableCellCenter"/>
              <w:keepLines w:val="0"/>
              <w:rPr>
                <w:b/>
                <w:sz w:val="22"/>
                <w:lang w:val="pl-PL"/>
              </w:rPr>
            </w:pPr>
            <w:r w:rsidRPr="0070444C">
              <w:rPr>
                <w:b/>
                <w:sz w:val="22"/>
                <w:lang w:val="pl-PL"/>
              </w:rPr>
              <w:t>Placebo+ IFN</w:t>
            </w:r>
            <w:r w:rsidRPr="0070444C">
              <w:rPr>
                <w:b/>
                <w:sz w:val="22"/>
                <w:vertAlign w:val="superscript"/>
                <w:lang w:val="pl-PL"/>
              </w:rPr>
              <w:t>a</w:t>
            </w:r>
          </w:p>
        </w:tc>
        <w:tc>
          <w:tcPr>
            <w:tcW w:w="1319" w:type="pct"/>
            <w:tcBorders>
              <w:top w:val="single" w:sz="4" w:space="0" w:color="auto"/>
              <w:bottom w:val="single" w:sz="8" w:space="0" w:color="auto"/>
              <w:right w:val="single" w:sz="8" w:space="0" w:color="auto"/>
            </w:tcBorders>
            <w:shd w:val="clear" w:color="auto" w:fill="auto"/>
            <w:vAlign w:val="bottom"/>
          </w:tcPr>
          <w:p w14:paraId="449AD049" w14:textId="4605E27D" w:rsidR="00994050" w:rsidRPr="0070444C" w:rsidRDefault="00994050" w:rsidP="00A14FD5">
            <w:pPr>
              <w:pStyle w:val="TableCellCenter"/>
              <w:keepLines w:val="0"/>
              <w:rPr>
                <w:b/>
                <w:sz w:val="22"/>
                <w:lang w:val="pl-PL"/>
              </w:rPr>
            </w:pPr>
            <w:r w:rsidRPr="0070444C">
              <w:rPr>
                <w:b/>
                <w:sz w:val="22"/>
                <w:lang w:val="pl-PL"/>
              </w:rPr>
              <w:t>B</w:t>
            </w:r>
            <w:r w:rsidR="006D023F" w:rsidRPr="0070444C">
              <w:rPr>
                <w:b/>
                <w:sz w:val="22"/>
                <w:lang w:val="pl-PL"/>
              </w:rPr>
              <w:t>V</w:t>
            </w:r>
            <w:r w:rsidRPr="0070444C">
              <w:rPr>
                <w:b/>
                <w:sz w:val="22"/>
                <w:vertAlign w:val="superscript"/>
                <w:lang w:val="pl-PL"/>
              </w:rPr>
              <w:t>b</w:t>
            </w:r>
            <w:r w:rsidRPr="0070444C">
              <w:rPr>
                <w:b/>
                <w:sz w:val="22"/>
                <w:lang w:val="pl-PL"/>
              </w:rPr>
              <w:t xml:space="preserve"> + IFN</w:t>
            </w:r>
            <w:r w:rsidRPr="0070444C">
              <w:rPr>
                <w:b/>
                <w:sz w:val="22"/>
                <w:vertAlign w:val="superscript"/>
                <w:lang w:val="pl-PL"/>
              </w:rPr>
              <w:t>a</w:t>
            </w:r>
            <w:r w:rsidRPr="0070444C">
              <w:rPr>
                <w:b/>
                <w:sz w:val="22"/>
                <w:lang w:val="pl-PL"/>
              </w:rPr>
              <w:t xml:space="preserve"> </w:t>
            </w:r>
          </w:p>
        </w:tc>
      </w:tr>
      <w:tr w:rsidR="00994050" w:rsidRPr="0015541C" w14:paraId="2DA4D8E5" w14:textId="77777777" w:rsidTr="00D16D61">
        <w:trPr>
          <w:cantSplit/>
          <w:jc w:val="center"/>
        </w:trPr>
        <w:tc>
          <w:tcPr>
            <w:tcW w:w="2674" w:type="pct"/>
            <w:tcBorders>
              <w:top w:val="single" w:sz="8" w:space="0" w:color="auto"/>
              <w:left w:val="single" w:sz="8" w:space="0" w:color="auto"/>
              <w:bottom w:val="single" w:sz="4" w:space="0" w:color="auto"/>
              <w:right w:val="single" w:sz="8" w:space="0" w:color="auto"/>
            </w:tcBorders>
          </w:tcPr>
          <w:p w14:paraId="52D598BB" w14:textId="77777777" w:rsidR="00994050" w:rsidRPr="0015541C" w:rsidRDefault="00994050" w:rsidP="00A14FD5">
            <w:pPr>
              <w:pStyle w:val="TableCellLeft"/>
              <w:keepLines w:val="0"/>
              <w:rPr>
                <w:sz w:val="22"/>
                <w:szCs w:val="22"/>
                <w:lang w:val="pl-PL"/>
              </w:rPr>
            </w:pPr>
            <w:r w:rsidRPr="0015541C">
              <w:rPr>
                <w:sz w:val="22"/>
                <w:szCs w:val="22"/>
                <w:lang w:val="pl-PL"/>
              </w:rPr>
              <w:t>Liczba pacjentów</w:t>
            </w:r>
          </w:p>
        </w:tc>
        <w:tc>
          <w:tcPr>
            <w:tcW w:w="1007" w:type="pct"/>
            <w:tcBorders>
              <w:top w:val="single" w:sz="8" w:space="0" w:color="auto"/>
              <w:left w:val="single" w:sz="8" w:space="0" w:color="auto"/>
              <w:bottom w:val="single" w:sz="4" w:space="0" w:color="auto"/>
            </w:tcBorders>
          </w:tcPr>
          <w:p w14:paraId="675130F3" w14:textId="77777777" w:rsidR="00994050" w:rsidRPr="00AC3958" w:rsidRDefault="00994050" w:rsidP="00A14FD5">
            <w:pPr>
              <w:pStyle w:val="TableCellCenter"/>
              <w:keepLines w:val="0"/>
              <w:rPr>
                <w:sz w:val="22"/>
                <w:szCs w:val="22"/>
                <w:lang w:val="pl-PL"/>
              </w:rPr>
            </w:pPr>
            <w:r w:rsidRPr="0015541C">
              <w:rPr>
                <w:sz w:val="22"/>
                <w:szCs w:val="22"/>
                <w:lang w:val="pl-PL"/>
              </w:rPr>
              <w:t>322</w:t>
            </w:r>
          </w:p>
        </w:tc>
        <w:tc>
          <w:tcPr>
            <w:tcW w:w="1319" w:type="pct"/>
            <w:tcBorders>
              <w:top w:val="single" w:sz="8" w:space="0" w:color="auto"/>
              <w:bottom w:val="single" w:sz="4" w:space="0" w:color="auto"/>
              <w:right w:val="single" w:sz="8" w:space="0" w:color="auto"/>
            </w:tcBorders>
          </w:tcPr>
          <w:p w14:paraId="30CFC427" w14:textId="77777777" w:rsidR="00994050" w:rsidRPr="0015541C" w:rsidRDefault="00994050" w:rsidP="00A14FD5">
            <w:pPr>
              <w:pStyle w:val="TableCellCenter"/>
              <w:keepLines w:val="0"/>
              <w:rPr>
                <w:sz w:val="22"/>
                <w:szCs w:val="22"/>
                <w:lang w:val="pl-PL"/>
              </w:rPr>
            </w:pPr>
            <w:r w:rsidRPr="00260CEC">
              <w:rPr>
                <w:sz w:val="22"/>
                <w:szCs w:val="22"/>
                <w:lang w:val="pl-PL"/>
              </w:rPr>
              <w:t>327</w:t>
            </w:r>
          </w:p>
        </w:tc>
      </w:tr>
      <w:tr w:rsidR="00994050" w:rsidRPr="0015541C" w14:paraId="25CBAAC2" w14:textId="77777777" w:rsidTr="00D16D61">
        <w:trPr>
          <w:cantSplit/>
          <w:jc w:val="center"/>
        </w:trPr>
        <w:tc>
          <w:tcPr>
            <w:tcW w:w="2674" w:type="pct"/>
            <w:tcBorders>
              <w:top w:val="single" w:sz="4" w:space="0" w:color="auto"/>
              <w:left w:val="single" w:sz="8" w:space="0" w:color="auto"/>
              <w:right w:val="single" w:sz="8" w:space="0" w:color="auto"/>
            </w:tcBorders>
          </w:tcPr>
          <w:p w14:paraId="2821A308" w14:textId="77777777" w:rsidR="00994050" w:rsidRPr="00AC3958" w:rsidRDefault="00994050" w:rsidP="00A14FD5">
            <w:pPr>
              <w:pStyle w:val="TableCellHead"/>
              <w:keepLines w:val="0"/>
              <w:rPr>
                <w:bCs/>
                <w:sz w:val="22"/>
                <w:szCs w:val="22"/>
                <w:u w:val="none"/>
                <w:lang w:val="pl-PL"/>
              </w:rPr>
            </w:pPr>
            <w:r w:rsidRPr="0015541C">
              <w:rPr>
                <w:bCs/>
                <w:sz w:val="22"/>
                <w:szCs w:val="22"/>
                <w:u w:val="none"/>
                <w:lang w:val="pl-PL"/>
              </w:rPr>
              <w:t xml:space="preserve">Czas przeżycia wolny od progresji </w:t>
            </w:r>
            <w:r w:rsidR="00F4435E" w:rsidRPr="0015541C">
              <w:rPr>
                <w:bCs/>
                <w:sz w:val="22"/>
                <w:szCs w:val="22"/>
                <w:u w:val="none"/>
                <w:lang w:val="pl-PL"/>
              </w:rPr>
              <w:br/>
            </w:r>
            <w:r w:rsidRPr="0015541C">
              <w:rPr>
                <w:bCs/>
                <w:sz w:val="22"/>
                <w:szCs w:val="22"/>
                <w:u w:val="none"/>
                <w:lang w:val="pl-PL"/>
              </w:rPr>
              <w:t>(w miesiącach)</w:t>
            </w:r>
          </w:p>
        </w:tc>
        <w:tc>
          <w:tcPr>
            <w:tcW w:w="1007" w:type="pct"/>
            <w:tcBorders>
              <w:top w:val="single" w:sz="4" w:space="0" w:color="auto"/>
              <w:left w:val="single" w:sz="8" w:space="0" w:color="auto"/>
            </w:tcBorders>
          </w:tcPr>
          <w:p w14:paraId="2D783B94" w14:textId="77777777" w:rsidR="00994050" w:rsidRPr="00260CEC" w:rsidRDefault="00994050" w:rsidP="00A14FD5">
            <w:pPr>
              <w:pStyle w:val="TableCellCenter"/>
              <w:keepLines w:val="0"/>
              <w:rPr>
                <w:sz w:val="22"/>
                <w:szCs w:val="22"/>
                <w:lang w:val="pl-PL"/>
              </w:rPr>
            </w:pPr>
          </w:p>
        </w:tc>
        <w:tc>
          <w:tcPr>
            <w:tcW w:w="1319" w:type="pct"/>
            <w:tcBorders>
              <w:top w:val="single" w:sz="4" w:space="0" w:color="auto"/>
              <w:right w:val="single" w:sz="8" w:space="0" w:color="auto"/>
            </w:tcBorders>
          </w:tcPr>
          <w:p w14:paraId="78927627" w14:textId="77777777" w:rsidR="00994050" w:rsidRPr="0015541C" w:rsidRDefault="00994050" w:rsidP="00A14FD5">
            <w:pPr>
              <w:pStyle w:val="TableCellCenter"/>
              <w:keepLines w:val="0"/>
              <w:rPr>
                <w:sz w:val="22"/>
                <w:szCs w:val="22"/>
                <w:lang w:val="pl-PL"/>
              </w:rPr>
            </w:pPr>
          </w:p>
        </w:tc>
      </w:tr>
      <w:tr w:rsidR="00994050" w:rsidRPr="0015541C" w14:paraId="52020510" w14:textId="77777777" w:rsidTr="00D16D61">
        <w:trPr>
          <w:cantSplit/>
          <w:jc w:val="center"/>
        </w:trPr>
        <w:tc>
          <w:tcPr>
            <w:tcW w:w="2674" w:type="pct"/>
            <w:tcBorders>
              <w:left w:val="single" w:sz="8" w:space="0" w:color="auto"/>
              <w:right w:val="single" w:sz="8" w:space="0" w:color="auto"/>
            </w:tcBorders>
          </w:tcPr>
          <w:p w14:paraId="1162A03B" w14:textId="77777777" w:rsidR="00994050" w:rsidRPr="0015541C" w:rsidRDefault="00994050" w:rsidP="00A14FD5">
            <w:pPr>
              <w:pStyle w:val="TableCellLeft"/>
              <w:keepLines w:val="0"/>
              <w:ind w:left="360"/>
              <w:rPr>
                <w:sz w:val="22"/>
                <w:szCs w:val="22"/>
                <w:lang w:val="pl-PL"/>
              </w:rPr>
            </w:pPr>
            <w:r w:rsidRPr="0015541C">
              <w:rPr>
                <w:sz w:val="22"/>
                <w:szCs w:val="22"/>
                <w:lang w:val="pl-PL"/>
              </w:rPr>
              <w:t>Mediana (miesiące)</w:t>
            </w:r>
          </w:p>
        </w:tc>
        <w:tc>
          <w:tcPr>
            <w:tcW w:w="1007" w:type="pct"/>
            <w:tcBorders>
              <w:left w:val="single" w:sz="8" w:space="0" w:color="auto"/>
            </w:tcBorders>
          </w:tcPr>
          <w:p w14:paraId="0FA9C36A" w14:textId="77777777" w:rsidR="00994050" w:rsidRPr="00AC3958" w:rsidRDefault="00994050" w:rsidP="00A14FD5">
            <w:pPr>
              <w:pStyle w:val="TableCellCenter"/>
              <w:keepLines w:val="0"/>
              <w:rPr>
                <w:sz w:val="22"/>
                <w:szCs w:val="22"/>
                <w:lang w:val="pl-PL"/>
              </w:rPr>
            </w:pPr>
            <w:r w:rsidRPr="0015541C">
              <w:rPr>
                <w:sz w:val="22"/>
                <w:szCs w:val="22"/>
                <w:lang w:val="pl-PL"/>
              </w:rPr>
              <w:t>5,4</w:t>
            </w:r>
          </w:p>
        </w:tc>
        <w:tc>
          <w:tcPr>
            <w:tcW w:w="1319" w:type="pct"/>
            <w:tcBorders>
              <w:right w:val="single" w:sz="8" w:space="0" w:color="auto"/>
            </w:tcBorders>
          </w:tcPr>
          <w:p w14:paraId="7EBA7406" w14:textId="77777777" w:rsidR="00994050" w:rsidRPr="0015541C" w:rsidRDefault="00994050" w:rsidP="00A14FD5">
            <w:pPr>
              <w:pStyle w:val="TableCellCenter"/>
              <w:keepLines w:val="0"/>
              <w:rPr>
                <w:sz w:val="22"/>
                <w:szCs w:val="22"/>
                <w:lang w:val="pl-PL"/>
              </w:rPr>
            </w:pPr>
            <w:r w:rsidRPr="00260CEC">
              <w:rPr>
                <w:sz w:val="22"/>
                <w:szCs w:val="22"/>
                <w:lang w:val="pl-PL"/>
              </w:rPr>
              <w:t>10,2</w:t>
            </w:r>
          </w:p>
        </w:tc>
      </w:tr>
      <w:tr w:rsidR="00994050" w:rsidRPr="0015541C" w14:paraId="309E60DA" w14:textId="77777777" w:rsidTr="00D16D61">
        <w:trPr>
          <w:cantSplit/>
          <w:jc w:val="center"/>
        </w:trPr>
        <w:tc>
          <w:tcPr>
            <w:tcW w:w="2674" w:type="pct"/>
            <w:tcBorders>
              <w:left w:val="single" w:sz="8" w:space="0" w:color="auto"/>
              <w:bottom w:val="single" w:sz="4" w:space="0" w:color="auto"/>
              <w:right w:val="single" w:sz="8" w:space="0" w:color="auto"/>
            </w:tcBorders>
          </w:tcPr>
          <w:p w14:paraId="32890C75" w14:textId="77777777" w:rsidR="00994050" w:rsidRPr="0015541C" w:rsidRDefault="00994050" w:rsidP="00A14FD5">
            <w:pPr>
              <w:pStyle w:val="TableCellLeft"/>
              <w:keepNext w:val="0"/>
              <w:keepLines w:val="0"/>
              <w:ind w:left="360"/>
              <w:rPr>
                <w:sz w:val="22"/>
                <w:szCs w:val="22"/>
                <w:lang w:val="pl-PL"/>
              </w:rPr>
            </w:pPr>
            <w:r w:rsidRPr="0015541C">
              <w:rPr>
                <w:sz w:val="22"/>
                <w:szCs w:val="22"/>
                <w:lang w:val="pl-PL"/>
              </w:rPr>
              <w:t>Współczynnik ryzyka</w:t>
            </w:r>
          </w:p>
          <w:p w14:paraId="4EAFAF95" w14:textId="77777777" w:rsidR="00994050" w:rsidRPr="00AC3958" w:rsidRDefault="00994050" w:rsidP="00D946F7">
            <w:pPr>
              <w:pStyle w:val="TableCellLeft"/>
              <w:ind w:left="360"/>
              <w:rPr>
                <w:sz w:val="22"/>
                <w:szCs w:val="22"/>
                <w:lang w:val="pl-PL"/>
              </w:rPr>
            </w:pPr>
            <w:r w:rsidRPr="0015541C">
              <w:rPr>
                <w:sz w:val="22"/>
                <w:szCs w:val="22"/>
                <w:lang w:val="pl-PL"/>
              </w:rPr>
              <w:t>95%</w:t>
            </w:r>
            <w:r w:rsidRPr="00AC3958">
              <w:rPr>
                <w:sz w:val="22"/>
                <w:szCs w:val="22"/>
                <w:lang w:val="pl-PL"/>
              </w:rPr>
              <w:t xml:space="preserve"> Cl</w:t>
            </w:r>
          </w:p>
        </w:tc>
        <w:tc>
          <w:tcPr>
            <w:tcW w:w="2326" w:type="pct"/>
            <w:gridSpan w:val="2"/>
            <w:tcBorders>
              <w:left w:val="single" w:sz="8" w:space="0" w:color="auto"/>
              <w:bottom w:val="single" w:sz="4" w:space="0" w:color="auto"/>
              <w:right w:val="single" w:sz="8" w:space="0" w:color="auto"/>
            </w:tcBorders>
          </w:tcPr>
          <w:p w14:paraId="44EFC11E" w14:textId="77777777" w:rsidR="00994050" w:rsidRPr="0015541C" w:rsidRDefault="00994050" w:rsidP="00A14FD5">
            <w:pPr>
              <w:pStyle w:val="TableCellCenter"/>
              <w:keepNext w:val="0"/>
              <w:keepLines w:val="0"/>
              <w:rPr>
                <w:sz w:val="22"/>
                <w:szCs w:val="22"/>
                <w:lang w:val="pl-PL"/>
              </w:rPr>
            </w:pPr>
            <w:r w:rsidRPr="00260CEC">
              <w:rPr>
                <w:sz w:val="22"/>
                <w:szCs w:val="22"/>
                <w:lang w:val="pl-PL"/>
              </w:rPr>
              <w:t>0,63</w:t>
            </w:r>
          </w:p>
          <w:p w14:paraId="3CD07B82" w14:textId="77777777" w:rsidR="00994050" w:rsidRPr="0015541C" w:rsidRDefault="00994050" w:rsidP="00A14FD5">
            <w:pPr>
              <w:pStyle w:val="TableCellCenter"/>
              <w:keepNext w:val="0"/>
              <w:keepLines w:val="0"/>
              <w:rPr>
                <w:sz w:val="22"/>
                <w:szCs w:val="22"/>
                <w:lang w:val="pl-PL"/>
              </w:rPr>
            </w:pPr>
            <w:r w:rsidRPr="0015541C">
              <w:rPr>
                <w:sz w:val="22"/>
                <w:szCs w:val="22"/>
                <w:lang w:val="pl-PL"/>
              </w:rPr>
              <w:t>0,52, 0,75</w:t>
            </w:r>
          </w:p>
          <w:p w14:paraId="251EFB60" w14:textId="77777777" w:rsidR="00994050" w:rsidRPr="0015541C" w:rsidRDefault="00994050" w:rsidP="00A14FD5">
            <w:pPr>
              <w:pStyle w:val="TableCellCenter"/>
              <w:keepNext w:val="0"/>
              <w:keepLines w:val="0"/>
              <w:rPr>
                <w:sz w:val="22"/>
                <w:szCs w:val="22"/>
                <w:lang w:val="pl-PL"/>
              </w:rPr>
            </w:pPr>
            <w:r w:rsidRPr="0015541C">
              <w:rPr>
                <w:sz w:val="22"/>
                <w:szCs w:val="22"/>
                <w:lang w:val="pl-PL"/>
              </w:rPr>
              <w:t xml:space="preserve">(p </w:t>
            </w:r>
            <w:r w:rsidRPr="0015541C">
              <w:rPr>
                <w:rFonts w:ascii="Symbol" w:hAnsi="Symbol"/>
                <w:sz w:val="22"/>
                <w:szCs w:val="22"/>
                <w:lang w:val="pl-PL"/>
              </w:rPr>
              <w:t></w:t>
            </w:r>
            <w:r w:rsidRPr="0015541C">
              <w:rPr>
                <w:sz w:val="22"/>
                <w:szCs w:val="22"/>
                <w:lang w:val="pl-PL"/>
              </w:rPr>
              <w:t> 0,0001)</w:t>
            </w:r>
          </w:p>
        </w:tc>
      </w:tr>
      <w:tr w:rsidR="00994050" w:rsidRPr="0015541C" w14:paraId="1D720701" w14:textId="77777777" w:rsidTr="00D16D61">
        <w:trPr>
          <w:cantSplit/>
          <w:jc w:val="center"/>
        </w:trPr>
        <w:tc>
          <w:tcPr>
            <w:tcW w:w="2674" w:type="pct"/>
            <w:tcBorders>
              <w:top w:val="single" w:sz="4" w:space="0" w:color="auto"/>
              <w:left w:val="single" w:sz="8" w:space="0" w:color="auto"/>
              <w:right w:val="single" w:sz="8" w:space="0" w:color="auto"/>
            </w:tcBorders>
          </w:tcPr>
          <w:p w14:paraId="46F64FE8" w14:textId="77777777" w:rsidR="00994050" w:rsidRPr="0015541C" w:rsidRDefault="00994050" w:rsidP="00A14FD5">
            <w:pPr>
              <w:pStyle w:val="TableCellLeft"/>
              <w:keepNext w:val="0"/>
              <w:keepLines w:val="0"/>
              <w:rPr>
                <w:sz w:val="22"/>
                <w:szCs w:val="22"/>
                <w:lang w:val="pl-PL"/>
              </w:rPr>
            </w:pPr>
            <w:r w:rsidRPr="0015541C">
              <w:rPr>
                <w:bCs/>
                <w:sz w:val="22"/>
                <w:szCs w:val="22"/>
                <w:lang w:val="pl-PL"/>
              </w:rPr>
              <w:t>Całkowity współczynnik odpowiedzi</w:t>
            </w:r>
            <w:r w:rsidRPr="0015541C">
              <w:rPr>
                <w:sz w:val="22"/>
                <w:szCs w:val="22"/>
                <w:lang w:val="pl-PL"/>
              </w:rPr>
              <w:t xml:space="preserve"> (%) w grupie pacjentów ze zmianami mierzalnymi </w:t>
            </w:r>
          </w:p>
          <w:p w14:paraId="72644069" w14:textId="77777777" w:rsidR="00994050" w:rsidRPr="0015541C" w:rsidRDefault="00994050" w:rsidP="00A14FD5">
            <w:pPr>
              <w:pStyle w:val="TableCellLeft"/>
              <w:keepNext w:val="0"/>
              <w:keepLines w:val="0"/>
              <w:rPr>
                <w:sz w:val="22"/>
                <w:szCs w:val="22"/>
                <w:lang w:val="pl-PL"/>
              </w:rPr>
            </w:pPr>
            <w:r w:rsidRPr="00260CEC">
              <w:rPr>
                <w:sz w:val="22"/>
                <w:szCs w:val="22"/>
                <w:lang w:val="pl-PL"/>
              </w:rPr>
              <w:tab/>
              <w:t>n</w:t>
            </w:r>
          </w:p>
        </w:tc>
        <w:tc>
          <w:tcPr>
            <w:tcW w:w="1007" w:type="pct"/>
            <w:tcBorders>
              <w:top w:val="single" w:sz="4" w:space="0" w:color="auto"/>
              <w:left w:val="single" w:sz="8" w:space="0" w:color="auto"/>
            </w:tcBorders>
          </w:tcPr>
          <w:p w14:paraId="0B07E0C7" w14:textId="77777777" w:rsidR="00994050" w:rsidRPr="0015541C" w:rsidRDefault="00994050" w:rsidP="00A14FD5">
            <w:pPr>
              <w:pStyle w:val="TableCellCenter"/>
              <w:keepNext w:val="0"/>
              <w:keepLines w:val="0"/>
              <w:rPr>
                <w:sz w:val="22"/>
                <w:szCs w:val="22"/>
                <w:lang w:val="pl-PL"/>
              </w:rPr>
            </w:pPr>
          </w:p>
          <w:p w14:paraId="4846E3AC" w14:textId="77777777" w:rsidR="00994050" w:rsidRPr="0015541C" w:rsidRDefault="00994050" w:rsidP="00A14FD5">
            <w:pPr>
              <w:pStyle w:val="TableCellCenter"/>
              <w:keepNext w:val="0"/>
              <w:keepLines w:val="0"/>
              <w:rPr>
                <w:sz w:val="22"/>
                <w:szCs w:val="22"/>
                <w:lang w:val="pl-PL"/>
              </w:rPr>
            </w:pPr>
          </w:p>
          <w:p w14:paraId="62990BDC" w14:textId="77777777" w:rsidR="00994050" w:rsidRPr="0015541C" w:rsidRDefault="00994050" w:rsidP="00A14FD5">
            <w:pPr>
              <w:pStyle w:val="TableCellCenter"/>
              <w:keepNext w:val="0"/>
              <w:keepLines w:val="0"/>
              <w:rPr>
                <w:sz w:val="22"/>
                <w:szCs w:val="22"/>
                <w:lang w:val="pl-PL"/>
              </w:rPr>
            </w:pPr>
            <w:r w:rsidRPr="0015541C">
              <w:rPr>
                <w:sz w:val="22"/>
                <w:szCs w:val="22"/>
                <w:lang w:val="pl-PL"/>
              </w:rPr>
              <w:t>289</w:t>
            </w:r>
          </w:p>
        </w:tc>
        <w:tc>
          <w:tcPr>
            <w:tcW w:w="1319" w:type="pct"/>
            <w:tcBorders>
              <w:top w:val="single" w:sz="4" w:space="0" w:color="auto"/>
              <w:right w:val="single" w:sz="8" w:space="0" w:color="auto"/>
            </w:tcBorders>
          </w:tcPr>
          <w:p w14:paraId="2468D09D" w14:textId="77777777" w:rsidR="00994050" w:rsidRPr="0015541C" w:rsidRDefault="00994050" w:rsidP="00A14FD5">
            <w:pPr>
              <w:pStyle w:val="TableCellCenter"/>
              <w:keepNext w:val="0"/>
              <w:keepLines w:val="0"/>
              <w:rPr>
                <w:sz w:val="22"/>
                <w:szCs w:val="22"/>
                <w:lang w:val="pl-PL"/>
              </w:rPr>
            </w:pPr>
          </w:p>
          <w:p w14:paraId="6417DAC5" w14:textId="77777777" w:rsidR="00994050" w:rsidRPr="0015541C" w:rsidRDefault="00994050" w:rsidP="00A14FD5">
            <w:pPr>
              <w:pStyle w:val="TableCellCenter"/>
              <w:keepNext w:val="0"/>
              <w:keepLines w:val="0"/>
              <w:rPr>
                <w:sz w:val="22"/>
                <w:szCs w:val="22"/>
                <w:lang w:val="pl-PL"/>
              </w:rPr>
            </w:pPr>
          </w:p>
          <w:p w14:paraId="02309934" w14:textId="77777777" w:rsidR="00994050" w:rsidRPr="0015541C" w:rsidRDefault="00994050" w:rsidP="00A14FD5">
            <w:pPr>
              <w:pStyle w:val="TableCellCenter"/>
              <w:keepNext w:val="0"/>
              <w:keepLines w:val="0"/>
              <w:rPr>
                <w:sz w:val="22"/>
                <w:szCs w:val="22"/>
                <w:lang w:val="pl-PL"/>
              </w:rPr>
            </w:pPr>
            <w:r w:rsidRPr="0015541C">
              <w:rPr>
                <w:sz w:val="22"/>
                <w:szCs w:val="22"/>
                <w:lang w:val="pl-PL"/>
              </w:rPr>
              <w:t>306</w:t>
            </w:r>
          </w:p>
        </w:tc>
      </w:tr>
      <w:tr w:rsidR="00994050" w:rsidRPr="0015541C" w14:paraId="73C71CFD" w14:textId="77777777" w:rsidTr="00D16D61">
        <w:trPr>
          <w:cantSplit/>
          <w:jc w:val="center"/>
        </w:trPr>
        <w:tc>
          <w:tcPr>
            <w:tcW w:w="2674" w:type="pct"/>
            <w:tcBorders>
              <w:left w:val="single" w:sz="8" w:space="0" w:color="auto"/>
              <w:right w:val="single" w:sz="8" w:space="0" w:color="auto"/>
            </w:tcBorders>
          </w:tcPr>
          <w:p w14:paraId="3A838429" w14:textId="77777777" w:rsidR="00994050" w:rsidRPr="0015541C" w:rsidRDefault="00994050" w:rsidP="00D946F7">
            <w:pPr>
              <w:keepNext/>
              <w:spacing w:before="40" w:after="40"/>
              <w:ind w:left="284"/>
              <w:rPr>
                <w:szCs w:val="22"/>
                <w:lang w:val="pl-PL"/>
              </w:rPr>
            </w:pPr>
            <w:r w:rsidRPr="0015541C">
              <w:rPr>
                <w:szCs w:val="22"/>
                <w:lang w:val="pl-PL"/>
              </w:rPr>
              <w:t>Współczynnik (w procentach)</w:t>
            </w:r>
          </w:p>
        </w:tc>
        <w:tc>
          <w:tcPr>
            <w:tcW w:w="1007" w:type="pct"/>
            <w:tcBorders>
              <w:left w:val="single" w:sz="8" w:space="0" w:color="auto"/>
            </w:tcBorders>
          </w:tcPr>
          <w:p w14:paraId="6271FEB8" w14:textId="77777777" w:rsidR="00994050" w:rsidRPr="00AC3958" w:rsidRDefault="00994050" w:rsidP="00D946F7">
            <w:pPr>
              <w:pStyle w:val="TableCellCenter"/>
              <w:rPr>
                <w:sz w:val="22"/>
                <w:szCs w:val="22"/>
                <w:lang w:val="pl-PL"/>
              </w:rPr>
            </w:pPr>
            <w:r w:rsidRPr="0015541C">
              <w:rPr>
                <w:sz w:val="22"/>
                <w:szCs w:val="22"/>
                <w:lang w:val="pl-PL"/>
              </w:rPr>
              <w:t>12,8%</w:t>
            </w:r>
          </w:p>
        </w:tc>
        <w:tc>
          <w:tcPr>
            <w:tcW w:w="1319" w:type="pct"/>
            <w:tcBorders>
              <w:right w:val="single" w:sz="8" w:space="0" w:color="auto"/>
            </w:tcBorders>
          </w:tcPr>
          <w:p w14:paraId="4A45D347" w14:textId="77777777" w:rsidR="00994050" w:rsidRPr="0015541C" w:rsidRDefault="00994050" w:rsidP="00D946F7">
            <w:pPr>
              <w:pStyle w:val="TableCellCenter"/>
              <w:rPr>
                <w:sz w:val="22"/>
                <w:szCs w:val="22"/>
                <w:lang w:val="pl-PL"/>
              </w:rPr>
            </w:pPr>
            <w:r w:rsidRPr="00260CEC">
              <w:rPr>
                <w:sz w:val="22"/>
                <w:szCs w:val="22"/>
                <w:lang w:val="pl-PL"/>
              </w:rPr>
              <w:t>31,4%</w:t>
            </w:r>
          </w:p>
        </w:tc>
      </w:tr>
      <w:tr w:rsidR="00994050" w:rsidRPr="0015541C" w14:paraId="26CD8E15" w14:textId="77777777" w:rsidTr="00D16D61">
        <w:trPr>
          <w:cantSplit/>
          <w:jc w:val="center"/>
        </w:trPr>
        <w:tc>
          <w:tcPr>
            <w:tcW w:w="2674" w:type="pct"/>
            <w:tcBorders>
              <w:left w:val="single" w:sz="8" w:space="0" w:color="auto"/>
              <w:right w:val="single" w:sz="8" w:space="0" w:color="auto"/>
            </w:tcBorders>
          </w:tcPr>
          <w:p w14:paraId="38AFF9B7" w14:textId="77777777" w:rsidR="00994050" w:rsidRPr="0015541C" w:rsidRDefault="00994050" w:rsidP="00A14FD5">
            <w:pPr>
              <w:pStyle w:val="TableCellLeft"/>
              <w:keepNext w:val="0"/>
              <w:keepLines w:val="0"/>
              <w:ind w:left="360"/>
              <w:rPr>
                <w:sz w:val="22"/>
                <w:szCs w:val="22"/>
                <w:lang w:val="pl-PL"/>
              </w:rPr>
            </w:pPr>
          </w:p>
        </w:tc>
        <w:tc>
          <w:tcPr>
            <w:tcW w:w="2326" w:type="pct"/>
            <w:gridSpan w:val="2"/>
            <w:tcBorders>
              <w:left w:val="single" w:sz="8" w:space="0" w:color="auto"/>
              <w:right w:val="single" w:sz="8" w:space="0" w:color="auto"/>
            </w:tcBorders>
          </w:tcPr>
          <w:p w14:paraId="520BB939" w14:textId="77777777" w:rsidR="00994050" w:rsidRPr="0015541C" w:rsidRDefault="00994050" w:rsidP="00A14FD5">
            <w:pPr>
              <w:pStyle w:val="TableCellCenter"/>
              <w:keepNext w:val="0"/>
              <w:keepLines w:val="0"/>
              <w:rPr>
                <w:sz w:val="22"/>
                <w:szCs w:val="22"/>
                <w:lang w:val="pl-PL"/>
              </w:rPr>
            </w:pPr>
            <w:r w:rsidRPr="0015541C">
              <w:rPr>
                <w:sz w:val="22"/>
                <w:szCs w:val="22"/>
                <w:lang w:val="pl-PL"/>
              </w:rPr>
              <w:t xml:space="preserve">(p </w:t>
            </w:r>
            <w:r w:rsidR="00140F25" w:rsidRPr="0015541C">
              <w:rPr>
                <w:sz w:val="22"/>
                <w:szCs w:val="22"/>
                <w:lang w:val="pl-PL"/>
              </w:rPr>
              <w:t>&lt; 0,0001)</w:t>
            </w:r>
          </w:p>
        </w:tc>
      </w:tr>
      <w:tr w:rsidR="00994050" w:rsidRPr="0015541C" w14:paraId="5DEEAC4F" w14:textId="77777777" w:rsidTr="00D16D61">
        <w:trPr>
          <w:cantSplit/>
          <w:jc w:val="center"/>
        </w:trPr>
        <w:tc>
          <w:tcPr>
            <w:tcW w:w="5000" w:type="pct"/>
            <w:gridSpan w:val="3"/>
            <w:tcBorders>
              <w:top w:val="single" w:sz="4" w:space="0" w:color="auto"/>
            </w:tcBorders>
          </w:tcPr>
          <w:p w14:paraId="36D09552" w14:textId="77777777" w:rsidR="00994050" w:rsidRPr="00AC3958" w:rsidRDefault="00994050" w:rsidP="00A14FD5">
            <w:pPr>
              <w:rPr>
                <w:sz w:val="20"/>
                <w:lang w:val="pl-PL"/>
              </w:rPr>
            </w:pPr>
            <w:r w:rsidRPr="0015541C">
              <w:rPr>
                <w:sz w:val="20"/>
                <w:vertAlign w:val="superscript"/>
                <w:lang w:val="pl-PL"/>
              </w:rPr>
              <w:t>a</w:t>
            </w:r>
            <w:r w:rsidRPr="0015541C">
              <w:rPr>
                <w:sz w:val="20"/>
                <w:lang w:val="pl-PL"/>
              </w:rPr>
              <w:t xml:space="preserve"> Interferon alfa-2a 9</w:t>
            </w:r>
            <w:r w:rsidR="0012440C" w:rsidRPr="0015541C">
              <w:rPr>
                <w:sz w:val="20"/>
                <w:lang w:val="pl-PL"/>
              </w:rPr>
              <w:t> ml</w:t>
            </w:r>
            <w:r w:rsidRPr="0015541C">
              <w:rPr>
                <w:sz w:val="20"/>
                <w:lang w:val="pl-PL"/>
              </w:rPr>
              <w:t>n j</w:t>
            </w:r>
            <w:r w:rsidR="00EE020E" w:rsidRPr="00AC3958">
              <w:rPr>
                <w:sz w:val="20"/>
                <w:lang w:val="pl-PL"/>
              </w:rPr>
              <w:t>.</w:t>
            </w:r>
            <w:r w:rsidRPr="00AC3958">
              <w:rPr>
                <w:sz w:val="20"/>
                <w:lang w:val="pl-PL"/>
              </w:rPr>
              <w:t>m. 3 x na tydzień</w:t>
            </w:r>
          </w:p>
          <w:p w14:paraId="7AFD2E85" w14:textId="77777777" w:rsidR="00994050" w:rsidRPr="0015541C" w:rsidRDefault="00994050" w:rsidP="00A14FD5">
            <w:pPr>
              <w:pStyle w:val="TableFooter"/>
              <w:keepNext w:val="0"/>
              <w:keepLines w:val="0"/>
              <w:tabs>
                <w:tab w:val="left" w:pos="1440"/>
              </w:tabs>
              <w:spacing w:before="40" w:after="40" w:line="240" w:lineRule="auto"/>
              <w:rPr>
                <w:lang w:val="pl-PL"/>
              </w:rPr>
            </w:pPr>
            <w:r w:rsidRPr="00260CEC">
              <w:rPr>
                <w:vertAlign w:val="superscript"/>
                <w:lang w:val="pl-PL"/>
              </w:rPr>
              <w:t>b</w:t>
            </w:r>
            <w:r w:rsidRPr="0015541C">
              <w:rPr>
                <w:lang w:val="pl-PL"/>
              </w:rPr>
              <w:t xml:space="preserve"> Bewacyzumab 10</w:t>
            </w:r>
            <w:r w:rsidR="00CD700F" w:rsidRPr="0015541C">
              <w:rPr>
                <w:lang w:val="pl-PL"/>
              </w:rPr>
              <w:t> mg</w:t>
            </w:r>
            <w:r w:rsidRPr="0015541C">
              <w:rPr>
                <w:lang w:val="pl-PL"/>
              </w:rPr>
              <w:t xml:space="preserve">/kg </w:t>
            </w:r>
            <w:r w:rsidR="00EE020E" w:rsidRPr="0015541C">
              <w:rPr>
                <w:lang w:val="pl-PL"/>
              </w:rPr>
              <w:t xml:space="preserve">mc. </w:t>
            </w:r>
            <w:r w:rsidRPr="0015541C">
              <w:rPr>
                <w:lang w:val="pl-PL"/>
              </w:rPr>
              <w:t>co 2 tygodnie</w:t>
            </w:r>
          </w:p>
        </w:tc>
      </w:tr>
    </w:tbl>
    <w:p w14:paraId="2855469D" w14:textId="77777777" w:rsidR="00994050" w:rsidRPr="0015541C" w:rsidRDefault="00994050" w:rsidP="00A14FD5">
      <w:pPr>
        <w:rPr>
          <w:b/>
          <w:lang w:val="pl-PL"/>
        </w:rPr>
      </w:pPr>
    </w:p>
    <w:tbl>
      <w:tblPr>
        <w:tblW w:w="5000" w:type="pct"/>
        <w:jc w:val="center"/>
        <w:tblLayout w:type="fixed"/>
        <w:tblLook w:val="0000" w:firstRow="0" w:lastRow="0" w:firstColumn="0" w:lastColumn="0" w:noHBand="0" w:noVBand="0"/>
      </w:tblPr>
      <w:tblGrid>
        <w:gridCol w:w="4840"/>
        <w:gridCol w:w="1823"/>
        <w:gridCol w:w="2387"/>
      </w:tblGrid>
      <w:tr w:rsidR="0090152D" w:rsidRPr="0015541C" w14:paraId="1BADF5C6" w14:textId="77777777" w:rsidTr="00D16D61">
        <w:trPr>
          <w:cantSplit/>
          <w:jc w:val="center"/>
        </w:trPr>
        <w:tc>
          <w:tcPr>
            <w:tcW w:w="2674" w:type="pct"/>
            <w:tcBorders>
              <w:top w:val="single" w:sz="4" w:space="0" w:color="auto"/>
              <w:left w:val="single" w:sz="8" w:space="0" w:color="auto"/>
              <w:right w:val="single" w:sz="8" w:space="0" w:color="auto"/>
            </w:tcBorders>
          </w:tcPr>
          <w:p w14:paraId="6A82CECC" w14:textId="77777777" w:rsidR="0090152D" w:rsidRPr="0015541C" w:rsidRDefault="00EA3B82" w:rsidP="00A14FD5">
            <w:pPr>
              <w:pStyle w:val="TableCellHead"/>
              <w:keepNext w:val="0"/>
              <w:keepLines w:val="0"/>
              <w:rPr>
                <w:bCs/>
                <w:sz w:val="22"/>
                <w:szCs w:val="22"/>
                <w:u w:val="none"/>
                <w:lang w:val="pl-PL"/>
              </w:rPr>
            </w:pPr>
            <w:r w:rsidRPr="0015541C">
              <w:rPr>
                <w:bCs/>
                <w:sz w:val="22"/>
                <w:szCs w:val="22"/>
                <w:u w:val="none"/>
                <w:lang w:val="pl-PL"/>
              </w:rPr>
              <w:t>Całkowity czas przeżycia</w:t>
            </w:r>
          </w:p>
        </w:tc>
        <w:tc>
          <w:tcPr>
            <w:tcW w:w="1007" w:type="pct"/>
            <w:tcBorders>
              <w:top w:val="single" w:sz="4" w:space="0" w:color="auto"/>
              <w:left w:val="single" w:sz="8" w:space="0" w:color="auto"/>
            </w:tcBorders>
          </w:tcPr>
          <w:p w14:paraId="3744592D" w14:textId="77777777" w:rsidR="0090152D" w:rsidRPr="0015541C" w:rsidRDefault="0090152D" w:rsidP="00A14FD5">
            <w:pPr>
              <w:pStyle w:val="TableCellCenter"/>
              <w:keepNext w:val="0"/>
              <w:keepLines w:val="0"/>
              <w:rPr>
                <w:sz w:val="22"/>
                <w:szCs w:val="22"/>
                <w:lang w:val="pl-PL"/>
              </w:rPr>
            </w:pPr>
          </w:p>
        </w:tc>
        <w:tc>
          <w:tcPr>
            <w:tcW w:w="1319" w:type="pct"/>
            <w:tcBorders>
              <w:top w:val="single" w:sz="4" w:space="0" w:color="auto"/>
              <w:right w:val="single" w:sz="8" w:space="0" w:color="auto"/>
            </w:tcBorders>
          </w:tcPr>
          <w:p w14:paraId="541DF0DB" w14:textId="77777777" w:rsidR="0090152D" w:rsidRPr="00260CEC" w:rsidRDefault="0090152D" w:rsidP="00A14FD5">
            <w:pPr>
              <w:pStyle w:val="TableCellCenter"/>
              <w:keepNext w:val="0"/>
              <w:keepLines w:val="0"/>
              <w:rPr>
                <w:sz w:val="22"/>
                <w:szCs w:val="22"/>
                <w:lang w:val="pl-PL"/>
              </w:rPr>
            </w:pPr>
          </w:p>
        </w:tc>
      </w:tr>
      <w:tr w:rsidR="0090152D" w:rsidRPr="0015541C" w14:paraId="797578BA" w14:textId="77777777" w:rsidTr="00D16D61">
        <w:trPr>
          <w:cantSplit/>
          <w:jc w:val="center"/>
        </w:trPr>
        <w:tc>
          <w:tcPr>
            <w:tcW w:w="2674" w:type="pct"/>
            <w:tcBorders>
              <w:left w:val="single" w:sz="8" w:space="0" w:color="auto"/>
              <w:right w:val="single" w:sz="8" w:space="0" w:color="auto"/>
            </w:tcBorders>
          </w:tcPr>
          <w:p w14:paraId="7BBA7C33" w14:textId="77777777" w:rsidR="0090152D" w:rsidRPr="0015541C" w:rsidRDefault="0090152D" w:rsidP="00A14FD5">
            <w:pPr>
              <w:pStyle w:val="TableCellLeft"/>
              <w:keepNext w:val="0"/>
              <w:keepLines w:val="0"/>
              <w:ind w:left="360"/>
              <w:rPr>
                <w:sz w:val="22"/>
                <w:szCs w:val="22"/>
                <w:lang w:val="pl-PL"/>
              </w:rPr>
            </w:pPr>
            <w:r w:rsidRPr="0015541C">
              <w:rPr>
                <w:sz w:val="22"/>
                <w:szCs w:val="22"/>
                <w:lang w:val="pl-PL"/>
              </w:rPr>
              <w:t>Mediana (miesiące)</w:t>
            </w:r>
          </w:p>
        </w:tc>
        <w:tc>
          <w:tcPr>
            <w:tcW w:w="1007" w:type="pct"/>
            <w:tcBorders>
              <w:left w:val="single" w:sz="8" w:space="0" w:color="auto"/>
            </w:tcBorders>
          </w:tcPr>
          <w:p w14:paraId="3C3BB779" w14:textId="77777777" w:rsidR="0090152D" w:rsidRPr="00AC3958" w:rsidRDefault="0090152D" w:rsidP="00A14FD5">
            <w:pPr>
              <w:pStyle w:val="TableCellCenter"/>
              <w:keepNext w:val="0"/>
              <w:keepLines w:val="0"/>
              <w:rPr>
                <w:sz w:val="22"/>
                <w:szCs w:val="22"/>
                <w:lang w:val="pl-PL"/>
              </w:rPr>
            </w:pPr>
            <w:r w:rsidRPr="0015541C">
              <w:rPr>
                <w:sz w:val="22"/>
                <w:szCs w:val="22"/>
                <w:lang w:val="pl-PL"/>
              </w:rPr>
              <w:t>21,3</w:t>
            </w:r>
          </w:p>
        </w:tc>
        <w:tc>
          <w:tcPr>
            <w:tcW w:w="1319" w:type="pct"/>
            <w:tcBorders>
              <w:right w:val="single" w:sz="8" w:space="0" w:color="auto"/>
            </w:tcBorders>
          </w:tcPr>
          <w:p w14:paraId="59FA7C0A" w14:textId="77777777" w:rsidR="0090152D" w:rsidRPr="0015541C" w:rsidRDefault="0090152D" w:rsidP="00A14FD5">
            <w:pPr>
              <w:pStyle w:val="TableCellCenter"/>
              <w:keepNext w:val="0"/>
              <w:keepLines w:val="0"/>
              <w:rPr>
                <w:sz w:val="22"/>
                <w:szCs w:val="22"/>
                <w:lang w:val="pl-PL"/>
              </w:rPr>
            </w:pPr>
            <w:r w:rsidRPr="00260CEC">
              <w:rPr>
                <w:sz w:val="22"/>
                <w:szCs w:val="22"/>
                <w:lang w:val="pl-PL"/>
              </w:rPr>
              <w:t>23,3</w:t>
            </w:r>
          </w:p>
        </w:tc>
      </w:tr>
      <w:tr w:rsidR="0090152D" w:rsidRPr="0015541C" w14:paraId="250F0021" w14:textId="77777777" w:rsidTr="00D16D61">
        <w:trPr>
          <w:cantSplit/>
          <w:jc w:val="center"/>
        </w:trPr>
        <w:tc>
          <w:tcPr>
            <w:tcW w:w="2674" w:type="pct"/>
            <w:tcBorders>
              <w:left w:val="single" w:sz="8" w:space="0" w:color="auto"/>
              <w:bottom w:val="single" w:sz="4" w:space="0" w:color="auto"/>
              <w:right w:val="single" w:sz="8" w:space="0" w:color="auto"/>
            </w:tcBorders>
          </w:tcPr>
          <w:p w14:paraId="2AA56365" w14:textId="77777777" w:rsidR="0090152D" w:rsidRPr="0015541C" w:rsidRDefault="0090152D" w:rsidP="00A14FD5">
            <w:pPr>
              <w:pStyle w:val="TableCellLeft"/>
              <w:keepNext w:val="0"/>
              <w:keepLines w:val="0"/>
              <w:ind w:left="360"/>
              <w:rPr>
                <w:sz w:val="22"/>
                <w:szCs w:val="22"/>
                <w:lang w:val="pl-PL"/>
              </w:rPr>
            </w:pPr>
            <w:r w:rsidRPr="0015541C">
              <w:rPr>
                <w:sz w:val="22"/>
                <w:szCs w:val="22"/>
                <w:lang w:val="pl-PL"/>
              </w:rPr>
              <w:t>Współczynnik ryzyka</w:t>
            </w:r>
          </w:p>
          <w:p w14:paraId="25E2DBDB" w14:textId="77777777" w:rsidR="0090152D" w:rsidRPr="00AC3958" w:rsidRDefault="0090152D" w:rsidP="00D946F7">
            <w:pPr>
              <w:pStyle w:val="TableCellLeft"/>
              <w:ind w:left="360"/>
              <w:rPr>
                <w:sz w:val="22"/>
                <w:szCs w:val="22"/>
                <w:lang w:val="pl-PL"/>
              </w:rPr>
            </w:pPr>
            <w:r w:rsidRPr="0015541C">
              <w:rPr>
                <w:sz w:val="22"/>
                <w:szCs w:val="22"/>
                <w:lang w:val="pl-PL"/>
              </w:rPr>
              <w:t>95%</w:t>
            </w:r>
            <w:r w:rsidRPr="00AC3958">
              <w:rPr>
                <w:sz w:val="18"/>
                <w:szCs w:val="18"/>
                <w:lang w:val="pl-PL"/>
              </w:rPr>
              <w:t xml:space="preserve"> </w:t>
            </w:r>
            <w:r w:rsidRPr="00AC3958">
              <w:rPr>
                <w:sz w:val="22"/>
                <w:szCs w:val="22"/>
                <w:lang w:val="pl-PL"/>
              </w:rPr>
              <w:t>Cl</w:t>
            </w:r>
          </w:p>
        </w:tc>
        <w:tc>
          <w:tcPr>
            <w:tcW w:w="2326" w:type="pct"/>
            <w:gridSpan w:val="2"/>
            <w:tcBorders>
              <w:left w:val="single" w:sz="8" w:space="0" w:color="auto"/>
              <w:bottom w:val="single" w:sz="4" w:space="0" w:color="auto"/>
              <w:right w:val="single" w:sz="8" w:space="0" w:color="auto"/>
            </w:tcBorders>
          </w:tcPr>
          <w:p w14:paraId="0B1922F3" w14:textId="77777777" w:rsidR="0090152D" w:rsidRPr="0015541C" w:rsidRDefault="0090152D" w:rsidP="00A14FD5">
            <w:pPr>
              <w:pStyle w:val="TableCellCenter"/>
              <w:keepNext w:val="0"/>
              <w:keepLines w:val="0"/>
              <w:rPr>
                <w:sz w:val="22"/>
                <w:szCs w:val="22"/>
                <w:lang w:val="pl-PL"/>
              </w:rPr>
            </w:pPr>
            <w:r w:rsidRPr="00260CEC">
              <w:rPr>
                <w:sz w:val="22"/>
                <w:szCs w:val="22"/>
                <w:lang w:val="pl-PL"/>
              </w:rPr>
              <w:t>0,91</w:t>
            </w:r>
          </w:p>
          <w:p w14:paraId="5E5E7534" w14:textId="77777777" w:rsidR="0090152D" w:rsidRPr="0015541C" w:rsidRDefault="0090152D" w:rsidP="00A14FD5">
            <w:pPr>
              <w:pStyle w:val="TableCellCenter"/>
              <w:keepNext w:val="0"/>
              <w:keepLines w:val="0"/>
              <w:rPr>
                <w:sz w:val="22"/>
                <w:szCs w:val="22"/>
                <w:lang w:val="pl-PL"/>
              </w:rPr>
            </w:pPr>
            <w:r w:rsidRPr="0015541C">
              <w:rPr>
                <w:sz w:val="22"/>
                <w:szCs w:val="22"/>
                <w:lang w:val="pl-PL"/>
              </w:rPr>
              <w:t>0,76, 1,10</w:t>
            </w:r>
          </w:p>
          <w:p w14:paraId="68C33D2E" w14:textId="77777777" w:rsidR="0090152D" w:rsidRPr="0015541C" w:rsidRDefault="0090152D" w:rsidP="00A14FD5">
            <w:pPr>
              <w:pStyle w:val="TableCellCenter"/>
              <w:keepNext w:val="0"/>
              <w:keepLines w:val="0"/>
              <w:rPr>
                <w:sz w:val="22"/>
                <w:szCs w:val="22"/>
                <w:lang w:val="pl-PL"/>
              </w:rPr>
            </w:pPr>
            <w:r w:rsidRPr="0015541C">
              <w:rPr>
                <w:sz w:val="22"/>
                <w:szCs w:val="22"/>
                <w:lang w:val="pl-PL"/>
              </w:rPr>
              <w:t>(p</w:t>
            </w:r>
            <w:r w:rsidR="00140F25" w:rsidRPr="0015541C">
              <w:rPr>
                <w:sz w:val="22"/>
                <w:szCs w:val="22"/>
                <w:lang w:val="pl-PL"/>
              </w:rPr>
              <w:t xml:space="preserve"> 0,3360)</w:t>
            </w:r>
          </w:p>
        </w:tc>
      </w:tr>
    </w:tbl>
    <w:p w14:paraId="4B84B37A" w14:textId="77777777" w:rsidR="0090152D" w:rsidRPr="0015541C" w:rsidRDefault="0090152D" w:rsidP="00994050">
      <w:pPr>
        <w:rPr>
          <w:b/>
          <w:lang w:val="pl-PL"/>
        </w:rPr>
      </w:pPr>
    </w:p>
    <w:p w14:paraId="3CE61FB8" w14:textId="09D5D26E" w:rsidR="00EA3B82" w:rsidRPr="0015541C" w:rsidRDefault="00EA3B82" w:rsidP="00EA3B82">
      <w:pPr>
        <w:rPr>
          <w:bCs/>
          <w:lang w:val="pl-PL"/>
        </w:rPr>
      </w:pPr>
      <w:r w:rsidRPr="0015541C">
        <w:rPr>
          <w:bCs/>
          <w:lang w:val="pl-PL"/>
        </w:rPr>
        <w:t xml:space="preserve">Wieloczynnikowy model badawczy regresji Coxa, wykorzystujący selekcję wsteczną wykazał, że </w:t>
      </w:r>
      <w:r w:rsidR="007B070D" w:rsidRPr="0015541C">
        <w:rPr>
          <w:bCs/>
          <w:lang w:val="pl-PL"/>
        </w:rPr>
        <w:t xml:space="preserve">niezależnie od rodzaju leczenia </w:t>
      </w:r>
      <w:r w:rsidRPr="00AC3958">
        <w:rPr>
          <w:bCs/>
          <w:lang w:val="pl-PL"/>
        </w:rPr>
        <w:t>następujące wyjściowe czynniki prognostyczne były silnie związane z czasem przeżycia: płeć, liczba białych krwi</w:t>
      </w:r>
      <w:r w:rsidR="008A1C2D" w:rsidRPr="00AC3958">
        <w:rPr>
          <w:bCs/>
          <w:lang w:val="pl-PL"/>
        </w:rPr>
        <w:t>nek</w:t>
      </w:r>
      <w:r w:rsidRPr="00AC3958">
        <w:rPr>
          <w:bCs/>
          <w:lang w:val="pl-PL"/>
        </w:rPr>
        <w:t>, liczba płytek krwi, zmniejszenie masy ciała w ciągu 6 miesięcy przed włączeniem do badania, liczba miejsc przerzutowania, suma najdłuższych średnic zmian, wynik w skali Motzera. Po uwzględnieniu tych wyjściowych czynników ryzyka uzyskano współczynnik ryzyka 0,78 (95% CI [</w:t>
      </w:r>
      <w:r w:rsidRPr="00260CEC">
        <w:rPr>
          <w:bCs/>
          <w:lang w:val="pl-PL"/>
        </w:rPr>
        <w:t xml:space="preserve">0,63;0,96], p=0,0219), wskazujący na 22% </w:t>
      </w:r>
      <w:r w:rsidR="00F01C16" w:rsidRPr="0015541C">
        <w:rPr>
          <w:bCs/>
          <w:lang w:val="pl-PL"/>
        </w:rPr>
        <w:t>zmniejszenie</w:t>
      </w:r>
      <w:r w:rsidRPr="0015541C">
        <w:rPr>
          <w:bCs/>
          <w:lang w:val="pl-PL"/>
        </w:rPr>
        <w:t xml:space="preserve"> ryzyka zgonu pacjentów w ramieniu badania otrzymującym </w:t>
      </w:r>
      <w:r w:rsidR="007525F1" w:rsidRPr="0015541C">
        <w:rPr>
          <w:bCs/>
          <w:lang w:val="pl-PL"/>
        </w:rPr>
        <w:t>bewacyzumab</w:t>
      </w:r>
      <w:r w:rsidRPr="0015541C">
        <w:rPr>
          <w:bCs/>
          <w:lang w:val="pl-PL"/>
        </w:rPr>
        <w:t xml:space="preserve"> + IFN alfa-2a w porównaniu z ramieniem otrzymującym IFN alfa-2a.</w:t>
      </w:r>
    </w:p>
    <w:p w14:paraId="635BABDC" w14:textId="77777777" w:rsidR="00EA3B82" w:rsidRPr="0015541C" w:rsidRDefault="00EA3B82" w:rsidP="00EA3B82">
      <w:pPr>
        <w:rPr>
          <w:b/>
          <w:lang w:val="pl-PL"/>
        </w:rPr>
      </w:pPr>
    </w:p>
    <w:p w14:paraId="4EDD04D7" w14:textId="2649963A" w:rsidR="00EA3B82" w:rsidRPr="0015541C" w:rsidRDefault="00EA3B82" w:rsidP="00994050">
      <w:pPr>
        <w:rPr>
          <w:szCs w:val="22"/>
          <w:lang w:val="pl-PL" w:eastAsia="zh-CN"/>
        </w:rPr>
      </w:pPr>
      <w:r w:rsidRPr="0015541C">
        <w:rPr>
          <w:szCs w:val="22"/>
          <w:lang w:val="pl-PL" w:eastAsia="zh-CN"/>
        </w:rPr>
        <w:t>Dziewięćd</w:t>
      </w:r>
      <w:r w:rsidR="00BC026D" w:rsidRPr="0015541C">
        <w:rPr>
          <w:szCs w:val="22"/>
          <w:lang w:val="pl-PL" w:eastAsia="zh-CN"/>
        </w:rPr>
        <w:t>ziesięciu siedmiu pacjentom</w:t>
      </w:r>
      <w:r w:rsidRPr="0015541C">
        <w:rPr>
          <w:szCs w:val="22"/>
          <w:lang w:val="pl-PL" w:eastAsia="zh-CN"/>
        </w:rPr>
        <w:t xml:space="preserve"> w ramieniu otrzymującym interfero</w:t>
      </w:r>
      <w:r w:rsidR="00BC026D" w:rsidRPr="0015541C">
        <w:rPr>
          <w:szCs w:val="22"/>
          <w:lang w:val="pl-PL" w:eastAsia="zh-CN"/>
        </w:rPr>
        <w:t xml:space="preserve">n </w:t>
      </w:r>
      <w:r w:rsidR="007B070D" w:rsidRPr="0015541C">
        <w:rPr>
          <w:szCs w:val="22"/>
          <w:lang w:val="pl-PL" w:eastAsia="zh-CN"/>
        </w:rPr>
        <w:t xml:space="preserve">alfa-2a </w:t>
      </w:r>
      <w:r w:rsidR="00BC026D" w:rsidRPr="0015541C">
        <w:rPr>
          <w:szCs w:val="22"/>
          <w:lang w:val="pl-PL" w:eastAsia="zh-CN"/>
        </w:rPr>
        <w:t>i 131 pacjentom</w:t>
      </w:r>
      <w:r w:rsidRPr="0015541C">
        <w:rPr>
          <w:szCs w:val="22"/>
          <w:lang w:val="pl-PL" w:eastAsia="zh-CN"/>
        </w:rPr>
        <w:t xml:space="preserve"> w ramieniu otrzymującym </w:t>
      </w:r>
      <w:r w:rsidR="007525F1" w:rsidRPr="0015541C">
        <w:rPr>
          <w:szCs w:val="22"/>
          <w:lang w:val="pl-PL" w:eastAsia="zh-CN"/>
        </w:rPr>
        <w:t>bewacyzumab</w:t>
      </w:r>
      <w:r w:rsidRPr="0015541C">
        <w:rPr>
          <w:szCs w:val="22"/>
          <w:lang w:val="pl-PL" w:eastAsia="zh-CN"/>
        </w:rPr>
        <w:t xml:space="preserve"> </w:t>
      </w:r>
      <w:r w:rsidR="002C5111" w:rsidRPr="0015541C">
        <w:rPr>
          <w:szCs w:val="22"/>
          <w:lang w:val="pl-PL" w:eastAsia="zh-CN"/>
        </w:rPr>
        <w:t>zmniejszono</w:t>
      </w:r>
      <w:r w:rsidRPr="0015541C">
        <w:rPr>
          <w:szCs w:val="22"/>
          <w:lang w:val="pl-PL" w:eastAsia="zh-CN"/>
        </w:rPr>
        <w:t xml:space="preserve"> dawkę interferonu </w:t>
      </w:r>
      <w:r w:rsidRPr="0015541C">
        <w:rPr>
          <w:lang w:val="pl-PL"/>
        </w:rPr>
        <w:t>alfa-2a</w:t>
      </w:r>
      <w:r w:rsidRPr="0015541C">
        <w:rPr>
          <w:szCs w:val="22"/>
          <w:lang w:val="pl-PL" w:eastAsia="zh-CN"/>
        </w:rPr>
        <w:t xml:space="preserve"> z 9</w:t>
      </w:r>
      <w:r w:rsidR="0012440C" w:rsidRPr="0015541C">
        <w:rPr>
          <w:szCs w:val="22"/>
          <w:lang w:val="pl-PL" w:eastAsia="zh-CN"/>
        </w:rPr>
        <w:t> ml</w:t>
      </w:r>
      <w:r w:rsidRPr="0015541C">
        <w:rPr>
          <w:szCs w:val="22"/>
          <w:lang w:val="pl-PL" w:eastAsia="zh-CN"/>
        </w:rPr>
        <w:t>n j</w:t>
      </w:r>
      <w:r w:rsidR="002C5111" w:rsidRPr="0015541C">
        <w:rPr>
          <w:szCs w:val="22"/>
          <w:lang w:val="pl-PL" w:eastAsia="zh-CN"/>
        </w:rPr>
        <w:t>.</w:t>
      </w:r>
      <w:r w:rsidRPr="0015541C">
        <w:rPr>
          <w:szCs w:val="22"/>
          <w:lang w:val="pl-PL" w:eastAsia="zh-CN"/>
        </w:rPr>
        <w:t>m. do 6</w:t>
      </w:r>
      <w:r w:rsidR="0012440C" w:rsidRPr="0015541C">
        <w:rPr>
          <w:szCs w:val="22"/>
          <w:lang w:val="pl-PL" w:eastAsia="zh-CN"/>
        </w:rPr>
        <w:t> ml</w:t>
      </w:r>
      <w:r w:rsidRPr="0015541C">
        <w:rPr>
          <w:szCs w:val="22"/>
          <w:lang w:val="pl-PL" w:eastAsia="zh-CN"/>
        </w:rPr>
        <w:t>n j</w:t>
      </w:r>
      <w:r w:rsidR="002C5111" w:rsidRPr="0015541C">
        <w:rPr>
          <w:szCs w:val="22"/>
          <w:lang w:val="pl-PL" w:eastAsia="zh-CN"/>
        </w:rPr>
        <w:t>.</w:t>
      </w:r>
      <w:r w:rsidRPr="0015541C">
        <w:rPr>
          <w:szCs w:val="22"/>
          <w:lang w:val="pl-PL" w:eastAsia="zh-CN"/>
        </w:rPr>
        <w:t xml:space="preserve">m. </w:t>
      </w:r>
      <w:r w:rsidR="002C5111" w:rsidRPr="0015541C">
        <w:rPr>
          <w:szCs w:val="22"/>
          <w:lang w:val="pl-PL" w:eastAsia="zh-CN"/>
        </w:rPr>
        <w:t>lub</w:t>
      </w:r>
      <w:r w:rsidRPr="0015541C">
        <w:rPr>
          <w:szCs w:val="22"/>
          <w:lang w:val="pl-PL" w:eastAsia="zh-CN"/>
        </w:rPr>
        <w:t xml:space="preserve"> 3</w:t>
      </w:r>
      <w:r w:rsidR="0012440C" w:rsidRPr="0015541C">
        <w:rPr>
          <w:szCs w:val="22"/>
          <w:lang w:val="pl-PL" w:eastAsia="zh-CN"/>
        </w:rPr>
        <w:t> ml</w:t>
      </w:r>
      <w:r w:rsidRPr="0015541C">
        <w:rPr>
          <w:szCs w:val="22"/>
          <w:lang w:val="pl-PL" w:eastAsia="zh-CN"/>
        </w:rPr>
        <w:t>n j</w:t>
      </w:r>
      <w:r w:rsidR="002C5111" w:rsidRPr="0015541C">
        <w:rPr>
          <w:szCs w:val="22"/>
          <w:lang w:val="pl-PL" w:eastAsia="zh-CN"/>
        </w:rPr>
        <w:t>.</w:t>
      </w:r>
      <w:r w:rsidRPr="0015541C">
        <w:rPr>
          <w:szCs w:val="22"/>
          <w:lang w:val="pl-PL" w:eastAsia="zh-CN"/>
        </w:rPr>
        <w:t xml:space="preserve">m. 3 razy na tydzień, jak to było ustalone na wstępie w protokole. </w:t>
      </w:r>
      <w:r w:rsidR="002C5111" w:rsidRPr="0015541C">
        <w:rPr>
          <w:szCs w:val="22"/>
          <w:lang w:val="pl-PL" w:eastAsia="zh-CN"/>
        </w:rPr>
        <w:t xml:space="preserve">Zmniejszenie </w:t>
      </w:r>
      <w:r w:rsidRPr="0015541C">
        <w:rPr>
          <w:szCs w:val="22"/>
          <w:lang w:val="pl-PL" w:eastAsia="zh-CN"/>
        </w:rPr>
        <w:t xml:space="preserve">dawki interferonu </w:t>
      </w:r>
      <w:r w:rsidRPr="0015541C">
        <w:rPr>
          <w:lang w:val="pl-PL"/>
        </w:rPr>
        <w:t>alfa-2a</w:t>
      </w:r>
      <w:r w:rsidRPr="0015541C">
        <w:rPr>
          <w:szCs w:val="22"/>
          <w:lang w:val="pl-PL" w:eastAsia="zh-CN"/>
        </w:rPr>
        <w:t xml:space="preserve"> nie miał</w:t>
      </w:r>
      <w:r w:rsidR="002C5111" w:rsidRPr="0015541C">
        <w:rPr>
          <w:szCs w:val="22"/>
          <w:lang w:val="pl-PL" w:eastAsia="zh-CN"/>
        </w:rPr>
        <w:t>o</w:t>
      </w:r>
      <w:r w:rsidRPr="0015541C">
        <w:rPr>
          <w:szCs w:val="22"/>
          <w:lang w:val="pl-PL" w:eastAsia="zh-CN"/>
        </w:rPr>
        <w:t xml:space="preserve"> wpływu na skuteczność skojarzenia </w:t>
      </w:r>
      <w:r w:rsidR="007525F1" w:rsidRPr="0015541C">
        <w:rPr>
          <w:szCs w:val="22"/>
          <w:lang w:val="pl-PL" w:eastAsia="zh-CN"/>
        </w:rPr>
        <w:t>bewacyzumab</w:t>
      </w:r>
      <w:r w:rsidRPr="0015541C">
        <w:rPr>
          <w:szCs w:val="22"/>
          <w:lang w:val="pl-PL" w:eastAsia="zh-CN"/>
        </w:rPr>
        <w:t xml:space="preserve">u i interferonu </w:t>
      </w:r>
      <w:r w:rsidRPr="0015541C">
        <w:rPr>
          <w:lang w:val="pl-PL"/>
        </w:rPr>
        <w:t>alfa-2a</w:t>
      </w:r>
      <w:r w:rsidRPr="0015541C">
        <w:rPr>
          <w:szCs w:val="22"/>
          <w:lang w:val="pl-PL" w:eastAsia="zh-CN"/>
        </w:rPr>
        <w:t>, w oparciu o odsetek występowania przeżyć do progresji choroby (PFS) w czasie, jak wykazano to w analizie podgrup badania. 131 p</w:t>
      </w:r>
      <w:r w:rsidR="00BC026D" w:rsidRPr="0015541C">
        <w:rPr>
          <w:szCs w:val="22"/>
          <w:lang w:val="pl-PL" w:eastAsia="zh-CN"/>
        </w:rPr>
        <w:t>acjentów w ramieniu otrzymujących</w:t>
      </w:r>
      <w:r w:rsidRPr="0015541C">
        <w:rPr>
          <w:szCs w:val="22"/>
          <w:lang w:val="pl-PL" w:eastAsia="zh-CN"/>
        </w:rPr>
        <w:t xml:space="preserve"> bewacyzumab </w:t>
      </w:r>
      <w:r w:rsidR="006D70D9" w:rsidRPr="0015541C">
        <w:rPr>
          <w:szCs w:val="22"/>
          <w:lang w:val="pl-PL" w:eastAsia="zh-CN"/>
        </w:rPr>
        <w:t>+</w:t>
      </w:r>
      <w:r w:rsidRPr="0015541C">
        <w:rPr>
          <w:szCs w:val="22"/>
          <w:lang w:val="pl-PL" w:eastAsia="zh-CN"/>
        </w:rPr>
        <w:t xml:space="preserve"> interferon </w:t>
      </w:r>
      <w:r w:rsidRPr="0015541C">
        <w:rPr>
          <w:lang w:val="pl-PL"/>
        </w:rPr>
        <w:t>alfa-2a</w:t>
      </w:r>
      <w:r w:rsidRPr="0015541C">
        <w:rPr>
          <w:szCs w:val="22"/>
          <w:lang w:val="pl-PL" w:eastAsia="zh-CN"/>
        </w:rPr>
        <w:t>,</w:t>
      </w:r>
      <w:r w:rsidR="00BC026D" w:rsidRPr="0015541C">
        <w:rPr>
          <w:szCs w:val="22"/>
          <w:lang w:val="pl-PL" w:eastAsia="zh-CN"/>
        </w:rPr>
        <w:t xml:space="preserve"> którym </w:t>
      </w:r>
      <w:r w:rsidR="009E11EE" w:rsidRPr="0015541C">
        <w:rPr>
          <w:szCs w:val="22"/>
          <w:lang w:val="pl-PL" w:eastAsia="zh-CN"/>
        </w:rPr>
        <w:t>zmniejszono</w:t>
      </w:r>
      <w:r w:rsidRPr="0015541C">
        <w:rPr>
          <w:szCs w:val="22"/>
          <w:lang w:val="pl-PL" w:eastAsia="zh-CN"/>
        </w:rPr>
        <w:t xml:space="preserve"> dawkę i pozostawali leczeni dawką interferonu </w:t>
      </w:r>
      <w:r w:rsidRPr="0015541C">
        <w:rPr>
          <w:lang w:val="pl-PL"/>
        </w:rPr>
        <w:t>alfa-2a</w:t>
      </w:r>
      <w:r w:rsidRPr="0015541C">
        <w:rPr>
          <w:szCs w:val="22"/>
          <w:lang w:val="pl-PL" w:eastAsia="zh-CN"/>
        </w:rPr>
        <w:t xml:space="preserve"> wynoszącą 6</w:t>
      </w:r>
      <w:r w:rsidR="0012440C" w:rsidRPr="0015541C">
        <w:rPr>
          <w:szCs w:val="22"/>
          <w:lang w:val="pl-PL" w:eastAsia="zh-CN"/>
        </w:rPr>
        <w:t> ml</w:t>
      </w:r>
      <w:r w:rsidRPr="0015541C">
        <w:rPr>
          <w:szCs w:val="22"/>
          <w:lang w:val="pl-PL" w:eastAsia="zh-CN"/>
        </w:rPr>
        <w:t>n j</w:t>
      </w:r>
      <w:r w:rsidR="009E11EE" w:rsidRPr="0015541C">
        <w:rPr>
          <w:szCs w:val="22"/>
          <w:lang w:val="pl-PL" w:eastAsia="zh-CN"/>
        </w:rPr>
        <w:t>.</w:t>
      </w:r>
      <w:r w:rsidRPr="0015541C">
        <w:rPr>
          <w:szCs w:val="22"/>
          <w:lang w:val="pl-PL" w:eastAsia="zh-CN"/>
        </w:rPr>
        <w:t>m. lub 3</w:t>
      </w:r>
      <w:r w:rsidR="0012440C" w:rsidRPr="0015541C">
        <w:rPr>
          <w:szCs w:val="22"/>
          <w:lang w:val="pl-PL" w:eastAsia="zh-CN"/>
        </w:rPr>
        <w:t> ml</w:t>
      </w:r>
      <w:r w:rsidRPr="0015541C">
        <w:rPr>
          <w:szCs w:val="22"/>
          <w:lang w:val="pl-PL" w:eastAsia="zh-CN"/>
        </w:rPr>
        <w:t>n j</w:t>
      </w:r>
      <w:r w:rsidR="009E11EE" w:rsidRPr="0015541C">
        <w:rPr>
          <w:szCs w:val="22"/>
          <w:lang w:val="pl-PL" w:eastAsia="zh-CN"/>
        </w:rPr>
        <w:t>.</w:t>
      </w:r>
      <w:r w:rsidRPr="0015541C">
        <w:rPr>
          <w:szCs w:val="22"/>
          <w:lang w:val="pl-PL" w:eastAsia="zh-CN"/>
        </w:rPr>
        <w:t xml:space="preserve">m. w czasie badania odznaczało się odsetkiem czasu do progresji choroby w 6, 12 i 18 miesiącu, wynoszącym odpowiednio: 73, 52 i 21%, w porównaniu do 61, 43 i 17% w całej populacji pacjentów otrzymujących </w:t>
      </w:r>
      <w:r w:rsidR="007525F1" w:rsidRPr="0015541C">
        <w:rPr>
          <w:szCs w:val="22"/>
          <w:lang w:val="pl-PL" w:eastAsia="zh-CN"/>
        </w:rPr>
        <w:t>bewacyzumab</w:t>
      </w:r>
      <w:r w:rsidRPr="0015541C">
        <w:rPr>
          <w:szCs w:val="22"/>
          <w:lang w:val="pl-PL" w:eastAsia="zh-CN"/>
        </w:rPr>
        <w:t xml:space="preserve"> z interferonem </w:t>
      </w:r>
      <w:r w:rsidRPr="0015541C">
        <w:rPr>
          <w:lang w:val="pl-PL"/>
        </w:rPr>
        <w:t>alfa-2a</w:t>
      </w:r>
      <w:r w:rsidRPr="0015541C">
        <w:rPr>
          <w:szCs w:val="22"/>
          <w:lang w:val="pl-PL" w:eastAsia="zh-CN"/>
        </w:rPr>
        <w:t>.</w:t>
      </w:r>
    </w:p>
    <w:p w14:paraId="100F97DB" w14:textId="77777777" w:rsidR="00EA3B82" w:rsidRPr="0015541C" w:rsidRDefault="00EA3B82" w:rsidP="00994050">
      <w:pPr>
        <w:rPr>
          <w:b/>
          <w:lang w:val="pl-PL"/>
        </w:rPr>
      </w:pPr>
    </w:p>
    <w:p w14:paraId="414167AD" w14:textId="77777777" w:rsidR="00994050" w:rsidRPr="0015541C" w:rsidRDefault="00994050" w:rsidP="00FE0559">
      <w:pPr>
        <w:rPr>
          <w:b/>
          <w:lang w:val="pl-PL"/>
        </w:rPr>
      </w:pPr>
      <w:r w:rsidRPr="0015541C">
        <w:rPr>
          <w:i/>
          <w:lang w:val="pl-PL"/>
        </w:rPr>
        <w:t>AVF2938</w:t>
      </w:r>
    </w:p>
    <w:p w14:paraId="05333DC1" w14:textId="6ACEBD42" w:rsidR="00994050" w:rsidRPr="0015541C" w:rsidRDefault="00994050" w:rsidP="00FE0559">
      <w:pPr>
        <w:rPr>
          <w:lang w:val="pl-PL"/>
        </w:rPr>
      </w:pPr>
      <w:r w:rsidRPr="0015541C">
        <w:rPr>
          <w:bCs/>
          <w:lang w:val="pl-PL"/>
        </w:rPr>
        <w:t xml:space="preserve">Przeprowadzono randomizowane, podwójnie zaślepione badanie kliniczne II fazy porównujące </w:t>
      </w:r>
      <w:r w:rsidR="007525F1" w:rsidRPr="0015541C">
        <w:rPr>
          <w:bCs/>
          <w:lang w:val="pl-PL"/>
        </w:rPr>
        <w:t>bewacyzumab</w:t>
      </w:r>
      <w:r w:rsidRPr="0015541C">
        <w:rPr>
          <w:bCs/>
          <w:lang w:val="pl-PL"/>
        </w:rPr>
        <w:t xml:space="preserve"> 10 mg/kg mc. w dwutygodniowym schemacie podawania z tą samą dawką </w:t>
      </w:r>
      <w:r w:rsidR="007525F1" w:rsidRPr="0015541C">
        <w:rPr>
          <w:bCs/>
          <w:lang w:val="pl-PL"/>
        </w:rPr>
        <w:t>bewacyzumab</w:t>
      </w:r>
      <w:r w:rsidRPr="0015541C">
        <w:rPr>
          <w:bCs/>
          <w:lang w:val="pl-PL"/>
        </w:rPr>
        <w:t xml:space="preserve">u w skojarzeniu z dawką 150 mg erlotynibu na dobę w grupie pacjentów z jasnokomórkowym rakiem nerki z przerzutami. W badaniu zrandomizowano do leczenia 104 pacjentów. Pięćdziesięciu trzech pacjentów otrzymywało </w:t>
      </w:r>
      <w:r w:rsidR="007525F1" w:rsidRPr="0015541C">
        <w:rPr>
          <w:bCs/>
          <w:lang w:val="pl-PL"/>
        </w:rPr>
        <w:t>bewacyzumab</w:t>
      </w:r>
      <w:r w:rsidRPr="0015541C">
        <w:rPr>
          <w:bCs/>
          <w:lang w:val="pl-PL"/>
        </w:rPr>
        <w:t xml:space="preserve"> w dawce 10 mg/kg mc. co 2 tygodnie razem z placebo, 54 </w:t>
      </w:r>
      <w:r w:rsidR="007525F1" w:rsidRPr="0015541C">
        <w:rPr>
          <w:bCs/>
          <w:lang w:val="pl-PL"/>
        </w:rPr>
        <w:t>bewacyzumab</w:t>
      </w:r>
      <w:r w:rsidRPr="0015541C">
        <w:rPr>
          <w:bCs/>
          <w:lang w:val="pl-PL"/>
        </w:rPr>
        <w:t xml:space="preserve"> 10 mg/kg mc. co 2 tygodnie razem z erlotynibem 150 mg na dobę. Analiza pierwszorzędowego punktu końcowego nie wykazała różnicy między ramionami </w:t>
      </w:r>
      <w:r w:rsidR="007525F1" w:rsidRPr="0015541C">
        <w:rPr>
          <w:bCs/>
          <w:lang w:val="pl-PL"/>
        </w:rPr>
        <w:t>bewacyzumab</w:t>
      </w:r>
      <w:r w:rsidRPr="0015541C">
        <w:rPr>
          <w:bCs/>
          <w:lang w:val="pl-PL"/>
        </w:rPr>
        <w:t xml:space="preserve"> + placebo i </w:t>
      </w:r>
      <w:r w:rsidR="007525F1" w:rsidRPr="0015541C">
        <w:rPr>
          <w:bCs/>
          <w:lang w:val="pl-PL"/>
        </w:rPr>
        <w:t>bewacyzumab</w:t>
      </w:r>
      <w:r w:rsidRPr="0015541C">
        <w:rPr>
          <w:bCs/>
          <w:lang w:val="pl-PL"/>
        </w:rPr>
        <w:t xml:space="preserve"> + erlotynib (mediana czasu wolnego od progresji 8,5 vs. 9,9). Siedmiu pacjentów w każdym z ramion wykazało obiektywn</w:t>
      </w:r>
      <w:r w:rsidR="007725BE" w:rsidRPr="0015541C">
        <w:rPr>
          <w:bCs/>
          <w:lang w:val="pl-PL"/>
        </w:rPr>
        <w:t>ą</w:t>
      </w:r>
      <w:r w:rsidRPr="0015541C">
        <w:rPr>
          <w:bCs/>
          <w:lang w:val="pl-PL"/>
        </w:rPr>
        <w:t xml:space="preserve"> odpowiedź. Dodanie erlotynibu do bewacyzumabu nie spowodowało poprawy OS (</w:t>
      </w:r>
      <w:r w:rsidRPr="0015541C">
        <w:rPr>
          <w:lang w:val="pl-PL"/>
        </w:rPr>
        <w:t>HR = 1,764; p = 0,1789), długości czasu występowania obiektywnej odpowiedzi (6,7 vs. 9,1 miesiąca) czy czasu do progresji objawów (HR = 1,172; p = 0,5076).</w:t>
      </w:r>
    </w:p>
    <w:p w14:paraId="19D4C9CA" w14:textId="77777777" w:rsidR="00994050" w:rsidRPr="0015541C" w:rsidRDefault="00994050" w:rsidP="00994050">
      <w:pPr>
        <w:rPr>
          <w:b/>
          <w:lang w:val="pl-PL"/>
        </w:rPr>
      </w:pPr>
    </w:p>
    <w:p w14:paraId="134E1876" w14:textId="77777777" w:rsidR="00994050" w:rsidRPr="0015541C" w:rsidRDefault="00994050" w:rsidP="00A14FD5">
      <w:pPr>
        <w:rPr>
          <w:bCs/>
          <w:i/>
          <w:lang w:val="pl-PL"/>
        </w:rPr>
      </w:pPr>
      <w:r w:rsidRPr="0015541C">
        <w:rPr>
          <w:i/>
          <w:lang w:val="pl-PL"/>
        </w:rPr>
        <w:t>AVF0890</w:t>
      </w:r>
    </w:p>
    <w:p w14:paraId="360D24AF" w14:textId="77777777" w:rsidR="00994050" w:rsidRPr="0015541C" w:rsidRDefault="00994050" w:rsidP="00994050">
      <w:pPr>
        <w:rPr>
          <w:bCs/>
          <w:lang w:val="pl-PL"/>
        </w:rPr>
      </w:pPr>
      <w:r w:rsidRPr="0015541C">
        <w:rPr>
          <w:bCs/>
          <w:lang w:val="pl-PL"/>
        </w:rPr>
        <w:t xml:space="preserve">To randomizowane badanie II fazy zaprojektowano by porównać skuteczność i bezpieczeństwo stosowania bewacyzumabu vs. placebo. Ogólnie do badania przydzielono losowo 116 pacjentów, 39 (n = 39) otrzymywało bewacyzumab 3 mg/kg mc. co 2 tygodnie, 37 (n = 37) bewacyzumab 10 mg/kg mc. co 2 tygodnie a 40 (n = 40) placebo. Analiza w trakcie badania wykazała, że w grupie otrzymującej 10 mg/kg mc. bewacyzumabu w porównaniu z grupą placebo wystąpiła mała różnica dotycząca wydłużenia czasu do progresji choroby </w:t>
      </w:r>
      <w:r w:rsidRPr="0015541C">
        <w:rPr>
          <w:rFonts w:eastAsia="PMingLiU"/>
          <w:lang w:val="pl-PL" w:eastAsia="zh-CN"/>
        </w:rPr>
        <w:t>(współczynnik ryzyka względnego, 2,55; p&lt;0,001)</w:t>
      </w:r>
      <w:r w:rsidRPr="0015541C">
        <w:rPr>
          <w:bCs/>
          <w:lang w:val="pl-PL"/>
        </w:rPr>
        <w:t xml:space="preserve">. Zaobserwowano również graniczną znamienność między czasem do progresji choroby w grupie otrzymującej 3 mg/kg mc. bewacyzumabu w porównaniu do grupy placebo </w:t>
      </w:r>
      <w:r w:rsidRPr="0015541C">
        <w:rPr>
          <w:rFonts w:eastAsia="PMingLiU"/>
          <w:lang w:val="pl-PL" w:eastAsia="zh-CN"/>
        </w:rPr>
        <w:t>(współczynnik ryzyka względnego, 1,26; p&lt;0,053). Czworo pacjentów miało obiektywną (częściową) odpowiedź na leczenie, a wszyscy, którzy otrzymali bewacyzumab w dawce 10 mg/kg mc. odznaczali się współczynnikiem całkowitej odpowiedzi na leczenie wynoszącym 10%</w:t>
      </w:r>
      <w:r w:rsidRPr="0015541C">
        <w:rPr>
          <w:bCs/>
          <w:lang w:val="pl-PL"/>
        </w:rPr>
        <w:t>.</w:t>
      </w:r>
    </w:p>
    <w:p w14:paraId="314521CB" w14:textId="77777777" w:rsidR="00FB7525" w:rsidRPr="0015541C" w:rsidRDefault="00FB7525" w:rsidP="00994050">
      <w:pPr>
        <w:rPr>
          <w:bCs/>
          <w:lang w:val="pl-PL"/>
        </w:rPr>
      </w:pPr>
    </w:p>
    <w:p w14:paraId="442E48E1" w14:textId="77777777" w:rsidR="00FB7525" w:rsidRPr="0015541C" w:rsidRDefault="00FB7525" w:rsidP="00FB7525">
      <w:pPr>
        <w:rPr>
          <w:rFonts w:eastAsia="PMingLiU"/>
          <w:i/>
          <w:u w:val="single"/>
          <w:lang w:val="pl-PL" w:eastAsia="zh-CN"/>
        </w:rPr>
      </w:pPr>
      <w:r w:rsidRPr="0015541C">
        <w:rPr>
          <w:rFonts w:eastAsia="PMingLiU"/>
          <w:i/>
          <w:u w:val="single"/>
          <w:lang w:val="pl-PL" w:eastAsia="zh-CN"/>
        </w:rPr>
        <w:t>Rak jajnika, rak jajowodu i pierwotny rak otrzewnej</w:t>
      </w:r>
    </w:p>
    <w:p w14:paraId="3EAEBB4D" w14:textId="77777777" w:rsidR="006F5522" w:rsidRPr="0015541C" w:rsidRDefault="006F5522" w:rsidP="00FB7525">
      <w:pPr>
        <w:rPr>
          <w:rFonts w:eastAsia="PMingLiU"/>
          <w:i/>
          <w:u w:val="single"/>
          <w:lang w:val="pl-PL" w:eastAsia="zh-CN"/>
        </w:rPr>
      </w:pPr>
    </w:p>
    <w:p w14:paraId="50545176" w14:textId="77777777" w:rsidR="0096109D" w:rsidRPr="0015541C" w:rsidRDefault="0096109D" w:rsidP="00FB7525">
      <w:pPr>
        <w:rPr>
          <w:rFonts w:eastAsia="PMingLiU"/>
          <w:i/>
          <w:lang w:val="pl-PL" w:eastAsia="zh-CN"/>
        </w:rPr>
      </w:pPr>
      <w:r w:rsidRPr="0015541C">
        <w:rPr>
          <w:rFonts w:eastAsia="PMingLiU"/>
          <w:i/>
          <w:lang w:val="pl-PL" w:eastAsia="zh-CN"/>
        </w:rPr>
        <w:t>Leczenie pierwszego rzutu u pacjentek z rakiem jajnika</w:t>
      </w:r>
    </w:p>
    <w:p w14:paraId="4DC60990" w14:textId="77777777" w:rsidR="0096109D" w:rsidRPr="0015541C" w:rsidRDefault="0096109D" w:rsidP="00FB7525">
      <w:pPr>
        <w:rPr>
          <w:rFonts w:eastAsia="PMingLiU"/>
          <w:lang w:val="pl-PL" w:eastAsia="zh-CN"/>
        </w:rPr>
      </w:pPr>
    </w:p>
    <w:p w14:paraId="4169B028" w14:textId="77777777" w:rsidR="00FB7525" w:rsidRPr="0015541C" w:rsidRDefault="00FB7525" w:rsidP="00FB7525">
      <w:pPr>
        <w:rPr>
          <w:rFonts w:eastAsia="PMingLiU"/>
          <w:lang w:val="pl-PL" w:eastAsia="zh-CN"/>
        </w:rPr>
      </w:pPr>
      <w:r w:rsidRPr="0015541C">
        <w:rPr>
          <w:rFonts w:eastAsia="PMingLiU"/>
          <w:lang w:val="pl-PL" w:eastAsia="zh-CN"/>
        </w:rPr>
        <w:t xml:space="preserve">Skuteczność i bezpieczeństwo </w:t>
      </w:r>
      <w:r w:rsidR="006A3066" w:rsidRPr="0015541C">
        <w:rPr>
          <w:rFonts w:eastAsia="PMingLiU"/>
          <w:lang w:val="pl-PL" w:eastAsia="zh-CN"/>
        </w:rPr>
        <w:t>bewacyzumab</w:t>
      </w:r>
      <w:r w:rsidRPr="0015541C">
        <w:rPr>
          <w:rFonts w:eastAsia="PMingLiU"/>
          <w:lang w:val="pl-PL" w:eastAsia="zh-CN"/>
        </w:rPr>
        <w:t xml:space="preserve">u w pierwszej linii leczenia u pacjentek z rakiem jajnika, rakiem jajowodu i pierwotnym rakiem otrzewnej były przedmiotem dwóch badań fazy III (GOG-0218 i BO17707), w których oceniano </w:t>
      </w:r>
      <w:r w:rsidR="006A3066" w:rsidRPr="0015541C">
        <w:rPr>
          <w:rFonts w:eastAsia="PMingLiU"/>
          <w:lang w:val="pl-PL" w:eastAsia="zh-CN"/>
        </w:rPr>
        <w:t>bewacyzumab</w:t>
      </w:r>
      <w:r w:rsidRPr="0015541C">
        <w:rPr>
          <w:rFonts w:eastAsia="PMingLiU"/>
          <w:lang w:val="pl-PL" w:eastAsia="zh-CN"/>
        </w:rPr>
        <w:t xml:space="preserve"> </w:t>
      </w:r>
      <w:r w:rsidR="00977366" w:rsidRPr="0015541C">
        <w:rPr>
          <w:rFonts w:eastAsia="PMingLiU"/>
          <w:lang w:val="pl-PL" w:eastAsia="zh-CN"/>
        </w:rPr>
        <w:t xml:space="preserve">dodany </w:t>
      </w:r>
      <w:r w:rsidRPr="0015541C">
        <w:rPr>
          <w:rFonts w:eastAsia="PMingLiU"/>
          <w:lang w:val="pl-PL" w:eastAsia="zh-CN"/>
        </w:rPr>
        <w:t>do schematu zawierającego karboplatynę i paklitaksel</w:t>
      </w:r>
      <w:r w:rsidR="00977366" w:rsidRPr="0015541C">
        <w:rPr>
          <w:rFonts w:eastAsia="PMingLiU"/>
          <w:lang w:val="pl-PL" w:eastAsia="zh-CN"/>
        </w:rPr>
        <w:t>,</w:t>
      </w:r>
      <w:r w:rsidRPr="0015541C">
        <w:rPr>
          <w:rFonts w:eastAsia="PMingLiU"/>
          <w:lang w:val="pl-PL" w:eastAsia="zh-CN"/>
        </w:rPr>
        <w:t xml:space="preserve"> w porównaniu do samej chemioterapii</w:t>
      </w:r>
      <w:r w:rsidR="00E6419D" w:rsidRPr="0015541C">
        <w:rPr>
          <w:rFonts w:eastAsia="PMingLiU"/>
          <w:lang w:val="pl-PL" w:eastAsia="zh-CN"/>
        </w:rPr>
        <w:t xml:space="preserve"> karboplatyną z paklitakselem</w:t>
      </w:r>
      <w:r w:rsidRPr="0015541C">
        <w:rPr>
          <w:rFonts w:eastAsia="PMingLiU"/>
          <w:lang w:val="pl-PL" w:eastAsia="zh-CN"/>
        </w:rPr>
        <w:t>.</w:t>
      </w:r>
    </w:p>
    <w:p w14:paraId="0E97B604" w14:textId="77777777" w:rsidR="00FB7525" w:rsidRPr="0015541C" w:rsidRDefault="00FB7525" w:rsidP="00FB7525">
      <w:pPr>
        <w:rPr>
          <w:rFonts w:eastAsia="PMingLiU"/>
          <w:lang w:val="pl-PL" w:eastAsia="zh-CN"/>
        </w:rPr>
      </w:pPr>
    </w:p>
    <w:p w14:paraId="6D2E75DE" w14:textId="77777777" w:rsidR="00FB7525" w:rsidRPr="0015541C" w:rsidRDefault="00FB7525" w:rsidP="00FB7525">
      <w:pPr>
        <w:rPr>
          <w:rFonts w:eastAsia="PMingLiU"/>
          <w:i/>
          <w:lang w:val="pl-PL" w:eastAsia="zh-CN"/>
        </w:rPr>
      </w:pPr>
      <w:r w:rsidRPr="0015541C">
        <w:rPr>
          <w:rFonts w:eastAsia="PMingLiU"/>
          <w:i/>
          <w:lang w:val="pl-PL" w:eastAsia="zh-CN"/>
        </w:rPr>
        <w:t>GOG-0218</w:t>
      </w:r>
    </w:p>
    <w:p w14:paraId="2A6CAB41" w14:textId="77777777" w:rsidR="00616D37" w:rsidRPr="0015541C" w:rsidRDefault="00FB7525" w:rsidP="00FB7525">
      <w:pPr>
        <w:rPr>
          <w:rFonts w:eastAsia="PMingLiU"/>
          <w:lang w:val="pl-PL" w:eastAsia="zh-CN"/>
        </w:rPr>
      </w:pPr>
      <w:r w:rsidRPr="0015541C">
        <w:rPr>
          <w:rFonts w:eastAsia="PMingLiU"/>
          <w:lang w:val="pl-PL" w:eastAsia="zh-CN"/>
        </w:rPr>
        <w:t>Badanie GOG-0218 było wieloośrodkowym randomizowanym badaniem fazy III, z podwójnie ślepą próbą i kontrolą placebo, prowadzonym w trzech grupach</w:t>
      </w:r>
      <w:r w:rsidR="00E6419D" w:rsidRPr="0015541C">
        <w:rPr>
          <w:rFonts w:eastAsia="PMingLiU"/>
          <w:lang w:val="pl-PL" w:eastAsia="zh-CN"/>
        </w:rPr>
        <w:t>.</w:t>
      </w:r>
      <w:r w:rsidRPr="0015541C">
        <w:rPr>
          <w:rFonts w:eastAsia="PMingLiU"/>
          <w:lang w:val="pl-PL" w:eastAsia="zh-CN"/>
        </w:rPr>
        <w:t xml:space="preserve"> </w:t>
      </w:r>
      <w:r w:rsidR="00E6419D" w:rsidRPr="0015541C">
        <w:rPr>
          <w:rFonts w:eastAsia="PMingLiU"/>
          <w:lang w:val="pl-PL" w:eastAsia="zh-CN"/>
        </w:rPr>
        <w:t>W badaniu tym</w:t>
      </w:r>
      <w:r w:rsidRPr="0015541C">
        <w:rPr>
          <w:rFonts w:eastAsia="PMingLiU"/>
          <w:lang w:val="pl-PL" w:eastAsia="zh-CN"/>
        </w:rPr>
        <w:t xml:space="preserve"> oceniano </w:t>
      </w:r>
      <w:r w:rsidR="006A3066" w:rsidRPr="0015541C">
        <w:rPr>
          <w:rFonts w:eastAsia="PMingLiU"/>
          <w:lang w:val="pl-PL" w:eastAsia="zh-CN"/>
        </w:rPr>
        <w:t>bewacyzumab</w:t>
      </w:r>
      <w:r w:rsidRPr="0015541C">
        <w:rPr>
          <w:rFonts w:eastAsia="PMingLiU"/>
          <w:lang w:val="pl-PL" w:eastAsia="zh-CN"/>
        </w:rPr>
        <w:t xml:space="preserve"> </w:t>
      </w:r>
      <w:r w:rsidR="00977366" w:rsidRPr="0015541C">
        <w:rPr>
          <w:rFonts w:eastAsia="PMingLiU"/>
          <w:lang w:val="pl-PL" w:eastAsia="zh-CN"/>
        </w:rPr>
        <w:t xml:space="preserve">dodany </w:t>
      </w:r>
      <w:r w:rsidRPr="0015541C">
        <w:rPr>
          <w:rFonts w:eastAsia="PMingLiU"/>
          <w:lang w:val="pl-PL" w:eastAsia="zh-CN"/>
        </w:rPr>
        <w:t xml:space="preserve">do </w:t>
      </w:r>
      <w:r w:rsidR="004F3C6E" w:rsidRPr="0015541C">
        <w:rPr>
          <w:rFonts w:eastAsia="PMingLiU"/>
          <w:lang w:val="pl-PL" w:eastAsia="zh-CN"/>
        </w:rPr>
        <w:t xml:space="preserve">zatwierdzonej </w:t>
      </w:r>
      <w:r w:rsidRPr="0015541C">
        <w:rPr>
          <w:rFonts w:eastAsia="PMingLiU"/>
          <w:lang w:val="pl-PL" w:eastAsia="zh-CN"/>
        </w:rPr>
        <w:t xml:space="preserve">chemioterapii (karboplatyna i paklitaksel) u chorych na </w:t>
      </w:r>
      <w:r w:rsidR="004F3C6E" w:rsidRPr="0015541C">
        <w:rPr>
          <w:rFonts w:eastAsia="PMingLiU"/>
          <w:lang w:val="pl-PL" w:eastAsia="zh-CN"/>
        </w:rPr>
        <w:t xml:space="preserve">zaawansowanego </w:t>
      </w:r>
      <w:r w:rsidR="005C4F82" w:rsidRPr="0015541C">
        <w:rPr>
          <w:rFonts w:eastAsia="PMingLiU"/>
          <w:lang w:val="pl-PL" w:eastAsia="zh-CN"/>
        </w:rPr>
        <w:br/>
      </w:r>
      <w:r w:rsidR="004F3C6E" w:rsidRPr="0015541C">
        <w:rPr>
          <w:rFonts w:eastAsia="PMingLiU"/>
          <w:lang w:val="pl-PL" w:eastAsia="zh-CN"/>
        </w:rPr>
        <w:t>(</w:t>
      </w:r>
      <w:r w:rsidR="004F3C6E" w:rsidRPr="0015541C">
        <w:rPr>
          <w:lang w:val="pl-PL"/>
        </w:rPr>
        <w:t>w stadium IIIB, IIIC i IV wg klasyfikacji FIGO</w:t>
      </w:r>
      <w:r w:rsidR="00601D12" w:rsidRPr="0015541C">
        <w:rPr>
          <w:lang w:val="pl-PL"/>
        </w:rPr>
        <w:t>, wersja z 1988 r.</w:t>
      </w:r>
      <w:r w:rsidR="004F3C6E" w:rsidRPr="0015541C">
        <w:rPr>
          <w:lang w:val="pl-PL"/>
        </w:rPr>
        <w:t>)</w:t>
      </w:r>
      <w:r w:rsidR="004F3C6E" w:rsidRPr="0015541C">
        <w:rPr>
          <w:rFonts w:eastAsia="PMingLiU"/>
          <w:lang w:val="pl-PL" w:eastAsia="zh-CN"/>
        </w:rPr>
        <w:t xml:space="preserve"> </w:t>
      </w:r>
      <w:r w:rsidRPr="0015541C">
        <w:rPr>
          <w:rFonts w:eastAsia="PMingLiU"/>
          <w:lang w:val="pl-PL" w:eastAsia="zh-CN"/>
        </w:rPr>
        <w:t xml:space="preserve">raka jajnika, raka jajowodu lub pierwotnego raka otrzewnej. </w:t>
      </w:r>
    </w:p>
    <w:p w14:paraId="25F29BC8" w14:textId="77777777" w:rsidR="00D20862" w:rsidRPr="0015541C" w:rsidRDefault="00D20862" w:rsidP="00FB7525">
      <w:pPr>
        <w:rPr>
          <w:rFonts w:eastAsia="PMingLiU"/>
          <w:lang w:val="pl-PL" w:eastAsia="zh-CN"/>
        </w:rPr>
      </w:pPr>
    </w:p>
    <w:p w14:paraId="674EFFDA" w14:textId="77777777" w:rsidR="00FB7525" w:rsidRPr="0015541C" w:rsidRDefault="00DC4506" w:rsidP="00FB7525">
      <w:pPr>
        <w:rPr>
          <w:rFonts w:eastAsia="PMingLiU"/>
          <w:lang w:val="pl-PL" w:eastAsia="zh-CN"/>
        </w:rPr>
      </w:pPr>
      <w:r w:rsidRPr="0015541C">
        <w:rPr>
          <w:rFonts w:eastAsia="PMingLiU"/>
          <w:lang w:val="pl-PL" w:eastAsia="zh-CN"/>
        </w:rPr>
        <w:t xml:space="preserve">Z badania zostały wyłączone pacjentki leczone uprzednio bewacyzumabem lub otrzymujące leczenie systemowe z powodu raka jajnika (np. chemioterapię, terapię przeciwciałami monoklonalnymi, </w:t>
      </w:r>
      <w:r w:rsidRPr="0015541C">
        <w:rPr>
          <w:rFonts w:eastAsia="PMingLiU"/>
          <w:lang w:val="pl-PL" w:eastAsia="zh-CN"/>
        </w:rPr>
        <w:lastRenderedPageBreak/>
        <w:t xml:space="preserve">inhibitorami kinazy tyrozynowej lub terapię hormonalną) oraz pacjentki poddawane naświetlaniom jamy brzusznej lub miednicy. </w:t>
      </w:r>
    </w:p>
    <w:p w14:paraId="5CBA30E0" w14:textId="77777777" w:rsidR="00FB7525" w:rsidRPr="0015541C" w:rsidRDefault="00FB7525" w:rsidP="00FB7525">
      <w:pPr>
        <w:rPr>
          <w:rFonts w:eastAsia="PMingLiU"/>
          <w:lang w:val="pl-PL" w:eastAsia="zh-CN"/>
        </w:rPr>
      </w:pPr>
    </w:p>
    <w:p w14:paraId="6DF1E3AE" w14:textId="183F83BE" w:rsidR="00FB7525" w:rsidRPr="0015541C" w:rsidRDefault="00FB7525" w:rsidP="00BC3A2D">
      <w:pPr>
        <w:keepNext/>
        <w:rPr>
          <w:rFonts w:eastAsia="PMingLiU"/>
          <w:lang w:val="pl-PL" w:eastAsia="zh-CN"/>
        </w:rPr>
      </w:pPr>
      <w:r w:rsidRPr="0015541C">
        <w:rPr>
          <w:rFonts w:eastAsia="PMingLiU"/>
          <w:lang w:val="pl-PL" w:eastAsia="zh-CN"/>
        </w:rPr>
        <w:t>Łącznie zrandomizowano 1873 pacjentk</w:t>
      </w:r>
      <w:r w:rsidR="00B8305E" w:rsidRPr="0015541C">
        <w:rPr>
          <w:rFonts w:eastAsia="PMingLiU"/>
          <w:lang w:val="pl-PL" w:eastAsia="zh-CN"/>
        </w:rPr>
        <w:t>i</w:t>
      </w:r>
      <w:r w:rsidRPr="0015541C">
        <w:rPr>
          <w:rFonts w:eastAsia="PMingLiU"/>
          <w:lang w:val="pl-PL" w:eastAsia="zh-CN"/>
        </w:rPr>
        <w:t xml:space="preserve"> w równych proporcjach do leczenia </w:t>
      </w:r>
      <w:r w:rsidR="006F571E" w:rsidRPr="0015541C">
        <w:rPr>
          <w:rFonts w:eastAsia="PMingLiU"/>
          <w:lang w:val="pl-PL" w:eastAsia="zh-CN"/>
        </w:rPr>
        <w:t>według następujących schematów</w:t>
      </w:r>
      <w:r w:rsidRPr="0015541C">
        <w:rPr>
          <w:rFonts w:eastAsia="PMingLiU"/>
          <w:lang w:val="pl-PL" w:eastAsia="zh-CN"/>
        </w:rPr>
        <w:t>:</w:t>
      </w:r>
    </w:p>
    <w:p w14:paraId="73B87009" w14:textId="0676EE30" w:rsidR="006F571E" w:rsidRPr="0015541C" w:rsidRDefault="00660780" w:rsidP="00660780">
      <w:pPr>
        <w:tabs>
          <w:tab w:val="left" w:pos="964"/>
        </w:tabs>
        <w:ind w:left="938" w:hanging="598"/>
        <w:rPr>
          <w:rFonts w:eastAsia="PMingLiU"/>
          <w:lang w:val="pl-PL" w:eastAsia="zh-CN"/>
        </w:rPr>
      </w:pPr>
      <w:r w:rsidRPr="0015541C">
        <w:rPr>
          <w:rFonts w:eastAsia="PMingLiU"/>
          <w:lang w:val="pl-PL" w:eastAsia="zh-CN"/>
        </w:rPr>
        <w:sym w:font="Symbol" w:char="F0B7"/>
      </w:r>
      <w:r w:rsidRPr="0015541C">
        <w:rPr>
          <w:rFonts w:eastAsia="PMingLiU"/>
          <w:lang w:val="pl-PL" w:eastAsia="zh-CN"/>
        </w:rPr>
        <w:tab/>
      </w:r>
      <w:r w:rsidR="006F571E" w:rsidRPr="0015541C">
        <w:rPr>
          <w:rFonts w:eastAsia="PMingLiU"/>
          <w:lang w:val="pl-PL" w:eastAsia="zh-CN"/>
        </w:rPr>
        <w:t>Grupa CPP: pięć cykli placebo (początek podawania w cyklu 2) w skojarzeniu z karboplatyną (AUC 6) i paklitakselem (175 mg/m</w:t>
      </w:r>
      <w:r w:rsidR="006F571E" w:rsidRPr="0015541C">
        <w:rPr>
          <w:rFonts w:eastAsia="PMingLiU"/>
          <w:vertAlign w:val="superscript"/>
          <w:lang w:val="pl-PL" w:eastAsia="zh-CN"/>
        </w:rPr>
        <w:t>2</w:t>
      </w:r>
      <w:r w:rsidR="00B8305E" w:rsidRPr="00AC3958">
        <w:rPr>
          <w:rFonts w:eastAsia="PMingLiU"/>
          <w:lang w:val="pl-PL" w:eastAsia="zh-CN"/>
        </w:rPr>
        <w:t xml:space="preserve"> pc.</w:t>
      </w:r>
      <w:r w:rsidR="006F571E" w:rsidRPr="00260CEC">
        <w:rPr>
          <w:rFonts w:eastAsia="PMingLiU"/>
          <w:lang w:val="pl-PL" w:eastAsia="zh-CN"/>
        </w:rPr>
        <w:t xml:space="preserve">) przez </w:t>
      </w:r>
      <w:r w:rsidR="00241E2A" w:rsidRPr="0015541C">
        <w:rPr>
          <w:rFonts w:eastAsia="PMingLiU"/>
          <w:lang w:val="pl-PL" w:eastAsia="zh-CN"/>
        </w:rPr>
        <w:t>6</w:t>
      </w:r>
      <w:r w:rsidR="006F571E" w:rsidRPr="0015541C">
        <w:rPr>
          <w:rFonts w:eastAsia="PMingLiU"/>
          <w:lang w:val="pl-PL" w:eastAsia="zh-CN"/>
        </w:rPr>
        <w:t xml:space="preserve"> cykli, a następnie placebo w monoterapii, przez maksymalnie 15 miesięcy</w:t>
      </w:r>
      <w:r w:rsidR="00616D37" w:rsidRPr="0015541C">
        <w:rPr>
          <w:rFonts w:eastAsia="PMingLiU"/>
          <w:lang w:val="pl-PL" w:eastAsia="zh-CN"/>
        </w:rPr>
        <w:t>.</w:t>
      </w:r>
    </w:p>
    <w:p w14:paraId="05AF03C8" w14:textId="6E8EDD9A" w:rsidR="006F571E" w:rsidRPr="0015541C" w:rsidRDefault="000D125E" w:rsidP="00667B27">
      <w:pPr>
        <w:ind w:left="924" w:hanging="567"/>
        <w:rPr>
          <w:rFonts w:eastAsia="PMingLiU"/>
          <w:lang w:val="pl-PL" w:eastAsia="zh-CN"/>
        </w:rPr>
      </w:pPr>
      <w:r w:rsidRPr="0015541C">
        <w:rPr>
          <w:rFonts w:eastAsia="PMingLiU"/>
          <w:lang w:val="pl-PL" w:eastAsia="zh-CN"/>
        </w:rPr>
        <w:sym w:font="Symbol" w:char="F0B7"/>
      </w:r>
      <w:r w:rsidRPr="0015541C">
        <w:rPr>
          <w:rFonts w:eastAsia="PMingLiU"/>
          <w:lang w:val="pl-PL" w:eastAsia="zh-CN"/>
        </w:rPr>
        <w:tab/>
      </w:r>
      <w:r w:rsidR="006F571E" w:rsidRPr="0015541C">
        <w:rPr>
          <w:rFonts w:eastAsia="PMingLiU"/>
          <w:lang w:val="pl-PL" w:eastAsia="zh-CN"/>
        </w:rPr>
        <w:t xml:space="preserve">Grupa CPB15: pięć cykli </w:t>
      </w:r>
      <w:r w:rsidR="00B10F7B" w:rsidRPr="0015541C">
        <w:rPr>
          <w:rFonts w:eastAsia="PMingLiU"/>
          <w:lang w:val="pl-PL" w:eastAsia="zh-CN"/>
        </w:rPr>
        <w:t>bewacyzumab</w:t>
      </w:r>
      <w:r w:rsidR="006F571E" w:rsidRPr="0015541C">
        <w:rPr>
          <w:rFonts w:eastAsia="PMingLiU"/>
          <w:lang w:val="pl-PL" w:eastAsia="zh-CN"/>
        </w:rPr>
        <w:t>u (15 mg/kg</w:t>
      </w:r>
      <w:r w:rsidR="00134F0F" w:rsidRPr="00AC3958">
        <w:rPr>
          <w:rFonts w:eastAsia="PMingLiU"/>
          <w:lang w:val="pl-PL" w:eastAsia="zh-CN"/>
        </w:rPr>
        <w:t xml:space="preserve"> mc. </w:t>
      </w:r>
      <w:r w:rsidR="00241E2A" w:rsidRPr="00AC3958">
        <w:rPr>
          <w:rFonts w:eastAsia="PMingLiU"/>
          <w:lang w:val="pl-PL" w:eastAsia="zh-CN"/>
        </w:rPr>
        <w:t xml:space="preserve">raz na trzy </w:t>
      </w:r>
      <w:r w:rsidR="00241E2A" w:rsidRPr="00260CEC">
        <w:rPr>
          <w:rFonts w:eastAsia="PMingLiU"/>
          <w:lang w:val="pl-PL" w:eastAsia="zh-CN"/>
        </w:rPr>
        <w:t>tygodnie</w:t>
      </w:r>
      <w:r w:rsidR="006F571E" w:rsidRPr="0015541C">
        <w:rPr>
          <w:rFonts w:eastAsia="PMingLiU"/>
          <w:lang w:val="pl-PL" w:eastAsia="zh-CN"/>
        </w:rPr>
        <w:t>, początek podawania w cyklu 2) w skojarzeniu z karboplatyną (AUC 6) i paklitakselem (175 mg/m</w:t>
      </w:r>
      <w:r w:rsidR="006F571E" w:rsidRPr="0015541C">
        <w:rPr>
          <w:rFonts w:eastAsia="PMingLiU"/>
          <w:vertAlign w:val="superscript"/>
          <w:lang w:val="pl-PL" w:eastAsia="zh-CN"/>
        </w:rPr>
        <w:t>2</w:t>
      </w:r>
      <w:r w:rsidR="00B8305E" w:rsidRPr="0015541C">
        <w:rPr>
          <w:rFonts w:eastAsia="PMingLiU"/>
          <w:lang w:val="pl-PL" w:eastAsia="zh-CN"/>
        </w:rPr>
        <w:t xml:space="preserve"> pc.</w:t>
      </w:r>
      <w:r w:rsidR="006F571E" w:rsidRPr="0015541C">
        <w:rPr>
          <w:rFonts w:eastAsia="PMingLiU"/>
          <w:lang w:val="pl-PL" w:eastAsia="zh-CN"/>
        </w:rPr>
        <w:t xml:space="preserve">) przez </w:t>
      </w:r>
      <w:r w:rsidR="00977366" w:rsidRPr="0015541C">
        <w:rPr>
          <w:rFonts w:eastAsia="PMingLiU"/>
          <w:lang w:val="pl-PL" w:eastAsia="zh-CN"/>
        </w:rPr>
        <w:t>6</w:t>
      </w:r>
      <w:r w:rsidR="006F571E" w:rsidRPr="0015541C">
        <w:rPr>
          <w:rFonts w:eastAsia="PMingLiU"/>
          <w:lang w:val="pl-PL" w:eastAsia="zh-CN"/>
        </w:rPr>
        <w:t xml:space="preserve"> cykli, a następnie placebo w monoterapii, przez maksymalnie 15 miesięcy</w:t>
      </w:r>
      <w:r w:rsidR="00616D37" w:rsidRPr="0015541C">
        <w:rPr>
          <w:rFonts w:eastAsia="PMingLiU"/>
          <w:lang w:val="pl-PL" w:eastAsia="zh-CN"/>
        </w:rPr>
        <w:t>.</w:t>
      </w:r>
    </w:p>
    <w:p w14:paraId="2630C289" w14:textId="79D8610A" w:rsidR="006F571E" w:rsidRPr="0015541C" w:rsidRDefault="000D125E" w:rsidP="002C0295">
      <w:pPr>
        <w:keepNext/>
        <w:keepLines/>
        <w:ind w:left="924" w:hanging="567"/>
        <w:rPr>
          <w:rFonts w:eastAsia="PMingLiU"/>
          <w:lang w:val="pl-PL" w:eastAsia="zh-CN"/>
        </w:rPr>
      </w:pPr>
      <w:r w:rsidRPr="0015541C">
        <w:rPr>
          <w:rFonts w:eastAsia="PMingLiU"/>
          <w:lang w:val="pl-PL" w:eastAsia="zh-CN"/>
        </w:rPr>
        <w:sym w:font="Symbol" w:char="F0B7"/>
      </w:r>
      <w:r w:rsidRPr="0015541C">
        <w:rPr>
          <w:rFonts w:eastAsia="PMingLiU"/>
          <w:lang w:val="pl-PL" w:eastAsia="zh-CN"/>
        </w:rPr>
        <w:tab/>
      </w:r>
      <w:r w:rsidR="006F571E" w:rsidRPr="0015541C">
        <w:rPr>
          <w:rFonts w:eastAsia="PMingLiU"/>
          <w:lang w:val="pl-PL" w:eastAsia="zh-CN"/>
        </w:rPr>
        <w:t xml:space="preserve">Grupa CPB15+: pięć cykli </w:t>
      </w:r>
      <w:r w:rsidR="00B10F7B" w:rsidRPr="0015541C">
        <w:rPr>
          <w:rFonts w:eastAsia="PMingLiU"/>
          <w:lang w:val="pl-PL" w:eastAsia="zh-CN"/>
        </w:rPr>
        <w:t>bewacyzumab</w:t>
      </w:r>
      <w:r w:rsidR="006F571E" w:rsidRPr="0015541C">
        <w:rPr>
          <w:rFonts w:eastAsia="PMingLiU"/>
          <w:lang w:val="pl-PL" w:eastAsia="zh-CN"/>
        </w:rPr>
        <w:t xml:space="preserve">u (15 mg/kg </w:t>
      </w:r>
      <w:r w:rsidR="00134F0F" w:rsidRPr="00AC3958">
        <w:rPr>
          <w:rFonts w:eastAsia="PMingLiU"/>
          <w:lang w:val="pl-PL" w:eastAsia="zh-CN"/>
        </w:rPr>
        <w:t xml:space="preserve">mc. </w:t>
      </w:r>
      <w:r w:rsidR="00241E2A" w:rsidRPr="00AC3958">
        <w:rPr>
          <w:rFonts w:eastAsia="PMingLiU"/>
          <w:lang w:val="pl-PL" w:eastAsia="zh-CN"/>
        </w:rPr>
        <w:t xml:space="preserve">raz na trzy </w:t>
      </w:r>
      <w:r w:rsidR="00241E2A" w:rsidRPr="00260CEC">
        <w:rPr>
          <w:rFonts w:eastAsia="PMingLiU"/>
          <w:lang w:val="pl-PL" w:eastAsia="zh-CN"/>
        </w:rPr>
        <w:t>tygodnie</w:t>
      </w:r>
      <w:r w:rsidR="006F571E" w:rsidRPr="0015541C">
        <w:rPr>
          <w:rFonts w:eastAsia="PMingLiU"/>
          <w:lang w:val="pl-PL" w:eastAsia="zh-CN"/>
        </w:rPr>
        <w:t>, początek podawania w cyklu 2) w skojarzeniu z karboplatyną (AUC 6) i paklitakselem (175 mg/m</w:t>
      </w:r>
      <w:r w:rsidR="006F571E" w:rsidRPr="0015541C">
        <w:rPr>
          <w:rFonts w:eastAsia="PMingLiU"/>
          <w:vertAlign w:val="superscript"/>
          <w:lang w:val="pl-PL" w:eastAsia="zh-CN"/>
        </w:rPr>
        <w:t>2</w:t>
      </w:r>
      <w:r w:rsidR="00B8305E" w:rsidRPr="0015541C">
        <w:rPr>
          <w:rFonts w:eastAsia="PMingLiU"/>
          <w:lang w:val="pl-PL" w:eastAsia="zh-CN"/>
        </w:rPr>
        <w:t xml:space="preserve"> pc.</w:t>
      </w:r>
      <w:r w:rsidR="006F571E" w:rsidRPr="0015541C">
        <w:rPr>
          <w:rFonts w:eastAsia="PMingLiU"/>
          <w:lang w:val="pl-PL" w:eastAsia="zh-CN"/>
        </w:rPr>
        <w:t xml:space="preserve">) przez 6 cykli, a następnie </w:t>
      </w:r>
      <w:r w:rsidR="00B10F7B" w:rsidRPr="0015541C">
        <w:rPr>
          <w:rFonts w:eastAsia="PMingLiU"/>
          <w:lang w:val="pl-PL" w:eastAsia="zh-CN"/>
        </w:rPr>
        <w:t>bewacyzumab</w:t>
      </w:r>
      <w:r w:rsidR="006F571E" w:rsidRPr="0015541C">
        <w:rPr>
          <w:rFonts w:eastAsia="PMingLiU"/>
          <w:lang w:val="pl-PL" w:eastAsia="zh-CN"/>
        </w:rPr>
        <w:t xml:space="preserve"> (15 mg/kg </w:t>
      </w:r>
      <w:r w:rsidR="00134F0F" w:rsidRPr="0015541C">
        <w:rPr>
          <w:rFonts w:eastAsia="PMingLiU"/>
          <w:lang w:val="pl-PL" w:eastAsia="zh-CN"/>
        </w:rPr>
        <w:t xml:space="preserve">mc. </w:t>
      </w:r>
      <w:r w:rsidR="00241E2A" w:rsidRPr="0015541C">
        <w:rPr>
          <w:rFonts w:eastAsia="PMingLiU"/>
          <w:lang w:val="pl-PL" w:eastAsia="zh-CN"/>
        </w:rPr>
        <w:t>raz na trzy tygodnie</w:t>
      </w:r>
      <w:r w:rsidR="006F571E" w:rsidRPr="0015541C">
        <w:rPr>
          <w:rFonts w:eastAsia="PMingLiU"/>
          <w:lang w:val="pl-PL" w:eastAsia="zh-CN"/>
        </w:rPr>
        <w:t xml:space="preserve">) w monoterapii, przez maksymalnie 15 miesięcy. </w:t>
      </w:r>
    </w:p>
    <w:p w14:paraId="37A3C20F" w14:textId="77777777" w:rsidR="006F571E" w:rsidRPr="0015541C" w:rsidRDefault="006F571E" w:rsidP="006F571E">
      <w:pPr>
        <w:rPr>
          <w:rFonts w:eastAsia="PMingLiU"/>
          <w:lang w:val="pl-PL" w:eastAsia="zh-CN"/>
        </w:rPr>
      </w:pPr>
    </w:p>
    <w:p w14:paraId="20588D72" w14:textId="7D0FC5D3" w:rsidR="00230A42" w:rsidRPr="0015541C" w:rsidRDefault="00230A42" w:rsidP="00230A42">
      <w:pPr>
        <w:rPr>
          <w:rFonts w:eastAsia="PMingLiU"/>
          <w:lang w:val="pl-PL" w:eastAsia="zh-CN"/>
        </w:rPr>
      </w:pPr>
      <w:r w:rsidRPr="0015541C">
        <w:rPr>
          <w:rFonts w:eastAsia="PMingLiU"/>
          <w:lang w:val="pl-PL" w:eastAsia="zh-CN"/>
        </w:rPr>
        <w:t xml:space="preserve">Większość </w:t>
      </w:r>
      <w:r w:rsidR="00D71AC9" w:rsidRPr="0015541C">
        <w:rPr>
          <w:rFonts w:eastAsia="PMingLiU"/>
          <w:lang w:val="pl-PL" w:eastAsia="zh-CN"/>
        </w:rPr>
        <w:t>chorych</w:t>
      </w:r>
      <w:r w:rsidRPr="0015541C">
        <w:rPr>
          <w:rFonts w:eastAsia="PMingLiU"/>
          <w:lang w:val="pl-PL" w:eastAsia="zh-CN"/>
        </w:rPr>
        <w:t xml:space="preserve"> włączonych do badania </w:t>
      </w:r>
      <w:r w:rsidR="00D71AC9" w:rsidRPr="0015541C">
        <w:rPr>
          <w:rFonts w:eastAsia="PMingLiU"/>
          <w:lang w:val="pl-PL" w:eastAsia="zh-CN"/>
        </w:rPr>
        <w:t>należała do rasy białej</w:t>
      </w:r>
      <w:r w:rsidRPr="0015541C">
        <w:rPr>
          <w:rFonts w:eastAsia="PMingLiU"/>
          <w:lang w:val="pl-PL" w:eastAsia="zh-CN"/>
        </w:rPr>
        <w:t xml:space="preserve"> (87% w trzech ramionach); mediana wieku wynosiła 60 lat w grupach CPP i CPB15 oraz 59 w grupie CPB15+; 29% pacjentów w grupach CPP i CPB15 i 26% w grupie CPB15+ było w wieku powyżej 65 lat. Ogółem, </w:t>
      </w:r>
      <w:r w:rsidR="00A17BC8" w:rsidRPr="0015541C">
        <w:rPr>
          <w:rFonts w:eastAsia="PMingLiU"/>
          <w:lang w:val="pl-PL" w:eastAsia="zh-CN"/>
        </w:rPr>
        <w:t xml:space="preserve">u około 50% pacjentów sprawność według klasyfikacji </w:t>
      </w:r>
      <w:r w:rsidR="00075AC7" w:rsidRPr="0015541C">
        <w:rPr>
          <w:rFonts w:eastAsia="PMingLiU"/>
          <w:lang w:val="pl-PL" w:eastAsia="zh-CN"/>
        </w:rPr>
        <w:t>G</w:t>
      </w:r>
      <w:r w:rsidR="00A17BC8" w:rsidRPr="0015541C">
        <w:rPr>
          <w:rFonts w:eastAsia="PMingLiU"/>
          <w:lang w:val="pl-PL" w:eastAsia="zh-CN"/>
        </w:rPr>
        <w:t xml:space="preserve">OG w czasie włączenia do badania wynosiła 0, </w:t>
      </w:r>
      <w:r w:rsidR="00075AC7" w:rsidRPr="0015541C">
        <w:rPr>
          <w:rFonts w:eastAsia="PMingLiU"/>
          <w:lang w:val="pl-PL" w:eastAsia="zh-CN"/>
        </w:rPr>
        <w:t xml:space="preserve">u </w:t>
      </w:r>
      <w:r w:rsidR="00A17BC8" w:rsidRPr="0015541C">
        <w:rPr>
          <w:rFonts w:eastAsia="PMingLiU"/>
          <w:lang w:val="pl-PL" w:eastAsia="zh-CN"/>
        </w:rPr>
        <w:t>43%</w:t>
      </w:r>
      <w:r w:rsidR="00075AC7" w:rsidRPr="0015541C">
        <w:rPr>
          <w:rFonts w:eastAsia="PMingLiU"/>
          <w:lang w:val="pl-PL" w:eastAsia="zh-CN"/>
        </w:rPr>
        <w:t xml:space="preserve"> chorych stopień sprawności wynosił </w:t>
      </w:r>
      <w:r w:rsidR="00A17BC8" w:rsidRPr="0015541C">
        <w:rPr>
          <w:rFonts w:eastAsia="PMingLiU"/>
          <w:lang w:val="pl-PL" w:eastAsia="zh-CN"/>
        </w:rPr>
        <w:t>1 i u</w:t>
      </w:r>
      <w:r w:rsidR="00075AC7" w:rsidRPr="0015541C">
        <w:rPr>
          <w:rFonts w:eastAsia="PMingLiU"/>
          <w:lang w:val="pl-PL" w:eastAsia="zh-CN"/>
        </w:rPr>
        <w:t xml:space="preserve"> </w:t>
      </w:r>
      <w:r w:rsidR="00A17BC8" w:rsidRPr="0015541C">
        <w:rPr>
          <w:rFonts w:eastAsia="PMingLiU"/>
          <w:lang w:val="pl-PL" w:eastAsia="zh-CN"/>
        </w:rPr>
        <w:t>7%</w:t>
      </w:r>
      <w:r w:rsidR="00075AC7" w:rsidRPr="0015541C">
        <w:rPr>
          <w:rFonts w:eastAsia="PMingLiU"/>
          <w:lang w:val="pl-PL" w:eastAsia="zh-CN"/>
        </w:rPr>
        <w:t xml:space="preserve"> </w:t>
      </w:r>
      <w:r w:rsidR="00A17BC8" w:rsidRPr="0015541C">
        <w:rPr>
          <w:rFonts w:eastAsia="PMingLiU"/>
          <w:lang w:val="pl-PL" w:eastAsia="zh-CN"/>
        </w:rPr>
        <w:t xml:space="preserve">- 2. U większości </w:t>
      </w:r>
      <w:r w:rsidR="00D71AC9" w:rsidRPr="0015541C">
        <w:rPr>
          <w:rFonts w:eastAsia="PMingLiU"/>
          <w:lang w:val="pl-PL" w:eastAsia="zh-CN"/>
        </w:rPr>
        <w:t>chorych</w:t>
      </w:r>
      <w:r w:rsidR="00A17BC8" w:rsidRPr="0015541C">
        <w:rPr>
          <w:rFonts w:eastAsia="PMingLiU"/>
          <w:lang w:val="pl-PL" w:eastAsia="zh-CN"/>
        </w:rPr>
        <w:t xml:space="preserve"> rozpoznano raka jajnika (82% w grupach CPP i CPB15, 85% w grupie CPB15+)</w:t>
      </w:r>
      <w:r w:rsidR="00DE6F4F" w:rsidRPr="0015541C">
        <w:rPr>
          <w:rFonts w:eastAsia="PMingLiU"/>
          <w:lang w:val="pl-PL" w:eastAsia="zh-CN"/>
        </w:rPr>
        <w:t>.</w:t>
      </w:r>
      <w:r w:rsidR="00A17BC8" w:rsidRPr="0015541C">
        <w:rPr>
          <w:rFonts w:eastAsia="PMingLiU"/>
          <w:lang w:val="pl-PL" w:eastAsia="zh-CN"/>
        </w:rPr>
        <w:t xml:space="preserve"> </w:t>
      </w:r>
      <w:r w:rsidR="00625A2E" w:rsidRPr="0015541C">
        <w:rPr>
          <w:rFonts w:eastAsia="PMingLiU"/>
          <w:lang w:val="pl-PL" w:eastAsia="zh-CN"/>
        </w:rPr>
        <w:t>P</w:t>
      </w:r>
      <w:r w:rsidR="00D71AC9" w:rsidRPr="0015541C">
        <w:rPr>
          <w:rFonts w:eastAsia="PMingLiU"/>
          <w:lang w:val="pl-PL" w:eastAsia="zh-CN"/>
        </w:rPr>
        <w:t>ierwotnego</w:t>
      </w:r>
      <w:r w:rsidR="00075AC7" w:rsidRPr="0015541C">
        <w:rPr>
          <w:rFonts w:eastAsia="PMingLiU"/>
          <w:lang w:val="pl-PL" w:eastAsia="zh-CN"/>
        </w:rPr>
        <w:t xml:space="preserve"> raka otrzewnej rozpoznano u 16% chorych w grupie CPP, u 15% w grupie CPB15, 13% w grupie CPB15+, raka jajowodu rozpoznano </w:t>
      </w:r>
      <w:r w:rsidR="00D71AC9" w:rsidRPr="0015541C">
        <w:rPr>
          <w:rFonts w:eastAsia="PMingLiU"/>
          <w:lang w:val="pl-PL" w:eastAsia="zh-CN"/>
        </w:rPr>
        <w:t xml:space="preserve">odpowiednio </w:t>
      </w:r>
      <w:r w:rsidR="00075AC7" w:rsidRPr="0015541C">
        <w:rPr>
          <w:rFonts w:eastAsia="PMingLiU"/>
          <w:lang w:val="pl-PL" w:eastAsia="zh-CN"/>
        </w:rPr>
        <w:t xml:space="preserve">u 1%, 3% i 2% chorych w grupie CPP, CPB15 i CPB15+. </w:t>
      </w:r>
      <w:r w:rsidR="001573F2" w:rsidRPr="0015541C">
        <w:rPr>
          <w:rFonts w:eastAsia="PMingLiU"/>
          <w:lang w:val="pl-PL" w:eastAsia="zh-CN"/>
        </w:rPr>
        <w:t xml:space="preserve">Typem histologicznym stwierdzanym u większości pacjentek był gruczolakorak surowiczy (85% w grupach CPP i CPB15, 86% w CPB15+). Ogółem, </w:t>
      </w:r>
      <w:r w:rsidR="00D71AC9" w:rsidRPr="0015541C">
        <w:rPr>
          <w:rFonts w:eastAsia="PMingLiU"/>
          <w:lang w:val="pl-PL" w:eastAsia="zh-CN"/>
        </w:rPr>
        <w:t xml:space="preserve">u </w:t>
      </w:r>
      <w:r w:rsidR="001573F2" w:rsidRPr="0015541C">
        <w:rPr>
          <w:rFonts w:eastAsia="PMingLiU"/>
          <w:lang w:val="pl-PL" w:eastAsia="zh-CN"/>
        </w:rPr>
        <w:t xml:space="preserve">około 34% chorych stwierdzono III stopień zaawansowania </w:t>
      </w:r>
      <w:r w:rsidR="00D71AC9" w:rsidRPr="0015541C">
        <w:rPr>
          <w:rFonts w:eastAsia="PMingLiU"/>
          <w:lang w:val="pl-PL" w:eastAsia="zh-CN"/>
        </w:rPr>
        <w:t xml:space="preserve">choroby </w:t>
      </w:r>
      <w:r w:rsidR="001573F2" w:rsidRPr="0015541C">
        <w:rPr>
          <w:rFonts w:eastAsia="PMingLiU"/>
          <w:lang w:val="pl-PL" w:eastAsia="zh-CN"/>
        </w:rPr>
        <w:t xml:space="preserve">według </w:t>
      </w:r>
      <w:r w:rsidR="00D71AC9" w:rsidRPr="0015541C">
        <w:rPr>
          <w:rFonts w:eastAsia="PMingLiU"/>
          <w:lang w:val="pl-PL" w:eastAsia="zh-CN"/>
        </w:rPr>
        <w:t>klasyfikacji FIGO</w:t>
      </w:r>
      <w:r w:rsidR="003309B9" w:rsidRPr="0015541C">
        <w:rPr>
          <w:rFonts w:eastAsia="PMingLiU"/>
          <w:lang w:val="pl-PL" w:eastAsia="zh-CN"/>
        </w:rPr>
        <w:t xml:space="preserve"> i </w:t>
      </w:r>
      <w:r w:rsidR="00D71AC9" w:rsidRPr="0015541C">
        <w:rPr>
          <w:rFonts w:eastAsia="PMingLiU"/>
          <w:lang w:val="pl-PL" w:eastAsia="zh-CN"/>
        </w:rPr>
        <w:t xml:space="preserve">przeprowadzono optymalny zabieg cytoredukcyjny </w:t>
      </w:r>
      <w:r w:rsidR="00D02C09" w:rsidRPr="0015541C">
        <w:rPr>
          <w:rFonts w:eastAsia="PMingLiU"/>
          <w:lang w:val="pl-PL" w:eastAsia="zh-CN"/>
        </w:rPr>
        <w:t>z makros</w:t>
      </w:r>
      <w:r w:rsidR="00B8305E" w:rsidRPr="0015541C">
        <w:rPr>
          <w:rFonts w:eastAsia="PMingLiU"/>
          <w:lang w:val="pl-PL" w:eastAsia="zh-CN"/>
        </w:rPr>
        <w:t>k</w:t>
      </w:r>
      <w:r w:rsidR="00D02C09" w:rsidRPr="0015541C">
        <w:rPr>
          <w:rFonts w:eastAsia="PMingLiU"/>
          <w:lang w:val="pl-PL" w:eastAsia="zh-CN"/>
        </w:rPr>
        <w:t>opową chorobą resztkową</w:t>
      </w:r>
      <w:r w:rsidR="001573F2" w:rsidRPr="0015541C">
        <w:rPr>
          <w:rFonts w:eastAsia="PMingLiU"/>
          <w:lang w:val="pl-PL" w:eastAsia="zh-CN"/>
        </w:rPr>
        <w:t xml:space="preserve">, </w:t>
      </w:r>
      <w:r w:rsidR="00D71AC9" w:rsidRPr="0015541C">
        <w:rPr>
          <w:rFonts w:eastAsia="PMingLiU"/>
          <w:lang w:val="pl-PL" w:eastAsia="zh-CN"/>
        </w:rPr>
        <w:t xml:space="preserve">u </w:t>
      </w:r>
      <w:r w:rsidR="001573F2" w:rsidRPr="0015541C">
        <w:rPr>
          <w:rFonts w:eastAsia="PMingLiU"/>
          <w:lang w:val="pl-PL" w:eastAsia="zh-CN"/>
        </w:rPr>
        <w:t>40% pacjentek z zaawansowaniem choroby III</w:t>
      </w:r>
      <w:r w:rsidR="003309B9" w:rsidRPr="0015541C">
        <w:rPr>
          <w:rFonts w:eastAsia="PMingLiU"/>
          <w:lang w:val="pl-PL" w:eastAsia="zh-CN"/>
        </w:rPr>
        <w:t xml:space="preserve"> przeprowadzono </w:t>
      </w:r>
      <w:r w:rsidR="00580F0B" w:rsidRPr="0015541C">
        <w:rPr>
          <w:rFonts w:eastAsia="PMingLiU"/>
          <w:lang w:val="pl-PL" w:eastAsia="zh-CN"/>
        </w:rPr>
        <w:t xml:space="preserve">suboptymalną cytoredukcję </w:t>
      </w:r>
      <w:r w:rsidR="001573F2" w:rsidRPr="0015541C">
        <w:rPr>
          <w:rFonts w:eastAsia="PMingLiU"/>
          <w:lang w:val="pl-PL" w:eastAsia="zh-CN"/>
        </w:rPr>
        <w:t xml:space="preserve">guza, u 26% pacjentek w badaniu stopień zaawansowania choroby wynosił IV. </w:t>
      </w:r>
    </w:p>
    <w:p w14:paraId="003719A5" w14:textId="77777777" w:rsidR="00C26E13" w:rsidRPr="0015541C" w:rsidRDefault="00C26E13" w:rsidP="00230A42">
      <w:pPr>
        <w:rPr>
          <w:rFonts w:eastAsia="PMingLiU"/>
          <w:lang w:val="pl-PL" w:eastAsia="zh-CN"/>
        </w:rPr>
      </w:pPr>
    </w:p>
    <w:p w14:paraId="5CDF9081" w14:textId="77777777" w:rsidR="006F571E" w:rsidRPr="0015541C" w:rsidRDefault="006F571E" w:rsidP="00FE0558">
      <w:pPr>
        <w:keepLines/>
        <w:rPr>
          <w:rFonts w:eastAsia="PMingLiU"/>
          <w:lang w:val="pl-PL" w:eastAsia="zh-CN"/>
        </w:rPr>
      </w:pPr>
      <w:r w:rsidRPr="0015541C">
        <w:rPr>
          <w:rFonts w:eastAsia="PMingLiU"/>
          <w:lang w:val="pl-PL" w:eastAsia="zh-CN"/>
        </w:rPr>
        <w:t>Pierwszorzędowym punktem końcowym był czas wolny od progresji (PFS) oceniany przez badacza na podstawie obrazów radiologicznych lub stężenia CA</w:t>
      </w:r>
      <w:r w:rsidR="00485D50" w:rsidRPr="0015541C">
        <w:rPr>
          <w:rFonts w:eastAsia="PMingLiU"/>
          <w:lang w:val="pl-PL" w:eastAsia="zh-CN"/>
        </w:rPr>
        <w:t>-</w:t>
      </w:r>
      <w:r w:rsidRPr="0015541C">
        <w:rPr>
          <w:rFonts w:eastAsia="PMingLiU"/>
          <w:lang w:val="pl-PL" w:eastAsia="zh-CN"/>
        </w:rPr>
        <w:t xml:space="preserve">125 lub nasilenia objawów, zgodnie z założeniami protokołu. Dodatkowo przeprowadzono </w:t>
      </w:r>
      <w:r w:rsidR="00F02104" w:rsidRPr="0015541C">
        <w:rPr>
          <w:rFonts w:eastAsia="PMingLiU"/>
          <w:lang w:val="pl-PL" w:eastAsia="zh-CN"/>
        </w:rPr>
        <w:t>zaplanowaną</w:t>
      </w:r>
      <w:r w:rsidRPr="0015541C">
        <w:rPr>
          <w:rFonts w:eastAsia="PMingLiU"/>
          <w:lang w:val="pl-PL" w:eastAsia="zh-CN"/>
        </w:rPr>
        <w:t xml:space="preserve"> prospektywnie analizę danych z cenz</w:t>
      </w:r>
      <w:r w:rsidR="00C25447" w:rsidRPr="0015541C">
        <w:rPr>
          <w:rFonts w:eastAsia="PMingLiU"/>
          <w:lang w:val="pl-PL" w:eastAsia="zh-CN"/>
        </w:rPr>
        <w:t>u</w:t>
      </w:r>
      <w:r w:rsidRPr="0015541C">
        <w:rPr>
          <w:rFonts w:eastAsia="PMingLiU"/>
          <w:lang w:val="pl-PL" w:eastAsia="zh-CN"/>
        </w:rPr>
        <w:t>rowaniem progresji stwierdzanej na podstawie CA</w:t>
      </w:r>
      <w:r w:rsidR="00485D50" w:rsidRPr="0015541C">
        <w:rPr>
          <w:rFonts w:eastAsia="PMingLiU"/>
          <w:lang w:val="pl-PL" w:eastAsia="zh-CN"/>
        </w:rPr>
        <w:t>-</w:t>
      </w:r>
      <w:r w:rsidRPr="0015541C">
        <w:rPr>
          <w:rFonts w:eastAsia="PMingLiU"/>
          <w:lang w:val="pl-PL" w:eastAsia="zh-CN"/>
        </w:rPr>
        <w:t>125</w:t>
      </w:r>
      <w:r w:rsidR="00F02104" w:rsidRPr="0015541C">
        <w:rPr>
          <w:rFonts w:eastAsia="PMingLiU"/>
          <w:lang w:val="pl-PL" w:eastAsia="zh-CN"/>
        </w:rPr>
        <w:t>,</w:t>
      </w:r>
      <w:r w:rsidRPr="0015541C">
        <w:rPr>
          <w:rFonts w:eastAsia="PMingLiU"/>
          <w:lang w:val="pl-PL" w:eastAsia="zh-CN"/>
        </w:rPr>
        <w:t xml:space="preserve"> </w:t>
      </w:r>
      <w:r w:rsidR="00F02104" w:rsidRPr="0015541C">
        <w:rPr>
          <w:rFonts w:eastAsia="PMingLiU"/>
          <w:lang w:val="pl-PL" w:eastAsia="zh-CN"/>
        </w:rPr>
        <w:t xml:space="preserve">a </w:t>
      </w:r>
      <w:r w:rsidRPr="0015541C">
        <w:rPr>
          <w:rFonts w:eastAsia="PMingLiU"/>
          <w:lang w:val="pl-PL" w:eastAsia="zh-CN"/>
        </w:rPr>
        <w:t xml:space="preserve">także </w:t>
      </w:r>
      <w:r w:rsidR="00977366" w:rsidRPr="0015541C">
        <w:rPr>
          <w:rFonts w:eastAsia="PMingLiU"/>
          <w:lang w:val="pl-PL" w:eastAsia="zh-CN"/>
        </w:rPr>
        <w:t xml:space="preserve">przeprowadzono </w:t>
      </w:r>
      <w:r w:rsidRPr="0015541C">
        <w:rPr>
          <w:rFonts w:eastAsia="PMingLiU"/>
          <w:lang w:val="pl-PL" w:eastAsia="zh-CN"/>
        </w:rPr>
        <w:t xml:space="preserve">niezależną ocenę </w:t>
      </w:r>
      <w:r w:rsidR="00F02104" w:rsidRPr="0015541C">
        <w:rPr>
          <w:rFonts w:eastAsia="PMingLiU"/>
          <w:lang w:val="pl-PL" w:eastAsia="zh-CN"/>
        </w:rPr>
        <w:t>parametru PFS na podstawie dokumentacji radiologicznej.</w:t>
      </w:r>
    </w:p>
    <w:p w14:paraId="07B77C3C" w14:textId="77777777" w:rsidR="00F02104" w:rsidRPr="0015541C" w:rsidRDefault="00F02104" w:rsidP="006F571E">
      <w:pPr>
        <w:rPr>
          <w:rFonts w:eastAsia="PMingLiU"/>
          <w:lang w:val="pl-PL" w:eastAsia="zh-CN"/>
        </w:rPr>
      </w:pPr>
    </w:p>
    <w:p w14:paraId="2525C3B8" w14:textId="77777777" w:rsidR="00F02104" w:rsidRPr="0015541C" w:rsidRDefault="00205CBC" w:rsidP="006F571E">
      <w:pPr>
        <w:rPr>
          <w:rFonts w:eastAsia="PMingLiU"/>
          <w:lang w:val="pl-PL" w:eastAsia="zh-CN"/>
        </w:rPr>
      </w:pPr>
      <w:r w:rsidRPr="0015541C">
        <w:rPr>
          <w:rFonts w:eastAsia="PMingLiU"/>
          <w:lang w:val="pl-PL" w:eastAsia="zh-CN"/>
        </w:rPr>
        <w:t xml:space="preserve">W badaniu osiągnięto </w:t>
      </w:r>
      <w:r w:rsidR="00F02104" w:rsidRPr="0015541C">
        <w:rPr>
          <w:rFonts w:eastAsia="PMingLiU"/>
          <w:lang w:val="pl-PL" w:eastAsia="zh-CN"/>
        </w:rPr>
        <w:t xml:space="preserve">pierwszorzędowy punkt końcowy, </w:t>
      </w:r>
      <w:r w:rsidRPr="0015541C">
        <w:rPr>
          <w:rFonts w:eastAsia="PMingLiU"/>
          <w:lang w:val="pl-PL" w:eastAsia="zh-CN"/>
        </w:rPr>
        <w:t xml:space="preserve">tzn. </w:t>
      </w:r>
      <w:r w:rsidR="00F02104" w:rsidRPr="0015541C">
        <w:rPr>
          <w:rFonts w:eastAsia="PMingLiU"/>
          <w:lang w:val="pl-PL" w:eastAsia="zh-CN"/>
        </w:rPr>
        <w:t xml:space="preserve">wydłużenie czasu wolnego od progresji. W porównaniu z pacjentkami otrzymującymi wyłącznie chemioterapię w pierwszej linii leczenia (karboplatyna i paklitaksel), </w:t>
      </w:r>
      <w:r w:rsidR="004C6C53" w:rsidRPr="0015541C">
        <w:rPr>
          <w:rFonts w:eastAsia="PMingLiU"/>
          <w:lang w:val="pl-PL" w:eastAsia="zh-CN"/>
        </w:rPr>
        <w:t>w grupie chorych</w:t>
      </w:r>
      <w:r w:rsidR="00F02104" w:rsidRPr="0015541C">
        <w:rPr>
          <w:rFonts w:eastAsia="PMingLiU"/>
          <w:lang w:val="pl-PL" w:eastAsia="zh-CN"/>
        </w:rPr>
        <w:t xml:space="preserve"> otrzymujących bewacyzumab w dawce 15</w:t>
      </w:r>
      <w:r w:rsidR="00183451" w:rsidRPr="0015541C">
        <w:rPr>
          <w:rFonts w:eastAsia="PMingLiU"/>
          <w:lang w:val="pl-PL" w:eastAsia="zh-CN"/>
        </w:rPr>
        <w:t> </w:t>
      </w:r>
      <w:r w:rsidR="00F02104" w:rsidRPr="0015541C">
        <w:rPr>
          <w:rFonts w:eastAsia="PMingLiU"/>
          <w:lang w:val="pl-PL" w:eastAsia="zh-CN"/>
        </w:rPr>
        <w:t xml:space="preserve">mg/kg </w:t>
      </w:r>
      <w:r w:rsidR="002505DF" w:rsidRPr="0015541C">
        <w:rPr>
          <w:rFonts w:eastAsia="PMingLiU"/>
          <w:lang w:val="pl-PL" w:eastAsia="zh-CN"/>
        </w:rPr>
        <w:t xml:space="preserve">mc. </w:t>
      </w:r>
      <w:r w:rsidR="008E0D17" w:rsidRPr="0015541C">
        <w:rPr>
          <w:rFonts w:eastAsia="PMingLiU"/>
          <w:lang w:val="pl-PL" w:eastAsia="zh-CN"/>
        </w:rPr>
        <w:t xml:space="preserve">raz na trzy tygodnie </w:t>
      </w:r>
      <w:r w:rsidR="00F02104" w:rsidRPr="0015541C">
        <w:rPr>
          <w:rFonts w:eastAsia="PMingLiU"/>
          <w:lang w:val="pl-PL" w:eastAsia="zh-CN"/>
        </w:rPr>
        <w:t xml:space="preserve">łącznie z chemioterapią a następnie bewacyzumab w monoterapii </w:t>
      </w:r>
      <w:r w:rsidR="00D02C09" w:rsidRPr="0015541C">
        <w:rPr>
          <w:lang w:val="pl-PL"/>
        </w:rPr>
        <w:t xml:space="preserve">(CPB15+), </w:t>
      </w:r>
      <w:r w:rsidR="00F02104" w:rsidRPr="0015541C">
        <w:rPr>
          <w:rFonts w:eastAsia="PMingLiU"/>
          <w:lang w:val="pl-PL" w:eastAsia="zh-CN"/>
        </w:rPr>
        <w:t>obserwowano znaczące klinicznie oraz istotne statystycznie wydłużenie PFS.</w:t>
      </w:r>
    </w:p>
    <w:p w14:paraId="34D22CFB" w14:textId="77777777" w:rsidR="006F571E" w:rsidRPr="0015541C" w:rsidRDefault="006F571E" w:rsidP="00FB7525">
      <w:pPr>
        <w:rPr>
          <w:rFonts w:eastAsia="PMingLiU"/>
          <w:lang w:val="pl-PL" w:eastAsia="zh-CN"/>
        </w:rPr>
      </w:pPr>
    </w:p>
    <w:p w14:paraId="7E14696E" w14:textId="77777777" w:rsidR="004C6C53" w:rsidRPr="0015541C" w:rsidRDefault="004C6C53" w:rsidP="00FB7525">
      <w:pPr>
        <w:rPr>
          <w:rFonts w:eastAsia="PMingLiU"/>
          <w:lang w:val="pl-PL" w:eastAsia="zh-CN"/>
        </w:rPr>
      </w:pPr>
      <w:r w:rsidRPr="0015541C">
        <w:rPr>
          <w:rFonts w:eastAsia="PMingLiU"/>
          <w:lang w:val="pl-PL" w:eastAsia="zh-CN"/>
        </w:rPr>
        <w:t>W grupie chorych otrzymujących bewacyzumab wyłącznie w skojarzeniu z chemioterapią, bez kontynuacji bewacyzumabu w monoterapii</w:t>
      </w:r>
      <w:r w:rsidR="008E0D17" w:rsidRPr="0015541C">
        <w:rPr>
          <w:rFonts w:eastAsia="PMingLiU"/>
          <w:lang w:val="pl-PL" w:eastAsia="zh-CN"/>
        </w:rPr>
        <w:t xml:space="preserve"> (CPB15)</w:t>
      </w:r>
      <w:r w:rsidRPr="0015541C">
        <w:rPr>
          <w:rFonts w:eastAsia="PMingLiU"/>
          <w:lang w:val="pl-PL" w:eastAsia="zh-CN"/>
        </w:rPr>
        <w:t>, nie obserwowano istotnego klinicznie wydłużenia czasu wolnego od progresji.</w:t>
      </w:r>
    </w:p>
    <w:p w14:paraId="701D8F67" w14:textId="77777777" w:rsidR="004C6C53" w:rsidRPr="0015541C" w:rsidRDefault="004C6C53" w:rsidP="00FB7525">
      <w:pPr>
        <w:rPr>
          <w:rFonts w:eastAsia="PMingLiU"/>
          <w:lang w:val="pl-PL" w:eastAsia="zh-CN"/>
        </w:rPr>
      </w:pPr>
    </w:p>
    <w:p w14:paraId="391358BB" w14:textId="77777777" w:rsidR="004C6C53" w:rsidRPr="0015541C" w:rsidRDefault="004C6C53" w:rsidP="00A16636">
      <w:pPr>
        <w:keepNext/>
        <w:keepLines/>
        <w:rPr>
          <w:rFonts w:eastAsia="PMingLiU"/>
          <w:lang w:val="pl-PL" w:eastAsia="zh-CN"/>
        </w:rPr>
      </w:pPr>
      <w:r w:rsidRPr="0015541C">
        <w:rPr>
          <w:rFonts w:eastAsia="PMingLiU"/>
          <w:lang w:val="pl-PL" w:eastAsia="zh-CN"/>
        </w:rPr>
        <w:t xml:space="preserve">Wyniki badania przedstawiono w Tabeli </w:t>
      </w:r>
      <w:r w:rsidR="00A73107" w:rsidRPr="0015541C">
        <w:rPr>
          <w:rFonts w:eastAsia="PMingLiU"/>
          <w:lang w:val="pl-PL" w:eastAsia="zh-CN"/>
        </w:rPr>
        <w:t>16</w:t>
      </w:r>
      <w:r w:rsidRPr="0015541C">
        <w:rPr>
          <w:rFonts w:eastAsia="PMingLiU"/>
          <w:lang w:val="pl-PL" w:eastAsia="zh-CN"/>
        </w:rPr>
        <w:t>.</w:t>
      </w:r>
    </w:p>
    <w:p w14:paraId="363FD095" w14:textId="77777777" w:rsidR="004C6C53" w:rsidRPr="0015541C" w:rsidRDefault="004C6C53" w:rsidP="00EE7A0B">
      <w:pPr>
        <w:rPr>
          <w:b/>
          <w:lang w:val="pl-PL"/>
        </w:rPr>
      </w:pPr>
    </w:p>
    <w:p w14:paraId="4931A504" w14:textId="77777777" w:rsidR="004C6C53" w:rsidRPr="0015541C" w:rsidRDefault="004C6C53" w:rsidP="00BE61A6">
      <w:pPr>
        <w:keepNext/>
        <w:keepLines/>
        <w:rPr>
          <w:b/>
          <w:lang w:val="pl-PL"/>
        </w:rPr>
      </w:pPr>
      <w:r w:rsidRPr="0015541C">
        <w:rPr>
          <w:b/>
          <w:lang w:val="pl-PL"/>
        </w:rPr>
        <w:lastRenderedPageBreak/>
        <w:t xml:space="preserve">Tabela </w:t>
      </w:r>
      <w:r w:rsidR="00A73107" w:rsidRPr="0015541C">
        <w:rPr>
          <w:b/>
          <w:lang w:val="pl-PL"/>
        </w:rPr>
        <w:t>16</w:t>
      </w:r>
      <w:r w:rsidR="008800D7" w:rsidRPr="0015541C">
        <w:rPr>
          <w:b/>
          <w:lang w:val="pl-PL"/>
        </w:rPr>
        <w:t>.</w:t>
      </w:r>
      <w:r w:rsidR="008E0D17" w:rsidRPr="0015541C">
        <w:rPr>
          <w:b/>
          <w:lang w:val="pl-PL"/>
        </w:rPr>
        <w:tab/>
      </w:r>
      <w:r w:rsidRPr="0015541C">
        <w:rPr>
          <w:b/>
          <w:lang w:val="pl-PL"/>
        </w:rPr>
        <w:t>Wyniki badania GOG-0218 dotyczące skuteczności</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4250"/>
        <w:gridCol w:w="1675"/>
        <w:gridCol w:w="1535"/>
        <w:gridCol w:w="1600"/>
      </w:tblGrid>
      <w:tr w:rsidR="004C6C53" w:rsidRPr="0015541C" w14:paraId="29930F01" w14:textId="77777777" w:rsidTr="00D16D61">
        <w:tc>
          <w:tcPr>
            <w:tcW w:w="9206" w:type="dxa"/>
            <w:gridSpan w:val="4"/>
            <w:tcBorders>
              <w:top w:val="single" w:sz="6" w:space="0" w:color="000000"/>
              <w:left w:val="single" w:sz="4" w:space="0" w:color="auto"/>
              <w:bottom w:val="single" w:sz="6" w:space="0" w:color="000000"/>
              <w:right w:val="single" w:sz="4" w:space="0" w:color="auto"/>
            </w:tcBorders>
            <w:shd w:val="clear" w:color="auto" w:fill="auto"/>
          </w:tcPr>
          <w:p w14:paraId="10946FD6" w14:textId="77777777" w:rsidR="004C6C53" w:rsidRPr="0015541C" w:rsidRDefault="004C6C53" w:rsidP="00EE7A0B">
            <w:pPr>
              <w:pStyle w:val="TableText10"/>
              <w:keepNext/>
              <w:keepLines/>
              <w:rPr>
                <w:lang w:val="pl-PL"/>
              </w:rPr>
            </w:pPr>
            <w:r w:rsidRPr="0015541C">
              <w:rPr>
                <w:u w:val="single"/>
                <w:lang w:val="pl-PL"/>
              </w:rPr>
              <w:t>Czas wolny od progresji</w:t>
            </w:r>
            <w:r w:rsidRPr="0015541C">
              <w:rPr>
                <w:vertAlign w:val="superscript"/>
                <w:lang w:val="pl-PL"/>
              </w:rPr>
              <w:t xml:space="preserve"> 1</w:t>
            </w:r>
          </w:p>
        </w:tc>
      </w:tr>
      <w:tr w:rsidR="004C6C53" w:rsidRPr="0015541C" w14:paraId="1D184067" w14:textId="77777777" w:rsidTr="00D16D61">
        <w:tc>
          <w:tcPr>
            <w:tcW w:w="4321" w:type="dxa"/>
            <w:tcBorders>
              <w:left w:val="single" w:sz="4" w:space="0" w:color="auto"/>
            </w:tcBorders>
            <w:shd w:val="clear" w:color="auto" w:fill="auto"/>
          </w:tcPr>
          <w:p w14:paraId="09B35DED" w14:textId="77777777" w:rsidR="004C6C53" w:rsidRPr="0015541C" w:rsidRDefault="004C6C53" w:rsidP="009B476A">
            <w:pPr>
              <w:pStyle w:val="TableText10"/>
              <w:keepNext/>
              <w:keepLines/>
              <w:jc w:val="center"/>
              <w:rPr>
                <w:lang w:val="pl-PL"/>
              </w:rPr>
            </w:pPr>
          </w:p>
        </w:tc>
        <w:tc>
          <w:tcPr>
            <w:tcW w:w="1701" w:type="dxa"/>
            <w:shd w:val="clear" w:color="auto" w:fill="auto"/>
            <w:vAlign w:val="center"/>
          </w:tcPr>
          <w:p w14:paraId="4127084B" w14:textId="77777777" w:rsidR="004C6C53" w:rsidRPr="0015541C" w:rsidRDefault="004C6C53" w:rsidP="00BE61A6">
            <w:pPr>
              <w:pStyle w:val="NormalWeb"/>
              <w:keepNext/>
              <w:keepLines/>
              <w:widowControl w:val="0"/>
              <w:jc w:val="center"/>
              <w:rPr>
                <w:sz w:val="20"/>
                <w:szCs w:val="20"/>
                <w:lang w:val="pl-PL" w:bidi="en-US"/>
              </w:rPr>
            </w:pPr>
            <w:r w:rsidRPr="0015541C">
              <w:rPr>
                <w:sz w:val="20"/>
                <w:szCs w:val="20"/>
                <w:lang w:val="pl-PL" w:bidi="en-US"/>
              </w:rPr>
              <w:t>CPP</w:t>
            </w:r>
          </w:p>
          <w:p w14:paraId="1175EBC2" w14:textId="77777777" w:rsidR="004C6C53" w:rsidRPr="00AC3958" w:rsidRDefault="004C6C53" w:rsidP="00EE7A0B">
            <w:pPr>
              <w:keepNext/>
              <w:keepLines/>
              <w:jc w:val="center"/>
              <w:rPr>
                <w:sz w:val="20"/>
                <w:lang w:val="pl-PL"/>
              </w:rPr>
            </w:pPr>
            <w:r w:rsidRPr="0015541C">
              <w:rPr>
                <w:sz w:val="20"/>
                <w:lang w:val="pl-PL"/>
              </w:rPr>
              <w:t xml:space="preserve"> (n = 625)</w:t>
            </w:r>
          </w:p>
        </w:tc>
        <w:tc>
          <w:tcPr>
            <w:tcW w:w="1559" w:type="dxa"/>
            <w:shd w:val="clear" w:color="auto" w:fill="auto"/>
            <w:vAlign w:val="center"/>
          </w:tcPr>
          <w:p w14:paraId="73E22207" w14:textId="77777777" w:rsidR="004C6C53" w:rsidRPr="0015541C" w:rsidRDefault="004C6C53" w:rsidP="00EE7A0B">
            <w:pPr>
              <w:keepNext/>
              <w:keepLines/>
              <w:jc w:val="center"/>
              <w:rPr>
                <w:sz w:val="20"/>
                <w:lang w:val="pl-PL"/>
              </w:rPr>
            </w:pPr>
            <w:r w:rsidRPr="00260CEC">
              <w:rPr>
                <w:sz w:val="20"/>
                <w:lang w:val="pl-PL"/>
              </w:rPr>
              <w:t>CPB15</w:t>
            </w:r>
          </w:p>
          <w:p w14:paraId="45405B5B" w14:textId="77777777" w:rsidR="004C6C53" w:rsidRPr="0015541C" w:rsidRDefault="004C6C53" w:rsidP="00EE7A0B">
            <w:pPr>
              <w:keepNext/>
              <w:keepLines/>
              <w:jc w:val="center"/>
              <w:rPr>
                <w:sz w:val="20"/>
                <w:lang w:val="pl-PL"/>
              </w:rPr>
            </w:pPr>
            <w:r w:rsidRPr="0015541C">
              <w:rPr>
                <w:sz w:val="20"/>
                <w:lang w:val="pl-PL"/>
              </w:rPr>
              <w:t xml:space="preserve"> (n = 625)</w:t>
            </w:r>
          </w:p>
        </w:tc>
        <w:tc>
          <w:tcPr>
            <w:tcW w:w="1625" w:type="dxa"/>
            <w:tcBorders>
              <w:right w:val="single" w:sz="4" w:space="0" w:color="auto"/>
            </w:tcBorders>
            <w:shd w:val="clear" w:color="auto" w:fill="auto"/>
            <w:vAlign w:val="center"/>
          </w:tcPr>
          <w:p w14:paraId="50FD92CA" w14:textId="77777777" w:rsidR="004C6C53" w:rsidRPr="0015541C" w:rsidRDefault="004C6C53" w:rsidP="00EE7A0B">
            <w:pPr>
              <w:keepNext/>
              <w:keepLines/>
              <w:jc w:val="center"/>
              <w:rPr>
                <w:sz w:val="20"/>
                <w:vertAlign w:val="superscript"/>
                <w:lang w:val="pl-PL"/>
              </w:rPr>
            </w:pPr>
            <w:r w:rsidRPr="0015541C">
              <w:rPr>
                <w:sz w:val="20"/>
                <w:lang w:val="pl-PL" w:bidi="en-US"/>
              </w:rPr>
              <w:t xml:space="preserve">CPB15+ </w:t>
            </w:r>
          </w:p>
          <w:p w14:paraId="2AF53C55" w14:textId="77777777" w:rsidR="004C6C53" w:rsidRPr="0015541C" w:rsidRDefault="004C6C53" w:rsidP="00EE7A0B">
            <w:pPr>
              <w:pStyle w:val="TableText10"/>
              <w:keepNext/>
              <w:keepLines/>
              <w:jc w:val="center"/>
              <w:rPr>
                <w:lang w:val="pl-PL"/>
              </w:rPr>
            </w:pPr>
            <w:r w:rsidRPr="0015541C">
              <w:rPr>
                <w:lang w:val="pl-PL"/>
              </w:rPr>
              <w:t>(n = 623)</w:t>
            </w:r>
          </w:p>
        </w:tc>
      </w:tr>
      <w:tr w:rsidR="004C6C53" w:rsidRPr="0015541C" w14:paraId="7F8AC632" w14:textId="77777777" w:rsidTr="00D16D61">
        <w:tc>
          <w:tcPr>
            <w:tcW w:w="4321" w:type="dxa"/>
            <w:tcBorders>
              <w:left w:val="single" w:sz="4" w:space="0" w:color="auto"/>
            </w:tcBorders>
            <w:shd w:val="clear" w:color="auto" w:fill="auto"/>
          </w:tcPr>
          <w:p w14:paraId="466B79BF" w14:textId="57ADBFC0" w:rsidR="004C6C53" w:rsidRPr="0015541C" w:rsidRDefault="004C6C53" w:rsidP="009B476A">
            <w:pPr>
              <w:keepNext/>
              <w:keepLines/>
              <w:rPr>
                <w:sz w:val="20"/>
                <w:lang w:val="pl-PL"/>
              </w:rPr>
            </w:pPr>
            <w:r w:rsidRPr="0015541C">
              <w:rPr>
                <w:sz w:val="20"/>
                <w:lang w:val="pl-PL"/>
              </w:rPr>
              <w:t xml:space="preserve">Mediana </w:t>
            </w:r>
            <w:r w:rsidR="006D023F" w:rsidRPr="0015541C">
              <w:rPr>
                <w:sz w:val="20"/>
                <w:lang w:val="pl-PL"/>
              </w:rPr>
              <w:t>PFS</w:t>
            </w:r>
            <w:r w:rsidRPr="0015541C">
              <w:rPr>
                <w:sz w:val="20"/>
                <w:lang w:val="pl-PL"/>
              </w:rPr>
              <w:t xml:space="preserve"> (miesiące)</w:t>
            </w:r>
          </w:p>
        </w:tc>
        <w:tc>
          <w:tcPr>
            <w:tcW w:w="1701" w:type="dxa"/>
            <w:shd w:val="clear" w:color="auto" w:fill="auto"/>
            <w:vAlign w:val="center"/>
          </w:tcPr>
          <w:p w14:paraId="242A756C" w14:textId="77777777" w:rsidR="004C6C53" w:rsidRPr="0015541C" w:rsidRDefault="004C6C53" w:rsidP="00BE61A6">
            <w:pPr>
              <w:keepNext/>
              <w:keepLines/>
              <w:jc w:val="center"/>
              <w:rPr>
                <w:sz w:val="20"/>
                <w:lang w:val="pl-PL"/>
              </w:rPr>
            </w:pPr>
            <w:r w:rsidRPr="00AC3958">
              <w:rPr>
                <w:sz w:val="20"/>
                <w:lang w:val="pl-PL"/>
              </w:rPr>
              <w:t>10</w:t>
            </w:r>
            <w:r w:rsidR="00B61B0F" w:rsidRPr="00AC3958">
              <w:rPr>
                <w:sz w:val="20"/>
                <w:lang w:val="pl-PL"/>
              </w:rPr>
              <w:t>,</w:t>
            </w:r>
            <w:r w:rsidRPr="00260CEC">
              <w:rPr>
                <w:sz w:val="20"/>
                <w:lang w:val="pl-PL"/>
              </w:rPr>
              <w:t>6</w:t>
            </w:r>
          </w:p>
        </w:tc>
        <w:tc>
          <w:tcPr>
            <w:tcW w:w="1559" w:type="dxa"/>
            <w:shd w:val="clear" w:color="auto" w:fill="auto"/>
            <w:vAlign w:val="center"/>
          </w:tcPr>
          <w:p w14:paraId="0BE76C55" w14:textId="77777777" w:rsidR="004C6C53" w:rsidRPr="0015541C" w:rsidRDefault="004C6C53" w:rsidP="00EE7A0B">
            <w:pPr>
              <w:keepNext/>
              <w:keepLines/>
              <w:jc w:val="center"/>
              <w:rPr>
                <w:sz w:val="20"/>
                <w:lang w:val="pl-PL"/>
              </w:rPr>
            </w:pPr>
            <w:r w:rsidRPr="0015541C">
              <w:rPr>
                <w:sz w:val="20"/>
                <w:lang w:val="pl-PL"/>
              </w:rPr>
              <w:t>11</w:t>
            </w:r>
            <w:r w:rsidR="002F2193" w:rsidRPr="0015541C">
              <w:rPr>
                <w:sz w:val="20"/>
                <w:lang w:val="pl-PL"/>
              </w:rPr>
              <w:t>,</w:t>
            </w:r>
            <w:r w:rsidRPr="0015541C">
              <w:rPr>
                <w:sz w:val="20"/>
                <w:lang w:val="pl-PL"/>
              </w:rPr>
              <w:t>6</w:t>
            </w:r>
          </w:p>
        </w:tc>
        <w:tc>
          <w:tcPr>
            <w:tcW w:w="1625" w:type="dxa"/>
            <w:tcBorders>
              <w:right w:val="single" w:sz="4" w:space="0" w:color="auto"/>
            </w:tcBorders>
            <w:shd w:val="clear" w:color="auto" w:fill="auto"/>
            <w:vAlign w:val="center"/>
          </w:tcPr>
          <w:p w14:paraId="48339FEB" w14:textId="77777777" w:rsidR="004C6C53" w:rsidRPr="0015541C" w:rsidRDefault="004C6C53" w:rsidP="00EE7A0B">
            <w:pPr>
              <w:pStyle w:val="TableText10"/>
              <w:keepNext/>
              <w:keepLines/>
              <w:jc w:val="center"/>
              <w:rPr>
                <w:lang w:val="pl-PL"/>
              </w:rPr>
            </w:pPr>
            <w:r w:rsidRPr="0015541C">
              <w:rPr>
                <w:lang w:val="pl-PL"/>
              </w:rPr>
              <w:t>14</w:t>
            </w:r>
            <w:r w:rsidR="002F2193" w:rsidRPr="0015541C">
              <w:rPr>
                <w:lang w:val="pl-PL"/>
              </w:rPr>
              <w:t>,</w:t>
            </w:r>
            <w:r w:rsidRPr="0015541C">
              <w:rPr>
                <w:lang w:val="pl-PL"/>
              </w:rPr>
              <w:t>7</w:t>
            </w:r>
          </w:p>
        </w:tc>
      </w:tr>
      <w:tr w:rsidR="004C6C53" w:rsidRPr="0015541C" w14:paraId="47698E37" w14:textId="77777777" w:rsidTr="00D16D61">
        <w:tc>
          <w:tcPr>
            <w:tcW w:w="4321" w:type="dxa"/>
            <w:tcBorders>
              <w:left w:val="single" w:sz="4" w:space="0" w:color="auto"/>
            </w:tcBorders>
            <w:shd w:val="clear" w:color="auto" w:fill="auto"/>
          </w:tcPr>
          <w:p w14:paraId="09E2657A" w14:textId="77777777" w:rsidR="004C6C53" w:rsidRPr="0015541C" w:rsidRDefault="004C6C53" w:rsidP="009B476A">
            <w:pPr>
              <w:keepNext/>
              <w:keepLines/>
              <w:widowControl w:val="0"/>
              <w:rPr>
                <w:sz w:val="20"/>
                <w:lang w:val="pl-PL"/>
              </w:rPr>
            </w:pPr>
            <w:r w:rsidRPr="0015541C">
              <w:rPr>
                <w:sz w:val="20"/>
                <w:lang w:val="pl-PL"/>
              </w:rPr>
              <w:t>Współczynnik</w:t>
            </w:r>
            <w:r w:rsidR="005D740F" w:rsidRPr="0015541C">
              <w:rPr>
                <w:sz w:val="20"/>
                <w:lang w:val="pl-PL"/>
              </w:rPr>
              <w:t xml:space="preserve"> </w:t>
            </w:r>
            <w:r w:rsidRPr="0015541C">
              <w:rPr>
                <w:sz w:val="20"/>
                <w:lang w:val="pl-PL"/>
              </w:rPr>
              <w:t>ryzyka</w:t>
            </w:r>
          </w:p>
          <w:p w14:paraId="4D5BAFCB" w14:textId="77777777" w:rsidR="004C6C53" w:rsidRPr="00260CEC" w:rsidRDefault="004C6C53" w:rsidP="00BE61A6">
            <w:pPr>
              <w:keepNext/>
              <w:keepLines/>
              <w:widowControl w:val="0"/>
              <w:rPr>
                <w:sz w:val="20"/>
                <w:lang w:val="pl-PL"/>
              </w:rPr>
            </w:pPr>
            <w:r w:rsidRPr="00AC3958">
              <w:rPr>
                <w:sz w:val="20"/>
                <w:lang w:val="pl-PL"/>
              </w:rPr>
              <w:t xml:space="preserve"> (95% CI) </w:t>
            </w:r>
            <w:r w:rsidRPr="00AC3958">
              <w:rPr>
                <w:sz w:val="20"/>
                <w:vertAlign w:val="superscript"/>
                <w:lang w:val="pl-PL"/>
              </w:rPr>
              <w:t>2</w:t>
            </w:r>
          </w:p>
        </w:tc>
        <w:tc>
          <w:tcPr>
            <w:tcW w:w="1701" w:type="dxa"/>
            <w:shd w:val="clear" w:color="auto" w:fill="auto"/>
            <w:vAlign w:val="center"/>
          </w:tcPr>
          <w:p w14:paraId="5173DA9C" w14:textId="77777777" w:rsidR="004C6C53" w:rsidRPr="0015541C" w:rsidRDefault="004C6C53" w:rsidP="00EE7A0B">
            <w:pPr>
              <w:keepNext/>
              <w:keepLines/>
              <w:jc w:val="center"/>
              <w:rPr>
                <w:sz w:val="20"/>
                <w:lang w:val="pl-PL"/>
              </w:rPr>
            </w:pPr>
          </w:p>
        </w:tc>
        <w:tc>
          <w:tcPr>
            <w:tcW w:w="1559" w:type="dxa"/>
            <w:shd w:val="clear" w:color="auto" w:fill="auto"/>
            <w:vAlign w:val="center"/>
          </w:tcPr>
          <w:p w14:paraId="649660AC" w14:textId="77777777" w:rsidR="004C6C53" w:rsidRPr="0015541C" w:rsidRDefault="004C6C53" w:rsidP="00EE7A0B">
            <w:pPr>
              <w:keepNext/>
              <w:keepLines/>
              <w:jc w:val="center"/>
              <w:rPr>
                <w:sz w:val="20"/>
                <w:lang w:val="pl-PL"/>
              </w:rPr>
            </w:pPr>
            <w:r w:rsidRPr="0015541C">
              <w:rPr>
                <w:sz w:val="20"/>
                <w:lang w:val="pl-PL"/>
              </w:rPr>
              <w:t>0</w:t>
            </w:r>
            <w:r w:rsidR="002F2193" w:rsidRPr="0015541C">
              <w:rPr>
                <w:sz w:val="20"/>
                <w:lang w:val="pl-PL"/>
              </w:rPr>
              <w:t>,</w:t>
            </w:r>
            <w:r w:rsidRPr="0015541C">
              <w:rPr>
                <w:sz w:val="20"/>
                <w:lang w:val="pl-PL"/>
              </w:rPr>
              <w:t>89</w:t>
            </w:r>
          </w:p>
          <w:p w14:paraId="780783B1" w14:textId="77777777" w:rsidR="004C6C53" w:rsidRPr="0015541C" w:rsidRDefault="004C6C53" w:rsidP="00EE7A0B">
            <w:pPr>
              <w:keepNext/>
              <w:keepLines/>
              <w:jc w:val="center"/>
              <w:rPr>
                <w:sz w:val="20"/>
                <w:lang w:val="pl-PL"/>
              </w:rPr>
            </w:pPr>
            <w:r w:rsidRPr="0015541C">
              <w:rPr>
                <w:sz w:val="20"/>
                <w:lang w:val="pl-PL"/>
              </w:rPr>
              <w:t>(0</w:t>
            </w:r>
            <w:r w:rsidR="002F2193" w:rsidRPr="0015541C">
              <w:rPr>
                <w:sz w:val="20"/>
                <w:lang w:val="pl-PL"/>
              </w:rPr>
              <w:t>,</w:t>
            </w:r>
            <w:r w:rsidRPr="0015541C">
              <w:rPr>
                <w:sz w:val="20"/>
                <w:lang w:val="pl-PL"/>
              </w:rPr>
              <w:t>78, 1</w:t>
            </w:r>
            <w:r w:rsidR="002F2193" w:rsidRPr="0015541C">
              <w:rPr>
                <w:sz w:val="20"/>
                <w:lang w:val="pl-PL"/>
              </w:rPr>
              <w:t>,</w:t>
            </w:r>
            <w:r w:rsidRPr="0015541C">
              <w:rPr>
                <w:sz w:val="20"/>
                <w:lang w:val="pl-PL"/>
              </w:rPr>
              <w:t>02)</w:t>
            </w:r>
          </w:p>
        </w:tc>
        <w:tc>
          <w:tcPr>
            <w:tcW w:w="1625" w:type="dxa"/>
            <w:tcBorders>
              <w:right w:val="single" w:sz="4" w:space="0" w:color="auto"/>
            </w:tcBorders>
            <w:shd w:val="clear" w:color="auto" w:fill="auto"/>
            <w:vAlign w:val="center"/>
          </w:tcPr>
          <w:p w14:paraId="53541C01" w14:textId="77777777" w:rsidR="004C6C53" w:rsidRPr="0015541C" w:rsidRDefault="004C6C53" w:rsidP="00EE7A0B">
            <w:pPr>
              <w:keepNext/>
              <w:keepLines/>
              <w:jc w:val="center"/>
              <w:rPr>
                <w:sz w:val="20"/>
                <w:lang w:val="pl-PL"/>
              </w:rPr>
            </w:pPr>
            <w:r w:rsidRPr="0015541C">
              <w:rPr>
                <w:sz w:val="20"/>
                <w:lang w:val="pl-PL"/>
              </w:rPr>
              <w:t>0</w:t>
            </w:r>
            <w:r w:rsidR="002F2193" w:rsidRPr="0015541C">
              <w:rPr>
                <w:sz w:val="20"/>
                <w:lang w:val="pl-PL"/>
              </w:rPr>
              <w:t>,</w:t>
            </w:r>
            <w:r w:rsidRPr="0015541C">
              <w:rPr>
                <w:sz w:val="20"/>
                <w:lang w:val="pl-PL"/>
              </w:rPr>
              <w:t>70</w:t>
            </w:r>
          </w:p>
          <w:p w14:paraId="5CC33232" w14:textId="77777777" w:rsidR="004C6C53" w:rsidRPr="0015541C" w:rsidRDefault="004C6C53" w:rsidP="00EE7A0B">
            <w:pPr>
              <w:pStyle w:val="TableText10"/>
              <w:keepNext/>
              <w:keepLines/>
              <w:jc w:val="center"/>
              <w:rPr>
                <w:lang w:val="pl-PL"/>
              </w:rPr>
            </w:pPr>
            <w:r w:rsidRPr="0015541C">
              <w:rPr>
                <w:lang w:val="pl-PL"/>
              </w:rPr>
              <w:t>(0</w:t>
            </w:r>
            <w:r w:rsidR="002F2193" w:rsidRPr="0015541C">
              <w:rPr>
                <w:lang w:val="pl-PL"/>
              </w:rPr>
              <w:t>,</w:t>
            </w:r>
            <w:r w:rsidRPr="0015541C">
              <w:rPr>
                <w:lang w:val="pl-PL"/>
              </w:rPr>
              <w:t>61, 0</w:t>
            </w:r>
            <w:r w:rsidR="002F2193" w:rsidRPr="0015541C">
              <w:rPr>
                <w:lang w:val="pl-PL"/>
              </w:rPr>
              <w:t>,</w:t>
            </w:r>
            <w:r w:rsidRPr="0015541C">
              <w:rPr>
                <w:lang w:val="pl-PL"/>
              </w:rPr>
              <w:t>81)</w:t>
            </w:r>
          </w:p>
        </w:tc>
      </w:tr>
      <w:tr w:rsidR="004C6C53" w:rsidRPr="0015541C" w14:paraId="2C4CA5D5" w14:textId="77777777" w:rsidTr="00D16D61">
        <w:tc>
          <w:tcPr>
            <w:tcW w:w="4321" w:type="dxa"/>
            <w:tcBorders>
              <w:left w:val="single" w:sz="4" w:space="0" w:color="auto"/>
              <w:bottom w:val="single" w:sz="4" w:space="0" w:color="auto"/>
            </w:tcBorders>
            <w:shd w:val="clear" w:color="auto" w:fill="auto"/>
          </w:tcPr>
          <w:p w14:paraId="3781BCF5" w14:textId="77777777" w:rsidR="004C6C53" w:rsidRPr="0015541C" w:rsidRDefault="004C6C53" w:rsidP="009B476A">
            <w:pPr>
              <w:keepNext/>
              <w:keepLines/>
              <w:widowControl w:val="0"/>
              <w:rPr>
                <w:sz w:val="20"/>
                <w:lang w:val="pl-PL"/>
              </w:rPr>
            </w:pPr>
            <w:r w:rsidRPr="0015541C">
              <w:rPr>
                <w:sz w:val="20"/>
                <w:lang w:val="pl-PL"/>
              </w:rPr>
              <w:t>wartość p </w:t>
            </w:r>
            <w:r w:rsidRPr="0015541C">
              <w:rPr>
                <w:sz w:val="20"/>
                <w:vertAlign w:val="superscript"/>
                <w:lang w:val="pl-PL"/>
              </w:rPr>
              <w:t>3, 4</w:t>
            </w:r>
          </w:p>
        </w:tc>
        <w:tc>
          <w:tcPr>
            <w:tcW w:w="1701" w:type="dxa"/>
            <w:tcBorders>
              <w:bottom w:val="single" w:sz="4" w:space="0" w:color="auto"/>
            </w:tcBorders>
            <w:shd w:val="clear" w:color="auto" w:fill="auto"/>
            <w:vAlign w:val="center"/>
          </w:tcPr>
          <w:p w14:paraId="073AC8D7" w14:textId="77777777" w:rsidR="004C6C53" w:rsidRPr="00AC3958" w:rsidRDefault="004C6C53" w:rsidP="00BE61A6">
            <w:pPr>
              <w:keepNext/>
              <w:keepLines/>
              <w:jc w:val="center"/>
              <w:rPr>
                <w:sz w:val="20"/>
                <w:lang w:val="pl-PL"/>
              </w:rPr>
            </w:pPr>
          </w:p>
        </w:tc>
        <w:tc>
          <w:tcPr>
            <w:tcW w:w="1559" w:type="dxa"/>
            <w:tcBorders>
              <w:bottom w:val="single" w:sz="4" w:space="0" w:color="auto"/>
            </w:tcBorders>
            <w:shd w:val="clear" w:color="auto" w:fill="auto"/>
            <w:vAlign w:val="center"/>
          </w:tcPr>
          <w:p w14:paraId="75379EAB" w14:textId="77777777" w:rsidR="004C6C53" w:rsidRPr="0015541C" w:rsidRDefault="004C6C53" w:rsidP="00EE7A0B">
            <w:pPr>
              <w:keepNext/>
              <w:keepLines/>
              <w:jc w:val="center"/>
              <w:rPr>
                <w:sz w:val="20"/>
                <w:lang w:val="pl-PL"/>
              </w:rPr>
            </w:pPr>
            <w:r w:rsidRPr="00260CEC">
              <w:rPr>
                <w:sz w:val="20"/>
                <w:lang w:val="pl-PL"/>
              </w:rPr>
              <w:t>0</w:t>
            </w:r>
            <w:r w:rsidR="002F2193" w:rsidRPr="0015541C">
              <w:rPr>
                <w:sz w:val="20"/>
                <w:lang w:val="pl-PL"/>
              </w:rPr>
              <w:t>,</w:t>
            </w:r>
            <w:r w:rsidRPr="0015541C">
              <w:rPr>
                <w:sz w:val="20"/>
                <w:lang w:val="pl-PL"/>
              </w:rPr>
              <w:t>0437</w:t>
            </w:r>
          </w:p>
        </w:tc>
        <w:tc>
          <w:tcPr>
            <w:tcW w:w="1625" w:type="dxa"/>
            <w:tcBorders>
              <w:bottom w:val="single" w:sz="4" w:space="0" w:color="auto"/>
              <w:right w:val="single" w:sz="4" w:space="0" w:color="auto"/>
            </w:tcBorders>
            <w:shd w:val="clear" w:color="auto" w:fill="auto"/>
            <w:vAlign w:val="center"/>
          </w:tcPr>
          <w:p w14:paraId="71CEF9A8" w14:textId="77777777" w:rsidR="004C6C53" w:rsidRPr="0015541C" w:rsidRDefault="004C6C53" w:rsidP="00EE7A0B">
            <w:pPr>
              <w:pStyle w:val="TableText10"/>
              <w:keepNext/>
              <w:keepLines/>
              <w:jc w:val="center"/>
              <w:rPr>
                <w:lang w:val="pl-PL"/>
              </w:rPr>
            </w:pPr>
            <w:r w:rsidRPr="0015541C">
              <w:rPr>
                <w:lang w:val="pl-PL"/>
              </w:rPr>
              <w:t>&lt; 0</w:t>
            </w:r>
            <w:r w:rsidR="002F2193" w:rsidRPr="0015541C">
              <w:rPr>
                <w:lang w:val="pl-PL"/>
              </w:rPr>
              <w:t>,</w:t>
            </w:r>
            <w:r w:rsidRPr="0015541C">
              <w:rPr>
                <w:lang w:val="pl-PL"/>
              </w:rPr>
              <w:t>0001</w:t>
            </w:r>
          </w:p>
        </w:tc>
      </w:tr>
      <w:tr w:rsidR="004C6C53" w:rsidRPr="0015541C" w14:paraId="15C0F49C" w14:textId="77777777" w:rsidTr="00D16D61">
        <w:tc>
          <w:tcPr>
            <w:tcW w:w="9206" w:type="dxa"/>
            <w:gridSpan w:val="4"/>
            <w:tcBorders>
              <w:top w:val="single" w:sz="4" w:space="0" w:color="auto"/>
              <w:left w:val="single" w:sz="4" w:space="0" w:color="auto"/>
              <w:bottom w:val="single" w:sz="4" w:space="0" w:color="auto"/>
              <w:right w:val="single" w:sz="4" w:space="0" w:color="auto"/>
            </w:tcBorders>
            <w:shd w:val="clear" w:color="auto" w:fill="auto"/>
          </w:tcPr>
          <w:p w14:paraId="1382A357" w14:textId="77777777" w:rsidR="004C6C53" w:rsidRPr="0015541C" w:rsidRDefault="004C6C53" w:rsidP="009B476A">
            <w:pPr>
              <w:pStyle w:val="TableText10"/>
              <w:keepNext/>
              <w:keepLines/>
              <w:rPr>
                <w:lang w:val="pl-PL"/>
              </w:rPr>
            </w:pPr>
            <w:r w:rsidRPr="0015541C">
              <w:rPr>
                <w:bCs/>
                <w:lang w:val="pl-PL"/>
              </w:rPr>
              <w:t>Współczynnik obiektywnych odpowiedzi </w:t>
            </w:r>
            <w:r w:rsidRPr="0015541C">
              <w:rPr>
                <w:vertAlign w:val="superscript"/>
                <w:lang w:val="pl-PL"/>
              </w:rPr>
              <w:t>5</w:t>
            </w:r>
          </w:p>
        </w:tc>
      </w:tr>
      <w:tr w:rsidR="004C6C53" w:rsidRPr="0015541C" w14:paraId="7B2D464A" w14:textId="77777777" w:rsidTr="00D16D61">
        <w:tc>
          <w:tcPr>
            <w:tcW w:w="4321" w:type="dxa"/>
            <w:tcBorders>
              <w:left w:val="single" w:sz="4" w:space="0" w:color="auto"/>
            </w:tcBorders>
            <w:shd w:val="clear" w:color="auto" w:fill="auto"/>
          </w:tcPr>
          <w:p w14:paraId="2674BA66" w14:textId="77777777" w:rsidR="004C6C53" w:rsidRPr="0015541C" w:rsidRDefault="004C6C53" w:rsidP="009B476A">
            <w:pPr>
              <w:pStyle w:val="TableText10"/>
              <w:keepNext/>
              <w:keepLines/>
              <w:jc w:val="center"/>
              <w:rPr>
                <w:lang w:val="pl-PL"/>
              </w:rPr>
            </w:pPr>
          </w:p>
        </w:tc>
        <w:tc>
          <w:tcPr>
            <w:tcW w:w="1701" w:type="dxa"/>
            <w:shd w:val="clear" w:color="auto" w:fill="auto"/>
            <w:vAlign w:val="center"/>
          </w:tcPr>
          <w:p w14:paraId="671F9798" w14:textId="77777777" w:rsidR="004C6C53" w:rsidRPr="0015541C" w:rsidRDefault="004C6C53" w:rsidP="00BE61A6">
            <w:pPr>
              <w:keepNext/>
              <w:keepLines/>
              <w:jc w:val="center"/>
              <w:rPr>
                <w:sz w:val="20"/>
                <w:lang w:val="pl-PL" w:bidi="en-US"/>
              </w:rPr>
            </w:pPr>
            <w:r w:rsidRPr="0015541C">
              <w:rPr>
                <w:sz w:val="20"/>
                <w:lang w:val="pl-PL" w:bidi="en-US"/>
              </w:rPr>
              <w:t xml:space="preserve">CPP </w:t>
            </w:r>
          </w:p>
          <w:p w14:paraId="4207996E" w14:textId="77777777" w:rsidR="004C6C53" w:rsidRPr="00AC3958" w:rsidRDefault="004C6C53" w:rsidP="00EE7A0B">
            <w:pPr>
              <w:keepNext/>
              <w:keepLines/>
              <w:jc w:val="center"/>
              <w:rPr>
                <w:sz w:val="20"/>
                <w:lang w:val="pl-PL"/>
              </w:rPr>
            </w:pPr>
            <w:r w:rsidRPr="0015541C">
              <w:rPr>
                <w:sz w:val="20"/>
                <w:lang w:val="pl-PL"/>
              </w:rPr>
              <w:t>(n = 396)</w:t>
            </w:r>
          </w:p>
        </w:tc>
        <w:tc>
          <w:tcPr>
            <w:tcW w:w="1559" w:type="dxa"/>
            <w:shd w:val="clear" w:color="auto" w:fill="auto"/>
            <w:vAlign w:val="center"/>
          </w:tcPr>
          <w:p w14:paraId="3895EA6D" w14:textId="77777777" w:rsidR="004C6C53" w:rsidRPr="0015541C" w:rsidRDefault="004C6C53" w:rsidP="00EE7A0B">
            <w:pPr>
              <w:keepNext/>
              <w:keepLines/>
              <w:jc w:val="center"/>
              <w:rPr>
                <w:sz w:val="20"/>
                <w:lang w:val="pl-PL" w:bidi="en-US"/>
              </w:rPr>
            </w:pPr>
            <w:r w:rsidRPr="00260CEC">
              <w:rPr>
                <w:sz w:val="20"/>
                <w:lang w:val="pl-PL" w:bidi="en-US"/>
              </w:rPr>
              <w:t xml:space="preserve">CPB15 </w:t>
            </w:r>
          </w:p>
          <w:p w14:paraId="6A4F2CCA" w14:textId="77777777" w:rsidR="004C6C53" w:rsidRPr="0015541C" w:rsidRDefault="004C6C53" w:rsidP="00EE7A0B">
            <w:pPr>
              <w:keepNext/>
              <w:keepLines/>
              <w:jc w:val="center"/>
              <w:rPr>
                <w:sz w:val="20"/>
                <w:lang w:val="pl-PL"/>
              </w:rPr>
            </w:pPr>
            <w:r w:rsidRPr="0015541C">
              <w:rPr>
                <w:sz w:val="20"/>
                <w:lang w:val="pl-PL"/>
              </w:rPr>
              <w:t>(n = 393)</w:t>
            </w:r>
            <w:r w:rsidRPr="0015541C">
              <w:rPr>
                <w:sz w:val="20"/>
                <w:vertAlign w:val="superscript"/>
                <w:lang w:val="pl-PL"/>
              </w:rPr>
              <w:t xml:space="preserve"> </w:t>
            </w:r>
          </w:p>
        </w:tc>
        <w:tc>
          <w:tcPr>
            <w:tcW w:w="1625" w:type="dxa"/>
            <w:tcBorders>
              <w:right w:val="single" w:sz="4" w:space="0" w:color="auto"/>
            </w:tcBorders>
            <w:shd w:val="clear" w:color="auto" w:fill="auto"/>
            <w:vAlign w:val="center"/>
          </w:tcPr>
          <w:p w14:paraId="7A762F60" w14:textId="77777777" w:rsidR="00804499" w:rsidRPr="0015541C" w:rsidRDefault="004C6C53" w:rsidP="00EE7A0B">
            <w:pPr>
              <w:keepNext/>
              <w:keepLines/>
              <w:jc w:val="center"/>
              <w:rPr>
                <w:sz w:val="20"/>
                <w:lang w:val="pl-PL" w:bidi="en-US"/>
              </w:rPr>
            </w:pPr>
            <w:r w:rsidRPr="0015541C">
              <w:rPr>
                <w:sz w:val="20"/>
                <w:lang w:val="pl-PL" w:bidi="en-US"/>
              </w:rPr>
              <w:t xml:space="preserve">CPB15+ </w:t>
            </w:r>
          </w:p>
          <w:p w14:paraId="23046898" w14:textId="77777777" w:rsidR="004C6C53" w:rsidRPr="0015541C" w:rsidRDefault="004C6C53" w:rsidP="00EE7A0B">
            <w:pPr>
              <w:keepNext/>
              <w:keepLines/>
              <w:jc w:val="center"/>
              <w:rPr>
                <w:sz w:val="20"/>
                <w:lang w:val="pl-PL"/>
              </w:rPr>
            </w:pPr>
            <w:r w:rsidRPr="0015541C">
              <w:rPr>
                <w:sz w:val="20"/>
                <w:lang w:val="pl-PL"/>
              </w:rPr>
              <w:t>(n = 403)</w:t>
            </w:r>
            <w:r w:rsidRPr="0015541C">
              <w:rPr>
                <w:sz w:val="20"/>
                <w:vertAlign w:val="superscript"/>
                <w:lang w:val="pl-PL"/>
              </w:rPr>
              <w:t xml:space="preserve"> </w:t>
            </w:r>
          </w:p>
        </w:tc>
      </w:tr>
      <w:tr w:rsidR="004C6C53" w:rsidRPr="0015541C" w14:paraId="43FE97B5" w14:textId="77777777" w:rsidTr="00D16D61">
        <w:tc>
          <w:tcPr>
            <w:tcW w:w="4321" w:type="dxa"/>
            <w:tcBorders>
              <w:left w:val="single" w:sz="4" w:space="0" w:color="auto"/>
            </w:tcBorders>
            <w:shd w:val="clear" w:color="auto" w:fill="auto"/>
          </w:tcPr>
          <w:p w14:paraId="12EE7222" w14:textId="77777777" w:rsidR="004C6C53" w:rsidRPr="00AC3958" w:rsidRDefault="004C6C53" w:rsidP="009B476A">
            <w:pPr>
              <w:keepNext/>
              <w:keepLines/>
              <w:rPr>
                <w:sz w:val="20"/>
                <w:lang w:val="pl-PL"/>
              </w:rPr>
            </w:pPr>
            <w:r w:rsidRPr="0015541C">
              <w:rPr>
                <w:sz w:val="20"/>
                <w:lang w:val="pl-PL"/>
              </w:rPr>
              <w:t>% pacjentów z obiektywn</w:t>
            </w:r>
            <w:r w:rsidR="00F547DC" w:rsidRPr="0015541C">
              <w:rPr>
                <w:sz w:val="20"/>
                <w:lang w:val="pl-PL"/>
              </w:rPr>
              <w:t>ą</w:t>
            </w:r>
            <w:r w:rsidRPr="0015541C">
              <w:rPr>
                <w:sz w:val="20"/>
                <w:lang w:val="pl-PL"/>
              </w:rPr>
              <w:t xml:space="preserve"> odpowiedzi</w:t>
            </w:r>
            <w:r w:rsidR="00F547DC" w:rsidRPr="0015541C">
              <w:rPr>
                <w:sz w:val="20"/>
                <w:lang w:val="pl-PL"/>
              </w:rPr>
              <w:t>ą</w:t>
            </w:r>
            <w:r w:rsidRPr="00AC3958">
              <w:rPr>
                <w:sz w:val="20"/>
                <w:lang w:val="pl-PL"/>
              </w:rPr>
              <w:t xml:space="preserve"> na leczenie</w:t>
            </w:r>
          </w:p>
        </w:tc>
        <w:tc>
          <w:tcPr>
            <w:tcW w:w="1701" w:type="dxa"/>
            <w:shd w:val="clear" w:color="auto" w:fill="auto"/>
            <w:vAlign w:val="center"/>
          </w:tcPr>
          <w:p w14:paraId="609D2F88" w14:textId="77777777" w:rsidR="004C6C53" w:rsidRPr="0015541C" w:rsidRDefault="004C6C53" w:rsidP="00BE61A6">
            <w:pPr>
              <w:keepNext/>
              <w:keepLines/>
              <w:jc w:val="center"/>
              <w:rPr>
                <w:sz w:val="20"/>
                <w:lang w:val="pl-PL"/>
              </w:rPr>
            </w:pPr>
            <w:r w:rsidRPr="00260CEC">
              <w:rPr>
                <w:sz w:val="20"/>
                <w:lang w:val="pl-PL"/>
              </w:rPr>
              <w:t>63</w:t>
            </w:r>
            <w:r w:rsidR="002F2193" w:rsidRPr="0015541C">
              <w:rPr>
                <w:sz w:val="20"/>
                <w:lang w:val="pl-PL"/>
              </w:rPr>
              <w:t>,</w:t>
            </w:r>
            <w:r w:rsidRPr="0015541C">
              <w:rPr>
                <w:sz w:val="20"/>
                <w:lang w:val="pl-PL"/>
              </w:rPr>
              <w:t>4</w:t>
            </w:r>
          </w:p>
        </w:tc>
        <w:tc>
          <w:tcPr>
            <w:tcW w:w="1559" w:type="dxa"/>
            <w:shd w:val="clear" w:color="auto" w:fill="auto"/>
            <w:vAlign w:val="center"/>
          </w:tcPr>
          <w:p w14:paraId="0935628E" w14:textId="77777777" w:rsidR="004C6C53" w:rsidRPr="0015541C" w:rsidRDefault="004C6C53" w:rsidP="00EE7A0B">
            <w:pPr>
              <w:keepNext/>
              <w:keepLines/>
              <w:jc w:val="center"/>
              <w:rPr>
                <w:sz w:val="20"/>
                <w:lang w:val="pl-PL"/>
              </w:rPr>
            </w:pPr>
            <w:r w:rsidRPr="0015541C">
              <w:rPr>
                <w:sz w:val="20"/>
                <w:lang w:val="pl-PL"/>
              </w:rPr>
              <w:t>66</w:t>
            </w:r>
            <w:r w:rsidR="002F2193" w:rsidRPr="0015541C">
              <w:rPr>
                <w:sz w:val="20"/>
                <w:lang w:val="pl-PL"/>
              </w:rPr>
              <w:t>,</w:t>
            </w:r>
            <w:r w:rsidRPr="0015541C">
              <w:rPr>
                <w:sz w:val="20"/>
                <w:lang w:val="pl-PL"/>
              </w:rPr>
              <w:t>2</w:t>
            </w:r>
          </w:p>
        </w:tc>
        <w:tc>
          <w:tcPr>
            <w:tcW w:w="1625" w:type="dxa"/>
            <w:tcBorders>
              <w:right w:val="single" w:sz="4" w:space="0" w:color="auto"/>
            </w:tcBorders>
            <w:shd w:val="clear" w:color="auto" w:fill="auto"/>
            <w:vAlign w:val="center"/>
          </w:tcPr>
          <w:p w14:paraId="60129582" w14:textId="77777777" w:rsidR="004C6C53" w:rsidRPr="0015541C" w:rsidRDefault="004C6C53" w:rsidP="00EE7A0B">
            <w:pPr>
              <w:keepNext/>
              <w:keepLines/>
              <w:jc w:val="center"/>
              <w:rPr>
                <w:sz w:val="20"/>
                <w:lang w:val="pl-PL"/>
              </w:rPr>
            </w:pPr>
            <w:r w:rsidRPr="0015541C">
              <w:rPr>
                <w:sz w:val="20"/>
                <w:lang w:val="pl-PL"/>
              </w:rPr>
              <w:t>66</w:t>
            </w:r>
            <w:r w:rsidR="002F2193" w:rsidRPr="0015541C">
              <w:rPr>
                <w:sz w:val="20"/>
                <w:lang w:val="pl-PL"/>
              </w:rPr>
              <w:t>,</w:t>
            </w:r>
            <w:r w:rsidRPr="0015541C">
              <w:rPr>
                <w:sz w:val="20"/>
                <w:lang w:val="pl-PL"/>
              </w:rPr>
              <w:t>0</w:t>
            </w:r>
          </w:p>
        </w:tc>
      </w:tr>
      <w:tr w:rsidR="004C6C53" w:rsidRPr="0015541C" w14:paraId="3A8FF79B" w14:textId="77777777" w:rsidTr="00D16D61">
        <w:tc>
          <w:tcPr>
            <w:tcW w:w="4321" w:type="dxa"/>
            <w:tcBorders>
              <w:left w:val="single" w:sz="4" w:space="0" w:color="auto"/>
              <w:bottom w:val="single" w:sz="4" w:space="0" w:color="auto"/>
            </w:tcBorders>
            <w:shd w:val="clear" w:color="auto" w:fill="auto"/>
          </w:tcPr>
          <w:p w14:paraId="190EE1C8" w14:textId="77777777" w:rsidR="004C6C53" w:rsidRPr="0015541C" w:rsidRDefault="004C6C53" w:rsidP="009B476A">
            <w:pPr>
              <w:keepNext/>
              <w:keepLines/>
              <w:rPr>
                <w:sz w:val="20"/>
                <w:lang w:val="pl-PL"/>
              </w:rPr>
            </w:pPr>
            <w:r w:rsidRPr="0015541C">
              <w:rPr>
                <w:sz w:val="20"/>
                <w:lang w:val="pl-PL"/>
              </w:rPr>
              <w:t>wartość p</w:t>
            </w:r>
          </w:p>
        </w:tc>
        <w:tc>
          <w:tcPr>
            <w:tcW w:w="1701" w:type="dxa"/>
            <w:tcBorders>
              <w:bottom w:val="single" w:sz="4" w:space="0" w:color="auto"/>
            </w:tcBorders>
            <w:shd w:val="clear" w:color="auto" w:fill="auto"/>
            <w:vAlign w:val="center"/>
          </w:tcPr>
          <w:p w14:paraId="6AF88620" w14:textId="77777777" w:rsidR="004C6C53" w:rsidRPr="0015541C" w:rsidRDefault="004C6C53" w:rsidP="00BE61A6">
            <w:pPr>
              <w:keepNext/>
              <w:keepLines/>
              <w:jc w:val="center"/>
              <w:rPr>
                <w:sz w:val="20"/>
                <w:lang w:val="pl-PL"/>
              </w:rPr>
            </w:pPr>
          </w:p>
        </w:tc>
        <w:tc>
          <w:tcPr>
            <w:tcW w:w="1559" w:type="dxa"/>
            <w:tcBorders>
              <w:bottom w:val="single" w:sz="4" w:space="0" w:color="auto"/>
            </w:tcBorders>
            <w:shd w:val="clear" w:color="auto" w:fill="auto"/>
            <w:vAlign w:val="center"/>
          </w:tcPr>
          <w:p w14:paraId="5B3E7CF9" w14:textId="77777777" w:rsidR="004C6C53" w:rsidRPr="0015541C" w:rsidRDefault="004C6C53" w:rsidP="00EE7A0B">
            <w:pPr>
              <w:keepNext/>
              <w:keepLines/>
              <w:jc w:val="center"/>
              <w:rPr>
                <w:sz w:val="20"/>
                <w:lang w:val="pl-PL"/>
              </w:rPr>
            </w:pPr>
            <w:r w:rsidRPr="00AC3958">
              <w:rPr>
                <w:sz w:val="20"/>
                <w:lang w:val="pl-PL"/>
              </w:rPr>
              <w:t>0</w:t>
            </w:r>
            <w:r w:rsidR="002F2193" w:rsidRPr="00AC3958">
              <w:rPr>
                <w:sz w:val="20"/>
                <w:lang w:val="pl-PL"/>
              </w:rPr>
              <w:t>,</w:t>
            </w:r>
            <w:r w:rsidRPr="00260CEC">
              <w:rPr>
                <w:sz w:val="20"/>
                <w:lang w:val="pl-PL"/>
              </w:rPr>
              <w:t>2341</w:t>
            </w:r>
          </w:p>
        </w:tc>
        <w:tc>
          <w:tcPr>
            <w:tcW w:w="1625" w:type="dxa"/>
            <w:tcBorders>
              <w:bottom w:val="single" w:sz="4" w:space="0" w:color="auto"/>
              <w:right w:val="single" w:sz="4" w:space="0" w:color="auto"/>
            </w:tcBorders>
            <w:shd w:val="clear" w:color="auto" w:fill="auto"/>
            <w:vAlign w:val="center"/>
          </w:tcPr>
          <w:p w14:paraId="074D4656" w14:textId="77777777" w:rsidR="004C6C53" w:rsidRPr="0015541C" w:rsidRDefault="004C6C53" w:rsidP="00EE7A0B">
            <w:pPr>
              <w:keepNext/>
              <w:keepLines/>
              <w:jc w:val="center"/>
              <w:rPr>
                <w:sz w:val="20"/>
                <w:lang w:val="pl-PL"/>
              </w:rPr>
            </w:pPr>
            <w:r w:rsidRPr="0015541C">
              <w:rPr>
                <w:sz w:val="20"/>
                <w:lang w:val="pl-PL"/>
              </w:rPr>
              <w:t> 0</w:t>
            </w:r>
            <w:r w:rsidR="002F2193" w:rsidRPr="0015541C">
              <w:rPr>
                <w:sz w:val="20"/>
                <w:lang w:val="pl-PL"/>
              </w:rPr>
              <w:t>,</w:t>
            </w:r>
            <w:r w:rsidRPr="0015541C">
              <w:rPr>
                <w:sz w:val="20"/>
                <w:lang w:val="pl-PL"/>
              </w:rPr>
              <w:t>2041</w:t>
            </w:r>
          </w:p>
        </w:tc>
      </w:tr>
      <w:tr w:rsidR="004C6C53" w:rsidRPr="0015541C" w14:paraId="5F89B67A" w14:textId="77777777" w:rsidTr="00D16D61">
        <w:tc>
          <w:tcPr>
            <w:tcW w:w="9206" w:type="dxa"/>
            <w:gridSpan w:val="4"/>
            <w:tcBorders>
              <w:top w:val="single" w:sz="4" w:space="0" w:color="auto"/>
              <w:left w:val="single" w:sz="4" w:space="0" w:color="auto"/>
              <w:bottom w:val="single" w:sz="4" w:space="0" w:color="auto"/>
              <w:right w:val="single" w:sz="4" w:space="0" w:color="auto"/>
              <w:tr2bl w:val="nil"/>
            </w:tcBorders>
            <w:shd w:val="clear" w:color="auto" w:fill="auto"/>
          </w:tcPr>
          <w:p w14:paraId="401ACF26" w14:textId="77777777" w:rsidR="004C6C53" w:rsidRPr="0015541C" w:rsidRDefault="0086208E" w:rsidP="009B476A">
            <w:pPr>
              <w:pStyle w:val="TableText10"/>
              <w:keepNext/>
              <w:keepLines/>
              <w:rPr>
                <w:lang w:val="pl-PL"/>
              </w:rPr>
            </w:pPr>
            <w:r w:rsidRPr="0015541C">
              <w:rPr>
                <w:bCs/>
                <w:lang w:val="pl-PL"/>
              </w:rPr>
              <w:t>Całkowity czas przeżycia</w:t>
            </w:r>
            <w:r w:rsidR="004C6C53" w:rsidRPr="0015541C">
              <w:rPr>
                <w:bCs/>
                <w:lang w:val="pl-PL"/>
              </w:rPr>
              <w:t> </w:t>
            </w:r>
            <w:r w:rsidR="004C6C53" w:rsidRPr="0015541C">
              <w:rPr>
                <w:bCs/>
                <w:vertAlign w:val="superscript"/>
                <w:lang w:val="pl-PL"/>
              </w:rPr>
              <w:t>6</w:t>
            </w:r>
          </w:p>
        </w:tc>
      </w:tr>
      <w:tr w:rsidR="004C6C53" w:rsidRPr="0015541C" w14:paraId="1D7E22F5" w14:textId="77777777" w:rsidTr="00D16D61">
        <w:tc>
          <w:tcPr>
            <w:tcW w:w="4321" w:type="dxa"/>
            <w:tcBorders>
              <w:top w:val="nil"/>
              <w:left w:val="single" w:sz="4" w:space="0" w:color="auto"/>
              <w:bottom w:val="nil"/>
            </w:tcBorders>
            <w:shd w:val="clear" w:color="auto" w:fill="auto"/>
          </w:tcPr>
          <w:p w14:paraId="412A3FB6" w14:textId="77777777" w:rsidR="004C6C53" w:rsidRPr="0015541C" w:rsidRDefault="00A77E4C" w:rsidP="009B476A">
            <w:pPr>
              <w:pStyle w:val="TableText10"/>
              <w:keepNext/>
              <w:keepLines/>
              <w:jc w:val="center"/>
              <w:rPr>
                <w:lang w:val="pl-PL"/>
              </w:rPr>
            </w:pPr>
            <w:r w:rsidRPr="0015541C">
              <w:rPr>
                <w:lang w:val="pl-PL"/>
              </w:rPr>
              <w:t xml:space="preserve"> </w:t>
            </w:r>
          </w:p>
        </w:tc>
        <w:tc>
          <w:tcPr>
            <w:tcW w:w="1701" w:type="dxa"/>
            <w:tcBorders>
              <w:top w:val="nil"/>
              <w:bottom w:val="nil"/>
            </w:tcBorders>
            <w:shd w:val="clear" w:color="auto" w:fill="auto"/>
            <w:vAlign w:val="center"/>
          </w:tcPr>
          <w:p w14:paraId="0CDAF759" w14:textId="77777777" w:rsidR="004C6C53" w:rsidRPr="00AC3958" w:rsidRDefault="004C6C53" w:rsidP="00BE61A6">
            <w:pPr>
              <w:keepNext/>
              <w:keepLines/>
              <w:jc w:val="center"/>
              <w:rPr>
                <w:sz w:val="20"/>
                <w:lang w:val="pl-PL"/>
              </w:rPr>
            </w:pPr>
            <w:r w:rsidRPr="0015541C">
              <w:rPr>
                <w:sz w:val="20"/>
                <w:lang w:val="pl-PL" w:bidi="en-US"/>
              </w:rPr>
              <w:t>CPP</w:t>
            </w:r>
            <w:r w:rsidRPr="0015541C">
              <w:rPr>
                <w:sz w:val="20"/>
                <w:lang w:val="pl-PL" w:bidi="en-US"/>
              </w:rPr>
              <w:br/>
            </w:r>
            <w:r w:rsidRPr="00AC3958">
              <w:rPr>
                <w:sz w:val="20"/>
                <w:lang w:val="pl-PL"/>
              </w:rPr>
              <w:t>(n = 625)</w:t>
            </w:r>
          </w:p>
        </w:tc>
        <w:tc>
          <w:tcPr>
            <w:tcW w:w="1559" w:type="dxa"/>
            <w:tcBorders>
              <w:top w:val="nil"/>
              <w:bottom w:val="nil"/>
            </w:tcBorders>
            <w:shd w:val="clear" w:color="auto" w:fill="auto"/>
            <w:vAlign w:val="center"/>
          </w:tcPr>
          <w:p w14:paraId="474FB6B9" w14:textId="77777777" w:rsidR="004C6C53" w:rsidRPr="0015541C" w:rsidRDefault="004C6C53" w:rsidP="00EE7A0B">
            <w:pPr>
              <w:keepNext/>
              <w:keepLines/>
              <w:jc w:val="center"/>
              <w:rPr>
                <w:sz w:val="20"/>
                <w:lang w:val="pl-PL"/>
              </w:rPr>
            </w:pPr>
            <w:r w:rsidRPr="00260CEC">
              <w:rPr>
                <w:sz w:val="20"/>
                <w:lang w:val="pl-PL" w:bidi="en-US"/>
              </w:rPr>
              <w:t>CPB15</w:t>
            </w:r>
            <w:r w:rsidRPr="0015541C">
              <w:rPr>
                <w:sz w:val="20"/>
                <w:lang w:val="pl-PL" w:bidi="en-US"/>
              </w:rPr>
              <w:br/>
            </w:r>
            <w:r w:rsidRPr="0015541C">
              <w:rPr>
                <w:sz w:val="20"/>
                <w:lang w:val="pl-PL"/>
              </w:rPr>
              <w:t>(n = 625)</w:t>
            </w:r>
          </w:p>
        </w:tc>
        <w:tc>
          <w:tcPr>
            <w:tcW w:w="1625" w:type="dxa"/>
            <w:tcBorders>
              <w:top w:val="nil"/>
              <w:bottom w:val="nil"/>
              <w:right w:val="single" w:sz="4" w:space="0" w:color="auto"/>
            </w:tcBorders>
            <w:shd w:val="clear" w:color="auto" w:fill="auto"/>
            <w:vAlign w:val="center"/>
          </w:tcPr>
          <w:p w14:paraId="5821A32F" w14:textId="77777777" w:rsidR="004C6C53" w:rsidRPr="0015541C" w:rsidRDefault="004C6C53" w:rsidP="00EE7A0B">
            <w:pPr>
              <w:pStyle w:val="TableText10"/>
              <w:keepNext/>
              <w:keepLines/>
              <w:jc w:val="center"/>
              <w:rPr>
                <w:lang w:val="pl-PL"/>
              </w:rPr>
            </w:pPr>
            <w:r w:rsidRPr="0015541C">
              <w:rPr>
                <w:lang w:val="pl-PL" w:bidi="en-US"/>
              </w:rPr>
              <w:t>CPB15+</w:t>
            </w:r>
            <w:r w:rsidRPr="0015541C">
              <w:rPr>
                <w:lang w:val="pl-PL" w:bidi="en-US"/>
              </w:rPr>
              <w:br/>
            </w:r>
            <w:r w:rsidRPr="0015541C">
              <w:rPr>
                <w:lang w:val="pl-PL"/>
              </w:rPr>
              <w:t>(n = 623)</w:t>
            </w:r>
          </w:p>
        </w:tc>
      </w:tr>
      <w:tr w:rsidR="00EC6C1A" w:rsidRPr="0015541C" w14:paraId="4039F596" w14:textId="77777777" w:rsidTr="00D16D61">
        <w:tc>
          <w:tcPr>
            <w:tcW w:w="4321" w:type="dxa"/>
            <w:tcBorders>
              <w:top w:val="nil"/>
              <w:left w:val="single" w:sz="4" w:space="0" w:color="auto"/>
              <w:bottom w:val="nil"/>
            </w:tcBorders>
            <w:shd w:val="clear" w:color="auto" w:fill="auto"/>
          </w:tcPr>
          <w:p w14:paraId="0B0FE587" w14:textId="3FA21DA3" w:rsidR="00EC6C1A" w:rsidRPr="0015541C" w:rsidRDefault="00EC6C1A" w:rsidP="009B476A">
            <w:pPr>
              <w:keepNext/>
              <w:keepLines/>
              <w:rPr>
                <w:sz w:val="20"/>
                <w:lang w:val="pl-PL"/>
              </w:rPr>
            </w:pPr>
            <w:r w:rsidRPr="0015541C">
              <w:rPr>
                <w:sz w:val="20"/>
                <w:lang w:val="pl-PL"/>
              </w:rPr>
              <w:t xml:space="preserve">Mediana </w:t>
            </w:r>
            <w:r w:rsidR="006D023F" w:rsidRPr="0015541C">
              <w:rPr>
                <w:sz w:val="20"/>
                <w:lang w:val="pl-PL"/>
              </w:rPr>
              <w:t>OS</w:t>
            </w:r>
            <w:r w:rsidRPr="0015541C">
              <w:rPr>
                <w:sz w:val="20"/>
                <w:lang w:val="pl-PL"/>
              </w:rPr>
              <w:t xml:space="preserve"> (miesiące)</w:t>
            </w:r>
          </w:p>
        </w:tc>
        <w:tc>
          <w:tcPr>
            <w:tcW w:w="1701" w:type="dxa"/>
            <w:tcBorders>
              <w:top w:val="nil"/>
              <w:bottom w:val="nil"/>
            </w:tcBorders>
            <w:shd w:val="clear" w:color="auto" w:fill="auto"/>
            <w:vAlign w:val="center"/>
          </w:tcPr>
          <w:p w14:paraId="7BE51B52" w14:textId="77777777" w:rsidR="00EC6C1A" w:rsidRPr="00AC3958" w:rsidRDefault="00EC6C1A" w:rsidP="00BE61A6">
            <w:pPr>
              <w:keepNext/>
              <w:keepLines/>
              <w:jc w:val="center"/>
              <w:rPr>
                <w:sz w:val="20"/>
                <w:lang w:val="pl-PL"/>
              </w:rPr>
            </w:pPr>
            <w:r w:rsidRPr="00AC3958">
              <w:rPr>
                <w:sz w:val="20"/>
                <w:lang w:val="pl-PL"/>
              </w:rPr>
              <w:t>40,6</w:t>
            </w:r>
          </w:p>
        </w:tc>
        <w:tc>
          <w:tcPr>
            <w:tcW w:w="1559" w:type="dxa"/>
            <w:tcBorders>
              <w:top w:val="nil"/>
              <w:bottom w:val="nil"/>
            </w:tcBorders>
            <w:shd w:val="clear" w:color="auto" w:fill="auto"/>
            <w:vAlign w:val="center"/>
          </w:tcPr>
          <w:p w14:paraId="1F560A3C" w14:textId="77777777" w:rsidR="00EC6C1A" w:rsidRPr="0015541C" w:rsidRDefault="00EC6C1A" w:rsidP="00EE7A0B">
            <w:pPr>
              <w:keepNext/>
              <w:keepLines/>
              <w:jc w:val="center"/>
              <w:rPr>
                <w:sz w:val="20"/>
                <w:lang w:val="pl-PL"/>
              </w:rPr>
            </w:pPr>
            <w:r w:rsidRPr="00260CEC">
              <w:rPr>
                <w:sz w:val="20"/>
                <w:lang w:val="pl-PL"/>
              </w:rPr>
              <w:t>38,8</w:t>
            </w:r>
          </w:p>
        </w:tc>
        <w:tc>
          <w:tcPr>
            <w:tcW w:w="1625" w:type="dxa"/>
            <w:tcBorders>
              <w:top w:val="nil"/>
              <w:bottom w:val="nil"/>
              <w:right w:val="single" w:sz="4" w:space="0" w:color="auto"/>
            </w:tcBorders>
            <w:shd w:val="clear" w:color="auto" w:fill="auto"/>
            <w:vAlign w:val="center"/>
          </w:tcPr>
          <w:p w14:paraId="42D35393" w14:textId="77777777" w:rsidR="00EC6C1A" w:rsidRPr="0015541C" w:rsidRDefault="00EC6C1A" w:rsidP="00EE7A0B">
            <w:pPr>
              <w:keepNext/>
              <w:keepLines/>
              <w:jc w:val="center"/>
              <w:rPr>
                <w:sz w:val="20"/>
                <w:lang w:val="pl-PL"/>
              </w:rPr>
            </w:pPr>
            <w:r w:rsidRPr="0015541C">
              <w:rPr>
                <w:sz w:val="20"/>
                <w:lang w:val="pl-PL"/>
              </w:rPr>
              <w:t>43,8</w:t>
            </w:r>
          </w:p>
        </w:tc>
      </w:tr>
      <w:tr w:rsidR="00EC6C1A" w:rsidRPr="0015541C" w14:paraId="113D0FA9" w14:textId="77777777" w:rsidTr="00D16D61">
        <w:tc>
          <w:tcPr>
            <w:tcW w:w="4321" w:type="dxa"/>
            <w:tcBorders>
              <w:top w:val="nil"/>
              <w:left w:val="single" w:sz="4" w:space="0" w:color="auto"/>
              <w:bottom w:val="nil"/>
            </w:tcBorders>
            <w:shd w:val="clear" w:color="auto" w:fill="auto"/>
          </w:tcPr>
          <w:p w14:paraId="0A8F4467" w14:textId="77777777" w:rsidR="00EC6C1A" w:rsidRPr="0015541C" w:rsidRDefault="00EC6C1A" w:rsidP="009B476A">
            <w:pPr>
              <w:keepNext/>
              <w:keepLines/>
              <w:widowControl w:val="0"/>
              <w:rPr>
                <w:sz w:val="20"/>
                <w:lang w:val="pl-PL"/>
              </w:rPr>
            </w:pPr>
            <w:r w:rsidRPr="0015541C">
              <w:rPr>
                <w:sz w:val="20"/>
                <w:lang w:val="pl-PL"/>
              </w:rPr>
              <w:t>Współczynnik ryzyka</w:t>
            </w:r>
          </w:p>
          <w:p w14:paraId="353FCCC8" w14:textId="77777777" w:rsidR="00EC6C1A" w:rsidRPr="00AC3958" w:rsidRDefault="00EC6C1A" w:rsidP="00BE61A6">
            <w:pPr>
              <w:keepNext/>
              <w:keepLines/>
              <w:rPr>
                <w:sz w:val="20"/>
                <w:lang w:val="pl-PL"/>
              </w:rPr>
            </w:pPr>
            <w:r w:rsidRPr="0015541C">
              <w:rPr>
                <w:sz w:val="20"/>
                <w:lang w:val="pl-PL"/>
              </w:rPr>
              <w:t xml:space="preserve"> (95% CI) </w:t>
            </w:r>
            <w:r w:rsidRPr="00AC3958">
              <w:rPr>
                <w:sz w:val="20"/>
                <w:vertAlign w:val="superscript"/>
                <w:lang w:val="pl-PL"/>
              </w:rPr>
              <w:t>2</w:t>
            </w:r>
          </w:p>
        </w:tc>
        <w:tc>
          <w:tcPr>
            <w:tcW w:w="1701" w:type="dxa"/>
            <w:tcBorders>
              <w:top w:val="nil"/>
              <w:bottom w:val="nil"/>
            </w:tcBorders>
            <w:shd w:val="clear" w:color="auto" w:fill="auto"/>
            <w:vAlign w:val="center"/>
          </w:tcPr>
          <w:p w14:paraId="6B9FD252" w14:textId="77777777" w:rsidR="00EC6C1A" w:rsidRPr="00260CEC" w:rsidRDefault="00EC6C1A" w:rsidP="00EE7A0B">
            <w:pPr>
              <w:keepNext/>
              <w:keepLines/>
              <w:jc w:val="center"/>
              <w:rPr>
                <w:sz w:val="20"/>
                <w:lang w:val="pl-PL"/>
              </w:rPr>
            </w:pPr>
          </w:p>
        </w:tc>
        <w:tc>
          <w:tcPr>
            <w:tcW w:w="1559" w:type="dxa"/>
            <w:tcBorders>
              <w:top w:val="nil"/>
              <w:bottom w:val="nil"/>
            </w:tcBorders>
            <w:shd w:val="clear" w:color="auto" w:fill="auto"/>
          </w:tcPr>
          <w:p w14:paraId="6D54806F" w14:textId="77777777" w:rsidR="00EC6C1A" w:rsidRPr="0015541C" w:rsidRDefault="00EC6C1A" w:rsidP="00EE7A0B">
            <w:pPr>
              <w:keepNext/>
              <w:keepLines/>
              <w:jc w:val="center"/>
              <w:rPr>
                <w:sz w:val="20"/>
                <w:lang w:val="pl-PL"/>
              </w:rPr>
            </w:pPr>
            <w:r w:rsidRPr="0015541C">
              <w:rPr>
                <w:sz w:val="20"/>
                <w:lang w:val="pl-PL"/>
              </w:rPr>
              <w:t>1,07 (0,91, 1,25)</w:t>
            </w:r>
          </w:p>
        </w:tc>
        <w:tc>
          <w:tcPr>
            <w:tcW w:w="1625" w:type="dxa"/>
            <w:tcBorders>
              <w:top w:val="nil"/>
              <w:bottom w:val="nil"/>
              <w:right w:val="single" w:sz="4" w:space="0" w:color="auto"/>
            </w:tcBorders>
            <w:shd w:val="clear" w:color="auto" w:fill="auto"/>
          </w:tcPr>
          <w:p w14:paraId="5DD00AD9" w14:textId="77777777" w:rsidR="00EC6C1A" w:rsidRPr="0015541C" w:rsidRDefault="00EC6C1A" w:rsidP="00EE7A0B">
            <w:pPr>
              <w:keepNext/>
              <w:keepLines/>
              <w:jc w:val="center"/>
              <w:rPr>
                <w:sz w:val="20"/>
                <w:lang w:val="pl-PL"/>
              </w:rPr>
            </w:pPr>
            <w:r w:rsidRPr="0015541C">
              <w:rPr>
                <w:sz w:val="20"/>
                <w:lang w:val="pl-PL"/>
              </w:rPr>
              <w:t>0,88 (0,75, 1,04)</w:t>
            </w:r>
          </w:p>
        </w:tc>
      </w:tr>
      <w:tr w:rsidR="00EC6C1A" w:rsidRPr="0015541C" w14:paraId="3E69734A" w14:textId="77777777" w:rsidTr="00D16D61">
        <w:tc>
          <w:tcPr>
            <w:tcW w:w="4321" w:type="dxa"/>
            <w:tcBorders>
              <w:top w:val="nil"/>
              <w:left w:val="single" w:sz="4" w:space="0" w:color="auto"/>
              <w:bottom w:val="single" w:sz="6" w:space="0" w:color="000000"/>
            </w:tcBorders>
            <w:shd w:val="clear" w:color="auto" w:fill="auto"/>
          </w:tcPr>
          <w:p w14:paraId="6E8E7E4A" w14:textId="77777777" w:rsidR="00EC6C1A" w:rsidRPr="0015541C" w:rsidRDefault="00EC6C1A" w:rsidP="009B476A">
            <w:pPr>
              <w:keepNext/>
              <w:keepLines/>
              <w:rPr>
                <w:sz w:val="20"/>
                <w:lang w:val="pl-PL"/>
              </w:rPr>
            </w:pPr>
            <w:r w:rsidRPr="0015541C">
              <w:rPr>
                <w:sz w:val="20"/>
                <w:lang w:val="pl-PL"/>
              </w:rPr>
              <w:t>wartość p</w:t>
            </w:r>
            <w:r w:rsidRPr="0015541C">
              <w:rPr>
                <w:sz w:val="20"/>
                <w:vertAlign w:val="superscript"/>
                <w:lang w:val="pl-PL"/>
              </w:rPr>
              <w:t xml:space="preserve"> 3</w:t>
            </w:r>
          </w:p>
        </w:tc>
        <w:tc>
          <w:tcPr>
            <w:tcW w:w="1701" w:type="dxa"/>
            <w:tcBorders>
              <w:top w:val="nil"/>
              <w:bottom w:val="single" w:sz="6" w:space="0" w:color="000000"/>
            </w:tcBorders>
            <w:shd w:val="clear" w:color="auto" w:fill="auto"/>
            <w:vAlign w:val="center"/>
          </w:tcPr>
          <w:p w14:paraId="6B8FCA0D" w14:textId="77777777" w:rsidR="00EC6C1A" w:rsidRPr="0015541C" w:rsidRDefault="00EC6C1A" w:rsidP="00BE61A6">
            <w:pPr>
              <w:keepNext/>
              <w:keepLines/>
              <w:jc w:val="center"/>
              <w:rPr>
                <w:sz w:val="20"/>
                <w:lang w:val="pl-PL"/>
              </w:rPr>
            </w:pPr>
          </w:p>
        </w:tc>
        <w:tc>
          <w:tcPr>
            <w:tcW w:w="1559" w:type="dxa"/>
            <w:tcBorders>
              <w:top w:val="nil"/>
              <w:bottom w:val="single" w:sz="6" w:space="0" w:color="000000"/>
            </w:tcBorders>
            <w:shd w:val="clear" w:color="auto" w:fill="auto"/>
            <w:vAlign w:val="center"/>
          </w:tcPr>
          <w:p w14:paraId="06474797" w14:textId="77777777" w:rsidR="00EC6C1A" w:rsidRPr="00AC3958" w:rsidRDefault="00EC6C1A" w:rsidP="00EE7A0B">
            <w:pPr>
              <w:keepNext/>
              <w:keepLines/>
              <w:jc w:val="center"/>
              <w:rPr>
                <w:sz w:val="20"/>
                <w:lang w:val="pl-PL"/>
              </w:rPr>
            </w:pPr>
            <w:r w:rsidRPr="00AC3958">
              <w:rPr>
                <w:sz w:val="20"/>
                <w:lang w:val="pl-PL"/>
              </w:rPr>
              <w:t>0,2197</w:t>
            </w:r>
          </w:p>
        </w:tc>
        <w:tc>
          <w:tcPr>
            <w:tcW w:w="1625" w:type="dxa"/>
            <w:tcBorders>
              <w:top w:val="nil"/>
              <w:bottom w:val="single" w:sz="6" w:space="0" w:color="000000"/>
              <w:right w:val="single" w:sz="4" w:space="0" w:color="auto"/>
            </w:tcBorders>
            <w:shd w:val="clear" w:color="auto" w:fill="auto"/>
            <w:vAlign w:val="center"/>
          </w:tcPr>
          <w:p w14:paraId="779230DD" w14:textId="77777777" w:rsidR="00EC6C1A" w:rsidRPr="0015541C" w:rsidRDefault="00EC6C1A" w:rsidP="00EE7A0B">
            <w:pPr>
              <w:keepNext/>
              <w:keepLines/>
              <w:jc w:val="center"/>
              <w:rPr>
                <w:sz w:val="20"/>
                <w:lang w:val="pl-PL"/>
              </w:rPr>
            </w:pPr>
            <w:r w:rsidRPr="00260CEC">
              <w:rPr>
                <w:sz w:val="20"/>
                <w:lang w:val="pl-PL"/>
              </w:rPr>
              <w:t>0,0641</w:t>
            </w:r>
          </w:p>
        </w:tc>
      </w:tr>
    </w:tbl>
    <w:p w14:paraId="6E78B206" w14:textId="77777777" w:rsidR="00205CBC" w:rsidRPr="0015541C" w:rsidRDefault="00205CBC" w:rsidP="00EE7A0B">
      <w:pPr>
        <w:keepNext/>
        <w:keepLines/>
        <w:ind w:left="154" w:hanging="154"/>
        <w:rPr>
          <w:sz w:val="20"/>
          <w:lang w:val="pl-PL"/>
        </w:rPr>
      </w:pPr>
      <w:r w:rsidRPr="0015541C">
        <w:rPr>
          <w:sz w:val="20"/>
          <w:vertAlign w:val="superscript"/>
          <w:lang w:val="pl-PL"/>
        </w:rPr>
        <w:t>1</w:t>
      </w:r>
      <w:r w:rsidRPr="0015541C">
        <w:rPr>
          <w:sz w:val="20"/>
          <w:lang w:val="pl-PL"/>
        </w:rPr>
        <w:t xml:space="preserve"> Analiza czasu wolnego od progresji oceniana przez badacza według protokołu GOG (niecenz</w:t>
      </w:r>
      <w:r w:rsidR="00C25447" w:rsidRPr="0015541C">
        <w:rPr>
          <w:sz w:val="20"/>
          <w:lang w:val="pl-PL"/>
        </w:rPr>
        <w:t>u</w:t>
      </w:r>
      <w:r w:rsidRPr="0015541C">
        <w:rPr>
          <w:sz w:val="20"/>
          <w:lang w:val="pl-PL"/>
        </w:rPr>
        <w:t xml:space="preserve">rowana dla progresji CA-125 i terapii nieobjętej protokołem (NPT) przed progresją choroby) z </w:t>
      </w:r>
      <w:r w:rsidR="002F2193" w:rsidRPr="00AC3958">
        <w:rPr>
          <w:sz w:val="20"/>
          <w:lang w:val="pl-PL"/>
        </w:rPr>
        <w:t>dat</w:t>
      </w:r>
      <w:r w:rsidR="00F547DC" w:rsidRPr="00AC3958">
        <w:rPr>
          <w:sz w:val="20"/>
          <w:lang w:val="pl-PL"/>
        </w:rPr>
        <w:t>ą</w:t>
      </w:r>
      <w:r w:rsidR="002F2193" w:rsidRPr="00260CEC">
        <w:rPr>
          <w:sz w:val="20"/>
          <w:lang w:val="pl-PL"/>
        </w:rPr>
        <w:t xml:space="preserve"> odcięcia</w:t>
      </w:r>
      <w:r w:rsidRPr="0015541C">
        <w:rPr>
          <w:sz w:val="20"/>
          <w:lang w:val="pl-PL"/>
        </w:rPr>
        <w:t xml:space="preserve"> danych 25 lutego 2010</w:t>
      </w:r>
      <w:r w:rsidR="00DE6F4F" w:rsidRPr="0015541C">
        <w:rPr>
          <w:sz w:val="20"/>
          <w:lang w:val="pl-PL"/>
        </w:rPr>
        <w:t>.</w:t>
      </w:r>
    </w:p>
    <w:p w14:paraId="27528FB6" w14:textId="77777777" w:rsidR="00205CBC" w:rsidRPr="0015541C" w:rsidRDefault="00205CBC" w:rsidP="00EE7A0B">
      <w:pPr>
        <w:keepNext/>
        <w:keepLines/>
        <w:rPr>
          <w:sz w:val="20"/>
          <w:lang w:val="pl-PL"/>
        </w:rPr>
      </w:pPr>
      <w:r w:rsidRPr="0015541C">
        <w:rPr>
          <w:sz w:val="20"/>
          <w:vertAlign w:val="superscript"/>
          <w:lang w:val="pl-PL"/>
        </w:rPr>
        <w:t>2</w:t>
      </w:r>
      <w:r w:rsidRPr="0015541C">
        <w:rPr>
          <w:sz w:val="20"/>
          <w:lang w:val="pl-PL"/>
        </w:rPr>
        <w:t xml:space="preserve"> Zależny od grupy kontrolnej; stratyfikowany współczynnik ryzyka</w:t>
      </w:r>
      <w:r w:rsidR="00DE6F4F" w:rsidRPr="0015541C">
        <w:rPr>
          <w:sz w:val="20"/>
          <w:lang w:val="pl-PL"/>
        </w:rPr>
        <w:t>.</w:t>
      </w:r>
    </w:p>
    <w:p w14:paraId="255FF297" w14:textId="77777777" w:rsidR="00205CBC" w:rsidRPr="0015541C" w:rsidRDefault="00205CBC" w:rsidP="00EE7A0B">
      <w:pPr>
        <w:keepNext/>
        <w:keepLines/>
        <w:rPr>
          <w:lang w:val="pl-PL"/>
        </w:rPr>
      </w:pPr>
      <w:r w:rsidRPr="0015541C">
        <w:rPr>
          <w:sz w:val="20"/>
          <w:vertAlign w:val="superscript"/>
          <w:lang w:val="pl-PL"/>
        </w:rPr>
        <w:t>3</w:t>
      </w:r>
      <w:r w:rsidR="00F547DC" w:rsidRPr="0015541C">
        <w:rPr>
          <w:sz w:val="20"/>
          <w:lang w:val="pl-PL"/>
        </w:rPr>
        <w:t>W</w:t>
      </w:r>
      <w:r w:rsidRPr="0015541C">
        <w:rPr>
          <w:sz w:val="20"/>
          <w:lang w:val="pl-PL"/>
        </w:rPr>
        <w:t>artość p w jednostronnym teście log rank</w:t>
      </w:r>
      <w:r w:rsidR="00DE6F4F" w:rsidRPr="0015541C">
        <w:rPr>
          <w:sz w:val="20"/>
          <w:lang w:val="pl-PL"/>
        </w:rPr>
        <w:t>.</w:t>
      </w:r>
    </w:p>
    <w:p w14:paraId="6CEA4A8B" w14:textId="77777777" w:rsidR="00205CBC" w:rsidRPr="0015541C" w:rsidRDefault="00205CBC" w:rsidP="00EE7A0B">
      <w:pPr>
        <w:keepNext/>
        <w:keepLines/>
        <w:rPr>
          <w:lang w:val="pl-PL"/>
        </w:rPr>
      </w:pPr>
      <w:r w:rsidRPr="0015541C">
        <w:rPr>
          <w:sz w:val="20"/>
          <w:vertAlign w:val="superscript"/>
          <w:lang w:val="pl-PL"/>
        </w:rPr>
        <w:t>4</w:t>
      </w:r>
      <w:r w:rsidRPr="0015541C">
        <w:rPr>
          <w:sz w:val="20"/>
          <w:lang w:val="pl-PL"/>
        </w:rPr>
        <w:t xml:space="preserve"> </w:t>
      </w:r>
      <w:r w:rsidR="00F547DC" w:rsidRPr="0015541C">
        <w:rPr>
          <w:sz w:val="20"/>
          <w:lang w:val="pl-PL"/>
        </w:rPr>
        <w:t>G</w:t>
      </w:r>
      <w:r w:rsidRPr="0015541C">
        <w:rPr>
          <w:sz w:val="20"/>
          <w:lang w:val="pl-PL"/>
        </w:rPr>
        <w:t>raniczn</w:t>
      </w:r>
      <w:r w:rsidR="00F547DC" w:rsidRPr="0015541C">
        <w:rPr>
          <w:sz w:val="20"/>
          <w:lang w:val="pl-PL"/>
        </w:rPr>
        <w:t>a</w:t>
      </w:r>
      <w:r w:rsidRPr="0015541C">
        <w:rPr>
          <w:sz w:val="20"/>
          <w:lang w:val="pl-PL"/>
        </w:rPr>
        <w:t xml:space="preserve"> wartoś</w:t>
      </w:r>
      <w:r w:rsidR="00F547DC" w:rsidRPr="0015541C">
        <w:rPr>
          <w:sz w:val="20"/>
          <w:lang w:val="pl-PL"/>
        </w:rPr>
        <w:t>ć</w:t>
      </w:r>
      <w:r w:rsidRPr="0015541C">
        <w:rPr>
          <w:sz w:val="20"/>
          <w:lang w:val="pl-PL"/>
        </w:rPr>
        <w:t xml:space="preserve"> p </w:t>
      </w:r>
      <w:r w:rsidR="00F547DC" w:rsidRPr="0015541C">
        <w:rPr>
          <w:sz w:val="20"/>
          <w:lang w:val="pl-PL"/>
        </w:rPr>
        <w:t>=</w:t>
      </w:r>
      <w:r w:rsidRPr="0015541C">
        <w:rPr>
          <w:sz w:val="20"/>
          <w:lang w:val="pl-PL"/>
        </w:rPr>
        <w:t xml:space="preserve"> 0,0116</w:t>
      </w:r>
      <w:r w:rsidR="00DE6F4F" w:rsidRPr="0015541C">
        <w:rPr>
          <w:sz w:val="20"/>
          <w:lang w:val="pl-PL"/>
        </w:rPr>
        <w:t>.</w:t>
      </w:r>
    </w:p>
    <w:p w14:paraId="733A9F78" w14:textId="77777777" w:rsidR="00205CBC" w:rsidRPr="0015541C" w:rsidRDefault="00205CBC" w:rsidP="00EE7A0B">
      <w:pPr>
        <w:keepNext/>
        <w:keepLines/>
        <w:rPr>
          <w:sz w:val="20"/>
          <w:lang w:val="pl-PL"/>
        </w:rPr>
      </w:pPr>
      <w:r w:rsidRPr="0015541C">
        <w:rPr>
          <w:sz w:val="20"/>
          <w:vertAlign w:val="superscript"/>
          <w:lang w:val="pl-PL"/>
        </w:rPr>
        <w:t>5</w:t>
      </w:r>
      <w:r w:rsidRPr="0015541C">
        <w:rPr>
          <w:sz w:val="20"/>
          <w:lang w:val="pl-PL"/>
        </w:rPr>
        <w:t xml:space="preserve"> Pacjentki z chorobą mierzalną w chwili rozpoczęcia badania</w:t>
      </w:r>
      <w:r w:rsidR="00DE6F4F" w:rsidRPr="0015541C">
        <w:rPr>
          <w:sz w:val="20"/>
          <w:lang w:val="pl-PL"/>
        </w:rPr>
        <w:t>.</w:t>
      </w:r>
    </w:p>
    <w:p w14:paraId="2B04AADE" w14:textId="4957DDD7" w:rsidR="00AD33D4" w:rsidRPr="0015541C" w:rsidRDefault="00205CBC" w:rsidP="00B7471F">
      <w:pPr>
        <w:rPr>
          <w:sz w:val="20"/>
          <w:lang w:val="pl-PL"/>
        </w:rPr>
      </w:pPr>
      <w:r w:rsidRPr="0015541C">
        <w:rPr>
          <w:sz w:val="20"/>
          <w:vertAlign w:val="superscript"/>
          <w:lang w:val="pl-PL"/>
        </w:rPr>
        <w:t xml:space="preserve">6 </w:t>
      </w:r>
      <w:r w:rsidR="00EC6C1A" w:rsidRPr="0015541C">
        <w:rPr>
          <w:sz w:val="20"/>
          <w:lang w:val="pl-PL"/>
        </w:rPr>
        <w:t xml:space="preserve">Ostateczne wyniki analizy </w:t>
      </w:r>
      <w:r w:rsidR="006D023F" w:rsidRPr="0015541C">
        <w:rPr>
          <w:sz w:val="20"/>
          <w:lang w:val="pl-PL"/>
        </w:rPr>
        <w:t>OS</w:t>
      </w:r>
      <w:r w:rsidR="00EC6C1A" w:rsidRPr="0015541C">
        <w:rPr>
          <w:sz w:val="20"/>
          <w:lang w:val="pl-PL"/>
        </w:rPr>
        <w:t xml:space="preserve"> przeprowadzonej w chwili, gdy 46</w:t>
      </w:r>
      <w:r w:rsidR="00525C4E" w:rsidRPr="0015541C">
        <w:rPr>
          <w:sz w:val="20"/>
          <w:lang w:val="pl-PL"/>
        </w:rPr>
        <w:t>,</w:t>
      </w:r>
      <w:r w:rsidR="00EC6C1A" w:rsidRPr="0015541C">
        <w:rPr>
          <w:sz w:val="20"/>
          <w:lang w:val="pl-PL"/>
        </w:rPr>
        <w:t>9% pacjentek zmarło.</w:t>
      </w:r>
    </w:p>
    <w:p w14:paraId="6D1BCC41" w14:textId="77777777" w:rsidR="00AD33D4" w:rsidRPr="0015541C" w:rsidRDefault="00AD33D4" w:rsidP="00B7471F">
      <w:pPr>
        <w:rPr>
          <w:sz w:val="20"/>
          <w:lang w:val="pl-PL"/>
        </w:rPr>
      </w:pPr>
    </w:p>
    <w:p w14:paraId="5E77D000" w14:textId="77777777" w:rsidR="004C6C53" w:rsidRPr="0015541C" w:rsidRDefault="00F547DC" w:rsidP="00B7471F">
      <w:pPr>
        <w:rPr>
          <w:lang w:val="pl-PL"/>
        </w:rPr>
      </w:pPr>
      <w:r w:rsidRPr="0015541C">
        <w:rPr>
          <w:lang w:val="pl-PL"/>
        </w:rPr>
        <w:t>W</w:t>
      </w:r>
      <w:r w:rsidR="00AD33D4" w:rsidRPr="0015541C">
        <w:rPr>
          <w:lang w:val="pl-PL"/>
        </w:rPr>
        <w:t xml:space="preserve"> prospektywnie zaplanowan</w:t>
      </w:r>
      <w:r w:rsidRPr="0015541C">
        <w:rPr>
          <w:lang w:val="pl-PL"/>
        </w:rPr>
        <w:t>ej</w:t>
      </w:r>
      <w:r w:rsidR="00AD33D4" w:rsidRPr="0015541C">
        <w:rPr>
          <w:lang w:val="pl-PL"/>
        </w:rPr>
        <w:t xml:space="preserve"> analiz</w:t>
      </w:r>
      <w:r w:rsidRPr="0015541C">
        <w:rPr>
          <w:lang w:val="pl-PL"/>
        </w:rPr>
        <w:t>ie</w:t>
      </w:r>
      <w:r w:rsidR="00AD33D4" w:rsidRPr="0015541C">
        <w:rPr>
          <w:lang w:val="pl-PL"/>
        </w:rPr>
        <w:t xml:space="preserve"> PFS, z datą odcięcia danych 29 września 2009</w:t>
      </w:r>
      <w:r w:rsidRPr="0015541C">
        <w:rPr>
          <w:lang w:val="pl-PL"/>
        </w:rPr>
        <w:t xml:space="preserve"> u</w:t>
      </w:r>
      <w:r w:rsidR="00AD33D4" w:rsidRPr="0015541C">
        <w:rPr>
          <w:lang w:val="pl-PL"/>
        </w:rPr>
        <w:t>zyskano następujące wyniki:</w:t>
      </w:r>
    </w:p>
    <w:p w14:paraId="3573698A" w14:textId="77777777" w:rsidR="00F547DC" w:rsidRPr="0015541C" w:rsidRDefault="00F547DC" w:rsidP="00B7471F">
      <w:pPr>
        <w:rPr>
          <w:lang w:val="pl-PL"/>
        </w:rPr>
      </w:pPr>
    </w:p>
    <w:p w14:paraId="27A4AF4C" w14:textId="77777777" w:rsidR="0097446C" w:rsidRPr="0015541C" w:rsidRDefault="00CB0256" w:rsidP="00B7471F">
      <w:pPr>
        <w:ind w:left="720" w:hanging="360"/>
        <w:rPr>
          <w:lang w:val="pl-PL"/>
        </w:rPr>
      </w:pPr>
      <w:r w:rsidRPr="0015541C">
        <w:rPr>
          <w:iCs/>
          <w:lang w:val="pl-PL"/>
        </w:rPr>
        <w:sym w:font="Symbol" w:char="F0B7"/>
      </w:r>
      <w:r w:rsidRPr="0015541C">
        <w:rPr>
          <w:iCs/>
          <w:lang w:val="pl-PL"/>
        </w:rPr>
        <w:tab/>
      </w:r>
      <w:r w:rsidR="0097446C" w:rsidRPr="0015541C">
        <w:rPr>
          <w:lang w:val="pl-PL"/>
        </w:rPr>
        <w:t>W przewidzianej w protokole badania analiz</w:t>
      </w:r>
      <w:r w:rsidR="00892690" w:rsidRPr="0015541C">
        <w:rPr>
          <w:lang w:val="pl-PL"/>
        </w:rPr>
        <w:t>ie</w:t>
      </w:r>
      <w:r w:rsidR="0097446C" w:rsidRPr="0015541C">
        <w:rPr>
          <w:lang w:val="pl-PL"/>
        </w:rPr>
        <w:t xml:space="preserve"> PFS według oceny badaczy (bez cenz</w:t>
      </w:r>
      <w:r w:rsidR="00C25447" w:rsidRPr="00AC3958">
        <w:rPr>
          <w:lang w:val="pl-PL"/>
        </w:rPr>
        <w:t>u</w:t>
      </w:r>
      <w:r w:rsidR="0097446C" w:rsidRPr="00AC3958">
        <w:rPr>
          <w:lang w:val="pl-PL"/>
        </w:rPr>
        <w:t xml:space="preserve">rowania progresji CA-125 i terapii nieobjętej protokołem </w:t>
      </w:r>
      <w:r w:rsidR="007A009B" w:rsidRPr="00260CEC">
        <w:rPr>
          <w:lang w:val="pl-PL"/>
        </w:rPr>
        <w:t>[</w:t>
      </w:r>
      <w:r w:rsidR="0097446C" w:rsidRPr="0015541C">
        <w:rPr>
          <w:lang w:val="pl-PL"/>
        </w:rPr>
        <w:t>NPT</w:t>
      </w:r>
      <w:r w:rsidR="007A009B" w:rsidRPr="0015541C">
        <w:rPr>
          <w:lang w:val="pl-PL"/>
        </w:rPr>
        <w:t>]</w:t>
      </w:r>
      <w:r w:rsidR="0097446C" w:rsidRPr="0015541C">
        <w:rPr>
          <w:lang w:val="pl-PL"/>
        </w:rPr>
        <w:t xml:space="preserve">) </w:t>
      </w:r>
      <w:r w:rsidR="007A009B" w:rsidRPr="0015541C">
        <w:rPr>
          <w:lang w:val="pl-PL"/>
        </w:rPr>
        <w:t xml:space="preserve">w porównaniu CPB15+ do CPP, gdzie mediany PFS wyniosły 10,4 miesiąca w ramieniu CPP i 14,1 miesiąca w ramieniu CPP, </w:t>
      </w:r>
      <w:r w:rsidR="00892690" w:rsidRPr="0015541C">
        <w:rPr>
          <w:lang w:val="pl-PL"/>
        </w:rPr>
        <w:t xml:space="preserve">wykazano stratyfikowany współczynnik ryzyka </w:t>
      </w:r>
      <w:r w:rsidR="00525629" w:rsidRPr="0015541C">
        <w:rPr>
          <w:lang w:val="pl-PL"/>
        </w:rPr>
        <w:t>wynoszący</w:t>
      </w:r>
      <w:r w:rsidR="00892690" w:rsidRPr="0015541C">
        <w:rPr>
          <w:lang w:val="pl-PL"/>
        </w:rPr>
        <w:t xml:space="preserve"> 0,71 (95% CI: 0,61-0,83, wartość p w jednostronnym teście log rank &lt; 0,0001)</w:t>
      </w:r>
      <w:r w:rsidR="00A00369" w:rsidRPr="0015541C">
        <w:rPr>
          <w:lang w:val="pl-PL"/>
        </w:rPr>
        <w:t>.</w:t>
      </w:r>
    </w:p>
    <w:p w14:paraId="73E5BA1E" w14:textId="77777777" w:rsidR="00525629" w:rsidRPr="0015541C" w:rsidRDefault="00525629" w:rsidP="00B7471F">
      <w:pPr>
        <w:ind w:left="714" w:hanging="357"/>
        <w:rPr>
          <w:lang w:val="pl-PL"/>
        </w:rPr>
      </w:pPr>
    </w:p>
    <w:p w14:paraId="4F2203FD" w14:textId="77777777" w:rsidR="007A009B" w:rsidRPr="0015541C" w:rsidRDefault="00CB0256" w:rsidP="00B7471F">
      <w:pPr>
        <w:ind w:left="714" w:hanging="357"/>
        <w:rPr>
          <w:lang w:val="pl-PL"/>
        </w:rPr>
      </w:pPr>
      <w:r w:rsidRPr="0015541C">
        <w:rPr>
          <w:iCs/>
          <w:lang w:val="pl-PL"/>
        </w:rPr>
        <w:sym w:font="Symbol" w:char="F0B7"/>
      </w:r>
      <w:r w:rsidRPr="0015541C">
        <w:rPr>
          <w:iCs/>
          <w:lang w:val="pl-PL"/>
        </w:rPr>
        <w:tab/>
      </w:r>
      <w:r w:rsidR="007A009B" w:rsidRPr="0015541C">
        <w:rPr>
          <w:lang w:val="pl-PL"/>
        </w:rPr>
        <w:t>W głównej analizie PFS według oceny badaczy (z cenz</w:t>
      </w:r>
      <w:r w:rsidR="00C25447" w:rsidRPr="0015541C">
        <w:rPr>
          <w:lang w:val="pl-PL"/>
        </w:rPr>
        <w:t>u</w:t>
      </w:r>
      <w:r w:rsidR="007A009B" w:rsidRPr="0015541C">
        <w:rPr>
          <w:lang w:val="pl-PL"/>
        </w:rPr>
        <w:t>rowaniem progresji CA-125 i terapii nieob</w:t>
      </w:r>
      <w:r w:rsidR="007A009B" w:rsidRPr="00AC3958">
        <w:rPr>
          <w:lang w:val="pl-PL"/>
        </w:rPr>
        <w:t xml:space="preserve">jętej protokołem [NPT]) w porównaniu CPB15+ do CPP, gdzie mediany PFS wyniosły 12,0 miesiąca w ramieniu CPP i 18,2 miesiąca w ramieniu </w:t>
      </w:r>
      <w:r w:rsidR="00525629" w:rsidRPr="00260CEC">
        <w:rPr>
          <w:lang w:val="pl-PL"/>
        </w:rPr>
        <w:t>CPB15+</w:t>
      </w:r>
      <w:r w:rsidR="007A009B" w:rsidRPr="0015541C">
        <w:rPr>
          <w:lang w:val="pl-PL"/>
        </w:rPr>
        <w:t xml:space="preserve">, wykazano stratyfikowany współczynnik ryzyka </w:t>
      </w:r>
      <w:r w:rsidR="00525629" w:rsidRPr="0015541C">
        <w:rPr>
          <w:lang w:val="pl-PL"/>
        </w:rPr>
        <w:t>wynoszący</w:t>
      </w:r>
      <w:r w:rsidR="007A009B" w:rsidRPr="0015541C">
        <w:rPr>
          <w:lang w:val="pl-PL"/>
        </w:rPr>
        <w:t xml:space="preserve"> 0,62 (95% CI: 0,52-0,75, wartość p w jednostronnym teście log rank &lt; 0,0001)</w:t>
      </w:r>
      <w:r w:rsidR="00A00369" w:rsidRPr="0015541C">
        <w:rPr>
          <w:lang w:val="pl-PL"/>
        </w:rPr>
        <w:t>.</w:t>
      </w:r>
    </w:p>
    <w:p w14:paraId="66FFDABF" w14:textId="77777777" w:rsidR="00525629" w:rsidRPr="0015541C" w:rsidRDefault="00525629" w:rsidP="00B7471F">
      <w:pPr>
        <w:ind w:left="720" w:hanging="360"/>
        <w:rPr>
          <w:lang w:val="pl-PL"/>
        </w:rPr>
      </w:pPr>
    </w:p>
    <w:p w14:paraId="0077C96D" w14:textId="77777777" w:rsidR="00C25447" w:rsidRPr="0015541C" w:rsidRDefault="00CB0256" w:rsidP="00B7471F">
      <w:pPr>
        <w:ind w:left="720" w:hanging="360"/>
        <w:rPr>
          <w:lang w:val="pl-PL"/>
        </w:rPr>
      </w:pPr>
      <w:r w:rsidRPr="0015541C">
        <w:rPr>
          <w:iCs/>
          <w:lang w:val="pl-PL"/>
        </w:rPr>
        <w:sym w:font="Symbol" w:char="F0B7"/>
      </w:r>
      <w:r w:rsidRPr="0015541C">
        <w:rPr>
          <w:iCs/>
          <w:lang w:val="pl-PL"/>
        </w:rPr>
        <w:tab/>
      </w:r>
      <w:r w:rsidR="00C25447" w:rsidRPr="0015541C">
        <w:rPr>
          <w:lang w:val="pl-PL"/>
        </w:rPr>
        <w:t xml:space="preserve">W analizie PFS określoną przez niezależną komisję oceniającą (z cenzurowaniem terapii nieobjętej protokołem [NPT]) w porównaniu CPB15+ do CPP, gdzie mediany PFS wyniosły 13,1 miesiąca w ramieniu CPP i 19,1 miesiąca w ramieniu </w:t>
      </w:r>
      <w:r w:rsidR="00A00369" w:rsidRPr="0015541C">
        <w:rPr>
          <w:lang w:val="pl-PL"/>
        </w:rPr>
        <w:t>CPB15+</w:t>
      </w:r>
      <w:r w:rsidR="00C25447" w:rsidRPr="00AC3958">
        <w:rPr>
          <w:lang w:val="pl-PL"/>
        </w:rPr>
        <w:t xml:space="preserve">, wykazano stratyfikowany współczynnik ryzyka </w:t>
      </w:r>
      <w:r w:rsidR="00A00369" w:rsidRPr="00260CEC">
        <w:rPr>
          <w:lang w:val="pl-PL"/>
        </w:rPr>
        <w:t>wynoszący</w:t>
      </w:r>
      <w:r w:rsidR="00C25447" w:rsidRPr="0015541C">
        <w:rPr>
          <w:lang w:val="pl-PL"/>
        </w:rPr>
        <w:t xml:space="preserve"> 0,62 (95% CI: 0,50-0,77, wartość p w jednostronnym teście log rank &lt; 0,0001)</w:t>
      </w:r>
      <w:r w:rsidR="00A00369" w:rsidRPr="0015541C">
        <w:rPr>
          <w:lang w:val="pl-PL"/>
        </w:rPr>
        <w:t>.</w:t>
      </w:r>
    </w:p>
    <w:p w14:paraId="0E770DA1" w14:textId="77777777" w:rsidR="00C25447" w:rsidRPr="0015541C" w:rsidRDefault="00C25447" w:rsidP="00BC3A2D">
      <w:pPr>
        <w:rPr>
          <w:lang w:val="pl-PL"/>
        </w:rPr>
      </w:pPr>
    </w:p>
    <w:p w14:paraId="0852815B" w14:textId="77777777" w:rsidR="00D02C09" w:rsidRPr="0015541C" w:rsidRDefault="00D02C09" w:rsidP="00BC3A2D">
      <w:pPr>
        <w:rPr>
          <w:rFonts w:eastAsia="PMingLiU"/>
          <w:lang w:val="pl-PL" w:eastAsia="zh-CN"/>
        </w:rPr>
      </w:pPr>
      <w:r w:rsidRPr="0015541C">
        <w:rPr>
          <w:rFonts w:eastAsia="PMingLiU"/>
          <w:lang w:val="pl-PL" w:eastAsia="zh-CN"/>
        </w:rPr>
        <w:t xml:space="preserve">Wyniki analizy PFS w podgrupach chorych o różnym stopniu zaawansowania choroby i różnym stopniu cytoredukcji zostały </w:t>
      </w:r>
      <w:r w:rsidR="005D740F" w:rsidRPr="0015541C">
        <w:rPr>
          <w:rFonts w:eastAsia="PMingLiU"/>
          <w:lang w:val="pl-PL" w:eastAsia="zh-CN"/>
        </w:rPr>
        <w:t>przedstawione</w:t>
      </w:r>
      <w:r w:rsidRPr="0015541C">
        <w:rPr>
          <w:rFonts w:eastAsia="PMingLiU"/>
          <w:lang w:val="pl-PL" w:eastAsia="zh-CN"/>
        </w:rPr>
        <w:t xml:space="preserve"> w Tabeli </w:t>
      </w:r>
      <w:r w:rsidR="00A73107" w:rsidRPr="0015541C">
        <w:rPr>
          <w:rFonts w:eastAsia="PMingLiU"/>
          <w:lang w:val="pl-PL" w:eastAsia="zh-CN"/>
        </w:rPr>
        <w:t>17</w:t>
      </w:r>
      <w:r w:rsidRPr="0015541C">
        <w:rPr>
          <w:rFonts w:eastAsia="PMingLiU"/>
          <w:lang w:val="pl-PL" w:eastAsia="zh-CN"/>
        </w:rPr>
        <w:t xml:space="preserve">. Wyniki te stanowią potwierdzenie danych dotyczących czasu wolnego od progresji przedstawionych w Tabeli </w:t>
      </w:r>
      <w:r w:rsidR="00A73107" w:rsidRPr="0015541C">
        <w:rPr>
          <w:rFonts w:eastAsia="PMingLiU"/>
          <w:lang w:val="pl-PL" w:eastAsia="zh-CN"/>
        </w:rPr>
        <w:t>16</w:t>
      </w:r>
      <w:r w:rsidRPr="0015541C">
        <w:rPr>
          <w:rFonts w:eastAsia="PMingLiU"/>
          <w:lang w:val="pl-PL" w:eastAsia="zh-CN"/>
        </w:rPr>
        <w:t xml:space="preserve">. </w:t>
      </w:r>
    </w:p>
    <w:p w14:paraId="603930F3" w14:textId="77777777" w:rsidR="00D02C09" w:rsidRPr="0015541C" w:rsidRDefault="00D02C09" w:rsidP="00D02C09">
      <w:pPr>
        <w:rPr>
          <w:lang w:val="pl-PL"/>
        </w:rPr>
      </w:pPr>
    </w:p>
    <w:p w14:paraId="0D17B4E8" w14:textId="77777777" w:rsidR="005D740F" w:rsidRPr="0015541C" w:rsidRDefault="00D02C09" w:rsidP="00D02C09">
      <w:pPr>
        <w:keepNext/>
        <w:keepLines/>
        <w:rPr>
          <w:b/>
          <w:lang w:val="pl-PL"/>
        </w:rPr>
      </w:pPr>
      <w:r w:rsidRPr="0015541C">
        <w:rPr>
          <w:b/>
          <w:lang w:val="pl-PL"/>
        </w:rPr>
        <w:lastRenderedPageBreak/>
        <w:t>Tab</w:t>
      </w:r>
      <w:r w:rsidR="00DE6F4F" w:rsidRPr="0015541C">
        <w:rPr>
          <w:b/>
          <w:lang w:val="pl-PL"/>
        </w:rPr>
        <w:t>e</w:t>
      </w:r>
      <w:r w:rsidRPr="0015541C">
        <w:rPr>
          <w:b/>
          <w:lang w:val="pl-PL"/>
        </w:rPr>
        <w:t>l</w:t>
      </w:r>
      <w:r w:rsidR="00DE6F4F" w:rsidRPr="0015541C">
        <w:rPr>
          <w:b/>
          <w:lang w:val="pl-PL"/>
        </w:rPr>
        <w:t>a</w:t>
      </w:r>
      <w:r w:rsidRPr="0015541C">
        <w:rPr>
          <w:b/>
          <w:lang w:val="pl-PL"/>
        </w:rPr>
        <w:t xml:space="preserve"> </w:t>
      </w:r>
      <w:r w:rsidR="00A73107" w:rsidRPr="0015541C">
        <w:rPr>
          <w:b/>
          <w:lang w:val="pl-PL"/>
        </w:rPr>
        <w:t>17</w:t>
      </w:r>
      <w:r w:rsidR="008800D7" w:rsidRPr="0015541C">
        <w:rPr>
          <w:b/>
          <w:lang w:val="pl-PL"/>
        </w:rPr>
        <w:t>.</w:t>
      </w:r>
      <w:r w:rsidR="00FA1F07" w:rsidRPr="0015541C">
        <w:rPr>
          <w:b/>
          <w:lang w:val="pl-PL"/>
        </w:rPr>
        <w:tab/>
      </w:r>
      <w:r w:rsidR="005D740F" w:rsidRPr="0015541C">
        <w:rPr>
          <w:b/>
          <w:lang w:val="pl-PL"/>
        </w:rPr>
        <w:t xml:space="preserve">Wyniki badania GOG-218 dotyczące </w:t>
      </w:r>
      <w:r w:rsidRPr="0015541C">
        <w:rPr>
          <w:b/>
          <w:lang w:val="pl-PL"/>
        </w:rPr>
        <w:t>PFS</w:t>
      </w:r>
      <w:r w:rsidRPr="0015541C">
        <w:rPr>
          <w:b/>
          <w:vertAlign w:val="superscript"/>
          <w:lang w:val="pl-PL"/>
        </w:rPr>
        <w:t>1</w:t>
      </w:r>
      <w:r w:rsidRPr="0015541C">
        <w:rPr>
          <w:b/>
          <w:lang w:val="pl-PL"/>
        </w:rPr>
        <w:t xml:space="preserve"> </w:t>
      </w:r>
      <w:r w:rsidR="005D740F" w:rsidRPr="0015541C">
        <w:rPr>
          <w:b/>
          <w:lang w:val="pl-PL"/>
        </w:rPr>
        <w:t>u chorych z różnym stopniem zaawansowania choroby i stopniem cytoredukcji</w:t>
      </w:r>
      <w:r w:rsidRPr="0015541C">
        <w:rPr>
          <w:b/>
          <w:lang w:val="pl-PL"/>
        </w:rPr>
        <w:t xml:space="preserve"> </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792"/>
        <w:gridCol w:w="2089"/>
        <w:gridCol w:w="2089"/>
        <w:gridCol w:w="2090"/>
      </w:tblGrid>
      <w:tr w:rsidR="00D02C09" w:rsidRPr="00A5462B" w14:paraId="1BAF0659" w14:textId="77777777" w:rsidTr="00D16D61">
        <w:tc>
          <w:tcPr>
            <w:tcW w:w="9206" w:type="dxa"/>
            <w:gridSpan w:val="4"/>
            <w:tcBorders>
              <w:top w:val="single" w:sz="6" w:space="0" w:color="000000"/>
              <w:left w:val="single" w:sz="4" w:space="0" w:color="auto"/>
              <w:bottom w:val="single" w:sz="6" w:space="0" w:color="000000"/>
              <w:right w:val="single" w:sz="4" w:space="0" w:color="auto"/>
            </w:tcBorders>
          </w:tcPr>
          <w:p w14:paraId="6183E32C" w14:textId="77777777" w:rsidR="00D02C09" w:rsidRPr="0015541C" w:rsidRDefault="005D740F" w:rsidP="005D740F">
            <w:pPr>
              <w:pStyle w:val="TableText10"/>
              <w:keepNext/>
              <w:keepLines/>
              <w:spacing w:line="280" w:lineRule="atLeast"/>
              <w:rPr>
                <w:rFonts w:eastAsia="MS Mincho"/>
                <w:lang w:val="pl-PL"/>
              </w:rPr>
            </w:pPr>
            <w:r w:rsidRPr="0015541C">
              <w:rPr>
                <w:bCs/>
                <w:lang w:val="pl-PL"/>
              </w:rPr>
              <w:t>Randomizowani pacjenci ze stopniem zaawansowania choroby III i optymalną cytoredukcją</w:t>
            </w:r>
            <w:r w:rsidR="00D02C09" w:rsidRPr="0015541C">
              <w:rPr>
                <w:vertAlign w:val="superscript"/>
                <w:lang w:val="pl-PL"/>
              </w:rPr>
              <w:t xml:space="preserve"> 2,3</w:t>
            </w:r>
          </w:p>
        </w:tc>
      </w:tr>
      <w:tr w:rsidR="003D62EE" w:rsidRPr="0015541C" w14:paraId="68D1E577" w14:textId="77777777" w:rsidTr="003C6FA3">
        <w:trPr>
          <w:trHeight w:val="466"/>
        </w:trPr>
        <w:tc>
          <w:tcPr>
            <w:tcW w:w="2839" w:type="dxa"/>
            <w:tcBorders>
              <w:top w:val="nil"/>
              <w:left w:val="single" w:sz="4" w:space="0" w:color="auto"/>
              <w:bottom w:val="nil"/>
              <w:right w:val="single" w:sz="6" w:space="0" w:color="000000"/>
            </w:tcBorders>
          </w:tcPr>
          <w:p w14:paraId="2493455F" w14:textId="77777777" w:rsidR="00D02C09" w:rsidRPr="0015541C" w:rsidRDefault="00D02C09" w:rsidP="00B342E0">
            <w:pPr>
              <w:pStyle w:val="TableText10"/>
              <w:keepNext/>
              <w:keepLines/>
              <w:spacing w:line="280" w:lineRule="atLeast"/>
              <w:jc w:val="center"/>
              <w:rPr>
                <w:rFonts w:eastAsia="MS Mincho"/>
                <w:lang w:val="pl-PL"/>
              </w:rPr>
            </w:pPr>
          </w:p>
        </w:tc>
        <w:tc>
          <w:tcPr>
            <w:tcW w:w="2122" w:type="dxa"/>
            <w:tcBorders>
              <w:top w:val="nil"/>
              <w:left w:val="single" w:sz="6" w:space="0" w:color="000000"/>
              <w:bottom w:val="nil"/>
              <w:right w:val="single" w:sz="6" w:space="0" w:color="000000"/>
            </w:tcBorders>
            <w:vAlign w:val="center"/>
          </w:tcPr>
          <w:p w14:paraId="40D91A77" w14:textId="77777777" w:rsidR="00D02C09" w:rsidRPr="0015541C" w:rsidRDefault="00D02C09" w:rsidP="00406D73">
            <w:pPr>
              <w:pStyle w:val="NormalWeb"/>
              <w:keepNext/>
              <w:keepLines/>
              <w:widowControl w:val="0"/>
              <w:jc w:val="center"/>
              <w:rPr>
                <w:rFonts w:ascii="Arial" w:eastAsia="PMingLiU" w:hAnsi="Arial"/>
                <w:sz w:val="20"/>
                <w:szCs w:val="20"/>
                <w:lang w:val="pl-PL" w:bidi="en-US"/>
              </w:rPr>
            </w:pPr>
            <w:r w:rsidRPr="0015541C">
              <w:rPr>
                <w:sz w:val="20"/>
                <w:szCs w:val="20"/>
                <w:lang w:val="pl-PL" w:bidi="en-US"/>
              </w:rPr>
              <w:t>CPP</w:t>
            </w:r>
          </w:p>
          <w:p w14:paraId="63D90F9C" w14:textId="77777777" w:rsidR="00D02C09" w:rsidRPr="00AC3958" w:rsidRDefault="00D02C09" w:rsidP="00B342E0">
            <w:pPr>
              <w:keepNext/>
              <w:keepLines/>
              <w:jc w:val="center"/>
              <w:rPr>
                <w:rFonts w:ascii="Arial" w:eastAsia="SimSun" w:hAnsi="Arial"/>
                <w:sz w:val="20"/>
                <w:szCs w:val="24"/>
                <w:lang w:val="pl-PL" w:eastAsia="zh-CN"/>
              </w:rPr>
            </w:pPr>
            <w:r w:rsidRPr="0015541C">
              <w:rPr>
                <w:sz w:val="20"/>
                <w:lang w:val="pl-PL"/>
              </w:rPr>
              <w:t xml:space="preserve"> (n = 219)</w:t>
            </w:r>
          </w:p>
        </w:tc>
        <w:tc>
          <w:tcPr>
            <w:tcW w:w="2122" w:type="dxa"/>
            <w:tcBorders>
              <w:top w:val="nil"/>
              <w:left w:val="single" w:sz="6" w:space="0" w:color="000000"/>
              <w:bottom w:val="nil"/>
              <w:right w:val="single" w:sz="6" w:space="0" w:color="000000"/>
            </w:tcBorders>
            <w:vAlign w:val="center"/>
          </w:tcPr>
          <w:p w14:paraId="1938BF59" w14:textId="77777777" w:rsidR="00D02C09" w:rsidRPr="0015541C" w:rsidRDefault="00D02C09" w:rsidP="00B342E0">
            <w:pPr>
              <w:keepNext/>
              <w:keepLines/>
              <w:jc w:val="center"/>
              <w:rPr>
                <w:rFonts w:ascii="Arial" w:eastAsia="SimSun" w:hAnsi="Arial"/>
                <w:sz w:val="20"/>
                <w:szCs w:val="24"/>
                <w:lang w:val="pl-PL" w:eastAsia="zh-CN"/>
              </w:rPr>
            </w:pPr>
            <w:r w:rsidRPr="00260CEC">
              <w:rPr>
                <w:sz w:val="20"/>
                <w:lang w:val="pl-PL"/>
              </w:rPr>
              <w:t>CPB15</w:t>
            </w:r>
          </w:p>
          <w:p w14:paraId="31116D7C" w14:textId="77777777" w:rsidR="00D02C09" w:rsidRPr="0015541C" w:rsidRDefault="00D02C09" w:rsidP="00B342E0">
            <w:pPr>
              <w:keepNext/>
              <w:keepLines/>
              <w:jc w:val="center"/>
              <w:rPr>
                <w:rFonts w:ascii="Arial" w:eastAsia="SimSun" w:hAnsi="Arial"/>
                <w:sz w:val="20"/>
                <w:szCs w:val="24"/>
                <w:lang w:val="pl-PL" w:eastAsia="zh-CN"/>
              </w:rPr>
            </w:pPr>
            <w:r w:rsidRPr="0015541C">
              <w:rPr>
                <w:sz w:val="20"/>
                <w:lang w:val="pl-PL"/>
              </w:rPr>
              <w:t xml:space="preserve"> (n = 204)</w:t>
            </w:r>
          </w:p>
        </w:tc>
        <w:tc>
          <w:tcPr>
            <w:tcW w:w="2123" w:type="dxa"/>
            <w:tcBorders>
              <w:top w:val="nil"/>
              <w:left w:val="single" w:sz="6" w:space="0" w:color="000000"/>
              <w:bottom w:val="nil"/>
              <w:right w:val="single" w:sz="4" w:space="0" w:color="auto"/>
            </w:tcBorders>
            <w:vAlign w:val="center"/>
          </w:tcPr>
          <w:p w14:paraId="04A1F1B6" w14:textId="77777777" w:rsidR="00D02C09" w:rsidRPr="0015541C" w:rsidRDefault="00D02C09" w:rsidP="00B342E0">
            <w:pPr>
              <w:keepNext/>
              <w:keepLines/>
              <w:jc w:val="center"/>
              <w:rPr>
                <w:rFonts w:ascii="Arial" w:eastAsia="SimSun" w:hAnsi="Arial"/>
                <w:sz w:val="20"/>
                <w:szCs w:val="24"/>
                <w:vertAlign w:val="superscript"/>
                <w:lang w:val="pl-PL" w:eastAsia="zh-CN"/>
              </w:rPr>
            </w:pPr>
            <w:r w:rsidRPr="0015541C">
              <w:rPr>
                <w:sz w:val="20"/>
                <w:lang w:val="pl-PL" w:bidi="en-US"/>
              </w:rPr>
              <w:t xml:space="preserve">CPB15+ </w:t>
            </w:r>
          </w:p>
          <w:p w14:paraId="53C2876B" w14:textId="77777777" w:rsidR="00D02C09" w:rsidRPr="0015541C" w:rsidRDefault="00D02C09" w:rsidP="00B342E0">
            <w:pPr>
              <w:pStyle w:val="TableText10"/>
              <w:keepNext/>
              <w:keepLines/>
              <w:spacing w:line="280" w:lineRule="atLeast"/>
              <w:jc w:val="center"/>
              <w:rPr>
                <w:rFonts w:eastAsia="MS Mincho"/>
                <w:lang w:val="pl-PL"/>
              </w:rPr>
            </w:pPr>
            <w:r w:rsidRPr="0015541C">
              <w:rPr>
                <w:lang w:val="pl-PL"/>
              </w:rPr>
              <w:t>(n = 216)</w:t>
            </w:r>
          </w:p>
        </w:tc>
      </w:tr>
      <w:tr w:rsidR="003D62EE" w:rsidRPr="0015541C" w14:paraId="3E09EEDD" w14:textId="77777777" w:rsidTr="003C6FA3">
        <w:trPr>
          <w:trHeight w:val="479"/>
        </w:trPr>
        <w:tc>
          <w:tcPr>
            <w:tcW w:w="2839" w:type="dxa"/>
            <w:tcBorders>
              <w:top w:val="nil"/>
              <w:left w:val="single" w:sz="4" w:space="0" w:color="auto"/>
              <w:bottom w:val="nil"/>
              <w:right w:val="single" w:sz="6" w:space="0" w:color="000000"/>
            </w:tcBorders>
          </w:tcPr>
          <w:p w14:paraId="575CFF04" w14:textId="4AE662F6" w:rsidR="005D740F" w:rsidRPr="0015541C" w:rsidRDefault="005D740F" w:rsidP="00B342E0">
            <w:pPr>
              <w:keepNext/>
              <w:keepLines/>
              <w:spacing w:line="280" w:lineRule="atLeast"/>
              <w:rPr>
                <w:sz w:val="20"/>
                <w:lang w:val="pl-PL"/>
              </w:rPr>
            </w:pPr>
            <w:r w:rsidRPr="0015541C">
              <w:rPr>
                <w:sz w:val="20"/>
                <w:lang w:val="pl-PL"/>
              </w:rPr>
              <w:t xml:space="preserve">Mediana </w:t>
            </w:r>
            <w:r w:rsidR="006D023F" w:rsidRPr="0015541C">
              <w:rPr>
                <w:sz w:val="20"/>
                <w:lang w:val="pl-PL"/>
              </w:rPr>
              <w:t>PFS</w:t>
            </w:r>
            <w:r w:rsidRPr="0015541C">
              <w:rPr>
                <w:sz w:val="20"/>
                <w:lang w:val="pl-PL"/>
              </w:rPr>
              <w:t xml:space="preserve"> (miesiące)</w:t>
            </w:r>
          </w:p>
        </w:tc>
        <w:tc>
          <w:tcPr>
            <w:tcW w:w="2122" w:type="dxa"/>
            <w:tcBorders>
              <w:top w:val="nil"/>
              <w:left w:val="single" w:sz="6" w:space="0" w:color="000000"/>
              <w:bottom w:val="nil"/>
              <w:right w:val="single" w:sz="6" w:space="0" w:color="000000"/>
            </w:tcBorders>
            <w:vAlign w:val="center"/>
          </w:tcPr>
          <w:p w14:paraId="25B00ECD" w14:textId="77777777" w:rsidR="005D740F" w:rsidRPr="0015541C" w:rsidRDefault="005D740F" w:rsidP="00B342E0">
            <w:pPr>
              <w:keepNext/>
              <w:keepLines/>
              <w:jc w:val="center"/>
              <w:rPr>
                <w:rFonts w:ascii="Arial" w:eastAsia="SimSun" w:hAnsi="Arial"/>
                <w:sz w:val="20"/>
                <w:szCs w:val="24"/>
                <w:lang w:val="pl-PL" w:eastAsia="zh-CN"/>
              </w:rPr>
            </w:pPr>
            <w:r w:rsidRPr="00AC3958">
              <w:rPr>
                <w:sz w:val="20"/>
                <w:lang w:val="pl-PL"/>
              </w:rPr>
              <w:t>12</w:t>
            </w:r>
            <w:r w:rsidR="00C26E13" w:rsidRPr="00AC3958">
              <w:rPr>
                <w:sz w:val="20"/>
                <w:lang w:val="pl-PL"/>
              </w:rPr>
              <w:t>,</w:t>
            </w:r>
            <w:r w:rsidRPr="00260CEC">
              <w:rPr>
                <w:sz w:val="20"/>
                <w:lang w:val="pl-PL"/>
              </w:rPr>
              <w:t>4</w:t>
            </w:r>
          </w:p>
        </w:tc>
        <w:tc>
          <w:tcPr>
            <w:tcW w:w="2122" w:type="dxa"/>
            <w:tcBorders>
              <w:top w:val="nil"/>
              <w:left w:val="single" w:sz="6" w:space="0" w:color="000000"/>
              <w:bottom w:val="nil"/>
              <w:right w:val="single" w:sz="6" w:space="0" w:color="000000"/>
            </w:tcBorders>
            <w:vAlign w:val="center"/>
          </w:tcPr>
          <w:p w14:paraId="6E3499D9" w14:textId="77777777" w:rsidR="005D740F" w:rsidRPr="0015541C" w:rsidRDefault="005D740F" w:rsidP="00B342E0">
            <w:pPr>
              <w:keepNext/>
              <w:keepLines/>
              <w:jc w:val="center"/>
              <w:rPr>
                <w:rFonts w:ascii="Arial" w:eastAsia="SimSun" w:hAnsi="Arial"/>
                <w:sz w:val="20"/>
                <w:szCs w:val="24"/>
                <w:lang w:val="pl-PL" w:eastAsia="zh-CN"/>
              </w:rPr>
            </w:pPr>
            <w:r w:rsidRPr="0015541C">
              <w:rPr>
                <w:sz w:val="20"/>
                <w:lang w:val="pl-PL"/>
              </w:rPr>
              <w:t>14</w:t>
            </w:r>
            <w:r w:rsidR="00C26E13" w:rsidRPr="0015541C">
              <w:rPr>
                <w:sz w:val="20"/>
                <w:lang w:val="pl-PL"/>
              </w:rPr>
              <w:t>,</w:t>
            </w:r>
            <w:r w:rsidRPr="0015541C">
              <w:rPr>
                <w:sz w:val="20"/>
                <w:lang w:val="pl-PL"/>
              </w:rPr>
              <w:t>3</w:t>
            </w:r>
          </w:p>
        </w:tc>
        <w:tc>
          <w:tcPr>
            <w:tcW w:w="2123" w:type="dxa"/>
            <w:tcBorders>
              <w:top w:val="nil"/>
              <w:left w:val="single" w:sz="6" w:space="0" w:color="000000"/>
              <w:bottom w:val="nil"/>
              <w:right w:val="single" w:sz="4" w:space="0" w:color="auto"/>
            </w:tcBorders>
            <w:vAlign w:val="center"/>
          </w:tcPr>
          <w:p w14:paraId="72FF0FB1" w14:textId="77777777" w:rsidR="005D740F" w:rsidRPr="0015541C" w:rsidRDefault="005D740F" w:rsidP="00B342E0">
            <w:pPr>
              <w:pStyle w:val="TableText10"/>
              <w:keepNext/>
              <w:keepLines/>
              <w:spacing w:line="280" w:lineRule="atLeast"/>
              <w:jc w:val="center"/>
              <w:rPr>
                <w:rFonts w:eastAsia="MS Mincho"/>
                <w:lang w:val="pl-PL"/>
              </w:rPr>
            </w:pPr>
            <w:r w:rsidRPr="0015541C">
              <w:rPr>
                <w:lang w:val="pl-PL"/>
              </w:rPr>
              <w:t>17</w:t>
            </w:r>
            <w:r w:rsidR="00C26E13" w:rsidRPr="0015541C">
              <w:rPr>
                <w:lang w:val="pl-PL"/>
              </w:rPr>
              <w:t>,</w:t>
            </w:r>
            <w:r w:rsidRPr="0015541C">
              <w:rPr>
                <w:lang w:val="pl-PL"/>
              </w:rPr>
              <w:t>5</w:t>
            </w:r>
          </w:p>
        </w:tc>
      </w:tr>
      <w:tr w:rsidR="003D62EE" w:rsidRPr="0015541C" w14:paraId="0136BC30" w14:textId="77777777" w:rsidTr="003C6FA3">
        <w:trPr>
          <w:trHeight w:val="345"/>
        </w:trPr>
        <w:tc>
          <w:tcPr>
            <w:tcW w:w="2839" w:type="dxa"/>
            <w:tcBorders>
              <w:top w:val="nil"/>
              <w:left w:val="single" w:sz="4" w:space="0" w:color="auto"/>
              <w:bottom w:val="nil"/>
              <w:right w:val="single" w:sz="6" w:space="0" w:color="000000"/>
            </w:tcBorders>
          </w:tcPr>
          <w:p w14:paraId="1E1D6DFA" w14:textId="77777777" w:rsidR="005D740F" w:rsidRPr="0015541C" w:rsidRDefault="005D740F" w:rsidP="00B342E0">
            <w:pPr>
              <w:keepNext/>
              <w:keepLines/>
              <w:widowControl w:val="0"/>
              <w:rPr>
                <w:sz w:val="20"/>
                <w:lang w:val="pl-PL"/>
              </w:rPr>
            </w:pPr>
            <w:r w:rsidRPr="0015541C">
              <w:rPr>
                <w:sz w:val="20"/>
                <w:lang w:val="pl-PL"/>
              </w:rPr>
              <w:t>Współczynnik ryzyka</w:t>
            </w:r>
          </w:p>
          <w:p w14:paraId="6A10D38E" w14:textId="77777777" w:rsidR="005D740F" w:rsidRPr="00AC3958" w:rsidRDefault="005D740F" w:rsidP="005D740F">
            <w:pPr>
              <w:keepNext/>
              <w:keepLines/>
              <w:widowControl w:val="0"/>
              <w:rPr>
                <w:rFonts w:ascii="Arial" w:eastAsia="SimSun" w:hAnsi="Arial"/>
                <w:sz w:val="20"/>
                <w:szCs w:val="24"/>
                <w:lang w:val="pl-PL" w:eastAsia="zh-CN"/>
              </w:rPr>
            </w:pPr>
            <w:r w:rsidRPr="0015541C">
              <w:rPr>
                <w:sz w:val="20"/>
                <w:lang w:val="pl-PL"/>
              </w:rPr>
              <w:t xml:space="preserve"> (95% CI) </w:t>
            </w:r>
            <w:r w:rsidRPr="00AC3958">
              <w:rPr>
                <w:sz w:val="20"/>
                <w:vertAlign w:val="superscript"/>
                <w:lang w:val="pl-PL"/>
              </w:rPr>
              <w:t>4</w:t>
            </w:r>
          </w:p>
        </w:tc>
        <w:tc>
          <w:tcPr>
            <w:tcW w:w="2122" w:type="dxa"/>
            <w:tcBorders>
              <w:top w:val="nil"/>
              <w:left w:val="single" w:sz="6" w:space="0" w:color="000000"/>
              <w:bottom w:val="nil"/>
              <w:right w:val="single" w:sz="6" w:space="0" w:color="000000"/>
            </w:tcBorders>
            <w:vAlign w:val="center"/>
          </w:tcPr>
          <w:p w14:paraId="2290D038" w14:textId="77777777" w:rsidR="005D740F" w:rsidRPr="00260CEC" w:rsidRDefault="005D740F" w:rsidP="00B342E0">
            <w:pPr>
              <w:keepNext/>
              <w:keepLines/>
              <w:jc w:val="center"/>
              <w:rPr>
                <w:rFonts w:ascii="Arial" w:eastAsia="SimSun" w:hAnsi="Arial"/>
                <w:sz w:val="20"/>
                <w:szCs w:val="24"/>
                <w:lang w:val="pl-PL" w:eastAsia="zh-CN"/>
              </w:rPr>
            </w:pPr>
          </w:p>
        </w:tc>
        <w:tc>
          <w:tcPr>
            <w:tcW w:w="2122" w:type="dxa"/>
            <w:tcBorders>
              <w:top w:val="nil"/>
              <w:left w:val="single" w:sz="6" w:space="0" w:color="000000"/>
              <w:bottom w:val="nil"/>
              <w:right w:val="single" w:sz="6" w:space="0" w:color="000000"/>
            </w:tcBorders>
            <w:vAlign w:val="center"/>
          </w:tcPr>
          <w:p w14:paraId="2890C1D2" w14:textId="77777777" w:rsidR="005D740F" w:rsidRPr="0015541C" w:rsidRDefault="005D740F" w:rsidP="00B342E0">
            <w:pPr>
              <w:keepNext/>
              <w:keepLines/>
              <w:jc w:val="center"/>
              <w:rPr>
                <w:rFonts w:ascii="Arial" w:eastAsia="SimSun" w:hAnsi="Arial"/>
                <w:sz w:val="20"/>
                <w:szCs w:val="24"/>
                <w:lang w:val="pl-PL" w:eastAsia="zh-CN"/>
              </w:rPr>
            </w:pPr>
            <w:r w:rsidRPr="0015541C">
              <w:rPr>
                <w:sz w:val="20"/>
                <w:lang w:val="pl-PL"/>
              </w:rPr>
              <w:t>0</w:t>
            </w:r>
            <w:r w:rsidR="00C26E13" w:rsidRPr="0015541C">
              <w:rPr>
                <w:sz w:val="20"/>
                <w:lang w:val="pl-PL"/>
              </w:rPr>
              <w:t>,</w:t>
            </w:r>
            <w:r w:rsidRPr="0015541C">
              <w:rPr>
                <w:sz w:val="20"/>
                <w:lang w:val="pl-PL"/>
              </w:rPr>
              <w:t>81</w:t>
            </w:r>
          </w:p>
          <w:p w14:paraId="54686815" w14:textId="77777777" w:rsidR="005D740F" w:rsidRPr="0015541C" w:rsidRDefault="005D740F" w:rsidP="00B342E0">
            <w:pPr>
              <w:keepNext/>
              <w:keepLines/>
              <w:jc w:val="center"/>
              <w:rPr>
                <w:rFonts w:ascii="Arial" w:eastAsia="SimSun" w:hAnsi="Arial"/>
                <w:sz w:val="20"/>
                <w:szCs w:val="24"/>
                <w:lang w:val="pl-PL" w:eastAsia="zh-CN"/>
              </w:rPr>
            </w:pPr>
            <w:r w:rsidRPr="0015541C">
              <w:rPr>
                <w:sz w:val="20"/>
                <w:lang w:val="pl-PL"/>
              </w:rPr>
              <w:t>(0</w:t>
            </w:r>
            <w:r w:rsidR="00C26E13" w:rsidRPr="0015541C">
              <w:rPr>
                <w:sz w:val="20"/>
                <w:lang w:val="pl-PL"/>
              </w:rPr>
              <w:t>,</w:t>
            </w:r>
            <w:r w:rsidRPr="0015541C">
              <w:rPr>
                <w:sz w:val="20"/>
                <w:lang w:val="pl-PL"/>
              </w:rPr>
              <w:t>62, 1</w:t>
            </w:r>
            <w:r w:rsidR="00C26E13" w:rsidRPr="0015541C">
              <w:rPr>
                <w:sz w:val="20"/>
                <w:lang w:val="pl-PL"/>
              </w:rPr>
              <w:t>,</w:t>
            </w:r>
            <w:r w:rsidRPr="0015541C">
              <w:rPr>
                <w:sz w:val="20"/>
                <w:lang w:val="pl-PL"/>
              </w:rPr>
              <w:t>05)</w:t>
            </w:r>
          </w:p>
        </w:tc>
        <w:tc>
          <w:tcPr>
            <w:tcW w:w="2123" w:type="dxa"/>
            <w:tcBorders>
              <w:top w:val="nil"/>
              <w:left w:val="single" w:sz="6" w:space="0" w:color="000000"/>
              <w:bottom w:val="nil"/>
              <w:right w:val="single" w:sz="4" w:space="0" w:color="auto"/>
            </w:tcBorders>
            <w:vAlign w:val="center"/>
          </w:tcPr>
          <w:p w14:paraId="446DE2D1" w14:textId="77777777" w:rsidR="005D740F" w:rsidRPr="0015541C" w:rsidRDefault="005D740F" w:rsidP="00B342E0">
            <w:pPr>
              <w:keepNext/>
              <w:keepLines/>
              <w:jc w:val="center"/>
              <w:rPr>
                <w:rFonts w:ascii="Arial" w:eastAsia="SimSun" w:hAnsi="Arial"/>
                <w:sz w:val="20"/>
                <w:szCs w:val="24"/>
                <w:lang w:val="pl-PL" w:eastAsia="zh-CN"/>
              </w:rPr>
            </w:pPr>
            <w:r w:rsidRPr="0015541C">
              <w:rPr>
                <w:sz w:val="20"/>
                <w:lang w:val="pl-PL"/>
              </w:rPr>
              <w:t>0</w:t>
            </w:r>
            <w:r w:rsidR="00C26E13" w:rsidRPr="0015541C">
              <w:rPr>
                <w:sz w:val="20"/>
                <w:lang w:val="pl-PL"/>
              </w:rPr>
              <w:t>,</w:t>
            </w:r>
            <w:r w:rsidRPr="0015541C">
              <w:rPr>
                <w:sz w:val="20"/>
                <w:lang w:val="pl-PL"/>
              </w:rPr>
              <w:t>66</w:t>
            </w:r>
          </w:p>
          <w:p w14:paraId="46A34910" w14:textId="77777777" w:rsidR="005D740F" w:rsidRPr="0015541C" w:rsidRDefault="005D740F" w:rsidP="00B342E0">
            <w:pPr>
              <w:pStyle w:val="TableText10"/>
              <w:keepNext/>
              <w:keepLines/>
              <w:spacing w:line="280" w:lineRule="atLeast"/>
              <w:jc w:val="center"/>
              <w:rPr>
                <w:rFonts w:eastAsia="MS Mincho"/>
                <w:lang w:val="pl-PL"/>
              </w:rPr>
            </w:pPr>
            <w:r w:rsidRPr="0015541C">
              <w:rPr>
                <w:lang w:val="pl-PL"/>
              </w:rPr>
              <w:t>(0</w:t>
            </w:r>
            <w:r w:rsidR="00C26E13" w:rsidRPr="0015541C">
              <w:rPr>
                <w:lang w:val="pl-PL"/>
              </w:rPr>
              <w:t>,</w:t>
            </w:r>
            <w:r w:rsidRPr="0015541C">
              <w:rPr>
                <w:lang w:val="pl-PL"/>
              </w:rPr>
              <w:t>50, 0</w:t>
            </w:r>
            <w:r w:rsidR="00C26E13" w:rsidRPr="0015541C">
              <w:rPr>
                <w:lang w:val="pl-PL"/>
              </w:rPr>
              <w:t>,</w:t>
            </w:r>
            <w:r w:rsidRPr="0015541C">
              <w:rPr>
                <w:lang w:val="pl-PL"/>
              </w:rPr>
              <w:t>86)</w:t>
            </w:r>
          </w:p>
        </w:tc>
      </w:tr>
      <w:tr w:rsidR="005D740F" w:rsidRPr="0015541C" w14:paraId="0788815B" w14:textId="77777777" w:rsidTr="00D16D61">
        <w:tc>
          <w:tcPr>
            <w:tcW w:w="9206" w:type="dxa"/>
            <w:gridSpan w:val="4"/>
            <w:tcBorders>
              <w:top w:val="single" w:sz="4" w:space="0" w:color="auto"/>
              <w:left w:val="single" w:sz="4" w:space="0" w:color="auto"/>
              <w:bottom w:val="single" w:sz="4" w:space="0" w:color="auto"/>
              <w:right w:val="single" w:sz="4" w:space="0" w:color="auto"/>
            </w:tcBorders>
          </w:tcPr>
          <w:p w14:paraId="2BDE3AF5" w14:textId="77777777" w:rsidR="005D740F" w:rsidRPr="0015541C" w:rsidRDefault="005D740F" w:rsidP="005D740F">
            <w:pPr>
              <w:keepNext/>
              <w:keepLines/>
              <w:spacing w:line="280" w:lineRule="atLeast"/>
              <w:rPr>
                <w:sz w:val="20"/>
                <w:lang w:val="pl-PL"/>
              </w:rPr>
            </w:pPr>
            <w:r w:rsidRPr="0015541C">
              <w:rPr>
                <w:bCs/>
                <w:sz w:val="20"/>
                <w:lang w:val="pl-PL"/>
              </w:rPr>
              <w:t>Randomizowani pacjenci ze stopniem zaawansowania choroby III i suboptymalną cytoredukcją</w:t>
            </w:r>
            <w:r w:rsidRPr="0015541C">
              <w:rPr>
                <w:sz w:val="20"/>
                <w:vertAlign w:val="superscript"/>
                <w:lang w:val="pl-PL"/>
              </w:rPr>
              <w:t xml:space="preserve"> 3</w:t>
            </w:r>
          </w:p>
        </w:tc>
      </w:tr>
      <w:tr w:rsidR="003D62EE" w:rsidRPr="0015541C" w14:paraId="62BF33E9" w14:textId="77777777" w:rsidTr="003C6FA3">
        <w:trPr>
          <w:trHeight w:val="390"/>
        </w:trPr>
        <w:tc>
          <w:tcPr>
            <w:tcW w:w="2839" w:type="dxa"/>
            <w:tcBorders>
              <w:top w:val="nil"/>
              <w:left w:val="single" w:sz="4" w:space="0" w:color="auto"/>
              <w:bottom w:val="nil"/>
              <w:right w:val="single" w:sz="6" w:space="0" w:color="000000"/>
            </w:tcBorders>
          </w:tcPr>
          <w:p w14:paraId="1AD72F74" w14:textId="77777777" w:rsidR="005D740F" w:rsidRPr="0015541C" w:rsidRDefault="005D740F" w:rsidP="00B342E0">
            <w:pPr>
              <w:pStyle w:val="TableText10"/>
              <w:spacing w:line="280" w:lineRule="atLeast"/>
              <w:jc w:val="center"/>
              <w:rPr>
                <w:rFonts w:eastAsia="MS Mincho"/>
                <w:lang w:val="pl-PL"/>
              </w:rPr>
            </w:pPr>
          </w:p>
        </w:tc>
        <w:tc>
          <w:tcPr>
            <w:tcW w:w="2122" w:type="dxa"/>
            <w:tcBorders>
              <w:top w:val="nil"/>
              <w:left w:val="single" w:sz="6" w:space="0" w:color="000000"/>
              <w:bottom w:val="nil"/>
              <w:right w:val="single" w:sz="6" w:space="0" w:color="000000"/>
            </w:tcBorders>
            <w:vAlign w:val="center"/>
          </w:tcPr>
          <w:p w14:paraId="4C44377D" w14:textId="77777777" w:rsidR="005D740F" w:rsidRPr="0015541C" w:rsidRDefault="005D740F" w:rsidP="00B342E0">
            <w:pPr>
              <w:jc w:val="center"/>
              <w:rPr>
                <w:rFonts w:ascii="Arial" w:eastAsia="SimSun" w:hAnsi="Arial"/>
                <w:sz w:val="20"/>
                <w:szCs w:val="24"/>
                <w:lang w:val="pl-PL" w:eastAsia="zh-CN" w:bidi="en-US"/>
              </w:rPr>
            </w:pPr>
            <w:r w:rsidRPr="0015541C">
              <w:rPr>
                <w:sz w:val="20"/>
                <w:lang w:val="pl-PL" w:bidi="en-US"/>
              </w:rPr>
              <w:t>CPP</w:t>
            </w:r>
          </w:p>
          <w:p w14:paraId="70119D66" w14:textId="77777777" w:rsidR="005D740F" w:rsidRPr="00AC3958" w:rsidRDefault="005D740F" w:rsidP="00B342E0">
            <w:pPr>
              <w:jc w:val="center"/>
              <w:rPr>
                <w:rFonts w:ascii="Arial" w:eastAsia="SimSun" w:hAnsi="Arial"/>
                <w:sz w:val="20"/>
                <w:szCs w:val="24"/>
                <w:lang w:val="pl-PL" w:eastAsia="zh-CN"/>
              </w:rPr>
            </w:pPr>
            <w:r w:rsidRPr="0015541C">
              <w:rPr>
                <w:sz w:val="20"/>
                <w:lang w:val="pl-PL"/>
              </w:rPr>
              <w:t>(n = 253)</w:t>
            </w:r>
          </w:p>
        </w:tc>
        <w:tc>
          <w:tcPr>
            <w:tcW w:w="2122" w:type="dxa"/>
            <w:tcBorders>
              <w:top w:val="nil"/>
              <w:left w:val="single" w:sz="6" w:space="0" w:color="000000"/>
              <w:bottom w:val="nil"/>
              <w:right w:val="single" w:sz="6" w:space="0" w:color="000000"/>
            </w:tcBorders>
            <w:vAlign w:val="center"/>
          </w:tcPr>
          <w:p w14:paraId="6ED03243" w14:textId="77777777" w:rsidR="005D740F" w:rsidRPr="0015541C" w:rsidRDefault="005D740F" w:rsidP="00B342E0">
            <w:pPr>
              <w:jc w:val="center"/>
              <w:rPr>
                <w:rFonts w:ascii="Arial" w:eastAsia="SimSun" w:hAnsi="Arial"/>
                <w:sz w:val="20"/>
                <w:szCs w:val="24"/>
                <w:lang w:val="pl-PL" w:eastAsia="zh-CN" w:bidi="en-US"/>
              </w:rPr>
            </w:pPr>
            <w:r w:rsidRPr="00260CEC">
              <w:rPr>
                <w:sz w:val="20"/>
                <w:lang w:val="pl-PL" w:bidi="en-US"/>
              </w:rPr>
              <w:t>CPB15</w:t>
            </w:r>
          </w:p>
          <w:p w14:paraId="442516DF" w14:textId="77777777" w:rsidR="005D740F" w:rsidRPr="0015541C" w:rsidRDefault="005D740F" w:rsidP="00B342E0">
            <w:pPr>
              <w:jc w:val="center"/>
              <w:rPr>
                <w:rFonts w:ascii="Arial" w:eastAsia="SimSun" w:hAnsi="Arial"/>
                <w:sz w:val="20"/>
                <w:szCs w:val="24"/>
                <w:lang w:val="pl-PL" w:eastAsia="zh-CN"/>
              </w:rPr>
            </w:pPr>
            <w:r w:rsidRPr="0015541C">
              <w:rPr>
                <w:sz w:val="20"/>
                <w:lang w:val="pl-PL"/>
              </w:rPr>
              <w:t>(n = 256)</w:t>
            </w:r>
            <w:r w:rsidRPr="0015541C">
              <w:rPr>
                <w:sz w:val="20"/>
                <w:vertAlign w:val="superscript"/>
                <w:lang w:val="pl-PL"/>
              </w:rPr>
              <w:t xml:space="preserve"> </w:t>
            </w:r>
          </w:p>
        </w:tc>
        <w:tc>
          <w:tcPr>
            <w:tcW w:w="2123" w:type="dxa"/>
            <w:tcBorders>
              <w:top w:val="nil"/>
              <w:left w:val="single" w:sz="6" w:space="0" w:color="000000"/>
              <w:bottom w:val="nil"/>
              <w:right w:val="single" w:sz="4" w:space="0" w:color="auto"/>
            </w:tcBorders>
            <w:vAlign w:val="center"/>
          </w:tcPr>
          <w:p w14:paraId="5DEB3D74" w14:textId="77777777" w:rsidR="005D740F" w:rsidRPr="0015541C" w:rsidRDefault="005D740F" w:rsidP="00B342E0">
            <w:pPr>
              <w:jc w:val="center"/>
              <w:rPr>
                <w:rFonts w:ascii="Arial" w:eastAsia="SimSun" w:hAnsi="Arial"/>
                <w:sz w:val="20"/>
                <w:szCs w:val="24"/>
                <w:lang w:val="pl-PL" w:eastAsia="zh-CN" w:bidi="en-US"/>
              </w:rPr>
            </w:pPr>
            <w:r w:rsidRPr="0015541C">
              <w:rPr>
                <w:sz w:val="20"/>
                <w:lang w:val="pl-PL" w:bidi="en-US"/>
              </w:rPr>
              <w:t>CPB15+</w:t>
            </w:r>
          </w:p>
          <w:p w14:paraId="24A1802E" w14:textId="77777777" w:rsidR="005D740F" w:rsidRPr="0015541C" w:rsidRDefault="005D740F" w:rsidP="00B342E0">
            <w:pPr>
              <w:jc w:val="center"/>
              <w:rPr>
                <w:rFonts w:ascii="Arial" w:eastAsia="SimSun" w:hAnsi="Arial"/>
                <w:sz w:val="20"/>
                <w:szCs w:val="24"/>
                <w:lang w:val="pl-PL" w:eastAsia="zh-CN"/>
              </w:rPr>
            </w:pPr>
            <w:r w:rsidRPr="0015541C">
              <w:rPr>
                <w:sz w:val="20"/>
                <w:lang w:val="pl-PL"/>
              </w:rPr>
              <w:t>(n = 242)</w:t>
            </w:r>
            <w:r w:rsidRPr="0015541C">
              <w:rPr>
                <w:sz w:val="20"/>
                <w:vertAlign w:val="superscript"/>
                <w:lang w:val="pl-PL"/>
              </w:rPr>
              <w:t xml:space="preserve"> </w:t>
            </w:r>
          </w:p>
        </w:tc>
      </w:tr>
      <w:tr w:rsidR="003D62EE" w:rsidRPr="0015541C" w14:paraId="62754CD3" w14:textId="77777777" w:rsidTr="003C6FA3">
        <w:tc>
          <w:tcPr>
            <w:tcW w:w="2839" w:type="dxa"/>
            <w:tcBorders>
              <w:top w:val="nil"/>
              <w:left w:val="single" w:sz="4" w:space="0" w:color="auto"/>
              <w:bottom w:val="nil"/>
              <w:right w:val="single" w:sz="6" w:space="0" w:color="000000"/>
            </w:tcBorders>
          </w:tcPr>
          <w:p w14:paraId="5C374B42" w14:textId="036F59C1" w:rsidR="005D740F" w:rsidRPr="0015541C" w:rsidRDefault="005D740F" w:rsidP="00B342E0">
            <w:pPr>
              <w:keepNext/>
              <w:keepLines/>
              <w:rPr>
                <w:rFonts w:ascii="Arial" w:eastAsia="SimSun" w:hAnsi="Arial"/>
                <w:sz w:val="20"/>
                <w:szCs w:val="24"/>
                <w:lang w:val="pl-PL" w:eastAsia="zh-CN"/>
              </w:rPr>
            </w:pPr>
            <w:r w:rsidRPr="0015541C">
              <w:rPr>
                <w:sz w:val="20"/>
                <w:lang w:val="pl-PL"/>
              </w:rPr>
              <w:t xml:space="preserve">Mediana </w:t>
            </w:r>
            <w:r w:rsidR="006D023F" w:rsidRPr="0015541C">
              <w:rPr>
                <w:sz w:val="20"/>
                <w:lang w:val="pl-PL"/>
              </w:rPr>
              <w:t xml:space="preserve">PFS </w:t>
            </w:r>
            <w:r w:rsidRPr="0015541C">
              <w:rPr>
                <w:sz w:val="20"/>
                <w:lang w:val="pl-PL"/>
              </w:rPr>
              <w:t xml:space="preserve"> (miesiące)</w:t>
            </w:r>
          </w:p>
        </w:tc>
        <w:tc>
          <w:tcPr>
            <w:tcW w:w="2122" w:type="dxa"/>
            <w:tcBorders>
              <w:top w:val="nil"/>
              <w:left w:val="single" w:sz="6" w:space="0" w:color="000000"/>
              <w:bottom w:val="nil"/>
              <w:right w:val="single" w:sz="6" w:space="0" w:color="000000"/>
            </w:tcBorders>
            <w:vAlign w:val="center"/>
          </w:tcPr>
          <w:p w14:paraId="504F061B" w14:textId="77777777" w:rsidR="005D740F" w:rsidRPr="0015541C" w:rsidRDefault="005D740F" w:rsidP="00B342E0">
            <w:pPr>
              <w:keepNext/>
              <w:keepLines/>
              <w:jc w:val="center"/>
              <w:rPr>
                <w:rFonts w:ascii="Arial" w:eastAsia="SimSun" w:hAnsi="Arial"/>
                <w:sz w:val="20"/>
                <w:szCs w:val="24"/>
                <w:lang w:val="pl-PL" w:eastAsia="zh-CN"/>
              </w:rPr>
            </w:pPr>
            <w:r w:rsidRPr="00AC3958">
              <w:rPr>
                <w:sz w:val="20"/>
                <w:lang w:val="pl-PL"/>
              </w:rPr>
              <w:t>10</w:t>
            </w:r>
            <w:r w:rsidR="00C26E13" w:rsidRPr="00AC3958">
              <w:rPr>
                <w:sz w:val="20"/>
                <w:lang w:val="pl-PL"/>
              </w:rPr>
              <w:t>,</w:t>
            </w:r>
            <w:r w:rsidRPr="00260CEC">
              <w:rPr>
                <w:sz w:val="20"/>
                <w:lang w:val="pl-PL"/>
              </w:rPr>
              <w:t>1</w:t>
            </w:r>
          </w:p>
        </w:tc>
        <w:tc>
          <w:tcPr>
            <w:tcW w:w="2122" w:type="dxa"/>
            <w:tcBorders>
              <w:top w:val="nil"/>
              <w:left w:val="single" w:sz="6" w:space="0" w:color="000000"/>
              <w:bottom w:val="nil"/>
              <w:right w:val="single" w:sz="6" w:space="0" w:color="000000"/>
            </w:tcBorders>
            <w:vAlign w:val="center"/>
          </w:tcPr>
          <w:p w14:paraId="02AA1F91" w14:textId="77777777" w:rsidR="005D740F" w:rsidRPr="0015541C" w:rsidRDefault="005D740F" w:rsidP="00B342E0">
            <w:pPr>
              <w:keepNext/>
              <w:keepLines/>
              <w:jc w:val="center"/>
              <w:rPr>
                <w:rFonts w:ascii="Arial" w:eastAsia="SimSun" w:hAnsi="Arial"/>
                <w:sz w:val="20"/>
                <w:szCs w:val="24"/>
                <w:lang w:val="pl-PL" w:eastAsia="zh-CN"/>
              </w:rPr>
            </w:pPr>
            <w:r w:rsidRPr="0015541C">
              <w:rPr>
                <w:sz w:val="20"/>
                <w:lang w:val="pl-PL"/>
              </w:rPr>
              <w:t>10</w:t>
            </w:r>
            <w:r w:rsidR="00C26E13" w:rsidRPr="0015541C">
              <w:rPr>
                <w:sz w:val="20"/>
                <w:lang w:val="pl-PL"/>
              </w:rPr>
              <w:t>,</w:t>
            </w:r>
            <w:r w:rsidRPr="0015541C">
              <w:rPr>
                <w:sz w:val="20"/>
                <w:lang w:val="pl-PL"/>
              </w:rPr>
              <w:t>9</w:t>
            </w:r>
          </w:p>
        </w:tc>
        <w:tc>
          <w:tcPr>
            <w:tcW w:w="2123" w:type="dxa"/>
            <w:tcBorders>
              <w:top w:val="nil"/>
              <w:left w:val="single" w:sz="6" w:space="0" w:color="000000"/>
              <w:bottom w:val="nil"/>
              <w:right w:val="single" w:sz="4" w:space="0" w:color="auto"/>
            </w:tcBorders>
            <w:vAlign w:val="center"/>
          </w:tcPr>
          <w:p w14:paraId="5389A46A" w14:textId="77777777" w:rsidR="005D740F" w:rsidRPr="0015541C" w:rsidRDefault="005D740F" w:rsidP="00B342E0">
            <w:pPr>
              <w:pStyle w:val="TableText10"/>
              <w:keepNext/>
              <w:keepLines/>
              <w:spacing w:line="280" w:lineRule="atLeast"/>
              <w:jc w:val="center"/>
              <w:rPr>
                <w:rFonts w:eastAsia="MS Mincho"/>
                <w:lang w:val="pl-PL"/>
              </w:rPr>
            </w:pPr>
            <w:r w:rsidRPr="0015541C">
              <w:rPr>
                <w:lang w:val="pl-PL"/>
              </w:rPr>
              <w:t>13</w:t>
            </w:r>
            <w:r w:rsidR="00C26E13" w:rsidRPr="0015541C">
              <w:rPr>
                <w:lang w:val="pl-PL"/>
              </w:rPr>
              <w:t>,</w:t>
            </w:r>
            <w:r w:rsidRPr="0015541C">
              <w:rPr>
                <w:lang w:val="pl-PL"/>
              </w:rPr>
              <w:t>9</w:t>
            </w:r>
          </w:p>
        </w:tc>
      </w:tr>
      <w:tr w:rsidR="003D62EE" w:rsidRPr="0015541C" w14:paraId="1D0AFFEF" w14:textId="77777777" w:rsidTr="003C6FA3">
        <w:tc>
          <w:tcPr>
            <w:tcW w:w="2839" w:type="dxa"/>
            <w:tcBorders>
              <w:top w:val="nil"/>
              <w:left w:val="single" w:sz="4" w:space="0" w:color="auto"/>
              <w:bottom w:val="nil"/>
              <w:right w:val="single" w:sz="6" w:space="0" w:color="000000"/>
            </w:tcBorders>
          </w:tcPr>
          <w:p w14:paraId="49113516" w14:textId="77777777" w:rsidR="005D740F" w:rsidRPr="0015541C" w:rsidRDefault="005D740F" w:rsidP="00B342E0">
            <w:pPr>
              <w:keepNext/>
              <w:keepLines/>
              <w:widowControl w:val="0"/>
              <w:rPr>
                <w:sz w:val="20"/>
                <w:lang w:val="pl-PL"/>
              </w:rPr>
            </w:pPr>
            <w:r w:rsidRPr="0015541C">
              <w:rPr>
                <w:sz w:val="20"/>
                <w:lang w:val="pl-PL"/>
              </w:rPr>
              <w:t>Współczynnik ryzyka</w:t>
            </w:r>
          </w:p>
          <w:p w14:paraId="342E5F31" w14:textId="77777777" w:rsidR="005D740F" w:rsidRPr="00AC3958" w:rsidRDefault="005D740F" w:rsidP="00B342E0">
            <w:pPr>
              <w:keepNext/>
              <w:keepLines/>
              <w:widowControl w:val="0"/>
              <w:rPr>
                <w:rFonts w:ascii="Arial" w:eastAsia="SimSun" w:hAnsi="Arial"/>
                <w:sz w:val="20"/>
                <w:szCs w:val="24"/>
                <w:lang w:val="pl-PL" w:eastAsia="zh-CN"/>
              </w:rPr>
            </w:pPr>
            <w:r w:rsidRPr="0015541C">
              <w:rPr>
                <w:sz w:val="20"/>
                <w:lang w:val="pl-PL"/>
              </w:rPr>
              <w:t xml:space="preserve"> (95% CI) </w:t>
            </w:r>
            <w:r w:rsidRPr="00AC3958">
              <w:rPr>
                <w:sz w:val="20"/>
                <w:vertAlign w:val="superscript"/>
                <w:lang w:val="pl-PL"/>
              </w:rPr>
              <w:t>4</w:t>
            </w:r>
          </w:p>
        </w:tc>
        <w:tc>
          <w:tcPr>
            <w:tcW w:w="2122" w:type="dxa"/>
            <w:tcBorders>
              <w:top w:val="nil"/>
              <w:left w:val="single" w:sz="6" w:space="0" w:color="000000"/>
              <w:bottom w:val="nil"/>
              <w:right w:val="single" w:sz="6" w:space="0" w:color="000000"/>
            </w:tcBorders>
            <w:vAlign w:val="center"/>
          </w:tcPr>
          <w:p w14:paraId="7206983D" w14:textId="77777777" w:rsidR="005D740F" w:rsidRPr="00260CEC" w:rsidRDefault="005D740F" w:rsidP="00B342E0">
            <w:pPr>
              <w:keepNext/>
              <w:keepLines/>
              <w:jc w:val="center"/>
              <w:rPr>
                <w:rFonts w:ascii="Arial" w:eastAsia="SimSun" w:hAnsi="Arial"/>
                <w:sz w:val="20"/>
                <w:szCs w:val="24"/>
                <w:lang w:val="pl-PL" w:eastAsia="zh-CN"/>
              </w:rPr>
            </w:pPr>
          </w:p>
        </w:tc>
        <w:tc>
          <w:tcPr>
            <w:tcW w:w="2122" w:type="dxa"/>
            <w:tcBorders>
              <w:top w:val="nil"/>
              <w:left w:val="single" w:sz="6" w:space="0" w:color="000000"/>
              <w:bottom w:val="nil"/>
              <w:right w:val="single" w:sz="6" w:space="0" w:color="000000"/>
            </w:tcBorders>
            <w:vAlign w:val="center"/>
          </w:tcPr>
          <w:p w14:paraId="020B5A45" w14:textId="77777777" w:rsidR="005D740F" w:rsidRPr="0015541C" w:rsidRDefault="005D740F" w:rsidP="00B342E0">
            <w:pPr>
              <w:keepNext/>
              <w:keepLines/>
              <w:jc w:val="center"/>
              <w:rPr>
                <w:rFonts w:ascii="Arial" w:eastAsia="SimSun" w:hAnsi="Arial"/>
                <w:sz w:val="20"/>
                <w:szCs w:val="24"/>
                <w:lang w:val="pl-PL" w:eastAsia="zh-CN"/>
              </w:rPr>
            </w:pPr>
            <w:r w:rsidRPr="0015541C">
              <w:rPr>
                <w:sz w:val="20"/>
                <w:lang w:val="pl-PL"/>
              </w:rPr>
              <w:t>0</w:t>
            </w:r>
            <w:r w:rsidR="00C26E13" w:rsidRPr="0015541C">
              <w:rPr>
                <w:sz w:val="20"/>
                <w:lang w:val="pl-PL"/>
              </w:rPr>
              <w:t>,</w:t>
            </w:r>
            <w:r w:rsidRPr="0015541C">
              <w:rPr>
                <w:sz w:val="20"/>
                <w:lang w:val="pl-PL"/>
              </w:rPr>
              <w:t>93</w:t>
            </w:r>
          </w:p>
          <w:p w14:paraId="0892B128" w14:textId="77777777" w:rsidR="005D740F" w:rsidRPr="0015541C" w:rsidRDefault="005D740F" w:rsidP="00B342E0">
            <w:pPr>
              <w:keepNext/>
              <w:keepLines/>
              <w:jc w:val="center"/>
              <w:rPr>
                <w:rFonts w:ascii="Arial" w:eastAsia="SimSun" w:hAnsi="Arial"/>
                <w:sz w:val="20"/>
                <w:szCs w:val="24"/>
                <w:lang w:val="pl-PL" w:eastAsia="zh-CN"/>
              </w:rPr>
            </w:pPr>
            <w:r w:rsidRPr="0015541C">
              <w:rPr>
                <w:sz w:val="20"/>
                <w:lang w:val="pl-PL"/>
              </w:rPr>
              <w:t>(0</w:t>
            </w:r>
            <w:r w:rsidR="00C26E13" w:rsidRPr="0015541C">
              <w:rPr>
                <w:sz w:val="20"/>
                <w:lang w:val="pl-PL"/>
              </w:rPr>
              <w:t>,</w:t>
            </w:r>
            <w:r w:rsidRPr="0015541C">
              <w:rPr>
                <w:sz w:val="20"/>
                <w:lang w:val="pl-PL"/>
              </w:rPr>
              <w:t>77, 1</w:t>
            </w:r>
            <w:r w:rsidR="00C26E13" w:rsidRPr="0015541C">
              <w:rPr>
                <w:sz w:val="20"/>
                <w:lang w:val="pl-PL"/>
              </w:rPr>
              <w:t>,</w:t>
            </w:r>
            <w:r w:rsidRPr="0015541C">
              <w:rPr>
                <w:sz w:val="20"/>
                <w:lang w:val="pl-PL"/>
              </w:rPr>
              <w:t>14)</w:t>
            </w:r>
          </w:p>
        </w:tc>
        <w:tc>
          <w:tcPr>
            <w:tcW w:w="2123" w:type="dxa"/>
            <w:tcBorders>
              <w:top w:val="nil"/>
              <w:left w:val="single" w:sz="6" w:space="0" w:color="000000"/>
              <w:bottom w:val="nil"/>
              <w:right w:val="single" w:sz="4" w:space="0" w:color="auto"/>
            </w:tcBorders>
            <w:vAlign w:val="center"/>
          </w:tcPr>
          <w:p w14:paraId="7EA305D3" w14:textId="77777777" w:rsidR="005D740F" w:rsidRPr="0015541C" w:rsidRDefault="005D740F" w:rsidP="00B342E0">
            <w:pPr>
              <w:keepNext/>
              <w:keepLines/>
              <w:jc w:val="center"/>
              <w:rPr>
                <w:rFonts w:ascii="Arial" w:eastAsia="SimSun" w:hAnsi="Arial"/>
                <w:sz w:val="20"/>
                <w:szCs w:val="24"/>
                <w:lang w:val="pl-PL" w:eastAsia="zh-CN"/>
              </w:rPr>
            </w:pPr>
            <w:r w:rsidRPr="0015541C">
              <w:rPr>
                <w:sz w:val="20"/>
                <w:lang w:val="pl-PL"/>
              </w:rPr>
              <w:t>0</w:t>
            </w:r>
            <w:r w:rsidR="00C26E13" w:rsidRPr="0015541C">
              <w:rPr>
                <w:sz w:val="20"/>
                <w:lang w:val="pl-PL"/>
              </w:rPr>
              <w:t>,</w:t>
            </w:r>
            <w:r w:rsidRPr="0015541C">
              <w:rPr>
                <w:sz w:val="20"/>
                <w:lang w:val="pl-PL"/>
              </w:rPr>
              <w:t>78</w:t>
            </w:r>
          </w:p>
          <w:p w14:paraId="4F236C9F" w14:textId="77777777" w:rsidR="005D740F" w:rsidRPr="0015541C" w:rsidRDefault="005D740F" w:rsidP="00B342E0">
            <w:pPr>
              <w:pStyle w:val="TableText10"/>
              <w:keepNext/>
              <w:keepLines/>
              <w:spacing w:line="280" w:lineRule="atLeast"/>
              <w:jc w:val="center"/>
              <w:rPr>
                <w:rFonts w:eastAsia="MS Mincho"/>
                <w:lang w:val="pl-PL"/>
              </w:rPr>
            </w:pPr>
            <w:r w:rsidRPr="0015541C">
              <w:rPr>
                <w:lang w:val="pl-PL"/>
              </w:rPr>
              <w:t>(0</w:t>
            </w:r>
            <w:r w:rsidR="00C26E13" w:rsidRPr="0015541C">
              <w:rPr>
                <w:lang w:val="pl-PL"/>
              </w:rPr>
              <w:t>,</w:t>
            </w:r>
            <w:r w:rsidRPr="0015541C">
              <w:rPr>
                <w:lang w:val="pl-PL"/>
              </w:rPr>
              <w:t>63, 0</w:t>
            </w:r>
            <w:r w:rsidR="00C26E13" w:rsidRPr="0015541C">
              <w:rPr>
                <w:lang w:val="pl-PL"/>
              </w:rPr>
              <w:t>,</w:t>
            </w:r>
            <w:r w:rsidRPr="0015541C">
              <w:rPr>
                <w:lang w:val="pl-PL"/>
              </w:rPr>
              <w:t>96)</w:t>
            </w:r>
          </w:p>
        </w:tc>
      </w:tr>
      <w:tr w:rsidR="005D740F" w:rsidRPr="0015541C" w14:paraId="5BB9EC34" w14:textId="77777777" w:rsidTr="00D16D61">
        <w:tc>
          <w:tcPr>
            <w:tcW w:w="9206" w:type="dxa"/>
            <w:gridSpan w:val="4"/>
            <w:tcBorders>
              <w:top w:val="single" w:sz="4" w:space="0" w:color="auto"/>
              <w:left w:val="single" w:sz="4" w:space="0" w:color="auto"/>
              <w:bottom w:val="single" w:sz="4" w:space="0" w:color="auto"/>
              <w:right w:val="single" w:sz="4" w:space="0" w:color="auto"/>
            </w:tcBorders>
          </w:tcPr>
          <w:p w14:paraId="4A092414" w14:textId="77777777" w:rsidR="005D740F" w:rsidRPr="0015541C" w:rsidRDefault="005D740F" w:rsidP="005D740F">
            <w:pPr>
              <w:pStyle w:val="TableText10"/>
              <w:keepNext/>
              <w:keepLines/>
              <w:spacing w:line="280" w:lineRule="atLeast"/>
              <w:rPr>
                <w:bCs/>
                <w:lang w:val="pl-PL"/>
              </w:rPr>
            </w:pPr>
            <w:r w:rsidRPr="0015541C">
              <w:rPr>
                <w:bCs/>
                <w:lang w:val="pl-PL"/>
              </w:rPr>
              <w:t>Randomizowani pacjenci ze stopniem zaawansowania choroby IV</w:t>
            </w:r>
          </w:p>
        </w:tc>
      </w:tr>
      <w:tr w:rsidR="003D62EE" w:rsidRPr="0015541C" w14:paraId="712B2832" w14:textId="77777777" w:rsidTr="003C6FA3">
        <w:trPr>
          <w:trHeight w:val="344"/>
        </w:trPr>
        <w:tc>
          <w:tcPr>
            <w:tcW w:w="2839" w:type="dxa"/>
            <w:tcBorders>
              <w:top w:val="nil"/>
              <w:left w:val="single" w:sz="4" w:space="0" w:color="auto"/>
              <w:bottom w:val="nil"/>
              <w:right w:val="single" w:sz="6" w:space="0" w:color="000000"/>
            </w:tcBorders>
          </w:tcPr>
          <w:p w14:paraId="06A77809" w14:textId="77777777" w:rsidR="005D740F" w:rsidRPr="0015541C" w:rsidRDefault="005D740F" w:rsidP="00B342E0">
            <w:pPr>
              <w:pStyle w:val="TableText10"/>
              <w:spacing w:line="280" w:lineRule="atLeast"/>
              <w:jc w:val="center"/>
              <w:rPr>
                <w:rFonts w:eastAsia="MS Mincho"/>
                <w:lang w:val="pl-PL"/>
              </w:rPr>
            </w:pPr>
          </w:p>
        </w:tc>
        <w:tc>
          <w:tcPr>
            <w:tcW w:w="2122" w:type="dxa"/>
            <w:tcBorders>
              <w:top w:val="nil"/>
              <w:left w:val="single" w:sz="6" w:space="0" w:color="000000"/>
              <w:bottom w:val="nil"/>
              <w:right w:val="single" w:sz="6" w:space="0" w:color="000000"/>
            </w:tcBorders>
            <w:vAlign w:val="center"/>
          </w:tcPr>
          <w:p w14:paraId="61B4AF62" w14:textId="77777777" w:rsidR="005D740F" w:rsidRPr="00AC3958" w:rsidRDefault="005D740F" w:rsidP="00B342E0">
            <w:pPr>
              <w:jc w:val="center"/>
              <w:rPr>
                <w:rFonts w:ascii="Arial" w:eastAsia="SimSun" w:hAnsi="Arial"/>
                <w:sz w:val="20"/>
                <w:szCs w:val="24"/>
                <w:lang w:val="pl-PL" w:eastAsia="zh-CN"/>
              </w:rPr>
            </w:pPr>
            <w:r w:rsidRPr="0015541C">
              <w:rPr>
                <w:sz w:val="20"/>
                <w:lang w:val="pl-PL" w:bidi="en-US"/>
              </w:rPr>
              <w:t>CPP</w:t>
            </w:r>
            <w:r w:rsidRPr="0015541C">
              <w:rPr>
                <w:sz w:val="20"/>
                <w:lang w:val="pl-PL" w:bidi="en-US"/>
              </w:rPr>
              <w:br/>
            </w:r>
            <w:r w:rsidRPr="0015541C">
              <w:rPr>
                <w:sz w:val="20"/>
                <w:lang w:val="pl-PL"/>
              </w:rPr>
              <w:t>(n = 153)</w:t>
            </w:r>
          </w:p>
        </w:tc>
        <w:tc>
          <w:tcPr>
            <w:tcW w:w="2122" w:type="dxa"/>
            <w:tcBorders>
              <w:top w:val="nil"/>
              <w:left w:val="single" w:sz="6" w:space="0" w:color="000000"/>
              <w:bottom w:val="nil"/>
              <w:right w:val="single" w:sz="6" w:space="0" w:color="000000"/>
            </w:tcBorders>
            <w:vAlign w:val="center"/>
          </w:tcPr>
          <w:p w14:paraId="6BB932B1" w14:textId="77777777" w:rsidR="005D740F" w:rsidRPr="0015541C" w:rsidRDefault="005D740F" w:rsidP="00B342E0">
            <w:pPr>
              <w:jc w:val="center"/>
              <w:rPr>
                <w:rFonts w:ascii="Arial" w:eastAsia="SimSun" w:hAnsi="Arial"/>
                <w:sz w:val="20"/>
                <w:szCs w:val="24"/>
                <w:lang w:val="pl-PL" w:eastAsia="zh-CN"/>
              </w:rPr>
            </w:pPr>
            <w:r w:rsidRPr="00260CEC">
              <w:rPr>
                <w:sz w:val="20"/>
                <w:lang w:val="pl-PL" w:bidi="en-US"/>
              </w:rPr>
              <w:t>CPB15</w:t>
            </w:r>
            <w:r w:rsidRPr="00260CEC">
              <w:rPr>
                <w:sz w:val="20"/>
                <w:lang w:val="pl-PL" w:bidi="en-US"/>
              </w:rPr>
              <w:br/>
            </w:r>
            <w:r w:rsidRPr="0015541C">
              <w:rPr>
                <w:sz w:val="20"/>
                <w:lang w:val="pl-PL"/>
              </w:rPr>
              <w:t>(n = 165)</w:t>
            </w:r>
          </w:p>
        </w:tc>
        <w:tc>
          <w:tcPr>
            <w:tcW w:w="2123" w:type="dxa"/>
            <w:tcBorders>
              <w:top w:val="nil"/>
              <w:left w:val="single" w:sz="6" w:space="0" w:color="000000"/>
              <w:bottom w:val="nil"/>
              <w:right w:val="single" w:sz="4" w:space="0" w:color="auto"/>
            </w:tcBorders>
            <w:vAlign w:val="center"/>
          </w:tcPr>
          <w:p w14:paraId="3ADAA650" w14:textId="77777777" w:rsidR="005D740F" w:rsidRPr="0015541C" w:rsidRDefault="005D740F" w:rsidP="00B342E0">
            <w:pPr>
              <w:pStyle w:val="TableText10"/>
              <w:spacing w:line="280" w:lineRule="atLeast"/>
              <w:jc w:val="center"/>
              <w:rPr>
                <w:rFonts w:eastAsia="MS Mincho"/>
                <w:lang w:val="pl-PL"/>
              </w:rPr>
            </w:pPr>
            <w:r w:rsidRPr="0015541C">
              <w:rPr>
                <w:lang w:val="pl-PL" w:bidi="en-US"/>
              </w:rPr>
              <w:t>CPB15+</w:t>
            </w:r>
            <w:r w:rsidRPr="0015541C">
              <w:rPr>
                <w:lang w:val="pl-PL" w:bidi="en-US"/>
              </w:rPr>
              <w:br/>
            </w:r>
            <w:r w:rsidRPr="0015541C">
              <w:rPr>
                <w:lang w:val="pl-PL"/>
              </w:rPr>
              <w:t>(n = 165)</w:t>
            </w:r>
          </w:p>
        </w:tc>
      </w:tr>
      <w:tr w:rsidR="003D62EE" w:rsidRPr="0015541C" w14:paraId="0594E327" w14:textId="77777777" w:rsidTr="003C6FA3">
        <w:tc>
          <w:tcPr>
            <w:tcW w:w="2839" w:type="dxa"/>
            <w:tcBorders>
              <w:top w:val="nil"/>
              <w:left w:val="single" w:sz="4" w:space="0" w:color="auto"/>
              <w:bottom w:val="nil"/>
              <w:right w:val="single" w:sz="6" w:space="0" w:color="000000"/>
            </w:tcBorders>
          </w:tcPr>
          <w:p w14:paraId="1FB1FDE7" w14:textId="72159805" w:rsidR="005D740F" w:rsidRPr="0015541C" w:rsidRDefault="005D740F" w:rsidP="00B342E0">
            <w:pPr>
              <w:rPr>
                <w:sz w:val="20"/>
                <w:lang w:val="pl-PL"/>
              </w:rPr>
            </w:pPr>
            <w:r w:rsidRPr="0015541C">
              <w:rPr>
                <w:sz w:val="20"/>
                <w:lang w:val="pl-PL"/>
              </w:rPr>
              <w:t xml:space="preserve">Mediana </w:t>
            </w:r>
            <w:r w:rsidR="006D023F" w:rsidRPr="0015541C">
              <w:rPr>
                <w:sz w:val="20"/>
                <w:lang w:val="pl-PL"/>
              </w:rPr>
              <w:t>PFS</w:t>
            </w:r>
            <w:r w:rsidRPr="0015541C">
              <w:rPr>
                <w:sz w:val="20"/>
                <w:lang w:val="pl-PL"/>
              </w:rPr>
              <w:t xml:space="preserve"> (miesiące)</w:t>
            </w:r>
          </w:p>
        </w:tc>
        <w:tc>
          <w:tcPr>
            <w:tcW w:w="2122" w:type="dxa"/>
            <w:tcBorders>
              <w:top w:val="nil"/>
              <w:left w:val="single" w:sz="6" w:space="0" w:color="000000"/>
              <w:bottom w:val="nil"/>
              <w:right w:val="single" w:sz="6" w:space="0" w:color="000000"/>
            </w:tcBorders>
            <w:vAlign w:val="center"/>
          </w:tcPr>
          <w:p w14:paraId="0A664496" w14:textId="77777777" w:rsidR="005D740F" w:rsidRPr="0015541C" w:rsidRDefault="005D740F" w:rsidP="00B342E0">
            <w:pPr>
              <w:jc w:val="center"/>
              <w:rPr>
                <w:sz w:val="20"/>
                <w:lang w:val="pl-PL"/>
              </w:rPr>
            </w:pPr>
            <w:r w:rsidRPr="00AC3958">
              <w:rPr>
                <w:sz w:val="20"/>
                <w:lang w:val="pl-PL"/>
              </w:rPr>
              <w:t>9</w:t>
            </w:r>
            <w:r w:rsidR="00C26E13" w:rsidRPr="00AC3958">
              <w:rPr>
                <w:sz w:val="20"/>
                <w:lang w:val="pl-PL"/>
              </w:rPr>
              <w:t>,</w:t>
            </w:r>
            <w:r w:rsidRPr="00260CEC">
              <w:rPr>
                <w:sz w:val="20"/>
                <w:lang w:val="pl-PL"/>
              </w:rPr>
              <w:t>5</w:t>
            </w:r>
          </w:p>
        </w:tc>
        <w:tc>
          <w:tcPr>
            <w:tcW w:w="2122" w:type="dxa"/>
            <w:tcBorders>
              <w:top w:val="nil"/>
              <w:left w:val="single" w:sz="6" w:space="0" w:color="000000"/>
              <w:bottom w:val="nil"/>
              <w:right w:val="single" w:sz="6" w:space="0" w:color="000000"/>
            </w:tcBorders>
            <w:vAlign w:val="center"/>
          </w:tcPr>
          <w:p w14:paraId="1061F4C7" w14:textId="77777777" w:rsidR="005D740F" w:rsidRPr="0015541C" w:rsidRDefault="005D740F" w:rsidP="00B342E0">
            <w:pPr>
              <w:jc w:val="center"/>
              <w:rPr>
                <w:sz w:val="20"/>
                <w:lang w:val="pl-PL"/>
              </w:rPr>
            </w:pPr>
            <w:r w:rsidRPr="0015541C">
              <w:rPr>
                <w:sz w:val="20"/>
                <w:lang w:val="pl-PL"/>
              </w:rPr>
              <w:t>10</w:t>
            </w:r>
            <w:r w:rsidR="00C26E13" w:rsidRPr="0015541C">
              <w:rPr>
                <w:sz w:val="20"/>
                <w:lang w:val="pl-PL"/>
              </w:rPr>
              <w:t>,</w:t>
            </w:r>
            <w:r w:rsidRPr="0015541C">
              <w:rPr>
                <w:sz w:val="20"/>
                <w:lang w:val="pl-PL"/>
              </w:rPr>
              <w:t>4</w:t>
            </w:r>
          </w:p>
        </w:tc>
        <w:tc>
          <w:tcPr>
            <w:tcW w:w="2123" w:type="dxa"/>
            <w:tcBorders>
              <w:top w:val="nil"/>
              <w:left w:val="single" w:sz="6" w:space="0" w:color="000000"/>
              <w:bottom w:val="nil"/>
              <w:right w:val="single" w:sz="4" w:space="0" w:color="auto"/>
            </w:tcBorders>
            <w:vAlign w:val="center"/>
          </w:tcPr>
          <w:p w14:paraId="18F8384F" w14:textId="77777777" w:rsidR="005D740F" w:rsidRPr="0015541C" w:rsidRDefault="005D740F" w:rsidP="00B342E0">
            <w:pPr>
              <w:jc w:val="center"/>
              <w:rPr>
                <w:sz w:val="20"/>
                <w:lang w:val="pl-PL"/>
              </w:rPr>
            </w:pPr>
            <w:r w:rsidRPr="0015541C">
              <w:rPr>
                <w:sz w:val="20"/>
                <w:lang w:val="pl-PL"/>
              </w:rPr>
              <w:t>12</w:t>
            </w:r>
            <w:r w:rsidR="00C26E13" w:rsidRPr="0015541C">
              <w:rPr>
                <w:sz w:val="20"/>
                <w:lang w:val="pl-PL"/>
              </w:rPr>
              <w:t>,</w:t>
            </w:r>
            <w:r w:rsidRPr="0015541C">
              <w:rPr>
                <w:sz w:val="20"/>
                <w:lang w:val="pl-PL"/>
              </w:rPr>
              <w:t>8</w:t>
            </w:r>
          </w:p>
        </w:tc>
      </w:tr>
      <w:tr w:rsidR="00713846" w:rsidRPr="0015541C" w14:paraId="63078D44" w14:textId="77777777" w:rsidTr="003C6FA3">
        <w:tc>
          <w:tcPr>
            <w:tcW w:w="2839" w:type="dxa"/>
            <w:tcBorders>
              <w:top w:val="nil"/>
              <w:left w:val="single" w:sz="4" w:space="0" w:color="auto"/>
              <w:bottom w:val="single" w:sz="4" w:space="0" w:color="auto"/>
              <w:right w:val="single" w:sz="6" w:space="0" w:color="000000"/>
            </w:tcBorders>
          </w:tcPr>
          <w:p w14:paraId="3BDB0857" w14:textId="77777777" w:rsidR="005D740F" w:rsidRPr="0015541C" w:rsidRDefault="005D740F" w:rsidP="00B342E0">
            <w:pPr>
              <w:keepNext/>
              <w:keepLines/>
              <w:widowControl w:val="0"/>
              <w:rPr>
                <w:sz w:val="20"/>
                <w:lang w:val="pl-PL"/>
              </w:rPr>
            </w:pPr>
            <w:r w:rsidRPr="0015541C">
              <w:rPr>
                <w:sz w:val="20"/>
                <w:lang w:val="pl-PL"/>
              </w:rPr>
              <w:t>Współczynnik ryzyka</w:t>
            </w:r>
          </w:p>
          <w:p w14:paraId="5CDBBBC8" w14:textId="77777777" w:rsidR="005D740F" w:rsidRPr="00AC3958" w:rsidRDefault="005D740F" w:rsidP="00B342E0">
            <w:pPr>
              <w:rPr>
                <w:rFonts w:ascii="Arial" w:eastAsia="SimSun" w:hAnsi="Arial"/>
                <w:sz w:val="20"/>
                <w:szCs w:val="24"/>
                <w:lang w:val="pl-PL" w:eastAsia="zh-CN"/>
              </w:rPr>
            </w:pPr>
            <w:r w:rsidRPr="0015541C">
              <w:rPr>
                <w:sz w:val="20"/>
                <w:lang w:val="pl-PL"/>
              </w:rPr>
              <w:t xml:space="preserve"> (95% CI) </w:t>
            </w:r>
            <w:r w:rsidRPr="00AC3958">
              <w:rPr>
                <w:sz w:val="20"/>
                <w:vertAlign w:val="superscript"/>
                <w:lang w:val="pl-PL"/>
              </w:rPr>
              <w:t>4</w:t>
            </w:r>
          </w:p>
        </w:tc>
        <w:tc>
          <w:tcPr>
            <w:tcW w:w="2122" w:type="dxa"/>
            <w:tcBorders>
              <w:top w:val="nil"/>
              <w:left w:val="single" w:sz="6" w:space="0" w:color="000000"/>
              <w:bottom w:val="single" w:sz="4" w:space="0" w:color="auto"/>
              <w:right w:val="single" w:sz="6" w:space="0" w:color="000000"/>
            </w:tcBorders>
            <w:vAlign w:val="center"/>
          </w:tcPr>
          <w:p w14:paraId="74BFE11D" w14:textId="77777777" w:rsidR="005D740F" w:rsidRPr="00260CEC" w:rsidRDefault="005D740F" w:rsidP="00B342E0">
            <w:pPr>
              <w:jc w:val="center"/>
              <w:rPr>
                <w:rFonts w:ascii="Arial" w:eastAsia="SimSun" w:hAnsi="Arial"/>
                <w:sz w:val="20"/>
                <w:szCs w:val="24"/>
                <w:lang w:val="pl-PL" w:eastAsia="zh-CN"/>
              </w:rPr>
            </w:pPr>
          </w:p>
        </w:tc>
        <w:tc>
          <w:tcPr>
            <w:tcW w:w="2122" w:type="dxa"/>
            <w:tcBorders>
              <w:top w:val="nil"/>
              <w:left w:val="single" w:sz="6" w:space="0" w:color="000000"/>
              <w:bottom w:val="single" w:sz="4" w:space="0" w:color="auto"/>
              <w:right w:val="single" w:sz="6" w:space="0" w:color="000000"/>
            </w:tcBorders>
            <w:vAlign w:val="center"/>
          </w:tcPr>
          <w:p w14:paraId="002C003D" w14:textId="77777777" w:rsidR="005D740F" w:rsidRPr="0015541C" w:rsidRDefault="005D740F" w:rsidP="00B342E0">
            <w:pPr>
              <w:jc w:val="center"/>
              <w:rPr>
                <w:rFonts w:ascii="Arial" w:eastAsia="SimSun" w:hAnsi="Arial"/>
                <w:sz w:val="20"/>
                <w:szCs w:val="24"/>
                <w:lang w:val="pl-PL" w:eastAsia="zh-CN"/>
              </w:rPr>
            </w:pPr>
            <w:r w:rsidRPr="0015541C">
              <w:rPr>
                <w:sz w:val="20"/>
                <w:lang w:val="pl-PL"/>
              </w:rPr>
              <w:t>0</w:t>
            </w:r>
            <w:r w:rsidR="00C26E13" w:rsidRPr="0015541C">
              <w:rPr>
                <w:sz w:val="20"/>
                <w:lang w:val="pl-PL"/>
              </w:rPr>
              <w:t>,</w:t>
            </w:r>
            <w:r w:rsidRPr="0015541C">
              <w:rPr>
                <w:sz w:val="20"/>
                <w:lang w:val="pl-PL"/>
              </w:rPr>
              <w:t>90</w:t>
            </w:r>
          </w:p>
          <w:p w14:paraId="3311CA73" w14:textId="77777777" w:rsidR="005D740F" w:rsidRPr="0015541C" w:rsidRDefault="005D740F" w:rsidP="00B342E0">
            <w:pPr>
              <w:jc w:val="center"/>
              <w:rPr>
                <w:rFonts w:ascii="Arial" w:eastAsia="SimSun" w:hAnsi="Arial"/>
                <w:sz w:val="20"/>
                <w:szCs w:val="24"/>
                <w:lang w:val="pl-PL" w:eastAsia="zh-CN"/>
              </w:rPr>
            </w:pPr>
            <w:r w:rsidRPr="0015541C">
              <w:rPr>
                <w:sz w:val="20"/>
                <w:lang w:val="pl-PL"/>
              </w:rPr>
              <w:t>(0</w:t>
            </w:r>
            <w:r w:rsidR="00C26E13" w:rsidRPr="0015541C">
              <w:rPr>
                <w:sz w:val="20"/>
                <w:lang w:val="pl-PL"/>
              </w:rPr>
              <w:t>,</w:t>
            </w:r>
            <w:r w:rsidRPr="0015541C">
              <w:rPr>
                <w:sz w:val="20"/>
                <w:lang w:val="pl-PL"/>
              </w:rPr>
              <w:t>70, 1</w:t>
            </w:r>
            <w:r w:rsidR="00C26E13" w:rsidRPr="0015541C">
              <w:rPr>
                <w:sz w:val="20"/>
                <w:lang w:val="pl-PL"/>
              </w:rPr>
              <w:t>,</w:t>
            </w:r>
            <w:r w:rsidRPr="0015541C">
              <w:rPr>
                <w:sz w:val="20"/>
                <w:lang w:val="pl-PL"/>
              </w:rPr>
              <w:t>16)</w:t>
            </w:r>
          </w:p>
        </w:tc>
        <w:tc>
          <w:tcPr>
            <w:tcW w:w="2123" w:type="dxa"/>
            <w:tcBorders>
              <w:top w:val="nil"/>
              <w:left w:val="single" w:sz="6" w:space="0" w:color="000000"/>
              <w:bottom w:val="single" w:sz="4" w:space="0" w:color="auto"/>
              <w:right w:val="single" w:sz="4" w:space="0" w:color="auto"/>
            </w:tcBorders>
            <w:vAlign w:val="center"/>
          </w:tcPr>
          <w:p w14:paraId="4C9070A6" w14:textId="77777777" w:rsidR="005D740F" w:rsidRPr="0015541C" w:rsidRDefault="005D740F" w:rsidP="00B342E0">
            <w:pPr>
              <w:jc w:val="center"/>
              <w:rPr>
                <w:rFonts w:ascii="Arial" w:eastAsia="SimSun" w:hAnsi="Arial"/>
                <w:sz w:val="20"/>
                <w:szCs w:val="24"/>
                <w:lang w:val="pl-PL" w:eastAsia="zh-CN"/>
              </w:rPr>
            </w:pPr>
            <w:r w:rsidRPr="0015541C">
              <w:rPr>
                <w:sz w:val="20"/>
                <w:lang w:val="pl-PL"/>
              </w:rPr>
              <w:t>0</w:t>
            </w:r>
            <w:r w:rsidR="00C26E13" w:rsidRPr="0015541C">
              <w:rPr>
                <w:sz w:val="20"/>
                <w:lang w:val="pl-PL"/>
              </w:rPr>
              <w:t>,</w:t>
            </w:r>
            <w:r w:rsidRPr="0015541C">
              <w:rPr>
                <w:sz w:val="20"/>
                <w:lang w:val="pl-PL"/>
              </w:rPr>
              <w:t>64</w:t>
            </w:r>
          </w:p>
          <w:p w14:paraId="5C3E747B" w14:textId="77777777" w:rsidR="005D740F" w:rsidRPr="0015541C" w:rsidRDefault="005D740F" w:rsidP="00B342E0">
            <w:pPr>
              <w:jc w:val="center"/>
              <w:rPr>
                <w:rFonts w:ascii="Arial" w:eastAsia="SimSun" w:hAnsi="Arial"/>
                <w:sz w:val="20"/>
                <w:szCs w:val="24"/>
                <w:lang w:val="pl-PL" w:eastAsia="zh-CN"/>
              </w:rPr>
            </w:pPr>
            <w:r w:rsidRPr="0015541C">
              <w:rPr>
                <w:sz w:val="20"/>
                <w:lang w:val="pl-PL"/>
              </w:rPr>
              <w:t>(0</w:t>
            </w:r>
            <w:r w:rsidR="00C26E13" w:rsidRPr="0015541C">
              <w:rPr>
                <w:sz w:val="20"/>
                <w:lang w:val="pl-PL"/>
              </w:rPr>
              <w:t>,</w:t>
            </w:r>
            <w:r w:rsidRPr="0015541C">
              <w:rPr>
                <w:sz w:val="20"/>
                <w:lang w:val="pl-PL"/>
              </w:rPr>
              <w:t>49, 0</w:t>
            </w:r>
            <w:r w:rsidR="00C26E13" w:rsidRPr="0015541C">
              <w:rPr>
                <w:sz w:val="20"/>
                <w:lang w:val="pl-PL"/>
              </w:rPr>
              <w:t>,</w:t>
            </w:r>
            <w:r w:rsidRPr="0015541C">
              <w:rPr>
                <w:sz w:val="20"/>
                <w:lang w:val="pl-PL"/>
              </w:rPr>
              <w:t>82)</w:t>
            </w:r>
          </w:p>
        </w:tc>
      </w:tr>
    </w:tbl>
    <w:p w14:paraId="33C349D6" w14:textId="77777777" w:rsidR="005D740F" w:rsidRPr="00260CEC" w:rsidRDefault="005D740F" w:rsidP="00E2631A">
      <w:pPr>
        <w:ind w:left="126" w:hanging="126"/>
        <w:rPr>
          <w:sz w:val="20"/>
          <w:lang w:val="pl-PL"/>
        </w:rPr>
      </w:pPr>
      <w:r w:rsidRPr="0015541C">
        <w:rPr>
          <w:sz w:val="20"/>
          <w:vertAlign w:val="superscript"/>
          <w:lang w:val="pl-PL"/>
        </w:rPr>
        <w:t>1</w:t>
      </w:r>
      <w:r w:rsidRPr="0015541C">
        <w:rPr>
          <w:sz w:val="20"/>
          <w:lang w:val="pl-PL"/>
        </w:rPr>
        <w:t xml:space="preserve"> Analiza czasu wolnego od progresji oceniana przez badacza według protokołu GOG (niecenzurowana dla progresji CA-125 i terapii nieobjętej protokołem (NPT) przed progresją choroby) z datą odcięcia danych </w:t>
      </w:r>
      <w:r w:rsidR="0085384E" w:rsidRPr="0015541C">
        <w:rPr>
          <w:sz w:val="20"/>
          <w:lang w:val="pl-PL"/>
        </w:rPr>
        <w:br/>
      </w:r>
      <w:r w:rsidRPr="00AC3958">
        <w:rPr>
          <w:sz w:val="20"/>
          <w:lang w:val="pl-PL"/>
        </w:rPr>
        <w:t>25 lutego 2010</w:t>
      </w:r>
      <w:r w:rsidR="00DE6F4F" w:rsidRPr="00AC3958">
        <w:rPr>
          <w:sz w:val="20"/>
          <w:lang w:val="pl-PL"/>
        </w:rPr>
        <w:t>.</w:t>
      </w:r>
    </w:p>
    <w:p w14:paraId="65F4724D" w14:textId="77777777" w:rsidR="00D02C09" w:rsidRPr="0015541C" w:rsidRDefault="00D02C09" w:rsidP="00BC3A2D">
      <w:pPr>
        <w:rPr>
          <w:sz w:val="20"/>
          <w:lang w:val="pl-PL"/>
        </w:rPr>
      </w:pPr>
      <w:r w:rsidRPr="0015541C">
        <w:rPr>
          <w:sz w:val="20"/>
          <w:vertAlign w:val="superscript"/>
          <w:lang w:val="pl-PL"/>
        </w:rPr>
        <w:t>2</w:t>
      </w:r>
      <w:r w:rsidR="005D740F" w:rsidRPr="0015541C">
        <w:rPr>
          <w:sz w:val="20"/>
          <w:vertAlign w:val="superscript"/>
          <w:lang w:val="pl-PL"/>
        </w:rPr>
        <w:t xml:space="preserve"> </w:t>
      </w:r>
      <w:r w:rsidR="00DE6F4F" w:rsidRPr="0015541C">
        <w:rPr>
          <w:sz w:val="20"/>
          <w:lang w:val="pl-PL"/>
        </w:rPr>
        <w:t>Z</w:t>
      </w:r>
      <w:r w:rsidR="005D740F" w:rsidRPr="0015541C">
        <w:rPr>
          <w:sz w:val="20"/>
          <w:lang w:val="pl-PL"/>
        </w:rPr>
        <w:t xml:space="preserve"> makroskopową chorobą resztkową</w:t>
      </w:r>
      <w:r w:rsidR="00DE6F4F" w:rsidRPr="0015541C">
        <w:rPr>
          <w:sz w:val="20"/>
          <w:lang w:val="pl-PL"/>
        </w:rPr>
        <w:t>.</w:t>
      </w:r>
    </w:p>
    <w:p w14:paraId="6DD1F2D3" w14:textId="77777777" w:rsidR="006A20ED" w:rsidRPr="0015541C" w:rsidRDefault="00D02C09" w:rsidP="00BC3A2D">
      <w:pPr>
        <w:rPr>
          <w:sz w:val="20"/>
          <w:lang w:val="pl-PL"/>
        </w:rPr>
      </w:pPr>
      <w:r w:rsidRPr="0015541C">
        <w:rPr>
          <w:sz w:val="20"/>
          <w:vertAlign w:val="superscript"/>
          <w:lang w:val="pl-PL"/>
        </w:rPr>
        <w:t>3 </w:t>
      </w:r>
      <w:r w:rsidR="00DE6F4F" w:rsidRPr="0015541C">
        <w:rPr>
          <w:sz w:val="20"/>
          <w:lang w:val="pl-PL"/>
        </w:rPr>
        <w:t>U</w:t>
      </w:r>
      <w:r w:rsidR="005D740F" w:rsidRPr="0015541C">
        <w:rPr>
          <w:sz w:val="20"/>
          <w:lang w:val="pl-PL"/>
        </w:rPr>
        <w:t xml:space="preserve"> </w:t>
      </w:r>
      <w:r w:rsidR="006A20ED" w:rsidRPr="0015541C">
        <w:rPr>
          <w:sz w:val="20"/>
          <w:lang w:val="pl-PL"/>
        </w:rPr>
        <w:t>3,</w:t>
      </w:r>
      <w:r w:rsidRPr="0015541C">
        <w:rPr>
          <w:sz w:val="20"/>
          <w:lang w:val="pl-PL"/>
        </w:rPr>
        <w:t>7%</w:t>
      </w:r>
      <w:r w:rsidR="005D740F" w:rsidRPr="0015541C">
        <w:rPr>
          <w:sz w:val="20"/>
          <w:lang w:val="pl-PL"/>
        </w:rPr>
        <w:t xml:space="preserve"> wszystkich chorych stopień zaawansowania choroby wynosił IIIb</w:t>
      </w:r>
      <w:r w:rsidR="00DE6F4F" w:rsidRPr="0015541C">
        <w:rPr>
          <w:sz w:val="20"/>
          <w:lang w:val="pl-PL"/>
        </w:rPr>
        <w:t>.</w:t>
      </w:r>
    </w:p>
    <w:p w14:paraId="2A5D7659" w14:textId="257A2031" w:rsidR="00D02C09" w:rsidRPr="0015541C" w:rsidRDefault="006A20ED" w:rsidP="00BC3A2D">
      <w:pPr>
        <w:rPr>
          <w:sz w:val="20"/>
          <w:lang w:val="pl-PL"/>
        </w:rPr>
      </w:pPr>
      <w:r w:rsidRPr="0015541C">
        <w:rPr>
          <w:sz w:val="20"/>
          <w:vertAlign w:val="superscript"/>
          <w:lang w:val="pl-PL"/>
        </w:rPr>
        <w:t>4</w:t>
      </w:r>
      <w:r w:rsidR="005D740F" w:rsidRPr="0015541C">
        <w:rPr>
          <w:sz w:val="20"/>
          <w:lang w:val="pl-PL"/>
        </w:rPr>
        <w:t xml:space="preserve"> </w:t>
      </w:r>
      <w:r w:rsidR="00DE6F4F" w:rsidRPr="0015541C">
        <w:rPr>
          <w:sz w:val="20"/>
          <w:lang w:val="pl-PL"/>
        </w:rPr>
        <w:t>W</w:t>
      </w:r>
      <w:r w:rsidR="003309B9" w:rsidRPr="0015541C">
        <w:rPr>
          <w:sz w:val="20"/>
          <w:lang w:val="pl-PL"/>
        </w:rPr>
        <w:t xml:space="preserve"> </w:t>
      </w:r>
      <w:r w:rsidR="00C26E13" w:rsidRPr="0015541C">
        <w:rPr>
          <w:sz w:val="20"/>
          <w:lang w:val="pl-PL"/>
        </w:rPr>
        <w:t>porównaniu</w:t>
      </w:r>
      <w:r w:rsidR="003309B9" w:rsidRPr="0015541C">
        <w:rPr>
          <w:sz w:val="20"/>
          <w:lang w:val="pl-PL"/>
        </w:rPr>
        <w:t xml:space="preserve"> z grupą </w:t>
      </w:r>
      <w:r w:rsidR="000826AB" w:rsidRPr="0015541C">
        <w:rPr>
          <w:sz w:val="20"/>
          <w:lang w:val="pl-PL"/>
        </w:rPr>
        <w:t>kontrolną</w:t>
      </w:r>
      <w:r w:rsidR="00D02C09" w:rsidRPr="0015541C">
        <w:rPr>
          <w:sz w:val="20"/>
          <w:lang w:val="pl-PL"/>
        </w:rPr>
        <w:t>.</w:t>
      </w:r>
    </w:p>
    <w:p w14:paraId="5E920B2C" w14:textId="77777777" w:rsidR="007A009B" w:rsidRPr="0015541C" w:rsidRDefault="007A009B" w:rsidP="00625A2E">
      <w:pPr>
        <w:jc w:val="both"/>
        <w:rPr>
          <w:lang w:val="pl-PL"/>
        </w:rPr>
      </w:pPr>
    </w:p>
    <w:p w14:paraId="23C384D5" w14:textId="77777777" w:rsidR="00C26E13" w:rsidRPr="0015541C" w:rsidRDefault="00C26E13" w:rsidP="00C26E13">
      <w:pPr>
        <w:rPr>
          <w:i/>
          <w:lang w:val="pl-PL"/>
        </w:rPr>
      </w:pPr>
      <w:r w:rsidRPr="0015541C">
        <w:rPr>
          <w:i/>
          <w:lang w:val="pl-PL"/>
        </w:rPr>
        <w:t>BO17707 (ICON7)</w:t>
      </w:r>
    </w:p>
    <w:p w14:paraId="1ECB9DCC" w14:textId="77777777" w:rsidR="000441F1" w:rsidRPr="0015541C" w:rsidRDefault="00C26E13" w:rsidP="00C26E13">
      <w:pPr>
        <w:rPr>
          <w:lang w:val="pl-PL"/>
        </w:rPr>
      </w:pPr>
      <w:r w:rsidRPr="0015541C">
        <w:rPr>
          <w:lang w:val="pl-PL"/>
        </w:rPr>
        <w:t xml:space="preserve">W wieloośrodkowym randomizowanym kontrolowanym, otwartym badaniu fazy III BO17707, prowadzonym w dwóch grupach, porównano wpływ dołączenia </w:t>
      </w:r>
      <w:r w:rsidR="007D478E" w:rsidRPr="0015541C">
        <w:rPr>
          <w:lang w:val="pl-PL"/>
        </w:rPr>
        <w:t>bewacyzumab</w:t>
      </w:r>
      <w:r w:rsidRPr="0015541C">
        <w:rPr>
          <w:lang w:val="pl-PL"/>
        </w:rPr>
        <w:t xml:space="preserve">u do schematu zawierającego karboplatynę </w:t>
      </w:r>
      <w:r w:rsidR="000441F1" w:rsidRPr="0015541C">
        <w:rPr>
          <w:lang w:val="pl-PL"/>
        </w:rPr>
        <w:t>i paklitaksel</w:t>
      </w:r>
      <w:r w:rsidR="00761E70" w:rsidRPr="0015541C">
        <w:rPr>
          <w:lang w:val="pl-PL"/>
        </w:rPr>
        <w:t xml:space="preserve"> </w:t>
      </w:r>
      <w:r w:rsidR="00C25447" w:rsidRPr="0015541C">
        <w:rPr>
          <w:lang w:val="pl-PL"/>
        </w:rPr>
        <w:t xml:space="preserve">w leczeniu </w:t>
      </w:r>
      <w:r w:rsidR="00761E70" w:rsidRPr="0015541C">
        <w:rPr>
          <w:lang w:val="pl-PL"/>
        </w:rPr>
        <w:t xml:space="preserve">chorych na raka jajnika, raka jajowodu lub pierwotnego raka </w:t>
      </w:r>
      <w:r w:rsidR="000441F1" w:rsidRPr="0015541C">
        <w:rPr>
          <w:lang w:val="pl-PL"/>
        </w:rPr>
        <w:t xml:space="preserve">otrzewnej w stadium I lub IIA wg klasyfikacji FIGO (wyłącznie stopień 3 lub </w:t>
      </w:r>
      <w:r w:rsidR="000441F1" w:rsidRPr="0015541C">
        <w:rPr>
          <w:rStyle w:val="Emphasis"/>
          <w:i w:val="0"/>
          <w:lang w:val="pl-PL"/>
        </w:rPr>
        <w:t>jasnokomórkowy typ histologiczny</w:t>
      </w:r>
      <w:r w:rsidR="000441F1" w:rsidRPr="0015541C">
        <w:rPr>
          <w:lang w:val="pl-PL"/>
        </w:rPr>
        <w:t>; n = 142), lub stadium IIB–IV wg klasyfikacji FIGO (wszystkie stopnie i typy histologiczne, n = 1386</w:t>
      </w:r>
      <w:r w:rsidR="00977366" w:rsidRPr="0015541C">
        <w:rPr>
          <w:lang w:val="pl-PL"/>
        </w:rPr>
        <w:t xml:space="preserve">); chore były uprzednio </w:t>
      </w:r>
      <w:r w:rsidR="00032B56" w:rsidRPr="0015541C">
        <w:rPr>
          <w:lang w:val="pl-PL"/>
        </w:rPr>
        <w:t>operowane.</w:t>
      </w:r>
      <w:r w:rsidR="00601D12" w:rsidRPr="0015541C">
        <w:rPr>
          <w:lang w:val="pl-PL"/>
        </w:rPr>
        <w:t xml:space="preserve"> W tym ba</w:t>
      </w:r>
      <w:r w:rsidR="00157DDB" w:rsidRPr="0015541C">
        <w:rPr>
          <w:lang w:val="pl-PL"/>
        </w:rPr>
        <w:t>daniu używano klasyfikacji FIGO</w:t>
      </w:r>
      <w:r w:rsidR="00601D12" w:rsidRPr="0015541C">
        <w:rPr>
          <w:lang w:val="pl-PL"/>
        </w:rPr>
        <w:t xml:space="preserve"> </w:t>
      </w:r>
      <w:r w:rsidR="00157DDB" w:rsidRPr="0015541C">
        <w:rPr>
          <w:lang w:val="pl-PL"/>
        </w:rPr>
        <w:t xml:space="preserve">w </w:t>
      </w:r>
      <w:r w:rsidR="00601D12" w:rsidRPr="0015541C">
        <w:rPr>
          <w:lang w:val="pl-PL"/>
        </w:rPr>
        <w:t>wersj</w:t>
      </w:r>
      <w:r w:rsidR="00157DDB" w:rsidRPr="0015541C">
        <w:rPr>
          <w:lang w:val="pl-PL"/>
        </w:rPr>
        <w:t>i</w:t>
      </w:r>
      <w:r w:rsidR="00601D12" w:rsidRPr="0015541C">
        <w:rPr>
          <w:lang w:val="pl-PL"/>
        </w:rPr>
        <w:t xml:space="preserve"> z 1988 r.</w:t>
      </w:r>
    </w:p>
    <w:p w14:paraId="04715A5A" w14:textId="77777777" w:rsidR="00A9049A" w:rsidRPr="0015541C" w:rsidRDefault="00A9049A" w:rsidP="00C26E13">
      <w:pPr>
        <w:rPr>
          <w:lang w:val="pl-PL"/>
        </w:rPr>
      </w:pPr>
    </w:p>
    <w:p w14:paraId="0BA3EDDD" w14:textId="77777777" w:rsidR="006A20ED" w:rsidRPr="0015541C" w:rsidRDefault="006A20ED" w:rsidP="006A20ED">
      <w:pPr>
        <w:rPr>
          <w:rFonts w:eastAsia="PMingLiU"/>
          <w:lang w:val="pl-PL" w:eastAsia="zh-CN"/>
        </w:rPr>
      </w:pPr>
      <w:r w:rsidRPr="0015541C">
        <w:rPr>
          <w:rFonts w:eastAsia="PMingLiU"/>
          <w:lang w:val="pl-PL" w:eastAsia="zh-CN"/>
        </w:rPr>
        <w:t xml:space="preserve">Z badania zostały wyłączone pacjentki leczone uprzednio bewacyzumabem lub otrzymujące leczenie systemowe z powodu raka jajnika (np. chemioterapię, terapię przeciwciałami monoklonalnymi, inhibitorami kinazy tyrozynowej lub terapię hormonalną) oraz pacjentki poddawane naświetlaniom jamy brzusznej lub miednicy. </w:t>
      </w:r>
    </w:p>
    <w:p w14:paraId="2AE8EF7C" w14:textId="77777777" w:rsidR="00C26E13" w:rsidRPr="0015541C" w:rsidRDefault="00C26E13" w:rsidP="000441F1">
      <w:pPr>
        <w:rPr>
          <w:lang w:val="pl-PL"/>
        </w:rPr>
      </w:pPr>
    </w:p>
    <w:p w14:paraId="4538245D" w14:textId="77777777" w:rsidR="000441F1" w:rsidRPr="0015541C" w:rsidRDefault="00761E70" w:rsidP="000441F1">
      <w:pPr>
        <w:rPr>
          <w:lang w:val="pl-PL"/>
        </w:rPr>
      </w:pPr>
      <w:r w:rsidRPr="0015541C">
        <w:rPr>
          <w:rFonts w:eastAsia="PMingLiU"/>
          <w:lang w:val="pl-PL" w:eastAsia="zh-CN"/>
        </w:rPr>
        <w:t xml:space="preserve">Łącznie zrandomizowano </w:t>
      </w:r>
      <w:r w:rsidRPr="0015541C">
        <w:rPr>
          <w:lang w:val="pl-PL"/>
        </w:rPr>
        <w:t>1528</w:t>
      </w:r>
      <w:r w:rsidRPr="0015541C">
        <w:rPr>
          <w:rFonts w:eastAsia="PMingLiU"/>
          <w:lang w:val="pl-PL" w:eastAsia="zh-CN"/>
        </w:rPr>
        <w:t xml:space="preserve"> pacjentek w równych proporcjach do leczenia w następujących </w:t>
      </w:r>
      <w:r w:rsidR="00282D0F" w:rsidRPr="0015541C">
        <w:rPr>
          <w:rFonts w:eastAsia="PMingLiU"/>
          <w:lang w:val="pl-PL" w:eastAsia="zh-CN"/>
        </w:rPr>
        <w:t>grupach</w:t>
      </w:r>
      <w:r w:rsidRPr="0015541C">
        <w:rPr>
          <w:lang w:val="pl-PL"/>
        </w:rPr>
        <w:t>:</w:t>
      </w:r>
    </w:p>
    <w:p w14:paraId="15D7E618" w14:textId="77777777" w:rsidR="00601D12" w:rsidRPr="0015541C" w:rsidRDefault="00601D12" w:rsidP="000441F1">
      <w:pPr>
        <w:rPr>
          <w:lang w:val="pl-PL"/>
        </w:rPr>
      </w:pPr>
    </w:p>
    <w:p w14:paraId="16A2E630" w14:textId="61251FF8" w:rsidR="00B829F7" w:rsidRPr="0015541C" w:rsidRDefault="00702791" w:rsidP="00B7471F">
      <w:pPr>
        <w:ind w:left="900" w:hanging="387"/>
        <w:rPr>
          <w:lang w:val="pl-PL"/>
        </w:rPr>
      </w:pPr>
      <w:r w:rsidRPr="0015541C">
        <w:rPr>
          <w:iCs/>
          <w:lang w:val="pl-PL"/>
        </w:rPr>
        <w:sym w:font="Symbol" w:char="F0B7"/>
      </w:r>
      <w:r w:rsidRPr="0015541C">
        <w:rPr>
          <w:iCs/>
          <w:lang w:val="pl-PL"/>
        </w:rPr>
        <w:tab/>
      </w:r>
      <w:r w:rsidR="00B829F7" w:rsidRPr="0015541C">
        <w:rPr>
          <w:lang w:val="pl-PL"/>
        </w:rPr>
        <w:t>Grupa CP: karboplatyna (AUC 6) i paklitaksel (175 mg/m</w:t>
      </w:r>
      <w:r w:rsidR="00B829F7" w:rsidRPr="0015541C">
        <w:rPr>
          <w:vertAlign w:val="superscript"/>
          <w:lang w:val="pl-PL"/>
        </w:rPr>
        <w:t>2</w:t>
      </w:r>
      <w:r w:rsidR="00B8305E" w:rsidRPr="00AC3958">
        <w:rPr>
          <w:rFonts w:eastAsia="PMingLiU"/>
          <w:lang w:val="pl-PL" w:eastAsia="zh-CN"/>
        </w:rPr>
        <w:t xml:space="preserve"> pc.</w:t>
      </w:r>
      <w:r w:rsidR="00B829F7" w:rsidRPr="00260CEC">
        <w:rPr>
          <w:lang w:val="pl-PL"/>
        </w:rPr>
        <w:t>) przez sześć 3-tygodniowych cykli</w:t>
      </w:r>
      <w:r w:rsidR="00C26E13" w:rsidRPr="0015541C">
        <w:rPr>
          <w:lang w:val="pl-PL"/>
        </w:rPr>
        <w:t>.</w:t>
      </w:r>
    </w:p>
    <w:p w14:paraId="02656D26" w14:textId="684851B8" w:rsidR="00B829F7" w:rsidRPr="0015541C" w:rsidRDefault="00702791" w:rsidP="00B7471F">
      <w:pPr>
        <w:ind w:left="900" w:hanging="360"/>
        <w:rPr>
          <w:lang w:val="pl-PL"/>
        </w:rPr>
      </w:pPr>
      <w:r w:rsidRPr="0015541C">
        <w:rPr>
          <w:iCs/>
          <w:lang w:val="pl-PL"/>
        </w:rPr>
        <w:sym w:font="Symbol" w:char="F0B7"/>
      </w:r>
      <w:r w:rsidRPr="0015541C">
        <w:rPr>
          <w:iCs/>
          <w:lang w:val="pl-PL"/>
        </w:rPr>
        <w:tab/>
      </w:r>
      <w:r w:rsidR="00B829F7" w:rsidRPr="0015541C">
        <w:rPr>
          <w:lang w:val="pl-PL"/>
        </w:rPr>
        <w:t>Grupa CPB7</w:t>
      </w:r>
      <w:r w:rsidR="00282D0F" w:rsidRPr="0015541C">
        <w:rPr>
          <w:lang w:val="pl-PL"/>
        </w:rPr>
        <w:t>,</w:t>
      </w:r>
      <w:r w:rsidR="00B829F7" w:rsidRPr="0015541C">
        <w:rPr>
          <w:lang w:val="pl-PL"/>
        </w:rPr>
        <w:t>5+: karboplatyna (AUC 6) i paklitaksel (175 mg/m</w:t>
      </w:r>
      <w:r w:rsidR="00B829F7" w:rsidRPr="00AC3958">
        <w:rPr>
          <w:vertAlign w:val="superscript"/>
          <w:lang w:val="pl-PL"/>
        </w:rPr>
        <w:t>2</w:t>
      </w:r>
      <w:r w:rsidR="00B8305E" w:rsidRPr="00AC3958">
        <w:rPr>
          <w:rFonts w:eastAsia="PMingLiU"/>
          <w:lang w:val="pl-PL" w:eastAsia="zh-CN"/>
        </w:rPr>
        <w:t xml:space="preserve"> pc</w:t>
      </w:r>
      <w:r w:rsidR="00B8305E" w:rsidRPr="00260CEC">
        <w:rPr>
          <w:rFonts w:eastAsia="PMingLiU"/>
          <w:lang w:val="pl-PL" w:eastAsia="zh-CN"/>
        </w:rPr>
        <w:t>.</w:t>
      </w:r>
      <w:r w:rsidR="00B829F7" w:rsidRPr="0015541C">
        <w:rPr>
          <w:lang w:val="pl-PL"/>
        </w:rPr>
        <w:t xml:space="preserve">) przez sześć </w:t>
      </w:r>
      <w:r w:rsidR="00CC2B0E" w:rsidRPr="0015541C">
        <w:rPr>
          <w:lang w:val="pl-PL"/>
        </w:rPr>
        <w:br/>
      </w:r>
      <w:r w:rsidR="00B829F7" w:rsidRPr="0015541C">
        <w:rPr>
          <w:lang w:val="pl-PL"/>
        </w:rPr>
        <w:t xml:space="preserve">3-tygodniowych cykli oraz </w:t>
      </w:r>
      <w:r w:rsidR="006C2AB2" w:rsidRPr="0015541C">
        <w:rPr>
          <w:lang w:val="pl-PL"/>
        </w:rPr>
        <w:t>bewacyzumab</w:t>
      </w:r>
      <w:r w:rsidR="00B829F7" w:rsidRPr="0015541C">
        <w:rPr>
          <w:lang w:val="pl-PL"/>
        </w:rPr>
        <w:t xml:space="preserve"> (7,5 mg/kg </w:t>
      </w:r>
      <w:r w:rsidR="00CC2B0E" w:rsidRPr="0015541C">
        <w:rPr>
          <w:lang w:val="pl-PL"/>
        </w:rPr>
        <w:t xml:space="preserve">mc. </w:t>
      </w:r>
      <w:r w:rsidR="00282D0F" w:rsidRPr="0015541C">
        <w:rPr>
          <w:lang w:val="pl-PL"/>
        </w:rPr>
        <w:t>raz na trzy tygodnie</w:t>
      </w:r>
      <w:r w:rsidR="00B829F7" w:rsidRPr="0015541C">
        <w:rPr>
          <w:lang w:val="pl-PL"/>
        </w:rPr>
        <w:t xml:space="preserve">) przez maksymalnie 12 miesięcy (podawanie </w:t>
      </w:r>
      <w:r w:rsidR="006C2AB2" w:rsidRPr="0015541C">
        <w:rPr>
          <w:lang w:val="pl-PL"/>
        </w:rPr>
        <w:t>bewacyzumab</w:t>
      </w:r>
      <w:r w:rsidR="00282D0F" w:rsidRPr="0015541C">
        <w:rPr>
          <w:lang w:val="pl-PL"/>
        </w:rPr>
        <w:t>u</w:t>
      </w:r>
      <w:r w:rsidR="00B829F7" w:rsidRPr="0015541C">
        <w:rPr>
          <w:lang w:val="pl-PL"/>
        </w:rPr>
        <w:t xml:space="preserve"> rozpoczęto w 2 cyklu chemioterapii, jeśli leczenie rozpoczęto w okresie 4 tygodni od operacji lub w 1 cyklu, jeśli leczenie rozpoczęto po upływie 4 tygodni od operacji).</w:t>
      </w:r>
    </w:p>
    <w:p w14:paraId="0818F6A4" w14:textId="77777777" w:rsidR="005E406D" w:rsidRPr="0015541C" w:rsidRDefault="005E406D" w:rsidP="00B7471F">
      <w:pPr>
        <w:ind w:left="900" w:hanging="360"/>
        <w:rPr>
          <w:lang w:val="pl-PL"/>
        </w:rPr>
      </w:pPr>
    </w:p>
    <w:p w14:paraId="40BAAF06" w14:textId="378BC526" w:rsidR="006A20ED" w:rsidRPr="0015541C" w:rsidRDefault="006A20ED" w:rsidP="00B7471F">
      <w:pPr>
        <w:rPr>
          <w:rFonts w:eastAsia="PMingLiU"/>
          <w:lang w:val="pl-PL" w:eastAsia="zh-CN"/>
        </w:rPr>
      </w:pPr>
      <w:r w:rsidRPr="0015541C">
        <w:rPr>
          <w:rFonts w:eastAsia="PMingLiU"/>
          <w:lang w:val="pl-PL" w:eastAsia="zh-CN"/>
        </w:rPr>
        <w:t xml:space="preserve">Większość </w:t>
      </w:r>
      <w:r w:rsidR="003309B9" w:rsidRPr="0015541C">
        <w:rPr>
          <w:rFonts w:eastAsia="PMingLiU"/>
          <w:lang w:val="pl-PL" w:eastAsia="zh-CN"/>
        </w:rPr>
        <w:t>chorych</w:t>
      </w:r>
      <w:r w:rsidRPr="0015541C">
        <w:rPr>
          <w:rFonts w:eastAsia="PMingLiU"/>
          <w:lang w:val="pl-PL" w:eastAsia="zh-CN"/>
        </w:rPr>
        <w:t xml:space="preserve"> włączonych do badania </w:t>
      </w:r>
      <w:r w:rsidR="003309B9" w:rsidRPr="0015541C">
        <w:rPr>
          <w:rFonts w:eastAsia="PMingLiU"/>
          <w:lang w:val="pl-PL" w:eastAsia="zh-CN"/>
        </w:rPr>
        <w:t>należała do rasy białej</w:t>
      </w:r>
      <w:r w:rsidRPr="0015541C">
        <w:rPr>
          <w:rFonts w:eastAsia="PMingLiU"/>
          <w:lang w:val="pl-PL" w:eastAsia="zh-CN"/>
        </w:rPr>
        <w:t xml:space="preserve"> (96%), mediana wieku wynosiła 57 lat w obu </w:t>
      </w:r>
      <w:r w:rsidR="00D776D9" w:rsidRPr="0015541C">
        <w:rPr>
          <w:rFonts w:eastAsia="PMingLiU"/>
          <w:lang w:val="pl-PL" w:eastAsia="zh-CN"/>
        </w:rPr>
        <w:t xml:space="preserve">grupach </w:t>
      </w:r>
      <w:r w:rsidRPr="0015541C">
        <w:rPr>
          <w:rFonts w:eastAsia="PMingLiU"/>
          <w:lang w:val="pl-PL" w:eastAsia="zh-CN"/>
        </w:rPr>
        <w:t>badanych</w:t>
      </w:r>
      <w:r w:rsidR="00D776D9" w:rsidRPr="0015541C">
        <w:rPr>
          <w:rFonts w:eastAsia="PMingLiU"/>
          <w:lang w:val="pl-PL" w:eastAsia="zh-CN"/>
        </w:rPr>
        <w:t xml:space="preserve">, 25% chorych </w:t>
      </w:r>
      <w:r w:rsidRPr="0015541C">
        <w:rPr>
          <w:rFonts w:eastAsia="PMingLiU"/>
          <w:lang w:val="pl-PL" w:eastAsia="zh-CN"/>
        </w:rPr>
        <w:t xml:space="preserve">w </w:t>
      </w:r>
      <w:r w:rsidR="00D776D9" w:rsidRPr="0015541C">
        <w:rPr>
          <w:rFonts w:eastAsia="PMingLiU"/>
          <w:lang w:val="pl-PL" w:eastAsia="zh-CN"/>
        </w:rPr>
        <w:t xml:space="preserve">każdej z </w:t>
      </w:r>
      <w:r w:rsidRPr="0015541C">
        <w:rPr>
          <w:rFonts w:eastAsia="PMingLiU"/>
          <w:lang w:val="pl-PL" w:eastAsia="zh-CN"/>
        </w:rPr>
        <w:t>grup było w wieku powyżej 65 lat.</w:t>
      </w:r>
      <w:r w:rsidR="00D776D9" w:rsidRPr="0015541C">
        <w:rPr>
          <w:rFonts w:eastAsia="PMingLiU"/>
          <w:lang w:val="pl-PL" w:eastAsia="zh-CN"/>
        </w:rPr>
        <w:t xml:space="preserve"> U</w:t>
      </w:r>
      <w:r w:rsidRPr="0015541C">
        <w:rPr>
          <w:rFonts w:eastAsia="PMingLiU"/>
          <w:lang w:val="pl-PL" w:eastAsia="zh-CN"/>
        </w:rPr>
        <w:t xml:space="preserve"> około 50% pacjentów sprawność według klasyfikacji </w:t>
      </w:r>
      <w:r w:rsidR="00D776D9" w:rsidRPr="0015541C">
        <w:rPr>
          <w:rFonts w:eastAsia="PMingLiU"/>
          <w:lang w:val="pl-PL" w:eastAsia="zh-CN"/>
        </w:rPr>
        <w:t>EC</w:t>
      </w:r>
      <w:r w:rsidRPr="0015541C">
        <w:rPr>
          <w:rFonts w:eastAsia="PMingLiU"/>
          <w:lang w:val="pl-PL" w:eastAsia="zh-CN"/>
        </w:rPr>
        <w:t xml:space="preserve">OG wynosiła </w:t>
      </w:r>
      <w:r w:rsidR="00D776D9" w:rsidRPr="0015541C">
        <w:rPr>
          <w:rFonts w:eastAsia="PMingLiU"/>
          <w:lang w:val="pl-PL" w:eastAsia="zh-CN"/>
        </w:rPr>
        <w:t>1</w:t>
      </w:r>
      <w:r w:rsidRPr="0015541C">
        <w:rPr>
          <w:rFonts w:eastAsia="PMingLiU"/>
          <w:lang w:val="pl-PL" w:eastAsia="zh-CN"/>
        </w:rPr>
        <w:t xml:space="preserve">, u </w:t>
      </w:r>
      <w:r w:rsidR="00D776D9" w:rsidRPr="0015541C">
        <w:rPr>
          <w:rFonts w:eastAsia="PMingLiU"/>
          <w:lang w:val="pl-PL" w:eastAsia="zh-CN"/>
        </w:rPr>
        <w:t>7</w:t>
      </w:r>
      <w:r w:rsidRPr="0015541C">
        <w:rPr>
          <w:rFonts w:eastAsia="PMingLiU"/>
          <w:lang w:val="pl-PL" w:eastAsia="zh-CN"/>
        </w:rPr>
        <w:t>% chorych</w:t>
      </w:r>
      <w:r w:rsidR="00D776D9" w:rsidRPr="0015541C">
        <w:rPr>
          <w:rFonts w:eastAsia="PMingLiU"/>
          <w:lang w:val="pl-PL" w:eastAsia="zh-CN"/>
        </w:rPr>
        <w:t xml:space="preserve"> w obu grupach</w:t>
      </w:r>
      <w:r w:rsidRPr="0015541C">
        <w:rPr>
          <w:rFonts w:eastAsia="PMingLiU"/>
          <w:lang w:val="pl-PL" w:eastAsia="zh-CN"/>
        </w:rPr>
        <w:t xml:space="preserve"> stopień sprawności wynosił 2. U większości </w:t>
      </w:r>
      <w:r w:rsidR="003309B9" w:rsidRPr="0015541C">
        <w:rPr>
          <w:rFonts w:eastAsia="PMingLiU"/>
          <w:lang w:val="pl-PL" w:eastAsia="zh-CN"/>
        </w:rPr>
        <w:t>chorych</w:t>
      </w:r>
      <w:r w:rsidRPr="0015541C">
        <w:rPr>
          <w:rFonts w:eastAsia="PMingLiU"/>
          <w:lang w:val="pl-PL" w:eastAsia="zh-CN"/>
        </w:rPr>
        <w:t xml:space="preserve"> rozpoznano raka jajnika (</w:t>
      </w:r>
      <w:r w:rsidR="00D776D9" w:rsidRPr="0015541C">
        <w:rPr>
          <w:rFonts w:eastAsia="PMingLiU"/>
          <w:lang w:val="pl-PL" w:eastAsia="zh-CN"/>
        </w:rPr>
        <w:t>87,7%</w:t>
      </w:r>
      <w:r w:rsidRPr="0015541C">
        <w:rPr>
          <w:rFonts w:eastAsia="PMingLiU"/>
          <w:lang w:val="pl-PL" w:eastAsia="zh-CN"/>
        </w:rPr>
        <w:t xml:space="preserve">), pierwotnego </w:t>
      </w:r>
      <w:r w:rsidRPr="0015541C">
        <w:rPr>
          <w:rFonts w:eastAsia="PMingLiU"/>
          <w:lang w:val="pl-PL" w:eastAsia="zh-CN"/>
        </w:rPr>
        <w:lastRenderedPageBreak/>
        <w:t xml:space="preserve">raka otrzewnej rozpoznano u </w:t>
      </w:r>
      <w:r w:rsidR="00D776D9" w:rsidRPr="0015541C">
        <w:rPr>
          <w:rFonts w:eastAsia="PMingLiU"/>
          <w:lang w:val="pl-PL" w:eastAsia="zh-CN"/>
        </w:rPr>
        <w:t>6,9</w:t>
      </w:r>
      <w:r w:rsidRPr="0015541C">
        <w:rPr>
          <w:rFonts w:eastAsia="PMingLiU"/>
          <w:lang w:val="pl-PL" w:eastAsia="zh-CN"/>
        </w:rPr>
        <w:t xml:space="preserve">% chorych, raka jajowodu rozpoznano u </w:t>
      </w:r>
      <w:r w:rsidR="00D776D9" w:rsidRPr="0015541C">
        <w:rPr>
          <w:rFonts w:eastAsia="PMingLiU"/>
          <w:lang w:val="pl-PL" w:eastAsia="zh-CN"/>
        </w:rPr>
        <w:t xml:space="preserve">3,7% chorych, guza o mieszanym pochodzeniu – </w:t>
      </w:r>
      <w:r w:rsidR="003638C5" w:rsidRPr="0015541C">
        <w:rPr>
          <w:rFonts w:eastAsia="PMingLiU"/>
          <w:lang w:val="pl-PL" w:eastAsia="zh-CN"/>
        </w:rPr>
        <w:t xml:space="preserve">u </w:t>
      </w:r>
      <w:r w:rsidR="00D776D9" w:rsidRPr="0015541C">
        <w:rPr>
          <w:rFonts w:eastAsia="PMingLiU"/>
          <w:lang w:val="pl-PL" w:eastAsia="zh-CN"/>
        </w:rPr>
        <w:t xml:space="preserve">1,7%. U większości pacjentów stwierdzono III stopień zaawansowania choroby według klasyfikacji FIGO (w </w:t>
      </w:r>
      <w:r w:rsidR="003C6BC3" w:rsidRPr="0015541C">
        <w:rPr>
          <w:rFonts w:eastAsia="PMingLiU"/>
          <w:lang w:val="pl-PL" w:eastAsia="zh-CN"/>
        </w:rPr>
        <w:t xml:space="preserve">obu </w:t>
      </w:r>
      <w:r w:rsidR="003309B9" w:rsidRPr="0015541C">
        <w:rPr>
          <w:rFonts w:eastAsia="PMingLiU"/>
          <w:lang w:val="pl-PL" w:eastAsia="zh-CN"/>
        </w:rPr>
        <w:t>ramionach 68%), następną grupą</w:t>
      </w:r>
      <w:r w:rsidR="00D776D9" w:rsidRPr="0015541C">
        <w:rPr>
          <w:rFonts w:eastAsia="PMingLiU"/>
          <w:lang w:val="pl-PL" w:eastAsia="zh-CN"/>
        </w:rPr>
        <w:t xml:space="preserve"> pod względem licz</w:t>
      </w:r>
      <w:r w:rsidR="003309B9" w:rsidRPr="0015541C">
        <w:rPr>
          <w:rFonts w:eastAsia="PMingLiU"/>
          <w:lang w:val="pl-PL" w:eastAsia="zh-CN"/>
        </w:rPr>
        <w:t>ebności</w:t>
      </w:r>
      <w:r w:rsidR="00D776D9" w:rsidRPr="0015541C">
        <w:rPr>
          <w:rFonts w:eastAsia="PMingLiU"/>
          <w:lang w:val="pl-PL" w:eastAsia="zh-CN"/>
        </w:rPr>
        <w:t xml:space="preserve"> były chore ze stopniem zaawansowania choroby IV (13% i 14%), z zaawansowaniem </w:t>
      </w:r>
      <w:r w:rsidR="003309B9" w:rsidRPr="0015541C">
        <w:rPr>
          <w:rFonts w:eastAsia="PMingLiU"/>
          <w:lang w:val="pl-PL" w:eastAsia="zh-CN"/>
        </w:rPr>
        <w:t xml:space="preserve">choroby </w:t>
      </w:r>
      <w:r w:rsidR="00D776D9" w:rsidRPr="0015541C">
        <w:rPr>
          <w:rFonts w:eastAsia="PMingLiU"/>
          <w:lang w:val="pl-PL" w:eastAsia="zh-CN"/>
        </w:rPr>
        <w:t>w stopniu II (10% i 11%) i w stopniu I (9% i 7%). U większości chorych w obu ramionach badania</w:t>
      </w:r>
      <w:r w:rsidR="00AF40AA" w:rsidRPr="0015541C">
        <w:rPr>
          <w:rFonts w:eastAsia="PMingLiU"/>
          <w:lang w:val="pl-PL" w:eastAsia="zh-CN"/>
        </w:rPr>
        <w:t xml:space="preserve"> (74% i 71%)</w:t>
      </w:r>
      <w:r w:rsidR="00D776D9" w:rsidRPr="0015541C">
        <w:rPr>
          <w:rFonts w:eastAsia="PMingLiU"/>
          <w:lang w:val="pl-PL" w:eastAsia="zh-CN"/>
        </w:rPr>
        <w:t xml:space="preserve"> stwierdzano</w:t>
      </w:r>
      <w:r w:rsidR="00E80E8D" w:rsidRPr="0015541C">
        <w:rPr>
          <w:rFonts w:eastAsia="PMingLiU"/>
          <w:lang w:val="pl-PL" w:eastAsia="zh-CN"/>
        </w:rPr>
        <w:t xml:space="preserve"> wyjściowo niskie zróżnicowanie guza pierwotnego (stopień </w:t>
      </w:r>
      <w:r w:rsidR="003309B9" w:rsidRPr="0015541C">
        <w:rPr>
          <w:rFonts w:eastAsia="PMingLiU"/>
          <w:lang w:val="pl-PL" w:eastAsia="zh-CN"/>
        </w:rPr>
        <w:t xml:space="preserve">złośliwości </w:t>
      </w:r>
      <w:r w:rsidR="00E80E8D" w:rsidRPr="0015541C">
        <w:rPr>
          <w:rFonts w:eastAsia="PMingLiU"/>
          <w:lang w:val="pl-PL" w:eastAsia="zh-CN"/>
        </w:rPr>
        <w:t>G</w:t>
      </w:r>
      <w:r w:rsidR="003309B9" w:rsidRPr="0015541C">
        <w:rPr>
          <w:rFonts w:eastAsia="PMingLiU"/>
          <w:lang w:val="pl-PL" w:eastAsia="zh-CN"/>
        </w:rPr>
        <w:t>3). Występowanie</w:t>
      </w:r>
      <w:r w:rsidR="00E80E8D" w:rsidRPr="0015541C">
        <w:rPr>
          <w:rFonts w:eastAsia="PMingLiU"/>
          <w:lang w:val="pl-PL" w:eastAsia="zh-CN"/>
        </w:rPr>
        <w:t xml:space="preserve"> poszczególnych typów histologicznych guza było podobne w obu grupach badania; typem histologicznym stwierdzanym u 69% </w:t>
      </w:r>
      <w:r w:rsidR="003309B9" w:rsidRPr="0015541C">
        <w:rPr>
          <w:rFonts w:eastAsia="PMingLiU"/>
          <w:lang w:val="pl-PL" w:eastAsia="zh-CN"/>
        </w:rPr>
        <w:t>chorych</w:t>
      </w:r>
      <w:r w:rsidR="00E80E8D" w:rsidRPr="0015541C">
        <w:rPr>
          <w:rFonts w:eastAsia="PMingLiU"/>
          <w:lang w:val="pl-PL" w:eastAsia="zh-CN"/>
        </w:rPr>
        <w:t xml:space="preserve"> w obu grupach był gruczolakorak surowiczy.</w:t>
      </w:r>
    </w:p>
    <w:p w14:paraId="54D9418D" w14:textId="77777777" w:rsidR="006A20ED" w:rsidRPr="0015541C" w:rsidRDefault="006A20ED" w:rsidP="00B7471F">
      <w:pPr>
        <w:rPr>
          <w:szCs w:val="22"/>
          <w:lang w:val="pl-PL"/>
        </w:rPr>
      </w:pPr>
    </w:p>
    <w:p w14:paraId="2DB49A9C" w14:textId="77777777" w:rsidR="005E406D" w:rsidRPr="0015541C" w:rsidRDefault="005E406D" w:rsidP="00B7471F">
      <w:pPr>
        <w:rPr>
          <w:lang w:val="pl-PL"/>
        </w:rPr>
      </w:pPr>
      <w:r w:rsidRPr="0015541C">
        <w:rPr>
          <w:lang w:val="pl-PL"/>
        </w:rPr>
        <w:t>Pierwszorzędowym punktem końcowym był czas wolny od progresji oceniany przez badacza w oparciu o kryteria RECIST.</w:t>
      </w:r>
    </w:p>
    <w:p w14:paraId="049C2B17" w14:textId="77777777" w:rsidR="005E406D" w:rsidRPr="0015541C" w:rsidRDefault="005E406D" w:rsidP="00B7471F">
      <w:pPr>
        <w:rPr>
          <w:lang w:val="pl-PL"/>
        </w:rPr>
      </w:pPr>
    </w:p>
    <w:p w14:paraId="762DD1B7" w14:textId="77777777" w:rsidR="005E406D" w:rsidRPr="0015541C" w:rsidRDefault="005E406D" w:rsidP="00B7471F">
      <w:pPr>
        <w:rPr>
          <w:lang w:val="pl-PL"/>
        </w:rPr>
      </w:pPr>
      <w:r w:rsidRPr="0015541C">
        <w:rPr>
          <w:lang w:val="pl-PL"/>
        </w:rPr>
        <w:t>W badaniu osiągnięto pierwszorzędowy punkt końcowy, tzn. wydłużenie czasu wolnego od progresji</w:t>
      </w:r>
      <w:r w:rsidRPr="0015541C">
        <w:rPr>
          <w:rFonts w:eastAsia="SimSun"/>
          <w:lang w:val="pl-PL" w:eastAsia="zh-CN"/>
        </w:rPr>
        <w:t>.</w:t>
      </w:r>
      <w:r w:rsidRPr="0015541C">
        <w:rPr>
          <w:lang w:val="pl-PL"/>
        </w:rPr>
        <w:t xml:space="preserve"> W porównaniu do grupy otrzymującej wyłącznie chemioterapię (karboplatyna i paklitaksel) w pierwszej linii leczenia, u pacjentek leczonych bewac</w:t>
      </w:r>
      <w:r w:rsidR="00016238" w:rsidRPr="0015541C">
        <w:rPr>
          <w:lang w:val="pl-PL"/>
        </w:rPr>
        <w:t>y</w:t>
      </w:r>
      <w:r w:rsidRPr="0015541C">
        <w:rPr>
          <w:lang w:val="pl-PL"/>
        </w:rPr>
        <w:t xml:space="preserve">zumabem w dawce 7,5 mg/kg </w:t>
      </w:r>
      <w:r w:rsidR="00832B24" w:rsidRPr="0015541C">
        <w:rPr>
          <w:lang w:val="pl-PL"/>
        </w:rPr>
        <w:t xml:space="preserve">mc. </w:t>
      </w:r>
      <w:r w:rsidR="00B61B0F" w:rsidRPr="0015541C">
        <w:rPr>
          <w:lang w:val="pl-PL"/>
        </w:rPr>
        <w:t>raz na trzy tygodnie</w:t>
      </w:r>
      <w:r w:rsidRPr="0015541C">
        <w:rPr>
          <w:lang w:val="pl-PL"/>
        </w:rPr>
        <w:t xml:space="preserve">, początkowo </w:t>
      </w:r>
      <w:r w:rsidR="00E14293" w:rsidRPr="0015541C">
        <w:rPr>
          <w:lang w:val="pl-PL"/>
        </w:rPr>
        <w:t xml:space="preserve">w </w:t>
      </w:r>
      <w:r w:rsidRPr="0015541C">
        <w:rPr>
          <w:lang w:val="pl-PL"/>
        </w:rPr>
        <w:t>skojarzeniu z chemioterapią a następnie kontynuowanym w monoterapii, przez maksymalnie 18 cykli</w:t>
      </w:r>
      <w:r w:rsidR="0086208E" w:rsidRPr="0015541C">
        <w:rPr>
          <w:lang w:val="pl-PL"/>
        </w:rPr>
        <w:t>, obserwowano statystycznie istotne</w:t>
      </w:r>
      <w:r w:rsidRPr="0015541C">
        <w:rPr>
          <w:lang w:val="pl-PL"/>
        </w:rPr>
        <w:t xml:space="preserve"> </w:t>
      </w:r>
      <w:r w:rsidR="0086208E" w:rsidRPr="0015541C">
        <w:rPr>
          <w:lang w:val="pl-PL"/>
        </w:rPr>
        <w:t xml:space="preserve">wydłużenie czasu </w:t>
      </w:r>
      <w:r w:rsidRPr="0015541C">
        <w:rPr>
          <w:lang w:val="pl-PL"/>
        </w:rPr>
        <w:t>wolnego od progresji.</w:t>
      </w:r>
    </w:p>
    <w:p w14:paraId="56D35ACE" w14:textId="77777777" w:rsidR="0086208E" w:rsidRPr="0015541C" w:rsidRDefault="0086208E" w:rsidP="00B7471F">
      <w:pPr>
        <w:rPr>
          <w:rFonts w:eastAsia="PMingLiU"/>
          <w:lang w:val="pl-PL" w:eastAsia="zh-CN"/>
        </w:rPr>
      </w:pPr>
    </w:p>
    <w:p w14:paraId="054F7E76" w14:textId="77777777" w:rsidR="0086208E" w:rsidRPr="0015541C" w:rsidRDefault="0086208E" w:rsidP="00B7471F">
      <w:pPr>
        <w:rPr>
          <w:rFonts w:eastAsia="PMingLiU"/>
          <w:lang w:val="pl-PL" w:eastAsia="zh-CN"/>
        </w:rPr>
      </w:pPr>
      <w:r w:rsidRPr="0015541C">
        <w:rPr>
          <w:rFonts w:eastAsia="PMingLiU"/>
          <w:lang w:val="pl-PL" w:eastAsia="zh-CN"/>
        </w:rPr>
        <w:t xml:space="preserve">Wyniki badania przedstawiono w Tabeli </w:t>
      </w:r>
      <w:r w:rsidR="00A73107" w:rsidRPr="0015541C">
        <w:rPr>
          <w:rFonts w:eastAsia="PMingLiU"/>
          <w:lang w:val="pl-PL" w:eastAsia="zh-CN"/>
        </w:rPr>
        <w:t>18</w:t>
      </w:r>
      <w:r w:rsidRPr="0015541C">
        <w:rPr>
          <w:rFonts w:eastAsia="PMingLiU"/>
          <w:lang w:val="pl-PL" w:eastAsia="zh-CN"/>
        </w:rPr>
        <w:t>.</w:t>
      </w:r>
    </w:p>
    <w:p w14:paraId="55B31E60" w14:textId="77777777" w:rsidR="0086208E" w:rsidRPr="0015541C" w:rsidRDefault="0086208E" w:rsidP="00B7471F">
      <w:pPr>
        <w:rPr>
          <w:b/>
          <w:lang w:val="pl-PL"/>
        </w:rPr>
      </w:pPr>
    </w:p>
    <w:p w14:paraId="53A13AD7" w14:textId="77777777" w:rsidR="0086208E" w:rsidRPr="0015541C" w:rsidRDefault="0086208E" w:rsidP="00B7471F">
      <w:pPr>
        <w:keepNext/>
        <w:keepLines/>
        <w:rPr>
          <w:lang w:val="pl-PL"/>
        </w:rPr>
      </w:pPr>
      <w:r w:rsidRPr="0015541C">
        <w:rPr>
          <w:b/>
          <w:lang w:val="pl-PL"/>
        </w:rPr>
        <w:t xml:space="preserve">Tabela </w:t>
      </w:r>
      <w:r w:rsidR="00A73107" w:rsidRPr="0015541C">
        <w:rPr>
          <w:b/>
          <w:lang w:val="pl-PL"/>
        </w:rPr>
        <w:t>18</w:t>
      </w:r>
      <w:r w:rsidR="008800D7" w:rsidRPr="0015541C">
        <w:rPr>
          <w:b/>
          <w:lang w:val="pl-PL"/>
        </w:rPr>
        <w:t>.</w:t>
      </w:r>
      <w:r w:rsidR="00B61B0F" w:rsidRPr="0015541C">
        <w:rPr>
          <w:b/>
          <w:lang w:val="pl-PL"/>
        </w:rPr>
        <w:tab/>
      </w:r>
      <w:r w:rsidRPr="0015541C">
        <w:rPr>
          <w:b/>
          <w:lang w:val="pl-PL"/>
        </w:rPr>
        <w:t>Wyniki badania BO17707 (ICON7) dotyczące skuteczności</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3020"/>
        <w:gridCol w:w="3020"/>
        <w:gridCol w:w="3020"/>
      </w:tblGrid>
      <w:tr w:rsidR="0086208E" w:rsidRPr="0015541C" w14:paraId="24141A5A" w14:textId="77777777" w:rsidTr="00D16D61">
        <w:tc>
          <w:tcPr>
            <w:tcW w:w="9206" w:type="dxa"/>
            <w:gridSpan w:val="3"/>
            <w:tcBorders>
              <w:top w:val="single" w:sz="6" w:space="0" w:color="000000"/>
              <w:left w:val="single" w:sz="4" w:space="0" w:color="auto"/>
              <w:bottom w:val="single" w:sz="6" w:space="0" w:color="000000"/>
              <w:right w:val="single" w:sz="4" w:space="0" w:color="auto"/>
            </w:tcBorders>
            <w:shd w:val="clear" w:color="auto" w:fill="auto"/>
          </w:tcPr>
          <w:p w14:paraId="6B5B2E82" w14:textId="77777777" w:rsidR="0086208E" w:rsidRPr="0015541C" w:rsidRDefault="00016238" w:rsidP="00B7471F">
            <w:pPr>
              <w:pStyle w:val="TextTi12"/>
              <w:keepNext/>
              <w:keepLines/>
              <w:spacing w:after="0" w:line="240" w:lineRule="auto"/>
              <w:jc w:val="left"/>
              <w:rPr>
                <w:sz w:val="20"/>
                <w:lang w:val="pl-PL"/>
              </w:rPr>
            </w:pPr>
            <w:r w:rsidRPr="0015541C">
              <w:rPr>
                <w:sz w:val="20"/>
                <w:lang w:val="pl-PL"/>
              </w:rPr>
              <w:t>Czas wolny od progresji</w:t>
            </w:r>
          </w:p>
        </w:tc>
      </w:tr>
      <w:tr w:rsidR="0086208E" w:rsidRPr="0015541C" w14:paraId="733D1E20" w14:textId="77777777" w:rsidTr="00D16D61">
        <w:tc>
          <w:tcPr>
            <w:tcW w:w="3068" w:type="dxa"/>
            <w:tcBorders>
              <w:top w:val="single" w:sz="6" w:space="0" w:color="000000"/>
              <w:left w:val="single" w:sz="4" w:space="0" w:color="auto"/>
            </w:tcBorders>
            <w:shd w:val="clear" w:color="auto" w:fill="auto"/>
          </w:tcPr>
          <w:p w14:paraId="3243C28B" w14:textId="77777777" w:rsidR="0086208E" w:rsidRPr="0015541C" w:rsidRDefault="0086208E" w:rsidP="00B7471F">
            <w:pPr>
              <w:pStyle w:val="TableText10"/>
              <w:keepNext/>
              <w:keepLines/>
              <w:jc w:val="center"/>
              <w:rPr>
                <w:lang w:val="pl-PL"/>
              </w:rPr>
            </w:pPr>
          </w:p>
        </w:tc>
        <w:tc>
          <w:tcPr>
            <w:tcW w:w="3069" w:type="dxa"/>
            <w:tcBorders>
              <w:top w:val="single" w:sz="6" w:space="0" w:color="000000"/>
            </w:tcBorders>
            <w:shd w:val="clear" w:color="auto" w:fill="auto"/>
          </w:tcPr>
          <w:p w14:paraId="6C8B0BC9" w14:textId="77777777" w:rsidR="0086208E" w:rsidRPr="0015541C" w:rsidRDefault="0086208E" w:rsidP="00B7471F">
            <w:pPr>
              <w:pStyle w:val="TableText10"/>
              <w:keepNext/>
              <w:keepLines/>
              <w:jc w:val="center"/>
              <w:rPr>
                <w:lang w:val="pl-PL"/>
              </w:rPr>
            </w:pPr>
          </w:p>
        </w:tc>
        <w:tc>
          <w:tcPr>
            <w:tcW w:w="3069" w:type="dxa"/>
            <w:tcBorders>
              <w:top w:val="single" w:sz="6" w:space="0" w:color="000000"/>
              <w:right w:val="single" w:sz="4" w:space="0" w:color="auto"/>
            </w:tcBorders>
            <w:shd w:val="clear" w:color="auto" w:fill="auto"/>
          </w:tcPr>
          <w:p w14:paraId="2D500E30" w14:textId="77777777" w:rsidR="0086208E" w:rsidRPr="0015541C" w:rsidRDefault="0086208E" w:rsidP="00B7471F">
            <w:pPr>
              <w:pStyle w:val="TableText10"/>
              <w:keepNext/>
              <w:keepLines/>
              <w:jc w:val="center"/>
              <w:rPr>
                <w:lang w:val="pl-PL"/>
              </w:rPr>
            </w:pPr>
          </w:p>
        </w:tc>
      </w:tr>
      <w:tr w:rsidR="0086208E" w:rsidRPr="0015541C" w14:paraId="2B9CB52B" w14:textId="77777777" w:rsidTr="00D16D61">
        <w:tc>
          <w:tcPr>
            <w:tcW w:w="3068" w:type="dxa"/>
            <w:tcBorders>
              <w:left w:val="single" w:sz="4" w:space="0" w:color="auto"/>
            </w:tcBorders>
            <w:shd w:val="clear" w:color="auto" w:fill="auto"/>
          </w:tcPr>
          <w:p w14:paraId="0AB9B7E6" w14:textId="77777777" w:rsidR="0086208E" w:rsidRPr="0015541C" w:rsidRDefault="0086208E" w:rsidP="00B7471F">
            <w:pPr>
              <w:pStyle w:val="TextTi12"/>
              <w:keepNext/>
              <w:keepLines/>
              <w:spacing w:after="0" w:line="240" w:lineRule="auto"/>
              <w:jc w:val="left"/>
              <w:rPr>
                <w:sz w:val="20"/>
                <w:lang w:val="pl-PL"/>
              </w:rPr>
            </w:pPr>
          </w:p>
        </w:tc>
        <w:tc>
          <w:tcPr>
            <w:tcW w:w="3069" w:type="dxa"/>
            <w:shd w:val="clear" w:color="auto" w:fill="auto"/>
          </w:tcPr>
          <w:p w14:paraId="11D0B937" w14:textId="77777777" w:rsidR="0086208E" w:rsidRPr="0015541C" w:rsidRDefault="0086208E" w:rsidP="00B7471F">
            <w:pPr>
              <w:pStyle w:val="TableText10"/>
              <w:keepNext/>
              <w:keepLines/>
              <w:jc w:val="center"/>
              <w:rPr>
                <w:lang w:val="pl-PL"/>
              </w:rPr>
            </w:pPr>
            <w:r w:rsidRPr="0015541C">
              <w:rPr>
                <w:lang w:val="pl-PL"/>
              </w:rPr>
              <w:t>CP</w:t>
            </w:r>
            <w:r w:rsidRPr="0015541C">
              <w:rPr>
                <w:lang w:val="pl-PL"/>
              </w:rPr>
              <w:br/>
              <w:t>(n = 764)</w:t>
            </w:r>
          </w:p>
        </w:tc>
        <w:tc>
          <w:tcPr>
            <w:tcW w:w="3069" w:type="dxa"/>
            <w:tcBorders>
              <w:right w:val="single" w:sz="4" w:space="0" w:color="auto"/>
            </w:tcBorders>
            <w:shd w:val="clear" w:color="auto" w:fill="auto"/>
          </w:tcPr>
          <w:p w14:paraId="0F5E3179" w14:textId="77777777" w:rsidR="0086208E" w:rsidRPr="0015541C" w:rsidDel="005123C6" w:rsidRDefault="0086208E" w:rsidP="00B7471F">
            <w:pPr>
              <w:pStyle w:val="TableText10"/>
              <w:keepNext/>
              <w:keepLines/>
              <w:jc w:val="center"/>
              <w:rPr>
                <w:lang w:val="pl-PL"/>
              </w:rPr>
            </w:pPr>
            <w:r w:rsidRPr="00AC3958">
              <w:rPr>
                <w:lang w:val="pl-PL"/>
              </w:rPr>
              <w:t>CPB7</w:t>
            </w:r>
            <w:r w:rsidR="00B61B0F" w:rsidRPr="00AC3958">
              <w:rPr>
                <w:lang w:val="pl-PL"/>
              </w:rPr>
              <w:t>,</w:t>
            </w:r>
            <w:r w:rsidRPr="00260CEC">
              <w:rPr>
                <w:lang w:val="pl-PL"/>
              </w:rPr>
              <w:t>5+</w:t>
            </w:r>
            <w:r w:rsidRPr="00260CEC">
              <w:rPr>
                <w:lang w:val="pl-PL"/>
              </w:rPr>
              <w:br/>
              <w:t>(n =764</w:t>
            </w:r>
            <w:r w:rsidRPr="0015541C">
              <w:rPr>
                <w:rFonts w:eastAsia="SimSun"/>
                <w:iCs/>
                <w:lang w:val="pl-PL" w:eastAsia="zh-CN"/>
              </w:rPr>
              <w:t>)</w:t>
            </w:r>
          </w:p>
        </w:tc>
      </w:tr>
      <w:tr w:rsidR="0086208E" w:rsidRPr="0015541C" w14:paraId="2701E692" w14:textId="77777777" w:rsidTr="00D16D61">
        <w:tc>
          <w:tcPr>
            <w:tcW w:w="3068" w:type="dxa"/>
            <w:tcBorders>
              <w:left w:val="single" w:sz="4" w:space="0" w:color="auto"/>
            </w:tcBorders>
            <w:shd w:val="clear" w:color="auto" w:fill="auto"/>
          </w:tcPr>
          <w:p w14:paraId="35DEEDAA" w14:textId="4175F0C0" w:rsidR="0086208E" w:rsidRPr="00AC3958" w:rsidRDefault="0086208E" w:rsidP="00B7471F">
            <w:pPr>
              <w:pStyle w:val="TableText10"/>
              <w:keepNext/>
              <w:keepLines/>
              <w:rPr>
                <w:vertAlign w:val="superscript"/>
                <w:lang w:val="pl-PL"/>
              </w:rPr>
            </w:pPr>
            <w:r w:rsidRPr="0015541C">
              <w:rPr>
                <w:lang w:val="pl-PL"/>
              </w:rPr>
              <w:t xml:space="preserve">Mediana </w:t>
            </w:r>
            <w:r w:rsidR="00931CDF" w:rsidRPr="0015541C">
              <w:rPr>
                <w:lang w:val="pl-PL"/>
              </w:rPr>
              <w:t>PFS</w:t>
            </w:r>
            <w:r w:rsidRPr="0015541C">
              <w:rPr>
                <w:lang w:val="pl-PL"/>
              </w:rPr>
              <w:t xml:space="preserve"> (miesiące) </w:t>
            </w:r>
            <w:r w:rsidRPr="00AC3958">
              <w:rPr>
                <w:vertAlign w:val="superscript"/>
                <w:lang w:val="pl-PL"/>
              </w:rPr>
              <w:t>2</w:t>
            </w:r>
          </w:p>
        </w:tc>
        <w:tc>
          <w:tcPr>
            <w:tcW w:w="3069" w:type="dxa"/>
            <w:shd w:val="clear" w:color="auto" w:fill="auto"/>
          </w:tcPr>
          <w:p w14:paraId="445071B1" w14:textId="77777777" w:rsidR="0086208E" w:rsidRPr="0015541C" w:rsidRDefault="0086208E" w:rsidP="00B7471F">
            <w:pPr>
              <w:pStyle w:val="TableText10"/>
              <w:keepNext/>
              <w:keepLines/>
              <w:jc w:val="center"/>
              <w:rPr>
                <w:lang w:val="pl-PL"/>
              </w:rPr>
            </w:pPr>
            <w:r w:rsidRPr="00260CEC">
              <w:rPr>
                <w:lang w:val="pl-PL"/>
              </w:rPr>
              <w:t>16</w:t>
            </w:r>
            <w:r w:rsidR="00B61B0F" w:rsidRPr="00260CEC">
              <w:rPr>
                <w:lang w:val="pl-PL"/>
              </w:rPr>
              <w:t>,</w:t>
            </w:r>
            <w:r w:rsidRPr="0015541C">
              <w:rPr>
                <w:lang w:val="pl-PL"/>
              </w:rPr>
              <w:t>9</w:t>
            </w:r>
          </w:p>
        </w:tc>
        <w:tc>
          <w:tcPr>
            <w:tcW w:w="3069" w:type="dxa"/>
            <w:tcBorders>
              <w:right w:val="single" w:sz="4" w:space="0" w:color="auto"/>
            </w:tcBorders>
            <w:shd w:val="clear" w:color="auto" w:fill="auto"/>
          </w:tcPr>
          <w:p w14:paraId="5D267275" w14:textId="77777777" w:rsidR="0086208E" w:rsidRPr="0015541C" w:rsidRDefault="0086208E" w:rsidP="00B7471F">
            <w:pPr>
              <w:pStyle w:val="TableText10"/>
              <w:keepNext/>
              <w:keepLines/>
              <w:jc w:val="center"/>
              <w:rPr>
                <w:lang w:val="pl-PL"/>
              </w:rPr>
            </w:pPr>
            <w:r w:rsidRPr="0015541C">
              <w:rPr>
                <w:lang w:val="pl-PL"/>
              </w:rPr>
              <w:t>19</w:t>
            </w:r>
            <w:r w:rsidR="00B61B0F" w:rsidRPr="0015541C">
              <w:rPr>
                <w:lang w:val="pl-PL"/>
              </w:rPr>
              <w:t>,</w:t>
            </w:r>
            <w:r w:rsidRPr="0015541C">
              <w:rPr>
                <w:lang w:val="pl-PL"/>
              </w:rPr>
              <w:t>3</w:t>
            </w:r>
          </w:p>
        </w:tc>
      </w:tr>
      <w:tr w:rsidR="0086208E" w:rsidRPr="0015541C" w14:paraId="38E9FDB1" w14:textId="77777777" w:rsidTr="00D16D61">
        <w:tc>
          <w:tcPr>
            <w:tcW w:w="3068" w:type="dxa"/>
            <w:tcBorders>
              <w:left w:val="single" w:sz="4" w:space="0" w:color="auto"/>
              <w:bottom w:val="single" w:sz="6" w:space="0" w:color="000000"/>
            </w:tcBorders>
            <w:shd w:val="clear" w:color="auto" w:fill="auto"/>
          </w:tcPr>
          <w:p w14:paraId="0EF73061" w14:textId="77777777" w:rsidR="0086208E" w:rsidRPr="0015541C" w:rsidRDefault="0086208E" w:rsidP="00B7471F">
            <w:pPr>
              <w:pStyle w:val="TableText10"/>
              <w:keepNext/>
              <w:keepLines/>
              <w:rPr>
                <w:lang w:val="pl-PL"/>
              </w:rPr>
            </w:pPr>
            <w:r w:rsidRPr="0015541C">
              <w:rPr>
                <w:lang w:val="pl-PL"/>
              </w:rPr>
              <w:t>Współczynnik ryzyka [95% CI]</w:t>
            </w:r>
            <w:r w:rsidRPr="0015541C">
              <w:rPr>
                <w:vertAlign w:val="superscript"/>
                <w:lang w:val="pl-PL"/>
              </w:rPr>
              <w:t xml:space="preserve"> 2</w:t>
            </w:r>
          </w:p>
        </w:tc>
        <w:tc>
          <w:tcPr>
            <w:tcW w:w="6138" w:type="dxa"/>
            <w:gridSpan w:val="2"/>
            <w:tcBorders>
              <w:bottom w:val="single" w:sz="6" w:space="0" w:color="000000"/>
              <w:right w:val="single" w:sz="4" w:space="0" w:color="auto"/>
            </w:tcBorders>
            <w:shd w:val="clear" w:color="auto" w:fill="auto"/>
          </w:tcPr>
          <w:p w14:paraId="3C07BBB3" w14:textId="77777777" w:rsidR="0086208E" w:rsidRPr="0015541C" w:rsidRDefault="0086208E" w:rsidP="00B7471F">
            <w:pPr>
              <w:pStyle w:val="TableText10"/>
              <w:keepNext/>
              <w:keepLines/>
              <w:jc w:val="center"/>
              <w:rPr>
                <w:lang w:val="pl-PL"/>
              </w:rPr>
            </w:pPr>
            <w:r w:rsidRPr="00AC3958">
              <w:rPr>
                <w:lang w:val="pl-PL"/>
              </w:rPr>
              <w:t>0</w:t>
            </w:r>
            <w:r w:rsidR="002F2193" w:rsidRPr="00AC3958">
              <w:rPr>
                <w:lang w:val="pl-PL"/>
              </w:rPr>
              <w:t>,</w:t>
            </w:r>
            <w:r w:rsidRPr="00260CEC">
              <w:rPr>
                <w:lang w:val="pl-PL"/>
              </w:rPr>
              <w:t>86 [0</w:t>
            </w:r>
            <w:r w:rsidR="002F2193" w:rsidRPr="00260CEC">
              <w:rPr>
                <w:lang w:val="pl-PL"/>
              </w:rPr>
              <w:t>,</w:t>
            </w:r>
            <w:r w:rsidRPr="0015541C">
              <w:rPr>
                <w:lang w:val="pl-PL"/>
              </w:rPr>
              <w:t>75; 0</w:t>
            </w:r>
            <w:r w:rsidR="002F2193" w:rsidRPr="0015541C">
              <w:rPr>
                <w:lang w:val="pl-PL"/>
              </w:rPr>
              <w:t>,</w:t>
            </w:r>
            <w:r w:rsidRPr="0015541C">
              <w:rPr>
                <w:lang w:val="pl-PL"/>
              </w:rPr>
              <w:t>98]</w:t>
            </w:r>
          </w:p>
          <w:p w14:paraId="0FB8A04A" w14:textId="77777777" w:rsidR="0086208E" w:rsidRPr="0015541C" w:rsidRDefault="0086208E" w:rsidP="00B7471F">
            <w:pPr>
              <w:pStyle w:val="TableText10"/>
              <w:keepNext/>
              <w:keepLines/>
              <w:jc w:val="center"/>
              <w:rPr>
                <w:lang w:val="pl-PL"/>
              </w:rPr>
            </w:pPr>
            <w:r w:rsidRPr="0015541C">
              <w:rPr>
                <w:lang w:val="pl-PL"/>
              </w:rPr>
              <w:t>(wartość p = 0</w:t>
            </w:r>
            <w:r w:rsidR="002F2193" w:rsidRPr="0015541C">
              <w:rPr>
                <w:lang w:val="pl-PL"/>
              </w:rPr>
              <w:t>,</w:t>
            </w:r>
            <w:r w:rsidRPr="0015541C">
              <w:rPr>
                <w:lang w:val="pl-PL"/>
              </w:rPr>
              <w:t>0185)</w:t>
            </w:r>
          </w:p>
        </w:tc>
      </w:tr>
      <w:tr w:rsidR="0086208E" w:rsidRPr="0015541C" w14:paraId="011E32E7" w14:textId="77777777" w:rsidTr="00D16D61">
        <w:tc>
          <w:tcPr>
            <w:tcW w:w="9206" w:type="dxa"/>
            <w:gridSpan w:val="3"/>
            <w:tcBorders>
              <w:top w:val="single" w:sz="6" w:space="0" w:color="000000"/>
              <w:left w:val="single" w:sz="4" w:space="0" w:color="auto"/>
              <w:bottom w:val="single" w:sz="6" w:space="0" w:color="000000"/>
              <w:right w:val="single" w:sz="4" w:space="0" w:color="auto"/>
            </w:tcBorders>
            <w:shd w:val="clear" w:color="auto" w:fill="auto"/>
          </w:tcPr>
          <w:p w14:paraId="03B63BBB" w14:textId="77777777" w:rsidR="0086208E" w:rsidRPr="0015541C" w:rsidRDefault="0086208E" w:rsidP="00B7471F">
            <w:pPr>
              <w:pStyle w:val="TableText10"/>
              <w:keepNext/>
              <w:keepLines/>
              <w:rPr>
                <w:lang w:val="pl-PL"/>
              </w:rPr>
            </w:pPr>
            <w:r w:rsidRPr="0015541C">
              <w:rPr>
                <w:bCs/>
                <w:lang w:val="pl-PL"/>
              </w:rPr>
              <w:t>Współczynnik obiektywnych odpowiedzi</w:t>
            </w:r>
            <w:r w:rsidRPr="0015541C">
              <w:rPr>
                <w:vertAlign w:val="superscript"/>
                <w:lang w:val="pl-PL"/>
              </w:rPr>
              <w:t>1</w:t>
            </w:r>
          </w:p>
        </w:tc>
      </w:tr>
      <w:tr w:rsidR="0086208E" w:rsidRPr="0015541C" w14:paraId="6788DF1B" w14:textId="77777777" w:rsidTr="00D16D61">
        <w:tc>
          <w:tcPr>
            <w:tcW w:w="3068" w:type="dxa"/>
            <w:tcBorders>
              <w:top w:val="single" w:sz="6" w:space="0" w:color="000000"/>
              <w:left w:val="single" w:sz="4" w:space="0" w:color="auto"/>
            </w:tcBorders>
            <w:shd w:val="clear" w:color="auto" w:fill="auto"/>
          </w:tcPr>
          <w:p w14:paraId="7E9383B5" w14:textId="77777777" w:rsidR="0086208E" w:rsidRPr="0015541C" w:rsidRDefault="0086208E" w:rsidP="00B7471F">
            <w:pPr>
              <w:pStyle w:val="TableText10"/>
              <w:keepNext/>
              <w:keepLines/>
              <w:rPr>
                <w:lang w:val="pl-PL"/>
              </w:rPr>
            </w:pPr>
          </w:p>
        </w:tc>
        <w:tc>
          <w:tcPr>
            <w:tcW w:w="3069" w:type="dxa"/>
            <w:tcBorders>
              <w:top w:val="single" w:sz="6" w:space="0" w:color="000000"/>
            </w:tcBorders>
            <w:shd w:val="clear" w:color="auto" w:fill="auto"/>
          </w:tcPr>
          <w:p w14:paraId="7C30B502" w14:textId="77777777" w:rsidR="0086208E" w:rsidRPr="0015541C" w:rsidRDefault="0086208E" w:rsidP="00B7471F">
            <w:pPr>
              <w:pStyle w:val="TableText10"/>
              <w:keepNext/>
              <w:keepLines/>
              <w:jc w:val="center"/>
              <w:rPr>
                <w:lang w:val="pl-PL"/>
              </w:rPr>
            </w:pPr>
            <w:r w:rsidRPr="0015541C">
              <w:rPr>
                <w:lang w:val="pl-PL"/>
              </w:rPr>
              <w:t>CP</w:t>
            </w:r>
            <w:r w:rsidRPr="0015541C">
              <w:rPr>
                <w:lang w:val="pl-PL"/>
              </w:rPr>
              <w:br/>
              <w:t>(n = 277)</w:t>
            </w:r>
          </w:p>
        </w:tc>
        <w:tc>
          <w:tcPr>
            <w:tcW w:w="3069" w:type="dxa"/>
            <w:tcBorders>
              <w:top w:val="single" w:sz="6" w:space="0" w:color="000000"/>
              <w:right w:val="single" w:sz="4" w:space="0" w:color="auto"/>
            </w:tcBorders>
            <w:shd w:val="clear" w:color="auto" w:fill="auto"/>
          </w:tcPr>
          <w:p w14:paraId="739CF5A6" w14:textId="77777777" w:rsidR="0086208E" w:rsidRPr="0015541C" w:rsidRDefault="0086208E" w:rsidP="00B7471F">
            <w:pPr>
              <w:pStyle w:val="TableText10"/>
              <w:keepNext/>
              <w:keepLines/>
              <w:jc w:val="center"/>
              <w:rPr>
                <w:lang w:val="pl-PL"/>
              </w:rPr>
            </w:pPr>
            <w:r w:rsidRPr="00AC3958">
              <w:rPr>
                <w:lang w:val="pl-PL"/>
              </w:rPr>
              <w:t>CPB7</w:t>
            </w:r>
            <w:r w:rsidR="00DB2AE0" w:rsidRPr="00AC3958">
              <w:rPr>
                <w:lang w:val="pl-PL"/>
              </w:rPr>
              <w:t>,</w:t>
            </w:r>
            <w:r w:rsidRPr="00260CEC">
              <w:rPr>
                <w:lang w:val="pl-PL"/>
              </w:rPr>
              <w:t>5+</w:t>
            </w:r>
            <w:r w:rsidRPr="00260CEC">
              <w:rPr>
                <w:lang w:val="pl-PL"/>
              </w:rPr>
              <w:br/>
              <w:t>(n = 272)</w:t>
            </w:r>
          </w:p>
        </w:tc>
      </w:tr>
      <w:tr w:rsidR="0086208E" w:rsidRPr="0015541C" w14:paraId="0A411C3B" w14:textId="77777777" w:rsidTr="00D16D61">
        <w:tc>
          <w:tcPr>
            <w:tcW w:w="3068" w:type="dxa"/>
            <w:tcBorders>
              <w:left w:val="single" w:sz="4" w:space="0" w:color="auto"/>
            </w:tcBorders>
            <w:shd w:val="clear" w:color="auto" w:fill="auto"/>
          </w:tcPr>
          <w:p w14:paraId="08E40E1E" w14:textId="77777777" w:rsidR="0086208E" w:rsidRPr="0015541C" w:rsidRDefault="0086208E" w:rsidP="00B7471F">
            <w:pPr>
              <w:pStyle w:val="TableText10"/>
              <w:keepNext/>
              <w:keepLines/>
              <w:rPr>
                <w:lang w:val="pl-PL"/>
              </w:rPr>
            </w:pPr>
            <w:r w:rsidRPr="0015541C">
              <w:rPr>
                <w:lang w:val="pl-PL"/>
              </w:rPr>
              <w:t>Współczynnik odpowiedzi</w:t>
            </w:r>
          </w:p>
        </w:tc>
        <w:tc>
          <w:tcPr>
            <w:tcW w:w="3069" w:type="dxa"/>
            <w:shd w:val="clear" w:color="auto" w:fill="auto"/>
          </w:tcPr>
          <w:p w14:paraId="2FFE3951" w14:textId="77777777" w:rsidR="0086208E" w:rsidRPr="00260CEC" w:rsidRDefault="0086208E" w:rsidP="00B7471F">
            <w:pPr>
              <w:pStyle w:val="TableText10"/>
              <w:keepNext/>
              <w:keepLines/>
              <w:jc w:val="center"/>
              <w:rPr>
                <w:lang w:val="pl-PL"/>
              </w:rPr>
            </w:pPr>
            <w:r w:rsidRPr="0015541C">
              <w:rPr>
                <w:lang w:val="pl-PL"/>
              </w:rPr>
              <w:t>54</w:t>
            </w:r>
            <w:r w:rsidR="002F2193" w:rsidRPr="00AC3958">
              <w:rPr>
                <w:lang w:val="pl-PL"/>
              </w:rPr>
              <w:t>,</w:t>
            </w:r>
            <w:r w:rsidRPr="00AC3958">
              <w:rPr>
                <w:lang w:val="pl-PL"/>
              </w:rPr>
              <w:t>9%</w:t>
            </w:r>
          </w:p>
        </w:tc>
        <w:tc>
          <w:tcPr>
            <w:tcW w:w="3069" w:type="dxa"/>
            <w:tcBorders>
              <w:right w:val="single" w:sz="4" w:space="0" w:color="auto"/>
            </w:tcBorders>
            <w:shd w:val="clear" w:color="auto" w:fill="auto"/>
          </w:tcPr>
          <w:p w14:paraId="46E9968B" w14:textId="77777777" w:rsidR="0086208E" w:rsidRPr="0015541C" w:rsidRDefault="0086208E" w:rsidP="00B7471F">
            <w:pPr>
              <w:pStyle w:val="TableText10"/>
              <w:keepNext/>
              <w:keepLines/>
              <w:jc w:val="center"/>
              <w:rPr>
                <w:lang w:val="pl-PL"/>
              </w:rPr>
            </w:pPr>
            <w:r w:rsidRPr="0015541C">
              <w:rPr>
                <w:lang w:val="pl-PL"/>
              </w:rPr>
              <w:t>64</w:t>
            </w:r>
            <w:r w:rsidR="002F2193" w:rsidRPr="0015541C">
              <w:rPr>
                <w:lang w:val="pl-PL"/>
              </w:rPr>
              <w:t>,</w:t>
            </w:r>
            <w:r w:rsidRPr="0015541C">
              <w:rPr>
                <w:lang w:val="pl-PL"/>
              </w:rPr>
              <w:t>7%</w:t>
            </w:r>
          </w:p>
        </w:tc>
      </w:tr>
      <w:tr w:rsidR="0086208E" w:rsidRPr="0015541C" w14:paraId="41E0EDD6" w14:textId="77777777" w:rsidTr="00D16D61">
        <w:tc>
          <w:tcPr>
            <w:tcW w:w="3068" w:type="dxa"/>
            <w:tcBorders>
              <w:left w:val="single" w:sz="4" w:space="0" w:color="auto"/>
              <w:bottom w:val="single" w:sz="6" w:space="0" w:color="000000"/>
            </w:tcBorders>
            <w:shd w:val="clear" w:color="auto" w:fill="auto"/>
          </w:tcPr>
          <w:p w14:paraId="7EE4ACB7" w14:textId="77777777" w:rsidR="0086208E" w:rsidRPr="0015541C" w:rsidRDefault="0086208E" w:rsidP="00B7471F">
            <w:pPr>
              <w:pStyle w:val="TableText10"/>
              <w:keepNext/>
              <w:keepLines/>
              <w:rPr>
                <w:lang w:val="pl-PL"/>
              </w:rPr>
            </w:pPr>
          </w:p>
        </w:tc>
        <w:tc>
          <w:tcPr>
            <w:tcW w:w="6138" w:type="dxa"/>
            <w:gridSpan w:val="2"/>
            <w:tcBorders>
              <w:bottom w:val="single" w:sz="6" w:space="0" w:color="000000"/>
              <w:right w:val="single" w:sz="4" w:space="0" w:color="auto"/>
            </w:tcBorders>
            <w:shd w:val="clear" w:color="auto" w:fill="auto"/>
          </w:tcPr>
          <w:p w14:paraId="25C2EBE8" w14:textId="77777777" w:rsidR="0086208E" w:rsidRPr="00AC3958" w:rsidRDefault="0086208E" w:rsidP="00B7471F">
            <w:pPr>
              <w:pStyle w:val="TableText10"/>
              <w:keepNext/>
              <w:keepLines/>
              <w:jc w:val="center"/>
              <w:rPr>
                <w:lang w:val="pl-PL"/>
              </w:rPr>
            </w:pPr>
            <w:r w:rsidRPr="0015541C">
              <w:rPr>
                <w:lang w:val="pl-PL"/>
              </w:rPr>
              <w:t>(wartość p = 0</w:t>
            </w:r>
            <w:r w:rsidR="002F2193" w:rsidRPr="0015541C">
              <w:rPr>
                <w:lang w:val="pl-PL"/>
              </w:rPr>
              <w:t>,</w:t>
            </w:r>
            <w:r w:rsidRPr="00AC3958">
              <w:rPr>
                <w:lang w:val="pl-PL"/>
              </w:rPr>
              <w:t>0188)</w:t>
            </w:r>
          </w:p>
        </w:tc>
      </w:tr>
      <w:tr w:rsidR="0086208E" w:rsidRPr="0015541C" w14:paraId="3F5FCB85" w14:textId="77777777" w:rsidTr="00D16D61">
        <w:tc>
          <w:tcPr>
            <w:tcW w:w="9206" w:type="dxa"/>
            <w:gridSpan w:val="3"/>
            <w:tcBorders>
              <w:top w:val="single" w:sz="6" w:space="0" w:color="000000"/>
              <w:left w:val="single" w:sz="4" w:space="0" w:color="auto"/>
              <w:bottom w:val="single" w:sz="6" w:space="0" w:color="000000"/>
              <w:right w:val="single" w:sz="4" w:space="0" w:color="auto"/>
            </w:tcBorders>
            <w:shd w:val="clear" w:color="auto" w:fill="auto"/>
          </w:tcPr>
          <w:p w14:paraId="6D10FA50" w14:textId="77777777" w:rsidR="0086208E" w:rsidRPr="0015541C" w:rsidRDefault="0086208E" w:rsidP="00B7471F">
            <w:pPr>
              <w:pStyle w:val="TableText10"/>
              <w:keepNext/>
              <w:keepLines/>
              <w:rPr>
                <w:lang w:val="pl-PL"/>
              </w:rPr>
            </w:pPr>
            <w:r w:rsidRPr="0015541C">
              <w:rPr>
                <w:bCs/>
                <w:lang w:val="pl-PL"/>
              </w:rPr>
              <w:t>Całkowity czas przeżycia</w:t>
            </w:r>
            <w:r w:rsidRPr="0015541C">
              <w:rPr>
                <w:sz w:val="24"/>
                <w:vertAlign w:val="superscript"/>
                <w:lang w:val="pl-PL"/>
              </w:rPr>
              <w:t>3</w:t>
            </w:r>
          </w:p>
        </w:tc>
      </w:tr>
      <w:tr w:rsidR="0086208E" w:rsidRPr="0015541C" w14:paraId="0C5320F8" w14:textId="77777777" w:rsidTr="00D16D61">
        <w:tc>
          <w:tcPr>
            <w:tcW w:w="3068" w:type="dxa"/>
            <w:tcBorders>
              <w:top w:val="single" w:sz="6" w:space="0" w:color="000000"/>
              <w:left w:val="single" w:sz="4" w:space="0" w:color="auto"/>
            </w:tcBorders>
            <w:shd w:val="clear" w:color="auto" w:fill="auto"/>
          </w:tcPr>
          <w:p w14:paraId="590F7BEA" w14:textId="77777777" w:rsidR="0086208E" w:rsidRPr="0015541C" w:rsidRDefault="0086208E" w:rsidP="00B7471F">
            <w:pPr>
              <w:pStyle w:val="TableText10"/>
              <w:keepNext/>
              <w:keepLines/>
              <w:rPr>
                <w:lang w:val="pl-PL"/>
              </w:rPr>
            </w:pPr>
          </w:p>
        </w:tc>
        <w:tc>
          <w:tcPr>
            <w:tcW w:w="3069" w:type="dxa"/>
            <w:tcBorders>
              <w:top w:val="single" w:sz="6" w:space="0" w:color="000000"/>
            </w:tcBorders>
            <w:shd w:val="clear" w:color="auto" w:fill="auto"/>
          </w:tcPr>
          <w:p w14:paraId="4211AE9A" w14:textId="77777777" w:rsidR="0086208E" w:rsidRPr="0015541C" w:rsidRDefault="0086208E" w:rsidP="00B7471F">
            <w:pPr>
              <w:pStyle w:val="TableText10"/>
              <w:keepNext/>
              <w:keepLines/>
              <w:jc w:val="center"/>
              <w:rPr>
                <w:lang w:val="pl-PL"/>
              </w:rPr>
            </w:pPr>
            <w:r w:rsidRPr="0015541C">
              <w:rPr>
                <w:lang w:val="pl-PL"/>
              </w:rPr>
              <w:t>CP</w:t>
            </w:r>
            <w:r w:rsidRPr="0015541C">
              <w:rPr>
                <w:lang w:val="pl-PL"/>
              </w:rPr>
              <w:br/>
              <w:t>(n = 764)</w:t>
            </w:r>
          </w:p>
        </w:tc>
        <w:tc>
          <w:tcPr>
            <w:tcW w:w="3069" w:type="dxa"/>
            <w:tcBorders>
              <w:top w:val="single" w:sz="6" w:space="0" w:color="000000"/>
              <w:right w:val="single" w:sz="4" w:space="0" w:color="auto"/>
            </w:tcBorders>
            <w:shd w:val="clear" w:color="auto" w:fill="auto"/>
          </w:tcPr>
          <w:p w14:paraId="3B6427AE" w14:textId="77777777" w:rsidR="0086208E" w:rsidRPr="0015541C" w:rsidRDefault="0086208E" w:rsidP="00B7471F">
            <w:pPr>
              <w:pStyle w:val="TableText10"/>
              <w:keepNext/>
              <w:keepLines/>
              <w:jc w:val="center"/>
              <w:rPr>
                <w:lang w:val="pl-PL"/>
              </w:rPr>
            </w:pPr>
            <w:r w:rsidRPr="00AC3958">
              <w:rPr>
                <w:lang w:val="pl-PL"/>
              </w:rPr>
              <w:t>CPB7</w:t>
            </w:r>
            <w:r w:rsidR="002F2193" w:rsidRPr="00AC3958">
              <w:rPr>
                <w:lang w:val="pl-PL"/>
              </w:rPr>
              <w:t>,</w:t>
            </w:r>
            <w:r w:rsidRPr="00260CEC">
              <w:rPr>
                <w:lang w:val="pl-PL"/>
              </w:rPr>
              <w:t>5+</w:t>
            </w:r>
            <w:r w:rsidRPr="00260CEC">
              <w:rPr>
                <w:lang w:val="pl-PL"/>
              </w:rPr>
              <w:br/>
              <w:t>(n = 764</w:t>
            </w:r>
            <w:r w:rsidRPr="0015541C">
              <w:rPr>
                <w:rFonts w:eastAsia="SimSun"/>
                <w:iCs/>
                <w:lang w:val="pl-PL" w:eastAsia="zh-CN"/>
              </w:rPr>
              <w:t>)</w:t>
            </w:r>
          </w:p>
        </w:tc>
      </w:tr>
      <w:tr w:rsidR="0086208E" w:rsidRPr="0015541C" w14:paraId="73BC4938" w14:textId="77777777" w:rsidTr="00D16D61">
        <w:tc>
          <w:tcPr>
            <w:tcW w:w="3068" w:type="dxa"/>
            <w:tcBorders>
              <w:left w:val="single" w:sz="4" w:space="0" w:color="auto"/>
            </w:tcBorders>
            <w:shd w:val="clear" w:color="auto" w:fill="auto"/>
          </w:tcPr>
          <w:p w14:paraId="6C248D01" w14:textId="77777777" w:rsidR="0086208E" w:rsidRPr="0015541C" w:rsidRDefault="0086208E" w:rsidP="00B7471F">
            <w:pPr>
              <w:pStyle w:val="TableText10"/>
              <w:keepNext/>
              <w:keepLines/>
              <w:rPr>
                <w:lang w:val="pl-PL"/>
              </w:rPr>
            </w:pPr>
            <w:r w:rsidRPr="0015541C">
              <w:rPr>
                <w:lang w:val="pl-PL"/>
              </w:rPr>
              <w:t>Mediana (miesiące)</w:t>
            </w:r>
          </w:p>
        </w:tc>
        <w:tc>
          <w:tcPr>
            <w:tcW w:w="3069" w:type="dxa"/>
            <w:shd w:val="clear" w:color="auto" w:fill="auto"/>
          </w:tcPr>
          <w:p w14:paraId="51424112" w14:textId="77777777" w:rsidR="0086208E" w:rsidRPr="00AC3958" w:rsidRDefault="00332F37" w:rsidP="00B7471F">
            <w:pPr>
              <w:pStyle w:val="TableText10"/>
              <w:keepNext/>
              <w:keepLines/>
              <w:jc w:val="center"/>
              <w:rPr>
                <w:lang w:val="pl-PL"/>
              </w:rPr>
            </w:pPr>
            <w:r w:rsidRPr="0015541C">
              <w:rPr>
                <w:lang w:val="pl-PL"/>
              </w:rPr>
              <w:t>58,0</w:t>
            </w:r>
          </w:p>
        </w:tc>
        <w:tc>
          <w:tcPr>
            <w:tcW w:w="3069" w:type="dxa"/>
            <w:tcBorders>
              <w:right w:val="single" w:sz="4" w:space="0" w:color="auto"/>
            </w:tcBorders>
            <w:shd w:val="clear" w:color="auto" w:fill="auto"/>
          </w:tcPr>
          <w:p w14:paraId="75C723FB" w14:textId="77777777" w:rsidR="0086208E" w:rsidRPr="00260CEC" w:rsidRDefault="00332F37" w:rsidP="00B7471F">
            <w:pPr>
              <w:pStyle w:val="TableText10"/>
              <w:keepNext/>
              <w:keepLines/>
              <w:jc w:val="center"/>
              <w:rPr>
                <w:lang w:val="pl-PL"/>
              </w:rPr>
            </w:pPr>
            <w:r w:rsidRPr="00260CEC">
              <w:rPr>
                <w:lang w:val="pl-PL"/>
              </w:rPr>
              <w:t>57,4</w:t>
            </w:r>
          </w:p>
        </w:tc>
      </w:tr>
      <w:tr w:rsidR="0086208E" w:rsidRPr="0015541C" w14:paraId="022AB8FE" w14:textId="77777777" w:rsidTr="00D16D61">
        <w:tc>
          <w:tcPr>
            <w:tcW w:w="3068" w:type="dxa"/>
            <w:tcBorders>
              <w:left w:val="single" w:sz="4" w:space="0" w:color="auto"/>
              <w:bottom w:val="single" w:sz="6" w:space="0" w:color="000000"/>
            </w:tcBorders>
            <w:shd w:val="clear" w:color="auto" w:fill="auto"/>
          </w:tcPr>
          <w:p w14:paraId="1951DF0F" w14:textId="77777777" w:rsidR="0086208E" w:rsidRPr="0015541C" w:rsidRDefault="0086208E" w:rsidP="00B7471F">
            <w:pPr>
              <w:pStyle w:val="TableText10"/>
              <w:keepNext/>
              <w:keepLines/>
              <w:rPr>
                <w:lang w:val="pl-PL"/>
              </w:rPr>
            </w:pPr>
            <w:r w:rsidRPr="0015541C">
              <w:rPr>
                <w:lang w:val="pl-PL"/>
              </w:rPr>
              <w:t>Współczynnik ryzyka [95% CI]</w:t>
            </w:r>
          </w:p>
        </w:tc>
        <w:tc>
          <w:tcPr>
            <w:tcW w:w="6138" w:type="dxa"/>
            <w:gridSpan w:val="2"/>
            <w:tcBorders>
              <w:bottom w:val="single" w:sz="6" w:space="0" w:color="000000"/>
              <w:right w:val="single" w:sz="4" w:space="0" w:color="auto"/>
            </w:tcBorders>
            <w:shd w:val="clear" w:color="auto" w:fill="auto"/>
          </w:tcPr>
          <w:p w14:paraId="74E703B5" w14:textId="77777777" w:rsidR="0086208E" w:rsidRPr="0015541C" w:rsidRDefault="0086208E" w:rsidP="00B7471F">
            <w:pPr>
              <w:pStyle w:val="TableText10"/>
              <w:keepNext/>
              <w:keepLines/>
              <w:jc w:val="center"/>
              <w:rPr>
                <w:lang w:val="pl-PL"/>
              </w:rPr>
            </w:pPr>
            <w:r w:rsidRPr="0015541C">
              <w:rPr>
                <w:lang w:val="pl-PL"/>
              </w:rPr>
              <w:t>0</w:t>
            </w:r>
            <w:r w:rsidR="002F2193" w:rsidRPr="00AC3958">
              <w:rPr>
                <w:lang w:val="pl-PL"/>
              </w:rPr>
              <w:t>,</w:t>
            </w:r>
            <w:r w:rsidR="00332F37" w:rsidRPr="00AC3958">
              <w:rPr>
                <w:lang w:val="pl-PL"/>
              </w:rPr>
              <w:t>99</w:t>
            </w:r>
            <w:r w:rsidRPr="00260CEC">
              <w:rPr>
                <w:lang w:val="pl-PL"/>
              </w:rPr>
              <w:t xml:space="preserve"> [0</w:t>
            </w:r>
            <w:r w:rsidR="002F2193" w:rsidRPr="00260CEC">
              <w:rPr>
                <w:lang w:val="pl-PL"/>
              </w:rPr>
              <w:t>,</w:t>
            </w:r>
            <w:r w:rsidR="00332F37" w:rsidRPr="0015541C">
              <w:rPr>
                <w:lang w:val="pl-PL"/>
              </w:rPr>
              <w:t>85</w:t>
            </w:r>
            <w:r w:rsidRPr="0015541C">
              <w:rPr>
                <w:lang w:val="pl-PL"/>
              </w:rPr>
              <w:t>; 1</w:t>
            </w:r>
            <w:r w:rsidR="002F2193" w:rsidRPr="0015541C">
              <w:rPr>
                <w:lang w:val="pl-PL"/>
              </w:rPr>
              <w:t>,</w:t>
            </w:r>
            <w:r w:rsidR="00332F37" w:rsidRPr="0015541C">
              <w:rPr>
                <w:lang w:val="pl-PL"/>
              </w:rPr>
              <w:t>15</w:t>
            </w:r>
            <w:r w:rsidRPr="0015541C">
              <w:rPr>
                <w:lang w:val="pl-PL"/>
              </w:rPr>
              <w:t>]</w:t>
            </w:r>
          </w:p>
          <w:p w14:paraId="5D863EF9" w14:textId="77777777" w:rsidR="0086208E" w:rsidRPr="0015541C" w:rsidRDefault="0086208E" w:rsidP="00B7471F">
            <w:pPr>
              <w:pStyle w:val="TableText10"/>
              <w:keepNext/>
              <w:keepLines/>
              <w:jc w:val="center"/>
              <w:rPr>
                <w:lang w:val="pl-PL"/>
              </w:rPr>
            </w:pPr>
            <w:r w:rsidRPr="0015541C">
              <w:rPr>
                <w:lang w:val="pl-PL"/>
              </w:rPr>
              <w:t>(wartość p = 0</w:t>
            </w:r>
            <w:r w:rsidR="002F43D2" w:rsidRPr="0015541C">
              <w:rPr>
                <w:lang w:val="pl-PL"/>
              </w:rPr>
              <w:t>,</w:t>
            </w:r>
            <w:r w:rsidR="00332F37" w:rsidRPr="0015541C">
              <w:rPr>
                <w:lang w:val="pl-PL"/>
              </w:rPr>
              <w:t>8910</w:t>
            </w:r>
            <w:r w:rsidRPr="0015541C">
              <w:rPr>
                <w:lang w:val="pl-PL"/>
              </w:rPr>
              <w:t>)</w:t>
            </w:r>
          </w:p>
        </w:tc>
      </w:tr>
    </w:tbl>
    <w:p w14:paraId="3C079648" w14:textId="77777777" w:rsidR="0086208E" w:rsidRPr="00AC3958" w:rsidRDefault="0086208E" w:rsidP="00B7471F">
      <w:pPr>
        <w:keepNext/>
        <w:keepLines/>
        <w:rPr>
          <w:sz w:val="20"/>
          <w:lang w:val="pl-PL"/>
        </w:rPr>
      </w:pPr>
      <w:r w:rsidRPr="0015541C">
        <w:rPr>
          <w:sz w:val="20"/>
          <w:vertAlign w:val="superscript"/>
          <w:lang w:val="pl-PL"/>
        </w:rPr>
        <w:t>1</w:t>
      </w:r>
      <w:r w:rsidRPr="0015541C">
        <w:rPr>
          <w:sz w:val="20"/>
          <w:lang w:val="pl-PL"/>
        </w:rPr>
        <w:t xml:space="preserve"> Pacjentki z chorobą mierzalną w chwili rozpoczęcia badania</w:t>
      </w:r>
      <w:r w:rsidR="00DB2AE0" w:rsidRPr="0015541C">
        <w:rPr>
          <w:sz w:val="20"/>
          <w:lang w:val="pl-PL"/>
        </w:rPr>
        <w:t>.</w:t>
      </w:r>
    </w:p>
    <w:p w14:paraId="0A1D0FDE" w14:textId="77777777" w:rsidR="0086208E" w:rsidRPr="0015541C" w:rsidRDefault="0086208E" w:rsidP="00B7471F">
      <w:pPr>
        <w:keepNext/>
        <w:keepLines/>
        <w:rPr>
          <w:sz w:val="20"/>
          <w:lang w:val="pl-PL"/>
        </w:rPr>
      </w:pPr>
      <w:r w:rsidRPr="00260CEC">
        <w:rPr>
          <w:sz w:val="20"/>
          <w:vertAlign w:val="superscript"/>
          <w:lang w:val="pl-PL"/>
        </w:rPr>
        <w:t>2</w:t>
      </w:r>
      <w:r w:rsidRPr="00260CEC">
        <w:rPr>
          <w:sz w:val="20"/>
          <w:lang w:val="pl-PL"/>
        </w:rPr>
        <w:t xml:space="preserve">Analiza czasu wolnego od progresji oceniana przez badacza z </w:t>
      </w:r>
      <w:r w:rsidR="002F2193" w:rsidRPr="0015541C">
        <w:rPr>
          <w:sz w:val="20"/>
          <w:lang w:val="pl-PL"/>
        </w:rPr>
        <w:t>dat</w:t>
      </w:r>
      <w:r w:rsidR="00016238" w:rsidRPr="0015541C">
        <w:rPr>
          <w:sz w:val="20"/>
          <w:lang w:val="pl-PL"/>
        </w:rPr>
        <w:t>ą</w:t>
      </w:r>
      <w:r w:rsidR="002F2193" w:rsidRPr="0015541C">
        <w:rPr>
          <w:sz w:val="20"/>
          <w:lang w:val="pl-PL"/>
        </w:rPr>
        <w:t xml:space="preserve"> </w:t>
      </w:r>
      <w:r w:rsidRPr="0015541C">
        <w:rPr>
          <w:sz w:val="20"/>
          <w:lang w:val="pl-PL"/>
        </w:rPr>
        <w:t>odcięci</w:t>
      </w:r>
      <w:r w:rsidR="002F2193" w:rsidRPr="0015541C">
        <w:rPr>
          <w:sz w:val="20"/>
          <w:lang w:val="pl-PL"/>
        </w:rPr>
        <w:t>a</w:t>
      </w:r>
      <w:r w:rsidRPr="0015541C">
        <w:rPr>
          <w:sz w:val="20"/>
          <w:lang w:val="pl-PL"/>
        </w:rPr>
        <w:t xml:space="preserve"> danych </w:t>
      </w:r>
      <w:r w:rsidR="006764E5" w:rsidRPr="0015541C">
        <w:rPr>
          <w:sz w:val="20"/>
          <w:lang w:val="pl-PL"/>
        </w:rPr>
        <w:t>3</w:t>
      </w:r>
      <w:r w:rsidRPr="0015541C">
        <w:rPr>
          <w:sz w:val="20"/>
          <w:lang w:val="pl-PL"/>
        </w:rPr>
        <w:t>0 listopada 2010</w:t>
      </w:r>
      <w:r w:rsidR="00DB2AE0" w:rsidRPr="0015541C">
        <w:rPr>
          <w:sz w:val="20"/>
          <w:lang w:val="pl-PL"/>
        </w:rPr>
        <w:t>.</w:t>
      </w:r>
    </w:p>
    <w:p w14:paraId="17F67B9C" w14:textId="64A1D62E" w:rsidR="0086208E" w:rsidRPr="0015541C" w:rsidRDefault="006654CE" w:rsidP="00B7471F">
      <w:pPr>
        <w:keepNext/>
        <w:keepLines/>
        <w:ind w:left="126" w:hanging="126"/>
        <w:rPr>
          <w:sz w:val="20"/>
          <w:lang w:val="pl-PL"/>
        </w:rPr>
      </w:pPr>
      <w:r w:rsidRPr="0015541C">
        <w:rPr>
          <w:sz w:val="20"/>
          <w:vertAlign w:val="superscript"/>
          <w:lang w:val="pl-PL"/>
        </w:rPr>
        <w:t>3</w:t>
      </w:r>
      <w:r w:rsidR="0086208E" w:rsidRPr="0015541C">
        <w:rPr>
          <w:sz w:val="20"/>
          <w:vertAlign w:val="superscript"/>
          <w:lang w:val="pl-PL"/>
        </w:rPr>
        <w:t xml:space="preserve"> </w:t>
      </w:r>
      <w:r w:rsidR="00332F37" w:rsidRPr="0015541C">
        <w:rPr>
          <w:sz w:val="20"/>
          <w:lang w:val="pl-PL"/>
        </w:rPr>
        <w:t xml:space="preserve">Ostateczna analiza </w:t>
      </w:r>
      <w:r w:rsidR="00931CDF" w:rsidRPr="0015541C">
        <w:rPr>
          <w:sz w:val="20"/>
          <w:lang w:val="pl-PL"/>
        </w:rPr>
        <w:t>OS</w:t>
      </w:r>
      <w:r w:rsidR="00332F37" w:rsidRPr="0015541C">
        <w:rPr>
          <w:sz w:val="20"/>
          <w:lang w:val="pl-PL"/>
        </w:rPr>
        <w:t xml:space="preserve"> przeprowadzona w chwili, gdy</w:t>
      </w:r>
      <w:r w:rsidR="0066037B" w:rsidRPr="0015541C">
        <w:rPr>
          <w:sz w:val="20"/>
          <w:lang w:val="pl-PL"/>
        </w:rPr>
        <w:t xml:space="preserve"> 46,7% pacjentek zmarło z datą </w:t>
      </w:r>
      <w:r w:rsidR="00332F37" w:rsidRPr="0015541C">
        <w:rPr>
          <w:sz w:val="20"/>
          <w:lang w:val="pl-PL"/>
        </w:rPr>
        <w:t>o</w:t>
      </w:r>
      <w:r w:rsidR="0066037B" w:rsidRPr="0015541C">
        <w:rPr>
          <w:sz w:val="20"/>
          <w:lang w:val="pl-PL"/>
        </w:rPr>
        <w:t>d</w:t>
      </w:r>
      <w:r w:rsidR="00332F37" w:rsidRPr="0015541C">
        <w:rPr>
          <w:sz w:val="20"/>
          <w:lang w:val="pl-PL"/>
        </w:rPr>
        <w:t>cięcia danych 31 marca 2013.</w:t>
      </w:r>
    </w:p>
    <w:p w14:paraId="65F0DFD8" w14:textId="77777777" w:rsidR="0086208E" w:rsidRPr="0015541C" w:rsidRDefault="0086208E" w:rsidP="00BC3A2D">
      <w:pPr>
        <w:rPr>
          <w:sz w:val="20"/>
          <w:lang w:val="pl-PL"/>
        </w:rPr>
      </w:pPr>
    </w:p>
    <w:p w14:paraId="64C848F1" w14:textId="77777777" w:rsidR="006F5522" w:rsidRPr="0015541C" w:rsidRDefault="0086208E" w:rsidP="00BC3A2D">
      <w:pPr>
        <w:rPr>
          <w:lang w:val="pl-PL"/>
        </w:rPr>
      </w:pPr>
      <w:r w:rsidRPr="0015541C">
        <w:rPr>
          <w:lang w:val="pl-PL"/>
        </w:rPr>
        <w:t>W analizie czasu wolnego od progresji oceniane</w:t>
      </w:r>
      <w:r w:rsidR="006654CE" w:rsidRPr="0015541C">
        <w:rPr>
          <w:lang w:val="pl-PL"/>
        </w:rPr>
        <w:t>go</w:t>
      </w:r>
      <w:r w:rsidRPr="0015541C">
        <w:rPr>
          <w:lang w:val="pl-PL"/>
        </w:rPr>
        <w:t xml:space="preserve"> przez badacza </w:t>
      </w:r>
      <w:r w:rsidR="002F2193" w:rsidRPr="0015541C">
        <w:rPr>
          <w:lang w:val="pl-PL"/>
        </w:rPr>
        <w:t>z dat</w:t>
      </w:r>
      <w:r w:rsidR="00032B56" w:rsidRPr="0015541C">
        <w:rPr>
          <w:lang w:val="pl-PL"/>
        </w:rPr>
        <w:t>ą</w:t>
      </w:r>
      <w:r w:rsidR="002F2193" w:rsidRPr="0015541C">
        <w:rPr>
          <w:lang w:val="pl-PL"/>
        </w:rPr>
        <w:t xml:space="preserve"> odcięcia danych 28 lutego 2010 wartość nie</w:t>
      </w:r>
      <w:r w:rsidRPr="0015541C">
        <w:rPr>
          <w:lang w:val="pl-PL"/>
        </w:rPr>
        <w:t>stratyfikowa</w:t>
      </w:r>
      <w:r w:rsidR="002F2193" w:rsidRPr="0015541C">
        <w:rPr>
          <w:lang w:val="pl-PL"/>
        </w:rPr>
        <w:t>nego współ</w:t>
      </w:r>
      <w:r w:rsidRPr="0015541C">
        <w:rPr>
          <w:lang w:val="pl-PL"/>
        </w:rPr>
        <w:t>czynnik</w:t>
      </w:r>
      <w:r w:rsidR="002F2193" w:rsidRPr="0015541C">
        <w:rPr>
          <w:lang w:val="pl-PL"/>
        </w:rPr>
        <w:t>a</w:t>
      </w:r>
      <w:r w:rsidRPr="0015541C">
        <w:rPr>
          <w:lang w:val="pl-PL"/>
        </w:rPr>
        <w:t xml:space="preserve"> ryzyka </w:t>
      </w:r>
      <w:r w:rsidR="002F2193" w:rsidRPr="0015541C">
        <w:rPr>
          <w:lang w:val="pl-PL"/>
        </w:rPr>
        <w:t xml:space="preserve">wyniosła 0,79 (95% CI: 0,68-0,91, </w:t>
      </w:r>
      <w:r w:rsidR="002F2193" w:rsidRPr="0015541C">
        <w:rPr>
          <w:szCs w:val="22"/>
          <w:lang w:val="pl-PL"/>
        </w:rPr>
        <w:t xml:space="preserve">wartość p w dwustronnym teście log rank 0,0010) z medianą PFS 16,0 miesięcy w grupie </w:t>
      </w:r>
      <w:r w:rsidR="00032B56" w:rsidRPr="0015541C">
        <w:rPr>
          <w:szCs w:val="22"/>
          <w:lang w:val="pl-PL"/>
        </w:rPr>
        <w:t>pacjentek</w:t>
      </w:r>
      <w:r w:rsidR="002F2193" w:rsidRPr="0015541C">
        <w:rPr>
          <w:szCs w:val="22"/>
          <w:lang w:val="pl-PL"/>
        </w:rPr>
        <w:t xml:space="preserve"> leczonych CP i 18,3 miesiąca w grupie </w:t>
      </w:r>
      <w:r w:rsidR="002F2193" w:rsidRPr="0015541C">
        <w:rPr>
          <w:lang w:val="pl-PL"/>
        </w:rPr>
        <w:t>CPB7,5+.</w:t>
      </w:r>
      <w:r w:rsidR="002F2193" w:rsidRPr="0015541C">
        <w:rPr>
          <w:szCs w:val="22"/>
          <w:lang w:val="pl-PL"/>
        </w:rPr>
        <w:t xml:space="preserve"> </w:t>
      </w:r>
    </w:p>
    <w:p w14:paraId="72A33FD5" w14:textId="77777777" w:rsidR="00560F98" w:rsidRPr="0015541C" w:rsidRDefault="00560F98" w:rsidP="007B3662">
      <w:pPr>
        <w:rPr>
          <w:rFonts w:eastAsia="PMingLiU"/>
          <w:lang w:val="pl-PL" w:eastAsia="zh-CN"/>
        </w:rPr>
      </w:pPr>
    </w:p>
    <w:p w14:paraId="7BD4B900" w14:textId="77777777" w:rsidR="005020A7" w:rsidRPr="0015541C" w:rsidRDefault="005020A7" w:rsidP="00BC3A2D">
      <w:pPr>
        <w:rPr>
          <w:rFonts w:eastAsia="PMingLiU"/>
          <w:lang w:val="pl-PL" w:eastAsia="zh-CN"/>
        </w:rPr>
      </w:pPr>
      <w:r w:rsidRPr="0015541C">
        <w:rPr>
          <w:rFonts w:eastAsia="PMingLiU"/>
          <w:lang w:val="pl-PL" w:eastAsia="zh-CN"/>
        </w:rPr>
        <w:t xml:space="preserve">Wyniki analizy PFS w podgrupach chorych o różnym stopniu zaawansowania choroby i różnym stopniu cytoredukcji zostały przedstawione w Tabeli </w:t>
      </w:r>
      <w:r w:rsidR="00A73107" w:rsidRPr="0015541C">
        <w:rPr>
          <w:rFonts w:eastAsia="PMingLiU"/>
          <w:lang w:val="pl-PL" w:eastAsia="zh-CN"/>
        </w:rPr>
        <w:t>19</w:t>
      </w:r>
      <w:r w:rsidRPr="0015541C">
        <w:rPr>
          <w:rFonts w:eastAsia="PMingLiU"/>
          <w:lang w:val="pl-PL" w:eastAsia="zh-CN"/>
        </w:rPr>
        <w:t xml:space="preserve">. Wyniki te stanowią potwierdzenie pierwotnej analizy parametru PFS przedstawionej w Tabeli </w:t>
      </w:r>
      <w:r w:rsidR="00A73107" w:rsidRPr="0015541C">
        <w:rPr>
          <w:rFonts w:eastAsia="PMingLiU"/>
          <w:lang w:val="pl-PL" w:eastAsia="zh-CN"/>
        </w:rPr>
        <w:t>18</w:t>
      </w:r>
      <w:r w:rsidRPr="0015541C">
        <w:rPr>
          <w:rFonts w:eastAsia="PMingLiU"/>
          <w:lang w:val="pl-PL" w:eastAsia="zh-CN"/>
        </w:rPr>
        <w:t xml:space="preserve">. </w:t>
      </w:r>
    </w:p>
    <w:p w14:paraId="2ACA2120" w14:textId="77777777" w:rsidR="005020A7" w:rsidRPr="0015541C" w:rsidRDefault="005020A7" w:rsidP="005020A7">
      <w:pPr>
        <w:rPr>
          <w:lang w:val="pl-PL"/>
        </w:rPr>
      </w:pPr>
    </w:p>
    <w:p w14:paraId="2765804C" w14:textId="77777777" w:rsidR="00FD7E5C" w:rsidRPr="0015541C" w:rsidRDefault="005020A7" w:rsidP="005020A7">
      <w:pPr>
        <w:keepNext/>
        <w:keepLines/>
        <w:rPr>
          <w:b/>
          <w:lang w:val="pl-PL"/>
        </w:rPr>
      </w:pPr>
      <w:r w:rsidRPr="0015541C">
        <w:rPr>
          <w:b/>
          <w:lang w:val="pl-PL"/>
        </w:rPr>
        <w:t>Tab</w:t>
      </w:r>
      <w:r w:rsidR="00DB2AE0" w:rsidRPr="0015541C">
        <w:rPr>
          <w:b/>
          <w:lang w:val="pl-PL"/>
        </w:rPr>
        <w:t>e</w:t>
      </w:r>
      <w:r w:rsidRPr="0015541C">
        <w:rPr>
          <w:b/>
          <w:lang w:val="pl-PL"/>
        </w:rPr>
        <w:t>l</w:t>
      </w:r>
      <w:r w:rsidR="00DB2AE0" w:rsidRPr="0015541C">
        <w:rPr>
          <w:b/>
          <w:lang w:val="pl-PL"/>
        </w:rPr>
        <w:t>a</w:t>
      </w:r>
      <w:r w:rsidRPr="0015541C">
        <w:rPr>
          <w:b/>
          <w:lang w:val="pl-PL"/>
        </w:rPr>
        <w:t xml:space="preserve"> </w:t>
      </w:r>
      <w:r w:rsidR="00A73107" w:rsidRPr="0015541C">
        <w:rPr>
          <w:b/>
          <w:lang w:val="pl-PL"/>
        </w:rPr>
        <w:t>19</w:t>
      </w:r>
      <w:r w:rsidR="008800D7" w:rsidRPr="0015541C">
        <w:rPr>
          <w:b/>
          <w:lang w:val="pl-PL"/>
        </w:rPr>
        <w:t>.</w:t>
      </w:r>
      <w:r w:rsidR="00AF2DF4" w:rsidRPr="0015541C">
        <w:rPr>
          <w:b/>
          <w:lang w:val="pl-PL"/>
        </w:rPr>
        <w:tab/>
      </w:r>
      <w:r w:rsidRPr="0015541C">
        <w:rPr>
          <w:b/>
          <w:lang w:val="pl-PL"/>
        </w:rPr>
        <w:t>Wyniki badania BO17707 (ICON7) dotyczące PFS</w:t>
      </w:r>
      <w:r w:rsidRPr="0015541C">
        <w:rPr>
          <w:b/>
          <w:vertAlign w:val="superscript"/>
          <w:lang w:val="pl-PL"/>
        </w:rPr>
        <w:t>1</w:t>
      </w:r>
      <w:r w:rsidRPr="0015541C">
        <w:rPr>
          <w:b/>
          <w:lang w:val="pl-PL"/>
        </w:rPr>
        <w:t xml:space="preserve"> u chorych z różnym stopniem zaawansowania choroby i stopniem cytoredukcji </w:t>
      </w:r>
    </w:p>
    <w:tbl>
      <w:tblPr>
        <w:tblW w:w="4656"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4251"/>
        <w:gridCol w:w="2233"/>
        <w:gridCol w:w="1953"/>
      </w:tblGrid>
      <w:tr w:rsidR="005020A7" w:rsidRPr="00CD4A5E" w14:paraId="69EF592A" w14:textId="77777777" w:rsidTr="00D16D61">
        <w:tc>
          <w:tcPr>
            <w:tcW w:w="8573" w:type="dxa"/>
            <w:gridSpan w:val="3"/>
            <w:tcBorders>
              <w:top w:val="single" w:sz="6" w:space="0" w:color="000000"/>
              <w:left w:val="single" w:sz="4" w:space="0" w:color="auto"/>
              <w:bottom w:val="single" w:sz="6" w:space="0" w:color="000000"/>
              <w:right w:val="single" w:sz="4" w:space="0" w:color="auto"/>
            </w:tcBorders>
          </w:tcPr>
          <w:p w14:paraId="7BF7BBDF" w14:textId="77777777" w:rsidR="005020A7" w:rsidRPr="0015541C" w:rsidRDefault="00FD7E5C" w:rsidP="00B342E0">
            <w:pPr>
              <w:pStyle w:val="TableText10"/>
              <w:spacing w:line="280" w:lineRule="atLeast"/>
              <w:rPr>
                <w:lang w:val="pl-PL"/>
              </w:rPr>
            </w:pPr>
            <w:r w:rsidRPr="0015541C">
              <w:rPr>
                <w:bCs/>
                <w:lang w:val="pl-PL"/>
              </w:rPr>
              <w:t>Randomizowani pacjenci ze stopniem zaawansowania choroby III i optymalną cytoredukcją</w:t>
            </w:r>
            <w:r w:rsidRPr="0015541C">
              <w:rPr>
                <w:vertAlign w:val="superscript"/>
                <w:lang w:val="pl-PL"/>
              </w:rPr>
              <w:t xml:space="preserve"> </w:t>
            </w:r>
            <w:r w:rsidR="005020A7" w:rsidRPr="0015541C">
              <w:rPr>
                <w:vertAlign w:val="superscript"/>
                <w:lang w:val="pl-PL"/>
              </w:rPr>
              <w:t>2,3</w:t>
            </w:r>
          </w:p>
        </w:tc>
      </w:tr>
      <w:tr w:rsidR="003D62EE" w:rsidRPr="0015541C" w14:paraId="3D56485C" w14:textId="77777777" w:rsidTr="003C6FA3">
        <w:tc>
          <w:tcPr>
            <w:tcW w:w="4321" w:type="dxa"/>
            <w:tcBorders>
              <w:top w:val="nil"/>
              <w:left w:val="single" w:sz="4" w:space="0" w:color="auto"/>
              <w:bottom w:val="nil"/>
              <w:right w:val="single" w:sz="6" w:space="0" w:color="000000"/>
            </w:tcBorders>
          </w:tcPr>
          <w:p w14:paraId="1E3C838A" w14:textId="77777777" w:rsidR="005020A7" w:rsidRPr="0015541C" w:rsidRDefault="005020A7" w:rsidP="00B342E0">
            <w:pPr>
              <w:pStyle w:val="TableText10"/>
              <w:keepNext/>
              <w:keepLines/>
              <w:spacing w:line="280" w:lineRule="atLeast"/>
              <w:jc w:val="center"/>
              <w:rPr>
                <w:rFonts w:eastAsia="MS Mincho"/>
                <w:lang w:val="pl-PL"/>
              </w:rPr>
            </w:pPr>
          </w:p>
        </w:tc>
        <w:tc>
          <w:tcPr>
            <w:tcW w:w="2268" w:type="dxa"/>
            <w:tcBorders>
              <w:top w:val="nil"/>
              <w:left w:val="single" w:sz="6" w:space="0" w:color="000000"/>
              <w:bottom w:val="nil"/>
              <w:right w:val="single" w:sz="6" w:space="0" w:color="000000"/>
            </w:tcBorders>
            <w:vAlign w:val="center"/>
          </w:tcPr>
          <w:p w14:paraId="128F1276" w14:textId="77777777" w:rsidR="005020A7" w:rsidRPr="0015541C" w:rsidRDefault="005020A7" w:rsidP="00B342E0">
            <w:pPr>
              <w:pStyle w:val="NormalWeb"/>
              <w:keepNext/>
              <w:keepLines/>
              <w:widowControl w:val="0"/>
              <w:spacing w:line="280" w:lineRule="atLeast"/>
              <w:jc w:val="center"/>
              <w:rPr>
                <w:rFonts w:ascii="Arial" w:eastAsia="PMingLiU" w:hAnsi="Arial"/>
                <w:sz w:val="20"/>
                <w:szCs w:val="20"/>
                <w:lang w:val="pl-PL" w:bidi="en-US"/>
              </w:rPr>
            </w:pPr>
            <w:r w:rsidRPr="0015541C">
              <w:rPr>
                <w:sz w:val="20"/>
                <w:szCs w:val="20"/>
                <w:lang w:val="pl-PL" w:bidi="en-US"/>
              </w:rPr>
              <w:t>CP</w:t>
            </w:r>
          </w:p>
          <w:p w14:paraId="15C3FDBB" w14:textId="77777777" w:rsidR="005020A7" w:rsidRPr="00AC3958" w:rsidRDefault="005020A7" w:rsidP="00B342E0">
            <w:pPr>
              <w:keepNext/>
              <w:keepLines/>
              <w:jc w:val="center"/>
              <w:rPr>
                <w:rFonts w:ascii="Arial" w:eastAsia="SimSun" w:hAnsi="Arial"/>
                <w:sz w:val="20"/>
                <w:lang w:val="pl-PL" w:eastAsia="zh-CN"/>
              </w:rPr>
            </w:pPr>
            <w:r w:rsidRPr="00AC3958">
              <w:rPr>
                <w:sz w:val="20"/>
                <w:lang w:val="pl-PL"/>
              </w:rPr>
              <w:t xml:space="preserve"> (n = 368)</w:t>
            </w:r>
          </w:p>
        </w:tc>
        <w:tc>
          <w:tcPr>
            <w:tcW w:w="1984" w:type="dxa"/>
            <w:tcBorders>
              <w:top w:val="nil"/>
              <w:left w:val="single" w:sz="6" w:space="0" w:color="000000"/>
              <w:bottom w:val="nil"/>
              <w:right w:val="single" w:sz="4" w:space="0" w:color="auto"/>
            </w:tcBorders>
            <w:vAlign w:val="center"/>
          </w:tcPr>
          <w:p w14:paraId="1AE99FA4" w14:textId="77777777" w:rsidR="005020A7" w:rsidRPr="0015541C" w:rsidRDefault="005020A7" w:rsidP="00B342E0">
            <w:pPr>
              <w:keepNext/>
              <w:keepLines/>
              <w:jc w:val="center"/>
              <w:rPr>
                <w:rFonts w:ascii="Arial" w:eastAsia="SimSun" w:hAnsi="Arial"/>
                <w:sz w:val="20"/>
                <w:lang w:val="pl-PL" w:eastAsia="zh-CN"/>
              </w:rPr>
            </w:pPr>
            <w:r w:rsidRPr="00260CEC">
              <w:rPr>
                <w:sz w:val="20"/>
                <w:lang w:val="pl-PL"/>
              </w:rPr>
              <w:t>CPB7</w:t>
            </w:r>
            <w:r w:rsidR="00560F98" w:rsidRPr="00260CEC">
              <w:rPr>
                <w:sz w:val="20"/>
                <w:lang w:val="pl-PL"/>
              </w:rPr>
              <w:t>,</w:t>
            </w:r>
            <w:r w:rsidRPr="0015541C">
              <w:rPr>
                <w:sz w:val="20"/>
                <w:lang w:val="pl-PL"/>
              </w:rPr>
              <w:t>5+</w:t>
            </w:r>
          </w:p>
          <w:p w14:paraId="0F9E0C9B" w14:textId="77777777" w:rsidR="005020A7" w:rsidRPr="0015541C" w:rsidRDefault="005020A7" w:rsidP="00B342E0">
            <w:pPr>
              <w:pStyle w:val="TableText10"/>
              <w:keepNext/>
              <w:keepLines/>
              <w:spacing w:line="280" w:lineRule="atLeast"/>
              <w:jc w:val="center"/>
              <w:rPr>
                <w:rFonts w:eastAsia="MS Mincho"/>
                <w:lang w:val="pl-PL"/>
              </w:rPr>
            </w:pPr>
            <w:r w:rsidRPr="0015541C">
              <w:rPr>
                <w:lang w:val="pl-PL"/>
              </w:rPr>
              <w:t xml:space="preserve"> (n = 383)</w:t>
            </w:r>
          </w:p>
        </w:tc>
      </w:tr>
      <w:tr w:rsidR="003D62EE" w:rsidRPr="0015541C" w14:paraId="63266EDC" w14:textId="77777777" w:rsidTr="003C6FA3">
        <w:tc>
          <w:tcPr>
            <w:tcW w:w="4321" w:type="dxa"/>
            <w:tcBorders>
              <w:top w:val="nil"/>
              <w:left w:val="single" w:sz="4" w:space="0" w:color="auto"/>
              <w:bottom w:val="nil"/>
              <w:right w:val="single" w:sz="6" w:space="0" w:color="000000"/>
            </w:tcBorders>
          </w:tcPr>
          <w:p w14:paraId="3222D826" w14:textId="77777777" w:rsidR="00FD7E5C" w:rsidRPr="0015541C" w:rsidRDefault="00FD7E5C" w:rsidP="00B342E0">
            <w:pPr>
              <w:pStyle w:val="TableText10"/>
              <w:spacing w:line="280" w:lineRule="atLeast"/>
              <w:rPr>
                <w:rFonts w:ascii="Arial" w:eastAsia="SimSun" w:hAnsi="Arial"/>
                <w:lang w:val="pl-PL" w:eastAsia="zh-CN"/>
              </w:rPr>
            </w:pPr>
            <w:r w:rsidRPr="0015541C">
              <w:rPr>
                <w:lang w:val="pl-PL"/>
              </w:rPr>
              <w:t>Mediana czasu wolnego od progresji (miesiące)</w:t>
            </w:r>
          </w:p>
        </w:tc>
        <w:tc>
          <w:tcPr>
            <w:tcW w:w="2268" w:type="dxa"/>
            <w:tcBorders>
              <w:top w:val="nil"/>
              <w:left w:val="single" w:sz="6" w:space="0" w:color="000000"/>
              <w:bottom w:val="nil"/>
              <w:right w:val="single" w:sz="6" w:space="0" w:color="000000"/>
            </w:tcBorders>
            <w:vAlign w:val="center"/>
          </w:tcPr>
          <w:p w14:paraId="7DCB04C4" w14:textId="77777777" w:rsidR="00FD7E5C" w:rsidRPr="00AC3958" w:rsidRDefault="00FD7E5C" w:rsidP="00F53B64">
            <w:pPr>
              <w:keepNext/>
              <w:keepLines/>
              <w:jc w:val="center"/>
              <w:rPr>
                <w:rFonts w:ascii="Arial" w:eastAsia="SimSun" w:hAnsi="Arial"/>
                <w:sz w:val="20"/>
                <w:lang w:val="pl-PL" w:eastAsia="zh-CN"/>
              </w:rPr>
            </w:pPr>
            <w:r w:rsidRPr="0015541C">
              <w:rPr>
                <w:sz w:val="20"/>
                <w:lang w:val="pl-PL"/>
              </w:rPr>
              <w:t>17</w:t>
            </w:r>
            <w:r w:rsidR="00DB2AE0" w:rsidRPr="00AC3958">
              <w:rPr>
                <w:sz w:val="20"/>
                <w:lang w:val="pl-PL"/>
              </w:rPr>
              <w:t>,</w:t>
            </w:r>
            <w:r w:rsidRPr="00AC3958">
              <w:rPr>
                <w:sz w:val="20"/>
                <w:lang w:val="pl-PL"/>
              </w:rPr>
              <w:t>7</w:t>
            </w:r>
          </w:p>
        </w:tc>
        <w:tc>
          <w:tcPr>
            <w:tcW w:w="1984" w:type="dxa"/>
            <w:tcBorders>
              <w:top w:val="nil"/>
              <w:left w:val="single" w:sz="6" w:space="0" w:color="000000"/>
              <w:bottom w:val="nil"/>
              <w:right w:val="single" w:sz="4" w:space="0" w:color="auto"/>
            </w:tcBorders>
            <w:vAlign w:val="center"/>
          </w:tcPr>
          <w:p w14:paraId="7082C0AC" w14:textId="77777777" w:rsidR="00FD7E5C" w:rsidRPr="0015541C" w:rsidRDefault="00FD7E5C" w:rsidP="00B342E0">
            <w:pPr>
              <w:pStyle w:val="TableText10"/>
              <w:keepNext/>
              <w:keepLines/>
              <w:spacing w:line="280" w:lineRule="atLeast"/>
              <w:jc w:val="center"/>
              <w:rPr>
                <w:rFonts w:eastAsia="MS Mincho"/>
                <w:lang w:val="pl-PL"/>
              </w:rPr>
            </w:pPr>
            <w:r w:rsidRPr="00260CEC">
              <w:rPr>
                <w:lang w:val="pl-PL"/>
              </w:rPr>
              <w:t>19</w:t>
            </w:r>
            <w:r w:rsidR="00560F98" w:rsidRPr="00260CEC">
              <w:rPr>
                <w:lang w:val="pl-PL"/>
              </w:rPr>
              <w:t>,</w:t>
            </w:r>
            <w:r w:rsidRPr="0015541C">
              <w:rPr>
                <w:lang w:val="pl-PL"/>
              </w:rPr>
              <w:t>3</w:t>
            </w:r>
          </w:p>
        </w:tc>
      </w:tr>
      <w:tr w:rsidR="003D62EE" w:rsidRPr="0015541C" w14:paraId="461A80F7" w14:textId="77777777" w:rsidTr="003C6FA3">
        <w:tc>
          <w:tcPr>
            <w:tcW w:w="4321" w:type="dxa"/>
            <w:tcBorders>
              <w:top w:val="nil"/>
              <w:left w:val="single" w:sz="4" w:space="0" w:color="auto"/>
              <w:bottom w:val="nil"/>
              <w:right w:val="single" w:sz="6" w:space="0" w:color="000000"/>
            </w:tcBorders>
          </w:tcPr>
          <w:p w14:paraId="5477C8CF" w14:textId="77777777" w:rsidR="00FD7E5C" w:rsidRPr="0015541C" w:rsidRDefault="00FD7E5C" w:rsidP="00B342E0">
            <w:pPr>
              <w:keepNext/>
              <w:keepLines/>
              <w:widowControl w:val="0"/>
              <w:rPr>
                <w:sz w:val="20"/>
                <w:lang w:val="pl-PL"/>
              </w:rPr>
            </w:pPr>
            <w:r w:rsidRPr="0015541C">
              <w:rPr>
                <w:sz w:val="20"/>
                <w:lang w:val="pl-PL"/>
              </w:rPr>
              <w:t>Współczynnik ryzyka</w:t>
            </w:r>
          </w:p>
          <w:p w14:paraId="125F93B4" w14:textId="77777777" w:rsidR="00FD7E5C" w:rsidRPr="00AC3958" w:rsidRDefault="00FD7E5C" w:rsidP="00B342E0">
            <w:pPr>
              <w:keepNext/>
              <w:keepLines/>
              <w:widowControl w:val="0"/>
              <w:rPr>
                <w:rFonts w:ascii="Arial" w:eastAsia="SimSun" w:hAnsi="Arial"/>
                <w:sz w:val="20"/>
                <w:lang w:val="pl-PL" w:eastAsia="zh-CN"/>
              </w:rPr>
            </w:pPr>
            <w:r w:rsidRPr="0015541C">
              <w:rPr>
                <w:sz w:val="20"/>
                <w:lang w:val="pl-PL"/>
              </w:rPr>
              <w:t xml:space="preserve"> (95% CI) </w:t>
            </w:r>
            <w:r w:rsidRPr="00AC3958">
              <w:rPr>
                <w:sz w:val="20"/>
                <w:vertAlign w:val="superscript"/>
                <w:lang w:val="pl-PL"/>
              </w:rPr>
              <w:t>4</w:t>
            </w:r>
          </w:p>
        </w:tc>
        <w:tc>
          <w:tcPr>
            <w:tcW w:w="2268" w:type="dxa"/>
            <w:tcBorders>
              <w:top w:val="nil"/>
              <w:left w:val="single" w:sz="6" w:space="0" w:color="000000"/>
              <w:bottom w:val="nil"/>
              <w:right w:val="single" w:sz="6" w:space="0" w:color="000000"/>
            </w:tcBorders>
            <w:vAlign w:val="center"/>
          </w:tcPr>
          <w:p w14:paraId="77B22672" w14:textId="77777777" w:rsidR="00FD7E5C" w:rsidRPr="00260CEC" w:rsidRDefault="00FD7E5C" w:rsidP="00B342E0">
            <w:pPr>
              <w:keepNext/>
              <w:keepLines/>
              <w:jc w:val="center"/>
              <w:rPr>
                <w:rFonts w:ascii="Arial" w:eastAsia="SimSun" w:hAnsi="Arial"/>
                <w:sz w:val="20"/>
                <w:lang w:val="pl-PL" w:eastAsia="zh-CN"/>
              </w:rPr>
            </w:pPr>
          </w:p>
        </w:tc>
        <w:tc>
          <w:tcPr>
            <w:tcW w:w="1984" w:type="dxa"/>
            <w:tcBorders>
              <w:top w:val="nil"/>
              <w:left w:val="single" w:sz="6" w:space="0" w:color="000000"/>
              <w:bottom w:val="nil"/>
              <w:right w:val="single" w:sz="4" w:space="0" w:color="auto"/>
            </w:tcBorders>
            <w:vAlign w:val="center"/>
          </w:tcPr>
          <w:p w14:paraId="0879DD40" w14:textId="77777777" w:rsidR="00FD7E5C" w:rsidRPr="0015541C" w:rsidRDefault="00FD7E5C" w:rsidP="00B342E0">
            <w:pPr>
              <w:keepNext/>
              <w:keepLines/>
              <w:jc w:val="center"/>
              <w:rPr>
                <w:rFonts w:ascii="Arial" w:eastAsia="SimSun" w:hAnsi="Arial"/>
                <w:sz w:val="20"/>
                <w:lang w:val="pl-PL" w:eastAsia="zh-CN"/>
              </w:rPr>
            </w:pPr>
            <w:r w:rsidRPr="0015541C">
              <w:rPr>
                <w:sz w:val="20"/>
                <w:lang w:val="pl-PL"/>
              </w:rPr>
              <w:t>0</w:t>
            </w:r>
            <w:r w:rsidR="00560F98" w:rsidRPr="0015541C">
              <w:rPr>
                <w:sz w:val="20"/>
                <w:lang w:val="pl-PL"/>
              </w:rPr>
              <w:t>,</w:t>
            </w:r>
            <w:r w:rsidRPr="0015541C">
              <w:rPr>
                <w:sz w:val="20"/>
                <w:lang w:val="pl-PL"/>
              </w:rPr>
              <w:t>89</w:t>
            </w:r>
          </w:p>
          <w:p w14:paraId="4629A136" w14:textId="77777777" w:rsidR="00FD7E5C" w:rsidRPr="0015541C" w:rsidRDefault="00FD7E5C" w:rsidP="00B342E0">
            <w:pPr>
              <w:pStyle w:val="TableText10"/>
              <w:keepNext/>
              <w:keepLines/>
              <w:spacing w:line="280" w:lineRule="atLeast"/>
              <w:jc w:val="center"/>
              <w:rPr>
                <w:rFonts w:eastAsia="MS Mincho"/>
                <w:lang w:val="pl-PL"/>
              </w:rPr>
            </w:pPr>
            <w:r w:rsidRPr="0015541C">
              <w:rPr>
                <w:lang w:val="pl-PL"/>
              </w:rPr>
              <w:t>(0</w:t>
            </w:r>
            <w:r w:rsidR="00560F98" w:rsidRPr="0015541C">
              <w:rPr>
                <w:lang w:val="pl-PL"/>
              </w:rPr>
              <w:t>,</w:t>
            </w:r>
            <w:r w:rsidRPr="0015541C">
              <w:rPr>
                <w:lang w:val="pl-PL"/>
              </w:rPr>
              <w:t>74, 1</w:t>
            </w:r>
            <w:r w:rsidR="00560F98" w:rsidRPr="0015541C">
              <w:rPr>
                <w:lang w:val="pl-PL"/>
              </w:rPr>
              <w:t>,</w:t>
            </w:r>
            <w:r w:rsidRPr="0015541C">
              <w:rPr>
                <w:lang w:val="pl-PL"/>
              </w:rPr>
              <w:t>07)</w:t>
            </w:r>
          </w:p>
        </w:tc>
      </w:tr>
      <w:tr w:rsidR="005020A7" w:rsidRPr="0015541C" w14:paraId="7C5CD2BA" w14:textId="77777777" w:rsidTr="00D16D61">
        <w:tc>
          <w:tcPr>
            <w:tcW w:w="8573" w:type="dxa"/>
            <w:gridSpan w:val="3"/>
            <w:tcBorders>
              <w:top w:val="single" w:sz="4" w:space="0" w:color="auto"/>
              <w:left w:val="single" w:sz="4" w:space="0" w:color="auto"/>
              <w:bottom w:val="single" w:sz="4" w:space="0" w:color="auto"/>
              <w:right w:val="single" w:sz="4" w:space="0" w:color="auto"/>
            </w:tcBorders>
          </w:tcPr>
          <w:p w14:paraId="01D2503D" w14:textId="77777777" w:rsidR="005020A7" w:rsidRPr="00AC3958" w:rsidRDefault="00FD7E5C" w:rsidP="00B342E0">
            <w:pPr>
              <w:pStyle w:val="TableText10"/>
              <w:spacing w:line="280" w:lineRule="atLeast"/>
              <w:rPr>
                <w:rFonts w:eastAsia="MS Mincho"/>
                <w:lang w:val="pl-PL"/>
              </w:rPr>
            </w:pPr>
            <w:r w:rsidRPr="0015541C">
              <w:rPr>
                <w:bCs/>
                <w:lang w:val="pl-PL"/>
              </w:rPr>
              <w:t>Randomizowani pacjenci ze stopniem zaawansowania choroby III i suboptymalną cytoredukcją</w:t>
            </w:r>
            <w:r w:rsidRPr="0015541C">
              <w:rPr>
                <w:bCs/>
                <w:vertAlign w:val="superscript"/>
                <w:lang w:val="pl-PL"/>
              </w:rPr>
              <w:t xml:space="preserve"> </w:t>
            </w:r>
            <w:r w:rsidR="005020A7" w:rsidRPr="0015541C">
              <w:rPr>
                <w:bCs/>
                <w:vertAlign w:val="superscript"/>
                <w:lang w:val="pl-PL"/>
              </w:rPr>
              <w:t>3</w:t>
            </w:r>
          </w:p>
        </w:tc>
      </w:tr>
      <w:tr w:rsidR="003D62EE" w:rsidRPr="0015541C" w14:paraId="580DF25A" w14:textId="77777777" w:rsidTr="003C6FA3">
        <w:tc>
          <w:tcPr>
            <w:tcW w:w="4321" w:type="dxa"/>
            <w:tcBorders>
              <w:top w:val="nil"/>
              <w:left w:val="single" w:sz="4" w:space="0" w:color="auto"/>
              <w:bottom w:val="nil"/>
              <w:right w:val="single" w:sz="6" w:space="0" w:color="000000"/>
            </w:tcBorders>
          </w:tcPr>
          <w:p w14:paraId="100D2DF9" w14:textId="77777777" w:rsidR="005020A7" w:rsidRPr="0015541C" w:rsidRDefault="005020A7" w:rsidP="00B342E0">
            <w:pPr>
              <w:pStyle w:val="TableText10"/>
              <w:spacing w:line="280" w:lineRule="atLeast"/>
              <w:jc w:val="center"/>
              <w:rPr>
                <w:rFonts w:eastAsia="MS Mincho"/>
                <w:lang w:val="pl-PL"/>
              </w:rPr>
            </w:pPr>
          </w:p>
        </w:tc>
        <w:tc>
          <w:tcPr>
            <w:tcW w:w="2268" w:type="dxa"/>
            <w:tcBorders>
              <w:top w:val="nil"/>
              <w:left w:val="single" w:sz="6" w:space="0" w:color="000000"/>
              <w:bottom w:val="nil"/>
              <w:right w:val="single" w:sz="6" w:space="0" w:color="000000"/>
            </w:tcBorders>
            <w:vAlign w:val="center"/>
          </w:tcPr>
          <w:p w14:paraId="64A9725C" w14:textId="77777777" w:rsidR="005020A7" w:rsidRPr="0015541C" w:rsidRDefault="005020A7" w:rsidP="00B342E0">
            <w:pPr>
              <w:jc w:val="center"/>
              <w:rPr>
                <w:rFonts w:ascii="Arial" w:eastAsia="SimSun" w:hAnsi="Arial"/>
                <w:sz w:val="20"/>
                <w:lang w:val="pl-PL" w:eastAsia="zh-CN" w:bidi="en-US"/>
              </w:rPr>
            </w:pPr>
            <w:r w:rsidRPr="0015541C">
              <w:rPr>
                <w:sz w:val="20"/>
                <w:lang w:val="pl-PL" w:bidi="en-US"/>
              </w:rPr>
              <w:t>CP</w:t>
            </w:r>
          </w:p>
          <w:p w14:paraId="53952982" w14:textId="77777777" w:rsidR="005020A7" w:rsidRPr="00AC3958" w:rsidRDefault="005020A7" w:rsidP="00B342E0">
            <w:pPr>
              <w:jc w:val="center"/>
              <w:rPr>
                <w:rFonts w:ascii="Arial" w:eastAsia="SimSun" w:hAnsi="Arial"/>
                <w:sz w:val="20"/>
                <w:lang w:val="pl-PL" w:eastAsia="zh-CN"/>
              </w:rPr>
            </w:pPr>
            <w:r w:rsidRPr="00AC3958">
              <w:rPr>
                <w:sz w:val="20"/>
                <w:lang w:val="pl-PL"/>
              </w:rPr>
              <w:t>(n = 154)</w:t>
            </w:r>
          </w:p>
        </w:tc>
        <w:tc>
          <w:tcPr>
            <w:tcW w:w="1984" w:type="dxa"/>
            <w:tcBorders>
              <w:top w:val="nil"/>
              <w:left w:val="single" w:sz="6" w:space="0" w:color="000000"/>
              <w:bottom w:val="nil"/>
              <w:right w:val="single" w:sz="4" w:space="0" w:color="auto"/>
            </w:tcBorders>
            <w:vAlign w:val="center"/>
          </w:tcPr>
          <w:p w14:paraId="1C664442" w14:textId="77777777" w:rsidR="005020A7" w:rsidRPr="0015541C" w:rsidRDefault="005020A7" w:rsidP="00B342E0">
            <w:pPr>
              <w:keepNext/>
              <w:keepLines/>
              <w:jc w:val="center"/>
              <w:rPr>
                <w:rFonts w:ascii="Arial" w:eastAsia="SimSun" w:hAnsi="Arial"/>
                <w:sz w:val="20"/>
                <w:lang w:val="pl-PL" w:eastAsia="zh-CN"/>
              </w:rPr>
            </w:pPr>
            <w:r w:rsidRPr="00260CEC">
              <w:rPr>
                <w:sz w:val="20"/>
                <w:lang w:val="pl-PL"/>
              </w:rPr>
              <w:t>CPB7</w:t>
            </w:r>
            <w:r w:rsidR="00560F98" w:rsidRPr="00260CEC">
              <w:rPr>
                <w:sz w:val="20"/>
                <w:lang w:val="pl-PL"/>
              </w:rPr>
              <w:t>,</w:t>
            </w:r>
            <w:r w:rsidRPr="0015541C">
              <w:rPr>
                <w:sz w:val="20"/>
                <w:lang w:val="pl-PL"/>
              </w:rPr>
              <w:t>5+</w:t>
            </w:r>
          </w:p>
          <w:p w14:paraId="1A555E43" w14:textId="77777777" w:rsidR="005020A7" w:rsidRPr="0015541C" w:rsidRDefault="005020A7" w:rsidP="00B342E0">
            <w:pPr>
              <w:jc w:val="center"/>
              <w:rPr>
                <w:rFonts w:ascii="Arial" w:eastAsia="SimSun" w:hAnsi="Arial"/>
                <w:sz w:val="20"/>
                <w:lang w:val="pl-PL" w:eastAsia="zh-CN"/>
              </w:rPr>
            </w:pPr>
            <w:r w:rsidRPr="0015541C">
              <w:rPr>
                <w:sz w:val="20"/>
                <w:lang w:val="pl-PL" w:bidi="en-US"/>
              </w:rPr>
              <w:t xml:space="preserve"> </w:t>
            </w:r>
            <w:r w:rsidRPr="0015541C">
              <w:rPr>
                <w:sz w:val="20"/>
                <w:lang w:val="pl-PL"/>
              </w:rPr>
              <w:t>(n = 140)</w:t>
            </w:r>
            <w:r w:rsidRPr="0015541C">
              <w:rPr>
                <w:sz w:val="20"/>
                <w:vertAlign w:val="superscript"/>
                <w:lang w:val="pl-PL"/>
              </w:rPr>
              <w:t xml:space="preserve"> </w:t>
            </w:r>
          </w:p>
        </w:tc>
      </w:tr>
      <w:tr w:rsidR="003D62EE" w:rsidRPr="0015541C" w14:paraId="1AD798EA" w14:textId="77777777" w:rsidTr="003C6FA3">
        <w:tc>
          <w:tcPr>
            <w:tcW w:w="4321" w:type="dxa"/>
            <w:tcBorders>
              <w:top w:val="nil"/>
              <w:left w:val="single" w:sz="4" w:space="0" w:color="auto"/>
              <w:bottom w:val="nil"/>
              <w:right w:val="single" w:sz="6" w:space="0" w:color="000000"/>
            </w:tcBorders>
          </w:tcPr>
          <w:p w14:paraId="2A174183" w14:textId="77777777" w:rsidR="00FD7E5C" w:rsidRPr="0015541C" w:rsidRDefault="00FD7E5C" w:rsidP="00B342E0">
            <w:pPr>
              <w:pStyle w:val="TableText10"/>
              <w:spacing w:line="280" w:lineRule="atLeast"/>
              <w:rPr>
                <w:rFonts w:ascii="Arial" w:eastAsia="SimSun" w:hAnsi="Arial"/>
                <w:lang w:val="pl-PL" w:eastAsia="zh-CN"/>
              </w:rPr>
            </w:pPr>
            <w:r w:rsidRPr="0015541C">
              <w:rPr>
                <w:lang w:val="pl-PL"/>
              </w:rPr>
              <w:t>Mediana czasu wolnego od progresji (miesiące)</w:t>
            </w:r>
          </w:p>
        </w:tc>
        <w:tc>
          <w:tcPr>
            <w:tcW w:w="2268" w:type="dxa"/>
            <w:tcBorders>
              <w:top w:val="nil"/>
              <w:left w:val="single" w:sz="6" w:space="0" w:color="000000"/>
              <w:bottom w:val="nil"/>
              <w:right w:val="single" w:sz="6" w:space="0" w:color="000000"/>
            </w:tcBorders>
            <w:vAlign w:val="center"/>
          </w:tcPr>
          <w:p w14:paraId="5938F7C2" w14:textId="77777777" w:rsidR="00FD7E5C" w:rsidRPr="00AC3958" w:rsidRDefault="00FD7E5C" w:rsidP="00B342E0">
            <w:pPr>
              <w:keepNext/>
              <w:keepLines/>
              <w:jc w:val="center"/>
              <w:rPr>
                <w:rFonts w:ascii="Arial" w:eastAsia="SimSun" w:hAnsi="Arial"/>
                <w:sz w:val="20"/>
                <w:lang w:val="pl-PL" w:eastAsia="zh-CN"/>
              </w:rPr>
            </w:pPr>
            <w:r w:rsidRPr="0015541C">
              <w:rPr>
                <w:sz w:val="20"/>
                <w:lang w:val="pl-PL"/>
              </w:rPr>
              <w:t>10</w:t>
            </w:r>
            <w:r w:rsidR="00560F98" w:rsidRPr="00AC3958">
              <w:rPr>
                <w:sz w:val="20"/>
                <w:lang w:val="pl-PL"/>
              </w:rPr>
              <w:t>,</w:t>
            </w:r>
            <w:r w:rsidRPr="00AC3958">
              <w:rPr>
                <w:sz w:val="20"/>
                <w:lang w:val="pl-PL"/>
              </w:rPr>
              <w:t>1</w:t>
            </w:r>
          </w:p>
        </w:tc>
        <w:tc>
          <w:tcPr>
            <w:tcW w:w="1984" w:type="dxa"/>
            <w:tcBorders>
              <w:top w:val="nil"/>
              <w:left w:val="single" w:sz="6" w:space="0" w:color="000000"/>
              <w:bottom w:val="nil"/>
              <w:right w:val="single" w:sz="4" w:space="0" w:color="auto"/>
            </w:tcBorders>
            <w:vAlign w:val="center"/>
          </w:tcPr>
          <w:p w14:paraId="7985BE04" w14:textId="77777777" w:rsidR="00FD7E5C" w:rsidRPr="0015541C" w:rsidRDefault="00FD7E5C" w:rsidP="00B342E0">
            <w:pPr>
              <w:pStyle w:val="TableText10"/>
              <w:keepNext/>
              <w:keepLines/>
              <w:spacing w:line="280" w:lineRule="atLeast"/>
              <w:jc w:val="center"/>
              <w:rPr>
                <w:rFonts w:eastAsia="MS Mincho"/>
                <w:lang w:val="pl-PL"/>
              </w:rPr>
            </w:pPr>
            <w:r w:rsidRPr="00260CEC">
              <w:rPr>
                <w:lang w:val="pl-PL"/>
              </w:rPr>
              <w:t>16</w:t>
            </w:r>
            <w:r w:rsidR="00560F98" w:rsidRPr="00260CEC">
              <w:rPr>
                <w:lang w:val="pl-PL"/>
              </w:rPr>
              <w:t>,</w:t>
            </w:r>
            <w:r w:rsidRPr="0015541C">
              <w:rPr>
                <w:lang w:val="pl-PL"/>
              </w:rPr>
              <w:t>9</w:t>
            </w:r>
          </w:p>
        </w:tc>
      </w:tr>
      <w:tr w:rsidR="003D62EE" w:rsidRPr="0015541C" w14:paraId="51FCD4A8" w14:textId="77777777" w:rsidTr="003C6FA3">
        <w:trPr>
          <w:trHeight w:val="195"/>
        </w:trPr>
        <w:tc>
          <w:tcPr>
            <w:tcW w:w="4321" w:type="dxa"/>
            <w:tcBorders>
              <w:top w:val="nil"/>
              <w:left w:val="single" w:sz="4" w:space="0" w:color="auto"/>
              <w:bottom w:val="nil"/>
              <w:right w:val="single" w:sz="6" w:space="0" w:color="000000"/>
            </w:tcBorders>
          </w:tcPr>
          <w:p w14:paraId="5C120D6A" w14:textId="77777777" w:rsidR="00FD7E5C" w:rsidRPr="0015541C" w:rsidRDefault="00FD7E5C" w:rsidP="00B342E0">
            <w:pPr>
              <w:keepNext/>
              <w:keepLines/>
              <w:widowControl w:val="0"/>
              <w:rPr>
                <w:sz w:val="20"/>
                <w:lang w:val="pl-PL"/>
              </w:rPr>
            </w:pPr>
            <w:r w:rsidRPr="0015541C">
              <w:rPr>
                <w:sz w:val="20"/>
                <w:lang w:val="pl-PL"/>
              </w:rPr>
              <w:t>Współczynnik ryzyka</w:t>
            </w:r>
          </w:p>
          <w:p w14:paraId="3B99957E" w14:textId="77777777" w:rsidR="00FD7E5C" w:rsidRPr="00AC3958" w:rsidRDefault="00FD7E5C" w:rsidP="00B342E0">
            <w:pPr>
              <w:keepNext/>
              <w:keepLines/>
              <w:widowControl w:val="0"/>
              <w:rPr>
                <w:rFonts w:ascii="Arial" w:eastAsia="SimSun" w:hAnsi="Arial"/>
                <w:sz w:val="20"/>
                <w:lang w:val="pl-PL" w:eastAsia="zh-CN"/>
              </w:rPr>
            </w:pPr>
            <w:r w:rsidRPr="0015541C">
              <w:rPr>
                <w:sz w:val="20"/>
                <w:lang w:val="pl-PL"/>
              </w:rPr>
              <w:t xml:space="preserve"> (95% CI) </w:t>
            </w:r>
            <w:r w:rsidRPr="00AC3958">
              <w:rPr>
                <w:sz w:val="20"/>
                <w:vertAlign w:val="superscript"/>
                <w:lang w:val="pl-PL"/>
              </w:rPr>
              <w:t>4</w:t>
            </w:r>
          </w:p>
        </w:tc>
        <w:tc>
          <w:tcPr>
            <w:tcW w:w="2268" w:type="dxa"/>
            <w:tcBorders>
              <w:top w:val="nil"/>
              <w:left w:val="single" w:sz="6" w:space="0" w:color="000000"/>
              <w:bottom w:val="nil"/>
              <w:right w:val="single" w:sz="6" w:space="0" w:color="000000"/>
            </w:tcBorders>
            <w:vAlign w:val="center"/>
          </w:tcPr>
          <w:p w14:paraId="0E08D187" w14:textId="77777777" w:rsidR="00FD7E5C" w:rsidRPr="00260CEC" w:rsidRDefault="00FD7E5C" w:rsidP="00B342E0">
            <w:pPr>
              <w:keepNext/>
              <w:keepLines/>
              <w:jc w:val="center"/>
              <w:rPr>
                <w:rFonts w:ascii="Arial" w:eastAsia="SimSun" w:hAnsi="Arial"/>
                <w:sz w:val="20"/>
                <w:lang w:val="pl-PL" w:eastAsia="zh-CN"/>
              </w:rPr>
            </w:pPr>
          </w:p>
        </w:tc>
        <w:tc>
          <w:tcPr>
            <w:tcW w:w="1984" w:type="dxa"/>
            <w:tcBorders>
              <w:top w:val="nil"/>
              <w:left w:val="single" w:sz="6" w:space="0" w:color="000000"/>
              <w:bottom w:val="nil"/>
              <w:right w:val="single" w:sz="4" w:space="0" w:color="auto"/>
            </w:tcBorders>
            <w:vAlign w:val="center"/>
          </w:tcPr>
          <w:p w14:paraId="035AD7DA" w14:textId="77777777" w:rsidR="00FD7E5C" w:rsidRPr="0015541C" w:rsidRDefault="00FD7E5C" w:rsidP="00B342E0">
            <w:pPr>
              <w:keepNext/>
              <w:keepLines/>
              <w:jc w:val="center"/>
              <w:rPr>
                <w:rFonts w:ascii="Arial" w:eastAsia="SimSun" w:hAnsi="Arial"/>
                <w:sz w:val="20"/>
                <w:lang w:val="pl-PL" w:eastAsia="zh-CN"/>
              </w:rPr>
            </w:pPr>
            <w:r w:rsidRPr="0015541C">
              <w:rPr>
                <w:sz w:val="20"/>
                <w:lang w:val="pl-PL"/>
              </w:rPr>
              <w:t>0</w:t>
            </w:r>
            <w:r w:rsidR="00560F98" w:rsidRPr="0015541C">
              <w:rPr>
                <w:sz w:val="20"/>
                <w:lang w:val="pl-PL"/>
              </w:rPr>
              <w:t>,</w:t>
            </w:r>
            <w:r w:rsidRPr="0015541C">
              <w:rPr>
                <w:sz w:val="20"/>
                <w:lang w:val="pl-PL"/>
              </w:rPr>
              <w:t>67</w:t>
            </w:r>
          </w:p>
          <w:p w14:paraId="4F177553" w14:textId="77777777" w:rsidR="00FD7E5C" w:rsidRPr="0015541C" w:rsidRDefault="00FD7E5C" w:rsidP="00B342E0">
            <w:pPr>
              <w:pStyle w:val="TableText10"/>
              <w:keepNext/>
              <w:keepLines/>
              <w:spacing w:line="280" w:lineRule="atLeast"/>
              <w:jc w:val="center"/>
              <w:rPr>
                <w:rFonts w:eastAsia="MS Mincho"/>
                <w:lang w:val="pl-PL"/>
              </w:rPr>
            </w:pPr>
            <w:r w:rsidRPr="0015541C">
              <w:rPr>
                <w:lang w:val="pl-PL"/>
              </w:rPr>
              <w:t>(0</w:t>
            </w:r>
            <w:r w:rsidR="00560F98" w:rsidRPr="0015541C">
              <w:rPr>
                <w:lang w:val="pl-PL"/>
              </w:rPr>
              <w:t>,</w:t>
            </w:r>
            <w:r w:rsidRPr="0015541C">
              <w:rPr>
                <w:lang w:val="pl-PL"/>
              </w:rPr>
              <w:t>52, 0</w:t>
            </w:r>
            <w:r w:rsidR="00560F98" w:rsidRPr="0015541C">
              <w:rPr>
                <w:lang w:val="pl-PL"/>
              </w:rPr>
              <w:t>,</w:t>
            </w:r>
            <w:r w:rsidRPr="0015541C">
              <w:rPr>
                <w:lang w:val="pl-PL"/>
              </w:rPr>
              <w:t>87)</w:t>
            </w:r>
          </w:p>
        </w:tc>
      </w:tr>
      <w:tr w:rsidR="005020A7" w:rsidRPr="0015541C" w14:paraId="522AD033" w14:textId="77777777" w:rsidTr="00D16D61">
        <w:tc>
          <w:tcPr>
            <w:tcW w:w="8573" w:type="dxa"/>
            <w:gridSpan w:val="3"/>
            <w:tcBorders>
              <w:top w:val="single" w:sz="4" w:space="0" w:color="auto"/>
              <w:left w:val="single" w:sz="4" w:space="0" w:color="auto"/>
              <w:bottom w:val="single" w:sz="4" w:space="0" w:color="auto"/>
              <w:right w:val="single" w:sz="4" w:space="0" w:color="auto"/>
            </w:tcBorders>
          </w:tcPr>
          <w:p w14:paraId="6B771343" w14:textId="77777777" w:rsidR="005020A7" w:rsidRPr="0015541C" w:rsidRDefault="00FD7E5C" w:rsidP="00B342E0">
            <w:pPr>
              <w:pStyle w:val="TableText10"/>
              <w:spacing w:line="280" w:lineRule="atLeast"/>
              <w:rPr>
                <w:rFonts w:eastAsia="MS Mincho"/>
                <w:lang w:val="pl-PL"/>
              </w:rPr>
            </w:pPr>
            <w:r w:rsidRPr="0015541C">
              <w:rPr>
                <w:bCs/>
                <w:lang w:val="pl-PL"/>
              </w:rPr>
              <w:t>Randomizowani pacjenci ze stopniem zaawansowania choroby IV</w:t>
            </w:r>
          </w:p>
        </w:tc>
      </w:tr>
      <w:tr w:rsidR="003D62EE" w:rsidRPr="0015541C" w14:paraId="7C74AF61" w14:textId="77777777" w:rsidTr="003C6FA3">
        <w:trPr>
          <w:trHeight w:val="226"/>
        </w:trPr>
        <w:tc>
          <w:tcPr>
            <w:tcW w:w="4321" w:type="dxa"/>
            <w:tcBorders>
              <w:top w:val="nil"/>
              <w:left w:val="single" w:sz="4" w:space="0" w:color="auto"/>
              <w:bottom w:val="nil"/>
              <w:right w:val="single" w:sz="6" w:space="0" w:color="000000"/>
            </w:tcBorders>
          </w:tcPr>
          <w:p w14:paraId="4F820CDE" w14:textId="77777777" w:rsidR="005020A7" w:rsidRPr="0015541C" w:rsidRDefault="005020A7" w:rsidP="00D463A3">
            <w:pPr>
              <w:pStyle w:val="NoSpacing"/>
              <w:rPr>
                <w:rFonts w:eastAsia="MS Mincho"/>
                <w:sz w:val="20"/>
                <w:lang w:val="pl-PL"/>
              </w:rPr>
            </w:pPr>
          </w:p>
        </w:tc>
        <w:tc>
          <w:tcPr>
            <w:tcW w:w="2268" w:type="dxa"/>
            <w:tcBorders>
              <w:top w:val="nil"/>
              <w:left w:val="single" w:sz="6" w:space="0" w:color="000000"/>
              <w:bottom w:val="nil"/>
              <w:right w:val="single" w:sz="6" w:space="0" w:color="000000"/>
            </w:tcBorders>
            <w:vAlign w:val="center"/>
          </w:tcPr>
          <w:p w14:paraId="4B348068" w14:textId="77777777" w:rsidR="005020A7" w:rsidRPr="00AC3958" w:rsidRDefault="005020A7" w:rsidP="00D463A3">
            <w:pPr>
              <w:pStyle w:val="NoSpacing"/>
              <w:jc w:val="center"/>
              <w:rPr>
                <w:rFonts w:ascii="Arial" w:eastAsia="SimSun" w:hAnsi="Arial"/>
                <w:sz w:val="20"/>
                <w:lang w:val="pl-PL" w:eastAsia="zh-CN"/>
              </w:rPr>
            </w:pPr>
            <w:r w:rsidRPr="0015541C">
              <w:rPr>
                <w:sz w:val="20"/>
                <w:lang w:val="pl-PL" w:bidi="en-US"/>
              </w:rPr>
              <w:t>CP</w:t>
            </w:r>
            <w:r w:rsidRPr="0015541C">
              <w:rPr>
                <w:sz w:val="20"/>
                <w:lang w:val="pl-PL" w:bidi="en-US"/>
              </w:rPr>
              <w:br/>
            </w:r>
            <w:r w:rsidRPr="0015541C">
              <w:rPr>
                <w:sz w:val="20"/>
                <w:lang w:val="pl-PL"/>
              </w:rPr>
              <w:t>(n = 97)</w:t>
            </w:r>
          </w:p>
        </w:tc>
        <w:tc>
          <w:tcPr>
            <w:tcW w:w="1984" w:type="dxa"/>
            <w:tcBorders>
              <w:top w:val="nil"/>
              <w:left w:val="single" w:sz="6" w:space="0" w:color="000000"/>
              <w:bottom w:val="nil"/>
              <w:right w:val="single" w:sz="4" w:space="0" w:color="auto"/>
            </w:tcBorders>
            <w:vAlign w:val="center"/>
          </w:tcPr>
          <w:p w14:paraId="382EF4DE" w14:textId="77777777" w:rsidR="005020A7" w:rsidRPr="0015541C" w:rsidRDefault="00572B3F" w:rsidP="00D463A3">
            <w:pPr>
              <w:pStyle w:val="NoSpacing"/>
              <w:jc w:val="center"/>
              <w:rPr>
                <w:rFonts w:eastAsia="MS Mincho"/>
                <w:sz w:val="20"/>
                <w:lang w:val="pl-PL"/>
              </w:rPr>
            </w:pPr>
            <w:r w:rsidRPr="00260CEC">
              <w:rPr>
                <w:sz w:val="20"/>
                <w:lang w:val="pl-PL"/>
              </w:rPr>
              <w:t>CPB7,</w:t>
            </w:r>
            <w:r w:rsidR="005020A7" w:rsidRPr="00260CEC">
              <w:rPr>
                <w:sz w:val="20"/>
                <w:lang w:val="pl-PL"/>
              </w:rPr>
              <w:t>5+</w:t>
            </w:r>
            <w:r w:rsidR="005020A7" w:rsidRPr="0015541C">
              <w:rPr>
                <w:sz w:val="20"/>
                <w:lang w:val="pl-PL" w:bidi="en-US"/>
              </w:rPr>
              <w:br/>
            </w:r>
            <w:r w:rsidR="005020A7" w:rsidRPr="0015541C">
              <w:rPr>
                <w:sz w:val="20"/>
                <w:lang w:val="pl-PL"/>
              </w:rPr>
              <w:t>(n = 104)</w:t>
            </w:r>
          </w:p>
        </w:tc>
      </w:tr>
      <w:tr w:rsidR="003D62EE" w:rsidRPr="0015541C" w14:paraId="501744B2" w14:textId="77777777" w:rsidTr="003C6FA3">
        <w:tc>
          <w:tcPr>
            <w:tcW w:w="4321" w:type="dxa"/>
            <w:tcBorders>
              <w:top w:val="nil"/>
              <w:left w:val="single" w:sz="4" w:space="0" w:color="auto"/>
              <w:bottom w:val="nil"/>
              <w:right w:val="single" w:sz="6" w:space="0" w:color="000000"/>
            </w:tcBorders>
          </w:tcPr>
          <w:p w14:paraId="23790810" w14:textId="77777777" w:rsidR="00FD7E5C" w:rsidRPr="0015541C" w:rsidRDefault="00FD7E5C" w:rsidP="00B342E0">
            <w:pPr>
              <w:pStyle w:val="TableText10"/>
              <w:spacing w:line="280" w:lineRule="atLeast"/>
              <w:rPr>
                <w:rFonts w:ascii="Arial" w:eastAsia="SimSun" w:hAnsi="Arial"/>
                <w:lang w:val="pl-PL" w:eastAsia="zh-CN"/>
              </w:rPr>
            </w:pPr>
            <w:r w:rsidRPr="0015541C">
              <w:rPr>
                <w:lang w:val="pl-PL"/>
              </w:rPr>
              <w:t>Mediana czasu wolnego od progresji (miesiące)</w:t>
            </w:r>
          </w:p>
        </w:tc>
        <w:tc>
          <w:tcPr>
            <w:tcW w:w="2268" w:type="dxa"/>
            <w:tcBorders>
              <w:top w:val="nil"/>
              <w:left w:val="single" w:sz="6" w:space="0" w:color="000000"/>
              <w:bottom w:val="nil"/>
              <w:right w:val="single" w:sz="6" w:space="0" w:color="000000"/>
            </w:tcBorders>
            <w:vAlign w:val="center"/>
          </w:tcPr>
          <w:p w14:paraId="75370FF9" w14:textId="77777777" w:rsidR="00FD7E5C" w:rsidRPr="00AC3958" w:rsidRDefault="00FD7E5C" w:rsidP="00B342E0">
            <w:pPr>
              <w:jc w:val="center"/>
              <w:rPr>
                <w:rFonts w:ascii="Arial" w:eastAsia="SimSun" w:hAnsi="Arial"/>
                <w:sz w:val="20"/>
                <w:lang w:val="pl-PL" w:eastAsia="zh-CN"/>
              </w:rPr>
            </w:pPr>
            <w:r w:rsidRPr="00AC3958">
              <w:rPr>
                <w:sz w:val="20"/>
                <w:lang w:val="pl-PL"/>
              </w:rPr>
              <w:t>10</w:t>
            </w:r>
            <w:r w:rsidR="00560F98" w:rsidRPr="00AC3958">
              <w:rPr>
                <w:sz w:val="20"/>
                <w:lang w:val="pl-PL"/>
              </w:rPr>
              <w:t>,</w:t>
            </w:r>
            <w:r w:rsidRPr="00AC3958">
              <w:rPr>
                <w:sz w:val="20"/>
                <w:lang w:val="pl-PL"/>
              </w:rPr>
              <w:t>1</w:t>
            </w:r>
          </w:p>
        </w:tc>
        <w:tc>
          <w:tcPr>
            <w:tcW w:w="1984" w:type="dxa"/>
            <w:tcBorders>
              <w:top w:val="nil"/>
              <w:left w:val="single" w:sz="6" w:space="0" w:color="000000"/>
              <w:bottom w:val="nil"/>
              <w:right w:val="single" w:sz="4" w:space="0" w:color="auto"/>
            </w:tcBorders>
            <w:vAlign w:val="center"/>
          </w:tcPr>
          <w:p w14:paraId="5C6CAC35" w14:textId="77777777" w:rsidR="00FD7E5C" w:rsidRPr="0015541C" w:rsidRDefault="00FD7E5C" w:rsidP="00B342E0">
            <w:pPr>
              <w:jc w:val="center"/>
              <w:rPr>
                <w:rFonts w:ascii="Arial" w:eastAsia="SimSun" w:hAnsi="Arial"/>
                <w:sz w:val="20"/>
                <w:lang w:val="pl-PL" w:eastAsia="zh-CN"/>
              </w:rPr>
            </w:pPr>
            <w:r w:rsidRPr="00260CEC">
              <w:rPr>
                <w:sz w:val="20"/>
                <w:lang w:val="pl-PL"/>
              </w:rPr>
              <w:t>13</w:t>
            </w:r>
            <w:r w:rsidR="00560F98" w:rsidRPr="00260CEC">
              <w:rPr>
                <w:sz w:val="20"/>
                <w:lang w:val="pl-PL"/>
              </w:rPr>
              <w:t>,</w:t>
            </w:r>
            <w:r w:rsidRPr="0015541C">
              <w:rPr>
                <w:sz w:val="20"/>
                <w:lang w:val="pl-PL"/>
              </w:rPr>
              <w:t>5</w:t>
            </w:r>
          </w:p>
        </w:tc>
      </w:tr>
      <w:tr w:rsidR="00713846" w:rsidRPr="0015541C" w14:paraId="14BC74A6" w14:textId="77777777" w:rsidTr="003C6FA3">
        <w:tc>
          <w:tcPr>
            <w:tcW w:w="4321" w:type="dxa"/>
            <w:tcBorders>
              <w:top w:val="nil"/>
              <w:left w:val="single" w:sz="4" w:space="0" w:color="auto"/>
              <w:bottom w:val="single" w:sz="4" w:space="0" w:color="auto"/>
              <w:right w:val="single" w:sz="6" w:space="0" w:color="000000"/>
            </w:tcBorders>
          </w:tcPr>
          <w:p w14:paraId="27B33988" w14:textId="77777777" w:rsidR="00FD7E5C" w:rsidRPr="0015541C" w:rsidRDefault="00FD7E5C" w:rsidP="00B342E0">
            <w:pPr>
              <w:keepNext/>
              <w:keepLines/>
              <w:widowControl w:val="0"/>
              <w:rPr>
                <w:sz w:val="20"/>
                <w:lang w:val="pl-PL"/>
              </w:rPr>
            </w:pPr>
            <w:r w:rsidRPr="0015541C">
              <w:rPr>
                <w:sz w:val="20"/>
                <w:lang w:val="pl-PL"/>
              </w:rPr>
              <w:t>Współczynnik ryzyka</w:t>
            </w:r>
          </w:p>
          <w:p w14:paraId="21B2DA38" w14:textId="77777777" w:rsidR="00FD7E5C" w:rsidRPr="00AC3958" w:rsidRDefault="00FD7E5C" w:rsidP="00B342E0">
            <w:pPr>
              <w:rPr>
                <w:rFonts w:ascii="Arial" w:eastAsia="SimSun" w:hAnsi="Arial"/>
                <w:sz w:val="20"/>
                <w:lang w:val="pl-PL" w:eastAsia="zh-CN"/>
              </w:rPr>
            </w:pPr>
            <w:r w:rsidRPr="0015541C">
              <w:rPr>
                <w:sz w:val="20"/>
                <w:lang w:val="pl-PL"/>
              </w:rPr>
              <w:t xml:space="preserve"> (95% CI) </w:t>
            </w:r>
            <w:r w:rsidRPr="00AC3958">
              <w:rPr>
                <w:sz w:val="20"/>
                <w:vertAlign w:val="superscript"/>
                <w:lang w:val="pl-PL"/>
              </w:rPr>
              <w:t>4</w:t>
            </w:r>
          </w:p>
        </w:tc>
        <w:tc>
          <w:tcPr>
            <w:tcW w:w="2268" w:type="dxa"/>
            <w:tcBorders>
              <w:top w:val="nil"/>
              <w:left w:val="single" w:sz="6" w:space="0" w:color="000000"/>
              <w:bottom w:val="single" w:sz="4" w:space="0" w:color="auto"/>
              <w:right w:val="single" w:sz="6" w:space="0" w:color="000000"/>
            </w:tcBorders>
            <w:vAlign w:val="center"/>
          </w:tcPr>
          <w:p w14:paraId="656A5894" w14:textId="77777777" w:rsidR="00FD7E5C" w:rsidRPr="00260CEC" w:rsidRDefault="00FD7E5C" w:rsidP="00B342E0">
            <w:pPr>
              <w:jc w:val="center"/>
              <w:rPr>
                <w:rFonts w:ascii="Arial" w:eastAsia="SimSun" w:hAnsi="Arial"/>
                <w:sz w:val="20"/>
                <w:lang w:val="pl-PL" w:eastAsia="zh-CN"/>
              </w:rPr>
            </w:pPr>
          </w:p>
        </w:tc>
        <w:tc>
          <w:tcPr>
            <w:tcW w:w="1984" w:type="dxa"/>
            <w:tcBorders>
              <w:top w:val="nil"/>
              <w:left w:val="single" w:sz="6" w:space="0" w:color="000000"/>
              <w:bottom w:val="single" w:sz="4" w:space="0" w:color="auto"/>
              <w:right w:val="single" w:sz="4" w:space="0" w:color="auto"/>
            </w:tcBorders>
            <w:vAlign w:val="center"/>
          </w:tcPr>
          <w:p w14:paraId="3BD5157C" w14:textId="77777777" w:rsidR="00FD7E5C" w:rsidRPr="0015541C" w:rsidRDefault="00FD7E5C" w:rsidP="00B342E0">
            <w:pPr>
              <w:jc w:val="center"/>
              <w:rPr>
                <w:rFonts w:ascii="Arial" w:eastAsia="SimSun" w:hAnsi="Arial"/>
                <w:sz w:val="20"/>
                <w:lang w:val="pl-PL" w:eastAsia="zh-CN"/>
              </w:rPr>
            </w:pPr>
            <w:r w:rsidRPr="0015541C">
              <w:rPr>
                <w:sz w:val="20"/>
                <w:lang w:val="pl-PL"/>
              </w:rPr>
              <w:t>0</w:t>
            </w:r>
            <w:r w:rsidR="00560F98" w:rsidRPr="0015541C">
              <w:rPr>
                <w:sz w:val="20"/>
                <w:lang w:val="pl-PL"/>
              </w:rPr>
              <w:t>,</w:t>
            </w:r>
            <w:r w:rsidRPr="0015541C">
              <w:rPr>
                <w:sz w:val="20"/>
                <w:lang w:val="pl-PL"/>
              </w:rPr>
              <w:t xml:space="preserve">74 </w:t>
            </w:r>
          </w:p>
          <w:p w14:paraId="78A60937" w14:textId="77777777" w:rsidR="00FD7E5C" w:rsidRPr="0015541C" w:rsidRDefault="00FD7E5C" w:rsidP="00B342E0">
            <w:pPr>
              <w:jc w:val="center"/>
              <w:rPr>
                <w:rFonts w:ascii="Arial" w:eastAsia="SimSun" w:hAnsi="Arial"/>
                <w:sz w:val="20"/>
                <w:lang w:val="pl-PL" w:eastAsia="zh-CN"/>
              </w:rPr>
            </w:pPr>
            <w:r w:rsidRPr="0015541C">
              <w:rPr>
                <w:sz w:val="20"/>
                <w:lang w:val="pl-PL"/>
              </w:rPr>
              <w:t>(0</w:t>
            </w:r>
            <w:r w:rsidR="00560F98" w:rsidRPr="0015541C">
              <w:rPr>
                <w:sz w:val="20"/>
                <w:lang w:val="pl-PL"/>
              </w:rPr>
              <w:t>,</w:t>
            </w:r>
            <w:r w:rsidRPr="0015541C">
              <w:rPr>
                <w:sz w:val="20"/>
                <w:lang w:val="pl-PL"/>
              </w:rPr>
              <w:t>55, 1</w:t>
            </w:r>
            <w:r w:rsidR="00560F98" w:rsidRPr="0015541C">
              <w:rPr>
                <w:sz w:val="20"/>
                <w:lang w:val="pl-PL"/>
              </w:rPr>
              <w:t>,</w:t>
            </w:r>
            <w:r w:rsidRPr="0015541C">
              <w:rPr>
                <w:sz w:val="20"/>
                <w:lang w:val="pl-PL"/>
              </w:rPr>
              <w:t>01)</w:t>
            </w:r>
          </w:p>
        </w:tc>
      </w:tr>
    </w:tbl>
    <w:p w14:paraId="1CD3CCEA" w14:textId="77777777" w:rsidR="005020A7" w:rsidRPr="00AC3958" w:rsidRDefault="005020A7" w:rsidP="00317A60">
      <w:pPr>
        <w:rPr>
          <w:sz w:val="20"/>
          <w:lang w:val="pl-PL"/>
        </w:rPr>
      </w:pPr>
      <w:r w:rsidRPr="0015541C">
        <w:rPr>
          <w:sz w:val="20"/>
          <w:vertAlign w:val="superscript"/>
          <w:lang w:val="pl-PL"/>
        </w:rPr>
        <w:t>1</w:t>
      </w:r>
      <w:r w:rsidR="00081A06" w:rsidRPr="0015541C">
        <w:rPr>
          <w:sz w:val="20"/>
          <w:lang w:val="pl-PL"/>
        </w:rPr>
        <w:t xml:space="preserve"> Analiza czasu wolnego od progresji oceniana przez badacza z datą odcięcia danych 30 listopada</w:t>
      </w:r>
      <w:r w:rsidRPr="0015541C">
        <w:rPr>
          <w:sz w:val="20"/>
          <w:lang w:val="pl-PL"/>
        </w:rPr>
        <w:t xml:space="preserve"> 2010.</w:t>
      </w:r>
    </w:p>
    <w:p w14:paraId="0468E0DD" w14:textId="77777777" w:rsidR="005020A7" w:rsidRPr="00AC3958" w:rsidRDefault="005020A7" w:rsidP="00317A60">
      <w:pPr>
        <w:rPr>
          <w:sz w:val="20"/>
          <w:lang w:val="pl-PL"/>
        </w:rPr>
      </w:pPr>
      <w:r w:rsidRPr="00AC3958">
        <w:rPr>
          <w:sz w:val="20"/>
          <w:vertAlign w:val="superscript"/>
          <w:lang w:val="pl-PL"/>
        </w:rPr>
        <w:t>2 </w:t>
      </w:r>
      <w:r w:rsidR="00DB2AE0" w:rsidRPr="00AC3958">
        <w:rPr>
          <w:sz w:val="20"/>
          <w:lang w:val="pl-PL"/>
        </w:rPr>
        <w:t>Z</w:t>
      </w:r>
      <w:r w:rsidR="00D12DA0" w:rsidRPr="00AC3958">
        <w:rPr>
          <w:sz w:val="20"/>
          <w:lang w:val="pl-PL"/>
        </w:rPr>
        <w:t xml:space="preserve"> lub bez maroskopowej choroby resztkowej</w:t>
      </w:r>
      <w:r w:rsidRPr="00AC3958">
        <w:rPr>
          <w:sz w:val="20"/>
          <w:lang w:val="pl-PL"/>
        </w:rPr>
        <w:t>.</w:t>
      </w:r>
    </w:p>
    <w:p w14:paraId="46872612" w14:textId="77777777" w:rsidR="005020A7" w:rsidRPr="0015541C" w:rsidRDefault="005020A7" w:rsidP="00317A60">
      <w:pPr>
        <w:rPr>
          <w:sz w:val="20"/>
          <w:lang w:val="pl-PL"/>
        </w:rPr>
      </w:pPr>
      <w:r w:rsidRPr="00260CEC">
        <w:rPr>
          <w:sz w:val="20"/>
          <w:vertAlign w:val="superscript"/>
          <w:lang w:val="pl-PL"/>
        </w:rPr>
        <w:t>3</w:t>
      </w:r>
      <w:r w:rsidRPr="00260CEC">
        <w:rPr>
          <w:sz w:val="20"/>
          <w:lang w:val="pl-PL"/>
        </w:rPr>
        <w:t xml:space="preserve"> </w:t>
      </w:r>
      <w:r w:rsidR="00DB2AE0" w:rsidRPr="0015541C">
        <w:rPr>
          <w:sz w:val="20"/>
          <w:lang w:val="pl-PL"/>
        </w:rPr>
        <w:t>U</w:t>
      </w:r>
      <w:r w:rsidR="003309B9" w:rsidRPr="0015541C">
        <w:rPr>
          <w:sz w:val="20"/>
          <w:lang w:val="pl-PL"/>
        </w:rPr>
        <w:t xml:space="preserve"> </w:t>
      </w:r>
      <w:r w:rsidRPr="0015541C">
        <w:rPr>
          <w:sz w:val="20"/>
          <w:lang w:val="pl-PL"/>
        </w:rPr>
        <w:t>5</w:t>
      </w:r>
      <w:r w:rsidR="00560F98" w:rsidRPr="0015541C">
        <w:rPr>
          <w:sz w:val="20"/>
          <w:lang w:val="pl-PL"/>
        </w:rPr>
        <w:t>,</w:t>
      </w:r>
      <w:r w:rsidRPr="0015541C">
        <w:rPr>
          <w:sz w:val="20"/>
          <w:lang w:val="pl-PL"/>
        </w:rPr>
        <w:t xml:space="preserve">8% </w:t>
      </w:r>
      <w:r w:rsidR="003309B9" w:rsidRPr="0015541C">
        <w:rPr>
          <w:sz w:val="20"/>
          <w:lang w:val="pl-PL"/>
        </w:rPr>
        <w:t>wszystkich zrandomizowanych chorych stwierdzano stopień zaawansowania choroby IIIB</w:t>
      </w:r>
      <w:r w:rsidRPr="0015541C">
        <w:rPr>
          <w:sz w:val="20"/>
          <w:lang w:val="pl-PL"/>
        </w:rPr>
        <w:t>.</w:t>
      </w:r>
    </w:p>
    <w:p w14:paraId="49CC6BB0" w14:textId="77777777" w:rsidR="005020A7" w:rsidRPr="0015541C" w:rsidRDefault="005020A7" w:rsidP="00317A60">
      <w:pPr>
        <w:rPr>
          <w:sz w:val="20"/>
          <w:lang w:val="pl-PL"/>
        </w:rPr>
      </w:pPr>
      <w:r w:rsidRPr="0015541C">
        <w:rPr>
          <w:sz w:val="20"/>
          <w:vertAlign w:val="superscript"/>
          <w:lang w:val="pl-PL"/>
        </w:rPr>
        <w:t>4 </w:t>
      </w:r>
      <w:r w:rsidR="00DB2AE0" w:rsidRPr="0015541C">
        <w:rPr>
          <w:sz w:val="20"/>
          <w:lang w:val="pl-PL"/>
        </w:rPr>
        <w:t>W</w:t>
      </w:r>
      <w:r w:rsidR="003309B9" w:rsidRPr="0015541C">
        <w:rPr>
          <w:sz w:val="20"/>
          <w:lang w:val="pl-PL"/>
        </w:rPr>
        <w:t xml:space="preserve"> porównaniu z</w:t>
      </w:r>
      <w:r w:rsidR="003309B9" w:rsidRPr="0015541C">
        <w:rPr>
          <w:sz w:val="20"/>
          <w:vertAlign w:val="superscript"/>
          <w:lang w:val="pl-PL"/>
        </w:rPr>
        <w:t xml:space="preserve"> </w:t>
      </w:r>
      <w:r w:rsidR="003309B9" w:rsidRPr="0015541C">
        <w:rPr>
          <w:sz w:val="20"/>
          <w:lang w:val="pl-PL"/>
        </w:rPr>
        <w:t>grupą kontrolną</w:t>
      </w:r>
      <w:r w:rsidR="00560F98" w:rsidRPr="0015541C">
        <w:rPr>
          <w:sz w:val="20"/>
          <w:lang w:val="pl-PL"/>
        </w:rPr>
        <w:t>.</w:t>
      </w:r>
    </w:p>
    <w:p w14:paraId="424C0F09" w14:textId="77777777" w:rsidR="006F5522" w:rsidRPr="0015541C" w:rsidRDefault="006F5522" w:rsidP="00317A60">
      <w:pPr>
        <w:rPr>
          <w:bCs/>
          <w:lang w:val="pl-PL"/>
        </w:rPr>
      </w:pPr>
    </w:p>
    <w:p w14:paraId="7AE9ACC6" w14:textId="77777777" w:rsidR="00417026" w:rsidRPr="0015541C" w:rsidRDefault="00417026" w:rsidP="00417026">
      <w:pPr>
        <w:rPr>
          <w:i/>
          <w:lang w:val="pl-PL"/>
        </w:rPr>
      </w:pPr>
      <w:r w:rsidRPr="0015541C">
        <w:rPr>
          <w:i/>
          <w:lang w:val="pl-PL"/>
        </w:rPr>
        <w:t>Nawrotowy rak jajnika</w:t>
      </w:r>
    </w:p>
    <w:p w14:paraId="71962655" w14:textId="77777777" w:rsidR="00417026" w:rsidRPr="0015541C" w:rsidRDefault="00417026" w:rsidP="00417026">
      <w:pPr>
        <w:rPr>
          <w:i/>
          <w:lang w:val="pl-PL"/>
        </w:rPr>
      </w:pPr>
    </w:p>
    <w:p w14:paraId="28497534" w14:textId="77777777" w:rsidR="00184154" w:rsidRPr="0015541C" w:rsidRDefault="00184154" w:rsidP="00184154">
      <w:pPr>
        <w:rPr>
          <w:rFonts w:eastAsia="PMingLiU"/>
          <w:lang w:val="pl-PL" w:eastAsia="zh-CN"/>
        </w:rPr>
      </w:pPr>
      <w:r w:rsidRPr="0015541C">
        <w:rPr>
          <w:rFonts w:eastAsia="PMingLiU"/>
          <w:lang w:val="pl-PL" w:eastAsia="zh-CN"/>
        </w:rPr>
        <w:t xml:space="preserve">Bezpieczeństwo i skuteczność </w:t>
      </w:r>
      <w:r w:rsidR="00C73E1E" w:rsidRPr="0015541C">
        <w:rPr>
          <w:rFonts w:eastAsia="PMingLiU"/>
          <w:lang w:val="pl-PL" w:eastAsia="zh-CN"/>
        </w:rPr>
        <w:t>bewacyzumab</w:t>
      </w:r>
      <w:r w:rsidRPr="0015541C">
        <w:rPr>
          <w:rFonts w:eastAsia="PMingLiU"/>
          <w:lang w:val="pl-PL" w:eastAsia="zh-CN"/>
        </w:rPr>
        <w:t xml:space="preserve">u u pacjentów z nawrotowym rakiem jajnika, rakiem jajowodu lub pierwotnym rakiem otrzewnej badano w </w:t>
      </w:r>
      <w:r w:rsidR="00601D12" w:rsidRPr="0015541C">
        <w:rPr>
          <w:rFonts w:eastAsia="PMingLiU"/>
          <w:lang w:val="pl-PL" w:eastAsia="zh-CN"/>
        </w:rPr>
        <w:t>trzech</w:t>
      </w:r>
      <w:r w:rsidRPr="0015541C">
        <w:rPr>
          <w:rFonts w:eastAsia="PMingLiU"/>
          <w:lang w:val="pl-PL" w:eastAsia="zh-CN"/>
        </w:rPr>
        <w:t xml:space="preserve"> badaniach III fazy (AVF4095g</w:t>
      </w:r>
      <w:r w:rsidR="00601D12" w:rsidRPr="0015541C">
        <w:rPr>
          <w:rFonts w:eastAsia="PMingLiU"/>
          <w:lang w:val="pl-PL" w:eastAsia="zh-CN"/>
        </w:rPr>
        <w:t>,</w:t>
      </w:r>
      <w:r w:rsidRPr="0015541C">
        <w:rPr>
          <w:rFonts w:eastAsia="PMingLiU"/>
          <w:lang w:val="pl-PL" w:eastAsia="zh-CN"/>
        </w:rPr>
        <w:t xml:space="preserve"> MO22224</w:t>
      </w:r>
      <w:r w:rsidR="00601D12" w:rsidRPr="0015541C">
        <w:rPr>
          <w:rFonts w:eastAsia="PMingLiU"/>
          <w:lang w:val="pl-PL" w:eastAsia="zh-CN"/>
        </w:rPr>
        <w:t xml:space="preserve"> i GOG-0213</w:t>
      </w:r>
      <w:r w:rsidRPr="0015541C">
        <w:rPr>
          <w:rFonts w:eastAsia="PMingLiU"/>
          <w:lang w:val="pl-PL" w:eastAsia="zh-CN"/>
        </w:rPr>
        <w:t>):</w:t>
      </w:r>
      <w:r w:rsidR="00055E78" w:rsidRPr="0015541C">
        <w:rPr>
          <w:rFonts w:eastAsia="PMingLiU"/>
          <w:lang w:val="pl-PL" w:eastAsia="zh-CN"/>
        </w:rPr>
        <w:t xml:space="preserve"> w różnych populacjach pacjentek</w:t>
      </w:r>
      <w:r w:rsidRPr="0015541C">
        <w:rPr>
          <w:rFonts w:eastAsia="PMingLiU"/>
          <w:lang w:val="pl-PL" w:eastAsia="zh-CN"/>
        </w:rPr>
        <w:t xml:space="preserve"> oraz w skojarzeniu z różnymi schematami chemioterapii.</w:t>
      </w:r>
    </w:p>
    <w:p w14:paraId="25221C24" w14:textId="77777777" w:rsidR="00184154" w:rsidRPr="0015541C" w:rsidRDefault="00184154" w:rsidP="00184154">
      <w:pPr>
        <w:rPr>
          <w:rFonts w:eastAsia="PMingLiU"/>
          <w:lang w:val="pl-PL" w:eastAsia="zh-CN"/>
        </w:rPr>
      </w:pPr>
    </w:p>
    <w:p w14:paraId="289E5929" w14:textId="77777777" w:rsidR="00184154" w:rsidRPr="0015541C" w:rsidRDefault="00184154" w:rsidP="00184154">
      <w:pPr>
        <w:ind w:left="567" w:hanging="567"/>
        <w:rPr>
          <w:szCs w:val="22"/>
          <w:lang w:val="pl-PL"/>
        </w:rPr>
      </w:pPr>
      <w:r w:rsidRPr="0015541C">
        <w:rPr>
          <w:szCs w:val="22"/>
          <w:lang w:val="pl-PL"/>
        </w:rPr>
        <w:t>•</w:t>
      </w:r>
      <w:r w:rsidRPr="0015541C">
        <w:rPr>
          <w:szCs w:val="22"/>
          <w:lang w:val="pl-PL"/>
        </w:rPr>
        <w:tab/>
        <w:t xml:space="preserve">W badaniu AVF4095g oceniano skuteczność i bezpieczeństwo stosowania bewacyzumabu </w:t>
      </w:r>
      <w:r w:rsidR="00055E78" w:rsidRPr="0015541C">
        <w:rPr>
          <w:szCs w:val="22"/>
          <w:lang w:val="pl-PL"/>
        </w:rPr>
        <w:br/>
      </w:r>
      <w:r w:rsidRPr="0015541C">
        <w:rPr>
          <w:szCs w:val="22"/>
          <w:lang w:val="pl-PL"/>
        </w:rPr>
        <w:t>w skojarzeniu z karboplatyną i gemcytabiną</w:t>
      </w:r>
      <w:r w:rsidR="00DB38EC" w:rsidRPr="0015541C">
        <w:rPr>
          <w:szCs w:val="22"/>
          <w:lang w:val="pl-PL"/>
        </w:rPr>
        <w:t xml:space="preserve">, </w:t>
      </w:r>
      <w:r w:rsidR="00895115" w:rsidRPr="0015541C">
        <w:rPr>
          <w:szCs w:val="22"/>
          <w:lang w:val="pl-PL"/>
        </w:rPr>
        <w:t>oraz</w:t>
      </w:r>
      <w:r w:rsidR="0010759C" w:rsidRPr="0015541C">
        <w:rPr>
          <w:szCs w:val="22"/>
          <w:lang w:val="pl-PL"/>
        </w:rPr>
        <w:t xml:space="preserve"> kontynu</w:t>
      </w:r>
      <w:r w:rsidR="00895115" w:rsidRPr="0015541C">
        <w:rPr>
          <w:szCs w:val="22"/>
          <w:lang w:val="pl-PL"/>
        </w:rPr>
        <w:t>owania</w:t>
      </w:r>
      <w:r w:rsidR="00DB38EC" w:rsidRPr="0015541C">
        <w:rPr>
          <w:szCs w:val="22"/>
          <w:lang w:val="pl-PL"/>
        </w:rPr>
        <w:t xml:space="preserve"> leczeni</w:t>
      </w:r>
      <w:r w:rsidR="00895115" w:rsidRPr="0015541C">
        <w:rPr>
          <w:szCs w:val="22"/>
          <w:lang w:val="pl-PL"/>
        </w:rPr>
        <w:t>a</w:t>
      </w:r>
      <w:r w:rsidR="00DB38EC" w:rsidRPr="0015541C">
        <w:rPr>
          <w:szCs w:val="22"/>
          <w:lang w:val="pl-PL"/>
        </w:rPr>
        <w:t xml:space="preserve"> bewacyzumabem w monoterapii</w:t>
      </w:r>
      <w:r w:rsidRPr="0015541C">
        <w:rPr>
          <w:szCs w:val="22"/>
          <w:lang w:val="pl-PL"/>
        </w:rPr>
        <w:t xml:space="preserve"> u pacjentów z wrażliwym na związki platyny nawrotowym rakiem jajnika, rakiem jajowodu lub pierwotnym rakiem otrzewnej.</w:t>
      </w:r>
    </w:p>
    <w:p w14:paraId="5DCF49B1" w14:textId="77777777" w:rsidR="00DB38EC" w:rsidRPr="0015541C" w:rsidRDefault="00DB38EC" w:rsidP="00184154">
      <w:pPr>
        <w:ind w:left="567" w:hanging="567"/>
        <w:rPr>
          <w:szCs w:val="22"/>
          <w:lang w:val="pl-PL"/>
        </w:rPr>
      </w:pPr>
      <w:r w:rsidRPr="0015541C">
        <w:rPr>
          <w:szCs w:val="22"/>
          <w:lang w:val="pl-PL"/>
        </w:rPr>
        <w:t>•</w:t>
      </w:r>
      <w:r w:rsidRPr="0015541C">
        <w:rPr>
          <w:szCs w:val="22"/>
          <w:lang w:val="pl-PL"/>
        </w:rPr>
        <w:tab/>
        <w:t xml:space="preserve">W badaniu GOG-0213 oceniano skuteczność i bezpieczeństwo stosowania bewacyzumabu w skojarzeniu z karboplatyną i paklitakselem, </w:t>
      </w:r>
      <w:r w:rsidR="00895115" w:rsidRPr="0015541C">
        <w:rPr>
          <w:szCs w:val="22"/>
          <w:lang w:val="pl-PL"/>
        </w:rPr>
        <w:t xml:space="preserve">oraz </w:t>
      </w:r>
      <w:r w:rsidR="00C829EA" w:rsidRPr="0015541C">
        <w:rPr>
          <w:szCs w:val="22"/>
          <w:lang w:val="pl-PL"/>
        </w:rPr>
        <w:t>kontynuowan</w:t>
      </w:r>
      <w:r w:rsidR="00895115" w:rsidRPr="0015541C">
        <w:rPr>
          <w:szCs w:val="22"/>
          <w:lang w:val="pl-PL"/>
        </w:rPr>
        <w:t>ia</w:t>
      </w:r>
      <w:r w:rsidRPr="0015541C">
        <w:rPr>
          <w:szCs w:val="22"/>
          <w:lang w:val="pl-PL"/>
        </w:rPr>
        <w:t xml:space="preserve"> leczeni</w:t>
      </w:r>
      <w:r w:rsidR="000866ED" w:rsidRPr="0015541C">
        <w:rPr>
          <w:szCs w:val="22"/>
          <w:lang w:val="pl-PL"/>
        </w:rPr>
        <w:t>a</w:t>
      </w:r>
      <w:r w:rsidRPr="0015541C">
        <w:rPr>
          <w:szCs w:val="22"/>
          <w:lang w:val="pl-PL"/>
        </w:rPr>
        <w:t xml:space="preserve"> bewacyzumabem w monoterapii u pacjentów z wrażliwym na związki platyny nawrotowym rakiem jajnika, rakiem jajowodu lub pierwotnym rakiem otrzewnej.</w:t>
      </w:r>
    </w:p>
    <w:p w14:paraId="744AF64C" w14:textId="77777777" w:rsidR="00184154" w:rsidRPr="0015541C" w:rsidRDefault="00184154" w:rsidP="00184154">
      <w:pPr>
        <w:ind w:left="567" w:hanging="567"/>
        <w:rPr>
          <w:lang w:val="pl-PL"/>
        </w:rPr>
      </w:pPr>
      <w:r w:rsidRPr="0015541C">
        <w:rPr>
          <w:szCs w:val="22"/>
          <w:lang w:val="pl-PL"/>
        </w:rPr>
        <w:t>•</w:t>
      </w:r>
      <w:r w:rsidRPr="0015541C">
        <w:rPr>
          <w:szCs w:val="22"/>
          <w:lang w:val="pl-PL"/>
        </w:rPr>
        <w:tab/>
        <w:t xml:space="preserve">W badaniu MO22224 oceniano skuteczność i bezpieczeństwo bewacyzumabu w skojarzeniu </w:t>
      </w:r>
      <w:r w:rsidR="00055E78" w:rsidRPr="0015541C">
        <w:rPr>
          <w:szCs w:val="22"/>
          <w:lang w:val="pl-PL"/>
        </w:rPr>
        <w:br/>
      </w:r>
      <w:r w:rsidRPr="0015541C">
        <w:rPr>
          <w:szCs w:val="22"/>
          <w:lang w:val="pl-PL"/>
        </w:rPr>
        <w:t xml:space="preserve">z paklitakselem, topotekanem lub pegylowaną liposomalną doksorubicyną u pacjentów </w:t>
      </w:r>
      <w:r w:rsidR="00055E78" w:rsidRPr="0015541C">
        <w:rPr>
          <w:szCs w:val="22"/>
          <w:lang w:val="pl-PL"/>
        </w:rPr>
        <w:br/>
      </w:r>
      <w:r w:rsidRPr="0015541C">
        <w:rPr>
          <w:szCs w:val="22"/>
          <w:lang w:val="pl-PL"/>
        </w:rPr>
        <w:t>z opornym na związki platyny nawrotowym rakiem jajnika</w:t>
      </w:r>
      <w:r w:rsidRPr="0015541C">
        <w:rPr>
          <w:lang w:val="pl-PL"/>
        </w:rPr>
        <w:t>, rakiem jajowodu lub pierwotnym rakiem otrzewnej.</w:t>
      </w:r>
    </w:p>
    <w:p w14:paraId="7AD7AA22" w14:textId="77777777" w:rsidR="00184154" w:rsidRPr="0015541C" w:rsidRDefault="00184154" w:rsidP="00417026">
      <w:pPr>
        <w:rPr>
          <w:i/>
          <w:lang w:val="pl-PL"/>
        </w:rPr>
      </w:pPr>
    </w:p>
    <w:p w14:paraId="3EA6C32D" w14:textId="77777777" w:rsidR="00417026" w:rsidRPr="0015541C" w:rsidRDefault="00417026" w:rsidP="00EE7A0B">
      <w:pPr>
        <w:rPr>
          <w:i/>
          <w:lang w:val="pl-PL"/>
        </w:rPr>
      </w:pPr>
      <w:r w:rsidRPr="0015541C">
        <w:rPr>
          <w:i/>
          <w:lang w:val="pl-PL"/>
        </w:rPr>
        <w:t>Badanie AVF4095g</w:t>
      </w:r>
    </w:p>
    <w:p w14:paraId="1E9A73AF" w14:textId="77777777" w:rsidR="00417026" w:rsidRPr="0015541C" w:rsidRDefault="00417026" w:rsidP="00EE7A0B">
      <w:pPr>
        <w:rPr>
          <w:lang w:val="pl-PL"/>
        </w:rPr>
      </w:pPr>
      <w:r w:rsidRPr="0015541C">
        <w:rPr>
          <w:lang w:val="pl-PL"/>
        </w:rPr>
        <w:t xml:space="preserve">Bezpieczeństwo i skuteczność </w:t>
      </w:r>
      <w:r w:rsidR="00EB1C67" w:rsidRPr="0015541C">
        <w:rPr>
          <w:lang w:val="pl-PL"/>
        </w:rPr>
        <w:t>bewacyzumab</w:t>
      </w:r>
      <w:r w:rsidR="002B58FF" w:rsidRPr="0015541C">
        <w:rPr>
          <w:lang w:val="pl-PL"/>
        </w:rPr>
        <w:t>u</w:t>
      </w:r>
      <w:r w:rsidRPr="0015541C">
        <w:rPr>
          <w:lang w:val="pl-PL"/>
        </w:rPr>
        <w:t xml:space="preserve"> u pacjentów z wrażliwym na związki platyny nawrotowym rakiem jajnika, rakiem jajowodu lub pierwotnym rakiem otrzewnej, u których nie stosowano wcześniej chemioterapii z powodu nawrotu choroby ani też nie stosowano wcześniej bewacyzumabu, oceniano w randomizowanym badaniu fazy III z podwójnie ślepą próbą i zastosowaniem placebo w grupie kontrolnej (badanie AVF4095g). W badaniu porównywano wyniki leczenia za pomocą </w:t>
      </w:r>
      <w:r w:rsidR="00EB1C67" w:rsidRPr="0015541C">
        <w:rPr>
          <w:lang w:val="pl-PL"/>
        </w:rPr>
        <w:t>bewacyzumab</w:t>
      </w:r>
      <w:r w:rsidR="002B58FF" w:rsidRPr="0015541C">
        <w:rPr>
          <w:lang w:val="pl-PL"/>
        </w:rPr>
        <w:t>u</w:t>
      </w:r>
      <w:r w:rsidRPr="0015541C">
        <w:rPr>
          <w:lang w:val="pl-PL"/>
        </w:rPr>
        <w:t xml:space="preserve"> dodanego do chemioterapii </w:t>
      </w:r>
      <w:r w:rsidR="00AA0B43" w:rsidRPr="0015541C">
        <w:rPr>
          <w:lang w:val="pl-PL"/>
        </w:rPr>
        <w:t>(</w:t>
      </w:r>
      <w:r w:rsidRPr="0015541C">
        <w:rPr>
          <w:lang w:val="pl-PL"/>
        </w:rPr>
        <w:t>karboplatyn</w:t>
      </w:r>
      <w:r w:rsidR="00AA0B43" w:rsidRPr="0015541C">
        <w:rPr>
          <w:lang w:val="pl-PL"/>
        </w:rPr>
        <w:t>a</w:t>
      </w:r>
      <w:r w:rsidRPr="0015541C">
        <w:rPr>
          <w:lang w:val="pl-PL"/>
        </w:rPr>
        <w:t xml:space="preserve"> i gemcytabin</w:t>
      </w:r>
      <w:r w:rsidR="00AA0B43" w:rsidRPr="0015541C">
        <w:rPr>
          <w:lang w:val="pl-PL"/>
        </w:rPr>
        <w:t>a)</w:t>
      </w:r>
      <w:r w:rsidRPr="0015541C">
        <w:rPr>
          <w:lang w:val="pl-PL"/>
        </w:rPr>
        <w:t>, a następnie kontynu</w:t>
      </w:r>
      <w:r w:rsidR="00AA0B43" w:rsidRPr="0015541C">
        <w:rPr>
          <w:lang w:val="pl-PL"/>
        </w:rPr>
        <w:t xml:space="preserve">owanego </w:t>
      </w:r>
      <w:r w:rsidRPr="0015541C">
        <w:rPr>
          <w:lang w:val="pl-PL"/>
        </w:rPr>
        <w:t xml:space="preserve">w monoterapii aż do wystąpienia progresji choroby, z wynikami </w:t>
      </w:r>
      <w:r w:rsidR="00AA0B43" w:rsidRPr="0015541C">
        <w:rPr>
          <w:lang w:val="pl-PL"/>
        </w:rPr>
        <w:t>za</w:t>
      </w:r>
      <w:r w:rsidRPr="0015541C">
        <w:rPr>
          <w:lang w:val="pl-PL"/>
        </w:rPr>
        <w:t>stosowania tylko karboplatyny i gemcytabiny.</w:t>
      </w:r>
    </w:p>
    <w:p w14:paraId="2654CE5A" w14:textId="77777777" w:rsidR="00417026" w:rsidRPr="0015541C" w:rsidRDefault="00417026" w:rsidP="00FE0558">
      <w:pPr>
        <w:keepNext/>
        <w:keepLines/>
        <w:rPr>
          <w:lang w:val="pl-PL"/>
        </w:rPr>
      </w:pPr>
    </w:p>
    <w:p w14:paraId="1E7D1B01" w14:textId="77777777" w:rsidR="00417026" w:rsidRPr="0015541C" w:rsidRDefault="00417026" w:rsidP="00FE0558">
      <w:pPr>
        <w:keepNext/>
        <w:keepLines/>
        <w:rPr>
          <w:lang w:val="pl-PL"/>
        </w:rPr>
      </w:pPr>
      <w:r w:rsidRPr="0015541C">
        <w:rPr>
          <w:lang w:val="pl-PL"/>
        </w:rPr>
        <w:t>Do badania włączano tylko pacjentów z potwierdzonym histologicznie rakiem jajnika, pierwotnym rakiem otrzewnej lub rakiem jajowodu, u których wystąpił nawrót choroby &gt; 6 miesięcy po zakończeniu chemioterapii opartej na związkach platyny, którzy nie otrzymywali chemioterapii z powodu nawrotu choroby i u których nie stosowano wcześniej bewacyzumabu ani innych inhibitorów VEGF lub leków działających na receptor dla VEGF.</w:t>
      </w:r>
    </w:p>
    <w:p w14:paraId="4081B3B4" w14:textId="77777777" w:rsidR="00417026" w:rsidRPr="0015541C" w:rsidRDefault="00417026" w:rsidP="00FE0558">
      <w:pPr>
        <w:keepNext/>
        <w:keepLines/>
        <w:rPr>
          <w:lang w:val="pl-PL"/>
        </w:rPr>
      </w:pPr>
    </w:p>
    <w:p w14:paraId="4AD7DF06" w14:textId="77777777" w:rsidR="00417026" w:rsidRPr="0015541C" w:rsidRDefault="00417026" w:rsidP="003D6982">
      <w:pPr>
        <w:keepNext/>
        <w:keepLines/>
        <w:rPr>
          <w:lang w:val="pl-PL"/>
        </w:rPr>
      </w:pPr>
      <w:r w:rsidRPr="0015541C">
        <w:rPr>
          <w:lang w:val="pl-PL"/>
        </w:rPr>
        <w:t>Ogółem 484 pacjentów z mierzalnymi zmianami nowotworowymi przydzielono losowo (w stosunku 1:1) do jednej z dwóch grup otrzymujących:</w:t>
      </w:r>
    </w:p>
    <w:p w14:paraId="5693D2D4" w14:textId="77777777" w:rsidR="00417026" w:rsidRPr="0015541C" w:rsidRDefault="00490C99" w:rsidP="00481985">
      <w:pPr>
        <w:keepNext/>
        <w:keepLines/>
        <w:tabs>
          <w:tab w:val="left" w:pos="600"/>
        </w:tabs>
        <w:ind w:left="567" w:hanging="567"/>
        <w:rPr>
          <w:lang w:val="pl-PL"/>
        </w:rPr>
      </w:pPr>
      <w:r w:rsidRPr="0015541C">
        <w:rPr>
          <w:iCs/>
          <w:lang w:val="pl-PL"/>
        </w:rPr>
        <w:sym w:font="Symbol" w:char="F0B7"/>
      </w:r>
      <w:r w:rsidR="00417026" w:rsidRPr="0015541C">
        <w:rPr>
          <w:lang w:val="pl-PL"/>
        </w:rPr>
        <w:tab/>
        <w:t>karboplatynę (AUC</w:t>
      </w:r>
      <w:r w:rsidR="00AA0B43" w:rsidRPr="0015541C">
        <w:rPr>
          <w:lang w:val="pl-PL"/>
        </w:rPr>
        <w:t xml:space="preserve"> </w:t>
      </w:r>
      <w:r w:rsidR="00417026" w:rsidRPr="0015541C">
        <w:rPr>
          <w:lang w:val="pl-PL"/>
        </w:rPr>
        <w:t>4, dzień 1.) i gemcytabinę (1000 mg/m</w:t>
      </w:r>
      <w:r w:rsidR="00417026" w:rsidRPr="00AC3958">
        <w:rPr>
          <w:vertAlign w:val="superscript"/>
          <w:lang w:val="pl-PL"/>
        </w:rPr>
        <w:t>2</w:t>
      </w:r>
      <w:r w:rsidR="00417026" w:rsidRPr="00AC3958">
        <w:rPr>
          <w:lang w:val="pl-PL"/>
        </w:rPr>
        <w:t xml:space="preserve"> w dniu 1. i 8.) wraz z placebo co 3 tygodnie przez</w:t>
      </w:r>
      <w:r w:rsidR="00417026" w:rsidRPr="00260CEC">
        <w:rPr>
          <w:lang w:val="pl-PL"/>
        </w:rPr>
        <w:t xml:space="preserve"> 6</w:t>
      </w:r>
      <w:r w:rsidR="003108F2" w:rsidRPr="0015541C">
        <w:rPr>
          <w:lang w:val="pl-PL"/>
        </w:rPr>
        <w:t xml:space="preserve"> do </w:t>
      </w:r>
      <w:r w:rsidR="00417026" w:rsidRPr="0015541C">
        <w:rPr>
          <w:lang w:val="pl-PL"/>
        </w:rPr>
        <w:t xml:space="preserve">10 cykli, a następnie wyłącznie placebo </w:t>
      </w:r>
      <w:r w:rsidR="00AF2DF4" w:rsidRPr="0015541C">
        <w:rPr>
          <w:lang w:val="pl-PL"/>
        </w:rPr>
        <w:t xml:space="preserve">(co trzy tygodnie) </w:t>
      </w:r>
      <w:r w:rsidR="00417026" w:rsidRPr="0015541C">
        <w:rPr>
          <w:lang w:val="pl-PL"/>
        </w:rPr>
        <w:t xml:space="preserve">aż do wystąpienia progresji choroby lub niemożliwych do zaakceptowania działań niepożądanych albo </w:t>
      </w:r>
    </w:p>
    <w:p w14:paraId="000BED34" w14:textId="77777777" w:rsidR="00417026" w:rsidRPr="0015541C" w:rsidRDefault="00490C99" w:rsidP="00FE0558">
      <w:pPr>
        <w:keepNext/>
        <w:keepLines/>
        <w:tabs>
          <w:tab w:val="left" w:pos="600"/>
        </w:tabs>
        <w:ind w:left="567" w:hanging="567"/>
        <w:rPr>
          <w:lang w:val="pl-PL"/>
        </w:rPr>
      </w:pPr>
      <w:r w:rsidRPr="0015541C">
        <w:rPr>
          <w:iCs/>
          <w:lang w:val="pl-PL"/>
        </w:rPr>
        <w:sym w:font="Symbol" w:char="F0B7"/>
      </w:r>
      <w:r w:rsidR="00417026" w:rsidRPr="0015541C">
        <w:rPr>
          <w:lang w:val="pl-PL"/>
        </w:rPr>
        <w:tab/>
        <w:t>karboplatynę (AUC</w:t>
      </w:r>
      <w:r w:rsidR="00AA0B43" w:rsidRPr="0015541C">
        <w:rPr>
          <w:lang w:val="pl-PL"/>
        </w:rPr>
        <w:t xml:space="preserve"> </w:t>
      </w:r>
      <w:r w:rsidR="00417026" w:rsidRPr="0015541C">
        <w:rPr>
          <w:lang w:val="pl-PL"/>
        </w:rPr>
        <w:t>4, dzień 1.) i gemcytabinę (1000 mg/m</w:t>
      </w:r>
      <w:r w:rsidR="00417026" w:rsidRPr="00AC3958">
        <w:rPr>
          <w:vertAlign w:val="superscript"/>
          <w:lang w:val="pl-PL"/>
        </w:rPr>
        <w:t>2</w:t>
      </w:r>
      <w:r w:rsidR="00417026" w:rsidRPr="00AC3958">
        <w:rPr>
          <w:lang w:val="pl-PL"/>
        </w:rPr>
        <w:t xml:space="preserve"> w dniu 1. i 8.) wraz z </w:t>
      </w:r>
      <w:r w:rsidR="00030BB4" w:rsidRPr="00260CEC">
        <w:rPr>
          <w:lang w:val="pl-PL"/>
        </w:rPr>
        <w:t>bewacyzumab</w:t>
      </w:r>
      <w:r w:rsidR="00417026" w:rsidRPr="0015541C">
        <w:rPr>
          <w:lang w:val="pl-PL"/>
        </w:rPr>
        <w:t xml:space="preserve">em (15 mg/kg </w:t>
      </w:r>
      <w:r w:rsidR="00E42368" w:rsidRPr="0015541C">
        <w:rPr>
          <w:lang w:val="pl-PL"/>
        </w:rPr>
        <w:t xml:space="preserve">mc. </w:t>
      </w:r>
      <w:r w:rsidR="00417026" w:rsidRPr="0015541C">
        <w:rPr>
          <w:lang w:val="pl-PL"/>
        </w:rPr>
        <w:t>w dniu 1.) co 3 tygodnie przez 6</w:t>
      </w:r>
      <w:r w:rsidR="003108F2" w:rsidRPr="0015541C">
        <w:rPr>
          <w:lang w:val="pl-PL"/>
        </w:rPr>
        <w:t xml:space="preserve"> do </w:t>
      </w:r>
      <w:r w:rsidR="00417026" w:rsidRPr="0015541C">
        <w:rPr>
          <w:lang w:val="pl-PL"/>
        </w:rPr>
        <w:t xml:space="preserve">10 cykli, a następnie wyłącznie </w:t>
      </w:r>
      <w:r w:rsidR="00030BB4" w:rsidRPr="0015541C">
        <w:rPr>
          <w:lang w:val="pl-PL"/>
        </w:rPr>
        <w:t>bewacyzumab</w:t>
      </w:r>
      <w:r w:rsidR="00417026" w:rsidRPr="0015541C">
        <w:rPr>
          <w:lang w:val="pl-PL"/>
        </w:rPr>
        <w:t xml:space="preserve"> (15 mg/kg </w:t>
      </w:r>
      <w:r w:rsidR="00E42368" w:rsidRPr="0015541C">
        <w:rPr>
          <w:lang w:val="pl-PL"/>
        </w:rPr>
        <w:t xml:space="preserve">mc. </w:t>
      </w:r>
      <w:r w:rsidR="00417026" w:rsidRPr="0015541C">
        <w:rPr>
          <w:lang w:val="pl-PL"/>
        </w:rPr>
        <w:t>co 3 tygodnie) aż do wystąpienia progresji choroby lub niemożliwych do zaakceptowania działań niepożądanych.</w:t>
      </w:r>
    </w:p>
    <w:p w14:paraId="6497A3BA" w14:textId="77777777" w:rsidR="00417026" w:rsidRPr="0015541C" w:rsidRDefault="00417026" w:rsidP="00FE0558">
      <w:pPr>
        <w:keepNext/>
        <w:keepLines/>
        <w:rPr>
          <w:lang w:val="pl-PL"/>
        </w:rPr>
      </w:pPr>
    </w:p>
    <w:p w14:paraId="28710D7C" w14:textId="74E00B95" w:rsidR="00417026" w:rsidRPr="0015541C" w:rsidRDefault="00417026" w:rsidP="00FE0558">
      <w:pPr>
        <w:keepNext/>
        <w:keepLines/>
        <w:rPr>
          <w:lang w:val="pl-PL"/>
        </w:rPr>
      </w:pPr>
      <w:r w:rsidRPr="0015541C">
        <w:rPr>
          <w:lang w:val="pl-PL"/>
        </w:rPr>
        <w:t xml:space="preserve">Głównym punktem końcowym był </w:t>
      </w:r>
      <w:r w:rsidR="00A10A10" w:rsidRPr="0015541C">
        <w:rPr>
          <w:lang w:val="pl-PL"/>
        </w:rPr>
        <w:t>PFS</w:t>
      </w:r>
      <w:r w:rsidRPr="0015541C">
        <w:rPr>
          <w:lang w:val="pl-PL"/>
        </w:rPr>
        <w:t xml:space="preserve"> według oceny badacza zgodnie z kryteriami </w:t>
      </w:r>
      <w:r w:rsidR="00525C4E" w:rsidRPr="0015541C">
        <w:rPr>
          <w:lang w:val="pl-PL"/>
        </w:rPr>
        <w:t xml:space="preserve">zmodyfikowanej klasyfikacji </w:t>
      </w:r>
      <w:r w:rsidRPr="0015541C">
        <w:rPr>
          <w:lang w:val="pl-PL"/>
        </w:rPr>
        <w:t>RECIST</w:t>
      </w:r>
      <w:r w:rsidR="00525C4E" w:rsidRPr="0015541C">
        <w:rPr>
          <w:lang w:val="pl-PL"/>
        </w:rPr>
        <w:t xml:space="preserve"> 1.0</w:t>
      </w:r>
      <w:r w:rsidRPr="0015541C">
        <w:rPr>
          <w:lang w:val="pl-PL"/>
        </w:rPr>
        <w:t xml:space="preserve">. Drugorzędowe punkty końcowe </w:t>
      </w:r>
      <w:r w:rsidR="008F1ED0" w:rsidRPr="0015541C">
        <w:rPr>
          <w:lang w:val="pl-PL"/>
        </w:rPr>
        <w:t>obejmowały</w:t>
      </w:r>
      <w:r w:rsidRPr="0015541C">
        <w:rPr>
          <w:lang w:val="pl-PL"/>
        </w:rPr>
        <w:t>: obiektywn</w:t>
      </w:r>
      <w:r w:rsidR="008F1ED0" w:rsidRPr="0015541C">
        <w:rPr>
          <w:lang w:val="pl-PL"/>
        </w:rPr>
        <w:t>ą</w:t>
      </w:r>
      <w:r w:rsidRPr="0015541C">
        <w:rPr>
          <w:lang w:val="pl-PL"/>
        </w:rPr>
        <w:t xml:space="preserve"> odpowiedź na leczenie, czas trwania odpowiedzi, </w:t>
      </w:r>
      <w:r w:rsidR="00A10A10" w:rsidRPr="0015541C">
        <w:rPr>
          <w:lang w:val="pl-PL"/>
        </w:rPr>
        <w:t>OS</w:t>
      </w:r>
      <w:r w:rsidRPr="0015541C">
        <w:rPr>
          <w:lang w:val="pl-PL"/>
        </w:rPr>
        <w:t xml:space="preserve"> i bezpieczeństwo leczenia. Przeprowadzono również niezależną ocenę głównego punktu końcowego.</w:t>
      </w:r>
    </w:p>
    <w:p w14:paraId="141F1947" w14:textId="77777777" w:rsidR="00417026" w:rsidRPr="0015541C" w:rsidRDefault="00417026" w:rsidP="00417026">
      <w:pPr>
        <w:rPr>
          <w:lang w:val="pl-PL"/>
        </w:rPr>
      </w:pPr>
    </w:p>
    <w:p w14:paraId="08197A5C" w14:textId="77777777" w:rsidR="00417026" w:rsidRPr="0015541C" w:rsidRDefault="00417026" w:rsidP="00417026">
      <w:pPr>
        <w:rPr>
          <w:lang w:val="pl-PL"/>
        </w:rPr>
      </w:pPr>
      <w:r w:rsidRPr="0015541C">
        <w:rPr>
          <w:lang w:val="pl-PL"/>
        </w:rPr>
        <w:t>Podsumowanie wyników tego badania przedstawia Tabela </w:t>
      </w:r>
      <w:r w:rsidR="00A73107" w:rsidRPr="0015541C">
        <w:rPr>
          <w:lang w:val="pl-PL"/>
        </w:rPr>
        <w:t>20</w:t>
      </w:r>
      <w:r w:rsidRPr="0015541C">
        <w:rPr>
          <w:lang w:val="pl-PL"/>
        </w:rPr>
        <w:t>.</w:t>
      </w:r>
    </w:p>
    <w:p w14:paraId="5477CC6D" w14:textId="77777777" w:rsidR="00417026" w:rsidRPr="0015541C" w:rsidRDefault="00417026" w:rsidP="00417026">
      <w:pPr>
        <w:rPr>
          <w:lang w:val="pl-PL"/>
        </w:rPr>
      </w:pPr>
    </w:p>
    <w:p w14:paraId="12EA437F" w14:textId="77777777" w:rsidR="00417026" w:rsidRPr="0015541C" w:rsidRDefault="00417026" w:rsidP="00C9229F">
      <w:pPr>
        <w:keepNext/>
        <w:keepLines/>
        <w:rPr>
          <w:b/>
          <w:lang w:val="pl-PL"/>
        </w:rPr>
      </w:pPr>
      <w:r w:rsidRPr="0015541C">
        <w:rPr>
          <w:b/>
          <w:lang w:val="pl-PL"/>
        </w:rPr>
        <w:lastRenderedPageBreak/>
        <w:t>Tabela </w:t>
      </w:r>
      <w:r w:rsidR="00A73107" w:rsidRPr="0015541C">
        <w:rPr>
          <w:b/>
          <w:lang w:val="pl-PL"/>
        </w:rPr>
        <w:t>20</w:t>
      </w:r>
      <w:r w:rsidR="008800D7" w:rsidRPr="0015541C">
        <w:rPr>
          <w:b/>
          <w:lang w:val="pl-PL"/>
        </w:rPr>
        <w:t>.</w:t>
      </w:r>
      <w:r w:rsidRPr="0015541C">
        <w:rPr>
          <w:b/>
          <w:lang w:val="pl-PL"/>
        </w:rPr>
        <w:tab/>
      </w:r>
      <w:r w:rsidR="003108F2" w:rsidRPr="0015541C">
        <w:rPr>
          <w:b/>
          <w:lang w:val="pl-PL"/>
        </w:rPr>
        <w:t>Wyniki b</w:t>
      </w:r>
      <w:r w:rsidRPr="0015541C">
        <w:rPr>
          <w:b/>
          <w:lang w:val="pl-PL"/>
        </w:rPr>
        <w:t>adani</w:t>
      </w:r>
      <w:r w:rsidR="003108F2" w:rsidRPr="0015541C">
        <w:rPr>
          <w:b/>
          <w:lang w:val="pl-PL"/>
        </w:rPr>
        <w:t>a</w:t>
      </w:r>
      <w:r w:rsidRPr="0015541C">
        <w:rPr>
          <w:b/>
          <w:lang w:val="pl-PL"/>
        </w:rPr>
        <w:t xml:space="preserve"> AVF4095 dotyczące skuteczności</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1644"/>
        <w:gridCol w:w="1840"/>
        <w:gridCol w:w="1588"/>
        <w:gridCol w:w="1715"/>
      </w:tblGrid>
      <w:tr w:rsidR="00417026" w:rsidRPr="0015541C" w14:paraId="78E39F66" w14:textId="77777777" w:rsidTr="00417026">
        <w:trPr>
          <w:cantSplit/>
        </w:trPr>
        <w:tc>
          <w:tcPr>
            <w:tcW w:w="5000" w:type="pct"/>
            <w:gridSpan w:val="5"/>
          </w:tcPr>
          <w:p w14:paraId="402C2711" w14:textId="7AFA68DE" w:rsidR="00417026" w:rsidRPr="0015541C" w:rsidRDefault="00417026" w:rsidP="006939E7">
            <w:pPr>
              <w:keepNext/>
              <w:keepLines/>
              <w:spacing w:line="220" w:lineRule="exact"/>
              <w:rPr>
                <w:szCs w:val="22"/>
                <w:lang w:val="pl-PL"/>
              </w:rPr>
            </w:pPr>
            <w:r w:rsidRPr="0015541C">
              <w:rPr>
                <w:bCs/>
                <w:szCs w:val="22"/>
                <w:u w:val="single"/>
                <w:lang w:val="pl-PL"/>
              </w:rPr>
              <w:t xml:space="preserve">Czas przeżycia </w:t>
            </w:r>
            <w:r w:rsidR="00EB79A6" w:rsidRPr="0015541C">
              <w:rPr>
                <w:bCs/>
                <w:szCs w:val="22"/>
                <w:u w:val="single"/>
                <w:lang w:val="pl-PL"/>
              </w:rPr>
              <w:t>woln</w:t>
            </w:r>
            <w:r w:rsidR="006939E7" w:rsidRPr="0015541C">
              <w:rPr>
                <w:bCs/>
                <w:szCs w:val="22"/>
                <w:u w:val="single"/>
                <w:lang w:val="pl-PL"/>
              </w:rPr>
              <w:t xml:space="preserve">y </w:t>
            </w:r>
            <w:r w:rsidRPr="0015541C">
              <w:rPr>
                <w:bCs/>
                <w:szCs w:val="22"/>
                <w:u w:val="single"/>
                <w:lang w:val="pl-PL"/>
              </w:rPr>
              <w:t>od progresji choroby</w:t>
            </w:r>
          </w:p>
        </w:tc>
      </w:tr>
      <w:tr w:rsidR="00417026" w:rsidRPr="0015541C" w14:paraId="3924A998" w14:textId="77777777" w:rsidTr="00D16D61">
        <w:trPr>
          <w:cantSplit/>
        </w:trPr>
        <w:tc>
          <w:tcPr>
            <w:tcW w:w="1256" w:type="pct"/>
          </w:tcPr>
          <w:p w14:paraId="4F66FF4B" w14:textId="77777777" w:rsidR="00417026" w:rsidRPr="0015541C" w:rsidRDefault="00417026" w:rsidP="00C9229F">
            <w:pPr>
              <w:keepNext/>
              <w:keepLines/>
              <w:spacing w:line="220" w:lineRule="exact"/>
              <w:rPr>
                <w:szCs w:val="22"/>
                <w:lang w:val="pl-PL"/>
              </w:rPr>
            </w:pPr>
          </w:p>
        </w:tc>
        <w:tc>
          <w:tcPr>
            <w:tcW w:w="1922" w:type="pct"/>
            <w:gridSpan w:val="2"/>
          </w:tcPr>
          <w:p w14:paraId="3D5CC82C" w14:textId="77777777" w:rsidR="00417026" w:rsidRPr="0015541C" w:rsidRDefault="00417026" w:rsidP="00C9229F">
            <w:pPr>
              <w:keepNext/>
              <w:keepLines/>
              <w:spacing w:line="220" w:lineRule="exact"/>
              <w:jc w:val="center"/>
              <w:rPr>
                <w:szCs w:val="22"/>
                <w:lang w:val="pl-PL"/>
              </w:rPr>
            </w:pPr>
            <w:r w:rsidRPr="0015541C">
              <w:rPr>
                <w:szCs w:val="22"/>
                <w:lang w:val="pl-PL"/>
              </w:rPr>
              <w:t>Ocena badacza</w:t>
            </w:r>
          </w:p>
        </w:tc>
        <w:tc>
          <w:tcPr>
            <w:tcW w:w="1822" w:type="pct"/>
            <w:gridSpan w:val="2"/>
          </w:tcPr>
          <w:p w14:paraId="2B78175A" w14:textId="77777777" w:rsidR="00417026" w:rsidRPr="00AC3958" w:rsidRDefault="00417026" w:rsidP="00C9229F">
            <w:pPr>
              <w:keepNext/>
              <w:keepLines/>
              <w:spacing w:line="220" w:lineRule="exact"/>
              <w:jc w:val="center"/>
              <w:rPr>
                <w:szCs w:val="22"/>
                <w:lang w:val="pl-PL"/>
              </w:rPr>
            </w:pPr>
            <w:r w:rsidRPr="00AC3958">
              <w:rPr>
                <w:szCs w:val="22"/>
                <w:u w:val="single"/>
                <w:lang w:val="pl-PL"/>
              </w:rPr>
              <w:t>Ocena IRC</w:t>
            </w:r>
          </w:p>
        </w:tc>
      </w:tr>
      <w:tr w:rsidR="00417026" w:rsidRPr="0015541C" w14:paraId="0854E058" w14:textId="77777777" w:rsidTr="00417026">
        <w:trPr>
          <w:cantSplit/>
        </w:trPr>
        <w:tc>
          <w:tcPr>
            <w:tcW w:w="1256" w:type="pct"/>
          </w:tcPr>
          <w:p w14:paraId="4E8AF426" w14:textId="77777777" w:rsidR="00417026" w:rsidRPr="0015541C" w:rsidRDefault="00417026" w:rsidP="00C9229F">
            <w:pPr>
              <w:keepNext/>
              <w:keepLines/>
              <w:spacing w:line="220" w:lineRule="exact"/>
              <w:rPr>
                <w:szCs w:val="22"/>
                <w:lang w:val="pl-PL"/>
              </w:rPr>
            </w:pPr>
          </w:p>
        </w:tc>
        <w:tc>
          <w:tcPr>
            <w:tcW w:w="907" w:type="pct"/>
          </w:tcPr>
          <w:p w14:paraId="43C53E08" w14:textId="77777777" w:rsidR="00417026" w:rsidRPr="0015541C" w:rsidRDefault="00417026" w:rsidP="00C9229F">
            <w:pPr>
              <w:pStyle w:val="NormalWeb"/>
              <w:keepNext/>
              <w:keepLines/>
              <w:widowControl w:val="0"/>
              <w:spacing w:line="220" w:lineRule="exact"/>
              <w:jc w:val="center"/>
              <w:rPr>
                <w:sz w:val="22"/>
                <w:szCs w:val="22"/>
                <w:lang w:val="pl-PL"/>
              </w:rPr>
            </w:pPr>
            <w:r w:rsidRPr="0015541C">
              <w:rPr>
                <w:sz w:val="22"/>
                <w:szCs w:val="22"/>
                <w:lang w:val="pl-PL"/>
              </w:rPr>
              <w:t>Placebo + C/G</w:t>
            </w:r>
          </w:p>
          <w:p w14:paraId="00E985C9" w14:textId="77777777" w:rsidR="00417026" w:rsidRPr="00AC3958" w:rsidRDefault="00417026" w:rsidP="00C9229F">
            <w:pPr>
              <w:pStyle w:val="NormalWeb"/>
              <w:keepNext/>
              <w:keepLines/>
              <w:widowControl w:val="0"/>
              <w:spacing w:line="220" w:lineRule="exact"/>
              <w:jc w:val="center"/>
              <w:rPr>
                <w:sz w:val="22"/>
                <w:szCs w:val="22"/>
                <w:lang w:val="pl-PL"/>
              </w:rPr>
            </w:pPr>
            <w:r w:rsidRPr="00AC3958">
              <w:rPr>
                <w:sz w:val="22"/>
                <w:szCs w:val="22"/>
                <w:lang w:val="pl-PL"/>
              </w:rPr>
              <w:t>(n = 242)</w:t>
            </w:r>
          </w:p>
        </w:tc>
        <w:tc>
          <w:tcPr>
            <w:tcW w:w="1015" w:type="pct"/>
          </w:tcPr>
          <w:p w14:paraId="19BE316F" w14:textId="77777777" w:rsidR="00417026" w:rsidRPr="0015541C" w:rsidRDefault="0021037C" w:rsidP="00C9229F">
            <w:pPr>
              <w:pStyle w:val="TextTi12"/>
              <w:keepNext/>
              <w:keepLines/>
              <w:spacing w:after="0" w:line="220" w:lineRule="exact"/>
              <w:jc w:val="center"/>
              <w:rPr>
                <w:sz w:val="22"/>
                <w:szCs w:val="22"/>
                <w:lang w:val="pl-PL"/>
              </w:rPr>
            </w:pPr>
            <w:r w:rsidRPr="00260CEC">
              <w:rPr>
                <w:sz w:val="22"/>
                <w:szCs w:val="22"/>
                <w:lang w:val="pl-PL"/>
              </w:rPr>
              <w:t>Bewacyzumab</w:t>
            </w:r>
            <w:r w:rsidR="00417026" w:rsidRPr="0015541C">
              <w:rPr>
                <w:sz w:val="22"/>
                <w:szCs w:val="22"/>
                <w:lang w:val="pl-PL"/>
              </w:rPr>
              <w:t xml:space="preserve"> + C/G</w:t>
            </w:r>
          </w:p>
          <w:p w14:paraId="307B38C2" w14:textId="77777777" w:rsidR="00417026" w:rsidRPr="0015541C" w:rsidRDefault="00417026" w:rsidP="00C9229F">
            <w:pPr>
              <w:keepNext/>
              <w:keepLines/>
              <w:spacing w:line="220" w:lineRule="exact"/>
              <w:jc w:val="center"/>
              <w:rPr>
                <w:szCs w:val="22"/>
                <w:lang w:val="pl-PL"/>
              </w:rPr>
            </w:pPr>
            <w:r w:rsidRPr="0015541C">
              <w:rPr>
                <w:szCs w:val="22"/>
                <w:lang w:val="pl-PL"/>
              </w:rPr>
              <w:t>(n = 242)</w:t>
            </w:r>
          </w:p>
        </w:tc>
        <w:tc>
          <w:tcPr>
            <w:tcW w:w="838" w:type="pct"/>
          </w:tcPr>
          <w:p w14:paraId="023D29C2" w14:textId="77777777" w:rsidR="00417026" w:rsidRPr="0015541C" w:rsidRDefault="00417026" w:rsidP="00C9229F">
            <w:pPr>
              <w:pStyle w:val="NormalWeb"/>
              <w:keepNext/>
              <w:keepLines/>
              <w:widowControl w:val="0"/>
              <w:spacing w:line="220" w:lineRule="exact"/>
              <w:jc w:val="center"/>
              <w:rPr>
                <w:sz w:val="22"/>
                <w:szCs w:val="22"/>
                <w:lang w:val="pl-PL"/>
              </w:rPr>
            </w:pPr>
            <w:r w:rsidRPr="0015541C">
              <w:rPr>
                <w:sz w:val="22"/>
                <w:szCs w:val="22"/>
                <w:lang w:val="pl-PL"/>
              </w:rPr>
              <w:t>Placebo + C/G (n = 242)</w:t>
            </w:r>
          </w:p>
        </w:tc>
        <w:tc>
          <w:tcPr>
            <w:tcW w:w="984" w:type="pct"/>
          </w:tcPr>
          <w:p w14:paraId="7F77A6F1" w14:textId="77777777" w:rsidR="00417026" w:rsidRPr="0015541C" w:rsidRDefault="0021037C" w:rsidP="00C9229F">
            <w:pPr>
              <w:pStyle w:val="TextTi12"/>
              <w:keepNext/>
              <w:keepLines/>
              <w:spacing w:after="0" w:line="220" w:lineRule="exact"/>
              <w:jc w:val="center"/>
              <w:rPr>
                <w:sz w:val="22"/>
                <w:szCs w:val="22"/>
                <w:lang w:val="pl-PL"/>
              </w:rPr>
            </w:pPr>
            <w:r w:rsidRPr="0015541C">
              <w:rPr>
                <w:sz w:val="22"/>
                <w:szCs w:val="22"/>
                <w:lang w:val="pl-PL"/>
              </w:rPr>
              <w:t>Bewacyzumab</w:t>
            </w:r>
            <w:r w:rsidR="00417026" w:rsidRPr="0015541C">
              <w:rPr>
                <w:sz w:val="22"/>
                <w:szCs w:val="22"/>
                <w:lang w:val="pl-PL"/>
              </w:rPr>
              <w:t xml:space="preserve"> + C/G</w:t>
            </w:r>
          </w:p>
          <w:p w14:paraId="2C4C5B3C" w14:textId="77777777" w:rsidR="00417026" w:rsidRPr="0015541C" w:rsidRDefault="00417026" w:rsidP="00C9229F">
            <w:pPr>
              <w:pStyle w:val="NormalWeb"/>
              <w:keepNext/>
              <w:keepLines/>
              <w:widowControl w:val="0"/>
              <w:spacing w:line="220" w:lineRule="exact"/>
              <w:jc w:val="center"/>
              <w:rPr>
                <w:sz w:val="22"/>
                <w:szCs w:val="22"/>
                <w:lang w:val="pl-PL"/>
              </w:rPr>
            </w:pPr>
            <w:r w:rsidRPr="0015541C">
              <w:rPr>
                <w:sz w:val="22"/>
                <w:szCs w:val="22"/>
                <w:lang w:val="pl-PL"/>
              </w:rPr>
              <w:t>(n = 242)</w:t>
            </w:r>
          </w:p>
        </w:tc>
      </w:tr>
      <w:tr w:rsidR="00417026" w:rsidRPr="0015541C" w14:paraId="7B53C3C0" w14:textId="77777777" w:rsidTr="00D16D61">
        <w:trPr>
          <w:cantSplit/>
        </w:trPr>
        <w:tc>
          <w:tcPr>
            <w:tcW w:w="1256" w:type="pct"/>
          </w:tcPr>
          <w:p w14:paraId="3B2F57C0" w14:textId="77777777" w:rsidR="00417026" w:rsidRPr="0015541C" w:rsidRDefault="00417026" w:rsidP="00C9229F">
            <w:pPr>
              <w:keepNext/>
              <w:keepLines/>
              <w:spacing w:line="220" w:lineRule="exact"/>
              <w:rPr>
                <w:i/>
                <w:szCs w:val="22"/>
                <w:lang w:val="pl-PL"/>
              </w:rPr>
            </w:pPr>
            <w:r w:rsidRPr="0015541C">
              <w:rPr>
                <w:i/>
                <w:szCs w:val="22"/>
                <w:lang w:val="pl-PL"/>
              </w:rPr>
              <w:t>Bez cenzurowania dla NPT</w:t>
            </w:r>
          </w:p>
        </w:tc>
        <w:tc>
          <w:tcPr>
            <w:tcW w:w="3744" w:type="pct"/>
            <w:gridSpan w:val="4"/>
            <w:vAlign w:val="center"/>
          </w:tcPr>
          <w:p w14:paraId="22463B0A" w14:textId="77777777" w:rsidR="00417026" w:rsidRPr="0015541C" w:rsidRDefault="00417026" w:rsidP="00C9229F">
            <w:pPr>
              <w:keepNext/>
              <w:keepLines/>
              <w:spacing w:line="220" w:lineRule="exact"/>
              <w:jc w:val="center"/>
              <w:rPr>
                <w:szCs w:val="22"/>
                <w:lang w:val="pl-PL"/>
              </w:rPr>
            </w:pPr>
          </w:p>
        </w:tc>
      </w:tr>
      <w:tr w:rsidR="00417026" w:rsidRPr="0015541C" w14:paraId="194679B4" w14:textId="77777777" w:rsidTr="00D16D61">
        <w:trPr>
          <w:cantSplit/>
        </w:trPr>
        <w:tc>
          <w:tcPr>
            <w:tcW w:w="1256" w:type="pct"/>
          </w:tcPr>
          <w:p w14:paraId="578983C6" w14:textId="77777777" w:rsidR="00417026" w:rsidRPr="0015541C" w:rsidRDefault="00417026" w:rsidP="00C9229F">
            <w:pPr>
              <w:keepNext/>
              <w:keepLines/>
              <w:spacing w:line="220" w:lineRule="exact"/>
              <w:rPr>
                <w:szCs w:val="22"/>
                <w:lang w:val="pl-PL"/>
              </w:rPr>
            </w:pPr>
            <w:r w:rsidRPr="0015541C">
              <w:rPr>
                <w:szCs w:val="22"/>
                <w:lang w:val="pl-PL"/>
              </w:rPr>
              <w:t>Mediana PFS (miesiące)</w:t>
            </w:r>
          </w:p>
        </w:tc>
        <w:tc>
          <w:tcPr>
            <w:tcW w:w="907" w:type="pct"/>
            <w:vAlign w:val="center"/>
          </w:tcPr>
          <w:p w14:paraId="519139D7" w14:textId="77777777" w:rsidR="00417026" w:rsidRPr="00AC3958" w:rsidRDefault="00417026" w:rsidP="00C9229F">
            <w:pPr>
              <w:keepNext/>
              <w:keepLines/>
              <w:spacing w:line="220" w:lineRule="exact"/>
              <w:jc w:val="center"/>
              <w:rPr>
                <w:szCs w:val="22"/>
                <w:lang w:val="pl-PL"/>
              </w:rPr>
            </w:pPr>
            <w:r w:rsidRPr="0015541C">
              <w:rPr>
                <w:szCs w:val="22"/>
                <w:lang w:val="pl-PL"/>
              </w:rPr>
              <w:t>8,4</w:t>
            </w:r>
          </w:p>
        </w:tc>
        <w:tc>
          <w:tcPr>
            <w:tcW w:w="1015" w:type="pct"/>
            <w:vAlign w:val="center"/>
          </w:tcPr>
          <w:p w14:paraId="4B64D10F" w14:textId="77777777" w:rsidR="00417026" w:rsidRPr="00AC3958" w:rsidRDefault="00417026" w:rsidP="00C9229F">
            <w:pPr>
              <w:keepNext/>
              <w:keepLines/>
              <w:spacing w:line="220" w:lineRule="exact"/>
              <w:jc w:val="center"/>
              <w:rPr>
                <w:szCs w:val="22"/>
                <w:lang w:val="pl-PL"/>
              </w:rPr>
            </w:pPr>
            <w:r w:rsidRPr="00AC3958">
              <w:rPr>
                <w:szCs w:val="22"/>
                <w:lang w:val="pl-PL"/>
              </w:rPr>
              <w:t>12,4</w:t>
            </w:r>
          </w:p>
        </w:tc>
        <w:tc>
          <w:tcPr>
            <w:tcW w:w="838" w:type="pct"/>
            <w:vAlign w:val="center"/>
          </w:tcPr>
          <w:p w14:paraId="75B51220" w14:textId="77777777" w:rsidR="00417026" w:rsidRPr="0015541C" w:rsidRDefault="00417026" w:rsidP="00C9229F">
            <w:pPr>
              <w:keepNext/>
              <w:keepLines/>
              <w:spacing w:line="220" w:lineRule="exact"/>
              <w:jc w:val="center"/>
              <w:rPr>
                <w:szCs w:val="22"/>
                <w:lang w:val="pl-PL"/>
              </w:rPr>
            </w:pPr>
            <w:r w:rsidRPr="00260CEC">
              <w:rPr>
                <w:szCs w:val="22"/>
                <w:lang w:val="pl-PL"/>
              </w:rPr>
              <w:t>8,6</w:t>
            </w:r>
          </w:p>
        </w:tc>
        <w:tc>
          <w:tcPr>
            <w:tcW w:w="984" w:type="pct"/>
            <w:vAlign w:val="center"/>
          </w:tcPr>
          <w:p w14:paraId="3E85421F" w14:textId="77777777" w:rsidR="00417026" w:rsidRPr="0015541C" w:rsidRDefault="00417026" w:rsidP="00C9229F">
            <w:pPr>
              <w:keepNext/>
              <w:keepLines/>
              <w:spacing w:line="220" w:lineRule="exact"/>
              <w:jc w:val="center"/>
              <w:rPr>
                <w:szCs w:val="22"/>
                <w:lang w:val="pl-PL"/>
              </w:rPr>
            </w:pPr>
            <w:r w:rsidRPr="0015541C">
              <w:rPr>
                <w:szCs w:val="22"/>
                <w:lang w:val="pl-PL"/>
              </w:rPr>
              <w:t>12,3</w:t>
            </w:r>
          </w:p>
        </w:tc>
      </w:tr>
      <w:tr w:rsidR="00417026" w:rsidRPr="0015541C" w14:paraId="31674154" w14:textId="77777777" w:rsidTr="00D16D61">
        <w:trPr>
          <w:cantSplit/>
        </w:trPr>
        <w:tc>
          <w:tcPr>
            <w:tcW w:w="1256" w:type="pct"/>
          </w:tcPr>
          <w:p w14:paraId="3FB7AB15" w14:textId="77777777" w:rsidR="003032BE" w:rsidRPr="0015541C" w:rsidRDefault="003032BE" w:rsidP="00C9229F">
            <w:pPr>
              <w:keepNext/>
              <w:keepLines/>
              <w:widowControl w:val="0"/>
              <w:spacing w:line="220" w:lineRule="exact"/>
              <w:rPr>
                <w:szCs w:val="22"/>
                <w:lang w:val="pl-PL"/>
              </w:rPr>
            </w:pPr>
            <w:r w:rsidRPr="0015541C">
              <w:rPr>
                <w:szCs w:val="22"/>
                <w:lang w:val="pl-PL"/>
              </w:rPr>
              <w:t>Współczynnik ryzyka</w:t>
            </w:r>
          </w:p>
          <w:p w14:paraId="042B236B" w14:textId="77777777" w:rsidR="00417026" w:rsidRPr="00AC3958" w:rsidRDefault="00417026" w:rsidP="00C9229F">
            <w:pPr>
              <w:keepNext/>
              <w:keepLines/>
              <w:widowControl w:val="0"/>
              <w:spacing w:line="220" w:lineRule="exact"/>
              <w:rPr>
                <w:szCs w:val="22"/>
                <w:lang w:val="pl-PL"/>
              </w:rPr>
            </w:pPr>
            <w:r w:rsidRPr="0015541C">
              <w:rPr>
                <w:szCs w:val="22"/>
                <w:lang w:val="pl-PL"/>
              </w:rPr>
              <w:t>(95% CI)</w:t>
            </w:r>
          </w:p>
        </w:tc>
        <w:tc>
          <w:tcPr>
            <w:tcW w:w="1922" w:type="pct"/>
            <w:gridSpan w:val="2"/>
            <w:vAlign w:val="center"/>
          </w:tcPr>
          <w:p w14:paraId="05FA6ABC" w14:textId="77777777" w:rsidR="00417026" w:rsidRPr="00AC3958" w:rsidRDefault="00417026" w:rsidP="00C9229F">
            <w:pPr>
              <w:keepNext/>
              <w:keepLines/>
              <w:spacing w:line="220" w:lineRule="exact"/>
              <w:jc w:val="center"/>
              <w:rPr>
                <w:szCs w:val="22"/>
                <w:lang w:val="pl-PL"/>
              </w:rPr>
            </w:pPr>
            <w:r w:rsidRPr="00AC3958">
              <w:rPr>
                <w:szCs w:val="22"/>
                <w:lang w:val="pl-PL"/>
              </w:rPr>
              <w:t>0,524 [0,425, 0,645]</w:t>
            </w:r>
          </w:p>
        </w:tc>
        <w:tc>
          <w:tcPr>
            <w:tcW w:w="1822" w:type="pct"/>
            <w:gridSpan w:val="2"/>
            <w:vAlign w:val="center"/>
          </w:tcPr>
          <w:p w14:paraId="72DD5DE0" w14:textId="77777777" w:rsidR="00417026" w:rsidRPr="0015541C" w:rsidRDefault="00417026" w:rsidP="00C9229F">
            <w:pPr>
              <w:keepNext/>
              <w:keepLines/>
              <w:spacing w:line="220" w:lineRule="exact"/>
              <w:jc w:val="center"/>
              <w:rPr>
                <w:szCs w:val="22"/>
                <w:lang w:val="pl-PL"/>
              </w:rPr>
            </w:pPr>
            <w:r w:rsidRPr="00260CEC">
              <w:rPr>
                <w:szCs w:val="22"/>
                <w:lang w:val="pl-PL"/>
              </w:rPr>
              <w:t>0,480 [0,377, 0,613]</w:t>
            </w:r>
          </w:p>
        </w:tc>
      </w:tr>
      <w:tr w:rsidR="00417026" w:rsidRPr="0015541C" w14:paraId="5483EA94" w14:textId="77777777" w:rsidTr="00D16D61">
        <w:trPr>
          <w:cantSplit/>
        </w:trPr>
        <w:tc>
          <w:tcPr>
            <w:tcW w:w="1256" w:type="pct"/>
          </w:tcPr>
          <w:p w14:paraId="6141FD2B" w14:textId="77777777" w:rsidR="00417026" w:rsidRPr="0015541C" w:rsidRDefault="00417026" w:rsidP="00C9229F">
            <w:pPr>
              <w:keepNext/>
              <w:keepLines/>
              <w:spacing w:line="220" w:lineRule="exact"/>
              <w:rPr>
                <w:szCs w:val="22"/>
                <w:lang w:val="pl-PL"/>
              </w:rPr>
            </w:pPr>
            <w:r w:rsidRPr="0015541C">
              <w:rPr>
                <w:szCs w:val="22"/>
                <w:lang w:val="pl-PL"/>
              </w:rPr>
              <w:t>wartość p</w:t>
            </w:r>
          </w:p>
        </w:tc>
        <w:tc>
          <w:tcPr>
            <w:tcW w:w="1922" w:type="pct"/>
            <w:gridSpan w:val="2"/>
            <w:vAlign w:val="center"/>
          </w:tcPr>
          <w:p w14:paraId="3B9A49AA" w14:textId="77777777" w:rsidR="00417026" w:rsidRPr="00AC3958" w:rsidRDefault="00417026" w:rsidP="00C9229F">
            <w:pPr>
              <w:keepNext/>
              <w:keepLines/>
              <w:spacing w:line="220" w:lineRule="exact"/>
              <w:jc w:val="center"/>
              <w:rPr>
                <w:szCs w:val="22"/>
                <w:lang w:val="pl-PL"/>
              </w:rPr>
            </w:pPr>
            <w:r w:rsidRPr="0015541C">
              <w:rPr>
                <w:szCs w:val="22"/>
                <w:lang w:val="pl-PL"/>
              </w:rPr>
              <w:t>&lt; 0,0001</w:t>
            </w:r>
          </w:p>
        </w:tc>
        <w:tc>
          <w:tcPr>
            <w:tcW w:w="1822" w:type="pct"/>
            <w:gridSpan w:val="2"/>
            <w:vAlign w:val="center"/>
          </w:tcPr>
          <w:p w14:paraId="2908DFF1" w14:textId="77777777" w:rsidR="00417026" w:rsidRPr="00AC3958" w:rsidRDefault="00417026" w:rsidP="00C9229F">
            <w:pPr>
              <w:keepNext/>
              <w:keepLines/>
              <w:spacing w:line="220" w:lineRule="exact"/>
              <w:jc w:val="center"/>
              <w:rPr>
                <w:szCs w:val="22"/>
                <w:lang w:val="pl-PL"/>
              </w:rPr>
            </w:pPr>
            <w:r w:rsidRPr="00AC3958">
              <w:rPr>
                <w:szCs w:val="22"/>
                <w:lang w:val="pl-PL"/>
              </w:rPr>
              <w:t>&lt; 0,0001</w:t>
            </w:r>
          </w:p>
        </w:tc>
      </w:tr>
      <w:tr w:rsidR="00525C4E" w:rsidRPr="0015541C" w14:paraId="70E524C4" w14:textId="77777777" w:rsidTr="00D16D61">
        <w:trPr>
          <w:cantSplit/>
        </w:trPr>
        <w:tc>
          <w:tcPr>
            <w:tcW w:w="1256" w:type="pct"/>
          </w:tcPr>
          <w:p w14:paraId="63CB1B49" w14:textId="77777777" w:rsidR="00525C4E" w:rsidRPr="0015541C" w:rsidRDefault="00525C4E" w:rsidP="00C9229F">
            <w:pPr>
              <w:keepNext/>
              <w:keepLines/>
              <w:spacing w:line="220" w:lineRule="exact"/>
              <w:rPr>
                <w:i/>
                <w:szCs w:val="22"/>
                <w:lang w:val="pl-PL"/>
              </w:rPr>
            </w:pPr>
            <w:r w:rsidRPr="0015541C">
              <w:rPr>
                <w:i/>
                <w:szCs w:val="22"/>
                <w:lang w:val="pl-PL"/>
              </w:rPr>
              <w:t>Z cenzurowaniem dla NPT</w:t>
            </w:r>
          </w:p>
        </w:tc>
        <w:tc>
          <w:tcPr>
            <w:tcW w:w="3744" w:type="pct"/>
            <w:gridSpan w:val="4"/>
            <w:vAlign w:val="center"/>
          </w:tcPr>
          <w:p w14:paraId="01E2B277" w14:textId="77777777" w:rsidR="00525C4E" w:rsidRPr="00AC3958" w:rsidRDefault="00525C4E" w:rsidP="00C9229F">
            <w:pPr>
              <w:keepNext/>
              <w:keepLines/>
              <w:spacing w:line="220" w:lineRule="exact"/>
              <w:jc w:val="center"/>
              <w:rPr>
                <w:szCs w:val="22"/>
                <w:lang w:val="pl-PL"/>
              </w:rPr>
            </w:pPr>
          </w:p>
        </w:tc>
      </w:tr>
      <w:tr w:rsidR="00525C4E" w:rsidRPr="0015541C" w14:paraId="6870407E" w14:textId="77777777" w:rsidTr="00D16D61">
        <w:trPr>
          <w:cantSplit/>
        </w:trPr>
        <w:tc>
          <w:tcPr>
            <w:tcW w:w="1256" w:type="pct"/>
          </w:tcPr>
          <w:p w14:paraId="21C0737C" w14:textId="77777777" w:rsidR="00525C4E" w:rsidRPr="0015541C" w:rsidRDefault="00525C4E" w:rsidP="00C9229F">
            <w:pPr>
              <w:keepNext/>
              <w:keepLines/>
              <w:spacing w:line="220" w:lineRule="exact"/>
              <w:rPr>
                <w:szCs w:val="22"/>
                <w:lang w:val="pl-PL"/>
              </w:rPr>
            </w:pPr>
            <w:r w:rsidRPr="0015541C">
              <w:rPr>
                <w:szCs w:val="22"/>
                <w:lang w:val="pl-PL"/>
              </w:rPr>
              <w:t>Mediana PFS (miesiące)</w:t>
            </w:r>
          </w:p>
        </w:tc>
        <w:tc>
          <w:tcPr>
            <w:tcW w:w="907" w:type="pct"/>
            <w:vAlign w:val="center"/>
          </w:tcPr>
          <w:p w14:paraId="6F1B2566" w14:textId="77777777" w:rsidR="00525C4E" w:rsidRPr="00AC3958" w:rsidRDefault="00525C4E" w:rsidP="00C9229F">
            <w:pPr>
              <w:keepNext/>
              <w:keepLines/>
              <w:spacing w:line="220" w:lineRule="exact"/>
              <w:jc w:val="center"/>
              <w:rPr>
                <w:szCs w:val="22"/>
                <w:lang w:val="pl-PL"/>
              </w:rPr>
            </w:pPr>
            <w:r w:rsidRPr="0015541C">
              <w:rPr>
                <w:szCs w:val="22"/>
                <w:lang w:val="pl-PL"/>
              </w:rPr>
              <w:t>8,4</w:t>
            </w:r>
          </w:p>
        </w:tc>
        <w:tc>
          <w:tcPr>
            <w:tcW w:w="1015" w:type="pct"/>
            <w:vAlign w:val="center"/>
          </w:tcPr>
          <w:p w14:paraId="7F76B396" w14:textId="77777777" w:rsidR="00525C4E" w:rsidRPr="00AC3958" w:rsidRDefault="00525C4E" w:rsidP="00C9229F">
            <w:pPr>
              <w:keepNext/>
              <w:keepLines/>
              <w:spacing w:line="220" w:lineRule="exact"/>
              <w:jc w:val="center"/>
              <w:rPr>
                <w:szCs w:val="22"/>
                <w:lang w:val="pl-PL"/>
              </w:rPr>
            </w:pPr>
            <w:r w:rsidRPr="00AC3958">
              <w:rPr>
                <w:szCs w:val="22"/>
                <w:lang w:val="pl-PL"/>
              </w:rPr>
              <w:t>12,4</w:t>
            </w:r>
          </w:p>
        </w:tc>
        <w:tc>
          <w:tcPr>
            <w:tcW w:w="838" w:type="pct"/>
            <w:vAlign w:val="center"/>
          </w:tcPr>
          <w:p w14:paraId="07D47350" w14:textId="77777777" w:rsidR="00525C4E" w:rsidRPr="0015541C" w:rsidRDefault="00525C4E" w:rsidP="00C9229F">
            <w:pPr>
              <w:keepNext/>
              <w:keepLines/>
              <w:spacing w:line="220" w:lineRule="exact"/>
              <w:jc w:val="center"/>
              <w:rPr>
                <w:szCs w:val="22"/>
                <w:lang w:val="pl-PL"/>
              </w:rPr>
            </w:pPr>
            <w:r w:rsidRPr="00260CEC">
              <w:rPr>
                <w:szCs w:val="22"/>
                <w:lang w:val="pl-PL"/>
              </w:rPr>
              <w:t>8,6</w:t>
            </w:r>
          </w:p>
        </w:tc>
        <w:tc>
          <w:tcPr>
            <w:tcW w:w="984" w:type="pct"/>
            <w:vAlign w:val="center"/>
          </w:tcPr>
          <w:p w14:paraId="7C58743D" w14:textId="77777777" w:rsidR="00525C4E" w:rsidRPr="0015541C" w:rsidRDefault="00525C4E" w:rsidP="00C9229F">
            <w:pPr>
              <w:keepNext/>
              <w:keepLines/>
              <w:spacing w:line="220" w:lineRule="exact"/>
              <w:jc w:val="center"/>
              <w:rPr>
                <w:szCs w:val="22"/>
                <w:lang w:val="pl-PL"/>
              </w:rPr>
            </w:pPr>
            <w:r w:rsidRPr="0015541C">
              <w:rPr>
                <w:szCs w:val="22"/>
                <w:lang w:val="pl-PL"/>
              </w:rPr>
              <w:t>12,3</w:t>
            </w:r>
          </w:p>
        </w:tc>
      </w:tr>
      <w:tr w:rsidR="00525C4E" w:rsidRPr="0015541C" w14:paraId="29F97CAA" w14:textId="77777777" w:rsidTr="00D16D61">
        <w:trPr>
          <w:cantSplit/>
        </w:trPr>
        <w:tc>
          <w:tcPr>
            <w:tcW w:w="1256" w:type="pct"/>
          </w:tcPr>
          <w:p w14:paraId="35671730" w14:textId="77777777" w:rsidR="00525C4E" w:rsidRPr="0015541C" w:rsidRDefault="00525C4E" w:rsidP="00C9229F">
            <w:pPr>
              <w:keepNext/>
              <w:keepLines/>
              <w:widowControl w:val="0"/>
              <w:spacing w:line="220" w:lineRule="exact"/>
              <w:rPr>
                <w:szCs w:val="22"/>
                <w:lang w:val="pl-PL"/>
              </w:rPr>
            </w:pPr>
            <w:r w:rsidRPr="0015541C">
              <w:rPr>
                <w:szCs w:val="22"/>
                <w:lang w:val="pl-PL"/>
              </w:rPr>
              <w:t>Współczynnik ryzyka</w:t>
            </w:r>
          </w:p>
          <w:p w14:paraId="4EF1581D" w14:textId="77777777" w:rsidR="00525C4E" w:rsidRPr="00AC3958" w:rsidRDefault="00525C4E" w:rsidP="00C9229F">
            <w:pPr>
              <w:keepNext/>
              <w:keepLines/>
              <w:widowControl w:val="0"/>
              <w:spacing w:line="220" w:lineRule="exact"/>
              <w:rPr>
                <w:szCs w:val="22"/>
                <w:lang w:val="pl-PL"/>
              </w:rPr>
            </w:pPr>
            <w:r w:rsidRPr="0015541C">
              <w:rPr>
                <w:szCs w:val="22"/>
                <w:lang w:val="pl-PL"/>
              </w:rPr>
              <w:t>(95% CI)</w:t>
            </w:r>
          </w:p>
        </w:tc>
        <w:tc>
          <w:tcPr>
            <w:tcW w:w="1922" w:type="pct"/>
            <w:gridSpan w:val="2"/>
            <w:vAlign w:val="center"/>
          </w:tcPr>
          <w:p w14:paraId="1BCE3BE9" w14:textId="77777777" w:rsidR="00525C4E" w:rsidRPr="00AC3958" w:rsidRDefault="00525C4E" w:rsidP="00C9229F">
            <w:pPr>
              <w:keepNext/>
              <w:keepLines/>
              <w:spacing w:line="220" w:lineRule="exact"/>
              <w:jc w:val="center"/>
              <w:rPr>
                <w:szCs w:val="22"/>
                <w:lang w:val="pl-PL"/>
              </w:rPr>
            </w:pPr>
            <w:r w:rsidRPr="00AC3958">
              <w:rPr>
                <w:szCs w:val="22"/>
                <w:lang w:val="pl-PL"/>
              </w:rPr>
              <w:t>0,484 [0,388, 0,605]</w:t>
            </w:r>
          </w:p>
        </w:tc>
        <w:tc>
          <w:tcPr>
            <w:tcW w:w="1822" w:type="pct"/>
            <w:gridSpan w:val="2"/>
            <w:vAlign w:val="center"/>
          </w:tcPr>
          <w:p w14:paraId="51DD1849" w14:textId="77777777" w:rsidR="00525C4E" w:rsidRPr="0015541C" w:rsidRDefault="00525C4E" w:rsidP="00C9229F">
            <w:pPr>
              <w:keepNext/>
              <w:keepLines/>
              <w:spacing w:line="220" w:lineRule="exact"/>
              <w:jc w:val="center"/>
              <w:rPr>
                <w:szCs w:val="22"/>
                <w:lang w:val="pl-PL"/>
              </w:rPr>
            </w:pPr>
            <w:r w:rsidRPr="00260CEC">
              <w:rPr>
                <w:szCs w:val="22"/>
                <w:lang w:val="pl-PL"/>
              </w:rPr>
              <w:t>0,451 [0,351, 0,580]</w:t>
            </w:r>
          </w:p>
        </w:tc>
      </w:tr>
      <w:tr w:rsidR="00525C4E" w:rsidRPr="0015541C" w14:paraId="6A3ACFC3" w14:textId="77777777" w:rsidTr="00D16D61">
        <w:trPr>
          <w:cantSplit/>
        </w:trPr>
        <w:tc>
          <w:tcPr>
            <w:tcW w:w="1256" w:type="pct"/>
          </w:tcPr>
          <w:p w14:paraId="63305EEC" w14:textId="77777777" w:rsidR="00525C4E" w:rsidRPr="0015541C" w:rsidRDefault="00525C4E" w:rsidP="00C9229F">
            <w:pPr>
              <w:keepNext/>
              <w:keepLines/>
              <w:spacing w:line="220" w:lineRule="exact"/>
              <w:rPr>
                <w:szCs w:val="22"/>
                <w:lang w:val="pl-PL"/>
              </w:rPr>
            </w:pPr>
            <w:r w:rsidRPr="0015541C">
              <w:rPr>
                <w:szCs w:val="22"/>
                <w:lang w:val="pl-PL"/>
              </w:rPr>
              <w:t>wartość p</w:t>
            </w:r>
          </w:p>
        </w:tc>
        <w:tc>
          <w:tcPr>
            <w:tcW w:w="1922" w:type="pct"/>
            <w:gridSpan w:val="2"/>
            <w:vAlign w:val="center"/>
          </w:tcPr>
          <w:p w14:paraId="51B6636B" w14:textId="77777777" w:rsidR="00525C4E" w:rsidRPr="00AC3958" w:rsidRDefault="00525C4E" w:rsidP="00C9229F">
            <w:pPr>
              <w:keepNext/>
              <w:keepLines/>
              <w:spacing w:line="220" w:lineRule="exact"/>
              <w:jc w:val="center"/>
              <w:rPr>
                <w:szCs w:val="22"/>
                <w:lang w:val="pl-PL"/>
              </w:rPr>
            </w:pPr>
            <w:r w:rsidRPr="0015541C">
              <w:rPr>
                <w:szCs w:val="22"/>
                <w:lang w:val="pl-PL"/>
              </w:rPr>
              <w:t>&lt; 0,0001</w:t>
            </w:r>
          </w:p>
        </w:tc>
        <w:tc>
          <w:tcPr>
            <w:tcW w:w="1822" w:type="pct"/>
            <w:gridSpan w:val="2"/>
            <w:vAlign w:val="center"/>
          </w:tcPr>
          <w:p w14:paraId="5D10D7FC" w14:textId="77777777" w:rsidR="00525C4E" w:rsidRPr="00AC3958" w:rsidRDefault="00525C4E" w:rsidP="00C9229F">
            <w:pPr>
              <w:keepNext/>
              <w:keepLines/>
              <w:spacing w:line="220" w:lineRule="exact"/>
              <w:jc w:val="center"/>
              <w:rPr>
                <w:szCs w:val="22"/>
                <w:lang w:val="pl-PL"/>
              </w:rPr>
            </w:pPr>
            <w:r w:rsidRPr="00AC3958">
              <w:rPr>
                <w:szCs w:val="22"/>
                <w:lang w:val="pl-PL"/>
              </w:rPr>
              <w:t>&lt; 0,0001</w:t>
            </w:r>
          </w:p>
        </w:tc>
      </w:tr>
      <w:tr w:rsidR="00417026" w:rsidRPr="0015541C" w14:paraId="7EBE777D" w14:textId="77777777" w:rsidTr="00417026">
        <w:trPr>
          <w:cantSplit/>
        </w:trPr>
        <w:tc>
          <w:tcPr>
            <w:tcW w:w="5000" w:type="pct"/>
            <w:gridSpan w:val="5"/>
          </w:tcPr>
          <w:p w14:paraId="6D415749" w14:textId="77777777" w:rsidR="00417026" w:rsidRPr="0015541C" w:rsidRDefault="00417026" w:rsidP="00C9229F">
            <w:pPr>
              <w:keepNext/>
              <w:keepLines/>
              <w:spacing w:line="220" w:lineRule="exact"/>
              <w:rPr>
                <w:szCs w:val="22"/>
                <w:lang w:val="pl-PL"/>
              </w:rPr>
            </w:pPr>
            <w:r w:rsidRPr="0015541C">
              <w:rPr>
                <w:bCs/>
                <w:szCs w:val="22"/>
                <w:lang w:val="pl-PL"/>
              </w:rPr>
              <w:t>Odsetek obiektywnych odpowiedzi na leczenie</w:t>
            </w:r>
          </w:p>
        </w:tc>
      </w:tr>
      <w:tr w:rsidR="00417026" w:rsidRPr="0015541C" w14:paraId="63AE4411" w14:textId="77777777" w:rsidTr="00D16D61">
        <w:trPr>
          <w:cantSplit/>
        </w:trPr>
        <w:tc>
          <w:tcPr>
            <w:tcW w:w="1256" w:type="pct"/>
          </w:tcPr>
          <w:p w14:paraId="6BFAECDF" w14:textId="77777777" w:rsidR="00417026" w:rsidRPr="0015541C" w:rsidRDefault="00417026" w:rsidP="00C9229F">
            <w:pPr>
              <w:keepNext/>
              <w:keepLines/>
              <w:spacing w:line="220" w:lineRule="exact"/>
              <w:rPr>
                <w:szCs w:val="22"/>
                <w:lang w:val="pl-PL"/>
              </w:rPr>
            </w:pPr>
          </w:p>
        </w:tc>
        <w:tc>
          <w:tcPr>
            <w:tcW w:w="1922" w:type="pct"/>
            <w:gridSpan w:val="2"/>
            <w:vAlign w:val="center"/>
          </w:tcPr>
          <w:p w14:paraId="145E0799" w14:textId="77777777" w:rsidR="00417026" w:rsidRPr="0015541C" w:rsidRDefault="00417026" w:rsidP="00C9229F">
            <w:pPr>
              <w:keepNext/>
              <w:keepLines/>
              <w:spacing w:line="220" w:lineRule="exact"/>
              <w:jc w:val="center"/>
              <w:rPr>
                <w:szCs w:val="22"/>
                <w:lang w:val="pl-PL"/>
              </w:rPr>
            </w:pPr>
            <w:r w:rsidRPr="0015541C">
              <w:rPr>
                <w:szCs w:val="22"/>
                <w:lang w:val="pl-PL"/>
              </w:rPr>
              <w:t>Ocena badacza</w:t>
            </w:r>
          </w:p>
        </w:tc>
        <w:tc>
          <w:tcPr>
            <w:tcW w:w="1822" w:type="pct"/>
            <w:gridSpan w:val="2"/>
            <w:vAlign w:val="center"/>
          </w:tcPr>
          <w:p w14:paraId="7656314D" w14:textId="77777777" w:rsidR="00417026" w:rsidRPr="00AC3958" w:rsidRDefault="00417026" w:rsidP="00C9229F">
            <w:pPr>
              <w:keepNext/>
              <w:keepLines/>
              <w:spacing w:line="220" w:lineRule="exact"/>
              <w:jc w:val="center"/>
              <w:rPr>
                <w:szCs w:val="22"/>
                <w:lang w:val="pl-PL"/>
              </w:rPr>
            </w:pPr>
            <w:r w:rsidRPr="00AC3958">
              <w:rPr>
                <w:szCs w:val="22"/>
                <w:u w:val="single"/>
                <w:lang w:val="pl-PL"/>
              </w:rPr>
              <w:t>Ocena IRC</w:t>
            </w:r>
          </w:p>
        </w:tc>
      </w:tr>
      <w:tr w:rsidR="00417026" w:rsidRPr="0015541C" w14:paraId="4BBFF06B" w14:textId="77777777" w:rsidTr="00417026">
        <w:trPr>
          <w:cantSplit/>
        </w:trPr>
        <w:tc>
          <w:tcPr>
            <w:tcW w:w="1256" w:type="pct"/>
          </w:tcPr>
          <w:p w14:paraId="2F762C00" w14:textId="77777777" w:rsidR="00417026" w:rsidRPr="0015541C" w:rsidRDefault="00417026" w:rsidP="00C9229F">
            <w:pPr>
              <w:keepNext/>
              <w:keepLines/>
              <w:spacing w:line="220" w:lineRule="exact"/>
              <w:rPr>
                <w:szCs w:val="22"/>
                <w:lang w:val="pl-PL"/>
              </w:rPr>
            </w:pPr>
          </w:p>
        </w:tc>
        <w:tc>
          <w:tcPr>
            <w:tcW w:w="907" w:type="pct"/>
            <w:vAlign w:val="center"/>
          </w:tcPr>
          <w:p w14:paraId="6382BE16" w14:textId="77777777" w:rsidR="00417026" w:rsidRPr="0015541C" w:rsidRDefault="00417026" w:rsidP="00C9229F">
            <w:pPr>
              <w:pStyle w:val="NormalWeb"/>
              <w:keepNext/>
              <w:keepLines/>
              <w:widowControl w:val="0"/>
              <w:spacing w:line="220" w:lineRule="exact"/>
              <w:jc w:val="center"/>
              <w:rPr>
                <w:sz w:val="22"/>
                <w:szCs w:val="22"/>
                <w:lang w:val="pl-PL"/>
              </w:rPr>
            </w:pPr>
            <w:r w:rsidRPr="0015541C">
              <w:rPr>
                <w:sz w:val="22"/>
                <w:szCs w:val="22"/>
                <w:lang w:val="pl-PL"/>
              </w:rPr>
              <w:t>Placebo + C/G</w:t>
            </w:r>
          </w:p>
          <w:p w14:paraId="29C333C6" w14:textId="77777777" w:rsidR="00417026" w:rsidRPr="00AC3958" w:rsidRDefault="00417026" w:rsidP="00C9229F">
            <w:pPr>
              <w:pStyle w:val="NormalWeb"/>
              <w:keepNext/>
              <w:keepLines/>
              <w:widowControl w:val="0"/>
              <w:spacing w:line="220" w:lineRule="exact"/>
              <w:jc w:val="center"/>
              <w:rPr>
                <w:sz w:val="22"/>
                <w:szCs w:val="22"/>
                <w:lang w:val="pl-PL"/>
              </w:rPr>
            </w:pPr>
            <w:r w:rsidRPr="00AC3958">
              <w:rPr>
                <w:sz w:val="22"/>
                <w:szCs w:val="22"/>
                <w:lang w:val="pl-PL"/>
              </w:rPr>
              <w:t>(n = 242)</w:t>
            </w:r>
          </w:p>
        </w:tc>
        <w:tc>
          <w:tcPr>
            <w:tcW w:w="1015" w:type="pct"/>
            <w:vAlign w:val="center"/>
          </w:tcPr>
          <w:p w14:paraId="40A60E58" w14:textId="77777777" w:rsidR="00417026" w:rsidRPr="0015541C" w:rsidRDefault="0021037C" w:rsidP="00C9229F">
            <w:pPr>
              <w:pStyle w:val="TextTi12"/>
              <w:keepNext/>
              <w:keepLines/>
              <w:spacing w:after="0" w:line="220" w:lineRule="exact"/>
              <w:jc w:val="center"/>
              <w:rPr>
                <w:sz w:val="22"/>
                <w:szCs w:val="22"/>
                <w:lang w:val="pl-PL"/>
              </w:rPr>
            </w:pPr>
            <w:r w:rsidRPr="00260CEC">
              <w:rPr>
                <w:sz w:val="22"/>
                <w:szCs w:val="22"/>
                <w:lang w:val="pl-PL"/>
              </w:rPr>
              <w:t>Bewacyzumab</w:t>
            </w:r>
            <w:r w:rsidR="00417026" w:rsidRPr="0015541C">
              <w:rPr>
                <w:sz w:val="22"/>
                <w:szCs w:val="22"/>
                <w:lang w:val="pl-PL"/>
              </w:rPr>
              <w:t xml:space="preserve"> + C/G</w:t>
            </w:r>
          </w:p>
          <w:p w14:paraId="3D811086" w14:textId="77777777" w:rsidR="00417026" w:rsidRPr="0015541C" w:rsidRDefault="00417026" w:rsidP="00C9229F">
            <w:pPr>
              <w:keepNext/>
              <w:keepLines/>
              <w:spacing w:line="220" w:lineRule="exact"/>
              <w:jc w:val="center"/>
              <w:rPr>
                <w:szCs w:val="22"/>
                <w:lang w:val="pl-PL"/>
              </w:rPr>
            </w:pPr>
            <w:r w:rsidRPr="0015541C">
              <w:rPr>
                <w:szCs w:val="22"/>
                <w:lang w:val="pl-PL"/>
              </w:rPr>
              <w:t>(n = 242)</w:t>
            </w:r>
          </w:p>
        </w:tc>
        <w:tc>
          <w:tcPr>
            <w:tcW w:w="876" w:type="pct"/>
          </w:tcPr>
          <w:p w14:paraId="1B63B442" w14:textId="77777777" w:rsidR="00417026" w:rsidRPr="0015541C" w:rsidRDefault="00417026" w:rsidP="00C9229F">
            <w:pPr>
              <w:keepNext/>
              <w:keepLines/>
              <w:spacing w:line="220" w:lineRule="exact"/>
              <w:jc w:val="center"/>
              <w:rPr>
                <w:szCs w:val="22"/>
                <w:lang w:val="pl-PL"/>
              </w:rPr>
            </w:pPr>
            <w:r w:rsidRPr="0015541C">
              <w:rPr>
                <w:szCs w:val="22"/>
                <w:lang w:val="pl-PL"/>
              </w:rPr>
              <w:t>Placebo + C/G (n = 242)</w:t>
            </w:r>
          </w:p>
        </w:tc>
        <w:tc>
          <w:tcPr>
            <w:tcW w:w="946" w:type="pct"/>
          </w:tcPr>
          <w:p w14:paraId="5B06F7B4" w14:textId="77777777" w:rsidR="00417026" w:rsidRPr="0015541C" w:rsidRDefault="0021037C" w:rsidP="00C9229F">
            <w:pPr>
              <w:pStyle w:val="TextTi12"/>
              <w:keepNext/>
              <w:keepLines/>
              <w:spacing w:after="0" w:line="220" w:lineRule="exact"/>
              <w:jc w:val="center"/>
              <w:rPr>
                <w:sz w:val="22"/>
                <w:szCs w:val="22"/>
                <w:lang w:val="pl-PL"/>
              </w:rPr>
            </w:pPr>
            <w:r w:rsidRPr="0015541C">
              <w:rPr>
                <w:sz w:val="22"/>
                <w:szCs w:val="22"/>
                <w:lang w:val="pl-PL"/>
              </w:rPr>
              <w:t>Bewacyzumab</w:t>
            </w:r>
            <w:r w:rsidR="00417026" w:rsidRPr="0015541C">
              <w:rPr>
                <w:sz w:val="22"/>
                <w:szCs w:val="22"/>
                <w:lang w:val="pl-PL"/>
              </w:rPr>
              <w:t xml:space="preserve"> + C/G</w:t>
            </w:r>
          </w:p>
          <w:p w14:paraId="3559A948" w14:textId="77777777" w:rsidR="00417026" w:rsidRPr="0015541C" w:rsidRDefault="00417026" w:rsidP="00C9229F">
            <w:pPr>
              <w:pStyle w:val="TextTi12"/>
              <w:keepNext/>
              <w:keepLines/>
              <w:spacing w:after="0" w:line="220" w:lineRule="exact"/>
              <w:jc w:val="center"/>
              <w:rPr>
                <w:sz w:val="22"/>
                <w:szCs w:val="22"/>
                <w:lang w:val="pl-PL"/>
              </w:rPr>
            </w:pPr>
            <w:r w:rsidRPr="0015541C">
              <w:rPr>
                <w:sz w:val="22"/>
                <w:szCs w:val="22"/>
                <w:lang w:val="pl-PL"/>
              </w:rPr>
              <w:t>(n = 242)</w:t>
            </w:r>
          </w:p>
        </w:tc>
      </w:tr>
      <w:tr w:rsidR="00417026" w:rsidRPr="0015541C" w14:paraId="46CAC65B" w14:textId="77777777" w:rsidTr="00D16D61">
        <w:trPr>
          <w:cantSplit/>
        </w:trPr>
        <w:tc>
          <w:tcPr>
            <w:tcW w:w="1256" w:type="pct"/>
          </w:tcPr>
          <w:p w14:paraId="1D771ABB" w14:textId="77777777" w:rsidR="00417026" w:rsidRPr="0015541C" w:rsidRDefault="00417026" w:rsidP="00C9229F">
            <w:pPr>
              <w:keepNext/>
              <w:keepLines/>
              <w:spacing w:line="220" w:lineRule="exact"/>
              <w:rPr>
                <w:szCs w:val="22"/>
                <w:lang w:val="pl-PL"/>
              </w:rPr>
            </w:pPr>
            <w:r w:rsidRPr="0015541C">
              <w:rPr>
                <w:szCs w:val="22"/>
                <w:lang w:val="pl-PL"/>
              </w:rPr>
              <w:t>% pacjentów z obiektywną odpowiedzią na leczenie</w:t>
            </w:r>
          </w:p>
        </w:tc>
        <w:tc>
          <w:tcPr>
            <w:tcW w:w="907" w:type="pct"/>
            <w:vAlign w:val="center"/>
          </w:tcPr>
          <w:p w14:paraId="7D4933F3" w14:textId="77777777" w:rsidR="00417026" w:rsidRPr="00AC3958" w:rsidRDefault="00417026" w:rsidP="00C9229F">
            <w:pPr>
              <w:keepNext/>
              <w:keepLines/>
              <w:spacing w:line="220" w:lineRule="exact"/>
              <w:jc w:val="center"/>
              <w:rPr>
                <w:szCs w:val="22"/>
                <w:lang w:val="pl-PL"/>
              </w:rPr>
            </w:pPr>
            <w:r w:rsidRPr="0015541C">
              <w:rPr>
                <w:szCs w:val="22"/>
                <w:lang w:val="pl-PL"/>
              </w:rPr>
              <w:t>57,4%</w:t>
            </w:r>
          </w:p>
        </w:tc>
        <w:tc>
          <w:tcPr>
            <w:tcW w:w="1015" w:type="pct"/>
            <w:vAlign w:val="center"/>
          </w:tcPr>
          <w:p w14:paraId="7C5ADE12" w14:textId="77777777" w:rsidR="00417026" w:rsidRPr="00AC3958" w:rsidRDefault="00417026" w:rsidP="00C9229F">
            <w:pPr>
              <w:keepNext/>
              <w:keepLines/>
              <w:spacing w:line="220" w:lineRule="exact"/>
              <w:jc w:val="center"/>
              <w:rPr>
                <w:szCs w:val="22"/>
                <w:lang w:val="pl-PL"/>
              </w:rPr>
            </w:pPr>
            <w:r w:rsidRPr="00AC3958">
              <w:rPr>
                <w:szCs w:val="22"/>
                <w:lang w:val="pl-PL"/>
              </w:rPr>
              <w:t>78,5%</w:t>
            </w:r>
          </w:p>
        </w:tc>
        <w:tc>
          <w:tcPr>
            <w:tcW w:w="876" w:type="pct"/>
            <w:vAlign w:val="center"/>
          </w:tcPr>
          <w:p w14:paraId="45064EDA" w14:textId="77777777" w:rsidR="00417026" w:rsidRPr="0015541C" w:rsidRDefault="00417026" w:rsidP="00C9229F">
            <w:pPr>
              <w:keepNext/>
              <w:keepLines/>
              <w:spacing w:line="220" w:lineRule="exact"/>
              <w:jc w:val="center"/>
              <w:rPr>
                <w:szCs w:val="22"/>
                <w:lang w:val="pl-PL"/>
              </w:rPr>
            </w:pPr>
            <w:r w:rsidRPr="00260CEC">
              <w:rPr>
                <w:szCs w:val="22"/>
                <w:lang w:val="pl-PL"/>
              </w:rPr>
              <w:t>53,7%</w:t>
            </w:r>
          </w:p>
        </w:tc>
        <w:tc>
          <w:tcPr>
            <w:tcW w:w="946" w:type="pct"/>
            <w:vAlign w:val="center"/>
          </w:tcPr>
          <w:p w14:paraId="1E0BD3D8" w14:textId="77777777" w:rsidR="00417026" w:rsidRPr="0015541C" w:rsidRDefault="00417026" w:rsidP="00C9229F">
            <w:pPr>
              <w:keepNext/>
              <w:keepLines/>
              <w:spacing w:line="220" w:lineRule="exact"/>
              <w:jc w:val="center"/>
              <w:rPr>
                <w:szCs w:val="22"/>
                <w:lang w:val="pl-PL"/>
              </w:rPr>
            </w:pPr>
            <w:r w:rsidRPr="0015541C">
              <w:rPr>
                <w:szCs w:val="22"/>
                <w:lang w:val="pl-PL"/>
              </w:rPr>
              <w:t>74,8%</w:t>
            </w:r>
          </w:p>
        </w:tc>
      </w:tr>
      <w:tr w:rsidR="00417026" w:rsidRPr="0015541C" w14:paraId="65F54151" w14:textId="77777777" w:rsidTr="00D16D61">
        <w:trPr>
          <w:cantSplit/>
        </w:trPr>
        <w:tc>
          <w:tcPr>
            <w:tcW w:w="1256" w:type="pct"/>
          </w:tcPr>
          <w:p w14:paraId="6C28766F" w14:textId="77777777" w:rsidR="00417026" w:rsidRPr="0015541C" w:rsidRDefault="00417026" w:rsidP="00C9229F">
            <w:pPr>
              <w:keepNext/>
              <w:keepLines/>
              <w:spacing w:line="220" w:lineRule="exact"/>
              <w:rPr>
                <w:szCs w:val="22"/>
                <w:lang w:val="pl-PL"/>
              </w:rPr>
            </w:pPr>
            <w:r w:rsidRPr="0015541C">
              <w:rPr>
                <w:szCs w:val="22"/>
                <w:lang w:val="pl-PL"/>
              </w:rPr>
              <w:t>wartość p</w:t>
            </w:r>
          </w:p>
        </w:tc>
        <w:tc>
          <w:tcPr>
            <w:tcW w:w="1922" w:type="pct"/>
            <w:gridSpan w:val="2"/>
            <w:vAlign w:val="center"/>
          </w:tcPr>
          <w:p w14:paraId="6754774F" w14:textId="77777777" w:rsidR="00417026" w:rsidRPr="00AC3958" w:rsidRDefault="00417026" w:rsidP="00C9229F">
            <w:pPr>
              <w:keepNext/>
              <w:keepLines/>
              <w:spacing w:line="220" w:lineRule="exact"/>
              <w:jc w:val="center"/>
              <w:rPr>
                <w:szCs w:val="22"/>
                <w:lang w:val="pl-PL"/>
              </w:rPr>
            </w:pPr>
            <w:r w:rsidRPr="0015541C">
              <w:rPr>
                <w:szCs w:val="22"/>
                <w:lang w:val="pl-PL"/>
              </w:rPr>
              <w:t>&lt; 0,0001</w:t>
            </w:r>
          </w:p>
        </w:tc>
        <w:tc>
          <w:tcPr>
            <w:tcW w:w="1822" w:type="pct"/>
            <w:gridSpan w:val="2"/>
            <w:vAlign w:val="center"/>
          </w:tcPr>
          <w:p w14:paraId="2E71FCA0" w14:textId="77777777" w:rsidR="00417026" w:rsidRPr="00AC3958" w:rsidRDefault="00417026" w:rsidP="00C9229F">
            <w:pPr>
              <w:keepNext/>
              <w:keepLines/>
              <w:spacing w:line="220" w:lineRule="exact"/>
              <w:jc w:val="center"/>
              <w:rPr>
                <w:szCs w:val="22"/>
                <w:lang w:val="pl-PL"/>
              </w:rPr>
            </w:pPr>
            <w:r w:rsidRPr="00AC3958">
              <w:rPr>
                <w:szCs w:val="22"/>
                <w:lang w:val="pl-PL"/>
              </w:rPr>
              <w:t>&lt; 0,0001</w:t>
            </w:r>
          </w:p>
        </w:tc>
      </w:tr>
      <w:tr w:rsidR="00417026" w:rsidRPr="0015541C" w14:paraId="49201387" w14:textId="77777777" w:rsidTr="00417026">
        <w:trPr>
          <w:cantSplit/>
        </w:trPr>
        <w:tc>
          <w:tcPr>
            <w:tcW w:w="5000" w:type="pct"/>
            <w:gridSpan w:val="5"/>
          </w:tcPr>
          <w:p w14:paraId="0CD7AD4D" w14:textId="77777777" w:rsidR="00417026" w:rsidRPr="0015541C" w:rsidRDefault="00417026" w:rsidP="00C9229F">
            <w:pPr>
              <w:keepNext/>
              <w:keepLines/>
              <w:spacing w:line="220" w:lineRule="exact"/>
              <w:rPr>
                <w:szCs w:val="22"/>
                <w:lang w:val="pl-PL"/>
              </w:rPr>
            </w:pPr>
            <w:r w:rsidRPr="0015541C">
              <w:rPr>
                <w:bCs/>
                <w:szCs w:val="22"/>
                <w:lang w:val="pl-PL"/>
              </w:rPr>
              <w:t>Całkowity czas przeżycia</w:t>
            </w:r>
          </w:p>
        </w:tc>
      </w:tr>
      <w:tr w:rsidR="00417026" w:rsidRPr="0015541C" w14:paraId="766103DB" w14:textId="77777777" w:rsidTr="00AF2DF4">
        <w:trPr>
          <w:cantSplit/>
        </w:trPr>
        <w:tc>
          <w:tcPr>
            <w:tcW w:w="1256" w:type="pct"/>
          </w:tcPr>
          <w:p w14:paraId="6E99F07E" w14:textId="77777777" w:rsidR="00417026" w:rsidRPr="0015541C" w:rsidRDefault="00417026" w:rsidP="00C9229F">
            <w:pPr>
              <w:keepNext/>
              <w:keepLines/>
              <w:spacing w:line="220" w:lineRule="exact"/>
              <w:rPr>
                <w:sz w:val="20"/>
                <w:lang w:val="pl-PL"/>
              </w:rPr>
            </w:pPr>
          </w:p>
        </w:tc>
        <w:tc>
          <w:tcPr>
            <w:tcW w:w="1922" w:type="pct"/>
            <w:gridSpan w:val="2"/>
            <w:vAlign w:val="center"/>
          </w:tcPr>
          <w:p w14:paraId="22ABF26F" w14:textId="77777777" w:rsidR="00417026" w:rsidRPr="0015541C" w:rsidRDefault="00417026" w:rsidP="00C9229F">
            <w:pPr>
              <w:pStyle w:val="NormalWeb"/>
              <w:keepNext/>
              <w:keepLines/>
              <w:widowControl w:val="0"/>
              <w:spacing w:line="220" w:lineRule="exact"/>
              <w:jc w:val="center"/>
              <w:rPr>
                <w:sz w:val="22"/>
                <w:szCs w:val="22"/>
                <w:lang w:val="pl-PL"/>
              </w:rPr>
            </w:pPr>
            <w:r w:rsidRPr="0015541C">
              <w:rPr>
                <w:sz w:val="22"/>
                <w:szCs w:val="22"/>
                <w:lang w:val="pl-PL"/>
              </w:rPr>
              <w:t xml:space="preserve">Placebo+ C/G </w:t>
            </w:r>
          </w:p>
          <w:p w14:paraId="39804C17" w14:textId="77777777" w:rsidR="00417026" w:rsidRPr="00AC3958" w:rsidRDefault="00417026" w:rsidP="00C9229F">
            <w:pPr>
              <w:keepNext/>
              <w:keepLines/>
              <w:spacing w:line="220" w:lineRule="exact"/>
              <w:jc w:val="center"/>
              <w:rPr>
                <w:szCs w:val="22"/>
                <w:lang w:val="pl-PL"/>
              </w:rPr>
            </w:pPr>
            <w:r w:rsidRPr="00AC3958">
              <w:rPr>
                <w:szCs w:val="22"/>
                <w:lang w:val="pl-PL"/>
              </w:rPr>
              <w:t>(n = 242)</w:t>
            </w:r>
          </w:p>
        </w:tc>
        <w:tc>
          <w:tcPr>
            <w:tcW w:w="1822" w:type="pct"/>
            <w:gridSpan w:val="2"/>
            <w:vAlign w:val="center"/>
          </w:tcPr>
          <w:p w14:paraId="09F3D7F0" w14:textId="77777777" w:rsidR="00417026" w:rsidRPr="0015541C" w:rsidRDefault="0021037C" w:rsidP="00C9229F">
            <w:pPr>
              <w:pStyle w:val="TextTi12"/>
              <w:keepNext/>
              <w:keepLines/>
              <w:spacing w:after="0" w:line="220" w:lineRule="exact"/>
              <w:jc w:val="center"/>
              <w:rPr>
                <w:sz w:val="22"/>
                <w:szCs w:val="22"/>
                <w:lang w:val="pl-PL"/>
              </w:rPr>
            </w:pPr>
            <w:r w:rsidRPr="00260CEC">
              <w:rPr>
                <w:sz w:val="22"/>
                <w:szCs w:val="22"/>
                <w:lang w:val="pl-PL"/>
              </w:rPr>
              <w:t>Bewacyzumab</w:t>
            </w:r>
            <w:r w:rsidR="00417026" w:rsidRPr="0015541C">
              <w:rPr>
                <w:sz w:val="22"/>
                <w:szCs w:val="22"/>
                <w:lang w:val="pl-PL"/>
              </w:rPr>
              <w:t xml:space="preserve"> + C/G </w:t>
            </w:r>
          </w:p>
          <w:p w14:paraId="6AAFD3E6" w14:textId="77777777" w:rsidR="00417026" w:rsidRPr="0015541C" w:rsidRDefault="00417026" w:rsidP="00C9229F">
            <w:pPr>
              <w:keepNext/>
              <w:keepLines/>
              <w:spacing w:line="220" w:lineRule="exact"/>
              <w:jc w:val="center"/>
              <w:rPr>
                <w:szCs w:val="22"/>
                <w:lang w:val="pl-PL"/>
              </w:rPr>
            </w:pPr>
            <w:r w:rsidRPr="0015541C">
              <w:rPr>
                <w:szCs w:val="22"/>
                <w:lang w:val="pl-PL"/>
              </w:rPr>
              <w:t>(n = 242)</w:t>
            </w:r>
          </w:p>
        </w:tc>
      </w:tr>
      <w:tr w:rsidR="00417026" w:rsidRPr="0015541C" w14:paraId="64F6F481" w14:textId="77777777" w:rsidTr="00D16D61">
        <w:trPr>
          <w:cantSplit/>
        </w:trPr>
        <w:tc>
          <w:tcPr>
            <w:tcW w:w="1256" w:type="pct"/>
          </w:tcPr>
          <w:p w14:paraId="02DDD895" w14:textId="77777777" w:rsidR="00417026" w:rsidRPr="0015541C" w:rsidRDefault="00417026" w:rsidP="00C9229F">
            <w:pPr>
              <w:keepNext/>
              <w:keepLines/>
              <w:spacing w:line="220" w:lineRule="exact"/>
              <w:rPr>
                <w:szCs w:val="22"/>
                <w:lang w:val="pl-PL"/>
              </w:rPr>
            </w:pPr>
            <w:r w:rsidRPr="0015541C">
              <w:rPr>
                <w:szCs w:val="22"/>
                <w:lang w:val="pl-PL"/>
              </w:rPr>
              <w:t>Mediana OS (miesiące)</w:t>
            </w:r>
          </w:p>
        </w:tc>
        <w:tc>
          <w:tcPr>
            <w:tcW w:w="1922" w:type="pct"/>
            <w:gridSpan w:val="2"/>
            <w:vAlign w:val="center"/>
          </w:tcPr>
          <w:p w14:paraId="13CA6E86" w14:textId="77777777" w:rsidR="00417026" w:rsidRPr="00AC3958" w:rsidRDefault="00396396" w:rsidP="00C9229F">
            <w:pPr>
              <w:keepNext/>
              <w:keepLines/>
              <w:spacing w:line="220" w:lineRule="exact"/>
              <w:jc w:val="center"/>
              <w:rPr>
                <w:szCs w:val="22"/>
                <w:lang w:val="pl-PL"/>
              </w:rPr>
            </w:pPr>
            <w:r w:rsidRPr="0015541C">
              <w:rPr>
                <w:lang w:val="pl-PL"/>
              </w:rPr>
              <w:t>32,9</w:t>
            </w:r>
          </w:p>
        </w:tc>
        <w:tc>
          <w:tcPr>
            <w:tcW w:w="1822" w:type="pct"/>
            <w:gridSpan w:val="2"/>
            <w:vAlign w:val="center"/>
          </w:tcPr>
          <w:p w14:paraId="57FECC78" w14:textId="77777777" w:rsidR="00417026" w:rsidRPr="00AC3958" w:rsidRDefault="00396396" w:rsidP="00C9229F">
            <w:pPr>
              <w:keepNext/>
              <w:keepLines/>
              <w:spacing w:line="220" w:lineRule="exact"/>
              <w:jc w:val="center"/>
              <w:rPr>
                <w:szCs w:val="22"/>
                <w:lang w:val="pl-PL"/>
              </w:rPr>
            </w:pPr>
            <w:r w:rsidRPr="00AC3958">
              <w:rPr>
                <w:szCs w:val="22"/>
                <w:lang w:val="pl-PL"/>
              </w:rPr>
              <w:t>33,6</w:t>
            </w:r>
          </w:p>
        </w:tc>
      </w:tr>
      <w:tr w:rsidR="00417026" w:rsidRPr="0015541C" w14:paraId="463B5130" w14:textId="77777777" w:rsidTr="00D16D61">
        <w:trPr>
          <w:cantSplit/>
        </w:trPr>
        <w:tc>
          <w:tcPr>
            <w:tcW w:w="1256" w:type="pct"/>
          </w:tcPr>
          <w:p w14:paraId="710EDBB1" w14:textId="77777777" w:rsidR="003032BE" w:rsidRPr="0015541C" w:rsidRDefault="003032BE" w:rsidP="00C9229F">
            <w:pPr>
              <w:keepNext/>
              <w:keepLines/>
              <w:widowControl w:val="0"/>
              <w:spacing w:line="220" w:lineRule="exact"/>
              <w:rPr>
                <w:szCs w:val="22"/>
                <w:lang w:val="pl-PL"/>
              </w:rPr>
            </w:pPr>
            <w:r w:rsidRPr="0015541C">
              <w:rPr>
                <w:szCs w:val="22"/>
                <w:lang w:val="pl-PL"/>
              </w:rPr>
              <w:t>Współczynnik ryzyka</w:t>
            </w:r>
          </w:p>
          <w:p w14:paraId="620F058B" w14:textId="77777777" w:rsidR="00417026" w:rsidRPr="00AC3958" w:rsidRDefault="00417026" w:rsidP="00C9229F">
            <w:pPr>
              <w:keepNext/>
              <w:keepLines/>
              <w:spacing w:line="220" w:lineRule="exact"/>
              <w:rPr>
                <w:szCs w:val="22"/>
                <w:lang w:val="pl-PL"/>
              </w:rPr>
            </w:pPr>
            <w:r w:rsidRPr="0015541C">
              <w:rPr>
                <w:szCs w:val="22"/>
                <w:lang w:val="pl-PL"/>
              </w:rPr>
              <w:t>(95% CI)</w:t>
            </w:r>
          </w:p>
        </w:tc>
        <w:tc>
          <w:tcPr>
            <w:tcW w:w="3744" w:type="pct"/>
            <w:gridSpan w:val="4"/>
            <w:vAlign w:val="center"/>
          </w:tcPr>
          <w:p w14:paraId="7554833A" w14:textId="77777777" w:rsidR="00417026" w:rsidRPr="0015541C" w:rsidRDefault="00417026" w:rsidP="00606AF9">
            <w:pPr>
              <w:pStyle w:val="TableCellCenter"/>
              <w:spacing w:before="0" w:after="0" w:line="220" w:lineRule="exact"/>
              <w:rPr>
                <w:sz w:val="22"/>
                <w:szCs w:val="22"/>
                <w:lang w:val="pl-PL"/>
              </w:rPr>
            </w:pPr>
            <w:r w:rsidRPr="00AC3958">
              <w:rPr>
                <w:lang w:val="pl-PL"/>
              </w:rPr>
              <w:t>0,9</w:t>
            </w:r>
            <w:r w:rsidR="00396396" w:rsidRPr="00AC3958">
              <w:rPr>
                <w:lang w:val="pl-PL"/>
              </w:rPr>
              <w:t>52</w:t>
            </w:r>
            <w:r w:rsidRPr="00260CEC">
              <w:rPr>
                <w:lang w:val="pl-PL"/>
              </w:rPr>
              <w:t xml:space="preserve"> [0,7</w:t>
            </w:r>
            <w:r w:rsidR="00396396" w:rsidRPr="00260CEC">
              <w:rPr>
                <w:lang w:val="pl-PL"/>
              </w:rPr>
              <w:t>71</w:t>
            </w:r>
            <w:r w:rsidRPr="0015541C">
              <w:rPr>
                <w:lang w:val="pl-PL"/>
              </w:rPr>
              <w:t>, 1,</w:t>
            </w:r>
            <w:r w:rsidR="00396396" w:rsidRPr="0015541C">
              <w:rPr>
                <w:lang w:val="pl-PL"/>
              </w:rPr>
              <w:t>176</w:t>
            </w:r>
            <w:r w:rsidRPr="0015541C">
              <w:rPr>
                <w:lang w:val="pl-PL"/>
              </w:rPr>
              <w:t>]</w:t>
            </w:r>
          </w:p>
        </w:tc>
      </w:tr>
      <w:tr w:rsidR="00417026" w:rsidRPr="0015541C" w14:paraId="44847107" w14:textId="77777777" w:rsidTr="00D16D61">
        <w:trPr>
          <w:cantSplit/>
        </w:trPr>
        <w:tc>
          <w:tcPr>
            <w:tcW w:w="1256" w:type="pct"/>
          </w:tcPr>
          <w:p w14:paraId="6CA687DC" w14:textId="77777777" w:rsidR="00417026" w:rsidRPr="0015541C" w:rsidRDefault="00417026" w:rsidP="002C0295">
            <w:pPr>
              <w:spacing w:line="220" w:lineRule="exact"/>
              <w:rPr>
                <w:szCs w:val="22"/>
                <w:lang w:val="pl-PL"/>
              </w:rPr>
            </w:pPr>
            <w:r w:rsidRPr="0015541C">
              <w:rPr>
                <w:szCs w:val="22"/>
                <w:lang w:val="pl-PL"/>
              </w:rPr>
              <w:t>wartość p</w:t>
            </w:r>
          </w:p>
        </w:tc>
        <w:tc>
          <w:tcPr>
            <w:tcW w:w="3744" w:type="pct"/>
            <w:gridSpan w:val="4"/>
            <w:vAlign w:val="center"/>
          </w:tcPr>
          <w:p w14:paraId="4BB6F291" w14:textId="77777777" w:rsidR="00417026" w:rsidRPr="00AC3958" w:rsidRDefault="00417026" w:rsidP="002C0295">
            <w:pPr>
              <w:spacing w:line="220" w:lineRule="exact"/>
              <w:jc w:val="center"/>
              <w:rPr>
                <w:szCs w:val="22"/>
                <w:lang w:val="pl-PL"/>
              </w:rPr>
            </w:pPr>
            <w:r w:rsidRPr="0015541C">
              <w:rPr>
                <w:lang w:val="pl-PL"/>
              </w:rPr>
              <w:t>0,</w:t>
            </w:r>
            <w:r w:rsidR="00396396" w:rsidRPr="00AC3958">
              <w:rPr>
                <w:lang w:val="pl-PL"/>
              </w:rPr>
              <w:t>6479</w:t>
            </w:r>
          </w:p>
        </w:tc>
      </w:tr>
    </w:tbl>
    <w:p w14:paraId="27F0F6E8" w14:textId="77777777" w:rsidR="00417026" w:rsidRPr="0015541C" w:rsidRDefault="00417026" w:rsidP="00417026">
      <w:pPr>
        <w:rPr>
          <w:lang w:val="pl-PL"/>
        </w:rPr>
      </w:pPr>
    </w:p>
    <w:p w14:paraId="623CE231" w14:textId="77777777" w:rsidR="00417026" w:rsidRPr="00260CEC" w:rsidRDefault="00417026" w:rsidP="00417026">
      <w:pPr>
        <w:rPr>
          <w:rFonts w:eastAsia="PMingLiU"/>
          <w:lang w:val="pl-PL" w:eastAsia="zh-CN"/>
        </w:rPr>
      </w:pPr>
      <w:r w:rsidRPr="0015541C">
        <w:rPr>
          <w:rFonts w:eastAsia="PMingLiU"/>
          <w:lang w:val="pl-PL" w:eastAsia="zh-CN"/>
        </w:rPr>
        <w:t>Analizę PFS w podgrupach w zależności od czasu pomiędzy zakończeniem leczenia z zastosowaniem związków platyny a nawrotem choroby przedstawia Tabela </w:t>
      </w:r>
      <w:r w:rsidR="008800D7" w:rsidRPr="00AC3958">
        <w:rPr>
          <w:rFonts w:eastAsia="PMingLiU"/>
          <w:lang w:val="pl-PL" w:eastAsia="zh-CN"/>
        </w:rPr>
        <w:t>2</w:t>
      </w:r>
      <w:r w:rsidR="00A73107" w:rsidRPr="00AC3958">
        <w:rPr>
          <w:rFonts w:eastAsia="PMingLiU"/>
          <w:lang w:val="pl-PL" w:eastAsia="zh-CN"/>
        </w:rPr>
        <w:t>1</w:t>
      </w:r>
      <w:r w:rsidRPr="00AC3958">
        <w:rPr>
          <w:rFonts w:eastAsia="PMingLiU"/>
          <w:lang w:val="pl-PL" w:eastAsia="zh-CN"/>
        </w:rPr>
        <w:t xml:space="preserve">. </w:t>
      </w:r>
    </w:p>
    <w:p w14:paraId="54BE6FAE" w14:textId="77777777" w:rsidR="00417026" w:rsidRPr="0015541C" w:rsidRDefault="00417026" w:rsidP="00417026">
      <w:pPr>
        <w:rPr>
          <w:szCs w:val="22"/>
          <w:lang w:val="pl-PL"/>
        </w:rPr>
      </w:pPr>
    </w:p>
    <w:p w14:paraId="28CF460C" w14:textId="739602F5" w:rsidR="00417026" w:rsidRPr="0015541C" w:rsidRDefault="00417026" w:rsidP="00085A65">
      <w:pPr>
        <w:keepNext/>
        <w:rPr>
          <w:b/>
          <w:lang w:val="pl-PL"/>
        </w:rPr>
      </w:pPr>
      <w:r w:rsidRPr="0015541C">
        <w:rPr>
          <w:b/>
          <w:lang w:val="pl-PL"/>
        </w:rPr>
        <w:t>Tabela </w:t>
      </w:r>
      <w:r w:rsidR="008800D7" w:rsidRPr="0015541C">
        <w:rPr>
          <w:b/>
          <w:lang w:val="pl-PL"/>
        </w:rPr>
        <w:t>2</w:t>
      </w:r>
      <w:r w:rsidR="00A73107" w:rsidRPr="0015541C">
        <w:rPr>
          <w:b/>
          <w:lang w:val="pl-PL"/>
        </w:rPr>
        <w:t>1</w:t>
      </w:r>
      <w:r w:rsidR="008800D7" w:rsidRPr="0015541C">
        <w:rPr>
          <w:b/>
          <w:lang w:val="pl-PL"/>
        </w:rPr>
        <w:t>.</w:t>
      </w:r>
      <w:r w:rsidRPr="0015541C">
        <w:rPr>
          <w:b/>
          <w:lang w:val="pl-PL"/>
        </w:rPr>
        <w:tab/>
        <w:t xml:space="preserve">Czas </w:t>
      </w:r>
      <w:r w:rsidR="008962FC" w:rsidRPr="0015541C">
        <w:rPr>
          <w:b/>
          <w:lang w:val="pl-PL"/>
        </w:rPr>
        <w:t>przeżycia wolny od progresji</w:t>
      </w:r>
      <w:r w:rsidRPr="0015541C">
        <w:rPr>
          <w:b/>
          <w:lang w:val="pl-PL"/>
        </w:rPr>
        <w:t xml:space="preserve"> choroby w zależności od czasu pomiędzy zakończeniem leczenia z zastosowaniem związków platyny a nawrotem choroby.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3000"/>
        <w:gridCol w:w="3026"/>
      </w:tblGrid>
      <w:tr w:rsidR="00417026" w:rsidRPr="0015541C" w14:paraId="7AD3B412" w14:textId="77777777" w:rsidTr="00184154">
        <w:tc>
          <w:tcPr>
            <w:tcW w:w="3094" w:type="dxa"/>
            <w:shd w:val="clear" w:color="auto" w:fill="auto"/>
          </w:tcPr>
          <w:p w14:paraId="32BEFA0D" w14:textId="77777777" w:rsidR="00417026" w:rsidRPr="0015541C" w:rsidRDefault="00417026" w:rsidP="00085A65">
            <w:pPr>
              <w:keepNext/>
              <w:rPr>
                <w:szCs w:val="22"/>
                <w:lang w:val="pl-PL"/>
              </w:rPr>
            </w:pPr>
          </w:p>
        </w:tc>
        <w:tc>
          <w:tcPr>
            <w:tcW w:w="6192" w:type="dxa"/>
            <w:gridSpan w:val="2"/>
            <w:shd w:val="clear" w:color="auto" w:fill="auto"/>
          </w:tcPr>
          <w:p w14:paraId="638B8755" w14:textId="77777777" w:rsidR="00417026" w:rsidRPr="0015541C" w:rsidRDefault="00417026" w:rsidP="00085A65">
            <w:pPr>
              <w:keepNext/>
              <w:jc w:val="center"/>
              <w:rPr>
                <w:szCs w:val="22"/>
                <w:lang w:val="pl-PL"/>
              </w:rPr>
            </w:pPr>
            <w:r w:rsidRPr="0015541C">
              <w:rPr>
                <w:bCs/>
                <w:color w:val="000000"/>
                <w:szCs w:val="22"/>
                <w:lang w:val="pl-PL"/>
              </w:rPr>
              <w:t>Ocena badacza</w:t>
            </w:r>
          </w:p>
        </w:tc>
      </w:tr>
      <w:tr w:rsidR="00417026" w:rsidRPr="0015541C" w14:paraId="13F8106E" w14:textId="77777777" w:rsidTr="00184154">
        <w:tc>
          <w:tcPr>
            <w:tcW w:w="3094" w:type="dxa"/>
            <w:shd w:val="clear" w:color="auto" w:fill="auto"/>
          </w:tcPr>
          <w:p w14:paraId="26B021D5" w14:textId="77777777" w:rsidR="00417026" w:rsidRPr="0015541C" w:rsidRDefault="00417026" w:rsidP="00085A65">
            <w:pPr>
              <w:keepNext/>
              <w:rPr>
                <w:szCs w:val="22"/>
                <w:lang w:val="pl-PL"/>
              </w:rPr>
            </w:pPr>
            <w:r w:rsidRPr="0015541C">
              <w:rPr>
                <w:szCs w:val="22"/>
                <w:lang w:val="pl-PL"/>
              </w:rPr>
              <w:t>Czas pomiędzy zakończeniem leczenia z zastosowaniem związków platyny a nawrotem choroby</w:t>
            </w:r>
          </w:p>
        </w:tc>
        <w:tc>
          <w:tcPr>
            <w:tcW w:w="3096" w:type="dxa"/>
            <w:shd w:val="clear" w:color="auto" w:fill="auto"/>
          </w:tcPr>
          <w:p w14:paraId="4E0EB5A1" w14:textId="77777777" w:rsidR="00417026" w:rsidRPr="00AC3958" w:rsidRDefault="00417026" w:rsidP="00085A65">
            <w:pPr>
              <w:keepNext/>
              <w:spacing w:line="280" w:lineRule="atLeast"/>
              <w:jc w:val="center"/>
              <w:textAlignment w:val="baseline"/>
              <w:rPr>
                <w:rFonts w:eastAsia="PMingLiU"/>
                <w:sz w:val="36"/>
                <w:szCs w:val="36"/>
                <w:lang w:val="pl-PL" w:eastAsia="de-DE"/>
              </w:rPr>
            </w:pPr>
            <w:r w:rsidRPr="00AC3958">
              <w:rPr>
                <w:color w:val="000000"/>
                <w:szCs w:val="22"/>
                <w:lang w:val="pl-PL" w:eastAsia="de-DE"/>
              </w:rPr>
              <w:t>Placebo + C/G</w:t>
            </w:r>
          </w:p>
          <w:p w14:paraId="255AC5BF" w14:textId="77777777" w:rsidR="00417026" w:rsidRPr="0015541C" w:rsidRDefault="00417026" w:rsidP="00085A65">
            <w:pPr>
              <w:keepNext/>
              <w:jc w:val="center"/>
              <w:rPr>
                <w:szCs w:val="22"/>
                <w:lang w:val="pl-PL"/>
              </w:rPr>
            </w:pPr>
            <w:r w:rsidRPr="00260CEC">
              <w:rPr>
                <w:color w:val="000000"/>
                <w:szCs w:val="22"/>
                <w:lang w:val="pl-PL" w:eastAsia="de-DE"/>
              </w:rPr>
              <w:t xml:space="preserve"> (n = 242)</w:t>
            </w:r>
          </w:p>
        </w:tc>
        <w:tc>
          <w:tcPr>
            <w:tcW w:w="3096" w:type="dxa"/>
            <w:shd w:val="clear" w:color="auto" w:fill="auto"/>
          </w:tcPr>
          <w:p w14:paraId="2660E537" w14:textId="77777777" w:rsidR="00417026" w:rsidRPr="0015541C" w:rsidRDefault="00A4774D" w:rsidP="00085A65">
            <w:pPr>
              <w:keepNext/>
              <w:spacing w:line="280" w:lineRule="exact"/>
              <w:jc w:val="center"/>
              <w:textAlignment w:val="baseline"/>
              <w:rPr>
                <w:rFonts w:eastAsia="PMingLiU"/>
                <w:sz w:val="36"/>
                <w:szCs w:val="36"/>
                <w:lang w:val="pl-PL" w:eastAsia="de-DE"/>
              </w:rPr>
            </w:pPr>
            <w:r w:rsidRPr="0015541C">
              <w:rPr>
                <w:color w:val="000000"/>
                <w:szCs w:val="22"/>
                <w:lang w:val="pl-PL" w:eastAsia="de-DE"/>
              </w:rPr>
              <w:t>Bewacyzumab</w:t>
            </w:r>
            <w:r w:rsidR="00417026" w:rsidRPr="0015541C">
              <w:rPr>
                <w:color w:val="000000"/>
                <w:szCs w:val="22"/>
                <w:lang w:val="pl-PL" w:eastAsia="de-DE"/>
              </w:rPr>
              <w:t xml:space="preserve"> + C/G</w:t>
            </w:r>
          </w:p>
          <w:p w14:paraId="6E4624A0" w14:textId="77777777" w:rsidR="00417026" w:rsidRPr="0015541C" w:rsidRDefault="00417026" w:rsidP="00085A65">
            <w:pPr>
              <w:keepNext/>
              <w:jc w:val="center"/>
              <w:rPr>
                <w:szCs w:val="22"/>
                <w:lang w:val="pl-PL"/>
              </w:rPr>
            </w:pPr>
            <w:r w:rsidRPr="0015541C">
              <w:rPr>
                <w:color w:val="000000"/>
                <w:szCs w:val="22"/>
                <w:lang w:val="pl-PL" w:eastAsia="de-DE"/>
              </w:rPr>
              <w:t xml:space="preserve"> (n = 242)</w:t>
            </w:r>
          </w:p>
        </w:tc>
      </w:tr>
      <w:tr w:rsidR="00417026" w:rsidRPr="0015541C" w14:paraId="4CFFABCF" w14:textId="77777777" w:rsidTr="00184154">
        <w:tc>
          <w:tcPr>
            <w:tcW w:w="3094" w:type="dxa"/>
            <w:shd w:val="clear" w:color="auto" w:fill="auto"/>
          </w:tcPr>
          <w:p w14:paraId="2E9AFAA5" w14:textId="77777777" w:rsidR="00417026" w:rsidRPr="0015541C" w:rsidRDefault="00417026" w:rsidP="00085A65">
            <w:pPr>
              <w:keepNext/>
              <w:rPr>
                <w:szCs w:val="22"/>
                <w:lang w:val="pl-PL"/>
              </w:rPr>
            </w:pPr>
            <w:r w:rsidRPr="0070444C">
              <w:rPr>
                <w:color w:val="000000"/>
                <w:lang w:val="pl-PL"/>
              </w:rPr>
              <w:t xml:space="preserve">6-12 </w:t>
            </w:r>
            <w:r w:rsidR="00AF2DF4" w:rsidRPr="0070444C">
              <w:rPr>
                <w:color w:val="000000"/>
                <w:lang w:val="pl-PL"/>
              </w:rPr>
              <w:t xml:space="preserve">miesięcy </w:t>
            </w:r>
            <w:r w:rsidRPr="0070444C">
              <w:rPr>
                <w:color w:val="000000"/>
                <w:lang w:val="pl-PL"/>
              </w:rPr>
              <w:t>(n = 202)</w:t>
            </w:r>
          </w:p>
        </w:tc>
        <w:tc>
          <w:tcPr>
            <w:tcW w:w="3096" w:type="dxa"/>
            <w:shd w:val="clear" w:color="auto" w:fill="auto"/>
          </w:tcPr>
          <w:p w14:paraId="0A8E45A4" w14:textId="77777777" w:rsidR="00417026" w:rsidRPr="0015541C" w:rsidRDefault="00417026" w:rsidP="00085A65">
            <w:pPr>
              <w:keepNext/>
              <w:jc w:val="center"/>
              <w:rPr>
                <w:szCs w:val="22"/>
                <w:lang w:val="pl-PL"/>
              </w:rPr>
            </w:pPr>
          </w:p>
        </w:tc>
        <w:tc>
          <w:tcPr>
            <w:tcW w:w="3096" w:type="dxa"/>
            <w:shd w:val="clear" w:color="auto" w:fill="auto"/>
          </w:tcPr>
          <w:p w14:paraId="0F1252D0" w14:textId="77777777" w:rsidR="00417026" w:rsidRPr="0015541C" w:rsidRDefault="00417026" w:rsidP="00085A65">
            <w:pPr>
              <w:keepNext/>
              <w:jc w:val="center"/>
              <w:rPr>
                <w:szCs w:val="22"/>
                <w:lang w:val="pl-PL"/>
              </w:rPr>
            </w:pPr>
          </w:p>
        </w:tc>
      </w:tr>
      <w:tr w:rsidR="00417026" w:rsidRPr="0015541C" w14:paraId="658F7683" w14:textId="77777777" w:rsidTr="00184154">
        <w:tc>
          <w:tcPr>
            <w:tcW w:w="3094" w:type="dxa"/>
            <w:shd w:val="clear" w:color="auto" w:fill="auto"/>
          </w:tcPr>
          <w:p w14:paraId="076F1186" w14:textId="77777777" w:rsidR="00417026" w:rsidRPr="0070444C" w:rsidRDefault="00417026" w:rsidP="00085A65">
            <w:pPr>
              <w:keepNext/>
              <w:ind w:left="270"/>
              <w:rPr>
                <w:color w:val="000000"/>
                <w:lang w:val="pl-PL"/>
              </w:rPr>
            </w:pPr>
            <w:r w:rsidRPr="0070444C">
              <w:rPr>
                <w:color w:val="000000"/>
                <w:lang w:val="pl-PL"/>
              </w:rPr>
              <w:t>Mediana</w:t>
            </w:r>
          </w:p>
        </w:tc>
        <w:tc>
          <w:tcPr>
            <w:tcW w:w="3096" w:type="dxa"/>
            <w:shd w:val="clear" w:color="auto" w:fill="auto"/>
          </w:tcPr>
          <w:p w14:paraId="4AFFF5AE" w14:textId="77777777" w:rsidR="00417026" w:rsidRPr="0015541C" w:rsidRDefault="00417026" w:rsidP="00085A65">
            <w:pPr>
              <w:keepNext/>
              <w:jc w:val="center"/>
              <w:rPr>
                <w:color w:val="000000"/>
                <w:szCs w:val="22"/>
                <w:lang w:val="pl-PL"/>
              </w:rPr>
            </w:pPr>
            <w:r w:rsidRPr="0015541C">
              <w:rPr>
                <w:color w:val="000000"/>
                <w:szCs w:val="22"/>
                <w:lang w:val="pl-PL"/>
              </w:rPr>
              <w:t>8,</w:t>
            </w:r>
            <w:r w:rsidR="00812802" w:rsidRPr="0015541C">
              <w:rPr>
                <w:color w:val="000000"/>
                <w:szCs w:val="22"/>
                <w:lang w:val="pl-PL"/>
              </w:rPr>
              <w:t>0</w:t>
            </w:r>
          </w:p>
        </w:tc>
        <w:tc>
          <w:tcPr>
            <w:tcW w:w="3096" w:type="dxa"/>
            <w:shd w:val="clear" w:color="auto" w:fill="auto"/>
          </w:tcPr>
          <w:p w14:paraId="5880F04C" w14:textId="77777777" w:rsidR="00417026" w:rsidRPr="0015541C" w:rsidRDefault="00417026" w:rsidP="00085A65">
            <w:pPr>
              <w:keepNext/>
              <w:jc w:val="center"/>
              <w:rPr>
                <w:szCs w:val="22"/>
                <w:lang w:val="pl-PL"/>
              </w:rPr>
            </w:pPr>
            <w:r w:rsidRPr="0015541C">
              <w:rPr>
                <w:szCs w:val="22"/>
                <w:lang w:val="pl-PL"/>
              </w:rPr>
              <w:t>1</w:t>
            </w:r>
            <w:r w:rsidR="00812802" w:rsidRPr="0015541C">
              <w:rPr>
                <w:szCs w:val="22"/>
                <w:lang w:val="pl-PL"/>
              </w:rPr>
              <w:t>1,9</w:t>
            </w:r>
          </w:p>
        </w:tc>
      </w:tr>
      <w:tr w:rsidR="00417026" w:rsidRPr="0015541C" w14:paraId="08571F62" w14:textId="77777777" w:rsidTr="00184154">
        <w:tc>
          <w:tcPr>
            <w:tcW w:w="3094" w:type="dxa"/>
            <w:shd w:val="clear" w:color="auto" w:fill="auto"/>
          </w:tcPr>
          <w:p w14:paraId="4BC276CD" w14:textId="77777777" w:rsidR="00417026" w:rsidRPr="00AC3958" w:rsidRDefault="003032BE" w:rsidP="00085A65">
            <w:pPr>
              <w:keepNext/>
              <w:widowControl w:val="0"/>
              <w:rPr>
                <w:szCs w:val="22"/>
                <w:lang w:val="pl-PL"/>
              </w:rPr>
            </w:pPr>
            <w:r w:rsidRPr="0015541C">
              <w:rPr>
                <w:szCs w:val="22"/>
                <w:lang w:val="pl-PL"/>
              </w:rPr>
              <w:t xml:space="preserve">Współczynnik ryzyka </w:t>
            </w:r>
            <w:r w:rsidR="00417026" w:rsidRPr="0015541C">
              <w:rPr>
                <w:color w:val="000000"/>
                <w:szCs w:val="22"/>
                <w:lang w:val="pl-PL"/>
              </w:rPr>
              <w:t>(95% CI)</w:t>
            </w:r>
          </w:p>
        </w:tc>
        <w:tc>
          <w:tcPr>
            <w:tcW w:w="6192" w:type="dxa"/>
            <w:gridSpan w:val="2"/>
            <w:shd w:val="clear" w:color="auto" w:fill="auto"/>
          </w:tcPr>
          <w:p w14:paraId="7E546FEF" w14:textId="77777777" w:rsidR="00417026" w:rsidRPr="0015541C" w:rsidRDefault="00417026" w:rsidP="00085A65">
            <w:pPr>
              <w:keepNext/>
              <w:jc w:val="center"/>
              <w:rPr>
                <w:szCs w:val="22"/>
                <w:lang w:val="pl-PL"/>
              </w:rPr>
            </w:pPr>
            <w:r w:rsidRPr="00AC3958">
              <w:rPr>
                <w:color w:val="000000"/>
                <w:szCs w:val="22"/>
                <w:lang w:val="pl-PL"/>
              </w:rPr>
              <w:t>0,</w:t>
            </w:r>
            <w:r w:rsidR="00812802" w:rsidRPr="00AC3958">
              <w:rPr>
                <w:color w:val="000000"/>
                <w:szCs w:val="22"/>
                <w:lang w:val="pl-PL"/>
              </w:rPr>
              <w:t>41</w:t>
            </w:r>
            <w:r w:rsidRPr="00260CEC">
              <w:rPr>
                <w:color w:val="000000"/>
                <w:szCs w:val="22"/>
                <w:lang w:val="pl-PL"/>
              </w:rPr>
              <w:t xml:space="preserve"> (0,2</w:t>
            </w:r>
            <w:r w:rsidR="00812802" w:rsidRPr="00260CEC">
              <w:rPr>
                <w:color w:val="000000"/>
                <w:szCs w:val="22"/>
                <w:lang w:val="pl-PL"/>
              </w:rPr>
              <w:t>9</w:t>
            </w:r>
            <w:r w:rsidRPr="0015541C">
              <w:rPr>
                <w:color w:val="000000"/>
                <w:szCs w:val="22"/>
                <w:lang w:val="pl-PL"/>
              </w:rPr>
              <w:t xml:space="preserve"> -0,5</w:t>
            </w:r>
            <w:r w:rsidR="00812802" w:rsidRPr="0015541C">
              <w:rPr>
                <w:color w:val="000000"/>
                <w:szCs w:val="22"/>
                <w:lang w:val="pl-PL"/>
              </w:rPr>
              <w:t>8</w:t>
            </w:r>
            <w:r w:rsidRPr="0015541C">
              <w:rPr>
                <w:color w:val="000000"/>
                <w:szCs w:val="22"/>
                <w:lang w:val="pl-PL"/>
              </w:rPr>
              <w:t>)</w:t>
            </w:r>
          </w:p>
        </w:tc>
      </w:tr>
      <w:tr w:rsidR="00417026" w:rsidRPr="0015541C" w14:paraId="13AFB0BE" w14:textId="77777777" w:rsidTr="00184154">
        <w:tc>
          <w:tcPr>
            <w:tcW w:w="3094" w:type="dxa"/>
            <w:shd w:val="clear" w:color="auto" w:fill="auto"/>
          </w:tcPr>
          <w:p w14:paraId="115BBA50" w14:textId="77777777" w:rsidR="00417026" w:rsidRPr="0015541C" w:rsidRDefault="00417026" w:rsidP="00085A65">
            <w:pPr>
              <w:keepNext/>
              <w:rPr>
                <w:color w:val="000000"/>
                <w:szCs w:val="22"/>
                <w:lang w:val="pl-PL"/>
              </w:rPr>
            </w:pPr>
            <w:r w:rsidRPr="0070444C">
              <w:rPr>
                <w:color w:val="000000"/>
                <w:lang w:val="pl-PL"/>
              </w:rPr>
              <w:t xml:space="preserve">&gt; 12 </w:t>
            </w:r>
            <w:r w:rsidR="00AF2DF4" w:rsidRPr="0070444C">
              <w:rPr>
                <w:color w:val="000000"/>
                <w:lang w:val="pl-PL"/>
              </w:rPr>
              <w:t xml:space="preserve">miesięcy </w:t>
            </w:r>
            <w:r w:rsidRPr="0070444C">
              <w:rPr>
                <w:color w:val="000000"/>
                <w:lang w:val="pl-PL"/>
              </w:rPr>
              <w:t>(n = 282)</w:t>
            </w:r>
          </w:p>
        </w:tc>
        <w:tc>
          <w:tcPr>
            <w:tcW w:w="3096" w:type="dxa"/>
            <w:shd w:val="clear" w:color="auto" w:fill="auto"/>
          </w:tcPr>
          <w:p w14:paraId="07073C06" w14:textId="77777777" w:rsidR="00417026" w:rsidRPr="0015541C" w:rsidRDefault="00417026" w:rsidP="00085A65">
            <w:pPr>
              <w:keepNext/>
              <w:jc w:val="center"/>
              <w:rPr>
                <w:szCs w:val="22"/>
                <w:lang w:val="pl-PL"/>
              </w:rPr>
            </w:pPr>
          </w:p>
        </w:tc>
        <w:tc>
          <w:tcPr>
            <w:tcW w:w="3096" w:type="dxa"/>
            <w:shd w:val="clear" w:color="auto" w:fill="auto"/>
          </w:tcPr>
          <w:p w14:paraId="3B96650E" w14:textId="77777777" w:rsidR="00417026" w:rsidRPr="0015541C" w:rsidRDefault="00417026" w:rsidP="00085A65">
            <w:pPr>
              <w:keepNext/>
              <w:jc w:val="center"/>
              <w:rPr>
                <w:szCs w:val="22"/>
                <w:lang w:val="pl-PL"/>
              </w:rPr>
            </w:pPr>
          </w:p>
        </w:tc>
      </w:tr>
      <w:tr w:rsidR="00417026" w:rsidRPr="0015541C" w14:paraId="773D5A48" w14:textId="77777777" w:rsidTr="00184154">
        <w:tc>
          <w:tcPr>
            <w:tcW w:w="3094" w:type="dxa"/>
            <w:shd w:val="clear" w:color="auto" w:fill="auto"/>
          </w:tcPr>
          <w:p w14:paraId="561C16A7" w14:textId="77777777" w:rsidR="00417026" w:rsidRPr="0070444C" w:rsidRDefault="00417026" w:rsidP="00085A65">
            <w:pPr>
              <w:keepNext/>
              <w:ind w:left="270"/>
              <w:rPr>
                <w:color w:val="000000"/>
                <w:lang w:val="pl-PL"/>
              </w:rPr>
            </w:pPr>
            <w:r w:rsidRPr="0070444C">
              <w:rPr>
                <w:color w:val="000000"/>
                <w:lang w:val="pl-PL"/>
              </w:rPr>
              <w:t>Mediana</w:t>
            </w:r>
          </w:p>
        </w:tc>
        <w:tc>
          <w:tcPr>
            <w:tcW w:w="3096" w:type="dxa"/>
            <w:shd w:val="clear" w:color="auto" w:fill="auto"/>
          </w:tcPr>
          <w:p w14:paraId="0E9DF643" w14:textId="77777777" w:rsidR="00417026" w:rsidRPr="0015541C" w:rsidRDefault="00812802" w:rsidP="00085A65">
            <w:pPr>
              <w:keepNext/>
              <w:jc w:val="center"/>
              <w:rPr>
                <w:color w:val="000000"/>
                <w:szCs w:val="22"/>
                <w:lang w:val="pl-PL"/>
              </w:rPr>
            </w:pPr>
            <w:r w:rsidRPr="0015541C">
              <w:rPr>
                <w:color w:val="000000"/>
                <w:szCs w:val="22"/>
                <w:lang w:val="pl-PL"/>
              </w:rPr>
              <w:t>9,7</w:t>
            </w:r>
          </w:p>
        </w:tc>
        <w:tc>
          <w:tcPr>
            <w:tcW w:w="3096" w:type="dxa"/>
            <w:shd w:val="clear" w:color="auto" w:fill="auto"/>
          </w:tcPr>
          <w:p w14:paraId="5CFD29E7" w14:textId="77777777" w:rsidR="00417026" w:rsidRPr="0015541C" w:rsidRDefault="00417026" w:rsidP="00085A65">
            <w:pPr>
              <w:keepNext/>
              <w:jc w:val="center"/>
              <w:rPr>
                <w:color w:val="000000"/>
                <w:szCs w:val="22"/>
                <w:lang w:val="pl-PL"/>
              </w:rPr>
            </w:pPr>
            <w:r w:rsidRPr="0015541C">
              <w:rPr>
                <w:color w:val="000000"/>
                <w:szCs w:val="22"/>
                <w:lang w:val="pl-PL"/>
              </w:rPr>
              <w:t>12,</w:t>
            </w:r>
            <w:r w:rsidR="00812802" w:rsidRPr="0015541C">
              <w:rPr>
                <w:color w:val="000000"/>
                <w:szCs w:val="22"/>
                <w:lang w:val="pl-PL"/>
              </w:rPr>
              <w:t>4</w:t>
            </w:r>
          </w:p>
        </w:tc>
      </w:tr>
      <w:tr w:rsidR="00417026" w:rsidRPr="0015541C" w14:paraId="39EA2492" w14:textId="77777777" w:rsidTr="00184154">
        <w:tc>
          <w:tcPr>
            <w:tcW w:w="3094" w:type="dxa"/>
            <w:shd w:val="clear" w:color="auto" w:fill="auto"/>
          </w:tcPr>
          <w:p w14:paraId="07BD746C" w14:textId="77777777" w:rsidR="00417026" w:rsidRPr="0015541C" w:rsidRDefault="003032BE" w:rsidP="00085A65">
            <w:pPr>
              <w:keepNext/>
              <w:widowControl w:val="0"/>
              <w:rPr>
                <w:color w:val="000000"/>
                <w:szCs w:val="22"/>
                <w:lang w:val="pl-PL"/>
              </w:rPr>
            </w:pPr>
            <w:r w:rsidRPr="0015541C">
              <w:rPr>
                <w:szCs w:val="22"/>
                <w:lang w:val="pl-PL"/>
              </w:rPr>
              <w:t xml:space="preserve">Współczynnik ryzyka </w:t>
            </w:r>
            <w:r w:rsidR="00417026" w:rsidRPr="0015541C">
              <w:rPr>
                <w:color w:val="000000"/>
                <w:szCs w:val="22"/>
                <w:lang w:val="pl-PL"/>
              </w:rPr>
              <w:t>(95% CI)</w:t>
            </w:r>
          </w:p>
        </w:tc>
        <w:tc>
          <w:tcPr>
            <w:tcW w:w="6192" w:type="dxa"/>
            <w:gridSpan w:val="2"/>
            <w:shd w:val="clear" w:color="auto" w:fill="auto"/>
          </w:tcPr>
          <w:p w14:paraId="0A27F4E1" w14:textId="77777777" w:rsidR="00417026" w:rsidRPr="0015541C" w:rsidRDefault="00417026" w:rsidP="00085A65">
            <w:pPr>
              <w:keepNext/>
              <w:jc w:val="center"/>
              <w:rPr>
                <w:szCs w:val="22"/>
                <w:lang w:val="pl-PL"/>
              </w:rPr>
            </w:pPr>
            <w:r w:rsidRPr="00AC3958">
              <w:rPr>
                <w:color w:val="000000"/>
                <w:szCs w:val="22"/>
                <w:lang w:val="pl-PL"/>
              </w:rPr>
              <w:t>0,5</w:t>
            </w:r>
            <w:r w:rsidR="00812802" w:rsidRPr="00AC3958">
              <w:rPr>
                <w:color w:val="000000"/>
                <w:szCs w:val="22"/>
                <w:lang w:val="pl-PL"/>
              </w:rPr>
              <w:t>5</w:t>
            </w:r>
            <w:r w:rsidRPr="00AC3958">
              <w:rPr>
                <w:color w:val="000000"/>
                <w:szCs w:val="22"/>
                <w:lang w:val="pl-PL"/>
              </w:rPr>
              <w:t xml:space="preserve"> (0,41 – 0,7</w:t>
            </w:r>
            <w:r w:rsidR="00812802" w:rsidRPr="00260CEC">
              <w:rPr>
                <w:color w:val="000000"/>
                <w:szCs w:val="22"/>
                <w:lang w:val="pl-PL"/>
              </w:rPr>
              <w:t>3</w:t>
            </w:r>
            <w:r w:rsidRPr="00260CEC">
              <w:rPr>
                <w:color w:val="000000"/>
                <w:szCs w:val="22"/>
                <w:lang w:val="pl-PL"/>
              </w:rPr>
              <w:t>)</w:t>
            </w:r>
          </w:p>
        </w:tc>
      </w:tr>
    </w:tbl>
    <w:p w14:paraId="6689BDCB" w14:textId="77777777" w:rsidR="00644694" w:rsidRPr="0015541C" w:rsidRDefault="00644694" w:rsidP="00644694">
      <w:pPr>
        <w:rPr>
          <w:szCs w:val="22"/>
          <w:lang w:val="pl-PL"/>
        </w:rPr>
      </w:pPr>
    </w:p>
    <w:p w14:paraId="4D42FCE5" w14:textId="77777777" w:rsidR="00644694" w:rsidRPr="0015541C" w:rsidRDefault="00644694" w:rsidP="00D16D61">
      <w:pPr>
        <w:keepNext/>
        <w:rPr>
          <w:i/>
          <w:lang w:val="pl-PL"/>
        </w:rPr>
      </w:pPr>
      <w:r w:rsidRPr="0015541C">
        <w:rPr>
          <w:i/>
          <w:lang w:val="pl-PL"/>
        </w:rPr>
        <w:t>GOG-0213</w:t>
      </w:r>
    </w:p>
    <w:p w14:paraId="1DECC977" w14:textId="77777777" w:rsidR="00644694" w:rsidRPr="0015541C" w:rsidRDefault="00644694" w:rsidP="00644694">
      <w:pPr>
        <w:rPr>
          <w:rFonts w:cs="Arial"/>
          <w:bCs/>
          <w:i/>
          <w:lang w:val="pl-PL"/>
        </w:rPr>
      </w:pPr>
      <w:r w:rsidRPr="00AC3958">
        <w:rPr>
          <w:lang w:val="pl-PL"/>
        </w:rPr>
        <w:t xml:space="preserve">GOG-0213, randomizowane, otwarte badanie III fazy z grupą kontrolną </w:t>
      </w:r>
      <w:r w:rsidR="0095503C" w:rsidRPr="00AC3958">
        <w:rPr>
          <w:lang w:val="pl-PL"/>
        </w:rPr>
        <w:t>oceniające</w:t>
      </w:r>
      <w:r w:rsidRPr="00AC3958">
        <w:rPr>
          <w:lang w:val="pl-PL"/>
        </w:rPr>
        <w:t xml:space="preserve"> bezpieczeństwo i skuteczność </w:t>
      </w:r>
      <w:r w:rsidR="00CD269E" w:rsidRPr="00260CEC">
        <w:rPr>
          <w:lang w:val="pl-PL"/>
        </w:rPr>
        <w:t>bewacyzumab</w:t>
      </w:r>
      <w:r w:rsidRPr="0015541C">
        <w:rPr>
          <w:lang w:val="pl-PL"/>
        </w:rPr>
        <w:t xml:space="preserve">u w leczeniu pacjentów z </w:t>
      </w:r>
      <w:r w:rsidRPr="0015541C">
        <w:rPr>
          <w:szCs w:val="22"/>
          <w:lang w:val="pl-PL"/>
        </w:rPr>
        <w:t>wrażliwym na związki platyny nawrotowym rakiem jajnika, rakiem jajowodu lub pierwotnym rakiem otrzewnej</w:t>
      </w:r>
      <w:r w:rsidRPr="0015541C">
        <w:rPr>
          <w:lang w:val="pl-PL"/>
        </w:rPr>
        <w:t xml:space="preserve">, </w:t>
      </w:r>
      <w:r w:rsidR="0095503C" w:rsidRPr="0015541C">
        <w:rPr>
          <w:lang w:val="pl-PL"/>
        </w:rPr>
        <w:t xml:space="preserve">u których nie stosowano wcześniej chemioterapii </w:t>
      </w:r>
      <w:r w:rsidR="008851BA" w:rsidRPr="0015541C">
        <w:rPr>
          <w:lang w:val="pl-PL"/>
        </w:rPr>
        <w:t>w leczeniu</w:t>
      </w:r>
      <w:r w:rsidR="0095503C" w:rsidRPr="0015541C">
        <w:rPr>
          <w:lang w:val="pl-PL"/>
        </w:rPr>
        <w:t xml:space="preserve"> nawrotu choroby</w:t>
      </w:r>
      <w:r w:rsidRPr="0015541C">
        <w:rPr>
          <w:lang w:val="pl-PL"/>
        </w:rPr>
        <w:t xml:space="preserve">. </w:t>
      </w:r>
      <w:r w:rsidR="0095503C" w:rsidRPr="0015541C">
        <w:rPr>
          <w:lang w:val="pl-PL"/>
        </w:rPr>
        <w:t xml:space="preserve">Wcześniejsza terapia anty-angiogenna nie była </w:t>
      </w:r>
      <w:r w:rsidRPr="0015541C">
        <w:rPr>
          <w:lang w:val="pl-PL"/>
        </w:rPr>
        <w:lastRenderedPageBreak/>
        <w:t xml:space="preserve">kryterium wyłączenia z </w:t>
      </w:r>
      <w:r w:rsidR="0095503C" w:rsidRPr="0015541C">
        <w:rPr>
          <w:lang w:val="pl-PL"/>
        </w:rPr>
        <w:t>badania</w:t>
      </w:r>
      <w:r w:rsidRPr="0015541C">
        <w:rPr>
          <w:lang w:val="pl-PL"/>
        </w:rPr>
        <w:t xml:space="preserve">. W badaniu oceniano wpływ dołączenia </w:t>
      </w:r>
      <w:r w:rsidR="00CD269E" w:rsidRPr="0015541C">
        <w:rPr>
          <w:lang w:val="pl-PL"/>
        </w:rPr>
        <w:t>bewacyzumab</w:t>
      </w:r>
      <w:r w:rsidRPr="0015541C">
        <w:rPr>
          <w:lang w:val="pl-PL"/>
        </w:rPr>
        <w:t>u do leczenia skojarzonego karboplatyn</w:t>
      </w:r>
      <w:r w:rsidR="0095503C" w:rsidRPr="0015541C">
        <w:rPr>
          <w:lang w:val="pl-PL"/>
        </w:rPr>
        <w:t>a</w:t>
      </w:r>
      <w:r w:rsidRPr="0015541C">
        <w:rPr>
          <w:lang w:val="pl-PL"/>
        </w:rPr>
        <w:t xml:space="preserve"> </w:t>
      </w:r>
      <w:r w:rsidR="0095503C" w:rsidRPr="0015541C">
        <w:rPr>
          <w:lang w:val="pl-PL"/>
        </w:rPr>
        <w:t>+</w:t>
      </w:r>
      <w:r w:rsidRPr="0015541C">
        <w:rPr>
          <w:lang w:val="pl-PL"/>
        </w:rPr>
        <w:t xml:space="preserve"> paklitaksel oraz kontynuowania leczenia </w:t>
      </w:r>
      <w:r w:rsidR="00CD269E" w:rsidRPr="0015541C">
        <w:rPr>
          <w:lang w:val="pl-PL"/>
        </w:rPr>
        <w:t>bewacyzumab</w:t>
      </w:r>
      <w:r w:rsidRPr="0015541C">
        <w:rPr>
          <w:lang w:val="pl-PL"/>
        </w:rPr>
        <w:t>em w monoterapii</w:t>
      </w:r>
      <w:r w:rsidR="008851BA" w:rsidRPr="0015541C">
        <w:rPr>
          <w:lang w:val="pl-PL"/>
        </w:rPr>
        <w:t>, aż</w:t>
      </w:r>
      <w:r w:rsidRPr="0015541C">
        <w:rPr>
          <w:lang w:val="pl-PL"/>
        </w:rPr>
        <w:t xml:space="preserve"> do</w:t>
      </w:r>
      <w:r w:rsidR="008851BA" w:rsidRPr="0015541C">
        <w:rPr>
          <w:lang w:val="pl-PL"/>
        </w:rPr>
        <w:t xml:space="preserve"> wystapienia</w:t>
      </w:r>
      <w:r w:rsidRPr="00AC3958">
        <w:rPr>
          <w:lang w:val="pl-PL"/>
        </w:rPr>
        <w:t xml:space="preserve"> progresji choroby lub </w:t>
      </w:r>
      <w:r w:rsidR="008851BA" w:rsidRPr="00AC3958">
        <w:rPr>
          <w:lang w:val="pl-PL"/>
        </w:rPr>
        <w:t>działania toksycznego</w:t>
      </w:r>
      <w:r w:rsidRPr="00AC3958">
        <w:rPr>
          <w:lang w:val="pl-PL"/>
        </w:rPr>
        <w:t xml:space="preserve"> niemożliw</w:t>
      </w:r>
      <w:r w:rsidR="008851BA" w:rsidRPr="00AC3958">
        <w:rPr>
          <w:lang w:val="pl-PL"/>
        </w:rPr>
        <w:t>ego</w:t>
      </w:r>
      <w:r w:rsidRPr="00AC3958">
        <w:rPr>
          <w:lang w:val="pl-PL"/>
        </w:rPr>
        <w:t xml:space="preserve"> do zaakceptowania</w:t>
      </w:r>
      <w:r w:rsidR="008851BA" w:rsidRPr="00260CEC">
        <w:rPr>
          <w:lang w:val="pl-PL"/>
        </w:rPr>
        <w:t>,</w:t>
      </w:r>
      <w:r w:rsidRPr="0015541C">
        <w:rPr>
          <w:lang w:val="pl-PL"/>
        </w:rPr>
        <w:t xml:space="preserve"> w porównaniu ze stosowaniem tylko leczenia skojarzonego karboplatyn</w:t>
      </w:r>
      <w:r w:rsidR="0095503C" w:rsidRPr="0015541C">
        <w:rPr>
          <w:lang w:val="pl-PL"/>
        </w:rPr>
        <w:t>a</w:t>
      </w:r>
      <w:r w:rsidRPr="0015541C">
        <w:rPr>
          <w:lang w:val="pl-PL"/>
        </w:rPr>
        <w:t xml:space="preserve"> </w:t>
      </w:r>
      <w:r w:rsidR="0095503C" w:rsidRPr="0015541C">
        <w:rPr>
          <w:lang w:val="pl-PL"/>
        </w:rPr>
        <w:t>+</w:t>
      </w:r>
      <w:r w:rsidRPr="0015541C">
        <w:rPr>
          <w:lang w:val="pl-PL"/>
        </w:rPr>
        <w:t xml:space="preserve"> paklitaksel.</w:t>
      </w:r>
    </w:p>
    <w:p w14:paraId="1FF99FC4" w14:textId="77777777" w:rsidR="00644694" w:rsidRPr="0015541C" w:rsidRDefault="004F62C2" w:rsidP="00644694">
      <w:pPr>
        <w:rPr>
          <w:szCs w:val="22"/>
          <w:lang w:val="pl-PL"/>
        </w:rPr>
      </w:pPr>
      <w:r w:rsidRPr="0015541C">
        <w:rPr>
          <w:szCs w:val="22"/>
          <w:lang w:val="pl-PL"/>
        </w:rPr>
        <w:t xml:space="preserve"> </w:t>
      </w:r>
    </w:p>
    <w:p w14:paraId="4672EB42" w14:textId="77777777" w:rsidR="00644694" w:rsidRPr="0015541C" w:rsidRDefault="00644694" w:rsidP="00644694">
      <w:pPr>
        <w:rPr>
          <w:rFonts w:eastAsia="MS Mincho"/>
          <w:lang w:val="pl-PL" w:eastAsia="de-DE"/>
        </w:rPr>
      </w:pPr>
      <w:r w:rsidRPr="0015541C">
        <w:rPr>
          <w:rFonts w:eastAsia="MS Mincho"/>
          <w:lang w:val="pl-PL" w:eastAsia="de-DE"/>
        </w:rPr>
        <w:t>Łącznie 673 pacjentów zostało losowo przydzielonych w równy</w:t>
      </w:r>
      <w:r w:rsidR="008851BA" w:rsidRPr="0015541C">
        <w:rPr>
          <w:rFonts w:eastAsia="MS Mincho"/>
          <w:lang w:val="pl-PL" w:eastAsia="de-DE"/>
        </w:rPr>
        <w:t>m</w:t>
      </w:r>
      <w:r w:rsidRPr="0015541C">
        <w:rPr>
          <w:rFonts w:eastAsia="MS Mincho"/>
          <w:lang w:val="pl-PL" w:eastAsia="de-DE"/>
        </w:rPr>
        <w:t xml:space="preserve"> </w:t>
      </w:r>
      <w:r w:rsidR="008851BA" w:rsidRPr="0015541C">
        <w:rPr>
          <w:rFonts w:eastAsia="MS Mincho"/>
          <w:lang w:val="pl-PL" w:eastAsia="de-DE"/>
        </w:rPr>
        <w:t>stosunku</w:t>
      </w:r>
      <w:r w:rsidRPr="0015541C">
        <w:rPr>
          <w:rFonts w:eastAsia="MS Mincho"/>
          <w:lang w:val="pl-PL" w:eastAsia="de-DE"/>
        </w:rPr>
        <w:t xml:space="preserve"> do następujących dwóch </w:t>
      </w:r>
      <w:r w:rsidR="008851BA" w:rsidRPr="0015541C">
        <w:rPr>
          <w:rFonts w:eastAsia="MS Mincho"/>
          <w:lang w:val="pl-PL" w:eastAsia="de-DE"/>
        </w:rPr>
        <w:t>ramion</w:t>
      </w:r>
      <w:r w:rsidRPr="0015541C">
        <w:rPr>
          <w:rFonts w:eastAsia="MS Mincho"/>
          <w:lang w:val="pl-PL" w:eastAsia="de-DE"/>
        </w:rPr>
        <w:t xml:space="preserve"> </w:t>
      </w:r>
      <w:r w:rsidR="008851BA" w:rsidRPr="0015541C">
        <w:rPr>
          <w:rFonts w:eastAsia="MS Mincho"/>
          <w:lang w:val="pl-PL" w:eastAsia="de-DE"/>
        </w:rPr>
        <w:t>lecze</w:t>
      </w:r>
      <w:r w:rsidR="00E37258" w:rsidRPr="0015541C">
        <w:rPr>
          <w:rFonts w:eastAsia="MS Mincho"/>
          <w:lang w:val="pl-PL" w:eastAsia="de-DE"/>
        </w:rPr>
        <w:t>nia</w:t>
      </w:r>
      <w:r w:rsidRPr="0015541C">
        <w:rPr>
          <w:rFonts w:eastAsia="MS Mincho"/>
          <w:lang w:val="pl-PL" w:eastAsia="de-DE"/>
        </w:rPr>
        <w:t>:</w:t>
      </w:r>
    </w:p>
    <w:p w14:paraId="41B820A3" w14:textId="77777777" w:rsidR="00644694" w:rsidRPr="0015541C" w:rsidRDefault="00644694" w:rsidP="00644694">
      <w:pPr>
        <w:ind w:left="720" w:hanging="360"/>
        <w:rPr>
          <w:rFonts w:eastAsia="MS Mincho"/>
          <w:lang w:val="pl-PL" w:eastAsia="de-DE"/>
        </w:rPr>
      </w:pPr>
      <w:r w:rsidRPr="0015541C">
        <w:rPr>
          <w:lang w:val="pl-PL"/>
        </w:rPr>
        <w:t>•</w:t>
      </w:r>
      <w:r w:rsidRPr="0015541C">
        <w:rPr>
          <w:lang w:val="pl-PL"/>
        </w:rPr>
        <w:tab/>
        <w:t xml:space="preserve">Grupa </w:t>
      </w:r>
      <w:r w:rsidRPr="0015541C">
        <w:rPr>
          <w:rFonts w:eastAsia="MS Mincho"/>
          <w:lang w:val="pl-PL" w:eastAsia="de-DE"/>
        </w:rPr>
        <w:t xml:space="preserve">CP: </w:t>
      </w:r>
      <w:r w:rsidR="008851BA" w:rsidRPr="0015541C">
        <w:rPr>
          <w:rFonts w:eastAsia="MS Mincho"/>
          <w:lang w:val="pl-PL" w:eastAsia="de-DE"/>
        </w:rPr>
        <w:t>leczona k</w:t>
      </w:r>
      <w:r w:rsidRPr="0015541C">
        <w:rPr>
          <w:rFonts w:eastAsia="MS Mincho"/>
          <w:lang w:val="pl-PL" w:eastAsia="de-DE"/>
        </w:rPr>
        <w:t>arboplatyn</w:t>
      </w:r>
      <w:r w:rsidR="008851BA" w:rsidRPr="0015541C">
        <w:rPr>
          <w:rFonts w:eastAsia="MS Mincho"/>
          <w:lang w:val="pl-PL" w:eastAsia="de-DE"/>
        </w:rPr>
        <w:t>ą</w:t>
      </w:r>
      <w:r w:rsidRPr="0015541C">
        <w:rPr>
          <w:rFonts w:eastAsia="MS Mincho"/>
          <w:lang w:val="pl-PL" w:eastAsia="de-DE"/>
        </w:rPr>
        <w:t xml:space="preserve"> (AUC5) i paklitaksel</w:t>
      </w:r>
      <w:r w:rsidR="008851BA" w:rsidRPr="0015541C">
        <w:rPr>
          <w:rFonts w:eastAsia="MS Mincho"/>
          <w:lang w:val="pl-PL" w:eastAsia="de-DE"/>
        </w:rPr>
        <w:t>em</w:t>
      </w:r>
      <w:r w:rsidRPr="0015541C">
        <w:rPr>
          <w:rFonts w:eastAsia="MS Mincho"/>
          <w:lang w:val="pl-PL" w:eastAsia="de-DE"/>
        </w:rPr>
        <w:t xml:space="preserve"> (175 mg/m</w:t>
      </w:r>
      <w:r w:rsidRPr="0015541C">
        <w:rPr>
          <w:rFonts w:eastAsia="MS Mincho"/>
          <w:vertAlign w:val="superscript"/>
          <w:lang w:val="pl-PL" w:eastAsia="de-DE"/>
        </w:rPr>
        <w:t>2</w:t>
      </w:r>
      <w:r w:rsidRPr="0015541C">
        <w:rPr>
          <w:rFonts w:eastAsia="MS Mincho"/>
          <w:lang w:val="pl-PL" w:eastAsia="de-DE"/>
        </w:rPr>
        <w:t xml:space="preserve"> pc. dożylnie) co 3</w:t>
      </w:r>
      <w:r w:rsidR="008851BA" w:rsidRPr="0015541C">
        <w:rPr>
          <w:rFonts w:eastAsia="MS Mincho"/>
          <w:lang w:val="pl-PL" w:eastAsia="de-DE"/>
        </w:rPr>
        <w:t> </w:t>
      </w:r>
      <w:r w:rsidRPr="0015541C">
        <w:rPr>
          <w:rFonts w:eastAsia="MS Mincho"/>
          <w:lang w:val="pl-PL" w:eastAsia="de-DE"/>
        </w:rPr>
        <w:t>tygodnie przez 6 do 8 cykli.</w:t>
      </w:r>
    </w:p>
    <w:p w14:paraId="4FC8E900" w14:textId="77777777" w:rsidR="00644694" w:rsidRPr="0015541C" w:rsidRDefault="00644694" w:rsidP="00644694">
      <w:pPr>
        <w:ind w:left="720" w:hanging="360"/>
        <w:rPr>
          <w:rFonts w:eastAsia="MS Mincho"/>
          <w:lang w:val="pl-PL" w:eastAsia="de-DE"/>
        </w:rPr>
      </w:pPr>
      <w:r w:rsidRPr="0015541C">
        <w:rPr>
          <w:lang w:val="pl-PL"/>
        </w:rPr>
        <w:t>•</w:t>
      </w:r>
      <w:r w:rsidRPr="0015541C">
        <w:rPr>
          <w:lang w:val="pl-PL"/>
        </w:rPr>
        <w:tab/>
        <w:t xml:space="preserve">Grupa </w:t>
      </w:r>
      <w:r w:rsidRPr="0015541C">
        <w:rPr>
          <w:rFonts w:eastAsia="MS Mincho"/>
          <w:lang w:val="pl-PL" w:eastAsia="de-DE"/>
        </w:rPr>
        <w:t>CPB:</w:t>
      </w:r>
      <w:r w:rsidR="008851BA" w:rsidRPr="0015541C">
        <w:rPr>
          <w:rFonts w:eastAsia="MS Mincho"/>
          <w:lang w:val="pl-PL" w:eastAsia="de-DE"/>
        </w:rPr>
        <w:t xml:space="preserve"> leczona k</w:t>
      </w:r>
      <w:r w:rsidRPr="0015541C">
        <w:rPr>
          <w:rFonts w:eastAsia="MS Mincho"/>
          <w:lang w:val="pl-PL" w:eastAsia="de-DE"/>
        </w:rPr>
        <w:t>arboplatyn</w:t>
      </w:r>
      <w:r w:rsidR="008851BA" w:rsidRPr="0015541C">
        <w:rPr>
          <w:rFonts w:eastAsia="MS Mincho"/>
          <w:lang w:val="pl-PL" w:eastAsia="de-DE"/>
        </w:rPr>
        <w:t>ą</w:t>
      </w:r>
      <w:r w:rsidRPr="0015541C">
        <w:rPr>
          <w:rFonts w:eastAsia="MS Mincho"/>
          <w:lang w:val="pl-PL" w:eastAsia="de-DE"/>
        </w:rPr>
        <w:t xml:space="preserve"> (AUC5) i paklitaksel</w:t>
      </w:r>
      <w:r w:rsidR="008851BA" w:rsidRPr="0015541C">
        <w:rPr>
          <w:rFonts w:eastAsia="MS Mincho"/>
          <w:lang w:val="pl-PL" w:eastAsia="de-DE"/>
        </w:rPr>
        <w:t>em</w:t>
      </w:r>
      <w:r w:rsidRPr="0015541C">
        <w:rPr>
          <w:rFonts w:eastAsia="MS Mincho"/>
          <w:lang w:val="pl-PL" w:eastAsia="de-DE"/>
        </w:rPr>
        <w:t xml:space="preserve"> (175 mg/m</w:t>
      </w:r>
      <w:r w:rsidRPr="0015541C">
        <w:rPr>
          <w:rFonts w:eastAsia="MS Mincho"/>
          <w:vertAlign w:val="superscript"/>
          <w:lang w:val="pl-PL" w:eastAsia="de-DE"/>
        </w:rPr>
        <w:t>2</w:t>
      </w:r>
      <w:r w:rsidRPr="0015541C">
        <w:rPr>
          <w:rFonts w:eastAsia="MS Mincho"/>
          <w:lang w:val="pl-PL" w:eastAsia="de-DE"/>
        </w:rPr>
        <w:t xml:space="preserve"> pc. dożylnie) </w:t>
      </w:r>
      <w:r w:rsidR="008851BA" w:rsidRPr="0015541C">
        <w:rPr>
          <w:rFonts w:eastAsia="MS Mincho"/>
          <w:lang w:val="pl-PL" w:eastAsia="de-DE"/>
        </w:rPr>
        <w:t>w skojarzeniu</w:t>
      </w:r>
      <w:r w:rsidRPr="0015541C">
        <w:rPr>
          <w:rFonts w:eastAsia="MS Mincho"/>
          <w:lang w:val="pl-PL" w:eastAsia="de-DE"/>
        </w:rPr>
        <w:t xml:space="preserve"> </w:t>
      </w:r>
      <w:r w:rsidR="004F62C2" w:rsidRPr="0015541C">
        <w:rPr>
          <w:rFonts w:eastAsia="MS Mincho"/>
          <w:lang w:val="pl-PL" w:eastAsia="de-DE"/>
        </w:rPr>
        <w:t xml:space="preserve">z </w:t>
      </w:r>
      <w:r w:rsidR="00CD269E" w:rsidRPr="0015541C">
        <w:rPr>
          <w:rFonts w:eastAsia="MS Mincho"/>
          <w:lang w:val="pl-PL" w:eastAsia="de-DE"/>
        </w:rPr>
        <w:t>bewacyzumab</w:t>
      </w:r>
      <w:r w:rsidR="004F62C2" w:rsidRPr="0015541C">
        <w:rPr>
          <w:rFonts w:eastAsia="MS Mincho"/>
          <w:lang w:val="pl-PL" w:eastAsia="de-DE"/>
        </w:rPr>
        <w:t>em</w:t>
      </w:r>
      <w:r w:rsidRPr="0015541C">
        <w:rPr>
          <w:rFonts w:eastAsia="MS Mincho"/>
          <w:lang w:val="pl-PL" w:eastAsia="de-DE"/>
        </w:rPr>
        <w:t xml:space="preserve"> (15 mg/kg mc.) co 3 tygodnie przez 6 do 8 cykli, a następnie </w:t>
      </w:r>
      <w:r w:rsidR="00CD269E" w:rsidRPr="0015541C">
        <w:rPr>
          <w:rFonts w:eastAsia="MS Mincho"/>
          <w:lang w:val="pl-PL" w:eastAsia="de-DE"/>
        </w:rPr>
        <w:t>bewacyzumab</w:t>
      </w:r>
      <w:r w:rsidRPr="0015541C">
        <w:rPr>
          <w:rFonts w:eastAsia="MS Mincho"/>
          <w:lang w:val="pl-PL" w:eastAsia="de-DE"/>
        </w:rPr>
        <w:t xml:space="preserve"> (15 mg/kg mc. co 3 tygodnie) w monoterapii</w:t>
      </w:r>
      <w:r w:rsidR="008851BA" w:rsidRPr="0015541C">
        <w:rPr>
          <w:rFonts w:eastAsia="MS Mincho"/>
          <w:lang w:val="pl-PL" w:eastAsia="de-DE"/>
        </w:rPr>
        <w:t>, aż</w:t>
      </w:r>
      <w:r w:rsidRPr="0015541C">
        <w:rPr>
          <w:rFonts w:eastAsia="MS Mincho"/>
          <w:lang w:val="pl-PL" w:eastAsia="de-DE"/>
        </w:rPr>
        <w:t xml:space="preserve"> do</w:t>
      </w:r>
      <w:r w:rsidR="008851BA" w:rsidRPr="0015541C">
        <w:rPr>
          <w:rFonts w:eastAsia="MS Mincho"/>
          <w:lang w:val="pl-PL" w:eastAsia="de-DE"/>
        </w:rPr>
        <w:t xml:space="preserve"> wystąpienia</w:t>
      </w:r>
      <w:r w:rsidRPr="0015541C">
        <w:rPr>
          <w:rFonts w:eastAsia="MS Mincho"/>
          <w:lang w:val="pl-PL" w:eastAsia="de-DE"/>
        </w:rPr>
        <w:t xml:space="preserve"> progresji choroby lub</w:t>
      </w:r>
      <w:r w:rsidR="008851BA" w:rsidRPr="0015541C">
        <w:rPr>
          <w:rFonts w:eastAsia="MS Mincho"/>
          <w:lang w:val="pl-PL" w:eastAsia="de-DE"/>
        </w:rPr>
        <w:t xml:space="preserve"> działania toksycznego</w:t>
      </w:r>
      <w:r w:rsidRPr="0015541C">
        <w:rPr>
          <w:rFonts w:eastAsia="MS Mincho"/>
          <w:lang w:val="pl-PL" w:eastAsia="de-DE"/>
        </w:rPr>
        <w:t xml:space="preserve"> niemożliw</w:t>
      </w:r>
      <w:r w:rsidR="008851BA" w:rsidRPr="0015541C">
        <w:rPr>
          <w:rFonts w:eastAsia="MS Mincho"/>
          <w:lang w:val="pl-PL" w:eastAsia="de-DE"/>
        </w:rPr>
        <w:t>ego</w:t>
      </w:r>
      <w:r w:rsidRPr="0015541C">
        <w:rPr>
          <w:rFonts w:eastAsia="MS Mincho"/>
          <w:lang w:val="pl-PL" w:eastAsia="de-DE"/>
        </w:rPr>
        <w:t xml:space="preserve"> do zaakceptowania.</w:t>
      </w:r>
    </w:p>
    <w:p w14:paraId="699F9265" w14:textId="77777777" w:rsidR="00644694" w:rsidRPr="0015541C" w:rsidRDefault="00644694" w:rsidP="00644694">
      <w:pPr>
        <w:rPr>
          <w:rFonts w:eastAsia="MS Mincho"/>
          <w:lang w:val="pl-PL" w:eastAsia="de-DE"/>
        </w:rPr>
      </w:pPr>
    </w:p>
    <w:p w14:paraId="29C00E06" w14:textId="77777777" w:rsidR="00644694" w:rsidRPr="0015541C" w:rsidRDefault="00644694" w:rsidP="00644694">
      <w:pPr>
        <w:rPr>
          <w:rFonts w:eastAsia="MS Mincho"/>
          <w:lang w:val="pl-PL" w:eastAsia="de-DE"/>
        </w:rPr>
      </w:pPr>
      <w:r w:rsidRPr="0015541C">
        <w:rPr>
          <w:rFonts w:eastAsia="MS Mincho"/>
          <w:lang w:val="pl-PL" w:eastAsia="de-DE"/>
        </w:rPr>
        <w:t xml:space="preserve">Większość pacjentów zarówno w grupie CP (80,4%), jak i w grupie CPB (78,9%) </w:t>
      </w:r>
      <w:r w:rsidR="006713CB" w:rsidRPr="0015541C">
        <w:rPr>
          <w:rFonts w:eastAsia="PMingLiU"/>
          <w:lang w:val="pl-PL" w:eastAsia="zh-CN"/>
        </w:rPr>
        <w:t xml:space="preserve">należała do </w:t>
      </w:r>
      <w:r w:rsidRPr="0015541C">
        <w:rPr>
          <w:rFonts w:eastAsia="MS Mincho"/>
          <w:lang w:val="pl-PL" w:eastAsia="de-DE"/>
        </w:rPr>
        <w:t xml:space="preserve">rasy białej. Mediana wieku wyniosła 60,0 lat w grupie CP i 59,0 lat w grupie CPB. Większość pacjentów (CP: 64,6%; CPB: 68,8%) </w:t>
      </w:r>
      <w:r w:rsidR="006713CB" w:rsidRPr="0015541C">
        <w:rPr>
          <w:rFonts w:eastAsia="MS Mincho"/>
          <w:lang w:val="pl-PL" w:eastAsia="de-DE"/>
        </w:rPr>
        <w:t>było</w:t>
      </w:r>
      <w:r w:rsidRPr="0015541C">
        <w:rPr>
          <w:rFonts w:eastAsia="MS Mincho"/>
          <w:lang w:val="pl-PL" w:eastAsia="de-DE"/>
        </w:rPr>
        <w:t xml:space="preserve"> w </w:t>
      </w:r>
      <w:r w:rsidR="006713CB" w:rsidRPr="0015541C">
        <w:rPr>
          <w:rFonts w:eastAsia="MS Mincho"/>
          <w:lang w:val="pl-PL" w:eastAsia="de-DE"/>
        </w:rPr>
        <w:t>wiek</w:t>
      </w:r>
      <w:r w:rsidR="0074699B" w:rsidRPr="0015541C">
        <w:rPr>
          <w:rFonts w:eastAsia="MS Mincho"/>
          <w:lang w:val="pl-PL" w:eastAsia="de-DE"/>
        </w:rPr>
        <w:t xml:space="preserve">u powyżej </w:t>
      </w:r>
      <w:r w:rsidRPr="0015541C">
        <w:rPr>
          <w:rFonts w:eastAsia="MS Mincho"/>
          <w:lang w:val="pl-PL" w:eastAsia="de-DE"/>
        </w:rPr>
        <w:t xml:space="preserve">65 lat. Na początku badania u większości pacjentów </w:t>
      </w:r>
      <w:r w:rsidR="00E37258" w:rsidRPr="0015541C">
        <w:rPr>
          <w:rFonts w:eastAsia="MS Mincho"/>
          <w:lang w:val="pl-PL" w:eastAsia="de-DE"/>
        </w:rPr>
        <w:t>w</w:t>
      </w:r>
      <w:r w:rsidRPr="0015541C">
        <w:rPr>
          <w:rFonts w:eastAsia="MS Mincho"/>
          <w:lang w:val="pl-PL" w:eastAsia="de-DE"/>
        </w:rPr>
        <w:t xml:space="preserve"> obu </w:t>
      </w:r>
      <w:r w:rsidR="0074699B" w:rsidRPr="0015541C">
        <w:rPr>
          <w:rFonts w:eastAsia="MS Mincho"/>
          <w:lang w:val="pl-PL" w:eastAsia="de-DE"/>
        </w:rPr>
        <w:t>ramionach leczenia</w:t>
      </w:r>
      <w:r w:rsidRPr="0015541C">
        <w:rPr>
          <w:rFonts w:eastAsia="MS Mincho"/>
          <w:lang w:val="pl-PL" w:eastAsia="de-DE"/>
        </w:rPr>
        <w:t xml:space="preserve"> stan </w:t>
      </w:r>
      <w:r w:rsidR="0074699B" w:rsidRPr="0015541C">
        <w:rPr>
          <w:rFonts w:eastAsia="MS Mincho"/>
          <w:lang w:val="pl-PL" w:eastAsia="de-DE"/>
        </w:rPr>
        <w:t>ogólny</w:t>
      </w:r>
      <w:r w:rsidR="00E37258" w:rsidRPr="0015541C">
        <w:rPr>
          <w:rFonts w:eastAsia="MS Mincho"/>
          <w:lang w:val="pl-PL" w:eastAsia="de-DE"/>
        </w:rPr>
        <w:t xml:space="preserve"> (PS)</w:t>
      </w:r>
      <w:r w:rsidRPr="0015541C">
        <w:rPr>
          <w:rFonts w:eastAsia="MS Mincho"/>
          <w:lang w:val="pl-PL" w:eastAsia="de-DE"/>
        </w:rPr>
        <w:t xml:space="preserve"> wg GOG wyniósł 0 (CP: 82,4%</w:t>
      </w:r>
      <w:r w:rsidR="0074699B" w:rsidRPr="0015541C">
        <w:rPr>
          <w:rFonts w:eastAsia="MS Mincho"/>
          <w:lang w:val="pl-PL" w:eastAsia="de-DE"/>
        </w:rPr>
        <w:t>,</w:t>
      </w:r>
      <w:r w:rsidRPr="0015541C">
        <w:rPr>
          <w:rFonts w:eastAsia="MS Mincho"/>
          <w:lang w:val="pl-PL" w:eastAsia="de-DE"/>
        </w:rPr>
        <w:t xml:space="preserve"> CPB 80,7%) lub 1 (CP: 16,7%</w:t>
      </w:r>
      <w:r w:rsidR="0074699B" w:rsidRPr="0015541C">
        <w:rPr>
          <w:rFonts w:eastAsia="MS Mincho"/>
          <w:lang w:val="pl-PL" w:eastAsia="de-DE"/>
        </w:rPr>
        <w:t>,</w:t>
      </w:r>
      <w:r w:rsidRPr="0015541C">
        <w:rPr>
          <w:rFonts w:eastAsia="MS Mincho"/>
          <w:lang w:val="pl-PL" w:eastAsia="de-DE"/>
        </w:rPr>
        <w:t xml:space="preserve"> CPB 18,1%). </w:t>
      </w:r>
      <w:r w:rsidR="00E37258" w:rsidRPr="0015541C">
        <w:rPr>
          <w:rFonts w:eastAsia="MS Mincho"/>
          <w:lang w:val="pl-PL" w:eastAsia="de-DE"/>
        </w:rPr>
        <w:t xml:space="preserve">PS </w:t>
      </w:r>
      <w:r w:rsidRPr="0015541C">
        <w:rPr>
          <w:rFonts w:eastAsia="MS Mincho"/>
          <w:lang w:val="pl-PL" w:eastAsia="de-DE"/>
        </w:rPr>
        <w:t xml:space="preserve">2 wg GOG na początku badania zgłoszono u 0,9% pacjentów </w:t>
      </w:r>
      <w:r w:rsidR="00E37258" w:rsidRPr="0015541C">
        <w:rPr>
          <w:rFonts w:eastAsia="MS Mincho"/>
          <w:lang w:val="pl-PL" w:eastAsia="de-DE"/>
        </w:rPr>
        <w:t>w</w:t>
      </w:r>
      <w:r w:rsidRPr="0015541C">
        <w:rPr>
          <w:rFonts w:eastAsia="MS Mincho"/>
          <w:lang w:val="pl-PL" w:eastAsia="de-DE"/>
        </w:rPr>
        <w:t xml:space="preserve"> grup</w:t>
      </w:r>
      <w:r w:rsidR="00E37258" w:rsidRPr="0015541C">
        <w:rPr>
          <w:rFonts w:eastAsia="MS Mincho"/>
          <w:lang w:val="pl-PL" w:eastAsia="de-DE"/>
        </w:rPr>
        <w:t>ie</w:t>
      </w:r>
      <w:r w:rsidRPr="0015541C">
        <w:rPr>
          <w:rFonts w:eastAsia="MS Mincho"/>
          <w:lang w:val="pl-PL" w:eastAsia="de-DE"/>
        </w:rPr>
        <w:t xml:space="preserve"> CP i u 1,2% pacjentów </w:t>
      </w:r>
      <w:r w:rsidR="00E37258" w:rsidRPr="0015541C">
        <w:rPr>
          <w:rFonts w:eastAsia="MS Mincho"/>
          <w:lang w:val="pl-PL" w:eastAsia="de-DE"/>
        </w:rPr>
        <w:t>w</w:t>
      </w:r>
      <w:r w:rsidR="004D12CB" w:rsidRPr="0015541C">
        <w:rPr>
          <w:rFonts w:eastAsia="MS Mincho"/>
          <w:lang w:val="pl-PL" w:eastAsia="de-DE"/>
        </w:rPr>
        <w:t xml:space="preserve"> </w:t>
      </w:r>
      <w:r w:rsidRPr="0015541C">
        <w:rPr>
          <w:rFonts w:eastAsia="MS Mincho"/>
          <w:lang w:val="pl-PL" w:eastAsia="de-DE"/>
        </w:rPr>
        <w:t>grup</w:t>
      </w:r>
      <w:r w:rsidR="00E37258" w:rsidRPr="0015541C">
        <w:rPr>
          <w:rFonts w:eastAsia="MS Mincho"/>
          <w:lang w:val="pl-PL" w:eastAsia="de-DE"/>
        </w:rPr>
        <w:t>ie</w:t>
      </w:r>
      <w:r w:rsidRPr="0015541C">
        <w:rPr>
          <w:rFonts w:eastAsia="MS Mincho"/>
          <w:lang w:val="pl-PL" w:eastAsia="de-DE"/>
        </w:rPr>
        <w:t xml:space="preserve"> CPB.</w:t>
      </w:r>
    </w:p>
    <w:p w14:paraId="47E6D425" w14:textId="77777777" w:rsidR="00644694" w:rsidRPr="0015541C" w:rsidRDefault="00644694" w:rsidP="00644694">
      <w:pPr>
        <w:rPr>
          <w:rFonts w:eastAsia="MS Mincho"/>
          <w:lang w:val="pl-PL" w:eastAsia="de-DE"/>
        </w:rPr>
      </w:pPr>
    </w:p>
    <w:p w14:paraId="7D6572B8" w14:textId="4AB355C3" w:rsidR="00644694" w:rsidRPr="0015541C" w:rsidRDefault="00644694" w:rsidP="00644694">
      <w:pPr>
        <w:rPr>
          <w:lang w:val="pl-PL"/>
        </w:rPr>
      </w:pPr>
      <w:r w:rsidRPr="0015541C">
        <w:rPr>
          <w:lang w:val="pl-PL"/>
        </w:rPr>
        <w:t xml:space="preserve">Pierwszorzędowym punktem końcowym </w:t>
      </w:r>
      <w:r w:rsidR="00E37258" w:rsidRPr="0015541C">
        <w:rPr>
          <w:lang w:val="pl-PL"/>
        </w:rPr>
        <w:t xml:space="preserve">był </w:t>
      </w:r>
      <w:r w:rsidRPr="0015541C">
        <w:rPr>
          <w:lang w:val="pl-PL"/>
        </w:rPr>
        <w:t>OS. Głównym drugorzędowym punktem końcowym oceny skuteczności był</w:t>
      </w:r>
      <w:r w:rsidR="00E25163" w:rsidRPr="0015541C">
        <w:rPr>
          <w:lang w:val="pl-PL"/>
        </w:rPr>
        <w:t xml:space="preserve"> </w:t>
      </w:r>
      <w:r w:rsidRPr="0015541C">
        <w:rPr>
          <w:lang w:val="pl-PL"/>
        </w:rPr>
        <w:t>PFS. Wyniki przedstawiono w Tabeli 22.</w:t>
      </w:r>
    </w:p>
    <w:p w14:paraId="37EEF089" w14:textId="77777777" w:rsidR="00644694" w:rsidRPr="0015541C" w:rsidRDefault="00644694" w:rsidP="00644694">
      <w:pPr>
        <w:rPr>
          <w:lang w:val="pl-PL"/>
        </w:rPr>
      </w:pPr>
    </w:p>
    <w:p w14:paraId="648E7CA0" w14:textId="77777777" w:rsidR="00114F39" w:rsidRPr="0015541C" w:rsidRDefault="00644694" w:rsidP="00644694">
      <w:pPr>
        <w:keepNext/>
        <w:keepLines/>
        <w:rPr>
          <w:b/>
          <w:lang w:val="pl-PL"/>
        </w:rPr>
      </w:pPr>
      <w:r w:rsidRPr="0015541C">
        <w:rPr>
          <w:b/>
          <w:lang w:val="pl-PL"/>
        </w:rPr>
        <w:t>Tabela 22</w:t>
      </w:r>
      <w:r w:rsidRPr="0015541C">
        <w:rPr>
          <w:b/>
          <w:lang w:val="pl-PL"/>
        </w:rPr>
        <w:tab/>
        <w:t xml:space="preserve">Wyniki </w:t>
      </w:r>
      <w:r w:rsidR="00615D63" w:rsidRPr="0015541C">
        <w:rPr>
          <w:b/>
          <w:lang w:val="pl-PL"/>
        </w:rPr>
        <w:t xml:space="preserve">badania GOG-0213 </w:t>
      </w:r>
      <w:r w:rsidRPr="0015541C">
        <w:rPr>
          <w:b/>
          <w:lang w:val="pl-PL"/>
        </w:rPr>
        <w:t>dotyczące skuteczności</w:t>
      </w:r>
      <w:r w:rsidRPr="0015541C">
        <w:rPr>
          <w:b/>
          <w:vertAlign w:val="superscript"/>
          <w:lang w:val="pl-PL"/>
        </w:rPr>
        <w:t>1,2</w:t>
      </w:r>
      <w:r w:rsidRPr="0015541C">
        <w:rPr>
          <w:b/>
          <w:lang w:val="pl-P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2250"/>
        <w:gridCol w:w="2568"/>
      </w:tblGrid>
      <w:tr w:rsidR="00644694" w:rsidRPr="008D11DD" w14:paraId="1DA53AFA" w14:textId="77777777" w:rsidTr="00F05BDA">
        <w:trPr>
          <w:trHeight w:val="351"/>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4950038E" w14:textId="77777777" w:rsidR="00644694" w:rsidRPr="0070444C" w:rsidRDefault="00644694" w:rsidP="00BB7B57">
            <w:pPr>
              <w:pStyle w:val="TextTi12"/>
              <w:keepNext/>
              <w:rPr>
                <w:sz w:val="22"/>
                <w:lang w:val="pl-PL"/>
              </w:rPr>
            </w:pPr>
            <w:r w:rsidRPr="0070444C">
              <w:rPr>
                <w:sz w:val="22"/>
                <w:lang w:val="pl-PL"/>
              </w:rPr>
              <w:t>Pierwszorzędowy punkt końcowy</w:t>
            </w:r>
          </w:p>
        </w:tc>
      </w:tr>
      <w:tr w:rsidR="00644694" w:rsidRPr="0015541C" w14:paraId="30BD73ED" w14:textId="77777777" w:rsidTr="00F05BDA">
        <w:trPr>
          <w:trHeight w:val="645"/>
          <w:jc w:val="center"/>
        </w:trPr>
        <w:tc>
          <w:tcPr>
            <w:tcW w:w="4098" w:type="dxa"/>
            <w:tcBorders>
              <w:top w:val="single" w:sz="4" w:space="0" w:color="auto"/>
              <w:left w:val="single" w:sz="4" w:space="0" w:color="auto"/>
              <w:bottom w:val="single" w:sz="4" w:space="0" w:color="auto"/>
              <w:right w:val="single" w:sz="4" w:space="0" w:color="auto"/>
            </w:tcBorders>
            <w:shd w:val="clear" w:color="auto" w:fill="auto"/>
            <w:vAlign w:val="center"/>
          </w:tcPr>
          <w:p w14:paraId="66D43ADF" w14:textId="0652A2ED" w:rsidR="00644694" w:rsidRPr="0070444C" w:rsidRDefault="00A10A10" w:rsidP="00F05BDA">
            <w:pPr>
              <w:rPr>
                <w:lang w:val="pl-PL"/>
              </w:rPr>
            </w:pPr>
            <w:r w:rsidRPr="0015541C">
              <w:rPr>
                <w:lang w:val="pl-PL"/>
              </w:rPr>
              <w:t>Całkowity czas przeżycia (OS)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6E363BC" w14:textId="77777777" w:rsidR="00644694" w:rsidRPr="0015541C" w:rsidRDefault="00644694" w:rsidP="00F05BDA">
            <w:pPr>
              <w:jc w:val="center"/>
              <w:rPr>
                <w:strike/>
                <w:lang w:val="pl-PL"/>
              </w:rPr>
            </w:pPr>
            <w:r w:rsidRPr="0015541C">
              <w:rPr>
                <w:lang w:val="pl-PL"/>
              </w:rPr>
              <w:t>CP</w:t>
            </w:r>
          </w:p>
          <w:p w14:paraId="0C7624A0" w14:textId="77777777" w:rsidR="00644694" w:rsidRPr="0015541C" w:rsidRDefault="00644694" w:rsidP="00F05BDA">
            <w:pPr>
              <w:jc w:val="center"/>
              <w:rPr>
                <w:rFonts w:eastAsia="SimSun"/>
                <w:lang w:val="pl-PL"/>
              </w:rPr>
            </w:pPr>
            <w:r w:rsidRPr="0015541C">
              <w:rPr>
                <w:lang w:val="pl-PL"/>
              </w:rPr>
              <w:t>(n=336)</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2B67D562" w14:textId="77777777" w:rsidR="00644694" w:rsidRPr="0015541C" w:rsidRDefault="00644694" w:rsidP="00F05BDA">
            <w:pPr>
              <w:jc w:val="center"/>
              <w:rPr>
                <w:lang w:val="pl-PL"/>
              </w:rPr>
            </w:pPr>
            <w:r w:rsidRPr="0015541C">
              <w:rPr>
                <w:lang w:val="pl-PL"/>
              </w:rPr>
              <w:t>CPB</w:t>
            </w:r>
          </w:p>
          <w:p w14:paraId="4971E07A" w14:textId="77777777" w:rsidR="00644694" w:rsidRPr="0015541C" w:rsidRDefault="00644694" w:rsidP="00F05BDA">
            <w:pPr>
              <w:jc w:val="center"/>
              <w:rPr>
                <w:rFonts w:eastAsia="SimSun"/>
                <w:lang w:val="pl-PL"/>
              </w:rPr>
            </w:pPr>
            <w:r w:rsidRPr="0015541C">
              <w:rPr>
                <w:lang w:val="pl-PL"/>
              </w:rPr>
              <w:t>(n=337)</w:t>
            </w:r>
          </w:p>
        </w:tc>
      </w:tr>
      <w:tr w:rsidR="00644694" w:rsidRPr="0015541C" w14:paraId="70AD18EE" w14:textId="77777777" w:rsidTr="00F05BDA">
        <w:trPr>
          <w:jc w:val="center"/>
        </w:trPr>
        <w:tc>
          <w:tcPr>
            <w:tcW w:w="4098" w:type="dxa"/>
            <w:shd w:val="clear" w:color="auto" w:fill="auto"/>
          </w:tcPr>
          <w:p w14:paraId="6F150923" w14:textId="77777777" w:rsidR="00644694" w:rsidRPr="0015541C" w:rsidRDefault="00644694" w:rsidP="00F05BDA">
            <w:pPr>
              <w:rPr>
                <w:lang w:val="pl-PL"/>
              </w:rPr>
            </w:pPr>
            <w:r w:rsidRPr="0015541C">
              <w:rPr>
                <w:lang w:val="pl-PL"/>
              </w:rPr>
              <w:t>Mediana OS (miesiące)</w:t>
            </w:r>
          </w:p>
        </w:tc>
        <w:tc>
          <w:tcPr>
            <w:tcW w:w="2250" w:type="dxa"/>
            <w:shd w:val="clear" w:color="auto" w:fill="auto"/>
          </w:tcPr>
          <w:p w14:paraId="150C6CD8" w14:textId="77777777" w:rsidR="00644694" w:rsidRPr="00AC3958" w:rsidRDefault="00644694" w:rsidP="00F05BDA">
            <w:pPr>
              <w:jc w:val="center"/>
              <w:rPr>
                <w:lang w:val="pl-PL"/>
              </w:rPr>
            </w:pPr>
            <w:r w:rsidRPr="0015541C">
              <w:rPr>
                <w:lang w:val="pl-PL"/>
              </w:rPr>
              <w:t>37,3</w:t>
            </w:r>
          </w:p>
        </w:tc>
        <w:tc>
          <w:tcPr>
            <w:tcW w:w="2568" w:type="dxa"/>
            <w:shd w:val="clear" w:color="auto" w:fill="auto"/>
          </w:tcPr>
          <w:p w14:paraId="18B847F4" w14:textId="77777777" w:rsidR="00644694" w:rsidRPr="00AC3958" w:rsidRDefault="00644694" w:rsidP="00F05BDA">
            <w:pPr>
              <w:jc w:val="center"/>
              <w:rPr>
                <w:lang w:val="pl-PL"/>
              </w:rPr>
            </w:pPr>
            <w:r w:rsidRPr="00AC3958">
              <w:rPr>
                <w:lang w:val="pl-PL"/>
              </w:rPr>
              <w:t>42,6</w:t>
            </w:r>
          </w:p>
        </w:tc>
      </w:tr>
      <w:tr w:rsidR="00644694" w:rsidRPr="0015541C" w14:paraId="4B27E19E" w14:textId="77777777" w:rsidTr="00F05BDA">
        <w:trPr>
          <w:jc w:val="center"/>
        </w:trPr>
        <w:tc>
          <w:tcPr>
            <w:tcW w:w="4098" w:type="dxa"/>
            <w:shd w:val="clear" w:color="auto" w:fill="auto"/>
          </w:tcPr>
          <w:p w14:paraId="3BA252A1" w14:textId="77777777" w:rsidR="00644694" w:rsidRPr="0015541C" w:rsidRDefault="00644694" w:rsidP="00F05BDA">
            <w:pPr>
              <w:rPr>
                <w:lang w:val="pl-PL"/>
              </w:rPr>
            </w:pPr>
            <w:r w:rsidRPr="0015541C">
              <w:rPr>
                <w:lang w:val="pl-PL"/>
              </w:rPr>
              <w:t>Współczynnik ryzyka (95% CI) (eCRF)</w:t>
            </w:r>
            <w:r w:rsidRPr="0015541C">
              <w:rPr>
                <w:vertAlign w:val="superscript"/>
                <w:lang w:val="pl-PL"/>
              </w:rPr>
              <w:t>a</w:t>
            </w:r>
          </w:p>
        </w:tc>
        <w:tc>
          <w:tcPr>
            <w:tcW w:w="4818" w:type="dxa"/>
            <w:gridSpan w:val="2"/>
            <w:shd w:val="clear" w:color="auto" w:fill="auto"/>
          </w:tcPr>
          <w:p w14:paraId="5D48C12E" w14:textId="77777777" w:rsidR="00644694" w:rsidRPr="00AC3958" w:rsidRDefault="00644694" w:rsidP="00F05BDA">
            <w:pPr>
              <w:jc w:val="center"/>
              <w:rPr>
                <w:lang w:val="pl-PL"/>
              </w:rPr>
            </w:pPr>
            <w:r w:rsidRPr="00AC3958">
              <w:rPr>
                <w:rFonts w:eastAsia="MS Mincho"/>
                <w:lang w:val="pl-PL" w:eastAsia="en-US"/>
              </w:rPr>
              <w:t xml:space="preserve">0,823 </w:t>
            </w:r>
            <w:r w:rsidRPr="00AC3958">
              <w:rPr>
                <w:lang w:val="pl-PL"/>
              </w:rPr>
              <w:t>[</w:t>
            </w:r>
            <w:r w:rsidRPr="00AC3958">
              <w:rPr>
                <w:rFonts w:eastAsia="MS Mincho"/>
                <w:lang w:val="pl-PL" w:eastAsia="en-US"/>
              </w:rPr>
              <w:t>CI: 0,680</w:t>
            </w:r>
            <w:r w:rsidR="0074699B" w:rsidRPr="00AC3958">
              <w:rPr>
                <w:rFonts w:eastAsia="MS Mincho"/>
                <w:lang w:val="pl-PL" w:eastAsia="en-US"/>
              </w:rPr>
              <w:t>,</w:t>
            </w:r>
            <w:r w:rsidRPr="00AC3958">
              <w:rPr>
                <w:rFonts w:eastAsia="MS Mincho"/>
                <w:lang w:val="pl-PL" w:eastAsia="en-US"/>
              </w:rPr>
              <w:t xml:space="preserve"> 0,996</w:t>
            </w:r>
            <w:r w:rsidRPr="00AC3958">
              <w:rPr>
                <w:lang w:val="pl-PL"/>
              </w:rPr>
              <w:t>]</w:t>
            </w:r>
          </w:p>
        </w:tc>
      </w:tr>
      <w:tr w:rsidR="00644694" w:rsidRPr="0015541C" w14:paraId="0DD70DC8" w14:textId="77777777" w:rsidTr="00F05BDA">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5407576B" w14:textId="77777777" w:rsidR="00644694" w:rsidRPr="0015541C" w:rsidRDefault="00644694" w:rsidP="00F05BDA">
            <w:pPr>
              <w:rPr>
                <w:lang w:val="pl-PL"/>
              </w:rPr>
            </w:pPr>
            <w:r w:rsidRPr="0015541C">
              <w:rPr>
                <w:lang w:val="pl-PL"/>
              </w:rPr>
              <w:t>Wartość p</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38B188BA" w14:textId="77777777" w:rsidR="00644694" w:rsidRPr="00AC3958" w:rsidRDefault="00644694" w:rsidP="00F05BDA">
            <w:pPr>
              <w:jc w:val="center"/>
              <w:rPr>
                <w:lang w:val="pl-PL"/>
              </w:rPr>
            </w:pPr>
            <w:r w:rsidRPr="0015541C">
              <w:rPr>
                <w:rFonts w:eastAsia="MS Mincho"/>
                <w:lang w:val="pl-PL" w:eastAsia="en-US"/>
              </w:rPr>
              <w:t>0,0447</w:t>
            </w:r>
          </w:p>
        </w:tc>
      </w:tr>
      <w:tr w:rsidR="00644694" w:rsidRPr="0015541C" w14:paraId="42EBD587" w14:textId="77777777" w:rsidTr="00F05BDA">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0E386CB4" w14:textId="77777777" w:rsidR="00644694" w:rsidRPr="0015541C" w:rsidRDefault="00644694" w:rsidP="00F05BDA">
            <w:pPr>
              <w:rPr>
                <w:lang w:val="pl-PL"/>
              </w:rPr>
            </w:pPr>
            <w:r w:rsidRPr="0015541C">
              <w:rPr>
                <w:lang w:val="pl-PL"/>
              </w:rPr>
              <w:t>Współczynnik ryzyka (95% CI) (formularz rejestracyjny)</w:t>
            </w:r>
            <w:r w:rsidRPr="0015541C">
              <w:rPr>
                <w:vertAlign w:val="superscript"/>
                <w:lang w:val="pl-PL"/>
              </w:rPr>
              <w:t>b</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25AEEDF7" w14:textId="77777777" w:rsidR="00644694" w:rsidRPr="00AC3958" w:rsidRDefault="00644694" w:rsidP="0074699B">
            <w:pPr>
              <w:jc w:val="center"/>
              <w:rPr>
                <w:rFonts w:eastAsia="MS Mincho"/>
                <w:lang w:val="pl-PL" w:eastAsia="en-US"/>
              </w:rPr>
            </w:pPr>
            <w:r w:rsidRPr="00AC3958">
              <w:rPr>
                <w:rFonts w:eastAsia="MS Mincho"/>
                <w:lang w:val="pl-PL" w:eastAsia="en-US"/>
              </w:rPr>
              <w:t xml:space="preserve">0,838 </w:t>
            </w:r>
            <w:r w:rsidRPr="00AC3958">
              <w:rPr>
                <w:lang w:val="pl-PL"/>
              </w:rPr>
              <w:t>[</w:t>
            </w:r>
            <w:r w:rsidRPr="00AC3958">
              <w:rPr>
                <w:rFonts w:eastAsia="MS Mincho"/>
                <w:lang w:val="pl-PL" w:eastAsia="en-US"/>
              </w:rPr>
              <w:t>CI: 0,693</w:t>
            </w:r>
            <w:r w:rsidR="0074699B" w:rsidRPr="00AC3958">
              <w:rPr>
                <w:rFonts w:eastAsia="MS Mincho"/>
                <w:lang w:val="pl-PL" w:eastAsia="en-US"/>
              </w:rPr>
              <w:t>,</w:t>
            </w:r>
            <w:r w:rsidRPr="00AC3958">
              <w:rPr>
                <w:rFonts w:eastAsia="MS Mincho"/>
                <w:lang w:val="pl-PL" w:eastAsia="en-US"/>
              </w:rPr>
              <w:t xml:space="preserve"> 1,014</w:t>
            </w:r>
            <w:r w:rsidRPr="00AC3958">
              <w:rPr>
                <w:lang w:val="pl-PL"/>
              </w:rPr>
              <w:t>]</w:t>
            </w:r>
          </w:p>
        </w:tc>
      </w:tr>
      <w:tr w:rsidR="00644694" w:rsidRPr="0015541C" w14:paraId="614AF308" w14:textId="77777777" w:rsidTr="00F05BDA">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6C6B69BE" w14:textId="77777777" w:rsidR="00644694" w:rsidRPr="0015541C" w:rsidRDefault="00644694" w:rsidP="00F05BDA">
            <w:pPr>
              <w:rPr>
                <w:lang w:val="pl-PL"/>
              </w:rPr>
            </w:pPr>
            <w:r w:rsidRPr="0015541C">
              <w:rPr>
                <w:lang w:val="pl-PL"/>
              </w:rPr>
              <w:t>Wartość p</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6FC485B9" w14:textId="77777777" w:rsidR="00644694" w:rsidRPr="00AC3958" w:rsidRDefault="00644694" w:rsidP="00F05BDA">
            <w:pPr>
              <w:jc w:val="center"/>
              <w:rPr>
                <w:rFonts w:eastAsia="MS Mincho"/>
                <w:lang w:val="pl-PL" w:eastAsia="en-US"/>
              </w:rPr>
            </w:pPr>
            <w:r w:rsidRPr="0015541C">
              <w:rPr>
                <w:lang w:val="pl-PL"/>
              </w:rPr>
              <w:t>0,0683</w:t>
            </w:r>
          </w:p>
        </w:tc>
      </w:tr>
      <w:tr w:rsidR="00644694" w:rsidRPr="0015541C" w14:paraId="0BF8104D" w14:textId="77777777" w:rsidTr="00F05BDA">
        <w:trPr>
          <w:trHeight w:val="322"/>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135A583E" w14:textId="77777777" w:rsidR="00644694" w:rsidRPr="0070444C" w:rsidRDefault="00644694" w:rsidP="000855FA">
            <w:pPr>
              <w:rPr>
                <w:lang w:val="pl-PL"/>
              </w:rPr>
            </w:pPr>
            <w:r w:rsidRPr="0070444C">
              <w:rPr>
                <w:lang w:val="pl-PL"/>
              </w:rPr>
              <w:t>Drugorzędow</w:t>
            </w:r>
            <w:r w:rsidR="000855FA" w:rsidRPr="0070444C">
              <w:rPr>
                <w:lang w:val="pl-PL"/>
              </w:rPr>
              <w:t>y</w:t>
            </w:r>
            <w:r w:rsidRPr="0070444C">
              <w:rPr>
                <w:lang w:val="pl-PL"/>
              </w:rPr>
              <w:t xml:space="preserve"> punkt końcow</w:t>
            </w:r>
            <w:r w:rsidR="000855FA" w:rsidRPr="0070444C">
              <w:rPr>
                <w:lang w:val="pl-PL"/>
              </w:rPr>
              <w:t>y</w:t>
            </w:r>
          </w:p>
        </w:tc>
      </w:tr>
      <w:tr w:rsidR="00644694" w:rsidRPr="0015541C" w14:paraId="5E5D8476" w14:textId="77777777" w:rsidTr="00F05BDA">
        <w:trPr>
          <w:trHeight w:val="639"/>
          <w:jc w:val="center"/>
        </w:trPr>
        <w:tc>
          <w:tcPr>
            <w:tcW w:w="4098" w:type="dxa"/>
            <w:tcBorders>
              <w:top w:val="single" w:sz="4" w:space="0" w:color="auto"/>
              <w:left w:val="single" w:sz="4" w:space="0" w:color="auto"/>
              <w:bottom w:val="single" w:sz="4" w:space="0" w:color="auto"/>
              <w:right w:val="single" w:sz="4" w:space="0" w:color="auto"/>
            </w:tcBorders>
            <w:shd w:val="clear" w:color="auto" w:fill="auto"/>
            <w:vAlign w:val="center"/>
          </w:tcPr>
          <w:p w14:paraId="46962247" w14:textId="56F92F16" w:rsidR="00644694" w:rsidRPr="0070444C" w:rsidRDefault="00615D63" w:rsidP="006C1132">
            <w:pPr>
              <w:rPr>
                <w:lang w:val="pl-PL"/>
              </w:rPr>
            </w:pPr>
            <w:r w:rsidRPr="0070444C">
              <w:rPr>
                <w:lang w:val="pl-PL"/>
              </w:rPr>
              <w:t>Czas p</w:t>
            </w:r>
            <w:r w:rsidR="00644694" w:rsidRPr="0070444C">
              <w:rPr>
                <w:lang w:val="pl-PL"/>
              </w:rPr>
              <w:t>rzeżyci</w:t>
            </w:r>
            <w:r w:rsidRPr="0070444C">
              <w:rPr>
                <w:lang w:val="pl-PL"/>
              </w:rPr>
              <w:t>a</w:t>
            </w:r>
            <w:r w:rsidR="00644694" w:rsidRPr="0070444C">
              <w:rPr>
                <w:lang w:val="pl-PL"/>
              </w:rPr>
              <w:t xml:space="preserve"> </w:t>
            </w:r>
            <w:r w:rsidR="006C1132" w:rsidRPr="0070444C">
              <w:rPr>
                <w:lang w:val="pl-PL"/>
              </w:rPr>
              <w:t xml:space="preserve">wolny </w:t>
            </w:r>
            <w:r w:rsidR="00644694" w:rsidRPr="0070444C">
              <w:rPr>
                <w:lang w:val="pl-PL"/>
              </w:rPr>
              <w:t>od progresji choroby (PFS)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8ADE280" w14:textId="77777777" w:rsidR="00644694" w:rsidRPr="0015541C" w:rsidRDefault="00644694" w:rsidP="00F05BDA">
            <w:pPr>
              <w:jc w:val="center"/>
              <w:rPr>
                <w:lang w:val="pl-PL"/>
              </w:rPr>
            </w:pPr>
            <w:r w:rsidRPr="0015541C">
              <w:rPr>
                <w:lang w:val="pl-PL"/>
              </w:rPr>
              <w:t>CP</w:t>
            </w:r>
          </w:p>
          <w:p w14:paraId="11D700C6" w14:textId="77777777" w:rsidR="00644694" w:rsidRPr="0015541C" w:rsidRDefault="00644694" w:rsidP="00F05BDA">
            <w:pPr>
              <w:jc w:val="center"/>
              <w:rPr>
                <w:rFonts w:eastAsia="SimSun"/>
                <w:lang w:val="pl-PL" w:eastAsia="zh-CN"/>
              </w:rPr>
            </w:pPr>
            <w:r w:rsidRPr="0015541C">
              <w:rPr>
                <w:lang w:val="pl-PL"/>
              </w:rPr>
              <w:t>(n=336)</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00456F38" w14:textId="77777777" w:rsidR="00644694" w:rsidRPr="0015541C" w:rsidRDefault="00644694" w:rsidP="00F05BDA">
            <w:pPr>
              <w:jc w:val="center"/>
              <w:rPr>
                <w:lang w:val="pl-PL"/>
              </w:rPr>
            </w:pPr>
            <w:r w:rsidRPr="0015541C">
              <w:rPr>
                <w:lang w:val="pl-PL"/>
              </w:rPr>
              <w:t>CPB</w:t>
            </w:r>
          </w:p>
          <w:p w14:paraId="02C86F2B" w14:textId="77777777" w:rsidR="00644694" w:rsidRPr="0015541C" w:rsidRDefault="00644694" w:rsidP="00F05BDA">
            <w:pPr>
              <w:jc w:val="center"/>
              <w:rPr>
                <w:rFonts w:eastAsia="SimSun"/>
                <w:lang w:val="pl-PL" w:eastAsia="zh-CN"/>
              </w:rPr>
            </w:pPr>
            <w:r w:rsidRPr="0015541C">
              <w:rPr>
                <w:lang w:val="pl-PL"/>
              </w:rPr>
              <w:t>(n=337)</w:t>
            </w:r>
          </w:p>
        </w:tc>
      </w:tr>
      <w:tr w:rsidR="00644694" w:rsidRPr="0015541C" w14:paraId="344772C2" w14:textId="77777777" w:rsidTr="00F05BDA">
        <w:trPr>
          <w:trHeight w:val="278"/>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44AF81CA" w14:textId="77777777" w:rsidR="00644694" w:rsidRPr="0015541C" w:rsidRDefault="00644694" w:rsidP="00F05BDA">
            <w:pPr>
              <w:rPr>
                <w:lang w:val="pl-PL"/>
              </w:rPr>
            </w:pPr>
            <w:r w:rsidRPr="0015541C">
              <w:rPr>
                <w:lang w:val="pl-PL"/>
              </w:rPr>
              <w:t>Mediana PFS (miesiące)</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C13019F" w14:textId="77777777" w:rsidR="00644694" w:rsidRPr="00AC3958" w:rsidRDefault="00644694" w:rsidP="00F05BDA">
            <w:pPr>
              <w:jc w:val="center"/>
              <w:rPr>
                <w:lang w:val="pl-PL"/>
              </w:rPr>
            </w:pPr>
            <w:r w:rsidRPr="0015541C">
              <w:rPr>
                <w:lang w:val="pl-PL"/>
              </w:rPr>
              <w:t>10,2</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2031DF12" w14:textId="77777777" w:rsidR="00644694" w:rsidRPr="00AC3958" w:rsidRDefault="00644694" w:rsidP="00F05BDA">
            <w:pPr>
              <w:jc w:val="center"/>
              <w:rPr>
                <w:lang w:val="pl-PL"/>
              </w:rPr>
            </w:pPr>
            <w:r w:rsidRPr="00AC3958">
              <w:rPr>
                <w:lang w:val="pl-PL"/>
              </w:rPr>
              <w:t>13,8</w:t>
            </w:r>
          </w:p>
        </w:tc>
      </w:tr>
      <w:tr w:rsidR="00644694" w:rsidRPr="0015541C" w14:paraId="10AA230B" w14:textId="77777777" w:rsidTr="00F05BDA">
        <w:trPr>
          <w:jc w:val="center"/>
        </w:trPr>
        <w:tc>
          <w:tcPr>
            <w:tcW w:w="4098" w:type="dxa"/>
            <w:shd w:val="clear" w:color="auto" w:fill="auto"/>
          </w:tcPr>
          <w:p w14:paraId="340A3F50" w14:textId="77777777" w:rsidR="00644694" w:rsidRPr="0015541C" w:rsidRDefault="00644694" w:rsidP="00F05BDA">
            <w:pPr>
              <w:rPr>
                <w:rFonts w:eastAsia="SimSun"/>
                <w:lang w:val="pl-PL"/>
              </w:rPr>
            </w:pPr>
            <w:r w:rsidRPr="0015541C">
              <w:rPr>
                <w:rFonts w:eastAsia="SimSun"/>
                <w:lang w:val="pl-PL"/>
              </w:rPr>
              <w:t>Współczynnik ryzyka (95% CI)</w:t>
            </w:r>
          </w:p>
        </w:tc>
        <w:tc>
          <w:tcPr>
            <w:tcW w:w="4818" w:type="dxa"/>
            <w:gridSpan w:val="2"/>
            <w:shd w:val="clear" w:color="auto" w:fill="auto"/>
          </w:tcPr>
          <w:p w14:paraId="082BBACE" w14:textId="77777777" w:rsidR="00644694" w:rsidRPr="00AC3958" w:rsidRDefault="00644694" w:rsidP="00F05BDA">
            <w:pPr>
              <w:jc w:val="center"/>
              <w:rPr>
                <w:rFonts w:eastAsia="SimSun"/>
                <w:lang w:val="pl-PL"/>
              </w:rPr>
            </w:pPr>
            <w:r w:rsidRPr="0015541C">
              <w:rPr>
                <w:lang w:val="pl-PL" w:eastAsia="en-US"/>
              </w:rPr>
              <w:t xml:space="preserve">0,613 </w:t>
            </w:r>
            <w:r w:rsidRPr="00AC3958">
              <w:rPr>
                <w:lang w:val="pl-PL"/>
              </w:rPr>
              <w:t>[</w:t>
            </w:r>
            <w:r w:rsidRPr="00AC3958">
              <w:rPr>
                <w:lang w:val="pl-PL" w:eastAsia="en-US"/>
              </w:rPr>
              <w:t>CI: 0,521</w:t>
            </w:r>
            <w:r w:rsidR="0074699B" w:rsidRPr="00AC3958">
              <w:rPr>
                <w:lang w:val="pl-PL" w:eastAsia="en-US"/>
              </w:rPr>
              <w:t>,</w:t>
            </w:r>
            <w:r w:rsidRPr="00AC3958">
              <w:rPr>
                <w:lang w:val="pl-PL" w:eastAsia="en-US"/>
              </w:rPr>
              <w:t xml:space="preserve"> 0,721</w:t>
            </w:r>
            <w:r w:rsidRPr="00AC3958">
              <w:rPr>
                <w:lang w:val="pl-PL"/>
              </w:rPr>
              <w:t>]</w:t>
            </w:r>
          </w:p>
        </w:tc>
      </w:tr>
      <w:tr w:rsidR="00644694" w:rsidRPr="0015541C" w14:paraId="0BBD1DB8" w14:textId="77777777" w:rsidTr="00F05BDA">
        <w:trPr>
          <w:trHeight w:val="350"/>
          <w:jc w:val="center"/>
        </w:trPr>
        <w:tc>
          <w:tcPr>
            <w:tcW w:w="4098" w:type="dxa"/>
            <w:shd w:val="clear" w:color="auto" w:fill="auto"/>
          </w:tcPr>
          <w:p w14:paraId="6A0F04EE" w14:textId="77777777" w:rsidR="00644694" w:rsidRPr="0015541C" w:rsidRDefault="00644694" w:rsidP="00F05BDA">
            <w:pPr>
              <w:rPr>
                <w:rFonts w:eastAsia="SimSun"/>
                <w:lang w:val="pl-PL"/>
              </w:rPr>
            </w:pPr>
            <w:r w:rsidRPr="0015541C">
              <w:rPr>
                <w:rFonts w:eastAsia="SimSun"/>
                <w:lang w:val="pl-PL"/>
              </w:rPr>
              <w:t>Wartość p</w:t>
            </w:r>
          </w:p>
        </w:tc>
        <w:tc>
          <w:tcPr>
            <w:tcW w:w="4818" w:type="dxa"/>
            <w:gridSpan w:val="2"/>
            <w:shd w:val="clear" w:color="auto" w:fill="auto"/>
          </w:tcPr>
          <w:p w14:paraId="5D3D178B" w14:textId="77777777" w:rsidR="00644694" w:rsidRPr="00AC3958" w:rsidRDefault="00644694" w:rsidP="00F05BDA">
            <w:pPr>
              <w:jc w:val="center"/>
              <w:rPr>
                <w:rFonts w:eastAsia="SimSun"/>
                <w:lang w:val="pl-PL"/>
              </w:rPr>
            </w:pPr>
            <w:r w:rsidRPr="0015541C">
              <w:rPr>
                <w:lang w:val="pl-PL" w:eastAsia="en-US"/>
              </w:rPr>
              <w:t>&lt;0,0001</w:t>
            </w:r>
          </w:p>
        </w:tc>
      </w:tr>
    </w:tbl>
    <w:p w14:paraId="3D46855F" w14:textId="5665D439" w:rsidR="00AC424A" w:rsidRDefault="00644694" w:rsidP="00644694">
      <w:pPr>
        <w:keepNext/>
        <w:rPr>
          <w:rFonts w:cs="Arial"/>
          <w:sz w:val="18"/>
          <w:szCs w:val="18"/>
          <w:lang w:val="pl-PL"/>
        </w:rPr>
      </w:pPr>
      <w:r w:rsidRPr="0015541C">
        <w:rPr>
          <w:rFonts w:cs="Arial"/>
          <w:sz w:val="18"/>
          <w:szCs w:val="18"/>
          <w:vertAlign w:val="superscript"/>
          <w:lang w:val="pl-PL"/>
        </w:rPr>
        <w:t>1</w:t>
      </w:r>
      <w:r w:rsidRPr="0015541C">
        <w:rPr>
          <w:rFonts w:cs="Arial"/>
          <w:sz w:val="18"/>
          <w:szCs w:val="18"/>
          <w:lang w:val="pl-PL"/>
        </w:rPr>
        <w:t>Analiza końcowa</w:t>
      </w:r>
    </w:p>
    <w:p w14:paraId="7129D6BC" w14:textId="4E3408E8" w:rsidR="00644694" w:rsidRPr="00AC3958" w:rsidRDefault="00644694" w:rsidP="00644694">
      <w:pPr>
        <w:keepNext/>
        <w:rPr>
          <w:sz w:val="20"/>
          <w:lang w:val="pl-PL"/>
        </w:rPr>
      </w:pPr>
      <w:r w:rsidRPr="00AC3958">
        <w:rPr>
          <w:rFonts w:cs="Arial"/>
          <w:sz w:val="18"/>
          <w:szCs w:val="18"/>
          <w:vertAlign w:val="superscript"/>
          <w:lang w:val="pl-PL"/>
        </w:rPr>
        <w:t>2</w:t>
      </w:r>
      <w:r w:rsidRPr="00AC3958">
        <w:rPr>
          <w:rFonts w:cs="Arial"/>
          <w:sz w:val="18"/>
          <w:szCs w:val="18"/>
          <w:lang w:val="pl-PL"/>
        </w:rPr>
        <w:t>Oceny guza i oceny odpowiedzi były dokonywane przez badaczy przy użyciu kryteriów GOG RECIST (zweryfikowane wytyczne RECIST (wersja 1.1). Eur J Cancer. 2009;45:228Y247).</w:t>
      </w:r>
      <w:r w:rsidRPr="00AC3958">
        <w:rPr>
          <w:rFonts w:eastAsia="SimSun"/>
          <w:sz w:val="20"/>
          <w:lang w:val="pl-PL"/>
        </w:rPr>
        <w:t xml:space="preserve"> </w:t>
      </w:r>
    </w:p>
    <w:p w14:paraId="6D1FE1A8" w14:textId="77777777" w:rsidR="00644694" w:rsidRPr="0015541C" w:rsidRDefault="00644694" w:rsidP="00644694">
      <w:pPr>
        <w:rPr>
          <w:rFonts w:cs="Arial"/>
          <w:sz w:val="18"/>
          <w:szCs w:val="18"/>
          <w:lang w:val="pl-PL" w:eastAsia="en-US"/>
        </w:rPr>
      </w:pPr>
      <w:r w:rsidRPr="00260CEC">
        <w:rPr>
          <w:rFonts w:cs="Arial"/>
          <w:sz w:val="18"/>
          <w:szCs w:val="18"/>
          <w:vertAlign w:val="superscript"/>
          <w:lang w:val="pl-PL"/>
        </w:rPr>
        <w:t xml:space="preserve">a </w:t>
      </w:r>
      <w:r w:rsidRPr="0015541C">
        <w:rPr>
          <w:rFonts w:cs="Arial"/>
          <w:sz w:val="18"/>
          <w:szCs w:val="18"/>
          <w:lang w:val="pl-PL"/>
        </w:rPr>
        <w:t xml:space="preserve">Współczynnik ryzyka wyliczano przy użyciu modeli proporcjonalnych hazardów Coxa ze stratyfikacją według </w:t>
      </w:r>
      <w:r w:rsidR="0074699B" w:rsidRPr="0015541C">
        <w:rPr>
          <w:rFonts w:cs="Arial"/>
          <w:sz w:val="18"/>
          <w:szCs w:val="18"/>
          <w:lang w:val="pl-PL"/>
        </w:rPr>
        <w:t>długości</w:t>
      </w:r>
      <w:r w:rsidRPr="0015541C">
        <w:rPr>
          <w:rFonts w:cs="Arial"/>
          <w:sz w:val="18"/>
          <w:szCs w:val="18"/>
          <w:lang w:val="pl-PL"/>
        </w:rPr>
        <w:t xml:space="preserve"> okresu bez przyjmowania związków platyny przed włączeniem do tego badania</w:t>
      </w:r>
      <w:r w:rsidR="0074699B" w:rsidRPr="0015541C">
        <w:rPr>
          <w:rFonts w:cs="Arial"/>
          <w:sz w:val="18"/>
          <w:szCs w:val="18"/>
          <w:lang w:val="pl-PL"/>
        </w:rPr>
        <w:t>,</w:t>
      </w:r>
      <w:r w:rsidRPr="0015541C">
        <w:rPr>
          <w:rFonts w:cs="Arial"/>
          <w:sz w:val="18"/>
          <w:szCs w:val="18"/>
          <w:lang w:val="pl-PL"/>
        </w:rPr>
        <w:t xml:space="preserve"> na podstawie zapisów w eCRF (elektronicznej karcie obserwacji klinicznej) i </w:t>
      </w:r>
      <w:r w:rsidR="0074699B" w:rsidRPr="0015541C">
        <w:rPr>
          <w:rFonts w:cs="Arial"/>
          <w:sz w:val="18"/>
          <w:szCs w:val="18"/>
          <w:lang w:val="pl-PL"/>
        </w:rPr>
        <w:t xml:space="preserve">statusu </w:t>
      </w:r>
      <w:r w:rsidR="0074699B" w:rsidRPr="0015541C">
        <w:rPr>
          <w:rFonts w:cs="Arial"/>
          <w:sz w:val="18"/>
          <w:szCs w:val="18"/>
          <w:lang w:val="pl-PL" w:eastAsia="en-US"/>
        </w:rPr>
        <w:t xml:space="preserve">Tak/Nie </w:t>
      </w:r>
      <w:r w:rsidR="0074699B" w:rsidRPr="0015541C">
        <w:rPr>
          <w:rFonts w:cs="Arial"/>
          <w:sz w:val="18"/>
          <w:szCs w:val="18"/>
          <w:lang w:val="pl-PL"/>
        </w:rPr>
        <w:t xml:space="preserve">względem </w:t>
      </w:r>
      <w:r w:rsidRPr="0015541C">
        <w:rPr>
          <w:rFonts w:cs="Arial"/>
          <w:sz w:val="18"/>
          <w:szCs w:val="18"/>
          <w:lang w:val="pl-PL"/>
        </w:rPr>
        <w:t xml:space="preserve">wtórnej operacji </w:t>
      </w:r>
      <w:r w:rsidR="0074699B" w:rsidRPr="0015541C">
        <w:rPr>
          <w:rFonts w:cs="Arial"/>
          <w:sz w:val="18"/>
          <w:szCs w:val="18"/>
          <w:lang w:val="pl-PL"/>
        </w:rPr>
        <w:t>usuwania nowotworu</w:t>
      </w:r>
      <w:r w:rsidR="0074699B" w:rsidRPr="0015541C">
        <w:rPr>
          <w:rFonts w:cs="Arial"/>
          <w:sz w:val="18"/>
          <w:szCs w:val="18"/>
          <w:lang w:val="pl-PL" w:eastAsia="en-US"/>
        </w:rPr>
        <w:t xml:space="preserve"> </w:t>
      </w:r>
      <w:r w:rsidRPr="0015541C">
        <w:rPr>
          <w:rFonts w:cs="Arial"/>
          <w:sz w:val="18"/>
          <w:szCs w:val="18"/>
          <w:lang w:val="pl-PL"/>
        </w:rPr>
        <w:t>(Tak</w:t>
      </w:r>
      <w:r w:rsidR="0074699B" w:rsidRPr="0015541C">
        <w:rPr>
          <w:rFonts w:cs="Arial"/>
          <w:sz w:val="18"/>
          <w:szCs w:val="18"/>
          <w:lang w:val="pl-PL"/>
        </w:rPr>
        <w:t xml:space="preserve"> </w:t>
      </w:r>
      <w:r w:rsidRPr="0015541C">
        <w:rPr>
          <w:rFonts w:cs="Arial"/>
          <w:sz w:val="18"/>
          <w:szCs w:val="18"/>
          <w:lang w:val="pl-PL"/>
        </w:rPr>
        <w:t>=</w:t>
      </w:r>
      <w:r w:rsidR="0074699B" w:rsidRPr="0015541C">
        <w:rPr>
          <w:rFonts w:cs="Arial"/>
          <w:sz w:val="18"/>
          <w:szCs w:val="18"/>
          <w:lang w:val="pl-PL"/>
        </w:rPr>
        <w:t xml:space="preserve"> </w:t>
      </w:r>
      <w:r w:rsidRPr="0015541C">
        <w:rPr>
          <w:rFonts w:cs="Arial"/>
          <w:sz w:val="18"/>
          <w:szCs w:val="18"/>
          <w:lang w:val="pl-PL"/>
        </w:rPr>
        <w:t xml:space="preserve">randomizacja </w:t>
      </w:r>
      <w:r w:rsidR="0074699B" w:rsidRPr="0015541C">
        <w:rPr>
          <w:rFonts w:cs="Arial"/>
          <w:sz w:val="18"/>
          <w:szCs w:val="18"/>
          <w:lang w:val="pl-PL"/>
        </w:rPr>
        <w:t xml:space="preserve">do grupy </w:t>
      </w:r>
      <w:r w:rsidRPr="0015541C">
        <w:rPr>
          <w:rFonts w:cs="Arial"/>
          <w:sz w:val="18"/>
          <w:szCs w:val="18"/>
          <w:lang w:val="pl-PL"/>
        </w:rPr>
        <w:t>odda</w:t>
      </w:r>
      <w:r w:rsidR="0074699B" w:rsidRPr="0015541C">
        <w:rPr>
          <w:rFonts w:cs="Arial"/>
          <w:sz w:val="18"/>
          <w:szCs w:val="18"/>
          <w:lang w:val="pl-PL"/>
        </w:rPr>
        <w:t>wanej</w:t>
      </w:r>
      <w:r w:rsidRPr="0015541C">
        <w:rPr>
          <w:rFonts w:cs="Arial"/>
          <w:sz w:val="18"/>
          <w:szCs w:val="18"/>
          <w:lang w:val="pl-PL"/>
        </w:rPr>
        <w:t xml:space="preserve"> cytoredukcji lub randomizacja do grupy niepoddawanej cytoredukcji; Nie= pacjent nie kwalifikuje się lub nie wyraził zgody na cytoredukcję). </w:t>
      </w:r>
      <w:r w:rsidRPr="0015541C">
        <w:rPr>
          <w:rFonts w:cs="Arial"/>
          <w:sz w:val="18"/>
          <w:szCs w:val="18"/>
          <w:vertAlign w:val="superscript"/>
          <w:lang w:val="pl-PL"/>
        </w:rPr>
        <w:t>b</w:t>
      </w:r>
      <w:r w:rsidRPr="0015541C">
        <w:rPr>
          <w:rFonts w:cs="Arial"/>
          <w:sz w:val="18"/>
          <w:szCs w:val="18"/>
          <w:lang w:val="pl-PL"/>
        </w:rPr>
        <w:t xml:space="preserve"> stratyfikacja według </w:t>
      </w:r>
      <w:r w:rsidR="0074699B" w:rsidRPr="0015541C">
        <w:rPr>
          <w:rFonts w:cs="Arial"/>
          <w:sz w:val="18"/>
          <w:szCs w:val="18"/>
          <w:lang w:val="pl-PL"/>
        </w:rPr>
        <w:t xml:space="preserve">długości </w:t>
      </w:r>
      <w:r w:rsidRPr="0015541C">
        <w:rPr>
          <w:rFonts w:cs="Arial"/>
          <w:sz w:val="18"/>
          <w:szCs w:val="18"/>
          <w:lang w:val="pl-PL"/>
        </w:rPr>
        <w:t>okresu bez leczenia przed włączeniem</w:t>
      </w:r>
      <w:r w:rsidR="00895115" w:rsidRPr="0015541C">
        <w:rPr>
          <w:rFonts w:cs="Arial"/>
          <w:sz w:val="18"/>
          <w:szCs w:val="18"/>
          <w:lang w:val="pl-PL"/>
        </w:rPr>
        <w:t xml:space="preserve"> </w:t>
      </w:r>
      <w:r w:rsidRPr="0015541C">
        <w:rPr>
          <w:rFonts w:cs="Arial"/>
          <w:sz w:val="18"/>
          <w:szCs w:val="18"/>
          <w:lang w:val="pl-PL"/>
        </w:rPr>
        <w:t xml:space="preserve">do tego badania na podstawie zapisów w formularzu rejestracyjnym i według </w:t>
      </w:r>
      <w:r w:rsidR="0074699B" w:rsidRPr="0015541C">
        <w:rPr>
          <w:rFonts w:cs="Arial"/>
          <w:sz w:val="18"/>
          <w:szCs w:val="18"/>
          <w:lang w:val="pl-PL"/>
        </w:rPr>
        <w:t xml:space="preserve">statusu Tak/Nie względem </w:t>
      </w:r>
      <w:r w:rsidRPr="0015541C">
        <w:rPr>
          <w:rFonts w:cs="Arial"/>
          <w:sz w:val="18"/>
          <w:szCs w:val="18"/>
          <w:lang w:val="pl-PL"/>
        </w:rPr>
        <w:t>wtórnej operacji cytoredukcji</w:t>
      </w:r>
      <w:r w:rsidRPr="0015541C">
        <w:rPr>
          <w:rFonts w:cs="Arial"/>
          <w:sz w:val="18"/>
          <w:szCs w:val="18"/>
          <w:lang w:val="pl-PL" w:eastAsia="en-US"/>
        </w:rPr>
        <w:t>.</w:t>
      </w:r>
    </w:p>
    <w:p w14:paraId="7B20D181" w14:textId="77777777" w:rsidR="00644694" w:rsidRPr="0015541C" w:rsidRDefault="00644694" w:rsidP="00644694">
      <w:pPr>
        <w:rPr>
          <w:szCs w:val="22"/>
          <w:lang w:val="pl-PL"/>
        </w:rPr>
      </w:pPr>
    </w:p>
    <w:p w14:paraId="35123C39" w14:textId="2B411DCA" w:rsidR="00644694" w:rsidRPr="0015541C" w:rsidRDefault="00644694" w:rsidP="00644694">
      <w:pPr>
        <w:rPr>
          <w:lang w:val="pl-PL"/>
        </w:rPr>
      </w:pPr>
      <w:r w:rsidRPr="0015541C">
        <w:rPr>
          <w:iCs/>
          <w:szCs w:val="22"/>
          <w:lang w:val="pl-PL"/>
        </w:rPr>
        <w:t xml:space="preserve">Badanie osiągnęło </w:t>
      </w:r>
      <w:r w:rsidR="0016317F" w:rsidRPr="0015541C">
        <w:rPr>
          <w:iCs/>
          <w:szCs w:val="22"/>
          <w:lang w:val="pl-PL"/>
        </w:rPr>
        <w:t>pierwszorzędowy punkt końcowy</w:t>
      </w:r>
      <w:r w:rsidRPr="0015541C">
        <w:rPr>
          <w:iCs/>
          <w:szCs w:val="22"/>
          <w:lang w:val="pl-PL"/>
        </w:rPr>
        <w:t xml:space="preserve"> </w:t>
      </w:r>
      <w:r w:rsidR="00615D63" w:rsidRPr="0015541C">
        <w:rPr>
          <w:iCs/>
          <w:szCs w:val="22"/>
          <w:lang w:val="pl-PL"/>
        </w:rPr>
        <w:t>w zakresie</w:t>
      </w:r>
      <w:r w:rsidRPr="0015541C">
        <w:rPr>
          <w:iCs/>
          <w:szCs w:val="22"/>
          <w:lang w:val="pl-PL"/>
        </w:rPr>
        <w:t xml:space="preserve"> popraw</w:t>
      </w:r>
      <w:r w:rsidR="00615D63" w:rsidRPr="0015541C">
        <w:rPr>
          <w:iCs/>
          <w:szCs w:val="22"/>
          <w:lang w:val="pl-PL"/>
        </w:rPr>
        <w:t>y</w:t>
      </w:r>
      <w:r w:rsidRPr="0015541C">
        <w:rPr>
          <w:iCs/>
          <w:szCs w:val="22"/>
          <w:lang w:val="pl-PL"/>
        </w:rPr>
        <w:t xml:space="preserve"> OS.</w:t>
      </w:r>
      <w:r w:rsidRPr="0015541C">
        <w:rPr>
          <w:lang w:val="pl-PL"/>
        </w:rPr>
        <w:t xml:space="preserve"> Leczenie </w:t>
      </w:r>
      <w:r w:rsidR="00D50FF9" w:rsidRPr="0015541C">
        <w:rPr>
          <w:lang w:val="pl-PL"/>
        </w:rPr>
        <w:t>bewacyzumab</w:t>
      </w:r>
      <w:r w:rsidRPr="0015541C">
        <w:rPr>
          <w:lang w:val="pl-PL"/>
        </w:rPr>
        <w:t xml:space="preserve">em w dawce </w:t>
      </w:r>
      <w:r w:rsidR="00421DFB" w:rsidRPr="0015541C">
        <w:rPr>
          <w:lang w:val="pl-PL"/>
        </w:rPr>
        <w:t>15 </w:t>
      </w:r>
      <w:r w:rsidRPr="0015541C">
        <w:rPr>
          <w:lang w:val="pl-PL"/>
        </w:rPr>
        <w:t xml:space="preserve"> mg/kg mc. podawanej co 3 tygodnie w skojarzeniu z chemioterapią (karboplatyna i paklitaksel) przez 6 do 8 cykli, </w:t>
      </w:r>
      <w:r w:rsidR="00615D63" w:rsidRPr="0015541C">
        <w:rPr>
          <w:lang w:val="pl-PL"/>
        </w:rPr>
        <w:t>z kontynuacją</w:t>
      </w:r>
      <w:r w:rsidRPr="0015541C">
        <w:rPr>
          <w:lang w:val="pl-PL"/>
        </w:rPr>
        <w:t xml:space="preserve"> leczeni</w:t>
      </w:r>
      <w:r w:rsidR="00615D63" w:rsidRPr="0015541C">
        <w:rPr>
          <w:lang w:val="pl-PL"/>
        </w:rPr>
        <w:t>a</w:t>
      </w:r>
      <w:r w:rsidRPr="0015541C">
        <w:rPr>
          <w:lang w:val="pl-PL"/>
        </w:rPr>
        <w:t xml:space="preserve"> </w:t>
      </w:r>
      <w:r w:rsidR="00D50FF9" w:rsidRPr="0015541C">
        <w:rPr>
          <w:lang w:val="pl-PL"/>
        </w:rPr>
        <w:t>bewacyzumab</w:t>
      </w:r>
      <w:r w:rsidRPr="0015541C">
        <w:rPr>
          <w:lang w:val="pl-PL"/>
        </w:rPr>
        <w:t xml:space="preserve">em </w:t>
      </w:r>
      <w:r w:rsidR="00615D63" w:rsidRPr="0015541C">
        <w:rPr>
          <w:lang w:val="pl-PL"/>
        </w:rPr>
        <w:t>w monoterapii</w:t>
      </w:r>
      <w:r w:rsidR="00513B9F" w:rsidRPr="0015541C">
        <w:rPr>
          <w:lang w:val="pl-PL"/>
        </w:rPr>
        <w:t>, aż</w:t>
      </w:r>
      <w:r w:rsidR="00615D63" w:rsidRPr="0015541C">
        <w:rPr>
          <w:lang w:val="pl-PL"/>
        </w:rPr>
        <w:t xml:space="preserve"> </w:t>
      </w:r>
      <w:r w:rsidRPr="0015541C">
        <w:rPr>
          <w:lang w:val="pl-PL"/>
        </w:rPr>
        <w:t xml:space="preserve">do </w:t>
      </w:r>
      <w:r w:rsidR="00513B9F" w:rsidRPr="0015541C">
        <w:rPr>
          <w:lang w:val="pl-PL"/>
        </w:rPr>
        <w:t>wystapienia</w:t>
      </w:r>
      <w:r w:rsidR="00513B9F" w:rsidRPr="00AC3958">
        <w:rPr>
          <w:lang w:val="pl-PL"/>
        </w:rPr>
        <w:t xml:space="preserve"> </w:t>
      </w:r>
      <w:r w:rsidRPr="00AC3958">
        <w:rPr>
          <w:lang w:val="pl-PL"/>
        </w:rPr>
        <w:t xml:space="preserve">progresji choroby lub </w:t>
      </w:r>
      <w:r w:rsidR="00513B9F" w:rsidRPr="00AC3958">
        <w:rPr>
          <w:lang w:val="pl-PL"/>
        </w:rPr>
        <w:t xml:space="preserve">działania toksycznego </w:t>
      </w:r>
      <w:r w:rsidRPr="00AC3958">
        <w:rPr>
          <w:lang w:val="pl-PL"/>
        </w:rPr>
        <w:t>niemożliw</w:t>
      </w:r>
      <w:r w:rsidR="00513B9F" w:rsidRPr="00AC3958">
        <w:rPr>
          <w:lang w:val="pl-PL"/>
        </w:rPr>
        <w:t>ego</w:t>
      </w:r>
      <w:r w:rsidRPr="00AC3958">
        <w:rPr>
          <w:lang w:val="pl-PL"/>
        </w:rPr>
        <w:t xml:space="preserve"> do </w:t>
      </w:r>
      <w:r w:rsidRPr="00AC3958">
        <w:rPr>
          <w:lang w:val="pl-PL"/>
        </w:rPr>
        <w:lastRenderedPageBreak/>
        <w:t xml:space="preserve">zaakceptowania </w:t>
      </w:r>
      <w:r w:rsidR="00DD61DB" w:rsidRPr="00260CEC">
        <w:rPr>
          <w:lang w:val="pl-PL"/>
        </w:rPr>
        <w:t>wykazało</w:t>
      </w:r>
      <w:r w:rsidRPr="0015541C">
        <w:rPr>
          <w:lang w:val="pl-PL"/>
        </w:rPr>
        <w:t xml:space="preserve">, po odczytaniu danych </w:t>
      </w:r>
      <w:r w:rsidR="00513B9F" w:rsidRPr="0015541C">
        <w:rPr>
          <w:lang w:val="pl-PL"/>
        </w:rPr>
        <w:t xml:space="preserve">otrzymanych </w:t>
      </w:r>
      <w:r w:rsidRPr="0015541C">
        <w:rPr>
          <w:lang w:val="pl-PL"/>
        </w:rPr>
        <w:t>z eCRF, klinicznie istotną i statystycznie znamienną poprawę OS w porównaniu z leczeniem tylko karboplatyną i paklitakselem.</w:t>
      </w:r>
    </w:p>
    <w:p w14:paraId="179D2203" w14:textId="77777777" w:rsidR="00730CE4" w:rsidRPr="0015541C" w:rsidRDefault="00730CE4" w:rsidP="00DB38EC">
      <w:pPr>
        <w:rPr>
          <w:i/>
          <w:szCs w:val="22"/>
          <w:lang w:val="pl-PL"/>
        </w:rPr>
      </w:pPr>
    </w:p>
    <w:p w14:paraId="022E95A0" w14:textId="77777777" w:rsidR="00184154" w:rsidRPr="0015541C" w:rsidRDefault="00184154" w:rsidP="009E44C7">
      <w:pPr>
        <w:keepNext/>
        <w:keepLines/>
        <w:rPr>
          <w:i/>
          <w:szCs w:val="22"/>
          <w:lang w:val="pl-PL"/>
        </w:rPr>
      </w:pPr>
      <w:r w:rsidRPr="0015541C">
        <w:rPr>
          <w:i/>
          <w:szCs w:val="22"/>
          <w:lang w:val="pl-PL"/>
        </w:rPr>
        <w:t>MO22224</w:t>
      </w:r>
    </w:p>
    <w:p w14:paraId="502EC802" w14:textId="77777777" w:rsidR="00184154" w:rsidRPr="0015541C" w:rsidRDefault="00184154" w:rsidP="009E44C7">
      <w:pPr>
        <w:keepNext/>
        <w:keepLines/>
        <w:rPr>
          <w:i/>
          <w:szCs w:val="22"/>
          <w:lang w:val="pl-PL"/>
        </w:rPr>
      </w:pPr>
      <w:r w:rsidRPr="0015541C">
        <w:rPr>
          <w:szCs w:val="22"/>
          <w:lang w:val="pl-PL"/>
        </w:rPr>
        <w:t xml:space="preserve">W badaniu MO22224 oceniano skuteczność i bezpieczeństwo bewacyzumabu w skojarzeniu </w:t>
      </w:r>
      <w:r w:rsidR="00055E78" w:rsidRPr="0015541C">
        <w:rPr>
          <w:szCs w:val="22"/>
          <w:lang w:val="pl-PL"/>
        </w:rPr>
        <w:br/>
      </w:r>
      <w:r w:rsidRPr="0015541C">
        <w:rPr>
          <w:szCs w:val="22"/>
          <w:lang w:val="pl-PL"/>
        </w:rPr>
        <w:t xml:space="preserve">z chemioterapią w leczeniu u pacjentów z opornym na związki platyny nawrotowym rakiem jajnika, rakiem jajowodu lub pierwotnym rakiem otrzewnej. Było to badanie III fazy, prowadzone metodą otwartej próby, randomizowane, w dwóch grupach, oceniające bewacyzumab w skojarzeniu </w:t>
      </w:r>
      <w:r w:rsidR="00055E78" w:rsidRPr="0015541C">
        <w:rPr>
          <w:szCs w:val="22"/>
          <w:lang w:val="pl-PL"/>
        </w:rPr>
        <w:br/>
      </w:r>
      <w:r w:rsidRPr="0015541C">
        <w:rPr>
          <w:szCs w:val="22"/>
          <w:lang w:val="pl-PL"/>
        </w:rPr>
        <w:t>z chemioterapią (CT+BV) w porównaniu do samej chemioterapii (CT).</w:t>
      </w:r>
    </w:p>
    <w:p w14:paraId="2DBBC700" w14:textId="77777777" w:rsidR="00184154" w:rsidRPr="0015541C" w:rsidRDefault="00184154" w:rsidP="005E0C52">
      <w:pPr>
        <w:rPr>
          <w:lang w:val="pl-PL"/>
        </w:rPr>
      </w:pPr>
      <w:r w:rsidRPr="0015541C">
        <w:rPr>
          <w:lang w:val="pl-PL"/>
        </w:rPr>
        <w:t>Do badania włączono ogółem 361 pacjentów, którym podawano wyłącznie chemioterapię (paklitaksel, topotekan, lub pegylowaną liposomalną doksorubicynę (PLD)) lub chemioterapię w skojarzeniu z bewacyzumabem:</w:t>
      </w:r>
    </w:p>
    <w:p w14:paraId="17CE266A" w14:textId="77777777" w:rsidR="00184154" w:rsidRPr="0015541C" w:rsidRDefault="00184154" w:rsidP="005E0C52">
      <w:pPr>
        <w:rPr>
          <w:lang w:val="pl-PL"/>
        </w:rPr>
      </w:pPr>
    </w:p>
    <w:p w14:paraId="5AA47B0F" w14:textId="77777777" w:rsidR="00184154" w:rsidRPr="0015541C" w:rsidRDefault="00D5488E" w:rsidP="006F74C5">
      <w:pPr>
        <w:ind w:firstLine="284"/>
        <w:rPr>
          <w:lang w:val="pl-PL"/>
        </w:rPr>
      </w:pPr>
      <w:r w:rsidRPr="0015541C">
        <w:rPr>
          <w:iCs/>
          <w:lang w:val="pl-PL"/>
        </w:rPr>
        <w:sym w:font="Symbol" w:char="F0B7"/>
      </w:r>
      <w:r w:rsidRPr="0015541C">
        <w:rPr>
          <w:lang w:val="pl-PL"/>
        </w:rPr>
        <w:tab/>
      </w:r>
      <w:r w:rsidR="00184154" w:rsidRPr="0015541C">
        <w:rPr>
          <w:lang w:val="pl-PL"/>
        </w:rPr>
        <w:t>Grupa CT (wyłącznie chemioterapia):</w:t>
      </w:r>
    </w:p>
    <w:p w14:paraId="7311E462" w14:textId="08674C79" w:rsidR="00184154" w:rsidRPr="0015541C" w:rsidRDefault="00D5488E" w:rsidP="006F74C5">
      <w:pPr>
        <w:ind w:left="1077" w:hanging="357"/>
        <w:rPr>
          <w:lang w:val="pl-PL"/>
        </w:rPr>
      </w:pPr>
      <w:r w:rsidRPr="0070444C">
        <w:rPr>
          <w:lang w:val="pl-PL"/>
        </w:rPr>
        <w:sym w:font="Symbol" w:char="F0B7"/>
      </w:r>
      <w:r w:rsidRPr="0015541C">
        <w:rPr>
          <w:lang w:val="pl-PL"/>
        </w:rPr>
        <w:tab/>
      </w:r>
      <w:r w:rsidR="00184154" w:rsidRPr="0015541C">
        <w:rPr>
          <w:lang w:val="pl-PL"/>
        </w:rPr>
        <w:t xml:space="preserve">Paklitaksel </w:t>
      </w:r>
      <w:r w:rsidR="00421DFB" w:rsidRPr="0015541C">
        <w:rPr>
          <w:lang w:val="pl-PL"/>
        </w:rPr>
        <w:t>80 </w:t>
      </w:r>
      <w:r w:rsidR="00184154" w:rsidRPr="00AC3958">
        <w:rPr>
          <w:lang w:val="pl-PL"/>
        </w:rPr>
        <w:t>mg/m</w:t>
      </w:r>
      <w:r w:rsidR="00184154" w:rsidRPr="00AC3958">
        <w:rPr>
          <w:vertAlign w:val="superscript"/>
          <w:lang w:val="pl-PL"/>
        </w:rPr>
        <w:t>2</w:t>
      </w:r>
      <w:r w:rsidR="00184154" w:rsidRPr="00AC3958">
        <w:rPr>
          <w:lang w:val="pl-PL"/>
        </w:rPr>
        <w:t xml:space="preserve"> </w:t>
      </w:r>
      <w:r w:rsidR="00B8305E" w:rsidRPr="00AC3958">
        <w:rPr>
          <w:rFonts w:eastAsia="PMingLiU"/>
          <w:lang w:val="pl-PL" w:eastAsia="zh-CN"/>
        </w:rPr>
        <w:t xml:space="preserve">pc. </w:t>
      </w:r>
      <w:r w:rsidR="00184154" w:rsidRPr="00260CEC">
        <w:rPr>
          <w:lang w:val="pl-PL"/>
        </w:rPr>
        <w:t>w postaci 1-godzinnego wlewu dożylnego w dniu 1, 8, 15 oraz 22 co 4 tygodnie.</w:t>
      </w:r>
    </w:p>
    <w:p w14:paraId="10738010" w14:textId="76BAE9B5" w:rsidR="00184154" w:rsidRPr="0015541C" w:rsidRDefault="00D5488E" w:rsidP="006F74C5">
      <w:pPr>
        <w:ind w:left="1077" w:hanging="357"/>
        <w:rPr>
          <w:lang w:val="pl-PL"/>
        </w:rPr>
      </w:pPr>
      <w:r w:rsidRPr="0070444C">
        <w:rPr>
          <w:lang w:val="pl-PL"/>
        </w:rPr>
        <w:sym w:font="Symbol" w:char="F0B7"/>
      </w:r>
      <w:r w:rsidRPr="0015541C">
        <w:rPr>
          <w:lang w:val="pl-PL"/>
        </w:rPr>
        <w:tab/>
      </w:r>
      <w:r w:rsidR="00184154" w:rsidRPr="0015541C">
        <w:rPr>
          <w:lang w:val="pl-PL"/>
        </w:rPr>
        <w:t xml:space="preserve">Topotekan </w:t>
      </w:r>
      <w:r w:rsidR="00421DFB" w:rsidRPr="0015541C">
        <w:rPr>
          <w:lang w:val="pl-PL"/>
        </w:rPr>
        <w:t>4 </w:t>
      </w:r>
      <w:r w:rsidR="00184154" w:rsidRPr="00AC3958">
        <w:rPr>
          <w:lang w:val="pl-PL"/>
        </w:rPr>
        <w:t>mg/m</w:t>
      </w:r>
      <w:r w:rsidR="00184154" w:rsidRPr="00AC3958">
        <w:rPr>
          <w:vertAlign w:val="superscript"/>
          <w:lang w:val="pl-PL"/>
        </w:rPr>
        <w:t>2</w:t>
      </w:r>
      <w:r w:rsidR="00184154" w:rsidRPr="00AC3958">
        <w:rPr>
          <w:lang w:val="pl-PL"/>
        </w:rPr>
        <w:t xml:space="preserve"> </w:t>
      </w:r>
      <w:r w:rsidR="00B8305E" w:rsidRPr="00AC3958">
        <w:rPr>
          <w:rFonts w:eastAsia="PMingLiU"/>
          <w:lang w:val="pl-PL" w:eastAsia="zh-CN"/>
        </w:rPr>
        <w:t xml:space="preserve">pc. </w:t>
      </w:r>
      <w:r w:rsidR="00184154" w:rsidRPr="00260CEC">
        <w:rPr>
          <w:lang w:val="pl-PL"/>
        </w:rPr>
        <w:t>w postaci 30-minutowego wlewu dożylnego w dniu 1, 8 oraz 15 co 4 tygodnie. Alternatywnie można podawać dawkę 1,</w:t>
      </w:r>
      <w:r w:rsidR="00421DFB" w:rsidRPr="0015541C">
        <w:rPr>
          <w:lang w:val="pl-PL"/>
        </w:rPr>
        <w:t>25 </w:t>
      </w:r>
      <w:r w:rsidR="00184154" w:rsidRPr="0015541C">
        <w:rPr>
          <w:lang w:val="pl-PL"/>
        </w:rPr>
        <w:t>mg/m</w:t>
      </w:r>
      <w:r w:rsidR="00184154" w:rsidRPr="0015541C">
        <w:rPr>
          <w:vertAlign w:val="superscript"/>
          <w:lang w:val="pl-PL"/>
        </w:rPr>
        <w:t>2</w:t>
      </w:r>
      <w:r w:rsidR="00184154" w:rsidRPr="0015541C">
        <w:rPr>
          <w:lang w:val="pl-PL"/>
        </w:rPr>
        <w:t xml:space="preserve"> </w:t>
      </w:r>
      <w:r w:rsidR="00B8305E" w:rsidRPr="0015541C">
        <w:rPr>
          <w:rFonts w:eastAsia="PMingLiU"/>
          <w:lang w:val="pl-PL" w:eastAsia="zh-CN"/>
        </w:rPr>
        <w:t xml:space="preserve">pc. </w:t>
      </w:r>
      <w:r w:rsidR="00184154" w:rsidRPr="0015541C">
        <w:rPr>
          <w:lang w:val="pl-PL"/>
        </w:rPr>
        <w:t>przez 30 minut w dniach 1-5 co 3 tygodnie.</w:t>
      </w:r>
    </w:p>
    <w:p w14:paraId="3A048E0D" w14:textId="68C83B04" w:rsidR="00184154" w:rsidRPr="0015541C" w:rsidRDefault="00D5488E" w:rsidP="006F74C5">
      <w:pPr>
        <w:ind w:left="1077" w:hanging="357"/>
        <w:rPr>
          <w:lang w:val="pl-PL"/>
        </w:rPr>
      </w:pPr>
      <w:r w:rsidRPr="0070444C">
        <w:rPr>
          <w:lang w:val="pl-PL"/>
        </w:rPr>
        <w:sym w:font="Symbol" w:char="F0B7"/>
      </w:r>
      <w:r w:rsidRPr="0015541C">
        <w:rPr>
          <w:lang w:val="pl-PL"/>
        </w:rPr>
        <w:tab/>
      </w:r>
      <w:r w:rsidR="00184154" w:rsidRPr="0015541C">
        <w:rPr>
          <w:lang w:val="pl-PL"/>
        </w:rPr>
        <w:t xml:space="preserve">PLD </w:t>
      </w:r>
      <w:r w:rsidR="00421DFB" w:rsidRPr="0015541C">
        <w:rPr>
          <w:lang w:val="pl-PL"/>
        </w:rPr>
        <w:t>40 </w:t>
      </w:r>
      <w:r w:rsidR="00184154" w:rsidRPr="00AC3958">
        <w:rPr>
          <w:lang w:val="pl-PL"/>
        </w:rPr>
        <w:t>mg/m</w:t>
      </w:r>
      <w:r w:rsidR="00184154" w:rsidRPr="00AC3958">
        <w:rPr>
          <w:vertAlign w:val="superscript"/>
          <w:lang w:val="pl-PL"/>
        </w:rPr>
        <w:t>2</w:t>
      </w:r>
      <w:r w:rsidR="00184154" w:rsidRPr="00AC3958">
        <w:rPr>
          <w:lang w:val="pl-PL"/>
        </w:rPr>
        <w:t xml:space="preserve"> </w:t>
      </w:r>
      <w:r w:rsidR="00B8305E" w:rsidRPr="00AC3958">
        <w:rPr>
          <w:rFonts w:eastAsia="PMingLiU"/>
          <w:lang w:val="pl-PL" w:eastAsia="zh-CN"/>
        </w:rPr>
        <w:t xml:space="preserve">pc. </w:t>
      </w:r>
      <w:r w:rsidR="00184154" w:rsidRPr="00260CEC">
        <w:rPr>
          <w:lang w:val="pl-PL"/>
        </w:rPr>
        <w:t xml:space="preserve">w postaci wlewu dożylnego </w:t>
      </w:r>
      <w:r w:rsidR="00421DFB" w:rsidRPr="00260CEC">
        <w:rPr>
          <w:lang w:val="pl-PL"/>
        </w:rPr>
        <w:t>1 </w:t>
      </w:r>
      <w:r w:rsidR="00184154" w:rsidRPr="0015541C">
        <w:rPr>
          <w:lang w:val="pl-PL"/>
        </w:rPr>
        <w:t xml:space="preserve">mg/min wyłącznie w 1 dniu co 4 tygodnie. Po zakończeniu 1 cyklu </w:t>
      </w:r>
      <w:r w:rsidR="00421DFB" w:rsidRPr="0015541C">
        <w:rPr>
          <w:lang w:val="pl-PL"/>
        </w:rPr>
        <w:t xml:space="preserve">produkt leczniczy </w:t>
      </w:r>
      <w:r w:rsidR="00184154" w:rsidRPr="0015541C">
        <w:rPr>
          <w:lang w:val="pl-PL"/>
        </w:rPr>
        <w:t>można podawać w postaci 1-godzinnego wlewu.</w:t>
      </w:r>
    </w:p>
    <w:p w14:paraId="5BCA50F4" w14:textId="77777777" w:rsidR="00184154" w:rsidRPr="0015541C" w:rsidRDefault="009E3D90" w:rsidP="006F74C5">
      <w:pPr>
        <w:ind w:left="567" w:hanging="283"/>
        <w:rPr>
          <w:lang w:val="pl-PL"/>
        </w:rPr>
      </w:pPr>
      <w:r w:rsidRPr="0015541C">
        <w:rPr>
          <w:iCs/>
          <w:lang w:val="pl-PL"/>
        </w:rPr>
        <w:sym w:font="Symbol" w:char="F0B7"/>
      </w:r>
      <w:r w:rsidRPr="0015541C">
        <w:rPr>
          <w:lang w:val="pl-PL"/>
        </w:rPr>
        <w:tab/>
      </w:r>
      <w:r w:rsidR="00184154" w:rsidRPr="0015541C">
        <w:rPr>
          <w:lang w:val="pl-PL"/>
        </w:rPr>
        <w:t>Grupa CT+BV (chemioterapia plus bewacyzumab):</w:t>
      </w:r>
    </w:p>
    <w:p w14:paraId="7B907E5F" w14:textId="701501A4" w:rsidR="00184154" w:rsidRPr="0015541C" w:rsidRDefault="009E3D90" w:rsidP="006F74C5">
      <w:pPr>
        <w:ind w:left="1077" w:hanging="357"/>
        <w:rPr>
          <w:lang w:val="pl-PL"/>
        </w:rPr>
      </w:pPr>
      <w:r w:rsidRPr="0070444C">
        <w:rPr>
          <w:lang w:val="pl-PL"/>
        </w:rPr>
        <w:sym w:font="Symbol" w:char="F0B7"/>
      </w:r>
      <w:r w:rsidRPr="0015541C">
        <w:rPr>
          <w:lang w:val="pl-PL"/>
        </w:rPr>
        <w:tab/>
      </w:r>
      <w:r w:rsidR="00184154" w:rsidRPr="0015541C">
        <w:rPr>
          <w:lang w:val="pl-PL"/>
        </w:rPr>
        <w:t xml:space="preserve">Wybraną chemioterapię podawano w skojarzeniu z bewacyzumabem 10 mg/kg </w:t>
      </w:r>
      <w:r w:rsidR="00184154" w:rsidRPr="00AC3958">
        <w:rPr>
          <w:lang w:val="pl-PL"/>
        </w:rPr>
        <w:t xml:space="preserve">w postaci wlewu dożylnego co 2 tygodnie (lub bewacyzumabem 15 mg/kg </w:t>
      </w:r>
      <w:r w:rsidR="0090142B" w:rsidRPr="00AC3958">
        <w:rPr>
          <w:lang w:val="pl-PL"/>
        </w:rPr>
        <w:t xml:space="preserve">mc. </w:t>
      </w:r>
      <w:r w:rsidR="00184154" w:rsidRPr="00AC3958">
        <w:rPr>
          <w:lang w:val="pl-PL"/>
        </w:rPr>
        <w:t>co 3 tygodnie, jeśli lek podawano w skojarzeniu z topotekanem 1,25 mg/m</w:t>
      </w:r>
      <w:r w:rsidR="00184154" w:rsidRPr="00260CEC">
        <w:rPr>
          <w:vertAlign w:val="superscript"/>
          <w:lang w:val="pl-PL"/>
        </w:rPr>
        <w:t>2</w:t>
      </w:r>
      <w:r w:rsidR="00184154" w:rsidRPr="00260CEC">
        <w:rPr>
          <w:lang w:val="pl-PL"/>
        </w:rPr>
        <w:t xml:space="preserve"> </w:t>
      </w:r>
      <w:r w:rsidR="00B8305E" w:rsidRPr="0015541C">
        <w:rPr>
          <w:rFonts w:eastAsia="PMingLiU"/>
          <w:lang w:val="pl-PL" w:eastAsia="zh-CN"/>
        </w:rPr>
        <w:t xml:space="preserve">pc. </w:t>
      </w:r>
      <w:r w:rsidR="00184154" w:rsidRPr="0015541C">
        <w:rPr>
          <w:lang w:val="pl-PL"/>
        </w:rPr>
        <w:t>w dni</w:t>
      </w:r>
      <w:r w:rsidR="0090142B" w:rsidRPr="0015541C">
        <w:rPr>
          <w:lang w:val="pl-PL"/>
        </w:rPr>
        <w:t>ach</w:t>
      </w:r>
      <w:r w:rsidR="00184154" w:rsidRPr="0015541C">
        <w:rPr>
          <w:lang w:val="pl-PL"/>
        </w:rPr>
        <w:t xml:space="preserve"> 1–5 co 3 tygodnie).</w:t>
      </w:r>
    </w:p>
    <w:p w14:paraId="714D0BA1" w14:textId="77777777" w:rsidR="00184154" w:rsidRPr="0015541C" w:rsidRDefault="00184154" w:rsidP="006F74C5">
      <w:pPr>
        <w:rPr>
          <w:lang w:val="pl-PL"/>
        </w:rPr>
      </w:pPr>
    </w:p>
    <w:p w14:paraId="33C408EA" w14:textId="50646894" w:rsidR="00184154" w:rsidRPr="0015541C" w:rsidRDefault="00184154" w:rsidP="00352DCD">
      <w:pPr>
        <w:rPr>
          <w:lang w:val="pl-PL"/>
        </w:rPr>
      </w:pPr>
      <w:r w:rsidRPr="0015541C">
        <w:rPr>
          <w:lang w:val="pl-PL"/>
        </w:rPr>
        <w:t xml:space="preserve">Kryterium włączenia do badania był rak jajnika, raka jajowodu lub </w:t>
      </w:r>
      <w:r w:rsidR="007D67FA" w:rsidRPr="0015541C">
        <w:rPr>
          <w:lang w:val="pl-PL"/>
        </w:rPr>
        <w:t xml:space="preserve">pierwotny </w:t>
      </w:r>
      <w:r w:rsidRPr="0015541C">
        <w:rPr>
          <w:lang w:val="pl-PL"/>
        </w:rPr>
        <w:t xml:space="preserve">rak otrzewnej, którego progresja nastąpiła w czasie &lt; 6 miesięcy po zakończeniu poprzedniego leczenia opartego na związkach platyny, składającego się z minimum 4 cykli terapii związkami platyny. Oczekiwany czas przeżycia pacjentek powinien być </w:t>
      </w:r>
      <w:r w:rsidRPr="0015541C">
        <w:rPr>
          <w:rFonts w:hint="eastAsia"/>
          <w:lang w:val="pl-PL"/>
        </w:rPr>
        <w:t>≥</w:t>
      </w:r>
      <w:r w:rsidRPr="0015541C">
        <w:rPr>
          <w:lang w:val="pl-PL"/>
        </w:rPr>
        <w:t xml:space="preserve"> 12 tygodni, pacjentki nie mogły być wcześniej poddawane radioterapii miednicy mniejsz</w:t>
      </w:r>
      <w:r w:rsidR="00854474" w:rsidRPr="0015541C">
        <w:rPr>
          <w:lang w:val="pl-PL"/>
        </w:rPr>
        <w:t>e</w:t>
      </w:r>
      <w:r w:rsidRPr="0015541C">
        <w:rPr>
          <w:lang w:val="pl-PL"/>
        </w:rPr>
        <w:t xml:space="preserve">j lub jamy brzusznej. U większości pacjentek stwierdzono chorobę </w:t>
      </w:r>
      <w:r w:rsidR="00055E78" w:rsidRPr="0015541C">
        <w:rPr>
          <w:lang w:val="pl-PL"/>
        </w:rPr>
        <w:br/>
      </w:r>
      <w:r w:rsidRPr="0015541C">
        <w:rPr>
          <w:lang w:val="pl-PL"/>
        </w:rPr>
        <w:t xml:space="preserve">w stopniu zaawansowania IIIC lub IV wg FIGO. Stan sprawności wg ECOG większości pacjentek </w:t>
      </w:r>
      <w:r w:rsidR="00055E78" w:rsidRPr="0015541C">
        <w:rPr>
          <w:lang w:val="pl-PL"/>
        </w:rPr>
        <w:br/>
      </w:r>
      <w:r w:rsidRPr="0015541C">
        <w:rPr>
          <w:lang w:val="pl-PL"/>
        </w:rPr>
        <w:t>w obu ramionach badania oceniono na 0 (CT: 56,4% vs. CT </w:t>
      </w:r>
      <w:r w:rsidRPr="0015541C">
        <w:rPr>
          <w:lang w:val="pl-PL"/>
        </w:rPr>
        <w:sym w:font="Symbol" w:char="F02B"/>
      </w:r>
      <w:r w:rsidRPr="0015541C">
        <w:rPr>
          <w:lang w:val="pl-PL"/>
        </w:rPr>
        <w:t xml:space="preserve"> BV: 61,2%). Odsetek pacjentek </w:t>
      </w:r>
      <w:r w:rsidR="00055E78" w:rsidRPr="0015541C">
        <w:rPr>
          <w:lang w:val="pl-PL"/>
        </w:rPr>
        <w:br/>
      </w:r>
      <w:r w:rsidRPr="0015541C">
        <w:rPr>
          <w:lang w:val="pl-PL"/>
        </w:rPr>
        <w:t>u których stan sprawności wg ECO</w:t>
      </w:r>
      <w:r w:rsidRPr="00AC3958">
        <w:rPr>
          <w:lang w:val="pl-PL"/>
        </w:rPr>
        <w:t xml:space="preserve">G oceniono na 1 lub </w:t>
      </w:r>
      <w:r w:rsidRPr="0015541C">
        <w:rPr>
          <w:lang w:val="pl-PL"/>
        </w:rPr>
        <w:sym w:font="Symbol" w:char="F0B3"/>
      </w:r>
      <w:r w:rsidRPr="0015541C">
        <w:rPr>
          <w:lang w:val="pl-PL"/>
        </w:rPr>
        <w:t> 2 wynosił 38,7% i 5,0% w ramieniu leczonym chemioterapią, a 29,8% i 9,0% w ramieniu leczonym chemioterapią + bewacyzumabem. Informacja o rasie była dostępna w przypadku 29,3% pacjentek i prawie wszystkie pacjentki były rasy białej. Średni wiek pacjentek wynosił 61,0 (zakres: 25</w:t>
      </w:r>
      <w:r w:rsidRPr="0015541C">
        <w:rPr>
          <w:lang w:val="pl-PL"/>
        </w:rPr>
        <w:sym w:font="Symbol" w:char="F02D"/>
      </w:r>
      <w:r w:rsidRPr="0015541C">
        <w:rPr>
          <w:lang w:val="pl-PL"/>
        </w:rPr>
        <w:t xml:space="preserve">84) lat. Ogółem 16 pacjentek (4,4%) miało więcej niż 75 lat. Całkowita częstość przerwania leczenia z powodu działań niepożądanych wynosiła 8,8% w ramieniu leczonym chemioterapią, a 43,6% w ramieniu leczonym chemioterapią + bewacyzumabem (w większości z powodu działań niepożądanych 2-3 stopnia), a średni czas do przerwania leczenia w grupie chorych leczonych chemioterapią + bewacyzumabem wynosił 5,2 miesiąca, w porównaniu z 2,4 miesiąca w grupie chemioterapii. Częstość przerwania leczenia </w:t>
      </w:r>
      <w:r w:rsidR="00055E78" w:rsidRPr="0015541C">
        <w:rPr>
          <w:lang w:val="pl-PL"/>
        </w:rPr>
        <w:br/>
      </w:r>
      <w:r w:rsidRPr="00AC3958">
        <w:rPr>
          <w:lang w:val="pl-PL"/>
        </w:rPr>
        <w:t xml:space="preserve">z powodu działań niepożądanych w podgrupie pacjentek w wieku &gt; 65 lat wynosiła 8,8% w grupie leczonej chemioterapią i 50,0% w grupie leczonej chemioterapią z bewacyzumabem. Współczynnik ryzyka dla PFS wynosił 0,47 (95% CI: 0,35, 0,62) oraz 0,45 (95% CI: 0,31, 0,67), odpowiednio, dla podgrup w wieku </w:t>
      </w:r>
      <w:r w:rsidRPr="0015541C">
        <w:rPr>
          <w:lang w:val="pl-PL"/>
        </w:rPr>
        <w:sym w:font="Symbol" w:char="F03C"/>
      </w:r>
      <w:r w:rsidRPr="0015541C">
        <w:rPr>
          <w:lang w:val="pl-PL"/>
        </w:rPr>
        <w:t xml:space="preserve"> 65 i </w:t>
      </w:r>
      <w:r w:rsidRPr="0015541C">
        <w:rPr>
          <w:lang w:val="pl-PL"/>
        </w:rPr>
        <w:sym w:font="Symbol" w:char="F0B3"/>
      </w:r>
      <w:r w:rsidRPr="0015541C">
        <w:rPr>
          <w:lang w:val="pl-PL"/>
        </w:rPr>
        <w:t> 65 lat.</w:t>
      </w:r>
    </w:p>
    <w:p w14:paraId="0296C25E" w14:textId="77777777" w:rsidR="00BE61A6" w:rsidRPr="0015541C" w:rsidRDefault="00BE61A6" w:rsidP="00352DCD">
      <w:pPr>
        <w:rPr>
          <w:lang w:val="pl-PL"/>
        </w:rPr>
      </w:pPr>
    </w:p>
    <w:p w14:paraId="6CAB3CF4" w14:textId="160B48E0" w:rsidR="00184154" w:rsidRPr="0015541C" w:rsidRDefault="00184154" w:rsidP="00352DCD">
      <w:pPr>
        <w:rPr>
          <w:lang w:val="pl-PL"/>
        </w:rPr>
      </w:pPr>
      <w:r w:rsidRPr="00AC3958">
        <w:rPr>
          <w:lang w:val="pl-PL"/>
        </w:rPr>
        <w:t xml:space="preserve">Pierwszorzędowym punktem końcowym był </w:t>
      </w:r>
      <w:r w:rsidR="00421DFB" w:rsidRPr="00AC3958">
        <w:rPr>
          <w:lang w:val="pl-PL"/>
        </w:rPr>
        <w:t>PFS</w:t>
      </w:r>
      <w:r w:rsidRPr="00AC3958">
        <w:rPr>
          <w:lang w:val="pl-PL"/>
        </w:rPr>
        <w:t>,</w:t>
      </w:r>
      <w:r w:rsidR="00055E78" w:rsidRPr="00AC3958">
        <w:rPr>
          <w:lang w:val="pl-PL"/>
        </w:rPr>
        <w:t xml:space="preserve"> </w:t>
      </w:r>
      <w:r w:rsidR="00055E78" w:rsidRPr="00AC3958">
        <w:rPr>
          <w:lang w:val="pl-PL"/>
        </w:rPr>
        <w:br/>
      </w:r>
      <w:r w:rsidRPr="00AC3958">
        <w:rPr>
          <w:lang w:val="pl-PL"/>
        </w:rPr>
        <w:t xml:space="preserve">a drugorzędowe punkty końcowe obejmowały odsetek obiektywnych odpowiedzi na leczenie oraz </w:t>
      </w:r>
      <w:r w:rsidR="00421DFB" w:rsidRPr="00260CEC">
        <w:rPr>
          <w:lang w:val="pl-PL"/>
        </w:rPr>
        <w:t>OS</w:t>
      </w:r>
      <w:r w:rsidRPr="00260CEC">
        <w:rPr>
          <w:lang w:val="pl-PL"/>
        </w:rPr>
        <w:t>. Wyniki przedstawiono w Tabeli 2</w:t>
      </w:r>
      <w:r w:rsidR="00481985" w:rsidRPr="0015541C">
        <w:rPr>
          <w:lang w:val="pl-PL"/>
        </w:rPr>
        <w:t>3</w:t>
      </w:r>
      <w:r w:rsidRPr="0015541C">
        <w:rPr>
          <w:lang w:val="pl-PL"/>
        </w:rPr>
        <w:t>.</w:t>
      </w:r>
    </w:p>
    <w:p w14:paraId="004E4E50" w14:textId="77777777" w:rsidR="00184154" w:rsidRPr="0015541C" w:rsidRDefault="00184154" w:rsidP="00184154">
      <w:pPr>
        <w:rPr>
          <w:bCs/>
          <w:lang w:val="pl-PL"/>
        </w:rPr>
      </w:pPr>
    </w:p>
    <w:p w14:paraId="571F0C3B" w14:textId="77777777" w:rsidR="00184154" w:rsidRPr="0015541C" w:rsidRDefault="00184154" w:rsidP="00443D64">
      <w:pPr>
        <w:keepNext/>
        <w:keepLines/>
        <w:rPr>
          <w:b/>
          <w:lang w:val="pl-PL"/>
        </w:rPr>
      </w:pPr>
      <w:r w:rsidRPr="0015541C">
        <w:rPr>
          <w:b/>
          <w:lang w:val="pl-PL"/>
        </w:rPr>
        <w:lastRenderedPageBreak/>
        <w:t>Tabela 2</w:t>
      </w:r>
      <w:r w:rsidR="001D51D3" w:rsidRPr="0015541C">
        <w:rPr>
          <w:b/>
          <w:lang w:val="pl-PL"/>
        </w:rPr>
        <w:t>3</w:t>
      </w:r>
      <w:r w:rsidRPr="0015541C">
        <w:rPr>
          <w:b/>
          <w:lang w:val="pl-PL"/>
        </w:rPr>
        <w:t xml:space="preserve"> </w:t>
      </w:r>
      <w:r w:rsidRPr="0015541C">
        <w:rPr>
          <w:b/>
          <w:lang w:val="pl-PL"/>
        </w:rPr>
        <w:tab/>
        <w:t>Wyniki badania MO22224 dotyczące skuteczności</w:t>
      </w:r>
    </w:p>
    <w:tbl>
      <w:tblPr>
        <w:tblW w:w="0" w:type="auto"/>
        <w:tblInd w:w="73"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2057"/>
        <w:gridCol w:w="2501"/>
      </w:tblGrid>
      <w:tr w:rsidR="00184154" w:rsidRPr="008D11DD" w14:paraId="74E20F4D" w14:textId="77777777" w:rsidTr="00C163D2">
        <w:trPr>
          <w:trHeight w:val="332"/>
        </w:trPr>
        <w:tc>
          <w:tcPr>
            <w:tcW w:w="9143" w:type="dxa"/>
            <w:gridSpan w:val="3"/>
            <w:tcBorders>
              <w:top w:val="single" w:sz="4" w:space="0" w:color="auto"/>
            </w:tcBorders>
            <w:shd w:val="clear" w:color="auto" w:fill="auto"/>
            <w:vAlign w:val="center"/>
          </w:tcPr>
          <w:p w14:paraId="5D2523FA" w14:textId="77777777" w:rsidR="00184154" w:rsidRPr="0070444C" w:rsidRDefault="00184154" w:rsidP="00D16D61">
            <w:pPr>
              <w:pStyle w:val="TextTi12"/>
              <w:keepNext/>
              <w:keepLines/>
              <w:spacing w:after="0"/>
              <w:jc w:val="left"/>
              <w:rPr>
                <w:sz w:val="22"/>
                <w:lang w:val="pl-PL"/>
              </w:rPr>
            </w:pPr>
            <w:r w:rsidRPr="0070444C">
              <w:rPr>
                <w:sz w:val="22"/>
                <w:lang w:val="pl-PL"/>
              </w:rPr>
              <w:t>Pierwszorzędowy punkt końcowy</w:t>
            </w:r>
          </w:p>
        </w:tc>
      </w:tr>
      <w:tr w:rsidR="00184154" w:rsidRPr="0015541C" w14:paraId="6F198669" w14:textId="77777777" w:rsidTr="00C163D2">
        <w:tc>
          <w:tcPr>
            <w:tcW w:w="9143" w:type="dxa"/>
            <w:gridSpan w:val="3"/>
            <w:tcBorders>
              <w:top w:val="single" w:sz="4" w:space="0" w:color="auto"/>
            </w:tcBorders>
            <w:shd w:val="clear" w:color="auto" w:fill="auto"/>
            <w:vAlign w:val="center"/>
          </w:tcPr>
          <w:p w14:paraId="1F71E2E1" w14:textId="77777777" w:rsidR="00184154" w:rsidRPr="0015541C" w:rsidRDefault="00184154" w:rsidP="00C9229F">
            <w:pPr>
              <w:pStyle w:val="TextTi12"/>
              <w:keepNext/>
              <w:keepLines/>
              <w:spacing w:after="0"/>
              <w:jc w:val="left"/>
              <w:rPr>
                <w:rFonts w:eastAsia="SimSun"/>
                <w:sz w:val="22"/>
                <w:szCs w:val="22"/>
                <w:vertAlign w:val="superscript"/>
                <w:lang w:val="pl-PL" w:eastAsia="zh-CN"/>
              </w:rPr>
            </w:pPr>
            <w:r w:rsidRPr="0015541C">
              <w:rPr>
                <w:rFonts w:eastAsia="SimSun"/>
                <w:sz w:val="22"/>
                <w:szCs w:val="22"/>
                <w:lang w:val="pl-PL" w:eastAsia="zh-CN"/>
              </w:rPr>
              <w:t>Czas przeżycia wolny od progresji choroby *</w:t>
            </w:r>
          </w:p>
        </w:tc>
      </w:tr>
      <w:tr w:rsidR="00184154" w:rsidRPr="0015541C" w14:paraId="09AE6BD4" w14:textId="77777777" w:rsidTr="00C163D2">
        <w:tc>
          <w:tcPr>
            <w:tcW w:w="4499" w:type="dxa"/>
            <w:tcBorders>
              <w:top w:val="single" w:sz="4" w:space="0" w:color="auto"/>
            </w:tcBorders>
            <w:shd w:val="clear" w:color="auto" w:fill="auto"/>
            <w:vAlign w:val="center"/>
          </w:tcPr>
          <w:p w14:paraId="41465E95" w14:textId="77777777" w:rsidR="00184154" w:rsidRPr="0015541C" w:rsidRDefault="00184154" w:rsidP="00C9229F">
            <w:pPr>
              <w:pStyle w:val="TextTi12"/>
              <w:keepNext/>
              <w:keepLines/>
              <w:spacing w:after="0"/>
              <w:ind w:left="720"/>
              <w:jc w:val="left"/>
              <w:rPr>
                <w:rFonts w:eastAsia="SimSun"/>
                <w:sz w:val="22"/>
                <w:szCs w:val="22"/>
                <w:lang w:val="pl-PL" w:eastAsia="zh-CN"/>
              </w:rPr>
            </w:pPr>
          </w:p>
        </w:tc>
        <w:tc>
          <w:tcPr>
            <w:tcW w:w="2093" w:type="dxa"/>
            <w:tcBorders>
              <w:top w:val="single" w:sz="4" w:space="0" w:color="auto"/>
            </w:tcBorders>
            <w:shd w:val="clear" w:color="auto" w:fill="auto"/>
            <w:vAlign w:val="center"/>
          </w:tcPr>
          <w:p w14:paraId="43A75E75" w14:textId="77777777" w:rsidR="00184154" w:rsidRPr="0015541C" w:rsidRDefault="00184154" w:rsidP="00C9229F">
            <w:pPr>
              <w:pStyle w:val="TextTi12"/>
              <w:keepNext/>
              <w:keepLines/>
              <w:spacing w:after="0"/>
              <w:jc w:val="center"/>
              <w:rPr>
                <w:rFonts w:eastAsia="SimSun"/>
                <w:sz w:val="22"/>
                <w:szCs w:val="22"/>
                <w:lang w:val="pl-PL" w:eastAsia="zh-CN"/>
              </w:rPr>
            </w:pPr>
            <w:r w:rsidRPr="0015541C">
              <w:rPr>
                <w:rFonts w:eastAsia="SimSun"/>
                <w:sz w:val="22"/>
                <w:szCs w:val="22"/>
                <w:lang w:val="pl-PL" w:eastAsia="zh-CN"/>
              </w:rPr>
              <w:t>CT</w:t>
            </w:r>
          </w:p>
          <w:p w14:paraId="06DF90AA" w14:textId="77777777" w:rsidR="00184154" w:rsidRPr="00AC3958" w:rsidRDefault="00184154" w:rsidP="00C9229F">
            <w:pPr>
              <w:pStyle w:val="TextTi12"/>
              <w:keepNext/>
              <w:keepLines/>
              <w:spacing w:after="0"/>
              <w:jc w:val="center"/>
              <w:rPr>
                <w:rFonts w:eastAsia="SimSun"/>
                <w:sz w:val="22"/>
                <w:szCs w:val="22"/>
                <w:lang w:val="pl-PL" w:eastAsia="zh-CN"/>
              </w:rPr>
            </w:pPr>
            <w:r w:rsidRPr="00AC3958">
              <w:rPr>
                <w:rFonts w:eastAsia="SimSun"/>
                <w:sz w:val="22"/>
                <w:szCs w:val="22"/>
                <w:lang w:val="pl-PL" w:eastAsia="zh-CN"/>
              </w:rPr>
              <w:t>(n=182)</w:t>
            </w:r>
          </w:p>
        </w:tc>
        <w:tc>
          <w:tcPr>
            <w:tcW w:w="2551" w:type="dxa"/>
            <w:tcBorders>
              <w:top w:val="single" w:sz="4" w:space="0" w:color="auto"/>
            </w:tcBorders>
            <w:shd w:val="clear" w:color="auto" w:fill="auto"/>
            <w:vAlign w:val="center"/>
          </w:tcPr>
          <w:p w14:paraId="49BD7B49" w14:textId="77777777" w:rsidR="00184154" w:rsidRPr="00260CEC" w:rsidRDefault="00184154" w:rsidP="00C9229F">
            <w:pPr>
              <w:pStyle w:val="TextTi12"/>
              <w:keepNext/>
              <w:keepLines/>
              <w:spacing w:after="0"/>
              <w:jc w:val="center"/>
              <w:rPr>
                <w:rFonts w:eastAsia="SimSun"/>
                <w:sz w:val="22"/>
                <w:szCs w:val="22"/>
                <w:lang w:val="pl-PL" w:eastAsia="zh-CN"/>
              </w:rPr>
            </w:pPr>
            <w:r w:rsidRPr="00260CEC">
              <w:rPr>
                <w:rFonts w:eastAsia="SimSun"/>
                <w:sz w:val="22"/>
                <w:szCs w:val="22"/>
                <w:lang w:val="pl-PL" w:eastAsia="zh-CN"/>
              </w:rPr>
              <w:t>CT+BV</w:t>
            </w:r>
          </w:p>
          <w:p w14:paraId="052F7BD6" w14:textId="77777777" w:rsidR="00184154" w:rsidRPr="0015541C" w:rsidRDefault="00184154" w:rsidP="00C9229F">
            <w:pPr>
              <w:pStyle w:val="TextTi12"/>
              <w:keepNext/>
              <w:keepLines/>
              <w:spacing w:after="0"/>
              <w:jc w:val="center"/>
              <w:rPr>
                <w:rFonts w:eastAsia="SimSun"/>
                <w:sz w:val="22"/>
                <w:szCs w:val="22"/>
                <w:lang w:val="pl-PL" w:eastAsia="zh-CN"/>
              </w:rPr>
            </w:pPr>
            <w:r w:rsidRPr="0015541C">
              <w:rPr>
                <w:rFonts w:eastAsia="SimSun"/>
                <w:sz w:val="22"/>
                <w:szCs w:val="22"/>
                <w:lang w:val="pl-PL" w:eastAsia="zh-CN"/>
              </w:rPr>
              <w:t>(n=179)</w:t>
            </w:r>
          </w:p>
        </w:tc>
      </w:tr>
      <w:tr w:rsidR="00184154" w:rsidRPr="0015541C" w14:paraId="35257F17" w14:textId="77777777" w:rsidTr="00C163D2">
        <w:tc>
          <w:tcPr>
            <w:tcW w:w="4499" w:type="dxa"/>
            <w:tcBorders>
              <w:top w:val="single" w:sz="4" w:space="0" w:color="auto"/>
            </w:tcBorders>
            <w:shd w:val="clear" w:color="auto" w:fill="auto"/>
            <w:vAlign w:val="center"/>
          </w:tcPr>
          <w:p w14:paraId="036B6881" w14:textId="77777777" w:rsidR="00184154" w:rsidRPr="0015541C" w:rsidRDefault="00184154" w:rsidP="00C9229F">
            <w:pPr>
              <w:pStyle w:val="TextTi12"/>
              <w:keepNext/>
              <w:keepLines/>
              <w:spacing w:after="0"/>
              <w:ind w:left="720"/>
              <w:jc w:val="left"/>
              <w:rPr>
                <w:rFonts w:eastAsia="SimSun"/>
                <w:sz w:val="22"/>
                <w:szCs w:val="22"/>
                <w:lang w:val="pl-PL" w:eastAsia="zh-CN"/>
              </w:rPr>
            </w:pPr>
            <w:r w:rsidRPr="0015541C">
              <w:rPr>
                <w:rFonts w:eastAsia="SimSun"/>
                <w:sz w:val="22"/>
                <w:szCs w:val="22"/>
                <w:lang w:val="pl-PL" w:eastAsia="zh-CN"/>
              </w:rPr>
              <w:t>Mediana (miesiące)</w:t>
            </w:r>
          </w:p>
        </w:tc>
        <w:tc>
          <w:tcPr>
            <w:tcW w:w="2093" w:type="dxa"/>
            <w:tcBorders>
              <w:top w:val="single" w:sz="4" w:space="0" w:color="auto"/>
            </w:tcBorders>
            <w:shd w:val="clear" w:color="auto" w:fill="auto"/>
            <w:vAlign w:val="center"/>
          </w:tcPr>
          <w:p w14:paraId="4A94D117" w14:textId="77777777" w:rsidR="00184154" w:rsidRPr="00AC3958" w:rsidRDefault="00184154" w:rsidP="00C9229F">
            <w:pPr>
              <w:pStyle w:val="TextTi12"/>
              <w:keepNext/>
              <w:keepLines/>
              <w:spacing w:after="0"/>
              <w:jc w:val="center"/>
              <w:rPr>
                <w:rFonts w:eastAsia="SimSun"/>
                <w:sz w:val="22"/>
                <w:szCs w:val="22"/>
                <w:lang w:val="pl-PL" w:eastAsia="zh-CN"/>
              </w:rPr>
            </w:pPr>
            <w:r w:rsidRPr="0015541C">
              <w:rPr>
                <w:rFonts w:eastAsia="SimSun"/>
                <w:sz w:val="22"/>
                <w:szCs w:val="22"/>
                <w:lang w:val="pl-PL" w:eastAsia="zh-CN"/>
              </w:rPr>
              <w:t>3,4</w:t>
            </w:r>
          </w:p>
        </w:tc>
        <w:tc>
          <w:tcPr>
            <w:tcW w:w="2551" w:type="dxa"/>
            <w:tcBorders>
              <w:top w:val="single" w:sz="4" w:space="0" w:color="auto"/>
            </w:tcBorders>
            <w:shd w:val="clear" w:color="auto" w:fill="auto"/>
            <w:vAlign w:val="center"/>
          </w:tcPr>
          <w:p w14:paraId="4A2629FC" w14:textId="77777777" w:rsidR="00184154" w:rsidRPr="00260CEC" w:rsidRDefault="00184154" w:rsidP="00C9229F">
            <w:pPr>
              <w:pStyle w:val="TextTi12"/>
              <w:keepNext/>
              <w:keepLines/>
              <w:spacing w:after="0"/>
              <w:jc w:val="center"/>
              <w:rPr>
                <w:rFonts w:eastAsia="SimSun"/>
                <w:sz w:val="22"/>
                <w:szCs w:val="22"/>
                <w:lang w:val="pl-PL" w:eastAsia="zh-CN"/>
              </w:rPr>
            </w:pPr>
            <w:r w:rsidRPr="00AC3958">
              <w:rPr>
                <w:rFonts w:eastAsia="SimSun"/>
                <w:sz w:val="22"/>
                <w:szCs w:val="22"/>
                <w:lang w:val="pl-PL" w:eastAsia="zh-CN"/>
              </w:rPr>
              <w:t>6,7</w:t>
            </w:r>
          </w:p>
        </w:tc>
      </w:tr>
      <w:tr w:rsidR="00184154" w:rsidRPr="0015541C" w14:paraId="3DA77228" w14:textId="77777777" w:rsidTr="00C163D2">
        <w:tc>
          <w:tcPr>
            <w:tcW w:w="4499" w:type="dxa"/>
            <w:tcBorders>
              <w:top w:val="single" w:sz="4" w:space="0" w:color="auto"/>
            </w:tcBorders>
            <w:shd w:val="clear" w:color="auto" w:fill="auto"/>
            <w:vAlign w:val="center"/>
          </w:tcPr>
          <w:p w14:paraId="7A896753" w14:textId="77777777" w:rsidR="00184154" w:rsidRPr="0015541C" w:rsidRDefault="00184154" w:rsidP="00C9229F">
            <w:pPr>
              <w:pStyle w:val="TextTi12"/>
              <w:keepNext/>
              <w:keepLines/>
              <w:spacing w:after="0"/>
              <w:ind w:left="720"/>
              <w:jc w:val="left"/>
              <w:rPr>
                <w:rFonts w:eastAsia="SimSun"/>
                <w:sz w:val="22"/>
                <w:szCs w:val="22"/>
                <w:lang w:val="pl-PL" w:eastAsia="zh-CN"/>
              </w:rPr>
            </w:pPr>
            <w:r w:rsidRPr="0015541C">
              <w:rPr>
                <w:rFonts w:eastAsia="SimSun"/>
                <w:sz w:val="22"/>
                <w:szCs w:val="22"/>
                <w:lang w:val="pl-PL" w:eastAsia="zh-CN"/>
              </w:rPr>
              <w:t>Współczynnik ryzyka</w:t>
            </w:r>
          </w:p>
          <w:p w14:paraId="044DD06B" w14:textId="77777777" w:rsidR="00184154" w:rsidRPr="00AC3958" w:rsidRDefault="00184154" w:rsidP="00C9229F">
            <w:pPr>
              <w:pStyle w:val="TextTi12"/>
              <w:keepNext/>
              <w:keepLines/>
              <w:spacing w:after="0"/>
              <w:ind w:left="720"/>
              <w:jc w:val="left"/>
              <w:rPr>
                <w:rFonts w:eastAsia="SimSun"/>
                <w:sz w:val="22"/>
                <w:szCs w:val="22"/>
                <w:lang w:val="pl-PL" w:eastAsia="zh-CN"/>
              </w:rPr>
            </w:pPr>
            <w:r w:rsidRPr="0015541C">
              <w:rPr>
                <w:rFonts w:eastAsia="SimSun"/>
                <w:sz w:val="22"/>
                <w:szCs w:val="22"/>
                <w:lang w:val="pl-PL" w:eastAsia="zh-CN"/>
              </w:rPr>
              <w:t>(95% CI)</w:t>
            </w:r>
          </w:p>
        </w:tc>
        <w:tc>
          <w:tcPr>
            <w:tcW w:w="4644" w:type="dxa"/>
            <w:gridSpan w:val="2"/>
            <w:tcBorders>
              <w:top w:val="single" w:sz="4" w:space="0" w:color="auto"/>
            </w:tcBorders>
            <w:shd w:val="clear" w:color="auto" w:fill="auto"/>
            <w:vAlign w:val="center"/>
          </w:tcPr>
          <w:p w14:paraId="384156B0" w14:textId="77777777" w:rsidR="00184154" w:rsidRPr="00260CEC" w:rsidRDefault="00184154" w:rsidP="00C9229F">
            <w:pPr>
              <w:pStyle w:val="TextTi12"/>
              <w:keepNext/>
              <w:keepLines/>
              <w:spacing w:after="0"/>
              <w:jc w:val="center"/>
              <w:rPr>
                <w:rFonts w:eastAsia="SimSun"/>
                <w:sz w:val="22"/>
                <w:szCs w:val="22"/>
                <w:lang w:val="pl-PL" w:eastAsia="zh-CN"/>
              </w:rPr>
            </w:pPr>
            <w:r w:rsidRPr="00AC3958">
              <w:rPr>
                <w:rFonts w:eastAsia="SimSun"/>
                <w:sz w:val="22"/>
                <w:szCs w:val="22"/>
                <w:lang w:val="pl-PL" w:eastAsia="zh-CN"/>
              </w:rPr>
              <w:t>0,379 [0,296; 0,485]</w:t>
            </w:r>
          </w:p>
        </w:tc>
      </w:tr>
      <w:tr w:rsidR="00184154" w:rsidRPr="0015541C" w14:paraId="75AF8B47" w14:textId="77777777" w:rsidTr="00C163D2">
        <w:trPr>
          <w:trHeight w:val="269"/>
        </w:trPr>
        <w:tc>
          <w:tcPr>
            <w:tcW w:w="4499" w:type="dxa"/>
            <w:tcBorders>
              <w:top w:val="single" w:sz="4" w:space="0" w:color="auto"/>
            </w:tcBorders>
            <w:shd w:val="clear" w:color="auto" w:fill="auto"/>
            <w:vAlign w:val="center"/>
          </w:tcPr>
          <w:p w14:paraId="5BD348AA" w14:textId="77777777" w:rsidR="00184154" w:rsidRPr="0015541C" w:rsidRDefault="00184154" w:rsidP="00C9229F">
            <w:pPr>
              <w:pStyle w:val="TextTi12"/>
              <w:keepNext/>
              <w:keepLines/>
              <w:spacing w:after="0"/>
              <w:ind w:left="720"/>
              <w:jc w:val="left"/>
              <w:rPr>
                <w:rFonts w:eastAsia="SimSun"/>
                <w:sz w:val="22"/>
                <w:szCs w:val="22"/>
                <w:u w:val="single"/>
                <w:lang w:val="pl-PL" w:eastAsia="zh-CN"/>
              </w:rPr>
            </w:pPr>
            <w:r w:rsidRPr="0015541C">
              <w:rPr>
                <w:rFonts w:eastAsia="SimSun"/>
                <w:sz w:val="22"/>
                <w:szCs w:val="22"/>
                <w:lang w:val="pl-PL" w:eastAsia="zh-CN"/>
              </w:rPr>
              <w:t>Wartość p</w:t>
            </w:r>
          </w:p>
        </w:tc>
        <w:tc>
          <w:tcPr>
            <w:tcW w:w="4644" w:type="dxa"/>
            <w:gridSpan w:val="2"/>
            <w:tcBorders>
              <w:top w:val="single" w:sz="4" w:space="0" w:color="auto"/>
            </w:tcBorders>
            <w:shd w:val="clear" w:color="auto" w:fill="auto"/>
            <w:vAlign w:val="center"/>
          </w:tcPr>
          <w:p w14:paraId="53977D52" w14:textId="77777777" w:rsidR="00184154" w:rsidRPr="00AC3958" w:rsidRDefault="00184154" w:rsidP="00C9229F">
            <w:pPr>
              <w:pStyle w:val="TextTi12"/>
              <w:keepNext/>
              <w:keepLines/>
              <w:spacing w:after="0"/>
              <w:ind w:left="-72"/>
              <w:jc w:val="center"/>
              <w:rPr>
                <w:rFonts w:eastAsia="SimSun"/>
                <w:sz w:val="22"/>
                <w:szCs w:val="22"/>
                <w:lang w:val="pl-PL" w:eastAsia="zh-CN"/>
              </w:rPr>
            </w:pPr>
            <w:r w:rsidRPr="0015541C">
              <w:rPr>
                <w:rFonts w:eastAsia="SimSun"/>
                <w:sz w:val="22"/>
                <w:szCs w:val="22"/>
                <w:lang w:val="pl-PL" w:eastAsia="zh-CN"/>
              </w:rPr>
              <w:t>&lt;0,0001</w:t>
            </w:r>
          </w:p>
        </w:tc>
      </w:tr>
      <w:tr w:rsidR="00184154" w:rsidRPr="0015541C" w14:paraId="27A86241" w14:textId="77777777" w:rsidTr="00C163D2">
        <w:trPr>
          <w:trHeight w:val="413"/>
        </w:trPr>
        <w:tc>
          <w:tcPr>
            <w:tcW w:w="9143" w:type="dxa"/>
            <w:gridSpan w:val="3"/>
            <w:tcBorders>
              <w:top w:val="single" w:sz="4" w:space="0" w:color="auto"/>
            </w:tcBorders>
            <w:shd w:val="clear" w:color="auto" w:fill="auto"/>
            <w:vAlign w:val="center"/>
          </w:tcPr>
          <w:p w14:paraId="6A7F107C" w14:textId="77777777" w:rsidR="00184154" w:rsidRPr="0015541C" w:rsidRDefault="00184154" w:rsidP="00C9229F">
            <w:pPr>
              <w:pStyle w:val="TextTi12"/>
              <w:keepNext/>
              <w:keepLines/>
              <w:spacing w:after="0"/>
              <w:jc w:val="center"/>
              <w:rPr>
                <w:rFonts w:eastAsia="SimSun"/>
                <w:sz w:val="22"/>
                <w:szCs w:val="22"/>
                <w:u w:val="single"/>
                <w:lang w:val="pl-PL" w:eastAsia="zh-CN"/>
              </w:rPr>
            </w:pPr>
            <w:r w:rsidRPr="0015541C">
              <w:rPr>
                <w:rFonts w:eastAsia="SimSun"/>
                <w:sz w:val="22"/>
                <w:szCs w:val="22"/>
                <w:u w:val="single"/>
                <w:lang w:val="pl-PL" w:eastAsia="zh-CN"/>
              </w:rPr>
              <w:t>Drugorzędowe punkty końcowe</w:t>
            </w:r>
          </w:p>
        </w:tc>
      </w:tr>
      <w:tr w:rsidR="00184154" w:rsidRPr="0015541C" w14:paraId="5B8BC07F" w14:textId="77777777" w:rsidTr="00C163D2">
        <w:trPr>
          <w:trHeight w:val="269"/>
        </w:trPr>
        <w:tc>
          <w:tcPr>
            <w:tcW w:w="9143" w:type="dxa"/>
            <w:gridSpan w:val="3"/>
            <w:tcBorders>
              <w:top w:val="single" w:sz="4" w:space="0" w:color="auto"/>
            </w:tcBorders>
            <w:shd w:val="clear" w:color="auto" w:fill="auto"/>
            <w:vAlign w:val="center"/>
          </w:tcPr>
          <w:p w14:paraId="01CE1F19" w14:textId="77777777" w:rsidR="00184154" w:rsidRPr="0015541C" w:rsidRDefault="00184154" w:rsidP="00C9229F">
            <w:pPr>
              <w:pStyle w:val="TextTi12"/>
              <w:keepNext/>
              <w:keepLines/>
              <w:spacing w:after="0"/>
              <w:jc w:val="left"/>
              <w:rPr>
                <w:rFonts w:eastAsia="SimSun"/>
                <w:sz w:val="22"/>
                <w:szCs w:val="22"/>
                <w:lang w:val="pl-PL" w:eastAsia="zh-CN"/>
              </w:rPr>
            </w:pPr>
            <w:r w:rsidRPr="0015541C">
              <w:rPr>
                <w:rFonts w:eastAsia="SimSun"/>
                <w:sz w:val="22"/>
                <w:szCs w:val="22"/>
                <w:lang w:val="pl-PL" w:eastAsia="zh-CN"/>
              </w:rPr>
              <w:t xml:space="preserve">Odsetek obiektywnych odpowiedzi na leczenie ** </w:t>
            </w:r>
          </w:p>
        </w:tc>
      </w:tr>
      <w:tr w:rsidR="00184154" w:rsidRPr="0015541C" w14:paraId="0DB7DE4D" w14:textId="77777777" w:rsidTr="00C163D2">
        <w:tc>
          <w:tcPr>
            <w:tcW w:w="4499" w:type="dxa"/>
            <w:tcBorders>
              <w:top w:val="single" w:sz="4" w:space="0" w:color="auto"/>
            </w:tcBorders>
            <w:shd w:val="clear" w:color="auto" w:fill="auto"/>
            <w:vAlign w:val="center"/>
          </w:tcPr>
          <w:p w14:paraId="1B64ADBF" w14:textId="77777777" w:rsidR="00184154" w:rsidRPr="0015541C" w:rsidRDefault="00184154" w:rsidP="00C9229F">
            <w:pPr>
              <w:pStyle w:val="TextTi12"/>
              <w:keepNext/>
              <w:keepLines/>
              <w:spacing w:after="0"/>
              <w:ind w:left="720"/>
              <w:jc w:val="left"/>
              <w:rPr>
                <w:rFonts w:eastAsia="SimSun"/>
                <w:sz w:val="22"/>
                <w:szCs w:val="22"/>
                <w:lang w:val="pl-PL" w:eastAsia="zh-CN"/>
              </w:rPr>
            </w:pPr>
          </w:p>
        </w:tc>
        <w:tc>
          <w:tcPr>
            <w:tcW w:w="2093" w:type="dxa"/>
            <w:tcBorders>
              <w:top w:val="single" w:sz="4" w:space="0" w:color="auto"/>
            </w:tcBorders>
            <w:shd w:val="clear" w:color="auto" w:fill="auto"/>
            <w:vAlign w:val="center"/>
          </w:tcPr>
          <w:p w14:paraId="006A2832" w14:textId="77777777" w:rsidR="00184154" w:rsidRPr="0015541C" w:rsidRDefault="00184154" w:rsidP="00C9229F">
            <w:pPr>
              <w:pStyle w:val="TextTi12"/>
              <w:keepNext/>
              <w:keepLines/>
              <w:spacing w:after="0"/>
              <w:jc w:val="center"/>
              <w:rPr>
                <w:rFonts w:eastAsia="SimSun"/>
                <w:sz w:val="22"/>
                <w:szCs w:val="22"/>
                <w:lang w:val="pl-PL" w:eastAsia="zh-CN"/>
              </w:rPr>
            </w:pPr>
            <w:r w:rsidRPr="0015541C">
              <w:rPr>
                <w:rFonts w:eastAsia="SimSun"/>
                <w:sz w:val="22"/>
                <w:szCs w:val="22"/>
                <w:lang w:val="pl-PL" w:eastAsia="zh-CN"/>
              </w:rPr>
              <w:t>CT</w:t>
            </w:r>
          </w:p>
          <w:p w14:paraId="0394B54C" w14:textId="77777777" w:rsidR="00184154" w:rsidRPr="00AC3958" w:rsidRDefault="00184154" w:rsidP="00C9229F">
            <w:pPr>
              <w:pStyle w:val="TextTi12"/>
              <w:keepNext/>
              <w:keepLines/>
              <w:spacing w:after="0"/>
              <w:jc w:val="center"/>
              <w:rPr>
                <w:rFonts w:eastAsia="SimSun"/>
                <w:sz w:val="22"/>
                <w:szCs w:val="22"/>
                <w:lang w:val="pl-PL" w:eastAsia="zh-CN"/>
              </w:rPr>
            </w:pPr>
            <w:r w:rsidRPr="00AC3958">
              <w:rPr>
                <w:rFonts w:eastAsia="SimSun"/>
                <w:sz w:val="22"/>
                <w:szCs w:val="22"/>
                <w:lang w:val="pl-PL" w:eastAsia="zh-CN"/>
              </w:rPr>
              <w:t>(n=144)</w:t>
            </w:r>
          </w:p>
        </w:tc>
        <w:tc>
          <w:tcPr>
            <w:tcW w:w="2551" w:type="dxa"/>
            <w:tcBorders>
              <w:top w:val="single" w:sz="4" w:space="0" w:color="auto"/>
            </w:tcBorders>
            <w:shd w:val="clear" w:color="auto" w:fill="auto"/>
            <w:vAlign w:val="center"/>
          </w:tcPr>
          <w:p w14:paraId="7AFBE1C0" w14:textId="77777777" w:rsidR="00184154" w:rsidRPr="00260CEC" w:rsidRDefault="00184154" w:rsidP="00C9229F">
            <w:pPr>
              <w:pStyle w:val="TextTi12"/>
              <w:keepNext/>
              <w:keepLines/>
              <w:spacing w:after="0"/>
              <w:jc w:val="center"/>
              <w:rPr>
                <w:rFonts w:eastAsia="SimSun"/>
                <w:sz w:val="22"/>
                <w:szCs w:val="22"/>
                <w:lang w:val="pl-PL" w:eastAsia="zh-CN"/>
              </w:rPr>
            </w:pPr>
            <w:r w:rsidRPr="00260CEC">
              <w:rPr>
                <w:rFonts w:eastAsia="SimSun"/>
                <w:sz w:val="22"/>
                <w:szCs w:val="22"/>
                <w:lang w:val="pl-PL" w:eastAsia="zh-CN"/>
              </w:rPr>
              <w:t>CT+BV</w:t>
            </w:r>
          </w:p>
          <w:p w14:paraId="2C10707B" w14:textId="77777777" w:rsidR="00184154" w:rsidRPr="0015541C" w:rsidRDefault="00184154" w:rsidP="00C9229F">
            <w:pPr>
              <w:pStyle w:val="TextTi12"/>
              <w:keepNext/>
              <w:keepLines/>
              <w:spacing w:after="0"/>
              <w:jc w:val="center"/>
              <w:rPr>
                <w:rFonts w:eastAsia="SimSun"/>
                <w:sz w:val="22"/>
                <w:szCs w:val="22"/>
                <w:lang w:val="pl-PL" w:eastAsia="zh-CN"/>
              </w:rPr>
            </w:pPr>
            <w:r w:rsidRPr="0015541C">
              <w:rPr>
                <w:rFonts w:eastAsia="SimSun"/>
                <w:sz w:val="22"/>
                <w:szCs w:val="22"/>
                <w:lang w:val="pl-PL" w:eastAsia="zh-CN"/>
              </w:rPr>
              <w:t>(n=142)</w:t>
            </w:r>
          </w:p>
        </w:tc>
      </w:tr>
      <w:tr w:rsidR="00184154" w:rsidRPr="0015541C" w14:paraId="2C5DAAF3" w14:textId="77777777" w:rsidTr="00C163D2">
        <w:tc>
          <w:tcPr>
            <w:tcW w:w="4499" w:type="dxa"/>
            <w:tcBorders>
              <w:top w:val="single" w:sz="4" w:space="0" w:color="auto"/>
            </w:tcBorders>
            <w:shd w:val="clear" w:color="auto" w:fill="auto"/>
          </w:tcPr>
          <w:p w14:paraId="61D7EB9D" w14:textId="77777777" w:rsidR="00184154" w:rsidRPr="0015541C" w:rsidRDefault="00184154" w:rsidP="00C9229F">
            <w:pPr>
              <w:pStyle w:val="TextTi12"/>
              <w:keepNext/>
              <w:keepLines/>
              <w:spacing w:after="0"/>
              <w:jc w:val="left"/>
              <w:rPr>
                <w:rFonts w:eastAsia="SimSun"/>
                <w:sz w:val="22"/>
                <w:szCs w:val="22"/>
                <w:u w:val="single"/>
                <w:lang w:val="pl-PL" w:eastAsia="zh-CN"/>
              </w:rPr>
            </w:pPr>
            <w:r w:rsidRPr="0015541C">
              <w:rPr>
                <w:rFonts w:eastAsia="SimSun"/>
                <w:sz w:val="22"/>
                <w:szCs w:val="22"/>
                <w:lang w:val="pl-PL" w:eastAsia="zh-CN"/>
              </w:rPr>
              <w:t>% pacjentek z obiektywną odpowiedzią na leczenie</w:t>
            </w:r>
          </w:p>
        </w:tc>
        <w:tc>
          <w:tcPr>
            <w:tcW w:w="2093" w:type="dxa"/>
            <w:tcBorders>
              <w:top w:val="single" w:sz="4" w:space="0" w:color="auto"/>
            </w:tcBorders>
            <w:shd w:val="clear" w:color="auto" w:fill="auto"/>
            <w:vAlign w:val="center"/>
          </w:tcPr>
          <w:p w14:paraId="3376D65B" w14:textId="77777777" w:rsidR="00184154" w:rsidRPr="00AC3958" w:rsidRDefault="00184154" w:rsidP="00C9229F">
            <w:pPr>
              <w:pStyle w:val="TextTi12"/>
              <w:keepNext/>
              <w:keepLines/>
              <w:spacing w:after="0"/>
              <w:jc w:val="center"/>
              <w:rPr>
                <w:rFonts w:eastAsia="SimSun"/>
                <w:sz w:val="22"/>
                <w:szCs w:val="22"/>
                <w:lang w:val="pl-PL" w:eastAsia="zh-CN"/>
              </w:rPr>
            </w:pPr>
            <w:r w:rsidRPr="0015541C">
              <w:rPr>
                <w:rFonts w:eastAsia="SimSun"/>
                <w:sz w:val="22"/>
                <w:szCs w:val="22"/>
                <w:lang w:val="pl-PL" w:eastAsia="zh-CN"/>
              </w:rPr>
              <w:t>18 (12,5%)</w:t>
            </w:r>
          </w:p>
        </w:tc>
        <w:tc>
          <w:tcPr>
            <w:tcW w:w="2551" w:type="dxa"/>
            <w:tcBorders>
              <w:top w:val="single" w:sz="4" w:space="0" w:color="auto"/>
            </w:tcBorders>
            <w:shd w:val="clear" w:color="auto" w:fill="auto"/>
            <w:vAlign w:val="center"/>
          </w:tcPr>
          <w:p w14:paraId="710A1F3F" w14:textId="77777777" w:rsidR="00184154" w:rsidRPr="00260CEC" w:rsidRDefault="00184154" w:rsidP="00C9229F">
            <w:pPr>
              <w:pStyle w:val="TextTi12"/>
              <w:keepNext/>
              <w:keepLines/>
              <w:spacing w:after="0"/>
              <w:jc w:val="center"/>
              <w:rPr>
                <w:rFonts w:eastAsia="SimSun"/>
                <w:sz w:val="22"/>
                <w:szCs w:val="22"/>
                <w:lang w:val="pl-PL" w:eastAsia="zh-CN"/>
              </w:rPr>
            </w:pPr>
            <w:r w:rsidRPr="00AC3958">
              <w:rPr>
                <w:rFonts w:eastAsia="SimSun"/>
                <w:sz w:val="22"/>
                <w:szCs w:val="22"/>
                <w:lang w:val="pl-PL" w:eastAsia="zh-CN"/>
              </w:rPr>
              <w:t>40 (28,2%)</w:t>
            </w:r>
          </w:p>
        </w:tc>
      </w:tr>
      <w:tr w:rsidR="00184154" w:rsidRPr="0015541C" w14:paraId="4790E934" w14:textId="77777777" w:rsidTr="00C163D2">
        <w:trPr>
          <w:trHeight w:val="287"/>
        </w:trPr>
        <w:tc>
          <w:tcPr>
            <w:tcW w:w="4499" w:type="dxa"/>
            <w:tcBorders>
              <w:top w:val="single" w:sz="4" w:space="0" w:color="auto"/>
              <w:bottom w:val="single" w:sz="4" w:space="0" w:color="auto"/>
            </w:tcBorders>
            <w:shd w:val="clear" w:color="auto" w:fill="auto"/>
          </w:tcPr>
          <w:p w14:paraId="2073F7E2" w14:textId="77777777" w:rsidR="00184154" w:rsidRPr="0015541C" w:rsidRDefault="00184154" w:rsidP="00C163D2">
            <w:pPr>
              <w:pStyle w:val="TextTi12"/>
              <w:spacing w:after="0"/>
              <w:ind w:left="720"/>
              <w:jc w:val="left"/>
              <w:rPr>
                <w:rFonts w:eastAsia="SimSun"/>
                <w:sz w:val="22"/>
                <w:szCs w:val="22"/>
                <w:lang w:val="pl-PL" w:eastAsia="zh-CN"/>
              </w:rPr>
            </w:pPr>
            <w:r w:rsidRPr="0015541C">
              <w:rPr>
                <w:rFonts w:eastAsia="SimSun"/>
                <w:sz w:val="22"/>
                <w:szCs w:val="22"/>
                <w:lang w:val="pl-PL" w:eastAsia="zh-CN"/>
              </w:rPr>
              <w:t>Wartość p</w:t>
            </w:r>
          </w:p>
        </w:tc>
        <w:tc>
          <w:tcPr>
            <w:tcW w:w="4644" w:type="dxa"/>
            <w:gridSpan w:val="2"/>
            <w:tcBorders>
              <w:top w:val="single" w:sz="4" w:space="0" w:color="auto"/>
              <w:bottom w:val="single" w:sz="4" w:space="0" w:color="auto"/>
            </w:tcBorders>
            <w:shd w:val="clear" w:color="auto" w:fill="auto"/>
            <w:vAlign w:val="center"/>
          </w:tcPr>
          <w:p w14:paraId="1BF95725" w14:textId="370CDA9F" w:rsidR="00184154" w:rsidRPr="00260CEC" w:rsidRDefault="00184154" w:rsidP="00C163D2">
            <w:pPr>
              <w:pStyle w:val="TextTi12"/>
              <w:spacing w:after="0"/>
              <w:jc w:val="center"/>
              <w:rPr>
                <w:rFonts w:eastAsia="SimSun"/>
                <w:sz w:val="22"/>
                <w:szCs w:val="22"/>
                <w:lang w:val="pl-PL" w:eastAsia="zh-CN"/>
              </w:rPr>
            </w:pPr>
            <w:r w:rsidRPr="0015541C">
              <w:rPr>
                <w:rFonts w:eastAsia="SimSun"/>
                <w:sz w:val="22"/>
                <w:szCs w:val="22"/>
                <w:lang w:val="pl-PL" w:eastAsia="zh-CN"/>
              </w:rPr>
              <w:t>0</w:t>
            </w:r>
            <w:r w:rsidR="006F4F5E" w:rsidRPr="00AC3958">
              <w:rPr>
                <w:rFonts w:eastAsia="SimSun"/>
                <w:sz w:val="22"/>
                <w:szCs w:val="22"/>
                <w:lang w:val="pl-PL" w:eastAsia="zh-CN"/>
              </w:rPr>
              <w:t>,</w:t>
            </w:r>
            <w:r w:rsidRPr="00AC3958">
              <w:rPr>
                <w:rFonts w:eastAsia="SimSun"/>
                <w:sz w:val="22"/>
                <w:szCs w:val="22"/>
                <w:lang w:val="pl-PL" w:eastAsia="zh-CN"/>
              </w:rPr>
              <w:t>0007</w:t>
            </w:r>
          </w:p>
        </w:tc>
      </w:tr>
      <w:tr w:rsidR="00184154" w:rsidRPr="0015541C" w14:paraId="27C1FE8E" w14:textId="77777777" w:rsidTr="00C163D2">
        <w:trPr>
          <w:trHeight w:val="233"/>
        </w:trPr>
        <w:tc>
          <w:tcPr>
            <w:tcW w:w="4499" w:type="dxa"/>
            <w:tcBorders>
              <w:top w:val="single" w:sz="4" w:space="0" w:color="auto"/>
              <w:bottom w:val="single" w:sz="4" w:space="0" w:color="auto"/>
            </w:tcBorders>
            <w:shd w:val="clear" w:color="auto" w:fill="auto"/>
          </w:tcPr>
          <w:p w14:paraId="1D4F43AA" w14:textId="77777777" w:rsidR="00184154" w:rsidRPr="0015541C" w:rsidRDefault="00184154" w:rsidP="00C163D2">
            <w:pPr>
              <w:pStyle w:val="TextTi12"/>
              <w:spacing w:after="0"/>
              <w:jc w:val="left"/>
              <w:rPr>
                <w:rFonts w:eastAsia="SimSun"/>
                <w:sz w:val="22"/>
                <w:szCs w:val="22"/>
                <w:lang w:val="pl-PL" w:eastAsia="zh-CN"/>
              </w:rPr>
            </w:pPr>
            <w:r w:rsidRPr="0015541C">
              <w:rPr>
                <w:rFonts w:eastAsia="SimSun"/>
                <w:sz w:val="22"/>
                <w:szCs w:val="22"/>
                <w:lang w:val="pl-PL" w:eastAsia="zh-CN"/>
              </w:rPr>
              <w:t>Całkowity czas przeżycia (analiza końcowa)***</w:t>
            </w:r>
          </w:p>
        </w:tc>
        <w:tc>
          <w:tcPr>
            <w:tcW w:w="4644" w:type="dxa"/>
            <w:gridSpan w:val="2"/>
            <w:tcBorders>
              <w:top w:val="single" w:sz="4" w:space="0" w:color="auto"/>
              <w:bottom w:val="single" w:sz="4" w:space="0" w:color="auto"/>
            </w:tcBorders>
            <w:shd w:val="clear" w:color="auto" w:fill="auto"/>
            <w:vAlign w:val="center"/>
          </w:tcPr>
          <w:p w14:paraId="04E38716" w14:textId="77777777" w:rsidR="00184154" w:rsidRPr="0015541C" w:rsidRDefault="00184154" w:rsidP="00C163D2">
            <w:pPr>
              <w:pStyle w:val="TextTi12"/>
              <w:spacing w:after="0"/>
              <w:jc w:val="center"/>
              <w:rPr>
                <w:rFonts w:eastAsia="SimSun"/>
                <w:sz w:val="22"/>
                <w:szCs w:val="22"/>
                <w:lang w:val="pl-PL" w:eastAsia="zh-CN"/>
              </w:rPr>
            </w:pPr>
          </w:p>
        </w:tc>
      </w:tr>
      <w:tr w:rsidR="00184154" w:rsidRPr="0015541C" w14:paraId="43029F4C" w14:textId="77777777" w:rsidTr="00C163D2">
        <w:trPr>
          <w:trHeight w:val="287"/>
        </w:trPr>
        <w:tc>
          <w:tcPr>
            <w:tcW w:w="4499" w:type="dxa"/>
            <w:tcBorders>
              <w:top w:val="single" w:sz="4" w:space="0" w:color="auto"/>
            </w:tcBorders>
            <w:shd w:val="clear" w:color="auto" w:fill="auto"/>
          </w:tcPr>
          <w:p w14:paraId="584F63D4" w14:textId="77777777" w:rsidR="00184154" w:rsidRPr="0015541C" w:rsidRDefault="00184154" w:rsidP="00C163D2">
            <w:pPr>
              <w:pStyle w:val="TextTi12"/>
              <w:spacing w:after="0"/>
              <w:ind w:left="720"/>
              <w:jc w:val="left"/>
              <w:rPr>
                <w:rFonts w:eastAsia="SimSun"/>
                <w:sz w:val="22"/>
                <w:szCs w:val="22"/>
                <w:lang w:val="pl-PL" w:eastAsia="zh-CN"/>
              </w:rPr>
            </w:pPr>
          </w:p>
        </w:tc>
        <w:tc>
          <w:tcPr>
            <w:tcW w:w="2093" w:type="dxa"/>
            <w:tcBorders>
              <w:top w:val="single" w:sz="4" w:space="0" w:color="auto"/>
            </w:tcBorders>
            <w:shd w:val="clear" w:color="auto" w:fill="auto"/>
            <w:vAlign w:val="center"/>
          </w:tcPr>
          <w:p w14:paraId="78B59879" w14:textId="77777777" w:rsidR="00184154" w:rsidRPr="0015541C" w:rsidRDefault="00184154" w:rsidP="00C163D2">
            <w:pPr>
              <w:pStyle w:val="TextTi12"/>
              <w:spacing w:after="0"/>
              <w:jc w:val="center"/>
              <w:rPr>
                <w:rFonts w:eastAsia="SimSun"/>
                <w:sz w:val="22"/>
                <w:szCs w:val="22"/>
                <w:lang w:val="pl-PL" w:eastAsia="zh-CN"/>
              </w:rPr>
            </w:pPr>
            <w:r w:rsidRPr="0015541C">
              <w:rPr>
                <w:rFonts w:eastAsia="SimSun"/>
                <w:sz w:val="22"/>
                <w:szCs w:val="22"/>
                <w:lang w:val="pl-PL" w:eastAsia="zh-CN"/>
              </w:rPr>
              <w:t>CT</w:t>
            </w:r>
          </w:p>
          <w:p w14:paraId="69A75FB4" w14:textId="77777777" w:rsidR="00184154" w:rsidRPr="00AC3958" w:rsidRDefault="00184154" w:rsidP="00C163D2">
            <w:pPr>
              <w:pStyle w:val="TextTi12"/>
              <w:spacing w:after="0"/>
              <w:jc w:val="center"/>
              <w:rPr>
                <w:rFonts w:eastAsia="SimSun"/>
                <w:sz w:val="22"/>
                <w:szCs w:val="22"/>
                <w:lang w:val="pl-PL" w:eastAsia="zh-CN"/>
              </w:rPr>
            </w:pPr>
            <w:r w:rsidRPr="00AC3958">
              <w:rPr>
                <w:rFonts w:eastAsia="SimSun"/>
                <w:sz w:val="22"/>
                <w:szCs w:val="22"/>
                <w:lang w:val="pl-PL" w:eastAsia="zh-CN"/>
              </w:rPr>
              <w:t>(n=182)</w:t>
            </w:r>
          </w:p>
        </w:tc>
        <w:tc>
          <w:tcPr>
            <w:tcW w:w="2551" w:type="dxa"/>
            <w:tcBorders>
              <w:top w:val="single" w:sz="4" w:space="0" w:color="auto"/>
            </w:tcBorders>
            <w:shd w:val="clear" w:color="auto" w:fill="auto"/>
            <w:vAlign w:val="center"/>
          </w:tcPr>
          <w:p w14:paraId="550F5F12" w14:textId="77777777" w:rsidR="00184154" w:rsidRPr="00260CEC" w:rsidRDefault="00184154" w:rsidP="00C163D2">
            <w:pPr>
              <w:pStyle w:val="TextTi12"/>
              <w:spacing w:after="0"/>
              <w:jc w:val="center"/>
              <w:rPr>
                <w:rFonts w:eastAsia="SimSun"/>
                <w:sz w:val="22"/>
                <w:szCs w:val="22"/>
                <w:lang w:val="pl-PL" w:eastAsia="zh-CN"/>
              </w:rPr>
            </w:pPr>
            <w:r w:rsidRPr="00260CEC">
              <w:rPr>
                <w:rFonts w:eastAsia="SimSun"/>
                <w:sz w:val="22"/>
                <w:szCs w:val="22"/>
                <w:lang w:val="pl-PL" w:eastAsia="zh-CN"/>
              </w:rPr>
              <w:t>CT+BV</w:t>
            </w:r>
          </w:p>
          <w:p w14:paraId="49BF17D8" w14:textId="77777777" w:rsidR="00184154" w:rsidRPr="0015541C" w:rsidRDefault="00184154" w:rsidP="00C163D2">
            <w:pPr>
              <w:pStyle w:val="TextTi12"/>
              <w:spacing w:after="0"/>
              <w:jc w:val="center"/>
              <w:rPr>
                <w:rFonts w:eastAsia="SimSun"/>
                <w:sz w:val="22"/>
                <w:szCs w:val="22"/>
                <w:lang w:val="pl-PL" w:eastAsia="zh-CN"/>
              </w:rPr>
            </w:pPr>
            <w:r w:rsidRPr="0015541C">
              <w:rPr>
                <w:rFonts w:eastAsia="SimSun"/>
                <w:sz w:val="22"/>
                <w:szCs w:val="22"/>
                <w:lang w:val="pl-PL" w:eastAsia="zh-CN"/>
              </w:rPr>
              <w:t>(n=179)</w:t>
            </w:r>
          </w:p>
        </w:tc>
      </w:tr>
      <w:tr w:rsidR="00184154" w:rsidRPr="0015541C" w14:paraId="7C99F63B" w14:textId="77777777" w:rsidTr="00C163D2">
        <w:trPr>
          <w:trHeight w:val="287"/>
        </w:trPr>
        <w:tc>
          <w:tcPr>
            <w:tcW w:w="4499" w:type="dxa"/>
            <w:tcBorders>
              <w:top w:val="single" w:sz="4" w:space="0" w:color="auto"/>
            </w:tcBorders>
            <w:shd w:val="clear" w:color="auto" w:fill="auto"/>
          </w:tcPr>
          <w:p w14:paraId="56A5FAAE" w14:textId="77777777" w:rsidR="00184154" w:rsidRPr="0015541C" w:rsidRDefault="00184154" w:rsidP="00C163D2">
            <w:pPr>
              <w:pStyle w:val="TextTi12"/>
              <w:spacing w:after="0"/>
              <w:ind w:left="720"/>
              <w:jc w:val="left"/>
              <w:rPr>
                <w:rFonts w:eastAsia="SimSun"/>
                <w:sz w:val="22"/>
                <w:szCs w:val="22"/>
                <w:lang w:val="pl-PL" w:eastAsia="zh-CN"/>
              </w:rPr>
            </w:pPr>
            <w:r w:rsidRPr="0015541C">
              <w:rPr>
                <w:rFonts w:eastAsia="SimSun"/>
                <w:sz w:val="22"/>
                <w:szCs w:val="22"/>
                <w:lang w:val="pl-PL" w:eastAsia="zh-CN"/>
              </w:rPr>
              <w:t>Mediana OS (miesiące)</w:t>
            </w:r>
          </w:p>
        </w:tc>
        <w:tc>
          <w:tcPr>
            <w:tcW w:w="2093" w:type="dxa"/>
            <w:tcBorders>
              <w:top w:val="single" w:sz="4" w:space="0" w:color="auto"/>
            </w:tcBorders>
            <w:shd w:val="clear" w:color="auto" w:fill="auto"/>
            <w:vAlign w:val="center"/>
          </w:tcPr>
          <w:p w14:paraId="388EB768" w14:textId="77777777" w:rsidR="00184154" w:rsidRPr="00AC3958" w:rsidRDefault="00184154" w:rsidP="00C163D2">
            <w:pPr>
              <w:pStyle w:val="TextTi12"/>
              <w:spacing w:after="0"/>
              <w:jc w:val="center"/>
              <w:rPr>
                <w:rFonts w:eastAsia="SimSun"/>
                <w:sz w:val="22"/>
                <w:szCs w:val="22"/>
                <w:lang w:val="pl-PL" w:eastAsia="zh-CN"/>
              </w:rPr>
            </w:pPr>
            <w:r w:rsidRPr="00AC3958">
              <w:rPr>
                <w:rFonts w:eastAsia="SimSun"/>
                <w:sz w:val="22"/>
                <w:szCs w:val="22"/>
                <w:lang w:val="pl-PL" w:eastAsia="zh-CN"/>
              </w:rPr>
              <w:t>13,3</w:t>
            </w:r>
          </w:p>
        </w:tc>
        <w:tc>
          <w:tcPr>
            <w:tcW w:w="2551" w:type="dxa"/>
            <w:tcBorders>
              <w:top w:val="single" w:sz="4" w:space="0" w:color="auto"/>
            </w:tcBorders>
            <w:shd w:val="clear" w:color="auto" w:fill="auto"/>
            <w:vAlign w:val="center"/>
          </w:tcPr>
          <w:p w14:paraId="561EF496" w14:textId="77777777" w:rsidR="00184154" w:rsidRPr="00260CEC" w:rsidRDefault="00184154" w:rsidP="00C163D2">
            <w:pPr>
              <w:pStyle w:val="TextTi12"/>
              <w:spacing w:after="0"/>
              <w:jc w:val="center"/>
              <w:rPr>
                <w:rFonts w:eastAsia="SimSun"/>
                <w:sz w:val="22"/>
                <w:szCs w:val="22"/>
                <w:lang w:val="pl-PL" w:eastAsia="zh-CN"/>
              </w:rPr>
            </w:pPr>
            <w:r w:rsidRPr="00260CEC">
              <w:rPr>
                <w:rFonts w:eastAsia="SimSun"/>
                <w:sz w:val="22"/>
                <w:szCs w:val="22"/>
                <w:lang w:val="pl-PL" w:eastAsia="zh-CN"/>
              </w:rPr>
              <w:t>16,6</w:t>
            </w:r>
          </w:p>
        </w:tc>
      </w:tr>
      <w:tr w:rsidR="00184154" w:rsidRPr="0015541C" w14:paraId="1D07848B" w14:textId="77777777" w:rsidTr="00C163D2">
        <w:trPr>
          <w:trHeight w:val="287"/>
        </w:trPr>
        <w:tc>
          <w:tcPr>
            <w:tcW w:w="4499" w:type="dxa"/>
            <w:tcBorders>
              <w:top w:val="single" w:sz="4" w:space="0" w:color="auto"/>
              <w:bottom w:val="single" w:sz="4" w:space="0" w:color="auto"/>
            </w:tcBorders>
            <w:shd w:val="clear" w:color="auto" w:fill="auto"/>
          </w:tcPr>
          <w:p w14:paraId="39882A2C" w14:textId="77777777" w:rsidR="00184154" w:rsidRPr="0015541C" w:rsidRDefault="00184154" w:rsidP="00C163D2">
            <w:pPr>
              <w:pStyle w:val="TextTi12"/>
              <w:spacing w:after="0"/>
              <w:ind w:left="720"/>
              <w:jc w:val="left"/>
              <w:rPr>
                <w:rFonts w:eastAsia="SimSun"/>
                <w:sz w:val="22"/>
                <w:szCs w:val="22"/>
                <w:lang w:val="pl-PL" w:eastAsia="zh-CN"/>
              </w:rPr>
            </w:pPr>
            <w:r w:rsidRPr="0015541C">
              <w:rPr>
                <w:rFonts w:eastAsia="SimSun"/>
                <w:sz w:val="22"/>
                <w:szCs w:val="22"/>
                <w:lang w:val="pl-PL" w:eastAsia="zh-CN"/>
              </w:rPr>
              <w:t>Współczynnik ryzyka</w:t>
            </w:r>
          </w:p>
          <w:p w14:paraId="37C6B3D3" w14:textId="77777777" w:rsidR="00184154" w:rsidRPr="00AC3958" w:rsidRDefault="00184154" w:rsidP="00C163D2">
            <w:pPr>
              <w:pStyle w:val="TextTi12"/>
              <w:spacing w:after="0"/>
              <w:ind w:left="720"/>
              <w:jc w:val="left"/>
              <w:rPr>
                <w:rFonts w:eastAsia="SimSun"/>
                <w:sz w:val="22"/>
                <w:szCs w:val="22"/>
                <w:lang w:val="pl-PL" w:eastAsia="zh-CN"/>
              </w:rPr>
            </w:pPr>
            <w:r w:rsidRPr="0015541C">
              <w:rPr>
                <w:rFonts w:eastAsia="SimSun"/>
                <w:sz w:val="22"/>
                <w:szCs w:val="22"/>
                <w:lang w:val="pl-PL" w:eastAsia="zh-CN"/>
              </w:rPr>
              <w:t>(95% CI)</w:t>
            </w:r>
          </w:p>
        </w:tc>
        <w:tc>
          <w:tcPr>
            <w:tcW w:w="4644" w:type="dxa"/>
            <w:gridSpan w:val="2"/>
            <w:tcBorders>
              <w:top w:val="single" w:sz="4" w:space="0" w:color="auto"/>
              <w:bottom w:val="single" w:sz="4" w:space="0" w:color="auto"/>
            </w:tcBorders>
            <w:shd w:val="clear" w:color="auto" w:fill="auto"/>
            <w:vAlign w:val="center"/>
          </w:tcPr>
          <w:p w14:paraId="5CED7753" w14:textId="77777777" w:rsidR="00184154" w:rsidRPr="00260CEC" w:rsidRDefault="00184154" w:rsidP="00C163D2">
            <w:pPr>
              <w:pStyle w:val="TextTi12"/>
              <w:spacing w:after="0"/>
              <w:jc w:val="center"/>
              <w:rPr>
                <w:rFonts w:eastAsia="SimSun"/>
                <w:sz w:val="22"/>
                <w:szCs w:val="22"/>
                <w:lang w:val="pl-PL" w:eastAsia="zh-CN"/>
              </w:rPr>
            </w:pPr>
            <w:r w:rsidRPr="00AC3958">
              <w:rPr>
                <w:rFonts w:eastAsia="SimSun"/>
                <w:sz w:val="22"/>
                <w:szCs w:val="22"/>
                <w:lang w:val="pl-PL" w:eastAsia="zh-CN"/>
              </w:rPr>
              <w:t>0,870 [0,678; 1,116]</w:t>
            </w:r>
          </w:p>
        </w:tc>
      </w:tr>
      <w:tr w:rsidR="00184154" w:rsidRPr="0015541C" w14:paraId="38C96358" w14:textId="77777777" w:rsidTr="00C163D2">
        <w:trPr>
          <w:trHeight w:val="287"/>
        </w:trPr>
        <w:tc>
          <w:tcPr>
            <w:tcW w:w="4499" w:type="dxa"/>
            <w:tcBorders>
              <w:top w:val="single" w:sz="4" w:space="0" w:color="auto"/>
            </w:tcBorders>
            <w:shd w:val="clear" w:color="auto" w:fill="auto"/>
          </w:tcPr>
          <w:p w14:paraId="447496B9" w14:textId="77777777" w:rsidR="00184154" w:rsidRPr="0015541C" w:rsidRDefault="00184154" w:rsidP="00C163D2">
            <w:pPr>
              <w:pStyle w:val="TextTi12"/>
              <w:spacing w:after="0"/>
              <w:ind w:left="720"/>
              <w:jc w:val="left"/>
              <w:rPr>
                <w:rFonts w:eastAsia="SimSun"/>
                <w:sz w:val="22"/>
                <w:szCs w:val="22"/>
                <w:lang w:val="pl-PL" w:eastAsia="zh-CN"/>
              </w:rPr>
            </w:pPr>
            <w:r w:rsidRPr="0015541C">
              <w:rPr>
                <w:rFonts w:eastAsia="SimSun"/>
                <w:sz w:val="22"/>
                <w:szCs w:val="22"/>
                <w:lang w:val="pl-PL" w:eastAsia="zh-CN"/>
              </w:rPr>
              <w:t>Wartość p</w:t>
            </w:r>
          </w:p>
        </w:tc>
        <w:tc>
          <w:tcPr>
            <w:tcW w:w="4644" w:type="dxa"/>
            <w:gridSpan w:val="2"/>
            <w:tcBorders>
              <w:top w:val="single" w:sz="4" w:space="0" w:color="auto"/>
            </w:tcBorders>
            <w:shd w:val="clear" w:color="auto" w:fill="auto"/>
            <w:vAlign w:val="center"/>
          </w:tcPr>
          <w:p w14:paraId="47C702F6" w14:textId="77777777" w:rsidR="00184154" w:rsidRPr="00AC3958" w:rsidRDefault="00184154" w:rsidP="00C163D2">
            <w:pPr>
              <w:pStyle w:val="TextTi12"/>
              <w:spacing w:after="0"/>
              <w:jc w:val="center"/>
              <w:rPr>
                <w:rFonts w:eastAsia="SimSun"/>
                <w:sz w:val="22"/>
                <w:szCs w:val="22"/>
                <w:lang w:val="pl-PL" w:eastAsia="zh-CN"/>
              </w:rPr>
            </w:pPr>
            <w:r w:rsidRPr="0015541C">
              <w:rPr>
                <w:sz w:val="22"/>
                <w:szCs w:val="22"/>
                <w:lang w:val="pl-PL"/>
              </w:rPr>
              <w:t>0,2711</w:t>
            </w:r>
          </w:p>
        </w:tc>
      </w:tr>
    </w:tbl>
    <w:p w14:paraId="20F507DA" w14:textId="77777777" w:rsidR="00184154" w:rsidRPr="0015541C" w:rsidRDefault="00184154" w:rsidP="00352DCD">
      <w:pPr>
        <w:rPr>
          <w:sz w:val="20"/>
          <w:lang w:val="pl-PL" w:eastAsia="zh-CN"/>
        </w:rPr>
      </w:pPr>
      <w:r w:rsidRPr="0015541C">
        <w:rPr>
          <w:sz w:val="20"/>
          <w:lang w:val="pl-PL" w:eastAsia="zh-CN"/>
        </w:rPr>
        <w:t>Wszystkie analizy przedstawione w powyższej tabeli były analizami stratyfikowanymi.</w:t>
      </w:r>
    </w:p>
    <w:p w14:paraId="733B0AB6" w14:textId="77777777" w:rsidR="00184154" w:rsidRPr="00AC3958" w:rsidRDefault="00184154" w:rsidP="00352DCD">
      <w:pPr>
        <w:rPr>
          <w:sz w:val="20"/>
          <w:lang w:val="pl-PL" w:eastAsia="zh-CN"/>
        </w:rPr>
      </w:pPr>
      <w:r w:rsidRPr="0015541C">
        <w:rPr>
          <w:sz w:val="20"/>
          <w:lang w:val="pl-PL" w:eastAsia="zh-CN"/>
        </w:rPr>
        <w:t>*</w:t>
      </w:r>
      <w:r w:rsidRPr="00AC3958">
        <w:rPr>
          <w:sz w:val="20"/>
          <w:lang w:val="pl-PL"/>
        </w:rPr>
        <w:t xml:space="preserve"> Analiza pierwotna została przeprowadzona na podstawie danych z datą odcięcia 14 listopada 2011 r.</w:t>
      </w:r>
    </w:p>
    <w:p w14:paraId="3B16E420" w14:textId="77777777" w:rsidR="00184154" w:rsidRPr="0015541C" w:rsidRDefault="00184154" w:rsidP="00352DCD">
      <w:pPr>
        <w:rPr>
          <w:sz w:val="20"/>
          <w:lang w:val="pl-PL" w:eastAsia="zh-CN"/>
        </w:rPr>
      </w:pPr>
      <w:r w:rsidRPr="00260CEC">
        <w:rPr>
          <w:sz w:val="20"/>
          <w:lang w:val="pl-PL" w:eastAsia="zh-CN"/>
        </w:rPr>
        <w:t>**Pacjenci randomizowani z mierzalną chorobą na początku badania</w:t>
      </w:r>
      <w:r w:rsidRPr="00260CEC">
        <w:rPr>
          <w:sz w:val="20"/>
          <w:lang w:val="pl-PL"/>
        </w:rPr>
        <w:t xml:space="preserve">. </w:t>
      </w:r>
    </w:p>
    <w:p w14:paraId="783A6AC6" w14:textId="49F7753E" w:rsidR="00184154" w:rsidRPr="0015541C" w:rsidRDefault="00184154" w:rsidP="00352DCD">
      <w:pPr>
        <w:rPr>
          <w:sz w:val="20"/>
          <w:lang w:val="pl-PL" w:eastAsia="zh-CN"/>
        </w:rPr>
      </w:pPr>
      <w:r w:rsidRPr="0015541C">
        <w:rPr>
          <w:sz w:val="20"/>
          <w:lang w:val="pl-PL" w:eastAsia="zh-CN"/>
        </w:rPr>
        <w:t xml:space="preserve">***Analizę końcową </w:t>
      </w:r>
      <w:r w:rsidR="00812DB4" w:rsidRPr="0015541C">
        <w:rPr>
          <w:sz w:val="20"/>
          <w:lang w:val="pl-PL" w:eastAsia="zh-CN"/>
        </w:rPr>
        <w:t>OS</w:t>
      </w:r>
      <w:r w:rsidRPr="0015541C">
        <w:rPr>
          <w:sz w:val="20"/>
          <w:lang w:val="pl-PL" w:eastAsia="zh-CN"/>
        </w:rPr>
        <w:t xml:space="preserve"> przeprowadzono po odnotowaniu </w:t>
      </w:r>
      <w:r w:rsidRPr="0015541C">
        <w:rPr>
          <w:sz w:val="20"/>
          <w:lang w:val="pl-PL"/>
        </w:rPr>
        <w:t>266 zgonów, stanowiących 73,7% pacjentów włączonych do badania.</w:t>
      </w:r>
    </w:p>
    <w:p w14:paraId="741F353F" w14:textId="77777777" w:rsidR="00184154" w:rsidRPr="0015541C" w:rsidRDefault="00184154" w:rsidP="00184154">
      <w:pPr>
        <w:rPr>
          <w:szCs w:val="22"/>
          <w:lang w:val="pl-PL"/>
        </w:rPr>
      </w:pPr>
    </w:p>
    <w:p w14:paraId="6C4AB3E3" w14:textId="6EBE1C00" w:rsidR="00184154" w:rsidRPr="0015541C" w:rsidRDefault="00184154" w:rsidP="00184154">
      <w:pPr>
        <w:rPr>
          <w:lang w:val="pl-PL"/>
        </w:rPr>
      </w:pPr>
      <w:r w:rsidRPr="0015541C">
        <w:rPr>
          <w:rFonts w:eastAsia="SimSun"/>
          <w:iCs/>
          <w:szCs w:val="22"/>
          <w:lang w:val="pl-PL" w:eastAsia="zh-CN"/>
        </w:rPr>
        <w:t xml:space="preserve">Badanie spełniło pierwszorzędowy punkt końcowy w postaci wydłużenia czasu przeżycia wolnego </w:t>
      </w:r>
      <w:r w:rsidR="00055E78" w:rsidRPr="0015541C">
        <w:rPr>
          <w:rFonts w:eastAsia="SimSun"/>
          <w:iCs/>
          <w:szCs w:val="22"/>
          <w:lang w:val="pl-PL" w:eastAsia="zh-CN"/>
        </w:rPr>
        <w:br/>
      </w:r>
      <w:r w:rsidRPr="0015541C">
        <w:rPr>
          <w:rFonts w:eastAsia="SimSun"/>
          <w:iCs/>
          <w:szCs w:val="22"/>
          <w:lang w:val="pl-PL" w:eastAsia="zh-CN"/>
        </w:rPr>
        <w:t>od progresji choroby.</w:t>
      </w:r>
      <w:r w:rsidRPr="0015541C">
        <w:rPr>
          <w:lang w:val="pl-PL"/>
        </w:rPr>
        <w:t xml:space="preserve"> W porównaniu do pacjentów z nawrotową chorobą oporną na związki platyny, leczonych wyłącznie chemioterapią (paklitaksel, topotekan lub PLD), u pacjentów otrzymujących bewacyzumab w dawce </w:t>
      </w:r>
      <w:r w:rsidR="00812DB4" w:rsidRPr="0015541C">
        <w:rPr>
          <w:lang w:val="pl-PL"/>
        </w:rPr>
        <w:t>10 </w:t>
      </w:r>
      <w:r w:rsidRPr="0015541C">
        <w:rPr>
          <w:lang w:val="pl-PL"/>
        </w:rPr>
        <w:t xml:space="preserve">mg/kg </w:t>
      </w:r>
      <w:r w:rsidR="00055E78" w:rsidRPr="0015541C">
        <w:rPr>
          <w:lang w:val="pl-PL"/>
        </w:rPr>
        <w:t xml:space="preserve">mc. </w:t>
      </w:r>
      <w:r w:rsidRPr="0015541C">
        <w:rPr>
          <w:lang w:val="pl-PL"/>
        </w:rPr>
        <w:t xml:space="preserve">co 2 tygodnie (lub </w:t>
      </w:r>
      <w:r w:rsidR="00812DB4" w:rsidRPr="0015541C">
        <w:rPr>
          <w:lang w:val="pl-PL"/>
        </w:rPr>
        <w:t>15 </w:t>
      </w:r>
      <w:r w:rsidRPr="0015541C">
        <w:rPr>
          <w:lang w:val="pl-PL"/>
        </w:rPr>
        <w:t xml:space="preserve">mg/kg </w:t>
      </w:r>
      <w:r w:rsidR="00876183" w:rsidRPr="0015541C">
        <w:rPr>
          <w:lang w:val="pl-PL"/>
        </w:rPr>
        <w:t xml:space="preserve">mc. </w:t>
      </w:r>
      <w:r w:rsidRPr="0015541C">
        <w:rPr>
          <w:lang w:val="pl-PL"/>
        </w:rPr>
        <w:t>co 3 tygodnie, w przypadku stosowania w skojarzeniu z 1,</w:t>
      </w:r>
      <w:r w:rsidR="00812DB4" w:rsidRPr="0015541C">
        <w:rPr>
          <w:lang w:val="pl-PL"/>
        </w:rPr>
        <w:t>25 </w:t>
      </w:r>
      <w:r w:rsidRPr="0015541C">
        <w:rPr>
          <w:lang w:val="pl-PL"/>
        </w:rPr>
        <w:t>mg/m</w:t>
      </w:r>
      <w:r w:rsidRPr="0015541C">
        <w:rPr>
          <w:vertAlign w:val="superscript"/>
          <w:lang w:val="pl-PL"/>
        </w:rPr>
        <w:t>2</w:t>
      </w:r>
      <w:r w:rsidRPr="0015541C">
        <w:rPr>
          <w:lang w:val="pl-PL"/>
        </w:rPr>
        <w:t xml:space="preserve"> </w:t>
      </w:r>
      <w:r w:rsidR="00A16C6F" w:rsidRPr="0015541C">
        <w:rPr>
          <w:rFonts w:eastAsia="PMingLiU"/>
          <w:lang w:val="pl-PL" w:eastAsia="zh-CN"/>
        </w:rPr>
        <w:t xml:space="preserve">pc. </w:t>
      </w:r>
      <w:r w:rsidRPr="0015541C">
        <w:rPr>
          <w:lang w:val="pl-PL"/>
        </w:rPr>
        <w:t xml:space="preserve">topotekanu w dniach 1–5 co 3 tygodnie) w skojarzeniu </w:t>
      </w:r>
      <w:r w:rsidR="00055E78" w:rsidRPr="0015541C">
        <w:rPr>
          <w:lang w:val="pl-PL"/>
        </w:rPr>
        <w:br/>
      </w:r>
      <w:r w:rsidRPr="0015541C">
        <w:rPr>
          <w:lang w:val="pl-PL"/>
        </w:rPr>
        <w:t xml:space="preserve">z chemioterapią i kontynuujących leczenie bewacyzumabem do wystąpienia progresji choroby lub nieakceptowalnej toksyczności, obserwowano statystycznie znamienną poprawę czasu przeżycia wolnego od progresji choroby. Eksploratywne analizy PFS </w:t>
      </w:r>
      <w:r w:rsidR="00443D64" w:rsidRPr="0015541C">
        <w:rPr>
          <w:lang w:val="pl-PL"/>
        </w:rPr>
        <w:t xml:space="preserve">oraz OS </w:t>
      </w:r>
      <w:r w:rsidRPr="0015541C">
        <w:rPr>
          <w:lang w:val="pl-PL"/>
        </w:rPr>
        <w:t>według kohorty zależnej od stosowanej chemioterapii wykazały poprawę we wszystkich kohortach (paklitaksel, topotekan i PLD) związana z zastosowaniem bewacyzumabu. Wyniki przedstawiono w Tabeli 2</w:t>
      </w:r>
      <w:r w:rsidR="00481985" w:rsidRPr="0015541C">
        <w:rPr>
          <w:lang w:val="pl-PL"/>
        </w:rPr>
        <w:t>4</w:t>
      </w:r>
      <w:r w:rsidRPr="0015541C">
        <w:rPr>
          <w:lang w:val="pl-PL"/>
        </w:rPr>
        <w:t>.</w:t>
      </w:r>
    </w:p>
    <w:p w14:paraId="08E3EB01" w14:textId="77777777" w:rsidR="00184154" w:rsidRPr="0015541C" w:rsidRDefault="00184154" w:rsidP="00184154">
      <w:pPr>
        <w:rPr>
          <w:lang w:val="pl-PL"/>
        </w:rPr>
      </w:pPr>
    </w:p>
    <w:p w14:paraId="2ABB2941" w14:textId="77777777" w:rsidR="00184154" w:rsidRPr="0070444C" w:rsidRDefault="00184154" w:rsidP="00A5264D">
      <w:pPr>
        <w:keepNext/>
        <w:keepLines/>
        <w:rPr>
          <w:lang w:val="pl-PL"/>
        </w:rPr>
      </w:pPr>
      <w:r w:rsidRPr="0015541C">
        <w:rPr>
          <w:b/>
          <w:lang w:val="pl-PL"/>
        </w:rPr>
        <w:lastRenderedPageBreak/>
        <w:t>Tabela 2</w:t>
      </w:r>
      <w:r w:rsidR="001D51D3" w:rsidRPr="0015541C">
        <w:rPr>
          <w:b/>
          <w:lang w:val="pl-PL"/>
        </w:rPr>
        <w:t>4</w:t>
      </w:r>
      <w:r w:rsidRPr="0015541C">
        <w:rPr>
          <w:b/>
          <w:lang w:val="pl-PL"/>
        </w:rPr>
        <w:t xml:space="preserve"> </w:t>
      </w:r>
      <w:r w:rsidRPr="0015541C">
        <w:rPr>
          <w:b/>
          <w:lang w:val="pl-PL"/>
        </w:rPr>
        <w:tab/>
        <w:t xml:space="preserve">Eksploratywne analizy PFS </w:t>
      </w:r>
      <w:r w:rsidR="00443D64" w:rsidRPr="0015541C">
        <w:rPr>
          <w:b/>
          <w:lang w:val="pl-PL"/>
        </w:rPr>
        <w:t xml:space="preserve">oraz OS </w:t>
      </w:r>
      <w:r w:rsidRPr="0015541C">
        <w:rPr>
          <w:b/>
          <w:lang w:val="pl-PL"/>
        </w:rPr>
        <w:t>w kohortach według chemioterapii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792"/>
        <w:gridCol w:w="2452"/>
      </w:tblGrid>
      <w:tr w:rsidR="00184154" w:rsidRPr="0015541C" w14:paraId="50791B82" w14:textId="77777777" w:rsidTr="00A5264D">
        <w:tc>
          <w:tcPr>
            <w:tcW w:w="3261" w:type="dxa"/>
            <w:tcBorders>
              <w:top w:val="single" w:sz="4" w:space="0" w:color="auto"/>
              <w:left w:val="single" w:sz="4" w:space="0" w:color="auto"/>
              <w:bottom w:val="single" w:sz="4" w:space="0" w:color="auto"/>
              <w:right w:val="single" w:sz="4" w:space="0" w:color="auto"/>
            </w:tcBorders>
          </w:tcPr>
          <w:p w14:paraId="692A7CAD" w14:textId="77777777" w:rsidR="00184154" w:rsidRPr="0015541C" w:rsidRDefault="00184154" w:rsidP="00A5264D">
            <w:pPr>
              <w:keepNext/>
              <w:keepLines/>
              <w:rPr>
                <w:lang w:val="pl-PL"/>
              </w:rPr>
            </w:pPr>
          </w:p>
        </w:tc>
        <w:tc>
          <w:tcPr>
            <w:tcW w:w="2792" w:type="dxa"/>
            <w:tcBorders>
              <w:top w:val="single" w:sz="4" w:space="0" w:color="auto"/>
              <w:left w:val="single" w:sz="4" w:space="0" w:color="auto"/>
              <w:bottom w:val="single" w:sz="4" w:space="0" w:color="auto"/>
              <w:right w:val="single" w:sz="4" w:space="0" w:color="auto"/>
            </w:tcBorders>
          </w:tcPr>
          <w:p w14:paraId="1DFDDF6D" w14:textId="77777777" w:rsidR="00184154" w:rsidRPr="0070444C" w:rsidRDefault="00184154" w:rsidP="00A5264D">
            <w:pPr>
              <w:keepNext/>
              <w:keepLines/>
              <w:jc w:val="center"/>
              <w:rPr>
                <w:b/>
                <w:lang w:val="pl-PL"/>
              </w:rPr>
            </w:pPr>
            <w:r w:rsidRPr="0070444C">
              <w:rPr>
                <w:b/>
                <w:lang w:val="pl-PL"/>
              </w:rPr>
              <w:t>Chemioterapia</w:t>
            </w:r>
          </w:p>
        </w:tc>
        <w:tc>
          <w:tcPr>
            <w:tcW w:w="2452" w:type="dxa"/>
            <w:tcBorders>
              <w:top w:val="single" w:sz="4" w:space="0" w:color="auto"/>
              <w:left w:val="single" w:sz="4" w:space="0" w:color="auto"/>
              <w:bottom w:val="single" w:sz="4" w:space="0" w:color="auto"/>
              <w:right w:val="single" w:sz="4" w:space="0" w:color="auto"/>
            </w:tcBorders>
          </w:tcPr>
          <w:p w14:paraId="2F7125A0" w14:textId="77777777" w:rsidR="00184154" w:rsidRPr="0070444C" w:rsidRDefault="00184154" w:rsidP="00A5264D">
            <w:pPr>
              <w:pStyle w:val="TextTi12"/>
              <w:keepNext/>
              <w:keepLines/>
              <w:spacing w:after="0"/>
              <w:jc w:val="center"/>
              <w:rPr>
                <w:b/>
                <w:sz w:val="22"/>
                <w:lang w:val="pl-PL"/>
              </w:rPr>
            </w:pPr>
            <w:r w:rsidRPr="0070444C">
              <w:rPr>
                <w:b/>
                <w:sz w:val="22"/>
                <w:lang w:val="pl-PL"/>
              </w:rPr>
              <w:t xml:space="preserve">Chemioterapia+ </w:t>
            </w:r>
            <w:r w:rsidRPr="0070444C">
              <w:rPr>
                <w:b/>
                <w:lang w:val="pl-PL"/>
              </w:rPr>
              <w:t>bewacyzumab</w:t>
            </w:r>
          </w:p>
          <w:p w14:paraId="22BD3A7A" w14:textId="77777777" w:rsidR="00184154" w:rsidRPr="0070444C" w:rsidRDefault="00184154" w:rsidP="00A5264D">
            <w:pPr>
              <w:keepNext/>
              <w:keepLines/>
              <w:jc w:val="center"/>
              <w:rPr>
                <w:b/>
                <w:lang w:val="pl-PL"/>
              </w:rPr>
            </w:pPr>
          </w:p>
        </w:tc>
      </w:tr>
      <w:tr w:rsidR="00A5264D" w:rsidRPr="0015541C" w14:paraId="460335B1" w14:textId="77777777" w:rsidTr="00EE19E4">
        <w:tc>
          <w:tcPr>
            <w:tcW w:w="3261" w:type="dxa"/>
            <w:tcBorders>
              <w:top w:val="single" w:sz="4" w:space="0" w:color="auto"/>
              <w:left w:val="single" w:sz="4" w:space="0" w:color="auto"/>
              <w:bottom w:val="single" w:sz="4" w:space="0" w:color="auto"/>
              <w:right w:val="single" w:sz="4" w:space="0" w:color="auto"/>
            </w:tcBorders>
          </w:tcPr>
          <w:p w14:paraId="5121251D" w14:textId="77777777" w:rsidR="00A5264D" w:rsidRPr="0070444C" w:rsidRDefault="00A5264D" w:rsidP="00D16D61">
            <w:pPr>
              <w:keepNext/>
              <w:keepLines/>
              <w:rPr>
                <w:lang w:val="pl-PL"/>
              </w:rPr>
            </w:pPr>
            <w:r w:rsidRPr="0070444C">
              <w:rPr>
                <w:lang w:val="pl-PL"/>
              </w:rPr>
              <w:t>Paklitaksel</w:t>
            </w:r>
          </w:p>
        </w:tc>
        <w:tc>
          <w:tcPr>
            <w:tcW w:w="5244" w:type="dxa"/>
            <w:gridSpan w:val="2"/>
            <w:tcBorders>
              <w:top w:val="single" w:sz="4" w:space="0" w:color="auto"/>
              <w:left w:val="single" w:sz="4" w:space="0" w:color="auto"/>
              <w:bottom w:val="single" w:sz="4" w:space="0" w:color="auto"/>
              <w:right w:val="single" w:sz="4" w:space="0" w:color="auto"/>
            </w:tcBorders>
          </w:tcPr>
          <w:p w14:paraId="7F99B009" w14:textId="77777777" w:rsidR="00A5264D" w:rsidRPr="0015541C" w:rsidRDefault="00A5264D" w:rsidP="00A5264D">
            <w:pPr>
              <w:keepNext/>
              <w:keepLines/>
              <w:jc w:val="center"/>
              <w:rPr>
                <w:lang w:val="pl-PL"/>
              </w:rPr>
            </w:pPr>
            <w:r w:rsidRPr="0015541C">
              <w:rPr>
                <w:lang w:val="pl-PL"/>
              </w:rPr>
              <w:t>n=115</w:t>
            </w:r>
          </w:p>
        </w:tc>
      </w:tr>
      <w:tr w:rsidR="00184154" w:rsidRPr="0015541C" w14:paraId="0CA13046" w14:textId="77777777" w:rsidTr="00A5264D">
        <w:tc>
          <w:tcPr>
            <w:tcW w:w="3261" w:type="dxa"/>
            <w:tcBorders>
              <w:top w:val="single" w:sz="4" w:space="0" w:color="auto"/>
              <w:left w:val="single" w:sz="4" w:space="0" w:color="auto"/>
              <w:bottom w:val="single" w:sz="4" w:space="0" w:color="auto"/>
              <w:right w:val="single" w:sz="4" w:space="0" w:color="auto"/>
            </w:tcBorders>
          </w:tcPr>
          <w:p w14:paraId="042F9ADA" w14:textId="77777777" w:rsidR="00184154" w:rsidRPr="0015541C" w:rsidRDefault="00184154" w:rsidP="00443D64">
            <w:pPr>
              <w:pStyle w:val="TableText10"/>
              <w:keepNext/>
              <w:keepLines/>
              <w:spacing w:line="280" w:lineRule="atLeast"/>
              <w:jc w:val="center"/>
              <w:rPr>
                <w:sz w:val="22"/>
                <w:szCs w:val="22"/>
                <w:lang w:val="pl-PL"/>
              </w:rPr>
            </w:pPr>
            <w:r w:rsidRPr="0015541C">
              <w:rPr>
                <w:sz w:val="22"/>
                <w:szCs w:val="22"/>
                <w:lang w:val="pl-PL"/>
              </w:rPr>
              <w:t>Mediana PFS (miesiące)</w:t>
            </w:r>
          </w:p>
        </w:tc>
        <w:tc>
          <w:tcPr>
            <w:tcW w:w="2792" w:type="dxa"/>
            <w:tcBorders>
              <w:top w:val="single" w:sz="4" w:space="0" w:color="auto"/>
              <w:left w:val="single" w:sz="4" w:space="0" w:color="auto"/>
              <w:bottom w:val="single" w:sz="4" w:space="0" w:color="auto"/>
              <w:right w:val="single" w:sz="4" w:space="0" w:color="auto"/>
            </w:tcBorders>
          </w:tcPr>
          <w:p w14:paraId="31543E9D" w14:textId="77777777" w:rsidR="00184154" w:rsidRPr="00AC3958" w:rsidRDefault="00184154" w:rsidP="00A5264D">
            <w:pPr>
              <w:keepNext/>
              <w:keepLines/>
              <w:jc w:val="center"/>
              <w:rPr>
                <w:lang w:val="pl-PL"/>
              </w:rPr>
            </w:pPr>
            <w:r w:rsidRPr="0015541C">
              <w:rPr>
                <w:lang w:val="pl-PL"/>
              </w:rPr>
              <w:t xml:space="preserve">3,9 </w:t>
            </w:r>
          </w:p>
        </w:tc>
        <w:tc>
          <w:tcPr>
            <w:tcW w:w="2452" w:type="dxa"/>
            <w:tcBorders>
              <w:top w:val="single" w:sz="4" w:space="0" w:color="auto"/>
              <w:left w:val="single" w:sz="4" w:space="0" w:color="auto"/>
              <w:bottom w:val="single" w:sz="4" w:space="0" w:color="auto"/>
              <w:right w:val="single" w:sz="4" w:space="0" w:color="auto"/>
            </w:tcBorders>
          </w:tcPr>
          <w:p w14:paraId="07F2E754" w14:textId="77777777" w:rsidR="00184154" w:rsidRPr="0015541C" w:rsidRDefault="00184154" w:rsidP="004D032B">
            <w:pPr>
              <w:keepNext/>
              <w:keepLines/>
              <w:jc w:val="center"/>
              <w:rPr>
                <w:lang w:val="pl-PL"/>
              </w:rPr>
            </w:pPr>
            <w:r w:rsidRPr="00260CEC">
              <w:rPr>
                <w:lang w:val="pl-PL"/>
              </w:rPr>
              <w:t>9,</w:t>
            </w:r>
            <w:r w:rsidR="004D032B" w:rsidRPr="00260CEC">
              <w:rPr>
                <w:lang w:val="pl-PL"/>
              </w:rPr>
              <w:t>2</w:t>
            </w:r>
          </w:p>
        </w:tc>
      </w:tr>
      <w:tr w:rsidR="00184154" w:rsidRPr="0015541C" w14:paraId="4C4BF7C9" w14:textId="77777777" w:rsidTr="00A5264D">
        <w:tc>
          <w:tcPr>
            <w:tcW w:w="3261" w:type="dxa"/>
            <w:tcBorders>
              <w:top w:val="single" w:sz="4" w:space="0" w:color="auto"/>
              <w:left w:val="single" w:sz="4" w:space="0" w:color="auto"/>
              <w:bottom w:val="single" w:sz="4" w:space="0" w:color="auto"/>
              <w:right w:val="single" w:sz="4" w:space="0" w:color="auto"/>
            </w:tcBorders>
          </w:tcPr>
          <w:p w14:paraId="1EC5AE18" w14:textId="77777777" w:rsidR="00184154" w:rsidRPr="0015541C" w:rsidRDefault="00184154" w:rsidP="00C163D2">
            <w:pPr>
              <w:pStyle w:val="TableText10"/>
              <w:keepNext/>
              <w:keepLines/>
              <w:spacing w:line="280" w:lineRule="atLeast"/>
              <w:jc w:val="center"/>
              <w:rPr>
                <w:sz w:val="22"/>
                <w:szCs w:val="22"/>
                <w:lang w:val="pl-PL"/>
              </w:rPr>
            </w:pPr>
            <w:r w:rsidRPr="0015541C">
              <w:rPr>
                <w:sz w:val="22"/>
                <w:szCs w:val="22"/>
                <w:lang w:val="pl-PL"/>
              </w:rPr>
              <w:t>Współczynnik ryzyka</w:t>
            </w:r>
            <w:r w:rsidR="00443D64" w:rsidRPr="0015541C">
              <w:rPr>
                <w:sz w:val="22"/>
                <w:szCs w:val="22"/>
                <w:lang w:val="pl-PL"/>
              </w:rPr>
              <w:t xml:space="preserve"> (95% CI)</w:t>
            </w:r>
          </w:p>
        </w:tc>
        <w:tc>
          <w:tcPr>
            <w:tcW w:w="5244" w:type="dxa"/>
            <w:gridSpan w:val="2"/>
            <w:tcBorders>
              <w:top w:val="single" w:sz="4" w:space="0" w:color="auto"/>
              <w:left w:val="single" w:sz="4" w:space="0" w:color="auto"/>
              <w:bottom w:val="single" w:sz="4" w:space="0" w:color="auto"/>
              <w:right w:val="single" w:sz="4" w:space="0" w:color="auto"/>
            </w:tcBorders>
          </w:tcPr>
          <w:p w14:paraId="20B49F32" w14:textId="77777777" w:rsidR="00184154" w:rsidRPr="0015541C" w:rsidRDefault="00184154" w:rsidP="004D032B">
            <w:pPr>
              <w:jc w:val="center"/>
              <w:rPr>
                <w:lang w:val="pl-PL"/>
              </w:rPr>
            </w:pPr>
            <w:r w:rsidRPr="00AC3958">
              <w:rPr>
                <w:lang w:val="pl-PL"/>
              </w:rPr>
              <w:t>0,</w:t>
            </w:r>
            <w:r w:rsidR="004D032B" w:rsidRPr="00260CEC">
              <w:rPr>
                <w:lang w:val="pl-PL"/>
              </w:rPr>
              <w:t xml:space="preserve">47 </w:t>
            </w:r>
            <w:r w:rsidRPr="00260CEC">
              <w:rPr>
                <w:lang w:val="pl-PL"/>
              </w:rPr>
              <w:t>[0,</w:t>
            </w:r>
            <w:r w:rsidR="004D032B" w:rsidRPr="0015541C">
              <w:rPr>
                <w:lang w:val="pl-PL"/>
              </w:rPr>
              <w:t>31</w:t>
            </w:r>
            <w:r w:rsidRPr="0015541C">
              <w:rPr>
                <w:lang w:val="pl-PL"/>
              </w:rPr>
              <w:t>, 0,</w:t>
            </w:r>
            <w:r w:rsidR="004D032B" w:rsidRPr="0015541C">
              <w:rPr>
                <w:lang w:val="pl-PL"/>
              </w:rPr>
              <w:t>72</w:t>
            </w:r>
            <w:r w:rsidRPr="0015541C">
              <w:rPr>
                <w:lang w:val="pl-PL"/>
              </w:rPr>
              <w:t>]</w:t>
            </w:r>
          </w:p>
        </w:tc>
      </w:tr>
      <w:tr w:rsidR="00443D64" w:rsidRPr="0015541C" w14:paraId="56A85A16" w14:textId="77777777" w:rsidTr="006F624F">
        <w:tc>
          <w:tcPr>
            <w:tcW w:w="3261" w:type="dxa"/>
            <w:tcBorders>
              <w:top w:val="single" w:sz="4" w:space="0" w:color="auto"/>
              <w:left w:val="single" w:sz="4" w:space="0" w:color="auto"/>
              <w:bottom w:val="single" w:sz="4" w:space="0" w:color="auto"/>
              <w:right w:val="single" w:sz="4" w:space="0" w:color="auto"/>
            </w:tcBorders>
          </w:tcPr>
          <w:p w14:paraId="196DC3D2" w14:textId="77777777" w:rsidR="00443D64" w:rsidRPr="0015541C" w:rsidRDefault="00443D64" w:rsidP="00C163D2">
            <w:pPr>
              <w:keepNext/>
              <w:keepLines/>
              <w:widowControl w:val="0"/>
              <w:jc w:val="center"/>
              <w:rPr>
                <w:szCs w:val="22"/>
                <w:lang w:val="pl-PL"/>
              </w:rPr>
            </w:pPr>
            <w:r w:rsidRPr="0015541C">
              <w:rPr>
                <w:szCs w:val="22"/>
                <w:lang w:val="pl-PL"/>
              </w:rPr>
              <w:t>Mediana OS (miesiące)</w:t>
            </w:r>
          </w:p>
        </w:tc>
        <w:tc>
          <w:tcPr>
            <w:tcW w:w="2792" w:type="dxa"/>
            <w:tcBorders>
              <w:top w:val="single" w:sz="4" w:space="0" w:color="auto"/>
              <w:left w:val="single" w:sz="4" w:space="0" w:color="auto"/>
              <w:bottom w:val="single" w:sz="4" w:space="0" w:color="auto"/>
              <w:right w:val="single" w:sz="4" w:space="0" w:color="auto"/>
            </w:tcBorders>
          </w:tcPr>
          <w:p w14:paraId="22FE150D" w14:textId="77777777" w:rsidR="00443D64" w:rsidRPr="00AC3958" w:rsidRDefault="00443D64" w:rsidP="00C163D2">
            <w:pPr>
              <w:jc w:val="center"/>
              <w:rPr>
                <w:lang w:val="pl-PL"/>
              </w:rPr>
            </w:pPr>
            <w:r w:rsidRPr="0015541C">
              <w:rPr>
                <w:lang w:val="pl-PL"/>
              </w:rPr>
              <w:t>13,2</w:t>
            </w:r>
          </w:p>
        </w:tc>
        <w:tc>
          <w:tcPr>
            <w:tcW w:w="2452" w:type="dxa"/>
            <w:tcBorders>
              <w:top w:val="single" w:sz="4" w:space="0" w:color="auto"/>
              <w:left w:val="single" w:sz="4" w:space="0" w:color="auto"/>
              <w:bottom w:val="single" w:sz="4" w:space="0" w:color="auto"/>
              <w:right w:val="single" w:sz="4" w:space="0" w:color="auto"/>
            </w:tcBorders>
          </w:tcPr>
          <w:p w14:paraId="087A4B53" w14:textId="77777777" w:rsidR="00443D64" w:rsidRPr="00260CEC" w:rsidRDefault="00443D64" w:rsidP="00C163D2">
            <w:pPr>
              <w:jc w:val="center"/>
              <w:rPr>
                <w:lang w:val="pl-PL"/>
              </w:rPr>
            </w:pPr>
            <w:r w:rsidRPr="00260CEC">
              <w:rPr>
                <w:lang w:val="pl-PL"/>
              </w:rPr>
              <w:t>22,4</w:t>
            </w:r>
          </w:p>
        </w:tc>
      </w:tr>
      <w:tr w:rsidR="00443D64" w:rsidRPr="0015541C" w14:paraId="687BB312" w14:textId="77777777" w:rsidTr="006F624F">
        <w:tc>
          <w:tcPr>
            <w:tcW w:w="3261" w:type="dxa"/>
            <w:tcBorders>
              <w:top w:val="single" w:sz="4" w:space="0" w:color="auto"/>
              <w:left w:val="single" w:sz="4" w:space="0" w:color="auto"/>
              <w:bottom w:val="double" w:sz="4" w:space="0" w:color="auto"/>
              <w:right w:val="single" w:sz="4" w:space="0" w:color="auto"/>
            </w:tcBorders>
          </w:tcPr>
          <w:p w14:paraId="1394DAE8" w14:textId="77777777" w:rsidR="00443D64" w:rsidRPr="0015541C" w:rsidRDefault="00443D64" w:rsidP="00C163D2">
            <w:pPr>
              <w:keepNext/>
              <w:keepLines/>
              <w:widowControl w:val="0"/>
              <w:jc w:val="center"/>
              <w:rPr>
                <w:szCs w:val="22"/>
                <w:lang w:val="pl-PL"/>
              </w:rPr>
            </w:pPr>
            <w:r w:rsidRPr="0015541C">
              <w:rPr>
                <w:szCs w:val="22"/>
                <w:lang w:val="pl-PL"/>
              </w:rPr>
              <w:t>Współczynnik ryzyka (95% CI)</w:t>
            </w:r>
          </w:p>
          <w:p w14:paraId="509EB2BF" w14:textId="77777777" w:rsidR="00443D64" w:rsidRPr="0015541C" w:rsidRDefault="00443D64" w:rsidP="00C163D2">
            <w:pPr>
              <w:keepNext/>
              <w:keepLines/>
              <w:widowControl w:val="0"/>
              <w:jc w:val="center"/>
              <w:rPr>
                <w:szCs w:val="22"/>
                <w:lang w:val="pl-PL"/>
              </w:rPr>
            </w:pPr>
          </w:p>
        </w:tc>
        <w:tc>
          <w:tcPr>
            <w:tcW w:w="5244" w:type="dxa"/>
            <w:gridSpan w:val="2"/>
            <w:tcBorders>
              <w:top w:val="single" w:sz="4" w:space="0" w:color="auto"/>
              <w:left w:val="single" w:sz="4" w:space="0" w:color="auto"/>
              <w:bottom w:val="double" w:sz="4" w:space="0" w:color="auto"/>
              <w:right w:val="single" w:sz="4" w:space="0" w:color="auto"/>
            </w:tcBorders>
          </w:tcPr>
          <w:p w14:paraId="733C39A0" w14:textId="77777777" w:rsidR="00443D64" w:rsidRPr="00260CEC" w:rsidRDefault="00443D64" w:rsidP="00C163D2">
            <w:pPr>
              <w:jc w:val="center"/>
              <w:rPr>
                <w:lang w:val="pl-PL"/>
              </w:rPr>
            </w:pPr>
            <w:r w:rsidRPr="00AC3958">
              <w:rPr>
                <w:lang w:val="pl-PL"/>
              </w:rPr>
              <w:t>0,64 [0,41, 0,99]</w:t>
            </w:r>
          </w:p>
        </w:tc>
      </w:tr>
      <w:tr w:rsidR="00443D64" w:rsidRPr="0015541C" w14:paraId="06FB5C46" w14:textId="77777777" w:rsidTr="00CE0CE5">
        <w:tc>
          <w:tcPr>
            <w:tcW w:w="3261" w:type="dxa"/>
            <w:tcBorders>
              <w:top w:val="double" w:sz="4" w:space="0" w:color="auto"/>
              <w:left w:val="single" w:sz="4" w:space="0" w:color="auto"/>
              <w:bottom w:val="single" w:sz="4" w:space="0" w:color="auto"/>
              <w:right w:val="single" w:sz="4" w:space="0" w:color="auto"/>
            </w:tcBorders>
          </w:tcPr>
          <w:p w14:paraId="6C91B4CB" w14:textId="77777777" w:rsidR="00443D64" w:rsidRPr="0070444C" w:rsidRDefault="00443D64" w:rsidP="00D16D61">
            <w:pPr>
              <w:keepNext/>
              <w:keepLines/>
              <w:widowControl w:val="0"/>
              <w:rPr>
                <w:lang w:val="pl-PL"/>
              </w:rPr>
            </w:pPr>
            <w:r w:rsidRPr="0070444C">
              <w:rPr>
                <w:lang w:val="pl-PL"/>
              </w:rPr>
              <w:t>Topotekan</w:t>
            </w:r>
          </w:p>
        </w:tc>
        <w:tc>
          <w:tcPr>
            <w:tcW w:w="5244" w:type="dxa"/>
            <w:gridSpan w:val="2"/>
            <w:tcBorders>
              <w:top w:val="double" w:sz="4" w:space="0" w:color="auto"/>
              <w:left w:val="single" w:sz="4" w:space="0" w:color="auto"/>
              <w:bottom w:val="single" w:sz="4" w:space="0" w:color="auto"/>
              <w:right w:val="single" w:sz="4" w:space="0" w:color="auto"/>
            </w:tcBorders>
          </w:tcPr>
          <w:p w14:paraId="2CD1C83B" w14:textId="77777777" w:rsidR="00443D64" w:rsidRPr="0015541C" w:rsidRDefault="00443D64" w:rsidP="00443D64">
            <w:pPr>
              <w:jc w:val="center"/>
              <w:rPr>
                <w:lang w:val="pl-PL"/>
              </w:rPr>
            </w:pPr>
            <w:r w:rsidRPr="0015541C">
              <w:rPr>
                <w:lang w:val="pl-PL"/>
              </w:rPr>
              <w:t>n=120</w:t>
            </w:r>
          </w:p>
        </w:tc>
      </w:tr>
      <w:tr w:rsidR="00184154" w:rsidRPr="0015541C" w14:paraId="5957E17A" w14:textId="77777777" w:rsidTr="00A5264D">
        <w:tc>
          <w:tcPr>
            <w:tcW w:w="3261" w:type="dxa"/>
            <w:tcBorders>
              <w:top w:val="single" w:sz="4" w:space="0" w:color="auto"/>
              <w:left w:val="single" w:sz="4" w:space="0" w:color="auto"/>
              <w:bottom w:val="single" w:sz="4" w:space="0" w:color="auto"/>
              <w:right w:val="single" w:sz="4" w:space="0" w:color="auto"/>
            </w:tcBorders>
          </w:tcPr>
          <w:p w14:paraId="740F9EED" w14:textId="77777777" w:rsidR="00184154" w:rsidRPr="0015541C" w:rsidRDefault="00184154" w:rsidP="00A5264D">
            <w:pPr>
              <w:pStyle w:val="TableText10"/>
              <w:keepNext/>
              <w:keepLines/>
              <w:spacing w:line="280" w:lineRule="atLeast"/>
              <w:jc w:val="center"/>
              <w:rPr>
                <w:sz w:val="22"/>
                <w:szCs w:val="22"/>
                <w:lang w:val="pl-PL"/>
              </w:rPr>
            </w:pPr>
            <w:r w:rsidRPr="0015541C">
              <w:rPr>
                <w:sz w:val="22"/>
                <w:szCs w:val="22"/>
                <w:lang w:val="pl-PL"/>
              </w:rPr>
              <w:t>Mediana PFS (miesiące)</w:t>
            </w:r>
          </w:p>
        </w:tc>
        <w:tc>
          <w:tcPr>
            <w:tcW w:w="2792" w:type="dxa"/>
            <w:tcBorders>
              <w:top w:val="single" w:sz="4" w:space="0" w:color="auto"/>
              <w:left w:val="single" w:sz="4" w:space="0" w:color="auto"/>
              <w:bottom w:val="single" w:sz="4" w:space="0" w:color="auto"/>
              <w:right w:val="single" w:sz="4" w:space="0" w:color="auto"/>
            </w:tcBorders>
          </w:tcPr>
          <w:p w14:paraId="1650DE77" w14:textId="77777777" w:rsidR="00184154" w:rsidRPr="00AC3958" w:rsidRDefault="00184154" w:rsidP="00C163D2">
            <w:pPr>
              <w:jc w:val="center"/>
              <w:rPr>
                <w:lang w:val="pl-PL"/>
              </w:rPr>
            </w:pPr>
            <w:r w:rsidRPr="0015541C">
              <w:rPr>
                <w:lang w:val="pl-PL"/>
              </w:rPr>
              <w:t>2,1</w:t>
            </w:r>
          </w:p>
        </w:tc>
        <w:tc>
          <w:tcPr>
            <w:tcW w:w="2452" w:type="dxa"/>
            <w:tcBorders>
              <w:top w:val="single" w:sz="4" w:space="0" w:color="auto"/>
              <w:left w:val="single" w:sz="4" w:space="0" w:color="auto"/>
              <w:bottom w:val="single" w:sz="4" w:space="0" w:color="auto"/>
              <w:right w:val="single" w:sz="4" w:space="0" w:color="auto"/>
            </w:tcBorders>
          </w:tcPr>
          <w:p w14:paraId="37733227" w14:textId="77777777" w:rsidR="00184154" w:rsidRPr="00260CEC" w:rsidRDefault="00184154" w:rsidP="00C163D2">
            <w:pPr>
              <w:jc w:val="center"/>
              <w:rPr>
                <w:lang w:val="pl-PL"/>
              </w:rPr>
            </w:pPr>
            <w:r w:rsidRPr="00260CEC">
              <w:rPr>
                <w:lang w:val="pl-PL"/>
              </w:rPr>
              <w:t>6,2</w:t>
            </w:r>
          </w:p>
        </w:tc>
      </w:tr>
      <w:tr w:rsidR="00184154" w:rsidRPr="0015541C" w14:paraId="172EF672" w14:textId="77777777" w:rsidTr="00A5264D">
        <w:tc>
          <w:tcPr>
            <w:tcW w:w="3261" w:type="dxa"/>
            <w:tcBorders>
              <w:top w:val="single" w:sz="4" w:space="0" w:color="auto"/>
              <w:left w:val="single" w:sz="4" w:space="0" w:color="auto"/>
              <w:bottom w:val="single" w:sz="4" w:space="0" w:color="auto"/>
              <w:right w:val="single" w:sz="4" w:space="0" w:color="auto"/>
            </w:tcBorders>
          </w:tcPr>
          <w:p w14:paraId="1B71E0F6" w14:textId="77777777" w:rsidR="00184154" w:rsidRPr="0015541C" w:rsidRDefault="00184154" w:rsidP="00C163D2">
            <w:pPr>
              <w:pStyle w:val="TableText10"/>
              <w:keepNext/>
              <w:keepLines/>
              <w:spacing w:line="280" w:lineRule="atLeast"/>
              <w:jc w:val="center"/>
              <w:rPr>
                <w:sz w:val="22"/>
                <w:szCs w:val="22"/>
                <w:lang w:val="pl-PL"/>
              </w:rPr>
            </w:pPr>
            <w:r w:rsidRPr="0015541C">
              <w:rPr>
                <w:sz w:val="22"/>
                <w:szCs w:val="22"/>
                <w:lang w:val="pl-PL"/>
              </w:rPr>
              <w:t>Współczynnik ryzyka</w:t>
            </w:r>
            <w:r w:rsidR="00443D64" w:rsidRPr="0015541C">
              <w:rPr>
                <w:sz w:val="22"/>
                <w:szCs w:val="22"/>
                <w:lang w:val="pl-PL"/>
              </w:rPr>
              <w:t xml:space="preserve"> (95% CI)</w:t>
            </w:r>
          </w:p>
        </w:tc>
        <w:tc>
          <w:tcPr>
            <w:tcW w:w="5244" w:type="dxa"/>
            <w:gridSpan w:val="2"/>
            <w:tcBorders>
              <w:top w:val="single" w:sz="4" w:space="0" w:color="auto"/>
              <w:left w:val="single" w:sz="4" w:space="0" w:color="auto"/>
              <w:bottom w:val="single" w:sz="4" w:space="0" w:color="auto"/>
              <w:right w:val="single" w:sz="4" w:space="0" w:color="auto"/>
            </w:tcBorders>
          </w:tcPr>
          <w:p w14:paraId="7ACFF676" w14:textId="77777777" w:rsidR="00184154" w:rsidRPr="00260CEC" w:rsidRDefault="00184154" w:rsidP="00C163D2">
            <w:pPr>
              <w:jc w:val="center"/>
              <w:rPr>
                <w:lang w:val="pl-PL"/>
              </w:rPr>
            </w:pPr>
            <w:r w:rsidRPr="00AC3958">
              <w:rPr>
                <w:lang w:val="pl-PL"/>
              </w:rPr>
              <w:t>0,28 [0,18, 0,44]</w:t>
            </w:r>
          </w:p>
        </w:tc>
      </w:tr>
      <w:tr w:rsidR="00443D64" w:rsidRPr="0015541C" w14:paraId="08CE772A" w14:textId="77777777" w:rsidTr="006F624F">
        <w:tc>
          <w:tcPr>
            <w:tcW w:w="3261" w:type="dxa"/>
            <w:tcBorders>
              <w:top w:val="single" w:sz="4" w:space="0" w:color="auto"/>
              <w:left w:val="single" w:sz="4" w:space="0" w:color="auto"/>
              <w:bottom w:val="single" w:sz="4" w:space="0" w:color="auto"/>
              <w:right w:val="single" w:sz="4" w:space="0" w:color="auto"/>
            </w:tcBorders>
          </w:tcPr>
          <w:p w14:paraId="7FB12457" w14:textId="77777777" w:rsidR="00443D64" w:rsidRPr="0015541C" w:rsidRDefault="00443D64" w:rsidP="00C163D2">
            <w:pPr>
              <w:pStyle w:val="TableText10"/>
              <w:keepNext/>
              <w:keepLines/>
              <w:spacing w:line="280" w:lineRule="atLeast"/>
              <w:jc w:val="center"/>
              <w:rPr>
                <w:sz w:val="22"/>
                <w:szCs w:val="22"/>
                <w:lang w:val="pl-PL"/>
              </w:rPr>
            </w:pPr>
            <w:r w:rsidRPr="0015541C">
              <w:rPr>
                <w:sz w:val="22"/>
                <w:szCs w:val="22"/>
                <w:lang w:val="pl-PL"/>
              </w:rPr>
              <w:t>Mediana OS (miesiące)</w:t>
            </w:r>
          </w:p>
        </w:tc>
        <w:tc>
          <w:tcPr>
            <w:tcW w:w="2792" w:type="dxa"/>
            <w:tcBorders>
              <w:top w:val="single" w:sz="4" w:space="0" w:color="auto"/>
              <w:left w:val="single" w:sz="4" w:space="0" w:color="auto"/>
              <w:bottom w:val="single" w:sz="4" w:space="0" w:color="auto"/>
              <w:right w:val="single" w:sz="4" w:space="0" w:color="auto"/>
            </w:tcBorders>
          </w:tcPr>
          <w:p w14:paraId="49CC0EE6" w14:textId="77777777" w:rsidR="00443D64" w:rsidRPr="00AC3958" w:rsidRDefault="00A5264D" w:rsidP="00C163D2">
            <w:pPr>
              <w:jc w:val="center"/>
              <w:rPr>
                <w:lang w:val="pl-PL"/>
              </w:rPr>
            </w:pPr>
            <w:r w:rsidRPr="0015541C">
              <w:rPr>
                <w:lang w:val="pl-PL"/>
              </w:rPr>
              <w:t>13,3</w:t>
            </w:r>
          </w:p>
        </w:tc>
        <w:tc>
          <w:tcPr>
            <w:tcW w:w="2452" w:type="dxa"/>
            <w:tcBorders>
              <w:top w:val="single" w:sz="4" w:space="0" w:color="auto"/>
              <w:left w:val="single" w:sz="4" w:space="0" w:color="auto"/>
              <w:bottom w:val="single" w:sz="4" w:space="0" w:color="auto"/>
              <w:right w:val="single" w:sz="4" w:space="0" w:color="auto"/>
            </w:tcBorders>
          </w:tcPr>
          <w:p w14:paraId="3464599C" w14:textId="77777777" w:rsidR="00443D64" w:rsidRPr="00260CEC" w:rsidRDefault="00A5264D" w:rsidP="00C163D2">
            <w:pPr>
              <w:jc w:val="center"/>
              <w:rPr>
                <w:lang w:val="pl-PL"/>
              </w:rPr>
            </w:pPr>
            <w:r w:rsidRPr="00260CEC">
              <w:rPr>
                <w:lang w:val="pl-PL"/>
              </w:rPr>
              <w:t>13,8</w:t>
            </w:r>
          </w:p>
        </w:tc>
      </w:tr>
      <w:tr w:rsidR="00A5264D" w:rsidRPr="0015541C" w14:paraId="7C63C2B8" w14:textId="77777777" w:rsidTr="006F624F">
        <w:tc>
          <w:tcPr>
            <w:tcW w:w="3261" w:type="dxa"/>
            <w:tcBorders>
              <w:top w:val="single" w:sz="4" w:space="0" w:color="auto"/>
              <w:left w:val="single" w:sz="4" w:space="0" w:color="auto"/>
              <w:bottom w:val="double" w:sz="4" w:space="0" w:color="auto"/>
              <w:right w:val="single" w:sz="4" w:space="0" w:color="auto"/>
            </w:tcBorders>
          </w:tcPr>
          <w:p w14:paraId="73BE304A" w14:textId="77777777" w:rsidR="00A5264D" w:rsidRPr="0015541C" w:rsidRDefault="00A5264D" w:rsidP="00EE19E4">
            <w:pPr>
              <w:keepNext/>
              <w:keepLines/>
              <w:widowControl w:val="0"/>
              <w:jc w:val="center"/>
              <w:rPr>
                <w:szCs w:val="22"/>
                <w:lang w:val="pl-PL"/>
              </w:rPr>
            </w:pPr>
            <w:r w:rsidRPr="0015541C">
              <w:rPr>
                <w:szCs w:val="22"/>
                <w:lang w:val="pl-PL"/>
              </w:rPr>
              <w:t>Współczynnik ryzyka (95% CI)</w:t>
            </w:r>
          </w:p>
          <w:p w14:paraId="624F8343" w14:textId="77777777" w:rsidR="00A5264D" w:rsidRPr="0015541C" w:rsidRDefault="00A5264D" w:rsidP="00C163D2">
            <w:pPr>
              <w:pStyle w:val="TableText10"/>
              <w:keepNext/>
              <w:keepLines/>
              <w:spacing w:line="280" w:lineRule="atLeast"/>
              <w:jc w:val="center"/>
              <w:rPr>
                <w:sz w:val="22"/>
                <w:szCs w:val="22"/>
                <w:lang w:val="pl-PL"/>
              </w:rPr>
            </w:pPr>
          </w:p>
        </w:tc>
        <w:tc>
          <w:tcPr>
            <w:tcW w:w="5244" w:type="dxa"/>
            <w:gridSpan w:val="2"/>
            <w:tcBorders>
              <w:top w:val="single" w:sz="4" w:space="0" w:color="auto"/>
              <w:left w:val="single" w:sz="4" w:space="0" w:color="auto"/>
              <w:bottom w:val="double" w:sz="4" w:space="0" w:color="auto"/>
              <w:right w:val="single" w:sz="4" w:space="0" w:color="auto"/>
            </w:tcBorders>
          </w:tcPr>
          <w:p w14:paraId="1F6B8F43" w14:textId="77777777" w:rsidR="00A5264D" w:rsidRPr="00260CEC" w:rsidRDefault="00A5264D" w:rsidP="00C163D2">
            <w:pPr>
              <w:jc w:val="center"/>
              <w:rPr>
                <w:lang w:val="pl-PL"/>
              </w:rPr>
            </w:pPr>
            <w:r w:rsidRPr="00AC3958">
              <w:rPr>
                <w:lang w:val="pl-PL"/>
              </w:rPr>
              <w:t>1,07 [0,70, 1,63]</w:t>
            </w:r>
          </w:p>
        </w:tc>
      </w:tr>
      <w:tr w:rsidR="00A5264D" w:rsidRPr="0015541C" w14:paraId="42C7B804" w14:textId="77777777" w:rsidTr="00CE0CE5">
        <w:tc>
          <w:tcPr>
            <w:tcW w:w="3261" w:type="dxa"/>
            <w:tcBorders>
              <w:top w:val="double" w:sz="4" w:space="0" w:color="auto"/>
              <w:left w:val="single" w:sz="4" w:space="0" w:color="auto"/>
              <w:bottom w:val="single" w:sz="4" w:space="0" w:color="auto"/>
              <w:right w:val="single" w:sz="4" w:space="0" w:color="auto"/>
            </w:tcBorders>
          </w:tcPr>
          <w:p w14:paraId="1A3214B1" w14:textId="77777777" w:rsidR="00A5264D" w:rsidRPr="0070444C" w:rsidRDefault="00A5264D" w:rsidP="00D16D61">
            <w:pPr>
              <w:pStyle w:val="TableText10"/>
              <w:keepNext/>
              <w:keepLines/>
              <w:spacing w:line="280" w:lineRule="atLeast"/>
              <w:rPr>
                <w:sz w:val="22"/>
                <w:lang w:val="pl-PL"/>
              </w:rPr>
            </w:pPr>
            <w:r w:rsidRPr="0070444C">
              <w:rPr>
                <w:sz w:val="22"/>
                <w:lang w:val="pl-PL"/>
              </w:rPr>
              <w:t>PLD</w:t>
            </w:r>
          </w:p>
        </w:tc>
        <w:tc>
          <w:tcPr>
            <w:tcW w:w="5244" w:type="dxa"/>
            <w:gridSpan w:val="2"/>
            <w:tcBorders>
              <w:top w:val="double" w:sz="4" w:space="0" w:color="auto"/>
              <w:left w:val="single" w:sz="4" w:space="0" w:color="auto"/>
              <w:bottom w:val="single" w:sz="4" w:space="0" w:color="auto"/>
              <w:right w:val="single" w:sz="4" w:space="0" w:color="auto"/>
            </w:tcBorders>
          </w:tcPr>
          <w:p w14:paraId="0E5089EB" w14:textId="77777777" w:rsidR="00A5264D" w:rsidRPr="0015541C" w:rsidRDefault="00A5264D" w:rsidP="00A5264D">
            <w:pPr>
              <w:jc w:val="center"/>
              <w:rPr>
                <w:lang w:val="pl-PL"/>
              </w:rPr>
            </w:pPr>
            <w:r w:rsidRPr="0015541C">
              <w:rPr>
                <w:lang w:val="pl-PL"/>
              </w:rPr>
              <w:t>n=126</w:t>
            </w:r>
          </w:p>
        </w:tc>
      </w:tr>
      <w:tr w:rsidR="00443D64" w:rsidRPr="0015541C" w14:paraId="0F36F816" w14:textId="77777777" w:rsidTr="00A5264D">
        <w:tc>
          <w:tcPr>
            <w:tcW w:w="3261" w:type="dxa"/>
            <w:tcBorders>
              <w:top w:val="single" w:sz="4" w:space="0" w:color="auto"/>
              <w:left w:val="single" w:sz="4" w:space="0" w:color="auto"/>
              <w:bottom w:val="single" w:sz="4" w:space="0" w:color="auto"/>
              <w:right w:val="single" w:sz="4" w:space="0" w:color="auto"/>
            </w:tcBorders>
          </w:tcPr>
          <w:p w14:paraId="02EB3B69" w14:textId="77777777" w:rsidR="00443D64" w:rsidRPr="0015541C" w:rsidRDefault="00443D64" w:rsidP="00A5264D">
            <w:pPr>
              <w:pStyle w:val="TableText10"/>
              <w:keepNext/>
              <w:keepLines/>
              <w:spacing w:line="280" w:lineRule="atLeast"/>
              <w:jc w:val="center"/>
              <w:rPr>
                <w:sz w:val="22"/>
                <w:szCs w:val="22"/>
                <w:lang w:val="pl-PL"/>
              </w:rPr>
            </w:pPr>
            <w:r w:rsidRPr="0015541C">
              <w:rPr>
                <w:sz w:val="22"/>
                <w:szCs w:val="22"/>
                <w:lang w:val="pl-PL"/>
              </w:rPr>
              <w:t>Mediana PFS (miesiące)</w:t>
            </w:r>
          </w:p>
        </w:tc>
        <w:tc>
          <w:tcPr>
            <w:tcW w:w="2792" w:type="dxa"/>
            <w:tcBorders>
              <w:top w:val="single" w:sz="4" w:space="0" w:color="auto"/>
              <w:left w:val="single" w:sz="4" w:space="0" w:color="auto"/>
              <w:bottom w:val="single" w:sz="4" w:space="0" w:color="auto"/>
              <w:right w:val="single" w:sz="4" w:space="0" w:color="auto"/>
            </w:tcBorders>
          </w:tcPr>
          <w:p w14:paraId="1552E957" w14:textId="77777777" w:rsidR="00443D64" w:rsidRPr="00AC3958" w:rsidRDefault="00443D64" w:rsidP="00C163D2">
            <w:pPr>
              <w:jc w:val="center"/>
              <w:rPr>
                <w:lang w:val="pl-PL"/>
              </w:rPr>
            </w:pPr>
            <w:r w:rsidRPr="0015541C">
              <w:rPr>
                <w:lang w:val="pl-PL"/>
              </w:rPr>
              <w:t xml:space="preserve">3,5 </w:t>
            </w:r>
          </w:p>
        </w:tc>
        <w:tc>
          <w:tcPr>
            <w:tcW w:w="2452" w:type="dxa"/>
            <w:tcBorders>
              <w:top w:val="single" w:sz="4" w:space="0" w:color="auto"/>
              <w:left w:val="single" w:sz="4" w:space="0" w:color="auto"/>
              <w:bottom w:val="single" w:sz="4" w:space="0" w:color="auto"/>
              <w:right w:val="single" w:sz="4" w:space="0" w:color="auto"/>
            </w:tcBorders>
          </w:tcPr>
          <w:p w14:paraId="28CE58F2" w14:textId="77777777" w:rsidR="00443D64" w:rsidRPr="00260CEC" w:rsidRDefault="00443D64" w:rsidP="00C163D2">
            <w:pPr>
              <w:jc w:val="center"/>
              <w:rPr>
                <w:lang w:val="pl-PL"/>
              </w:rPr>
            </w:pPr>
            <w:r w:rsidRPr="00260CEC">
              <w:rPr>
                <w:lang w:val="pl-PL"/>
              </w:rPr>
              <w:t>5,1</w:t>
            </w:r>
          </w:p>
        </w:tc>
      </w:tr>
      <w:tr w:rsidR="00A5264D" w:rsidRPr="0015541C" w14:paraId="0B466014" w14:textId="77777777" w:rsidTr="006F624F">
        <w:tc>
          <w:tcPr>
            <w:tcW w:w="3261" w:type="dxa"/>
            <w:tcBorders>
              <w:top w:val="single" w:sz="4" w:space="0" w:color="auto"/>
              <w:left w:val="single" w:sz="4" w:space="0" w:color="auto"/>
              <w:bottom w:val="single" w:sz="4" w:space="0" w:color="auto"/>
              <w:right w:val="single" w:sz="4" w:space="0" w:color="auto"/>
            </w:tcBorders>
          </w:tcPr>
          <w:p w14:paraId="4AD811FF" w14:textId="77777777" w:rsidR="00A5264D" w:rsidRPr="0015541C" w:rsidRDefault="00A5264D" w:rsidP="00C163D2">
            <w:pPr>
              <w:pStyle w:val="TableText10"/>
              <w:keepNext/>
              <w:keepLines/>
              <w:spacing w:line="280" w:lineRule="atLeast"/>
              <w:jc w:val="center"/>
              <w:rPr>
                <w:sz w:val="22"/>
                <w:szCs w:val="22"/>
                <w:lang w:val="pl-PL"/>
              </w:rPr>
            </w:pPr>
            <w:r w:rsidRPr="0015541C">
              <w:rPr>
                <w:sz w:val="22"/>
                <w:szCs w:val="22"/>
                <w:lang w:val="pl-PL"/>
              </w:rPr>
              <w:t>Współczynnik ryzyka (95% CI)</w:t>
            </w:r>
          </w:p>
        </w:tc>
        <w:tc>
          <w:tcPr>
            <w:tcW w:w="5244" w:type="dxa"/>
            <w:gridSpan w:val="2"/>
            <w:tcBorders>
              <w:top w:val="single" w:sz="4" w:space="0" w:color="auto"/>
              <w:left w:val="single" w:sz="4" w:space="0" w:color="auto"/>
              <w:bottom w:val="single" w:sz="4" w:space="0" w:color="auto"/>
              <w:right w:val="single" w:sz="4" w:space="0" w:color="auto"/>
            </w:tcBorders>
          </w:tcPr>
          <w:p w14:paraId="5E3751B4" w14:textId="77777777" w:rsidR="00A5264D" w:rsidRPr="00AC3958" w:rsidRDefault="00A5264D" w:rsidP="00C163D2">
            <w:pPr>
              <w:jc w:val="center"/>
              <w:rPr>
                <w:lang w:val="pl-PL"/>
              </w:rPr>
            </w:pPr>
            <w:r w:rsidRPr="0015541C">
              <w:rPr>
                <w:lang w:val="pl-PL"/>
              </w:rPr>
              <w:t>0,53 [0,36, 0,77]</w:t>
            </w:r>
          </w:p>
        </w:tc>
      </w:tr>
      <w:tr w:rsidR="00A5264D" w:rsidRPr="0015541C" w14:paraId="466C07B0" w14:textId="77777777" w:rsidTr="006F624F">
        <w:tc>
          <w:tcPr>
            <w:tcW w:w="3261" w:type="dxa"/>
            <w:tcBorders>
              <w:top w:val="single" w:sz="4" w:space="0" w:color="auto"/>
              <w:left w:val="single" w:sz="4" w:space="0" w:color="auto"/>
              <w:bottom w:val="single" w:sz="4" w:space="0" w:color="auto"/>
              <w:right w:val="single" w:sz="4" w:space="0" w:color="auto"/>
            </w:tcBorders>
          </w:tcPr>
          <w:p w14:paraId="25E09225" w14:textId="77777777" w:rsidR="00A5264D" w:rsidRPr="0015541C" w:rsidRDefault="00A5264D" w:rsidP="00A5264D">
            <w:pPr>
              <w:keepNext/>
              <w:keepLines/>
              <w:widowControl w:val="0"/>
              <w:jc w:val="center"/>
              <w:rPr>
                <w:szCs w:val="22"/>
                <w:lang w:val="pl-PL"/>
              </w:rPr>
            </w:pPr>
            <w:r w:rsidRPr="0015541C">
              <w:rPr>
                <w:szCs w:val="22"/>
                <w:lang w:val="pl-PL"/>
              </w:rPr>
              <w:t>Mediana OS (miesiące)</w:t>
            </w:r>
          </w:p>
        </w:tc>
        <w:tc>
          <w:tcPr>
            <w:tcW w:w="2792" w:type="dxa"/>
            <w:tcBorders>
              <w:top w:val="single" w:sz="4" w:space="0" w:color="auto"/>
              <w:left w:val="single" w:sz="4" w:space="0" w:color="auto"/>
              <w:bottom w:val="single" w:sz="4" w:space="0" w:color="auto"/>
              <w:right w:val="single" w:sz="4" w:space="0" w:color="auto"/>
            </w:tcBorders>
          </w:tcPr>
          <w:p w14:paraId="335355BB" w14:textId="77777777" w:rsidR="00A5264D" w:rsidRPr="00AC3958" w:rsidRDefault="00A5264D" w:rsidP="00C163D2">
            <w:pPr>
              <w:jc w:val="center"/>
              <w:rPr>
                <w:lang w:val="pl-PL"/>
              </w:rPr>
            </w:pPr>
            <w:r w:rsidRPr="0015541C">
              <w:rPr>
                <w:lang w:val="pl-PL"/>
              </w:rPr>
              <w:t>14,1</w:t>
            </w:r>
          </w:p>
        </w:tc>
        <w:tc>
          <w:tcPr>
            <w:tcW w:w="2452" w:type="dxa"/>
            <w:tcBorders>
              <w:top w:val="single" w:sz="4" w:space="0" w:color="auto"/>
              <w:left w:val="single" w:sz="4" w:space="0" w:color="auto"/>
              <w:bottom w:val="single" w:sz="4" w:space="0" w:color="auto"/>
              <w:right w:val="single" w:sz="4" w:space="0" w:color="auto"/>
            </w:tcBorders>
          </w:tcPr>
          <w:p w14:paraId="1F0CBAEE" w14:textId="77777777" w:rsidR="00A5264D" w:rsidRPr="00260CEC" w:rsidRDefault="00A5264D" w:rsidP="00C163D2">
            <w:pPr>
              <w:jc w:val="center"/>
              <w:rPr>
                <w:lang w:val="pl-PL"/>
              </w:rPr>
            </w:pPr>
            <w:r w:rsidRPr="00260CEC">
              <w:rPr>
                <w:lang w:val="pl-PL"/>
              </w:rPr>
              <w:t>13,7</w:t>
            </w:r>
          </w:p>
        </w:tc>
      </w:tr>
      <w:tr w:rsidR="00A5264D" w:rsidRPr="0015541C" w14:paraId="220BBB91" w14:textId="77777777" w:rsidTr="006F624F">
        <w:tc>
          <w:tcPr>
            <w:tcW w:w="3261" w:type="dxa"/>
            <w:tcBorders>
              <w:top w:val="single" w:sz="4" w:space="0" w:color="auto"/>
              <w:left w:val="single" w:sz="4" w:space="0" w:color="auto"/>
              <w:bottom w:val="single" w:sz="4" w:space="0" w:color="auto"/>
              <w:right w:val="single" w:sz="4" w:space="0" w:color="auto"/>
            </w:tcBorders>
          </w:tcPr>
          <w:p w14:paraId="396FD2DD" w14:textId="77777777" w:rsidR="00A5264D" w:rsidRPr="0015541C" w:rsidRDefault="00A5264D" w:rsidP="00EE19E4">
            <w:pPr>
              <w:keepNext/>
              <w:keepLines/>
              <w:widowControl w:val="0"/>
              <w:jc w:val="center"/>
              <w:rPr>
                <w:szCs w:val="22"/>
                <w:lang w:val="pl-PL"/>
              </w:rPr>
            </w:pPr>
            <w:r w:rsidRPr="0015541C">
              <w:rPr>
                <w:szCs w:val="22"/>
                <w:lang w:val="pl-PL"/>
              </w:rPr>
              <w:t>Współczynnik ryzyka (95% CI)</w:t>
            </w:r>
          </w:p>
        </w:tc>
        <w:tc>
          <w:tcPr>
            <w:tcW w:w="5244" w:type="dxa"/>
            <w:gridSpan w:val="2"/>
            <w:tcBorders>
              <w:top w:val="single" w:sz="4" w:space="0" w:color="auto"/>
              <w:left w:val="single" w:sz="4" w:space="0" w:color="auto"/>
              <w:bottom w:val="single" w:sz="4" w:space="0" w:color="auto"/>
              <w:right w:val="single" w:sz="4" w:space="0" w:color="auto"/>
            </w:tcBorders>
          </w:tcPr>
          <w:p w14:paraId="11F93FA8" w14:textId="77777777" w:rsidR="00A5264D" w:rsidRPr="00AC3958" w:rsidRDefault="00A5264D" w:rsidP="00C163D2">
            <w:pPr>
              <w:jc w:val="center"/>
              <w:rPr>
                <w:lang w:val="pl-PL"/>
              </w:rPr>
            </w:pPr>
            <w:r w:rsidRPr="0015541C">
              <w:rPr>
                <w:lang w:val="pl-PL"/>
              </w:rPr>
              <w:t>0,91 [0,61, 1,35]</w:t>
            </w:r>
          </w:p>
        </w:tc>
      </w:tr>
    </w:tbl>
    <w:p w14:paraId="3727719C" w14:textId="77777777" w:rsidR="00FA3484" w:rsidRPr="0070444C" w:rsidRDefault="00FA3484" w:rsidP="00D463A3">
      <w:pPr>
        <w:outlineLvl w:val="0"/>
        <w:rPr>
          <w:lang w:val="pl-PL"/>
        </w:rPr>
      </w:pPr>
    </w:p>
    <w:p w14:paraId="7F3E2F88" w14:textId="77777777" w:rsidR="00FA3484" w:rsidRPr="0015541C" w:rsidRDefault="00823623" w:rsidP="00D463A3">
      <w:pPr>
        <w:outlineLvl w:val="0"/>
        <w:rPr>
          <w:i/>
          <w:u w:val="single"/>
          <w:lang w:val="pl-PL"/>
        </w:rPr>
      </w:pPr>
      <w:r w:rsidRPr="0015541C">
        <w:rPr>
          <w:i/>
          <w:u w:val="single"/>
          <w:lang w:val="pl-PL"/>
        </w:rPr>
        <w:t>Rak szyjki macicy</w:t>
      </w:r>
    </w:p>
    <w:p w14:paraId="0FB267A6" w14:textId="77777777" w:rsidR="00FA3484" w:rsidRPr="0015541C" w:rsidRDefault="00FA3484" w:rsidP="00D463A3">
      <w:pPr>
        <w:ind w:firstLine="567"/>
        <w:outlineLvl w:val="0"/>
        <w:rPr>
          <w:lang w:val="pl-PL"/>
        </w:rPr>
      </w:pPr>
    </w:p>
    <w:p w14:paraId="4A3F0CDE" w14:textId="77777777" w:rsidR="00FA3484" w:rsidRPr="0015541C" w:rsidRDefault="00FA3484" w:rsidP="00D463A3">
      <w:pPr>
        <w:outlineLvl w:val="0"/>
        <w:rPr>
          <w:i/>
          <w:lang w:val="pl-PL"/>
        </w:rPr>
      </w:pPr>
      <w:r w:rsidRPr="0015541C">
        <w:rPr>
          <w:i/>
          <w:lang w:val="pl-PL"/>
        </w:rPr>
        <w:t>GOG-0240</w:t>
      </w:r>
    </w:p>
    <w:p w14:paraId="6FDD7803" w14:textId="77777777" w:rsidR="00FA3484" w:rsidRPr="0015541C" w:rsidRDefault="00FA3484" w:rsidP="00D463A3">
      <w:pPr>
        <w:outlineLvl w:val="0"/>
        <w:rPr>
          <w:lang w:val="pl-PL"/>
        </w:rPr>
      </w:pPr>
      <w:r w:rsidRPr="0015541C">
        <w:rPr>
          <w:lang w:val="pl-PL"/>
        </w:rPr>
        <w:t xml:space="preserve">Skuteczność i bezpieczeństwo </w:t>
      </w:r>
      <w:r w:rsidR="0043679B" w:rsidRPr="0015541C">
        <w:rPr>
          <w:lang w:val="pl-PL"/>
        </w:rPr>
        <w:t>bewacyzumab</w:t>
      </w:r>
      <w:r w:rsidRPr="0015541C">
        <w:rPr>
          <w:lang w:val="pl-PL"/>
        </w:rPr>
        <w:t xml:space="preserve">u w skojarzeniu z chemioterapią (paklitaksel </w:t>
      </w:r>
      <w:r w:rsidR="00823623" w:rsidRPr="0015541C">
        <w:rPr>
          <w:lang w:val="pl-PL"/>
        </w:rPr>
        <w:t>z</w:t>
      </w:r>
      <w:r w:rsidRPr="0015541C">
        <w:rPr>
          <w:lang w:val="pl-PL"/>
        </w:rPr>
        <w:t xml:space="preserve"> cisplatyn</w:t>
      </w:r>
      <w:r w:rsidR="00823623" w:rsidRPr="0015541C">
        <w:rPr>
          <w:lang w:val="pl-PL"/>
        </w:rPr>
        <w:t>ą</w:t>
      </w:r>
      <w:r w:rsidRPr="0015541C">
        <w:rPr>
          <w:lang w:val="pl-PL"/>
        </w:rPr>
        <w:t xml:space="preserve"> lub paklitaksel </w:t>
      </w:r>
      <w:r w:rsidR="00823623" w:rsidRPr="0015541C">
        <w:rPr>
          <w:lang w:val="pl-PL"/>
        </w:rPr>
        <w:t>z</w:t>
      </w:r>
      <w:r w:rsidRPr="0015541C">
        <w:rPr>
          <w:lang w:val="pl-PL"/>
        </w:rPr>
        <w:t xml:space="preserve"> topotekan</w:t>
      </w:r>
      <w:r w:rsidR="00823623" w:rsidRPr="0015541C">
        <w:rPr>
          <w:lang w:val="pl-PL"/>
        </w:rPr>
        <w:t>em</w:t>
      </w:r>
      <w:r w:rsidRPr="0015541C">
        <w:rPr>
          <w:lang w:val="pl-PL"/>
        </w:rPr>
        <w:t>) w leczeniu pacjentek z przetrwały</w:t>
      </w:r>
      <w:r w:rsidR="00966CDF" w:rsidRPr="0015541C">
        <w:rPr>
          <w:lang w:val="pl-PL"/>
        </w:rPr>
        <w:t>m</w:t>
      </w:r>
      <w:r w:rsidRPr="0015541C">
        <w:rPr>
          <w:lang w:val="pl-PL"/>
        </w:rPr>
        <w:t xml:space="preserve">, nawrotowym </w:t>
      </w:r>
      <w:r w:rsidR="00B05491" w:rsidRPr="0015541C">
        <w:rPr>
          <w:lang w:val="pl-PL"/>
        </w:rPr>
        <w:t>lub</w:t>
      </w:r>
      <w:r w:rsidRPr="0015541C">
        <w:rPr>
          <w:lang w:val="pl-PL"/>
        </w:rPr>
        <w:t xml:space="preserve"> przerzutowym rakiem szyjki macicy ocenian</w:t>
      </w:r>
      <w:r w:rsidR="00C03D91" w:rsidRPr="0015541C">
        <w:rPr>
          <w:lang w:val="pl-PL"/>
        </w:rPr>
        <w:t>o</w:t>
      </w:r>
      <w:r w:rsidRPr="0015541C">
        <w:rPr>
          <w:lang w:val="pl-PL"/>
        </w:rPr>
        <w:t xml:space="preserve"> w badaniu GOG-0240, randomizowanym, czteroramiennym, otwartym, wieloośrodkowym badani</w:t>
      </w:r>
      <w:r w:rsidR="00823623" w:rsidRPr="0015541C">
        <w:rPr>
          <w:lang w:val="pl-PL"/>
        </w:rPr>
        <w:t>u</w:t>
      </w:r>
      <w:r w:rsidRPr="0015541C">
        <w:rPr>
          <w:lang w:val="pl-PL"/>
        </w:rPr>
        <w:t xml:space="preserve"> fazy III.</w:t>
      </w:r>
    </w:p>
    <w:p w14:paraId="1E52035A" w14:textId="77777777" w:rsidR="00FA3484" w:rsidRPr="0015541C" w:rsidRDefault="00FA3484" w:rsidP="00D463A3">
      <w:pPr>
        <w:outlineLvl w:val="0"/>
        <w:rPr>
          <w:lang w:val="pl-PL"/>
        </w:rPr>
      </w:pPr>
    </w:p>
    <w:p w14:paraId="4B575BB3" w14:textId="77777777" w:rsidR="00FA3484" w:rsidRPr="0015541C" w:rsidRDefault="00FA3484" w:rsidP="00D463A3">
      <w:pPr>
        <w:outlineLvl w:val="0"/>
        <w:rPr>
          <w:lang w:val="pl-PL"/>
        </w:rPr>
      </w:pPr>
      <w:r w:rsidRPr="0015541C">
        <w:rPr>
          <w:lang w:val="pl-PL"/>
        </w:rPr>
        <w:t>W badaniu uczestniczyło 452 pacjentek</w:t>
      </w:r>
      <w:r w:rsidR="00AE63A2" w:rsidRPr="0015541C">
        <w:rPr>
          <w:lang w:val="pl-PL"/>
        </w:rPr>
        <w:t xml:space="preserve">, zrandomizowanych do </w:t>
      </w:r>
      <w:r w:rsidR="00966CDF" w:rsidRPr="0015541C">
        <w:rPr>
          <w:lang w:val="pl-PL"/>
        </w:rPr>
        <w:t>następujących schematów leczenia</w:t>
      </w:r>
      <w:r w:rsidR="00AE63A2" w:rsidRPr="0015541C">
        <w:rPr>
          <w:lang w:val="pl-PL"/>
        </w:rPr>
        <w:t>:</w:t>
      </w:r>
      <w:r w:rsidRPr="0015541C">
        <w:rPr>
          <w:lang w:val="pl-PL"/>
        </w:rPr>
        <w:t xml:space="preserve"> </w:t>
      </w:r>
    </w:p>
    <w:p w14:paraId="7165D138" w14:textId="77777777" w:rsidR="00FA3484" w:rsidRPr="0015541C" w:rsidRDefault="00FA3484" w:rsidP="00D463A3">
      <w:pPr>
        <w:outlineLvl w:val="0"/>
        <w:rPr>
          <w:lang w:val="pl-PL"/>
        </w:rPr>
      </w:pPr>
    </w:p>
    <w:p w14:paraId="6A184076" w14:textId="4B87E9B8" w:rsidR="00FA3484" w:rsidRPr="0015541C" w:rsidRDefault="00F95AAE" w:rsidP="00D463A3">
      <w:pPr>
        <w:outlineLvl w:val="0"/>
        <w:rPr>
          <w:lang w:val="pl-PL"/>
        </w:rPr>
      </w:pPr>
      <w:r w:rsidRPr="0070444C">
        <w:rPr>
          <w:lang w:val="pl-PL"/>
        </w:rPr>
        <w:sym w:font="Symbol" w:char="F0B7"/>
      </w:r>
      <w:r w:rsidRPr="0015541C">
        <w:rPr>
          <w:lang w:val="pl-PL"/>
        </w:rPr>
        <w:tab/>
      </w:r>
      <w:r w:rsidR="00AE63A2" w:rsidRPr="0015541C">
        <w:rPr>
          <w:lang w:val="pl-PL"/>
        </w:rPr>
        <w:t>Paklitaksel</w:t>
      </w:r>
      <w:r w:rsidR="00FA3484" w:rsidRPr="0015541C">
        <w:rPr>
          <w:lang w:val="pl-PL"/>
        </w:rPr>
        <w:t xml:space="preserve"> 135</w:t>
      </w:r>
      <w:r w:rsidR="004F2D49" w:rsidRPr="00AC3958">
        <w:rPr>
          <w:lang w:val="pl-PL"/>
        </w:rPr>
        <w:t> </w:t>
      </w:r>
      <w:r w:rsidR="00FA3484" w:rsidRPr="00260CEC">
        <w:rPr>
          <w:lang w:val="pl-PL"/>
        </w:rPr>
        <w:t>mg/m</w:t>
      </w:r>
      <w:r w:rsidR="00FA3484" w:rsidRPr="00260CEC">
        <w:rPr>
          <w:vertAlign w:val="superscript"/>
          <w:lang w:val="pl-PL"/>
        </w:rPr>
        <w:t>2</w:t>
      </w:r>
      <w:r w:rsidR="00FA3484" w:rsidRPr="0015541C">
        <w:rPr>
          <w:lang w:val="pl-PL"/>
        </w:rPr>
        <w:t xml:space="preserve"> </w:t>
      </w:r>
      <w:r w:rsidR="00AE63A2" w:rsidRPr="0015541C">
        <w:rPr>
          <w:lang w:val="pl-PL"/>
        </w:rPr>
        <w:t>w postaci 24-godzinnego wlewu dożylnego w dniu 1 i ci</w:t>
      </w:r>
      <w:r w:rsidR="00B05491" w:rsidRPr="0015541C">
        <w:rPr>
          <w:lang w:val="pl-PL"/>
        </w:rPr>
        <w:t>s</w:t>
      </w:r>
      <w:r w:rsidR="00AE63A2" w:rsidRPr="0015541C">
        <w:rPr>
          <w:lang w:val="pl-PL"/>
        </w:rPr>
        <w:t>platyn</w:t>
      </w:r>
      <w:r w:rsidR="00B05491" w:rsidRPr="0015541C">
        <w:rPr>
          <w:lang w:val="pl-PL"/>
        </w:rPr>
        <w:t>a</w:t>
      </w:r>
      <w:r w:rsidR="00AE63A2" w:rsidRPr="0015541C">
        <w:rPr>
          <w:lang w:val="pl-PL"/>
        </w:rPr>
        <w:t xml:space="preserve"> </w:t>
      </w:r>
      <w:r w:rsidRPr="0015541C">
        <w:rPr>
          <w:lang w:val="pl-PL"/>
        </w:rPr>
        <w:tab/>
      </w:r>
      <w:r w:rsidR="00FA3484" w:rsidRPr="0015541C">
        <w:rPr>
          <w:lang w:val="pl-PL"/>
        </w:rPr>
        <w:t>50</w:t>
      </w:r>
      <w:r w:rsidR="004F2D49" w:rsidRPr="0015541C">
        <w:rPr>
          <w:lang w:val="pl-PL"/>
        </w:rPr>
        <w:t> </w:t>
      </w:r>
      <w:r w:rsidR="00FA3484" w:rsidRPr="0015541C">
        <w:rPr>
          <w:lang w:val="pl-PL"/>
        </w:rPr>
        <w:t>mg/m</w:t>
      </w:r>
      <w:r w:rsidR="00FA3484" w:rsidRPr="0015541C">
        <w:rPr>
          <w:vertAlign w:val="superscript"/>
          <w:lang w:val="pl-PL"/>
        </w:rPr>
        <w:t>2</w:t>
      </w:r>
      <w:r w:rsidR="00FA3484" w:rsidRPr="0015541C">
        <w:rPr>
          <w:lang w:val="pl-PL"/>
        </w:rPr>
        <w:t xml:space="preserve"> </w:t>
      </w:r>
      <w:r w:rsidR="00AE63A2" w:rsidRPr="0015541C">
        <w:rPr>
          <w:lang w:val="pl-PL"/>
        </w:rPr>
        <w:t xml:space="preserve">w postaci wlewu dożylnego w dniu 2, co 3 tygodnie </w:t>
      </w:r>
      <w:r w:rsidR="00FA3484" w:rsidRPr="0015541C">
        <w:rPr>
          <w:lang w:val="pl-PL"/>
        </w:rPr>
        <w:t xml:space="preserve">(q3w); </w:t>
      </w:r>
      <w:r w:rsidR="00AE63A2" w:rsidRPr="0015541C">
        <w:rPr>
          <w:lang w:val="pl-PL"/>
        </w:rPr>
        <w:t>lub</w:t>
      </w:r>
    </w:p>
    <w:p w14:paraId="3F6DD718" w14:textId="734BC73F" w:rsidR="00FA3484" w:rsidRPr="0015541C" w:rsidRDefault="00AE63A2" w:rsidP="00D463A3">
      <w:pPr>
        <w:ind w:left="567"/>
        <w:outlineLvl w:val="0"/>
        <w:rPr>
          <w:lang w:val="pl-PL"/>
        </w:rPr>
      </w:pPr>
      <w:r w:rsidRPr="0015541C">
        <w:rPr>
          <w:lang w:val="pl-PL"/>
        </w:rPr>
        <w:t>Paklitaksel</w:t>
      </w:r>
      <w:r w:rsidR="00FA3484" w:rsidRPr="0015541C">
        <w:rPr>
          <w:lang w:val="pl-PL"/>
        </w:rPr>
        <w:t xml:space="preserve"> 175</w:t>
      </w:r>
      <w:r w:rsidR="004F2D49" w:rsidRPr="0015541C">
        <w:rPr>
          <w:lang w:val="pl-PL"/>
        </w:rPr>
        <w:t> </w:t>
      </w:r>
      <w:r w:rsidR="00FA3484" w:rsidRPr="0015541C">
        <w:rPr>
          <w:lang w:val="pl-PL"/>
        </w:rPr>
        <w:t>mg/m</w:t>
      </w:r>
      <w:r w:rsidR="00FA3484" w:rsidRPr="0015541C">
        <w:rPr>
          <w:vertAlign w:val="superscript"/>
          <w:lang w:val="pl-PL"/>
        </w:rPr>
        <w:t>2</w:t>
      </w:r>
      <w:r w:rsidR="00FA3484" w:rsidRPr="0015541C">
        <w:rPr>
          <w:lang w:val="pl-PL"/>
        </w:rPr>
        <w:t xml:space="preserve"> </w:t>
      </w:r>
      <w:r w:rsidRPr="0015541C">
        <w:rPr>
          <w:lang w:val="pl-PL"/>
        </w:rPr>
        <w:t>w postaci 3-godzinnego wlewu dożylnego w dniu 1 i ci</w:t>
      </w:r>
      <w:r w:rsidR="00B05491" w:rsidRPr="0015541C">
        <w:rPr>
          <w:lang w:val="pl-PL"/>
        </w:rPr>
        <w:t>s</w:t>
      </w:r>
      <w:r w:rsidRPr="0015541C">
        <w:rPr>
          <w:lang w:val="pl-PL"/>
        </w:rPr>
        <w:t>platyn</w:t>
      </w:r>
      <w:r w:rsidR="00B05491" w:rsidRPr="0015541C">
        <w:rPr>
          <w:lang w:val="pl-PL"/>
        </w:rPr>
        <w:t>a</w:t>
      </w:r>
      <w:r w:rsidRPr="0015541C">
        <w:rPr>
          <w:lang w:val="pl-PL"/>
        </w:rPr>
        <w:t xml:space="preserve"> 50</w:t>
      </w:r>
      <w:r w:rsidR="004F2D49" w:rsidRPr="0015541C">
        <w:rPr>
          <w:lang w:val="pl-PL"/>
        </w:rPr>
        <w:t> </w:t>
      </w:r>
      <w:r w:rsidRPr="0015541C">
        <w:rPr>
          <w:lang w:val="pl-PL"/>
        </w:rPr>
        <w:t>mg/m</w:t>
      </w:r>
      <w:r w:rsidRPr="0015541C">
        <w:rPr>
          <w:vertAlign w:val="superscript"/>
          <w:lang w:val="pl-PL"/>
        </w:rPr>
        <w:t>2</w:t>
      </w:r>
      <w:r w:rsidR="00A16C6F" w:rsidRPr="0015541C">
        <w:rPr>
          <w:rFonts w:eastAsia="PMingLiU"/>
          <w:lang w:val="pl-PL" w:eastAsia="zh-CN"/>
        </w:rPr>
        <w:t>.</w:t>
      </w:r>
      <w:r w:rsidRPr="0015541C">
        <w:rPr>
          <w:lang w:val="pl-PL"/>
        </w:rPr>
        <w:t xml:space="preserve"> w postaci wlewu dożylnego w dniu</w:t>
      </w:r>
      <w:r w:rsidR="00823623" w:rsidRPr="0015541C">
        <w:rPr>
          <w:lang w:val="pl-PL"/>
        </w:rPr>
        <w:t xml:space="preserve"> </w:t>
      </w:r>
      <w:r w:rsidRPr="0015541C">
        <w:rPr>
          <w:lang w:val="pl-PL"/>
        </w:rPr>
        <w:t>2</w:t>
      </w:r>
      <w:r w:rsidR="00FA3484" w:rsidRPr="0015541C">
        <w:rPr>
          <w:lang w:val="pl-PL"/>
        </w:rPr>
        <w:t xml:space="preserve"> (q3w); </w:t>
      </w:r>
      <w:r w:rsidRPr="0015541C">
        <w:rPr>
          <w:lang w:val="pl-PL"/>
        </w:rPr>
        <w:t>lub</w:t>
      </w:r>
    </w:p>
    <w:p w14:paraId="73E18098" w14:textId="353CF493" w:rsidR="00FA3484" w:rsidRPr="0015541C" w:rsidRDefault="00FA3484" w:rsidP="00D463A3">
      <w:pPr>
        <w:ind w:left="567"/>
        <w:outlineLvl w:val="0"/>
        <w:rPr>
          <w:lang w:val="pl-PL"/>
        </w:rPr>
      </w:pPr>
      <w:r w:rsidRPr="0015541C">
        <w:rPr>
          <w:lang w:val="pl-PL"/>
        </w:rPr>
        <w:t>Pa</w:t>
      </w:r>
      <w:r w:rsidR="00B05491" w:rsidRPr="0015541C">
        <w:rPr>
          <w:lang w:val="pl-PL"/>
        </w:rPr>
        <w:t>k</w:t>
      </w:r>
      <w:r w:rsidRPr="0015541C">
        <w:rPr>
          <w:lang w:val="pl-PL"/>
        </w:rPr>
        <w:t>lita</w:t>
      </w:r>
      <w:r w:rsidR="00823623" w:rsidRPr="0015541C">
        <w:rPr>
          <w:lang w:val="pl-PL"/>
        </w:rPr>
        <w:t>ks</w:t>
      </w:r>
      <w:r w:rsidRPr="0015541C">
        <w:rPr>
          <w:lang w:val="pl-PL"/>
        </w:rPr>
        <w:t>el 175</w:t>
      </w:r>
      <w:r w:rsidR="004F2D49" w:rsidRPr="0015541C">
        <w:rPr>
          <w:lang w:val="pl-PL"/>
        </w:rPr>
        <w:t> </w:t>
      </w:r>
      <w:r w:rsidRPr="0015541C">
        <w:rPr>
          <w:lang w:val="pl-PL"/>
        </w:rPr>
        <w:t>mg/m</w:t>
      </w:r>
      <w:r w:rsidRPr="0015541C">
        <w:rPr>
          <w:vertAlign w:val="superscript"/>
          <w:lang w:val="pl-PL"/>
        </w:rPr>
        <w:t>2</w:t>
      </w:r>
      <w:r w:rsidRPr="0015541C">
        <w:rPr>
          <w:lang w:val="pl-PL"/>
        </w:rPr>
        <w:t xml:space="preserve"> </w:t>
      </w:r>
      <w:r w:rsidR="00AE63A2" w:rsidRPr="0015541C">
        <w:rPr>
          <w:lang w:val="pl-PL"/>
        </w:rPr>
        <w:t>w postaci 3-godzinnego wlewu dożylnego w dniu 1 i ci</w:t>
      </w:r>
      <w:r w:rsidR="00B05491" w:rsidRPr="0015541C">
        <w:rPr>
          <w:lang w:val="pl-PL"/>
        </w:rPr>
        <w:t>s</w:t>
      </w:r>
      <w:r w:rsidR="00AE63A2" w:rsidRPr="0015541C">
        <w:rPr>
          <w:lang w:val="pl-PL"/>
        </w:rPr>
        <w:t>platyn</w:t>
      </w:r>
      <w:r w:rsidR="00B05491" w:rsidRPr="0015541C">
        <w:rPr>
          <w:lang w:val="pl-PL"/>
        </w:rPr>
        <w:t>a</w:t>
      </w:r>
      <w:r w:rsidR="00AE63A2" w:rsidRPr="0015541C">
        <w:rPr>
          <w:lang w:val="pl-PL"/>
        </w:rPr>
        <w:t xml:space="preserve"> 50</w:t>
      </w:r>
      <w:r w:rsidR="004F2D49" w:rsidRPr="0015541C">
        <w:rPr>
          <w:lang w:val="pl-PL"/>
        </w:rPr>
        <w:t> </w:t>
      </w:r>
      <w:r w:rsidR="00AE63A2" w:rsidRPr="0015541C">
        <w:rPr>
          <w:lang w:val="pl-PL"/>
        </w:rPr>
        <w:t>mg/m</w:t>
      </w:r>
      <w:r w:rsidR="00AE63A2" w:rsidRPr="0015541C">
        <w:rPr>
          <w:vertAlign w:val="superscript"/>
          <w:lang w:val="pl-PL"/>
        </w:rPr>
        <w:t>2</w:t>
      </w:r>
      <w:r w:rsidR="00AE63A2" w:rsidRPr="0015541C">
        <w:rPr>
          <w:lang w:val="pl-PL"/>
        </w:rPr>
        <w:t xml:space="preserve"> w postaci wlewu dożylnego w dniu </w:t>
      </w:r>
      <w:r w:rsidRPr="0015541C">
        <w:rPr>
          <w:lang w:val="pl-PL"/>
        </w:rPr>
        <w:t>1 (q3w)</w:t>
      </w:r>
    </w:p>
    <w:p w14:paraId="2D0F2EFF" w14:textId="77777777" w:rsidR="00FA3484" w:rsidRPr="0015541C" w:rsidRDefault="00FA3484" w:rsidP="00D463A3">
      <w:pPr>
        <w:ind w:left="567"/>
        <w:outlineLvl w:val="0"/>
        <w:rPr>
          <w:lang w:val="pl-PL"/>
        </w:rPr>
      </w:pPr>
    </w:p>
    <w:p w14:paraId="3A8AB624" w14:textId="19239219" w:rsidR="00FA3484" w:rsidRPr="0015541C" w:rsidRDefault="00F95AAE" w:rsidP="002652DF">
      <w:pPr>
        <w:ind w:left="567" w:hanging="567"/>
        <w:outlineLvl w:val="0"/>
        <w:rPr>
          <w:lang w:val="pl-PL"/>
        </w:rPr>
      </w:pPr>
      <w:r w:rsidRPr="0070444C">
        <w:rPr>
          <w:lang w:val="pl-PL"/>
        </w:rPr>
        <w:sym w:font="Symbol" w:char="F0B7"/>
      </w:r>
      <w:r w:rsidRPr="0015541C">
        <w:rPr>
          <w:lang w:val="pl-PL"/>
        </w:rPr>
        <w:tab/>
      </w:r>
      <w:r w:rsidR="00FA3484" w:rsidRPr="0015541C">
        <w:rPr>
          <w:lang w:val="pl-PL"/>
        </w:rPr>
        <w:t>Pa</w:t>
      </w:r>
      <w:r w:rsidR="00AE63A2" w:rsidRPr="0015541C">
        <w:rPr>
          <w:lang w:val="pl-PL"/>
        </w:rPr>
        <w:t>klitaksel</w:t>
      </w:r>
      <w:r w:rsidR="00FA3484" w:rsidRPr="00AC3958">
        <w:rPr>
          <w:lang w:val="pl-PL"/>
        </w:rPr>
        <w:t xml:space="preserve"> 135</w:t>
      </w:r>
      <w:r w:rsidR="004F2D49" w:rsidRPr="00260CEC">
        <w:rPr>
          <w:lang w:val="pl-PL"/>
        </w:rPr>
        <w:t> </w:t>
      </w:r>
      <w:r w:rsidR="00FA3484" w:rsidRPr="00260CEC">
        <w:rPr>
          <w:lang w:val="pl-PL"/>
        </w:rPr>
        <w:t>mg/m</w:t>
      </w:r>
      <w:r w:rsidR="00FA3484" w:rsidRPr="0015541C">
        <w:rPr>
          <w:vertAlign w:val="superscript"/>
          <w:lang w:val="pl-PL"/>
        </w:rPr>
        <w:t>2</w:t>
      </w:r>
      <w:r w:rsidR="00A16C6F" w:rsidRPr="0015541C">
        <w:rPr>
          <w:rFonts w:eastAsia="PMingLiU"/>
          <w:lang w:val="pl-PL" w:eastAsia="zh-CN"/>
        </w:rPr>
        <w:t xml:space="preserve"> </w:t>
      </w:r>
      <w:r w:rsidR="00AE63A2" w:rsidRPr="0015541C">
        <w:rPr>
          <w:lang w:val="pl-PL"/>
        </w:rPr>
        <w:t>w postaci 24-godzinnego wlewu dożylnego w dniu 1 i ci</w:t>
      </w:r>
      <w:r w:rsidR="00B05491" w:rsidRPr="0015541C">
        <w:rPr>
          <w:lang w:val="pl-PL"/>
        </w:rPr>
        <w:t>s</w:t>
      </w:r>
      <w:r w:rsidR="00AE63A2" w:rsidRPr="0015541C">
        <w:rPr>
          <w:lang w:val="pl-PL"/>
        </w:rPr>
        <w:t>platyn</w:t>
      </w:r>
      <w:r w:rsidR="00B05491" w:rsidRPr="0015541C">
        <w:rPr>
          <w:lang w:val="pl-PL"/>
        </w:rPr>
        <w:t>a</w:t>
      </w:r>
      <w:r w:rsidR="00AE63A2" w:rsidRPr="0015541C">
        <w:rPr>
          <w:lang w:val="pl-PL"/>
        </w:rPr>
        <w:t xml:space="preserve"> 50</w:t>
      </w:r>
      <w:r w:rsidR="004F2D49" w:rsidRPr="0015541C">
        <w:rPr>
          <w:lang w:val="pl-PL"/>
        </w:rPr>
        <w:t> </w:t>
      </w:r>
      <w:r w:rsidR="00AE63A2" w:rsidRPr="0015541C">
        <w:rPr>
          <w:lang w:val="pl-PL"/>
        </w:rPr>
        <w:t>mg/m</w:t>
      </w:r>
      <w:r w:rsidR="00AE63A2" w:rsidRPr="0015541C">
        <w:rPr>
          <w:vertAlign w:val="superscript"/>
          <w:lang w:val="pl-PL"/>
        </w:rPr>
        <w:t>2</w:t>
      </w:r>
      <w:r w:rsidR="00A16C6F" w:rsidRPr="0015541C">
        <w:rPr>
          <w:rFonts w:eastAsia="PMingLiU"/>
          <w:lang w:val="pl-PL" w:eastAsia="zh-CN"/>
        </w:rPr>
        <w:t xml:space="preserve"> </w:t>
      </w:r>
      <w:r w:rsidR="00AE63A2" w:rsidRPr="0015541C">
        <w:rPr>
          <w:lang w:val="pl-PL"/>
        </w:rPr>
        <w:t>w postaci wlewu dożylnego w dniu 2</w:t>
      </w:r>
      <w:r w:rsidR="00FA3484" w:rsidRPr="0015541C">
        <w:rPr>
          <w:lang w:val="pl-PL"/>
        </w:rPr>
        <w:t xml:space="preserve"> </w:t>
      </w:r>
      <w:r w:rsidR="00AE63A2" w:rsidRPr="0015541C">
        <w:rPr>
          <w:lang w:val="pl-PL"/>
        </w:rPr>
        <w:t>oraz bewacyzumab</w:t>
      </w:r>
      <w:r w:rsidR="00FA3484" w:rsidRPr="0015541C">
        <w:rPr>
          <w:lang w:val="pl-PL"/>
        </w:rPr>
        <w:t xml:space="preserve"> 15</w:t>
      </w:r>
      <w:r w:rsidR="004F2D49" w:rsidRPr="0015541C">
        <w:rPr>
          <w:lang w:val="pl-PL"/>
        </w:rPr>
        <w:t> </w:t>
      </w:r>
      <w:r w:rsidR="00FA3484" w:rsidRPr="0015541C">
        <w:rPr>
          <w:lang w:val="pl-PL"/>
        </w:rPr>
        <w:t>mg/kg</w:t>
      </w:r>
      <w:r w:rsidR="00EC0944" w:rsidRPr="0015541C">
        <w:rPr>
          <w:lang w:val="pl-PL"/>
        </w:rPr>
        <w:t xml:space="preserve"> </w:t>
      </w:r>
      <w:r w:rsidR="00AE63A2" w:rsidRPr="0015541C">
        <w:rPr>
          <w:lang w:val="pl-PL"/>
        </w:rPr>
        <w:t>w postaci wlewu dożylnego w dniu 2</w:t>
      </w:r>
      <w:r w:rsidR="00FA3484" w:rsidRPr="0015541C">
        <w:rPr>
          <w:lang w:val="pl-PL"/>
        </w:rPr>
        <w:t xml:space="preserve"> (q3w); </w:t>
      </w:r>
      <w:r w:rsidR="00AE63A2" w:rsidRPr="0015541C">
        <w:rPr>
          <w:lang w:val="pl-PL"/>
        </w:rPr>
        <w:t>lub</w:t>
      </w:r>
      <w:r w:rsidR="00FA3484" w:rsidRPr="0015541C">
        <w:rPr>
          <w:lang w:val="pl-PL"/>
        </w:rPr>
        <w:t xml:space="preserve"> </w:t>
      </w:r>
    </w:p>
    <w:p w14:paraId="767A642F" w14:textId="64DA1442" w:rsidR="00FA3484" w:rsidRPr="0015541C" w:rsidRDefault="00AE63A2" w:rsidP="00D463A3">
      <w:pPr>
        <w:ind w:left="567"/>
        <w:outlineLvl w:val="0"/>
        <w:rPr>
          <w:lang w:val="pl-PL"/>
        </w:rPr>
      </w:pPr>
      <w:r w:rsidRPr="0015541C">
        <w:rPr>
          <w:lang w:val="pl-PL"/>
        </w:rPr>
        <w:t>Paklitaksel</w:t>
      </w:r>
      <w:r w:rsidR="00FA3484" w:rsidRPr="0015541C">
        <w:rPr>
          <w:lang w:val="pl-PL"/>
        </w:rPr>
        <w:t xml:space="preserve"> 175</w:t>
      </w:r>
      <w:r w:rsidR="004F2D49" w:rsidRPr="0015541C">
        <w:rPr>
          <w:lang w:val="pl-PL"/>
        </w:rPr>
        <w:t> </w:t>
      </w:r>
      <w:r w:rsidR="00FA3484" w:rsidRPr="0015541C">
        <w:rPr>
          <w:lang w:val="pl-PL"/>
        </w:rPr>
        <w:t>mg/m</w:t>
      </w:r>
      <w:r w:rsidR="00FA3484" w:rsidRPr="0015541C">
        <w:rPr>
          <w:vertAlign w:val="superscript"/>
          <w:lang w:val="pl-PL"/>
        </w:rPr>
        <w:t>2</w:t>
      </w:r>
      <w:r w:rsidR="00A16C6F" w:rsidRPr="0015541C">
        <w:rPr>
          <w:rFonts w:eastAsia="PMingLiU"/>
          <w:lang w:val="pl-PL" w:eastAsia="zh-CN"/>
        </w:rPr>
        <w:t xml:space="preserve"> </w:t>
      </w:r>
      <w:r w:rsidRPr="0015541C">
        <w:rPr>
          <w:lang w:val="pl-PL"/>
        </w:rPr>
        <w:t>w postaci 3-godzinnego wlewu dożylnego w dniu 1 i ci</w:t>
      </w:r>
      <w:r w:rsidR="00B05491" w:rsidRPr="0015541C">
        <w:rPr>
          <w:lang w:val="pl-PL"/>
        </w:rPr>
        <w:t>s</w:t>
      </w:r>
      <w:r w:rsidRPr="0015541C">
        <w:rPr>
          <w:lang w:val="pl-PL"/>
        </w:rPr>
        <w:t>platyn</w:t>
      </w:r>
      <w:r w:rsidR="00B05491" w:rsidRPr="0015541C">
        <w:rPr>
          <w:lang w:val="pl-PL"/>
        </w:rPr>
        <w:t>a</w:t>
      </w:r>
      <w:r w:rsidRPr="0015541C">
        <w:rPr>
          <w:lang w:val="pl-PL"/>
        </w:rPr>
        <w:t xml:space="preserve"> 50</w:t>
      </w:r>
      <w:r w:rsidR="004F2D49" w:rsidRPr="0015541C">
        <w:rPr>
          <w:lang w:val="pl-PL"/>
        </w:rPr>
        <w:t> </w:t>
      </w:r>
      <w:r w:rsidRPr="0015541C">
        <w:rPr>
          <w:lang w:val="pl-PL"/>
        </w:rPr>
        <w:t>mg/m</w:t>
      </w:r>
      <w:r w:rsidRPr="0015541C">
        <w:rPr>
          <w:vertAlign w:val="superscript"/>
          <w:lang w:val="pl-PL"/>
        </w:rPr>
        <w:t>2</w:t>
      </w:r>
      <w:r w:rsidR="00A16C6F" w:rsidRPr="0015541C">
        <w:rPr>
          <w:rFonts w:eastAsia="PMingLiU"/>
          <w:lang w:val="pl-PL" w:eastAsia="zh-CN"/>
        </w:rPr>
        <w:t xml:space="preserve"> </w:t>
      </w:r>
      <w:r w:rsidRPr="0015541C">
        <w:rPr>
          <w:lang w:val="pl-PL"/>
        </w:rPr>
        <w:t xml:space="preserve">w postaci wlewu dożylnego w dniu </w:t>
      </w:r>
      <w:r w:rsidR="00FA3484" w:rsidRPr="0015541C">
        <w:rPr>
          <w:lang w:val="pl-PL"/>
        </w:rPr>
        <w:t xml:space="preserve">2 </w:t>
      </w:r>
      <w:r w:rsidR="00823623" w:rsidRPr="0015541C">
        <w:rPr>
          <w:lang w:val="pl-PL"/>
        </w:rPr>
        <w:t>oraz bewacyzumab 15</w:t>
      </w:r>
      <w:r w:rsidR="004F2D49" w:rsidRPr="0015541C">
        <w:rPr>
          <w:lang w:val="pl-PL"/>
        </w:rPr>
        <w:t> </w:t>
      </w:r>
      <w:r w:rsidR="00823623" w:rsidRPr="0015541C">
        <w:rPr>
          <w:lang w:val="pl-PL"/>
        </w:rPr>
        <w:t>mg/kg</w:t>
      </w:r>
      <w:r w:rsidR="00530D13" w:rsidRPr="0015541C">
        <w:rPr>
          <w:lang w:val="pl-PL"/>
        </w:rPr>
        <w:t xml:space="preserve"> </w:t>
      </w:r>
      <w:r w:rsidR="00823623" w:rsidRPr="0015541C">
        <w:rPr>
          <w:lang w:val="pl-PL"/>
        </w:rPr>
        <w:t>w postaci wlewu dożylnego w dniu 2 (q3w); lub</w:t>
      </w:r>
      <w:r w:rsidR="00FA3484" w:rsidRPr="0015541C">
        <w:rPr>
          <w:lang w:val="pl-PL"/>
        </w:rPr>
        <w:t xml:space="preserve"> </w:t>
      </w:r>
    </w:p>
    <w:p w14:paraId="5062487F" w14:textId="5BFD88EA" w:rsidR="00FA3484" w:rsidRPr="0015541C" w:rsidRDefault="00AE63A2" w:rsidP="00D463A3">
      <w:pPr>
        <w:ind w:left="567"/>
        <w:outlineLvl w:val="0"/>
        <w:rPr>
          <w:lang w:val="pl-PL"/>
        </w:rPr>
      </w:pPr>
      <w:r w:rsidRPr="0015541C">
        <w:rPr>
          <w:lang w:val="pl-PL"/>
        </w:rPr>
        <w:t>Paklitaksel</w:t>
      </w:r>
      <w:r w:rsidR="00FA3484" w:rsidRPr="0015541C">
        <w:rPr>
          <w:lang w:val="pl-PL"/>
        </w:rPr>
        <w:t xml:space="preserve"> 175</w:t>
      </w:r>
      <w:r w:rsidR="004F2D49" w:rsidRPr="0015541C">
        <w:rPr>
          <w:lang w:val="pl-PL"/>
        </w:rPr>
        <w:t> </w:t>
      </w:r>
      <w:r w:rsidR="00FA3484" w:rsidRPr="0015541C">
        <w:rPr>
          <w:lang w:val="pl-PL"/>
        </w:rPr>
        <w:t>mg/m</w:t>
      </w:r>
      <w:r w:rsidR="00FA3484" w:rsidRPr="0015541C">
        <w:rPr>
          <w:vertAlign w:val="superscript"/>
          <w:lang w:val="pl-PL"/>
        </w:rPr>
        <w:t>2</w:t>
      </w:r>
      <w:r w:rsidR="00A16C6F" w:rsidRPr="0015541C">
        <w:rPr>
          <w:rFonts w:eastAsia="PMingLiU"/>
          <w:lang w:val="pl-PL" w:eastAsia="zh-CN"/>
        </w:rPr>
        <w:t xml:space="preserve"> </w:t>
      </w:r>
      <w:r w:rsidRPr="0015541C">
        <w:rPr>
          <w:lang w:val="pl-PL"/>
        </w:rPr>
        <w:t>w postaci 3-godzinnego wlewu dożylnego w dniu 1 i ci</w:t>
      </w:r>
      <w:r w:rsidR="00B05491" w:rsidRPr="0015541C">
        <w:rPr>
          <w:lang w:val="pl-PL"/>
        </w:rPr>
        <w:t>s</w:t>
      </w:r>
      <w:r w:rsidRPr="0015541C">
        <w:rPr>
          <w:lang w:val="pl-PL"/>
        </w:rPr>
        <w:t>platyn</w:t>
      </w:r>
      <w:r w:rsidR="00B05491" w:rsidRPr="0015541C">
        <w:rPr>
          <w:lang w:val="pl-PL"/>
        </w:rPr>
        <w:t>a</w:t>
      </w:r>
      <w:r w:rsidRPr="0015541C">
        <w:rPr>
          <w:lang w:val="pl-PL"/>
        </w:rPr>
        <w:t xml:space="preserve"> 50</w:t>
      </w:r>
      <w:r w:rsidR="004F2D49" w:rsidRPr="0015541C">
        <w:rPr>
          <w:lang w:val="pl-PL"/>
        </w:rPr>
        <w:t> </w:t>
      </w:r>
      <w:r w:rsidRPr="0015541C">
        <w:rPr>
          <w:lang w:val="pl-PL"/>
        </w:rPr>
        <w:t>mg/m</w:t>
      </w:r>
      <w:r w:rsidRPr="0015541C">
        <w:rPr>
          <w:vertAlign w:val="superscript"/>
          <w:lang w:val="pl-PL"/>
        </w:rPr>
        <w:t>2</w:t>
      </w:r>
      <w:r w:rsidR="00A16C6F" w:rsidRPr="0015541C">
        <w:rPr>
          <w:rFonts w:eastAsia="PMingLiU"/>
          <w:lang w:val="pl-PL" w:eastAsia="zh-CN"/>
        </w:rPr>
        <w:t xml:space="preserve"> </w:t>
      </w:r>
      <w:r w:rsidRPr="0015541C">
        <w:rPr>
          <w:lang w:val="pl-PL"/>
        </w:rPr>
        <w:t>w postaci wlewu dożylnego w dniu 1</w:t>
      </w:r>
      <w:r w:rsidR="00FA3484" w:rsidRPr="0015541C">
        <w:rPr>
          <w:lang w:val="pl-PL"/>
        </w:rPr>
        <w:t xml:space="preserve"> </w:t>
      </w:r>
      <w:r w:rsidRPr="0015541C">
        <w:rPr>
          <w:lang w:val="pl-PL"/>
        </w:rPr>
        <w:t>oraz bewacyzumab</w:t>
      </w:r>
      <w:r w:rsidR="00FA3484" w:rsidRPr="0015541C">
        <w:rPr>
          <w:lang w:val="pl-PL"/>
        </w:rPr>
        <w:t xml:space="preserve"> 15</w:t>
      </w:r>
      <w:r w:rsidR="004F2D49" w:rsidRPr="0015541C">
        <w:rPr>
          <w:lang w:val="pl-PL"/>
        </w:rPr>
        <w:t> </w:t>
      </w:r>
      <w:r w:rsidR="00FA3484" w:rsidRPr="0015541C">
        <w:rPr>
          <w:lang w:val="pl-PL"/>
        </w:rPr>
        <w:t>mg/kg</w:t>
      </w:r>
      <w:r w:rsidR="00530D13" w:rsidRPr="0015541C">
        <w:rPr>
          <w:lang w:val="pl-PL"/>
        </w:rPr>
        <w:t xml:space="preserve"> </w:t>
      </w:r>
      <w:r w:rsidRPr="0015541C">
        <w:rPr>
          <w:lang w:val="pl-PL"/>
        </w:rPr>
        <w:t>w postaci wle</w:t>
      </w:r>
      <w:r w:rsidR="00823623" w:rsidRPr="0015541C">
        <w:rPr>
          <w:lang w:val="pl-PL"/>
        </w:rPr>
        <w:t>w</w:t>
      </w:r>
      <w:r w:rsidRPr="0015541C">
        <w:rPr>
          <w:lang w:val="pl-PL"/>
        </w:rPr>
        <w:t>u dożylnego w dniu</w:t>
      </w:r>
      <w:r w:rsidR="00FA3484" w:rsidRPr="0015541C">
        <w:rPr>
          <w:lang w:val="pl-PL"/>
        </w:rPr>
        <w:t xml:space="preserve"> 1 (q3w)</w:t>
      </w:r>
    </w:p>
    <w:p w14:paraId="65841FDA" w14:textId="77777777" w:rsidR="00FA3484" w:rsidRPr="0015541C" w:rsidRDefault="00FA3484" w:rsidP="00D463A3">
      <w:pPr>
        <w:ind w:left="567"/>
        <w:outlineLvl w:val="0"/>
        <w:rPr>
          <w:lang w:val="pl-PL"/>
        </w:rPr>
      </w:pPr>
    </w:p>
    <w:p w14:paraId="18C6E7BB" w14:textId="5747A38D" w:rsidR="00FA3484" w:rsidRPr="0015541C" w:rsidRDefault="00F95AAE" w:rsidP="00D463A3">
      <w:pPr>
        <w:outlineLvl w:val="0"/>
        <w:rPr>
          <w:lang w:val="pl-PL"/>
        </w:rPr>
      </w:pPr>
      <w:r w:rsidRPr="0070444C">
        <w:rPr>
          <w:lang w:val="pl-PL"/>
        </w:rPr>
        <w:sym w:font="Symbol" w:char="F0B7"/>
      </w:r>
      <w:r w:rsidRPr="0015541C">
        <w:rPr>
          <w:lang w:val="pl-PL"/>
        </w:rPr>
        <w:tab/>
      </w:r>
      <w:r w:rsidR="00AE63A2" w:rsidRPr="0015541C">
        <w:rPr>
          <w:lang w:val="pl-PL"/>
        </w:rPr>
        <w:t>Paklitaksel</w:t>
      </w:r>
      <w:r w:rsidR="00FA3484" w:rsidRPr="0015541C">
        <w:rPr>
          <w:lang w:val="pl-PL"/>
        </w:rPr>
        <w:t xml:space="preserve"> 175</w:t>
      </w:r>
      <w:r w:rsidR="004F2D49" w:rsidRPr="00AC3958">
        <w:rPr>
          <w:lang w:val="pl-PL"/>
        </w:rPr>
        <w:t> </w:t>
      </w:r>
      <w:r w:rsidR="00FA3484" w:rsidRPr="00260CEC">
        <w:rPr>
          <w:lang w:val="pl-PL"/>
        </w:rPr>
        <w:t>mg/m</w:t>
      </w:r>
      <w:r w:rsidR="00FA3484" w:rsidRPr="00260CEC">
        <w:rPr>
          <w:vertAlign w:val="superscript"/>
          <w:lang w:val="pl-PL"/>
        </w:rPr>
        <w:t>2</w:t>
      </w:r>
      <w:r w:rsidR="00A16C6F" w:rsidRPr="0015541C">
        <w:rPr>
          <w:rFonts w:eastAsia="PMingLiU"/>
          <w:lang w:val="pl-PL" w:eastAsia="zh-CN"/>
        </w:rPr>
        <w:t xml:space="preserve"> </w:t>
      </w:r>
      <w:r w:rsidR="00AE63A2" w:rsidRPr="0015541C">
        <w:rPr>
          <w:lang w:val="pl-PL"/>
        </w:rPr>
        <w:t xml:space="preserve">w postaci 3-godzinnego wlewu dożylnego w dniu 1 i topotekan </w:t>
      </w:r>
      <w:r w:rsidRPr="0015541C">
        <w:rPr>
          <w:lang w:val="pl-PL"/>
        </w:rPr>
        <w:tab/>
      </w:r>
      <w:r w:rsidR="00FA3484" w:rsidRPr="0015541C">
        <w:rPr>
          <w:lang w:val="pl-PL"/>
        </w:rPr>
        <w:t>0</w:t>
      </w:r>
      <w:r w:rsidR="007426EF" w:rsidRPr="0015541C">
        <w:rPr>
          <w:lang w:val="pl-PL"/>
        </w:rPr>
        <w:t>,</w:t>
      </w:r>
      <w:r w:rsidR="00FA3484" w:rsidRPr="0015541C">
        <w:rPr>
          <w:lang w:val="pl-PL"/>
        </w:rPr>
        <w:t>75</w:t>
      </w:r>
      <w:r w:rsidR="004F2D49" w:rsidRPr="0015541C">
        <w:rPr>
          <w:lang w:val="pl-PL"/>
        </w:rPr>
        <w:t> </w:t>
      </w:r>
      <w:r w:rsidR="00FA3484" w:rsidRPr="0015541C">
        <w:rPr>
          <w:lang w:val="pl-PL"/>
        </w:rPr>
        <w:t>mg/m</w:t>
      </w:r>
      <w:r w:rsidR="00FA3484" w:rsidRPr="0015541C">
        <w:rPr>
          <w:vertAlign w:val="superscript"/>
          <w:lang w:val="pl-PL"/>
        </w:rPr>
        <w:t>2</w:t>
      </w:r>
      <w:r w:rsidR="00A16C6F" w:rsidRPr="0015541C">
        <w:rPr>
          <w:rFonts w:eastAsia="PMingLiU"/>
          <w:lang w:val="pl-PL" w:eastAsia="zh-CN"/>
        </w:rPr>
        <w:t xml:space="preserve"> </w:t>
      </w:r>
      <w:r w:rsidR="00AE63A2" w:rsidRPr="0015541C">
        <w:rPr>
          <w:lang w:val="pl-PL"/>
        </w:rPr>
        <w:t>w postaci 30-minutowego wlewu dożylnego w dniu 1</w:t>
      </w:r>
      <w:r w:rsidR="00FA3484" w:rsidRPr="0015541C">
        <w:rPr>
          <w:lang w:val="pl-PL"/>
        </w:rPr>
        <w:t>-3 (q3w)</w:t>
      </w:r>
    </w:p>
    <w:p w14:paraId="21B4BC3D" w14:textId="77777777" w:rsidR="00FA3484" w:rsidRPr="0015541C" w:rsidRDefault="00FA3484" w:rsidP="00D463A3">
      <w:pPr>
        <w:ind w:left="567"/>
        <w:outlineLvl w:val="0"/>
        <w:rPr>
          <w:lang w:val="pl-PL"/>
        </w:rPr>
      </w:pPr>
    </w:p>
    <w:p w14:paraId="2DA638B1" w14:textId="0C6BD46E" w:rsidR="00FA3484" w:rsidRPr="0015541C" w:rsidRDefault="00F95AAE" w:rsidP="00D463A3">
      <w:pPr>
        <w:outlineLvl w:val="0"/>
        <w:rPr>
          <w:lang w:val="pl-PL"/>
        </w:rPr>
      </w:pPr>
      <w:r w:rsidRPr="0070444C">
        <w:rPr>
          <w:lang w:val="pl-PL"/>
        </w:rPr>
        <w:sym w:font="Symbol" w:char="F0B7"/>
      </w:r>
      <w:r w:rsidRPr="0015541C">
        <w:rPr>
          <w:lang w:val="pl-PL"/>
        </w:rPr>
        <w:tab/>
      </w:r>
      <w:r w:rsidR="00AE63A2" w:rsidRPr="0015541C">
        <w:rPr>
          <w:lang w:val="pl-PL"/>
        </w:rPr>
        <w:t>Paklitaksel</w:t>
      </w:r>
      <w:r w:rsidR="00FA3484" w:rsidRPr="0015541C">
        <w:rPr>
          <w:lang w:val="pl-PL"/>
        </w:rPr>
        <w:t xml:space="preserve"> 175</w:t>
      </w:r>
      <w:r w:rsidR="004F2D49" w:rsidRPr="00AC3958">
        <w:rPr>
          <w:lang w:val="pl-PL"/>
        </w:rPr>
        <w:t> </w:t>
      </w:r>
      <w:r w:rsidR="00FA3484" w:rsidRPr="00260CEC">
        <w:rPr>
          <w:lang w:val="pl-PL"/>
        </w:rPr>
        <w:t>mg/m</w:t>
      </w:r>
      <w:r w:rsidR="00FA3484" w:rsidRPr="00260CEC">
        <w:rPr>
          <w:vertAlign w:val="superscript"/>
          <w:lang w:val="pl-PL"/>
        </w:rPr>
        <w:t>2</w:t>
      </w:r>
      <w:r w:rsidR="00A16C6F" w:rsidRPr="0015541C">
        <w:rPr>
          <w:rFonts w:eastAsia="PMingLiU"/>
          <w:lang w:val="pl-PL" w:eastAsia="zh-CN"/>
        </w:rPr>
        <w:t xml:space="preserve"> </w:t>
      </w:r>
      <w:r w:rsidR="00AE63A2" w:rsidRPr="0015541C">
        <w:rPr>
          <w:lang w:val="pl-PL"/>
        </w:rPr>
        <w:t xml:space="preserve">w postaci 3-godzinnego wlewu dożylnego w dniu 1 i topotekan </w:t>
      </w:r>
      <w:r w:rsidRPr="0015541C">
        <w:rPr>
          <w:lang w:val="pl-PL"/>
        </w:rPr>
        <w:tab/>
      </w:r>
      <w:r w:rsidR="00AE63A2" w:rsidRPr="0015541C">
        <w:rPr>
          <w:lang w:val="pl-PL"/>
        </w:rPr>
        <w:t>0</w:t>
      </w:r>
      <w:r w:rsidR="007426EF" w:rsidRPr="0015541C">
        <w:rPr>
          <w:lang w:val="pl-PL"/>
        </w:rPr>
        <w:t>,</w:t>
      </w:r>
      <w:r w:rsidR="00AE63A2" w:rsidRPr="0015541C">
        <w:rPr>
          <w:lang w:val="pl-PL"/>
        </w:rPr>
        <w:t>75</w:t>
      </w:r>
      <w:r w:rsidR="004F2D49" w:rsidRPr="0015541C">
        <w:rPr>
          <w:lang w:val="pl-PL"/>
        </w:rPr>
        <w:t> </w:t>
      </w:r>
      <w:r w:rsidR="00AE63A2" w:rsidRPr="0015541C">
        <w:rPr>
          <w:lang w:val="pl-PL"/>
        </w:rPr>
        <w:t>mg/m</w:t>
      </w:r>
      <w:r w:rsidR="00AE63A2" w:rsidRPr="0015541C">
        <w:rPr>
          <w:vertAlign w:val="superscript"/>
          <w:lang w:val="pl-PL"/>
        </w:rPr>
        <w:t>2</w:t>
      </w:r>
      <w:r w:rsidR="00A16C6F" w:rsidRPr="0015541C">
        <w:rPr>
          <w:rFonts w:eastAsia="PMingLiU"/>
          <w:lang w:val="pl-PL" w:eastAsia="zh-CN"/>
        </w:rPr>
        <w:t xml:space="preserve"> </w:t>
      </w:r>
      <w:r w:rsidR="00AE63A2" w:rsidRPr="0015541C">
        <w:rPr>
          <w:lang w:val="pl-PL"/>
        </w:rPr>
        <w:t>w postaci 30-minutowego wlewu dożylnego w dniu</w:t>
      </w:r>
      <w:r w:rsidR="00FA3484" w:rsidRPr="0015541C">
        <w:rPr>
          <w:lang w:val="pl-PL"/>
        </w:rPr>
        <w:t xml:space="preserve"> 1-3 </w:t>
      </w:r>
      <w:r w:rsidR="00AE63A2" w:rsidRPr="0015541C">
        <w:rPr>
          <w:lang w:val="pl-PL"/>
        </w:rPr>
        <w:t>oraz bewacyzumab</w:t>
      </w:r>
      <w:r w:rsidR="00FA3484" w:rsidRPr="0015541C">
        <w:rPr>
          <w:lang w:val="pl-PL"/>
        </w:rPr>
        <w:t xml:space="preserve"> </w:t>
      </w:r>
      <w:r w:rsidRPr="0015541C">
        <w:rPr>
          <w:lang w:val="pl-PL"/>
        </w:rPr>
        <w:tab/>
      </w:r>
      <w:r w:rsidR="00FA3484" w:rsidRPr="0015541C">
        <w:rPr>
          <w:lang w:val="pl-PL"/>
        </w:rPr>
        <w:t>15</w:t>
      </w:r>
      <w:r w:rsidR="004F2D49" w:rsidRPr="0015541C">
        <w:rPr>
          <w:lang w:val="pl-PL"/>
        </w:rPr>
        <w:t> </w:t>
      </w:r>
      <w:r w:rsidR="00FA3484" w:rsidRPr="0015541C">
        <w:rPr>
          <w:lang w:val="pl-PL"/>
        </w:rPr>
        <w:t>mg/kg</w:t>
      </w:r>
      <w:r w:rsidR="007426EF" w:rsidRPr="0015541C">
        <w:rPr>
          <w:lang w:val="pl-PL"/>
        </w:rPr>
        <w:t xml:space="preserve"> </w:t>
      </w:r>
      <w:r w:rsidR="00AE63A2" w:rsidRPr="0015541C">
        <w:rPr>
          <w:lang w:val="pl-PL"/>
        </w:rPr>
        <w:t xml:space="preserve">w postaci wlewu dożylnego w dniu 1 </w:t>
      </w:r>
      <w:r w:rsidR="00FA3484" w:rsidRPr="0015541C">
        <w:rPr>
          <w:lang w:val="pl-PL"/>
        </w:rPr>
        <w:t>(q3w)</w:t>
      </w:r>
    </w:p>
    <w:p w14:paraId="5CD9B18B" w14:textId="77777777" w:rsidR="00AE63A2" w:rsidRPr="0015541C" w:rsidRDefault="00AE63A2" w:rsidP="00D463A3">
      <w:pPr>
        <w:outlineLvl w:val="0"/>
        <w:rPr>
          <w:lang w:val="pl-PL"/>
        </w:rPr>
      </w:pPr>
    </w:p>
    <w:p w14:paraId="267D1A22" w14:textId="44A36FAB" w:rsidR="00FA3484" w:rsidRPr="0015541C" w:rsidRDefault="00D74C42" w:rsidP="00D463A3">
      <w:pPr>
        <w:outlineLvl w:val="0"/>
        <w:rPr>
          <w:color w:val="000000"/>
          <w:lang w:val="pl-PL"/>
        </w:rPr>
      </w:pPr>
      <w:r w:rsidRPr="0015541C">
        <w:rPr>
          <w:lang w:val="pl-PL"/>
        </w:rPr>
        <w:t>Kryterium włączenia do badania był</w:t>
      </w:r>
      <w:r w:rsidR="0000582D" w:rsidRPr="0015541C">
        <w:rPr>
          <w:lang w:val="pl-PL"/>
        </w:rPr>
        <w:t xml:space="preserve"> </w:t>
      </w:r>
      <w:r w:rsidR="00DE2E77" w:rsidRPr="0015541C">
        <w:rPr>
          <w:lang w:val="pl-PL"/>
        </w:rPr>
        <w:t>przetrwał</w:t>
      </w:r>
      <w:r w:rsidRPr="0015541C">
        <w:rPr>
          <w:lang w:val="pl-PL"/>
        </w:rPr>
        <w:t>y</w:t>
      </w:r>
      <w:r w:rsidR="00DE2E77" w:rsidRPr="0015541C">
        <w:rPr>
          <w:lang w:val="pl-PL"/>
        </w:rPr>
        <w:t>, nawrotow</w:t>
      </w:r>
      <w:r w:rsidRPr="0015541C">
        <w:rPr>
          <w:lang w:val="pl-PL"/>
        </w:rPr>
        <w:t>y</w:t>
      </w:r>
      <w:r w:rsidR="00DE2E77" w:rsidRPr="0015541C">
        <w:rPr>
          <w:lang w:val="pl-PL"/>
        </w:rPr>
        <w:t xml:space="preserve"> </w:t>
      </w:r>
      <w:r w:rsidR="00BD19A2" w:rsidRPr="0015541C">
        <w:rPr>
          <w:lang w:val="pl-PL"/>
        </w:rPr>
        <w:t>lub</w:t>
      </w:r>
      <w:r w:rsidR="00DE2E77" w:rsidRPr="0015541C">
        <w:rPr>
          <w:lang w:val="pl-PL"/>
        </w:rPr>
        <w:t xml:space="preserve"> </w:t>
      </w:r>
      <w:r w:rsidR="00260CEC" w:rsidRPr="0015541C">
        <w:rPr>
          <w:lang w:val="pl-PL"/>
        </w:rPr>
        <w:t>przerzutowy</w:t>
      </w:r>
      <w:r w:rsidR="00260CEC">
        <w:rPr>
          <w:lang w:val="pl-PL"/>
        </w:rPr>
        <w:t xml:space="preserve"> </w:t>
      </w:r>
      <w:r w:rsidR="00260CEC" w:rsidRPr="00260CEC">
        <w:rPr>
          <w:lang w:val="pl-PL"/>
        </w:rPr>
        <w:t>rak</w:t>
      </w:r>
      <w:r w:rsidR="00D627B8" w:rsidRPr="00260CEC">
        <w:rPr>
          <w:lang w:val="pl-PL"/>
        </w:rPr>
        <w:t xml:space="preserve"> szyjki macicy</w:t>
      </w:r>
      <w:r w:rsidR="00966CDF" w:rsidRPr="00260CEC">
        <w:rPr>
          <w:lang w:val="pl-PL"/>
        </w:rPr>
        <w:t>:</w:t>
      </w:r>
      <w:r w:rsidR="00D627B8" w:rsidRPr="00260CEC">
        <w:rPr>
          <w:lang w:val="pl-PL"/>
        </w:rPr>
        <w:t xml:space="preserve"> płaskonabłonkowy, gruczołow</w:t>
      </w:r>
      <w:r w:rsidR="00BD19A2" w:rsidRPr="0015541C">
        <w:rPr>
          <w:lang w:val="pl-PL"/>
        </w:rPr>
        <w:t>o-pł</w:t>
      </w:r>
      <w:r w:rsidR="00B05491" w:rsidRPr="0015541C">
        <w:rPr>
          <w:lang w:val="pl-PL"/>
        </w:rPr>
        <w:t>a</w:t>
      </w:r>
      <w:r w:rsidR="00BD19A2" w:rsidRPr="0015541C">
        <w:rPr>
          <w:lang w:val="pl-PL"/>
        </w:rPr>
        <w:t>skonabłonkowy</w:t>
      </w:r>
      <w:r w:rsidR="00D627B8" w:rsidRPr="0015541C">
        <w:rPr>
          <w:lang w:val="pl-PL"/>
        </w:rPr>
        <w:t xml:space="preserve"> lub gruczolakorak,</w:t>
      </w:r>
      <w:r w:rsidR="00FA3484" w:rsidRPr="0015541C">
        <w:rPr>
          <w:lang w:val="pl-PL"/>
        </w:rPr>
        <w:t xml:space="preserve"> </w:t>
      </w:r>
      <w:r w:rsidR="00D627B8" w:rsidRPr="0015541C">
        <w:rPr>
          <w:lang w:val="pl-PL"/>
        </w:rPr>
        <w:t xml:space="preserve">który nie </w:t>
      </w:r>
      <w:r w:rsidR="00966CDF" w:rsidRPr="0015541C">
        <w:rPr>
          <w:lang w:val="pl-PL"/>
        </w:rPr>
        <w:t>kwalifikował się</w:t>
      </w:r>
      <w:r w:rsidR="00064871" w:rsidRPr="0015541C">
        <w:rPr>
          <w:lang w:val="pl-PL"/>
        </w:rPr>
        <w:t xml:space="preserve"> </w:t>
      </w:r>
      <w:r w:rsidR="00966CDF" w:rsidRPr="0015541C">
        <w:rPr>
          <w:lang w:val="pl-PL"/>
        </w:rPr>
        <w:t xml:space="preserve">do </w:t>
      </w:r>
      <w:r w:rsidR="00D627B8" w:rsidRPr="0015541C">
        <w:rPr>
          <w:lang w:val="pl-PL"/>
        </w:rPr>
        <w:t>leczen</w:t>
      </w:r>
      <w:r w:rsidR="00BD19A2" w:rsidRPr="0015541C">
        <w:rPr>
          <w:lang w:val="pl-PL"/>
        </w:rPr>
        <w:t>i</w:t>
      </w:r>
      <w:r w:rsidR="00966CDF" w:rsidRPr="0015541C">
        <w:rPr>
          <w:lang w:val="pl-PL"/>
        </w:rPr>
        <w:t>a</w:t>
      </w:r>
      <w:r w:rsidR="00D627B8" w:rsidRPr="0015541C">
        <w:rPr>
          <w:lang w:val="pl-PL"/>
        </w:rPr>
        <w:t xml:space="preserve"> operacyjne</w:t>
      </w:r>
      <w:r w:rsidR="00966CDF" w:rsidRPr="0015541C">
        <w:rPr>
          <w:lang w:val="pl-PL"/>
        </w:rPr>
        <w:t>go</w:t>
      </w:r>
      <w:r w:rsidR="00D627B8" w:rsidRPr="0015541C">
        <w:rPr>
          <w:lang w:val="pl-PL"/>
        </w:rPr>
        <w:t xml:space="preserve"> i</w:t>
      </w:r>
      <w:r w:rsidR="004D6DFB" w:rsidRPr="0015541C">
        <w:rPr>
          <w:lang w:val="pl-PL"/>
        </w:rPr>
        <w:t xml:space="preserve"> (</w:t>
      </w:r>
      <w:r w:rsidR="00D627B8" w:rsidRPr="0015541C">
        <w:rPr>
          <w:lang w:val="pl-PL"/>
        </w:rPr>
        <w:t>lub</w:t>
      </w:r>
      <w:r w:rsidR="004D6DFB" w:rsidRPr="0015541C">
        <w:rPr>
          <w:lang w:val="pl-PL"/>
        </w:rPr>
        <w:t>)</w:t>
      </w:r>
      <w:r w:rsidR="00D627B8" w:rsidRPr="0015541C">
        <w:rPr>
          <w:lang w:val="pl-PL"/>
        </w:rPr>
        <w:t xml:space="preserve"> radioterapii</w:t>
      </w:r>
      <w:r w:rsidR="00966CDF" w:rsidRPr="0015541C">
        <w:rPr>
          <w:lang w:val="pl-PL"/>
        </w:rPr>
        <w:t>. Do badania kwalifikowały się chore,</w:t>
      </w:r>
      <w:r w:rsidR="0000582D" w:rsidRPr="0015541C">
        <w:rPr>
          <w:lang w:val="pl-PL"/>
        </w:rPr>
        <w:t xml:space="preserve"> które</w:t>
      </w:r>
      <w:r w:rsidR="00DE2E77" w:rsidRPr="0015541C">
        <w:rPr>
          <w:lang w:val="pl-PL"/>
        </w:rPr>
        <w:t xml:space="preserve"> nie były wcześniej leczone bewacyzumabem </w:t>
      </w:r>
      <w:r w:rsidR="00AF323D" w:rsidRPr="0015541C">
        <w:rPr>
          <w:lang w:val="pl-PL"/>
        </w:rPr>
        <w:t>ani innym inhibitorem VEGF lub lekiem działającym na receptor VEGF</w:t>
      </w:r>
      <w:r w:rsidR="00FA3484" w:rsidRPr="0015541C">
        <w:rPr>
          <w:color w:val="000000"/>
          <w:lang w:val="pl-PL"/>
        </w:rPr>
        <w:t>.</w:t>
      </w:r>
    </w:p>
    <w:p w14:paraId="28604EC3" w14:textId="77777777" w:rsidR="00BD19A2" w:rsidRPr="0015541C" w:rsidRDefault="00BD19A2" w:rsidP="00D463A3">
      <w:pPr>
        <w:outlineLvl w:val="0"/>
        <w:rPr>
          <w:color w:val="000000"/>
          <w:lang w:val="pl-PL"/>
        </w:rPr>
      </w:pPr>
    </w:p>
    <w:p w14:paraId="11BA6277" w14:textId="4932DF0B" w:rsidR="00FA3484" w:rsidRPr="0070444C" w:rsidRDefault="00D627B8" w:rsidP="00D463A3">
      <w:pPr>
        <w:outlineLvl w:val="0"/>
        <w:rPr>
          <w:lang w:val="pl-PL"/>
        </w:rPr>
      </w:pPr>
      <w:r w:rsidRPr="0015541C">
        <w:rPr>
          <w:szCs w:val="22"/>
          <w:lang w:val="pl-PL"/>
        </w:rPr>
        <w:t>Mediana wieku wynosiła</w:t>
      </w:r>
      <w:r w:rsidR="00FA3484" w:rsidRPr="0015541C">
        <w:rPr>
          <w:szCs w:val="22"/>
          <w:lang w:val="pl-PL"/>
        </w:rPr>
        <w:t xml:space="preserve"> 46</w:t>
      </w:r>
      <w:r w:rsidR="004D6DFB" w:rsidRPr="0015541C">
        <w:rPr>
          <w:szCs w:val="22"/>
          <w:lang w:val="pl-PL"/>
        </w:rPr>
        <w:t>,</w:t>
      </w:r>
      <w:r w:rsidR="00FA3484" w:rsidRPr="0015541C">
        <w:rPr>
          <w:szCs w:val="22"/>
          <w:lang w:val="pl-PL"/>
        </w:rPr>
        <w:t xml:space="preserve">0 </w:t>
      </w:r>
      <w:r w:rsidRPr="0015541C">
        <w:rPr>
          <w:szCs w:val="22"/>
          <w:lang w:val="pl-PL"/>
        </w:rPr>
        <w:t>lat</w:t>
      </w:r>
      <w:r w:rsidR="00FA3484" w:rsidRPr="0015541C">
        <w:rPr>
          <w:szCs w:val="22"/>
          <w:lang w:val="pl-PL"/>
        </w:rPr>
        <w:t xml:space="preserve"> (</w:t>
      </w:r>
      <w:r w:rsidR="00E77C17" w:rsidRPr="0015541C">
        <w:rPr>
          <w:szCs w:val="22"/>
          <w:lang w:val="pl-PL"/>
        </w:rPr>
        <w:t>zakres</w:t>
      </w:r>
      <w:r w:rsidR="00FA3484" w:rsidRPr="0015541C">
        <w:rPr>
          <w:szCs w:val="22"/>
          <w:lang w:val="pl-PL"/>
        </w:rPr>
        <w:t>: 20</w:t>
      </w:r>
      <w:r w:rsidR="00FA3484" w:rsidRPr="0070444C">
        <w:rPr>
          <w:lang w:val="pl-PL"/>
        </w:rPr>
        <w:sym w:font="Symbol" w:char="F02D"/>
      </w:r>
      <w:r w:rsidR="00FA3484" w:rsidRPr="0015541C">
        <w:rPr>
          <w:szCs w:val="22"/>
          <w:lang w:val="pl-PL"/>
        </w:rPr>
        <w:t xml:space="preserve">83) </w:t>
      </w:r>
      <w:r w:rsidRPr="0015541C">
        <w:rPr>
          <w:szCs w:val="22"/>
          <w:lang w:val="pl-PL"/>
        </w:rPr>
        <w:t xml:space="preserve">w grupie leczonej </w:t>
      </w:r>
      <w:r w:rsidR="00BD19A2" w:rsidRPr="0015541C">
        <w:rPr>
          <w:szCs w:val="22"/>
          <w:lang w:val="pl-PL"/>
        </w:rPr>
        <w:t xml:space="preserve">samą </w:t>
      </w:r>
      <w:r w:rsidRPr="00AC3958">
        <w:rPr>
          <w:szCs w:val="22"/>
          <w:lang w:val="pl-PL"/>
        </w:rPr>
        <w:t>chemioterapią i</w:t>
      </w:r>
      <w:r w:rsidR="00FA3484" w:rsidRPr="00260CEC">
        <w:rPr>
          <w:szCs w:val="22"/>
          <w:lang w:val="pl-PL"/>
        </w:rPr>
        <w:t xml:space="preserve"> 48</w:t>
      </w:r>
      <w:r w:rsidR="004D6DFB" w:rsidRPr="00260CEC">
        <w:rPr>
          <w:szCs w:val="22"/>
          <w:lang w:val="pl-PL"/>
        </w:rPr>
        <w:t>,</w:t>
      </w:r>
      <w:r w:rsidR="00FA3484" w:rsidRPr="00260CEC">
        <w:rPr>
          <w:szCs w:val="22"/>
          <w:lang w:val="pl-PL"/>
        </w:rPr>
        <w:t>0 </w:t>
      </w:r>
      <w:r w:rsidRPr="00260CEC">
        <w:rPr>
          <w:szCs w:val="22"/>
          <w:lang w:val="pl-PL"/>
        </w:rPr>
        <w:t>lat</w:t>
      </w:r>
      <w:r w:rsidR="00FA3484" w:rsidRPr="00260CEC">
        <w:rPr>
          <w:szCs w:val="22"/>
          <w:lang w:val="pl-PL"/>
        </w:rPr>
        <w:t xml:space="preserve"> </w:t>
      </w:r>
      <w:r w:rsidR="00E77C17" w:rsidRPr="00260CEC">
        <w:rPr>
          <w:szCs w:val="22"/>
          <w:lang w:val="pl-PL"/>
        </w:rPr>
        <w:t>(zakres</w:t>
      </w:r>
      <w:r w:rsidR="00FA3484" w:rsidRPr="00260CEC">
        <w:rPr>
          <w:szCs w:val="22"/>
          <w:lang w:val="pl-PL"/>
        </w:rPr>
        <w:t>: 22</w:t>
      </w:r>
      <w:r w:rsidR="00FA3484" w:rsidRPr="0070444C">
        <w:rPr>
          <w:lang w:val="pl-PL"/>
        </w:rPr>
        <w:sym w:font="Symbol" w:char="F02D"/>
      </w:r>
      <w:r w:rsidR="00FA3484" w:rsidRPr="0015541C">
        <w:rPr>
          <w:szCs w:val="22"/>
          <w:lang w:val="pl-PL"/>
        </w:rPr>
        <w:t xml:space="preserve">85) </w:t>
      </w:r>
      <w:r w:rsidRPr="0015541C">
        <w:rPr>
          <w:szCs w:val="22"/>
          <w:lang w:val="pl-PL"/>
        </w:rPr>
        <w:t>w grupie leczonej chemiotarapią</w:t>
      </w:r>
      <w:r w:rsidR="00BD19A2" w:rsidRPr="0015541C">
        <w:rPr>
          <w:szCs w:val="22"/>
          <w:lang w:val="pl-PL"/>
        </w:rPr>
        <w:t>+</w:t>
      </w:r>
      <w:r w:rsidR="002306BC" w:rsidRPr="00AC3958">
        <w:rPr>
          <w:szCs w:val="22"/>
          <w:lang w:val="pl-PL"/>
        </w:rPr>
        <w:t>bewacyzumab</w:t>
      </w:r>
      <w:r w:rsidR="00050FA4" w:rsidRPr="00260CEC">
        <w:rPr>
          <w:szCs w:val="22"/>
          <w:lang w:val="pl-PL"/>
        </w:rPr>
        <w:t>em</w:t>
      </w:r>
      <w:r w:rsidR="00FA3484" w:rsidRPr="00260CEC">
        <w:rPr>
          <w:szCs w:val="22"/>
          <w:lang w:val="pl-PL"/>
        </w:rPr>
        <w:t>; 9</w:t>
      </w:r>
      <w:r w:rsidR="004D6DFB" w:rsidRPr="00260CEC">
        <w:rPr>
          <w:szCs w:val="22"/>
          <w:lang w:val="pl-PL"/>
        </w:rPr>
        <w:t>,</w:t>
      </w:r>
      <w:r w:rsidR="00FA3484" w:rsidRPr="00260CEC">
        <w:rPr>
          <w:szCs w:val="22"/>
          <w:lang w:val="pl-PL"/>
        </w:rPr>
        <w:t xml:space="preserve">3% </w:t>
      </w:r>
      <w:r w:rsidRPr="00260CEC">
        <w:rPr>
          <w:szCs w:val="22"/>
          <w:lang w:val="pl-PL"/>
        </w:rPr>
        <w:t xml:space="preserve">pacjentek otrzymujących </w:t>
      </w:r>
      <w:r w:rsidR="00BD19A2" w:rsidRPr="0015541C">
        <w:rPr>
          <w:szCs w:val="22"/>
          <w:lang w:val="pl-PL"/>
        </w:rPr>
        <w:t>samą</w:t>
      </w:r>
      <w:r w:rsidRPr="0015541C">
        <w:rPr>
          <w:szCs w:val="22"/>
          <w:lang w:val="pl-PL"/>
        </w:rPr>
        <w:t xml:space="preserve"> chemioterapię i</w:t>
      </w:r>
      <w:r w:rsidR="00FA3484" w:rsidRPr="0015541C">
        <w:rPr>
          <w:szCs w:val="22"/>
          <w:lang w:val="pl-PL"/>
        </w:rPr>
        <w:t xml:space="preserve"> 7</w:t>
      </w:r>
      <w:r w:rsidR="004D6DFB" w:rsidRPr="0015541C">
        <w:rPr>
          <w:szCs w:val="22"/>
          <w:lang w:val="pl-PL"/>
        </w:rPr>
        <w:t>,</w:t>
      </w:r>
      <w:r w:rsidR="00FA3484" w:rsidRPr="0015541C">
        <w:rPr>
          <w:szCs w:val="22"/>
          <w:lang w:val="pl-PL"/>
        </w:rPr>
        <w:t xml:space="preserve">5% </w:t>
      </w:r>
      <w:r w:rsidRPr="0015541C">
        <w:rPr>
          <w:szCs w:val="22"/>
          <w:lang w:val="pl-PL"/>
        </w:rPr>
        <w:t>pacjentek otrzymujących chemioterapię</w:t>
      </w:r>
      <w:r w:rsidR="00FA3484" w:rsidRPr="0015541C">
        <w:rPr>
          <w:szCs w:val="22"/>
          <w:lang w:val="pl-PL"/>
        </w:rPr>
        <w:t>+</w:t>
      </w:r>
      <w:r w:rsidR="002306BC" w:rsidRPr="0015541C">
        <w:rPr>
          <w:szCs w:val="22"/>
          <w:lang w:val="pl-PL"/>
        </w:rPr>
        <w:t>bewacyzumab</w:t>
      </w:r>
      <w:r w:rsidR="00FA3484" w:rsidRPr="0015541C">
        <w:rPr>
          <w:szCs w:val="22"/>
          <w:lang w:val="pl-PL"/>
        </w:rPr>
        <w:t xml:space="preserve"> </w:t>
      </w:r>
      <w:r w:rsidRPr="0015541C">
        <w:rPr>
          <w:szCs w:val="22"/>
          <w:lang w:val="pl-PL"/>
        </w:rPr>
        <w:t>było w wieku powyżej</w:t>
      </w:r>
      <w:r w:rsidR="00FA3484" w:rsidRPr="0015541C">
        <w:rPr>
          <w:szCs w:val="22"/>
          <w:lang w:val="pl-PL"/>
        </w:rPr>
        <w:t xml:space="preserve"> 65 </w:t>
      </w:r>
      <w:r w:rsidRPr="0015541C">
        <w:rPr>
          <w:szCs w:val="22"/>
          <w:lang w:val="pl-PL"/>
        </w:rPr>
        <w:t>lat</w:t>
      </w:r>
      <w:r w:rsidR="00FA3484" w:rsidRPr="0015541C">
        <w:rPr>
          <w:szCs w:val="22"/>
          <w:lang w:val="pl-PL"/>
        </w:rPr>
        <w:t>.</w:t>
      </w:r>
    </w:p>
    <w:p w14:paraId="3660179E" w14:textId="77777777" w:rsidR="002306BC" w:rsidRPr="0015541C" w:rsidRDefault="002306BC" w:rsidP="00D463A3">
      <w:pPr>
        <w:outlineLvl w:val="0"/>
        <w:rPr>
          <w:color w:val="000000"/>
          <w:lang w:val="pl-PL"/>
        </w:rPr>
      </w:pPr>
    </w:p>
    <w:p w14:paraId="1F76DE91" w14:textId="3FA39185" w:rsidR="00FA3484" w:rsidRPr="0015541C" w:rsidRDefault="00762F95" w:rsidP="00D463A3">
      <w:pPr>
        <w:outlineLvl w:val="0"/>
        <w:rPr>
          <w:szCs w:val="22"/>
          <w:lang w:val="pl-PL"/>
        </w:rPr>
      </w:pPr>
      <w:r w:rsidRPr="0015541C">
        <w:rPr>
          <w:szCs w:val="22"/>
          <w:lang w:val="pl-PL"/>
        </w:rPr>
        <w:t>Z</w:t>
      </w:r>
      <w:r w:rsidR="00FA3484" w:rsidRPr="0015541C">
        <w:rPr>
          <w:szCs w:val="22"/>
          <w:lang w:val="pl-PL"/>
        </w:rPr>
        <w:t xml:space="preserve"> 452 </w:t>
      </w:r>
      <w:r w:rsidRPr="0015541C">
        <w:rPr>
          <w:szCs w:val="22"/>
          <w:lang w:val="pl-PL"/>
        </w:rPr>
        <w:t>pacjentek zrandomizowanych w chwili rozpoczęcia badania</w:t>
      </w:r>
      <w:r w:rsidR="00FA3484" w:rsidRPr="0015541C">
        <w:rPr>
          <w:szCs w:val="22"/>
          <w:lang w:val="pl-PL"/>
        </w:rPr>
        <w:t xml:space="preserve">, </w:t>
      </w:r>
      <w:r w:rsidRPr="0015541C">
        <w:rPr>
          <w:szCs w:val="22"/>
          <w:lang w:val="pl-PL"/>
        </w:rPr>
        <w:t xml:space="preserve">większość pacjentek była </w:t>
      </w:r>
      <w:r w:rsidR="00E77C17" w:rsidRPr="0015541C">
        <w:rPr>
          <w:szCs w:val="22"/>
          <w:lang w:val="pl-PL"/>
        </w:rPr>
        <w:t xml:space="preserve">rasy </w:t>
      </w:r>
      <w:r w:rsidRPr="0015541C">
        <w:rPr>
          <w:szCs w:val="22"/>
          <w:lang w:val="pl-PL"/>
        </w:rPr>
        <w:t>biał</w:t>
      </w:r>
      <w:r w:rsidR="00E77C17" w:rsidRPr="0015541C">
        <w:rPr>
          <w:szCs w:val="22"/>
          <w:lang w:val="pl-PL"/>
        </w:rPr>
        <w:t>ej</w:t>
      </w:r>
      <w:r w:rsidR="00FA3484" w:rsidRPr="0015541C">
        <w:rPr>
          <w:szCs w:val="22"/>
          <w:lang w:val="pl-PL"/>
        </w:rPr>
        <w:t xml:space="preserve"> (80</w:t>
      </w:r>
      <w:r w:rsidR="004D6DFB" w:rsidRPr="0015541C">
        <w:rPr>
          <w:szCs w:val="22"/>
          <w:lang w:val="pl-PL"/>
        </w:rPr>
        <w:t>,</w:t>
      </w:r>
      <w:r w:rsidR="00FA3484" w:rsidRPr="0015541C">
        <w:rPr>
          <w:szCs w:val="22"/>
          <w:lang w:val="pl-PL"/>
        </w:rPr>
        <w:t xml:space="preserve">0% </w:t>
      </w:r>
      <w:r w:rsidRPr="0015541C">
        <w:rPr>
          <w:szCs w:val="22"/>
          <w:lang w:val="pl-PL"/>
        </w:rPr>
        <w:t>w grupie otrzymującej samą chemioterapię i</w:t>
      </w:r>
      <w:r w:rsidR="00FA3484" w:rsidRPr="0015541C">
        <w:rPr>
          <w:szCs w:val="22"/>
          <w:lang w:val="pl-PL"/>
        </w:rPr>
        <w:t xml:space="preserve"> 75</w:t>
      </w:r>
      <w:r w:rsidR="004D6DFB" w:rsidRPr="0015541C">
        <w:rPr>
          <w:szCs w:val="22"/>
          <w:lang w:val="pl-PL"/>
        </w:rPr>
        <w:t>,</w:t>
      </w:r>
      <w:r w:rsidR="00FA3484" w:rsidRPr="0015541C">
        <w:rPr>
          <w:szCs w:val="22"/>
          <w:lang w:val="pl-PL"/>
        </w:rPr>
        <w:t xml:space="preserve">3% </w:t>
      </w:r>
      <w:r w:rsidRPr="0015541C">
        <w:rPr>
          <w:szCs w:val="22"/>
          <w:lang w:val="pl-PL"/>
        </w:rPr>
        <w:t>w grupie otrzymującej chemioterapię+</w:t>
      </w:r>
      <w:r w:rsidR="002306BC" w:rsidRPr="0015541C">
        <w:rPr>
          <w:szCs w:val="22"/>
          <w:lang w:val="pl-PL"/>
        </w:rPr>
        <w:t>bewacyzumab</w:t>
      </w:r>
      <w:r w:rsidR="00FA3484" w:rsidRPr="0015541C">
        <w:rPr>
          <w:szCs w:val="22"/>
          <w:lang w:val="pl-PL"/>
        </w:rPr>
        <w:t xml:space="preserve">), </w:t>
      </w:r>
      <w:r w:rsidRPr="0015541C">
        <w:rPr>
          <w:szCs w:val="22"/>
          <w:lang w:val="pl-PL"/>
        </w:rPr>
        <w:t xml:space="preserve">miała </w:t>
      </w:r>
      <w:r w:rsidR="00E77C17" w:rsidRPr="0015541C">
        <w:rPr>
          <w:szCs w:val="22"/>
          <w:lang w:val="pl-PL"/>
        </w:rPr>
        <w:t xml:space="preserve">rozpoznanego </w:t>
      </w:r>
      <w:r w:rsidRPr="0015541C">
        <w:rPr>
          <w:szCs w:val="22"/>
          <w:lang w:val="pl-PL"/>
        </w:rPr>
        <w:t>raka płaskonabłonkowego</w:t>
      </w:r>
      <w:r w:rsidR="00FA3484" w:rsidRPr="0015541C">
        <w:rPr>
          <w:szCs w:val="22"/>
          <w:lang w:val="pl-PL"/>
        </w:rPr>
        <w:t xml:space="preserve"> (67</w:t>
      </w:r>
      <w:r w:rsidR="004D6DFB" w:rsidRPr="0015541C">
        <w:rPr>
          <w:szCs w:val="22"/>
          <w:lang w:val="pl-PL"/>
        </w:rPr>
        <w:t>,</w:t>
      </w:r>
      <w:r w:rsidR="00FA3484" w:rsidRPr="0015541C">
        <w:rPr>
          <w:szCs w:val="22"/>
          <w:lang w:val="pl-PL"/>
        </w:rPr>
        <w:t xml:space="preserve">1% </w:t>
      </w:r>
      <w:r w:rsidRPr="0015541C">
        <w:rPr>
          <w:szCs w:val="22"/>
          <w:lang w:val="pl-PL"/>
        </w:rPr>
        <w:t>w grupie otrzymującej samą chemioterapię i</w:t>
      </w:r>
      <w:r w:rsidR="00FA3484" w:rsidRPr="0015541C">
        <w:rPr>
          <w:szCs w:val="22"/>
          <w:lang w:val="pl-PL"/>
        </w:rPr>
        <w:t xml:space="preserve"> 69</w:t>
      </w:r>
      <w:r w:rsidR="004D6DFB" w:rsidRPr="0015541C">
        <w:rPr>
          <w:szCs w:val="22"/>
          <w:lang w:val="pl-PL"/>
        </w:rPr>
        <w:t>,</w:t>
      </w:r>
      <w:r w:rsidR="00FA3484" w:rsidRPr="0015541C">
        <w:rPr>
          <w:szCs w:val="22"/>
          <w:lang w:val="pl-PL"/>
        </w:rPr>
        <w:t xml:space="preserve">6% </w:t>
      </w:r>
      <w:r w:rsidRPr="0015541C">
        <w:rPr>
          <w:szCs w:val="22"/>
          <w:lang w:val="pl-PL"/>
        </w:rPr>
        <w:t>w grupie otrzymującej chemioterapię+</w:t>
      </w:r>
      <w:r w:rsidR="002306BC" w:rsidRPr="0015541C">
        <w:rPr>
          <w:szCs w:val="22"/>
          <w:lang w:val="pl-PL"/>
        </w:rPr>
        <w:t>bewacyzumab</w:t>
      </w:r>
      <w:r w:rsidR="00FA3484" w:rsidRPr="0015541C">
        <w:rPr>
          <w:szCs w:val="22"/>
          <w:lang w:val="pl-PL"/>
        </w:rPr>
        <w:t xml:space="preserve">), </w:t>
      </w:r>
      <w:r w:rsidRPr="0015541C">
        <w:rPr>
          <w:szCs w:val="22"/>
          <w:lang w:val="pl-PL"/>
        </w:rPr>
        <w:t>miała przetrwałego/nawrotowego raka</w:t>
      </w:r>
      <w:r w:rsidR="00FA3484" w:rsidRPr="0015541C">
        <w:rPr>
          <w:szCs w:val="22"/>
          <w:lang w:val="pl-PL"/>
        </w:rPr>
        <w:t xml:space="preserve"> (83</w:t>
      </w:r>
      <w:r w:rsidR="004D6DFB" w:rsidRPr="0015541C">
        <w:rPr>
          <w:szCs w:val="22"/>
          <w:lang w:val="pl-PL"/>
        </w:rPr>
        <w:t>,</w:t>
      </w:r>
      <w:r w:rsidR="00FA3484" w:rsidRPr="0015541C">
        <w:rPr>
          <w:szCs w:val="22"/>
          <w:lang w:val="pl-PL"/>
        </w:rPr>
        <w:t xml:space="preserve">6% </w:t>
      </w:r>
      <w:r w:rsidRPr="0015541C">
        <w:rPr>
          <w:szCs w:val="22"/>
          <w:lang w:val="pl-PL"/>
        </w:rPr>
        <w:t xml:space="preserve">w grupie otrzymującej samą chemioterapię i </w:t>
      </w:r>
      <w:r w:rsidR="00FA3484" w:rsidRPr="0015541C">
        <w:rPr>
          <w:szCs w:val="22"/>
          <w:lang w:val="pl-PL"/>
        </w:rPr>
        <w:t>82</w:t>
      </w:r>
      <w:r w:rsidR="004D6DFB" w:rsidRPr="0015541C">
        <w:rPr>
          <w:szCs w:val="22"/>
          <w:lang w:val="pl-PL"/>
        </w:rPr>
        <w:t>,</w:t>
      </w:r>
      <w:r w:rsidR="00FA3484" w:rsidRPr="0015541C">
        <w:rPr>
          <w:szCs w:val="22"/>
          <w:lang w:val="pl-PL"/>
        </w:rPr>
        <w:t xml:space="preserve">8% </w:t>
      </w:r>
      <w:r w:rsidRPr="0015541C">
        <w:rPr>
          <w:szCs w:val="22"/>
          <w:lang w:val="pl-PL"/>
        </w:rPr>
        <w:t>w grupie otrzymującej chemioterapię+</w:t>
      </w:r>
      <w:r w:rsidR="002306BC" w:rsidRPr="0015541C">
        <w:rPr>
          <w:szCs w:val="22"/>
          <w:lang w:val="pl-PL"/>
        </w:rPr>
        <w:t>bewacyzumab</w:t>
      </w:r>
      <w:r w:rsidR="00FA3484" w:rsidRPr="0015541C">
        <w:rPr>
          <w:szCs w:val="22"/>
          <w:lang w:val="pl-PL"/>
        </w:rPr>
        <w:t xml:space="preserve">), </w:t>
      </w:r>
      <w:r w:rsidRPr="0015541C">
        <w:rPr>
          <w:szCs w:val="22"/>
          <w:lang w:val="pl-PL"/>
        </w:rPr>
        <w:t>miała</w:t>
      </w:r>
      <w:r w:rsidR="00FA3484" w:rsidRPr="0015541C">
        <w:rPr>
          <w:szCs w:val="22"/>
          <w:lang w:val="pl-PL"/>
        </w:rPr>
        <w:t xml:space="preserve"> 1-2 </w:t>
      </w:r>
      <w:r w:rsidRPr="0015541C">
        <w:rPr>
          <w:szCs w:val="22"/>
          <w:lang w:val="pl-PL"/>
        </w:rPr>
        <w:t>przerzuty</w:t>
      </w:r>
      <w:r w:rsidR="00FA3484" w:rsidRPr="0015541C">
        <w:rPr>
          <w:szCs w:val="22"/>
          <w:lang w:val="pl-PL"/>
        </w:rPr>
        <w:t xml:space="preserve"> (72</w:t>
      </w:r>
      <w:r w:rsidR="004D6DFB" w:rsidRPr="0015541C">
        <w:rPr>
          <w:szCs w:val="22"/>
          <w:lang w:val="pl-PL"/>
        </w:rPr>
        <w:t>,</w:t>
      </w:r>
      <w:r w:rsidR="00FA3484" w:rsidRPr="0015541C">
        <w:rPr>
          <w:szCs w:val="22"/>
          <w:lang w:val="pl-PL"/>
        </w:rPr>
        <w:t xml:space="preserve">0% </w:t>
      </w:r>
      <w:r w:rsidRPr="0015541C">
        <w:rPr>
          <w:szCs w:val="22"/>
          <w:lang w:val="pl-PL"/>
        </w:rPr>
        <w:t>w grupie otrzymującej samą chemioterapię i</w:t>
      </w:r>
      <w:r w:rsidR="00FA3484" w:rsidRPr="0015541C">
        <w:rPr>
          <w:szCs w:val="22"/>
          <w:lang w:val="pl-PL"/>
        </w:rPr>
        <w:t xml:space="preserve"> 76</w:t>
      </w:r>
      <w:r w:rsidR="004D6DFB" w:rsidRPr="0015541C">
        <w:rPr>
          <w:szCs w:val="22"/>
          <w:lang w:val="pl-PL"/>
        </w:rPr>
        <w:t>,</w:t>
      </w:r>
      <w:r w:rsidR="00FA3484" w:rsidRPr="0015541C">
        <w:rPr>
          <w:szCs w:val="22"/>
          <w:lang w:val="pl-PL"/>
        </w:rPr>
        <w:t xml:space="preserve">2% </w:t>
      </w:r>
      <w:r w:rsidRPr="0015541C">
        <w:rPr>
          <w:szCs w:val="22"/>
          <w:lang w:val="pl-PL"/>
        </w:rPr>
        <w:t>w grupie otrzymującej chemioterapię+</w:t>
      </w:r>
      <w:r w:rsidR="002306BC" w:rsidRPr="0015541C">
        <w:rPr>
          <w:szCs w:val="22"/>
          <w:lang w:val="pl-PL"/>
        </w:rPr>
        <w:t>bewacyzumab</w:t>
      </w:r>
      <w:r w:rsidR="00FA3484" w:rsidRPr="0015541C">
        <w:rPr>
          <w:szCs w:val="22"/>
          <w:lang w:val="pl-PL"/>
        </w:rPr>
        <w:t xml:space="preserve">), </w:t>
      </w:r>
      <w:r w:rsidRPr="0015541C">
        <w:rPr>
          <w:szCs w:val="22"/>
          <w:lang w:val="pl-PL"/>
        </w:rPr>
        <w:t>miała zajęte węzły chłonne</w:t>
      </w:r>
      <w:r w:rsidR="00FA3484" w:rsidRPr="0015541C">
        <w:rPr>
          <w:szCs w:val="22"/>
          <w:lang w:val="pl-PL"/>
        </w:rPr>
        <w:t xml:space="preserve"> (50</w:t>
      </w:r>
      <w:r w:rsidR="004D6DFB" w:rsidRPr="0015541C">
        <w:rPr>
          <w:szCs w:val="22"/>
          <w:lang w:val="pl-PL"/>
        </w:rPr>
        <w:t>,</w:t>
      </w:r>
      <w:r w:rsidR="00FA3484" w:rsidRPr="0015541C">
        <w:rPr>
          <w:szCs w:val="22"/>
          <w:lang w:val="pl-PL"/>
        </w:rPr>
        <w:t xml:space="preserve">2% </w:t>
      </w:r>
      <w:r w:rsidRPr="0015541C">
        <w:rPr>
          <w:szCs w:val="22"/>
          <w:lang w:val="pl-PL"/>
        </w:rPr>
        <w:t>w grupie otrzymującej samą chemioterapię i</w:t>
      </w:r>
      <w:r w:rsidR="00FA3484" w:rsidRPr="0015541C">
        <w:rPr>
          <w:szCs w:val="22"/>
          <w:lang w:val="pl-PL"/>
        </w:rPr>
        <w:t xml:space="preserve"> 56</w:t>
      </w:r>
      <w:r w:rsidR="004D6DFB" w:rsidRPr="0015541C">
        <w:rPr>
          <w:szCs w:val="22"/>
          <w:lang w:val="pl-PL"/>
        </w:rPr>
        <w:t>,</w:t>
      </w:r>
      <w:r w:rsidR="00FA3484" w:rsidRPr="0015541C">
        <w:rPr>
          <w:szCs w:val="22"/>
          <w:lang w:val="pl-PL"/>
        </w:rPr>
        <w:t>4</w:t>
      </w:r>
      <w:r w:rsidR="00F6235C" w:rsidRPr="0015541C">
        <w:rPr>
          <w:szCs w:val="22"/>
          <w:lang w:val="pl-PL"/>
        </w:rPr>
        <w:t>%</w:t>
      </w:r>
      <w:r w:rsidRPr="0015541C">
        <w:rPr>
          <w:szCs w:val="22"/>
          <w:lang w:val="pl-PL"/>
        </w:rPr>
        <w:t xml:space="preserve"> w grupie otrzymującej chemioterapię+</w:t>
      </w:r>
      <w:r w:rsidR="00DD6EBD" w:rsidRPr="0015541C">
        <w:rPr>
          <w:szCs w:val="22"/>
          <w:lang w:val="pl-PL"/>
        </w:rPr>
        <w:t>bewacyzumab</w:t>
      </w:r>
      <w:r w:rsidR="00FA3484" w:rsidRPr="0015541C">
        <w:rPr>
          <w:szCs w:val="22"/>
          <w:lang w:val="pl-PL"/>
        </w:rPr>
        <w:t xml:space="preserve">), </w:t>
      </w:r>
      <w:r w:rsidR="00E77C17" w:rsidRPr="0015541C">
        <w:rPr>
          <w:szCs w:val="22"/>
          <w:lang w:val="pl-PL"/>
        </w:rPr>
        <w:t>okres od zakończenia leczenia</w:t>
      </w:r>
      <w:r w:rsidRPr="0015541C">
        <w:rPr>
          <w:szCs w:val="22"/>
          <w:lang w:val="pl-PL"/>
        </w:rPr>
        <w:t xml:space="preserve"> związk</w:t>
      </w:r>
      <w:r w:rsidR="00E77C17" w:rsidRPr="0015541C">
        <w:rPr>
          <w:szCs w:val="22"/>
          <w:lang w:val="pl-PL"/>
        </w:rPr>
        <w:t>ami</w:t>
      </w:r>
      <w:r w:rsidRPr="0015541C">
        <w:rPr>
          <w:szCs w:val="22"/>
          <w:lang w:val="pl-PL"/>
        </w:rPr>
        <w:t xml:space="preserve"> platyny</w:t>
      </w:r>
      <w:r w:rsidR="00064871" w:rsidRPr="0015541C">
        <w:rPr>
          <w:szCs w:val="22"/>
          <w:lang w:val="pl-PL"/>
        </w:rPr>
        <w:t xml:space="preserve"> </w:t>
      </w:r>
      <w:r w:rsidR="00FA3484" w:rsidRPr="0070444C">
        <w:rPr>
          <w:lang w:val="pl-PL"/>
        </w:rPr>
        <w:sym w:font="Symbol" w:char="F0B3"/>
      </w:r>
      <w:r w:rsidR="00064871" w:rsidRPr="0015541C">
        <w:rPr>
          <w:sz w:val="11"/>
          <w:szCs w:val="22"/>
          <w:lang w:val="pl-PL"/>
        </w:rPr>
        <w:t xml:space="preserve"> </w:t>
      </w:r>
      <w:r w:rsidR="00FA3484" w:rsidRPr="0015541C">
        <w:rPr>
          <w:szCs w:val="22"/>
          <w:lang w:val="pl-PL"/>
        </w:rPr>
        <w:t xml:space="preserve">6 </w:t>
      </w:r>
      <w:r w:rsidRPr="0015541C">
        <w:rPr>
          <w:szCs w:val="22"/>
          <w:lang w:val="pl-PL"/>
        </w:rPr>
        <w:t>miesięcy</w:t>
      </w:r>
      <w:r w:rsidR="00FA3484" w:rsidRPr="00AC3958">
        <w:rPr>
          <w:szCs w:val="22"/>
          <w:lang w:val="pl-PL"/>
        </w:rPr>
        <w:t xml:space="preserve"> (72</w:t>
      </w:r>
      <w:r w:rsidR="004D6DFB" w:rsidRPr="00260CEC">
        <w:rPr>
          <w:szCs w:val="22"/>
          <w:lang w:val="pl-PL"/>
        </w:rPr>
        <w:t>,</w:t>
      </w:r>
      <w:r w:rsidR="00FA3484" w:rsidRPr="00260CEC">
        <w:rPr>
          <w:szCs w:val="22"/>
          <w:lang w:val="pl-PL"/>
        </w:rPr>
        <w:t xml:space="preserve">5% </w:t>
      </w:r>
      <w:r w:rsidRPr="00260CEC">
        <w:rPr>
          <w:szCs w:val="22"/>
          <w:lang w:val="pl-PL"/>
        </w:rPr>
        <w:t>w grupie otrzymującej samą chemioterapię i</w:t>
      </w:r>
      <w:r w:rsidR="00FA3484" w:rsidRPr="00260CEC">
        <w:rPr>
          <w:szCs w:val="22"/>
          <w:lang w:val="pl-PL"/>
        </w:rPr>
        <w:t xml:space="preserve"> 64</w:t>
      </w:r>
      <w:r w:rsidR="004D6DFB" w:rsidRPr="00260CEC">
        <w:rPr>
          <w:szCs w:val="22"/>
          <w:lang w:val="pl-PL"/>
        </w:rPr>
        <w:t>,</w:t>
      </w:r>
      <w:r w:rsidR="00FA3484" w:rsidRPr="00260CEC">
        <w:rPr>
          <w:szCs w:val="22"/>
          <w:lang w:val="pl-PL"/>
        </w:rPr>
        <w:t xml:space="preserve">4% </w:t>
      </w:r>
      <w:r w:rsidRPr="00260CEC">
        <w:rPr>
          <w:szCs w:val="22"/>
          <w:lang w:val="pl-PL"/>
        </w:rPr>
        <w:t>w grupie otrzymującej chemioterapię+</w:t>
      </w:r>
      <w:r w:rsidR="00DD6EBD" w:rsidRPr="00260CEC">
        <w:rPr>
          <w:szCs w:val="22"/>
          <w:lang w:val="pl-PL"/>
        </w:rPr>
        <w:t>bewacyzumab</w:t>
      </w:r>
      <w:r w:rsidR="00FA3484" w:rsidRPr="0015541C">
        <w:rPr>
          <w:szCs w:val="22"/>
          <w:lang w:val="pl-PL"/>
        </w:rPr>
        <w:t>).</w:t>
      </w:r>
    </w:p>
    <w:p w14:paraId="2E45362C" w14:textId="77777777" w:rsidR="00FA3484" w:rsidRPr="0015541C" w:rsidRDefault="00FA3484" w:rsidP="00D463A3">
      <w:pPr>
        <w:outlineLvl w:val="0"/>
        <w:rPr>
          <w:szCs w:val="22"/>
          <w:lang w:val="pl-PL"/>
        </w:rPr>
      </w:pPr>
    </w:p>
    <w:p w14:paraId="06EAF4DC" w14:textId="0682B375" w:rsidR="00FA3484" w:rsidRPr="0015541C" w:rsidRDefault="0000582D" w:rsidP="00D463A3">
      <w:pPr>
        <w:outlineLvl w:val="0"/>
        <w:rPr>
          <w:lang w:val="pl-PL"/>
        </w:rPr>
      </w:pPr>
      <w:r w:rsidRPr="0015541C">
        <w:rPr>
          <w:rFonts w:eastAsia="SimSun"/>
          <w:iCs/>
          <w:szCs w:val="22"/>
          <w:lang w:val="pl-PL" w:eastAsia="zh-CN"/>
        </w:rPr>
        <w:t>P</w:t>
      </w:r>
      <w:r w:rsidR="004221D1" w:rsidRPr="0015541C">
        <w:rPr>
          <w:rFonts w:eastAsia="SimSun"/>
          <w:iCs/>
          <w:szCs w:val="22"/>
          <w:lang w:val="pl-PL" w:eastAsia="zh-CN"/>
        </w:rPr>
        <w:t>ierwszorzędowy</w:t>
      </w:r>
      <w:r w:rsidR="00E77C17" w:rsidRPr="0015541C">
        <w:rPr>
          <w:rFonts w:eastAsia="SimSun"/>
          <w:iCs/>
          <w:szCs w:val="22"/>
          <w:lang w:val="pl-PL" w:eastAsia="zh-CN"/>
        </w:rPr>
        <w:t>m</w:t>
      </w:r>
      <w:r w:rsidR="004221D1" w:rsidRPr="0015541C">
        <w:rPr>
          <w:rFonts w:eastAsia="SimSun"/>
          <w:iCs/>
          <w:szCs w:val="22"/>
          <w:lang w:val="pl-PL" w:eastAsia="zh-CN"/>
        </w:rPr>
        <w:t xml:space="preserve"> punkt</w:t>
      </w:r>
      <w:r w:rsidR="00E77C17" w:rsidRPr="0015541C">
        <w:rPr>
          <w:rFonts w:eastAsia="SimSun"/>
          <w:iCs/>
          <w:szCs w:val="22"/>
          <w:lang w:val="pl-PL" w:eastAsia="zh-CN"/>
        </w:rPr>
        <w:t>em</w:t>
      </w:r>
      <w:r w:rsidR="004221D1" w:rsidRPr="0015541C">
        <w:rPr>
          <w:rFonts w:eastAsia="SimSun"/>
          <w:iCs/>
          <w:szCs w:val="22"/>
          <w:lang w:val="pl-PL" w:eastAsia="zh-CN"/>
        </w:rPr>
        <w:t xml:space="preserve"> końcow</w:t>
      </w:r>
      <w:r w:rsidR="00506838" w:rsidRPr="0015541C">
        <w:rPr>
          <w:rFonts w:eastAsia="SimSun"/>
          <w:iCs/>
          <w:szCs w:val="22"/>
          <w:lang w:val="pl-PL" w:eastAsia="zh-CN"/>
        </w:rPr>
        <w:t>y</w:t>
      </w:r>
      <w:r w:rsidR="00E77C17" w:rsidRPr="0015541C">
        <w:rPr>
          <w:rFonts w:eastAsia="SimSun"/>
          <w:iCs/>
          <w:szCs w:val="22"/>
          <w:lang w:val="pl-PL" w:eastAsia="zh-CN"/>
        </w:rPr>
        <w:t>m</w:t>
      </w:r>
      <w:r w:rsidR="004221D1" w:rsidRPr="0015541C">
        <w:rPr>
          <w:rFonts w:eastAsia="SimSun"/>
          <w:iCs/>
          <w:szCs w:val="22"/>
          <w:lang w:val="pl-PL" w:eastAsia="zh-CN"/>
        </w:rPr>
        <w:t xml:space="preserve"> </w:t>
      </w:r>
      <w:r w:rsidR="001F0D1C" w:rsidRPr="0015541C">
        <w:rPr>
          <w:rFonts w:eastAsia="SimSun"/>
          <w:iCs/>
          <w:szCs w:val="22"/>
          <w:lang w:val="pl-PL" w:eastAsia="zh-CN"/>
        </w:rPr>
        <w:t xml:space="preserve">był </w:t>
      </w:r>
      <w:r w:rsidR="00812DB4" w:rsidRPr="0015541C">
        <w:rPr>
          <w:rFonts w:eastAsia="SimSun"/>
          <w:iCs/>
          <w:szCs w:val="22"/>
          <w:lang w:val="pl-PL" w:eastAsia="zh-CN"/>
        </w:rPr>
        <w:t>OS</w:t>
      </w:r>
      <w:r w:rsidR="004221D1" w:rsidRPr="0015541C">
        <w:rPr>
          <w:rFonts w:eastAsia="SimSun"/>
          <w:iCs/>
          <w:szCs w:val="22"/>
          <w:lang w:val="pl-PL" w:eastAsia="zh-CN"/>
        </w:rPr>
        <w:t>.</w:t>
      </w:r>
      <w:r w:rsidR="00CE7792" w:rsidRPr="0015541C">
        <w:rPr>
          <w:rFonts w:eastAsia="SimSun"/>
          <w:iCs/>
          <w:szCs w:val="22"/>
          <w:lang w:val="pl-PL" w:eastAsia="zh-CN"/>
        </w:rPr>
        <w:t xml:space="preserve"> </w:t>
      </w:r>
      <w:r w:rsidR="00AF323D" w:rsidRPr="0015541C">
        <w:rPr>
          <w:lang w:val="pl-PL"/>
        </w:rPr>
        <w:t xml:space="preserve">Drugorzędowe punkty końcowe </w:t>
      </w:r>
      <w:r w:rsidRPr="0015541C">
        <w:rPr>
          <w:lang w:val="pl-PL"/>
        </w:rPr>
        <w:t xml:space="preserve">obejmowały </w:t>
      </w:r>
      <w:r w:rsidR="00812DB4" w:rsidRPr="0015541C">
        <w:rPr>
          <w:lang w:val="pl-PL"/>
        </w:rPr>
        <w:t>PFS</w:t>
      </w:r>
      <w:r w:rsidR="00064871" w:rsidRPr="0015541C">
        <w:rPr>
          <w:lang w:val="pl-PL"/>
        </w:rPr>
        <w:t xml:space="preserve"> </w:t>
      </w:r>
      <w:r w:rsidR="00B05491" w:rsidRPr="0015541C">
        <w:rPr>
          <w:lang w:val="pl-PL"/>
        </w:rPr>
        <w:t xml:space="preserve">i </w:t>
      </w:r>
      <w:r w:rsidR="001F0D1C" w:rsidRPr="0015541C">
        <w:rPr>
          <w:lang w:val="pl-PL"/>
        </w:rPr>
        <w:t xml:space="preserve">odsetek </w:t>
      </w:r>
      <w:r w:rsidR="00B05491" w:rsidRPr="0015541C">
        <w:rPr>
          <w:lang w:val="pl-PL"/>
        </w:rPr>
        <w:t>obiektywny</w:t>
      </w:r>
      <w:r w:rsidR="001F0D1C" w:rsidRPr="0015541C">
        <w:rPr>
          <w:lang w:val="pl-PL"/>
        </w:rPr>
        <w:t>ch</w:t>
      </w:r>
      <w:r w:rsidR="00064871" w:rsidRPr="0015541C">
        <w:rPr>
          <w:lang w:val="pl-PL"/>
        </w:rPr>
        <w:t xml:space="preserve"> </w:t>
      </w:r>
      <w:r w:rsidR="00B05491" w:rsidRPr="0015541C">
        <w:rPr>
          <w:lang w:val="pl-PL"/>
        </w:rPr>
        <w:t>odpowiedzi</w:t>
      </w:r>
      <w:r w:rsidR="00FA3484" w:rsidRPr="0015541C">
        <w:rPr>
          <w:lang w:val="pl-PL"/>
        </w:rPr>
        <w:t xml:space="preserve">. </w:t>
      </w:r>
      <w:r w:rsidR="00AF323D" w:rsidRPr="0015541C">
        <w:rPr>
          <w:lang w:val="pl-PL"/>
        </w:rPr>
        <w:t xml:space="preserve">Wyniki </w:t>
      </w:r>
      <w:r w:rsidR="000F4940" w:rsidRPr="0015541C">
        <w:rPr>
          <w:lang w:val="pl-PL"/>
        </w:rPr>
        <w:t>z analizy pierwotnej</w:t>
      </w:r>
      <w:r w:rsidR="00945E00" w:rsidRPr="0015541C">
        <w:rPr>
          <w:lang w:val="pl-PL"/>
        </w:rPr>
        <w:t xml:space="preserve"> oraz </w:t>
      </w:r>
      <w:r w:rsidR="000F4940" w:rsidRPr="0015541C">
        <w:rPr>
          <w:lang w:val="pl-PL"/>
        </w:rPr>
        <w:t>dalszych analiz</w:t>
      </w:r>
      <w:r w:rsidR="00945E00" w:rsidRPr="0015541C">
        <w:rPr>
          <w:lang w:val="pl-PL"/>
        </w:rPr>
        <w:t xml:space="preserve"> </w:t>
      </w:r>
      <w:r w:rsidR="00AF323D" w:rsidRPr="0015541C">
        <w:rPr>
          <w:lang w:val="pl-PL"/>
        </w:rPr>
        <w:t>dotycząc</w:t>
      </w:r>
      <w:r w:rsidR="00945E00" w:rsidRPr="0015541C">
        <w:rPr>
          <w:lang w:val="pl-PL"/>
        </w:rPr>
        <w:t>ych</w:t>
      </w:r>
      <w:r w:rsidR="00AF323D" w:rsidRPr="0015541C">
        <w:rPr>
          <w:lang w:val="pl-PL"/>
        </w:rPr>
        <w:t xml:space="preserve"> leczenia </w:t>
      </w:r>
      <w:r w:rsidR="00DD6EBD" w:rsidRPr="0015541C">
        <w:rPr>
          <w:lang w:val="pl-PL"/>
        </w:rPr>
        <w:t>bewacyzumab</w:t>
      </w:r>
      <w:r w:rsidR="001F0D1C" w:rsidRPr="0015541C">
        <w:rPr>
          <w:lang w:val="pl-PL"/>
        </w:rPr>
        <w:t xml:space="preserve">em </w:t>
      </w:r>
      <w:r w:rsidR="00AF323D" w:rsidRPr="0015541C">
        <w:rPr>
          <w:lang w:val="pl-PL"/>
        </w:rPr>
        <w:t xml:space="preserve">i </w:t>
      </w:r>
      <w:r w:rsidR="001F0D1C" w:rsidRPr="0015541C">
        <w:rPr>
          <w:lang w:val="pl-PL"/>
        </w:rPr>
        <w:t>pozostałymi lekami</w:t>
      </w:r>
      <w:r w:rsidR="00064871" w:rsidRPr="0015541C">
        <w:rPr>
          <w:lang w:val="pl-PL"/>
        </w:rPr>
        <w:t xml:space="preserve"> </w:t>
      </w:r>
      <w:r w:rsidR="001F0D1C" w:rsidRPr="0015541C">
        <w:rPr>
          <w:lang w:val="pl-PL"/>
        </w:rPr>
        <w:t xml:space="preserve">są </w:t>
      </w:r>
      <w:r w:rsidR="00CE7792" w:rsidRPr="0015541C">
        <w:rPr>
          <w:lang w:val="pl-PL"/>
        </w:rPr>
        <w:t xml:space="preserve">przedstawione </w:t>
      </w:r>
      <w:r w:rsidR="001F0D1C" w:rsidRPr="0015541C">
        <w:rPr>
          <w:lang w:val="pl-PL"/>
        </w:rPr>
        <w:t xml:space="preserve">odpowiednio </w:t>
      </w:r>
      <w:r w:rsidR="00AF323D" w:rsidRPr="0015541C">
        <w:rPr>
          <w:lang w:val="pl-PL"/>
        </w:rPr>
        <w:t>w</w:t>
      </w:r>
      <w:r w:rsidR="00064871" w:rsidRPr="0015541C">
        <w:rPr>
          <w:lang w:val="pl-PL"/>
        </w:rPr>
        <w:t xml:space="preserve"> </w:t>
      </w:r>
      <w:r w:rsidR="00FA3484" w:rsidRPr="0015541C">
        <w:rPr>
          <w:lang w:val="pl-PL"/>
        </w:rPr>
        <w:t>Tab</w:t>
      </w:r>
      <w:r w:rsidR="00AF323D" w:rsidRPr="0015541C">
        <w:rPr>
          <w:lang w:val="pl-PL"/>
        </w:rPr>
        <w:t>e</w:t>
      </w:r>
      <w:r w:rsidR="00FA3484" w:rsidRPr="0015541C">
        <w:rPr>
          <w:lang w:val="pl-PL"/>
        </w:rPr>
        <w:t>l</w:t>
      </w:r>
      <w:r w:rsidR="00AF323D" w:rsidRPr="0015541C">
        <w:rPr>
          <w:lang w:val="pl-PL"/>
        </w:rPr>
        <w:t>i</w:t>
      </w:r>
      <w:r w:rsidR="00FA3484" w:rsidRPr="0015541C">
        <w:rPr>
          <w:lang w:val="pl-PL"/>
        </w:rPr>
        <w:t xml:space="preserve"> 2</w:t>
      </w:r>
      <w:r w:rsidR="00481985" w:rsidRPr="0015541C">
        <w:rPr>
          <w:lang w:val="pl-PL"/>
        </w:rPr>
        <w:t>5</w:t>
      </w:r>
      <w:r w:rsidR="00FA3484" w:rsidRPr="0015541C">
        <w:rPr>
          <w:lang w:val="pl-PL"/>
        </w:rPr>
        <w:t xml:space="preserve"> </w:t>
      </w:r>
      <w:r w:rsidR="00AF323D" w:rsidRPr="0015541C">
        <w:rPr>
          <w:lang w:val="pl-PL"/>
        </w:rPr>
        <w:t>i</w:t>
      </w:r>
      <w:r w:rsidR="00FA3484" w:rsidRPr="0015541C">
        <w:rPr>
          <w:lang w:val="pl-PL"/>
        </w:rPr>
        <w:t xml:space="preserve"> </w:t>
      </w:r>
      <w:r w:rsidR="00CE7792" w:rsidRPr="0015541C">
        <w:rPr>
          <w:lang w:val="pl-PL"/>
        </w:rPr>
        <w:t xml:space="preserve">w </w:t>
      </w:r>
      <w:r w:rsidR="00FA3484" w:rsidRPr="0015541C">
        <w:rPr>
          <w:lang w:val="pl-PL"/>
        </w:rPr>
        <w:t>Tab</w:t>
      </w:r>
      <w:r w:rsidR="00AF323D" w:rsidRPr="0015541C">
        <w:rPr>
          <w:lang w:val="pl-PL"/>
        </w:rPr>
        <w:t>e</w:t>
      </w:r>
      <w:r w:rsidR="00FA3484" w:rsidRPr="0015541C">
        <w:rPr>
          <w:lang w:val="pl-PL"/>
        </w:rPr>
        <w:t>l</w:t>
      </w:r>
      <w:r w:rsidR="00AF323D" w:rsidRPr="0015541C">
        <w:rPr>
          <w:lang w:val="pl-PL"/>
        </w:rPr>
        <w:t>i</w:t>
      </w:r>
      <w:r w:rsidR="00FA3484" w:rsidRPr="0015541C">
        <w:rPr>
          <w:lang w:val="pl-PL"/>
        </w:rPr>
        <w:t xml:space="preserve"> 2</w:t>
      </w:r>
      <w:r w:rsidR="00481985" w:rsidRPr="0015541C">
        <w:rPr>
          <w:lang w:val="pl-PL"/>
        </w:rPr>
        <w:t>6</w:t>
      </w:r>
      <w:r w:rsidR="00FA3484" w:rsidRPr="0015541C">
        <w:rPr>
          <w:lang w:val="pl-PL"/>
        </w:rPr>
        <w:t xml:space="preserve">, </w:t>
      </w:r>
      <w:r w:rsidR="00AF323D" w:rsidRPr="0015541C">
        <w:rPr>
          <w:lang w:val="pl-PL"/>
        </w:rPr>
        <w:t>kolejno</w:t>
      </w:r>
      <w:r w:rsidR="00FA3484" w:rsidRPr="0015541C">
        <w:rPr>
          <w:lang w:val="pl-PL"/>
        </w:rPr>
        <w:t>.</w:t>
      </w:r>
    </w:p>
    <w:p w14:paraId="7EC0546A" w14:textId="77777777" w:rsidR="00FA3484" w:rsidRPr="0070444C" w:rsidRDefault="00FA3484" w:rsidP="003C6FA3">
      <w:pPr>
        <w:keepNext/>
        <w:rPr>
          <w:lang w:val="pl-PL"/>
        </w:rPr>
      </w:pPr>
      <w:r w:rsidRPr="0015541C">
        <w:rPr>
          <w:b/>
          <w:lang w:val="pl-PL"/>
        </w:rPr>
        <w:lastRenderedPageBreak/>
        <w:t>Tab</w:t>
      </w:r>
      <w:r w:rsidR="007C31FF" w:rsidRPr="0015541C">
        <w:rPr>
          <w:b/>
          <w:lang w:val="pl-PL"/>
        </w:rPr>
        <w:t>ela</w:t>
      </w:r>
      <w:r w:rsidRPr="0015541C">
        <w:rPr>
          <w:b/>
          <w:lang w:val="pl-PL"/>
        </w:rPr>
        <w:t xml:space="preserve"> 2</w:t>
      </w:r>
      <w:r w:rsidR="001D51D3" w:rsidRPr="0015541C">
        <w:rPr>
          <w:b/>
          <w:lang w:val="pl-PL"/>
        </w:rPr>
        <w:t>5</w:t>
      </w:r>
      <w:r w:rsidRPr="0015541C">
        <w:rPr>
          <w:b/>
          <w:lang w:val="pl-PL"/>
        </w:rPr>
        <w:tab/>
      </w:r>
      <w:r w:rsidR="00820806" w:rsidRPr="0015541C">
        <w:rPr>
          <w:b/>
          <w:bCs/>
          <w:lang w:val="pl-PL"/>
        </w:rPr>
        <w:t xml:space="preserve">Wyniki </w:t>
      </w:r>
      <w:r w:rsidR="00820806" w:rsidRPr="0015541C">
        <w:rPr>
          <w:rFonts w:cs="Arial"/>
          <w:b/>
          <w:bCs/>
          <w:lang w:val="pl-PL"/>
        </w:rPr>
        <w:t>badania</w:t>
      </w:r>
      <w:r w:rsidRPr="0015541C">
        <w:rPr>
          <w:rFonts w:cs="Arial"/>
          <w:b/>
          <w:bCs/>
          <w:lang w:val="pl-PL"/>
        </w:rPr>
        <w:t xml:space="preserve"> GOG-0240 </w:t>
      </w:r>
      <w:r w:rsidR="001F0D1C" w:rsidRPr="0015541C">
        <w:rPr>
          <w:rFonts w:cs="Arial"/>
          <w:b/>
          <w:bCs/>
          <w:lang w:val="pl-PL"/>
        </w:rPr>
        <w:t xml:space="preserve">dotyczące skuteczności </w:t>
      </w:r>
      <w:r w:rsidR="00B20A3A" w:rsidRPr="0015541C">
        <w:rPr>
          <w:rFonts w:cs="Arial"/>
          <w:b/>
          <w:bCs/>
          <w:lang w:val="pl-PL"/>
        </w:rPr>
        <w:t>bewacyzumab</w:t>
      </w:r>
      <w:r w:rsidR="001F0D1C" w:rsidRPr="0015541C">
        <w:rPr>
          <w:rFonts w:cs="Arial"/>
          <w:b/>
          <w:bCs/>
          <w:lang w:val="pl-PL"/>
        </w:rPr>
        <w: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2280"/>
        <w:gridCol w:w="2522"/>
      </w:tblGrid>
      <w:tr w:rsidR="00FA3484" w:rsidRPr="0015541C" w14:paraId="122ACAED" w14:textId="77777777" w:rsidTr="006F624F">
        <w:trPr>
          <w:jc w:val="center"/>
        </w:trPr>
        <w:tc>
          <w:tcPr>
            <w:tcW w:w="4114" w:type="dxa"/>
            <w:shd w:val="clear" w:color="auto" w:fill="auto"/>
          </w:tcPr>
          <w:p w14:paraId="33736510" w14:textId="77777777" w:rsidR="00FA3484" w:rsidRPr="0015541C" w:rsidRDefault="00FA3484" w:rsidP="00CE4FAC">
            <w:pPr>
              <w:pStyle w:val="TableCellLeft"/>
              <w:keepLines w:val="0"/>
              <w:spacing w:before="0" w:after="0" w:line="240" w:lineRule="auto"/>
              <w:rPr>
                <w:lang w:val="pl-PL"/>
              </w:rPr>
            </w:pPr>
          </w:p>
        </w:tc>
        <w:tc>
          <w:tcPr>
            <w:tcW w:w="2280" w:type="dxa"/>
            <w:shd w:val="clear" w:color="auto" w:fill="auto"/>
          </w:tcPr>
          <w:p w14:paraId="6CF8E8B5" w14:textId="77777777" w:rsidR="00FA3484" w:rsidRPr="0070444C" w:rsidRDefault="004221D1" w:rsidP="00B60F6D">
            <w:pPr>
              <w:pStyle w:val="TableCellCenter"/>
              <w:keepLines w:val="0"/>
              <w:spacing w:before="0" w:after="0" w:line="240" w:lineRule="auto"/>
              <w:rPr>
                <w:lang w:val="pl-PL"/>
              </w:rPr>
            </w:pPr>
            <w:r w:rsidRPr="0070444C">
              <w:rPr>
                <w:lang w:val="pl-PL"/>
              </w:rPr>
              <w:t>Chemioterapia</w:t>
            </w:r>
          </w:p>
          <w:p w14:paraId="2404560D" w14:textId="77777777" w:rsidR="00FA3484" w:rsidRPr="0070444C" w:rsidRDefault="00FA3484" w:rsidP="008A3167">
            <w:pPr>
              <w:pStyle w:val="TableCellCenter"/>
              <w:keepLines w:val="0"/>
              <w:spacing w:before="0" w:after="0" w:line="240" w:lineRule="auto"/>
              <w:rPr>
                <w:lang w:val="pl-PL"/>
              </w:rPr>
            </w:pPr>
            <w:r w:rsidRPr="0070444C">
              <w:rPr>
                <w:lang w:val="pl-PL"/>
              </w:rPr>
              <w:t>(n=225)</w:t>
            </w:r>
          </w:p>
        </w:tc>
        <w:tc>
          <w:tcPr>
            <w:tcW w:w="2522" w:type="dxa"/>
            <w:shd w:val="clear" w:color="auto" w:fill="auto"/>
          </w:tcPr>
          <w:p w14:paraId="5565F295" w14:textId="77777777" w:rsidR="00FA3484" w:rsidRPr="0070444C" w:rsidRDefault="004221D1" w:rsidP="00B60F6D">
            <w:pPr>
              <w:pStyle w:val="TextTi12"/>
              <w:keepNext/>
              <w:spacing w:after="0" w:line="240" w:lineRule="auto"/>
              <w:jc w:val="center"/>
              <w:rPr>
                <w:sz w:val="20"/>
                <w:lang w:val="pl-PL"/>
              </w:rPr>
            </w:pPr>
            <w:r w:rsidRPr="0070444C">
              <w:rPr>
                <w:sz w:val="20"/>
                <w:lang w:val="pl-PL"/>
              </w:rPr>
              <w:t>Chemioterapia</w:t>
            </w:r>
            <w:r w:rsidR="00FA3484" w:rsidRPr="0070444C">
              <w:rPr>
                <w:sz w:val="20"/>
                <w:lang w:val="pl-PL"/>
              </w:rPr>
              <w:t xml:space="preserve"> + </w:t>
            </w:r>
            <w:r w:rsidR="00B20A3A" w:rsidRPr="0015541C">
              <w:rPr>
                <w:sz w:val="20"/>
                <w:u w:val="single"/>
                <w:lang w:val="pl-PL"/>
              </w:rPr>
              <w:t>bewacyzumab</w:t>
            </w:r>
          </w:p>
          <w:p w14:paraId="4318315E" w14:textId="77777777" w:rsidR="00FA3484" w:rsidRPr="0070444C" w:rsidRDefault="00FA3484" w:rsidP="00B60F6D">
            <w:pPr>
              <w:pStyle w:val="TextTi12"/>
              <w:keepNext/>
              <w:spacing w:after="0" w:line="240" w:lineRule="auto"/>
              <w:jc w:val="center"/>
              <w:rPr>
                <w:sz w:val="20"/>
                <w:lang w:val="pl-PL"/>
              </w:rPr>
            </w:pPr>
            <w:r w:rsidRPr="0070444C">
              <w:rPr>
                <w:sz w:val="20"/>
                <w:lang w:val="pl-PL"/>
              </w:rPr>
              <w:t>(n=227)</w:t>
            </w:r>
          </w:p>
        </w:tc>
      </w:tr>
      <w:tr w:rsidR="00FA3484" w:rsidRPr="0015541C" w14:paraId="37D5A82F" w14:textId="77777777" w:rsidTr="006F624F">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0EB7AF88" w14:textId="77777777" w:rsidR="00FA3484" w:rsidRPr="0070444C" w:rsidRDefault="004221D1" w:rsidP="006E58D4">
            <w:pPr>
              <w:pStyle w:val="TextTi12"/>
              <w:keepNext/>
              <w:spacing w:before="120" w:after="120"/>
              <w:jc w:val="center"/>
              <w:rPr>
                <w:sz w:val="20"/>
                <w:lang w:val="pl-PL"/>
              </w:rPr>
            </w:pPr>
            <w:r w:rsidRPr="0070444C">
              <w:rPr>
                <w:sz w:val="20"/>
                <w:lang w:val="pl-PL"/>
              </w:rPr>
              <w:t>Pierwszorzędowy punkt końcowy</w:t>
            </w:r>
          </w:p>
        </w:tc>
      </w:tr>
      <w:tr w:rsidR="00FA3484" w:rsidRPr="0015541C" w14:paraId="4E3EDEE2" w14:textId="77777777" w:rsidTr="006F624F">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1AA1DA42" w14:textId="77777777" w:rsidR="00FA3484" w:rsidRPr="0070444C" w:rsidRDefault="004221D1" w:rsidP="00FE6F7C">
            <w:pPr>
              <w:pStyle w:val="TextTi12"/>
              <w:keepNext/>
              <w:spacing w:before="120" w:after="120"/>
              <w:rPr>
                <w:sz w:val="20"/>
                <w:lang w:val="pl-PL"/>
              </w:rPr>
            </w:pPr>
            <w:r w:rsidRPr="0070444C">
              <w:rPr>
                <w:sz w:val="20"/>
                <w:lang w:val="pl-PL"/>
              </w:rPr>
              <w:t>Całkowity czas przeżycia</w:t>
            </w:r>
            <w:r w:rsidR="000F4940" w:rsidRPr="0070444C">
              <w:rPr>
                <w:sz w:val="20"/>
                <w:lang w:val="pl-PL"/>
              </w:rPr>
              <w:t xml:space="preserve"> – Analiza </w:t>
            </w:r>
            <w:r w:rsidR="00FE6F7C" w:rsidRPr="0070444C">
              <w:rPr>
                <w:sz w:val="20"/>
                <w:lang w:val="pl-PL"/>
              </w:rPr>
              <w:t>p</w:t>
            </w:r>
            <w:r w:rsidR="000F4940" w:rsidRPr="0070444C">
              <w:rPr>
                <w:sz w:val="20"/>
                <w:lang w:val="pl-PL"/>
              </w:rPr>
              <w:t>ierwotna</w:t>
            </w:r>
            <w:r w:rsidR="006E58D4" w:rsidRPr="0070444C">
              <w:rPr>
                <w:sz w:val="20"/>
                <w:vertAlign w:val="superscript"/>
                <w:lang w:val="pl-PL"/>
              </w:rPr>
              <w:t>6</w:t>
            </w:r>
          </w:p>
        </w:tc>
      </w:tr>
      <w:tr w:rsidR="00FA3484" w:rsidRPr="0015541C" w14:paraId="74D50DEE" w14:textId="77777777" w:rsidTr="006F624F">
        <w:trPr>
          <w:jc w:val="center"/>
        </w:trPr>
        <w:tc>
          <w:tcPr>
            <w:tcW w:w="4114" w:type="dxa"/>
            <w:shd w:val="clear" w:color="auto" w:fill="auto"/>
          </w:tcPr>
          <w:p w14:paraId="5CF953D3" w14:textId="77777777" w:rsidR="00FA3484" w:rsidRPr="0070444C" w:rsidRDefault="004221D1" w:rsidP="004221D1">
            <w:pPr>
              <w:pStyle w:val="TableCellLeft"/>
              <w:keepLines w:val="0"/>
              <w:spacing w:before="0" w:after="0" w:line="240" w:lineRule="auto"/>
              <w:rPr>
                <w:lang w:val="pl-PL"/>
              </w:rPr>
            </w:pPr>
            <w:r w:rsidRPr="0070444C">
              <w:rPr>
                <w:lang w:val="pl-PL"/>
              </w:rPr>
              <w:t>Mediana</w:t>
            </w:r>
            <w:r w:rsidR="00FA3484" w:rsidRPr="0070444C">
              <w:rPr>
                <w:lang w:val="pl-PL"/>
              </w:rPr>
              <w:t xml:space="preserve"> (</w:t>
            </w:r>
            <w:r w:rsidRPr="0070444C">
              <w:rPr>
                <w:lang w:val="pl-PL"/>
              </w:rPr>
              <w:t>miesiące</w:t>
            </w:r>
            <w:r w:rsidR="00FA3484" w:rsidRPr="0070444C">
              <w:rPr>
                <w:lang w:val="pl-PL"/>
              </w:rPr>
              <w:t>)</w:t>
            </w:r>
            <w:r w:rsidR="00FA3484" w:rsidRPr="0070444C">
              <w:rPr>
                <w:vertAlign w:val="superscript"/>
                <w:lang w:val="pl-PL"/>
              </w:rPr>
              <w:t>1</w:t>
            </w:r>
          </w:p>
        </w:tc>
        <w:tc>
          <w:tcPr>
            <w:tcW w:w="2280" w:type="dxa"/>
            <w:shd w:val="clear" w:color="auto" w:fill="auto"/>
          </w:tcPr>
          <w:p w14:paraId="6411A9AE" w14:textId="77777777" w:rsidR="00FA3484" w:rsidRPr="0070444C" w:rsidRDefault="00FA3484" w:rsidP="00064871">
            <w:pPr>
              <w:pStyle w:val="TableCellCenter"/>
              <w:keepLines w:val="0"/>
              <w:spacing w:before="0" w:after="0" w:line="240" w:lineRule="auto"/>
              <w:rPr>
                <w:lang w:val="pl-PL"/>
              </w:rPr>
            </w:pPr>
            <w:r w:rsidRPr="0070444C">
              <w:rPr>
                <w:lang w:val="pl-PL"/>
              </w:rPr>
              <w:t>12</w:t>
            </w:r>
            <w:r w:rsidR="004D6DFB" w:rsidRPr="0070444C">
              <w:rPr>
                <w:lang w:val="pl-PL"/>
              </w:rPr>
              <w:t>,</w:t>
            </w:r>
            <w:r w:rsidRPr="0070444C">
              <w:rPr>
                <w:lang w:val="pl-PL"/>
              </w:rPr>
              <w:t xml:space="preserve">9 </w:t>
            </w:r>
          </w:p>
        </w:tc>
        <w:tc>
          <w:tcPr>
            <w:tcW w:w="2522" w:type="dxa"/>
            <w:shd w:val="clear" w:color="auto" w:fill="auto"/>
          </w:tcPr>
          <w:p w14:paraId="14A764DC" w14:textId="77777777" w:rsidR="00FA3484" w:rsidRPr="0070444C" w:rsidRDefault="00FA3484" w:rsidP="004D6DFB">
            <w:pPr>
              <w:pStyle w:val="TableCellCenter"/>
              <w:keepLines w:val="0"/>
              <w:spacing w:before="0" w:after="0" w:line="240" w:lineRule="auto"/>
              <w:rPr>
                <w:lang w:val="pl-PL"/>
              </w:rPr>
            </w:pPr>
            <w:r w:rsidRPr="0070444C">
              <w:rPr>
                <w:lang w:val="pl-PL"/>
              </w:rPr>
              <w:t>16</w:t>
            </w:r>
            <w:r w:rsidR="004D6DFB" w:rsidRPr="0070444C">
              <w:rPr>
                <w:lang w:val="pl-PL"/>
              </w:rPr>
              <w:t>,</w:t>
            </w:r>
            <w:r w:rsidRPr="0070444C">
              <w:rPr>
                <w:lang w:val="pl-PL"/>
              </w:rPr>
              <w:t>8</w:t>
            </w:r>
          </w:p>
        </w:tc>
      </w:tr>
      <w:tr w:rsidR="006E58D4" w:rsidRPr="0015541C" w14:paraId="6A9E10B4" w14:textId="77777777" w:rsidTr="006F624F">
        <w:trPr>
          <w:jc w:val="center"/>
        </w:trPr>
        <w:tc>
          <w:tcPr>
            <w:tcW w:w="4114" w:type="dxa"/>
            <w:shd w:val="clear" w:color="auto" w:fill="auto"/>
          </w:tcPr>
          <w:p w14:paraId="2C8464A4" w14:textId="77777777" w:rsidR="006E58D4" w:rsidRPr="0070444C" w:rsidRDefault="006E58D4" w:rsidP="004221D1">
            <w:pPr>
              <w:pStyle w:val="TableCellLeft"/>
              <w:keepLines w:val="0"/>
              <w:spacing w:before="0" w:after="0" w:line="240" w:lineRule="auto"/>
              <w:rPr>
                <w:lang w:val="pl-PL"/>
              </w:rPr>
            </w:pPr>
            <w:r w:rsidRPr="0070444C">
              <w:rPr>
                <w:lang w:val="pl-PL"/>
              </w:rPr>
              <w:t>Hazard ratio [95% CI]</w:t>
            </w:r>
          </w:p>
        </w:tc>
        <w:tc>
          <w:tcPr>
            <w:tcW w:w="4802" w:type="dxa"/>
            <w:gridSpan w:val="2"/>
            <w:shd w:val="clear" w:color="auto" w:fill="auto"/>
          </w:tcPr>
          <w:p w14:paraId="6E15A0BF" w14:textId="77777777" w:rsidR="006E58D4" w:rsidRPr="0070444C" w:rsidRDefault="006E58D4" w:rsidP="006E58D4">
            <w:pPr>
              <w:pStyle w:val="TableCellCenter"/>
              <w:keepLines w:val="0"/>
              <w:spacing w:before="0" w:after="0" w:line="240" w:lineRule="auto"/>
              <w:rPr>
                <w:lang w:val="pl-PL"/>
              </w:rPr>
            </w:pPr>
            <w:r w:rsidRPr="0070444C">
              <w:rPr>
                <w:lang w:val="pl-PL"/>
              </w:rPr>
              <w:t>0</w:t>
            </w:r>
            <w:r w:rsidR="004D6DFB" w:rsidRPr="0070444C">
              <w:rPr>
                <w:lang w:val="pl-PL"/>
              </w:rPr>
              <w:t>,</w:t>
            </w:r>
            <w:r w:rsidRPr="0070444C">
              <w:rPr>
                <w:lang w:val="pl-PL"/>
              </w:rPr>
              <w:t>74 [0</w:t>
            </w:r>
            <w:r w:rsidR="004D6DFB" w:rsidRPr="0070444C">
              <w:rPr>
                <w:lang w:val="pl-PL"/>
              </w:rPr>
              <w:t>,</w:t>
            </w:r>
            <w:r w:rsidRPr="0070444C">
              <w:rPr>
                <w:lang w:val="pl-PL"/>
              </w:rPr>
              <w:t>58, 0</w:t>
            </w:r>
            <w:r w:rsidR="004D6DFB" w:rsidRPr="0070444C">
              <w:rPr>
                <w:lang w:val="pl-PL"/>
              </w:rPr>
              <w:t>,</w:t>
            </w:r>
            <w:r w:rsidRPr="0070444C">
              <w:rPr>
                <w:lang w:val="pl-PL"/>
              </w:rPr>
              <w:t>94]</w:t>
            </w:r>
          </w:p>
          <w:p w14:paraId="4EC4AFEE" w14:textId="77777777" w:rsidR="006E58D4" w:rsidRPr="0070444C" w:rsidRDefault="006E58D4" w:rsidP="004D6DFB">
            <w:pPr>
              <w:pStyle w:val="TableCellCenter"/>
              <w:keepLines w:val="0"/>
              <w:spacing w:before="0" w:after="0" w:line="240" w:lineRule="auto"/>
              <w:rPr>
                <w:lang w:val="pl-PL"/>
              </w:rPr>
            </w:pPr>
            <w:r w:rsidRPr="0070444C">
              <w:rPr>
                <w:lang w:val="pl-PL"/>
              </w:rPr>
              <w:t>(wartość p</w:t>
            </w:r>
            <w:r w:rsidRPr="0070444C">
              <w:rPr>
                <w:vertAlign w:val="superscript"/>
                <w:lang w:val="pl-PL"/>
              </w:rPr>
              <w:t>5</w:t>
            </w:r>
            <w:r w:rsidRPr="0070444C">
              <w:rPr>
                <w:lang w:val="pl-PL"/>
              </w:rPr>
              <w:t xml:space="preserve"> = 0</w:t>
            </w:r>
            <w:r w:rsidR="004D6DFB" w:rsidRPr="0070444C">
              <w:rPr>
                <w:lang w:val="pl-PL"/>
              </w:rPr>
              <w:t>,</w:t>
            </w:r>
            <w:r w:rsidRPr="0070444C">
              <w:rPr>
                <w:lang w:val="pl-PL"/>
              </w:rPr>
              <w:t>0132)</w:t>
            </w:r>
          </w:p>
        </w:tc>
      </w:tr>
      <w:tr w:rsidR="006E58D4" w:rsidRPr="0015541C" w14:paraId="3E674AF4" w14:textId="77777777" w:rsidTr="006F624F">
        <w:trPr>
          <w:jc w:val="center"/>
        </w:trPr>
        <w:tc>
          <w:tcPr>
            <w:tcW w:w="8916" w:type="dxa"/>
            <w:gridSpan w:val="3"/>
            <w:shd w:val="clear" w:color="auto" w:fill="auto"/>
          </w:tcPr>
          <w:p w14:paraId="4CF3C206" w14:textId="77777777" w:rsidR="006E58D4" w:rsidRPr="0015541C" w:rsidRDefault="006E58D4" w:rsidP="00CD679A">
            <w:pPr>
              <w:pStyle w:val="TableCellCenter"/>
              <w:keepLines w:val="0"/>
              <w:spacing w:before="0" w:after="0" w:line="240" w:lineRule="auto"/>
              <w:jc w:val="left"/>
              <w:rPr>
                <w:lang w:val="pl-PL"/>
              </w:rPr>
            </w:pPr>
            <w:r w:rsidRPr="0070444C">
              <w:rPr>
                <w:lang w:val="pl-PL"/>
              </w:rPr>
              <w:t>Całkowity czas przeżycia – Analiz</w:t>
            </w:r>
            <w:r w:rsidR="00CD679A" w:rsidRPr="0070444C">
              <w:rPr>
                <w:lang w:val="pl-PL"/>
              </w:rPr>
              <w:t>a</w:t>
            </w:r>
            <w:r w:rsidRPr="0070444C">
              <w:rPr>
                <w:lang w:val="pl-PL"/>
              </w:rPr>
              <w:t xml:space="preserve"> </w:t>
            </w:r>
            <w:r w:rsidR="00CD679A" w:rsidRPr="0070444C">
              <w:rPr>
                <w:lang w:val="pl-PL"/>
              </w:rPr>
              <w:t>po dłuższym czasie obserwacji</w:t>
            </w:r>
            <w:r w:rsidRPr="0070444C">
              <w:rPr>
                <w:vertAlign w:val="superscript"/>
                <w:lang w:val="pl-PL"/>
              </w:rPr>
              <w:t>7</w:t>
            </w:r>
          </w:p>
        </w:tc>
      </w:tr>
      <w:tr w:rsidR="006E58D4" w:rsidRPr="0015541C" w14:paraId="3010D12D" w14:textId="77777777" w:rsidTr="006F624F">
        <w:trPr>
          <w:jc w:val="center"/>
        </w:trPr>
        <w:tc>
          <w:tcPr>
            <w:tcW w:w="4114" w:type="dxa"/>
            <w:shd w:val="clear" w:color="auto" w:fill="auto"/>
          </w:tcPr>
          <w:p w14:paraId="1BB34643" w14:textId="77777777" w:rsidR="006E58D4" w:rsidRPr="0015541C" w:rsidRDefault="006E58D4" w:rsidP="004221D1">
            <w:pPr>
              <w:pStyle w:val="TableCellLeft"/>
              <w:keepLines w:val="0"/>
              <w:spacing w:before="0" w:after="0" w:line="240" w:lineRule="auto"/>
              <w:rPr>
                <w:lang w:val="pl-PL"/>
              </w:rPr>
            </w:pPr>
            <w:r w:rsidRPr="0070444C">
              <w:rPr>
                <w:lang w:val="pl-PL"/>
              </w:rPr>
              <w:t>Mediana (miesiące)</w:t>
            </w:r>
            <w:r w:rsidRPr="0070444C">
              <w:rPr>
                <w:vertAlign w:val="superscript"/>
                <w:lang w:val="pl-PL"/>
              </w:rPr>
              <w:t>1</w:t>
            </w:r>
          </w:p>
        </w:tc>
        <w:tc>
          <w:tcPr>
            <w:tcW w:w="2280" w:type="dxa"/>
            <w:shd w:val="clear" w:color="auto" w:fill="auto"/>
          </w:tcPr>
          <w:p w14:paraId="479B4717" w14:textId="77777777" w:rsidR="006E58D4" w:rsidRPr="0015541C" w:rsidRDefault="006E58D4" w:rsidP="004D6DFB">
            <w:pPr>
              <w:pStyle w:val="TableCellCenter"/>
              <w:keepLines w:val="0"/>
              <w:spacing w:before="0" w:after="0" w:line="240" w:lineRule="auto"/>
              <w:rPr>
                <w:lang w:val="pl-PL"/>
              </w:rPr>
            </w:pPr>
            <w:r w:rsidRPr="0015541C">
              <w:rPr>
                <w:lang w:val="pl-PL"/>
              </w:rPr>
              <w:t>13</w:t>
            </w:r>
            <w:r w:rsidR="004D6DFB" w:rsidRPr="0015541C">
              <w:rPr>
                <w:lang w:val="pl-PL"/>
              </w:rPr>
              <w:t>,</w:t>
            </w:r>
            <w:r w:rsidRPr="0015541C">
              <w:rPr>
                <w:lang w:val="pl-PL"/>
              </w:rPr>
              <w:t>3</w:t>
            </w:r>
          </w:p>
        </w:tc>
        <w:tc>
          <w:tcPr>
            <w:tcW w:w="2522" w:type="dxa"/>
            <w:shd w:val="clear" w:color="auto" w:fill="auto"/>
          </w:tcPr>
          <w:p w14:paraId="2B031386" w14:textId="77777777" w:rsidR="006E58D4" w:rsidRPr="0015541C" w:rsidRDefault="006E58D4" w:rsidP="004D6DFB">
            <w:pPr>
              <w:pStyle w:val="TableCellCenter"/>
              <w:keepLines w:val="0"/>
              <w:spacing w:before="0" w:after="0" w:line="240" w:lineRule="auto"/>
              <w:rPr>
                <w:lang w:val="pl-PL"/>
              </w:rPr>
            </w:pPr>
            <w:r w:rsidRPr="0015541C">
              <w:rPr>
                <w:lang w:val="pl-PL"/>
              </w:rPr>
              <w:t>16</w:t>
            </w:r>
            <w:r w:rsidR="004D6DFB" w:rsidRPr="0015541C">
              <w:rPr>
                <w:lang w:val="pl-PL"/>
              </w:rPr>
              <w:t>,</w:t>
            </w:r>
            <w:r w:rsidRPr="0015541C">
              <w:rPr>
                <w:lang w:val="pl-PL"/>
              </w:rPr>
              <w:t>8</w:t>
            </w:r>
          </w:p>
        </w:tc>
      </w:tr>
      <w:tr w:rsidR="00FA3484" w:rsidRPr="0015541C" w14:paraId="0EAA5808" w14:textId="77777777" w:rsidTr="006F624F">
        <w:trPr>
          <w:jc w:val="center"/>
        </w:trPr>
        <w:tc>
          <w:tcPr>
            <w:tcW w:w="4114" w:type="dxa"/>
            <w:shd w:val="clear" w:color="auto" w:fill="auto"/>
          </w:tcPr>
          <w:p w14:paraId="1035687E" w14:textId="77777777" w:rsidR="00FA3484" w:rsidRPr="0070444C" w:rsidRDefault="00FA3484" w:rsidP="00CE4FAC">
            <w:pPr>
              <w:pStyle w:val="TableCellLeft"/>
              <w:keepLines w:val="0"/>
              <w:spacing w:before="0" w:after="0" w:line="240" w:lineRule="auto"/>
              <w:rPr>
                <w:lang w:val="pl-PL"/>
              </w:rPr>
            </w:pPr>
            <w:r w:rsidRPr="0070444C">
              <w:rPr>
                <w:lang w:val="pl-PL"/>
              </w:rPr>
              <w:t>Hazard ratio [95% CI]</w:t>
            </w:r>
          </w:p>
        </w:tc>
        <w:tc>
          <w:tcPr>
            <w:tcW w:w="4802" w:type="dxa"/>
            <w:gridSpan w:val="2"/>
            <w:shd w:val="clear" w:color="auto" w:fill="auto"/>
          </w:tcPr>
          <w:p w14:paraId="6BF665A4" w14:textId="77777777" w:rsidR="00FA3484" w:rsidRPr="0070444C" w:rsidRDefault="00FA3484" w:rsidP="00CE4FAC">
            <w:pPr>
              <w:pStyle w:val="TableCellCenter"/>
              <w:keepLines w:val="0"/>
              <w:spacing w:before="0" w:after="0" w:line="240" w:lineRule="auto"/>
              <w:rPr>
                <w:lang w:val="pl-PL"/>
              </w:rPr>
            </w:pPr>
            <w:r w:rsidRPr="0070444C">
              <w:rPr>
                <w:lang w:val="pl-PL"/>
              </w:rPr>
              <w:t>0</w:t>
            </w:r>
            <w:r w:rsidR="004D6DFB" w:rsidRPr="0070444C">
              <w:rPr>
                <w:lang w:val="pl-PL"/>
              </w:rPr>
              <w:t>,</w:t>
            </w:r>
            <w:r w:rsidRPr="0070444C">
              <w:rPr>
                <w:lang w:val="pl-PL"/>
              </w:rPr>
              <w:t>7</w:t>
            </w:r>
            <w:r w:rsidR="006E58D4" w:rsidRPr="0070444C">
              <w:rPr>
                <w:lang w:val="pl-PL"/>
              </w:rPr>
              <w:t>6</w:t>
            </w:r>
            <w:r w:rsidRPr="0070444C">
              <w:rPr>
                <w:lang w:val="pl-PL"/>
              </w:rPr>
              <w:t xml:space="preserve"> [0</w:t>
            </w:r>
            <w:r w:rsidR="004D6DFB" w:rsidRPr="0070444C">
              <w:rPr>
                <w:lang w:val="pl-PL"/>
              </w:rPr>
              <w:t>,</w:t>
            </w:r>
            <w:r w:rsidR="006E58D4" w:rsidRPr="0070444C">
              <w:rPr>
                <w:lang w:val="pl-PL"/>
              </w:rPr>
              <w:t>62</w:t>
            </w:r>
            <w:r w:rsidRPr="0070444C">
              <w:rPr>
                <w:lang w:val="pl-PL"/>
              </w:rPr>
              <w:t>, 0</w:t>
            </w:r>
            <w:r w:rsidR="004D6DFB" w:rsidRPr="0070444C">
              <w:rPr>
                <w:lang w:val="pl-PL"/>
              </w:rPr>
              <w:t>,</w:t>
            </w:r>
            <w:r w:rsidRPr="0070444C">
              <w:rPr>
                <w:lang w:val="pl-PL"/>
              </w:rPr>
              <w:t>94]</w:t>
            </w:r>
          </w:p>
          <w:p w14:paraId="66A6236F" w14:textId="77777777" w:rsidR="00FA3484" w:rsidRPr="0070444C" w:rsidRDefault="00FA3484" w:rsidP="004D6DFB">
            <w:pPr>
              <w:pStyle w:val="TableCellCenter"/>
              <w:keepLines w:val="0"/>
              <w:spacing w:before="0" w:after="0" w:line="240" w:lineRule="auto"/>
              <w:rPr>
                <w:lang w:val="pl-PL"/>
              </w:rPr>
            </w:pPr>
            <w:r w:rsidRPr="0070444C">
              <w:rPr>
                <w:lang w:val="pl-PL"/>
              </w:rPr>
              <w:t>(</w:t>
            </w:r>
            <w:r w:rsidR="00CE7792" w:rsidRPr="0070444C">
              <w:rPr>
                <w:lang w:val="pl-PL"/>
              </w:rPr>
              <w:t xml:space="preserve">wartość </w:t>
            </w:r>
            <w:r w:rsidRPr="0070444C">
              <w:rPr>
                <w:lang w:val="pl-PL"/>
              </w:rPr>
              <w:t>p</w:t>
            </w:r>
            <w:r w:rsidRPr="0070444C">
              <w:rPr>
                <w:vertAlign w:val="superscript"/>
                <w:lang w:val="pl-PL"/>
              </w:rPr>
              <w:t>5</w:t>
            </w:r>
            <w:r w:rsidR="006E58D4" w:rsidRPr="0070444C">
              <w:rPr>
                <w:vertAlign w:val="superscript"/>
                <w:lang w:val="pl-PL"/>
              </w:rPr>
              <w:t>,8</w:t>
            </w:r>
            <w:r w:rsidRPr="0070444C">
              <w:rPr>
                <w:lang w:val="pl-PL"/>
              </w:rPr>
              <w:t xml:space="preserve"> = 0</w:t>
            </w:r>
            <w:r w:rsidR="004D6DFB" w:rsidRPr="0070444C">
              <w:rPr>
                <w:lang w:val="pl-PL"/>
              </w:rPr>
              <w:t>,</w:t>
            </w:r>
            <w:r w:rsidRPr="0070444C">
              <w:rPr>
                <w:lang w:val="pl-PL"/>
              </w:rPr>
              <w:t>0</w:t>
            </w:r>
            <w:r w:rsidR="006E58D4" w:rsidRPr="0070444C">
              <w:rPr>
                <w:lang w:val="pl-PL"/>
              </w:rPr>
              <w:t>126</w:t>
            </w:r>
            <w:r w:rsidRPr="0070444C">
              <w:rPr>
                <w:lang w:val="pl-PL"/>
              </w:rPr>
              <w:t>)</w:t>
            </w:r>
          </w:p>
        </w:tc>
      </w:tr>
      <w:tr w:rsidR="00FA3484" w:rsidRPr="0015541C" w14:paraId="6EE63D0E" w14:textId="77777777" w:rsidTr="006F624F">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37FFE44D" w14:textId="77777777" w:rsidR="00FA3484" w:rsidRPr="0070444C" w:rsidRDefault="004221D1" w:rsidP="006E58D4">
            <w:pPr>
              <w:pStyle w:val="TextTi12"/>
              <w:keepNext/>
              <w:spacing w:before="120" w:after="120"/>
              <w:jc w:val="center"/>
              <w:rPr>
                <w:sz w:val="20"/>
                <w:lang w:val="pl-PL"/>
              </w:rPr>
            </w:pPr>
            <w:r w:rsidRPr="0070444C">
              <w:rPr>
                <w:sz w:val="20"/>
                <w:lang w:val="pl-PL"/>
              </w:rPr>
              <w:t>Drugorzędowe punkty końcowe</w:t>
            </w:r>
          </w:p>
        </w:tc>
      </w:tr>
      <w:tr w:rsidR="00FA3484" w:rsidRPr="0015541C" w14:paraId="3B3BE389" w14:textId="77777777" w:rsidTr="006F624F">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11C12F2F" w14:textId="77777777" w:rsidR="00FA3484" w:rsidRPr="0070444C" w:rsidRDefault="004221D1" w:rsidP="00FE6F7C">
            <w:pPr>
              <w:pStyle w:val="TextTi12"/>
              <w:keepNext/>
              <w:spacing w:before="120" w:after="120"/>
              <w:rPr>
                <w:sz w:val="20"/>
                <w:lang w:val="pl-PL"/>
              </w:rPr>
            </w:pPr>
            <w:r w:rsidRPr="0070444C">
              <w:rPr>
                <w:sz w:val="20"/>
                <w:lang w:val="pl-PL"/>
              </w:rPr>
              <w:t>Czas przeżycia wolny od progresji choroby</w:t>
            </w:r>
            <w:r w:rsidR="006E58D4" w:rsidRPr="0070444C">
              <w:rPr>
                <w:sz w:val="20"/>
                <w:lang w:val="pl-PL"/>
              </w:rPr>
              <w:t xml:space="preserve"> – Analiza </w:t>
            </w:r>
            <w:r w:rsidR="00FE6F7C" w:rsidRPr="0070444C">
              <w:rPr>
                <w:sz w:val="20"/>
                <w:lang w:val="pl-PL"/>
              </w:rPr>
              <w:t>p</w:t>
            </w:r>
            <w:r w:rsidR="006E58D4" w:rsidRPr="0070444C">
              <w:rPr>
                <w:sz w:val="20"/>
                <w:lang w:val="pl-PL"/>
              </w:rPr>
              <w:t>ierwotna</w:t>
            </w:r>
            <w:r w:rsidR="006E58D4" w:rsidRPr="0070444C">
              <w:rPr>
                <w:sz w:val="20"/>
                <w:vertAlign w:val="superscript"/>
                <w:lang w:val="pl-PL"/>
              </w:rPr>
              <w:t>6</w:t>
            </w:r>
          </w:p>
        </w:tc>
      </w:tr>
      <w:tr w:rsidR="00FA3484" w:rsidRPr="0015541C" w14:paraId="7464065E" w14:textId="77777777" w:rsidTr="006F624F">
        <w:trPr>
          <w:jc w:val="center"/>
        </w:trPr>
        <w:tc>
          <w:tcPr>
            <w:tcW w:w="4114" w:type="dxa"/>
            <w:shd w:val="clear" w:color="auto" w:fill="auto"/>
          </w:tcPr>
          <w:p w14:paraId="0394C0DC" w14:textId="77777777" w:rsidR="00FA3484" w:rsidRPr="0070444C" w:rsidRDefault="004221D1" w:rsidP="004221D1">
            <w:pPr>
              <w:pStyle w:val="TextTi12"/>
              <w:keepNext/>
              <w:spacing w:after="0"/>
              <w:jc w:val="left"/>
              <w:rPr>
                <w:sz w:val="20"/>
                <w:lang w:val="pl-PL"/>
              </w:rPr>
            </w:pPr>
            <w:r w:rsidRPr="0070444C">
              <w:rPr>
                <w:sz w:val="20"/>
                <w:lang w:val="pl-PL"/>
              </w:rPr>
              <w:t>Mediana</w:t>
            </w:r>
            <w:r w:rsidR="00FA3484" w:rsidRPr="0070444C">
              <w:rPr>
                <w:sz w:val="20"/>
                <w:lang w:val="pl-PL"/>
              </w:rPr>
              <w:t xml:space="preserve"> PFS (</w:t>
            </w:r>
            <w:r w:rsidRPr="0070444C">
              <w:rPr>
                <w:sz w:val="20"/>
                <w:lang w:val="pl-PL"/>
              </w:rPr>
              <w:t>miesiące</w:t>
            </w:r>
            <w:r w:rsidR="00FA3484" w:rsidRPr="0070444C">
              <w:rPr>
                <w:sz w:val="20"/>
                <w:lang w:val="pl-PL"/>
              </w:rPr>
              <w:t>)</w:t>
            </w:r>
            <w:r w:rsidR="00FA3484" w:rsidRPr="0070444C">
              <w:rPr>
                <w:sz w:val="20"/>
                <w:vertAlign w:val="superscript"/>
                <w:lang w:val="pl-PL"/>
              </w:rPr>
              <w:t>1</w:t>
            </w:r>
          </w:p>
        </w:tc>
        <w:tc>
          <w:tcPr>
            <w:tcW w:w="2280" w:type="dxa"/>
            <w:shd w:val="clear" w:color="auto" w:fill="auto"/>
          </w:tcPr>
          <w:p w14:paraId="7CB77356" w14:textId="77777777" w:rsidR="00FA3484" w:rsidRPr="0070444C" w:rsidRDefault="00FA3484" w:rsidP="004D6DFB">
            <w:pPr>
              <w:pStyle w:val="TextTi12"/>
              <w:keepNext/>
              <w:spacing w:after="0"/>
              <w:jc w:val="center"/>
              <w:rPr>
                <w:sz w:val="20"/>
                <w:lang w:val="pl-PL"/>
              </w:rPr>
            </w:pPr>
            <w:r w:rsidRPr="0070444C">
              <w:rPr>
                <w:sz w:val="20"/>
                <w:lang w:val="pl-PL"/>
              </w:rPr>
              <w:t>6</w:t>
            </w:r>
            <w:r w:rsidR="004D6DFB" w:rsidRPr="0070444C">
              <w:rPr>
                <w:sz w:val="20"/>
                <w:lang w:val="pl-PL"/>
              </w:rPr>
              <w:t>,</w:t>
            </w:r>
            <w:r w:rsidRPr="0070444C">
              <w:rPr>
                <w:sz w:val="20"/>
                <w:lang w:val="pl-PL"/>
              </w:rPr>
              <w:t>0</w:t>
            </w:r>
          </w:p>
        </w:tc>
        <w:tc>
          <w:tcPr>
            <w:tcW w:w="2522" w:type="dxa"/>
            <w:shd w:val="clear" w:color="auto" w:fill="auto"/>
          </w:tcPr>
          <w:p w14:paraId="24D0AC05" w14:textId="77777777" w:rsidR="00FA3484" w:rsidRPr="0070444C" w:rsidRDefault="00FA3484" w:rsidP="004D6DFB">
            <w:pPr>
              <w:pStyle w:val="TextTi12"/>
              <w:keepNext/>
              <w:spacing w:after="0"/>
              <w:jc w:val="center"/>
              <w:rPr>
                <w:sz w:val="20"/>
                <w:lang w:val="pl-PL"/>
              </w:rPr>
            </w:pPr>
            <w:r w:rsidRPr="0070444C">
              <w:rPr>
                <w:sz w:val="20"/>
                <w:lang w:val="pl-PL"/>
              </w:rPr>
              <w:t>8</w:t>
            </w:r>
            <w:r w:rsidR="004D6DFB" w:rsidRPr="0070444C">
              <w:rPr>
                <w:sz w:val="20"/>
                <w:lang w:val="pl-PL"/>
              </w:rPr>
              <w:t>,</w:t>
            </w:r>
            <w:r w:rsidRPr="0070444C">
              <w:rPr>
                <w:sz w:val="20"/>
                <w:lang w:val="pl-PL"/>
              </w:rPr>
              <w:t>3</w:t>
            </w:r>
          </w:p>
        </w:tc>
      </w:tr>
      <w:tr w:rsidR="00FA3484" w:rsidRPr="0015541C" w14:paraId="4821C95C" w14:textId="77777777" w:rsidTr="006F624F">
        <w:trPr>
          <w:jc w:val="center"/>
        </w:trPr>
        <w:tc>
          <w:tcPr>
            <w:tcW w:w="4114" w:type="dxa"/>
            <w:shd w:val="clear" w:color="auto" w:fill="auto"/>
          </w:tcPr>
          <w:p w14:paraId="3C553A16" w14:textId="77777777" w:rsidR="00FA3484" w:rsidRPr="0070444C" w:rsidRDefault="00FA3484" w:rsidP="00CE4FAC">
            <w:pPr>
              <w:pStyle w:val="TextTi12"/>
              <w:keepNext/>
              <w:spacing w:after="0"/>
              <w:jc w:val="left"/>
              <w:rPr>
                <w:sz w:val="20"/>
                <w:lang w:val="pl-PL"/>
              </w:rPr>
            </w:pPr>
            <w:r w:rsidRPr="0070444C">
              <w:rPr>
                <w:sz w:val="20"/>
                <w:lang w:val="pl-PL"/>
              </w:rPr>
              <w:t>Hazard ratio [95% CI]</w:t>
            </w:r>
          </w:p>
        </w:tc>
        <w:tc>
          <w:tcPr>
            <w:tcW w:w="4802" w:type="dxa"/>
            <w:gridSpan w:val="2"/>
            <w:shd w:val="clear" w:color="auto" w:fill="auto"/>
          </w:tcPr>
          <w:p w14:paraId="2CA2343C" w14:textId="77777777" w:rsidR="00FA3484" w:rsidRPr="0070444C" w:rsidRDefault="00FA3484" w:rsidP="00CE4FAC">
            <w:pPr>
              <w:pStyle w:val="TableCellCenter"/>
              <w:keepLines w:val="0"/>
              <w:spacing w:before="0" w:after="0" w:line="240" w:lineRule="auto"/>
              <w:rPr>
                <w:lang w:val="pl-PL"/>
              </w:rPr>
            </w:pPr>
            <w:r w:rsidRPr="0070444C">
              <w:rPr>
                <w:lang w:val="pl-PL"/>
              </w:rPr>
              <w:t>0</w:t>
            </w:r>
            <w:r w:rsidR="004D6DFB" w:rsidRPr="0070444C">
              <w:rPr>
                <w:lang w:val="pl-PL"/>
              </w:rPr>
              <w:t>,</w:t>
            </w:r>
            <w:r w:rsidRPr="0070444C">
              <w:rPr>
                <w:lang w:val="pl-PL"/>
              </w:rPr>
              <w:t>66 [0</w:t>
            </w:r>
            <w:r w:rsidR="004D6DFB" w:rsidRPr="0070444C">
              <w:rPr>
                <w:lang w:val="pl-PL"/>
              </w:rPr>
              <w:t>,</w:t>
            </w:r>
            <w:r w:rsidRPr="0070444C">
              <w:rPr>
                <w:lang w:val="pl-PL"/>
              </w:rPr>
              <w:t>54, 0</w:t>
            </w:r>
            <w:r w:rsidR="004D6DFB" w:rsidRPr="0070444C">
              <w:rPr>
                <w:lang w:val="pl-PL"/>
              </w:rPr>
              <w:t>,</w:t>
            </w:r>
            <w:r w:rsidRPr="0070444C">
              <w:rPr>
                <w:lang w:val="pl-PL"/>
              </w:rPr>
              <w:t>81]</w:t>
            </w:r>
          </w:p>
          <w:p w14:paraId="65BABE42" w14:textId="77777777" w:rsidR="00FA3484" w:rsidRPr="0070444C" w:rsidRDefault="00FA3484" w:rsidP="004D6DFB">
            <w:pPr>
              <w:pStyle w:val="TextTi12"/>
              <w:keepNext/>
              <w:spacing w:after="0"/>
              <w:jc w:val="center"/>
              <w:rPr>
                <w:sz w:val="20"/>
                <w:lang w:val="pl-PL"/>
              </w:rPr>
            </w:pPr>
            <w:r w:rsidRPr="0070444C">
              <w:rPr>
                <w:sz w:val="20"/>
                <w:lang w:val="pl-PL"/>
              </w:rPr>
              <w:t>(</w:t>
            </w:r>
            <w:r w:rsidR="00CE7792" w:rsidRPr="0070444C">
              <w:rPr>
                <w:sz w:val="20"/>
                <w:lang w:val="pl-PL"/>
              </w:rPr>
              <w:t xml:space="preserve">wartość </w:t>
            </w:r>
            <w:r w:rsidRPr="0070444C">
              <w:rPr>
                <w:sz w:val="20"/>
                <w:lang w:val="pl-PL"/>
              </w:rPr>
              <w:t>p</w:t>
            </w:r>
            <w:r w:rsidRPr="0070444C">
              <w:rPr>
                <w:sz w:val="20"/>
                <w:vertAlign w:val="superscript"/>
                <w:lang w:val="pl-PL"/>
              </w:rPr>
              <w:t>5</w:t>
            </w:r>
            <w:r w:rsidRPr="0070444C">
              <w:rPr>
                <w:sz w:val="20"/>
                <w:lang w:val="pl-PL"/>
              </w:rPr>
              <w:t> &lt;0</w:t>
            </w:r>
            <w:r w:rsidR="004D6DFB" w:rsidRPr="0070444C">
              <w:rPr>
                <w:sz w:val="20"/>
                <w:lang w:val="pl-PL"/>
              </w:rPr>
              <w:t>,</w:t>
            </w:r>
            <w:r w:rsidRPr="0070444C">
              <w:rPr>
                <w:sz w:val="20"/>
                <w:lang w:val="pl-PL"/>
              </w:rPr>
              <w:t>0001)</w:t>
            </w:r>
          </w:p>
        </w:tc>
      </w:tr>
      <w:tr w:rsidR="00FA3484" w:rsidRPr="0015541C" w14:paraId="743234E1" w14:textId="77777777" w:rsidTr="006F624F">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5336B107" w14:textId="77777777" w:rsidR="00FA3484" w:rsidRPr="0070444C" w:rsidRDefault="004C496C" w:rsidP="00FE6F7C">
            <w:pPr>
              <w:pStyle w:val="TextTi12"/>
              <w:keepNext/>
              <w:spacing w:before="120" w:after="120"/>
              <w:rPr>
                <w:sz w:val="20"/>
                <w:lang w:val="pl-PL"/>
              </w:rPr>
            </w:pPr>
            <w:r w:rsidRPr="0070444C">
              <w:rPr>
                <w:sz w:val="20"/>
                <w:lang w:val="pl-PL"/>
              </w:rPr>
              <w:t>Najlepsza całkowita odpowiedź</w:t>
            </w:r>
            <w:r w:rsidR="00FA3484" w:rsidRPr="0070444C">
              <w:rPr>
                <w:sz w:val="20"/>
                <w:lang w:val="pl-PL"/>
              </w:rPr>
              <w:t xml:space="preserve"> </w:t>
            </w:r>
            <w:r w:rsidR="006E58D4" w:rsidRPr="0070444C">
              <w:rPr>
                <w:sz w:val="20"/>
                <w:lang w:val="pl-PL"/>
              </w:rPr>
              <w:t xml:space="preserve">– Analiza </w:t>
            </w:r>
            <w:r w:rsidR="00FE6F7C" w:rsidRPr="0070444C">
              <w:rPr>
                <w:sz w:val="20"/>
                <w:lang w:val="pl-PL"/>
              </w:rPr>
              <w:t>p</w:t>
            </w:r>
            <w:r w:rsidR="006E58D4" w:rsidRPr="0070444C">
              <w:rPr>
                <w:sz w:val="20"/>
                <w:lang w:val="pl-PL"/>
              </w:rPr>
              <w:t>ierwotna</w:t>
            </w:r>
            <w:r w:rsidR="006E58D4" w:rsidRPr="0070444C">
              <w:rPr>
                <w:sz w:val="20"/>
                <w:vertAlign w:val="superscript"/>
                <w:lang w:val="pl-PL"/>
              </w:rPr>
              <w:t>6</w:t>
            </w:r>
          </w:p>
        </w:tc>
      </w:tr>
      <w:tr w:rsidR="00FA3484" w:rsidRPr="0015541C" w14:paraId="5E5A5704" w14:textId="77777777" w:rsidTr="006F624F">
        <w:trPr>
          <w:jc w:val="center"/>
        </w:trPr>
        <w:tc>
          <w:tcPr>
            <w:tcW w:w="4114" w:type="dxa"/>
            <w:shd w:val="clear" w:color="auto" w:fill="auto"/>
          </w:tcPr>
          <w:p w14:paraId="452385B0" w14:textId="5F2B4646" w:rsidR="00FA3484" w:rsidRPr="003C36AE" w:rsidRDefault="006E58D4" w:rsidP="00CE4FAC">
            <w:pPr>
              <w:pStyle w:val="TableCellLeft"/>
              <w:keepLines w:val="0"/>
              <w:spacing w:before="0" w:after="0" w:line="240" w:lineRule="auto"/>
              <w:rPr>
                <w:lang w:val="pl-PL"/>
              </w:rPr>
            </w:pPr>
            <w:r w:rsidRPr="0015541C">
              <w:rPr>
                <w:lang w:val="pl-PL"/>
              </w:rPr>
              <w:t xml:space="preserve">Pacjentki </w:t>
            </w:r>
            <w:r w:rsidR="00FE6F7C" w:rsidRPr="0015541C">
              <w:rPr>
                <w:lang w:val="pl-PL"/>
              </w:rPr>
              <w:t xml:space="preserve">odpowiadające na leczenie </w:t>
            </w:r>
            <w:r w:rsidRPr="0015541C">
              <w:rPr>
                <w:lang w:val="pl-PL"/>
              </w:rPr>
              <w:t>(</w:t>
            </w:r>
            <w:r w:rsidR="00D6335C" w:rsidRPr="00AC3958">
              <w:rPr>
                <w:lang w:val="pl-PL"/>
              </w:rPr>
              <w:t xml:space="preserve">współczynnik </w:t>
            </w:r>
            <w:r w:rsidR="004221D1" w:rsidRPr="00260CEC">
              <w:rPr>
                <w:lang w:val="pl-PL"/>
              </w:rPr>
              <w:t>odpowiedzi</w:t>
            </w:r>
            <w:r w:rsidRPr="003C36AE">
              <w:rPr>
                <w:vertAlign w:val="superscript"/>
                <w:lang w:val="pl-PL"/>
              </w:rPr>
              <w:t>2</w:t>
            </w:r>
            <w:r w:rsidRPr="003C36AE">
              <w:rPr>
                <w:lang w:val="pl-PL"/>
              </w:rPr>
              <w:t>)</w:t>
            </w:r>
          </w:p>
        </w:tc>
        <w:tc>
          <w:tcPr>
            <w:tcW w:w="2280" w:type="dxa"/>
            <w:shd w:val="clear" w:color="auto" w:fill="auto"/>
          </w:tcPr>
          <w:p w14:paraId="7ECC84C7" w14:textId="77777777" w:rsidR="00FA3484" w:rsidRPr="0070444C" w:rsidRDefault="00FA3484" w:rsidP="00064871">
            <w:pPr>
              <w:pStyle w:val="TableCellCenter"/>
              <w:keepLines w:val="0"/>
              <w:spacing w:before="0" w:after="0" w:line="240" w:lineRule="auto"/>
              <w:rPr>
                <w:lang w:val="pl-PL"/>
              </w:rPr>
            </w:pPr>
            <w:r w:rsidRPr="0070444C">
              <w:rPr>
                <w:lang w:val="pl-PL"/>
              </w:rPr>
              <w:t>76 (33</w:t>
            </w:r>
            <w:r w:rsidR="004D6DFB" w:rsidRPr="0070444C">
              <w:rPr>
                <w:lang w:val="pl-PL"/>
              </w:rPr>
              <w:t>,</w:t>
            </w:r>
            <w:r w:rsidRPr="0070444C">
              <w:rPr>
                <w:lang w:val="pl-PL"/>
              </w:rPr>
              <w:t>8 %)</w:t>
            </w:r>
          </w:p>
        </w:tc>
        <w:tc>
          <w:tcPr>
            <w:tcW w:w="2522" w:type="dxa"/>
            <w:shd w:val="clear" w:color="auto" w:fill="auto"/>
          </w:tcPr>
          <w:p w14:paraId="070ED051" w14:textId="77777777" w:rsidR="00FA3484" w:rsidRPr="0070444C" w:rsidRDefault="00FA3484" w:rsidP="004D6DFB">
            <w:pPr>
              <w:pStyle w:val="TableCellCenter"/>
              <w:keepLines w:val="0"/>
              <w:spacing w:before="0" w:after="0" w:line="240" w:lineRule="auto"/>
              <w:rPr>
                <w:lang w:val="pl-PL"/>
              </w:rPr>
            </w:pPr>
            <w:r w:rsidRPr="0070444C">
              <w:rPr>
                <w:lang w:val="pl-PL"/>
              </w:rPr>
              <w:t>103 (45</w:t>
            </w:r>
            <w:r w:rsidR="004D6DFB" w:rsidRPr="0070444C">
              <w:rPr>
                <w:lang w:val="pl-PL"/>
              </w:rPr>
              <w:t>,</w:t>
            </w:r>
            <w:r w:rsidRPr="0070444C">
              <w:rPr>
                <w:lang w:val="pl-PL"/>
              </w:rPr>
              <w:t>4 %)</w:t>
            </w:r>
          </w:p>
        </w:tc>
      </w:tr>
      <w:tr w:rsidR="00FA3484" w:rsidRPr="0015541C" w14:paraId="02B6E811" w14:textId="77777777" w:rsidTr="006F624F">
        <w:trPr>
          <w:jc w:val="center"/>
        </w:trPr>
        <w:tc>
          <w:tcPr>
            <w:tcW w:w="4114" w:type="dxa"/>
            <w:shd w:val="clear" w:color="auto" w:fill="auto"/>
          </w:tcPr>
          <w:p w14:paraId="4AC91902" w14:textId="77777777" w:rsidR="00FA3484" w:rsidRPr="0070444C" w:rsidRDefault="00FA3484" w:rsidP="00064871">
            <w:pPr>
              <w:pStyle w:val="TextTi12"/>
              <w:keepNext/>
              <w:spacing w:after="0"/>
              <w:jc w:val="left"/>
              <w:rPr>
                <w:sz w:val="20"/>
                <w:lang w:val="pl-PL"/>
              </w:rPr>
            </w:pPr>
            <w:r w:rsidRPr="0070444C">
              <w:rPr>
                <w:sz w:val="20"/>
                <w:lang w:val="pl-PL"/>
              </w:rPr>
              <w:t xml:space="preserve">95% CI </w:t>
            </w:r>
            <w:r w:rsidR="00B05491" w:rsidRPr="0070444C">
              <w:rPr>
                <w:sz w:val="20"/>
                <w:lang w:val="pl-PL"/>
              </w:rPr>
              <w:t xml:space="preserve">dla </w:t>
            </w:r>
            <w:r w:rsidR="00B05491" w:rsidRPr="006C715E">
              <w:rPr>
                <w:noProof/>
                <w:sz w:val="20"/>
                <w:lang w:val="pl-PL"/>
              </w:rPr>
              <w:t>wspólczynników</w:t>
            </w:r>
            <w:r w:rsidR="00B05491" w:rsidRPr="0070444C">
              <w:rPr>
                <w:sz w:val="20"/>
                <w:lang w:val="pl-PL"/>
              </w:rPr>
              <w:t xml:space="preserve"> odpowiedzi</w:t>
            </w:r>
            <w:r w:rsidRPr="0070444C">
              <w:rPr>
                <w:sz w:val="20"/>
                <w:vertAlign w:val="superscript"/>
                <w:lang w:val="pl-PL"/>
              </w:rPr>
              <w:t>3</w:t>
            </w:r>
          </w:p>
        </w:tc>
        <w:tc>
          <w:tcPr>
            <w:tcW w:w="2280" w:type="dxa"/>
            <w:shd w:val="clear" w:color="auto" w:fill="auto"/>
          </w:tcPr>
          <w:p w14:paraId="1FD1326D" w14:textId="77777777" w:rsidR="00FA3484" w:rsidRPr="0070444C" w:rsidRDefault="00FA3484" w:rsidP="00064871">
            <w:pPr>
              <w:pStyle w:val="TableCellCenter"/>
              <w:keepLines w:val="0"/>
              <w:spacing w:before="0" w:after="0" w:line="240" w:lineRule="auto"/>
              <w:rPr>
                <w:lang w:val="pl-PL"/>
              </w:rPr>
            </w:pPr>
            <w:r w:rsidRPr="0070444C">
              <w:rPr>
                <w:lang w:val="pl-PL"/>
              </w:rPr>
              <w:t>[27</w:t>
            </w:r>
            <w:r w:rsidR="004D6DFB" w:rsidRPr="0070444C">
              <w:rPr>
                <w:lang w:val="pl-PL"/>
              </w:rPr>
              <w:t>,</w:t>
            </w:r>
            <w:r w:rsidRPr="0070444C">
              <w:rPr>
                <w:lang w:val="pl-PL"/>
              </w:rPr>
              <w:t>6</w:t>
            </w:r>
            <w:r w:rsidR="006E58D4" w:rsidRPr="0070444C">
              <w:rPr>
                <w:lang w:val="pl-PL"/>
              </w:rPr>
              <w:t>%,</w:t>
            </w:r>
            <w:r w:rsidRPr="0070444C">
              <w:rPr>
                <w:lang w:val="pl-PL"/>
              </w:rPr>
              <w:t xml:space="preserve"> 40</w:t>
            </w:r>
            <w:r w:rsidR="004D6DFB" w:rsidRPr="0070444C">
              <w:rPr>
                <w:lang w:val="pl-PL"/>
              </w:rPr>
              <w:t>,</w:t>
            </w:r>
            <w:r w:rsidRPr="0070444C">
              <w:rPr>
                <w:lang w:val="pl-PL"/>
              </w:rPr>
              <w:t>4</w:t>
            </w:r>
            <w:r w:rsidR="006E58D4" w:rsidRPr="0070444C">
              <w:rPr>
                <w:lang w:val="pl-PL"/>
              </w:rPr>
              <w:t>%</w:t>
            </w:r>
            <w:r w:rsidRPr="0070444C">
              <w:rPr>
                <w:lang w:val="pl-PL"/>
              </w:rPr>
              <w:t>]</w:t>
            </w:r>
          </w:p>
        </w:tc>
        <w:tc>
          <w:tcPr>
            <w:tcW w:w="2522" w:type="dxa"/>
            <w:shd w:val="clear" w:color="auto" w:fill="auto"/>
          </w:tcPr>
          <w:p w14:paraId="37884B20" w14:textId="77777777" w:rsidR="00FA3484" w:rsidRPr="0070444C" w:rsidRDefault="00FA3484" w:rsidP="004D6DFB">
            <w:pPr>
              <w:pStyle w:val="TableCellCenter"/>
              <w:keepLines w:val="0"/>
              <w:spacing w:before="0" w:after="0" w:line="240" w:lineRule="auto"/>
              <w:rPr>
                <w:lang w:val="pl-PL"/>
              </w:rPr>
            </w:pPr>
            <w:r w:rsidRPr="0070444C">
              <w:rPr>
                <w:lang w:val="pl-PL"/>
              </w:rPr>
              <w:t>[38</w:t>
            </w:r>
            <w:r w:rsidR="004D6DFB" w:rsidRPr="0070444C">
              <w:rPr>
                <w:lang w:val="pl-PL"/>
              </w:rPr>
              <w:t>,</w:t>
            </w:r>
            <w:r w:rsidRPr="0070444C">
              <w:rPr>
                <w:lang w:val="pl-PL"/>
              </w:rPr>
              <w:t>8</w:t>
            </w:r>
            <w:r w:rsidR="006E58D4" w:rsidRPr="0070444C">
              <w:rPr>
                <w:lang w:val="pl-PL"/>
              </w:rPr>
              <w:t>%</w:t>
            </w:r>
            <w:r w:rsidRPr="0070444C">
              <w:rPr>
                <w:lang w:val="pl-PL"/>
              </w:rPr>
              <w:t>, 52</w:t>
            </w:r>
            <w:r w:rsidR="004D6DFB" w:rsidRPr="0070444C">
              <w:rPr>
                <w:lang w:val="pl-PL"/>
              </w:rPr>
              <w:t>,</w:t>
            </w:r>
            <w:r w:rsidRPr="0070444C">
              <w:rPr>
                <w:lang w:val="pl-PL"/>
              </w:rPr>
              <w:t>1</w:t>
            </w:r>
            <w:r w:rsidR="006E58D4" w:rsidRPr="0070444C">
              <w:rPr>
                <w:lang w:val="pl-PL"/>
              </w:rPr>
              <w:t>%</w:t>
            </w:r>
            <w:r w:rsidRPr="0070444C">
              <w:rPr>
                <w:lang w:val="pl-PL"/>
              </w:rPr>
              <w:t>]</w:t>
            </w:r>
          </w:p>
        </w:tc>
      </w:tr>
      <w:tr w:rsidR="00FA3484" w:rsidRPr="0015541C" w14:paraId="46A0CAA9" w14:textId="77777777" w:rsidTr="006F624F">
        <w:trPr>
          <w:jc w:val="center"/>
        </w:trPr>
        <w:tc>
          <w:tcPr>
            <w:tcW w:w="4114" w:type="dxa"/>
            <w:shd w:val="clear" w:color="auto" w:fill="auto"/>
          </w:tcPr>
          <w:p w14:paraId="3DF174B2" w14:textId="77777777" w:rsidR="00FA3484" w:rsidRPr="0070444C" w:rsidRDefault="004221D1" w:rsidP="00064871">
            <w:pPr>
              <w:pStyle w:val="TextTi12"/>
              <w:keepNext/>
              <w:spacing w:after="0"/>
              <w:jc w:val="left"/>
              <w:rPr>
                <w:sz w:val="20"/>
                <w:lang w:val="pl-PL"/>
              </w:rPr>
            </w:pPr>
            <w:r w:rsidRPr="0070444C">
              <w:rPr>
                <w:sz w:val="20"/>
                <w:lang w:val="pl-PL"/>
              </w:rPr>
              <w:t xml:space="preserve">Różnice </w:t>
            </w:r>
            <w:r w:rsidR="00B05491" w:rsidRPr="0070444C">
              <w:rPr>
                <w:sz w:val="20"/>
                <w:lang w:val="pl-PL"/>
              </w:rPr>
              <w:t>współczynników</w:t>
            </w:r>
            <w:r w:rsidRPr="0070444C">
              <w:rPr>
                <w:sz w:val="20"/>
                <w:lang w:val="pl-PL"/>
              </w:rPr>
              <w:t xml:space="preserve"> odpowiedzi</w:t>
            </w:r>
          </w:p>
        </w:tc>
        <w:tc>
          <w:tcPr>
            <w:tcW w:w="4802" w:type="dxa"/>
            <w:gridSpan w:val="2"/>
            <w:shd w:val="clear" w:color="auto" w:fill="auto"/>
          </w:tcPr>
          <w:p w14:paraId="7316A40F" w14:textId="77777777" w:rsidR="00FA3484" w:rsidRPr="0070444C" w:rsidRDefault="00FA3484" w:rsidP="004D6DFB">
            <w:pPr>
              <w:pStyle w:val="TableCellCenter"/>
              <w:keepLines w:val="0"/>
              <w:spacing w:before="0" w:after="0" w:line="240" w:lineRule="auto"/>
              <w:rPr>
                <w:lang w:val="pl-PL"/>
              </w:rPr>
            </w:pPr>
            <w:r w:rsidRPr="0070444C">
              <w:rPr>
                <w:lang w:val="pl-PL"/>
              </w:rPr>
              <w:t>11</w:t>
            </w:r>
            <w:r w:rsidR="004D6DFB" w:rsidRPr="0070444C">
              <w:rPr>
                <w:lang w:val="pl-PL"/>
              </w:rPr>
              <w:t>,</w:t>
            </w:r>
            <w:r w:rsidRPr="0070444C">
              <w:rPr>
                <w:lang w:val="pl-PL"/>
              </w:rPr>
              <w:t>60</w:t>
            </w:r>
            <w:r w:rsidR="006E58D4" w:rsidRPr="0070444C">
              <w:rPr>
                <w:lang w:val="pl-PL"/>
              </w:rPr>
              <w:t>%</w:t>
            </w:r>
          </w:p>
        </w:tc>
      </w:tr>
      <w:tr w:rsidR="00FA3484" w:rsidRPr="0015541C" w14:paraId="05D1A76D" w14:textId="77777777" w:rsidTr="006F624F">
        <w:trPr>
          <w:jc w:val="center"/>
        </w:trPr>
        <w:tc>
          <w:tcPr>
            <w:tcW w:w="4114" w:type="dxa"/>
            <w:shd w:val="clear" w:color="auto" w:fill="auto"/>
          </w:tcPr>
          <w:p w14:paraId="218B8EF0" w14:textId="77777777" w:rsidR="00FA3484" w:rsidRPr="003C36AE" w:rsidRDefault="00FA3484" w:rsidP="00B05491">
            <w:pPr>
              <w:pStyle w:val="TextTi12"/>
              <w:keepNext/>
              <w:spacing w:after="0"/>
              <w:jc w:val="left"/>
              <w:rPr>
                <w:rFonts w:eastAsia="SimSun"/>
                <w:sz w:val="20"/>
                <w:lang w:val="pl-PL" w:eastAsia="zh-CN"/>
              </w:rPr>
            </w:pPr>
            <w:r w:rsidRPr="0015541C">
              <w:rPr>
                <w:rFonts w:eastAsia="SimSun"/>
                <w:sz w:val="20"/>
                <w:lang w:val="pl-PL" w:eastAsia="zh-CN"/>
              </w:rPr>
              <w:t xml:space="preserve">95% CI </w:t>
            </w:r>
            <w:r w:rsidR="0079250E" w:rsidRPr="0015541C">
              <w:rPr>
                <w:rFonts w:eastAsia="SimSun"/>
                <w:sz w:val="20"/>
                <w:lang w:val="pl-PL" w:eastAsia="zh-CN"/>
              </w:rPr>
              <w:t>dla</w:t>
            </w:r>
            <w:r w:rsidRPr="0015541C">
              <w:rPr>
                <w:rFonts w:eastAsia="SimSun"/>
                <w:sz w:val="20"/>
                <w:lang w:val="pl-PL" w:eastAsia="zh-CN"/>
              </w:rPr>
              <w:t xml:space="preserve"> </w:t>
            </w:r>
            <w:r w:rsidR="004221D1" w:rsidRPr="00AC3958">
              <w:rPr>
                <w:rFonts w:eastAsia="SimSun"/>
                <w:sz w:val="20"/>
                <w:lang w:val="pl-PL" w:eastAsia="zh-CN"/>
              </w:rPr>
              <w:t xml:space="preserve">różnicy </w:t>
            </w:r>
            <w:r w:rsidR="00B05491" w:rsidRPr="00260CEC">
              <w:rPr>
                <w:rFonts w:eastAsia="SimSun"/>
                <w:sz w:val="20"/>
                <w:lang w:val="pl-PL" w:eastAsia="zh-CN"/>
              </w:rPr>
              <w:t xml:space="preserve">we </w:t>
            </w:r>
            <w:r w:rsidR="00B05491" w:rsidRPr="003C36AE">
              <w:rPr>
                <w:rFonts w:eastAsia="SimSun"/>
                <w:sz w:val="20"/>
                <w:lang w:val="pl-PL" w:eastAsia="zh-CN"/>
              </w:rPr>
              <w:t>współczynnikach odpowiedzi</w:t>
            </w:r>
            <w:r w:rsidR="00B05491" w:rsidRPr="003C36AE">
              <w:rPr>
                <w:rFonts w:ascii="Times" w:eastAsia="SimSun" w:hAnsi="Times" w:cs="Arial"/>
                <w:sz w:val="20"/>
                <w:vertAlign w:val="superscript"/>
                <w:lang w:val="pl-PL" w:eastAsia="zh-CN"/>
              </w:rPr>
              <w:t>4</w:t>
            </w:r>
          </w:p>
        </w:tc>
        <w:tc>
          <w:tcPr>
            <w:tcW w:w="4802" w:type="dxa"/>
            <w:gridSpan w:val="2"/>
            <w:shd w:val="clear" w:color="auto" w:fill="auto"/>
          </w:tcPr>
          <w:p w14:paraId="01F742FD" w14:textId="77777777" w:rsidR="00FA3484" w:rsidRPr="0070444C" w:rsidRDefault="00FA3484" w:rsidP="004D6DFB">
            <w:pPr>
              <w:pStyle w:val="TableCellCenter"/>
              <w:keepLines w:val="0"/>
              <w:spacing w:before="0" w:after="0" w:line="240" w:lineRule="auto"/>
              <w:rPr>
                <w:lang w:val="pl-PL"/>
              </w:rPr>
            </w:pPr>
            <w:r w:rsidRPr="0070444C">
              <w:rPr>
                <w:lang w:val="pl-PL"/>
              </w:rPr>
              <w:t>[2</w:t>
            </w:r>
            <w:r w:rsidR="004D6DFB" w:rsidRPr="0070444C">
              <w:rPr>
                <w:lang w:val="pl-PL"/>
              </w:rPr>
              <w:t>,</w:t>
            </w:r>
            <w:r w:rsidRPr="0070444C">
              <w:rPr>
                <w:lang w:val="pl-PL"/>
              </w:rPr>
              <w:t>4</w:t>
            </w:r>
            <w:r w:rsidR="006E58D4" w:rsidRPr="0070444C">
              <w:rPr>
                <w:lang w:val="pl-PL"/>
              </w:rPr>
              <w:t>%</w:t>
            </w:r>
            <w:r w:rsidRPr="0070444C">
              <w:rPr>
                <w:lang w:val="pl-PL"/>
              </w:rPr>
              <w:t>, 20</w:t>
            </w:r>
            <w:r w:rsidR="004D6DFB" w:rsidRPr="0070444C">
              <w:rPr>
                <w:lang w:val="pl-PL"/>
              </w:rPr>
              <w:t>,</w:t>
            </w:r>
            <w:r w:rsidRPr="0070444C">
              <w:rPr>
                <w:lang w:val="pl-PL"/>
              </w:rPr>
              <w:t>8</w:t>
            </w:r>
            <w:r w:rsidR="006E58D4" w:rsidRPr="0070444C">
              <w:rPr>
                <w:lang w:val="pl-PL"/>
              </w:rPr>
              <w:t>%</w:t>
            </w:r>
            <w:r w:rsidRPr="0070444C">
              <w:rPr>
                <w:lang w:val="pl-PL"/>
              </w:rPr>
              <w:t>]</w:t>
            </w:r>
          </w:p>
        </w:tc>
      </w:tr>
      <w:tr w:rsidR="00FA3484" w:rsidRPr="0015541C" w14:paraId="6160B036" w14:textId="77777777" w:rsidTr="006F624F">
        <w:trPr>
          <w:jc w:val="center"/>
        </w:trPr>
        <w:tc>
          <w:tcPr>
            <w:tcW w:w="4114" w:type="dxa"/>
            <w:shd w:val="clear" w:color="auto" w:fill="auto"/>
          </w:tcPr>
          <w:p w14:paraId="5710A6F6" w14:textId="1FC135D6" w:rsidR="00FA3484" w:rsidRPr="0070444C" w:rsidRDefault="00B05491" w:rsidP="00B05491">
            <w:pPr>
              <w:pStyle w:val="TextTi12"/>
              <w:keepNext/>
              <w:spacing w:after="0"/>
              <w:jc w:val="left"/>
              <w:rPr>
                <w:sz w:val="20"/>
                <w:lang w:val="pl-PL"/>
              </w:rPr>
            </w:pPr>
            <w:r w:rsidRPr="0070444C">
              <w:rPr>
                <w:sz w:val="20"/>
                <w:lang w:val="pl-PL"/>
              </w:rPr>
              <w:t xml:space="preserve">Wartość </w:t>
            </w:r>
            <w:r w:rsidR="00FA3484" w:rsidRPr="0070444C">
              <w:rPr>
                <w:sz w:val="20"/>
                <w:lang w:val="pl-PL"/>
              </w:rPr>
              <w:t>p (</w:t>
            </w:r>
            <w:r w:rsidR="0048590C">
              <w:rPr>
                <w:sz w:val="20"/>
                <w:lang w:val="pl-PL"/>
              </w:rPr>
              <w:t>T</w:t>
            </w:r>
            <w:r w:rsidR="00D6335C" w:rsidRPr="0015541C">
              <w:rPr>
                <w:sz w:val="20"/>
                <w:lang w:val="pl-PL"/>
              </w:rPr>
              <w:t>est chi-kwadrat</w:t>
            </w:r>
            <w:r w:rsidR="00FA3484" w:rsidRPr="0070444C">
              <w:rPr>
                <w:sz w:val="20"/>
                <w:lang w:val="pl-PL"/>
              </w:rPr>
              <w:t>)</w:t>
            </w:r>
          </w:p>
        </w:tc>
        <w:tc>
          <w:tcPr>
            <w:tcW w:w="4802" w:type="dxa"/>
            <w:gridSpan w:val="2"/>
            <w:shd w:val="clear" w:color="auto" w:fill="auto"/>
          </w:tcPr>
          <w:p w14:paraId="34E21C33" w14:textId="77777777" w:rsidR="00FA3484" w:rsidRPr="0070444C" w:rsidRDefault="00FA3484" w:rsidP="004D6DFB">
            <w:pPr>
              <w:pStyle w:val="TableCellCenter"/>
              <w:keepLines w:val="0"/>
              <w:spacing w:before="0" w:after="0" w:line="240" w:lineRule="auto"/>
              <w:rPr>
                <w:lang w:val="pl-PL"/>
              </w:rPr>
            </w:pPr>
            <w:r w:rsidRPr="0070444C">
              <w:rPr>
                <w:lang w:val="pl-PL"/>
              </w:rPr>
              <w:t>0</w:t>
            </w:r>
            <w:r w:rsidR="004D6DFB" w:rsidRPr="0070444C">
              <w:rPr>
                <w:lang w:val="pl-PL"/>
              </w:rPr>
              <w:t>,</w:t>
            </w:r>
            <w:r w:rsidRPr="0070444C">
              <w:rPr>
                <w:lang w:val="pl-PL"/>
              </w:rPr>
              <w:t>0117</w:t>
            </w:r>
          </w:p>
        </w:tc>
      </w:tr>
    </w:tbl>
    <w:p w14:paraId="5554DFBB" w14:textId="77777777" w:rsidR="00FA3484" w:rsidRPr="003C36AE" w:rsidRDefault="00FA3484" w:rsidP="00A56625">
      <w:pPr>
        <w:keepNext/>
        <w:outlineLvl w:val="0"/>
        <w:rPr>
          <w:rFonts w:eastAsia="SimSun"/>
          <w:iCs/>
          <w:sz w:val="20"/>
          <w:lang w:val="pl-PL" w:eastAsia="zh-CN"/>
        </w:rPr>
      </w:pPr>
      <w:r w:rsidRPr="0015541C">
        <w:rPr>
          <w:rFonts w:eastAsia="SimSun"/>
          <w:iCs/>
          <w:sz w:val="20"/>
          <w:vertAlign w:val="superscript"/>
          <w:lang w:val="pl-PL" w:eastAsia="zh-CN"/>
        </w:rPr>
        <w:t>1</w:t>
      </w:r>
      <w:r w:rsidRPr="0015541C">
        <w:rPr>
          <w:rFonts w:eastAsia="SimSun"/>
          <w:iCs/>
          <w:sz w:val="20"/>
          <w:lang w:val="pl-PL" w:eastAsia="zh-CN"/>
        </w:rPr>
        <w:t xml:space="preserve"> </w:t>
      </w:r>
      <w:r w:rsidR="006504E6" w:rsidRPr="0015541C">
        <w:rPr>
          <w:rFonts w:eastAsia="SimSun"/>
          <w:iCs/>
          <w:sz w:val="20"/>
          <w:lang w:val="pl-PL" w:eastAsia="zh-CN"/>
        </w:rPr>
        <w:t>estymator</w:t>
      </w:r>
      <w:r w:rsidR="001F0D1C" w:rsidRPr="00AC3958">
        <w:rPr>
          <w:rFonts w:eastAsia="SimSun"/>
          <w:iCs/>
          <w:sz w:val="20"/>
          <w:lang w:val="pl-PL" w:eastAsia="zh-CN"/>
        </w:rPr>
        <w:t xml:space="preserve"> </w:t>
      </w:r>
      <w:r w:rsidRPr="00260CEC">
        <w:rPr>
          <w:rFonts w:eastAsia="SimSun"/>
          <w:iCs/>
          <w:sz w:val="20"/>
          <w:lang w:val="pl-PL" w:eastAsia="zh-CN"/>
        </w:rPr>
        <w:t>Kaplan-Meier</w:t>
      </w:r>
      <w:r w:rsidR="001F0D1C" w:rsidRPr="003C36AE">
        <w:rPr>
          <w:rFonts w:eastAsia="SimSun"/>
          <w:iCs/>
          <w:sz w:val="20"/>
          <w:lang w:val="pl-PL" w:eastAsia="zh-CN"/>
        </w:rPr>
        <w:t>a</w:t>
      </w:r>
      <w:r w:rsidRPr="003C36AE">
        <w:rPr>
          <w:rFonts w:eastAsia="SimSun"/>
          <w:iCs/>
          <w:sz w:val="20"/>
          <w:lang w:val="pl-PL" w:eastAsia="zh-CN"/>
        </w:rPr>
        <w:t xml:space="preserve"> </w:t>
      </w:r>
    </w:p>
    <w:p w14:paraId="3417FA27" w14:textId="77777777" w:rsidR="00FA3484" w:rsidRPr="0015541C" w:rsidRDefault="00FA3484" w:rsidP="00A56625">
      <w:pPr>
        <w:keepNext/>
        <w:outlineLvl w:val="0"/>
        <w:rPr>
          <w:rFonts w:eastAsia="SimSun"/>
          <w:iCs/>
          <w:sz w:val="20"/>
          <w:lang w:val="pl-PL" w:eastAsia="zh-CN"/>
        </w:rPr>
      </w:pPr>
      <w:r w:rsidRPr="0015541C">
        <w:rPr>
          <w:rFonts w:eastAsia="SimSun"/>
          <w:iCs/>
          <w:sz w:val="20"/>
          <w:vertAlign w:val="superscript"/>
          <w:lang w:val="pl-PL" w:eastAsia="zh-CN"/>
        </w:rPr>
        <w:t>2</w:t>
      </w:r>
      <w:r w:rsidRPr="0015541C">
        <w:rPr>
          <w:rFonts w:eastAsia="SimSun"/>
          <w:iCs/>
          <w:sz w:val="20"/>
          <w:lang w:val="pl-PL" w:eastAsia="zh-CN"/>
        </w:rPr>
        <w:t xml:space="preserve"> </w:t>
      </w:r>
      <w:r w:rsidR="00AF323D" w:rsidRPr="0015541C">
        <w:rPr>
          <w:rFonts w:eastAsia="SimSun"/>
          <w:iCs/>
          <w:sz w:val="20"/>
          <w:lang w:val="pl-PL" w:eastAsia="zh-CN"/>
        </w:rPr>
        <w:t xml:space="preserve">Pacjentki </w:t>
      </w:r>
      <w:r w:rsidR="006E58D4" w:rsidRPr="0015541C">
        <w:rPr>
          <w:rFonts w:eastAsia="SimSun"/>
          <w:iCs/>
          <w:sz w:val="20"/>
          <w:lang w:val="pl-PL" w:eastAsia="zh-CN"/>
        </w:rPr>
        <w:t xml:space="preserve">oraz procent pacjentek </w:t>
      </w:r>
      <w:r w:rsidR="006504E6" w:rsidRPr="0015541C">
        <w:rPr>
          <w:rFonts w:eastAsia="SimSun"/>
          <w:iCs/>
          <w:sz w:val="20"/>
          <w:lang w:val="pl-PL" w:eastAsia="zh-CN"/>
        </w:rPr>
        <w:t>z</w:t>
      </w:r>
      <w:r w:rsidR="00AF323D" w:rsidRPr="0015541C">
        <w:rPr>
          <w:rFonts w:eastAsia="SimSun"/>
          <w:iCs/>
          <w:sz w:val="20"/>
          <w:lang w:val="pl-PL" w:eastAsia="zh-CN"/>
        </w:rPr>
        <w:t xml:space="preserve"> najlep</w:t>
      </w:r>
      <w:r w:rsidR="00B97A0D" w:rsidRPr="0015541C">
        <w:rPr>
          <w:rFonts w:eastAsia="SimSun"/>
          <w:iCs/>
          <w:sz w:val="20"/>
          <w:lang w:val="pl-PL" w:eastAsia="zh-CN"/>
        </w:rPr>
        <w:t>sz</w:t>
      </w:r>
      <w:r w:rsidR="006504E6" w:rsidRPr="0015541C">
        <w:rPr>
          <w:rFonts w:eastAsia="SimSun"/>
          <w:iCs/>
          <w:sz w:val="20"/>
          <w:lang w:val="pl-PL" w:eastAsia="zh-CN"/>
        </w:rPr>
        <w:t>ą</w:t>
      </w:r>
      <w:r w:rsidR="00AF323D" w:rsidRPr="0015541C">
        <w:rPr>
          <w:rFonts w:eastAsia="SimSun"/>
          <w:iCs/>
          <w:sz w:val="20"/>
          <w:lang w:val="pl-PL" w:eastAsia="zh-CN"/>
        </w:rPr>
        <w:t xml:space="preserve"> całkowit</w:t>
      </w:r>
      <w:r w:rsidR="006504E6" w:rsidRPr="0015541C">
        <w:rPr>
          <w:rFonts w:eastAsia="SimSun"/>
          <w:iCs/>
          <w:sz w:val="20"/>
          <w:lang w:val="pl-PL" w:eastAsia="zh-CN"/>
        </w:rPr>
        <w:t>ą</w:t>
      </w:r>
      <w:r w:rsidR="00AF323D" w:rsidRPr="0015541C">
        <w:rPr>
          <w:rFonts w:eastAsia="SimSun"/>
          <w:iCs/>
          <w:sz w:val="20"/>
          <w:lang w:val="pl-PL" w:eastAsia="zh-CN"/>
        </w:rPr>
        <w:t xml:space="preserve"> odpowiedzi</w:t>
      </w:r>
      <w:r w:rsidR="006504E6" w:rsidRPr="0015541C">
        <w:rPr>
          <w:rFonts w:eastAsia="SimSun"/>
          <w:iCs/>
          <w:sz w:val="20"/>
          <w:lang w:val="pl-PL" w:eastAsia="zh-CN"/>
        </w:rPr>
        <w:t>ą -</w:t>
      </w:r>
      <w:r w:rsidR="00064871" w:rsidRPr="0015541C">
        <w:rPr>
          <w:rFonts w:eastAsia="SimSun"/>
          <w:iCs/>
          <w:sz w:val="20"/>
          <w:lang w:val="pl-PL" w:eastAsia="zh-CN"/>
        </w:rPr>
        <w:t xml:space="preserve"> </w:t>
      </w:r>
      <w:r w:rsidR="00AF323D" w:rsidRPr="0015541C">
        <w:rPr>
          <w:rFonts w:eastAsia="SimSun"/>
          <w:iCs/>
          <w:sz w:val="20"/>
          <w:lang w:val="pl-PL" w:eastAsia="zh-CN"/>
        </w:rPr>
        <w:t>potwierdz</w:t>
      </w:r>
      <w:r w:rsidR="00CE7792" w:rsidRPr="0015541C">
        <w:rPr>
          <w:rFonts w:eastAsia="SimSun"/>
          <w:iCs/>
          <w:sz w:val="20"/>
          <w:lang w:val="pl-PL" w:eastAsia="zh-CN"/>
        </w:rPr>
        <w:t>one</w:t>
      </w:r>
      <w:r w:rsidR="00AF323D" w:rsidRPr="0015541C">
        <w:rPr>
          <w:rFonts w:eastAsia="SimSun"/>
          <w:iCs/>
          <w:sz w:val="20"/>
          <w:lang w:val="pl-PL" w:eastAsia="zh-CN"/>
        </w:rPr>
        <w:t xml:space="preserve"> </w:t>
      </w:r>
      <w:r w:rsidRPr="0015541C">
        <w:rPr>
          <w:rFonts w:eastAsia="SimSun"/>
          <w:iCs/>
          <w:sz w:val="20"/>
          <w:lang w:val="pl-PL" w:eastAsia="zh-CN"/>
        </w:rPr>
        <w:t xml:space="preserve">CR </w:t>
      </w:r>
      <w:r w:rsidR="00AF323D" w:rsidRPr="0015541C">
        <w:rPr>
          <w:rFonts w:eastAsia="SimSun"/>
          <w:iCs/>
          <w:sz w:val="20"/>
          <w:lang w:val="pl-PL" w:eastAsia="zh-CN"/>
        </w:rPr>
        <w:t>lub</w:t>
      </w:r>
      <w:r w:rsidR="006E58D4" w:rsidRPr="0015541C">
        <w:rPr>
          <w:rFonts w:eastAsia="SimSun"/>
          <w:iCs/>
          <w:sz w:val="20"/>
          <w:lang w:val="pl-PL" w:eastAsia="zh-CN"/>
        </w:rPr>
        <w:t xml:space="preserve"> PR; procent wyliczony na podstawie pacjentek z </w:t>
      </w:r>
      <w:r w:rsidR="00FE6F7C" w:rsidRPr="0015541C">
        <w:rPr>
          <w:rFonts w:eastAsia="SimSun"/>
          <w:iCs/>
          <w:sz w:val="20"/>
          <w:lang w:val="pl-PL" w:eastAsia="zh-CN"/>
        </w:rPr>
        <w:t>mierzalną</w:t>
      </w:r>
      <w:r w:rsidR="006E58D4" w:rsidRPr="0015541C">
        <w:rPr>
          <w:rFonts w:eastAsia="SimSun"/>
          <w:iCs/>
          <w:sz w:val="20"/>
          <w:lang w:val="pl-PL" w:eastAsia="zh-CN"/>
        </w:rPr>
        <w:t xml:space="preserve"> chorobą na początku badania</w:t>
      </w:r>
    </w:p>
    <w:p w14:paraId="16E46F41" w14:textId="77777777" w:rsidR="00FA3484" w:rsidRPr="0015541C" w:rsidRDefault="00FA3484" w:rsidP="00A56625">
      <w:pPr>
        <w:keepNext/>
        <w:outlineLvl w:val="0"/>
        <w:rPr>
          <w:rFonts w:eastAsia="SimSun"/>
          <w:iCs/>
          <w:sz w:val="20"/>
          <w:lang w:val="pl-PL" w:eastAsia="zh-CN"/>
        </w:rPr>
      </w:pPr>
      <w:r w:rsidRPr="0015541C">
        <w:rPr>
          <w:rFonts w:eastAsia="SimSun"/>
          <w:iCs/>
          <w:sz w:val="20"/>
          <w:vertAlign w:val="superscript"/>
          <w:lang w:val="pl-PL" w:eastAsia="zh-CN"/>
        </w:rPr>
        <w:t>3</w:t>
      </w:r>
      <w:r w:rsidRPr="0015541C">
        <w:rPr>
          <w:rFonts w:eastAsia="SimSun"/>
          <w:iCs/>
          <w:sz w:val="20"/>
          <w:lang w:val="pl-PL" w:eastAsia="zh-CN"/>
        </w:rPr>
        <w:t xml:space="preserve"> </w:t>
      </w:r>
      <w:r w:rsidR="00D74C42" w:rsidRPr="0015541C">
        <w:rPr>
          <w:rFonts w:eastAsia="SimSun"/>
          <w:iCs/>
          <w:sz w:val="20"/>
          <w:lang w:val="pl-PL" w:eastAsia="zh-CN"/>
        </w:rPr>
        <w:t>95% CI dla jednej próby z rozkładu dwumianowego wyznaczony metodą Pearsona-Cloppera.</w:t>
      </w:r>
    </w:p>
    <w:p w14:paraId="548CD639" w14:textId="77777777" w:rsidR="00AF323D" w:rsidRPr="0015541C" w:rsidRDefault="00FA3484" w:rsidP="00A56625">
      <w:pPr>
        <w:keepNext/>
        <w:outlineLvl w:val="0"/>
        <w:rPr>
          <w:rFonts w:eastAsia="SimSun"/>
          <w:iCs/>
          <w:sz w:val="20"/>
          <w:lang w:val="pl-PL" w:eastAsia="zh-CN"/>
        </w:rPr>
      </w:pPr>
      <w:r w:rsidRPr="0015541C">
        <w:rPr>
          <w:rFonts w:eastAsia="SimSun"/>
          <w:iCs/>
          <w:sz w:val="20"/>
          <w:vertAlign w:val="superscript"/>
          <w:lang w:val="pl-PL" w:eastAsia="zh-CN"/>
        </w:rPr>
        <w:t>4</w:t>
      </w:r>
      <w:r w:rsidRPr="0015541C">
        <w:rPr>
          <w:rFonts w:eastAsia="SimSun"/>
          <w:iCs/>
          <w:sz w:val="20"/>
          <w:lang w:val="pl-PL" w:eastAsia="zh-CN"/>
        </w:rPr>
        <w:t xml:space="preserve"> </w:t>
      </w:r>
      <w:r w:rsidR="00D74C42" w:rsidRPr="0015541C">
        <w:rPr>
          <w:rFonts w:eastAsia="SimSun"/>
          <w:iCs/>
          <w:sz w:val="20"/>
          <w:lang w:val="pl-PL" w:eastAsia="zh-CN"/>
        </w:rPr>
        <w:t>Około 95% CI dla różnicy dwóch odsetków odpowiedzi za pomocą metody Haucka-Andersona</w:t>
      </w:r>
    </w:p>
    <w:p w14:paraId="3A0318BB" w14:textId="77777777" w:rsidR="00FA3484" w:rsidRPr="0015541C" w:rsidRDefault="00FA3484" w:rsidP="00A56625">
      <w:pPr>
        <w:keepNext/>
        <w:outlineLvl w:val="0"/>
        <w:rPr>
          <w:rFonts w:eastAsia="SimSun"/>
          <w:iCs/>
          <w:sz w:val="20"/>
          <w:lang w:val="pl-PL" w:eastAsia="zh-CN"/>
        </w:rPr>
      </w:pPr>
      <w:r w:rsidRPr="0015541C">
        <w:rPr>
          <w:rFonts w:eastAsia="SimSun"/>
          <w:iCs/>
          <w:sz w:val="20"/>
          <w:vertAlign w:val="superscript"/>
          <w:lang w:val="pl-PL" w:eastAsia="zh-CN"/>
        </w:rPr>
        <w:t>5</w:t>
      </w:r>
      <w:r w:rsidRPr="0015541C">
        <w:rPr>
          <w:rFonts w:eastAsia="SimSun"/>
          <w:iCs/>
          <w:sz w:val="20"/>
          <w:lang w:val="pl-PL" w:eastAsia="zh-CN"/>
        </w:rPr>
        <w:t xml:space="preserve"> </w:t>
      </w:r>
      <w:r w:rsidR="006504E6" w:rsidRPr="0015541C">
        <w:rPr>
          <w:rFonts w:eastAsia="SimSun"/>
          <w:iCs/>
          <w:sz w:val="20"/>
          <w:lang w:val="pl-PL" w:eastAsia="zh-CN"/>
        </w:rPr>
        <w:t>test logarytmiczny rang</w:t>
      </w:r>
      <w:r w:rsidRPr="0015541C">
        <w:rPr>
          <w:rFonts w:eastAsia="SimSun"/>
          <w:iCs/>
          <w:sz w:val="20"/>
          <w:lang w:val="pl-PL" w:eastAsia="zh-CN"/>
        </w:rPr>
        <w:t xml:space="preserve"> (</w:t>
      </w:r>
      <w:r w:rsidR="006504E6" w:rsidRPr="0015541C">
        <w:rPr>
          <w:rFonts w:eastAsia="SimSun"/>
          <w:iCs/>
          <w:sz w:val="20"/>
          <w:lang w:val="pl-PL" w:eastAsia="zh-CN"/>
        </w:rPr>
        <w:t>za stratyfikacją</w:t>
      </w:r>
      <w:r w:rsidRPr="0015541C">
        <w:rPr>
          <w:rFonts w:eastAsia="SimSun"/>
          <w:iCs/>
          <w:sz w:val="20"/>
          <w:lang w:val="pl-PL" w:eastAsia="zh-CN"/>
        </w:rPr>
        <w:t>)</w:t>
      </w:r>
    </w:p>
    <w:p w14:paraId="23D8977A" w14:textId="77777777" w:rsidR="006E58D4" w:rsidRPr="0015541C" w:rsidRDefault="006E58D4" w:rsidP="00A56625">
      <w:pPr>
        <w:keepNext/>
        <w:outlineLvl w:val="0"/>
        <w:rPr>
          <w:rFonts w:eastAsia="SimSun"/>
          <w:iCs/>
          <w:sz w:val="20"/>
          <w:lang w:val="pl-PL" w:eastAsia="zh-CN"/>
        </w:rPr>
      </w:pPr>
      <w:r w:rsidRPr="0015541C">
        <w:rPr>
          <w:rFonts w:eastAsia="SimSun"/>
          <w:iCs/>
          <w:sz w:val="20"/>
          <w:vertAlign w:val="superscript"/>
          <w:lang w:val="pl-PL" w:eastAsia="zh-CN"/>
        </w:rPr>
        <w:t>6</w:t>
      </w:r>
      <w:r w:rsidRPr="0015541C">
        <w:rPr>
          <w:rFonts w:eastAsia="SimSun"/>
          <w:iCs/>
          <w:sz w:val="20"/>
          <w:lang w:val="pl-PL" w:eastAsia="zh-CN"/>
        </w:rPr>
        <w:t xml:space="preserve"> analiza pierwotna została przeprowadzona z datą odcięcia danych</w:t>
      </w:r>
      <w:r w:rsidR="006D3B40" w:rsidRPr="0015541C">
        <w:rPr>
          <w:rFonts w:eastAsia="SimSun"/>
          <w:iCs/>
          <w:sz w:val="20"/>
          <w:lang w:val="pl-PL" w:eastAsia="zh-CN"/>
        </w:rPr>
        <w:t xml:space="preserve"> w</w:t>
      </w:r>
      <w:r w:rsidRPr="0015541C">
        <w:rPr>
          <w:rFonts w:eastAsia="SimSun"/>
          <w:iCs/>
          <w:sz w:val="20"/>
          <w:lang w:val="pl-PL" w:eastAsia="zh-CN"/>
        </w:rPr>
        <w:t xml:space="preserve"> dni</w:t>
      </w:r>
      <w:r w:rsidR="006D3B40" w:rsidRPr="0015541C">
        <w:rPr>
          <w:rFonts w:eastAsia="SimSun"/>
          <w:iCs/>
          <w:sz w:val="20"/>
          <w:lang w:val="pl-PL" w:eastAsia="zh-CN"/>
        </w:rPr>
        <w:t>u</w:t>
      </w:r>
      <w:r w:rsidRPr="0015541C">
        <w:rPr>
          <w:rFonts w:eastAsia="SimSun"/>
          <w:iCs/>
          <w:sz w:val="20"/>
          <w:lang w:val="pl-PL" w:eastAsia="zh-CN"/>
        </w:rPr>
        <w:t xml:space="preserve"> 12 grudnia 2012 i jest uważana za analizę końcową</w:t>
      </w:r>
    </w:p>
    <w:p w14:paraId="4737D91E" w14:textId="77777777" w:rsidR="006E58D4" w:rsidRPr="0015541C" w:rsidRDefault="006E58D4" w:rsidP="00A56625">
      <w:pPr>
        <w:keepNext/>
        <w:outlineLvl w:val="0"/>
        <w:rPr>
          <w:rFonts w:eastAsia="SimSun"/>
          <w:iCs/>
          <w:sz w:val="20"/>
          <w:lang w:val="pl-PL" w:eastAsia="zh-CN"/>
        </w:rPr>
      </w:pPr>
      <w:r w:rsidRPr="0015541C">
        <w:rPr>
          <w:rFonts w:eastAsia="SimSun"/>
          <w:iCs/>
          <w:sz w:val="20"/>
          <w:vertAlign w:val="superscript"/>
          <w:lang w:val="pl-PL" w:eastAsia="zh-CN"/>
        </w:rPr>
        <w:t>7</w:t>
      </w:r>
      <w:r w:rsidRPr="0015541C">
        <w:rPr>
          <w:rFonts w:eastAsia="SimSun"/>
          <w:iCs/>
          <w:sz w:val="20"/>
          <w:lang w:val="pl-PL" w:eastAsia="zh-CN"/>
        </w:rPr>
        <w:t xml:space="preserve"> </w:t>
      </w:r>
      <w:r w:rsidR="006D3B40" w:rsidRPr="0015541C">
        <w:rPr>
          <w:rFonts w:eastAsia="SimSun"/>
          <w:iCs/>
          <w:sz w:val="20"/>
          <w:lang w:val="pl-PL" w:eastAsia="zh-CN"/>
        </w:rPr>
        <w:t>analiz</w:t>
      </w:r>
      <w:r w:rsidR="00CD679A" w:rsidRPr="0015541C">
        <w:rPr>
          <w:rFonts w:eastAsia="SimSun"/>
          <w:iCs/>
          <w:sz w:val="20"/>
          <w:lang w:val="pl-PL" w:eastAsia="zh-CN"/>
        </w:rPr>
        <w:t>a po dłuższym czasie obserwacji</w:t>
      </w:r>
      <w:r w:rsidR="006D3B40" w:rsidRPr="0015541C">
        <w:rPr>
          <w:rFonts w:eastAsia="SimSun"/>
          <w:iCs/>
          <w:sz w:val="20"/>
          <w:lang w:val="pl-PL" w:eastAsia="zh-CN"/>
        </w:rPr>
        <w:t xml:space="preserve"> został</w:t>
      </w:r>
      <w:r w:rsidR="00CD679A" w:rsidRPr="0015541C">
        <w:rPr>
          <w:rFonts w:eastAsia="SimSun"/>
          <w:iCs/>
          <w:sz w:val="20"/>
          <w:lang w:val="pl-PL" w:eastAsia="zh-CN"/>
        </w:rPr>
        <w:t>a</w:t>
      </w:r>
      <w:r w:rsidR="006D3B40" w:rsidRPr="0015541C">
        <w:rPr>
          <w:rFonts w:eastAsia="SimSun"/>
          <w:iCs/>
          <w:sz w:val="20"/>
          <w:lang w:val="pl-PL" w:eastAsia="zh-CN"/>
        </w:rPr>
        <w:t xml:space="preserve"> przeprowadzone z datą odcięcia danych w dniu 07 marca 2014</w:t>
      </w:r>
    </w:p>
    <w:p w14:paraId="44913DC6" w14:textId="77777777" w:rsidR="006D3B40" w:rsidRPr="0015541C" w:rsidRDefault="006D3B40" w:rsidP="00A56625">
      <w:pPr>
        <w:keepNext/>
        <w:outlineLvl w:val="0"/>
        <w:rPr>
          <w:rFonts w:eastAsia="SimSun"/>
          <w:iCs/>
          <w:sz w:val="20"/>
          <w:lang w:val="pl-PL" w:eastAsia="zh-CN"/>
        </w:rPr>
      </w:pPr>
      <w:r w:rsidRPr="0015541C">
        <w:rPr>
          <w:rFonts w:eastAsia="SimSun"/>
          <w:iCs/>
          <w:sz w:val="20"/>
          <w:vertAlign w:val="superscript"/>
          <w:lang w:val="pl-PL" w:eastAsia="zh-CN"/>
        </w:rPr>
        <w:t>8</w:t>
      </w:r>
      <w:r w:rsidRPr="0015541C">
        <w:rPr>
          <w:rFonts w:eastAsia="SimSun"/>
          <w:iCs/>
          <w:sz w:val="20"/>
          <w:lang w:val="pl-PL" w:eastAsia="zh-CN"/>
        </w:rPr>
        <w:t xml:space="preserve"> wartość – p dodana jest w celach opisowych</w:t>
      </w:r>
    </w:p>
    <w:p w14:paraId="12FBA1A9" w14:textId="77777777" w:rsidR="00FA3484" w:rsidRPr="0015541C" w:rsidRDefault="00FA3484" w:rsidP="00FA3484">
      <w:pPr>
        <w:outlineLvl w:val="0"/>
        <w:rPr>
          <w:b/>
          <w:lang w:val="pl-PL"/>
        </w:rPr>
      </w:pPr>
    </w:p>
    <w:p w14:paraId="5A7583DE" w14:textId="08586B6E" w:rsidR="006D3B40" w:rsidRPr="0015541C" w:rsidRDefault="00FA3484" w:rsidP="00CF7C07">
      <w:pPr>
        <w:keepNext/>
        <w:keepLines/>
        <w:outlineLvl w:val="0"/>
        <w:rPr>
          <w:rFonts w:cs="Arial"/>
          <w:b/>
          <w:bCs/>
          <w:lang w:val="pl-PL"/>
        </w:rPr>
      </w:pPr>
      <w:r w:rsidRPr="0015541C">
        <w:rPr>
          <w:b/>
          <w:lang w:val="pl-PL"/>
        </w:rPr>
        <w:lastRenderedPageBreak/>
        <w:t>Tabe</w:t>
      </w:r>
      <w:r w:rsidR="007C31FF" w:rsidRPr="0015541C">
        <w:rPr>
          <w:b/>
          <w:lang w:val="pl-PL"/>
        </w:rPr>
        <w:t>la</w:t>
      </w:r>
      <w:r w:rsidRPr="0015541C">
        <w:rPr>
          <w:b/>
          <w:lang w:val="pl-PL"/>
        </w:rPr>
        <w:t xml:space="preserve"> 2</w:t>
      </w:r>
      <w:r w:rsidR="001D51D3" w:rsidRPr="0015541C">
        <w:rPr>
          <w:b/>
          <w:lang w:val="pl-PL"/>
        </w:rPr>
        <w:t>6</w:t>
      </w:r>
      <w:r w:rsidRPr="0015541C">
        <w:rPr>
          <w:b/>
          <w:lang w:val="pl-PL"/>
        </w:rPr>
        <w:tab/>
      </w:r>
      <w:r w:rsidR="00D6335C" w:rsidRPr="0015541C">
        <w:rPr>
          <w:b/>
          <w:bCs/>
          <w:lang w:val="pl-PL"/>
        </w:rPr>
        <w:t>Całkowity c</w:t>
      </w:r>
      <w:r w:rsidR="00820806" w:rsidRPr="0015541C">
        <w:rPr>
          <w:b/>
          <w:bCs/>
          <w:lang w:val="pl-PL"/>
        </w:rPr>
        <w:t xml:space="preserve">zas przeżycia </w:t>
      </w:r>
      <w:r w:rsidR="006504E6" w:rsidRPr="0015541C">
        <w:rPr>
          <w:b/>
          <w:bCs/>
          <w:lang w:val="pl-PL"/>
        </w:rPr>
        <w:t>pacjentów w</w:t>
      </w:r>
      <w:r w:rsidR="00820806" w:rsidRPr="0015541C">
        <w:rPr>
          <w:b/>
          <w:bCs/>
          <w:lang w:val="pl-PL"/>
        </w:rPr>
        <w:t xml:space="preserve"> badani</w:t>
      </w:r>
      <w:r w:rsidR="006504E6" w:rsidRPr="0015541C">
        <w:rPr>
          <w:b/>
          <w:bCs/>
          <w:lang w:val="pl-PL"/>
        </w:rPr>
        <w:t>u</w:t>
      </w:r>
      <w:r w:rsidR="00820806" w:rsidRPr="0015541C">
        <w:rPr>
          <w:b/>
          <w:bCs/>
          <w:lang w:val="pl-PL"/>
        </w:rPr>
        <w:t xml:space="preserve"> </w:t>
      </w:r>
      <w:r w:rsidRPr="0015541C">
        <w:rPr>
          <w:rFonts w:cs="Arial"/>
          <w:b/>
          <w:bCs/>
          <w:lang w:val="pl-PL"/>
        </w:rPr>
        <w:t xml:space="preserve">GOG-0240 </w:t>
      </w:r>
      <w:r w:rsidR="00820806" w:rsidRPr="0015541C">
        <w:rPr>
          <w:rFonts w:cs="Arial"/>
          <w:b/>
          <w:bCs/>
          <w:lang w:val="pl-PL"/>
        </w:rPr>
        <w:t>w zależności od stosowanego leczenia</w:t>
      </w:r>
      <w:r w:rsidR="00B05491" w:rsidRPr="0015541C">
        <w:rPr>
          <w:rFonts w:cs="Arial"/>
          <w:b/>
          <w:bCs/>
          <w:lang w:val="pl-PL"/>
        </w:rPr>
        <w:t xml:space="preserve"> </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1388"/>
        <w:gridCol w:w="1332"/>
        <w:gridCol w:w="3108"/>
        <w:gridCol w:w="3149"/>
      </w:tblGrid>
      <w:tr w:rsidR="00713846" w:rsidRPr="008D11DD" w14:paraId="2FC5CFB3" w14:textId="77777777" w:rsidTr="001535A2">
        <w:trPr>
          <w:cantSplit/>
        </w:trPr>
        <w:tc>
          <w:tcPr>
            <w:tcW w:w="773" w:type="pct"/>
            <w:shd w:val="clear" w:color="auto" w:fill="FFFFFF"/>
            <w:vAlign w:val="bottom"/>
          </w:tcPr>
          <w:p w14:paraId="6950D3AE" w14:textId="77777777" w:rsidR="006D3B40" w:rsidRPr="0070444C" w:rsidRDefault="006D3B40" w:rsidP="007B57E8">
            <w:pPr>
              <w:pStyle w:val="TableCell10Left"/>
              <w:rPr>
                <w:rFonts w:ascii="Times New Roman" w:hAnsi="Times New Roman"/>
                <w:b/>
                <w:lang w:val="pl-PL"/>
              </w:rPr>
            </w:pPr>
            <w:r w:rsidRPr="0070444C">
              <w:rPr>
                <w:rFonts w:ascii="Times New Roman" w:hAnsi="Times New Roman"/>
                <w:b/>
                <w:lang w:val="pl-PL"/>
              </w:rPr>
              <w:t>Porównanie leczenia</w:t>
            </w:r>
          </w:p>
        </w:tc>
        <w:tc>
          <w:tcPr>
            <w:tcW w:w="742" w:type="pct"/>
            <w:shd w:val="clear" w:color="auto" w:fill="FFFFFF"/>
            <w:vAlign w:val="bottom"/>
          </w:tcPr>
          <w:p w14:paraId="5CD5B9F6" w14:textId="77777777" w:rsidR="006D3B40" w:rsidRPr="0070444C" w:rsidRDefault="006D3B40" w:rsidP="008A3167">
            <w:pPr>
              <w:pStyle w:val="TableCell10Center"/>
              <w:rPr>
                <w:rFonts w:ascii="Times New Roman" w:hAnsi="Times New Roman"/>
                <w:b/>
                <w:lang w:val="pl-PL"/>
              </w:rPr>
            </w:pPr>
            <w:r w:rsidRPr="0070444C">
              <w:rPr>
                <w:rFonts w:ascii="Times New Roman" w:hAnsi="Times New Roman"/>
                <w:b/>
                <w:lang w:val="pl-PL"/>
              </w:rPr>
              <w:t>Inny czynnik</w:t>
            </w:r>
          </w:p>
        </w:tc>
        <w:tc>
          <w:tcPr>
            <w:tcW w:w="1731" w:type="pct"/>
            <w:shd w:val="clear" w:color="auto" w:fill="FFFFFF"/>
            <w:vAlign w:val="bottom"/>
          </w:tcPr>
          <w:p w14:paraId="0E4C06F5" w14:textId="77777777" w:rsidR="006D3B40" w:rsidRPr="0070444C" w:rsidRDefault="006D3B40" w:rsidP="00DF52AC">
            <w:pPr>
              <w:pStyle w:val="TableCell10Center"/>
              <w:rPr>
                <w:rFonts w:ascii="Times New Roman" w:hAnsi="Times New Roman"/>
                <w:b/>
                <w:lang w:val="pl-PL"/>
              </w:rPr>
            </w:pPr>
            <w:r w:rsidRPr="0070444C">
              <w:rPr>
                <w:rFonts w:ascii="Times New Roman" w:hAnsi="Times New Roman"/>
                <w:b/>
                <w:lang w:val="pl-PL"/>
              </w:rPr>
              <w:t xml:space="preserve">Całkowity czas przeżycia – Analiza </w:t>
            </w:r>
            <w:r w:rsidR="00CD679A" w:rsidRPr="0070444C">
              <w:rPr>
                <w:rFonts w:ascii="Times New Roman" w:hAnsi="Times New Roman"/>
                <w:b/>
                <w:lang w:val="pl-PL"/>
              </w:rPr>
              <w:t>p</w:t>
            </w:r>
            <w:r w:rsidRPr="0070444C">
              <w:rPr>
                <w:rFonts w:ascii="Times New Roman" w:hAnsi="Times New Roman"/>
                <w:b/>
                <w:lang w:val="pl-PL"/>
              </w:rPr>
              <w:t>ierwotna</w:t>
            </w:r>
            <w:r w:rsidRPr="0070444C">
              <w:rPr>
                <w:rFonts w:ascii="Times New Roman" w:hAnsi="Times New Roman"/>
                <w:b/>
                <w:vertAlign w:val="superscript"/>
                <w:lang w:val="pl-PL"/>
              </w:rPr>
              <w:t>1</w:t>
            </w:r>
          </w:p>
          <w:p w14:paraId="15B3B0C2" w14:textId="431DFEDA" w:rsidR="006D3B40" w:rsidRPr="0070444C" w:rsidRDefault="00D6335C" w:rsidP="00C97999">
            <w:pPr>
              <w:pStyle w:val="TableCell10Center"/>
              <w:rPr>
                <w:rFonts w:ascii="Times New Roman" w:hAnsi="Times New Roman"/>
                <w:b/>
                <w:lang w:val="pl-PL"/>
              </w:rPr>
            </w:pPr>
            <w:r w:rsidRPr="0015541C">
              <w:rPr>
                <w:b/>
                <w:lang w:val="pl-PL"/>
              </w:rPr>
              <w:t>Współczynnik ryzyka</w:t>
            </w:r>
            <w:r w:rsidRPr="0070444C" w:rsidDel="00D6335C">
              <w:rPr>
                <w:rFonts w:ascii="Times New Roman" w:hAnsi="Times New Roman"/>
                <w:b/>
                <w:lang w:val="pl-PL"/>
              </w:rPr>
              <w:t xml:space="preserve"> </w:t>
            </w:r>
            <w:r w:rsidR="006D3B40" w:rsidRPr="0070444C">
              <w:rPr>
                <w:rFonts w:ascii="Times New Roman" w:hAnsi="Times New Roman"/>
                <w:b/>
                <w:lang w:val="pl-PL"/>
              </w:rPr>
              <w:t>(95% CI)</w:t>
            </w:r>
          </w:p>
        </w:tc>
        <w:tc>
          <w:tcPr>
            <w:tcW w:w="1754" w:type="pct"/>
            <w:shd w:val="clear" w:color="auto" w:fill="FFFFFF"/>
          </w:tcPr>
          <w:p w14:paraId="2990CE75" w14:textId="77777777" w:rsidR="006D3B40" w:rsidRPr="0070444C" w:rsidRDefault="006D3B40" w:rsidP="00BD3C30">
            <w:pPr>
              <w:pStyle w:val="TableCell10Center"/>
              <w:rPr>
                <w:rFonts w:ascii="Times New Roman" w:hAnsi="Times New Roman"/>
                <w:b/>
                <w:lang w:val="pl-PL"/>
              </w:rPr>
            </w:pPr>
            <w:r w:rsidRPr="0070444C">
              <w:rPr>
                <w:rFonts w:ascii="Times New Roman" w:hAnsi="Times New Roman"/>
                <w:b/>
                <w:lang w:val="pl-PL"/>
              </w:rPr>
              <w:t>Całkowity czas przeżycia – Analiz</w:t>
            </w:r>
            <w:r w:rsidR="00CD679A" w:rsidRPr="0070444C">
              <w:rPr>
                <w:rFonts w:ascii="Times New Roman" w:hAnsi="Times New Roman"/>
                <w:b/>
                <w:lang w:val="pl-PL"/>
              </w:rPr>
              <w:t>a po dłuższym czasie obserwacji</w:t>
            </w:r>
            <w:r w:rsidRPr="0070444C">
              <w:rPr>
                <w:rFonts w:ascii="Times New Roman" w:hAnsi="Times New Roman"/>
                <w:b/>
                <w:vertAlign w:val="superscript"/>
                <w:lang w:val="pl-PL"/>
              </w:rPr>
              <w:t xml:space="preserve"> 2</w:t>
            </w:r>
          </w:p>
          <w:p w14:paraId="334D1906" w14:textId="70C6CB42" w:rsidR="006D3B40" w:rsidRPr="0070444C" w:rsidRDefault="00D6335C" w:rsidP="00C03D91">
            <w:pPr>
              <w:pStyle w:val="TableCell10Center"/>
              <w:rPr>
                <w:rFonts w:ascii="Times New Roman" w:hAnsi="Times New Roman"/>
                <w:b/>
                <w:lang w:val="pl-PL"/>
              </w:rPr>
            </w:pPr>
            <w:r w:rsidRPr="0015541C">
              <w:rPr>
                <w:b/>
                <w:lang w:val="pl-PL"/>
              </w:rPr>
              <w:t>Współczynnik ryzyka</w:t>
            </w:r>
            <w:r w:rsidRPr="0070444C" w:rsidDel="00D6335C">
              <w:rPr>
                <w:rFonts w:ascii="Times New Roman" w:hAnsi="Times New Roman"/>
                <w:b/>
                <w:lang w:val="pl-PL"/>
              </w:rPr>
              <w:t xml:space="preserve"> </w:t>
            </w:r>
            <w:r w:rsidR="006D3B40" w:rsidRPr="0070444C">
              <w:rPr>
                <w:rFonts w:ascii="Times New Roman" w:hAnsi="Times New Roman"/>
                <w:b/>
                <w:lang w:val="pl-PL"/>
              </w:rPr>
              <w:t>(95% CI)</w:t>
            </w:r>
          </w:p>
        </w:tc>
      </w:tr>
      <w:tr w:rsidR="00713846" w:rsidRPr="0015541C" w14:paraId="50111C25" w14:textId="77777777" w:rsidTr="001535A2">
        <w:trPr>
          <w:cantSplit/>
        </w:trPr>
        <w:tc>
          <w:tcPr>
            <w:tcW w:w="773" w:type="pct"/>
            <w:vMerge w:val="restart"/>
            <w:shd w:val="clear" w:color="auto" w:fill="FFFFFF"/>
          </w:tcPr>
          <w:p w14:paraId="52BDDBAB" w14:textId="77777777" w:rsidR="006D3B40" w:rsidRPr="0070444C" w:rsidRDefault="00767B10" w:rsidP="0046776D">
            <w:pPr>
              <w:pStyle w:val="TableCell10Left"/>
              <w:rPr>
                <w:rFonts w:ascii="Times New Roman" w:hAnsi="Times New Roman"/>
                <w:lang w:val="pl-PL"/>
              </w:rPr>
            </w:pPr>
            <w:r w:rsidRPr="0015541C">
              <w:rPr>
                <w:rFonts w:ascii="Times New Roman" w:hAnsi="Times New Roman"/>
                <w:szCs w:val="20"/>
                <w:lang w:val="pl-PL"/>
              </w:rPr>
              <w:t>Bewacyzumab</w:t>
            </w:r>
            <w:r w:rsidR="006D3B40" w:rsidRPr="0070444C">
              <w:rPr>
                <w:rFonts w:ascii="Times New Roman" w:hAnsi="Times New Roman"/>
                <w:lang w:val="pl-PL"/>
              </w:rPr>
              <w:t xml:space="preserve"> vs. Nie </w:t>
            </w:r>
            <w:r w:rsidR="001535A2" w:rsidRPr="0015541C">
              <w:rPr>
                <w:rFonts w:ascii="Times New Roman" w:hAnsi="Times New Roman"/>
                <w:szCs w:val="20"/>
                <w:lang w:val="pl-PL"/>
              </w:rPr>
              <w:br/>
            </w:r>
            <w:r w:rsidRPr="0015541C">
              <w:rPr>
                <w:rFonts w:ascii="Times New Roman" w:hAnsi="Times New Roman"/>
                <w:szCs w:val="20"/>
                <w:lang w:val="pl-PL"/>
              </w:rPr>
              <w:t>bewacyzumab</w:t>
            </w:r>
          </w:p>
        </w:tc>
        <w:tc>
          <w:tcPr>
            <w:tcW w:w="742" w:type="pct"/>
            <w:shd w:val="clear" w:color="auto" w:fill="FFFFFF"/>
          </w:tcPr>
          <w:p w14:paraId="58A12090" w14:textId="77777777" w:rsidR="006D3B40" w:rsidRPr="0070444C" w:rsidRDefault="006D3B40" w:rsidP="0046776D">
            <w:pPr>
              <w:pStyle w:val="TableCell10Center"/>
              <w:rPr>
                <w:rFonts w:ascii="Times New Roman" w:hAnsi="Times New Roman"/>
                <w:lang w:val="pl-PL"/>
              </w:rPr>
            </w:pPr>
            <w:r w:rsidRPr="0070444C">
              <w:rPr>
                <w:rFonts w:ascii="Times New Roman" w:hAnsi="Times New Roman"/>
                <w:lang w:val="pl-PL"/>
              </w:rPr>
              <w:t>Cisplatyna+</w:t>
            </w:r>
            <w:r w:rsidR="001535A2" w:rsidRPr="0015541C">
              <w:rPr>
                <w:rFonts w:ascii="Times New Roman" w:hAnsi="Times New Roman"/>
                <w:szCs w:val="20"/>
                <w:lang w:val="pl-PL"/>
              </w:rPr>
              <w:t xml:space="preserve"> </w:t>
            </w:r>
            <w:r w:rsidRPr="0070444C">
              <w:rPr>
                <w:rFonts w:ascii="Times New Roman" w:hAnsi="Times New Roman"/>
                <w:lang w:val="pl-PL"/>
              </w:rPr>
              <w:t>Paklitaksel</w:t>
            </w:r>
          </w:p>
        </w:tc>
        <w:tc>
          <w:tcPr>
            <w:tcW w:w="1731" w:type="pct"/>
            <w:shd w:val="clear" w:color="auto" w:fill="FFFFFF"/>
          </w:tcPr>
          <w:p w14:paraId="386B0E4D" w14:textId="77777777" w:rsidR="006D3B40" w:rsidRPr="0070444C" w:rsidRDefault="006D3B40" w:rsidP="0046776D">
            <w:pPr>
              <w:pStyle w:val="TableCell10Center"/>
              <w:rPr>
                <w:rFonts w:ascii="Times New Roman" w:hAnsi="Times New Roman"/>
                <w:lang w:val="pl-PL"/>
              </w:rPr>
            </w:pPr>
            <w:r w:rsidRPr="0070444C">
              <w:rPr>
                <w:rFonts w:ascii="Times New Roman" w:hAnsi="Times New Roman"/>
                <w:lang w:val="pl-PL"/>
              </w:rPr>
              <w:t>0</w:t>
            </w:r>
            <w:r w:rsidR="004D6DFB" w:rsidRPr="0070444C">
              <w:rPr>
                <w:rFonts w:ascii="Times New Roman" w:hAnsi="Times New Roman"/>
                <w:lang w:val="pl-PL"/>
              </w:rPr>
              <w:t>,</w:t>
            </w:r>
            <w:r w:rsidRPr="0070444C">
              <w:rPr>
                <w:rFonts w:ascii="Times New Roman" w:hAnsi="Times New Roman"/>
                <w:lang w:val="pl-PL"/>
              </w:rPr>
              <w:t>72 (0</w:t>
            </w:r>
            <w:r w:rsidR="004D6DFB" w:rsidRPr="0070444C">
              <w:rPr>
                <w:rFonts w:ascii="Times New Roman" w:hAnsi="Times New Roman"/>
                <w:lang w:val="pl-PL"/>
              </w:rPr>
              <w:t>,</w:t>
            </w:r>
            <w:r w:rsidRPr="0070444C">
              <w:rPr>
                <w:rFonts w:ascii="Times New Roman" w:hAnsi="Times New Roman"/>
                <w:lang w:val="pl-PL"/>
              </w:rPr>
              <w:t>51, 1</w:t>
            </w:r>
            <w:r w:rsidR="004D6DFB" w:rsidRPr="0070444C">
              <w:rPr>
                <w:rFonts w:ascii="Times New Roman" w:hAnsi="Times New Roman"/>
                <w:lang w:val="pl-PL"/>
              </w:rPr>
              <w:t>,</w:t>
            </w:r>
            <w:r w:rsidRPr="0070444C">
              <w:rPr>
                <w:rFonts w:ascii="Times New Roman" w:hAnsi="Times New Roman"/>
                <w:lang w:val="pl-PL"/>
              </w:rPr>
              <w:t>02)</w:t>
            </w:r>
          </w:p>
          <w:p w14:paraId="7E107F94" w14:textId="77777777" w:rsidR="006D3B40" w:rsidRPr="0070444C" w:rsidRDefault="006D3B40" w:rsidP="004D6DFB">
            <w:pPr>
              <w:pStyle w:val="TableCell10Center"/>
              <w:rPr>
                <w:rFonts w:ascii="Times New Roman" w:hAnsi="Times New Roman"/>
                <w:lang w:val="pl-PL"/>
              </w:rPr>
            </w:pPr>
            <w:r w:rsidRPr="0070444C">
              <w:rPr>
                <w:rFonts w:ascii="Times New Roman" w:hAnsi="Times New Roman"/>
                <w:lang w:val="pl-PL"/>
              </w:rPr>
              <w:t>(17</w:t>
            </w:r>
            <w:r w:rsidR="004D6DFB" w:rsidRPr="0070444C">
              <w:rPr>
                <w:rFonts w:ascii="Times New Roman" w:hAnsi="Times New Roman"/>
                <w:lang w:val="pl-PL"/>
              </w:rPr>
              <w:t>,</w:t>
            </w:r>
            <w:r w:rsidRPr="0070444C">
              <w:rPr>
                <w:rFonts w:ascii="Times New Roman" w:hAnsi="Times New Roman"/>
                <w:lang w:val="pl-PL"/>
              </w:rPr>
              <w:t>5 vs.14</w:t>
            </w:r>
            <w:r w:rsidR="004D6DFB" w:rsidRPr="0070444C">
              <w:rPr>
                <w:rFonts w:ascii="Times New Roman" w:hAnsi="Times New Roman"/>
                <w:lang w:val="pl-PL"/>
              </w:rPr>
              <w:t>,</w:t>
            </w:r>
            <w:r w:rsidRPr="0070444C">
              <w:rPr>
                <w:rFonts w:ascii="Times New Roman" w:hAnsi="Times New Roman"/>
                <w:lang w:val="pl-PL"/>
              </w:rPr>
              <w:t>3 miesięcy; p </w:t>
            </w:r>
            <w:r w:rsidRPr="0070444C">
              <w:rPr>
                <w:rFonts w:ascii="Times New Roman" w:hAnsi="Times New Roman"/>
                <w:lang w:val="pl-PL"/>
              </w:rPr>
              <w:sym w:font="Symbol" w:char="F03D"/>
            </w:r>
            <w:r w:rsidRPr="0070444C">
              <w:rPr>
                <w:rFonts w:ascii="Times New Roman" w:hAnsi="Times New Roman"/>
                <w:lang w:val="pl-PL"/>
              </w:rPr>
              <w:t> 0</w:t>
            </w:r>
            <w:r w:rsidR="004D6DFB" w:rsidRPr="0070444C">
              <w:rPr>
                <w:rFonts w:ascii="Times New Roman" w:hAnsi="Times New Roman"/>
                <w:lang w:val="pl-PL"/>
              </w:rPr>
              <w:t>,</w:t>
            </w:r>
            <w:r w:rsidRPr="0070444C">
              <w:rPr>
                <w:rFonts w:ascii="Times New Roman" w:hAnsi="Times New Roman"/>
                <w:lang w:val="pl-PL"/>
              </w:rPr>
              <w:t>0609)</w:t>
            </w:r>
          </w:p>
        </w:tc>
        <w:tc>
          <w:tcPr>
            <w:tcW w:w="1754" w:type="pct"/>
            <w:shd w:val="clear" w:color="auto" w:fill="FFFFFF"/>
          </w:tcPr>
          <w:p w14:paraId="59FB4846" w14:textId="77777777" w:rsidR="006D3B40" w:rsidRPr="0070444C" w:rsidRDefault="006D3B40" w:rsidP="0046776D">
            <w:pPr>
              <w:pStyle w:val="TableCell10Center"/>
              <w:rPr>
                <w:rFonts w:ascii="Times New Roman" w:hAnsi="Times New Roman"/>
                <w:lang w:val="pl-PL"/>
              </w:rPr>
            </w:pPr>
            <w:r w:rsidRPr="0070444C">
              <w:rPr>
                <w:rFonts w:ascii="Times New Roman" w:hAnsi="Times New Roman"/>
                <w:lang w:val="pl-PL"/>
              </w:rPr>
              <w:t>0</w:t>
            </w:r>
            <w:r w:rsidR="004D6DFB" w:rsidRPr="0070444C">
              <w:rPr>
                <w:rFonts w:ascii="Times New Roman" w:hAnsi="Times New Roman"/>
                <w:lang w:val="pl-PL"/>
              </w:rPr>
              <w:t>,</w:t>
            </w:r>
            <w:r w:rsidRPr="0070444C">
              <w:rPr>
                <w:rFonts w:ascii="Times New Roman" w:hAnsi="Times New Roman"/>
                <w:lang w:val="pl-PL"/>
              </w:rPr>
              <w:t>75 (0</w:t>
            </w:r>
            <w:r w:rsidR="004D6DFB" w:rsidRPr="0070444C">
              <w:rPr>
                <w:rFonts w:ascii="Times New Roman" w:hAnsi="Times New Roman"/>
                <w:lang w:val="pl-PL"/>
              </w:rPr>
              <w:t>,</w:t>
            </w:r>
            <w:r w:rsidRPr="0070444C">
              <w:rPr>
                <w:rFonts w:ascii="Times New Roman" w:hAnsi="Times New Roman"/>
                <w:lang w:val="pl-PL"/>
              </w:rPr>
              <w:t>55, 1</w:t>
            </w:r>
            <w:r w:rsidR="004D6DFB" w:rsidRPr="0070444C">
              <w:rPr>
                <w:rFonts w:ascii="Times New Roman" w:hAnsi="Times New Roman"/>
                <w:lang w:val="pl-PL"/>
              </w:rPr>
              <w:t>,</w:t>
            </w:r>
            <w:r w:rsidRPr="0070444C">
              <w:rPr>
                <w:rFonts w:ascii="Times New Roman" w:hAnsi="Times New Roman"/>
                <w:lang w:val="pl-PL"/>
              </w:rPr>
              <w:t>01)</w:t>
            </w:r>
          </w:p>
          <w:p w14:paraId="18109AD8" w14:textId="77777777" w:rsidR="006D3B40" w:rsidRPr="0070444C" w:rsidRDefault="006D3B40" w:rsidP="004D6DFB">
            <w:pPr>
              <w:pStyle w:val="TableCell10Center"/>
              <w:rPr>
                <w:rFonts w:ascii="Times New Roman" w:hAnsi="Times New Roman"/>
                <w:lang w:val="pl-PL"/>
              </w:rPr>
            </w:pPr>
            <w:r w:rsidRPr="0070444C">
              <w:rPr>
                <w:rFonts w:ascii="Times New Roman" w:hAnsi="Times New Roman"/>
                <w:lang w:val="pl-PL"/>
              </w:rPr>
              <w:t>(17</w:t>
            </w:r>
            <w:r w:rsidR="004D6DFB" w:rsidRPr="0070444C">
              <w:rPr>
                <w:rFonts w:ascii="Times New Roman" w:hAnsi="Times New Roman"/>
                <w:lang w:val="pl-PL"/>
              </w:rPr>
              <w:t>,</w:t>
            </w:r>
            <w:r w:rsidRPr="0070444C">
              <w:rPr>
                <w:rFonts w:ascii="Times New Roman" w:hAnsi="Times New Roman"/>
                <w:lang w:val="pl-PL"/>
              </w:rPr>
              <w:t>5 vs.15</w:t>
            </w:r>
            <w:r w:rsidR="004D6DFB" w:rsidRPr="0070444C">
              <w:rPr>
                <w:rFonts w:ascii="Times New Roman" w:hAnsi="Times New Roman"/>
                <w:lang w:val="pl-PL"/>
              </w:rPr>
              <w:t>,</w:t>
            </w:r>
            <w:r w:rsidRPr="0070444C">
              <w:rPr>
                <w:rFonts w:ascii="Times New Roman" w:hAnsi="Times New Roman"/>
                <w:lang w:val="pl-PL"/>
              </w:rPr>
              <w:t>0 miesięcy; p</w:t>
            </w:r>
            <w:r w:rsidRPr="0070444C">
              <w:rPr>
                <w:rFonts w:ascii="Times New Roman" w:hAnsi="Times New Roman"/>
                <w:sz w:val="10"/>
                <w:lang w:val="pl-PL"/>
              </w:rPr>
              <w:t> </w:t>
            </w:r>
            <w:r w:rsidRPr="0070444C">
              <w:rPr>
                <w:rFonts w:ascii="Times New Roman" w:hAnsi="Times New Roman"/>
                <w:lang w:val="pl-PL"/>
              </w:rPr>
              <w:sym w:font="Symbol" w:char="F03D"/>
            </w:r>
            <w:r w:rsidRPr="0070444C">
              <w:rPr>
                <w:rFonts w:ascii="Times New Roman" w:hAnsi="Times New Roman"/>
                <w:sz w:val="10"/>
                <w:lang w:val="pl-PL"/>
              </w:rPr>
              <w:t> </w:t>
            </w:r>
            <w:r w:rsidRPr="0070444C">
              <w:rPr>
                <w:rFonts w:ascii="Times New Roman" w:hAnsi="Times New Roman"/>
                <w:lang w:val="pl-PL"/>
              </w:rPr>
              <w:t>0</w:t>
            </w:r>
            <w:r w:rsidR="004D6DFB" w:rsidRPr="0070444C">
              <w:rPr>
                <w:rFonts w:ascii="Times New Roman" w:hAnsi="Times New Roman"/>
                <w:lang w:val="pl-PL"/>
              </w:rPr>
              <w:t>,</w:t>
            </w:r>
            <w:r w:rsidRPr="0070444C">
              <w:rPr>
                <w:rFonts w:ascii="Times New Roman" w:hAnsi="Times New Roman"/>
                <w:lang w:val="pl-PL"/>
              </w:rPr>
              <w:t>0584)</w:t>
            </w:r>
          </w:p>
        </w:tc>
      </w:tr>
      <w:tr w:rsidR="00713846" w:rsidRPr="0015541C" w14:paraId="77E13059" w14:textId="77777777" w:rsidTr="001535A2">
        <w:trPr>
          <w:cantSplit/>
        </w:trPr>
        <w:tc>
          <w:tcPr>
            <w:tcW w:w="773" w:type="pct"/>
            <w:vMerge/>
            <w:shd w:val="clear" w:color="auto" w:fill="FFFFFF"/>
          </w:tcPr>
          <w:p w14:paraId="3B71A2D0" w14:textId="77777777" w:rsidR="006D3B40" w:rsidRPr="0070444C" w:rsidRDefault="006D3B40" w:rsidP="0046776D">
            <w:pPr>
              <w:pStyle w:val="TableCell10Left"/>
              <w:rPr>
                <w:rFonts w:ascii="Times New Roman" w:hAnsi="Times New Roman"/>
                <w:lang w:val="pl-PL"/>
              </w:rPr>
            </w:pPr>
          </w:p>
        </w:tc>
        <w:tc>
          <w:tcPr>
            <w:tcW w:w="742" w:type="pct"/>
            <w:shd w:val="clear" w:color="auto" w:fill="FFFFFF"/>
          </w:tcPr>
          <w:p w14:paraId="117FEA92" w14:textId="77777777" w:rsidR="006D3B40" w:rsidRPr="0070444C" w:rsidRDefault="006D3B40" w:rsidP="0046776D">
            <w:pPr>
              <w:pStyle w:val="TableCell10Center"/>
              <w:rPr>
                <w:rFonts w:ascii="Times New Roman" w:hAnsi="Times New Roman"/>
                <w:lang w:val="pl-PL"/>
              </w:rPr>
            </w:pPr>
            <w:r w:rsidRPr="0070444C">
              <w:rPr>
                <w:rFonts w:ascii="Times New Roman" w:hAnsi="Times New Roman"/>
                <w:lang w:val="pl-PL"/>
              </w:rPr>
              <w:t>Topotekan+</w:t>
            </w:r>
            <w:r w:rsidR="001535A2" w:rsidRPr="0015541C">
              <w:rPr>
                <w:rFonts w:ascii="Times New Roman" w:hAnsi="Times New Roman"/>
                <w:szCs w:val="20"/>
                <w:lang w:val="pl-PL"/>
              </w:rPr>
              <w:t xml:space="preserve"> </w:t>
            </w:r>
            <w:r w:rsidRPr="0070444C">
              <w:rPr>
                <w:rFonts w:ascii="Times New Roman" w:hAnsi="Times New Roman"/>
                <w:lang w:val="pl-PL"/>
              </w:rPr>
              <w:t>Paklitaksel</w:t>
            </w:r>
          </w:p>
        </w:tc>
        <w:tc>
          <w:tcPr>
            <w:tcW w:w="1731" w:type="pct"/>
            <w:shd w:val="clear" w:color="auto" w:fill="FFFFFF"/>
          </w:tcPr>
          <w:p w14:paraId="735690D1" w14:textId="77777777" w:rsidR="006D3B40" w:rsidRPr="0070444C" w:rsidRDefault="006D3B40" w:rsidP="0046776D">
            <w:pPr>
              <w:pStyle w:val="TableCell10Center"/>
              <w:rPr>
                <w:rFonts w:ascii="Times New Roman" w:hAnsi="Times New Roman"/>
                <w:lang w:val="pl-PL"/>
              </w:rPr>
            </w:pPr>
            <w:r w:rsidRPr="0070444C">
              <w:rPr>
                <w:rFonts w:ascii="Times New Roman" w:hAnsi="Times New Roman"/>
                <w:lang w:val="pl-PL"/>
              </w:rPr>
              <w:t>0</w:t>
            </w:r>
            <w:r w:rsidR="004D6DFB" w:rsidRPr="0070444C">
              <w:rPr>
                <w:rFonts w:ascii="Times New Roman" w:hAnsi="Times New Roman"/>
                <w:lang w:val="pl-PL"/>
              </w:rPr>
              <w:t>,</w:t>
            </w:r>
            <w:r w:rsidRPr="0070444C">
              <w:rPr>
                <w:rFonts w:ascii="Times New Roman" w:hAnsi="Times New Roman"/>
                <w:lang w:val="pl-PL"/>
              </w:rPr>
              <w:t>76 (0</w:t>
            </w:r>
            <w:r w:rsidR="004D6DFB" w:rsidRPr="0070444C">
              <w:rPr>
                <w:rFonts w:ascii="Times New Roman" w:hAnsi="Times New Roman"/>
                <w:lang w:val="pl-PL"/>
              </w:rPr>
              <w:t>,</w:t>
            </w:r>
            <w:r w:rsidRPr="0070444C">
              <w:rPr>
                <w:rFonts w:ascii="Times New Roman" w:hAnsi="Times New Roman"/>
                <w:lang w:val="pl-PL"/>
              </w:rPr>
              <w:t>55, 1</w:t>
            </w:r>
            <w:r w:rsidR="004D6DFB" w:rsidRPr="0070444C">
              <w:rPr>
                <w:rFonts w:ascii="Times New Roman" w:hAnsi="Times New Roman"/>
                <w:lang w:val="pl-PL"/>
              </w:rPr>
              <w:t>,</w:t>
            </w:r>
            <w:r w:rsidRPr="0070444C">
              <w:rPr>
                <w:rFonts w:ascii="Times New Roman" w:hAnsi="Times New Roman"/>
                <w:lang w:val="pl-PL"/>
              </w:rPr>
              <w:t>06)</w:t>
            </w:r>
          </w:p>
          <w:p w14:paraId="5AFEA174" w14:textId="77777777" w:rsidR="006D3B40" w:rsidRPr="0070444C" w:rsidRDefault="006D3B40" w:rsidP="004D6DFB">
            <w:pPr>
              <w:pStyle w:val="TableCell10Center"/>
              <w:rPr>
                <w:rFonts w:ascii="Times New Roman" w:hAnsi="Times New Roman"/>
                <w:lang w:val="pl-PL"/>
              </w:rPr>
            </w:pPr>
            <w:r w:rsidRPr="0070444C">
              <w:rPr>
                <w:rFonts w:ascii="Times New Roman" w:hAnsi="Times New Roman"/>
                <w:lang w:val="pl-PL"/>
              </w:rPr>
              <w:t>(14</w:t>
            </w:r>
            <w:r w:rsidR="004D6DFB" w:rsidRPr="0070444C">
              <w:rPr>
                <w:rFonts w:ascii="Times New Roman" w:hAnsi="Times New Roman"/>
                <w:lang w:val="pl-PL"/>
              </w:rPr>
              <w:t>,9 vs. 11,</w:t>
            </w:r>
            <w:r w:rsidRPr="0070444C">
              <w:rPr>
                <w:rFonts w:ascii="Times New Roman" w:hAnsi="Times New Roman"/>
                <w:lang w:val="pl-PL"/>
              </w:rPr>
              <w:t>9 miesięcy; p </w:t>
            </w:r>
            <w:r w:rsidRPr="0070444C">
              <w:rPr>
                <w:rFonts w:ascii="Times New Roman" w:hAnsi="Times New Roman"/>
                <w:lang w:val="pl-PL"/>
              </w:rPr>
              <w:sym w:font="Symbol" w:char="F03D"/>
            </w:r>
            <w:r w:rsidRPr="0070444C">
              <w:rPr>
                <w:rFonts w:ascii="Times New Roman" w:hAnsi="Times New Roman"/>
                <w:lang w:val="pl-PL"/>
              </w:rPr>
              <w:t> 0</w:t>
            </w:r>
            <w:r w:rsidR="004D6DFB" w:rsidRPr="0070444C">
              <w:rPr>
                <w:rFonts w:ascii="Times New Roman" w:hAnsi="Times New Roman"/>
                <w:lang w:val="pl-PL"/>
              </w:rPr>
              <w:t>,</w:t>
            </w:r>
            <w:r w:rsidRPr="0070444C">
              <w:rPr>
                <w:rFonts w:ascii="Times New Roman" w:hAnsi="Times New Roman"/>
                <w:lang w:val="pl-PL"/>
              </w:rPr>
              <w:t>1061)</w:t>
            </w:r>
          </w:p>
        </w:tc>
        <w:tc>
          <w:tcPr>
            <w:tcW w:w="1754" w:type="pct"/>
            <w:shd w:val="clear" w:color="auto" w:fill="FFFFFF"/>
          </w:tcPr>
          <w:p w14:paraId="7584BEF9" w14:textId="77777777" w:rsidR="006D3B40" w:rsidRPr="0070444C" w:rsidRDefault="006D3B40" w:rsidP="0046776D">
            <w:pPr>
              <w:pStyle w:val="TableCell10Center"/>
              <w:rPr>
                <w:rFonts w:ascii="Times New Roman" w:hAnsi="Times New Roman"/>
                <w:lang w:val="pl-PL"/>
              </w:rPr>
            </w:pPr>
            <w:r w:rsidRPr="0070444C">
              <w:rPr>
                <w:rFonts w:ascii="Times New Roman" w:hAnsi="Times New Roman"/>
                <w:lang w:val="pl-PL"/>
              </w:rPr>
              <w:t>0</w:t>
            </w:r>
            <w:r w:rsidR="004D6DFB" w:rsidRPr="0070444C">
              <w:rPr>
                <w:rFonts w:ascii="Times New Roman" w:hAnsi="Times New Roman"/>
                <w:lang w:val="pl-PL"/>
              </w:rPr>
              <w:t>,</w:t>
            </w:r>
            <w:r w:rsidRPr="0070444C">
              <w:rPr>
                <w:rFonts w:ascii="Times New Roman" w:hAnsi="Times New Roman"/>
                <w:lang w:val="pl-PL"/>
              </w:rPr>
              <w:t>79 (0</w:t>
            </w:r>
            <w:r w:rsidR="004D6DFB" w:rsidRPr="0070444C">
              <w:rPr>
                <w:rFonts w:ascii="Times New Roman" w:hAnsi="Times New Roman"/>
                <w:lang w:val="pl-PL"/>
              </w:rPr>
              <w:t>,</w:t>
            </w:r>
            <w:r w:rsidRPr="0070444C">
              <w:rPr>
                <w:rFonts w:ascii="Times New Roman" w:hAnsi="Times New Roman"/>
                <w:lang w:val="pl-PL"/>
              </w:rPr>
              <w:t>59, 1</w:t>
            </w:r>
            <w:r w:rsidR="004D6DFB" w:rsidRPr="0070444C">
              <w:rPr>
                <w:rFonts w:ascii="Times New Roman" w:hAnsi="Times New Roman"/>
                <w:lang w:val="pl-PL"/>
              </w:rPr>
              <w:t>,</w:t>
            </w:r>
            <w:r w:rsidRPr="0070444C">
              <w:rPr>
                <w:rFonts w:ascii="Times New Roman" w:hAnsi="Times New Roman"/>
                <w:lang w:val="pl-PL"/>
              </w:rPr>
              <w:t>07)</w:t>
            </w:r>
          </w:p>
          <w:p w14:paraId="009F3C83" w14:textId="77777777" w:rsidR="006D3B40" w:rsidRPr="0070444C" w:rsidRDefault="006D3B40" w:rsidP="004D6DFB">
            <w:pPr>
              <w:pStyle w:val="TableCell10Center"/>
              <w:rPr>
                <w:rFonts w:ascii="Times New Roman" w:hAnsi="Times New Roman"/>
                <w:lang w:val="pl-PL"/>
              </w:rPr>
            </w:pPr>
            <w:r w:rsidRPr="0070444C">
              <w:rPr>
                <w:rFonts w:ascii="Times New Roman" w:hAnsi="Times New Roman"/>
                <w:lang w:val="pl-PL"/>
              </w:rPr>
              <w:t>(16</w:t>
            </w:r>
            <w:r w:rsidR="004D6DFB" w:rsidRPr="0070444C">
              <w:rPr>
                <w:rFonts w:ascii="Times New Roman" w:hAnsi="Times New Roman"/>
                <w:lang w:val="pl-PL"/>
              </w:rPr>
              <w:t>,</w:t>
            </w:r>
            <w:r w:rsidRPr="0070444C">
              <w:rPr>
                <w:rFonts w:ascii="Times New Roman" w:hAnsi="Times New Roman"/>
                <w:lang w:val="pl-PL"/>
              </w:rPr>
              <w:t>2 vs. 12</w:t>
            </w:r>
            <w:r w:rsidR="004D6DFB" w:rsidRPr="0070444C">
              <w:rPr>
                <w:rFonts w:ascii="Times New Roman" w:hAnsi="Times New Roman"/>
                <w:lang w:val="pl-PL"/>
              </w:rPr>
              <w:t>,</w:t>
            </w:r>
            <w:r w:rsidRPr="0070444C">
              <w:rPr>
                <w:rFonts w:ascii="Times New Roman" w:hAnsi="Times New Roman"/>
                <w:lang w:val="pl-PL"/>
              </w:rPr>
              <w:t>0 miesięcy; p</w:t>
            </w:r>
            <w:r w:rsidRPr="0070444C">
              <w:rPr>
                <w:rFonts w:ascii="Times New Roman" w:hAnsi="Times New Roman"/>
                <w:sz w:val="10"/>
                <w:lang w:val="pl-PL"/>
              </w:rPr>
              <w:t> </w:t>
            </w:r>
            <w:r w:rsidRPr="0070444C">
              <w:rPr>
                <w:rFonts w:ascii="Times New Roman" w:hAnsi="Times New Roman"/>
                <w:lang w:val="pl-PL"/>
              </w:rPr>
              <w:sym w:font="Symbol" w:char="F03D"/>
            </w:r>
            <w:r w:rsidRPr="0070444C">
              <w:rPr>
                <w:rFonts w:ascii="Times New Roman" w:hAnsi="Times New Roman"/>
                <w:sz w:val="10"/>
                <w:lang w:val="pl-PL"/>
              </w:rPr>
              <w:t> </w:t>
            </w:r>
            <w:r w:rsidRPr="0070444C">
              <w:rPr>
                <w:rFonts w:ascii="Times New Roman" w:hAnsi="Times New Roman"/>
                <w:lang w:val="pl-PL"/>
              </w:rPr>
              <w:t>0</w:t>
            </w:r>
            <w:r w:rsidR="004D6DFB" w:rsidRPr="0070444C">
              <w:rPr>
                <w:rFonts w:ascii="Times New Roman" w:hAnsi="Times New Roman"/>
                <w:lang w:val="pl-PL"/>
              </w:rPr>
              <w:t>,</w:t>
            </w:r>
            <w:r w:rsidRPr="0070444C">
              <w:rPr>
                <w:rFonts w:ascii="Times New Roman" w:hAnsi="Times New Roman"/>
                <w:lang w:val="pl-PL"/>
              </w:rPr>
              <w:t>1342)</w:t>
            </w:r>
          </w:p>
        </w:tc>
      </w:tr>
      <w:tr w:rsidR="00713846" w:rsidRPr="0015541C" w14:paraId="481E2EB5" w14:textId="77777777" w:rsidTr="001535A2">
        <w:trPr>
          <w:cantSplit/>
        </w:trPr>
        <w:tc>
          <w:tcPr>
            <w:tcW w:w="773" w:type="pct"/>
            <w:vMerge w:val="restart"/>
            <w:shd w:val="clear" w:color="auto" w:fill="FFFFFF"/>
          </w:tcPr>
          <w:p w14:paraId="1508C078" w14:textId="77777777" w:rsidR="006D3B40" w:rsidRPr="0015541C" w:rsidRDefault="006D3B40" w:rsidP="0046776D">
            <w:pPr>
              <w:pStyle w:val="TableCell10Left"/>
              <w:rPr>
                <w:rFonts w:ascii="Times New Roman" w:hAnsi="Times New Roman"/>
                <w:szCs w:val="20"/>
                <w:lang w:val="pl-PL"/>
              </w:rPr>
            </w:pPr>
            <w:r w:rsidRPr="0015541C">
              <w:rPr>
                <w:rFonts w:ascii="Times New Roman" w:hAnsi="Times New Roman"/>
                <w:szCs w:val="20"/>
                <w:lang w:val="pl-PL"/>
              </w:rPr>
              <w:t>Topotekan+</w:t>
            </w:r>
            <w:r w:rsidR="001535A2" w:rsidRPr="0015541C">
              <w:rPr>
                <w:rFonts w:ascii="Times New Roman" w:hAnsi="Times New Roman"/>
                <w:szCs w:val="20"/>
                <w:lang w:val="pl-PL"/>
              </w:rPr>
              <w:t xml:space="preserve"> </w:t>
            </w:r>
            <w:r w:rsidRPr="0015541C">
              <w:rPr>
                <w:rFonts w:ascii="Times New Roman" w:hAnsi="Times New Roman"/>
                <w:szCs w:val="20"/>
                <w:lang w:val="pl-PL"/>
              </w:rPr>
              <w:t>Paklitaksel vs. Cisplatyna+</w:t>
            </w:r>
            <w:r w:rsidR="001535A2" w:rsidRPr="00AC3958">
              <w:rPr>
                <w:rFonts w:ascii="Times New Roman" w:hAnsi="Times New Roman"/>
                <w:szCs w:val="20"/>
                <w:lang w:val="pl-PL"/>
              </w:rPr>
              <w:t xml:space="preserve"> </w:t>
            </w:r>
            <w:r w:rsidRPr="003C36AE">
              <w:rPr>
                <w:rFonts w:ascii="Times New Roman" w:hAnsi="Times New Roman"/>
                <w:szCs w:val="20"/>
                <w:lang w:val="pl-PL"/>
              </w:rPr>
              <w:t>Paklitaksel</w:t>
            </w:r>
          </w:p>
        </w:tc>
        <w:tc>
          <w:tcPr>
            <w:tcW w:w="742" w:type="pct"/>
            <w:shd w:val="clear" w:color="auto" w:fill="FFFFFF"/>
          </w:tcPr>
          <w:p w14:paraId="0BCC7D76" w14:textId="77777777" w:rsidR="006D3B40" w:rsidRPr="0070444C" w:rsidRDefault="00767B10" w:rsidP="0046776D">
            <w:pPr>
              <w:pStyle w:val="TableCell10Center"/>
              <w:rPr>
                <w:rFonts w:ascii="Times New Roman" w:hAnsi="Times New Roman"/>
                <w:lang w:val="pl-PL"/>
              </w:rPr>
            </w:pPr>
            <w:r w:rsidRPr="0015541C">
              <w:rPr>
                <w:rFonts w:ascii="Times New Roman" w:hAnsi="Times New Roman"/>
                <w:szCs w:val="20"/>
                <w:lang w:val="pl-PL"/>
              </w:rPr>
              <w:t>Bewacyzumab</w:t>
            </w:r>
            <w:r w:rsidR="006D3B40" w:rsidRPr="0070444C">
              <w:rPr>
                <w:rFonts w:ascii="Times New Roman" w:hAnsi="Times New Roman"/>
                <w:lang w:val="pl-PL"/>
              </w:rPr>
              <w:t xml:space="preserve"> </w:t>
            </w:r>
          </w:p>
        </w:tc>
        <w:tc>
          <w:tcPr>
            <w:tcW w:w="1731" w:type="pct"/>
            <w:shd w:val="clear" w:color="auto" w:fill="FFFFFF"/>
          </w:tcPr>
          <w:p w14:paraId="3EF5BE61" w14:textId="77777777" w:rsidR="006D3B40" w:rsidRPr="0070444C" w:rsidRDefault="006D3B40" w:rsidP="0046776D">
            <w:pPr>
              <w:pStyle w:val="TableCell10Center"/>
              <w:rPr>
                <w:rFonts w:ascii="Times New Roman" w:hAnsi="Times New Roman"/>
                <w:lang w:val="pl-PL"/>
              </w:rPr>
            </w:pPr>
            <w:r w:rsidRPr="0070444C">
              <w:rPr>
                <w:rFonts w:ascii="Times New Roman" w:hAnsi="Times New Roman"/>
                <w:lang w:val="pl-PL"/>
              </w:rPr>
              <w:t>1</w:t>
            </w:r>
            <w:r w:rsidR="004D6DFB" w:rsidRPr="0070444C">
              <w:rPr>
                <w:rFonts w:ascii="Times New Roman" w:hAnsi="Times New Roman"/>
                <w:lang w:val="pl-PL"/>
              </w:rPr>
              <w:t>,</w:t>
            </w:r>
            <w:r w:rsidRPr="0070444C">
              <w:rPr>
                <w:rFonts w:ascii="Times New Roman" w:hAnsi="Times New Roman"/>
                <w:lang w:val="pl-PL"/>
              </w:rPr>
              <w:t>15 (0</w:t>
            </w:r>
            <w:r w:rsidR="004D6DFB" w:rsidRPr="0070444C">
              <w:rPr>
                <w:rFonts w:ascii="Times New Roman" w:hAnsi="Times New Roman"/>
                <w:lang w:val="pl-PL"/>
              </w:rPr>
              <w:t>,</w:t>
            </w:r>
            <w:r w:rsidRPr="0070444C">
              <w:rPr>
                <w:rFonts w:ascii="Times New Roman" w:hAnsi="Times New Roman"/>
                <w:lang w:val="pl-PL"/>
              </w:rPr>
              <w:t>82, 1</w:t>
            </w:r>
            <w:r w:rsidR="004D6DFB" w:rsidRPr="0070444C">
              <w:rPr>
                <w:rFonts w:ascii="Times New Roman" w:hAnsi="Times New Roman"/>
                <w:lang w:val="pl-PL"/>
              </w:rPr>
              <w:t>,</w:t>
            </w:r>
            <w:r w:rsidRPr="0070444C">
              <w:rPr>
                <w:rFonts w:ascii="Times New Roman" w:hAnsi="Times New Roman"/>
                <w:lang w:val="pl-PL"/>
              </w:rPr>
              <w:t>61)</w:t>
            </w:r>
          </w:p>
          <w:p w14:paraId="74957703" w14:textId="77777777" w:rsidR="006D3B40" w:rsidRPr="0070444C" w:rsidRDefault="006D3B40" w:rsidP="004D6DFB">
            <w:pPr>
              <w:pStyle w:val="TableCell10Center"/>
              <w:rPr>
                <w:rFonts w:ascii="Times New Roman" w:hAnsi="Times New Roman"/>
                <w:lang w:val="pl-PL"/>
              </w:rPr>
            </w:pPr>
            <w:r w:rsidRPr="0070444C">
              <w:rPr>
                <w:rFonts w:ascii="Times New Roman" w:hAnsi="Times New Roman"/>
                <w:lang w:val="pl-PL"/>
              </w:rPr>
              <w:t>(14</w:t>
            </w:r>
            <w:r w:rsidR="004D6DFB" w:rsidRPr="0070444C">
              <w:rPr>
                <w:rFonts w:ascii="Times New Roman" w:hAnsi="Times New Roman"/>
                <w:lang w:val="pl-PL"/>
              </w:rPr>
              <w:t>,</w:t>
            </w:r>
            <w:r w:rsidRPr="0070444C">
              <w:rPr>
                <w:rFonts w:ascii="Times New Roman" w:hAnsi="Times New Roman"/>
                <w:lang w:val="pl-PL"/>
              </w:rPr>
              <w:t>9 vs. 17</w:t>
            </w:r>
            <w:r w:rsidR="004D6DFB" w:rsidRPr="0070444C">
              <w:rPr>
                <w:rFonts w:ascii="Times New Roman" w:hAnsi="Times New Roman"/>
                <w:lang w:val="pl-PL"/>
              </w:rPr>
              <w:t>,</w:t>
            </w:r>
            <w:r w:rsidRPr="0070444C">
              <w:rPr>
                <w:rFonts w:ascii="Times New Roman" w:hAnsi="Times New Roman"/>
                <w:lang w:val="pl-PL"/>
              </w:rPr>
              <w:t>5 miesięcy; p </w:t>
            </w:r>
            <w:r w:rsidRPr="0070444C">
              <w:rPr>
                <w:rFonts w:ascii="Times New Roman" w:hAnsi="Times New Roman"/>
                <w:lang w:val="pl-PL"/>
              </w:rPr>
              <w:sym w:font="Symbol" w:char="F03D"/>
            </w:r>
            <w:r w:rsidRPr="0070444C">
              <w:rPr>
                <w:rFonts w:ascii="Times New Roman" w:hAnsi="Times New Roman"/>
                <w:lang w:val="pl-PL"/>
              </w:rPr>
              <w:t> 0</w:t>
            </w:r>
            <w:r w:rsidR="004D6DFB" w:rsidRPr="0070444C">
              <w:rPr>
                <w:rFonts w:ascii="Times New Roman" w:hAnsi="Times New Roman"/>
                <w:lang w:val="pl-PL"/>
              </w:rPr>
              <w:t>,</w:t>
            </w:r>
            <w:r w:rsidRPr="0070444C">
              <w:rPr>
                <w:rFonts w:ascii="Times New Roman" w:hAnsi="Times New Roman"/>
                <w:lang w:val="pl-PL"/>
              </w:rPr>
              <w:t>4146)</w:t>
            </w:r>
          </w:p>
        </w:tc>
        <w:tc>
          <w:tcPr>
            <w:tcW w:w="1754" w:type="pct"/>
            <w:shd w:val="clear" w:color="auto" w:fill="FFFFFF"/>
          </w:tcPr>
          <w:p w14:paraId="25039DE3" w14:textId="77777777" w:rsidR="006D3B40" w:rsidRPr="0070444C" w:rsidRDefault="006D3B40" w:rsidP="0046776D">
            <w:pPr>
              <w:pStyle w:val="TableCell10Center"/>
              <w:rPr>
                <w:rFonts w:ascii="Times New Roman" w:hAnsi="Times New Roman"/>
                <w:lang w:val="pl-PL"/>
              </w:rPr>
            </w:pPr>
            <w:r w:rsidRPr="0070444C">
              <w:rPr>
                <w:rFonts w:ascii="Times New Roman" w:hAnsi="Times New Roman"/>
                <w:lang w:val="pl-PL"/>
              </w:rPr>
              <w:t>1</w:t>
            </w:r>
            <w:r w:rsidR="004D6DFB" w:rsidRPr="0070444C">
              <w:rPr>
                <w:rFonts w:ascii="Times New Roman" w:hAnsi="Times New Roman"/>
                <w:lang w:val="pl-PL"/>
              </w:rPr>
              <w:t>,</w:t>
            </w:r>
            <w:r w:rsidRPr="0070444C">
              <w:rPr>
                <w:rFonts w:ascii="Times New Roman" w:hAnsi="Times New Roman"/>
                <w:lang w:val="pl-PL"/>
              </w:rPr>
              <w:t>15 (0</w:t>
            </w:r>
            <w:r w:rsidR="004D6DFB" w:rsidRPr="0070444C">
              <w:rPr>
                <w:rFonts w:ascii="Times New Roman" w:hAnsi="Times New Roman"/>
                <w:lang w:val="pl-PL"/>
              </w:rPr>
              <w:t>,</w:t>
            </w:r>
            <w:r w:rsidRPr="0070444C">
              <w:rPr>
                <w:rFonts w:ascii="Times New Roman" w:hAnsi="Times New Roman"/>
                <w:lang w:val="pl-PL"/>
              </w:rPr>
              <w:t>85, 1</w:t>
            </w:r>
            <w:r w:rsidR="004D6DFB" w:rsidRPr="0070444C">
              <w:rPr>
                <w:rFonts w:ascii="Times New Roman" w:hAnsi="Times New Roman"/>
                <w:lang w:val="pl-PL"/>
              </w:rPr>
              <w:t>,</w:t>
            </w:r>
            <w:r w:rsidRPr="0070444C">
              <w:rPr>
                <w:rFonts w:ascii="Times New Roman" w:hAnsi="Times New Roman"/>
                <w:lang w:val="pl-PL"/>
              </w:rPr>
              <w:t>56)</w:t>
            </w:r>
          </w:p>
          <w:p w14:paraId="16CCC13E" w14:textId="77777777" w:rsidR="006D3B40" w:rsidRPr="0070444C" w:rsidRDefault="006D3B40" w:rsidP="004D6DFB">
            <w:pPr>
              <w:pStyle w:val="TableCell10Center"/>
              <w:rPr>
                <w:rFonts w:ascii="Times New Roman" w:hAnsi="Times New Roman"/>
                <w:lang w:val="pl-PL"/>
              </w:rPr>
            </w:pPr>
            <w:r w:rsidRPr="0070444C">
              <w:rPr>
                <w:rFonts w:ascii="Times New Roman" w:hAnsi="Times New Roman"/>
                <w:lang w:val="pl-PL"/>
              </w:rPr>
              <w:t>(16</w:t>
            </w:r>
            <w:r w:rsidR="004D6DFB" w:rsidRPr="0070444C">
              <w:rPr>
                <w:rFonts w:ascii="Times New Roman" w:hAnsi="Times New Roman"/>
                <w:lang w:val="pl-PL"/>
              </w:rPr>
              <w:t>,</w:t>
            </w:r>
            <w:r w:rsidRPr="0070444C">
              <w:rPr>
                <w:rFonts w:ascii="Times New Roman" w:hAnsi="Times New Roman"/>
                <w:lang w:val="pl-PL"/>
              </w:rPr>
              <w:t>2 vs 17</w:t>
            </w:r>
            <w:r w:rsidR="004D6DFB" w:rsidRPr="0070444C">
              <w:rPr>
                <w:rFonts w:ascii="Times New Roman" w:hAnsi="Times New Roman"/>
                <w:lang w:val="pl-PL"/>
              </w:rPr>
              <w:t>,</w:t>
            </w:r>
            <w:r w:rsidRPr="0070444C">
              <w:rPr>
                <w:rFonts w:ascii="Times New Roman" w:hAnsi="Times New Roman"/>
                <w:lang w:val="pl-PL"/>
              </w:rPr>
              <w:t>5 miesięcy; p</w:t>
            </w:r>
            <w:r w:rsidRPr="0070444C">
              <w:rPr>
                <w:rFonts w:ascii="Times New Roman" w:hAnsi="Times New Roman"/>
                <w:sz w:val="10"/>
                <w:lang w:val="pl-PL"/>
              </w:rPr>
              <w:t> </w:t>
            </w:r>
            <w:r w:rsidRPr="0070444C">
              <w:rPr>
                <w:rFonts w:ascii="Times New Roman" w:hAnsi="Times New Roman"/>
                <w:lang w:val="pl-PL"/>
              </w:rPr>
              <w:sym w:font="Symbol" w:char="F03D"/>
            </w:r>
            <w:r w:rsidRPr="0070444C">
              <w:rPr>
                <w:rFonts w:ascii="Times New Roman" w:hAnsi="Times New Roman"/>
                <w:lang w:val="pl-PL"/>
              </w:rPr>
              <w:t> 0</w:t>
            </w:r>
            <w:r w:rsidR="004D6DFB" w:rsidRPr="0070444C">
              <w:rPr>
                <w:rFonts w:ascii="Times New Roman" w:hAnsi="Times New Roman"/>
                <w:lang w:val="pl-PL"/>
              </w:rPr>
              <w:t>,</w:t>
            </w:r>
            <w:r w:rsidRPr="0070444C">
              <w:rPr>
                <w:rFonts w:ascii="Times New Roman" w:hAnsi="Times New Roman"/>
                <w:lang w:val="pl-PL"/>
              </w:rPr>
              <w:t>3769)</w:t>
            </w:r>
          </w:p>
        </w:tc>
      </w:tr>
      <w:tr w:rsidR="00713846" w:rsidRPr="0015541C" w14:paraId="2BD80B2F" w14:textId="77777777" w:rsidTr="001535A2">
        <w:trPr>
          <w:cantSplit/>
        </w:trPr>
        <w:tc>
          <w:tcPr>
            <w:tcW w:w="773" w:type="pct"/>
            <w:vMerge/>
            <w:shd w:val="clear" w:color="auto" w:fill="FFFFFF"/>
          </w:tcPr>
          <w:p w14:paraId="48F29EA9" w14:textId="77777777" w:rsidR="006D3B40" w:rsidRPr="0070444C" w:rsidRDefault="006D3B40" w:rsidP="0046776D">
            <w:pPr>
              <w:pStyle w:val="TableCell10Left"/>
              <w:rPr>
                <w:rFonts w:ascii="Times New Roman" w:hAnsi="Times New Roman"/>
                <w:lang w:val="pl-PL"/>
              </w:rPr>
            </w:pPr>
          </w:p>
        </w:tc>
        <w:tc>
          <w:tcPr>
            <w:tcW w:w="742" w:type="pct"/>
            <w:shd w:val="clear" w:color="auto" w:fill="FFFFFF"/>
          </w:tcPr>
          <w:p w14:paraId="1EBD891F" w14:textId="77777777" w:rsidR="006D3B40" w:rsidRPr="0070444C" w:rsidRDefault="006D3B40" w:rsidP="0046776D">
            <w:pPr>
              <w:pStyle w:val="TableCell10Center"/>
              <w:rPr>
                <w:rFonts w:ascii="Times New Roman" w:hAnsi="Times New Roman"/>
                <w:lang w:val="pl-PL"/>
              </w:rPr>
            </w:pPr>
            <w:r w:rsidRPr="0070444C">
              <w:rPr>
                <w:rFonts w:ascii="Times New Roman" w:hAnsi="Times New Roman"/>
                <w:lang w:val="pl-PL"/>
              </w:rPr>
              <w:t xml:space="preserve">Nie </w:t>
            </w:r>
            <w:r w:rsidR="00767B10" w:rsidRPr="0015541C">
              <w:rPr>
                <w:rFonts w:ascii="Times New Roman" w:hAnsi="Times New Roman"/>
                <w:szCs w:val="20"/>
                <w:lang w:val="pl-PL"/>
              </w:rPr>
              <w:t>Bewacyzumab</w:t>
            </w:r>
          </w:p>
        </w:tc>
        <w:tc>
          <w:tcPr>
            <w:tcW w:w="1731" w:type="pct"/>
            <w:shd w:val="clear" w:color="auto" w:fill="FFFFFF"/>
          </w:tcPr>
          <w:p w14:paraId="684227ED" w14:textId="77777777" w:rsidR="006D3B40" w:rsidRPr="0070444C" w:rsidRDefault="006D3B40" w:rsidP="0046776D">
            <w:pPr>
              <w:pStyle w:val="TableCell10Center"/>
              <w:rPr>
                <w:rFonts w:ascii="Times New Roman" w:hAnsi="Times New Roman"/>
                <w:lang w:val="pl-PL"/>
              </w:rPr>
            </w:pPr>
            <w:r w:rsidRPr="0070444C">
              <w:rPr>
                <w:rFonts w:ascii="Times New Roman" w:hAnsi="Times New Roman"/>
                <w:lang w:val="pl-PL"/>
              </w:rPr>
              <w:t>1</w:t>
            </w:r>
            <w:r w:rsidR="004D6DFB" w:rsidRPr="0070444C">
              <w:rPr>
                <w:rFonts w:ascii="Times New Roman" w:hAnsi="Times New Roman"/>
                <w:lang w:val="pl-PL"/>
              </w:rPr>
              <w:t>,</w:t>
            </w:r>
            <w:r w:rsidRPr="0070444C">
              <w:rPr>
                <w:rFonts w:ascii="Times New Roman" w:hAnsi="Times New Roman"/>
                <w:lang w:val="pl-PL"/>
              </w:rPr>
              <w:t>13 (0</w:t>
            </w:r>
            <w:r w:rsidR="004D6DFB" w:rsidRPr="0070444C">
              <w:rPr>
                <w:rFonts w:ascii="Times New Roman" w:hAnsi="Times New Roman"/>
                <w:lang w:val="pl-PL"/>
              </w:rPr>
              <w:t>,</w:t>
            </w:r>
            <w:r w:rsidRPr="0070444C">
              <w:rPr>
                <w:rFonts w:ascii="Times New Roman" w:hAnsi="Times New Roman"/>
                <w:lang w:val="pl-PL"/>
              </w:rPr>
              <w:t>81, 1</w:t>
            </w:r>
            <w:r w:rsidR="004D6DFB" w:rsidRPr="0070444C">
              <w:rPr>
                <w:rFonts w:ascii="Times New Roman" w:hAnsi="Times New Roman"/>
                <w:lang w:val="pl-PL"/>
              </w:rPr>
              <w:t>,</w:t>
            </w:r>
            <w:r w:rsidRPr="0070444C">
              <w:rPr>
                <w:rFonts w:ascii="Times New Roman" w:hAnsi="Times New Roman"/>
                <w:lang w:val="pl-PL"/>
              </w:rPr>
              <w:t>57)</w:t>
            </w:r>
          </w:p>
          <w:p w14:paraId="4D029BBE" w14:textId="77777777" w:rsidR="006D3B40" w:rsidRPr="0070444C" w:rsidRDefault="006D3B40" w:rsidP="004D6DFB">
            <w:pPr>
              <w:pStyle w:val="TableCell10Center"/>
              <w:rPr>
                <w:rFonts w:ascii="Times New Roman" w:hAnsi="Times New Roman"/>
                <w:lang w:val="pl-PL"/>
              </w:rPr>
            </w:pPr>
            <w:r w:rsidRPr="0070444C">
              <w:rPr>
                <w:rFonts w:ascii="Times New Roman" w:hAnsi="Times New Roman"/>
                <w:lang w:val="pl-PL"/>
              </w:rPr>
              <w:t>(11</w:t>
            </w:r>
            <w:r w:rsidR="004D6DFB" w:rsidRPr="0070444C">
              <w:rPr>
                <w:rFonts w:ascii="Times New Roman" w:hAnsi="Times New Roman"/>
                <w:lang w:val="pl-PL"/>
              </w:rPr>
              <w:t>,</w:t>
            </w:r>
            <w:r w:rsidRPr="0070444C">
              <w:rPr>
                <w:rFonts w:ascii="Times New Roman" w:hAnsi="Times New Roman"/>
                <w:lang w:val="pl-PL"/>
              </w:rPr>
              <w:t>9 vs.14</w:t>
            </w:r>
            <w:r w:rsidR="004D6DFB" w:rsidRPr="0070444C">
              <w:rPr>
                <w:rFonts w:ascii="Times New Roman" w:hAnsi="Times New Roman"/>
                <w:lang w:val="pl-PL"/>
              </w:rPr>
              <w:t>,</w:t>
            </w:r>
            <w:r w:rsidRPr="0070444C">
              <w:rPr>
                <w:rFonts w:ascii="Times New Roman" w:hAnsi="Times New Roman"/>
                <w:lang w:val="pl-PL"/>
              </w:rPr>
              <w:t>3 miesięcy; p </w:t>
            </w:r>
            <w:r w:rsidRPr="0070444C">
              <w:rPr>
                <w:rFonts w:ascii="Times New Roman" w:hAnsi="Times New Roman"/>
                <w:lang w:val="pl-PL"/>
              </w:rPr>
              <w:sym w:font="Symbol" w:char="F03D"/>
            </w:r>
            <w:r w:rsidRPr="0070444C">
              <w:rPr>
                <w:rFonts w:ascii="Times New Roman" w:hAnsi="Times New Roman"/>
                <w:lang w:val="pl-PL"/>
              </w:rPr>
              <w:t> 0</w:t>
            </w:r>
            <w:r w:rsidR="004D6DFB" w:rsidRPr="0070444C">
              <w:rPr>
                <w:rFonts w:ascii="Times New Roman" w:hAnsi="Times New Roman"/>
                <w:lang w:val="pl-PL"/>
              </w:rPr>
              <w:t>,</w:t>
            </w:r>
            <w:r w:rsidRPr="0070444C">
              <w:rPr>
                <w:rFonts w:ascii="Times New Roman" w:hAnsi="Times New Roman"/>
                <w:lang w:val="pl-PL"/>
              </w:rPr>
              <w:t>4825)</w:t>
            </w:r>
          </w:p>
        </w:tc>
        <w:tc>
          <w:tcPr>
            <w:tcW w:w="1754" w:type="pct"/>
            <w:shd w:val="clear" w:color="auto" w:fill="FFFFFF"/>
          </w:tcPr>
          <w:p w14:paraId="781DB065" w14:textId="77777777" w:rsidR="006D3B40" w:rsidRPr="0070444C" w:rsidRDefault="006D3B40" w:rsidP="0046776D">
            <w:pPr>
              <w:pStyle w:val="TableCell10Center"/>
              <w:rPr>
                <w:rFonts w:ascii="Times New Roman" w:hAnsi="Times New Roman"/>
                <w:lang w:val="pl-PL"/>
              </w:rPr>
            </w:pPr>
            <w:r w:rsidRPr="0070444C">
              <w:rPr>
                <w:rFonts w:ascii="Times New Roman" w:hAnsi="Times New Roman"/>
                <w:lang w:val="pl-PL"/>
              </w:rPr>
              <w:t>1</w:t>
            </w:r>
            <w:r w:rsidR="004D6DFB" w:rsidRPr="0070444C">
              <w:rPr>
                <w:rFonts w:ascii="Times New Roman" w:hAnsi="Times New Roman"/>
                <w:lang w:val="pl-PL"/>
              </w:rPr>
              <w:t>,</w:t>
            </w:r>
            <w:r w:rsidRPr="0070444C">
              <w:rPr>
                <w:rFonts w:ascii="Times New Roman" w:hAnsi="Times New Roman"/>
                <w:lang w:val="pl-PL"/>
              </w:rPr>
              <w:t>08 (0</w:t>
            </w:r>
            <w:r w:rsidR="004D6DFB" w:rsidRPr="0070444C">
              <w:rPr>
                <w:rFonts w:ascii="Times New Roman" w:hAnsi="Times New Roman"/>
                <w:lang w:val="pl-PL"/>
              </w:rPr>
              <w:t>,</w:t>
            </w:r>
            <w:r w:rsidRPr="0070444C">
              <w:rPr>
                <w:rFonts w:ascii="Times New Roman" w:hAnsi="Times New Roman"/>
                <w:lang w:val="pl-PL"/>
              </w:rPr>
              <w:t>80, 1</w:t>
            </w:r>
            <w:r w:rsidR="004D6DFB" w:rsidRPr="0070444C">
              <w:rPr>
                <w:rFonts w:ascii="Times New Roman" w:hAnsi="Times New Roman"/>
                <w:lang w:val="pl-PL"/>
              </w:rPr>
              <w:t>,</w:t>
            </w:r>
            <w:r w:rsidRPr="0070444C">
              <w:rPr>
                <w:rFonts w:ascii="Times New Roman" w:hAnsi="Times New Roman"/>
                <w:lang w:val="pl-PL"/>
              </w:rPr>
              <w:t>45)</w:t>
            </w:r>
          </w:p>
          <w:p w14:paraId="260513DF" w14:textId="77777777" w:rsidR="006D3B40" w:rsidRPr="0070444C" w:rsidRDefault="006D3B40" w:rsidP="004D6DFB">
            <w:pPr>
              <w:pStyle w:val="TableCell10Center"/>
              <w:rPr>
                <w:rFonts w:ascii="Times New Roman" w:hAnsi="Times New Roman"/>
                <w:lang w:val="pl-PL"/>
              </w:rPr>
            </w:pPr>
            <w:r w:rsidRPr="0070444C">
              <w:rPr>
                <w:rFonts w:ascii="Times New Roman" w:hAnsi="Times New Roman"/>
                <w:lang w:val="pl-PL"/>
              </w:rPr>
              <w:t>(12</w:t>
            </w:r>
            <w:r w:rsidR="004D6DFB" w:rsidRPr="0070444C">
              <w:rPr>
                <w:rFonts w:ascii="Times New Roman" w:hAnsi="Times New Roman"/>
                <w:lang w:val="pl-PL"/>
              </w:rPr>
              <w:t>,</w:t>
            </w:r>
            <w:r w:rsidRPr="0070444C">
              <w:rPr>
                <w:rFonts w:ascii="Times New Roman" w:hAnsi="Times New Roman"/>
                <w:lang w:val="pl-PL"/>
              </w:rPr>
              <w:t>0 vs 15</w:t>
            </w:r>
            <w:r w:rsidR="004D6DFB" w:rsidRPr="0070444C">
              <w:rPr>
                <w:rFonts w:ascii="Times New Roman" w:hAnsi="Times New Roman"/>
                <w:lang w:val="pl-PL"/>
              </w:rPr>
              <w:t>,</w:t>
            </w:r>
            <w:r w:rsidRPr="0070444C">
              <w:rPr>
                <w:rFonts w:ascii="Times New Roman" w:hAnsi="Times New Roman"/>
                <w:lang w:val="pl-PL"/>
              </w:rPr>
              <w:t>0 miesięcy; p</w:t>
            </w:r>
            <w:r w:rsidRPr="0070444C">
              <w:rPr>
                <w:rFonts w:ascii="Times New Roman" w:hAnsi="Times New Roman"/>
                <w:sz w:val="10"/>
                <w:lang w:val="pl-PL"/>
              </w:rPr>
              <w:t> </w:t>
            </w:r>
            <w:r w:rsidRPr="0070444C">
              <w:rPr>
                <w:rFonts w:ascii="Times New Roman" w:hAnsi="Times New Roman"/>
                <w:lang w:val="pl-PL"/>
              </w:rPr>
              <w:sym w:font="Symbol" w:char="F03D"/>
            </w:r>
            <w:r w:rsidRPr="0070444C">
              <w:rPr>
                <w:rFonts w:ascii="Times New Roman" w:hAnsi="Times New Roman"/>
                <w:sz w:val="10"/>
                <w:lang w:val="pl-PL"/>
              </w:rPr>
              <w:t> </w:t>
            </w:r>
            <w:r w:rsidRPr="0070444C">
              <w:rPr>
                <w:rFonts w:ascii="Times New Roman" w:hAnsi="Times New Roman"/>
                <w:lang w:val="pl-PL"/>
              </w:rPr>
              <w:t>0</w:t>
            </w:r>
            <w:r w:rsidR="004D6DFB" w:rsidRPr="0070444C">
              <w:rPr>
                <w:rFonts w:ascii="Times New Roman" w:hAnsi="Times New Roman"/>
                <w:lang w:val="pl-PL"/>
              </w:rPr>
              <w:t>,</w:t>
            </w:r>
            <w:r w:rsidRPr="0070444C">
              <w:rPr>
                <w:rFonts w:ascii="Times New Roman" w:hAnsi="Times New Roman"/>
                <w:lang w:val="pl-PL"/>
              </w:rPr>
              <w:t>6267)</w:t>
            </w:r>
          </w:p>
        </w:tc>
      </w:tr>
    </w:tbl>
    <w:p w14:paraId="1A31D442" w14:textId="77777777" w:rsidR="00AE7DF9" w:rsidRPr="0015541C" w:rsidRDefault="00AE7DF9" w:rsidP="00AE7DF9">
      <w:pPr>
        <w:keepNext/>
        <w:outlineLvl w:val="0"/>
        <w:rPr>
          <w:rFonts w:eastAsia="SimSun"/>
          <w:iCs/>
          <w:sz w:val="20"/>
          <w:lang w:val="pl-PL" w:eastAsia="zh-CN"/>
        </w:rPr>
      </w:pPr>
      <w:r w:rsidRPr="0015541C">
        <w:rPr>
          <w:rFonts w:eastAsia="SimSun"/>
          <w:iCs/>
          <w:sz w:val="20"/>
          <w:vertAlign w:val="superscript"/>
          <w:lang w:val="pl-PL" w:eastAsia="zh-CN"/>
        </w:rPr>
        <w:t>1</w:t>
      </w:r>
      <w:r w:rsidRPr="0015541C">
        <w:rPr>
          <w:rFonts w:eastAsia="SimSun"/>
          <w:iCs/>
          <w:sz w:val="20"/>
          <w:lang w:val="pl-PL" w:eastAsia="zh-CN"/>
        </w:rPr>
        <w:t xml:space="preserve"> analiza pierwotna została przeprowadzona z datą odcięcia danych w dniu 12 grudnia 2012 i jest uważana za analizę końcową</w:t>
      </w:r>
    </w:p>
    <w:p w14:paraId="04A894B6" w14:textId="77777777" w:rsidR="00AE7DF9" w:rsidRPr="0015541C" w:rsidRDefault="00AE7DF9" w:rsidP="00AE7DF9">
      <w:pPr>
        <w:keepNext/>
        <w:outlineLvl w:val="0"/>
        <w:rPr>
          <w:rFonts w:eastAsia="SimSun"/>
          <w:iCs/>
          <w:sz w:val="20"/>
          <w:lang w:val="pl-PL" w:eastAsia="zh-CN"/>
        </w:rPr>
      </w:pPr>
      <w:r w:rsidRPr="00AC3958">
        <w:rPr>
          <w:rFonts w:eastAsia="SimSun"/>
          <w:iCs/>
          <w:sz w:val="20"/>
          <w:vertAlign w:val="superscript"/>
          <w:lang w:val="pl-PL" w:eastAsia="zh-CN"/>
        </w:rPr>
        <w:t>2</w:t>
      </w:r>
      <w:r w:rsidRPr="003C36AE">
        <w:rPr>
          <w:rFonts w:eastAsia="SimSun"/>
          <w:iCs/>
          <w:sz w:val="20"/>
          <w:lang w:val="pl-PL" w:eastAsia="zh-CN"/>
        </w:rPr>
        <w:t xml:space="preserve"> analiz</w:t>
      </w:r>
      <w:r w:rsidR="00CD679A" w:rsidRPr="0015541C">
        <w:rPr>
          <w:rFonts w:eastAsia="SimSun"/>
          <w:iCs/>
          <w:sz w:val="20"/>
          <w:lang w:val="pl-PL" w:eastAsia="zh-CN"/>
        </w:rPr>
        <w:t>a po dłuższym czasie obserwacji</w:t>
      </w:r>
      <w:r w:rsidRPr="0015541C">
        <w:rPr>
          <w:rFonts w:eastAsia="SimSun"/>
          <w:iCs/>
          <w:sz w:val="20"/>
          <w:lang w:val="pl-PL" w:eastAsia="zh-CN"/>
        </w:rPr>
        <w:t xml:space="preserve"> został</w:t>
      </w:r>
      <w:r w:rsidR="00CD679A" w:rsidRPr="0015541C">
        <w:rPr>
          <w:rFonts w:eastAsia="SimSun"/>
          <w:iCs/>
          <w:sz w:val="20"/>
          <w:lang w:val="pl-PL" w:eastAsia="zh-CN"/>
        </w:rPr>
        <w:t>a</w:t>
      </w:r>
      <w:r w:rsidRPr="0015541C">
        <w:rPr>
          <w:rFonts w:eastAsia="SimSun"/>
          <w:iCs/>
          <w:sz w:val="20"/>
          <w:lang w:val="pl-PL" w:eastAsia="zh-CN"/>
        </w:rPr>
        <w:t xml:space="preserve"> przeprowadzone z datą odcięcia danych w dniu 07 marca 2014</w:t>
      </w:r>
    </w:p>
    <w:p w14:paraId="525DCE73" w14:textId="77777777" w:rsidR="00FA3484" w:rsidRPr="0015541C" w:rsidRDefault="00FA3484" w:rsidP="00317A60">
      <w:pPr>
        <w:rPr>
          <w:bCs/>
          <w:lang w:val="pl-PL"/>
        </w:rPr>
      </w:pPr>
    </w:p>
    <w:p w14:paraId="73C604CA" w14:textId="77777777" w:rsidR="009D74A7" w:rsidRPr="0015541C" w:rsidRDefault="00BD472D" w:rsidP="00994050">
      <w:pPr>
        <w:rPr>
          <w:bCs/>
          <w:i/>
          <w:u w:val="single"/>
          <w:lang w:val="pl-PL"/>
        </w:rPr>
      </w:pPr>
      <w:r w:rsidRPr="0015541C">
        <w:rPr>
          <w:bCs/>
          <w:i/>
          <w:u w:val="single"/>
          <w:lang w:val="pl-PL"/>
        </w:rPr>
        <w:t>Dzieci i młodzież</w:t>
      </w:r>
    </w:p>
    <w:p w14:paraId="0EB2B29F" w14:textId="37656186" w:rsidR="009D74A7" w:rsidRPr="0015541C" w:rsidRDefault="009D74A7" w:rsidP="00994050">
      <w:pPr>
        <w:rPr>
          <w:color w:val="000000"/>
          <w:lang w:val="pl-PL"/>
        </w:rPr>
      </w:pPr>
      <w:r w:rsidRPr="0015541C">
        <w:rPr>
          <w:bCs/>
          <w:lang w:val="pl-PL"/>
        </w:rPr>
        <w:t xml:space="preserve">Europejska Agencja Leków </w:t>
      </w:r>
      <w:r w:rsidR="00BD472D" w:rsidRPr="0015541C">
        <w:rPr>
          <w:bCs/>
          <w:lang w:val="pl-PL"/>
        </w:rPr>
        <w:t>uchyl</w:t>
      </w:r>
      <w:r w:rsidR="004952A7" w:rsidRPr="0015541C">
        <w:rPr>
          <w:bCs/>
          <w:lang w:val="pl-PL"/>
        </w:rPr>
        <w:t>iła</w:t>
      </w:r>
      <w:r w:rsidRPr="0015541C">
        <w:rPr>
          <w:bCs/>
          <w:lang w:val="pl-PL"/>
        </w:rPr>
        <w:t xml:space="preserve"> obowiązek </w:t>
      </w:r>
      <w:r w:rsidR="00BD472D" w:rsidRPr="0015541C">
        <w:rPr>
          <w:bCs/>
          <w:lang w:val="pl-PL"/>
        </w:rPr>
        <w:t>dołączania</w:t>
      </w:r>
      <w:r w:rsidRPr="0015541C">
        <w:rPr>
          <w:bCs/>
          <w:lang w:val="pl-PL"/>
        </w:rPr>
        <w:t xml:space="preserve"> wyników badań bewacyzumab</w:t>
      </w:r>
      <w:r w:rsidR="00BD472D" w:rsidRPr="0015541C">
        <w:rPr>
          <w:bCs/>
          <w:lang w:val="pl-PL"/>
        </w:rPr>
        <w:t>u</w:t>
      </w:r>
      <w:r w:rsidRPr="0015541C">
        <w:rPr>
          <w:bCs/>
          <w:lang w:val="pl-PL"/>
        </w:rPr>
        <w:t xml:space="preserve"> we wszystkich </w:t>
      </w:r>
      <w:r w:rsidR="00BD472D" w:rsidRPr="0015541C">
        <w:rPr>
          <w:bCs/>
          <w:lang w:val="pl-PL"/>
        </w:rPr>
        <w:t>podgrupach populacji dzieci i młodzieży</w:t>
      </w:r>
      <w:r w:rsidR="00A449AA" w:rsidRPr="0015541C">
        <w:rPr>
          <w:bCs/>
          <w:lang w:val="pl-PL"/>
        </w:rPr>
        <w:t xml:space="preserve"> </w:t>
      </w:r>
      <w:r w:rsidR="00686017" w:rsidRPr="0015541C">
        <w:rPr>
          <w:bCs/>
          <w:lang w:val="pl-PL"/>
        </w:rPr>
        <w:t>dotyczących pacjentów z rakiem piersi, rakiem gruczołowym okrężnicy lub odbytnicy, rakiem płuc</w:t>
      </w:r>
      <w:r w:rsidR="00B65ED9" w:rsidRPr="0015541C">
        <w:rPr>
          <w:bCs/>
          <w:lang w:val="pl-PL"/>
        </w:rPr>
        <w:t>a</w:t>
      </w:r>
      <w:r w:rsidR="00686017" w:rsidRPr="0015541C">
        <w:rPr>
          <w:bCs/>
          <w:lang w:val="pl-PL"/>
        </w:rPr>
        <w:t xml:space="preserve"> (drobnokomórkowym i niedrobnokomórkowym rakiem płuca), rakiem nerki oraz rakiem miedniczek nerkowych (z wyłączeniem pacjentów z guzem Wilmsa, nefroblastomatoz</w:t>
      </w:r>
      <w:r w:rsidR="00B65ED9" w:rsidRPr="0015541C">
        <w:rPr>
          <w:bCs/>
          <w:lang w:val="pl-PL"/>
        </w:rPr>
        <w:t>ą, mięsakiem jasnokomórkowym, ne</w:t>
      </w:r>
      <w:r w:rsidR="00686017" w:rsidRPr="0015541C">
        <w:rPr>
          <w:bCs/>
          <w:lang w:val="pl-PL"/>
        </w:rPr>
        <w:t>rczakiem mezoblastycznym, rakiem rdzeniastym nerki, guzem rabdoidalnym nerki)</w:t>
      </w:r>
      <w:r w:rsidR="00317A60" w:rsidRPr="0015541C">
        <w:rPr>
          <w:bCs/>
          <w:lang w:val="pl-PL"/>
        </w:rPr>
        <w:t>, rakiem jajnika (</w:t>
      </w:r>
      <w:r w:rsidR="00B749CC" w:rsidRPr="0015541C">
        <w:rPr>
          <w:bCs/>
          <w:lang w:val="pl-PL"/>
        </w:rPr>
        <w:t xml:space="preserve">z wyłączeniem mięśniakomięsaka </w:t>
      </w:r>
      <w:r w:rsidR="0030410C" w:rsidRPr="0015541C">
        <w:rPr>
          <w:bCs/>
          <w:lang w:val="pl-PL"/>
        </w:rPr>
        <w:t xml:space="preserve">prążkowanokomórkowego </w:t>
      </w:r>
      <w:r w:rsidR="00B749CC" w:rsidRPr="0015541C">
        <w:rPr>
          <w:bCs/>
          <w:lang w:val="pl-PL"/>
        </w:rPr>
        <w:t xml:space="preserve">i </w:t>
      </w:r>
      <w:r w:rsidR="00D36788" w:rsidRPr="0015541C">
        <w:rPr>
          <w:bCs/>
          <w:lang w:val="pl-PL"/>
        </w:rPr>
        <w:t>guzów wywodzących się z komórek rozrodczych</w:t>
      </w:r>
      <w:r w:rsidR="00317A60" w:rsidRPr="0015541C">
        <w:rPr>
          <w:bCs/>
          <w:lang w:val="pl-PL"/>
        </w:rPr>
        <w:t>),</w:t>
      </w:r>
      <w:r w:rsidR="00317A60" w:rsidRPr="0015541C">
        <w:rPr>
          <w:color w:val="000000"/>
          <w:lang w:val="pl-PL"/>
        </w:rPr>
        <w:t xml:space="preserve"> rakiem jajowodu</w:t>
      </w:r>
      <w:r w:rsidR="00D36788" w:rsidRPr="0015541C">
        <w:rPr>
          <w:color w:val="000000"/>
          <w:lang w:val="pl-PL"/>
        </w:rPr>
        <w:t xml:space="preserve"> </w:t>
      </w:r>
      <w:r w:rsidR="00317A60" w:rsidRPr="0015541C">
        <w:rPr>
          <w:color w:val="000000"/>
          <w:lang w:val="pl-PL"/>
        </w:rPr>
        <w:t>(</w:t>
      </w:r>
      <w:r w:rsidR="00D36788" w:rsidRPr="0015541C">
        <w:rPr>
          <w:bCs/>
          <w:lang w:val="pl-PL"/>
        </w:rPr>
        <w:t>z wyłączeniem mięśniakomięsaka prążkowan</w:t>
      </w:r>
      <w:r w:rsidR="0030410C" w:rsidRPr="0015541C">
        <w:rPr>
          <w:bCs/>
          <w:lang w:val="pl-PL"/>
        </w:rPr>
        <w:t>okomórkowe</w:t>
      </w:r>
      <w:r w:rsidR="00D36788" w:rsidRPr="0015541C">
        <w:rPr>
          <w:bCs/>
          <w:lang w:val="pl-PL"/>
        </w:rPr>
        <w:t>go i guzów wywodzących się z komórek rozrodczych</w:t>
      </w:r>
      <w:r w:rsidR="00317A60" w:rsidRPr="0015541C">
        <w:rPr>
          <w:color w:val="000000"/>
          <w:lang w:val="pl-PL"/>
        </w:rPr>
        <w:t>)</w:t>
      </w:r>
      <w:r w:rsidR="00064871" w:rsidRPr="0015541C">
        <w:rPr>
          <w:color w:val="000000"/>
          <w:lang w:val="pl-PL"/>
        </w:rPr>
        <w:t xml:space="preserve"> </w:t>
      </w:r>
      <w:r w:rsidR="00317A60" w:rsidRPr="0015541C">
        <w:rPr>
          <w:color w:val="000000"/>
          <w:lang w:val="pl-PL"/>
        </w:rPr>
        <w:t>rakiem otrzewnej (</w:t>
      </w:r>
      <w:r w:rsidR="00D36788" w:rsidRPr="0015541C">
        <w:rPr>
          <w:bCs/>
          <w:lang w:val="pl-PL"/>
        </w:rPr>
        <w:t>z wyłączeniem blastoma i mięsaków</w:t>
      </w:r>
      <w:r w:rsidR="00317A60" w:rsidRPr="0015541C">
        <w:rPr>
          <w:color w:val="000000"/>
          <w:lang w:val="pl-PL"/>
        </w:rPr>
        <w:t>)</w:t>
      </w:r>
      <w:r w:rsidR="00C97999" w:rsidRPr="0015541C">
        <w:rPr>
          <w:color w:val="000000"/>
          <w:lang w:val="pl-PL"/>
        </w:rPr>
        <w:t xml:space="preserve"> oraz z rakiem szyjki i trzonu macicy</w:t>
      </w:r>
      <w:r w:rsidR="00317A60" w:rsidRPr="0015541C">
        <w:rPr>
          <w:color w:val="000000"/>
          <w:lang w:val="pl-PL"/>
        </w:rPr>
        <w:t>.</w:t>
      </w:r>
    </w:p>
    <w:p w14:paraId="787B2D57" w14:textId="77777777" w:rsidR="007B2625" w:rsidRPr="0015541C" w:rsidRDefault="007B2625" w:rsidP="00994050">
      <w:pPr>
        <w:rPr>
          <w:color w:val="000000"/>
          <w:lang w:val="pl-PL"/>
        </w:rPr>
      </w:pPr>
    </w:p>
    <w:p w14:paraId="2887498F" w14:textId="77777777" w:rsidR="007B2625" w:rsidRPr="0015541C" w:rsidRDefault="007B2625" w:rsidP="00994050">
      <w:pPr>
        <w:rPr>
          <w:i/>
          <w:color w:val="000000"/>
          <w:lang w:val="pl-PL"/>
        </w:rPr>
      </w:pPr>
      <w:r w:rsidRPr="0015541C">
        <w:rPr>
          <w:i/>
          <w:color w:val="000000"/>
          <w:lang w:val="pl-PL"/>
        </w:rPr>
        <w:t>Glejak o wysokim stopniu złośliwości</w:t>
      </w:r>
    </w:p>
    <w:p w14:paraId="691DBC9A" w14:textId="475B2932" w:rsidR="002074CB" w:rsidRPr="0015541C" w:rsidRDefault="002074CB" w:rsidP="00994050">
      <w:pPr>
        <w:rPr>
          <w:lang w:val="pl-PL"/>
        </w:rPr>
      </w:pPr>
      <w:r w:rsidRPr="0015541C">
        <w:rPr>
          <w:color w:val="000000"/>
          <w:lang w:val="pl-PL"/>
        </w:rPr>
        <w:t xml:space="preserve">Nie </w:t>
      </w:r>
      <w:r w:rsidR="008C66AD" w:rsidRPr="0015541C">
        <w:rPr>
          <w:color w:val="000000"/>
          <w:lang w:val="pl-PL"/>
        </w:rPr>
        <w:t>stwierdzono</w:t>
      </w:r>
      <w:r w:rsidRPr="0015541C">
        <w:rPr>
          <w:color w:val="000000"/>
          <w:lang w:val="pl-PL"/>
        </w:rPr>
        <w:t xml:space="preserve"> działania przeciwnowotworowego w dwóch </w:t>
      </w:r>
      <w:r w:rsidR="007B2625" w:rsidRPr="0015541C">
        <w:rPr>
          <w:color w:val="000000"/>
          <w:lang w:val="pl-PL"/>
        </w:rPr>
        <w:t xml:space="preserve">wcześniejszych </w:t>
      </w:r>
      <w:r w:rsidRPr="0015541C">
        <w:rPr>
          <w:color w:val="000000"/>
          <w:lang w:val="pl-PL"/>
        </w:rPr>
        <w:t>badaniach</w:t>
      </w:r>
      <w:r w:rsidR="008C66AD" w:rsidRPr="0015541C">
        <w:rPr>
          <w:color w:val="000000"/>
          <w:lang w:val="pl-PL"/>
        </w:rPr>
        <w:t xml:space="preserve"> z zastosowaniem </w:t>
      </w:r>
      <w:r w:rsidR="008C66AD" w:rsidRPr="0015541C">
        <w:rPr>
          <w:lang w:val="pl-PL"/>
        </w:rPr>
        <w:t>bewacyzumabu i ir</w:t>
      </w:r>
      <w:r w:rsidR="00572B3F" w:rsidRPr="0015541C">
        <w:rPr>
          <w:lang w:val="pl-PL"/>
        </w:rPr>
        <w:t>y</w:t>
      </w:r>
      <w:r w:rsidR="008C66AD" w:rsidRPr="0015541C">
        <w:rPr>
          <w:lang w:val="pl-PL"/>
        </w:rPr>
        <w:t xml:space="preserve">notekanu u </w:t>
      </w:r>
      <w:r w:rsidRPr="0015541C">
        <w:rPr>
          <w:color w:val="000000"/>
          <w:lang w:val="pl-PL"/>
        </w:rPr>
        <w:t xml:space="preserve">łącznie 30 dzieci w wieku &gt; 3 lat chorych na </w:t>
      </w:r>
      <w:r w:rsidRPr="0015541C">
        <w:rPr>
          <w:lang w:val="pl-PL"/>
        </w:rPr>
        <w:t>glejaka o wysokim stopniu złośliwości wykazującego wznowę lub progresję</w:t>
      </w:r>
      <w:r w:rsidR="007B2625" w:rsidRPr="0015541C">
        <w:rPr>
          <w:lang w:val="pl-PL"/>
        </w:rPr>
        <w:t xml:space="preserve"> (CP</w:t>
      </w:r>
      <w:r w:rsidR="00FF6B9C" w:rsidRPr="0015541C">
        <w:rPr>
          <w:lang w:val="pl-PL"/>
        </w:rPr>
        <w:t>T</w:t>
      </w:r>
      <w:r w:rsidR="007B2625" w:rsidRPr="0015541C">
        <w:rPr>
          <w:lang w:val="pl-PL"/>
        </w:rPr>
        <w:t>-11)</w:t>
      </w:r>
      <w:r w:rsidRPr="0015541C">
        <w:rPr>
          <w:lang w:val="pl-PL"/>
        </w:rPr>
        <w:t>.</w:t>
      </w:r>
      <w:r w:rsidR="007454E4" w:rsidRPr="0015541C">
        <w:rPr>
          <w:lang w:val="pl-PL"/>
        </w:rPr>
        <w:t xml:space="preserve"> </w:t>
      </w:r>
      <w:r w:rsidRPr="0015541C">
        <w:rPr>
          <w:lang w:val="pl-PL"/>
        </w:rPr>
        <w:t>Brak wystarczających danych, aby określić bezpieczeństwo i skuteczność bewacyzumabu u dzieci z nowo rozpoznanym glejakiem o wysokim stopniu złośliwości.</w:t>
      </w:r>
    </w:p>
    <w:p w14:paraId="34D94EFD" w14:textId="77777777" w:rsidR="002074CB" w:rsidRPr="0015541C" w:rsidRDefault="002074CB" w:rsidP="00994050">
      <w:pPr>
        <w:rPr>
          <w:lang w:val="pl-PL"/>
        </w:rPr>
      </w:pPr>
    </w:p>
    <w:p w14:paraId="0FB82118" w14:textId="6B1DC29C" w:rsidR="002074CB" w:rsidRPr="0015541C" w:rsidRDefault="002074CB" w:rsidP="005A4F32">
      <w:pPr>
        <w:rPr>
          <w:lang w:val="pl-PL"/>
        </w:rPr>
      </w:pPr>
      <w:r w:rsidRPr="0015541C">
        <w:rPr>
          <w:lang w:val="pl-PL"/>
        </w:rPr>
        <w:t xml:space="preserve">W jednoramiennym badaniu PBTC-022 18 dzieci </w:t>
      </w:r>
      <w:r w:rsidRPr="0015541C">
        <w:rPr>
          <w:color w:val="000000"/>
          <w:lang w:val="pl-PL"/>
        </w:rPr>
        <w:t xml:space="preserve">chorych na </w:t>
      </w:r>
      <w:r w:rsidRPr="0015541C">
        <w:rPr>
          <w:lang w:val="pl-PL"/>
        </w:rPr>
        <w:t xml:space="preserve">glejaka </w:t>
      </w:r>
      <w:r w:rsidR="00664825" w:rsidRPr="0015541C">
        <w:rPr>
          <w:lang w:val="pl-PL"/>
        </w:rPr>
        <w:t>o innej lokalizacji niż most,</w:t>
      </w:r>
      <w:r w:rsidR="006C5FA1" w:rsidRPr="0015541C">
        <w:rPr>
          <w:lang w:val="pl-PL"/>
        </w:rPr>
        <w:t xml:space="preserve"> </w:t>
      </w:r>
      <w:r w:rsidRPr="0015541C">
        <w:rPr>
          <w:lang w:val="pl-PL"/>
        </w:rPr>
        <w:t>o wysokim stopniu złośliwości wykazującego wznowę lub progresję</w:t>
      </w:r>
      <w:r w:rsidR="00664825" w:rsidRPr="0015541C">
        <w:rPr>
          <w:lang w:val="pl-PL"/>
        </w:rPr>
        <w:t xml:space="preserve"> </w:t>
      </w:r>
      <w:r w:rsidR="00597997" w:rsidRPr="0015541C">
        <w:rPr>
          <w:lang w:val="pl-PL"/>
        </w:rPr>
        <w:t>(włączając 8 pacjentów z glejakiem wielopostaciowym [IV stopień złośliwości wg WHO], 9 pacjentów z gwiaźdz</w:t>
      </w:r>
      <w:r w:rsidR="00664825" w:rsidRPr="0015541C">
        <w:rPr>
          <w:lang w:val="pl-PL"/>
        </w:rPr>
        <w:t>i</w:t>
      </w:r>
      <w:r w:rsidR="00597997" w:rsidRPr="0015541C">
        <w:rPr>
          <w:lang w:val="pl-PL"/>
        </w:rPr>
        <w:t>akiem anaplastycznym [III stopień]</w:t>
      </w:r>
      <w:r w:rsidR="00664825" w:rsidRPr="0015541C">
        <w:rPr>
          <w:lang w:val="pl-PL"/>
        </w:rPr>
        <w:t xml:space="preserve"> i 1 pacjent z anaplastycznym skąpodrzewiakiem [III stopień]) było leczonych bewacyzumabem w dawce 10</w:t>
      </w:r>
      <w:r w:rsidR="00685C01" w:rsidRPr="0015541C">
        <w:rPr>
          <w:lang w:val="pl-PL"/>
        </w:rPr>
        <w:t> </w:t>
      </w:r>
      <w:r w:rsidR="00664825" w:rsidRPr="0015541C">
        <w:rPr>
          <w:lang w:val="pl-PL"/>
        </w:rPr>
        <w:t xml:space="preserve">mg/kg </w:t>
      </w:r>
      <w:r w:rsidR="005975E1" w:rsidRPr="0015541C">
        <w:rPr>
          <w:lang w:val="pl-PL"/>
        </w:rPr>
        <w:t xml:space="preserve">mc, </w:t>
      </w:r>
      <w:r w:rsidR="00664825" w:rsidRPr="0015541C">
        <w:rPr>
          <w:lang w:val="pl-PL"/>
        </w:rPr>
        <w:t>w odstę</w:t>
      </w:r>
      <w:r w:rsidR="004D6F99" w:rsidRPr="0015541C">
        <w:rPr>
          <w:lang w:val="pl-PL"/>
        </w:rPr>
        <w:t>pie</w:t>
      </w:r>
      <w:r w:rsidR="00664825" w:rsidRPr="0015541C">
        <w:rPr>
          <w:lang w:val="pl-PL"/>
        </w:rPr>
        <w:t xml:space="preserve"> </w:t>
      </w:r>
      <w:r w:rsidR="004D6F99" w:rsidRPr="0015541C">
        <w:rPr>
          <w:lang w:val="pl-PL"/>
        </w:rPr>
        <w:t>2 tygodni</w:t>
      </w:r>
      <w:r w:rsidR="00664825" w:rsidRPr="0015541C">
        <w:rPr>
          <w:lang w:val="pl-PL"/>
        </w:rPr>
        <w:t>, a następnie bewacyzumabem w skojarzeniu z CPT-11 (125-350</w:t>
      </w:r>
      <w:r w:rsidR="00685C01" w:rsidRPr="0015541C">
        <w:rPr>
          <w:lang w:val="pl-PL"/>
        </w:rPr>
        <w:t> mg</w:t>
      </w:r>
      <w:r w:rsidR="00664825" w:rsidRPr="0015541C">
        <w:rPr>
          <w:lang w:val="pl-PL"/>
        </w:rPr>
        <w:t>/m</w:t>
      </w:r>
      <w:r w:rsidR="00664825" w:rsidRPr="0015541C">
        <w:rPr>
          <w:vertAlign w:val="superscript"/>
          <w:lang w:val="pl-PL"/>
        </w:rPr>
        <w:t>2</w:t>
      </w:r>
      <w:r w:rsidR="00A16C6F" w:rsidRPr="0015541C">
        <w:rPr>
          <w:rFonts w:eastAsia="PMingLiU"/>
          <w:lang w:val="pl-PL" w:eastAsia="zh-CN"/>
        </w:rPr>
        <w:t xml:space="preserve"> pc.</w:t>
      </w:r>
      <w:r w:rsidR="00664825" w:rsidRPr="0015541C">
        <w:rPr>
          <w:lang w:val="pl-PL"/>
        </w:rPr>
        <w:t xml:space="preserve">) </w:t>
      </w:r>
      <w:r w:rsidR="001D2033" w:rsidRPr="0015541C">
        <w:rPr>
          <w:lang w:val="pl-PL"/>
        </w:rPr>
        <w:t xml:space="preserve">podawanych co </w:t>
      </w:r>
      <w:r w:rsidR="00664825" w:rsidRPr="0015541C">
        <w:rPr>
          <w:lang w:val="pl-PL"/>
        </w:rPr>
        <w:t>2 tygo</w:t>
      </w:r>
      <w:r w:rsidR="001D2033" w:rsidRPr="0015541C">
        <w:rPr>
          <w:lang w:val="pl-PL"/>
        </w:rPr>
        <w:t>dnie</w:t>
      </w:r>
      <w:r w:rsidR="00664825" w:rsidRPr="0015541C">
        <w:rPr>
          <w:lang w:val="pl-PL"/>
        </w:rPr>
        <w:t xml:space="preserve"> do progresji choroby. Nie stwierdzono obiektywnych (częściowych lub całkowitych) odpowiedzi radiologicznych (wg kryteriów Macdonalda). </w:t>
      </w:r>
      <w:r w:rsidR="00372289" w:rsidRPr="0015541C">
        <w:rPr>
          <w:lang w:val="pl-PL"/>
        </w:rPr>
        <w:t xml:space="preserve">Toksyczności i </w:t>
      </w:r>
      <w:r w:rsidR="00175564" w:rsidRPr="0015541C">
        <w:rPr>
          <w:lang w:val="pl-PL"/>
        </w:rPr>
        <w:t xml:space="preserve">działania </w:t>
      </w:r>
      <w:r w:rsidR="00372289" w:rsidRPr="0015541C">
        <w:rPr>
          <w:lang w:val="pl-PL"/>
        </w:rPr>
        <w:t xml:space="preserve">niepożądane obejmowały nadciśnienie </w:t>
      </w:r>
      <w:r w:rsidR="0001732F" w:rsidRPr="0015541C">
        <w:rPr>
          <w:lang w:val="pl-PL"/>
        </w:rPr>
        <w:t xml:space="preserve">tętnicze </w:t>
      </w:r>
      <w:r w:rsidR="00372289" w:rsidRPr="0015541C">
        <w:rPr>
          <w:lang w:val="pl-PL"/>
        </w:rPr>
        <w:t xml:space="preserve">i zmęczenie oraz niedokrwienie ośrodkowego układu nerwowego z ostrym deficytem neurologicznym. </w:t>
      </w:r>
    </w:p>
    <w:p w14:paraId="25DA5FC0" w14:textId="77777777" w:rsidR="00372289" w:rsidRPr="0015541C" w:rsidRDefault="00372289" w:rsidP="00994050">
      <w:pPr>
        <w:rPr>
          <w:lang w:val="pl-PL"/>
        </w:rPr>
      </w:pPr>
    </w:p>
    <w:p w14:paraId="45980DE9" w14:textId="6FBFD9D3" w:rsidR="00372289" w:rsidRPr="0015541C" w:rsidRDefault="008C66AD" w:rsidP="005A4F32">
      <w:pPr>
        <w:keepNext/>
        <w:keepLines/>
        <w:rPr>
          <w:color w:val="000000"/>
          <w:lang w:val="pl-PL"/>
        </w:rPr>
      </w:pPr>
      <w:r w:rsidRPr="0015541C">
        <w:rPr>
          <w:lang w:val="pl-PL"/>
        </w:rPr>
        <w:t xml:space="preserve">W retrospektywnej analizie </w:t>
      </w:r>
      <w:r w:rsidR="00372289" w:rsidRPr="0015541C">
        <w:rPr>
          <w:lang w:val="pl-PL"/>
        </w:rPr>
        <w:t xml:space="preserve">danych </w:t>
      </w:r>
      <w:r w:rsidRPr="0015541C">
        <w:rPr>
          <w:lang w:val="pl-PL"/>
        </w:rPr>
        <w:t>serii pacjentów leczonych w jednym ośrodku</w:t>
      </w:r>
      <w:r w:rsidR="00372289" w:rsidRPr="0015541C">
        <w:rPr>
          <w:lang w:val="pl-PL"/>
        </w:rPr>
        <w:t>, 12 kolejnych dzieci (2005-2008) chorych na glejaka o wysokim stopniu złośliwości wykazującego wznowę lub progresję (3 ze stopniem złośliwości IV wg WHO, 9 ze stopniem złośliwości III) było leczon</w:t>
      </w:r>
      <w:r w:rsidR="00C8589C" w:rsidRPr="0015541C">
        <w:rPr>
          <w:lang w:val="pl-PL"/>
        </w:rPr>
        <w:t>ych bewacyzumabem w dawce 10</w:t>
      </w:r>
      <w:r w:rsidR="00685C01" w:rsidRPr="0015541C">
        <w:rPr>
          <w:lang w:val="pl-PL"/>
        </w:rPr>
        <w:t> mg</w:t>
      </w:r>
      <w:r w:rsidR="00C8589C" w:rsidRPr="0015541C">
        <w:rPr>
          <w:lang w:val="pl-PL"/>
        </w:rPr>
        <w:t>/</w:t>
      </w:r>
      <w:r w:rsidR="00372289" w:rsidRPr="0015541C">
        <w:rPr>
          <w:lang w:val="pl-PL"/>
        </w:rPr>
        <w:t xml:space="preserve">kg </w:t>
      </w:r>
      <w:r w:rsidR="007448FB" w:rsidRPr="0015541C">
        <w:rPr>
          <w:lang w:val="pl-PL"/>
        </w:rPr>
        <w:t xml:space="preserve">mc. </w:t>
      </w:r>
      <w:r w:rsidR="00372289" w:rsidRPr="0015541C">
        <w:rPr>
          <w:lang w:val="pl-PL"/>
        </w:rPr>
        <w:t>w skojarzeniu z ir</w:t>
      </w:r>
      <w:r w:rsidR="007448FB" w:rsidRPr="0015541C">
        <w:rPr>
          <w:lang w:val="pl-PL"/>
        </w:rPr>
        <w:t>y</w:t>
      </w:r>
      <w:r w:rsidR="00372289" w:rsidRPr="0015541C">
        <w:rPr>
          <w:lang w:val="pl-PL"/>
        </w:rPr>
        <w:t>notekanem (125</w:t>
      </w:r>
      <w:r w:rsidR="00685C01" w:rsidRPr="0015541C">
        <w:rPr>
          <w:lang w:val="pl-PL"/>
        </w:rPr>
        <w:t> mg</w:t>
      </w:r>
      <w:r w:rsidR="00372289" w:rsidRPr="0015541C">
        <w:rPr>
          <w:lang w:val="pl-PL"/>
        </w:rPr>
        <w:t>/m</w:t>
      </w:r>
      <w:r w:rsidR="00372289" w:rsidRPr="0015541C">
        <w:rPr>
          <w:vertAlign w:val="superscript"/>
          <w:lang w:val="pl-PL"/>
        </w:rPr>
        <w:t>2</w:t>
      </w:r>
      <w:r w:rsidR="00A16C6F" w:rsidRPr="0015541C">
        <w:rPr>
          <w:rFonts w:eastAsia="PMingLiU"/>
          <w:lang w:val="pl-PL" w:eastAsia="zh-CN"/>
        </w:rPr>
        <w:t xml:space="preserve"> pc.</w:t>
      </w:r>
      <w:r w:rsidR="00372289" w:rsidRPr="0015541C">
        <w:rPr>
          <w:lang w:val="pl-PL"/>
        </w:rPr>
        <w:t>) podawanych co 2 tygodnie. Nie stwierdzono całkowitych odpowiedzi, obserwowano 2 odpowiedzi częściowe</w:t>
      </w:r>
      <w:r w:rsidR="005337FE" w:rsidRPr="0015541C">
        <w:rPr>
          <w:lang w:val="pl-PL"/>
        </w:rPr>
        <w:t xml:space="preserve"> (wg kryteriów Mac</w:t>
      </w:r>
      <w:r w:rsidR="00184154" w:rsidRPr="0015541C">
        <w:rPr>
          <w:lang w:val="pl-PL"/>
        </w:rPr>
        <w:t>D</w:t>
      </w:r>
      <w:r w:rsidR="005337FE" w:rsidRPr="0015541C">
        <w:rPr>
          <w:lang w:val="pl-PL"/>
        </w:rPr>
        <w:t>onalda)</w:t>
      </w:r>
      <w:r w:rsidR="00372289" w:rsidRPr="0015541C">
        <w:rPr>
          <w:lang w:val="pl-PL"/>
        </w:rPr>
        <w:t>.</w:t>
      </w:r>
    </w:p>
    <w:p w14:paraId="755A7038" w14:textId="77777777" w:rsidR="005D7D59" w:rsidRPr="0015541C" w:rsidRDefault="00494E71" w:rsidP="005D7D59">
      <w:pPr>
        <w:rPr>
          <w:color w:val="000000"/>
          <w:lang w:val="pl-PL"/>
        </w:rPr>
      </w:pPr>
      <w:r w:rsidRPr="0015541C">
        <w:rPr>
          <w:color w:val="000000"/>
          <w:lang w:val="pl-PL"/>
        </w:rPr>
        <w:t xml:space="preserve"> </w:t>
      </w:r>
    </w:p>
    <w:p w14:paraId="2990069C" w14:textId="77777777" w:rsidR="00FF6B9C" w:rsidRPr="0015541C" w:rsidRDefault="00A71EF4" w:rsidP="00A71EF4">
      <w:pPr>
        <w:rPr>
          <w:lang w:val="pl-PL"/>
        </w:rPr>
      </w:pPr>
      <w:r w:rsidRPr="0015541C">
        <w:rPr>
          <w:lang w:val="pl-PL"/>
        </w:rPr>
        <w:lastRenderedPageBreak/>
        <w:t>W randomizowanym badaniu II fazy (</w:t>
      </w:r>
      <w:r w:rsidRPr="0015541C">
        <w:rPr>
          <w:iCs/>
          <w:lang w:val="pl-PL"/>
        </w:rPr>
        <w:t>BO25041</w:t>
      </w:r>
      <w:r w:rsidRPr="0015541C">
        <w:rPr>
          <w:lang w:val="pl-PL"/>
        </w:rPr>
        <w:t xml:space="preserve">) łącznie 121 pacjentów w wieku od </w:t>
      </w:r>
      <w:r w:rsidRPr="0015541C">
        <w:rPr>
          <w:rFonts w:hint="eastAsia"/>
          <w:lang w:val="pl-PL"/>
        </w:rPr>
        <w:t>≥</w:t>
      </w:r>
      <w:r w:rsidRPr="0015541C">
        <w:rPr>
          <w:lang w:val="pl-PL"/>
        </w:rPr>
        <w:t xml:space="preserve"> 3 lat do &lt;18 lat </w:t>
      </w:r>
      <w:r w:rsidR="00494E71" w:rsidRPr="0015541C">
        <w:rPr>
          <w:lang w:val="pl-PL"/>
        </w:rPr>
        <w:t>ze świeżo rozpoznaną lokalizacją glejaka móżdżku, nadnamiotową lub podnamiotową albo konarową o wysokim stopniu złośliwości</w:t>
      </w:r>
      <w:r w:rsidR="00494E71" w:rsidRPr="0015541C" w:rsidDel="00494E71">
        <w:rPr>
          <w:lang w:val="pl-PL"/>
        </w:rPr>
        <w:t xml:space="preserve"> </w:t>
      </w:r>
      <w:r w:rsidRPr="0015541C">
        <w:rPr>
          <w:lang w:val="pl-PL"/>
        </w:rPr>
        <w:t xml:space="preserve">(ang. high-grade glioma, HGG) otrzymywało pooperacyjną radioterapię (RT) </w:t>
      </w:r>
      <w:r w:rsidR="00960EC9" w:rsidRPr="0015541C">
        <w:rPr>
          <w:lang w:val="pl-PL"/>
        </w:rPr>
        <w:t>i</w:t>
      </w:r>
      <w:r w:rsidRPr="0015541C">
        <w:rPr>
          <w:lang w:val="pl-PL"/>
        </w:rPr>
        <w:t xml:space="preserve"> adjuwanto</w:t>
      </w:r>
      <w:r w:rsidR="00B277F2" w:rsidRPr="0015541C">
        <w:rPr>
          <w:lang w:val="pl-PL"/>
        </w:rPr>
        <w:t>wo</w:t>
      </w:r>
      <w:r w:rsidRPr="0015541C">
        <w:rPr>
          <w:lang w:val="pl-PL"/>
        </w:rPr>
        <w:t xml:space="preserve"> temozolomid (T) z</w:t>
      </w:r>
      <w:r w:rsidR="00FF6B9C" w:rsidRPr="0015541C">
        <w:rPr>
          <w:lang w:val="pl-PL"/>
        </w:rPr>
        <w:t xml:space="preserve"> bewacyzumabem</w:t>
      </w:r>
      <w:r w:rsidR="003A3E3F" w:rsidRPr="0015541C">
        <w:rPr>
          <w:lang w:val="pl-PL"/>
        </w:rPr>
        <w:t xml:space="preserve"> lub</w:t>
      </w:r>
      <w:r w:rsidRPr="0015541C">
        <w:rPr>
          <w:lang w:val="pl-PL"/>
        </w:rPr>
        <w:t xml:space="preserve"> bez bewacyzumabu: </w:t>
      </w:r>
    </w:p>
    <w:p w14:paraId="155A68AA" w14:textId="40DCDC50" w:rsidR="00A71EF4" w:rsidRPr="0015541C" w:rsidRDefault="00A71EF4" w:rsidP="00A71EF4">
      <w:pPr>
        <w:rPr>
          <w:lang w:val="pl-PL"/>
        </w:rPr>
      </w:pPr>
      <w:r w:rsidRPr="0015541C">
        <w:rPr>
          <w:lang w:val="pl-PL"/>
        </w:rPr>
        <w:t xml:space="preserve">w dawce </w:t>
      </w:r>
      <w:r w:rsidR="00D6335C" w:rsidRPr="0015541C">
        <w:rPr>
          <w:lang w:val="pl-PL"/>
        </w:rPr>
        <w:t>10 </w:t>
      </w:r>
      <w:r w:rsidRPr="0015541C">
        <w:rPr>
          <w:lang w:val="pl-PL"/>
        </w:rPr>
        <w:t>mg/kg mc</w:t>
      </w:r>
      <w:r w:rsidR="000320FC" w:rsidRPr="0015541C">
        <w:rPr>
          <w:lang w:val="pl-PL"/>
        </w:rPr>
        <w:t xml:space="preserve">. </w:t>
      </w:r>
      <w:r w:rsidRPr="0015541C">
        <w:rPr>
          <w:lang w:val="pl-PL"/>
        </w:rPr>
        <w:t>co 2 tygodnie</w:t>
      </w:r>
      <w:r w:rsidR="0048590C">
        <w:rPr>
          <w:lang w:val="pl-PL"/>
        </w:rPr>
        <w:t xml:space="preserve"> we wlewie</w:t>
      </w:r>
      <w:r w:rsidR="0048590C" w:rsidRPr="007E2685">
        <w:rPr>
          <w:lang w:val="pl-PL"/>
        </w:rPr>
        <w:t xml:space="preserve"> </w:t>
      </w:r>
      <w:r w:rsidR="0048590C" w:rsidRPr="00367585">
        <w:rPr>
          <w:lang w:val="pl-PL"/>
        </w:rPr>
        <w:t>dożyln</w:t>
      </w:r>
      <w:r w:rsidR="0048590C">
        <w:rPr>
          <w:lang w:val="pl-PL"/>
        </w:rPr>
        <w:t>ym</w:t>
      </w:r>
      <w:r w:rsidRPr="0015541C">
        <w:rPr>
          <w:lang w:val="pl-PL"/>
        </w:rPr>
        <w:t>.</w:t>
      </w:r>
    </w:p>
    <w:p w14:paraId="486DFB01" w14:textId="77777777" w:rsidR="00A71EF4" w:rsidRPr="0015541C" w:rsidRDefault="00A71EF4" w:rsidP="00A71EF4">
      <w:pPr>
        <w:rPr>
          <w:lang w:val="pl-PL"/>
        </w:rPr>
      </w:pPr>
    </w:p>
    <w:p w14:paraId="3E432683" w14:textId="1DE73376" w:rsidR="00A71EF4" w:rsidRPr="0015541C" w:rsidRDefault="00A71EF4" w:rsidP="00A71EF4">
      <w:pPr>
        <w:rPr>
          <w:lang w:val="pl-PL"/>
        </w:rPr>
      </w:pPr>
      <w:r w:rsidRPr="0015541C">
        <w:rPr>
          <w:lang w:val="pl-PL"/>
        </w:rPr>
        <w:t xml:space="preserve">Badanie nie osiągnęło pierwszorzędowego punktu końcowego </w:t>
      </w:r>
      <w:r w:rsidR="003A3E3F" w:rsidRPr="0015541C">
        <w:rPr>
          <w:lang w:val="pl-PL"/>
        </w:rPr>
        <w:t>wykazującego znamienne wydłużenie</w:t>
      </w:r>
      <w:r w:rsidRPr="0015541C">
        <w:rPr>
          <w:lang w:val="pl-PL"/>
        </w:rPr>
        <w:t xml:space="preserve"> </w:t>
      </w:r>
      <w:r w:rsidR="000320FC" w:rsidRPr="0015541C">
        <w:rPr>
          <w:lang w:val="pl-PL"/>
        </w:rPr>
        <w:t xml:space="preserve">czasu przeżycia wolnego od zdarzeń (ang. event-free survival – </w:t>
      </w:r>
      <w:r w:rsidRPr="0015541C">
        <w:rPr>
          <w:lang w:val="pl-PL"/>
        </w:rPr>
        <w:t>EFS</w:t>
      </w:r>
      <w:r w:rsidR="000320FC" w:rsidRPr="0015541C">
        <w:rPr>
          <w:lang w:val="pl-PL"/>
        </w:rPr>
        <w:t>)</w:t>
      </w:r>
      <w:r w:rsidRPr="0015541C">
        <w:rPr>
          <w:lang w:val="pl-PL"/>
        </w:rPr>
        <w:t xml:space="preserve"> (oceniane</w:t>
      </w:r>
      <w:r w:rsidR="00FF6576" w:rsidRPr="0015541C">
        <w:rPr>
          <w:lang w:val="pl-PL"/>
        </w:rPr>
        <w:t>go</w:t>
      </w:r>
      <w:r w:rsidRPr="0015541C">
        <w:rPr>
          <w:lang w:val="pl-PL"/>
        </w:rPr>
        <w:t xml:space="preserve"> przez Centralną Komisję Oceny Radiologicznej (</w:t>
      </w:r>
      <w:r w:rsidR="00AE6F2E" w:rsidRPr="0015541C">
        <w:rPr>
          <w:lang w:val="pl-PL"/>
        </w:rPr>
        <w:t>ang. Central Radiology Review Committee</w:t>
      </w:r>
      <w:r w:rsidR="000320FC" w:rsidRPr="0015541C">
        <w:rPr>
          <w:lang w:val="pl-PL"/>
        </w:rPr>
        <w:t xml:space="preserve"> –</w:t>
      </w:r>
      <w:r w:rsidR="00D77436">
        <w:rPr>
          <w:lang w:val="pl-PL"/>
        </w:rPr>
        <w:t xml:space="preserve"> </w:t>
      </w:r>
      <w:r w:rsidRPr="0015541C">
        <w:rPr>
          <w:lang w:val="pl-PL"/>
        </w:rPr>
        <w:t xml:space="preserve">CRRC)) </w:t>
      </w:r>
      <w:r w:rsidR="003A3E3F" w:rsidRPr="0015541C">
        <w:rPr>
          <w:lang w:val="pl-PL"/>
        </w:rPr>
        <w:t xml:space="preserve">w ramieniu, w którym dodano </w:t>
      </w:r>
      <w:r w:rsidRPr="0015541C">
        <w:rPr>
          <w:lang w:val="pl-PL"/>
        </w:rPr>
        <w:t xml:space="preserve">bewacyzumab do leczenia RT/T w porównaniu </w:t>
      </w:r>
      <w:r w:rsidR="005821EE" w:rsidRPr="0015541C">
        <w:rPr>
          <w:lang w:val="pl-PL"/>
        </w:rPr>
        <w:br/>
      </w:r>
      <w:r w:rsidRPr="0015541C">
        <w:rPr>
          <w:lang w:val="pl-PL"/>
        </w:rPr>
        <w:t>z grupą otrzymującą tylko RT/T (HR </w:t>
      </w:r>
      <w:r w:rsidRPr="0015541C">
        <w:rPr>
          <w:lang w:val="pl-PL"/>
        </w:rPr>
        <w:sym w:font="Symbol" w:char="F03D"/>
      </w:r>
      <w:r w:rsidRPr="0015541C">
        <w:rPr>
          <w:lang w:val="pl-PL"/>
        </w:rPr>
        <w:t xml:space="preserve"> 1,44; 95% CI: 0,90; 2,30). Wyniki te były zgodne z wynikami różnych analiz wrażliwości oraz wynikami uzyskanymi w klinicznie istotnych grupach. Wyniki </w:t>
      </w:r>
      <w:r w:rsidR="00FF6576" w:rsidRPr="0015541C">
        <w:rPr>
          <w:lang w:val="pl-PL"/>
        </w:rPr>
        <w:t xml:space="preserve">dla </w:t>
      </w:r>
      <w:r w:rsidRPr="0015541C">
        <w:rPr>
          <w:lang w:val="pl-PL"/>
        </w:rPr>
        <w:t>wszystkich drugorzędowych punktów końcowych (EFS ocenian</w:t>
      </w:r>
      <w:r w:rsidR="00FF6576" w:rsidRPr="00AC3958">
        <w:rPr>
          <w:lang w:val="pl-PL"/>
        </w:rPr>
        <w:t>y</w:t>
      </w:r>
      <w:r w:rsidR="00340814" w:rsidRPr="0015541C">
        <w:rPr>
          <w:lang w:val="pl-PL"/>
        </w:rPr>
        <w:t>ch</w:t>
      </w:r>
      <w:r w:rsidRPr="0015541C">
        <w:rPr>
          <w:lang w:val="pl-PL"/>
        </w:rPr>
        <w:t xml:space="preserve"> przez badacza oraz ORR i OS) były </w:t>
      </w:r>
      <w:r w:rsidR="003A3E3F" w:rsidRPr="0015541C">
        <w:rPr>
          <w:lang w:val="pl-PL"/>
        </w:rPr>
        <w:t>zgodne</w:t>
      </w:r>
      <w:r w:rsidR="00FF6576" w:rsidRPr="0015541C">
        <w:rPr>
          <w:lang w:val="pl-PL"/>
        </w:rPr>
        <w:t xml:space="preserve">, </w:t>
      </w:r>
      <w:r w:rsidR="003A3E3F" w:rsidRPr="0015541C">
        <w:rPr>
          <w:lang w:val="pl-PL"/>
        </w:rPr>
        <w:t xml:space="preserve">pokazując </w:t>
      </w:r>
      <w:r w:rsidRPr="0015541C">
        <w:rPr>
          <w:lang w:val="pl-PL"/>
        </w:rPr>
        <w:t xml:space="preserve">brak poprawy </w:t>
      </w:r>
      <w:r w:rsidR="003A3E3F" w:rsidRPr="0015541C">
        <w:rPr>
          <w:lang w:val="pl-PL"/>
        </w:rPr>
        <w:t>związanej z dodaniem</w:t>
      </w:r>
      <w:r w:rsidRPr="0015541C">
        <w:rPr>
          <w:lang w:val="pl-PL"/>
        </w:rPr>
        <w:t xml:space="preserve"> bewacyzumabu </w:t>
      </w:r>
      <w:r w:rsidR="003A3E3F" w:rsidRPr="0015541C">
        <w:rPr>
          <w:lang w:val="pl-PL"/>
        </w:rPr>
        <w:t xml:space="preserve">w ramieniu </w:t>
      </w:r>
      <w:r w:rsidRPr="0015541C">
        <w:rPr>
          <w:lang w:val="pl-PL"/>
        </w:rPr>
        <w:t xml:space="preserve">RT/T </w:t>
      </w:r>
      <w:r w:rsidR="005821EE" w:rsidRPr="0015541C">
        <w:rPr>
          <w:lang w:val="pl-PL"/>
        </w:rPr>
        <w:br/>
      </w:r>
      <w:r w:rsidRPr="0015541C">
        <w:rPr>
          <w:lang w:val="pl-PL"/>
        </w:rPr>
        <w:t xml:space="preserve">w porównaniu z </w:t>
      </w:r>
      <w:r w:rsidR="003A3E3F" w:rsidRPr="0015541C">
        <w:rPr>
          <w:lang w:val="pl-PL"/>
        </w:rPr>
        <w:t>ramieniem</w:t>
      </w:r>
      <w:r w:rsidRPr="0015541C">
        <w:rPr>
          <w:lang w:val="pl-PL"/>
        </w:rPr>
        <w:t xml:space="preserve"> otrzymując</w:t>
      </w:r>
      <w:r w:rsidR="003A3E3F" w:rsidRPr="0015541C">
        <w:rPr>
          <w:lang w:val="pl-PL"/>
        </w:rPr>
        <w:t>ym</w:t>
      </w:r>
      <w:r w:rsidRPr="0015541C">
        <w:rPr>
          <w:lang w:val="pl-PL"/>
        </w:rPr>
        <w:t xml:space="preserve"> tylko RT/T.</w:t>
      </w:r>
    </w:p>
    <w:p w14:paraId="31293E91" w14:textId="77777777" w:rsidR="00A71EF4" w:rsidRPr="0015541C" w:rsidRDefault="00A71EF4" w:rsidP="00A71EF4">
      <w:pPr>
        <w:rPr>
          <w:lang w:val="pl-PL"/>
        </w:rPr>
      </w:pPr>
    </w:p>
    <w:p w14:paraId="16520563" w14:textId="77777777" w:rsidR="00A71EF4" w:rsidRPr="0015541C" w:rsidRDefault="00A71EF4" w:rsidP="00A71EF4">
      <w:pPr>
        <w:rPr>
          <w:rFonts w:eastAsia="Calibri"/>
          <w:lang w:val="pl-PL" w:eastAsia="en-US"/>
        </w:rPr>
      </w:pPr>
      <w:r w:rsidRPr="0015541C">
        <w:rPr>
          <w:iCs/>
          <w:lang w:val="pl-PL"/>
        </w:rPr>
        <w:t xml:space="preserve">Dodanie </w:t>
      </w:r>
      <w:r w:rsidR="000018FD" w:rsidRPr="0015541C">
        <w:rPr>
          <w:iCs/>
          <w:lang w:val="pl-PL"/>
        </w:rPr>
        <w:t>bewacyzumab</w:t>
      </w:r>
      <w:r w:rsidRPr="0015541C">
        <w:rPr>
          <w:iCs/>
          <w:lang w:val="pl-PL"/>
        </w:rPr>
        <w:t>u do leczenia RT/T nie wykazywało korzyści klinicznej w badaniu BO25041 u 60</w:t>
      </w:r>
      <w:r w:rsidR="003A3E3F" w:rsidRPr="0015541C">
        <w:rPr>
          <w:iCs/>
          <w:lang w:val="pl-PL"/>
        </w:rPr>
        <w:t xml:space="preserve"> ocenianych</w:t>
      </w:r>
      <w:r w:rsidRPr="0015541C">
        <w:rPr>
          <w:iCs/>
          <w:lang w:val="pl-PL"/>
        </w:rPr>
        <w:t xml:space="preserve"> dzieci </w:t>
      </w:r>
      <w:r w:rsidR="003A3E3F" w:rsidRPr="0015541C">
        <w:rPr>
          <w:lang w:val="pl-PL"/>
        </w:rPr>
        <w:t>ze świeżo rozpoznaną lokalizacją glejaka móżdżku, nadnamiotową lub podnamiotową albo konarową o wysokim stopniu złośliwości</w:t>
      </w:r>
      <w:r w:rsidR="003A3E3F" w:rsidRPr="0015541C" w:rsidDel="00494E71">
        <w:rPr>
          <w:lang w:val="pl-PL"/>
        </w:rPr>
        <w:t xml:space="preserve"> </w:t>
      </w:r>
      <w:r w:rsidRPr="0015541C">
        <w:rPr>
          <w:iCs/>
          <w:lang w:val="pl-PL"/>
        </w:rPr>
        <w:t>(HGG</w:t>
      </w:r>
      <w:r w:rsidR="00B277F2" w:rsidRPr="0015541C">
        <w:rPr>
          <w:iCs/>
          <w:lang w:val="pl-PL"/>
        </w:rPr>
        <w:t>)</w:t>
      </w:r>
      <w:r w:rsidRPr="0015541C">
        <w:rPr>
          <w:iCs/>
          <w:lang w:val="pl-PL"/>
        </w:rPr>
        <w:t xml:space="preserve"> </w:t>
      </w:r>
      <w:r w:rsidRPr="0015541C">
        <w:rPr>
          <w:lang w:val="pl-PL"/>
        </w:rPr>
        <w:t>(Stosowanie u dzieci i młodzieży, patrz punkt</w:t>
      </w:r>
      <w:r w:rsidRPr="0015541C">
        <w:rPr>
          <w:rFonts w:eastAsia="Calibri"/>
          <w:lang w:val="pl-PL" w:eastAsia="en-US"/>
        </w:rPr>
        <w:t xml:space="preserve"> 4.2). </w:t>
      </w:r>
    </w:p>
    <w:p w14:paraId="63A57018" w14:textId="77777777" w:rsidR="00A71EF4" w:rsidRPr="0015541C" w:rsidRDefault="00A71EF4" w:rsidP="00A71EF4">
      <w:pPr>
        <w:rPr>
          <w:rFonts w:eastAsia="Calibri"/>
          <w:lang w:val="pl-PL" w:eastAsia="en-US"/>
        </w:rPr>
      </w:pPr>
    </w:p>
    <w:p w14:paraId="5CCA2D59" w14:textId="77777777" w:rsidR="00A71EF4" w:rsidRPr="0015541C" w:rsidRDefault="00A71EF4" w:rsidP="00A71EF4">
      <w:pPr>
        <w:rPr>
          <w:color w:val="000000"/>
          <w:lang w:val="pl-PL"/>
        </w:rPr>
      </w:pPr>
      <w:r w:rsidRPr="0015541C">
        <w:rPr>
          <w:rFonts w:eastAsia="Calibri"/>
          <w:i/>
          <w:lang w:val="pl-PL" w:eastAsia="en-US"/>
        </w:rPr>
        <w:t>Mięsak tkanek miękkich</w:t>
      </w:r>
    </w:p>
    <w:p w14:paraId="533A86FF" w14:textId="10BD3EAB" w:rsidR="007C31FF" w:rsidRPr="0015541C" w:rsidRDefault="00250B15" w:rsidP="00994050">
      <w:pPr>
        <w:rPr>
          <w:bCs/>
          <w:szCs w:val="22"/>
          <w:lang w:val="pl-PL"/>
        </w:rPr>
      </w:pPr>
      <w:r w:rsidRPr="0015541C">
        <w:rPr>
          <w:color w:val="000000"/>
          <w:lang w:val="pl-PL"/>
        </w:rPr>
        <w:t xml:space="preserve">W randomizowanym badaniu fazy II (BO20924) </w:t>
      </w:r>
      <w:r w:rsidR="00BE2938" w:rsidRPr="0015541C">
        <w:rPr>
          <w:color w:val="000000"/>
          <w:lang w:val="pl-PL"/>
        </w:rPr>
        <w:t xml:space="preserve">u </w:t>
      </w:r>
      <w:r w:rsidRPr="0015541C">
        <w:rPr>
          <w:color w:val="000000"/>
          <w:lang w:val="pl-PL"/>
        </w:rPr>
        <w:t xml:space="preserve">154 pacjentów w wieku </w:t>
      </w:r>
      <w:r w:rsidRPr="0015541C">
        <w:rPr>
          <w:rFonts w:hint="eastAsia"/>
          <w:lang w:val="pl-PL"/>
        </w:rPr>
        <w:t>≥</w:t>
      </w:r>
      <w:r w:rsidRPr="0015541C">
        <w:rPr>
          <w:lang w:val="pl-PL"/>
        </w:rPr>
        <w:t xml:space="preserve"> 6 miesięcy do &lt; 18 lat z nowo </w:t>
      </w:r>
      <w:r w:rsidR="00554A45" w:rsidRPr="0015541C">
        <w:rPr>
          <w:lang w:val="pl-PL"/>
        </w:rPr>
        <w:t>rozpoznanym</w:t>
      </w:r>
      <w:r w:rsidRPr="0015541C">
        <w:rPr>
          <w:lang w:val="pl-PL"/>
        </w:rPr>
        <w:t xml:space="preserve"> przerzutowym </w:t>
      </w:r>
      <w:r w:rsidR="00000749" w:rsidRPr="0015541C">
        <w:rPr>
          <w:lang w:val="pl-PL"/>
        </w:rPr>
        <w:t>mięśniako</w:t>
      </w:r>
      <w:r w:rsidRPr="0015541C">
        <w:rPr>
          <w:lang w:val="pl-PL"/>
        </w:rPr>
        <w:t>mięsakiem prążkowanokomórkowym i nieprążkowanokomórkowym</w:t>
      </w:r>
      <w:r w:rsidR="007454E4" w:rsidRPr="0015541C">
        <w:rPr>
          <w:lang w:val="pl-PL"/>
        </w:rPr>
        <w:t xml:space="preserve"> </w:t>
      </w:r>
      <w:r w:rsidR="00A476F1" w:rsidRPr="0015541C">
        <w:rPr>
          <w:lang w:val="pl-PL"/>
        </w:rPr>
        <w:t xml:space="preserve">stosowane było leczenie standardowe (terapia indukcyjna IVADO/IVA +/- leczenie miejscowe, następnie leczenie podtrzymujące </w:t>
      </w:r>
      <w:r w:rsidR="001D4C67" w:rsidRPr="0015541C">
        <w:rPr>
          <w:lang w:val="pl-PL"/>
        </w:rPr>
        <w:t>z zastosowaniem winorelbiny</w:t>
      </w:r>
      <w:r w:rsidR="00A476F1" w:rsidRPr="0015541C">
        <w:rPr>
          <w:lang w:val="pl-PL"/>
        </w:rPr>
        <w:t xml:space="preserve"> i </w:t>
      </w:r>
      <w:r w:rsidR="001D4C67" w:rsidRPr="0015541C">
        <w:rPr>
          <w:lang w:val="pl-PL"/>
        </w:rPr>
        <w:t>cyklofosfamidu</w:t>
      </w:r>
      <w:r w:rsidR="00A476F1" w:rsidRPr="0015541C">
        <w:rPr>
          <w:lang w:val="pl-PL"/>
        </w:rPr>
        <w:t xml:space="preserve">) </w:t>
      </w:r>
      <w:r w:rsidR="00322334" w:rsidRPr="0015541C">
        <w:rPr>
          <w:lang w:val="pl-PL"/>
        </w:rPr>
        <w:t xml:space="preserve">w połączeniu </w:t>
      </w:r>
      <w:r w:rsidR="00A476F1" w:rsidRPr="0015541C">
        <w:rPr>
          <w:lang w:val="pl-PL"/>
        </w:rPr>
        <w:t xml:space="preserve">z </w:t>
      </w:r>
      <w:r w:rsidR="00000749" w:rsidRPr="0015541C">
        <w:rPr>
          <w:lang w:val="pl-PL"/>
        </w:rPr>
        <w:t xml:space="preserve">bewacyzumabem </w:t>
      </w:r>
      <w:r w:rsidR="00A476F1" w:rsidRPr="0015541C">
        <w:rPr>
          <w:lang w:val="pl-PL"/>
        </w:rPr>
        <w:t>lub bez bewacyzumabu (2,</w:t>
      </w:r>
      <w:r w:rsidR="000320FC" w:rsidRPr="0015541C">
        <w:rPr>
          <w:lang w:val="pl-PL"/>
        </w:rPr>
        <w:t>5 </w:t>
      </w:r>
      <w:r w:rsidR="00A476F1" w:rsidRPr="0015541C">
        <w:rPr>
          <w:lang w:val="pl-PL"/>
        </w:rPr>
        <w:t>mg/kg</w:t>
      </w:r>
      <w:r w:rsidR="00340814" w:rsidRPr="0015541C">
        <w:rPr>
          <w:lang w:val="pl-PL"/>
        </w:rPr>
        <w:t xml:space="preserve"> mc.</w:t>
      </w:r>
      <w:r w:rsidR="00A476F1" w:rsidRPr="0015541C">
        <w:rPr>
          <w:lang w:val="pl-PL"/>
        </w:rPr>
        <w:t>/tydzień)</w:t>
      </w:r>
      <w:r w:rsidR="00272699" w:rsidRPr="0015541C">
        <w:rPr>
          <w:lang w:val="pl-PL"/>
        </w:rPr>
        <w:t xml:space="preserve"> przez cały okres leczenia, tj. około 18 miesięcy. W momencie końcowej analizy pierwotnej, </w:t>
      </w:r>
      <w:r w:rsidR="00BC6F13" w:rsidRPr="0015541C">
        <w:rPr>
          <w:lang w:val="pl-PL"/>
        </w:rPr>
        <w:t>niezależny centralny</w:t>
      </w:r>
      <w:r w:rsidR="005D2F40" w:rsidRPr="0015541C">
        <w:rPr>
          <w:lang w:val="pl-PL"/>
        </w:rPr>
        <w:t xml:space="preserve"> </w:t>
      </w:r>
      <w:r w:rsidR="00BC6F13" w:rsidRPr="0015541C">
        <w:rPr>
          <w:lang w:val="pl-PL"/>
        </w:rPr>
        <w:t xml:space="preserve">organ </w:t>
      </w:r>
      <w:r w:rsidR="005D2F40" w:rsidRPr="0015541C">
        <w:rPr>
          <w:lang w:val="pl-PL"/>
        </w:rPr>
        <w:t>ocen</w:t>
      </w:r>
      <w:r w:rsidR="00BC6F13" w:rsidRPr="0015541C">
        <w:rPr>
          <w:lang w:val="pl-PL"/>
        </w:rPr>
        <w:t>iający nie stwierdził</w:t>
      </w:r>
      <w:r w:rsidR="00272699" w:rsidRPr="0015541C">
        <w:rPr>
          <w:lang w:val="pl-PL"/>
        </w:rPr>
        <w:t xml:space="preserve"> statystycznie istotnej różnicy </w:t>
      </w:r>
      <w:r w:rsidR="00BB60C9" w:rsidRPr="0015541C">
        <w:rPr>
          <w:lang w:val="pl-PL"/>
        </w:rPr>
        <w:t>w czasie</w:t>
      </w:r>
      <w:r w:rsidR="006A086C" w:rsidRPr="0015541C">
        <w:rPr>
          <w:lang w:val="pl-PL"/>
        </w:rPr>
        <w:t xml:space="preserve"> p</w:t>
      </w:r>
      <w:r w:rsidR="005D2F40" w:rsidRPr="0015541C">
        <w:rPr>
          <w:lang w:val="pl-PL"/>
        </w:rPr>
        <w:t>rzeżycia bez wystąpienia zdarzenia</w:t>
      </w:r>
      <w:r w:rsidR="006A086C" w:rsidRPr="0015541C">
        <w:rPr>
          <w:lang w:val="pl-PL"/>
        </w:rPr>
        <w:t xml:space="preserve"> (</w:t>
      </w:r>
      <w:r w:rsidR="00BB60C9" w:rsidRPr="0015541C">
        <w:rPr>
          <w:lang w:val="pl-PL"/>
        </w:rPr>
        <w:t xml:space="preserve">EFS, </w:t>
      </w:r>
      <w:r w:rsidR="006A086C" w:rsidRPr="0015541C">
        <w:rPr>
          <w:lang w:val="pl-PL"/>
        </w:rPr>
        <w:t xml:space="preserve">ang. event-free survival), stanowiącym pierwszorzędowy punkt końcowy, </w:t>
      </w:r>
      <w:r w:rsidR="00C53702" w:rsidRPr="0015541C">
        <w:rPr>
          <w:lang w:val="pl-PL"/>
        </w:rPr>
        <w:t xml:space="preserve">pomiędzy </w:t>
      </w:r>
      <w:r w:rsidR="006A086C" w:rsidRPr="0015541C">
        <w:rPr>
          <w:lang w:val="pl-PL"/>
        </w:rPr>
        <w:t>dw</w:t>
      </w:r>
      <w:r w:rsidR="00C53702" w:rsidRPr="0015541C">
        <w:rPr>
          <w:lang w:val="pl-PL"/>
        </w:rPr>
        <w:t>oma</w:t>
      </w:r>
      <w:r w:rsidR="006A086C" w:rsidRPr="0015541C">
        <w:rPr>
          <w:lang w:val="pl-PL"/>
        </w:rPr>
        <w:t xml:space="preserve"> ramion</w:t>
      </w:r>
      <w:r w:rsidR="00C53702" w:rsidRPr="0015541C">
        <w:rPr>
          <w:lang w:val="pl-PL"/>
        </w:rPr>
        <w:t>ami</w:t>
      </w:r>
      <w:r w:rsidR="00272699" w:rsidRPr="0015541C">
        <w:rPr>
          <w:lang w:val="pl-PL"/>
        </w:rPr>
        <w:t xml:space="preserve"> badania, przy </w:t>
      </w:r>
      <w:r w:rsidR="006A086C" w:rsidRPr="0015541C">
        <w:rPr>
          <w:lang w:val="pl-PL"/>
        </w:rPr>
        <w:t>współczynniku ryzyka</w:t>
      </w:r>
      <w:r w:rsidR="00272699" w:rsidRPr="0015541C">
        <w:rPr>
          <w:lang w:val="pl-PL"/>
        </w:rPr>
        <w:t xml:space="preserve"> wynoszącym 0,93 (95% CI: 0,61, 1,41</w:t>
      </w:r>
      <w:r w:rsidR="006A086C" w:rsidRPr="0015541C">
        <w:rPr>
          <w:lang w:val="pl-PL"/>
        </w:rPr>
        <w:t xml:space="preserve">; wartość </w:t>
      </w:r>
      <w:r w:rsidR="00044E3C" w:rsidRPr="0015541C">
        <w:rPr>
          <w:lang w:val="pl-PL"/>
        </w:rPr>
        <w:t>p</w:t>
      </w:r>
      <w:r w:rsidR="007454E4" w:rsidRPr="0015541C">
        <w:rPr>
          <w:lang w:val="pl-PL"/>
        </w:rPr>
        <w:t> </w:t>
      </w:r>
      <w:r w:rsidR="006A086C" w:rsidRPr="0015541C">
        <w:rPr>
          <w:lang w:val="pl-PL"/>
        </w:rPr>
        <w:t>=</w:t>
      </w:r>
      <w:r w:rsidR="007454E4" w:rsidRPr="0015541C">
        <w:rPr>
          <w:lang w:val="pl-PL"/>
        </w:rPr>
        <w:t> </w:t>
      </w:r>
      <w:r w:rsidR="006A086C" w:rsidRPr="0015541C">
        <w:rPr>
          <w:lang w:val="pl-PL"/>
        </w:rPr>
        <w:t>0,72)</w:t>
      </w:r>
      <w:r w:rsidR="00044E3C" w:rsidRPr="0015541C">
        <w:rPr>
          <w:lang w:val="pl-PL"/>
        </w:rPr>
        <w:t>.</w:t>
      </w:r>
      <w:r w:rsidR="00E250F5" w:rsidRPr="0015541C">
        <w:rPr>
          <w:lang w:val="pl-PL"/>
        </w:rPr>
        <w:t xml:space="preserve"> </w:t>
      </w:r>
      <w:r w:rsidR="00CA009A" w:rsidRPr="0015541C">
        <w:rPr>
          <w:bCs/>
          <w:szCs w:val="22"/>
          <w:lang w:val="pl-PL"/>
        </w:rPr>
        <w:t xml:space="preserve">Różnica w ORR stwierdzona przez niezależny centralny organ oceniający </w:t>
      </w:r>
      <w:r w:rsidR="00C81280" w:rsidRPr="0015541C">
        <w:rPr>
          <w:bCs/>
          <w:szCs w:val="22"/>
          <w:lang w:val="pl-PL"/>
        </w:rPr>
        <w:t xml:space="preserve">pomiędzy dwoma ramionami badania </w:t>
      </w:r>
      <w:r w:rsidR="00CA009A" w:rsidRPr="0015541C">
        <w:rPr>
          <w:bCs/>
          <w:szCs w:val="22"/>
          <w:lang w:val="pl-PL"/>
        </w:rPr>
        <w:t xml:space="preserve">wyniosła 18% (CI: 0,6%, </w:t>
      </w:r>
      <w:r w:rsidR="00404246" w:rsidRPr="0015541C">
        <w:rPr>
          <w:bCs/>
          <w:szCs w:val="22"/>
          <w:lang w:val="pl-PL"/>
        </w:rPr>
        <w:t xml:space="preserve">35,3%) </w:t>
      </w:r>
      <w:r w:rsidR="00CA009A" w:rsidRPr="0015541C">
        <w:rPr>
          <w:bCs/>
          <w:szCs w:val="22"/>
          <w:lang w:val="pl-PL"/>
        </w:rPr>
        <w:t>u nieliczn</w:t>
      </w:r>
      <w:r w:rsidR="00044E3C" w:rsidRPr="0015541C">
        <w:rPr>
          <w:bCs/>
          <w:szCs w:val="22"/>
          <w:lang w:val="pl-PL"/>
        </w:rPr>
        <w:t xml:space="preserve">ych pacjentów z guzem możliwym do oceny na początku badania i potwierdzoną odpowiedzią przed otrzymaniem jakiegokolwiek leczenia miejscowego: </w:t>
      </w:r>
      <w:r w:rsidR="00044E3C" w:rsidRPr="0015541C">
        <w:rPr>
          <w:lang w:val="pl-PL"/>
        </w:rPr>
        <w:t>27/75 pacjentów (36,0%, 95% CI: 25, 2%, 47, 9%) w ramieniu z chemioterapią i 34/63 pacjentów (54, 0%, 95% CI: 40, 9%, 66, 6%) w ramieniu z bewacyzumabem + chemioterapia.</w:t>
      </w:r>
      <w:r w:rsidR="00404246" w:rsidRPr="0015541C">
        <w:rPr>
          <w:bCs/>
          <w:szCs w:val="22"/>
          <w:lang w:val="pl-PL"/>
        </w:rPr>
        <w:t xml:space="preserve"> </w:t>
      </w:r>
      <w:r w:rsidR="002B2EB9" w:rsidRPr="0015541C">
        <w:rPr>
          <w:bCs/>
          <w:szCs w:val="22"/>
          <w:lang w:val="pl-PL"/>
        </w:rPr>
        <w:t>Ostateczn</w:t>
      </w:r>
      <w:r w:rsidR="00AC424A">
        <w:rPr>
          <w:bCs/>
          <w:szCs w:val="22"/>
          <w:lang w:val="pl-PL"/>
        </w:rPr>
        <w:t>e</w:t>
      </w:r>
      <w:r w:rsidR="00AC78E9" w:rsidRPr="0015541C">
        <w:rPr>
          <w:bCs/>
          <w:szCs w:val="22"/>
          <w:lang w:val="pl-PL"/>
        </w:rPr>
        <w:t xml:space="preserve"> analiz</w:t>
      </w:r>
      <w:r w:rsidR="00AC424A">
        <w:rPr>
          <w:bCs/>
          <w:szCs w:val="22"/>
          <w:lang w:val="pl-PL"/>
        </w:rPr>
        <w:t>y</w:t>
      </w:r>
      <w:r w:rsidR="00AC78E9" w:rsidRPr="0015541C">
        <w:rPr>
          <w:bCs/>
          <w:szCs w:val="22"/>
          <w:lang w:val="pl-PL"/>
        </w:rPr>
        <w:t xml:space="preserve"> OS nie wykazał</w:t>
      </w:r>
      <w:r w:rsidR="00AC424A">
        <w:rPr>
          <w:bCs/>
          <w:szCs w:val="22"/>
          <w:lang w:val="pl-PL"/>
        </w:rPr>
        <w:t>y</w:t>
      </w:r>
      <w:r w:rsidR="00AC78E9" w:rsidRPr="0015541C">
        <w:rPr>
          <w:bCs/>
          <w:szCs w:val="22"/>
          <w:lang w:val="pl-PL"/>
        </w:rPr>
        <w:t xml:space="preserve"> istotnej korzyści klinicznej z dodania bewacyzumabu do chemioterapii w tej populacji pacjentów</w:t>
      </w:r>
      <w:r w:rsidR="007506AB" w:rsidRPr="0015541C">
        <w:rPr>
          <w:lang w:val="pl-PL"/>
        </w:rPr>
        <w:t>.</w:t>
      </w:r>
    </w:p>
    <w:p w14:paraId="0759D269" w14:textId="77777777" w:rsidR="007C31FF" w:rsidRPr="0015541C" w:rsidRDefault="007C31FF" w:rsidP="00994050">
      <w:pPr>
        <w:rPr>
          <w:lang w:val="pl-PL"/>
        </w:rPr>
      </w:pPr>
    </w:p>
    <w:p w14:paraId="1BE9BD98" w14:textId="785C373B" w:rsidR="00994050" w:rsidRPr="0015541C" w:rsidRDefault="00623A51" w:rsidP="00994050">
      <w:pPr>
        <w:rPr>
          <w:lang w:val="pl-PL"/>
        </w:rPr>
      </w:pPr>
      <w:r w:rsidRPr="0015541C">
        <w:rPr>
          <w:lang w:val="pl-PL"/>
        </w:rPr>
        <w:t xml:space="preserve">W badaniu klinicznym BO20924 dodanie </w:t>
      </w:r>
      <w:r w:rsidR="00E36309" w:rsidRPr="0015541C">
        <w:rPr>
          <w:lang w:val="pl-PL"/>
        </w:rPr>
        <w:t>bewacyzumab</w:t>
      </w:r>
      <w:r w:rsidRPr="0015541C">
        <w:rPr>
          <w:lang w:val="pl-PL"/>
        </w:rPr>
        <w:t xml:space="preserve">u do leczenia standardowego nie </w:t>
      </w:r>
      <w:r w:rsidR="004C50B2" w:rsidRPr="0015541C">
        <w:rPr>
          <w:lang w:val="pl-PL"/>
        </w:rPr>
        <w:t>wiązało się z</w:t>
      </w:r>
      <w:r w:rsidRPr="0015541C">
        <w:rPr>
          <w:lang w:val="pl-PL"/>
        </w:rPr>
        <w:t xml:space="preserve"> </w:t>
      </w:r>
      <w:r w:rsidR="004C50B2" w:rsidRPr="0015541C">
        <w:rPr>
          <w:lang w:val="pl-PL"/>
        </w:rPr>
        <w:t>uzyskaniem</w:t>
      </w:r>
      <w:r w:rsidRPr="0015541C">
        <w:rPr>
          <w:lang w:val="pl-PL"/>
        </w:rPr>
        <w:t xml:space="preserve"> korzyści klinicznej u 71 </w:t>
      </w:r>
      <w:r w:rsidR="00F15534" w:rsidRPr="0015541C">
        <w:rPr>
          <w:lang w:val="pl-PL"/>
        </w:rPr>
        <w:t xml:space="preserve">ocenionych </w:t>
      </w:r>
      <w:r w:rsidRPr="0015541C">
        <w:rPr>
          <w:lang w:val="pl-PL"/>
        </w:rPr>
        <w:t xml:space="preserve">pacjentów </w:t>
      </w:r>
      <w:r w:rsidR="004C50B2" w:rsidRPr="0015541C">
        <w:rPr>
          <w:lang w:val="pl-PL"/>
        </w:rPr>
        <w:t>(w wieku od</w:t>
      </w:r>
      <w:r w:rsidR="00B40925" w:rsidRPr="0015541C">
        <w:rPr>
          <w:lang w:val="pl-PL"/>
        </w:rPr>
        <w:t xml:space="preserve"> 6 miesięcy do poniżej</w:t>
      </w:r>
      <w:r w:rsidRPr="0015541C">
        <w:rPr>
          <w:lang w:val="pl-PL"/>
        </w:rPr>
        <w:t xml:space="preserve"> 18 lat) </w:t>
      </w:r>
      <w:r w:rsidR="00251961" w:rsidRPr="0015541C">
        <w:rPr>
          <w:lang w:val="pl-PL"/>
        </w:rPr>
        <w:t xml:space="preserve">z </w:t>
      </w:r>
      <w:r w:rsidR="00B40925" w:rsidRPr="0015541C">
        <w:rPr>
          <w:lang w:val="pl-PL"/>
        </w:rPr>
        <w:t xml:space="preserve">przerzutowym </w:t>
      </w:r>
      <w:r w:rsidR="00000749" w:rsidRPr="0015541C">
        <w:rPr>
          <w:lang w:val="pl-PL"/>
        </w:rPr>
        <w:t>mięśniako</w:t>
      </w:r>
      <w:r w:rsidR="00251961" w:rsidRPr="0015541C">
        <w:rPr>
          <w:lang w:val="pl-PL"/>
        </w:rPr>
        <w:t>mięsakiem prążkowanokomórkowym i nieprążkowanokomórkowy</w:t>
      </w:r>
      <w:r w:rsidR="00B40925" w:rsidRPr="0015541C">
        <w:rPr>
          <w:lang w:val="pl-PL"/>
        </w:rPr>
        <w:t>m</w:t>
      </w:r>
      <w:r w:rsidR="00F15534" w:rsidRPr="0015541C">
        <w:rPr>
          <w:lang w:val="pl-PL"/>
        </w:rPr>
        <w:t xml:space="preserve"> </w:t>
      </w:r>
      <w:r w:rsidR="006A086C" w:rsidRPr="0015541C">
        <w:rPr>
          <w:lang w:val="pl-PL"/>
        </w:rPr>
        <w:t>(informacje dotyczące stosowania u dzieci patrz punkt 4.2).</w:t>
      </w:r>
      <w:r w:rsidR="00272699" w:rsidRPr="0015541C">
        <w:rPr>
          <w:lang w:val="pl-PL"/>
        </w:rPr>
        <w:t xml:space="preserve"> </w:t>
      </w:r>
    </w:p>
    <w:p w14:paraId="711B3394" w14:textId="77777777" w:rsidR="002679CC" w:rsidRPr="0015541C" w:rsidRDefault="002679CC" w:rsidP="00994050">
      <w:pPr>
        <w:rPr>
          <w:lang w:val="pl-PL"/>
        </w:rPr>
      </w:pPr>
    </w:p>
    <w:p w14:paraId="3B9699EB" w14:textId="77777777" w:rsidR="002679CC" w:rsidRPr="0015541C" w:rsidRDefault="002679CC" w:rsidP="00994050">
      <w:pPr>
        <w:rPr>
          <w:lang w:val="pl-PL"/>
        </w:rPr>
      </w:pPr>
      <w:r w:rsidRPr="0015541C">
        <w:rPr>
          <w:lang w:val="pl-PL"/>
        </w:rPr>
        <w:t xml:space="preserve">Częstość występowania zdarzeń niepożądanych, w tym zdarzeń niepożądanych </w:t>
      </w:r>
      <w:r w:rsidR="00C53702" w:rsidRPr="0015541C">
        <w:rPr>
          <w:lang w:val="pl-PL"/>
        </w:rPr>
        <w:t xml:space="preserve">w </w:t>
      </w:r>
      <w:r w:rsidRPr="0015541C">
        <w:rPr>
          <w:lang w:val="pl-PL"/>
        </w:rPr>
        <w:t>stopni</w:t>
      </w:r>
      <w:r w:rsidR="00C53702" w:rsidRPr="0015541C">
        <w:rPr>
          <w:lang w:val="pl-PL"/>
        </w:rPr>
        <w:t>u</w:t>
      </w:r>
      <w:r w:rsidRPr="0015541C">
        <w:rPr>
          <w:lang w:val="pl-PL"/>
        </w:rPr>
        <w:t xml:space="preserve"> </w:t>
      </w:r>
      <w:r w:rsidRPr="0070444C">
        <w:rPr>
          <w:lang w:val="pl-PL"/>
        </w:rPr>
        <w:sym w:font="Symbol" w:char="F0B3"/>
      </w:r>
      <w:r w:rsidRPr="0015541C">
        <w:rPr>
          <w:lang w:val="pl-PL"/>
        </w:rPr>
        <w:t xml:space="preserve"> 3 i ciężkich zdarzeń niepożądanych, była podobna w obydwu ramionach badania. W żadnym z ramion nie wystąpiło zdarzenie niepożądane prowadzące do zgonu; wszystkie zgony były spowodowane progresją choroby. W tej populacji </w:t>
      </w:r>
      <w:r w:rsidR="00000749" w:rsidRPr="0015541C">
        <w:rPr>
          <w:lang w:val="pl-PL"/>
        </w:rPr>
        <w:t>dzieci i młodzieży</w:t>
      </w:r>
      <w:r w:rsidRPr="00AC3958">
        <w:rPr>
          <w:lang w:val="pl-PL"/>
        </w:rPr>
        <w:t xml:space="preserve"> bewacyzumab </w:t>
      </w:r>
      <w:r w:rsidR="0043300E" w:rsidRPr="0015541C">
        <w:rPr>
          <w:lang w:val="pl-PL"/>
        </w:rPr>
        <w:t xml:space="preserve">stosowany w połączeniu ze złożonym leczeniem standardowym </w:t>
      </w:r>
      <w:r w:rsidRPr="0015541C">
        <w:rPr>
          <w:lang w:val="pl-PL"/>
        </w:rPr>
        <w:t xml:space="preserve">wydawał się być tolerowany. </w:t>
      </w:r>
    </w:p>
    <w:p w14:paraId="1B9BAE9B" w14:textId="77777777" w:rsidR="00250B15" w:rsidRPr="0015541C" w:rsidRDefault="00250B15" w:rsidP="00FE0559">
      <w:pPr>
        <w:ind w:left="567" w:hanging="567"/>
        <w:rPr>
          <w:b/>
          <w:lang w:val="pl-PL"/>
        </w:rPr>
      </w:pPr>
    </w:p>
    <w:p w14:paraId="3E8628CE" w14:textId="77777777" w:rsidR="00994050" w:rsidRPr="0015541C" w:rsidRDefault="00994050" w:rsidP="00C9229F">
      <w:pPr>
        <w:keepNext/>
        <w:keepLines/>
        <w:ind w:left="567" w:hanging="567"/>
        <w:rPr>
          <w:b/>
          <w:lang w:val="pl-PL"/>
        </w:rPr>
      </w:pPr>
      <w:r w:rsidRPr="0015541C">
        <w:rPr>
          <w:b/>
          <w:lang w:val="pl-PL"/>
        </w:rPr>
        <w:lastRenderedPageBreak/>
        <w:t>5.2</w:t>
      </w:r>
      <w:r w:rsidRPr="0015541C">
        <w:rPr>
          <w:b/>
          <w:lang w:val="pl-PL"/>
        </w:rPr>
        <w:tab/>
        <w:t>Właściwości farmakokinetyczne</w:t>
      </w:r>
    </w:p>
    <w:p w14:paraId="3BD83F07" w14:textId="77777777" w:rsidR="00994050" w:rsidRPr="0015541C" w:rsidRDefault="00994050" w:rsidP="00C9229F">
      <w:pPr>
        <w:keepNext/>
        <w:keepLines/>
        <w:rPr>
          <w:lang w:val="pl-PL"/>
        </w:rPr>
      </w:pPr>
    </w:p>
    <w:p w14:paraId="71F6C15D" w14:textId="77777777" w:rsidR="00994050" w:rsidRPr="0015541C" w:rsidRDefault="00994050" w:rsidP="00C9229F">
      <w:pPr>
        <w:keepNext/>
        <w:keepLines/>
        <w:rPr>
          <w:lang w:val="pl-PL"/>
        </w:rPr>
      </w:pPr>
      <w:r w:rsidRPr="0015541C">
        <w:rPr>
          <w:lang w:val="pl-PL"/>
        </w:rPr>
        <w:t xml:space="preserve">Dane farmakokinetyczne dla bewacyzumabu pochodzą z </w:t>
      </w:r>
      <w:r w:rsidR="00D57493" w:rsidRPr="0015541C">
        <w:rPr>
          <w:lang w:val="pl-PL"/>
        </w:rPr>
        <w:t>dziesięciu</w:t>
      </w:r>
      <w:r w:rsidRPr="0015541C">
        <w:rPr>
          <w:lang w:val="pl-PL"/>
        </w:rPr>
        <w:t xml:space="preserve"> badań klinicznych przeprowadzonych u pacjentów z guzami litymi. We wszystkich badaniach bewacyzumab był podawany we wlewie dożylnym. Szybkość wlewu ustalana była w zależności od tolerancji leku przez pacjenta, przy czym początkowy czas trwania wlewu wynosił 90 minut. Farmakokinetyka bewacyzumabu była liniowa w przedziale dawek od 1 do 10 mg/kg</w:t>
      </w:r>
      <w:r w:rsidR="00580795" w:rsidRPr="0015541C">
        <w:rPr>
          <w:lang w:val="pl-PL"/>
        </w:rPr>
        <w:t xml:space="preserve"> mc</w:t>
      </w:r>
      <w:r w:rsidRPr="0015541C">
        <w:rPr>
          <w:lang w:val="pl-PL"/>
        </w:rPr>
        <w:t>.</w:t>
      </w:r>
    </w:p>
    <w:p w14:paraId="2264F41D" w14:textId="77777777" w:rsidR="00994050" w:rsidRPr="0015541C" w:rsidRDefault="00994050" w:rsidP="00994050">
      <w:pPr>
        <w:rPr>
          <w:lang w:val="pl-PL"/>
        </w:rPr>
      </w:pPr>
    </w:p>
    <w:p w14:paraId="15F5C299" w14:textId="77777777" w:rsidR="00994050" w:rsidRPr="0015541C" w:rsidRDefault="00994050" w:rsidP="00994050">
      <w:pPr>
        <w:rPr>
          <w:iCs/>
          <w:u w:val="single"/>
          <w:lang w:val="pl-PL"/>
        </w:rPr>
      </w:pPr>
      <w:r w:rsidRPr="0015541C">
        <w:rPr>
          <w:iCs/>
          <w:u w:val="single"/>
          <w:lang w:val="pl-PL"/>
        </w:rPr>
        <w:t>Dystrybucja</w:t>
      </w:r>
    </w:p>
    <w:p w14:paraId="103714B1" w14:textId="77777777" w:rsidR="00EA3B82" w:rsidRPr="0015541C" w:rsidRDefault="00EA3B82" w:rsidP="00994050">
      <w:pPr>
        <w:rPr>
          <w:lang w:val="pl-PL"/>
        </w:rPr>
      </w:pPr>
      <w:r w:rsidRPr="0015541C">
        <w:rPr>
          <w:lang w:val="pl-PL"/>
        </w:rPr>
        <w:t>Typowa objętość kompartmentu centralnego (V</w:t>
      </w:r>
      <w:r w:rsidRPr="0015541C">
        <w:rPr>
          <w:vertAlign w:val="subscript"/>
          <w:lang w:val="pl-PL"/>
        </w:rPr>
        <w:t>c</w:t>
      </w:r>
      <w:r w:rsidR="00C9337D" w:rsidRPr="0015541C">
        <w:rPr>
          <w:lang w:val="pl-PL"/>
        </w:rPr>
        <w:t>)</w:t>
      </w:r>
      <w:r w:rsidRPr="0015541C">
        <w:rPr>
          <w:lang w:val="pl-PL"/>
        </w:rPr>
        <w:t xml:space="preserve"> wynosiła 2,73 l oraz 3,28 l odpowiednio dla kobiet i mężczyzn, co stanowi zakres opisany dla IgG oraz innych przeciwciał monoklonalnych. Typowa objętość kompartmentu obwodowego (V</w:t>
      </w:r>
      <w:r w:rsidRPr="0015541C">
        <w:rPr>
          <w:vertAlign w:val="subscript"/>
          <w:lang w:val="pl-PL"/>
        </w:rPr>
        <w:t>p</w:t>
      </w:r>
      <w:r w:rsidRPr="0015541C">
        <w:rPr>
          <w:lang w:val="pl-PL"/>
        </w:rPr>
        <w:t xml:space="preserve">) wynosiła 1,69 l oraz 2,35 l odpowiednio dla </w:t>
      </w:r>
      <w:r w:rsidR="00677464" w:rsidRPr="0015541C">
        <w:rPr>
          <w:lang w:val="pl-PL"/>
        </w:rPr>
        <w:t>kobiet i mężczyzn, kiedy bewacyzumab był stosowany jednocześnie</w:t>
      </w:r>
      <w:r w:rsidRPr="0015541C">
        <w:rPr>
          <w:lang w:val="pl-PL"/>
        </w:rPr>
        <w:t xml:space="preserve"> z lekami przeciwnowotworowymi. Wyniki wskazują również, że po skorygowaniu ze względu na masę ciała, wartość V</w:t>
      </w:r>
      <w:r w:rsidRPr="0015541C">
        <w:rPr>
          <w:vertAlign w:val="subscript"/>
          <w:lang w:val="pl-PL"/>
        </w:rPr>
        <w:t>c</w:t>
      </w:r>
      <w:r w:rsidRPr="0015541C">
        <w:rPr>
          <w:lang w:val="pl-PL"/>
        </w:rPr>
        <w:t xml:space="preserve"> była większa u mężczyzn (+ 20%) niż u kobiet.</w:t>
      </w:r>
    </w:p>
    <w:p w14:paraId="2C218B1E" w14:textId="77777777" w:rsidR="00994050" w:rsidRPr="0015541C" w:rsidRDefault="00994050" w:rsidP="00994050">
      <w:pPr>
        <w:rPr>
          <w:lang w:val="pl-PL"/>
        </w:rPr>
      </w:pPr>
    </w:p>
    <w:p w14:paraId="1DE2B5F2" w14:textId="77777777" w:rsidR="00994050" w:rsidRPr="0015541C" w:rsidRDefault="00AE590F" w:rsidP="00B45476">
      <w:pPr>
        <w:keepNext/>
        <w:rPr>
          <w:iCs/>
          <w:u w:val="single"/>
          <w:lang w:val="pl-PL"/>
        </w:rPr>
      </w:pPr>
      <w:r w:rsidRPr="0015541C">
        <w:rPr>
          <w:iCs/>
          <w:u w:val="single"/>
          <w:lang w:val="pl-PL"/>
        </w:rPr>
        <w:t>Biotransformacja</w:t>
      </w:r>
    </w:p>
    <w:p w14:paraId="1D6AD9A9" w14:textId="77777777" w:rsidR="00994050" w:rsidRPr="0015541C" w:rsidRDefault="00994050" w:rsidP="00994050">
      <w:pPr>
        <w:rPr>
          <w:lang w:val="pl-PL"/>
        </w:rPr>
      </w:pPr>
      <w:r w:rsidRPr="0015541C">
        <w:rPr>
          <w:lang w:val="pl-PL"/>
        </w:rPr>
        <w:t xml:space="preserve">Z oceny metabolizmu bewacyzumabu u królików po podaniu pojedynczej dawki dożylnej leku znakowanego izotopem </w:t>
      </w:r>
      <w:r w:rsidRPr="0015541C">
        <w:rPr>
          <w:vertAlign w:val="superscript"/>
          <w:lang w:val="pl-PL"/>
        </w:rPr>
        <w:t>125</w:t>
      </w:r>
      <w:r w:rsidRPr="0015541C">
        <w:rPr>
          <w:lang w:val="pl-PL"/>
        </w:rPr>
        <w:t xml:space="preserve">I wynika, że jego profil metaboliczny jest zbliżony do oczekiwanego profilu natywnej cząsteczki IgG, która nie wiąże się z VEGF. Metabolizm i wydalanie bewacyzumabu są podobne do tych właściwych dla endogennej IgG, tj. następują głównie drogą rozkładu proteolitycznego przez organizm, w tym przez komórki śródbłonka. Nie zależą głównie od wydalania przez nerki lub wątrobę. Związanie się IgG z fragmentem Fc receptora chroni ją przez rozkładem komórkowym i wydłuża okres półtrwania. </w:t>
      </w:r>
    </w:p>
    <w:p w14:paraId="272CEC95" w14:textId="77777777" w:rsidR="00994050" w:rsidRPr="0015541C" w:rsidRDefault="00994050" w:rsidP="00994050">
      <w:pPr>
        <w:rPr>
          <w:lang w:val="pl-PL"/>
        </w:rPr>
      </w:pPr>
    </w:p>
    <w:p w14:paraId="017CCED9" w14:textId="77777777" w:rsidR="00994050" w:rsidRPr="0015541C" w:rsidRDefault="00A63338" w:rsidP="00F7468B">
      <w:pPr>
        <w:rPr>
          <w:iCs/>
          <w:u w:val="single"/>
          <w:lang w:val="pl-PL"/>
        </w:rPr>
      </w:pPr>
      <w:r w:rsidRPr="0015541C">
        <w:rPr>
          <w:iCs/>
          <w:u w:val="single"/>
          <w:lang w:val="pl-PL"/>
        </w:rPr>
        <w:t>Eliminacja</w:t>
      </w:r>
    </w:p>
    <w:p w14:paraId="2C180F95" w14:textId="77777777" w:rsidR="00EA3B82" w:rsidRPr="0015541C" w:rsidRDefault="00EA3B82" w:rsidP="00F7468B">
      <w:pPr>
        <w:rPr>
          <w:lang w:val="pl-PL"/>
        </w:rPr>
      </w:pPr>
      <w:r w:rsidRPr="0015541C">
        <w:rPr>
          <w:lang w:val="pl-PL"/>
        </w:rPr>
        <w:t>Wartość klir</w:t>
      </w:r>
      <w:r w:rsidR="00980264" w:rsidRPr="0015541C">
        <w:rPr>
          <w:lang w:val="pl-PL"/>
        </w:rPr>
        <w:t>e</w:t>
      </w:r>
      <w:r w:rsidRPr="0015541C">
        <w:rPr>
          <w:lang w:val="pl-PL"/>
        </w:rPr>
        <w:t xml:space="preserve">nsu wynosiła przeciętnie 0,188 oraz 0,220 l/dobę odpowiednio dla kobiet i mężczyzn. Po skorygowaniu ze względu na masę ciała, </w:t>
      </w:r>
      <w:r w:rsidR="00EC230E" w:rsidRPr="0015541C">
        <w:rPr>
          <w:lang w:val="pl-PL"/>
        </w:rPr>
        <w:t xml:space="preserve">klirens bewacyzumabu był </w:t>
      </w:r>
      <w:r w:rsidR="00A72A37" w:rsidRPr="0015541C">
        <w:rPr>
          <w:lang w:val="pl-PL"/>
        </w:rPr>
        <w:t>większy</w:t>
      </w:r>
      <w:r w:rsidRPr="0015541C">
        <w:rPr>
          <w:lang w:val="pl-PL"/>
        </w:rPr>
        <w:t xml:space="preserve"> u mężczyzn (+17%) niż u kobiet. Zgodnie z m</w:t>
      </w:r>
      <w:r w:rsidR="00EC230E" w:rsidRPr="0015541C">
        <w:rPr>
          <w:lang w:val="pl-PL"/>
        </w:rPr>
        <w:t>odelem opartym na dwóch kompart</w:t>
      </w:r>
      <w:r w:rsidRPr="0015541C">
        <w:rPr>
          <w:lang w:val="pl-PL"/>
        </w:rPr>
        <w:t xml:space="preserve">mentach, okres półtrwania </w:t>
      </w:r>
      <w:r w:rsidR="00542F2C" w:rsidRPr="0015541C">
        <w:rPr>
          <w:lang w:val="pl-PL"/>
        </w:rPr>
        <w:t xml:space="preserve">w fazie </w:t>
      </w:r>
      <w:r w:rsidRPr="0015541C">
        <w:rPr>
          <w:lang w:val="pl-PL"/>
        </w:rPr>
        <w:t>eliminacji wynosił 18 dni dla typowej kobiety oraz 20 dni dla typowego mężczyzny.</w:t>
      </w:r>
    </w:p>
    <w:p w14:paraId="321A9C2D" w14:textId="77777777" w:rsidR="00980264" w:rsidRPr="0015541C" w:rsidRDefault="00980264" w:rsidP="00EA3B82">
      <w:pPr>
        <w:rPr>
          <w:lang w:val="pl-PL"/>
        </w:rPr>
      </w:pPr>
    </w:p>
    <w:p w14:paraId="41E62F8B" w14:textId="77777777" w:rsidR="00EA3B82" w:rsidRPr="0015541C" w:rsidRDefault="00E85A5B" w:rsidP="00EA3B82">
      <w:pPr>
        <w:rPr>
          <w:lang w:val="pl-PL"/>
        </w:rPr>
      </w:pPr>
      <w:r w:rsidRPr="0015541C">
        <w:rPr>
          <w:lang w:val="pl-PL"/>
        </w:rPr>
        <w:t>Małe stężenie</w:t>
      </w:r>
      <w:r w:rsidR="00EA3B82" w:rsidRPr="0015541C">
        <w:rPr>
          <w:lang w:val="pl-PL"/>
        </w:rPr>
        <w:t xml:space="preserve"> albumin oraz duża masa guza są zazwyczaj wskaźnikami ciężkości choroby. Klirens bewacyzumabu był ok. 30% szybszy w przypadku pacjentów z </w:t>
      </w:r>
      <w:r w:rsidR="00D84DA4" w:rsidRPr="0015541C">
        <w:rPr>
          <w:lang w:val="pl-PL"/>
        </w:rPr>
        <w:t>małym stężeniem</w:t>
      </w:r>
      <w:r w:rsidR="00EA3B82" w:rsidRPr="0015541C">
        <w:rPr>
          <w:lang w:val="pl-PL"/>
        </w:rPr>
        <w:t xml:space="preserve"> albumin w surowicy oraz 7</w:t>
      </w:r>
      <w:r w:rsidR="00155C5C" w:rsidRPr="0015541C">
        <w:rPr>
          <w:lang w:val="pl-PL"/>
        </w:rPr>
        <w:t> %</w:t>
      </w:r>
      <w:r w:rsidR="00EA3B82" w:rsidRPr="0015541C">
        <w:rPr>
          <w:lang w:val="pl-PL"/>
        </w:rPr>
        <w:t xml:space="preserve"> szybszy w przypadku pacjentów z dużą masą guza w porównaniu do typowych pacjentów z poziomem albumin oraz masą guza w granicach mediany.</w:t>
      </w:r>
    </w:p>
    <w:p w14:paraId="36BACABD" w14:textId="77777777" w:rsidR="00994050" w:rsidRPr="0015541C" w:rsidRDefault="00994050" w:rsidP="00994050">
      <w:pPr>
        <w:rPr>
          <w:lang w:val="pl-PL"/>
        </w:rPr>
      </w:pPr>
    </w:p>
    <w:p w14:paraId="370091B9" w14:textId="77777777" w:rsidR="00994050" w:rsidRPr="0015541C" w:rsidRDefault="00994050" w:rsidP="00A14FD5">
      <w:pPr>
        <w:keepNext/>
        <w:rPr>
          <w:bCs/>
          <w:iCs/>
          <w:u w:val="single"/>
          <w:lang w:val="pl-PL"/>
        </w:rPr>
      </w:pPr>
      <w:r w:rsidRPr="0015541C">
        <w:rPr>
          <w:bCs/>
          <w:iCs/>
          <w:u w:val="single"/>
          <w:lang w:val="pl-PL"/>
        </w:rPr>
        <w:t xml:space="preserve">Farmakokinetyka w </w:t>
      </w:r>
      <w:r w:rsidR="00C9222D" w:rsidRPr="0015541C">
        <w:rPr>
          <w:bCs/>
          <w:iCs/>
          <w:u w:val="single"/>
          <w:lang w:val="pl-PL"/>
        </w:rPr>
        <w:t xml:space="preserve">szczególnych </w:t>
      </w:r>
      <w:r w:rsidR="00271001" w:rsidRPr="0015541C">
        <w:rPr>
          <w:bCs/>
          <w:iCs/>
          <w:u w:val="single"/>
          <w:lang w:val="pl-PL"/>
        </w:rPr>
        <w:t>g</w:t>
      </w:r>
      <w:r w:rsidRPr="0015541C">
        <w:rPr>
          <w:bCs/>
          <w:iCs/>
          <w:u w:val="single"/>
          <w:lang w:val="pl-PL"/>
        </w:rPr>
        <w:t xml:space="preserve">rupach </w:t>
      </w:r>
      <w:r w:rsidR="00271001" w:rsidRPr="0015541C">
        <w:rPr>
          <w:bCs/>
          <w:iCs/>
          <w:u w:val="single"/>
          <w:lang w:val="pl-PL"/>
        </w:rPr>
        <w:t>p</w:t>
      </w:r>
      <w:r w:rsidRPr="0015541C">
        <w:rPr>
          <w:bCs/>
          <w:iCs/>
          <w:u w:val="single"/>
          <w:lang w:val="pl-PL"/>
        </w:rPr>
        <w:t>acjentów</w:t>
      </w:r>
    </w:p>
    <w:p w14:paraId="2BE3309D" w14:textId="77777777" w:rsidR="00994050" w:rsidRPr="0015541C" w:rsidRDefault="00994050" w:rsidP="00994050">
      <w:pPr>
        <w:rPr>
          <w:lang w:val="pl-PL"/>
        </w:rPr>
      </w:pPr>
      <w:r w:rsidRPr="0015541C">
        <w:rPr>
          <w:lang w:val="pl-PL"/>
        </w:rPr>
        <w:t>W celu ustalenia wpływu zmiennych demograficznych analizowano farmakokinetykę populacyjną</w:t>
      </w:r>
      <w:r w:rsidR="00A71EF4" w:rsidRPr="0015541C">
        <w:rPr>
          <w:lang w:val="pl-PL"/>
        </w:rPr>
        <w:t xml:space="preserve"> </w:t>
      </w:r>
      <w:r w:rsidR="000963B6" w:rsidRPr="0015541C">
        <w:rPr>
          <w:lang w:val="pl-PL"/>
        </w:rPr>
        <w:br/>
      </w:r>
      <w:r w:rsidR="00A71EF4" w:rsidRPr="0015541C">
        <w:rPr>
          <w:lang w:val="pl-PL"/>
        </w:rPr>
        <w:t>u dorosłych oraz u dzieci i młodzieży</w:t>
      </w:r>
      <w:r w:rsidRPr="0015541C">
        <w:rPr>
          <w:lang w:val="pl-PL"/>
        </w:rPr>
        <w:t xml:space="preserve">. </w:t>
      </w:r>
      <w:r w:rsidR="00A71EF4" w:rsidRPr="0015541C">
        <w:rPr>
          <w:lang w:val="pl-PL"/>
        </w:rPr>
        <w:t>U dorosłych w</w:t>
      </w:r>
      <w:r w:rsidRPr="0015541C">
        <w:rPr>
          <w:lang w:val="pl-PL"/>
        </w:rPr>
        <w:t xml:space="preserve">ykazano brak znaczących różnic </w:t>
      </w:r>
      <w:r w:rsidR="000963B6" w:rsidRPr="0015541C">
        <w:rPr>
          <w:lang w:val="pl-PL"/>
        </w:rPr>
        <w:br/>
      </w:r>
      <w:r w:rsidRPr="0015541C">
        <w:rPr>
          <w:lang w:val="pl-PL"/>
        </w:rPr>
        <w:t>w farmakokinetyce bewacyzumabu w zależności od wieku.</w:t>
      </w:r>
    </w:p>
    <w:p w14:paraId="45CCB8AC" w14:textId="77777777" w:rsidR="00994050" w:rsidRPr="0015541C" w:rsidRDefault="00994050" w:rsidP="00994050">
      <w:pPr>
        <w:rPr>
          <w:lang w:val="pl-PL"/>
        </w:rPr>
      </w:pPr>
    </w:p>
    <w:p w14:paraId="59D57CD1" w14:textId="77777777" w:rsidR="00F4576F" w:rsidRPr="0070444C" w:rsidRDefault="00994050" w:rsidP="00994050">
      <w:pPr>
        <w:rPr>
          <w:u w:val="single"/>
          <w:lang w:val="pl-PL"/>
        </w:rPr>
      </w:pPr>
      <w:r w:rsidRPr="0070444C">
        <w:rPr>
          <w:i/>
          <w:u w:val="single"/>
          <w:lang w:val="pl-PL"/>
        </w:rPr>
        <w:t>Pacjenci z zaburzoną czynnością nerek</w:t>
      </w:r>
    </w:p>
    <w:p w14:paraId="6E225210" w14:textId="77777777" w:rsidR="00994050" w:rsidRPr="0015541C" w:rsidRDefault="00994050" w:rsidP="00994050">
      <w:pPr>
        <w:rPr>
          <w:lang w:val="pl-PL"/>
        </w:rPr>
      </w:pPr>
      <w:r w:rsidRPr="0015541C">
        <w:rPr>
          <w:lang w:val="pl-PL"/>
        </w:rPr>
        <w:t>Nie przeprowadzono badań oceniających farmakokinetykę bewacyzumabu u pacjentów z zaburzoną czynnością nerek, gdyż nerki nie są głównym organem rozkładającym lub wydalającym bewacyzumab.</w:t>
      </w:r>
    </w:p>
    <w:p w14:paraId="35B31E7C" w14:textId="77777777" w:rsidR="00994050" w:rsidRPr="0015541C" w:rsidRDefault="00994050" w:rsidP="00994050">
      <w:pPr>
        <w:rPr>
          <w:lang w:val="pl-PL"/>
        </w:rPr>
      </w:pPr>
    </w:p>
    <w:p w14:paraId="33A53977" w14:textId="77777777" w:rsidR="00F4576F" w:rsidRPr="0070444C" w:rsidRDefault="00994050" w:rsidP="00994050">
      <w:pPr>
        <w:rPr>
          <w:i/>
          <w:u w:val="single"/>
          <w:lang w:val="pl-PL"/>
        </w:rPr>
      </w:pPr>
      <w:r w:rsidRPr="0070444C">
        <w:rPr>
          <w:i/>
          <w:u w:val="single"/>
          <w:lang w:val="pl-PL"/>
        </w:rPr>
        <w:t>Pacjenci z zaburzoną czynnością wątroby</w:t>
      </w:r>
    </w:p>
    <w:p w14:paraId="649A4978" w14:textId="77777777" w:rsidR="00994050" w:rsidRPr="0015541C" w:rsidRDefault="00994050" w:rsidP="00994050">
      <w:pPr>
        <w:rPr>
          <w:lang w:val="pl-PL"/>
        </w:rPr>
      </w:pPr>
      <w:r w:rsidRPr="0015541C">
        <w:rPr>
          <w:lang w:val="pl-PL"/>
        </w:rPr>
        <w:t xml:space="preserve">Nie przeprowadzono badań oceniających farmakokinetykę bewacyzumabu u pacjentów z </w:t>
      </w:r>
      <w:r w:rsidRPr="0015541C">
        <w:rPr>
          <w:iCs/>
          <w:lang w:val="pl-PL"/>
        </w:rPr>
        <w:t>zaburzoną</w:t>
      </w:r>
      <w:r w:rsidRPr="0015541C">
        <w:rPr>
          <w:i/>
          <w:iCs/>
          <w:lang w:val="pl-PL"/>
        </w:rPr>
        <w:t xml:space="preserve"> </w:t>
      </w:r>
      <w:r w:rsidRPr="0015541C">
        <w:rPr>
          <w:lang w:val="pl-PL"/>
        </w:rPr>
        <w:t>czynnością wątroby, gdyż wątroba nie jest głównym organem rozkładającym lub wydalającym bewacyzumab.</w:t>
      </w:r>
    </w:p>
    <w:p w14:paraId="0E016620" w14:textId="77777777" w:rsidR="00F3378E" w:rsidRPr="0015541C" w:rsidRDefault="00F3378E" w:rsidP="00994050">
      <w:pPr>
        <w:rPr>
          <w:lang w:val="pl-PL"/>
        </w:rPr>
      </w:pPr>
    </w:p>
    <w:p w14:paraId="66B791D2" w14:textId="77777777" w:rsidR="00F3378E" w:rsidRPr="0070444C" w:rsidRDefault="00271001" w:rsidP="00994050">
      <w:pPr>
        <w:rPr>
          <w:i/>
          <w:u w:val="single"/>
          <w:lang w:val="pl-PL"/>
        </w:rPr>
      </w:pPr>
      <w:r w:rsidRPr="0070444C">
        <w:rPr>
          <w:i/>
          <w:u w:val="single"/>
          <w:lang w:val="pl-PL"/>
        </w:rPr>
        <w:t>Dzieci i młodzież</w:t>
      </w:r>
    </w:p>
    <w:p w14:paraId="2B6207F9" w14:textId="5AC3FEE7" w:rsidR="00F3378E" w:rsidRPr="0015541C" w:rsidRDefault="00F3378E" w:rsidP="00994050">
      <w:pPr>
        <w:rPr>
          <w:lang w:val="pl-PL"/>
        </w:rPr>
      </w:pPr>
      <w:r w:rsidRPr="0015541C">
        <w:rPr>
          <w:lang w:val="pl-PL"/>
        </w:rPr>
        <w:t>Farmakokinetyk</w:t>
      </w:r>
      <w:r w:rsidR="00000749" w:rsidRPr="0015541C">
        <w:rPr>
          <w:lang w:val="pl-PL"/>
        </w:rPr>
        <w:t>ę</w:t>
      </w:r>
      <w:r w:rsidRPr="0015541C">
        <w:rPr>
          <w:lang w:val="pl-PL"/>
        </w:rPr>
        <w:t xml:space="preserve"> bewacyzumabu </w:t>
      </w:r>
      <w:r w:rsidR="00DE3B9D" w:rsidRPr="0015541C">
        <w:rPr>
          <w:lang w:val="pl-PL"/>
        </w:rPr>
        <w:t>ocenian</w:t>
      </w:r>
      <w:r w:rsidR="00000749" w:rsidRPr="0015541C">
        <w:rPr>
          <w:lang w:val="pl-PL"/>
        </w:rPr>
        <w:t>o</w:t>
      </w:r>
      <w:r w:rsidR="00DE3B9D" w:rsidRPr="0015541C">
        <w:rPr>
          <w:lang w:val="pl-PL"/>
        </w:rPr>
        <w:t xml:space="preserve"> </w:t>
      </w:r>
      <w:r w:rsidR="0043300E" w:rsidRPr="0015541C">
        <w:rPr>
          <w:lang w:val="pl-PL"/>
        </w:rPr>
        <w:t xml:space="preserve">u 152 </w:t>
      </w:r>
      <w:r w:rsidR="00000749" w:rsidRPr="0015541C">
        <w:rPr>
          <w:lang w:val="pl-PL"/>
        </w:rPr>
        <w:t>dzieci</w:t>
      </w:r>
      <w:r w:rsidR="00A71EF4" w:rsidRPr="0015541C">
        <w:rPr>
          <w:lang w:val="pl-PL"/>
        </w:rPr>
        <w:t>, młodzieży i młodych dorosłych</w:t>
      </w:r>
      <w:r w:rsidR="0043300E" w:rsidRPr="0015541C">
        <w:rPr>
          <w:lang w:val="pl-PL"/>
        </w:rPr>
        <w:t xml:space="preserve"> (od </w:t>
      </w:r>
      <w:r w:rsidR="00DE3B9D" w:rsidRPr="0015541C">
        <w:rPr>
          <w:lang w:val="pl-PL"/>
        </w:rPr>
        <w:t>7 miesięcy do 21 lat, 5,9 do 125 kg) w czterech badaniach klinicznych, przy użyciu modelu farmakokinetyki populacyjnej</w:t>
      </w:r>
      <w:r w:rsidRPr="0015541C">
        <w:rPr>
          <w:lang w:val="pl-PL"/>
        </w:rPr>
        <w:t xml:space="preserve">. </w:t>
      </w:r>
      <w:r w:rsidR="00DE3B9D" w:rsidRPr="0015541C">
        <w:rPr>
          <w:lang w:val="pl-PL"/>
        </w:rPr>
        <w:t>Wyniki</w:t>
      </w:r>
      <w:r w:rsidRPr="0015541C">
        <w:rPr>
          <w:lang w:val="pl-PL"/>
        </w:rPr>
        <w:t xml:space="preserve"> tych badań </w:t>
      </w:r>
      <w:r w:rsidR="000B3D09" w:rsidRPr="0015541C">
        <w:rPr>
          <w:lang w:val="pl-PL"/>
        </w:rPr>
        <w:t>wskazują</w:t>
      </w:r>
      <w:r w:rsidRPr="0015541C">
        <w:rPr>
          <w:lang w:val="pl-PL"/>
        </w:rPr>
        <w:t xml:space="preserve">, że </w:t>
      </w:r>
      <w:r w:rsidR="00DE3B9D" w:rsidRPr="0015541C">
        <w:rPr>
          <w:lang w:val="pl-PL"/>
        </w:rPr>
        <w:t xml:space="preserve">klirens i </w:t>
      </w:r>
      <w:r w:rsidRPr="0015541C">
        <w:rPr>
          <w:lang w:val="pl-PL"/>
        </w:rPr>
        <w:t xml:space="preserve">objętość dystrybucji bewacyzumabu były porównywalne </w:t>
      </w:r>
      <w:r w:rsidR="00DE3B9D" w:rsidRPr="0015541C">
        <w:rPr>
          <w:lang w:val="pl-PL"/>
        </w:rPr>
        <w:t xml:space="preserve">u </w:t>
      </w:r>
      <w:r w:rsidR="00000749" w:rsidRPr="0015541C">
        <w:rPr>
          <w:lang w:val="pl-PL"/>
        </w:rPr>
        <w:t>dzieci</w:t>
      </w:r>
      <w:r w:rsidR="00DE3B9D" w:rsidRPr="0015541C">
        <w:rPr>
          <w:lang w:val="pl-PL"/>
        </w:rPr>
        <w:t xml:space="preserve"> i </w:t>
      </w:r>
      <w:r w:rsidR="00A71EF4" w:rsidRPr="0015541C">
        <w:rPr>
          <w:lang w:val="pl-PL"/>
        </w:rPr>
        <w:t xml:space="preserve">młodych </w:t>
      </w:r>
      <w:r w:rsidR="00DE3B9D" w:rsidRPr="0015541C">
        <w:rPr>
          <w:lang w:val="pl-PL"/>
        </w:rPr>
        <w:t>dorosłych przy</w:t>
      </w:r>
      <w:r w:rsidR="00986FDA" w:rsidRPr="0015541C">
        <w:rPr>
          <w:lang w:val="pl-PL"/>
        </w:rPr>
        <w:t xml:space="preserve"> znorm</w:t>
      </w:r>
      <w:r w:rsidR="00B277F2" w:rsidRPr="0015541C">
        <w:rPr>
          <w:lang w:val="pl-PL"/>
        </w:rPr>
        <w:t>a</w:t>
      </w:r>
      <w:r w:rsidR="00986FDA" w:rsidRPr="0015541C">
        <w:rPr>
          <w:lang w:val="pl-PL"/>
        </w:rPr>
        <w:t>lizowaniu w</w:t>
      </w:r>
      <w:r w:rsidR="00540D4C" w:rsidRPr="0015541C">
        <w:rPr>
          <w:lang w:val="pl-PL"/>
        </w:rPr>
        <w:t>y</w:t>
      </w:r>
      <w:r w:rsidR="00986FDA" w:rsidRPr="0015541C">
        <w:rPr>
          <w:lang w:val="pl-PL"/>
        </w:rPr>
        <w:t xml:space="preserve">ników </w:t>
      </w:r>
      <w:r w:rsidR="00DE3B9D" w:rsidRPr="0015541C">
        <w:rPr>
          <w:lang w:val="pl-PL"/>
        </w:rPr>
        <w:t>uwzględni</w:t>
      </w:r>
      <w:r w:rsidR="00986FDA" w:rsidRPr="0015541C">
        <w:rPr>
          <w:lang w:val="pl-PL"/>
        </w:rPr>
        <w:t>ając</w:t>
      </w:r>
      <w:r w:rsidR="00DE3B9D" w:rsidRPr="0015541C">
        <w:rPr>
          <w:lang w:val="pl-PL"/>
        </w:rPr>
        <w:t xml:space="preserve"> mas</w:t>
      </w:r>
      <w:r w:rsidR="00986FDA" w:rsidRPr="0015541C">
        <w:rPr>
          <w:lang w:val="pl-PL"/>
        </w:rPr>
        <w:t>ę</w:t>
      </w:r>
      <w:r w:rsidR="00DE3B9D" w:rsidRPr="0015541C">
        <w:rPr>
          <w:lang w:val="pl-PL"/>
        </w:rPr>
        <w:t xml:space="preserve"> ciała</w:t>
      </w:r>
      <w:r w:rsidR="00A71EF4" w:rsidRPr="0015541C">
        <w:rPr>
          <w:lang w:val="pl-PL"/>
        </w:rPr>
        <w:t xml:space="preserve">, przy czym odnotowano tendencję do zmniejszania się ekspozycji wraz z </w:t>
      </w:r>
      <w:r w:rsidR="00A71EF4" w:rsidRPr="0015541C">
        <w:rPr>
          <w:lang w:val="pl-PL"/>
        </w:rPr>
        <w:lastRenderedPageBreak/>
        <w:t>malejącą masą ciała</w:t>
      </w:r>
      <w:r w:rsidR="00DE3B9D" w:rsidRPr="0015541C">
        <w:rPr>
          <w:lang w:val="pl-PL"/>
        </w:rPr>
        <w:t>. Wiek nie miał wpływu na farmakokinetykę bewacyzumabu, jeśli brano pod uwagę masę ciała</w:t>
      </w:r>
      <w:r w:rsidRPr="0015541C">
        <w:rPr>
          <w:lang w:val="pl-PL"/>
        </w:rPr>
        <w:t>.</w:t>
      </w:r>
    </w:p>
    <w:p w14:paraId="6AD89766" w14:textId="77777777" w:rsidR="00DE3B9D" w:rsidRPr="0015541C" w:rsidRDefault="00DE3B9D" w:rsidP="00994050">
      <w:pPr>
        <w:rPr>
          <w:lang w:val="pl-PL"/>
        </w:rPr>
      </w:pPr>
    </w:p>
    <w:p w14:paraId="123509E3" w14:textId="67AC1385" w:rsidR="00FF3CEA" w:rsidRPr="0015541C" w:rsidRDefault="00FF3CEA" w:rsidP="00994050">
      <w:pPr>
        <w:rPr>
          <w:lang w:val="pl-PL"/>
        </w:rPr>
      </w:pPr>
      <w:r w:rsidRPr="0015541C">
        <w:rPr>
          <w:lang w:val="pl-PL"/>
        </w:rPr>
        <w:t>Farmakokinetyka bewacyzumabu została dobrze scharakteryzowana przy użyciu modelu farmakokinetycznego w populacji pediatrycznej u 70 dzieci w badaniu BO20924 (1,4 do 17,6 lat; 11,6 do 77,5 kg) oraz u 59 pacjentów w badaniu BO25041 (1 do 17 lat; 11,2 do 82,3 kg). W badaniu BO20924 ekspozycja na bewacyzumab była zasadniczo niższa w porównaniu do typowego dorosłego pacjenta przyjmującego taką samą dawkę. W badaniu BO25041, ekspozycja na bewacyzumab była podobna do typowego dorosłego pacjenta przyjmującego taką samą dawkę. W obu badaniach ekspozycja na bewacyzumab wykazywała tendencję do zmniejszania się wraz ze zmniejszaniem się masy ciała.</w:t>
      </w:r>
    </w:p>
    <w:p w14:paraId="17C8F740" w14:textId="77777777" w:rsidR="00994050" w:rsidRPr="0015541C" w:rsidRDefault="00994050" w:rsidP="00994050">
      <w:pPr>
        <w:rPr>
          <w:lang w:val="pl-PL"/>
        </w:rPr>
      </w:pPr>
    </w:p>
    <w:p w14:paraId="13C2050E" w14:textId="77777777" w:rsidR="00994050" w:rsidRPr="0015541C" w:rsidRDefault="00994050" w:rsidP="00C9229F">
      <w:pPr>
        <w:keepNext/>
        <w:keepLines/>
        <w:ind w:left="567" w:hanging="567"/>
        <w:rPr>
          <w:b/>
          <w:lang w:val="pl-PL"/>
        </w:rPr>
      </w:pPr>
      <w:r w:rsidRPr="0015541C">
        <w:rPr>
          <w:b/>
          <w:lang w:val="pl-PL"/>
        </w:rPr>
        <w:t>5.3</w:t>
      </w:r>
      <w:r w:rsidRPr="0015541C">
        <w:rPr>
          <w:b/>
          <w:lang w:val="pl-PL"/>
        </w:rPr>
        <w:tab/>
        <w:t>Przedkliniczne dane o bezpieczeństwie</w:t>
      </w:r>
    </w:p>
    <w:p w14:paraId="1548A369" w14:textId="77777777" w:rsidR="00994050" w:rsidRPr="0015541C" w:rsidRDefault="00994050" w:rsidP="00C9229F">
      <w:pPr>
        <w:keepNext/>
        <w:keepLines/>
        <w:rPr>
          <w:lang w:val="pl-PL"/>
        </w:rPr>
      </w:pPr>
    </w:p>
    <w:p w14:paraId="1EB1A4E6" w14:textId="77777777" w:rsidR="00994050" w:rsidRPr="0015541C" w:rsidRDefault="00994050" w:rsidP="00C9229F">
      <w:pPr>
        <w:keepNext/>
        <w:keepLines/>
        <w:rPr>
          <w:lang w:val="pl-PL"/>
        </w:rPr>
      </w:pPr>
      <w:r w:rsidRPr="0015541C">
        <w:rPr>
          <w:lang w:val="pl-PL"/>
        </w:rPr>
        <w:t>W badaniach trwających do 26 tygodni u małp cynomolgus zaobserwowano występowanie dysplazji nasad kostnych u młodych zwierząt z otwartymi płytkami wzrostowymi przy średnich stężeniach bewacyzumabu w surowicy poniżej oczekiwanego poziomu średnich stężeń terapeutycznych u ludzi. U królików bewacyzumab hamował gojenie się ran w dawkach mniejszych od proponowanej dawki klinicznej. Działanie na proces gojenia ran okazało się w pełni przemijające.</w:t>
      </w:r>
    </w:p>
    <w:p w14:paraId="200FD669" w14:textId="77777777" w:rsidR="00994050" w:rsidRPr="0015541C" w:rsidRDefault="00994050" w:rsidP="00994050">
      <w:pPr>
        <w:rPr>
          <w:lang w:val="pl-PL"/>
        </w:rPr>
      </w:pPr>
    </w:p>
    <w:p w14:paraId="1AA13F3B" w14:textId="77777777" w:rsidR="00994050" w:rsidRPr="0015541C" w:rsidRDefault="00994050" w:rsidP="00994050">
      <w:pPr>
        <w:rPr>
          <w:lang w:val="pl-PL"/>
        </w:rPr>
      </w:pPr>
      <w:r w:rsidRPr="0015541C">
        <w:rPr>
          <w:lang w:val="pl-PL"/>
        </w:rPr>
        <w:t>Badania oceniające potencjalne działanie mutagenne i rakotwórcze bewacyzumabu nie były prowadzone.</w:t>
      </w:r>
    </w:p>
    <w:p w14:paraId="3703800B" w14:textId="77777777" w:rsidR="00994050" w:rsidRPr="0015541C" w:rsidRDefault="00994050" w:rsidP="00994050">
      <w:pPr>
        <w:rPr>
          <w:lang w:val="pl-PL"/>
        </w:rPr>
      </w:pPr>
    </w:p>
    <w:p w14:paraId="1C53F606" w14:textId="77777777" w:rsidR="00994050" w:rsidRPr="0015541C" w:rsidRDefault="00994050" w:rsidP="00994050">
      <w:pPr>
        <w:rPr>
          <w:lang w:val="pl-PL"/>
        </w:rPr>
      </w:pPr>
      <w:r w:rsidRPr="0015541C">
        <w:rPr>
          <w:lang w:val="pl-PL"/>
        </w:rPr>
        <w:t>Nie przeprowadzono specyficznych badań na zwierzętach w celu ustalenia wpływu na płodność. Można jednak oczekiwać ujemnego działania na płodność u kobiet, ponieważ badania toksyczności po podaniu wielokrotnym u zwierząt wykazały zahamowanie dojrzewania pęcherzyków jajnikowych oraz zmniejszenie lub brak ciałek żółtych z towarzyszącym zmniejszeniem masy jajników i macicy, jak również zmniejszenie liczby cyklów miesiączkowych.</w:t>
      </w:r>
    </w:p>
    <w:p w14:paraId="5C11F75B" w14:textId="77777777" w:rsidR="00994050" w:rsidRPr="0015541C" w:rsidRDefault="00994050" w:rsidP="00994050">
      <w:pPr>
        <w:rPr>
          <w:lang w:val="pl-PL"/>
        </w:rPr>
      </w:pPr>
    </w:p>
    <w:p w14:paraId="384B3A39" w14:textId="77777777" w:rsidR="00994050" w:rsidRPr="0015541C" w:rsidRDefault="00994050" w:rsidP="00994050">
      <w:pPr>
        <w:rPr>
          <w:lang w:val="pl-PL"/>
        </w:rPr>
      </w:pPr>
      <w:r w:rsidRPr="0015541C">
        <w:rPr>
          <w:lang w:val="pl-PL"/>
        </w:rPr>
        <w:t xml:space="preserve">Bewacyzumab wykazuje działanie embriotoksyczne i teratogenne u królików. Zaobserwowane zmiany obejmują zmniejszenie masy ciała u matki i płodu, zwiększoną liczbę przypadków resorpcji płodu i zwiększoną częstość występowania swoistych wad budowy i wad układu szkieletowego u płodu. Działania niepożądane na płód były obserwowane w przypadku każdej z badanych dawek, z których najmniejsza dawała średnie stężenia w surowicy około 3-krotnie większe, niż u ludzi otrzymujących lek w dawce 5 mg/kg </w:t>
      </w:r>
      <w:r w:rsidR="004F0DB0" w:rsidRPr="0015541C">
        <w:rPr>
          <w:lang w:val="pl-PL"/>
        </w:rPr>
        <w:t xml:space="preserve">mc. </w:t>
      </w:r>
      <w:r w:rsidRPr="0015541C">
        <w:rPr>
          <w:lang w:val="pl-PL"/>
        </w:rPr>
        <w:t>co 2 tygodnie.</w:t>
      </w:r>
      <w:r w:rsidR="00ED49CB" w:rsidRPr="0015541C">
        <w:rPr>
          <w:lang w:val="pl-PL"/>
        </w:rPr>
        <w:t xml:space="preserve"> Informacje o wadach rozwojowych płodu, obserwowan</w:t>
      </w:r>
      <w:r w:rsidR="004D6DFB" w:rsidRPr="0015541C">
        <w:rPr>
          <w:lang w:val="pl-PL"/>
        </w:rPr>
        <w:t>ych</w:t>
      </w:r>
      <w:r w:rsidR="00ED49CB" w:rsidRPr="0015541C">
        <w:rPr>
          <w:lang w:val="pl-PL"/>
        </w:rPr>
        <w:t xml:space="preserve"> po wprowadzeniu produktu do obrotu są zawarte w punkcie </w:t>
      </w:r>
      <w:r w:rsidR="00ED49CB" w:rsidRPr="0015541C">
        <w:rPr>
          <w:szCs w:val="22"/>
          <w:lang w:val="pl-PL"/>
        </w:rPr>
        <w:t>4.6 Wpływ na płodność, ciążę i laktację i 4.8 Działania niepożądane.</w:t>
      </w:r>
    </w:p>
    <w:p w14:paraId="39056038" w14:textId="77777777" w:rsidR="00994050" w:rsidRPr="0015541C" w:rsidRDefault="00994050" w:rsidP="00994050">
      <w:pPr>
        <w:rPr>
          <w:lang w:val="pl-PL"/>
        </w:rPr>
      </w:pPr>
    </w:p>
    <w:p w14:paraId="1E491113" w14:textId="77777777" w:rsidR="00994050" w:rsidRPr="0015541C" w:rsidRDefault="00994050" w:rsidP="00994050">
      <w:pPr>
        <w:rPr>
          <w:lang w:val="pl-PL"/>
        </w:rPr>
      </w:pPr>
    </w:p>
    <w:p w14:paraId="7420B960" w14:textId="77777777" w:rsidR="00994050" w:rsidRPr="0015541C" w:rsidRDefault="00994050" w:rsidP="00AD3672">
      <w:pPr>
        <w:keepNext/>
        <w:keepLines/>
        <w:ind w:left="567" w:hanging="567"/>
        <w:rPr>
          <w:b/>
          <w:lang w:val="pl-PL"/>
        </w:rPr>
      </w:pPr>
      <w:r w:rsidRPr="0015541C">
        <w:rPr>
          <w:b/>
          <w:lang w:val="pl-PL"/>
        </w:rPr>
        <w:t>6.</w:t>
      </w:r>
      <w:r w:rsidRPr="0015541C">
        <w:rPr>
          <w:b/>
          <w:lang w:val="pl-PL"/>
        </w:rPr>
        <w:tab/>
        <w:t>DANE FARMACEUTYCZNE</w:t>
      </w:r>
    </w:p>
    <w:p w14:paraId="26748FE9" w14:textId="77777777" w:rsidR="00994050" w:rsidRPr="0015541C" w:rsidRDefault="00994050" w:rsidP="00AD3672">
      <w:pPr>
        <w:keepNext/>
        <w:keepLines/>
        <w:rPr>
          <w:lang w:val="pl-PL"/>
        </w:rPr>
      </w:pPr>
    </w:p>
    <w:p w14:paraId="60C1B72F" w14:textId="77777777" w:rsidR="00994050" w:rsidRPr="0015541C" w:rsidRDefault="00994050" w:rsidP="00AD3672">
      <w:pPr>
        <w:keepNext/>
        <w:keepLines/>
        <w:ind w:left="567" w:hanging="567"/>
        <w:rPr>
          <w:b/>
          <w:lang w:val="pl-PL"/>
        </w:rPr>
      </w:pPr>
      <w:r w:rsidRPr="0015541C">
        <w:rPr>
          <w:b/>
          <w:lang w:val="pl-PL"/>
        </w:rPr>
        <w:t>6.1</w:t>
      </w:r>
      <w:r w:rsidRPr="0015541C">
        <w:rPr>
          <w:b/>
          <w:lang w:val="pl-PL"/>
        </w:rPr>
        <w:tab/>
        <w:t>Wykaz substancji pomocniczych</w:t>
      </w:r>
    </w:p>
    <w:p w14:paraId="029D623D" w14:textId="77777777" w:rsidR="00994050" w:rsidRPr="0015541C" w:rsidRDefault="00994050" w:rsidP="00AD3672">
      <w:pPr>
        <w:keepNext/>
        <w:keepLines/>
        <w:rPr>
          <w:lang w:val="pl-PL"/>
        </w:rPr>
      </w:pPr>
    </w:p>
    <w:p w14:paraId="6ACE81AB" w14:textId="77777777" w:rsidR="00994050" w:rsidRPr="0015541C" w:rsidRDefault="00994050" w:rsidP="00AD3672">
      <w:pPr>
        <w:keepNext/>
        <w:keepLines/>
        <w:rPr>
          <w:lang w:val="pl-PL"/>
        </w:rPr>
      </w:pPr>
      <w:r w:rsidRPr="0015541C">
        <w:rPr>
          <w:lang w:val="pl-PL"/>
        </w:rPr>
        <w:t>Trehalozy d</w:t>
      </w:r>
      <w:r w:rsidR="00C35B02" w:rsidRPr="0015541C">
        <w:rPr>
          <w:lang w:val="pl-PL"/>
        </w:rPr>
        <w:t>wu</w:t>
      </w:r>
      <w:r w:rsidRPr="0015541C">
        <w:rPr>
          <w:lang w:val="pl-PL"/>
        </w:rPr>
        <w:t>wodzian</w:t>
      </w:r>
    </w:p>
    <w:p w14:paraId="0F517037" w14:textId="77777777" w:rsidR="00B96D49" w:rsidRPr="0015541C" w:rsidRDefault="00994050" w:rsidP="005A4F32">
      <w:pPr>
        <w:rPr>
          <w:rFonts w:eastAsia="Times New Roman"/>
          <w:lang w:val="pl-PL"/>
        </w:rPr>
      </w:pPr>
      <w:r w:rsidRPr="0015541C">
        <w:rPr>
          <w:lang w:val="pl-PL"/>
        </w:rPr>
        <w:t xml:space="preserve">Sodu </w:t>
      </w:r>
      <w:r w:rsidR="00B96D49" w:rsidRPr="0015541C">
        <w:rPr>
          <w:lang w:val="pl-PL"/>
        </w:rPr>
        <w:t>octan trójwodny</w:t>
      </w:r>
    </w:p>
    <w:p w14:paraId="424AB889" w14:textId="77777777" w:rsidR="00994050" w:rsidRPr="0015541C" w:rsidRDefault="00B96D49" w:rsidP="00B96D49">
      <w:pPr>
        <w:keepNext/>
        <w:keepLines/>
        <w:rPr>
          <w:lang w:val="pl-PL"/>
        </w:rPr>
      </w:pPr>
      <w:r w:rsidRPr="0015541C">
        <w:rPr>
          <w:lang w:val="pl-PL"/>
        </w:rPr>
        <w:t>Kwas octowy</w:t>
      </w:r>
    </w:p>
    <w:p w14:paraId="47962F58" w14:textId="10FDEAC8" w:rsidR="00994050" w:rsidRPr="0015541C" w:rsidRDefault="00994050" w:rsidP="00994050">
      <w:pPr>
        <w:rPr>
          <w:lang w:val="pl-PL"/>
        </w:rPr>
      </w:pPr>
      <w:r w:rsidRPr="0015541C">
        <w:rPr>
          <w:lang w:val="pl-PL"/>
        </w:rPr>
        <w:t>Polisorbat 20</w:t>
      </w:r>
      <w:r w:rsidR="0048590C">
        <w:rPr>
          <w:lang w:val="pl-PL"/>
        </w:rPr>
        <w:t xml:space="preserve"> </w:t>
      </w:r>
      <w:r w:rsidR="0048590C" w:rsidRPr="002432F6">
        <w:rPr>
          <w:lang w:val="pl-PL"/>
        </w:rPr>
        <w:t>(E 432)</w:t>
      </w:r>
    </w:p>
    <w:p w14:paraId="67A3190F" w14:textId="77777777" w:rsidR="00994050" w:rsidRPr="0015541C" w:rsidRDefault="00994050" w:rsidP="00994050">
      <w:pPr>
        <w:rPr>
          <w:lang w:val="pl-PL"/>
        </w:rPr>
      </w:pPr>
      <w:r w:rsidRPr="0015541C">
        <w:rPr>
          <w:lang w:val="pl-PL"/>
        </w:rPr>
        <w:t>Woda do wstrzykiwań</w:t>
      </w:r>
    </w:p>
    <w:p w14:paraId="77054956" w14:textId="77777777" w:rsidR="00994050" w:rsidRPr="0015541C" w:rsidRDefault="00994050" w:rsidP="00994050">
      <w:pPr>
        <w:rPr>
          <w:lang w:val="pl-PL"/>
        </w:rPr>
      </w:pPr>
    </w:p>
    <w:p w14:paraId="20DB4FDF" w14:textId="77777777" w:rsidR="00994050" w:rsidRPr="0015541C" w:rsidRDefault="00994050" w:rsidP="00A14FD5">
      <w:pPr>
        <w:ind w:left="567" w:hanging="567"/>
        <w:rPr>
          <w:b/>
          <w:lang w:val="pl-PL"/>
        </w:rPr>
      </w:pPr>
      <w:r w:rsidRPr="0015541C">
        <w:rPr>
          <w:b/>
          <w:lang w:val="pl-PL"/>
        </w:rPr>
        <w:t>6.2</w:t>
      </w:r>
      <w:r w:rsidRPr="0015541C">
        <w:rPr>
          <w:b/>
          <w:lang w:val="pl-PL"/>
        </w:rPr>
        <w:tab/>
        <w:t>Niezgodności farmaceutyczne</w:t>
      </w:r>
    </w:p>
    <w:p w14:paraId="1893D995" w14:textId="77777777" w:rsidR="00662FF9" w:rsidRPr="0015541C" w:rsidRDefault="00662FF9" w:rsidP="00994050">
      <w:pPr>
        <w:rPr>
          <w:lang w:val="pl-PL"/>
        </w:rPr>
      </w:pPr>
    </w:p>
    <w:p w14:paraId="7B0EEC1D" w14:textId="77777777" w:rsidR="00662FF9" w:rsidRPr="0015541C" w:rsidRDefault="001327D8" w:rsidP="00994050">
      <w:pPr>
        <w:rPr>
          <w:lang w:val="pl-PL"/>
        </w:rPr>
      </w:pPr>
      <w:r w:rsidRPr="0015541C">
        <w:rPr>
          <w:lang w:val="pl-PL"/>
        </w:rPr>
        <w:t>Nie mieszać p</w:t>
      </w:r>
      <w:r w:rsidR="00662FF9" w:rsidRPr="0015541C">
        <w:rPr>
          <w:lang w:val="pl-PL"/>
        </w:rPr>
        <w:t xml:space="preserve">roduktu leczniczego z innymi </w:t>
      </w:r>
      <w:r w:rsidRPr="0015541C">
        <w:rPr>
          <w:lang w:val="pl-PL"/>
        </w:rPr>
        <w:t>produktami leczniczymi oprócz wymienionych</w:t>
      </w:r>
      <w:r w:rsidR="00662FF9" w:rsidRPr="0015541C">
        <w:rPr>
          <w:lang w:val="pl-PL"/>
        </w:rPr>
        <w:t xml:space="preserve"> w punkcie 6.6.</w:t>
      </w:r>
    </w:p>
    <w:p w14:paraId="0684FD37" w14:textId="77777777" w:rsidR="00662FF9" w:rsidRPr="0015541C" w:rsidRDefault="00662FF9" w:rsidP="00994050">
      <w:pPr>
        <w:rPr>
          <w:lang w:val="pl-PL"/>
        </w:rPr>
      </w:pPr>
    </w:p>
    <w:p w14:paraId="36F2D104" w14:textId="77777777" w:rsidR="00994050" w:rsidRPr="0015541C" w:rsidRDefault="00994050" w:rsidP="00994050">
      <w:pPr>
        <w:rPr>
          <w:lang w:val="pl-PL"/>
        </w:rPr>
      </w:pPr>
      <w:r w:rsidRPr="0015541C">
        <w:rPr>
          <w:lang w:val="pl-PL"/>
        </w:rPr>
        <w:t>Obserwowano zależny od stężenia profil rozkładu bewacyzumabu po rozcieńczeniu roztworem glukozy (5%).</w:t>
      </w:r>
    </w:p>
    <w:p w14:paraId="1C495C79" w14:textId="77777777" w:rsidR="00994050" w:rsidRPr="0015541C" w:rsidRDefault="00994050" w:rsidP="00994050">
      <w:pPr>
        <w:ind w:left="567" w:hanging="567"/>
        <w:rPr>
          <w:lang w:val="pl-PL"/>
        </w:rPr>
      </w:pPr>
    </w:p>
    <w:p w14:paraId="456D5583" w14:textId="77777777" w:rsidR="00994050" w:rsidRPr="0015541C" w:rsidRDefault="00994050" w:rsidP="00FE0559">
      <w:pPr>
        <w:keepNext/>
        <w:keepLines/>
        <w:ind w:left="567" w:hanging="567"/>
        <w:rPr>
          <w:b/>
          <w:lang w:val="pl-PL"/>
        </w:rPr>
      </w:pPr>
      <w:r w:rsidRPr="0015541C">
        <w:rPr>
          <w:b/>
          <w:lang w:val="pl-PL"/>
        </w:rPr>
        <w:lastRenderedPageBreak/>
        <w:t>6.3</w:t>
      </w:r>
      <w:r w:rsidRPr="0015541C">
        <w:rPr>
          <w:b/>
          <w:lang w:val="pl-PL"/>
        </w:rPr>
        <w:tab/>
        <w:t>Okres ważności</w:t>
      </w:r>
    </w:p>
    <w:p w14:paraId="0E766E57" w14:textId="77777777" w:rsidR="00994050" w:rsidRPr="0015541C" w:rsidRDefault="00994050" w:rsidP="00FE0559">
      <w:pPr>
        <w:keepNext/>
        <w:keepLines/>
        <w:rPr>
          <w:lang w:val="pl-PL"/>
        </w:rPr>
      </w:pPr>
    </w:p>
    <w:p w14:paraId="7073BAB9" w14:textId="77777777" w:rsidR="003032BE" w:rsidRPr="0015541C" w:rsidRDefault="00FF6881" w:rsidP="00FE0559">
      <w:pPr>
        <w:keepNext/>
        <w:keepLines/>
        <w:rPr>
          <w:u w:val="single"/>
          <w:lang w:val="pl-PL"/>
        </w:rPr>
      </w:pPr>
      <w:r w:rsidRPr="0015541C">
        <w:rPr>
          <w:u w:val="single"/>
          <w:lang w:val="pl-PL"/>
        </w:rPr>
        <w:t>Nieotwarta fiolka</w:t>
      </w:r>
    </w:p>
    <w:p w14:paraId="22CF311D" w14:textId="77777777" w:rsidR="00B82AED" w:rsidRPr="0015541C" w:rsidRDefault="00B82AED" w:rsidP="00FE0559">
      <w:pPr>
        <w:keepNext/>
        <w:keepLines/>
        <w:rPr>
          <w:lang w:val="pl-PL"/>
        </w:rPr>
      </w:pPr>
    </w:p>
    <w:p w14:paraId="019BDA37" w14:textId="677A5F63" w:rsidR="00994050" w:rsidRPr="0015541C" w:rsidRDefault="00FF6881" w:rsidP="00CB7AAB">
      <w:pPr>
        <w:rPr>
          <w:lang w:val="pl-PL"/>
        </w:rPr>
      </w:pPr>
      <w:del w:id="1" w:author="Author">
        <w:r w:rsidRPr="0015541C" w:rsidDel="008D11DD">
          <w:rPr>
            <w:lang w:val="pl-PL"/>
          </w:rPr>
          <w:delText>3</w:delText>
        </w:r>
      </w:del>
      <w:ins w:id="2" w:author="Author">
        <w:r w:rsidR="008D11DD">
          <w:rPr>
            <w:lang w:val="pl-PL"/>
          </w:rPr>
          <w:t>4</w:t>
        </w:r>
      </w:ins>
      <w:bookmarkStart w:id="3" w:name="_GoBack"/>
      <w:bookmarkEnd w:id="3"/>
      <w:r w:rsidR="009A7678" w:rsidRPr="0015541C">
        <w:rPr>
          <w:lang w:val="pl-PL"/>
        </w:rPr>
        <w:t> </w:t>
      </w:r>
      <w:r w:rsidR="00994050" w:rsidRPr="0015541C">
        <w:rPr>
          <w:lang w:val="pl-PL"/>
        </w:rPr>
        <w:t>lata</w:t>
      </w:r>
    </w:p>
    <w:p w14:paraId="530F17B1" w14:textId="4E766D89" w:rsidR="00994050" w:rsidRPr="0015541C" w:rsidRDefault="00994050" w:rsidP="00CB7AAB">
      <w:pPr>
        <w:rPr>
          <w:lang w:val="pl-PL"/>
        </w:rPr>
      </w:pPr>
    </w:p>
    <w:p w14:paraId="305506E6" w14:textId="547A403D" w:rsidR="009D3DFB" w:rsidRPr="0015541C" w:rsidRDefault="009D3DFB" w:rsidP="00CB7AAB">
      <w:pPr>
        <w:rPr>
          <w:lang w:val="pl-PL"/>
        </w:rPr>
      </w:pPr>
      <w:r w:rsidRPr="0070444C">
        <w:rPr>
          <w:szCs w:val="22"/>
          <w:lang w:val="pl-PL"/>
        </w:rPr>
        <w:t>Nieotwartą fiolkę można przechowywać w temperaturze nieprzekraczającej 30°C przez okres do 35 dni.</w:t>
      </w:r>
      <w:r w:rsidR="00DE6CE3" w:rsidRPr="0070444C">
        <w:rPr>
          <w:szCs w:val="22"/>
          <w:lang w:val="pl-PL"/>
        </w:rPr>
        <w:t xml:space="preserve"> W przypadku gdy fiolka nie zostanie zużyta w ciągu 35 dni od wyjęcia jej z lodówki, należy ją wyrzucić, nawet jeśli w tym okresie została z powrotem umieszczona w lodówce.</w:t>
      </w:r>
    </w:p>
    <w:p w14:paraId="3112536E" w14:textId="77777777" w:rsidR="009D3DFB" w:rsidRPr="0015541C" w:rsidRDefault="009D3DFB" w:rsidP="00CB7AAB">
      <w:pPr>
        <w:rPr>
          <w:lang w:val="pl-PL"/>
        </w:rPr>
      </w:pPr>
    </w:p>
    <w:p w14:paraId="050CC57C" w14:textId="77777777" w:rsidR="003032BE" w:rsidRPr="0015541C" w:rsidRDefault="00B82AED" w:rsidP="00CB7AAB">
      <w:pPr>
        <w:rPr>
          <w:u w:val="single"/>
          <w:lang w:val="pl-PL"/>
        </w:rPr>
      </w:pPr>
      <w:r w:rsidRPr="0015541C">
        <w:rPr>
          <w:u w:val="single"/>
          <w:lang w:val="pl-PL"/>
        </w:rPr>
        <w:t>P</w:t>
      </w:r>
      <w:r w:rsidR="003032BE" w:rsidRPr="0015541C">
        <w:rPr>
          <w:u w:val="single"/>
          <w:lang w:val="pl-PL"/>
        </w:rPr>
        <w:t>rodukt</w:t>
      </w:r>
      <w:r w:rsidRPr="0015541C">
        <w:rPr>
          <w:u w:val="single"/>
          <w:lang w:val="pl-PL"/>
        </w:rPr>
        <w:t xml:space="preserve"> leczniczy po rozcieńczeniu</w:t>
      </w:r>
    </w:p>
    <w:p w14:paraId="5600DF5E" w14:textId="77777777" w:rsidR="0071524C" w:rsidRPr="0015541C" w:rsidRDefault="0071524C" w:rsidP="00CB7AAB">
      <w:pPr>
        <w:rPr>
          <w:lang w:val="pl-PL"/>
        </w:rPr>
      </w:pPr>
    </w:p>
    <w:p w14:paraId="7A85F143" w14:textId="0E9DADC6" w:rsidR="00994050" w:rsidRPr="00AC3958" w:rsidRDefault="00994050" w:rsidP="00CB7AAB">
      <w:pPr>
        <w:rPr>
          <w:lang w:val="pl-PL"/>
        </w:rPr>
      </w:pPr>
      <w:r w:rsidRPr="0015541C">
        <w:rPr>
          <w:lang w:val="pl-PL"/>
        </w:rPr>
        <w:t xml:space="preserve">Przygotowany do infuzji roztwór produktu </w:t>
      </w:r>
      <w:r w:rsidR="00C87F12" w:rsidRPr="0015541C">
        <w:rPr>
          <w:lang w:val="pl-PL"/>
        </w:rPr>
        <w:t>Aybintio</w:t>
      </w:r>
      <w:r w:rsidRPr="0015541C">
        <w:rPr>
          <w:lang w:val="pl-PL"/>
        </w:rPr>
        <w:t xml:space="preserve"> zachowuje stabilność fizyczną i chemiczną przez</w:t>
      </w:r>
      <w:r w:rsidR="000430CB" w:rsidRPr="0015541C">
        <w:rPr>
          <w:lang w:val="pl-PL"/>
        </w:rPr>
        <w:t xml:space="preserve"> </w:t>
      </w:r>
      <w:r w:rsidR="003E38F9" w:rsidRPr="0070444C">
        <w:rPr>
          <w:lang w:val="pl-PL"/>
        </w:rPr>
        <w:t>okres do 45 dni w temperaturze od 2°C do 8°C oraz dodatkowe 72 godziny w temperaturze nieprzekraczającej</w:t>
      </w:r>
      <w:r w:rsidRPr="0015541C">
        <w:rPr>
          <w:lang w:val="pl-PL"/>
        </w:rPr>
        <w:t xml:space="preserve"> 30°C w 9 mg/ml (0,9%) roztworze chlorku sodu. Z mikrobiologicznego punktu widzenia przygotowany produkt należy zużyć natychmiast. Jeśli nie zostanie zużyty natychmiast, za ustalenie czasu i warunków przechowywania jest odpowiedzialna osoba podająca lek i czas ten nie powinien być dłuższy niż 24 godziny w temperaturze 2°C do 8°C, chyba że rozpuszczenie miało miejsce w kontrolowanych i walidowanych warunkach pełnej aseptyki.</w:t>
      </w:r>
    </w:p>
    <w:p w14:paraId="7F85888E" w14:textId="77777777" w:rsidR="00994050" w:rsidRPr="0015541C" w:rsidRDefault="00994050" w:rsidP="00CB7AAB">
      <w:pPr>
        <w:rPr>
          <w:lang w:val="pl-PL"/>
        </w:rPr>
      </w:pPr>
    </w:p>
    <w:p w14:paraId="40D49B1C" w14:textId="77777777" w:rsidR="00994050" w:rsidRPr="0015541C" w:rsidRDefault="00994050" w:rsidP="00A14FD5">
      <w:pPr>
        <w:ind w:left="567" w:hanging="567"/>
        <w:rPr>
          <w:b/>
          <w:lang w:val="pl-PL"/>
        </w:rPr>
      </w:pPr>
      <w:r w:rsidRPr="0015541C">
        <w:rPr>
          <w:b/>
          <w:lang w:val="pl-PL"/>
        </w:rPr>
        <w:t>6.4</w:t>
      </w:r>
      <w:r w:rsidRPr="0015541C">
        <w:rPr>
          <w:b/>
          <w:lang w:val="pl-PL"/>
        </w:rPr>
        <w:tab/>
        <w:t xml:space="preserve">Specjalne środki ostrożności </w:t>
      </w:r>
      <w:r w:rsidR="00271001" w:rsidRPr="0015541C">
        <w:rPr>
          <w:b/>
          <w:lang w:val="pl-PL"/>
        </w:rPr>
        <w:t xml:space="preserve">podczas </w:t>
      </w:r>
      <w:r w:rsidRPr="0015541C">
        <w:rPr>
          <w:b/>
          <w:lang w:val="pl-PL"/>
        </w:rPr>
        <w:t>przechowywani</w:t>
      </w:r>
      <w:r w:rsidR="00271001" w:rsidRPr="0015541C">
        <w:rPr>
          <w:b/>
          <w:lang w:val="pl-PL"/>
        </w:rPr>
        <w:t>a</w:t>
      </w:r>
    </w:p>
    <w:p w14:paraId="374F4DD3" w14:textId="77777777" w:rsidR="00994050" w:rsidRPr="0015541C" w:rsidRDefault="00994050" w:rsidP="00A14FD5">
      <w:pPr>
        <w:rPr>
          <w:lang w:val="pl-PL"/>
        </w:rPr>
      </w:pPr>
    </w:p>
    <w:p w14:paraId="78696A85" w14:textId="77777777" w:rsidR="00994050" w:rsidRPr="0015541C" w:rsidRDefault="00994050" w:rsidP="00994050">
      <w:pPr>
        <w:rPr>
          <w:lang w:val="pl-PL"/>
        </w:rPr>
      </w:pPr>
      <w:r w:rsidRPr="0015541C">
        <w:rPr>
          <w:lang w:val="pl-PL"/>
        </w:rPr>
        <w:t>Przechowywać w lodówce (2°C-8°C).</w:t>
      </w:r>
    </w:p>
    <w:p w14:paraId="7F286C78" w14:textId="77777777" w:rsidR="00994050" w:rsidRPr="0015541C" w:rsidRDefault="00994050" w:rsidP="00994050">
      <w:pPr>
        <w:rPr>
          <w:lang w:val="pl-PL"/>
        </w:rPr>
      </w:pPr>
      <w:r w:rsidRPr="0015541C">
        <w:rPr>
          <w:lang w:val="pl-PL"/>
        </w:rPr>
        <w:t>Nie zamrażać.</w:t>
      </w:r>
    </w:p>
    <w:p w14:paraId="4CD6370C" w14:textId="77777777" w:rsidR="00994050" w:rsidRPr="0015541C" w:rsidRDefault="00994050" w:rsidP="00994050">
      <w:pPr>
        <w:rPr>
          <w:lang w:val="pl-PL"/>
        </w:rPr>
      </w:pPr>
      <w:r w:rsidRPr="0015541C">
        <w:rPr>
          <w:lang w:val="pl-PL"/>
        </w:rPr>
        <w:t>Fiolki z lekiem przechowywać w opakowaniu zewnętrznym w celu ochrony przed światłem.</w:t>
      </w:r>
    </w:p>
    <w:p w14:paraId="510AA026" w14:textId="2921435B" w:rsidR="00994050" w:rsidRPr="0015541C" w:rsidRDefault="00994050" w:rsidP="00994050">
      <w:pPr>
        <w:rPr>
          <w:lang w:val="pl-PL"/>
        </w:rPr>
      </w:pPr>
    </w:p>
    <w:p w14:paraId="7C21C176" w14:textId="52203F99" w:rsidR="00996C3C" w:rsidRPr="0015541C" w:rsidRDefault="00996C3C" w:rsidP="00994050">
      <w:pPr>
        <w:rPr>
          <w:lang w:val="pl-PL"/>
        </w:rPr>
      </w:pPr>
      <w:r w:rsidRPr="0070444C">
        <w:rPr>
          <w:lang w:val="pl-PL"/>
        </w:rPr>
        <w:t>Warunki przechowywania nieotwartej fiol</w:t>
      </w:r>
      <w:r w:rsidR="008B0112" w:rsidRPr="0070444C">
        <w:rPr>
          <w:lang w:val="pl-PL"/>
        </w:rPr>
        <w:t>k</w:t>
      </w:r>
      <w:r w:rsidRPr="0070444C">
        <w:rPr>
          <w:lang w:val="pl-PL"/>
        </w:rPr>
        <w:t xml:space="preserve">i </w:t>
      </w:r>
      <w:r w:rsidR="00DE6CE3" w:rsidRPr="0070444C">
        <w:rPr>
          <w:szCs w:val="22"/>
          <w:lang w:val="pl-PL"/>
        </w:rPr>
        <w:t>poza lodówką</w:t>
      </w:r>
      <w:r w:rsidRPr="0070444C">
        <w:rPr>
          <w:lang w:val="pl-PL"/>
        </w:rPr>
        <w:t>, patrz punkt 6.3.</w:t>
      </w:r>
    </w:p>
    <w:p w14:paraId="64C4F95B" w14:textId="77777777" w:rsidR="00996C3C" w:rsidRPr="0015541C" w:rsidRDefault="00996C3C" w:rsidP="00994050">
      <w:pPr>
        <w:rPr>
          <w:lang w:val="pl-PL"/>
        </w:rPr>
      </w:pPr>
    </w:p>
    <w:p w14:paraId="1FAEB503" w14:textId="77777777" w:rsidR="00994050" w:rsidRPr="0015541C" w:rsidRDefault="00994050" w:rsidP="00994050">
      <w:pPr>
        <w:rPr>
          <w:lang w:val="pl-PL"/>
        </w:rPr>
      </w:pPr>
      <w:r w:rsidRPr="0015541C">
        <w:rPr>
          <w:lang w:val="pl-PL"/>
        </w:rPr>
        <w:t>Warunki przechowywania produktu leczniczego</w:t>
      </w:r>
      <w:r w:rsidR="00271001" w:rsidRPr="00AC3958">
        <w:rPr>
          <w:lang w:val="pl-PL"/>
        </w:rPr>
        <w:t xml:space="preserve"> po </w:t>
      </w:r>
      <w:r w:rsidR="001327D8" w:rsidRPr="0015541C">
        <w:rPr>
          <w:lang w:val="pl-PL"/>
        </w:rPr>
        <w:t>rozcieńczeniu</w:t>
      </w:r>
      <w:r w:rsidRPr="0015541C">
        <w:rPr>
          <w:lang w:val="pl-PL"/>
        </w:rPr>
        <w:t>, patrz punkt 6.3.</w:t>
      </w:r>
    </w:p>
    <w:p w14:paraId="0C62FA73" w14:textId="77777777" w:rsidR="00994050" w:rsidRPr="0015541C" w:rsidRDefault="00994050" w:rsidP="00994050">
      <w:pPr>
        <w:ind w:left="567" w:hanging="567"/>
        <w:rPr>
          <w:b/>
          <w:lang w:val="pl-PL"/>
        </w:rPr>
      </w:pPr>
    </w:p>
    <w:p w14:paraId="4C2ED6C2" w14:textId="77777777" w:rsidR="00994050" w:rsidRPr="0015541C" w:rsidRDefault="00994050" w:rsidP="002C0295">
      <w:pPr>
        <w:keepNext/>
        <w:keepLines/>
        <w:ind w:left="567" w:hanging="567"/>
        <w:rPr>
          <w:b/>
          <w:lang w:val="pl-PL"/>
        </w:rPr>
      </w:pPr>
      <w:r w:rsidRPr="0015541C">
        <w:rPr>
          <w:b/>
          <w:lang w:val="pl-PL"/>
        </w:rPr>
        <w:t>6.5</w:t>
      </w:r>
      <w:r w:rsidRPr="0015541C">
        <w:rPr>
          <w:b/>
          <w:lang w:val="pl-PL"/>
        </w:rPr>
        <w:tab/>
        <w:t>Rodzaj i zawartość opakowania</w:t>
      </w:r>
    </w:p>
    <w:p w14:paraId="3BF1A72B" w14:textId="77777777" w:rsidR="00994050" w:rsidRPr="0015541C" w:rsidRDefault="00994050" w:rsidP="002C0295">
      <w:pPr>
        <w:keepNext/>
        <w:keepLines/>
        <w:rPr>
          <w:lang w:val="pl-PL"/>
        </w:rPr>
      </w:pPr>
    </w:p>
    <w:p w14:paraId="40A6FC88" w14:textId="77777777" w:rsidR="00994050" w:rsidRPr="0015541C" w:rsidRDefault="00662FF9" w:rsidP="002C0295">
      <w:pPr>
        <w:keepNext/>
        <w:keepLines/>
        <w:rPr>
          <w:lang w:val="pl-PL"/>
        </w:rPr>
      </w:pPr>
      <w:r w:rsidRPr="0015541C">
        <w:rPr>
          <w:lang w:val="pl-PL"/>
        </w:rPr>
        <w:t>4 ml roztworu w f</w:t>
      </w:r>
      <w:r w:rsidR="00994050" w:rsidRPr="0015541C">
        <w:rPr>
          <w:lang w:val="pl-PL"/>
        </w:rPr>
        <w:t>iol</w:t>
      </w:r>
      <w:r w:rsidRPr="0015541C">
        <w:rPr>
          <w:lang w:val="pl-PL"/>
        </w:rPr>
        <w:t>ce</w:t>
      </w:r>
      <w:r w:rsidR="00994050" w:rsidRPr="0015541C">
        <w:rPr>
          <w:lang w:val="pl-PL"/>
        </w:rPr>
        <w:t xml:space="preserve"> (szkł</w:t>
      </w:r>
      <w:r w:rsidRPr="0015541C">
        <w:rPr>
          <w:lang w:val="pl-PL"/>
        </w:rPr>
        <w:t>o</w:t>
      </w:r>
      <w:r w:rsidR="00994050" w:rsidRPr="0015541C">
        <w:rPr>
          <w:lang w:val="pl-PL"/>
        </w:rPr>
        <w:t xml:space="preserve"> typu I) z korkiem </w:t>
      </w:r>
      <w:r w:rsidR="002376B9" w:rsidRPr="0015541C">
        <w:rPr>
          <w:lang w:val="pl-PL"/>
        </w:rPr>
        <w:t xml:space="preserve">(gumowym) </w:t>
      </w:r>
      <w:r w:rsidR="00994050" w:rsidRPr="0015541C">
        <w:rPr>
          <w:lang w:val="pl-PL"/>
        </w:rPr>
        <w:t xml:space="preserve">zawiera 100 mg bewacyzumabu </w:t>
      </w:r>
    </w:p>
    <w:p w14:paraId="6132B410" w14:textId="77777777" w:rsidR="00994050" w:rsidRPr="0015541C" w:rsidRDefault="00662FF9" w:rsidP="002C0295">
      <w:pPr>
        <w:keepNext/>
        <w:keepLines/>
        <w:rPr>
          <w:lang w:val="pl-PL"/>
        </w:rPr>
      </w:pPr>
      <w:r w:rsidRPr="0015541C">
        <w:rPr>
          <w:lang w:val="pl-PL"/>
        </w:rPr>
        <w:t>16 ml roztworu w f</w:t>
      </w:r>
      <w:r w:rsidR="00994050" w:rsidRPr="0015541C">
        <w:rPr>
          <w:lang w:val="pl-PL"/>
        </w:rPr>
        <w:t>iol</w:t>
      </w:r>
      <w:r w:rsidR="002376B9" w:rsidRPr="0015541C">
        <w:rPr>
          <w:lang w:val="pl-PL"/>
        </w:rPr>
        <w:t>ce</w:t>
      </w:r>
      <w:r w:rsidR="00994050" w:rsidRPr="0015541C">
        <w:rPr>
          <w:lang w:val="pl-PL"/>
        </w:rPr>
        <w:t xml:space="preserve"> (szkł</w:t>
      </w:r>
      <w:r w:rsidR="002376B9" w:rsidRPr="0015541C">
        <w:rPr>
          <w:lang w:val="pl-PL"/>
        </w:rPr>
        <w:t>o</w:t>
      </w:r>
      <w:r w:rsidR="00994050" w:rsidRPr="0015541C">
        <w:rPr>
          <w:lang w:val="pl-PL"/>
        </w:rPr>
        <w:t xml:space="preserve"> typu I) z korkiem </w:t>
      </w:r>
      <w:r w:rsidR="002376B9" w:rsidRPr="0015541C">
        <w:rPr>
          <w:lang w:val="pl-PL"/>
        </w:rPr>
        <w:t xml:space="preserve">(gumowym) </w:t>
      </w:r>
      <w:r w:rsidR="00994050" w:rsidRPr="0015541C">
        <w:rPr>
          <w:lang w:val="pl-PL"/>
        </w:rPr>
        <w:t xml:space="preserve">zawiera 400 mg bewacyzumabu </w:t>
      </w:r>
    </w:p>
    <w:p w14:paraId="7132AEAA" w14:textId="77777777" w:rsidR="002376B9" w:rsidRPr="0015541C" w:rsidRDefault="002376B9" w:rsidP="00994050">
      <w:pPr>
        <w:rPr>
          <w:lang w:val="pl-PL"/>
        </w:rPr>
      </w:pPr>
    </w:p>
    <w:p w14:paraId="40639C54" w14:textId="77777777" w:rsidR="00994050" w:rsidRPr="0015541C" w:rsidRDefault="00994050" w:rsidP="00994050">
      <w:pPr>
        <w:rPr>
          <w:lang w:val="pl-PL"/>
        </w:rPr>
      </w:pPr>
      <w:r w:rsidRPr="0015541C">
        <w:rPr>
          <w:lang w:val="pl-PL"/>
        </w:rPr>
        <w:t>Opakowanie z</w:t>
      </w:r>
      <w:r w:rsidR="002376B9" w:rsidRPr="0015541C">
        <w:rPr>
          <w:lang w:val="pl-PL"/>
        </w:rPr>
        <w:t>awiera</w:t>
      </w:r>
      <w:r w:rsidRPr="0015541C">
        <w:rPr>
          <w:lang w:val="pl-PL"/>
        </w:rPr>
        <w:t xml:space="preserve"> 1 fiolk</w:t>
      </w:r>
      <w:r w:rsidR="002376B9" w:rsidRPr="0015541C">
        <w:rPr>
          <w:lang w:val="pl-PL"/>
        </w:rPr>
        <w:t>ę</w:t>
      </w:r>
      <w:r w:rsidR="00FE205B" w:rsidRPr="0015541C">
        <w:rPr>
          <w:lang w:val="pl-PL"/>
        </w:rPr>
        <w:t>.</w:t>
      </w:r>
    </w:p>
    <w:p w14:paraId="487123FF" w14:textId="77777777" w:rsidR="00994050" w:rsidRPr="0015541C" w:rsidRDefault="00994050" w:rsidP="00994050">
      <w:pPr>
        <w:rPr>
          <w:lang w:val="pl-PL"/>
        </w:rPr>
      </w:pPr>
    </w:p>
    <w:p w14:paraId="377ED38A" w14:textId="77777777" w:rsidR="00994050" w:rsidRPr="0015541C" w:rsidRDefault="00994050" w:rsidP="00BC3A2D">
      <w:pPr>
        <w:keepNext/>
        <w:keepLines/>
        <w:ind w:left="567" w:hanging="567"/>
        <w:rPr>
          <w:b/>
          <w:lang w:val="pl-PL"/>
        </w:rPr>
      </w:pPr>
      <w:r w:rsidRPr="0015541C">
        <w:rPr>
          <w:b/>
          <w:lang w:val="pl-PL"/>
        </w:rPr>
        <w:t>6.6</w:t>
      </w:r>
      <w:r w:rsidRPr="0015541C">
        <w:rPr>
          <w:b/>
          <w:lang w:val="pl-PL"/>
        </w:rPr>
        <w:tab/>
      </w:r>
      <w:r w:rsidR="00271001" w:rsidRPr="0015541C">
        <w:rPr>
          <w:b/>
          <w:lang w:val="pl-PL"/>
        </w:rPr>
        <w:t xml:space="preserve">Specjalne </w:t>
      </w:r>
      <w:r w:rsidRPr="0015541C">
        <w:rPr>
          <w:b/>
          <w:lang w:val="pl-PL"/>
        </w:rPr>
        <w:t xml:space="preserve">środki ostrożności dotyczące usuwania </w:t>
      </w:r>
      <w:r w:rsidRPr="0015541C">
        <w:rPr>
          <w:b/>
          <w:bCs/>
          <w:lang w:val="pl-PL"/>
        </w:rPr>
        <w:t xml:space="preserve">i przygotowania </w:t>
      </w:r>
      <w:r w:rsidR="00271001" w:rsidRPr="0015541C">
        <w:rPr>
          <w:b/>
          <w:bCs/>
          <w:lang w:val="pl-PL"/>
        </w:rPr>
        <w:t xml:space="preserve">produktu leczniczego </w:t>
      </w:r>
      <w:r w:rsidRPr="0015541C">
        <w:rPr>
          <w:b/>
          <w:bCs/>
          <w:lang w:val="pl-PL"/>
        </w:rPr>
        <w:t>do stosowania</w:t>
      </w:r>
    </w:p>
    <w:p w14:paraId="1786302C" w14:textId="09179265" w:rsidR="00994050" w:rsidRDefault="00994050" w:rsidP="00BC3A2D">
      <w:pPr>
        <w:keepNext/>
        <w:keepLines/>
        <w:rPr>
          <w:lang w:val="pl-PL"/>
        </w:rPr>
      </w:pPr>
    </w:p>
    <w:p w14:paraId="6857EAF4" w14:textId="5F72A1EC" w:rsidR="00A07F0B" w:rsidRDefault="00A07F0B" w:rsidP="00BC3A2D">
      <w:pPr>
        <w:keepNext/>
        <w:keepLines/>
        <w:rPr>
          <w:lang w:val="pl-PL"/>
        </w:rPr>
      </w:pPr>
      <w:r>
        <w:rPr>
          <w:lang w:val="pl-PL"/>
        </w:rPr>
        <w:t>Nie wstrząsać fiolką.</w:t>
      </w:r>
    </w:p>
    <w:p w14:paraId="38A41ADD" w14:textId="77777777" w:rsidR="00A07F0B" w:rsidRPr="0015541C" w:rsidRDefault="00A07F0B" w:rsidP="00BC3A2D">
      <w:pPr>
        <w:keepNext/>
        <w:keepLines/>
        <w:rPr>
          <w:lang w:val="pl-PL"/>
        </w:rPr>
      </w:pPr>
    </w:p>
    <w:p w14:paraId="11F2D610" w14:textId="6808EB8B" w:rsidR="00994050" w:rsidRPr="0015541C" w:rsidRDefault="00DB5659" w:rsidP="00BC3A2D">
      <w:pPr>
        <w:keepNext/>
        <w:keepLines/>
        <w:rPr>
          <w:lang w:val="pl-PL"/>
        </w:rPr>
      </w:pPr>
      <w:r w:rsidRPr="0015541C">
        <w:rPr>
          <w:lang w:val="pl-PL"/>
        </w:rPr>
        <w:t xml:space="preserve">Produkt </w:t>
      </w:r>
      <w:r w:rsidR="00C87F12" w:rsidRPr="0015541C">
        <w:rPr>
          <w:lang w:val="pl-PL"/>
        </w:rPr>
        <w:t>Aybintio</w:t>
      </w:r>
      <w:r w:rsidRPr="0015541C">
        <w:rPr>
          <w:lang w:val="pl-PL"/>
        </w:rPr>
        <w:t xml:space="preserve"> powinien zostać przygotowany</w:t>
      </w:r>
      <w:r w:rsidR="00852E08" w:rsidRPr="0015541C">
        <w:rPr>
          <w:lang w:val="pl-PL"/>
        </w:rPr>
        <w:t xml:space="preserve"> z zachowaniem zasad aseptyki</w:t>
      </w:r>
      <w:r w:rsidRPr="0015541C">
        <w:rPr>
          <w:lang w:val="pl-PL"/>
        </w:rPr>
        <w:t xml:space="preserve"> przez osobę należącą do personelu medycznego</w:t>
      </w:r>
      <w:r w:rsidR="008E6F85" w:rsidRPr="0015541C">
        <w:rPr>
          <w:lang w:val="pl-PL"/>
        </w:rPr>
        <w:t>,</w:t>
      </w:r>
      <w:r w:rsidR="00852E08" w:rsidRPr="0015541C">
        <w:rPr>
          <w:lang w:val="pl-PL"/>
        </w:rPr>
        <w:t xml:space="preserve"> </w:t>
      </w:r>
      <w:r w:rsidR="00994050" w:rsidRPr="0015541C">
        <w:rPr>
          <w:lang w:val="pl-PL"/>
        </w:rPr>
        <w:t xml:space="preserve">by </w:t>
      </w:r>
      <w:r w:rsidR="008E6F85" w:rsidRPr="0015541C">
        <w:rPr>
          <w:lang w:val="pl-PL"/>
        </w:rPr>
        <w:t xml:space="preserve">zapewnić </w:t>
      </w:r>
      <w:r w:rsidR="00994050" w:rsidRPr="0015541C">
        <w:rPr>
          <w:lang w:val="pl-PL"/>
        </w:rPr>
        <w:t xml:space="preserve">jałowość </w:t>
      </w:r>
      <w:r w:rsidR="008E6F85" w:rsidRPr="0015541C">
        <w:rPr>
          <w:lang w:val="pl-PL"/>
        </w:rPr>
        <w:t xml:space="preserve">roztworu </w:t>
      </w:r>
      <w:r w:rsidR="00994050" w:rsidRPr="0015541C">
        <w:rPr>
          <w:lang w:val="pl-PL"/>
        </w:rPr>
        <w:t>przygotowanego do podania.</w:t>
      </w:r>
      <w:r w:rsidR="002B2EB9" w:rsidRPr="0015541C">
        <w:rPr>
          <w:lang w:val="pl-PL"/>
        </w:rPr>
        <w:t xml:space="preserve"> Do przygotowania produktu leczniczego Aybintio należy użyć jałowej igły i strzykawki.</w:t>
      </w:r>
    </w:p>
    <w:p w14:paraId="2C0AE1A1" w14:textId="77777777" w:rsidR="00994050" w:rsidRPr="0015541C" w:rsidRDefault="00994050" w:rsidP="00994050">
      <w:pPr>
        <w:rPr>
          <w:lang w:val="pl-PL"/>
        </w:rPr>
      </w:pPr>
    </w:p>
    <w:p w14:paraId="387EB1B5" w14:textId="77777777" w:rsidR="00994050" w:rsidRPr="0015541C" w:rsidRDefault="00994050" w:rsidP="00994050">
      <w:pPr>
        <w:rPr>
          <w:lang w:val="pl-PL"/>
        </w:rPr>
      </w:pPr>
      <w:r w:rsidRPr="0015541C">
        <w:rPr>
          <w:lang w:val="pl-PL"/>
        </w:rPr>
        <w:t xml:space="preserve">Wymaganą do podania dawkę bewacyzumabu należy rozcieńczyć przy użyciu </w:t>
      </w:r>
      <w:r w:rsidR="008E6F85" w:rsidRPr="0015541C">
        <w:rPr>
          <w:lang w:val="pl-PL"/>
        </w:rPr>
        <w:t xml:space="preserve">roztworu </w:t>
      </w:r>
      <w:r w:rsidRPr="0015541C">
        <w:rPr>
          <w:lang w:val="pl-PL"/>
        </w:rPr>
        <w:t xml:space="preserve">chlorku sodu </w:t>
      </w:r>
      <w:r w:rsidR="008E6F85" w:rsidRPr="0015541C">
        <w:rPr>
          <w:lang w:val="pl-PL"/>
        </w:rPr>
        <w:t xml:space="preserve">do wstrzykiwań </w:t>
      </w:r>
      <w:r w:rsidR="00852E08" w:rsidRPr="0015541C">
        <w:rPr>
          <w:lang w:val="pl-PL"/>
        </w:rPr>
        <w:t>9</w:t>
      </w:r>
      <w:r w:rsidR="00CD700F" w:rsidRPr="0015541C">
        <w:rPr>
          <w:lang w:val="pl-PL"/>
        </w:rPr>
        <w:t> mg</w:t>
      </w:r>
      <w:r w:rsidR="00852E08" w:rsidRPr="0015541C">
        <w:rPr>
          <w:lang w:val="pl-PL"/>
        </w:rPr>
        <w:t xml:space="preserve">/ml </w:t>
      </w:r>
      <w:r w:rsidRPr="0015541C">
        <w:rPr>
          <w:lang w:val="pl-PL"/>
        </w:rPr>
        <w:t>(0,9%). Otrzymane końcowe stężenie roztworu bewacyzumabu powinno być w zakresie od 1,4</w:t>
      </w:r>
      <w:r w:rsidR="00D35AC6" w:rsidRPr="0015541C">
        <w:rPr>
          <w:lang w:val="pl-PL"/>
        </w:rPr>
        <w:t> mg/ml</w:t>
      </w:r>
      <w:r w:rsidRPr="0015541C">
        <w:rPr>
          <w:lang w:val="pl-PL"/>
        </w:rPr>
        <w:t xml:space="preserve"> do 16,5 mg/ml.</w:t>
      </w:r>
      <w:r w:rsidR="00534204" w:rsidRPr="0015541C">
        <w:rPr>
          <w:lang w:val="pl-PL"/>
        </w:rPr>
        <w:t xml:space="preserve"> W</w:t>
      </w:r>
      <w:r w:rsidR="00592F2C" w:rsidRPr="0015541C">
        <w:rPr>
          <w:lang w:val="pl-PL"/>
        </w:rPr>
        <w:t xml:space="preserve"> większości przypadków wymagan</w:t>
      </w:r>
      <w:r w:rsidR="0061454B" w:rsidRPr="0015541C">
        <w:rPr>
          <w:lang w:val="pl-PL"/>
        </w:rPr>
        <w:t>ą</w:t>
      </w:r>
      <w:r w:rsidR="00534204" w:rsidRPr="0015541C">
        <w:rPr>
          <w:lang w:val="pl-PL"/>
        </w:rPr>
        <w:t xml:space="preserve"> </w:t>
      </w:r>
      <w:r w:rsidR="002F606F" w:rsidRPr="0015541C">
        <w:rPr>
          <w:lang w:val="pl-PL"/>
        </w:rPr>
        <w:t xml:space="preserve">do podania dawkę leku </w:t>
      </w:r>
      <w:r w:rsidR="00C87F12" w:rsidRPr="0015541C">
        <w:rPr>
          <w:lang w:val="pl-PL"/>
        </w:rPr>
        <w:t>Aybintio</w:t>
      </w:r>
      <w:r w:rsidR="002F606F" w:rsidRPr="0015541C">
        <w:rPr>
          <w:lang w:val="pl-PL"/>
        </w:rPr>
        <w:t xml:space="preserve"> można rozcieńczyć przy użyciu roztworu chlorku sodu do wstrzykiwań </w:t>
      </w:r>
      <w:r w:rsidR="00713331" w:rsidRPr="0015541C">
        <w:rPr>
          <w:lang w:val="pl-PL"/>
        </w:rPr>
        <w:t xml:space="preserve">o stężeniu 0,9% </w:t>
      </w:r>
      <w:r w:rsidR="002F606F" w:rsidRPr="0015541C">
        <w:rPr>
          <w:lang w:val="pl-PL"/>
        </w:rPr>
        <w:t>do całkowitej objętości 100 ml.</w:t>
      </w:r>
    </w:p>
    <w:p w14:paraId="6F744CE2" w14:textId="77777777" w:rsidR="00994050" w:rsidRPr="0015541C" w:rsidRDefault="00994050" w:rsidP="00994050">
      <w:pPr>
        <w:rPr>
          <w:lang w:val="pl-PL"/>
        </w:rPr>
      </w:pPr>
    </w:p>
    <w:p w14:paraId="5BB67C07" w14:textId="77777777" w:rsidR="00994050" w:rsidRPr="0015541C" w:rsidRDefault="00994050" w:rsidP="00994050">
      <w:pPr>
        <w:rPr>
          <w:lang w:val="pl-PL"/>
        </w:rPr>
      </w:pPr>
      <w:r w:rsidRPr="0015541C">
        <w:rPr>
          <w:lang w:val="pl-PL"/>
        </w:rPr>
        <w:t>Przed parenteralnym podaniem produktów leczniczych należy sprawdzić wzrokowo, czy przygotowany produkt nie zawiera żadnych widocznych cząstek i czy nie zmienił zabarwienia.</w:t>
      </w:r>
    </w:p>
    <w:p w14:paraId="02C0F130" w14:textId="77777777" w:rsidR="00767CC0" w:rsidRPr="0015541C" w:rsidRDefault="00767CC0" w:rsidP="00994050">
      <w:pPr>
        <w:rPr>
          <w:lang w:val="pl-PL"/>
        </w:rPr>
      </w:pPr>
    </w:p>
    <w:p w14:paraId="3EF16D58" w14:textId="77777777" w:rsidR="00994050" w:rsidRPr="0015541C" w:rsidRDefault="00994050" w:rsidP="00994050">
      <w:pPr>
        <w:rPr>
          <w:lang w:val="pl-PL"/>
        </w:rPr>
      </w:pPr>
      <w:r w:rsidRPr="0015541C">
        <w:rPr>
          <w:lang w:val="pl-PL"/>
        </w:rPr>
        <w:t xml:space="preserve">Nie obserwowano żadnych niezgodności pomiędzy produktem </w:t>
      </w:r>
      <w:r w:rsidR="00C87F12" w:rsidRPr="0015541C">
        <w:rPr>
          <w:lang w:val="pl-PL"/>
        </w:rPr>
        <w:t>Aybintio</w:t>
      </w:r>
      <w:r w:rsidRPr="0015541C">
        <w:rPr>
          <w:lang w:val="pl-PL"/>
        </w:rPr>
        <w:t xml:space="preserve"> a polichlorkiem winylu, torbami z poliolefin lub zestawami do infuzji.</w:t>
      </w:r>
    </w:p>
    <w:p w14:paraId="4EFC9792" w14:textId="77777777" w:rsidR="00994050" w:rsidRPr="0015541C" w:rsidRDefault="00994050" w:rsidP="00994050">
      <w:pPr>
        <w:rPr>
          <w:lang w:val="pl-PL"/>
        </w:rPr>
      </w:pPr>
    </w:p>
    <w:p w14:paraId="4B4F9B46" w14:textId="77777777" w:rsidR="00AE590F" w:rsidRPr="0015541C" w:rsidRDefault="00C87F12" w:rsidP="00994050">
      <w:pPr>
        <w:rPr>
          <w:lang w:val="pl-PL"/>
        </w:rPr>
      </w:pPr>
      <w:r w:rsidRPr="0015541C">
        <w:rPr>
          <w:lang w:val="pl-PL"/>
        </w:rPr>
        <w:t>Aybintio</w:t>
      </w:r>
      <w:r w:rsidR="00AE590F" w:rsidRPr="0015541C">
        <w:rPr>
          <w:lang w:val="pl-PL"/>
        </w:rPr>
        <w:t xml:space="preserve"> jest produktem do jednorazowego użycia ze względu na to, że nie zawiera on żadnych konserwantów. Wszelkie niewykorzystane resztki produktu leczniczego lub jego odpady należy usunąć zgodnie z lokalnymi przepisami.</w:t>
      </w:r>
    </w:p>
    <w:p w14:paraId="4804A119" w14:textId="77777777" w:rsidR="00D97A0A" w:rsidRPr="0015541C" w:rsidRDefault="00D97A0A" w:rsidP="00994050">
      <w:pPr>
        <w:rPr>
          <w:lang w:val="pl-PL"/>
        </w:rPr>
      </w:pPr>
    </w:p>
    <w:p w14:paraId="74A51FA9" w14:textId="77777777" w:rsidR="00994050" w:rsidRPr="0015541C" w:rsidRDefault="00994050" w:rsidP="00994050">
      <w:pPr>
        <w:ind w:left="567" w:hanging="567"/>
        <w:rPr>
          <w:b/>
          <w:lang w:val="pl-PL"/>
        </w:rPr>
      </w:pPr>
    </w:p>
    <w:p w14:paraId="7DBC7F97" w14:textId="77777777" w:rsidR="00994050" w:rsidRPr="0015541C" w:rsidRDefault="00994050" w:rsidP="004E56F9">
      <w:pPr>
        <w:keepNext/>
        <w:keepLines/>
        <w:ind w:left="567" w:hanging="567"/>
        <w:rPr>
          <w:b/>
          <w:lang w:val="pl-PL"/>
        </w:rPr>
      </w:pPr>
      <w:r w:rsidRPr="0015541C">
        <w:rPr>
          <w:b/>
          <w:lang w:val="pl-PL"/>
        </w:rPr>
        <w:t>7.</w:t>
      </w:r>
      <w:r w:rsidRPr="0015541C">
        <w:rPr>
          <w:b/>
          <w:lang w:val="pl-PL"/>
        </w:rPr>
        <w:tab/>
        <w:t>PODMIOT ODPOWIEDZIALNY POSIADAJĄCY POZWOLENIE NA DOPUSZCZENIE DO OBROTU</w:t>
      </w:r>
    </w:p>
    <w:p w14:paraId="4377C4F5" w14:textId="77777777" w:rsidR="00994050" w:rsidRPr="0015541C" w:rsidRDefault="00994050" w:rsidP="004E56F9">
      <w:pPr>
        <w:keepNext/>
        <w:keepLines/>
        <w:rPr>
          <w:lang w:val="pl-PL"/>
        </w:rPr>
      </w:pPr>
    </w:p>
    <w:p w14:paraId="64CBC3A4" w14:textId="77777777" w:rsidR="002C2C37" w:rsidRPr="0015541C" w:rsidRDefault="002C2C37" w:rsidP="002C2C37">
      <w:pPr>
        <w:rPr>
          <w:lang w:val="pl-PL"/>
        </w:rPr>
      </w:pPr>
      <w:r w:rsidRPr="0015541C">
        <w:rPr>
          <w:lang w:val="pl-PL"/>
        </w:rPr>
        <w:t>Samsung Bioepis NL B.V.</w:t>
      </w:r>
    </w:p>
    <w:p w14:paraId="781D6635" w14:textId="77777777" w:rsidR="002C2C37" w:rsidRPr="0015541C" w:rsidRDefault="002C2C37" w:rsidP="002C2C37">
      <w:pPr>
        <w:rPr>
          <w:lang w:val="pl-PL"/>
        </w:rPr>
      </w:pPr>
      <w:r w:rsidRPr="0015541C">
        <w:rPr>
          <w:lang w:val="pl-PL"/>
        </w:rPr>
        <w:t>Olof Palmestraat 10</w:t>
      </w:r>
    </w:p>
    <w:p w14:paraId="1AE6F438" w14:textId="77777777" w:rsidR="002C2C37" w:rsidRPr="0015541C" w:rsidRDefault="002C2C37" w:rsidP="002C2C37">
      <w:pPr>
        <w:rPr>
          <w:lang w:val="pl-PL"/>
        </w:rPr>
      </w:pPr>
      <w:r w:rsidRPr="0015541C">
        <w:rPr>
          <w:lang w:val="pl-PL"/>
        </w:rPr>
        <w:t>2616 LR Delft</w:t>
      </w:r>
    </w:p>
    <w:p w14:paraId="2933D0A7" w14:textId="77777777" w:rsidR="002C2C37" w:rsidRPr="0015541C" w:rsidRDefault="002C2C37" w:rsidP="002C2C37">
      <w:pPr>
        <w:rPr>
          <w:lang w:val="pl-PL"/>
        </w:rPr>
      </w:pPr>
      <w:r w:rsidRPr="0015541C">
        <w:rPr>
          <w:lang w:val="pl-PL"/>
        </w:rPr>
        <w:t>Holandia</w:t>
      </w:r>
    </w:p>
    <w:p w14:paraId="43D85502" w14:textId="2B4021CC" w:rsidR="00994050" w:rsidRPr="0015541C" w:rsidRDefault="00ED652F" w:rsidP="00994050">
      <w:pPr>
        <w:rPr>
          <w:lang w:val="pl-PL"/>
        </w:rPr>
      </w:pPr>
      <w:hyperlink r:id="rId14" w:history="1">
        <w:r w:rsidR="00DE6CE3" w:rsidRPr="0015541C">
          <w:rPr>
            <w:rStyle w:val="Hyperlink"/>
            <w:lang w:val="pl-PL"/>
          </w:rPr>
          <w:t>bioepis.mi@medinformation.co.uk</w:t>
        </w:r>
      </w:hyperlink>
    </w:p>
    <w:p w14:paraId="2773D2AF" w14:textId="77777777" w:rsidR="00DE6CE3" w:rsidRPr="0070444C" w:rsidRDefault="00DE6CE3" w:rsidP="00994050">
      <w:pPr>
        <w:rPr>
          <w:rFonts w:eastAsia="Yu Mincho"/>
          <w:lang w:val="pl-PL"/>
        </w:rPr>
      </w:pPr>
    </w:p>
    <w:p w14:paraId="5D420C5C" w14:textId="77777777" w:rsidR="00994050" w:rsidRPr="0015541C" w:rsidRDefault="00994050" w:rsidP="00994050">
      <w:pPr>
        <w:rPr>
          <w:lang w:val="pl-PL"/>
        </w:rPr>
      </w:pPr>
    </w:p>
    <w:p w14:paraId="49E10F12" w14:textId="77777777" w:rsidR="00994050" w:rsidRPr="0015541C" w:rsidRDefault="00994050" w:rsidP="00994050">
      <w:pPr>
        <w:ind w:left="567" w:hanging="567"/>
        <w:rPr>
          <w:b/>
          <w:lang w:val="pl-PL"/>
        </w:rPr>
      </w:pPr>
      <w:r w:rsidRPr="0015541C">
        <w:rPr>
          <w:b/>
          <w:lang w:val="pl-PL"/>
        </w:rPr>
        <w:t>8.</w:t>
      </w:r>
      <w:r w:rsidRPr="0015541C">
        <w:rPr>
          <w:b/>
          <w:lang w:val="pl-PL"/>
        </w:rPr>
        <w:tab/>
        <w:t>NUMERY POZWOLE</w:t>
      </w:r>
      <w:r w:rsidRPr="0015541C">
        <w:rPr>
          <w:b/>
          <w:bCs/>
          <w:lang w:val="pl-PL"/>
        </w:rPr>
        <w:t>Ń</w:t>
      </w:r>
      <w:r w:rsidRPr="0015541C">
        <w:rPr>
          <w:b/>
          <w:lang w:val="pl-PL"/>
        </w:rPr>
        <w:t xml:space="preserve"> NA DOPUSZCZENIE DO OBROTU</w:t>
      </w:r>
    </w:p>
    <w:p w14:paraId="5A0C03B9" w14:textId="77777777" w:rsidR="00661511" w:rsidRPr="0070444C" w:rsidRDefault="00661511" w:rsidP="005A4F32">
      <w:pPr>
        <w:ind w:left="567" w:hanging="567"/>
        <w:rPr>
          <w:b/>
          <w:lang w:val="pl-PL"/>
        </w:rPr>
      </w:pPr>
    </w:p>
    <w:p w14:paraId="19F7B669" w14:textId="77777777" w:rsidR="006A04C8" w:rsidRPr="0070444C" w:rsidRDefault="006A04C8" w:rsidP="006A04C8">
      <w:pPr>
        <w:rPr>
          <w:lang w:val="pl-PL"/>
        </w:rPr>
      </w:pPr>
      <w:r w:rsidRPr="0070444C">
        <w:rPr>
          <w:lang w:val="pl-PL"/>
        </w:rPr>
        <w:t xml:space="preserve">EU/1/20/1454/001 – 100 mg/4 ml fiolka </w:t>
      </w:r>
    </w:p>
    <w:p w14:paraId="4F1DAAB1" w14:textId="77777777" w:rsidR="006A04C8" w:rsidRPr="0070444C" w:rsidRDefault="006A04C8" w:rsidP="006A04C8">
      <w:pPr>
        <w:rPr>
          <w:lang w:val="pl-PL"/>
        </w:rPr>
      </w:pPr>
      <w:r w:rsidRPr="0070444C">
        <w:rPr>
          <w:lang w:val="pl-PL"/>
        </w:rPr>
        <w:t>EU/1/20/1454/002 – 400 mg/16 ml fiolka</w:t>
      </w:r>
    </w:p>
    <w:p w14:paraId="402A2C41" w14:textId="77777777" w:rsidR="00994050" w:rsidRPr="0070444C" w:rsidRDefault="00994050" w:rsidP="00994050">
      <w:pPr>
        <w:ind w:left="567" w:hanging="567"/>
        <w:rPr>
          <w:b/>
          <w:lang w:val="pl-PL"/>
        </w:rPr>
      </w:pPr>
    </w:p>
    <w:p w14:paraId="2CF09F4B" w14:textId="77777777" w:rsidR="00994050" w:rsidRPr="0070444C" w:rsidRDefault="00994050" w:rsidP="00994050">
      <w:pPr>
        <w:ind w:left="567" w:hanging="567"/>
        <w:rPr>
          <w:b/>
          <w:lang w:val="pl-PL"/>
        </w:rPr>
      </w:pPr>
    </w:p>
    <w:p w14:paraId="261BC662" w14:textId="77777777" w:rsidR="00994050" w:rsidRPr="0070444C" w:rsidRDefault="00994050" w:rsidP="00B247C3">
      <w:pPr>
        <w:keepNext/>
        <w:keepLines/>
        <w:ind w:left="567" w:hanging="567"/>
        <w:rPr>
          <w:b/>
          <w:lang w:val="pl-PL"/>
        </w:rPr>
      </w:pPr>
      <w:r w:rsidRPr="0015541C">
        <w:rPr>
          <w:b/>
          <w:lang w:val="pl-PL"/>
        </w:rPr>
        <w:t>9.</w:t>
      </w:r>
      <w:r w:rsidRPr="0015541C">
        <w:rPr>
          <w:b/>
          <w:lang w:val="pl-PL"/>
        </w:rPr>
        <w:tab/>
        <w:t xml:space="preserve">DATA WYDANIA PIERWSZEGO POZWOLENIA NA DOPUSZCZENIE DO OBROTU </w:t>
      </w:r>
      <w:r w:rsidR="000430CB" w:rsidRPr="0015541C">
        <w:rPr>
          <w:b/>
          <w:lang w:val="pl-PL" w:eastAsia="ko-KR"/>
        </w:rPr>
        <w:t>I</w:t>
      </w:r>
      <w:r w:rsidRPr="0015541C">
        <w:rPr>
          <w:b/>
          <w:lang w:val="pl-PL"/>
        </w:rPr>
        <w:t xml:space="preserve"> DATA PRZEDŁUŻENIA POZWOLENIA</w:t>
      </w:r>
      <w:r w:rsidR="000430CB" w:rsidRPr="0070444C">
        <w:rPr>
          <w:b/>
          <w:lang w:val="pl-PL"/>
        </w:rPr>
        <w:t xml:space="preserve"> </w:t>
      </w:r>
    </w:p>
    <w:p w14:paraId="129651AE" w14:textId="77777777" w:rsidR="00661511" w:rsidRPr="0070444C" w:rsidRDefault="00661511" w:rsidP="005A4F32">
      <w:pPr>
        <w:keepNext/>
        <w:keepLines/>
        <w:ind w:left="567" w:hanging="567"/>
        <w:rPr>
          <w:b/>
          <w:lang w:val="pl-PL"/>
        </w:rPr>
      </w:pPr>
    </w:p>
    <w:p w14:paraId="2BC83CE8" w14:textId="56C0DC00" w:rsidR="006A04C8" w:rsidRPr="0015541C" w:rsidRDefault="006A04C8" w:rsidP="00B247C3">
      <w:pPr>
        <w:keepNext/>
        <w:keepLines/>
        <w:rPr>
          <w:lang w:val="pl-PL"/>
        </w:rPr>
      </w:pPr>
      <w:r w:rsidRPr="0015541C">
        <w:rPr>
          <w:lang w:val="pl-PL"/>
        </w:rPr>
        <w:t>Data wydania pierwszego pozwolenia na dopuszczenie do obrotu:</w:t>
      </w:r>
      <w:r w:rsidR="00AE42A8" w:rsidRPr="0015541C">
        <w:rPr>
          <w:lang w:val="pl-PL"/>
        </w:rPr>
        <w:t xml:space="preserve"> 19 sierpnia 2020</w:t>
      </w:r>
    </w:p>
    <w:p w14:paraId="3BD548B4" w14:textId="1678A29B" w:rsidR="00994050" w:rsidRPr="008D11DD" w:rsidRDefault="00FB72CA" w:rsidP="00B247C3">
      <w:pPr>
        <w:keepNext/>
        <w:keepLines/>
        <w:rPr>
          <w:lang w:val="pl-PL"/>
        </w:rPr>
      </w:pPr>
      <w:r w:rsidRPr="008D11DD">
        <w:rPr>
          <w:lang w:val="pl-PL"/>
        </w:rPr>
        <w:t>Data przedłużenia pozwolenia: 05 czerwca 2025</w:t>
      </w:r>
    </w:p>
    <w:p w14:paraId="2D02D37A" w14:textId="77777777" w:rsidR="00FB72CA" w:rsidRPr="0015541C" w:rsidRDefault="00FB72CA" w:rsidP="00B247C3">
      <w:pPr>
        <w:keepNext/>
        <w:keepLines/>
        <w:rPr>
          <w:lang w:val="pl-PL"/>
        </w:rPr>
      </w:pPr>
    </w:p>
    <w:p w14:paraId="0052F29E" w14:textId="77777777" w:rsidR="00DA1992" w:rsidRPr="0015541C" w:rsidRDefault="00DA1992" w:rsidP="00B247C3">
      <w:pPr>
        <w:keepNext/>
        <w:keepLines/>
        <w:rPr>
          <w:lang w:val="pl-PL"/>
        </w:rPr>
      </w:pPr>
    </w:p>
    <w:p w14:paraId="093246FB" w14:textId="77777777" w:rsidR="00994050" w:rsidRPr="0015541C" w:rsidRDefault="00994050" w:rsidP="00B247C3">
      <w:pPr>
        <w:keepNext/>
        <w:keepLines/>
        <w:ind w:left="567" w:hanging="567"/>
        <w:rPr>
          <w:lang w:val="pl-PL"/>
        </w:rPr>
      </w:pPr>
      <w:r w:rsidRPr="00AC3958">
        <w:rPr>
          <w:b/>
          <w:lang w:val="pl-PL"/>
        </w:rPr>
        <w:t>10.</w:t>
      </w:r>
      <w:r w:rsidRPr="00AC3958">
        <w:rPr>
          <w:b/>
          <w:lang w:val="pl-PL"/>
        </w:rPr>
        <w:tab/>
        <w:t xml:space="preserve">DATA ZATWIERDZENIA LUB CZĘŚCIOWEJ ZMIANY TEKSTU </w:t>
      </w:r>
      <w:r w:rsidRPr="0015541C">
        <w:rPr>
          <w:b/>
          <w:lang w:val="pl-PL"/>
        </w:rPr>
        <w:t>CHARAKTERYSTYKI PRODUKTU LECZNICZEGO</w:t>
      </w:r>
    </w:p>
    <w:p w14:paraId="68D9CBC5" w14:textId="77777777" w:rsidR="00322DBB" w:rsidRPr="0015541C" w:rsidRDefault="00322DBB" w:rsidP="00B247C3">
      <w:pPr>
        <w:keepNext/>
        <w:keepLines/>
        <w:ind w:left="567" w:hanging="567"/>
        <w:rPr>
          <w:lang w:val="pl-PL"/>
        </w:rPr>
      </w:pPr>
    </w:p>
    <w:p w14:paraId="066B42D1" w14:textId="77777777" w:rsidR="000D21AF" w:rsidRPr="0015541C" w:rsidRDefault="00E1388D" w:rsidP="00B247C3">
      <w:pPr>
        <w:keepNext/>
        <w:keepLines/>
        <w:rPr>
          <w:lang w:val="pl-PL"/>
        </w:rPr>
      </w:pPr>
      <w:r w:rsidRPr="0015541C">
        <w:rPr>
          <w:lang w:val="pl-PL"/>
        </w:rPr>
        <w:t>Szczegółow</w:t>
      </w:r>
      <w:r w:rsidR="00930C2C" w:rsidRPr="0015541C">
        <w:rPr>
          <w:lang w:val="pl-PL"/>
        </w:rPr>
        <w:t>e</w:t>
      </w:r>
      <w:r w:rsidRPr="0015541C">
        <w:rPr>
          <w:lang w:val="pl-PL"/>
        </w:rPr>
        <w:t xml:space="preserve"> informacj</w:t>
      </w:r>
      <w:r w:rsidR="00930C2C" w:rsidRPr="0015541C">
        <w:rPr>
          <w:lang w:val="pl-PL"/>
        </w:rPr>
        <w:t>e</w:t>
      </w:r>
      <w:r w:rsidRPr="0015541C">
        <w:rPr>
          <w:lang w:val="pl-PL"/>
        </w:rPr>
        <w:t xml:space="preserve"> o tym produkcie </w:t>
      </w:r>
      <w:r w:rsidR="00930C2C" w:rsidRPr="0015541C">
        <w:rPr>
          <w:lang w:val="pl-PL"/>
        </w:rPr>
        <w:t xml:space="preserve">leczniczym są dostępne </w:t>
      </w:r>
      <w:r w:rsidRPr="0015541C">
        <w:rPr>
          <w:lang w:val="pl-PL"/>
        </w:rPr>
        <w:t>na stronie internetowej Europejskiej Agencji Leków</w:t>
      </w:r>
      <w:r w:rsidR="000430CB" w:rsidRPr="0015541C">
        <w:rPr>
          <w:lang w:val="pl-PL"/>
        </w:rPr>
        <w:t>:</w:t>
      </w:r>
      <w:r w:rsidRPr="0015541C">
        <w:rPr>
          <w:lang w:val="pl-PL"/>
        </w:rPr>
        <w:t xml:space="preserve"> </w:t>
      </w:r>
      <w:hyperlink r:id="rId15" w:history="1">
        <w:r w:rsidR="0012401D" w:rsidRPr="0015541C">
          <w:rPr>
            <w:rStyle w:val="Hyperlink"/>
            <w:lang w:val="pl-PL"/>
          </w:rPr>
          <w:t>http://www.ema.europa.eu</w:t>
        </w:r>
      </w:hyperlink>
    </w:p>
    <w:p w14:paraId="5BEEF296" w14:textId="77777777" w:rsidR="002A2453" w:rsidRPr="0015541C" w:rsidRDefault="000D21AF" w:rsidP="002A2453">
      <w:pPr>
        <w:rPr>
          <w:szCs w:val="28"/>
          <w:lang w:val="pl-PL" w:eastAsia="pl-PL"/>
        </w:rPr>
      </w:pPr>
      <w:r w:rsidRPr="0015541C">
        <w:rPr>
          <w:lang w:val="pl-PL"/>
        </w:rPr>
        <w:br w:type="page"/>
      </w:r>
    </w:p>
    <w:p w14:paraId="78DD5A34" w14:textId="77777777" w:rsidR="002A2453" w:rsidRPr="0015541C" w:rsidRDefault="002A2453" w:rsidP="002A2453">
      <w:pPr>
        <w:rPr>
          <w:szCs w:val="28"/>
          <w:lang w:val="pl-PL" w:eastAsia="pl-PL"/>
        </w:rPr>
      </w:pPr>
    </w:p>
    <w:p w14:paraId="5EDA6471" w14:textId="77777777" w:rsidR="002A2453" w:rsidRPr="00AC3958" w:rsidRDefault="002A2453" w:rsidP="002A2453">
      <w:pPr>
        <w:ind w:left="567" w:hanging="567"/>
        <w:rPr>
          <w:szCs w:val="28"/>
          <w:lang w:val="pl-PL" w:eastAsia="pl-PL"/>
        </w:rPr>
      </w:pPr>
    </w:p>
    <w:p w14:paraId="7B4C1E16" w14:textId="77777777" w:rsidR="002A2453" w:rsidRPr="0015541C" w:rsidRDefault="002A2453" w:rsidP="002A2453">
      <w:pPr>
        <w:ind w:left="567" w:hanging="567"/>
        <w:rPr>
          <w:szCs w:val="28"/>
          <w:lang w:val="pl-PL" w:eastAsia="pl-PL"/>
        </w:rPr>
      </w:pPr>
    </w:p>
    <w:p w14:paraId="322B266F" w14:textId="77777777" w:rsidR="002A2453" w:rsidRPr="0015541C" w:rsidRDefault="002A2453" w:rsidP="002A2453">
      <w:pPr>
        <w:ind w:left="567" w:hanging="567"/>
        <w:rPr>
          <w:szCs w:val="28"/>
          <w:lang w:val="pl-PL" w:eastAsia="pl-PL"/>
        </w:rPr>
      </w:pPr>
    </w:p>
    <w:p w14:paraId="3C6E2E4A" w14:textId="77777777" w:rsidR="002A2453" w:rsidRPr="0015541C" w:rsidRDefault="002A2453" w:rsidP="002A2453">
      <w:pPr>
        <w:ind w:left="567" w:hanging="567"/>
        <w:rPr>
          <w:szCs w:val="28"/>
          <w:lang w:val="pl-PL" w:eastAsia="pl-PL"/>
        </w:rPr>
      </w:pPr>
    </w:p>
    <w:p w14:paraId="69F2AF09" w14:textId="77777777" w:rsidR="002A2453" w:rsidRPr="0015541C" w:rsidRDefault="002A2453" w:rsidP="002A2453">
      <w:pPr>
        <w:ind w:left="567" w:hanging="567"/>
        <w:rPr>
          <w:szCs w:val="28"/>
          <w:lang w:val="pl-PL" w:eastAsia="pl-PL"/>
        </w:rPr>
      </w:pPr>
    </w:p>
    <w:p w14:paraId="1E31EA87" w14:textId="77777777" w:rsidR="002A2453" w:rsidRPr="0015541C" w:rsidRDefault="002A2453" w:rsidP="002A2453">
      <w:pPr>
        <w:ind w:left="567" w:hanging="567"/>
        <w:rPr>
          <w:szCs w:val="28"/>
          <w:lang w:val="pl-PL" w:eastAsia="pl-PL"/>
        </w:rPr>
      </w:pPr>
    </w:p>
    <w:p w14:paraId="7BFEF2FD" w14:textId="77777777" w:rsidR="002A2453" w:rsidRPr="0015541C" w:rsidRDefault="002A2453" w:rsidP="002A2453">
      <w:pPr>
        <w:ind w:left="567" w:hanging="567"/>
        <w:rPr>
          <w:szCs w:val="28"/>
          <w:lang w:val="pl-PL" w:eastAsia="pl-PL"/>
        </w:rPr>
      </w:pPr>
    </w:p>
    <w:p w14:paraId="7EBCCBB8" w14:textId="77777777" w:rsidR="002A2453" w:rsidRPr="0015541C" w:rsidRDefault="002A2453" w:rsidP="002A2453">
      <w:pPr>
        <w:ind w:left="567" w:hanging="567"/>
        <w:rPr>
          <w:szCs w:val="28"/>
          <w:lang w:val="pl-PL" w:eastAsia="pl-PL"/>
        </w:rPr>
      </w:pPr>
    </w:p>
    <w:p w14:paraId="2BE03CC5" w14:textId="77777777" w:rsidR="002A2453" w:rsidRPr="0015541C" w:rsidRDefault="002A2453" w:rsidP="002A2453">
      <w:pPr>
        <w:ind w:left="567" w:hanging="567"/>
        <w:rPr>
          <w:szCs w:val="28"/>
          <w:lang w:val="pl-PL" w:eastAsia="pl-PL"/>
        </w:rPr>
      </w:pPr>
    </w:p>
    <w:p w14:paraId="54880CD5" w14:textId="77777777" w:rsidR="002A2453" w:rsidRPr="0015541C" w:rsidRDefault="002A2453" w:rsidP="002A2453">
      <w:pPr>
        <w:ind w:left="567" w:hanging="567"/>
        <w:rPr>
          <w:szCs w:val="28"/>
          <w:lang w:val="pl-PL" w:eastAsia="pl-PL"/>
        </w:rPr>
      </w:pPr>
    </w:p>
    <w:p w14:paraId="02613B39" w14:textId="77777777" w:rsidR="002A2453" w:rsidRPr="0015541C" w:rsidRDefault="002A2453" w:rsidP="002A2453">
      <w:pPr>
        <w:ind w:left="567" w:hanging="567"/>
        <w:rPr>
          <w:szCs w:val="28"/>
          <w:lang w:val="pl-PL" w:eastAsia="pl-PL"/>
        </w:rPr>
      </w:pPr>
    </w:p>
    <w:p w14:paraId="6729A623" w14:textId="77777777" w:rsidR="002A2453" w:rsidRPr="0015541C" w:rsidRDefault="002A2453" w:rsidP="002A2453">
      <w:pPr>
        <w:ind w:left="567" w:hanging="567"/>
        <w:rPr>
          <w:szCs w:val="28"/>
          <w:lang w:val="pl-PL" w:eastAsia="pl-PL"/>
        </w:rPr>
      </w:pPr>
    </w:p>
    <w:p w14:paraId="43D781E8" w14:textId="77777777" w:rsidR="002A2453" w:rsidRPr="0015541C" w:rsidRDefault="002A2453" w:rsidP="002A2453">
      <w:pPr>
        <w:ind w:left="567" w:hanging="567"/>
        <w:rPr>
          <w:szCs w:val="28"/>
          <w:lang w:val="pl-PL" w:eastAsia="pl-PL"/>
        </w:rPr>
      </w:pPr>
    </w:p>
    <w:p w14:paraId="3D9F6F0F" w14:textId="77777777" w:rsidR="002A2453" w:rsidRPr="0015541C" w:rsidRDefault="002A2453" w:rsidP="002A2453">
      <w:pPr>
        <w:ind w:left="567" w:hanging="567"/>
        <w:rPr>
          <w:szCs w:val="28"/>
          <w:lang w:val="pl-PL" w:eastAsia="pl-PL"/>
        </w:rPr>
      </w:pPr>
    </w:p>
    <w:p w14:paraId="28745AC2" w14:textId="77777777" w:rsidR="002A2453" w:rsidRPr="0015541C" w:rsidRDefault="002A2453" w:rsidP="002A2453">
      <w:pPr>
        <w:ind w:left="567" w:hanging="567"/>
        <w:rPr>
          <w:szCs w:val="28"/>
          <w:lang w:val="pl-PL" w:eastAsia="pl-PL"/>
        </w:rPr>
      </w:pPr>
    </w:p>
    <w:p w14:paraId="12CA82D2" w14:textId="77777777" w:rsidR="002A2453" w:rsidRPr="0015541C" w:rsidRDefault="002A2453" w:rsidP="002A2453">
      <w:pPr>
        <w:ind w:left="567" w:hanging="567"/>
        <w:rPr>
          <w:szCs w:val="28"/>
          <w:lang w:val="pl-PL" w:eastAsia="pl-PL"/>
        </w:rPr>
      </w:pPr>
    </w:p>
    <w:p w14:paraId="7E096A8F" w14:textId="77777777" w:rsidR="002A2453" w:rsidRPr="0015541C" w:rsidRDefault="002A2453" w:rsidP="002A2453">
      <w:pPr>
        <w:ind w:left="567" w:hanging="567"/>
        <w:rPr>
          <w:szCs w:val="28"/>
          <w:lang w:val="pl-PL" w:eastAsia="pl-PL"/>
        </w:rPr>
      </w:pPr>
    </w:p>
    <w:p w14:paraId="4A49D999" w14:textId="77777777" w:rsidR="002A2453" w:rsidRPr="0015541C" w:rsidRDefault="002A2453" w:rsidP="002A2453">
      <w:pPr>
        <w:ind w:left="567" w:hanging="567"/>
        <w:rPr>
          <w:szCs w:val="28"/>
          <w:lang w:val="pl-PL" w:eastAsia="pl-PL"/>
        </w:rPr>
      </w:pPr>
    </w:p>
    <w:p w14:paraId="0E2DA0EC" w14:textId="77777777" w:rsidR="002A2453" w:rsidRPr="0015541C" w:rsidRDefault="002A2453" w:rsidP="002A2453">
      <w:pPr>
        <w:ind w:left="567" w:hanging="567"/>
        <w:rPr>
          <w:szCs w:val="28"/>
          <w:lang w:val="pl-PL" w:eastAsia="pl-PL"/>
        </w:rPr>
      </w:pPr>
    </w:p>
    <w:p w14:paraId="07832527" w14:textId="77777777" w:rsidR="002A2453" w:rsidRPr="0015541C" w:rsidRDefault="002A2453" w:rsidP="002A2453">
      <w:pPr>
        <w:ind w:left="567" w:hanging="567"/>
        <w:rPr>
          <w:szCs w:val="28"/>
          <w:lang w:val="pl-PL" w:eastAsia="pl-PL"/>
        </w:rPr>
      </w:pPr>
    </w:p>
    <w:p w14:paraId="4D34EB1C" w14:textId="77777777" w:rsidR="002A2453" w:rsidRPr="0015541C" w:rsidRDefault="002A2453" w:rsidP="002A2453">
      <w:pPr>
        <w:ind w:left="567" w:hanging="567"/>
        <w:rPr>
          <w:szCs w:val="28"/>
          <w:lang w:val="pl-PL" w:eastAsia="pl-PL"/>
        </w:rPr>
      </w:pPr>
    </w:p>
    <w:p w14:paraId="022C75E1" w14:textId="77777777" w:rsidR="002A2453" w:rsidRPr="0015541C" w:rsidRDefault="002A2453" w:rsidP="002A2453">
      <w:pPr>
        <w:ind w:left="567" w:hanging="567"/>
        <w:jc w:val="center"/>
        <w:rPr>
          <w:b/>
          <w:szCs w:val="28"/>
          <w:lang w:val="pl-PL" w:eastAsia="pl-PL"/>
        </w:rPr>
      </w:pPr>
      <w:r w:rsidRPr="0015541C">
        <w:rPr>
          <w:b/>
          <w:szCs w:val="28"/>
          <w:lang w:val="pl-PL" w:eastAsia="pl-PL"/>
        </w:rPr>
        <w:t>ANEKS II</w:t>
      </w:r>
    </w:p>
    <w:p w14:paraId="7EB2F102" w14:textId="77777777" w:rsidR="002A2453" w:rsidRPr="0015541C" w:rsidRDefault="002A2453" w:rsidP="002A2453">
      <w:pPr>
        <w:ind w:left="567" w:hanging="567"/>
        <w:jc w:val="center"/>
        <w:rPr>
          <w:b/>
          <w:szCs w:val="28"/>
          <w:lang w:val="pl-PL" w:eastAsia="pl-PL"/>
        </w:rPr>
      </w:pPr>
    </w:p>
    <w:p w14:paraId="31D4C361" w14:textId="77777777" w:rsidR="002A2453" w:rsidRPr="0015541C" w:rsidRDefault="002A2453" w:rsidP="002A2453">
      <w:pPr>
        <w:ind w:left="1701" w:right="1150" w:hanging="567"/>
        <w:rPr>
          <w:b/>
          <w:szCs w:val="28"/>
          <w:lang w:val="pl-PL" w:eastAsia="pl-PL"/>
        </w:rPr>
      </w:pPr>
      <w:r w:rsidRPr="0015541C">
        <w:rPr>
          <w:b/>
          <w:szCs w:val="28"/>
          <w:lang w:val="pl-PL" w:eastAsia="pl-PL"/>
        </w:rPr>
        <w:t>A.</w:t>
      </w:r>
      <w:r w:rsidRPr="0015541C">
        <w:rPr>
          <w:b/>
          <w:szCs w:val="28"/>
          <w:lang w:val="pl-PL" w:eastAsia="pl-PL"/>
        </w:rPr>
        <w:tab/>
        <w:t>WYTWÓRCA BIOLOGICZNEJ SUBSTANCJI CZYNNEJ ORAZ WYTWÓRCA ODPOWIEDZIALNY ZA ZWOLNIENIE SERII</w:t>
      </w:r>
    </w:p>
    <w:p w14:paraId="4A582F23" w14:textId="77777777" w:rsidR="002A2453" w:rsidRPr="0015541C" w:rsidRDefault="002A2453" w:rsidP="002A2453">
      <w:pPr>
        <w:ind w:left="1701" w:right="1150" w:hanging="567"/>
        <w:rPr>
          <w:b/>
          <w:szCs w:val="28"/>
          <w:lang w:val="pl-PL" w:eastAsia="pl-PL"/>
        </w:rPr>
      </w:pPr>
    </w:p>
    <w:p w14:paraId="341535D2" w14:textId="77777777" w:rsidR="002A2453" w:rsidRPr="0015541C" w:rsidRDefault="002A2453" w:rsidP="002A2453">
      <w:pPr>
        <w:ind w:left="1701" w:hanging="567"/>
        <w:rPr>
          <w:b/>
          <w:szCs w:val="28"/>
          <w:lang w:val="pl-PL" w:eastAsia="pl-PL"/>
        </w:rPr>
      </w:pPr>
      <w:r w:rsidRPr="0015541C">
        <w:rPr>
          <w:b/>
          <w:szCs w:val="28"/>
          <w:lang w:val="pl-PL" w:eastAsia="pl-PL"/>
        </w:rPr>
        <w:t>B.</w:t>
      </w:r>
      <w:r w:rsidRPr="0015541C">
        <w:rPr>
          <w:b/>
          <w:szCs w:val="28"/>
          <w:lang w:val="pl-PL" w:eastAsia="pl-PL"/>
        </w:rPr>
        <w:tab/>
        <w:t>WARUNKI LUB OGRANICZENIA DOTYCZĄCE ZAOPATRZENIA I STOSOWANIA</w:t>
      </w:r>
    </w:p>
    <w:p w14:paraId="2CBE868B" w14:textId="77777777" w:rsidR="002A2453" w:rsidRPr="0015541C" w:rsidRDefault="002A2453" w:rsidP="002A2453">
      <w:pPr>
        <w:ind w:left="480" w:firstLine="654"/>
        <w:rPr>
          <w:b/>
          <w:szCs w:val="28"/>
          <w:lang w:val="pl-PL" w:eastAsia="pl-PL"/>
        </w:rPr>
      </w:pPr>
    </w:p>
    <w:p w14:paraId="243C4064" w14:textId="77777777" w:rsidR="002A2453" w:rsidRPr="0015541C" w:rsidRDefault="002A2453" w:rsidP="002A2453">
      <w:pPr>
        <w:ind w:left="1701" w:hanging="567"/>
        <w:rPr>
          <w:b/>
          <w:szCs w:val="28"/>
          <w:lang w:val="pl-PL" w:eastAsia="pl-PL"/>
        </w:rPr>
      </w:pPr>
      <w:r w:rsidRPr="0015541C">
        <w:rPr>
          <w:b/>
          <w:szCs w:val="28"/>
          <w:lang w:val="pl-PL" w:eastAsia="pl-PL"/>
        </w:rPr>
        <w:t>C.</w:t>
      </w:r>
      <w:r w:rsidRPr="0015541C">
        <w:rPr>
          <w:b/>
          <w:szCs w:val="28"/>
          <w:lang w:val="pl-PL" w:eastAsia="pl-PL"/>
        </w:rPr>
        <w:tab/>
        <w:t>INNE WARUNKI I WYMAGANIA DOTYCZĄCE DOPUSZCZENIA DO OBROTU</w:t>
      </w:r>
    </w:p>
    <w:p w14:paraId="367EF127" w14:textId="77777777" w:rsidR="009C4A66" w:rsidRPr="0015541C" w:rsidRDefault="009C4A66" w:rsidP="002A2453">
      <w:pPr>
        <w:ind w:left="1701" w:hanging="567"/>
        <w:rPr>
          <w:b/>
          <w:szCs w:val="28"/>
          <w:lang w:val="pl-PL" w:eastAsia="pl-PL"/>
        </w:rPr>
      </w:pPr>
    </w:p>
    <w:p w14:paraId="3EF6412E" w14:textId="77777777" w:rsidR="009C4A66" w:rsidRPr="0015541C" w:rsidRDefault="009C4A66" w:rsidP="002A2453">
      <w:pPr>
        <w:ind w:left="1701" w:hanging="567"/>
        <w:rPr>
          <w:b/>
          <w:szCs w:val="28"/>
          <w:lang w:val="pl-PL" w:eastAsia="pl-PL"/>
        </w:rPr>
      </w:pPr>
      <w:r w:rsidRPr="0015541C">
        <w:rPr>
          <w:b/>
          <w:szCs w:val="28"/>
          <w:lang w:val="pl-PL" w:eastAsia="pl-PL"/>
        </w:rPr>
        <w:t>D.</w:t>
      </w:r>
      <w:r w:rsidRPr="0015541C">
        <w:rPr>
          <w:b/>
          <w:szCs w:val="28"/>
          <w:lang w:val="pl-PL" w:eastAsia="pl-PL"/>
        </w:rPr>
        <w:tab/>
        <w:t>WARUNKI LUB OGRANICZENIA DOTYCZĄCE BEZPIECZNEGO I SKUTECZNEGO STOSOWANIA PRODUKTU LECZNICZEGO</w:t>
      </w:r>
    </w:p>
    <w:p w14:paraId="082F5DA7" w14:textId="77777777" w:rsidR="002A2453" w:rsidRPr="0015541C" w:rsidRDefault="002A2453" w:rsidP="002A2453">
      <w:pPr>
        <w:pStyle w:val="AnnexHeading"/>
        <w:rPr>
          <w:lang w:val="pl-PL" w:eastAsia="pl-PL"/>
        </w:rPr>
      </w:pPr>
      <w:r w:rsidRPr="0015541C">
        <w:rPr>
          <w:lang w:val="pl-PL" w:eastAsia="pl-PL"/>
        </w:rPr>
        <w:br w:type="page"/>
      </w:r>
      <w:r w:rsidRPr="0015541C">
        <w:rPr>
          <w:lang w:val="pl-PL" w:eastAsia="pl-PL"/>
        </w:rPr>
        <w:lastRenderedPageBreak/>
        <w:t>A.</w:t>
      </w:r>
      <w:r w:rsidRPr="0015541C">
        <w:rPr>
          <w:lang w:val="pl-PL" w:eastAsia="pl-PL"/>
        </w:rPr>
        <w:tab/>
        <w:t>WYTWÓRCA BIOLOGICZNEJ SUBSTANCJI CZYNNEJ ORAZ WYTWÓRCA ODPOWIEDZIALNY ZA ZWOLNIENIE SERII</w:t>
      </w:r>
    </w:p>
    <w:p w14:paraId="1C287E47" w14:textId="77777777" w:rsidR="002A2453" w:rsidRPr="0015541C" w:rsidRDefault="002A2453" w:rsidP="002A2453">
      <w:pPr>
        <w:ind w:left="567" w:hanging="567"/>
        <w:rPr>
          <w:szCs w:val="28"/>
          <w:lang w:val="pl-PL" w:eastAsia="pl-PL"/>
        </w:rPr>
      </w:pPr>
    </w:p>
    <w:p w14:paraId="58811C85" w14:textId="77777777" w:rsidR="002A2453" w:rsidRPr="0015541C" w:rsidRDefault="002A2453" w:rsidP="002A2453">
      <w:pPr>
        <w:ind w:left="567" w:hanging="567"/>
        <w:rPr>
          <w:szCs w:val="28"/>
          <w:u w:val="single"/>
          <w:lang w:val="pl-PL" w:eastAsia="pl-PL"/>
        </w:rPr>
      </w:pPr>
      <w:r w:rsidRPr="0015541C">
        <w:rPr>
          <w:szCs w:val="28"/>
          <w:u w:val="single"/>
          <w:lang w:val="pl-PL" w:eastAsia="pl-PL"/>
        </w:rPr>
        <w:t>Nazwa i adres wytwórc</w:t>
      </w:r>
      <w:r w:rsidR="00320949" w:rsidRPr="0015541C">
        <w:rPr>
          <w:szCs w:val="28"/>
          <w:u w:val="single"/>
          <w:lang w:val="pl-PL" w:eastAsia="pl-PL"/>
        </w:rPr>
        <w:t>y</w:t>
      </w:r>
      <w:r w:rsidRPr="0015541C">
        <w:rPr>
          <w:szCs w:val="28"/>
          <w:u w:val="single"/>
          <w:lang w:val="pl-PL" w:eastAsia="pl-PL"/>
        </w:rPr>
        <w:t xml:space="preserve"> biologicznej substancji czynnej </w:t>
      </w:r>
    </w:p>
    <w:p w14:paraId="6C2FF307" w14:textId="77777777" w:rsidR="002A2453" w:rsidRPr="0015541C" w:rsidRDefault="002A2453" w:rsidP="002A2453">
      <w:pPr>
        <w:numPr>
          <w:ilvl w:val="12"/>
          <w:numId w:val="0"/>
        </w:numPr>
        <w:outlineLvl w:val="0"/>
        <w:rPr>
          <w:u w:val="single"/>
          <w:lang w:val="pl-PL"/>
        </w:rPr>
      </w:pPr>
    </w:p>
    <w:p w14:paraId="068B5626" w14:textId="4D14D391" w:rsidR="002A2453" w:rsidRPr="0015541C" w:rsidRDefault="00D77436" w:rsidP="002A2453">
      <w:pPr>
        <w:numPr>
          <w:ilvl w:val="12"/>
          <w:numId w:val="0"/>
        </w:numPr>
        <w:rPr>
          <w:lang w:val="pl-PL"/>
        </w:rPr>
      </w:pPr>
      <w:r>
        <w:rPr>
          <w:color w:val="000000"/>
          <w:szCs w:val="22"/>
          <w:lang w:val="pl-PL"/>
        </w:rPr>
        <w:t>FUJIFILM Diosynth Biotechnologies Denmark ApS</w:t>
      </w:r>
      <w:r w:rsidR="00733885" w:rsidRPr="0015541C">
        <w:rPr>
          <w:color w:val="000000"/>
          <w:lang w:val="pl-PL"/>
        </w:rPr>
        <w:br/>
      </w:r>
      <w:r>
        <w:rPr>
          <w:color w:val="000000"/>
          <w:lang w:val="pl-PL"/>
        </w:rPr>
        <w:t>Biotek</w:t>
      </w:r>
      <w:r w:rsidR="00733885" w:rsidRPr="0015541C">
        <w:rPr>
          <w:color w:val="000000"/>
          <w:lang w:val="pl-PL"/>
        </w:rPr>
        <w:t xml:space="preserve"> Allé 1</w:t>
      </w:r>
      <w:r w:rsidR="00733885" w:rsidRPr="0015541C">
        <w:rPr>
          <w:color w:val="000000"/>
          <w:lang w:val="pl-PL"/>
        </w:rPr>
        <w:br/>
        <w:t>Hillerød, 3400,</w:t>
      </w:r>
      <w:r w:rsidR="00733885" w:rsidRPr="0015541C">
        <w:rPr>
          <w:color w:val="000000"/>
          <w:szCs w:val="22"/>
          <w:lang w:val="pl-PL"/>
        </w:rPr>
        <w:br/>
        <w:t>Dania</w:t>
      </w:r>
    </w:p>
    <w:p w14:paraId="2A7493FF" w14:textId="77777777" w:rsidR="002A2453" w:rsidRPr="0015541C" w:rsidRDefault="002A2453" w:rsidP="002A2453">
      <w:pPr>
        <w:numPr>
          <w:ilvl w:val="12"/>
          <w:numId w:val="0"/>
        </w:numPr>
        <w:ind w:right="1416"/>
        <w:rPr>
          <w:lang w:val="pl-PL"/>
        </w:rPr>
      </w:pPr>
    </w:p>
    <w:p w14:paraId="555E6D36" w14:textId="77777777" w:rsidR="002A2453" w:rsidRPr="0015541C" w:rsidRDefault="002A2453" w:rsidP="002A2453">
      <w:pPr>
        <w:ind w:left="567" w:hanging="567"/>
        <w:rPr>
          <w:szCs w:val="28"/>
          <w:u w:val="single"/>
          <w:lang w:val="pl-PL" w:eastAsia="pl-PL"/>
        </w:rPr>
      </w:pPr>
      <w:r w:rsidRPr="0015541C">
        <w:rPr>
          <w:szCs w:val="28"/>
          <w:u w:val="single"/>
          <w:lang w:val="pl-PL" w:eastAsia="pl-PL"/>
        </w:rPr>
        <w:t>Nazwa i adres wytwórcy odpowiedzialnego za zwolnienie serii</w:t>
      </w:r>
    </w:p>
    <w:p w14:paraId="17312D4B" w14:textId="54A35629" w:rsidR="00F1227F" w:rsidRPr="0015541C" w:rsidRDefault="00F1227F" w:rsidP="009D54EA">
      <w:pPr>
        <w:rPr>
          <w:rFonts w:eastAsia="Yu Mincho"/>
          <w:lang w:val="pl-PL"/>
        </w:rPr>
      </w:pPr>
    </w:p>
    <w:p w14:paraId="367F5981" w14:textId="77777777" w:rsidR="00F1227F" w:rsidRPr="0070444C" w:rsidRDefault="00F1227F" w:rsidP="00F1227F">
      <w:pPr>
        <w:rPr>
          <w:rFonts w:eastAsia="Yu Mincho"/>
          <w:lang w:val="pl-PL"/>
        </w:rPr>
      </w:pPr>
      <w:r w:rsidRPr="0070444C">
        <w:rPr>
          <w:rFonts w:eastAsia="Yu Mincho"/>
          <w:lang w:val="pl-PL"/>
        </w:rPr>
        <w:t>Samsung Bioepis NL B.V.</w:t>
      </w:r>
    </w:p>
    <w:p w14:paraId="4E997A43" w14:textId="77777777" w:rsidR="00F1227F" w:rsidRPr="0070444C" w:rsidRDefault="00F1227F" w:rsidP="00F1227F">
      <w:pPr>
        <w:rPr>
          <w:rFonts w:eastAsia="Yu Mincho"/>
          <w:lang w:val="pl-PL"/>
        </w:rPr>
      </w:pPr>
      <w:r w:rsidRPr="0070444C">
        <w:rPr>
          <w:rFonts w:eastAsia="Yu Mincho"/>
          <w:lang w:val="pl-PL"/>
        </w:rPr>
        <w:t>Olof Palmestraat 10</w:t>
      </w:r>
    </w:p>
    <w:p w14:paraId="70F4325B" w14:textId="77777777" w:rsidR="00F1227F" w:rsidRPr="0070444C" w:rsidRDefault="00F1227F" w:rsidP="00F1227F">
      <w:pPr>
        <w:rPr>
          <w:rFonts w:eastAsia="Yu Mincho"/>
          <w:lang w:val="pl-PL"/>
        </w:rPr>
      </w:pPr>
      <w:r w:rsidRPr="0070444C">
        <w:rPr>
          <w:rFonts w:eastAsia="Yu Mincho"/>
          <w:lang w:val="pl-PL"/>
        </w:rPr>
        <w:t>2616 LR Delft</w:t>
      </w:r>
    </w:p>
    <w:p w14:paraId="633CBAFA" w14:textId="77777777" w:rsidR="00F1227F" w:rsidRPr="0070444C" w:rsidRDefault="00F1227F" w:rsidP="00F1227F">
      <w:pPr>
        <w:rPr>
          <w:rFonts w:eastAsia="Yu Mincho"/>
          <w:lang w:val="pl-PL"/>
        </w:rPr>
      </w:pPr>
      <w:r w:rsidRPr="0070444C">
        <w:rPr>
          <w:rFonts w:eastAsia="Yu Mincho"/>
          <w:lang w:val="pl-PL"/>
        </w:rPr>
        <w:t>Holandia</w:t>
      </w:r>
    </w:p>
    <w:p w14:paraId="2BDDF4A5" w14:textId="77777777" w:rsidR="00F1227F" w:rsidRPr="0070444C" w:rsidRDefault="00F1227F" w:rsidP="00F1227F">
      <w:pPr>
        <w:rPr>
          <w:rFonts w:eastAsia="Yu Mincho"/>
          <w:lang w:val="pl-PL"/>
        </w:rPr>
      </w:pPr>
    </w:p>
    <w:p w14:paraId="192D3A6A" w14:textId="7CFF2006" w:rsidR="00F1227F" w:rsidRPr="0070444C" w:rsidRDefault="00F1227F" w:rsidP="00F1227F">
      <w:pPr>
        <w:rPr>
          <w:rFonts w:eastAsia="Yu Mincho"/>
          <w:lang w:val="pl-PL"/>
        </w:rPr>
      </w:pPr>
      <w:r w:rsidRPr="0070444C">
        <w:rPr>
          <w:rFonts w:eastAsia="Yu Mincho"/>
          <w:lang w:val="pl-PL"/>
        </w:rPr>
        <w:t>Wydrukowana ulotka dla pacjenta musi zawierać nazwę i adres wytwórcy odpowiedzialnego za zwolnienie danej serii produktu leczniczego.</w:t>
      </w:r>
    </w:p>
    <w:p w14:paraId="3C13F534" w14:textId="77777777" w:rsidR="002A2453" w:rsidRPr="0015541C" w:rsidRDefault="002A2453" w:rsidP="002A2453">
      <w:pPr>
        <w:ind w:left="567" w:hanging="567"/>
        <w:rPr>
          <w:b/>
          <w:lang w:val="pl-PL"/>
        </w:rPr>
      </w:pPr>
    </w:p>
    <w:p w14:paraId="64B2ADBF" w14:textId="77777777" w:rsidR="002A2453" w:rsidRPr="0015541C" w:rsidRDefault="002A2453" w:rsidP="002A2453">
      <w:pPr>
        <w:ind w:left="567" w:hanging="567"/>
        <w:rPr>
          <w:szCs w:val="28"/>
          <w:lang w:val="pl-PL" w:eastAsia="pl-PL"/>
        </w:rPr>
      </w:pPr>
    </w:p>
    <w:p w14:paraId="35C05AC5" w14:textId="77777777" w:rsidR="002A2453" w:rsidRPr="0015541C" w:rsidRDefault="002A2453" w:rsidP="002A2453">
      <w:pPr>
        <w:pStyle w:val="AnnexHeading"/>
        <w:rPr>
          <w:lang w:val="pl-PL"/>
        </w:rPr>
      </w:pPr>
      <w:r w:rsidRPr="0015541C">
        <w:rPr>
          <w:lang w:val="pl-PL"/>
        </w:rPr>
        <w:t>B.</w:t>
      </w:r>
      <w:r w:rsidRPr="0015541C">
        <w:rPr>
          <w:lang w:val="pl-PL"/>
        </w:rPr>
        <w:tab/>
        <w:t xml:space="preserve">WARUNKI </w:t>
      </w:r>
      <w:r w:rsidRPr="00AC3958">
        <w:rPr>
          <w:szCs w:val="28"/>
          <w:lang w:val="pl-PL" w:eastAsia="pl-PL"/>
        </w:rPr>
        <w:t>LUB OGRANICZENIA DOTYCZĄCE ZAOPATRZENIA I STOSOWANIA</w:t>
      </w:r>
    </w:p>
    <w:p w14:paraId="2F66FE00" w14:textId="77777777" w:rsidR="002A2453" w:rsidRPr="0015541C" w:rsidRDefault="002A2453" w:rsidP="002A2453">
      <w:pPr>
        <w:rPr>
          <w:szCs w:val="28"/>
          <w:lang w:val="pl-PL" w:eastAsia="pl-PL"/>
        </w:rPr>
      </w:pPr>
    </w:p>
    <w:p w14:paraId="1D2B15F3" w14:textId="77777777" w:rsidR="002A2453" w:rsidRPr="0015541C" w:rsidRDefault="002A2453" w:rsidP="002A2453">
      <w:pPr>
        <w:rPr>
          <w:lang w:val="pl-PL" w:eastAsia="pl-PL"/>
        </w:rPr>
      </w:pPr>
      <w:r w:rsidRPr="0015541C">
        <w:rPr>
          <w:lang w:val="pl-PL" w:eastAsia="pl-PL"/>
        </w:rPr>
        <w:t xml:space="preserve">Produkt leczniczy wydawany </w:t>
      </w:r>
      <w:r w:rsidR="00C304D6" w:rsidRPr="0015541C">
        <w:rPr>
          <w:szCs w:val="24"/>
          <w:lang w:val="pl-PL"/>
        </w:rPr>
        <w:t xml:space="preserve">na receptę </w:t>
      </w:r>
      <w:r w:rsidRPr="0015541C">
        <w:rPr>
          <w:lang w:val="pl-PL" w:eastAsia="pl-PL"/>
        </w:rPr>
        <w:t xml:space="preserve">do zastrzeżonego stosowania (patrz </w:t>
      </w:r>
      <w:r w:rsidR="00930C2C" w:rsidRPr="0015541C">
        <w:rPr>
          <w:lang w:val="pl-PL" w:eastAsia="pl-PL"/>
        </w:rPr>
        <w:t>a</w:t>
      </w:r>
      <w:r w:rsidRPr="0015541C">
        <w:rPr>
          <w:lang w:val="pl-PL" w:eastAsia="pl-PL"/>
        </w:rPr>
        <w:t>neks I: Charakterystyka Produktu Leczniczego, patrz punkt 4.2).</w:t>
      </w:r>
    </w:p>
    <w:p w14:paraId="18F5DDDA" w14:textId="77777777" w:rsidR="002A2453" w:rsidRPr="0015541C" w:rsidRDefault="002A2453" w:rsidP="002A2453">
      <w:pPr>
        <w:rPr>
          <w:lang w:val="pl-PL" w:eastAsia="pl-PL"/>
        </w:rPr>
      </w:pPr>
    </w:p>
    <w:p w14:paraId="2B4CAE1E" w14:textId="77777777" w:rsidR="002C0295" w:rsidRPr="0015541C" w:rsidRDefault="002C0295" w:rsidP="00964F65">
      <w:pPr>
        <w:rPr>
          <w:lang w:val="pl-PL" w:eastAsia="pl-PL"/>
        </w:rPr>
      </w:pPr>
    </w:p>
    <w:p w14:paraId="37C07809" w14:textId="77777777" w:rsidR="002A2453" w:rsidRPr="0015541C" w:rsidRDefault="002A2453" w:rsidP="002C0295">
      <w:pPr>
        <w:pStyle w:val="AnnexHeading"/>
        <w:rPr>
          <w:szCs w:val="28"/>
          <w:lang w:val="pl-PL" w:eastAsia="pl-PL"/>
        </w:rPr>
      </w:pPr>
      <w:r w:rsidRPr="0015541C">
        <w:rPr>
          <w:szCs w:val="28"/>
          <w:lang w:val="pl-PL" w:eastAsia="pl-PL"/>
        </w:rPr>
        <w:t>C.</w:t>
      </w:r>
      <w:r w:rsidRPr="0015541C">
        <w:rPr>
          <w:szCs w:val="28"/>
          <w:lang w:val="pl-PL" w:eastAsia="pl-PL"/>
        </w:rPr>
        <w:tab/>
        <w:t>INNE WARUNKI I WYMAGANIA DOTYCZĄCE DOPUSZCZENIA DO OBROTU</w:t>
      </w:r>
    </w:p>
    <w:p w14:paraId="6DC9C184" w14:textId="77777777" w:rsidR="002A2453" w:rsidRPr="0015541C" w:rsidRDefault="002A2453" w:rsidP="002A2453">
      <w:pPr>
        <w:rPr>
          <w:b/>
          <w:szCs w:val="28"/>
          <w:lang w:val="pl-PL" w:eastAsia="pl-PL"/>
        </w:rPr>
      </w:pPr>
    </w:p>
    <w:p w14:paraId="7011D365" w14:textId="77777777" w:rsidR="00114F39" w:rsidRPr="0015541C" w:rsidRDefault="00806DEC" w:rsidP="00114F39">
      <w:pPr>
        <w:rPr>
          <w:b/>
          <w:lang w:val="pl-PL"/>
        </w:rPr>
      </w:pPr>
      <w:r w:rsidRPr="0015541C">
        <w:rPr>
          <w:iCs/>
          <w:lang w:val="pl-PL"/>
        </w:rPr>
        <w:sym w:font="Symbol" w:char="F0B7"/>
      </w:r>
      <w:r w:rsidRPr="0015541C">
        <w:rPr>
          <w:iCs/>
          <w:lang w:val="pl-PL"/>
        </w:rPr>
        <w:tab/>
      </w:r>
      <w:r w:rsidR="00C304D6" w:rsidRPr="0015541C">
        <w:rPr>
          <w:b/>
          <w:szCs w:val="22"/>
          <w:lang w:val="pl-PL"/>
        </w:rPr>
        <w:t>Okresowo aktualizowane sprawozdania dotyczące bezpieczeństwa</w:t>
      </w:r>
      <w:r w:rsidR="00114F39" w:rsidRPr="0015541C">
        <w:rPr>
          <w:b/>
          <w:szCs w:val="22"/>
          <w:lang w:val="pl-PL"/>
        </w:rPr>
        <w:t xml:space="preserve"> </w:t>
      </w:r>
      <w:r w:rsidR="00114F39" w:rsidRPr="00AC3958">
        <w:rPr>
          <w:b/>
          <w:lang w:val="pl-PL"/>
        </w:rPr>
        <w:t>(PSURy)</w:t>
      </w:r>
    </w:p>
    <w:p w14:paraId="76E7C000" w14:textId="77777777" w:rsidR="00C304D6" w:rsidRPr="0015541C" w:rsidRDefault="00C304D6" w:rsidP="002A2453">
      <w:pPr>
        <w:rPr>
          <w:lang w:val="pl-PL"/>
        </w:rPr>
      </w:pPr>
    </w:p>
    <w:p w14:paraId="33BDB903" w14:textId="77777777" w:rsidR="00C304D6" w:rsidRPr="0015541C" w:rsidRDefault="002A4B38" w:rsidP="002A2453">
      <w:pPr>
        <w:rPr>
          <w:lang w:val="pl-PL"/>
        </w:rPr>
      </w:pPr>
      <w:r w:rsidRPr="0015541C">
        <w:rPr>
          <w:lang w:val="pl-PL"/>
        </w:rPr>
        <w:t xml:space="preserve">Wymagania do przedłożenia okresowych raportów o bezpieczeństwie stosowania tego produktu </w:t>
      </w:r>
      <w:r w:rsidR="00241496" w:rsidRPr="0015541C">
        <w:rPr>
          <w:lang w:val="pl-PL"/>
        </w:rPr>
        <w:t xml:space="preserve">leczniczego </w:t>
      </w:r>
      <w:r w:rsidRPr="0015541C">
        <w:rPr>
          <w:lang w:val="pl-PL"/>
        </w:rPr>
        <w:t>są określone w wykazie unijnych dat referencyjnych (wykaz EURD), o którym mowa w art. 107c ust. 7 dyrektywy 2001/83/WE i jego kolejnych aktualizacjach ogłaszanych na europejskiej stronie internetowej dotyczącej leków.</w:t>
      </w:r>
    </w:p>
    <w:p w14:paraId="106F690E" w14:textId="77777777" w:rsidR="00C304D6" w:rsidRPr="0015541C" w:rsidRDefault="00C304D6" w:rsidP="002A2453">
      <w:pPr>
        <w:rPr>
          <w:b/>
          <w:szCs w:val="28"/>
          <w:lang w:val="pl-PL" w:eastAsia="pl-PL"/>
        </w:rPr>
      </w:pPr>
    </w:p>
    <w:p w14:paraId="1D1E0412" w14:textId="77777777" w:rsidR="00C304D6" w:rsidRPr="0015541C" w:rsidRDefault="00C304D6" w:rsidP="002A2453">
      <w:pPr>
        <w:rPr>
          <w:b/>
          <w:szCs w:val="28"/>
          <w:lang w:val="pl-PL" w:eastAsia="pl-PL"/>
        </w:rPr>
      </w:pPr>
    </w:p>
    <w:p w14:paraId="238EF30B" w14:textId="77777777" w:rsidR="00C304D6" w:rsidRPr="0015541C" w:rsidRDefault="00C304D6" w:rsidP="00C304D6">
      <w:pPr>
        <w:pStyle w:val="AnnexHeading"/>
        <w:rPr>
          <w:bCs/>
          <w:lang w:val="pl-PL"/>
        </w:rPr>
      </w:pPr>
      <w:r w:rsidRPr="0015541C">
        <w:rPr>
          <w:bCs/>
          <w:lang w:val="pl-PL"/>
        </w:rPr>
        <w:t>D.</w:t>
      </w:r>
      <w:r w:rsidRPr="0015541C">
        <w:rPr>
          <w:bCs/>
          <w:lang w:val="pl-PL"/>
        </w:rPr>
        <w:tab/>
      </w:r>
      <w:r w:rsidRPr="0015541C">
        <w:rPr>
          <w:lang w:val="pl-PL"/>
        </w:rPr>
        <w:t xml:space="preserve">WARUNKI </w:t>
      </w:r>
      <w:r w:rsidR="008C2AD3" w:rsidRPr="0015541C">
        <w:rPr>
          <w:lang w:val="pl-PL"/>
        </w:rPr>
        <w:t>LUB</w:t>
      </w:r>
      <w:r w:rsidRPr="0015541C">
        <w:rPr>
          <w:lang w:val="pl-PL"/>
        </w:rPr>
        <w:t xml:space="preserve"> OGRANICZENIA DOTYCZĄCE BEZPIECZNEGO I SKUTECZNEGO STOSOWANIA PRODUKTU</w:t>
      </w:r>
      <w:r w:rsidRPr="0015541C">
        <w:rPr>
          <w:bCs/>
          <w:lang w:val="pl-PL"/>
        </w:rPr>
        <w:t xml:space="preserve"> LECZNICZEGO</w:t>
      </w:r>
    </w:p>
    <w:p w14:paraId="3E0EB1EE" w14:textId="77777777" w:rsidR="00C304D6" w:rsidRPr="0015541C" w:rsidRDefault="00C304D6" w:rsidP="0076234F">
      <w:pPr>
        <w:rPr>
          <w:lang w:val="pl-PL"/>
        </w:rPr>
      </w:pPr>
    </w:p>
    <w:p w14:paraId="54CCD57F" w14:textId="77777777" w:rsidR="00C304D6" w:rsidRPr="0015541C" w:rsidRDefault="00806DEC" w:rsidP="00806DEC">
      <w:pPr>
        <w:rPr>
          <w:szCs w:val="24"/>
          <w:lang w:val="pl-PL"/>
        </w:rPr>
      </w:pPr>
      <w:r w:rsidRPr="0015541C">
        <w:rPr>
          <w:iCs/>
          <w:lang w:val="pl-PL"/>
        </w:rPr>
        <w:sym w:font="Symbol" w:char="F0B7"/>
      </w:r>
      <w:r w:rsidRPr="0015541C">
        <w:rPr>
          <w:iCs/>
          <w:lang w:val="pl-PL"/>
        </w:rPr>
        <w:tab/>
      </w:r>
      <w:r w:rsidR="00C304D6" w:rsidRPr="0015541C">
        <w:rPr>
          <w:b/>
          <w:szCs w:val="24"/>
          <w:lang w:val="pl-PL"/>
        </w:rPr>
        <w:t xml:space="preserve">Plan zarządzania ryzykiem (ang. </w:t>
      </w:r>
      <w:r w:rsidR="00C304D6" w:rsidRPr="0015541C">
        <w:rPr>
          <w:b/>
          <w:lang w:val="pl-PL"/>
        </w:rPr>
        <w:t>Risk Management Plan</w:t>
      </w:r>
      <w:r w:rsidR="00C304D6" w:rsidRPr="00AC3958">
        <w:rPr>
          <w:b/>
          <w:szCs w:val="24"/>
          <w:lang w:val="pl-PL"/>
        </w:rPr>
        <w:t>, RMP)</w:t>
      </w:r>
    </w:p>
    <w:p w14:paraId="51274167" w14:textId="77777777" w:rsidR="00C304D6" w:rsidRPr="0015541C" w:rsidRDefault="00C304D6" w:rsidP="002A2453">
      <w:pPr>
        <w:rPr>
          <w:b/>
          <w:szCs w:val="28"/>
          <w:lang w:val="pl-PL" w:eastAsia="pl-PL"/>
        </w:rPr>
      </w:pPr>
    </w:p>
    <w:p w14:paraId="6A04E535" w14:textId="4F75B9A5" w:rsidR="00C304D6" w:rsidRPr="0015541C" w:rsidRDefault="002A2453" w:rsidP="002A2453">
      <w:pPr>
        <w:rPr>
          <w:szCs w:val="24"/>
          <w:lang w:val="pl-PL"/>
        </w:rPr>
      </w:pPr>
      <w:r w:rsidRPr="0015541C">
        <w:rPr>
          <w:lang w:val="pl-PL" w:eastAsia="pl-PL"/>
        </w:rPr>
        <w:t xml:space="preserve">Podmiot odpowiedzialny </w:t>
      </w:r>
      <w:r w:rsidRPr="0015541C">
        <w:rPr>
          <w:szCs w:val="24"/>
          <w:lang w:val="pl-PL"/>
        </w:rPr>
        <w:t xml:space="preserve">podejmie </w:t>
      </w:r>
      <w:r w:rsidR="00C304D6" w:rsidRPr="0015541C">
        <w:rPr>
          <w:szCs w:val="24"/>
          <w:lang w:val="pl-PL"/>
        </w:rPr>
        <w:t xml:space="preserve">wymagane </w:t>
      </w:r>
      <w:r w:rsidRPr="0015541C">
        <w:rPr>
          <w:lang w:val="pl-PL" w:eastAsia="pl-PL"/>
        </w:rPr>
        <w:t xml:space="preserve">działania </w:t>
      </w:r>
      <w:r w:rsidR="00C304D6" w:rsidRPr="0015541C">
        <w:rPr>
          <w:szCs w:val="24"/>
          <w:lang w:val="pl-PL"/>
        </w:rPr>
        <w:t xml:space="preserve">i interwencje </w:t>
      </w:r>
      <w:r w:rsidR="00C304D6" w:rsidRPr="0015541C">
        <w:rPr>
          <w:lang w:val="pl-PL"/>
        </w:rPr>
        <w:t xml:space="preserve">z zakresu </w:t>
      </w:r>
      <w:r w:rsidRPr="0015541C">
        <w:rPr>
          <w:szCs w:val="24"/>
          <w:lang w:val="pl-PL"/>
        </w:rPr>
        <w:t>nadzoru nad</w:t>
      </w:r>
      <w:r w:rsidRPr="0015541C" w:rsidDel="000C51D6">
        <w:rPr>
          <w:szCs w:val="24"/>
          <w:lang w:val="pl-PL"/>
        </w:rPr>
        <w:t xml:space="preserve"> </w:t>
      </w:r>
      <w:r w:rsidRPr="0015541C">
        <w:rPr>
          <w:lang w:val="pl-PL" w:eastAsia="pl-PL"/>
        </w:rPr>
        <w:t xml:space="preserve">bezpieczeństwem </w:t>
      </w:r>
      <w:r w:rsidR="00C304D6" w:rsidRPr="0015541C">
        <w:rPr>
          <w:lang w:val="pl-PL" w:eastAsia="pl-PL"/>
        </w:rPr>
        <w:t xml:space="preserve">farmakoterapii </w:t>
      </w:r>
      <w:r w:rsidR="00C304D6" w:rsidRPr="0015541C">
        <w:rPr>
          <w:szCs w:val="24"/>
          <w:lang w:val="pl-PL"/>
        </w:rPr>
        <w:t xml:space="preserve">wyszczególnione w </w:t>
      </w:r>
      <w:r w:rsidRPr="0015541C">
        <w:rPr>
          <w:lang w:val="pl-PL" w:eastAsia="pl-PL"/>
        </w:rPr>
        <w:t>RMP</w:t>
      </w:r>
      <w:r w:rsidR="00C304D6" w:rsidRPr="0015541C">
        <w:rPr>
          <w:lang w:val="pl-PL" w:eastAsia="pl-PL"/>
        </w:rPr>
        <w:t>,</w:t>
      </w:r>
      <w:r w:rsidRPr="0015541C">
        <w:rPr>
          <w:lang w:val="pl-PL" w:eastAsia="pl-PL"/>
        </w:rPr>
        <w:t xml:space="preserve"> przedstawio</w:t>
      </w:r>
      <w:r w:rsidR="00C304D6" w:rsidRPr="0015541C">
        <w:rPr>
          <w:lang w:val="pl-PL" w:eastAsia="pl-PL"/>
        </w:rPr>
        <w:t>nym</w:t>
      </w:r>
      <w:r w:rsidRPr="0015541C">
        <w:rPr>
          <w:lang w:val="pl-PL" w:eastAsia="pl-PL"/>
        </w:rPr>
        <w:t xml:space="preserve"> w </w:t>
      </w:r>
      <w:r w:rsidR="00ED3AA8" w:rsidRPr="0015541C">
        <w:rPr>
          <w:lang w:val="pl-PL" w:eastAsia="pl-PL"/>
        </w:rPr>
        <w:t>m</w:t>
      </w:r>
      <w:r w:rsidRPr="0015541C">
        <w:rPr>
          <w:lang w:val="pl-PL" w:eastAsia="pl-PL"/>
        </w:rPr>
        <w:t xml:space="preserve">odule 1.8.2 </w:t>
      </w:r>
      <w:r w:rsidRPr="0015541C">
        <w:rPr>
          <w:szCs w:val="24"/>
          <w:lang w:val="pl-PL"/>
        </w:rPr>
        <w:t>dokumentacji do pozwolenia na</w:t>
      </w:r>
      <w:r w:rsidRPr="0015541C">
        <w:rPr>
          <w:lang w:val="pl-PL" w:eastAsia="pl-PL"/>
        </w:rPr>
        <w:t xml:space="preserve"> dopuszczenie do obrotu</w:t>
      </w:r>
      <w:r w:rsidR="008C2AD3" w:rsidRPr="0015541C">
        <w:rPr>
          <w:lang w:val="pl-PL" w:eastAsia="pl-PL"/>
        </w:rPr>
        <w:t>,</w:t>
      </w:r>
      <w:r w:rsidRPr="0015541C">
        <w:rPr>
          <w:lang w:val="pl-PL" w:eastAsia="pl-PL"/>
        </w:rPr>
        <w:t xml:space="preserve"> </w:t>
      </w:r>
      <w:r w:rsidRPr="0015541C">
        <w:rPr>
          <w:szCs w:val="24"/>
          <w:lang w:val="pl-PL"/>
        </w:rPr>
        <w:t>i wszelk</w:t>
      </w:r>
      <w:r w:rsidR="00C304D6" w:rsidRPr="0015541C">
        <w:rPr>
          <w:szCs w:val="24"/>
          <w:lang w:val="pl-PL"/>
        </w:rPr>
        <w:t>ich</w:t>
      </w:r>
      <w:r w:rsidRPr="0015541C">
        <w:rPr>
          <w:szCs w:val="24"/>
          <w:lang w:val="pl-PL"/>
        </w:rPr>
        <w:t xml:space="preserve"> jego kolejny</w:t>
      </w:r>
      <w:r w:rsidR="00C304D6" w:rsidRPr="0015541C">
        <w:rPr>
          <w:szCs w:val="24"/>
          <w:lang w:val="pl-PL"/>
        </w:rPr>
        <w:t>ch</w:t>
      </w:r>
      <w:r w:rsidRPr="0015541C">
        <w:rPr>
          <w:szCs w:val="24"/>
          <w:lang w:val="pl-PL"/>
        </w:rPr>
        <w:t xml:space="preserve"> aktualizacja</w:t>
      </w:r>
      <w:r w:rsidR="00C304D6" w:rsidRPr="0015541C">
        <w:rPr>
          <w:szCs w:val="24"/>
          <w:lang w:val="pl-PL"/>
        </w:rPr>
        <w:t>ch.</w:t>
      </w:r>
    </w:p>
    <w:p w14:paraId="58DA0575" w14:textId="77777777" w:rsidR="002A2453" w:rsidRPr="0015541C" w:rsidRDefault="002A2453" w:rsidP="002A2453">
      <w:pPr>
        <w:rPr>
          <w:lang w:val="pl-PL" w:eastAsia="pl-PL"/>
        </w:rPr>
      </w:pPr>
    </w:p>
    <w:p w14:paraId="3F10463A" w14:textId="77777777" w:rsidR="002A2453" w:rsidRPr="0015541C" w:rsidRDefault="00F97059" w:rsidP="002A2453">
      <w:pPr>
        <w:keepNext/>
        <w:rPr>
          <w:lang w:val="pl-PL"/>
        </w:rPr>
      </w:pPr>
      <w:r w:rsidRPr="0015541C">
        <w:rPr>
          <w:lang w:val="pl-PL"/>
        </w:rPr>
        <w:t>U</w:t>
      </w:r>
      <w:r w:rsidR="00C304D6" w:rsidRPr="0015541C">
        <w:rPr>
          <w:lang w:val="pl-PL"/>
        </w:rPr>
        <w:t>aktualniony RMP należy przedstawiać:</w:t>
      </w:r>
    </w:p>
    <w:p w14:paraId="6E62E80C" w14:textId="77777777" w:rsidR="00C304D6" w:rsidRPr="00AC3958" w:rsidRDefault="00806DEC" w:rsidP="00806DEC">
      <w:pPr>
        <w:keepNext/>
        <w:tabs>
          <w:tab w:val="left" w:pos="709"/>
        </w:tabs>
        <w:ind w:left="360"/>
        <w:rPr>
          <w:lang w:val="pl-PL" w:eastAsia="pl-PL"/>
        </w:rPr>
      </w:pPr>
      <w:r w:rsidRPr="0015541C">
        <w:rPr>
          <w:iCs/>
          <w:lang w:val="pl-PL"/>
        </w:rPr>
        <w:sym w:font="Symbol" w:char="F0B7"/>
      </w:r>
      <w:r w:rsidRPr="0015541C">
        <w:rPr>
          <w:iCs/>
          <w:lang w:val="pl-PL"/>
        </w:rPr>
        <w:tab/>
      </w:r>
      <w:r w:rsidR="008C2AD3" w:rsidRPr="0015541C">
        <w:rPr>
          <w:iCs/>
          <w:lang w:val="pl-PL"/>
        </w:rPr>
        <w:t>n</w:t>
      </w:r>
      <w:r w:rsidR="00C304D6" w:rsidRPr="0015541C">
        <w:rPr>
          <w:lang w:val="pl-PL" w:eastAsia="pl-PL"/>
        </w:rPr>
        <w:t>a żądanie Europejskiej Agencji Leków;</w:t>
      </w:r>
    </w:p>
    <w:p w14:paraId="636D116A" w14:textId="77777777" w:rsidR="00F97059" w:rsidRPr="0015541C" w:rsidRDefault="002A2453" w:rsidP="00870B62">
      <w:pPr>
        <w:keepNext/>
        <w:ind w:left="720" w:hanging="360"/>
        <w:rPr>
          <w:szCs w:val="24"/>
          <w:lang w:val="pl-PL"/>
        </w:rPr>
      </w:pPr>
      <w:r w:rsidRPr="0015541C">
        <w:rPr>
          <w:lang w:val="pl-PL" w:eastAsia="pl-PL"/>
        </w:rPr>
        <w:sym w:font="Symbol" w:char="F0B7"/>
      </w:r>
      <w:r w:rsidRPr="0015541C">
        <w:rPr>
          <w:lang w:val="pl-PL" w:eastAsia="pl-PL"/>
        </w:rPr>
        <w:tab/>
      </w:r>
      <w:r w:rsidR="008C2AD3" w:rsidRPr="0015541C">
        <w:rPr>
          <w:lang w:val="pl-PL" w:eastAsia="pl-PL"/>
        </w:rPr>
        <w:t>w</w:t>
      </w:r>
      <w:r w:rsidR="0076234F" w:rsidRPr="0015541C">
        <w:rPr>
          <w:szCs w:val="24"/>
          <w:lang w:val="pl-PL"/>
        </w:rPr>
        <w:t xml:space="preserve"> razie zmiany systemu zarządzania ryzykiem, zwłaszcza w wyniku uzyskania nowych informacji, które mogą istotnie wpłynąć na stosunek ryzyka do korzyści, lub w wyniku uzyskania istotnych informacji, dotyczących bezpieczeństwa stosowania produktu leczniczego </w:t>
      </w:r>
      <w:r w:rsidR="0076234F" w:rsidRPr="00AC3958">
        <w:rPr>
          <w:szCs w:val="24"/>
          <w:lang w:val="pl-PL"/>
        </w:rPr>
        <w:t>lub odnoszących się do minimalizacji ryzyka.</w:t>
      </w:r>
    </w:p>
    <w:p w14:paraId="6A41EF7D" w14:textId="77777777" w:rsidR="00F97059" w:rsidRPr="0015541C" w:rsidRDefault="00F97059" w:rsidP="00F97059">
      <w:pPr>
        <w:ind w:right="-1"/>
        <w:rPr>
          <w:iCs/>
          <w:szCs w:val="22"/>
          <w:lang w:val="pl-PL"/>
        </w:rPr>
      </w:pPr>
    </w:p>
    <w:p w14:paraId="7E8D8265" w14:textId="77777777" w:rsidR="002A2453" w:rsidRPr="0015541C" w:rsidRDefault="002A2453" w:rsidP="00EF74D7">
      <w:pPr>
        <w:rPr>
          <w:lang w:val="pl-PL"/>
        </w:rPr>
      </w:pPr>
      <w:r w:rsidRPr="0015541C">
        <w:rPr>
          <w:lang w:val="pl-PL" w:eastAsia="pl-PL"/>
        </w:rPr>
        <w:br w:type="page"/>
      </w:r>
    </w:p>
    <w:p w14:paraId="15D063CA" w14:textId="77777777" w:rsidR="002A2453" w:rsidRPr="0015541C" w:rsidRDefault="002A2453" w:rsidP="002A2453">
      <w:pPr>
        <w:ind w:left="705" w:hanging="705"/>
        <w:rPr>
          <w:lang w:val="pl-PL"/>
        </w:rPr>
      </w:pPr>
    </w:p>
    <w:p w14:paraId="7691030A" w14:textId="77777777" w:rsidR="002A2453" w:rsidRPr="0015541C" w:rsidRDefault="002A2453" w:rsidP="002A2453">
      <w:pPr>
        <w:ind w:left="705" w:hanging="705"/>
        <w:rPr>
          <w:lang w:val="pl-PL"/>
        </w:rPr>
      </w:pPr>
    </w:p>
    <w:p w14:paraId="342E7B7D" w14:textId="77777777" w:rsidR="002A2453" w:rsidRPr="0015541C" w:rsidRDefault="002A2453" w:rsidP="002A2453">
      <w:pPr>
        <w:ind w:left="705" w:hanging="705"/>
        <w:rPr>
          <w:lang w:val="pl-PL"/>
        </w:rPr>
      </w:pPr>
    </w:p>
    <w:p w14:paraId="764430C4" w14:textId="77777777" w:rsidR="002A2453" w:rsidRPr="0015541C" w:rsidRDefault="002A2453" w:rsidP="002A2453">
      <w:pPr>
        <w:ind w:left="705" w:hanging="705"/>
        <w:rPr>
          <w:lang w:val="pl-PL"/>
        </w:rPr>
      </w:pPr>
    </w:p>
    <w:p w14:paraId="310FBE8C" w14:textId="77777777" w:rsidR="002A2453" w:rsidRPr="0015541C" w:rsidRDefault="002A2453" w:rsidP="002A2453">
      <w:pPr>
        <w:ind w:left="705" w:hanging="705"/>
        <w:rPr>
          <w:lang w:val="pl-PL"/>
        </w:rPr>
      </w:pPr>
    </w:p>
    <w:p w14:paraId="440DD7B4" w14:textId="77777777" w:rsidR="002A2453" w:rsidRPr="0015541C" w:rsidRDefault="002A2453" w:rsidP="002A2453">
      <w:pPr>
        <w:ind w:left="705" w:hanging="705"/>
        <w:rPr>
          <w:lang w:val="pl-PL"/>
        </w:rPr>
      </w:pPr>
    </w:p>
    <w:p w14:paraId="6218DBDF" w14:textId="77777777" w:rsidR="002A2453" w:rsidRPr="0015541C" w:rsidRDefault="002A2453" w:rsidP="002A2453">
      <w:pPr>
        <w:ind w:left="705" w:hanging="705"/>
        <w:rPr>
          <w:lang w:val="pl-PL"/>
        </w:rPr>
      </w:pPr>
    </w:p>
    <w:p w14:paraId="6EB7DECA" w14:textId="77777777" w:rsidR="002A2453" w:rsidRPr="0015541C" w:rsidRDefault="002A2453" w:rsidP="002A2453">
      <w:pPr>
        <w:ind w:left="705" w:hanging="705"/>
        <w:rPr>
          <w:lang w:val="pl-PL"/>
        </w:rPr>
      </w:pPr>
    </w:p>
    <w:p w14:paraId="1EEAD0FD" w14:textId="77777777" w:rsidR="002A2453" w:rsidRPr="0015541C" w:rsidRDefault="002A2453" w:rsidP="002A2453">
      <w:pPr>
        <w:ind w:left="705" w:hanging="705"/>
        <w:rPr>
          <w:lang w:val="pl-PL"/>
        </w:rPr>
      </w:pPr>
    </w:p>
    <w:p w14:paraId="31603913" w14:textId="77777777" w:rsidR="002A2453" w:rsidRPr="0015541C" w:rsidRDefault="002A2453" w:rsidP="002A2453">
      <w:pPr>
        <w:ind w:left="705" w:hanging="705"/>
        <w:rPr>
          <w:lang w:val="pl-PL"/>
        </w:rPr>
      </w:pPr>
    </w:p>
    <w:p w14:paraId="537A6C76" w14:textId="77777777" w:rsidR="002A2453" w:rsidRPr="0015541C" w:rsidRDefault="002A2453" w:rsidP="002A2453">
      <w:pPr>
        <w:ind w:left="705" w:hanging="705"/>
        <w:rPr>
          <w:lang w:val="pl-PL"/>
        </w:rPr>
      </w:pPr>
    </w:p>
    <w:p w14:paraId="1A9FCD8D" w14:textId="77777777" w:rsidR="002A2453" w:rsidRPr="0015541C" w:rsidRDefault="002A2453" w:rsidP="002A2453">
      <w:pPr>
        <w:ind w:left="705" w:hanging="705"/>
        <w:rPr>
          <w:lang w:val="pl-PL"/>
        </w:rPr>
      </w:pPr>
    </w:p>
    <w:p w14:paraId="7F9D5629" w14:textId="77777777" w:rsidR="002A2453" w:rsidRPr="0015541C" w:rsidRDefault="002A2453" w:rsidP="002A2453">
      <w:pPr>
        <w:ind w:left="705" w:hanging="705"/>
        <w:rPr>
          <w:lang w:val="pl-PL"/>
        </w:rPr>
      </w:pPr>
    </w:p>
    <w:p w14:paraId="51FF6F16" w14:textId="77777777" w:rsidR="002A2453" w:rsidRPr="0015541C" w:rsidRDefault="002A2453" w:rsidP="002A2453">
      <w:pPr>
        <w:ind w:left="705" w:hanging="705"/>
        <w:rPr>
          <w:lang w:val="pl-PL"/>
        </w:rPr>
      </w:pPr>
    </w:p>
    <w:p w14:paraId="4F557323" w14:textId="77777777" w:rsidR="002A2453" w:rsidRPr="0015541C" w:rsidRDefault="002A2453" w:rsidP="002A2453">
      <w:pPr>
        <w:ind w:left="705" w:hanging="705"/>
        <w:rPr>
          <w:lang w:val="pl-PL"/>
        </w:rPr>
      </w:pPr>
    </w:p>
    <w:p w14:paraId="1C2EDEE2" w14:textId="77777777" w:rsidR="002A2453" w:rsidRPr="0015541C" w:rsidRDefault="002A2453" w:rsidP="002A2453">
      <w:pPr>
        <w:ind w:left="705" w:hanging="705"/>
        <w:rPr>
          <w:lang w:val="pl-PL"/>
        </w:rPr>
      </w:pPr>
    </w:p>
    <w:p w14:paraId="4D293D6C" w14:textId="77777777" w:rsidR="002A2453" w:rsidRPr="0015541C" w:rsidRDefault="002A2453" w:rsidP="002A2453">
      <w:pPr>
        <w:ind w:left="705" w:hanging="705"/>
        <w:rPr>
          <w:lang w:val="pl-PL"/>
        </w:rPr>
      </w:pPr>
    </w:p>
    <w:p w14:paraId="4226305A" w14:textId="77777777" w:rsidR="002A2453" w:rsidRPr="0015541C" w:rsidRDefault="002A2453" w:rsidP="002A2453">
      <w:pPr>
        <w:ind w:left="705" w:hanging="705"/>
        <w:rPr>
          <w:lang w:val="pl-PL"/>
        </w:rPr>
      </w:pPr>
    </w:p>
    <w:p w14:paraId="4E19B78C" w14:textId="77777777" w:rsidR="002A2453" w:rsidRPr="0015541C" w:rsidRDefault="002A2453" w:rsidP="002A2453">
      <w:pPr>
        <w:ind w:left="705" w:hanging="705"/>
        <w:rPr>
          <w:lang w:val="pl-PL"/>
        </w:rPr>
      </w:pPr>
    </w:p>
    <w:p w14:paraId="4BA3614E" w14:textId="77777777" w:rsidR="002A2453" w:rsidRPr="0015541C" w:rsidRDefault="002A2453" w:rsidP="002A2453">
      <w:pPr>
        <w:ind w:left="705" w:hanging="705"/>
        <w:rPr>
          <w:lang w:val="pl-PL"/>
        </w:rPr>
      </w:pPr>
    </w:p>
    <w:p w14:paraId="55D8D94E" w14:textId="77777777" w:rsidR="002A2453" w:rsidRPr="0015541C" w:rsidRDefault="002A2453" w:rsidP="002A2453">
      <w:pPr>
        <w:ind w:left="705" w:hanging="705"/>
        <w:rPr>
          <w:lang w:val="pl-PL"/>
        </w:rPr>
      </w:pPr>
    </w:p>
    <w:p w14:paraId="7B157BB8" w14:textId="77777777" w:rsidR="002A2453" w:rsidRPr="0015541C" w:rsidRDefault="002A2453" w:rsidP="002A2453">
      <w:pPr>
        <w:rPr>
          <w:lang w:val="pl-PL"/>
        </w:rPr>
      </w:pPr>
    </w:p>
    <w:p w14:paraId="023841C0" w14:textId="77777777" w:rsidR="002A2453" w:rsidRPr="0015541C" w:rsidRDefault="002A2453" w:rsidP="002A2453">
      <w:pPr>
        <w:jc w:val="center"/>
        <w:rPr>
          <w:b/>
          <w:lang w:val="pl-PL"/>
        </w:rPr>
      </w:pPr>
      <w:r w:rsidRPr="0015541C">
        <w:rPr>
          <w:b/>
          <w:lang w:val="pl-PL"/>
        </w:rPr>
        <w:t>ANEKS III</w:t>
      </w:r>
    </w:p>
    <w:p w14:paraId="433F18A0" w14:textId="77777777" w:rsidR="002A2453" w:rsidRPr="0015541C" w:rsidRDefault="002A2453" w:rsidP="002A2453">
      <w:pPr>
        <w:jc w:val="center"/>
        <w:rPr>
          <w:b/>
          <w:lang w:val="pl-PL"/>
        </w:rPr>
      </w:pPr>
    </w:p>
    <w:p w14:paraId="66A07C9B" w14:textId="77777777" w:rsidR="002A2453" w:rsidRPr="0015541C" w:rsidRDefault="002A2453" w:rsidP="002A2453">
      <w:pPr>
        <w:jc w:val="center"/>
        <w:rPr>
          <w:b/>
          <w:lang w:val="pl-PL"/>
        </w:rPr>
      </w:pPr>
      <w:r w:rsidRPr="0015541C">
        <w:rPr>
          <w:b/>
          <w:lang w:val="pl-PL"/>
        </w:rPr>
        <w:t>OZNAKOWANIE OPAKOWAŃ I ULOTKA DLA PACJENTA</w:t>
      </w:r>
    </w:p>
    <w:p w14:paraId="35D925EB" w14:textId="77777777" w:rsidR="002A2453" w:rsidRPr="0015541C" w:rsidRDefault="002A2453" w:rsidP="002A2453">
      <w:pPr>
        <w:rPr>
          <w:lang w:val="pl-PL"/>
        </w:rPr>
      </w:pPr>
      <w:r w:rsidRPr="0015541C">
        <w:rPr>
          <w:lang w:val="pl-PL"/>
        </w:rPr>
        <w:br w:type="page"/>
      </w:r>
    </w:p>
    <w:p w14:paraId="66907984" w14:textId="77777777" w:rsidR="002A2453" w:rsidRPr="0015541C" w:rsidRDefault="002A2453" w:rsidP="002A2453">
      <w:pPr>
        <w:rPr>
          <w:lang w:val="pl-PL"/>
        </w:rPr>
      </w:pPr>
    </w:p>
    <w:p w14:paraId="4F92B24A" w14:textId="77777777" w:rsidR="002A2453" w:rsidRPr="0015541C" w:rsidRDefault="002A2453" w:rsidP="002A2453">
      <w:pPr>
        <w:rPr>
          <w:lang w:val="pl-PL"/>
        </w:rPr>
      </w:pPr>
    </w:p>
    <w:p w14:paraId="49CEABF4" w14:textId="77777777" w:rsidR="002A2453" w:rsidRPr="0015541C" w:rsidRDefault="002A2453" w:rsidP="002A2453">
      <w:pPr>
        <w:rPr>
          <w:lang w:val="pl-PL"/>
        </w:rPr>
      </w:pPr>
    </w:p>
    <w:p w14:paraId="18A79F23" w14:textId="77777777" w:rsidR="002A2453" w:rsidRPr="0015541C" w:rsidRDefault="002A2453" w:rsidP="002A2453">
      <w:pPr>
        <w:rPr>
          <w:lang w:val="pl-PL"/>
        </w:rPr>
      </w:pPr>
    </w:p>
    <w:p w14:paraId="7190BFFA" w14:textId="77777777" w:rsidR="002A2453" w:rsidRPr="0015541C" w:rsidRDefault="002A2453" w:rsidP="002A2453">
      <w:pPr>
        <w:rPr>
          <w:lang w:val="pl-PL"/>
        </w:rPr>
      </w:pPr>
    </w:p>
    <w:p w14:paraId="5921D7D9" w14:textId="77777777" w:rsidR="002A2453" w:rsidRPr="0015541C" w:rsidRDefault="002A2453" w:rsidP="002A2453">
      <w:pPr>
        <w:rPr>
          <w:lang w:val="pl-PL"/>
        </w:rPr>
      </w:pPr>
    </w:p>
    <w:p w14:paraId="02628DC2" w14:textId="77777777" w:rsidR="002A2453" w:rsidRPr="0015541C" w:rsidRDefault="002A2453" w:rsidP="002A2453">
      <w:pPr>
        <w:rPr>
          <w:lang w:val="pl-PL"/>
        </w:rPr>
      </w:pPr>
    </w:p>
    <w:p w14:paraId="19E4EA80" w14:textId="77777777" w:rsidR="002A2453" w:rsidRPr="0015541C" w:rsidRDefault="002A2453" w:rsidP="002A2453">
      <w:pPr>
        <w:rPr>
          <w:lang w:val="pl-PL"/>
        </w:rPr>
      </w:pPr>
    </w:p>
    <w:p w14:paraId="7E04EB9E" w14:textId="77777777" w:rsidR="002A2453" w:rsidRPr="0015541C" w:rsidRDefault="002A2453" w:rsidP="002A2453">
      <w:pPr>
        <w:rPr>
          <w:lang w:val="pl-PL"/>
        </w:rPr>
      </w:pPr>
    </w:p>
    <w:p w14:paraId="1DD0094E" w14:textId="77777777" w:rsidR="002A2453" w:rsidRPr="0015541C" w:rsidRDefault="002A2453" w:rsidP="002A2453">
      <w:pPr>
        <w:rPr>
          <w:lang w:val="pl-PL"/>
        </w:rPr>
      </w:pPr>
    </w:p>
    <w:p w14:paraId="5101C762" w14:textId="77777777" w:rsidR="002A2453" w:rsidRPr="0015541C" w:rsidRDefault="002A2453" w:rsidP="002A2453">
      <w:pPr>
        <w:rPr>
          <w:lang w:val="pl-PL"/>
        </w:rPr>
      </w:pPr>
    </w:p>
    <w:p w14:paraId="4C4AD078" w14:textId="77777777" w:rsidR="002A2453" w:rsidRPr="0015541C" w:rsidRDefault="002A2453" w:rsidP="002A2453">
      <w:pPr>
        <w:rPr>
          <w:lang w:val="pl-PL"/>
        </w:rPr>
      </w:pPr>
    </w:p>
    <w:p w14:paraId="6D2C6B93" w14:textId="77777777" w:rsidR="002A2453" w:rsidRPr="0015541C" w:rsidRDefault="002A2453" w:rsidP="002A2453">
      <w:pPr>
        <w:rPr>
          <w:lang w:val="pl-PL"/>
        </w:rPr>
      </w:pPr>
    </w:p>
    <w:p w14:paraId="5C27DA64" w14:textId="77777777" w:rsidR="002A2453" w:rsidRPr="0015541C" w:rsidRDefault="002A2453" w:rsidP="002A2453">
      <w:pPr>
        <w:rPr>
          <w:lang w:val="pl-PL"/>
        </w:rPr>
      </w:pPr>
    </w:p>
    <w:p w14:paraId="7FF20F0F" w14:textId="77777777" w:rsidR="002A2453" w:rsidRPr="0015541C" w:rsidRDefault="002A2453" w:rsidP="002A2453">
      <w:pPr>
        <w:rPr>
          <w:lang w:val="pl-PL"/>
        </w:rPr>
      </w:pPr>
    </w:p>
    <w:p w14:paraId="04389F66" w14:textId="77777777" w:rsidR="002A2453" w:rsidRPr="0015541C" w:rsidRDefault="002A2453" w:rsidP="002A2453">
      <w:pPr>
        <w:rPr>
          <w:lang w:val="pl-PL"/>
        </w:rPr>
      </w:pPr>
    </w:p>
    <w:p w14:paraId="0B47C3BB" w14:textId="77777777" w:rsidR="002A2453" w:rsidRPr="0015541C" w:rsidRDefault="002A2453" w:rsidP="002A2453">
      <w:pPr>
        <w:rPr>
          <w:lang w:val="pl-PL"/>
        </w:rPr>
      </w:pPr>
    </w:p>
    <w:p w14:paraId="5B2C8ED6" w14:textId="77777777" w:rsidR="002A2453" w:rsidRPr="0015541C" w:rsidRDefault="002A2453" w:rsidP="002A2453">
      <w:pPr>
        <w:rPr>
          <w:lang w:val="pl-PL"/>
        </w:rPr>
      </w:pPr>
    </w:p>
    <w:p w14:paraId="57708088" w14:textId="77777777" w:rsidR="002A2453" w:rsidRPr="0015541C" w:rsidRDefault="002A2453" w:rsidP="002A2453">
      <w:pPr>
        <w:rPr>
          <w:lang w:val="pl-PL"/>
        </w:rPr>
      </w:pPr>
    </w:p>
    <w:p w14:paraId="11FFC49D" w14:textId="77777777" w:rsidR="002A2453" w:rsidRPr="0015541C" w:rsidRDefault="002A2453" w:rsidP="002A2453">
      <w:pPr>
        <w:rPr>
          <w:lang w:val="pl-PL"/>
        </w:rPr>
      </w:pPr>
    </w:p>
    <w:p w14:paraId="1C268165" w14:textId="77777777" w:rsidR="002A2453" w:rsidRPr="0015541C" w:rsidRDefault="002A2453" w:rsidP="002A2453">
      <w:pPr>
        <w:rPr>
          <w:lang w:val="pl-PL"/>
        </w:rPr>
      </w:pPr>
    </w:p>
    <w:p w14:paraId="0C3EC8AD" w14:textId="77777777" w:rsidR="002A2453" w:rsidRPr="0015541C" w:rsidRDefault="002A2453" w:rsidP="002A2453">
      <w:pPr>
        <w:rPr>
          <w:lang w:val="pl-PL"/>
        </w:rPr>
      </w:pPr>
    </w:p>
    <w:p w14:paraId="5FA5452D" w14:textId="77777777" w:rsidR="002A2453" w:rsidRPr="0015541C" w:rsidRDefault="002A2453" w:rsidP="002A2453">
      <w:pPr>
        <w:pStyle w:val="Annex"/>
        <w:rPr>
          <w:lang w:val="pl-PL"/>
        </w:rPr>
      </w:pPr>
      <w:r w:rsidRPr="0015541C">
        <w:rPr>
          <w:lang w:val="pl-PL"/>
        </w:rPr>
        <w:t>A. OZNAKOWANIE OPAKOWAŃ</w:t>
      </w:r>
    </w:p>
    <w:p w14:paraId="625BAF41" w14:textId="77777777" w:rsidR="002A2453" w:rsidRPr="0015541C" w:rsidRDefault="002A2453" w:rsidP="002A2453">
      <w:pPr>
        <w:rPr>
          <w:lang w:val="pl-PL"/>
        </w:rPr>
      </w:pPr>
    </w:p>
    <w:p w14:paraId="725F3DA2" w14:textId="77777777" w:rsidR="00D53B44" w:rsidRPr="0015541C" w:rsidRDefault="002A2453" w:rsidP="002A2453">
      <w:pPr>
        <w:rPr>
          <w:lang w:val="pl-PL"/>
        </w:rPr>
      </w:pPr>
      <w:r w:rsidRPr="0015541C">
        <w:rPr>
          <w:lang w:val="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8D11DD" w14:paraId="2FFED5A5" w14:textId="77777777" w:rsidTr="005673A2">
        <w:tc>
          <w:tcPr>
            <w:tcW w:w="9210" w:type="dxa"/>
            <w:tcBorders>
              <w:top w:val="single" w:sz="4" w:space="0" w:color="auto"/>
              <w:left w:val="single" w:sz="4" w:space="0" w:color="auto"/>
              <w:bottom w:val="single" w:sz="4" w:space="0" w:color="auto"/>
              <w:right w:val="single" w:sz="4" w:space="0" w:color="auto"/>
            </w:tcBorders>
          </w:tcPr>
          <w:p w14:paraId="4ACC54B4" w14:textId="77777777" w:rsidR="002A2453" w:rsidRPr="0015541C" w:rsidRDefault="002A2453" w:rsidP="005673A2">
            <w:pPr>
              <w:pStyle w:val="BodyText"/>
              <w:spacing w:line="240" w:lineRule="auto"/>
              <w:rPr>
                <w:b w:val="0"/>
                <w:i w:val="0"/>
                <w:lang w:val="pl-PL"/>
              </w:rPr>
            </w:pPr>
            <w:r w:rsidRPr="0015541C">
              <w:rPr>
                <w:lang w:val="pl-PL"/>
              </w:rPr>
              <w:lastRenderedPageBreak/>
              <w:br w:type="column"/>
            </w:r>
            <w:r w:rsidRPr="0015541C">
              <w:rPr>
                <w:i w:val="0"/>
                <w:lang w:val="pl-PL"/>
              </w:rPr>
              <w:t xml:space="preserve">INFORMACJE ZAMIESZCZANE NA OPAKOWANIACH ZEWNĘTRZNYCH </w:t>
            </w:r>
          </w:p>
          <w:p w14:paraId="1BDA6A1D" w14:textId="77777777" w:rsidR="002A2453" w:rsidRPr="0015541C" w:rsidRDefault="002A2453" w:rsidP="005673A2">
            <w:pPr>
              <w:rPr>
                <w:b/>
                <w:lang w:val="pl-PL"/>
              </w:rPr>
            </w:pPr>
          </w:p>
          <w:p w14:paraId="2525A384" w14:textId="725FD118" w:rsidR="002A2453" w:rsidRPr="0015541C" w:rsidRDefault="002B48FF" w:rsidP="005673A2">
            <w:pPr>
              <w:rPr>
                <w:b/>
                <w:lang w:val="pl-PL"/>
              </w:rPr>
            </w:pPr>
            <w:r w:rsidRPr="0015541C">
              <w:rPr>
                <w:b/>
                <w:lang w:val="pl-PL"/>
              </w:rPr>
              <w:t>PUDEŁKO TEKTUROWE</w:t>
            </w:r>
          </w:p>
        </w:tc>
      </w:tr>
    </w:tbl>
    <w:p w14:paraId="5E56FAD9" w14:textId="77777777" w:rsidR="002A2453" w:rsidRPr="0015541C" w:rsidRDefault="002A2453" w:rsidP="002A2453">
      <w:pPr>
        <w:rPr>
          <w:lang w:val="pl-PL"/>
        </w:rPr>
      </w:pPr>
    </w:p>
    <w:p w14:paraId="49E243DA" w14:textId="77777777" w:rsidR="002A2453" w:rsidRPr="0015541C" w:rsidRDefault="002A2453" w:rsidP="002A2453">
      <w:pPr>
        <w:rPr>
          <w:lang w:val="pl-PL"/>
        </w:rPr>
      </w:pPr>
    </w:p>
    <w:p w14:paraId="0851E70D" w14:textId="77777777" w:rsidR="002A2453" w:rsidRPr="0015541C" w:rsidRDefault="002A2453" w:rsidP="002A2453">
      <w:pPr>
        <w:pBdr>
          <w:top w:val="single" w:sz="4" w:space="1" w:color="auto"/>
          <w:left w:val="single" w:sz="4" w:space="4" w:color="auto"/>
          <w:bottom w:val="single" w:sz="4" w:space="1" w:color="auto"/>
          <w:right w:val="single" w:sz="4" w:space="4" w:color="auto"/>
        </w:pBdr>
        <w:tabs>
          <w:tab w:val="left" w:pos="142"/>
        </w:tabs>
        <w:ind w:left="567" w:hanging="567"/>
        <w:rPr>
          <w:b/>
          <w:lang w:val="pl-PL"/>
        </w:rPr>
      </w:pPr>
      <w:r w:rsidRPr="0015541C">
        <w:rPr>
          <w:b/>
          <w:lang w:val="pl-PL"/>
        </w:rPr>
        <w:t>1.</w:t>
      </w:r>
      <w:r w:rsidRPr="0015541C">
        <w:rPr>
          <w:b/>
          <w:lang w:val="pl-PL"/>
        </w:rPr>
        <w:tab/>
      </w:r>
      <w:r w:rsidRPr="00AC3958">
        <w:rPr>
          <w:b/>
          <w:lang w:val="pl-PL"/>
        </w:rPr>
        <w:t>NAZWA PRODUKTU LECZNICZEGO</w:t>
      </w:r>
    </w:p>
    <w:p w14:paraId="4919A3EE" w14:textId="77777777" w:rsidR="002A2453" w:rsidRPr="0015541C" w:rsidRDefault="002A2453" w:rsidP="002A2453">
      <w:pPr>
        <w:rPr>
          <w:lang w:val="pl-PL"/>
        </w:rPr>
      </w:pPr>
    </w:p>
    <w:p w14:paraId="77B2C2DD" w14:textId="77777777" w:rsidR="002A2453" w:rsidRPr="0015541C" w:rsidRDefault="00C87F12" w:rsidP="002A2453">
      <w:pPr>
        <w:rPr>
          <w:lang w:val="pl-PL"/>
        </w:rPr>
      </w:pPr>
      <w:r w:rsidRPr="0015541C">
        <w:rPr>
          <w:lang w:val="pl-PL"/>
        </w:rPr>
        <w:t>Aybintio</w:t>
      </w:r>
      <w:r w:rsidR="002A2453" w:rsidRPr="0015541C">
        <w:rPr>
          <w:lang w:val="pl-PL"/>
        </w:rPr>
        <w:t xml:space="preserve"> 25 mg/ml koncentrat do sporządzania roztworu do infuzji</w:t>
      </w:r>
    </w:p>
    <w:p w14:paraId="1FEA9D96" w14:textId="77777777" w:rsidR="002A2453" w:rsidRPr="0015541C" w:rsidRDefault="00397BE0" w:rsidP="002A2453">
      <w:pPr>
        <w:rPr>
          <w:lang w:val="pl-PL"/>
        </w:rPr>
      </w:pPr>
      <w:r w:rsidRPr="0015541C">
        <w:rPr>
          <w:lang w:val="pl-PL"/>
        </w:rPr>
        <w:t>b</w:t>
      </w:r>
      <w:r w:rsidR="002A2453" w:rsidRPr="0015541C">
        <w:rPr>
          <w:lang w:val="pl-PL"/>
        </w:rPr>
        <w:t>ewacyzumab</w:t>
      </w:r>
    </w:p>
    <w:p w14:paraId="06AC3C5E" w14:textId="77777777" w:rsidR="002A2453" w:rsidRPr="0015541C" w:rsidRDefault="002A2453" w:rsidP="002A2453">
      <w:pPr>
        <w:rPr>
          <w:lang w:val="pl-PL"/>
        </w:rPr>
      </w:pPr>
    </w:p>
    <w:p w14:paraId="18949075" w14:textId="77777777" w:rsidR="002A2453" w:rsidRPr="0015541C" w:rsidRDefault="002A2453" w:rsidP="002A2453">
      <w:pPr>
        <w:rPr>
          <w:lang w:val="pl-PL"/>
        </w:rPr>
      </w:pPr>
    </w:p>
    <w:p w14:paraId="167695B9" w14:textId="77777777" w:rsidR="002A2453" w:rsidRPr="0015541C" w:rsidRDefault="002A2453" w:rsidP="002A2453">
      <w:pPr>
        <w:pBdr>
          <w:top w:val="single" w:sz="4" w:space="1" w:color="auto"/>
          <w:left w:val="single" w:sz="4" w:space="4" w:color="auto"/>
          <w:bottom w:val="single" w:sz="4" w:space="1" w:color="auto"/>
          <w:right w:val="single" w:sz="4" w:space="4" w:color="auto"/>
        </w:pBdr>
        <w:tabs>
          <w:tab w:val="left" w:pos="142"/>
        </w:tabs>
        <w:ind w:left="567" w:hanging="567"/>
        <w:rPr>
          <w:b/>
          <w:lang w:val="pl-PL"/>
        </w:rPr>
      </w:pPr>
      <w:r w:rsidRPr="0015541C">
        <w:rPr>
          <w:b/>
          <w:lang w:val="pl-PL"/>
        </w:rPr>
        <w:t>2.</w:t>
      </w:r>
      <w:r w:rsidRPr="0015541C">
        <w:rPr>
          <w:b/>
          <w:lang w:val="pl-PL"/>
        </w:rPr>
        <w:tab/>
        <w:t>ZAWARTOŚĆ SUBSTANCJI CZYNNEJ</w:t>
      </w:r>
    </w:p>
    <w:p w14:paraId="5E5A9D0B" w14:textId="77777777" w:rsidR="002A2453" w:rsidRPr="0015541C" w:rsidRDefault="002A2453" w:rsidP="002A2453">
      <w:pPr>
        <w:rPr>
          <w:lang w:val="pl-PL"/>
        </w:rPr>
      </w:pPr>
    </w:p>
    <w:p w14:paraId="554789BC" w14:textId="77777777" w:rsidR="002A2453" w:rsidRPr="0015541C" w:rsidRDefault="002A2453" w:rsidP="002A2453">
      <w:pPr>
        <w:rPr>
          <w:lang w:val="pl-PL"/>
        </w:rPr>
      </w:pPr>
      <w:r w:rsidRPr="0015541C">
        <w:rPr>
          <w:lang w:val="pl-PL"/>
        </w:rPr>
        <w:t>Każda fiolka zawiera 100 mg bewacyzumabu.</w:t>
      </w:r>
    </w:p>
    <w:p w14:paraId="347BC9DD" w14:textId="77777777" w:rsidR="002A2453" w:rsidRPr="0015541C" w:rsidRDefault="002A2453" w:rsidP="002A2453">
      <w:pPr>
        <w:rPr>
          <w:lang w:val="pl-PL"/>
        </w:rPr>
      </w:pPr>
    </w:p>
    <w:p w14:paraId="0BFBF197" w14:textId="77777777" w:rsidR="002A2453" w:rsidRPr="0015541C" w:rsidRDefault="002A2453" w:rsidP="002A2453">
      <w:pPr>
        <w:rPr>
          <w:lang w:val="pl-PL"/>
        </w:rPr>
      </w:pPr>
    </w:p>
    <w:p w14:paraId="5B6FDA36" w14:textId="77777777" w:rsidR="002A2453" w:rsidRPr="0015541C" w:rsidRDefault="002A2453" w:rsidP="002A2453">
      <w:pPr>
        <w:pBdr>
          <w:top w:val="single" w:sz="4" w:space="1" w:color="auto"/>
          <w:left w:val="single" w:sz="4" w:space="4" w:color="auto"/>
          <w:bottom w:val="single" w:sz="4" w:space="1" w:color="auto"/>
          <w:right w:val="single" w:sz="4" w:space="4" w:color="auto"/>
        </w:pBdr>
        <w:tabs>
          <w:tab w:val="left" w:pos="142"/>
        </w:tabs>
        <w:ind w:left="567" w:hanging="567"/>
        <w:rPr>
          <w:b/>
          <w:lang w:val="pl-PL"/>
        </w:rPr>
      </w:pPr>
      <w:r w:rsidRPr="0015541C">
        <w:rPr>
          <w:b/>
          <w:lang w:val="pl-PL"/>
        </w:rPr>
        <w:t>3.</w:t>
      </w:r>
      <w:r w:rsidRPr="0015541C">
        <w:rPr>
          <w:b/>
          <w:lang w:val="pl-PL"/>
        </w:rPr>
        <w:tab/>
        <w:t>WYKAZ SUBSTANCJI POMOCNICZYCH</w:t>
      </w:r>
    </w:p>
    <w:p w14:paraId="6D1337D6" w14:textId="77777777" w:rsidR="002A2453" w:rsidRPr="0015541C" w:rsidRDefault="002A2453" w:rsidP="002A2453">
      <w:pPr>
        <w:rPr>
          <w:lang w:val="pl-PL"/>
        </w:rPr>
      </w:pPr>
    </w:p>
    <w:p w14:paraId="1551EE01" w14:textId="637E8CAE" w:rsidR="002A2453" w:rsidRPr="0015541C" w:rsidRDefault="002A2453" w:rsidP="002A2453">
      <w:pPr>
        <w:rPr>
          <w:lang w:val="pl-PL"/>
        </w:rPr>
      </w:pPr>
      <w:r w:rsidRPr="0015541C">
        <w:rPr>
          <w:lang w:val="pl-PL"/>
        </w:rPr>
        <w:t xml:space="preserve">Trehalozy dwuwodzian, sodu </w:t>
      </w:r>
      <w:r w:rsidR="00D76D89" w:rsidRPr="0015541C">
        <w:rPr>
          <w:lang w:val="pl-PL"/>
        </w:rPr>
        <w:t>octan trójwodny, kwas octowy</w:t>
      </w:r>
      <w:r w:rsidRPr="0015541C">
        <w:rPr>
          <w:lang w:val="pl-PL"/>
        </w:rPr>
        <w:t>, polisorbat 20, woda do wstrzykiwań.</w:t>
      </w:r>
      <w:r w:rsidR="0048590C">
        <w:rPr>
          <w:lang w:val="pl-PL"/>
        </w:rPr>
        <w:t xml:space="preserve"> </w:t>
      </w:r>
      <w:r w:rsidR="0048590C" w:rsidRPr="002432F6">
        <w:rPr>
          <w:highlight w:val="lightGray"/>
          <w:lang w:val="pl-PL"/>
        </w:rPr>
        <w:t>W celu uzyskania dodatkowych informacji należy zapoznać się z treścią ulotki</w:t>
      </w:r>
    </w:p>
    <w:p w14:paraId="03244727" w14:textId="77777777" w:rsidR="002A2453" w:rsidRPr="0015541C" w:rsidRDefault="002A2453" w:rsidP="002A2453">
      <w:pPr>
        <w:rPr>
          <w:lang w:val="pl-PL"/>
        </w:rPr>
      </w:pPr>
    </w:p>
    <w:p w14:paraId="21CA4BC8" w14:textId="77777777" w:rsidR="002A2453" w:rsidRPr="0015541C" w:rsidRDefault="002A2453" w:rsidP="002A2453">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27E38249" w14:textId="77777777" w:rsidTr="005673A2">
        <w:tc>
          <w:tcPr>
            <w:tcW w:w="9210" w:type="dxa"/>
            <w:tcBorders>
              <w:top w:val="single" w:sz="4" w:space="0" w:color="auto"/>
              <w:left w:val="single" w:sz="4" w:space="0" w:color="auto"/>
              <w:bottom w:val="single" w:sz="4" w:space="0" w:color="auto"/>
              <w:right w:val="single" w:sz="4" w:space="0" w:color="auto"/>
            </w:tcBorders>
          </w:tcPr>
          <w:p w14:paraId="68C9FC5E" w14:textId="77777777" w:rsidR="002A2453" w:rsidRPr="0015541C" w:rsidRDefault="002A2453" w:rsidP="005673A2">
            <w:pPr>
              <w:tabs>
                <w:tab w:val="left" w:pos="142"/>
              </w:tabs>
              <w:ind w:left="567" w:hanging="567"/>
              <w:rPr>
                <w:b/>
                <w:lang w:val="pl-PL"/>
              </w:rPr>
            </w:pPr>
            <w:r w:rsidRPr="0015541C">
              <w:rPr>
                <w:b/>
                <w:lang w:val="pl-PL"/>
              </w:rPr>
              <w:t>4.</w:t>
            </w:r>
            <w:r w:rsidRPr="0015541C">
              <w:rPr>
                <w:b/>
                <w:lang w:val="pl-PL"/>
              </w:rPr>
              <w:tab/>
              <w:t>POSTAĆ FARMACEUTYCZNA I ZAWARTOŚĆ OPAKOWANIA</w:t>
            </w:r>
          </w:p>
        </w:tc>
      </w:tr>
    </w:tbl>
    <w:p w14:paraId="5E09DFB8" w14:textId="77777777" w:rsidR="002A2453" w:rsidRPr="0015541C" w:rsidRDefault="002A2453" w:rsidP="002A2453">
      <w:pPr>
        <w:rPr>
          <w:bCs/>
          <w:lang w:val="pl-PL"/>
        </w:rPr>
      </w:pPr>
    </w:p>
    <w:p w14:paraId="3BD86E56" w14:textId="77777777" w:rsidR="002A2453" w:rsidRPr="00477F02" w:rsidRDefault="002A2453" w:rsidP="002A2453">
      <w:pPr>
        <w:rPr>
          <w:highlight w:val="lightGray"/>
          <w:lang w:val="pl-PL"/>
        </w:rPr>
      </w:pPr>
      <w:r w:rsidRPr="00477F02">
        <w:rPr>
          <w:highlight w:val="lightGray"/>
          <w:lang w:val="pl-PL"/>
        </w:rPr>
        <w:t xml:space="preserve">Koncentrat do sporządzania roztworu do infuzji </w:t>
      </w:r>
    </w:p>
    <w:p w14:paraId="790DA092" w14:textId="77777777" w:rsidR="002A2453" w:rsidRPr="0015541C" w:rsidRDefault="002A2453" w:rsidP="002A2453">
      <w:pPr>
        <w:rPr>
          <w:lang w:val="pl-PL"/>
        </w:rPr>
      </w:pPr>
      <w:r w:rsidRPr="00AC3958">
        <w:rPr>
          <w:lang w:val="pl-PL"/>
        </w:rPr>
        <w:t>1 fiolka zawiera 4 ml roztworu</w:t>
      </w:r>
    </w:p>
    <w:p w14:paraId="1AD5FE3F" w14:textId="77777777" w:rsidR="00BE6E44" w:rsidRPr="0015541C" w:rsidRDefault="00BE6E44" w:rsidP="00BE6E44">
      <w:pPr>
        <w:rPr>
          <w:lang w:val="pl-PL"/>
        </w:rPr>
      </w:pPr>
      <w:r w:rsidRPr="0015541C">
        <w:rPr>
          <w:lang w:val="pl-PL"/>
        </w:rPr>
        <w:t>100 mg/4 ml</w:t>
      </w:r>
    </w:p>
    <w:p w14:paraId="1E877E72" w14:textId="77777777" w:rsidR="002A2453" w:rsidRPr="0015541C" w:rsidRDefault="002A2453" w:rsidP="002A2453">
      <w:pPr>
        <w:rPr>
          <w:bCs/>
          <w:lang w:val="pl-PL"/>
        </w:rPr>
      </w:pPr>
    </w:p>
    <w:p w14:paraId="4F0AA0CC" w14:textId="77777777" w:rsidR="002A2453" w:rsidRPr="0015541C" w:rsidRDefault="002A2453" w:rsidP="002A2453">
      <w:pPr>
        <w:rPr>
          <w:bCs/>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3475EDC2" w14:textId="77777777" w:rsidTr="005673A2">
        <w:tc>
          <w:tcPr>
            <w:tcW w:w="9210" w:type="dxa"/>
            <w:tcBorders>
              <w:top w:val="single" w:sz="4" w:space="0" w:color="auto"/>
              <w:left w:val="single" w:sz="4" w:space="0" w:color="auto"/>
              <w:bottom w:val="single" w:sz="4" w:space="0" w:color="auto"/>
              <w:right w:val="single" w:sz="4" w:space="0" w:color="auto"/>
            </w:tcBorders>
          </w:tcPr>
          <w:p w14:paraId="65C79397" w14:textId="77777777" w:rsidR="002A2453" w:rsidRPr="0015541C" w:rsidRDefault="002A2453" w:rsidP="005673A2">
            <w:pPr>
              <w:tabs>
                <w:tab w:val="left" w:pos="142"/>
              </w:tabs>
              <w:ind w:left="567" w:hanging="567"/>
              <w:rPr>
                <w:b/>
                <w:lang w:val="pl-PL"/>
              </w:rPr>
            </w:pPr>
            <w:r w:rsidRPr="0015541C">
              <w:rPr>
                <w:b/>
                <w:lang w:val="pl-PL"/>
              </w:rPr>
              <w:t>5.</w:t>
            </w:r>
            <w:r w:rsidRPr="0015541C">
              <w:rPr>
                <w:b/>
                <w:lang w:val="pl-PL"/>
              </w:rPr>
              <w:tab/>
              <w:t>SPOSÓB I DROGA(I) PODANIA</w:t>
            </w:r>
          </w:p>
        </w:tc>
      </w:tr>
    </w:tbl>
    <w:p w14:paraId="2B2F0684" w14:textId="77777777" w:rsidR="002A2453" w:rsidRPr="0015541C" w:rsidRDefault="002A2453" w:rsidP="002A2453">
      <w:pPr>
        <w:rPr>
          <w:lang w:val="pl-PL"/>
        </w:rPr>
      </w:pPr>
    </w:p>
    <w:p w14:paraId="4619C407" w14:textId="77777777" w:rsidR="002A2453" w:rsidRPr="00AC3958" w:rsidRDefault="002A2453" w:rsidP="002A2453">
      <w:pPr>
        <w:rPr>
          <w:lang w:val="pl-PL"/>
        </w:rPr>
      </w:pPr>
      <w:r w:rsidRPr="0015541C">
        <w:rPr>
          <w:lang w:val="pl-PL"/>
        </w:rPr>
        <w:t>Do podawania dożylnego po rozcieńczeniu</w:t>
      </w:r>
    </w:p>
    <w:p w14:paraId="658224B8" w14:textId="77777777" w:rsidR="002A2453" w:rsidRPr="0015541C" w:rsidRDefault="002A2453" w:rsidP="002A2453">
      <w:pPr>
        <w:rPr>
          <w:lang w:val="pl-PL"/>
        </w:rPr>
      </w:pPr>
      <w:r w:rsidRPr="0015541C">
        <w:rPr>
          <w:lang w:val="pl-PL"/>
        </w:rPr>
        <w:t>Należy zapoznać się z treścią ulotki przed zastosowaniem leku</w:t>
      </w:r>
      <w:r w:rsidR="008C2AD3" w:rsidRPr="0015541C">
        <w:rPr>
          <w:lang w:val="pl-PL"/>
        </w:rPr>
        <w:t>.</w:t>
      </w:r>
    </w:p>
    <w:p w14:paraId="4CC7A16D" w14:textId="77777777" w:rsidR="002A2453" w:rsidRPr="0015541C" w:rsidRDefault="002A2453" w:rsidP="002A2453">
      <w:pPr>
        <w:rPr>
          <w:lang w:val="pl-PL"/>
        </w:rPr>
      </w:pPr>
    </w:p>
    <w:p w14:paraId="2188B2BC" w14:textId="77777777" w:rsidR="002A2453" w:rsidRPr="0015541C" w:rsidRDefault="002A2453" w:rsidP="002A2453">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8D11DD" w14:paraId="181D5FA1" w14:textId="77777777" w:rsidTr="005673A2">
        <w:tc>
          <w:tcPr>
            <w:tcW w:w="9210" w:type="dxa"/>
            <w:tcBorders>
              <w:top w:val="single" w:sz="4" w:space="0" w:color="auto"/>
              <w:left w:val="single" w:sz="4" w:space="0" w:color="auto"/>
              <w:bottom w:val="single" w:sz="4" w:space="0" w:color="auto"/>
              <w:right w:val="single" w:sz="4" w:space="0" w:color="auto"/>
            </w:tcBorders>
          </w:tcPr>
          <w:p w14:paraId="143D8B80" w14:textId="77777777" w:rsidR="002A2453" w:rsidRPr="0015541C" w:rsidRDefault="002A2453" w:rsidP="005673A2">
            <w:pPr>
              <w:tabs>
                <w:tab w:val="left" w:pos="142"/>
              </w:tabs>
              <w:ind w:left="567" w:hanging="567"/>
              <w:rPr>
                <w:b/>
                <w:lang w:val="pl-PL"/>
              </w:rPr>
            </w:pPr>
            <w:r w:rsidRPr="0015541C">
              <w:rPr>
                <w:b/>
                <w:lang w:val="pl-PL"/>
              </w:rPr>
              <w:t>6.</w:t>
            </w:r>
            <w:r w:rsidRPr="0015541C">
              <w:rPr>
                <w:b/>
                <w:lang w:val="pl-PL"/>
              </w:rPr>
              <w:tab/>
              <w:t xml:space="preserve">OSTRZEŻENIE DOTYCZĄCE PRZECHOWYWANIA PRODUKTU LECZNICZEGO W MIEJSCU </w:t>
            </w:r>
            <w:r w:rsidRPr="0015541C">
              <w:rPr>
                <w:b/>
                <w:szCs w:val="24"/>
                <w:lang w:val="pl-PL"/>
              </w:rPr>
              <w:t xml:space="preserve">NIEWIDOCZNYM I </w:t>
            </w:r>
            <w:r w:rsidRPr="0015541C">
              <w:rPr>
                <w:b/>
                <w:lang w:val="pl-PL"/>
              </w:rPr>
              <w:t>NIEDOSTĘPNYM DLA DZIECI</w:t>
            </w:r>
          </w:p>
        </w:tc>
      </w:tr>
    </w:tbl>
    <w:p w14:paraId="39EA6AD2" w14:textId="77777777" w:rsidR="002A2453" w:rsidRPr="0015541C" w:rsidRDefault="002A2453" w:rsidP="002A2453">
      <w:pPr>
        <w:rPr>
          <w:lang w:val="pl-PL"/>
        </w:rPr>
      </w:pPr>
    </w:p>
    <w:p w14:paraId="7110D121" w14:textId="77777777" w:rsidR="002A2453" w:rsidRPr="0015541C" w:rsidRDefault="002A2453" w:rsidP="002A2453">
      <w:pPr>
        <w:rPr>
          <w:lang w:val="pl-PL"/>
        </w:rPr>
      </w:pPr>
      <w:r w:rsidRPr="0015541C">
        <w:rPr>
          <w:lang w:val="pl-PL"/>
        </w:rPr>
        <w:t xml:space="preserve">Lek przechowywać w miejscu </w:t>
      </w:r>
      <w:r w:rsidRPr="0015541C">
        <w:rPr>
          <w:szCs w:val="24"/>
          <w:lang w:val="pl-PL"/>
        </w:rPr>
        <w:t xml:space="preserve">niewidocznym i </w:t>
      </w:r>
      <w:r w:rsidRPr="00AC3958">
        <w:rPr>
          <w:lang w:val="pl-PL"/>
        </w:rPr>
        <w:t>niedostępnym dla dzieci</w:t>
      </w:r>
      <w:r w:rsidR="008C2AD3" w:rsidRPr="0015541C">
        <w:rPr>
          <w:lang w:val="pl-PL"/>
        </w:rPr>
        <w:t>.</w:t>
      </w:r>
    </w:p>
    <w:p w14:paraId="2D33CCD6" w14:textId="77777777" w:rsidR="002A2453" w:rsidRPr="0015541C" w:rsidRDefault="002A2453" w:rsidP="002A2453">
      <w:pPr>
        <w:rPr>
          <w:lang w:val="pl-PL"/>
        </w:rPr>
      </w:pPr>
    </w:p>
    <w:p w14:paraId="3745EC4F" w14:textId="77777777" w:rsidR="002A2453" w:rsidRPr="0015541C" w:rsidRDefault="002A2453" w:rsidP="002A2453">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3475F1A9" w14:textId="77777777" w:rsidTr="005673A2">
        <w:tc>
          <w:tcPr>
            <w:tcW w:w="9210" w:type="dxa"/>
            <w:tcBorders>
              <w:top w:val="single" w:sz="4" w:space="0" w:color="auto"/>
              <w:left w:val="single" w:sz="4" w:space="0" w:color="auto"/>
              <w:bottom w:val="single" w:sz="4" w:space="0" w:color="auto"/>
              <w:right w:val="single" w:sz="4" w:space="0" w:color="auto"/>
            </w:tcBorders>
          </w:tcPr>
          <w:p w14:paraId="10875FE1" w14:textId="77777777" w:rsidR="002A2453" w:rsidRPr="0015541C" w:rsidRDefault="002A2453" w:rsidP="005673A2">
            <w:pPr>
              <w:tabs>
                <w:tab w:val="left" w:pos="142"/>
              </w:tabs>
              <w:ind w:left="567" w:hanging="567"/>
              <w:rPr>
                <w:b/>
                <w:lang w:val="pl-PL"/>
              </w:rPr>
            </w:pPr>
            <w:r w:rsidRPr="0015541C">
              <w:rPr>
                <w:b/>
                <w:lang w:val="pl-PL"/>
              </w:rPr>
              <w:t>7.</w:t>
            </w:r>
            <w:r w:rsidRPr="0015541C">
              <w:rPr>
                <w:b/>
                <w:lang w:val="pl-PL"/>
              </w:rPr>
              <w:tab/>
              <w:t>INNE OSTRZEŻENIA SPECJALNE, JEŚLI KONIECZNE</w:t>
            </w:r>
          </w:p>
        </w:tc>
      </w:tr>
    </w:tbl>
    <w:p w14:paraId="2BC4BFB4" w14:textId="77777777" w:rsidR="002A2453" w:rsidRPr="0015541C" w:rsidRDefault="002A2453" w:rsidP="002A2453">
      <w:pPr>
        <w:rPr>
          <w:lang w:val="pl-PL"/>
        </w:rPr>
      </w:pPr>
    </w:p>
    <w:p w14:paraId="35FB3807" w14:textId="77777777" w:rsidR="002A2453" w:rsidRPr="0015541C" w:rsidRDefault="002A2453" w:rsidP="002A2453">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22BA9D93" w14:textId="77777777" w:rsidTr="005673A2">
        <w:tc>
          <w:tcPr>
            <w:tcW w:w="9210" w:type="dxa"/>
            <w:tcBorders>
              <w:top w:val="single" w:sz="4" w:space="0" w:color="auto"/>
              <w:left w:val="single" w:sz="4" w:space="0" w:color="auto"/>
              <w:bottom w:val="single" w:sz="4" w:space="0" w:color="auto"/>
              <w:right w:val="single" w:sz="4" w:space="0" w:color="auto"/>
            </w:tcBorders>
          </w:tcPr>
          <w:p w14:paraId="01A14401" w14:textId="77777777" w:rsidR="002A2453" w:rsidRPr="00AC3958" w:rsidRDefault="002A2453" w:rsidP="005673A2">
            <w:pPr>
              <w:tabs>
                <w:tab w:val="left" w:pos="142"/>
              </w:tabs>
              <w:ind w:left="567" w:hanging="567"/>
              <w:rPr>
                <w:b/>
                <w:lang w:val="pl-PL"/>
              </w:rPr>
            </w:pPr>
            <w:r w:rsidRPr="0015541C">
              <w:rPr>
                <w:b/>
                <w:lang w:val="pl-PL"/>
              </w:rPr>
              <w:t>8.</w:t>
            </w:r>
            <w:r w:rsidRPr="0015541C">
              <w:rPr>
                <w:b/>
                <w:lang w:val="pl-PL"/>
              </w:rPr>
              <w:tab/>
              <w:t>TERMIN WAŻNOŚCI</w:t>
            </w:r>
          </w:p>
        </w:tc>
      </w:tr>
    </w:tbl>
    <w:p w14:paraId="6C3BE79E" w14:textId="77777777" w:rsidR="002A2453" w:rsidRPr="0015541C" w:rsidRDefault="002A2453" w:rsidP="002A2453">
      <w:pPr>
        <w:rPr>
          <w:lang w:val="pl-PL"/>
        </w:rPr>
      </w:pPr>
    </w:p>
    <w:p w14:paraId="51318E39" w14:textId="77777777" w:rsidR="002A2453" w:rsidRPr="0015541C" w:rsidRDefault="002A2453" w:rsidP="002A2453">
      <w:pPr>
        <w:rPr>
          <w:lang w:val="pl-PL"/>
        </w:rPr>
      </w:pPr>
      <w:r w:rsidRPr="0015541C">
        <w:rPr>
          <w:lang w:val="pl-PL"/>
        </w:rPr>
        <w:t>Termin ważności (EXP)</w:t>
      </w:r>
    </w:p>
    <w:p w14:paraId="7529FFA3" w14:textId="77777777" w:rsidR="002A2453" w:rsidRPr="00AC3958" w:rsidRDefault="002A2453" w:rsidP="002A2453">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46EBC183" w14:textId="77777777" w:rsidTr="005673A2">
        <w:tc>
          <w:tcPr>
            <w:tcW w:w="9210" w:type="dxa"/>
            <w:tcBorders>
              <w:top w:val="single" w:sz="4" w:space="0" w:color="auto"/>
              <w:left w:val="single" w:sz="4" w:space="0" w:color="auto"/>
              <w:bottom w:val="single" w:sz="4" w:space="0" w:color="auto"/>
              <w:right w:val="single" w:sz="4" w:space="0" w:color="auto"/>
            </w:tcBorders>
          </w:tcPr>
          <w:p w14:paraId="674115BC" w14:textId="77777777" w:rsidR="002A2453" w:rsidRPr="0015541C" w:rsidRDefault="002A2453" w:rsidP="005673A2">
            <w:pPr>
              <w:tabs>
                <w:tab w:val="left" w:pos="142"/>
              </w:tabs>
              <w:ind w:left="567" w:hanging="567"/>
              <w:rPr>
                <w:b/>
                <w:lang w:val="pl-PL"/>
              </w:rPr>
            </w:pPr>
            <w:r w:rsidRPr="0015541C">
              <w:rPr>
                <w:b/>
                <w:lang w:val="pl-PL"/>
              </w:rPr>
              <w:t>9.</w:t>
            </w:r>
            <w:r w:rsidRPr="0015541C">
              <w:rPr>
                <w:b/>
                <w:lang w:val="pl-PL"/>
              </w:rPr>
              <w:tab/>
              <w:t>WARUNKI PRZECHOWYWANIA</w:t>
            </w:r>
          </w:p>
        </w:tc>
      </w:tr>
    </w:tbl>
    <w:p w14:paraId="5D6B8DDD" w14:textId="77777777" w:rsidR="002A2453" w:rsidRPr="0015541C" w:rsidRDefault="002A2453" w:rsidP="002A2453">
      <w:pPr>
        <w:tabs>
          <w:tab w:val="left" w:pos="720"/>
        </w:tabs>
        <w:rPr>
          <w:iCs/>
          <w:lang w:val="pl-PL"/>
        </w:rPr>
      </w:pPr>
    </w:p>
    <w:p w14:paraId="022E37DF" w14:textId="77777777" w:rsidR="002A2453" w:rsidRPr="0015541C" w:rsidRDefault="002A2453" w:rsidP="002A2453">
      <w:pPr>
        <w:rPr>
          <w:lang w:val="pl-PL"/>
        </w:rPr>
      </w:pPr>
      <w:r w:rsidRPr="0015541C">
        <w:rPr>
          <w:lang w:val="pl-PL"/>
        </w:rPr>
        <w:t>Przechowywać w lodówce</w:t>
      </w:r>
      <w:r w:rsidR="008C2AD3" w:rsidRPr="0015541C">
        <w:rPr>
          <w:lang w:val="pl-PL"/>
        </w:rPr>
        <w:t>.</w:t>
      </w:r>
      <w:r w:rsidRPr="00AC3958">
        <w:rPr>
          <w:lang w:val="pl-PL"/>
        </w:rPr>
        <w:t xml:space="preserve"> </w:t>
      </w:r>
    </w:p>
    <w:p w14:paraId="42221EA8" w14:textId="77777777" w:rsidR="002A2453" w:rsidRPr="0015541C" w:rsidRDefault="002A2453" w:rsidP="002A2453">
      <w:pPr>
        <w:rPr>
          <w:lang w:val="pl-PL"/>
        </w:rPr>
      </w:pPr>
      <w:r w:rsidRPr="0015541C">
        <w:rPr>
          <w:lang w:val="pl-PL"/>
        </w:rPr>
        <w:t>Nie zamrażać</w:t>
      </w:r>
      <w:r w:rsidR="008C2AD3" w:rsidRPr="0015541C">
        <w:rPr>
          <w:lang w:val="pl-PL"/>
        </w:rPr>
        <w:t>.</w:t>
      </w:r>
    </w:p>
    <w:p w14:paraId="31FEF929" w14:textId="000AF7AB" w:rsidR="002A2453" w:rsidRPr="0015541C" w:rsidRDefault="002A2453" w:rsidP="002A2453">
      <w:pPr>
        <w:rPr>
          <w:lang w:val="pl-PL"/>
        </w:rPr>
      </w:pPr>
      <w:r w:rsidRPr="0015541C">
        <w:rPr>
          <w:lang w:val="pl-PL"/>
        </w:rPr>
        <w:t>Fiolki z lekiem przechowywać w opakowaniu zewnętrznym</w:t>
      </w:r>
      <w:r w:rsidR="0048590C">
        <w:rPr>
          <w:lang w:val="pl-PL"/>
        </w:rPr>
        <w:t xml:space="preserve"> w celu ochrony przed światłem</w:t>
      </w:r>
      <w:r w:rsidR="008C2AD3" w:rsidRPr="0015541C">
        <w:rPr>
          <w:lang w:val="pl-PL"/>
        </w:rPr>
        <w:t>.</w:t>
      </w:r>
      <w:r w:rsidRPr="0015541C">
        <w:rPr>
          <w:lang w:val="pl-PL"/>
        </w:rPr>
        <w:t xml:space="preserve"> </w:t>
      </w:r>
    </w:p>
    <w:p w14:paraId="1DA97A7B" w14:textId="77777777" w:rsidR="002A2453" w:rsidRPr="0015541C" w:rsidRDefault="002A2453" w:rsidP="002A2453">
      <w:pPr>
        <w:tabs>
          <w:tab w:val="left" w:pos="720"/>
        </w:tabs>
        <w:rPr>
          <w:iCs/>
          <w:lang w:val="pl-PL"/>
        </w:rPr>
      </w:pPr>
    </w:p>
    <w:p w14:paraId="09CC7955" w14:textId="77777777" w:rsidR="002A2453" w:rsidRPr="0015541C" w:rsidRDefault="002A2453" w:rsidP="002A2453">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8D11DD" w14:paraId="29AF9086" w14:textId="77777777" w:rsidTr="005673A2">
        <w:tc>
          <w:tcPr>
            <w:tcW w:w="9210" w:type="dxa"/>
            <w:tcBorders>
              <w:top w:val="single" w:sz="4" w:space="0" w:color="auto"/>
              <w:left w:val="single" w:sz="4" w:space="0" w:color="auto"/>
              <w:bottom w:val="single" w:sz="4" w:space="0" w:color="auto"/>
              <w:right w:val="single" w:sz="4" w:space="0" w:color="auto"/>
            </w:tcBorders>
          </w:tcPr>
          <w:p w14:paraId="045771A6" w14:textId="77777777" w:rsidR="002A2453" w:rsidRPr="0015541C" w:rsidRDefault="002A2453" w:rsidP="004C4A93">
            <w:pPr>
              <w:keepNext/>
              <w:tabs>
                <w:tab w:val="left" w:pos="142"/>
              </w:tabs>
              <w:ind w:left="567" w:hanging="567"/>
              <w:rPr>
                <w:b/>
                <w:lang w:val="pl-PL"/>
              </w:rPr>
            </w:pPr>
            <w:r w:rsidRPr="0015541C">
              <w:rPr>
                <w:b/>
                <w:lang w:val="pl-PL"/>
              </w:rPr>
              <w:lastRenderedPageBreak/>
              <w:t>10.</w:t>
            </w:r>
            <w:r w:rsidRPr="0015541C">
              <w:rPr>
                <w:b/>
                <w:lang w:val="pl-PL"/>
              </w:rPr>
              <w:tab/>
              <w:t>SPECJALNE ŚRODKI OSTROŻNOŚCI DOTYCZĄCE USUWANIA NIEZUŻYTEGO PRODUKTU LECZNICZEGO LUB POCHODZĄCYCH Z NIEGO ODPADÓW, JEŚLI WŁAŚCIWE</w:t>
            </w:r>
          </w:p>
        </w:tc>
      </w:tr>
    </w:tbl>
    <w:p w14:paraId="4F482664" w14:textId="77777777" w:rsidR="002A2453" w:rsidRPr="0015541C" w:rsidRDefault="002A2453" w:rsidP="002A2453">
      <w:pPr>
        <w:tabs>
          <w:tab w:val="left" w:pos="720"/>
        </w:tabs>
        <w:rPr>
          <w:lang w:val="pl-PL"/>
        </w:rPr>
      </w:pPr>
    </w:p>
    <w:p w14:paraId="1DF5AFA2" w14:textId="77777777" w:rsidR="002A2453" w:rsidRPr="0015541C" w:rsidRDefault="002A2453" w:rsidP="002A2453">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71107AE8" w14:textId="77777777" w:rsidTr="005673A2">
        <w:tc>
          <w:tcPr>
            <w:tcW w:w="9210" w:type="dxa"/>
            <w:tcBorders>
              <w:top w:val="single" w:sz="4" w:space="0" w:color="auto"/>
              <w:left w:val="single" w:sz="4" w:space="0" w:color="auto"/>
              <w:bottom w:val="single" w:sz="4" w:space="0" w:color="auto"/>
              <w:right w:val="single" w:sz="4" w:space="0" w:color="auto"/>
            </w:tcBorders>
          </w:tcPr>
          <w:p w14:paraId="755FA381" w14:textId="77777777" w:rsidR="002A2453" w:rsidRPr="00AC3958" w:rsidRDefault="002A2453" w:rsidP="005673A2">
            <w:pPr>
              <w:tabs>
                <w:tab w:val="left" w:pos="142"/>
              </w:tabs>
              <w:ind w:left="567" w:hanging="567"/>
              <w:rPr>
                <w:b/>
                <w:lang w:val="pl-PL"/>
              </w:rPr>
            </w:pPr>
            <w:r w:rsidRPr="0015541C">
              <w:rPr>
                <w:b/>
                <w:lang w:val="pl-PL"/>
              </w:rPr>
              <w:t>11.</w:t>
            </w:r>
            <w:r w:rsidRPr="0015541C">
              <w:rPr>
                <w:b/>
                <w:lang w:val="pl-PL"/>
              </w:rPr>
              <w:tab/>
              <w:t>NAZWA I ADRES PODMIOTU ODPOWIEDZIALNEGO</w:t>
            </w:r>
          </w:p>
        </w:tc>
      </w:tr>
    </w:tbl>
    <w:p w14:paraId="2047F79E" w14:textId="77777777" w:rsidR="002A2453" w:rsidRPr="0015541C" w:rsidRDefault="002A2453" w:rsidP="002A2453">
      <w:pPr>
        <w:tabs>
          <w:tab w:val="left" w:pos="720"/>
        </w:tabs>
        <w:rPr>
          <w:lang w:val="pl-PL"/>
        </w:rPr>
      </w:pPr>
    </w:p>
    <w:p w14:paraId="03F31A14" w14:textId="77777777" w:rsidR="000E0EFF" w:rsidRPr="0015541C" w:rsidRDefault="005E1984" w:rsidP="00030A7F">
      <w:pPr>
        <w:tabs>
          <w:tab w:val="left" w:pos="-720"/>
        </w:tabs>
        <w:rPr>
          <w:lang w:val="pl-PL"/>
        </w:rPr>
      </w:pPr>
      <w:r w:rsidRPr="0015541C">
        <w:rPr>
          <w:color w:val="000000"/>
          <w:szCs w:val="24"/>
          <w:lang w:val="pl-PL"/>
        </w:rPr>
        <w:t>Samsung Bioepis NL B.V.</w:t>
      </w:r>
      <w:r w:rsidRPr="0015541C">
        <w:rPr>
          <w:color w:val="000000"/>
          <w:szCs w:val="24"/>
          <w:lang w:val="pl-PL"/>
        </w:rPr>
        <w:br/>
        <w:t>Olof Palmestraat 10, 2616 LR Delft</w:t>
      </w:r>
      <w:r w:rsidRPr="0015541C">
        <w:rPr>
          <w:color w:val="000000"/>
          <w:szCs w:val="24"/>
          <w:lang w:val="pl-PL"/>
        </w:rPr>
        <w:br/>
        <w:t>Holandia</w:t>
      </w:r>
    </w:p>
    <w:p w14:paraId="203C3527" w14:textId="77777777" w:rsidR="002A2453" w:rsidRPr="00AC3958" w:rsidRDefault="002A2453" w:rsidP="002A2453">
      <w:pPr>
        <w:tabs>
          <w:tab w:val="left" w:pos="720"/>
        </w:tabs>
        <w:rPr>
          <w:lang w:val="pl-PL"/>
        </w:rPr>
      </w:pPr>
    </w:p>
    <w:p w14:paraId="40CFE260" w14:textId="77777777" w:rsidR="002A2453" w:rsidRPr="0015541C" w:rsidRDefault="002A2453" w:rsidP="002A2453">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76F0FFB7" w14:textId="77777777" w:rsidTr="005673A2">
        <w:tc>
          <w:tcPr>
            <w:tcW w:w="9210" w:type="dxa"/>
            <w:tcBorders>
              <w:top w:val="single" w:sz="4" w:space="0" w:color="auto"/>
              <w:left w:val="single" w:sz="4" w:space="0" w:color="auto"/>
              <w:bottom w:val="single" w:sz="4" w:space="0" w:color="auto"/>
              <w:right w:val="single" w:sz="4" w:space="0" w:color="auto"/>
            </w:tcBorders>
          </w:tcPr>
          <w:p w14:paraId="022C421D" w14:textId="77777777" w:rsidR="002A2453" w:rsidRPr="0015541C" w:rsidRDefault="002A2453" w:rsidP="005673A2">
            <w:pPr>
              <w:tabs>
                <w:tab w:val="left" w:pos="142"/>
              </w:tabs>
              <w:ind w:left="567" w:hanging="567"/>
              <w:rPr>
                <w:b/>
                <w:lang w:val="pl-PL"/>
              </w:rPr>
            </w:pPr>
            <w:r w:rsidRPr="0015541C">
              <w:rPr>
                <w:b/>
                <w:lang w:val="pl-PL"/>
              </w:rPr>
              <w:t>12.</w:t>
            </w:r>
            <w:r w:rsidRPr="0015541C">
              <w:rPr>
                <w:b/>
                <w:lang w:val="pl-PL"/>
              </w:rPr>
              <w:tab/>
              <w:t>NUMER(Y) POZWOLENIA(</w:t>
            </w:r>
            <w:r w:rsidRPr="0015541C">
              <w:rPr>
                <w:b/>
                <w:bCs/>
                <w:lang w:val="pl-PL"/>
              </w:rPr>
              <w:t xml:space="preserve">Ń) </w:t>
            </w:r>
            <w:r w:rsidRPr="0015541C">
              <w:rPr>
                <w:b/>
                <w:lang w:val="pl-PL"/>
              </w:rPr>
              <w:t>NA DOPUSZCZENIE DO OBROTU</w:t>
            </w:r>
          </w:p>
        </w:tc>
      </w:tr>
    </w:tbl>
    <w:p w14:paraId="168EFDA1" w14:textId="77777777" w:rsidR="002A2453" w:rsidRPr="0015541C" w:rsidRDefault="002A2453" w:rsidP="002A2453">
      <w:pPr>
        <w:tabs>
          <w:tab w:val="left" w:pos="720"/>
        </w:tabs>
        <w:rPr>
          <w:lang w:val="pl-PL"/>
        </w:rPr>
      </w:pPr>
    </w:p>
    <w:p w14:paraId="06A4D47F" w14:textId="77777777" w:rsidR="002A2453" w:rsidRPr="0015541C" w:rsidRDefault="006A04C8" w:rsidP="002A2453">
      <w:pPr>
        <w:tabs>
          <w:tab w:val="left" w:pos="720"/>
        </w:tabs>
        <w:rPr>
          <w:lang w:val="pl-PL"/>
        </w:rPr>
      </w:pPr>
      <w:r w:rsidRPr="0070444C">
        <w:rPr>
          <w:lang w:val="pl-PL"/>
        </w:rPr>
        <w:t>EU/1/</w:t>
      </w:r>
      <w:r w:rsidRPr="0070444C">
        <w:rPr>
          <w:szCs w:val="22"/>
          <w:lang w:val="pl-PL" w:eastAsia="ko-KR"/>
        </w:rPr>
        <w:t>20/1454</w:t>
      </w:r>
      <w:r w:rsidRPr="0070444C">
        <w:rPr>
          <w:lang w:val="pl-PL"/>
        </w:rPr>
        <w:t>/001</w:t>
      </w:r>
    </w:p>
    <w:p w14:paraId="7C78B8CA" w14:textId="77777777" w:rsidR="002A2453" w:rsidRPr="0015541C" w:rsidRDefault="002A2453" w:rsidP="002A2453">
      <w:pPr>
        <w:tabs>
          <w:tab w:val="left" w:pos="720"/>
        </w:tabs>
        <w:rPr>
          <w:lang w:val="pl-PL"/>
        </w:rPr>
      </w:pPr>
    </w:p>
    <w:p w14:paraId="3E56277A" w14:textId="77777777" w:rsidR="002A2453" w:rsidRPr="0015541C" w:rsidRDefault="002A2453" w:rsidP="002A2453">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3884FF16" w14:textId="77777777" w:rsidTr="005673A2">
        <w:tc>
          <w:tcPr>
            <w:tcW w:w="9210" w:type="dxa"/>
            <w:tcBorders>
              <w:top w:val="single" w:sz="4" w:space="0" w:color="auto"/>
              <w:left w:val="single" w:sz="4" w:space="0" w:color="auto"/>
              <w:bottom w:val="single" w:sz="4" w:space="0" w:color="auto"/>
              <w:right w:val="single" w:sz="4" w:space="0" w:color="auto"/>
            </w:tcBorders>
          </w:tcPr>
          <w:p w14:paraId="0A35442C" w14:textId="77777777" w:rsidR="002A2453" w:rsidRPr="0015541C" w:rsidRDefault="002A2453" w:rsidP="005673A2">
            <w:pPr>
              <w:tabs>
                <w:tab w:val="left" w:pos="142"/>
              </w:tabs>
              <w:ind w:left="567" w:hanging="567"/>
              <w:rPr>
                <w:b/>
                <w:lang w:val="pl-PL"/>
              </w:rPr>
            </w:pPr>
            <w:r w:rsidRPr="00AC3958">
              <w:rPr>
                <w:b/>
                <w:lang w:val="pl-PL"/>
              </w:rPr>
              <w:t>13.</w:t>
            </w:r>
            <w:r w:rsidRPr="00AC3958">
              <w:rPr>
                <w:b/>
                <w:lang w:val="pl-PL"/>
              </w:rPr>
              <w:tab/>
              <w:t>NUMER SERII</w:t>
            </w:r>
          </w:p>
        </w:tc>
      </w:tr>
    </w:tbl>
    <w:p w14:paraId="613AC42F" w14:textId="77777777" w:rsidR="002A2453" w:rsidRPr="0015541C" w:rsidRDefault="002A2453" w:rsidP="002A2453">
      <w:pPr>
        <w:tabs>
          <w:tab w:val="left" w:pos="720"/>
        </w:tabs>
        <w:rPr>
          <w:lang w:val="pl-PL"/>
        </w:rPr>
      </w:pPr>
    </w:p>
    <w:p w14:paraId="26852D12" w14:textId="77777777" w:rsidR="002A2453" w:rsidRPr="0015541C" w:rsidRDefault="002A2453" w:rsidP="002A2453">
      <w:pPr>
        <w:tabs>
          <w:tab w:val="left" w:pos="720"/>
        </w:tabs>
        <w:rPr>
          <w:lang w:val="pl-PL"/>
        </w:rPr>
      </w:pPr>
      <w:r w:rsidRPr="0015541C">
        <w:rPr>
          <w:lang w:val="pl-PL"/>
        </w:rPr>
        <w:t>Nr serii (Lot)</w:t>
      </w:r>
    </w:p>
    <w:p w14:paraId="5E1ED7E4" w14:textId="77777777" w:rsidR="002A2453" w:rsidRPr="00AC3958" w:rsidRDefault="002A2453" w:rsidP="002A2453">
      <w:pPr>
        <w:tabs>
          <w:tab w:val="left" w:pos="720"/>
        </w:tabs>
        <w:rPr>
          <w:lang w:val="pl-PL"/>
        </w:rPr>
      </w:pPr>
    </w:p>
    <w:p w14:paraId="604D2330" w14:textId="77777777" w:rsidR="002A2453" w:rsidRPr="0015541C" w:rsidRDefault="002A2453" w:rsidP="002A2453">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19461A00" w14:textId="77777777" w:rsidTr="005673A2">
        <w:tc>
          <w:tcPr>
            <w:tcW w:w="9210" w:type="dxa"/>
            <w:tcBorders>
              <w:top w:val="single" w:sz="4" w:space="0" w:color="auto"/>
              <w:left w:val="single" w:sz="4" w:space="0" w:color="auto"/>
              <w:bottom w:val="single" w:sz="4" w:space="0" w:color="auto"/>
              <w:right w:val="single" w:sz="4" w:space="0" w:color="auto"/>
            </w:tcBorders>
          </w:tcPr>
          <w:p w14:paraId="0A4BCEB8" w14:textId="77777777" w:rsidR="002A2453" w:rsidRPr="0015541C" w:rsidRDefault="002A2453" w:rsidP="005673A2">
            <w:pPr>
              <w:tabs>
                <w:tab w:val="left" w:pos="142"/>
              </w:tabs>
              <w:ind w:left="567" w:hanging="567"/>
              <w:rPr>
                <w:b/>
                <w:lang w:val="pl-PL"/>
              </w:rPr>
            </w:pPr>
            <w:r w:rsidRPr="0015541C">
              <w:rPr>
                <w:b/>
                <w:lang w:val="pl-PL"/>
              </w:rPr>
              <w:t>14.</w:t>
            </w:r>
            <w:r w:rsidRPr="0015541C">
              <w:rPr>
                <w:b/>
                <w:lang w:val="pl-PL"/>
              </w:rPr>
              <w:tab/>
              <w:t>OGÓLNA KATEGORIA DOSTĘPNOŚCI</w:t>
            </w:r>
          </w:p>
        </w:tc>
      </w:tr>
    </w:tbl>
    <w:p w14:paraId="31602B79" w14:textId="77777777" w:rsidR="002A2453" w:rsidRPr="0015541C" w:rsidRDefault="002A2453" w:rsidP="002A2453">
      <w:pPr>
        <w:tabs>
          <w:tab w:val="left" w:pos="720"/>
        </w:tabs>
        <w:rPr>
          <w:lang w:val="pl-PL"/>
        </w:rPr>
      </w:pPr>
    </w:p>
    <w:p w14:paraId="517080A5" w14:textId="77777777" w:rsidR="002A2453" w:rsidRPr="0015541C" w:rsidRDefault="002A2453" w:rsidP="002A2453">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0DBC5735" w14:textId="77777777" w:rsidTr="005673A2">
        <w:tc>
          <w:tcPr>
            <w:tcW w:w="9210" w:type="dxa"/>
            <w:tcBorders>
              <w:top w:val="single" w:sz="4" w:space="0" w:color="auto"/>
              <w:left w:val="single" w:sz="4" w:space="0" w:color="auto"/>
              <w:bottom w:val="single" w:sz="4" w:space="0" w:color="auto"/>
              <w:right w:val="single" w:sz="4" w:space="0" w:color="auto"/>
            </w:tcBorders>
          </w:tcPr>
          <w:p w14:paraId="640422EA" w14:textId="77777777" w:rsidR="002A2453" w:rsidRPr="00AC3958" w:rsidRDefault="002A2453" w:rsidP="005673A2">
            <w:pPr>
              <w:tabs>
                <w:tab w:val="left" w:pos="142"/>
              </w:tabs>
              <w:ind w:left="567" w:hanging="567"/>
              <w:rPr>
                <w:b/>
                <w:lang w:val="pl-PL"/>
              </w:rPr>
            </w:pPr>
            <w:r w:rsidRPr="0015541C">
              <w:rPr>
                <w:b/>
                <w:lang w:val="pl-PL"/>
              </w:rPr>
              <w:t>15.</w:t>
            </w:r>
            <w:r w:rsidRPr="0015541C">
              <w:rPr>
                <w:b/>
                <w:lang w:val="pl-PL"/>
              </w:rPr>
              <w:tab/>
              <w:t>INSTRUKCJA UŻYCIA</w:t>
            </w:r>
          </w:p>
        </w:tc>
      </w:tr>
    </w:tbl>
    <w:p w14:paraId="0D6A4AD3" w14:textId="77777777" w:rsidR="002A2453" w:rsidRPr="0015541C" w:rsidRDefault="002A2453" w:rsidP="002A2453">
      <w:pPr>
        <w:tabs>
          <w:tab w:val="left" w:pos="720"/>
        </w:tabs>
        <w:rPr>
          <w:lang w:val="pl-PL"/>
        </w:rPr>
      </w:pPr>
    </w:p>
    <w:p w14:paraId="41C52777" w14:textId="77777777" w:rsidR="002A2453" w:rsidRPr="0015541C" w:rsidRDefault="002A2453" w:rsidP="002A2453">
      <w:pPr>
        <w:tabs>
          <w:tab w:val="left" w:pos="720"/>
        </w:tabs>
        <w:rPr>
          <w:lang w:val="pl-PL"/>
        </w:rPr>
      </w:pPr>
    </w:p>
    <w:p w14:paraId="4387DD84" w14:textId="77777777" w:rsidR="002A2453" w:rsidRPr="00AC3958" w:rsidRDefault="002A2453" w:rsidP="002A2453">
      <w:pPr>
        <w:pBdr>
          <w:top w:val="single" w:sz="4" w:space="1" w:color="auto"/>
          <w:left w:val="single" w:sz="4" w:space="4" w:color="auto"/>
          <w:bottom w:val="single" w:sz="4" w:space="1" w:color="auto"/>
          <w:right w:val="single" w:sz="4" w:space="4" w:color="auto"/>
        </w:pBdr>
        <w:ind w:left="567" w:hanging="567"/>
        <w:rPr>
          <w:lang w:val="pl-PL"/>
        </w:rPr>
      </w:pPr>
      <w:r w:rsidRPr="0015541C">
        <w:rPr>
          <w:b/>
          <w:lang w:val="pl-PL"/>
        </w:rPr>
        <w:t>16.</w:t>
      </w:r>
      <w:r w:rsidRPr="0015541C">
        <w:rPr>
          <w:b/>
          <w:lang w:val="pl-PL"/>
        </w:rPr>
        <w:tab/>
        <w:t>INFORMACJA PODANA SYSTEMEM BRAILLE’A</w:t>
      </w:r>
    </w:p>
    <w:p w14:paraId="4E49F043" w14:textId="77777777" w:rsidR="002A2453" w:rsidRPr="0015541C" w:rsidRDefault="002A2453" w:rsidP="002A2453">
      <w:pPr>
        <w:tabs>
          <w:tab w:val="left" w:pos="720"/>
        </w:tabs>
        <w:rPr>
          <w:lang w:val="pl-PL"/>
        </w:rPr>
      </w:pPr>
    </w:p>
    <w:p w14:paraId="059315FB" w14:textId="77777777" w:rsidR="002A2453" w:rsidRPr="0015541C" w:rsidRDefault="002A2453" w:rsidP="002A2453">
      <w:pPr>
        <w:tabs>
          <w:tab w:val="left" w:pos="720"/>
        </w:tabs>
        <w:rPr>
          <w:lang w:val="pl-PL"/>
        </w:rPr>
      </w:pPr>
      <w:r w:rsidRPr="0070444C">
        <w:rPr>
          <w:highlight w:val="lightGray"/>
          <w:lang w:val="pl-PL"/>
        </w:rPr>
        <w:t>Zaakceptowano uzasadnienie braku informacji systemem Braille’a</w:t>
      </w:r>
      <w:r w:rsidR="008C2AD3" w:rsidRPr="0015541C">
        <w:rPr>
          <w:highlight w:val="lightGray"/>
          <w:lang w:val="pl-PL"/>
        </w:rPr>
        <w:t>.</w:t>
      </w:r>
    </w:p>
    <w:p w14:paraId="76BEF747" w14:textId="77777777" w:rsidR="00AC7D83" w:rsidRPr="0015541C" w:rsidRDefault="00AC7D83" w:rsidP="002A2453">
      <w:pPr>
        <w:tabs>
          <w:tab w:val="left" w:pos="720"/>
        </w:tabs>
        <w:rPr>
          <w:lang w:val="pl-PL"/>
        </w:rPr>
      </w:pPr>
    </w:p>
    <w:p w14:paraId="1721485F" w14:textId="77777777" w:rsidR="00CA1A9F" w:rsidRPr="0015541C" w:rsidRDefault="00CA1A9F" w:rsidP="00CA1A9F">
      <w:pPr>
        <w:rPr>
          <w:szCs w:val="22"/>
          <w:shd w:val="clear" w:color="auto" w:fill="CCCCCC"/>
          <w:lang w:val="pl-PL"/>
        </w:rPr>
      </w:pPr>
    </w:p>
    <w:p w14:paraId="72E21570" w14:textId="77777777" w:rsidR="00CA1A9F" w:rsidRPr="0015541C" w:rsidRDefault="00217A9A" w:rsidP="00217A9A">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lang w:val="pl-PL"/>
        </w:rPr>
      </w:pPr>
      <w:r w:rsidRPr="0015541C">
        <w:rPr>
          <w:b/>
          <w:lang w:val="pl-PL"/>
        </w:rPr>
        <w:t>17.</w:t>
      </w:r>
      <w:r w:rsidRPr="0015541C">
        <w:rPr>
          <w:b/>
          <w:lang w:val="pl-PL"/>
        </w:rPr>
        <w:tab/>
      </w:r>
      <w:r w:rsidR="00CA1A9F" w:rsidRPr="0015541C">
        <w:rPr>
          <w:b/>
          <w:lang w:val="pl-PL"/>
        </w:rPr>
        <w:t>NIEPOWTARZALNY IDENTYFIKATOR – KOD 2D</w:t>
      </w:r>
    </w:p>
    <w:p w14:paraId="665D5AFA" w14:textId="77777777" w:rsidR="00CA1A9F" w:rsidRPr="0015541C" w:rsidRDefault="00CA1A9F" w:rsidP="00CA1A9F">
      <w:pPr>
        <w:tabs>
          <w:tab w:val="left" w:pos="720"/>
        </w:tabs>
        <w:rPr>
          <w:lang w:val="pl-PL"/>
        </w:rPr>
      </w:pPr>
    </w:p>
    <w:p w14:paraId="26781B3D" w14:textId="77777777" w:rsidR="00CA1A9F" w:rsidRPr="0015541C" w:rsidRDefault="00CA1A9F" w:rsidP="00CA1A9F">
      <w:pPr>
        <w:rPr>
          <w:szCs w:val="22"/>
          <w:shd w:val="clear" w:color="auto" w:fill="CCCCCC"/>
          <w:lang w:val="pl-PL"/>
        </w:rPr>
      </w:pPr>
      <w:r w:rsidRPr="0070444C">
        <w:rPr>
          <w:highlight w:val="lightGray"/>
          <w:lang w:val="pl-PL"/>
        </w:rPr>
        <w:t>Obejmuje kod 2D będący nośnikiem niepowtarzalnego identyfikatora.</w:t>
      </w:r>
    </w:p>
    <w:p w14:paraId="68B9B4A5" w14:textId="77777777" w:rsidR="00CA1A9F" w:rsidRPr="0015541C" w:rsidRDefault="00CA1A9F" w:rsidP="00CA1A9F">
      <w:pPr>
        <w:rPr>
          <w:szCs w:val="22"/>
          <w:shd w:val="clear" w:color="auto" w:fill="CCCCCC"/>
          <w:lang w:val="pl-PL"/>
        </w:rPr>
      </w:pPr>
    </w:p>
    <w:p w14:paraId="375414B4" w14:textId="77777777" w:rsidR="00CA1A9F" w:rsidRPr="0015541C" w:rsidRDefault="00CA1A9F" w:rsidP="00CA1A9F">
      <w:pPr>
        <w:tabs>
          <w:tab w:val="left" w:pos="720"/>
        </w:tabs>
        <w:rPr>
          <w:lang w:val="pl-PL"/>
        </w:rPr>
      </w:pPr>
    </w:p>
    <w:p w14:paraId="2FAB1369" w14:textId="77777777" w:rsidR="00CA1A9F" w:rsidRPr="0015541C" w:rsidRDefault="00217A9A" w:rsidP="00217A9A">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lang w:val="pl-PL"/>
        </w:rPr>
      </w:pPr>
      <w:r w:rsidRPr="0015541C">
        <w:rPr>
          <w:b/>
          <w:lang w:val="pl-PL"/>
        </w:rPr>
        <w:t>18.</w:t>
      </w:r>
      <w:r w:rsidRPr="0015541C">
        <w:rPr>
          <w:b/>
          <w:lang w:val="pl-PL"/>
        </w:rPr>
        <w:tab/>
      </w:r>
      <w:r w:rsidR="00CA1A9F" w:rsidRPr="0015541C">
        <w:rPr>
          <w:b/>
          <w:lang w:val="pl-PL"/>
        </w:rPr>
        <w:t>NIEPOWTARZALNY IDENTYFIKATOR – DANE CZYTELNE DLA CZŁOWIEKA</w:t>
      </w:r>
    </w:p>
    <w:p w14:paraId="51146AB3" w14:textId="77777777" w:rsidR="00727989" w:rsidRPr="0015541C" w:rsidRDefault="00727989" w:rsidP="002D6354">
      <w:pPr>
        <w:tabs>
          <w:tab w:val="left" w:pos="720"/>
        </w:tabs>
        <w:rPr>
          <w:lang w:val="pl-PL"/>
        </w:rPr>
      </w:pPr>
    </w:p>
    <w:p w14:paraId="174E40C7" w14:textId="77777777" w:rsidR="002D6354" w:rsidRPr="0070444C" w:rsidRDefault="002D6354" w:rsidP="002D6354">
      <w:pPr>
        <w:tabs>
          <w:tab w:val="left" w:pos="720"/>
        </w:tabs>
        <w:rPr>
          <w:lang w:val="pl-PL"/>
        </w:rPr>
      </w:pPr>
      <w:r w:rsidRPr="0070444C">
        <w:rPr>
          <w:lang w:val="pl-PL"/>
        </w:rPr>
        <w:t>PC</w:t>
      </w:r>
    </w:p>
    <w:p w14:paraId="3017CD6A" w14:textId="77777777" w:rsidR="002D6354" w:rsidRPr="0070444C" w:rsidRDefault="002D6354" w:rsidP="002D6354">
      <w:pPr>
        <w:tabs>
          <w:tab w:val="left" w:pos="720"/>
        </w:tabs>
        <w:rPr>
          <w:lang w:val="pl-PL"/>
        </w:rPr>
      </w:pPr>
      <w:r w:rsidRPr="0070444C">
        <w:rPr>
          <w:lang w:val="pl-PL"/>
        </w:rPr>
        <w:t xml:space="preserve">SN </w:t>
      </w:r>
    </w:p>
    <w:p w14:paraId="1C301B0D" w14:textId="77777777" w:rsidR="002A2453" w:rsidRPr="0070444C" w:rsidRDefault="002D6354" w:rsidP="002D6354">
      <w:pPr>
        <w:tabs>
          <w:tab w:val="left" w:pos="720"/>
        </w:tabs>
        <w:rPr>
          <w:lang w:val="pl-PL"/>
        </w:rPr>
      </w:pPr>
      <w:r w:rsidRPr="0070444C">
        <w:rPr>
          <w:lang w:val="pl-PL"/>
        </w:rPr>
        <w:t xml:space="preserve">NN </w:t>
      </w:r>
      <w:r w:rsidR="002A2453" w:rsidRPr="0070444C">
        <w:rPr>
          <w:lang w:val="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22452095" w14:textId="77777777" w:rsidTr="005673A2">
        <w:tc>
          <w:tcPr>
            <w:tcW w:w="9210" w:type="dxa"/>
            <w:tcBorders>
              <w:top w:val="single" w:sz="4" w:space="0" w:color="auto"/>
              <w:left w:val="single" w:sz="4" w:space="0" w:color="auto"/>
              <w:bottom w:val="single" w:sz="4" w:space="0" w:color="auto"/>
              <w:right w:val="single" w:sz="4" w:space="0" w:color="auto"/>
            </w:tcBorders>
          </w:tcPr>
          <w:p w14:paraId="7C8A7665" w14:textId="77777777" w:rsidR="002A2453" w:rsidRPr="0015541C" w:rsidRDefault="002A2453" w:rsidP="005673A2">
            <w:pPr>
              <w:tabs>
                <w:tab w:val="left" w:pos="720"/>
              </w:tabs>
              <w:rPr>
                <w:b/>
                <w:lang w:val="pl-PL"/>
              </w:rPr>
            </w:pPr>
            <w:r w:rsidRPr="0015541C">
              <w:rPr>
                <w:lang w:val="pl-PL"/>
              </w:rPr>
              <w:lastRenderedPageBreak/>
              <w:br w:type="column"/>
            </w:r>
            <w:r w:rsidRPr="0015541C">
              <w:rPr>
                <w:b/>
                <w:lang w:val="pl-PL"/>
              </w:rPr>
              <w:t xml:space="preserve">MINIMUM INFORMACJI ZAMIESZCZANYCH NA </w:t>
            </w:r>
            <w:r w:rsidRPr="0015541C">
              <w:rPr>
                <w:b/>
                <w:caps/>
                <w:lang w:val="pl-PL"/>
              </w:rPr>
              <w:t>małych</w:t>
            </w:r>
            <w:r w:rsidRPr="0015541C">
              <w:rPr>
                <w:b/>
                <w:lang w:val="pl-PL"/>
              </w:rPr>
              <w:t xml:space="preserve"> OPAKOWANIACH BEZPOŚREDNICH</w:t>
            </w:r>
          </w:p>
          <w:p w14:paraId="66ECF521" w14:textId="77777777" w:rsidR="002A2453" w:rsidRPr="0015541C" w:rsidRDefault="002A2453" w:rsidP="005673A2">
            <w:pPr>
              <w:tabs>
                <w:tab w:val="left" w:pos="720"/>
              </w:tabs>
              <w:rPr>
                <w:b/>
                <w:lang w:val="pl-PL"/>
              </w:rPr>
            </w:pPr>
          </w:p>
          <w:p w14:paraId="2B84D752" w14:textId="77777777" w:rsidR="002A2453" w:rsidRPr="0015541C" w:rsidRDefault="002A2453" w:rsidP="005673A2">
            <w:pPr>
              <w:tabs>
                <w:tab w:val="left" w:pos="720"/>
              </w:tabs>
              <w:rPr>
                <w:lang w:val="pl-PL"/>
              </w:rPr>
            </w:pPr>
            <w:r w:rsidRPr="0015541C">
              <w:rPr>
                <w:b/>
                <w:lang w:val="pl-PL"/>
              </w:rPr>
              <w:t>FIOLKA</w:t>
            </w:r>
          </w:p>
        </w:tc>
      </w:tr>
    </w:tbl>
    <w:p w14:paraId="50FFCC05" w14:textId="77777777" w:rsidR="002A2453" w:rsidRPr="0015541C" w:rsidRDefault="002A2453" w:rsidP="002A2453">
      <w:pPr>
        <w:tabs>
          <w:tab w:val="left" w:pos="720"/>
        </w:tabs>
        <w:rPr>
          <w:lang w:val="pl-PL"/>
        </w:rPr>
      </w:pPr>
    </w:p>
    <w:p w14:paraId="0042B822" w14:textId="77777777" w:rsidR="002A2453" w:rsidRPr="0015541C" w:rsidRDefault="002A2453" w:rsidP="002A2453">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51BDDC2C" w14:textId="77777777" w:rsidTr="005673A2">
        <w:tc>
          <w:tcPr>
            <w:tcW w:w="9210" w:type="dxa"/>
            <w:tcBorders>
              <w:top w:val="single" w:sz="4" w:space="0" w:color="auto"/>
              <w:left w:val="single" w:sz="4" w:space="0" w:color="auto"/>
              <w:bottom w:val="single" w:sz="4" w:space="0" w:color="auto"/>
              <w:right w:val="single" w:sz="4" w:space="0" w:color="auto"/>
            </w:tcBorders>
          </w:tcPr>
          <w:p w14:paraId="1A9E9B70" w14:textId="77777777" w:rsidR="002A2453" w:rsidRPr="00AC3958" w:rsidRDefault="002A2453" w:rsidP="005673A2">
            <w:pPr>
              <w:tabs>
                <w:tab w:val="left" w:pos="142"/>
              </w:tabs>
              <w:ind w:left="567" w:hanging="567"/>
              <w:rPr>
                <w:b/>
                <w:lang w:val="pl-PL"/>
              </w:rPr>
            </w:pPr>
            <w:r w:rsidRPr="0015541C">
              <w:rPr>
                <w:b/>
                <w:lang w:val="pl-PL"/>
              </w:rPr>
              <w:t>1.</w:t>
            </w:r>
            <w:r w:rsidRPr="0015541C">
              <w:rPr>
                <w:b/>
                <w:lang w:val="pl-PL"/>
              </w:rPr>
              <w:tab/>
              <w:t>NAZWA PRODUKTU LECZNICZEGO I DROGA PODANIA</w:t>
            </w:r>
          </w:p>
        </w:tc>
      </w:tr>
    </w:tbl>
    <w:p w14:paraId="7BB46CF0" w14:textId="77777777" w:rsidR="002A2453" w:rsidRPr="0015541C" w:rsidRDefault="002A2453" w:rsidP="002A2453">
      <w:pPr>
        <w:rPr>
          <w:lang w:val="pl-PL"/>
        </w:rPr>
      </w:pPr>
    </w:p>
    <w:p w14:paraId="53C42740" w14:textId="77777777" w:rsidR="002A2453" w:rsidRPr="0015541C" w:rsidRDefault="00C87F12" w:rsidP="002A2453">
      <w:pPr>
        <w:rPr>
          <w:lang w:val="pl-PL"/>
        </w:rPr>
      </w:pPr>
      <w:r w:rsidRPr="0015541C">
        <w:rPr>
          <w:lang w:val="pl-PL"/>
        </w:rPr>
        <w:t>Aybintio</w:t>
      </w:r>
      <w:r w:rsidR="002A2453" w:rsidRPr="0015541C">
        <w:rPr>
          <w:lang w:val="pl-PL"/>
        </w:rPr>
        <w:t xml:space="preserve"> 25 mg/ml </w:t>
      </w:r>
      <w:r w:rsidR="00955B35" w:rsidRPr="00AC3958">
        <w:rPr>
          <w:lang w:val="pl-PL"/>
        </w:rPr>
        <w:t xml:space="preserve">jałowy </w:t>
      </w:r>
      <w:r w:rsidR="002A2453" w:rsidRPr="0015541C">
        <w:rPr>
          <w:lang w:val="pl-PL"/>
        </w:rPr>
        <w:t>koncentrat</w:t>
      </w:r>
    </w:p>
    <w:p w14:paraId="2722AA07" w14:textId="77777777" w:rsidR="002A2453" w:rsidRPr="0015541C" w:rsidRDefault="00397BE0" w:rsidP="002A2453">
      <w:pPr>
        <w:tabs>
          <w:tab w:val="left" w:pos="720"/>
        </w:tabs>
        <w:rPr>
          <w:lang w:val="pl-PL"/>
        </w:rPr>
      </w:pPr>
      <w:r w:rsidRPr="0015541C">
        <w:rPr>
          <w:lang w:val="pl-PL"/>
        </w:rPr>
        <w:t>b</w:t>
      </w:r>
      <w:r w:rsidR="002A2453" w:rsidRPr="0015541C">
        <w:rPr>
          <w:lang w:val="pl-PL"/>
        </w:rPr>
        <w:t>ewacyzumab</w:t>
      </w:r>
    </w:p>
    <w:p w14:paraId="77E197F8" w14:textId="77777777" w:rsidR="00BE6E44" w:rsidRPr="0015541C" w:rsidRDefault="00BE6E44" w:rsidP="00BE6E44">
      <w:pPr>
        <w:tabs>
          <w:tab w:val="left" w:pos="720"/>
        </w:tabs>
        <w:rPr>
          <w:lang w:val="pl-PL"/>
        </w:rPr>
      </w:pPr>
      <w:r w:rsidRPr="0015541C">
        <w:rPr>
          <w:lang w:val="pl-PL"/>
        </w:rPr>
        <w:t>iv.</w:t>
      </w:r>
      <w:r w:rsidR="00F11CD6" w:rsidRPr="0015541C">
        <w:rPr>
          <w:lang w:val="pl-PL"/>
        </w:rPr>
        <w:t xml:space="preserve"> </w:t>
      </w:r>
      <w:r w:rsidR="00F11CD6" w:rsidRPr="0015541C">
        <w:rPr>
          <w:szCs w:val="22"/>
          <w:lang w:val="pl-PL"/>
        </w:rPr>
        <w:t>po rozcieńczeniu</w:t>
      </w:r>
    </w:p>
    <w:p w14:paraId="24900599" w14:textId="77777777" w:rsidR="002A2453" w:rsidRPr="0015541C" w:rsidRDefault="002A2453" w:rsidP="002A2453">
      <w:pPr>
        <w:tabs>
          <w:tab w:val="left" w:pos="720"/>
        </w:tabs>
        <w:rPr>
          <w:lang w:val="pl-PL"/>
        </w:rPr>
      </w:pPr>
    </w:p>
    <w:p w14:paraId="443385D7" w14:textId="77777777" w:rsidR="002A2453" w:rsidRPr="0015541C" w:rsidRDefault="002A2453" w:rsidP="002A2453">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7A3C60C8" w14:textId="77777777" w:rsidTr="005673A2">
        <w:tc>
          <w:tcPr>
            <w:tcW w:w="9210" w:type="dxa"/>
            <w:tcBorders>
              <w:top w:val="single" w:sz="4" w:space="0" w:color="auto"/>
              <w:left w:val="single" w:sz="4" w:space="0" w:color="auto"/>
              <w:bottom w:val="single" w:sz="4" w:space="0" w:color="auto"/>
              <w:right w:val="single" w:sz="4" w:space="0" w:color="auto"/>
            </w:tcBorders>
          </w:tcPr>
          <w:p w14:paraId="07A258FC" w14:textId="77777777" w:rsidR="002A2453" w:rsidRPr="0015541C" w:rsidRDefault="002A2453" w:rsidP="005673A2">
            <w:pPr>
              <w:tabs>
                <w:tab w:val="left" w:pos="142"/>
              </w:tabs>
              <w:ind w:left="567" w:hanging="567"/>
              <w:rPr>
                <w:b/>
                <w:lang w:val="pl-PL"/>
              </w:rPr>
            </w:pPr>
            <w:r w:rsidRPr="0015541C">
              <w:rPr>
                <w:b/>
                <w:lang w:val="pl-PL"/>
              </w:rPr>
              <w:t>2.</w:t>
            </w:r>
            <w:r w:rsidRPr="0015541C">
              <w:rPr>
                <w:b/>
                <w:lang w:val="pl-PL"/>
              </w:rPr>
              <w:tab/>
              <w:t>SPOSÓB PODAWANIA</w:t>
            </w:r>
          </w:p>
        </w:tc>
      </w:tr>
    </w:tbl>
    <w:p w14:paraId="7959E36C" w14:textId="77777777" w:rsidR="002A2453" w:rsidRPr="0015541C" w:rsidRDefault="002A2453" w:rsidP="002A2453">
      <w:pPr>
        <w:tabs>
          <w:tab w:val="left" w:pos="720"/>
        </w:tabs>
        <w:rPr>
          <w:lang w:val="pl-PL"/>
        </w:rPr>
      </w:pPr>
    </w:p>
    <w:p w14:paraId="08768F5D" w14:textId="77777777" w:rsidR="002A2453" w:rsidRPr="0015541C" w:rsidRDefault="002A2453" w:rsidP="002A2453">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44B9645C" w14:textId="77777777" w:rsidTr="005673A2">
        <w:tc>
          <w:tcPr>
            <w:tcW w:w="9210" w:type="dxa"/>
            <w:tcBorders>
              <w:top w:val="single" w:sz="4" w:space="0" w:color="auto"/>
              <w:left w:val="single" w:sz="4" w:space="0" w:color="auto"/>
              <w:bottom w:val="single" w:sz="4" w:space="0" w:color="auto"/>
              <w:right w:val="single" w:sz="4" w:space="0" w:color="auto"/>
            </w:tcBorders>
          </w:tcPr>
          <w:p w14:paraId="47669044" w14:textId="77777777" w:rsidR="002A2453" w:rsidRPr="00AC3958" w:rsidRDefault="002A2453" w:rsidP="005673A2">
            <w:pPr>
              <w:tabs>
                <w:tab w:val="left" w:pos="142"/>
              </w:tabs>
              <w:ind w:left="567" w:hanging="567"/>
              <w:rPr>
                <w:b/>
                <w:lang w:val="pl-PL"/>
              </w:rPr>
            </w:pPr>
            <w:r w:rsidRPr="0015541C">
              <w:rPr>
                <w:b/>
                <w:lang w:val="pl-PL"/>
              </w:rPr>
              <w:t>3.</w:t>
            </w:r>
            <w:r w:rsidRPr="0015541C">
              <w:rPr>
                <w:b/>
                <w:lang w:val="pl-PL"/>
              </w:rPr>
              <w:tab/>
              <w:t>TERMIN WAŻNOŚCI</w:t>
            </w:r>
          </w:p>
        </w:tc>
      </w:tr>
    </w:tbl>
    <w:p w14:paraId="174BE73B" w14:textId="77777777" w:rsidR="002A2453" w:rsidRPr="0015541C" w:rsidRDefault="002A2453" w:rsidP="002A2453">
      <w:pPr>
        <w:tabs>
          <w:tab w:val="left" w:pos="720"/>
        </w:tabs>
        <w:rPr>
          <w:lang w:val="pl-PL"/>
        </w:rPr>
      </w:pPr>
    </w:p>
    <w:p w14:paraId="55F272B0" w14:textId="77777777" w:rsidR="002A2453" w:rsidRPr="0015541C" w:rsidRDefault="002A2453" w:rsidP="002A2453">
      <w:pPr>
        <w:tabs>
          <w:tab w:val="left" w:pos="720"/>
        </w:tabs>
        <w:rPr>
          <w:lang w:val="pl-PL"/>
        </w:rPr>
      </w:pPr>
      <w:r w:rsidRPr="0015541C">
        <w:rPr>
          <w:lang w:val="pl-PL"/>
        </w:rPr>
        <w:t>EXP</w:t>
      </w:r>
    </w:p>
    <w:p w14:paraId="5126A2E0" w14:textId="77777777" w:rsidR="002A2453" w:rsidRPr="00AC3958" w:rsidRDefault="002A2453" w:rsidP="002A2453">
      <w:pPr>
        <w:tabs>
          <w:tab w:val="left" w:pos="720"/>
        </w:tabs>
        <w:rPr>
          <w:lang w:val="pl-PL"/>
        </w:rPr>
      </w:pPr>
    </w:p>
    <w:p w14:paraId="52435C84" w14:textId="77777777" w:rsidR="002A2453" w:rsidRPr="0015541C" w:rsidRDefault="002A2453" w:rsidP="002A2453">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4553240E" w14:textId="77777777" w:rsidTr="005673A2">
        <w:tc>
          <w:tcPr>
            <w:tcW w:w="9210" w:type="dxa"/>
            <w:tcBorders>
              <w:top w:val="single" w:sz="4" w:space="0" w:color="auto"/>
              <w:left w:val="single" w:sz="4" w:space="0" w:color="auto"/>
              <w:bottom w:val="single" w:sz="4" w:space="0" w:color="auto"/>
              <w:right w:val="single" w:sz="4" w:space="0" w:color="auto"/>
            </w:tcBorders>
          </w:tcPr>
          <w:p w14:paraId="7D41186E" w14:textId="77777777" w:rsidR="002A2453" w:rsidRPr="0015541C" w:rsidRDefault="002A2453" w:rsidP="005673A2">
            <w:pPr>
              <w:tabs>
                <w:tab w:val="left" w:pos="142"/>
              </w:tabs>
              <w:ind w:left="567" w:hanging="567"/>
              <w:rPr>
                <w:b/>
                <w:lang w:val="pl-PL"/>
              </w:rPr>
            </w:pPr>
            <w:r w:rsidRPr="0015541C">
              <w:rPr>
                <w:b/>
                <w:lang w:val="pl-PL"/>
              </w:rPr>
              <w:t>4.</w:t>
            </w:r>
            <w:r w:rsidRPr="0015541C">
              <w:rPr>
                <w:b/>
                <w:lang w:val="pl-PL"/>
              </w:rPr>
              <w:tab/>
              <w:t>NUMER SERII</w:t>
            </w:r>
          </w:p>
        </w:tc>
      </w:tr>
    </w:tbl>
    <w:p w14:paraId="219AFCBD" w14:textId="77777777" w:rsidR="002A2453" w:rsidRPr="0015541C" w:rsidRDefault="002A2453" w:rsidP="002A2453">
      <w:pPr>
        <w:tabs>
          <w:tab w:val="left" w:pos="720"/>
        </w:tabs>
        <w:rPr>
          <w:lang w:val="pl-PL"/>
        </w:rPr>
      </w:pPr>
    </w:p>
    <w:p w14:paraId="51DE955B" w14:textId="77777777" w:rsidR="002A2453" w:rsidRPr="0015541C" w:rsidRDefault="002A2453" w:rsidP="002A2453">
      <w:pPr>
        <w:tabs>
          <w:tab w:val="left" w:pos="720"/>
        </w:tabs>
        <w:rPr>
          <w:lang w:val="pl-PL"/>
        </w:rPr>
      </w:pPr>
      <w:r w:rsidRPr="0015541C">
        <w:rPr>
          <w:lang w:val="pl-PL"/>
        </w:rPr>
        <w:t>Lot</w:t>
      </w:r>
    </w:p>
    <w:p w14:paraId="6314B4D3" w14:textId="77777777" w:rsidR="002A2453" w:rsidRPr="00AC3958" w:rsidRDefault="002A2453" w:rsidP="002A2453">
      <w:pPr>
        <w:tabs>
          <w:tab w:val="left" w:pos="720"/>
        </w:tabs>
        <w:rPr>
          <w:lang w:val="pl-PL"/>
        </w:rPr>
      </w:pPr>
    </w:p>
    <w:p w14:paraId="2C69EAA8" w14:textId="77777777" w:rsidR="002A2453" w:rsidRPr="0015541C" w:rsidRDefault="002A2453" w:rsidP="002A2453">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8D11DD" w14:paraId="3EB9DF24" w14:textId="77777777" w:rsidTr="005673A2">
        <w:tc>
          <w:tcPr>
            <w:tcW w:w="9210" w:type="dxa"/>
            <w:tcBorders>
              <w:top w:val="single" w:sz="4" w:space="0" w:color="auto"/>
              <w:left w:val="single" w:sz="4" w:space="0" w:color="auto"/>
              <w:bottom w:val="single" w:sz="4" w:space="0" w:color="auto"/>
              <w:right w:val="single" w:sz="4" w:space="0" w:color="auto"/>
            </w:tcBorders>
          </w:tcPr>
          <w:p w14:paraId="765BE700" w14:textId="77777777" w:rsidR="002A2453" w:rsidRPr="0015541C" w:rsidRDefault="002A2453" w:rsidP="005673A2">
            <w:pPr>
              <w:tabs>
                <w:tab w:val="left" w:pos="142"/>
              </w:tabs>
              <w:ind w:left="567" w:hanging="567"/>
              <w:rPr>
                <w:b/>
                <w:lang w:val="pl-PL"/>
              </w:rPr>
            </w:pPr>
            <w:r w:rsidRPr="0015541C">
              <w:rPr>
                <w:b/>
                <w:lang w:val="pl-PL"/>
              </w:rPr>
              <w:t>5.</w:t>
            </w:r>
            <w:r w:rsidRPr="0015541C">
              <w:rPr>
                <w:b/>
                <w:lang w:val="pl-PL"/>
              </w:rPr>
              <w:tab/>
              <w:t>ZAWARTOŚĆ OPAKOWANIA Z PODANIEM MASY, OBJĘTOŚCI LUB LICZBY JEDNOSTEK</w:t>
            </w:r>
          </w:p>
        </w:tc>
      </w:tr>
    </w:tbl>
    <w:p w14:paraId="7BB23088" w14:textId="77777777" w:rsidR="002A2453" w:rsidRPr="0015541C" w:rsidRDefault="002A2453" w:rsidP="002A2453">
      <w:pPr>
        <w:rPr>
          <w:lang w:val="pl-PL"/>
        </w:rPr>
      </w:pPr>
    </w:p>
    <w:p w14:paraId="7DFCC40B" w14:textId="77777777" w:rsidR="002A2453" w:rsidRPr="0015541C" w:rsidRDefault="002A2453" w:rsidP="002A2453">
      <w:pPr>
        <w:rPr>
          <w:lang w:val="pl-PL"/>
        </w:rPr>
      </w:pPr>
      <w:r w:rsidRPr="0015541C">
        <w:rPr>
          <w:lang w:val="pl-PL"/>
        </w:rPr>
        <w:t>100 mg/4 ml </w:t>
      </w:r>
    </w:p>
    <w:p w14:paraId="64F9D6E6" w14:textId="77777777" w:rsidR="002A2453" w:rsidRPr="00AC3958" w:rsidRDefault="002A2453" w:rsidP="002A2453">
      <w:pPr>
        <w:rPr>
          <w:lang w:val="pl-PL"/>
        </w:rPr>
      </w:pPr>
    </w:p>
    <w:p w14:paraId="5FB62DF6" w14:textId="77777777" w:rsidR="002A2453" w:rsidRPr="0015541C" w:rsidRDefault="002A2453" w:rsidP="002A2453">
      <w:pPr>
        <w:rPr>
          <w:lang w:val="pl-PL"/>
        </w:rPr>
      </w:pPr>
    </w:p>
    <w:p w14:paraId="6B0E3299" w14:textId="77777777" w:rsidR="002A2453" w:rsidRPr="0015541C" w:rsidRDefault="002A2453" w:rsidP="002A2453">
      <w:pPr>
        <w:pBdr>
          <w:top w:val="single" w:sz="4" w:space="1" w:color="auto"/>
          <w:left w:val="single" w:sz="4" w:space="4" w:color="auto"/>
          <w:bottom w:val="single" w:sz="4" w:space="1" w:color="auto"/>
          <w:right w:val="single" w:sz="4" w:space="4" w:color="auto"/>
        </w:pBdr>
        <w:ind w:left="567" w:hanging="567"/>
        <w:rPr>
          <w:lang w:val="pl-PL"/>
        </w:rPr>
      </w:pPr>
      <w:r w:rsidRPr="0015541C">
        <w:rPr>
          <w:b/>
          <w:lang w:val="pl-PL"/>
        </w:rPr>
        <w:t xml:space="preserve">6. </w:t>
      </w:r>
      <w:r w:rsidRPr="0015541C">
        <w:rPr>
          <w:b/>
          <w:lang w:val="pl-PL"/>
        </w:rPr>
        <w:tab/>
        <w:t>INNE</w:t>
      </w:r>
    </w:p>
    <w:p w14:paraId="1AB7F791" w14:textId="77777777" w:rsidR="002A2453" w:rsidRPr="0015541C" w:rsidRDefault="002A2453" w:rsidP="002A2453">
      <w:pPr>
        <w:rPr>
          <w:lang w:val="pl-PL"/>
        </w:rPr>
      </w:pPr>
    </w:p>
    <w:p w14:paraId="1EA14361" w14:textId="77777777" w:rsidR="002A2453" w:rsidRPr="0015541C" w:rsidRDefault="002A2453" w:rsidP="002A2453">
      <w:pPr>
        <w:rPr>
          <w:lang w:val="pl-PL"/>
        </w:rPr>
      </w:pPr>
      <w:r w:rsidRPr="0015541C">
        <w:rPr>
          <w:lang w:val="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8D11DD" w14:paraId="69BC0BAF" w14:textId="77777777" w:rsidTr="005673A2">
        <w:tc>
          <w:tcPr>
            <w:tcW w:w="9210" w:type="dxa"/>
            <w:tcBorders>
              <w:top w:val="single" w:sz="4" w:space="0" w:color="auto"/>
              <w:left w:val="single" w:sz="4" w:space="0" w:color="auto"/>
              <w:bottom w:val="single" w:sz="4" w:space="0" w:color="auto"/>
              <w:right w:val="single" w:sz="4" w:space="0" w:color="auto"/>
            </w:tcBorders>
          </w:tcPr>
          <w:p w14:paraId="2BA2A194" w14:textId="77777777" w:rsidR="002A2453" w:rsidRPr="0015541C" w:rsidRDefault="002A2453" w:rsidP="005673A2">
            <w:pPr>
              <w:pStyle w:val="BodyText"/>
              <w:spacing w:line="240" w:lineRule="auto"/>
              <w:rPr>
                <w:b w:val="0"/>
                <w:i w:val="0"/>
                <w:lang w:val="pl-PL"/>
              </w:rPr>
            </w:pPr>
            <w:r w:rsidRPr="0015541C">
              <w:rPr>
                <w:lang w:val="pl-PL"/>
              </w:rPr>
              <w:lastRenderedPageBreak/>
              <w:br w:type="column"/>
            </w:r>
            <w:r w:rsidRPr="0015541C">
              <w:rPr>
                <w:i w:val="0"/>
                <w:lang w:val="pl-PL"/>
              </w:rPr>
              <w:t xml:space="preserve">INFORMACJE ZAMIESZCZANE NA OPAKOWANIACH ZEWNĘTRZNYCH </w:t>
            </w:r>
          </w:p>
          <w:p w14:paraId="191D6D3B" w14:textId="77777777" w:rsidR="002A2453" w:rsidRPr="0015541C" w:rsidRDefault="002A2453" w:rsidP="005673A2">
            <w:pPr>
              <w:rPr>
                <w:b/>
                <w:lang w:val="pl-PL"/>
              </w:rPr>
            </w:pPr>
          </w:p>
          <w:p w14:paraId="18F42855" w14:textId="60E583F9" w:rsidR="002A2453" w:rsidRPr="0015541C" w:rsidRDefault="00CE5C30" w:rsidP="005673A2">
            <w:pPr>
              <w:rPr>
                <w:b/>
                <w:lang w:val="pl-PL"/>
              </w:rPr>
            </w:pPr>
            <w:r w:rsidRPr="0015541C">
              <w:rPr>
                <w:b/>
                <w:lang w:val="pl-PL"/>
              </w:rPr>
              <w:t>PUDEŁKO TEKTUROWE</w:t>
            </w:r>
          </w:p>
        </w:tc>
      </w:tr>
    </w:tbl>
    <w:p w14:paraId="6E192B5D" w14:textId="77777777" w:rsidR="002A2453" w:rsidRPr="0015541C" w:rsidRDefault="002A2453" w:rsidP="002A2453">
      <w:pPr>
        <w:rPr>
          <w:lang w:val="pl-PL"/>
        </w:rPr>
      </w:pPr>
    </w:p>
    <w:p w14:paraId="56A1731D" w14:textId="77777777" w:rsidR="002A2453" w:rsidRPr="0015541C" w:rsidRDefault="002A2453" w:rsidP="002A2453">
      <w:pPr>
        <w:rPr>
          <w:lang w:val="pl-PL"/>
        </w:rPr>
      </w:pPr>
    </w:p>
    <w:p w14:paraId="0ACA01C5" w14:textId="77777777" w:rsidR="002A2453" w:rsidRPr="00AC3958" w:rsidRDefault="002A2453" w:rsidP="002A2453">
      <w:pPr>
        <w:pBdr>
          <w:top w:val="single" w:sz="4" w:space="1" w:color="auto"/>
          <w:left w:val="single" w:sz="4" w:space="4" w:color="auto"/>
          <w:bottom w:val="single" w:sz="4" w:space="1" w:color="auto"/>
          <w:right w:val="single" w:sz="4" w:space="4" w:color="auto"/>
        </w:pBdr>
        <w:tabs>
          <w:tab w:val="left" w:pos="142"/>
        </w:tabs>
        <w:ind w:left="567" w:hanging="567"/>
        <w:rPr>
          <w:b/>
          <w:lang w:val="pl-PL"/>
        </w:rPr>
      </w:pPr>
      <w:r w:rsidRPr="0015541C">
        <w:rPr>
          <w:b/>
          <w:lang w:val="pl-PL"/>
        </w:rPr>
        <w:t>1.</w:t>
      </w:r>
      <w:r w:rsidRPr="0015541C">
        <w:rPr>
          <w:b/>
          <w:lang w:val="pl-PL"/>
        </w:rPr>
        <w:tab/>
        <w:t>NAZWA PRODUKTU LECZNICZEGO</w:t>
      </w:r>
    </w:p>
    <w:p w14:paraId="02B29B11" w14:textId="77777777" w:rsidR="002A2453" w:rsidRPr="0015541C" w:rsidRDefault="002A2453" w:rsidP="002A2453">
      <w:pPr>
        <w:rPr>
          <w:lang w:val="pl-PL"/>
        </w:rPr>
      </w:pPr>
    </w:p>
    <w:p w14:paraId="18F38D01" w14:textId="77777777" w:rsidR="002A2453" w:rsidRPr="0015541C" w:rsidRDefault="00C87F12" w:rsidP="002A2453">
      <w:pPr>
        <w:rPr>
          <w:lang w:val="pl-PL"/>
        </w:rPr>
      </w:pPr>
      <w:r w:rsidRPr="0015541C">
        <w:rPr>
          <w:lang w:val="pl-PL"/>
        </w:rPr>
        <w:t>Aybintio</w:t>
      </w:r>
      <w:r w:rsidR="002A2453" w:rsidRPr="0015541C">
        <w:rPr>
          <w:lang w:val="pl-PL"/>
        </w:rPr>
        <w:t xml:space="preserve"> 25 mg/ml koncentrat do sporządzania roztworu do infuzji</w:t>
      </w:r>
    </w:p>
    <w:p w14:paraId="52753130" w14:textId="77777777" w:rsidR="002A2453" w:rsidRPr="0015541C" w:rsidRDefault="00397BE0" w:rsidP="00CE5C30">
      <w:pPr>
        <w:rPr>
          <w:lang w:val="pl-PL"/>
        </w:rPr>
      </w:pPr>
      <w:r w:rsidRPr="0015541C">
        <w:rPr>
          <w:lang w:val="pl-PL"/>
        </w:rPr>
        <w:t>b</w:t>
      </w:r>
      <w:r w:rsidR="002A2453" w:rsidRPr="0015541C">
        <w:rPr>
          <w:lang w:val="pl-PL"/>
        </w:rPr>
        <w:t>ewacyzumab</w:t>
      </w:r>
    </w:p>
    <w:p w14:paraId="74ECD667" w14:textId="77777777" w:rsidR="002A2453" w:rsidRPr="0015541C" w:rsidRDefault="002A2453" w:rsidP="002A2453">
      <w:pPr>
        <w:rPr>
          <w:lang w:val="pl-PL"/>
        </w:rPr>
      </w:pPr>
    </w:p>
    <w:p w14:paraId="3CEA10B3" w14:textId="77777777" w:rsidR="002A2453" w:rsidRPr="0015541C" w:rsidRDefault="002A2453" w:rsidP="002A2453">
      <w:pPr>
        <w:rPr>
          <w:lang w:val="pl-PL"/>
        </w:rPr>
      </w:pPr>
    </w:p>
    <w:p w14:paraId="7A8F706D" w14:textId="77777777" w:rsidR="002A2453" w:rsidRPr="0015541C" w:rsidRDefault="002A2453" w:rsidP="002A2453">
      <w:pPr>
        <w:pBdr>
          <w:top w:val="single" w:sz="4" w:space="1" w:color="auto"/>
          <w:left w:val="single" w:sz="4" w:space="4" w:color="auto"/>
          <w:bottom w:val="single" w:sz="4" w:space="1" w:color="auto"/>
          <w:right w:val="single" w:sz="4" w:space="4" w:color="auto"/>
        </w:pBdr>
        <w:tabs>
          <w:tab w:val="left" w:pos="142"/>
        </w:tabs>
        <w:ind w:left="567" w:hanging="567"/>
        <w:rPr>
          <w:b/>
          <w:lang w:val="pl-PL"/>
        </w:rPr>
      </w:pPr>
      <w:r w:rsidRPr="0015541C">
        <w:rPr>
          <w:b/>
          <w:lang w:val="pl-PL"/>
        </w:rPr>
        <w:t>2.</w:t>
      </w:r>
      <w:r w:rsidRPr="0015541C">
        <w:rPr>
          <w:b/>
          <w:lang w:val="pl-PL"/>
        </w:rPr>
        <w:tab/>
        <w:t>ZAWARTOŚĆ SUBSTANCJI CZYNNEJ</w:t>
      </w:r>
    </w:p>
    <w:p w14:paraId="6BD8F7C9" w14:textId="77777777" w:rsidR="002A2453" w:rsidRPr="0015541C" w:rsidRDefault="002A2453" w:rsidP="002A2453">
      <w:pPr>
        <w:rPr>
          <w:lang w:val="pl-PL"/>
        </w:rPr>
      </w:pPr>
    </w:p>
    <w:p w14:paraId="7DA6D353" w14:textId="77777777" w:rsidR="002A2453" w:rsidRPr="0015541C" w:rsidRDefault="002A2453" w:rsidP="002A2453">
      <w:pPr>
        <w:rPr>
          <w:lang w:val="pl-PL"/>
        </w:rPr>
      </w:pPr>
      <w:r w:rsidRPr="0015541C">
        <w:rPr>
          <w:lang w:val="pl-PL"/>
        </w:rPr>
        <w:t>Każda fiolka zawiera 400 mg bewacyzumabu.</w:t>
      </w:r>
    </w:p>
    <w:p w14:paraId="04061A5B" w14:textId="77777777" w:rsidR="002A2453" w:rsidRPr="0015541C" w:rsidRDefault="002A2453" w:rsidP="002A2453">
      <w:pPr>
        <w:rPr>
          <w:lang w:val="pl-PL"/>
        </w:rPr>
      </w:pPr>
    </w:p>
    <w:p w14:paraId="792DCAA1" w14:textId="77777777" w:rsidR="002A2453" w:rsidRPr="0015541C" w:rsidRDefault="002A2453" w:rsidP="002A2453">
      <w:pPr>
        <w:rPr>
          <w:lang w:val="pl-PL"/>
        </w:rPr>
      </w:pPr>
    </w:p>
    <w:p w14:paraId="6CC37DD1" w14:textId="77777777" w:rsidR="002A2453" w:rsidRPr="0015541C" w:rsidRDefault="002A2453" w:rsidP="002A2453">
      <w:pPr>
        <w:pBdr>
          <w:top w:val="single" w:sz="4" w:space="1" w:color="auto"/>
          <w:left w:val="single" w:sz="4" w:space="4" w:color="auto"/>
          <w:bottom w:val="single" w:sz="4" w:space="1" w:color="auto"/>
          <w:right w:val="single" w:sz="4" w:space="4" w:color="auto"/>
        </w:pBdr>
        <w:tabs>
          <w:tab w:val="left" w:pos="142"/>
        </w:tabs>
        <w:ind w:left="567" w:hanging="567"/>
        <w:rPr>
          <w:b/>
          <w:lang w:val="pl-PL"/>
        </w:rPr>
      </w:pPr>
      <w:r w:rsidRPr="0015541C">
        <w:rPr>
          <w:b/>
          <w:lang w:val="pl-PL"/>
        </w:rPr>
        <w:t>3.</w:t>
      </w:r>
      <w:r w:rsidRPr="0015541C">
        <w:rPr>
          <w:b/>
          <w:lang w:val="pl-PL"/>
        </w:rPr>
        <w:tab/>
        <w:t>WYKAZ SUBSTANCJI POMOCNICZYCH</w:t>
      </w:r>
    </w:p>
    <w:p w14:paraId="22BEBA88" w14:textId="77777777" w:rsidR="002A2453" w:rsidRPr="0015541C" w:rsidRDefault="002A2453" w:rsidP="002A2453">
      <w:pPr>
        <w:rPr>
          <w:lang w:val="pl-PL"/>
        </w:rPr>
      </w:pPr>
    </w:p>
    <w:p w14:paraId="0A06B3C6" w14:textId="01B8A5AD" w:rsidR="002A2453" w:rsidRPr="0015541C" w:rsidRDefault="002A2453" w:rsidP="002A2453">
      <w:pPr>
        <w:rPr>
          <w:lang w:val="pl-PL"/>
        </w:rPr>
      </w:pPr>
      <w:r w:rsidRPr="0015541C">
        <w:rPr>
          <w:lang w:val="pl-PL"/>
        </w:rPr>
        <w:t xml:space="preserve">Trehalozy dwuwodzian, sodu </w:t>
      </w:r>
      <w:r w:rsidR="00DB4716" w:rsidRPr="0015541C">
        <w:rPr>
          <w:lang w:val="pl-PL"/>
        </w:rPr>
        <w:t>octan trójwodny, kwas octowy</w:t>
      </w:r>
      <w:r w:rsidRPr="0015541C">
        <w:rPr>
          <w:lang w:val="pl-PL"/>
        </w:rPr>
        <w:t>, polisorbat 20, woda do wstrzykiwań.</w:t>
      </w:r>
      <w:r w:rsidR="0048590C">
        <w:rPr>
          <w:lang w:val="pl-PL"/>
        </w:rPr>
        <w:t xml:space="preserve"> </w:t>
      </w:r>
      <w:r w:rsidR="0048590C" w:rsidRPr="00AC43B7">
        <w:rPr>
          <w:highlight w:val="lightGray"/>
          <w:lang w:val="pl-PL"/>
        </w:rPr>
        <w:t>W celu uzyskania dodatkowych informacji należy zapoznać się z treścią ulotki</w:t>
      </w:r>
    </w:p>
    <w:p w14:paraId="3E2B6788" w14:textId="77777777" w:rsidR="002A2453" w:rsidRPr="0015541C" w:rsidRDefault="002A2453" w:rsidP="002A2453">
      <w:pPr>
        <w:rPr>
          <w:lang w:val="pl-PL"/>
        </w:rPr>
      </w:pPr>
    </w:p>
    <w:p w14:paraId="222F9384" w14:textId="77777777" w:rsidR="002A2453" w:rsidRPr="0015541C" w:rsidRDefault="002A2453" w:rsidP="002A2453">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6E382EAC" w14:textId="77777777" w:rsidTr="005673A2">
        <w:tc>
          <w:tcPr>
            <w:tcW w:w="9210" w:type="dxa"/>
            <w:tcBorders>
              <w:top w:val="single" w:sz="4" w:space="0" w:color="auto"/>
              <w:left w:val="single" w:sz="4" w:space="0" w:color="auto"/>
              <w:bottom w:val="single" w:sz="4" w:space="0" w:color="auto"/>
              <w:right w:val="single" w:sz="4" w:space="0" w:color="auto"/>
            </w:tcBorders>
          </w:tcPr>
          <w:p w14:paraId="163AF0E5" w14:textId="77777777" w:rsidR="002A2453" w:rsidRPr="0015541C" w:rsidRDefault="002A2453" w:rsidP="005673A2">
            <w:pPr>
              <w:tabs>
                <w:tab w:val="left" w:pos="142"/>
              </w:tabs>
              <w:ind w:left="567" w:hanging="567"/>
              <w:rPr>
                <w:b/>
                <w:lang w:val="pl-PL"/>
              </w:rPr>
            </w:pPr>
            <w:r w:rsidRPr="0015541C">
              <w:rPr>
                <w:b/>
                <w:lang w:val="pl-PL"/>
              </w:rPr>
              <w:t>4.</w:t>
            </w:r>
            <w:r w:rsidRPr="0015541C">
              <w:rPr>
                <w:b/>
                <w:lang w:val="pl-PL"/>
              </w:rPr>
              <w:tab/>
              <w:t>POSTAĆ FARMACEUTYCZNA I ZAWARTOŚĆ OPAKOWANIA</w:t>
            </w:r>
          </w:p>
        </w:tc>
      </w:tr>
    </w:tbl>
    <w:p w14:paraId="7C636023" w14:textId="77777777" w:rsidR="002A2453" w:rsidRPr="0015541C" w:rsidRDefault="002A2453" w:rsidP="002A2453">
      <w:pPr>
        <w:rPr>
          <w:bCs/>
          <w:lang w:val="pl-PL"/>
        </w:rPr>
      </w:pPr>
    </w:p>
    <w:p w14:paraId="0B6C0F09" w14:textId="77777777" w:rsidR="002A2453" w:rsidRPr="00477F02" w:rsidRDefault="002A2453" w:rsidP="002A2453">
      <w:pPr>
        <w:rPr>
          <w:highlight w:val="lightGray"/>
          <w:lang w:val="pl-PL"/>
        </w:rPr>
      </w:pPr>
      <w:r w:rsidRPr="00477F02">
        <w:rPr>
          <w:highlight w:val="lightGray"/>
          <w:lang w:val="pl-PL"/>
        </w:rPr>
        <w:t xml:space="preserve">Koncentrat do sporządzania roztworu do infuzji </w:t>
      </w:r>
    </w:p>
    <w:p w14:paraId="4B898A89" w14:textId="77777777" w:rsidR="002A2453" w:rsidRPr="0015541C" w:rsidRDefault="002A2453" w:rsidP="002A2453">
      <w:pPr>
        <w:rPr>
          <w:lang w:val="pl-PL"/>
        </w:rPr>
      </w:pPr>
      <w:r w:rsidRPr="00AC3958">
        <w:rPr>
          <w:lang w:val="pl-PL"/>
        </w:rPr>
        <w:t>1 fiolka zawiera 16 ml roztworu</w:t>
      </w:r>
    </w:p>
    <w:p w14:paraId="7694816F" w14:textId="77777777" w:rsidR="00BE6E44" w:rsidRPr="0015541C" w:rsidRDefault="00BE6E44" w:rsidP="00BE6E44">
      <w:pPr>
        <w:rPr>
          <w:lang w:val="pl-PL"/>
        </w:rPr>
      </w:pPr>
      <w:r w:rsidRPr="0015541C">
        <w:rPr>
          <w:lang w:val="pl-PL"/>
        </w:rPr>
        <w:t>400 mg/16 ml</w:t>
      </w:r>
    </w:p>
    <w:p w14:paraId="3A366D18" w14:textId="77777777" w:rsidR="002A2453" w:rsidRPr="0015541C" w:rsidRDefault="002A2453" w:rsidP="002A2453">
      <w:pPr>
        <w:rPr>
          <w:bCs/>
          <w:lang w:val="pl-PL"/>
        </w:rPr>
      </w:pPr>
    </w:p>
    <w:p w14:paraId="55040F9A" w14:textId="77777777" w:rsidR="002A2453" w:rsidRPr="0015541C" w:rsidRDefault="002A2453" w:rsidP="002A2453">
      <w:pPr>
        <w:rPr>
          <w:bCs/>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4015893F" w14:textId="77777777" w:rsidTr="005673A2">
        <w:tc>
          <w:tcPr>
            <w:tcW w:w="9210" w:type="dxa"/>
            <w:tcBorders>
              <w:top w:val="single" w:sz="4" w:space="0" w:color="auto"/>
              <w:left w:val="single" w:sz="4" w:space="0" w:color="auto"/>
              <w:bottom w:val="single" w:sz="4" w:space="0" w:color="auto"/>
              <w:right w:val="single" w:sz="4" w:space="0" w:color="auto"/>
            </w:tcBorders>
          </w:tcPr>
          <w:p w14:paraId="17D777A4" w14:textId="77777777" w:rsidR="002A2453" w:rsidRPr="0015541C" w:rsidRDefault="002A2453" w:rsidP="005673A2">
            <w:pPr>
              <w:tabs>
                <w:tab w:val="left" w:pos="142"/>
              </w:tabs>
              <w:ind w:left="567" w:hanging="567"/>
              <w:rPr>
                <w:b/>
                <w:lang w:val="pl-PL"/>
              </w:rPr>
            </w:pPr>
            <w:r w:rsidRPr="0015541C">
              <w:rPr>
                <w:b/>
                <w:lang w:val="pl-PL"/>
              </w:rPr>
              <w:t>5.</w:t>
            </w:r>
            <w:r w:rsidRPr="0015541C">
              <w:rPr>
                <w:b/>
                <w:lang w:val="pl-PL"/>
              </w:rPr>
              <w:tab/>
              <w:t>SPOSÓB I DROGA PODANIA</w:t>
            </w:r>
          </w:p>
        </w:tc>
      </w:tr>
    </w:tbl>
    <w:p w14:paraId="153F1858" w14:textId="77777777" w:rsidR="002A2453" w:rsidRPr="0015541C" w:rsidRDefault="002A2453" w:rsidP="002A2453">
      <w:pPr>
        <w:rPr>
          <w:lang w:val="pl-PL"/>
        </w:rPr>
      </w:pPr>
    </w:p>
    <w:p w14:paraId="3095B55F" w14:textId="77777777" w:rsidR="002A2453" w:rsidRPr="0015541C" w:rsidRDefault="002A2453" w:rsidP="002A2453">
      <w:pPr>
        <w:rPr>
          <w:lang w:val="pl-PL"/>
        </w:rPr>
      </w:pPr>
      <w:r w:rsidRPr="0015541C">
        <w:rPr>
          <w:lang w:val="pl-PL"/>
        </w:rPr>
        <w:t>Do podawania dożylnego po rozcieńczeniu</w:t>
      </w:r>
    </w:p>
    <w:p w14:paraId="7A5BC956" w14:textId="77777777" w:rsidR="002A2453" w:rsidRPr="0015541C" w:rsidRDefault="002A2453" w:rsidP="002A2453">
      <w:pPr>
        <w:rPr>
          <w:lang w:val="pl-PL"/>
        </w:rPr>
      </w:pPr>
      <w:r w:rsidRPr="00AC3958">
        <w:rPr>
          <w:lang w:val="pl-PL"/>
        </w:rPr>
        <w:t>Należy zapoznać się z treścią ulotki przed zastosowaniem leku</w:t>
      </w:r>
      <w:r w:rsidR="008C2AD3" w:rsidRPr="0015541C">
        <w:rPr>
          <w:lang w:val="pl-PL"/>
        </w:rPr>
        <w:t>.</w:t>
      </w:r>
    </w:p>
    <w:p w14:paraId="2E47E18D" w14:textId="77777777" w:rsidR="002A2453" w:rsidRPr="0015541C" w:rsidRDefault="002A2453" w:rsidP="002A2453">
      <w:pPr>
        <w:rPr>
          <w:lang w:val="pl-PL"/>
        </w:rPr>
      </w:pPr>
    </w:p>
    <w:p w14:paraId="16A4BB10" w14:textId="77777777" w:rsidR="002A2453" w:rsidRPr="0015541C" w:rsidRDefault="002A2453" w:rsidP="002A2453">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8D11DD" w14:paraId="17FD6D11" w14:textId="77777777" w:rsidTr="005673A2">
        <w:tc>
          <w:tcPr>
            <w:tcW w:w="9210" w:type="dxa"/>
            <w:tcBorders>
              <w:top w:val="single" w:sz="4" w:space="0" w:color="auto"/>
              <w:left w:val="single" w:sz="4" w:space="0" w:color="auto"/>
              <w:bottom w:val="single" w:sz="4" w:space="0" w:color="auto"/>
              <w:right w:val="single" w:sz="4" w:space="0" w:color="auto"/>
            </w:tcBorders>
          </w:tcPr>
          <w:p w14:paraId="48A90A50" w14:textId="77777777" w:rsidR="002A2453" w:rsidRPr="0015541C" w:rsidRDefault="002A2453" w:rsidP="005673A2">
            <w:pPr>
              <w:tabs>
                <w:tab w:val="left" w:pos="142"/>
              </w:tabs>
              <w:ind w:left="567" w:hanging="567"/>
              <w:rPr>
                <w:b/>
                <w:lang w:val="pl-PL"/>
              </w:rPr>
            </w:pPr>
            <w:r w:rsidRPr="0015541C">
              <w:rPr>
                <w:b/>
                <w:lang w:val="pl-PL"/>
              </w:rPr>
              <w:t>6.</w:t>
            </w:r>
            <w:r w:rsidRPr="0015541C">
              <w:rPr>
                <w:b/>
                <w:lang w:val="pl-PL"/>
              </w:rPr>
              <w:tab/>
              <w:t xml:space="preserve">OSTRZEŻENIE DOTYCZĄCE PRZECHOWYWANIA PRODUKTU LECZNICZEGO W MIEJSCU </w:t>
            </w:r>
            <w:r w:rsidRPr="0015541C">
              <w:rPr>
                <w:b/>
                <w:szCs w:val="24"/>
                <w:lang w:val="pl-PL"/>
              </w:rPr>
              <w:t xml:space="preserve">NIEWIDOCZNYM I </w:t>
            </w:r>
            <w:r w:rsidRPr="0015541C">
              <w:rPr>
                <w:b/>
                <w:lang w:val="pl-PL"/>
              </w:rPr>
              <w:t>NIEDOSTĘPNYM DLA DZIECI</w:t>
            </w:r>
          </w:p>
        </w:tc>
      </w:tr>
    </w:tbl>
    <w:p w14:paraId="704DDC05" w14:textId="77777777" w:rsidR="002A2453" w:rsidRPr="0015541C" w:rsidRDefault="002A2453" w:rsidP="002A2453">
      <w:pPr>
        <w:rPr>
          <w:lang w:val="pl-PL"/>
        </w:rPr>
      </w:pPr>
    </w:p>
    <w:p w14:paraId="75FEAA84" w14:textId="77777777" w:rsidR="002A2453" w:rsidRPr="0015541C" w:rsidRDefault="002A2453" w:rsidP="002A2453">
      <w:pPr>
        <w:rPr>
          <w:lang w:val="pl-PL"/>
        </w:rPr>
      </w:pPr>
      <w:r w:rsidRPr="0015541C">
        <w:rPr>
          <w:lang w:val="pl-PL"/>
        </w:rPr>
        <w:t xml:space="preserve">Lek przechowywać w miejscu </w:t>
      </w:r>
      <w:r w:rsidRPr="0015541C">
        <w:rPr>
          <w:szCs w:val="24"/>
          <w:lang w:val="pl-PL"/>
        </w:rPr>
        <w:t xml:space="preserve">niewidocznym i </w:t>
      </w:r>
      <w:r w:rsidRPr="00AC3958">
        <w:rPr>
          <w:lang w:val="pl-PL"/>
        </w:rPr>
        <w:t>niedostępnym dla dzieci</w:t>
      </w:r>
      <w:r w:rsidR="008C2AD3" w:rsidRPr="0015541C">
        <w:rPr>
          <w:lang w:val="pl-PL"/>
        </w:rPr>
        <w:t>.</w:t>
      </w:r>
    </w:p>
    <w:p w14:paraId="45E09026" w14:textId="77777777" w:rsidR="002A2453" w:rsidRPr="0015541C" w:rsidRDefault="002A2453" w:rsidP="002A2453">
      <w:pPr>
        <w:rPr>
          <w:lang w:val="pl-PL"/>
        </w:rPr>
      </w:pPr>
    </w:p>
    <w:p w14:paraId="5306E7EE" w14:textId="77777777" w:rsidR="002A2453" w:rsidRPr="0015541C" w:rsidRDefault="002A2453" w:rsidP="002A2453">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5496A87E" w14:textId="77777777" w:rsidTr="005673A2">
        <w:tc>
          <w:tcPr>
            <w:tcW w:w="9210" w:type="dxa"/>
            <w:tcBorders>
              <w:top w:val="single" w:sz="4" w:space="0" w:color="auto"/>
              <w:left w:val="single" w:sz="4" w:space="0" w:color="auto"/>
              <w:bottom w:val="single" w:sz="4" w:space="0" w:color="auto"/>
              <w:right w:val="single" w:sz="4" w:space="0" w:color="auto"/>
            </w:tcBorders>
          </w:tcPr>
          <w:p w14:paraId="4AFC8567" w14:textId="77777777" w:rsidR="002A2453" w:rsidRPr="0015541C" w:rsidRDefault="002A2453" w:rsidP="005673A2">
            <w:pPr>
              <w:tabs>
                <w:tab w:val="left" w:pos="142"/>
              </w:tabs>
              <w:ind w:left="567" w:hanging="567"/>
              <w:rPr>
                <w:b/>
                <w:lang w:val="pl-PL"/>
              </w:rPr>
            </w:pPr>
            <w:r w:rsidRPr="0015541C">
              <w:rPr>
                <w:b/>
                <w:lang w:val="pl-PL"/>
              </w:rPr>
              <w:t>7.</w:t>
            </w:r>
            <w:r w:rsidRPr="0015541C">
              <w:rPr>
                <w:b/>
                <w:lang w:val="pl-PL"/>
              </w:rPr>
              <w:tab/>
              <w:t>INNE OSTRZEŻENIA SPECJALNE, JEŚLI KONIECZNE</w:t>
            </w:r>
          </w:p>
        </w:tc>
      </w:tr>
    </w:tbl>
    <w:p w14:paraId="32CACF14" w14:textId="77777777" w:rsidR="002A2453" w:rsidRPr="0015541C" w:rsidRDefault="002A2453" w:rsidP="002A2453">
      <w:pPr>
        <w:rPr>
          <w:lang w:val="pl-PL"/>
        </w:rPr>
      </w:pPr>
    </w:p>
    <w:p w14:paraId="2976FBEC" w14:textId="77777777" w:rsidR="002A2453" w:rsidRPr="0015541C" w:rsidRDefault="002A2453" w:rsidP="002A2453">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4BF8A4B0" w14:textId="77777777" w:rsidTr="005673A2">
        <w:tc>
          <w:tcPr>
            <w:tcW w:w="9210" w:type="dxa"/>
            <w:tcBorders>
              <w:top w:val="single" w:sz="4" w:space="0" w:color="auto"/>
              <w:left w:val="single" w:sz="4" w:space="0" w:color="auto"/>
              <w:bottom w:val="single" w:sz="4" w:space="0" w:color="auto"/>
              <w:right w:val="single" w:sz="4" w:space="0" w:color="auto"/>
            </w:tcBorders>
          </w:tcPr>
          <w:p w14:paraId="54AB556A" w14:textId="77777777" w:rsidR="002A2453" w:rsidRPr="00AC3958" w:rsidRDefault="002A2453" w:rsidP="005673A2">
            <w:pPr>
              <w:tabs>
                <w:tab w:val="left" w:pos="142"/>
              </w:tabs>
              <w:ind w:left="567" w:hanging="567"/>
              <w:rPr>
                <w:b/>
                <w:lang w:val="pl-PL"/>
              </w:rPr>
            </w:pPr>
            <w:r w:rsidRPr="0015541C">
              <w:rPr>
                <w:b/>
                <w:lang w:val="pl-PL"/>
              </w:rPr>
              <w:t>8.</w:t>
            </w:r>
            <w:r w:rsidRPr="0015541C">
              <w:rPr>
                <w:b/>
                <w:lang w:val="pl-PL"/>
              </w:rPr>
              <w:tab/>
              <w:t>TERMIN WAŻNOŚCI</w:t>
            </w:r>
          </w:p>
        </w:tc>
      </w:tr>
    </w:tbl>
    <w:p w14:paraId="1CD2E455" w14:textId="77777777" w:rsidR="002A2453" w:rsidRPr="0015541C" w:rsidRDefault="002A2453" w:rsidP="002A2453">
      <w:pPr>
        <w:rPr>
          <w:lang w:val="pl-PL"/>
        </w:rPr>
      </w:pPr>
    </w:p>
    <w:p w14:paraId="618E5609" w14:textId="77777777" w:rsidR="00855F2B" w:rsidRPr="00AC3958" w:rsidRDefault="002A2453" w:rsidP="00684239">
      <w:pPr>
        <w:rPr>
          <w:lang w:val="pl-PL"/>
        </w:rPr>
      </w:pPr>
      <w:r w:rsidRPr="0015541C">
        <w:rPr>
          <w:lang w:val="pl-PL"/>
        </w:rPr>
        <w:t>Termin ważności (EXP)</w:t>
      </w:r>
    </w:p>
    <w:p w14:paraId="2C878A36" w14:textId="77777777" w:rsidR="002A2453" w:rsidRPr="0015541C" w:rsidRDefault="002A2453" w:rsidP="002A2453">
      <w:pPr>
        <w:rPr>
          <w:lang w:val="pl-PL"/>
        </w:rPr>
      </w:pPr>
    </w:p>
    <w:p w14:paraId="66CE0584" w14:textId="77777777" w:rsidR="002A2453" w:rsidRPr="0015541C" w:rsidRDefault="002A2453" w:rsidP="002A2453">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60214512" w14:textId="77777777" w:rsidTr="005673A2">
        <w:tc>
          <w:tcPr>
            <w:tcW w:w="9210" w:type="dxa"/>
            <w:tcBorders>
              <w:top w:val="single" w:sz="4" w:space="0" w:color="auto"/>
              <w:left w:val="single" w:sz="4" w:space="0" w:color="auto"/>
              <w:bottom w:val="single" w:sz="4" w:space="0" w:color="auto"/>
              <w:right w:val="single" w:sz="4" w:space="0" w:color="auto"/>
            </w:tcBorders>
          </w:tcPr>
          <w:p w14:paraId="08B6993C" w14:textId="77777777" w:rsidR="002A2453" w:rsidRPr="0015541C" w:rsidRDefault="002A2453" w:rsidP="005673A2">
            <w:pPr>
              <w:tabs>
                <w:tab w:val="left" w:pos="142"/>
              </w:tabs>
              <w:ind w:left="567" w:hanging="567"/>
              <w:rPr>
                <w:b/>
                <w:lang w:val="pl-PL"/>
              </w:rPr>
            </w:pPr>
            <w:r w:rsidRPr="0015541C">
              <w:rPr>
                <w:b/>
                <w:lang w:val="pl-PL"/>
              </w:rPr>
              <w:t>9.</w:t>
            </w:r>
            <w:r w:rsidRPr="0015541C">
              <w:rPr>
                <w:b/>
                <w:lang w:val="pl-PL"/>
              </w:rPr>
              <w:tab/>
              <w:t>WARUNKI PRZECHOWYWANIA</w:t>
            </w:r>
          </w:p>
        </w:tc>
      </w:tr>
    </w:tbl>
    <w:p w14:paraId="7763BF2B" w14:textId="77777777" w:rsidR="002A2453" w:rsidRPr="0015541C" w:rsidRDefault="002A2453" w:rsidP="002A2453">
      <w:pPr>
        <w:tabs>
          <w:tab w:val="left" w:pos="720"/>
        </w:tabs>
        <w:rPr>
          <w:iCs/>
          <w:lang w:val="pl-PL"/>
        </w:rPr>
      </w:pPr>
    </w:p>
    <w:p w14:paraId="48A9C995" w14:textId="77777777" w:rsidR="002A2453" w:rsidRPr="00AC3958" w:rsidRDefault="002A2453" w:rsidP="002A2453">
      <w:pPr>
        <w:rPr>
          <w:lang w:val="pl-PL"/>
        </w:rPr>
      </w:pPr>
      <w:r w:rsidRPr="0015541C">
        <w:rPr>
          <w:lang w:val="pl-PL"/>
        </w:rPr>
        <w:t>Przechowywać w lodówce</w:t>
      </w:r>
      <w:r w:rsidR="008C2AD3" w:rsidRPr="0015541C">
        <w:rPr>
          <w:lang w:val="pl-PL"/>
        </w:rPr>
        <w:t>.</w:t>
      </w:r>
    </w:p>
    <w:p w14:paraId="34A747CD" w14:textId="77777777" w:rsidR="002A2453" w:rsidRPr="0015541C" w:rsidRDefault="002A2453" w:rsidP="002A2453">
      <w:pPr>
        <w:rPr>
          <w:lang w:val="pl-PL"/>
        </w:rPr>
      </w:pPr>
      <w:r w:rsidRPr="0015541C">
        <w:rPr>
          <w:lang w:val="pl-PL"/>
        </w:rPr>
        <w:t>Nie zamrażać</w:t>
      </w:r>
      <w:r w:rsidR="008C2AD3" w:rsidRPr="0015541C">
        <w:rPr>
          <w:lang w:val="pl-PL"/>
        </w:rPr>
        <w:t>.</w:t>
      </w:r>
    </w:p>
    <w:p w14:paraId="107A41D1" w14:textId="1EA9D949" w:rsidR="002A2453" w:rsidRPr="0015541C" w:rsidRDefault="002A2453" w:rsidP="002A2453">
      <w:pPr>
        <w:rPr>
          <w:lang w:val="pl-PL"/>
        </w:rPr>
      </w:pPr>
      <w:r w:rsidRPr="0015541C">
        <w:rPr>
          <w:lang w:val="pl-PL"/>
        </w:rPr>
        <w:t>Fiolki z lekiem przechowywać w opakowaniu zewnętrznym</w:t>
      </w:r>
      <w:r w:rsidR="0048590C">
        <w:rPr>
          <w:lang w:val="pl-PL"/>
        </w:rPr>
        <w:t xml:space="preserve"> w celu ochrony przed światłem</w:t>
      </w:r>
      <w:r w:rsidR="008C2AD3" w:rsidRPr="0015541C">
        <w:rPr>
          <w:lang w:val="pl-PL"/>
        </w:rPr>
        <w:t>.</w:t>
      </w:r>
      <w:r w:rsidRPr="0015541C">
        <w:rPr>
          <w:lang w:val="pl-PL"/>
        </w:rPr>
        <w:t xml:space="preserve"> </w:t>
      </w:r>
    </w:p>
    <w:p w14:paraId="3D3BA733" w14:textId="77777777" w:rsidR="002A2453" w:rsidRPr="0015541C" w:rsidRDefault="002A2453" w:rsidP="002A2453">
      <w:pPr>
        <w:tabs>
          <w:tab w:val="left" w:pos="720"/>
        </w:tabs>
        <w:rPr>
          <w:iCs/>
          <w:lang w:val="pl-PL"/>
        </w:rPr>
      </w:pPr>
    </w:p>
    <w:p w14:paraId="348A12D0" w14:textId="77777777" w:rsidR="002A2453" w:rsidRPr="0015541C" w:rsidRDefault="002A2453" w:rsidP="002A2453">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8D11DD" w14:paraId="2130EC97" w14:textId="77777777" w:rsidTr="005673A2">
        <w:tc>
          <w:tcPr>
            <w:tcW w:w="9210" w:type="dxa"/>
            <w:tcBorders>
              <w:top w:val="single" w:sz="4" w:space="0" w:color="auto"/>
              <w:left w:val="single" w:sz="4" w:space="0" w:color="auto"/>
              <w:bottom w:val="single" w:sz="4" w:space="0" w:color="auto"/>
              <w:right w:val="single" w:sz="4" w:space="0" w:color="auto"/>
            </w:tcBorders>
          </w:tcPr>
          <w:p w14:paraId="300093C0" w14:textId="77777777" w:rsidR="002A2453" w:rsidRPr="0015541C" w:rsidRDefault="002A2453" w:rsidP="005673A2">
            <w:pPr>
              <w:tabs>
                <w:tab w:val="left" w:pos="142"/>
              </w:tabs>
              <w:ind w:left="567" w:hanging="567"/>
              <w:rPr>
                <w:b/>
                <w:lang w:val="pl-PL"/>
              </w:rPr>
            </w:pPr>
            <w:r w:rsidRPr="0015541C">
              <w:rPr>
                <w:b/>
                <w:lang w:val="pl-PL"/>
              </w:rPr>
              <w:lastRenderedPageBreak/>
              <w:t>10.</w:t>
            </w:r>
            <w:r w:rsidRPr="0015541C">
              <w:rPr>
                <w:b/>
                <w:lang w:val="pl-PL"/>
              </w:rPr>
              <w:tab/>
              <w:t>SPECJALNE ŚRODKI OSTROŻNOŚCI DOTYCZĄCE USUWANIA NIEZUŻYTEGO PRODUKTU LECZNICZEGO LUB POCHODZĄCYCH Z NIEGO ODPADÓW, JEŚLI WŁAŚCIWE</w:t>
            </w:r>
          </w:p>
        </w:tc>
      </w:tr>
    </w:tbl>
    <w:p w14:paraId="6CF12D67" w14:textId="77777777" w:rsidR="002A2453" w:rsidRPr="0015541C" w:rsidRDefault="002A2453" w:rsidP="002A2453">
      <w:pPr>
        <w:tabs>
          <w:tab w:val="left" w:pos="720"/>
        </w:tabs>
        <w:rPr>
          <w:lang w:val="pl-PL"/>
        </w:rPr>
      </w:pPr>
    </w:p>
    <w:p w14:paraId="7B67AC5E" w14:textId="77777777" w:rsidR="002A2453" w:rsidRPr="0015541C" w:rsidRDefault="002A2453" w:rsidP="002A2453">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3D6343C0" w14:textId="77777777" w:rsidTr="005673A2">
        <w:tc>
          <w:tcPr>
            <w:tcW w:w="9210" w:type="dxa"/>
            <w:tcBorders>
              <w:top w:val="single" w:sz="4" w:space="0" w:color="auto"/>
              <w:left w:val="single" w:sz="4" w:space="0" w:color="auto"/>
              <w:bottom w:val="single" w:sz="4" w:space="0" w:color="auto"/>
              <w:right w:val="single" w:sz="4" w:space="0" w:color="auto"/>
            </w:tcBorders>
          </w:tcPr>
          <w:p w14:paraId="534C9E57" w14:textId="77777777" w:rsidR="002A2453" w:rsidRPr="00AC3958" w:rsidRDefault="002A2453" w:rsidP="005673A2">
            <w:pPr>
              <w:tabs>
                <w:tab w:val="left" w:pos="142"/>
              </w:tabs>
              <w:ind w:left="567" w:hanging="567"/>
              <w:rPr>
                <w:b/>
                <w:lang w:val="pl-PL"/>
              </w:rPr>
            </w:pPr>
            <w:r w:rsidRPr="0015541C">
              <w:rPr>
                <w:b/>
                <w:lang w:val="pl-PL"/>
              </w:rPr>
              <w:t>11.</w:t>
            </w:r>
            <w:r w:rsidRPr="0015541C">
              <w:rPr>
                <w:b/>
                <w:lang w:val="pl-PL"/>
              </w:rPr>
              <w:tab/>
              <w:t>NAZWA I ADRES PODMIOTU ODPOWIEDZIALNEGO</w:t>
            </w:r>
          </w:p>
        </w:tc>
      </w:tr>
    </w:tbl>
    <w:p w14:paraId="242AF5EB" w14:textId="77777777" w:rsidR="002A2453" w:rsidRPr="0015541C" w:rsidRDefault="002A2453" w:rsidP="002A2453">
      <w:pPr>
        <w:tabs>
          <w:tab w:val="left" w:pos="720"/>
        </w:tabs>
        <w:rPr>
          <w:lang w:val="pl-PL"/>
        </w:rPr>
      </w:pPr>
    </w:p>
    <w:p w14:paraId="1F28F1B2" w14:textId="77777777" w:rsidR="000E0EFF" w:rsidRPr="0015541C" w:rsidRDefault="007209E5" w:rsidP="00030A7F">
      <w:pPr>
        <w:tabs>
          <w:tab w:val="left" w:pos="-720"/>
        </w:tabs>
        <w:rPr>
          <w:lang w:val="pl-PL"/>
        </w:rPr>
      </w:pPr>
      <w:r w:rsidRPr="0015541C">
        <w:rPr>
          <w:color w:val="000000"/>
          <w:szCs w:val="24"/>
          <w:lang w:val="pl-PL"/>
        </w:rPr>
        <w:t>Samsung Bioepis NL B.V.</w:t>
      </w:r>
      <w:r w:rsidRPr="0015541C">
        <w:rPr>
          <w:color w:val="000000"/>
          <w:szCs w:val="24"/>
          <w:lang w:val="pl-PL"/>
        </w:rPr>
        <w:br/>
        <w:t>Olof Palmestraat 10, 2616 LR Delft</w:t>
      </w:r>
      <w:r w:rsidRPr="0015541C">
        <w:rPr>
          <w:color w:val="000000"/>
          <w:szCs w:val="24"/>
          <w:lang w:val="pl-PL"/>
        </w:rPr>
        <w:br/>
        <w:t>Holandia</w:t>
      </w:r>
    </w:p>
    <w:p w14:paraId="00CCEB6C" w14:textId="77777777" w:rsidR="002A2453" w:rsidRPr="00AC3958" w:rsidRDefault="002A2453" w:rsidP="002A2453">
      <w:pPr>
        <w:tabs>
          <w:tab w:val="left" w:pos="720"/>
        </w:tabs>
        <w:rPr>
          <w:lang w:val="pl-PL"/>
        </w:rPr>
      </w:pPr>
    </w:p>
    <w:p w14:paraId="507032B9" w14:textId="77777777" w:rsidR="002A2453" w:rsidRPr="0015541C" w:rsidRDefault="002A2453" w:rsidP="002A2453">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4C42D41A" w14:textId="77777777" w:rsidTr="005673A2">
        <w:tc>
          <w:tcPr>
            <w:tcW w:w="9210" w:type="dxa"/>
            <w:tcBorders>
              <w:top w:val="single" w:sz="4" w:space="0" w:color="auto"/>
              <w:left w:val="single" w:sz="4" w:space="0" w:color="auto"/>
              <w:bottom w:val="single" w:sz="4" w:space="0" w:color="auto"/>
              <w:right w:val="single" w:sz="4" w:space="0" w:color="auto"/>
            </w:tcBorders>
          </w:tcPr>
          <w:p w14:paraId="7B56CEA7" w14:textId="77777777" w:rsidR="002A2453" w:rsidRPr="0015541C" w:rsidRDefault="002A2453" w:rsidP="005673A2">
            <w:pPr>
              <w:tabs>
                <w:tab w:val="left" w:pos="142"/>
              </w:tabs>
              <w:ind w:left="567" w:hanging="567"/>
              <w:rPr>
                <w:b/>
                <w:lang w:val="pl-PL"/>
              </w:rPr>
            </w:pPr>
            <w:r w:rsidRPr="0015541C">
              <w:rPr>
                <w:b/>
                <w:lang w:val="pl-PL"/>
              </w:rPr>
              <w:t>12.</w:t>
            </w:r>
            <w:r w:rsidRPr="0015541C">
              <w:rPr>
                <w:b/>
                <w:lang w:val="pl-PL"/>
              </w:rPr>
              <w:tab/>
              <w:t>NUMER POZWOLENIA NA DOPUSZCZENIE DO OBROTU</w:t>
            </w:r>
          </w:p>
        </w:tc>
      </w:tr>
    </w:tbl>
    <w:p w14:paraId="3ACFD7F7" w14:textId="77777777" w:rsidR="002A2453" w:rsidRPr="0015541C" w:rsidRDefault="002A2453" w:rsidP="002A2453">
      <w:pPr>
        <w:tabs>
          <w:tab w:val="left" w:pos="720"/>
        </w:tabs>
        <w:rPr>
          <w:lang w:val="pl-PL"/>
        </w:rPr>
      </w:pPr>
    </w:p>
    <w:p w14:paraId="529CF57F" w14:textId="77777777" w:rsidR="002A2453" w:rsidRPr="0015541C" w:rsidRDefault="00F44923" w:rsidP="002A2453">
      <w:pPr>
        <w:tabs>
          <w:tab w:val="left" w:pos="720"/>
        </w:tabs>
        <w:rPr>
          <w:lang w:val="pl-PL"/>
        </w:rPr>
      </w:pPr>
      <w:r w:rsidRPr="0070444C">
        <w:rPr>
          <w:lang w:val="pl-PL"/>
        </w:rPr>
        <w:t>EU/1/</w:t>
      </w:r>
      <w:r w:rsidRPr="0070444C">
        <w:rPr>
          <w:szCs w:val="22"/>
          <w:lang w:val="pl-PL" w:eastAsia="ko-KR"/>
        </w:rPr>
        <w:t>20/1454</w:t>
      </w:r>
      <w:r w:rsidRPr="0070444C">
        <w:rPr>
          <w:lang w:val="pl-PL"/>
        </w:rPr>
        <w:t>/002</w:t>
      </w:r>
    </w:p>
    <w:p w14:paraId="6A82F003" w14:textId="77777777" w:rsidR="002A2453" w:rsidRPr="0015541C" w:rsidRDefault="002A2453" w:rsidP="002A2453">
      <w:pPr>
        <w:tabs>
          <w:tab w:val="left" w:pos="720"/>
        </w:tabs>
        <w:rPr>
          <w:lang w:val="pl-PL"/>
        </w:rPr>
      </w:pPr>
    </w:p>
    <w:p w14:paraId="3C3E8BFD" w14:textId="77777777" w:rsidR="002A2453" w:rsidRPr="0015541C" w:rsidRDefault="002A2453" w:rsidP="002A2453">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35FB7DC4" w14:textId="77777777" w:rsidTr="005673A2">
        <w:tc>
          <w:tcPr>
            <w:tcW w:w="9210" w:type="dxa"/>
            <w:tcBorders>
              <w:top w:val="single" w:sz="4" w:space="0" w:color="auto"/>
              <w:left w:val="single" w:sz="4" w:space="0" w:color="auto"/>
              <w:bottom w:val="single" w:sz="4" w:space="0" w:color="auto"/>
              <w:right w:val="single" w:sz="4" w:space="0" w:color="auto"/>
            </w:tcBorders>
          </w:tcPr>
          <w:p w14:paraId="468D4E23" w14:textId="77777777" w:rsidR="002A2453" w:rsidRPr="0015541C" w:rsidRDefault="002A2453" w:rsidP="005673A2">
            <w:pPr>
              <w:tabs>
                <w:tab w:val="left" w:pos="142"/>
              </w:tabs>
              <w:ind w:left="567" w:hanging="567"/>
              <w:rPr>
                <w:b/>
                <w:lang w:val="pl-PL"/>
              </w:rPr>
            </w:pPr>
            <w:r w:rsidRPr="00AC3958">
              <w:rPr>
                <w:b/>
                <w:lang w:val="pl-PL"/>
              </w:rPr>
              <w:t>13.</w:t>
            </w:r>
            <w:r w:rsidRPr="00AC3958">
              <w:rPr>
                <w:b/>
                <w:lang w:val="pl-PL"/>
              </w:rPr>
              <w:tab/>
              <w:t>NUMER SERII</w:t>
            </w:r>
          </w:p>
        </w:tc>
      </w:tr>
    </w:tbl>
    <w:p w14:paraId="0C149502" w14:textId="77777777" w:rsidR="002A2453" w:rsidRPr="0015541C" w:rsidRDefault="002A2453" w:rsidP="002A2453">
      <w:pPr>
        <w:tabs>
          <w:tab w:val="left" w:pos="720"/>
        </w:tabs>
        <w:rPr>
          <w:lang w:val="pl-PL"/>
        </w:rPr>
      </w:pPr>
    </w:p>
    <w:p w14:paraId="0CA5282D" w14:textId="77777777" w:rsidR="002A2453" w:rsidRPr="0015541C" w:rsidRDefault="002A2453" w:rsidP="002A2453">
      <w:pPr>
        <w:tabs>
          <w:tab w:val="left" w:pos="720"/>
        </w:tabs>
        <w:rPr>
          <w:lang w:val="pl-PL"/>
        </w:rPr>
      </w:pPr>
      <w:r w:rsidRPr="0015541C">
        <w:rPr>
          <w:lang w:val="pl-PL"/>
        </w:rPr>
        <w:t>Nr serii (Lot)</w:t>
      </w:r>
    </w:p>
    <w:p w14:paraId="3702ED89" w14:textId="77777777" w:rsidR="002A2453" w:rsidRPr="00AC3958" w:rsidRDefault="002A2453" w:rsidP="002A2453">
      <w:pPr>
        <w:tabs>
          <w:tab w:val="left" w:pos="720"/>
        </w:tabs>
        <w:rPr>
          <w:lang w:val="pl-PL"/>
        </w:rPr>
      </w:pPr>
    </w:p>
    <w:p w14:paraId="065F7A8A" w14:textId="77777777" w:rsidR="002A2453" w:rsidRPr="0015541C" w:rsidRDefault="002A2453" w:rsidP="002A2453">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6C6E9377" w14:textId="77777777" w:rsidTr="005673A2">
        <w:tc>
          <w:tcPr>
            <w:tcW w:w="9210" w:type="dxa"/>
            <w:tcBorders>
              <w:top w:val="single" w:sz="4" w:space="0" w:color="auto"/>
              <w:left w:val="single" w:sz="4" w:space="0" w:color="auto"/>
              <w:bottom w:val="single" w:sz="4" w:space="0" w:color="auto"/>
              <w:right w:val="single" w:sz="4" w:space="0" w:color="auto"/>
            </w:tcBorders>
          </w:tcPr>
          <w:p w14:paraId="17ECA47A" w14:textId="77777777" w:rsidR="002A2453" w:rsidRPr="0015541C" w:rsidRDefault="002A2453" w:rsidP="005673A2">
            <w:pPr>
              <w:tabs>
                <w:tab w:val="left" w:pos="142"/>
              </w:tabs>
              <w:ind w:left="567" w:hanging="567"/>
              <w:rPr>
                <w:b/>
                <w:lang w:val="pl-PL"/>
              </w:rPr>
            </w:pPr>
            <w:r w:rsidRPr="0015541C">
              <w:rPr>
                <w:b/>
                <w:lang w:val="pl-PL"/>
              </w:rPr>
              <w:t>14.</w:t>
            </w:r>
            <w:r w:rsidRPr="0015541C">
              <w:rPr>
                <w:b/>
                <w:lang w:val="pl-PL"/>
              </w:rPr>
              <w:tab/>
              <w:t>OGÓLNA KATEGORIA DOSTĘPNOŚCI</w:t>
            </w:r>
          </w:p>
        </w:tc>
      </w:tr>
    </w:tbl>
    <w:p w14:paraId="691C3071" w14:textId="77777777" w:rsidR="002A2453" w:rsidRPr="0015541C" w:rsidRDefault="002A2453" w:rsidP="002A2453">
      <w:pPr>
        <w:tabs>
          <w:tab w:val="left" w:pos="720"/>
        </w:tabs>
        <w:rPr>
          <w:lang w:val="pl-PL"/>
        </w:rPr>
      </w:pPr>
    </w:p>
    <w:p w14:paraId="797B54C3" w14:textId="77777777" w:rsidR="002A2453" w:rsidRPr="0015541C" w:rsidRDefault="002A2453" w:rsidP="002A2453">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55026B5D" w14:textId="77777777" w:rsidTr="005673A2">
        <w:tc>
          <w:tcPr>
            <w:tcW w:w="9210" w:type="dxa"/>
            <w:tcBorders>
              <w:top w:val="single" w:sz="4" w:space="0" w:color="auto"/>
              <w:left w:val="single" w:sz="4" w:space="0" w:color="auto"/>
              <w:bottom w:val="single" w:sz="4" w:space="0" w:color="auto"/>
              <w:right w:val="single" w:sz="4" w:space="0" w:color="auto"/>
            </w:tcBorders>
          </w:tcPr>
          <w:p w14:paraId="0B6FA465" w14:textId="77777777" w:rsidR="002A2453" w:rsidRPr="00AC3958" w:rsidRDefault="002A2453" w:rsidP="005673A2">
            <w:pPr>
              <w:tabs>
                <w:tab w:val="left" w:pos="142"/>
              </w:tabs>
              <w:ind w:left="567" w:hanging="567"/>
              <w:rPr>
                <w:b/>
                <w:lang w:val="pl-PL"/>
              </w:rPr>
            </w:pPr>
            <w:r w:rsidRPr="0015541C">
              <w:rPr>
                <w:b/>
                <w:lang w:val="pl-PL"/>
              </w:rPr>
              <w:t>15.</w:t>
            </w:r>
            <w:r w:rsidRPr="0015541C">
              <w:rPr>
                <w:b/>
                <w:lang w:val="pl-PL"/>
              </w:rPr>
              <w:tab/>
              <w:t>INSTRUKCJA UŻYCIA</w:t>
            </w:r>
          </w:p>
        </w:tc>
      </w:tr>
    </w:tbl>
    <w:p w14:paraId="58DDC339" w14:textId="77777777" w:rsidR="002A2453" w:rsidRPr="0015541C" w:rsidRDefault="002A2453" w:rsidP="002A2453">
      <w:pPr>
        <w:tabs>
          <w:tab w:val="left" w:pos="720"/>
        </w:tabs>
        <w:rPr>
          <w:lang w:val="pl-PL"/>
        </w:rPr>
      </w:pPr>
    </w:p>
    <w:p w14:paraId="4E9745E3" w14:textId="77777777" w:rsidR="002A2453" w:rsidRPr="0015541C" w:rsidRDefault="002A2453" w:rsidP="002A2453">
      <w:pPr>
        <w:tabs>
          <w:tab w:val="left" w:pos="720"/>
        </w:tabs>
        <w:rPr>
          <w:lang w:val="pl-PL"/>
        </w:rPr>
      </w:pPr>
    </w:p>
    <w:p w14:paraId="1C60E9B0" w14:textId="77777777" w:rsidR="002A2453" w:rsidRPr="00AC3958" w:rsidRDefault="002A2453" w:rsidP="002A2453">
      <w:pPr>
        <w:pBdr>
          <w:top w:val="single" w:sz="4" w:space="1" w:color="auto"/>
          <w:left w:val="single" w:sz="4" w:space="4" w:color="auto"/>
          <w:bottom w:val="single" w:sz="4" w:space="1" w:color="auto"/>
          <w:right w:val="single" w:sz="4" w:space="4" w:color="auto"/>
        </w:pBdr>
        <w:ind w:left="567" w:hanging="567"/>
        <w:rPr>
          <w:lang w:val="pl-PL"/>
        </w:rPr>
      </w:pPr>
      <w:r w:rsidRPr="0015541C">
        <w:rPr>
          <w:b/>
          <w:lang w:val="pl-PL"/>
        </w:rPr>
        <w:t>16.</w:t>
      </w:r>
      <w:r w:rsidRPr="0015541C">
        <w:rPr>
          <w:b/>
          <w:lang w:val="pl-PL"/>
        </w:rPr>
        <w:tab/>
        <w:t>INFORMACJA PODANA SYSTEMEM BRAILLE’A</w:t>
      </w:r>
    </w:p>
    <w:p w14:paraId="4CF1BEB5" w14:textId="77777777" w:rsidR="002A2453" w:rsidRPr="0015541C" w:rsidRDefault="000E7011" w:rsidP="00184D62">
      <w:pPr>
        <w:tabs>
          <w:tab w:val="left" w:pos="970"/>
        </w:tabs>
        <w:rPr>
          <w:lang w:val="pl-PL"/>
        </w:rPr>
      </w:pPr>
      <w:r w:rsidRPr="0015541C">
        <w:rPr>
          <w:lang w:val="pl-PL"/>
        </w:rPr>
        <w:tab/>
      </w:r>
    </w:p>
    <w:p w14:paraId="712E0150" w14:textId="77777777" w:rsidR="002A2453" w:rsidRPr="0015541C" w:rsidRDefault="002A2453" w:rsidP="002A2453">
      <w:pPr>
        <w:tabs>
          <w:tab w:val="left" w:pos="720"/>
        </w:tabs>
        <w:rPr>
          <w:lang w:val="pl-PL"/>
        </w:rPr>
      </w:pPr>
      <w:r w:rsidRPr="0070444C">
        <w:rPr>
          <w:highlight w:val="lightGray"/>
          <w:lang w:val="pl-PL"/>
        </w:rPr>
        <w:t>Zaakceptowano uzasadnienie braku informacji systemem Braille’a</w:t>
      </w:r>
      <w:r w:rsidR="008C2AD3" w:rsidRPr="0015541C">
        <w:rPr>
          <w:highlight w:val="lightGray"/>
          <w:lang w:val="pl-PL"/>
        </w:rPr>
        <w:t>.</w:t>
      </w:r>
    </w:p>
    <w:p w14:paraId="0CF558EB" w14:textId="77777777" w:rsidR="002A2453" w:rsidRPr="0015541C" w:rsidRDefault="002A2453" w:rsidP="002A2453">
      <w:pPr>
        <w:tabs>
          <w:tab w:val="left" w:pos="720"/>
        </w:tabs>
        <w:rPr>
          <w:lang w:val="pl-PL"/>
        </w:rPr>
      </w:pPr>
    </w:p>
    <w:p w14:paraId="3B60F6C7" w14:textId="77777777" w:rsidR="00CA1A9F" w:rsidRPr="0015541C" w:rsidRDefault="00CA1A9F" w:rsidP="00CA1A9F">
      <w:pPr>
        <w:rPr>
          <w:szCs w:val="22"/>
          <w:shd w:val="clear" w:color="auto" w:fill="CCCCCC"/>
          <w:lang w:val="pl-PL"/>
        </w:rPr>
      </w:pPr>
    </w:p>
    <w:p w14:paraId="11E80E1B" w14:textId="77777777" w:rsidR="00CA1A9F" w:rsidRPr="0015541C" w:rsidRDefault="00217A9A" w:rsidP="00217A9A">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lang w:val="pl-PL"/>
        </w:rPr>
      </w:pPr>
      <w:r w:rsidRPr="0015541C">
        <w:rPr>
          <w:b/>
          <w:lang w:val="pl-PL"/>
        </w:rPr>
        <w:t>17.</w:t>
      </w:r>
      <w:r w:rsidRPr="0015541C">
        <w:rPr>
          <w:b/>
          <w:lang w:val="pl-PL"/>
        </w:rPr>
        <w:tab/>
      </w:r>
      <w:r w:rsidR="00CA1A9F" w:rsidRPr="0015541C">
        <w:rPr>
          <w:b/>
          <w:lang w:val="pl-PL"/>
        </w:rPr>
        <w:t>NIEPOWTARZALNY IDENTYFIKATOR – KOD 2D</w:t>
      </w:r>
    </w:p>
    <w:p w14:paraId="0E71E52C" w14:textId="77777777" w:rsidR="00CA1A9F" w:rsidRPr="0015541C" w:rsidRDefault="00CA1A9F" w:rsidP="00CA1A9F">
      <w:pPr>
        <w:tabs>
          <w:tab w:val="left" w:pos="720"/>
        </w:tabs>
        <w:rPr>
          <w:lang w:val="pl-PL"/>
        </w:rPr>
      </w:pPr>
    </w:p>
    <w:p w14:paraId="427187C6" w14:textId="77777777" w:rsidR="00CA1A9F" w:rsidRPr="0015541C" w:rsidRDefault="00CA1A9F" w:rsidP="00CA1A9F">
      <w:pPr>
        <w:rPr>
          <w:szCs w:val="22"/>
          <w:shd w:val="clear" w:color="auto" w:fill="CCCCCC"/>
          <w:lang w:val="pl-PL"/>
        </w:rPr>
      </w:pPr>
      <w:r w:rsidRPr="0070444C">
        <w:rPr>
          <w:highlight w:val="lightGray"/>
          <w:lang w:val="pl-PL"/>
        </w:rPr>
        <w:t>Obejmuje kod 2D będący nośnikiem niepowtarzalnego identyfikatora.</w:t>
      </w:r>
    </w:p>
    <w:p w14:paraId="18729903" w14:textId="77777777" w:rsidR="00CA1A9F" w:rsidRPr="0015541C" w:rsidRDefault="00CA1A9F" w:rsidP="00CA1A9F">
      <w:pPr>
        <w:rPr>
          <w:szCs w:val="22"/>
          <w:shd w:val="clear" w:color="auto" w:fill="CCCCCC"/>
          <w:lang w:val="pl-PL"/>
        </w:rPr>
      </w:pPr>
    </w:p>
    <w:p w14:paraId="7F64D902" w14:textId="77777777" w:rsidR="00CA1A9F" w:rsidRPr="0015541C" w:rsidRDefault="00CA1A9F" w:rsidP="00CA1A9F">
      <w:pPr>
        <w:tabs>
          <w:tab w:val="left" w:pos="720"/>
        </w:tabs>
        <w:rPr>
          <w:lang w:val="pl-PL"/>
        </w:rPr>
      </w:pPr>
    </w:p>
    <w:p w14:paraId="5AE62885" w14:textId="77777777" w:rsidR="00CA1A9F" w:rsidRPr="0015541C" w:rsidRDefault="00217A9A" w:rsidP="00217A9A">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lang w:val="pl-PL"/>
        </w:rPr>
      </w:pPr>
      <w:r w:rsidRPr="0015541C">
        <w:rPr>
          <w:b/>
          <w:lang w:val="pl-PL"/>
        </w:rPr>
        <w:t>18.</w:t>
      </w:r>
      <w:r w:rsidRPr="0015541C">
        <w:rPr>
          <w:b/>
          <w:lang w:val="pl-PL"/>
        </w:rPr>
        <w:tab/>
      </w:r>
      <w:r w:rsidR="00CA1A9F" w:rsidRPr="0015541C">
        <w:rPr>
          <w:b/>
          <w:lang w:val="pl-PL"/>
        </w:rPr>
        <w:t>NIEPOWTARZALNY IDENTYFIKATOR – DANE CZYTELNE DLA CZŁOWIEKA</w:t>
      </w:r>
    </w:p>
    <w:p w14:paraId="4AAD6DD4" w14:textId="77777777" w:rsidR="00CA1A9F" w:rsidRPr="0015541C" w:rsidRDefault="00CA1A9F" w:rsidP="00CA1A9F">
      <w:pPr>
        <w:tabs>
          <w:tab w:val="left" w:pos="720"/>
        </w:tabs>
        <w:rPr>
          <w:lang w:val="pl-PL"/>
        </w:rPr>
      </w:pPr>
    </w:p>
    <w:p w14:paraId="7A5B2CFD" w14:textId="77777777" w:rsidR="00CA1A9F" w:rsidRPr="0070444C" w:rsidRDefault="00CA1A9F" w:rsidP="00CA1A9F">
      <w:pPr>
        <w:tabs>
          <w:tab w:val="left" w:pos="720"/>
        </w:tabs>
        <w:rPr>
          <w:lang w:val="pl-PL"/>
        </w:rPr>
      </w:pPr>
      <w:r w:rsidRPr="0070444C">
        <w:rPr>
          <w:lang w:val="pl-PL"/>
        </w:rPr>
        <w:t>PC</w:t>
      </w:r>
    </w:p>
    <w:p w14:paraId="16D9D0FC" w14:textId="77777777" w:rsidR="00CA1A9F" w:rsidRPr="0070444C" w:rsidRDefault="00CA1A9F" w:rsidP="00CA1A9F">
      <w:pPr>
        <w:tabs>
          <w:tab w:val="left" w:pos="720"/>
        </w:tabs>
        <w:rPr>
          <w:lang w:val="pl-PL"/>
        </w:rPr>
      </w:pPr>
      <w:r w:rsidRPr="0070444C">
        <w:rPr>
          <w:lang w:val="pl-PL"/>
        </w:rPr>
        <w:t>SN</w:t>
      </w:r>
    </w:p>
    <w:p w14:paraId="3D331CC1" w14:textId="77777777" w:rsidR="002A2453" w:rsidRPr="0015541C" w:rsidRDefault="00CA1A9F" w:rsidP="00CA1A9F">
      <w:pPr>
        <w:tabs>
          <w:tab w:val="left" w:pos="720"/>
        </w:tabs>
        <w:rPr>
          <w:lang w:val="pl-PL"/>
        </w:rPr>
      </w:pPr>
      <w:r w:rsidRPr="0070444C">
        <w:rPr>
          <w:lang w:val="pl-PL"/>
        </w:rPr>
        <w:t>NN</w:t>
      </w:r>
      <w:r w:rsidR="002A2453" w:rsidRPr="0015541C">
        <w:rPr>
          <w:lang w:val="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14C74D7B" w14:textId="77777777" w:rsidTr="005673A2">
        <w:tc>
          <w:tcPr>
            <w:tcW w:w="9210" w:type="dxa"/>
            <w:tcBorders>
              <w:top w:val="single" w:sz="4" w:space="0" w:color="auto"/>
              <w:left w:val="single" w:sz="4" w:space="0" w:color="auto"/>
              <w:bottom w:val="single" w:sz="4" w:space="0" w:color="auto"/>
              <w:right w:val="single" w:sz="4" w:space="0" w:color="auto"/>
            </w:tcBorders>
          </w:tcPr>
          <w:p w14:paraId="6CE2DD58" w14:textId="77777777" w:rsidR="002A2453" w:rsidRPr="0015541C" w:rsidRDefault="002A2453" w:rsidP="005673A2">
            <w:pPr>
              <w:tabs>
                <w:tab w:val="left" w:pos="720"/>
              </w:tabs>
              <w:rPr>
                <w:b/>
                <w:lang w:val="pl-PL"/>
              </w:rPr>
            </w:pPr>
            <w:r w:rsidRPr="0015541C">
              <w:rPr>
                <w:lang w:val="pl-PL"/>
              </w:rPr>
              <w:lastRenderedPageBreak/>
              <w:br w:type="column"/>
            </w:r>
            <w:r w:rsidRPr="0015541C">
              <w:rPr>
                <w:b/>
                <w:lang w:val="pl-PL"/>
              </w:rPr>
              <w:t xml:space="preserve">MINIMUM INFORMACJI ZAMIESZCZANYCH NA </w:t>
            </w:r>
            <w:r w:rsidRPr="0015541C">
              <w:rPr>
                <w:b/>
                <w:caps/>
                <w:lang w:val="pl-PL"/>
              </w:rPr>
              <w:t>małych</w:t>
            </w:r>
            <w:r w:rsidRPr="0015541C">
              <w:rPr>
                <w:b/>
                <w:lang w:val="pl-PL"/>
              </w:rPr>
              <w:t xml:space="preserve"> OPAKOWANIACH BEZPOŚREDNICH</w:t>
            </w:r>
          </w:p>
          <w:p w14:paraId="565272E0" w14:textId="77777777" w:rsidR="002A2453" w:rsidRPr="0015541C" w:rsidRDefault="002A2453" w:rsidP="005673A2">
            <w:pPr>
              <w:tabs>
                <w:tab w:val="left" w:pos="720"/>
              </w:tabs>
              <w:rPr>
                <w:b/>
                <w:lang w:val="pl-PL"/>
              </w:rPr>
            </w:pPr>
          </w:p>
          <w:p w14:paraId="340DE998" w14:textId="77777777" w:rsidR="002A2453" w:rsidRPr="0015541C" w:rsidRDefault="002A2453" w:rsidP="005673A2">
            <w:pPr>
              <w:tabs>
                <w:tab w:val="left" w:pos="720"/>
              </w:tabs>
              <w:rPr>
                <w:lang w:val="pl-PL"/>
              </w:rPr>
            </w:pPr>
            <w:r w:rsidRPr="0015541C">
              <w:rPr>
                <w:b/>
                <w:lang w:val="pl-PL"/>
              </w:rPr>
              <w:t>FIOLKA</w:t>
            </w:r>
          </w:p>
        </w:tc>
      </w:tr>
    </w:tbl>
    <w:p w14:paraId="3CF41251" w14:textId="77777777" w:rsidR="002A2453" w:rsidRPr="0015541C" w:rsidRDefault="002A2453" w:rsidP="002A2453">
      <w:pPr>
        <w:tabs>
          <w:tab w:val="left" w:pos="720"/>
        </w:tabs>
        <w:rPr>
          <w:lang w:val="pl-PL"/>
        </w:rPr>
      </w:pPr>
    </w:p>
    <w:p w14:paraId="7A6F94D3" w14:textId="77777777" w:rsidR="002A2453" w:rsidRPr="0015541C" w:rsidRDefault="002A2453" w:rsidP="002A2453">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05C7D38E" w14:textId="77777777" w:rsidTr="005673A2">
        <w:tc>
          <w:tcPr>
            <w:tcW w:w="9210" w:type="dxa"/>
            <w:tcBorders>
              <w:top w:val="single" w:sz="4" w:space="0" w:color="auto"/>
              <w:left w:val="single" w:sz="4" w:space="0" w:color="auto"/>
              <w:bottom w:val="single" w:sz="4" w:space="0" w:color="auto"/>
              <w:right w:val="single" w:sz="4" w:space="0" w:color="auto"/>
            </w:tcBorders>
          </w:tcPr>
          <w:p w14:paraId="25AD55F8" w14:textId="77777777" w:rsidR="002A2453" w:rsidRPr="00AC3958" w:rsidRDefault="002A2453" w:rsidP="005673A2">
            <w:pPr>
              <w:tabs>
                <w:tab w:val="left" w:pos="142"/>
              </w:tabs>
              <w:ind w:left="567" w:hanging="567"/>
              <w:rPr>
                <w:b/>
                <w:lang w:val="pl-PL"/>
              </w:rPr>
            </w:pPr>
            <w:r w:rsidRPr="0015541C">
              <w:rPr>
                <w:b/>
                <w:lang w:val="pl-PL"/>
              </w:rPr>
              <w:t>1.</w:t>
            </w:r>
            <w:r w:rsidRPr="0015541C">
              <w:rPr>
                <w:b/>
                <w:lang w:val="pl-PL"/>
              </w:rPr>
              <w:tab/>
              <w:t>NAZWA PRODUKTU LECZNICZEGO I DROGA PODANIA</w:t>
            </w:r>
          </w:p>
        </w:tc>
      </w:tr>
    </w:tbl>
    <w:p w14:paraId="5E0B9480" w14:textId="77777777" w:rsidR="002A2453" w:rsidRPr="0015541C" w:rsidRDefault="002A2453" w:rsidP="002A2453">
      <w:pPr>
        <w:rPr>
          <w:lang w:val="pl-PL"/>
        </w:rPr>
      </w:pPr>
    </w:p>
    <w:p w14:paraId="7D4CC8E4" w14:textId="77777777" w:rsidR="002A2453" w:rsidRPr="0015541C" w:rsidRDefault="00C87F12" w:rsidP="002A2453">
      <w:pPr>
        <w:rPr>
          <w:lang w:val="pl-PL"/>
        </w:rPr>
      </w:pPr>
      <w:r w:rsidRPr="0015541C">
        <w:rPr>
          <w:lang w:val="pl-PL"/>
        </w:rPr>
        <w:t>Aybintio</w:t>
      </w:r>
      <w:r w:rsidR="002A2453" w:rsidRPr="0015541C">
        <w:rPr>
          <w:lang w:val="pl-PL"/>
        </w:rPr>
        <w:t xml:space="preserve"> 25 </w:t>
      </w:r>
      <w:bookmarkStart w:id="4" w:name="_Hlk40706386"/>
      <w:r w:rsidR="002A2453" w:rsidRPr="0015541C">
        <w:rPr>
          <w:lang w:val="pl-PL"/>
        </w:rPr>
        <w:t xml:space="preserve">mg/ml </w:t>
      </w:r>
      <w:r w:rsidR="00473482" w:rsidRPr="00AC3958">
        <w:rPr>
          <w:lang w:val="pl-PL"/>
        </w:rPr>
        <w:t xml:space="preserve">jałowy </w:t>
      </w:r>
      <w:r w:rsidR="002A2453" w:rsidRPr="0015541C">
        <w:rPr>
          <w:lang w:val="pl-PL"/>
        </w:rPr>
        <w:t>koncentrat</w:t>
      </w:r>
      <w:bookmarkEnd w:id="4"/>
    </w:p>
    <w:p w14:paraId="05C3BD3B" w14:textId="77777777" w:rsidR="002A2453" w:rsidRPr="0015541C" w:rsidRDefault="00397BE0" w:rsidP="002A2453">
      <w:pPr>
        <w:tabs>
          <w:tab w:val="left" w:pos="720"/>
        </w:tabs>
        <w:rPr>
          <w:lang w:val="pl-PL"/>
        </w:rPr>
      </w:pPr>
      <w:r w:rsidRPr="0015541C">
        <w:rPr>
          <w:lang w:val="pl-PL"/>
        </w:rPr>
        <w:t>b</w:t>
      </w:r>
      <w:r w:rsidR="002A2453" w:rsidRPr="0015541C">
        <w:rPr>
          <w:lang w:val="pl-PL"/>
        </w:rPr>
        <w:t>ewacyzumab</w:t>
      </w:r>
    </w:p>
    <w:p w14:paraId="413F3136" w14:textId="77777777" w:rsidR="00BE6E44" w:rsidRPr="0015541C" w:rsidRDefault="00BE6E44" w:rsidP="00BE6E44">
      <w:pPr>
        <w:tabs>
          <w:tab w:val="left" w:pos="720"/>
        </w:tabs>
        <w:rPr>
          <w:lang w:val="pl-PL"/>
        </w:rPr>
      </w:pPr>
      <w:r w:rsidRPr="0015541C">
        <w:rPr>
          <w:lang w:val="pl-PL"/>
        </w:rPr>
        <w:t>iv.</w:t>
      </w:r>
      <w:r w:rsidR="000708BC" w:rsidRPr="0015541C">
        <w:rPr>
          <w:lang w:val="pl-PL"/>
        </w:rPr>
        <w:t xml:space="preserve"> </w:t>
      </w:r>
      <w:r w:rsidR="000708BC" w:rsidRPr="0015541C">
        <w:rPr>
          <w:szCs w:val="22"/>
          <w:lang w:val="pl-PL"/>
        </w:rPr>
        <w:t>po rozcieńczeniu</w:t>
      </w:r>
    </w:p>
    <w:p w14:paraId="304FC7F9" w14:textId="77777777" w:rsidR="002A2453" w:rsidRPr="0015541C" w:rsidRDefault="002A2453" w:rsidP="002A2453">
      <w:pPr>
        <w:tabs>
          <w:tab w:val="left" w:pos="720"/>
        </w:tabs>
        <w:rPr>
          <w:lang w:val="pl-PL"/>
        </w:rPr>
      </w:pPr>
    </w:p>
    <w:p w14:paraId="7FB76FBF" w14:textId="77777777" w:rsidR="002A2453" w:rsidRPr="0015541C" w:rsidRDefault="002A2453" w:rsidP="002A2453">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2DD225A3" w14:textId="77777777" w:rsidTr="005673A2">
        <w:tc>
          <w:tcPr>
            <w:tcW w:w="9210" w:type="dxa"/>
            <w:tcBorders>
              <w:top w:val="single" w:sz="4" w:space="0" w:color="auto"/>
              <w:left w:val="single" w:sz="4" w:space="0" w:color="auto"/>
              <w:bottom w:val="single" w:sz="4" w:space="0" w:color="auto"/>
              <w:right w:val="single" w:sz="4" w:space="0" w:color="auto"/>
            </w:tcBorders>
          </w:tcPr>
          <w:p w14:paraId="3B46FFDA" w14:textId="77777777" w:rsidR="002A2453" w:rsidRPr="0015541C" w:rsidRDefault="002A2453" w:rsidP="005673A2">
            <w:pPr>
              <w:tabs>
                <w:tab w:val="left" w:pos="142"/>
              </w:tabs>
              <w:ind w:left="567" w:hanging="567"/>
              <w:rPr>
                <w:b/>
                <w:lang w:val="pl-PL"/>
              </w:rPr>
            </w:pPr>
            <w:r w:rsidRPr="0015541C">
              <w:rPr>
                <w:b/>
                <w:lang w:val="pl-PL"/>
              </w:rPr>
              <w:t>2.</w:t>
            </w:r>
            <w:r w:rsidRPr="0015541C">
              <w:rPr>
                <w:b/>
                <w:lang w:val="pl-PL"/>
              </w:rPr>
              <w:tab/>
              <w:t>SPOSÓB PODAWANIA</w:t>
            </w:r>
          </w:p>
        </w:tc>
      </w:tr>
    </w:tbl>
    <w:p w14:paraId="71FAB714" w14:textId="77777777" w:rsidR="002A2453" w:rsidRPr="0015541C" w:rsidRDefault="002A2453" w:rsidP="002A2453">
      <w:pPr>
        <w:tabs>
          <w:tab w:val="left" w:pos="720"/>
        </w:tabs>
        <w:rPr>
          <w:lang w:val="pl-PL"/>
        </w:rPr>
      </w:pPr>
    </w:p>
    <w:p w14:paraId="3A4E6471" w14:textId="77777777" w:rsidR="002A2453" w:rsidRPr="0015541C" w:rsidRDefault="002A2453" w:rsidP="002A2453">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208A911C" w14:textId="77777777" w:rsidTr="005673A2">
        <w:tc>
          <w:tcPr>
            <w:tcW w:w="9210" w:type="dxa"/>
            <w:tcBorders>
              <w:top w:val="single" w:sz="4" w:space="0" w:color="auto"/>
              <w:left w:val="single" w:sz="4" w:space="0" w:color="auto"/>
              <w:bottom w:val="single" w:sz="4" w:space="0" w:color="auto"/>
              <w:right w:val="single" w:sz="4" w:space="0" w:color="auto"/>
            </w:tcBorders>
          </w:tcPr>
          <w:p w14:paraId="6C70055C" w14:textId="77777777" w:rsidR="002A2453" w:rsidRPr="00AC3958" w:rsidRDefault="002A2453" w:rsidP="005673A2">
            <w:pPr>
              <w:tabs>
                <w:tab w:val="left" w:pos="142"/>
              </w:tabs>
              <w:ind w:left="567" w:hanging="567"/>
              <w:rPr>
                <w:b/>
                <w:lang w:val="pl-PL"/>
              </w:rPr>
            </w:pPr>
            <w:r w:rsidRPr="0015541C">
              <w:rPr>
                <w:b/>
                <w:lang w:val="pl-PL"/>
              </w:rPr>
              <w:t>3.</w:t>
            </w:r>
            <w:r w:rsidRPr="0015541C">
              <w:rPr>
                <w:b/>
                <w:lang w:val="pl-PL"/>
              </w:rPr>
              <w:tab/>
              <w:t>TERMIN WAŻNOŚCI</w:t>
            </w:r>
          </w:p>
        </w:tc>
      </w:tr>
    </w:tbl>
    <w:p w14:paraId="7EEDAE38" w14:textId="77777777" w:rsidR="002A2453" w:rsidRPr="0015541C" w:rsidRDefault="002A2453" w:rsidP="002A2453">
      <w:pPr>
        <w:tabs>
          <w:tab w:val="left" w:pos="720"/>
        </w:tabs>
        <w:rPr>
          <w:lang w:val="pl-PL"/>
        </w:rPr>
      </w:pPr>
    </w:p>
    <w:p w14:paraId="7F418C62" w14:textId="77777777" w:rsidR="002A2453" w:rsidRPr="0015541C" w:rsidRDefault="002A2453" w:rsidP="002A2453">
      <w:pPr>
        <w:tabs>
          <w:tab w:val="left" w:pos="720"/>
        </w:tabs>
        <w:rPr>
          <w:lang w:val="pl-PL"/>
        </w:rPr>
      </w:pPr>
      <w:r w:rsidRPr="0015541C">
        <w:rPr>
          <w:lang w:val="pl-PL"/>
        </w:rPr>
        <w:t>EXP</w:t>
      </w:r>
    </w:p>
    <w:p w14:paraId="10B37720" w14:textId="77777777" w:rsidR="002A2453" w:rsidRPr="00AC3958" w:rsidRDefault="002A2453" w:rsidP="002A2453">
      <w:pPr>
        <w:tabs>
          <w:tab w:val="left" w:pos="720"/>
        </w:tabs>
        <w:rPr>
          <w:lang w:val="pl-PL"/>
        </w:rPr>
      </w:pPr>
    </w:p>
    <w:p w14:paraId="4FEDD347" w14:textId="77777777" w:rsidR="002A2453" w:rsidRPr="0015541C" w:rsidRDefault="002A2453" w:rsidP="002A2453">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15541C" w14:paraId="31B1D88D" w14:textId="77777777" w:rsidTr="005673A2">
        <w:tc>
          <w:tcPr>
            <w:tcW w:w="9210" w:type="dxa"/>
            <w:tcBorders>
              <w:top w:val="single" w:sz="4" w:space="0" w:color="auto"/>
              <w:left w:val="single" w:sz="4" w:space="0" w:color="auto"/>
              <w:bottom w:val="single" w:sz="4" w:space="0" w:color="auto"/>
              <w:right w:val="single" w:sz="4" w:space="0" w:color="auto"/>
            </w:tcBorders>
          </w:tcPr>
          <w:p w14:paraId="71CF1DA9" w14:textId="77777777" w:rsidR="002A2453" w:rsidRPr="0015541C" w:rsidRDefault="002A2453" w:rsidP="005673A2">
            <w:pPr>
              <w:tabs>
                <w:tab w:val="left" w:pos="142"/>
              </w:tabs>
              <w:ind w:left="567" w:hanging="567"/>
              <w:rPr>
                <w:b/>
                <w:lang w:val="pl-PL"/>
              </w:rPr>
            </w:pPr>
            <w:r w:rsidRPr="0015541C">
              <w:rPr>
                <w:b/>
                <w:lang w:val="pl-PL"/>
              </w:rPr>
              <w:t>4.</w:t>
            </w:r>
            <w:r w:rsidRPr="0015541C">
              <w:rPr>
                <w:b/>
                <w:lang w:val="pl-PL"/>
              </w:rPr>
              <w:tab/>
              <w:t>NUMER SERII</w:t>
            </w:r>
          </w:p>
        </w:tc>
      </w:tr>
    </w:tbl>
    <w:p w14:paraId="0ECD7251" w14:textId="77777777" w:rsidR="002A2453" w:rsidRPr="0015541C" w:rsidRDefault="002A2453" w:rsidP="002A2453">
      <w:pPr>
        <w:tabs>
          <w:tab w:val="left" w:pos="720"/>
        </w:tabs>
        <w:rPr>
          <w:lang w:val="pl-PL"/>
        </w:rPr>
      </w:pPr>
    </w:p>
    <w:p w14:paraId="7AA73FC6" w14:textId="77777777" w:rsidR="002A2453" w:rsidRPr="0015541C" w:rsidRDefault="002A2453" w:rsidP="002A2453">
      <w:pPr>
        <w:tabs>
          <w:tab w:val="left" w:pos="720"/>
        </w:tabs>
        <w:rPr>
          <w:lang w:val="pl-PL"/>
        </w:rPr>
      </w:pPr>
      <w:r w:rsidRPr="0015541C">
        <w:rPr>
          <w:lang w:val="pl-PL"/>
        </w:rPr>
        <w:t>Lot</w:t>
      </w:r>
    </w:p>
    <w:p w14:paraId="7D469187" w14:textId="77777777" w:rsidR="002A2453" w:rsidRPr="00AC3958" w:rsidRDefault="002A2453" w:rsidP="002A2453">
      <w:pPr>
        <w:tabs>
          <w:tab w:val="left" w:pos="720"/>
        </w:tabs>
        <w:rPr>
          <w:lang w:val="pl-PL"/>
        </w:rPr>
      </w:pPr>
    </w:p>
    <w:p w14:paraId="1749D8F6" w14:textId="77777777" w:rsidR="002A2453" w:rsidRPr="0015541C" w:rsidRDefault="002A2453" w:rsidP="002A2453">
      <w:pPr>
        <w:tabs>
          <w:tab w:val="left" w:pos="720"/>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2A2453" w:rsidRPr="008D11DD" w14:paraId="5139E783" w14:textId="77777777" w:rsidTr="005673A2">
        <w:tc>
          <w:tcPr>
            <w:tcW w:w="9210" w:type="dxa"/>
            <w:tcBorders>
              <w:top w:val="single" w:sz="4" w:space="0" w:color="auto"/>
              <w:left w:val="single" w:sz="4" w:space="0" w:color="auto"/>
              <w:bottom w:val="single" w:sz="4" w:space="0" w:color="auto"/>
              <w:right w:val="single" w:sz="4" w:space="0" w:color="auto"/>
            </w:tcBorders>
          </w:tcPr>
          <w:p w14:paraId="07152505" w14:textId="77777777" w:rsidR="002A2453" w:rsidRPr="0015541C" w:rsidRDefault="002A2453" w:rsidP="005673A2">
            <w:pPr>
              <w:tabs>
                <w:tab w:val="left" w:pos="142"/>
              </w:tabs>
              <w:ind w:left="567" w:hanging="567"/>
              <w:rPr>
                <w:b/>
                <w:lang w:val="pl-PL"/>
              </w:rPr>
            </w:pPr>
            <w:r w:rsidRPr="0015541C">
              <w:rPr>
                <w:b/>
                <w:lang w:val="pl-PL"/>
              </w:rPr>
              <w:t>5.</w:t>
            </w:r>
            <w:r w:rsidRPr="0015541C">
              <w:rPr>
                <w:b/>
                <w:lang w:val="pl-PL"/>
              </w:rPr>
              <w:tab/>
              <w:t>ZAWARTOŚĆ OPAKOWANIA Z PODANIEM MASY, OBJĘTOŚCI LUB LICZBY JEDNOSTEK</w:t>
            </w:r>
          </w:p>
        </w:tc>
      </w:tr>
    </w:tbl>
    <w:p w14:paraId="35737D5C" w14:textId="77777777" w:rsidR="002A2453" w:rsidRPr="0015541C" w:rsidRDefault="002A2453" w:rsidP="002A2453">
      <w:pPr>
        <w:rPr>
          <w:lang w:val="pl-PL"/>
        </w:rPr>
      </w:pPr>
    </w:p>
    <w:p w14:paraId="2A9CF410" w14:textId="77777777" w:rsidR="002A2453" w:rsidRPr="0015541C" w:rsidRDefault="002A2453" w:rsidP="002A2453">
      <w:pPr>
        <w:rPr>
          <w:lang w:val="pl-PL"/>
        </w:rPr>
      </w:pPr>
      <w:r w:rsidRPr="0015541C">
        <w:rPr>
          <w:lang w:val="pl-PL"/>
        </w:rPr>
        <w:t>400 mg/16 ml</w:t>
      </w:r>
    </w:p>
    <w:p w14:paraId="624BC1C8" w14:textId="77777777" w:rsidR="002A2453" w:rsidRPr="00AC3958" w:rsidRDefault="002A2453" w:rsidP="002A2453">
      <w:pPr>
        <w:rPr>
          <w:lang w:val="pl-PL"/>
        </w:rPr>
      </w:pPr>
    </w:p>
    <w:p w14:paraId="0F5609CC" w14:textId="77777777" w:rsidR="002A2453" w:rsidRPr="0015541C" w:rsidRDefault="002A2453" w:rsidP="002A2453">
      <w:pPr>
        <w:rPr>
          <w:lang w:val="pl-PL"/>
        </w:rPr>
      </w:pPr>
    </w:p>
    <w:p w14:paraId="72C29F6A" w14:textId="77777777" w:rsidR="002A2453" w:rsidRPr="0015541C" w:rsidRDefault="002A2453" w:rsidP="002A2453">
      <w:pPr>
        <w:pBdr>
          <w:top w:val="single" w:sz="4" w:space="1" w:color="auto"/>
          <w:left w:val="single" w:sz="4" w:space="4" w:color="auto"/>
          <w:bottom w:val="single" w:sz="4" w:space="1" w:color="auto"/>
          <w:right w:val="single" w:sz="4" w:space="4" w:color="auto"/>
        </w:pBdr>
        <w:ind w:left="567" w:hanging="567"/>
        <w:rPr>
          <w:lang w:val="pl-PL"/>
        </w:rPr>
      </w:pPr>
      <w:r w:rsidRPr="0015541C">
        <w:rPr>
          <w:b/>
          <w:lang w:val="pl-PL"/>
        </w:rPr>
        <w:t>6.</w:t>
      </w:r>
      <w:r w:rsidRPr="0015541C">
        <w:rPr>
          <w:b/>
          <w:lang w:val="pl-PL"/>
        </w:rPr>
        <w:tab/>
        <w:t>INNE</w:t>
      </w:r>
    </w:p>
    <w:p w14:paraId="2F6A8A36" w14:textId="77777777" w:rsidR="002A2453" w:rsidRPr="0015541C" w:rsidRDefault="002A2453" w:rsidP="002A2453">
      <w:pPr>
        <w:rPr>
          <w:lang w:val="pl-PL"/>
        </w:rPr>
      </w:pPr>
    </w:p>
    <w:p w14:paraId="25451841" w14:textId="77777777" w:rsidR="002A2453" w:rsidRPr="0015541C" w:rsidRDefault="002A2453" w:rsidP="002A2453">
      <w:pPr>
        <w:rPr>
          <w:lang w:val="pl-PL"/>
        </w:rPr>
      </w:pPr>
      <w:r w:rsidRPr="0015541C">
        <w:rPr>
          <w:lang w:val="pl-PL"/>
        </w:rPr>
        <w:br w:type="page"/>
      </w:r>
    </w:p>
    <w:p w14:paraId="66C038E6" w14:textId="77777777" w:rsidR="002A2453" w:rsidRPr="0015541C" w:rsidRDefault="002A2453" w:rsidP="002A2453">
      <w:pPr>
        <w:rPr>
          <w:lang w:val="pl-PL"/>
        </w:rPr>
      </w:pPr>
    </w:p>
    <w:p w14:paraId="7753ADBD" w14:textId="77777777" w:rsidR="002A2453" w:rsidRPr="0015541C" w:rsidRDefault="002A2453" w:rsidP="002A2453">
      <w:pPr>
        <w:rPr>
          <w:lang w:val="pl-PL"/>
        </w:rPr>
      </w:pPr>
    </w:p>
    <w:p w14:paraId="603D11DC" w14:textId="77777777" w:rsidR="002A2453" w:rsidRPr="0015541C" w:rsidRDefault="002A2453" w:rsidP="002A2453">
      <w:pPr>
        <w:rPr>
          <w:lang w:val="pl-PL"/>
        </w:rPr>
      </w:pPr>
    </w:p>
    <w:p w14:paraId="21E31BD6" w14:textId="77777777" w:rsidR="002A2453" w:rsidRPr="0015541C" w:rsidRDefault="002A2453" w:rsidP="002A2453">
      <w:pPr>
        <w:rPr>
          <w:lang w:val="pl-PL"/>
        </w:rPr>
      </w:pPr>
    </w:p>
    <w:p w14:paraId="20AF9E56" w14:textId="77777777" w:rsidR="002A2453" w:rsidRPr="0015541C" w:rsidRDefault="002A2453" w:rsidP="002A2453">
      <w:pPr>
        <w:rPr>
          <w:lang w:val="pl-PL"/>
        </w:rPr>
      </w:pPr>
    </w:p>
    <w:p w14:paraId="0C5A088F" w14:textId="77777777" w:rsidR="002A2453" w:rsidRPr="0015541C" w:rsidRDefault="002A2453" w:rsidP="002A2453">
      <w:pPr>
        <w:rPr>
          <w:lang w:val="pl-PL"/>
        </w:rPr>
      </w:pPr>
    </w:p>
    <w:p w14:paraId="75071C14" w14:textId="77777777" w:rsidR="002A2453" w:rsidRPr="0015541C" w:rsidRDefault="002A2453" w:rsidP="002A2453">
      <w:pPr>
        <w:rPr>
          <w:lang w:val="pl-PL"/>
        </w:rPr>
      </w:pPr>
    </w:p>
    <w:p w14:paraId="2CCD2C12" w14:textId="77777777" w:rsidR="002A2453" w:rsidRPr="0015541C" w:rsidRDefault="002A2453" w:rsidP="002A2453">
      <w:pPr>
        <w:rPr>
          <w:lang w:val="pl-PL"/>
        </w:rPr>
      </w:pPr>
    </w:p>
    <w:p w14:paraId="56206B4E" w14:textId="77777777" w:rsidR="002A2453" w:rsidRPr="0015541C" w:rsidRDefault="002A2453" w:rsidP="002A2453">
      <w:pPr>
        <w:rPr>
          <w:lang w:val="pl-PL"/>
        </w:rPr>
      </w:pPr>
    </w:p>
    <w:p w14:paraId="34C17517" w14:textId="77777777" w:rsidR="002A2453" w:rsidRPr="0015541C" w:rsidRDefault="002A2453" w:rsidP="002A2453">
      <w:pPr>
        <w:rPr>
          <w:lang w:val="pl-PL"/>
        </w:rPr>
      </w:pPr>
    </w:p>
    <w:p w14:paraId="7CB5C074" w14:textId="77777777" w:rsidR="002A2453" w:rsidRPr="0015541C" w:rsidRDefault="002A2453" w:rsidP="002A2453">
      <w:pPr>
        <w:rPr>
          <w:lang w:val="pl-PL"/>
        </w:rPr>
      </w:pPr>
    </w:p>
    <w:p w14:paraId="63A51ED2" w14:textId="77777777" w:rsidR="002A2453" w:rsidRPr="0015541C" w:rsidRDefault="002A2453" w:rsidP="002A2453">
      <w:pPr>
        <w:rPr>
          <w:lang w:val="pl-PL"/>
        </w:rPr>
      </w:pPr>
    </w:p>
    <w:p w14:paraId="509C41B8" w14:textId="77777777" w:rsidR="002A2453" w:rsidRPr="0015541C" w:rsidRDefault="002A2453" w:rsidP="002A2453">
      <w:pPr>
        <w:rPr>
          <w:lang w:val="pl-PL"/>
        </w:rPr>
      </w:pPr>
    </w:p>
    <w:p w14:paraId="15920B1C" w14:textId="77777777" w:rsidR="002A2453" w:rsidRPr="0015541C" w:rsidRDefault="002A2453" w:rsidP="002A2453">
      <w:pPr>
        <w:rPr>
          <w:lang w:val="pl-PL"/>
        </w:rPr>
      </w:pPr>
    </w:p>
    <w:p w14:paraId="1EC0EDCB" w14:textId="77777777" w:rsidR="002A2453" w:rsidRPr="0015541C" w:rsidRDefault="002A2453" w:rsidP="002A2453">
      <w:pPr>
        <w:rPr>
          <w:lang w:val="pl-PL"/>
        </w:rPr>
      </w:pPr>
    </w:p>
    <w:p w14:paraId="6A6F3632" w14:textId="77777777" w:rsidR="002A2453" w:rsidRPr="0015541C" w:rsidRDefault="002A2453" w:rsidP="002A2453">
      <w:pPr>
        <w:rPr>
          <w:lang w:val="pl-PL"/>
        </w:rPr>
      </w:pPr>
    </w:p>
    <w:p w14:paraId="477F17DF" w14:textId="77777777" w:rsidR="002A2453" w:rsidRPr="0015541C" w:rsidRDefault="002A2453" w:rsidP="002A2453">
      <w:pPr>
        <w:rPr>
          <w:lang w:val="pl-PL"/>
        </w:rPr>
      </w:pPr>
    </w:p>
    <w:p w14:paraId="71C39B94" w14:textId="77777777" w:rsidR="002A2453" w:rsidRPr="0015541C" w:rsidRDefault="002A2453" w:rsidP="002A2453">
      <w:pPr>
        <w:rPr>
          <w:lang w:val="pl-PL"/>
        </w:rPr>
      </w:pPr>
    </w:p>
    <w:p w14:paraId="7834673C" w14:textId="77777777" w:rsidR="002A2453" w:rsidRPr="0015541C" w:rsidRDefault="002A2453" w:rsidP="002A2453">
      <w:pPr>
        <w:rPr>
          <w:lang w:val="pl-PL"/>
        </w:rPr>
      </w:pPr>
    </w:p>
    <w:p w14:paraId="0D696D59" w14:textId="77777777" w:rsidR="002A2453" w:rsidRPr="0015541C" w:rsidRDefault="002A2453" w:rsidP="002A2453">
      <w:pPr>
        <w:rPr>
          <w:lang w:val="pl-PL"/>
        </w:rPr>
      </w:pPr>
    </w:p>
    <w:p w14:paraId="2094AF40" w14:textId="77777777" w:rsidR="002A2453" w:rsidRPr="0015541C" w:rsidRDefault="002A2453" w:rsidP="002A2453">
      <w:pPr>
        <w:rPr>
          <w:lang w:val="pl-PL"/>
        </w:rPr>
      </w:pPr>
    </w:p>
    <w:p w14:paraId="0313DB68" w14:textId="77777777" w:rsidR="002A2453" w:rsidRPr="0015541C" w:rsidRDefault="002A2453" w:rsidP="002A2453">
      <w:pPr>
        <w:rPr>
          <w:lang w:val="pl-PL"/>
        </w:rPr>
      </w:pPr>
    </w:p>
    <w:p w14:paraId="2BD4DE41" w14:textId="77777777" w:rsidR="002A2453" w:rsidRPr="0015541C" w:rsidRDefault="002A2453" w:rsidP="002A2453">
      <w:pPr>
        <w:pStyle w:val="Annex"/>
        <w:rPr>
          <w:lang w:val="pl-PL"/>
        </w:rPr>
      </w:pPr>
      <w:r w:rsidRPr="0015541C">
        <w:rPr>
          <w:lang w:val="pl-PL"/>
        </w:rPr>
        <w:t>B. ULOTKA DLA PACJENTA</w:t>
      </w:r>
    </w:p>
    <w:p w14:paraId="205F234F" w14:textId="77777777" w:rsidR="002A2453" w:rsidRPr="0015541C" w:rsidRDefault="002A2453" w:rsidP="002A2453">
      <w:pPr>
        <w:rPr>
          <w:lang w:val="pl-PL"/>
        </w:rPr>
      </w:pPr>
    </w:p>
    <w:p w14:paraId="7CDA40F2" w14:textId="77777777" w:rsidR="002A2453" w:rsidRPr="0015541C" w:rsidRDefault="002A2453" w:rsidP="002A2453">
      <w:pPr>
        <w:jc w:val="center"/>
        <w:rPr>
          <w:b/>
          <w:lang w:val="pl-PL"/>
        </w:rPr>
      </w:pPr>
      <w:r w:rsidRPr="0015541C">
        <w:rPr>
          <w:lang w:val="pl-PL"/>
        </w:rPr>
        <w:br w:type="page"/>
      </w:r>
      <w:r w:rsidRPr="0015541C">
        <w:rPr>
          <w:b/>
          <w:lang w:val="pl-PL"/>
        </w:rPr>
        <w:lastRenderedPageBreak/>
        <w:t>Ulotka dołączona do opakowania: informacja dla użytkownika</w:t>
      </w:r>
    </w:p>
    <w:p w14:paraId="5BFA8D68" w14:textId="77777777" w:rsidR="002A2453" w:rsidRPr="0015541C" w:rsidRDefault="002A2453" w:rsidP="002A2453">
      <w:pPr>
        <w:jc w:val="center"/>
        <w:rPr>
          <w:b/>
          <w:lang w:val="pl-PL"/>
        </w:rPr>
      </w:pPr>
    </w:p>
    <w:p w14:paraId="360FB49C" w14:textId="77777777" w:rsidR="002A2453" w:rsidRPr="0015541C" w:rsidRDefault="00C87F12" w:rsidP="002A2453">
      <w:pPr>
        <w:jc w:val="center"/>
        <w:rPr>
          <w:b/>
          <w:lang w:val="pl-PL"/>
        </w:rPr>
      </w:pPr>
      <w:r w:rsidRPr="0015541C">
        <w:rPr>
          <w:b/>
          <w:lang w:val="pl-PL"/>
        </w:rPr>
        <w:t>Aybintio</w:t>
      </w:r>
      <w:r w:rsidR="002A2453" w:rsidRPr="0015541C">
        <w:rPr>
          <w:b/>
          <w:lang w:val="pl-PL"/>
        </w:rPr>
        <w:t xml:space="preserve"> 25 mg/ml koncentrat do sporządzania roztworu do infuzji</w:t>
      </w:r>
    </w:p>
    <w:p w14:paraId="139098BF" w14:textId="77777777" w:rsidR="002A2453" w:rsidRPr="0015541C" w:rsidRDefault="008D7533" w:rsidP="002A2453">
      <w:pPr>
        <w:jc w:val="center"/>
        <w:rPr>
          <w:lang w:val="pl-PL"/>
        </w:rPr>
      </w:pPr>
      <w:r w:rsidRPr="0015541C">
        <w:rPr>
          <w:lang w:val="pl-PL"/>
        </w:rPr>
        <w:t>b</w:t>
      </w:r>
      <w:r w:rsidR="002A2453" w:rsidRPr="0015541C">
        <w:rPr>
          <w:lang w:val="pl-PL"/>
        </w:rPr>
        <w:t>ewacyzumab</w:t>
      </w:r>
    </w:p>
    <w:p w14:paraId="7FDB8C8B" w14:textId="77777777" w:rsidR="008403FF" w:rsidRPr="0015541C" w:rsidRDefault="008403FF" w:rsidP="002A2453">
      <w:pPr>
        <w:rPr>
          <w:u w:val="single"/>
          <w:lang w:val="pl-PL"/>
        </w:rPr>
      </w:pPr>
    </w:p>
    <w:p w14:paraId="24ABA53D" w14:textId="77777777" w:rsidR="002A2453" w:rsidRPr="0015541C" w:rsidRDefault="002A2453" w:rsidP="002A2453">
      <w:pPr>
        <w:rPr>
          <w:b/>
          <w:lang w:val="pl-PL"/>
        </w:rPr>
      </w:pPr>
      <w:r w:rsidRPr="0015541C">
        <w:rPr>
          <w:b/>
          <w:lang w:val="pl-PL"/>
        </w:rPr>
        <w:t xml:space="preserve">Należy </w:t>
      </w:r>
      <w:r w:rsidRPr="0015541C">
        <w:rPr>
          <w:b/>
          <w:szCs w:val="24"/>
          <w:lang w:val="pl-PL"/>
        </w:rPr>
        <w:t xml:space="preserve">uważnie </w:t>
      </w:r>
      <w:r w:rsidRPr="0015541C">
        <w:rPr>
          <w:b/>
          <w:lang w:val="pl-PL"/>
        </w:rPr>
        <w:t xml:space="preserve">zapoznać się z treścią ulotki przed zastosowaniem leku, </w:t>
      </w:r>
      <w:r w:rsidRPr="0015541C">
        <w:rPr>
          <w:b/>
          <w:szCs w:val="24"/>
          <w:lang w:val="pl-PL"/>
        </w:rPr>
        <w:t>ponieważ zawiera ona informacje ważne dla pacjenta</w:t>
      </w:r>
      <w:r w:rsidRPr="0015541C">
        <w:rPr>
          <w:b/>
          <w:lang w:val="pl-PL"/>
        </w:rPr>
        <w:t>.</w:t>
      </w:r>
    </w:p>
    <w:p w14:paraId="67EEC8A2" w14:textId="77777777" w:rsidR="002A2453" w:rsidRPr="0015541C" w:rsidRDefault="00806DEC" w:rsidP="002A2453">
      <w:pPr>
        <w:ind w:left="567" w:hanging="567"/>
        <w:rPr>
          <w:lang w:val="pl-PL"/>
        </w:rPr>
      </w:pPr>
      <w:r w:rsidRPr="0015541C">
        <w:rPr>
          <w:iCs/>
          <w:lang w:val="pl-PL"/>
        </w:rPr>
        <w:sym w:font="Symbol" w:char="F0B7"/>
      </w:r>
      <w:r w:rsidRPr="0015541C">
        <w:rPr>
          <w:iCs/>
          <w:lang w:val="pl-PL"/>
        </w:rPr>
        <w:tab/>
      </w:r>
      <w:r w:rsidR="002A2453" w:rsidRPr="0015541C">
        <w:rPr>
          <w:lang w:val="pl-PL"/>
        </w:rPr>
        <w:t>Należy zachować tę ulotkę, aby w razie potrzeby móc ją ponownie przeczytać.</w:t>
      </w:r>
    </w:p>
    <w:p w14:paraId="4E93E6E3" w14:textId="77777777" w:rsidR="002A2453" w:rsidRPr="00AC3958" w:rsidRDefault="00806DEC" w:rsidP="00C85D7E">
      <w:pPr>
        <w:ind w:left="567" w:hanging="567"/>
        <w:rPr>
          <w:lang w:val="pl-PL"/>
        </w:rPr>
      </w:pPr>
      <w:r w:rsidRPr="0015541C">
        <w:rPr>
          <w:iCs/>
          <w:lang w:val="pl-PL"/>
        </w:rPr>
        <w:sym w:font="Symbol" w:char="F0B7"/>
      </w:r>
      <w:r w:rsidRPr="0015541C">
        <w:rPr>
          <w:iCs/>
          <w:lang w:val="pl-PL"/>
        </w:rPr>
        <w:tab/>
      </w:r>
      <w:r w:rsidR="008B0A3E" w:rsidRPr="0015541C">
        <w:rPr>
          <w:lang w:val="pl-PL"/>
        </w:rPr>
        <w:t>W razie jakichkolwiek wątpliwości należy zwrócić się do lekarza, farmaceuty lub pielęgniarki.</w:t>
      </w:r>
    </w:p>
    <w:p w14:paraId="1B0D6BDB" w14:textId="77777777" w:rsidR="002A2453" w:rsidRPr="0015541C" w:rsidRDefault="00806DEC" w:rsidP="002A2453">
      <w:pPr>
        <w:ind w:left="567" w:hanging="567"/>
        <w:rPr>
          <w:lang w:val="pl-PL"/>
        </w:rPr>
      </w:pPr>
      <w:r w:rsidRPr="0015541C">
        <w:rPr>
          <w:iCs/>
          <w:lang w:val="pl-PL"/>
        </w:rPr>
        <w:sym w:font="Symbol" w:char="F0B7"/>
      </w:r>
      <w:r w:rsidRPr="0015541C">
        <w:rPr>
          <w:iCs/>
          <w:lang w:val="pl-PL"/>
        </w:rPr>
        <w:tab/>
      </w:r>
      <w:r w:rsidR="002A2453" w:rsidRPr="0015541C">
        <w:rPr>
          <w:lang w:val="pl-PL"/>
        </w:rPr>
        <w:t xml:space="preserve">Jeśli </w:t>
      </w:r>
      <w:r w:rsidR="008B0A3E" w:rsidRPr="0015541C">
        <w:rPr>
          <w:lang w:val="pl-PL"/>
        </w:rPr>
        <w:t xml:space="preserve">u pacjenta </w:t>
      </w:r>
      <w:r w:rsidR="002A2453" w:rsidRPr="00AC3958">
        <w:rPr>
          <w:lang w:val="pl-PL"/>
        </w:rPr>
        <w:t xml:space="preserve">wystąpią jakiekolwiek objawy niepożądane, </w:t>
      </w:r>
      <w:r w:rsidR="002A2453" w:rsidRPr="0015541C">
        <w:rPr>
          <w:szCs w:val="24"/>
          <w:lang w:val="pl-PL"/>
        </w:rPr>
        <w:t>w tym wszelkie możliwe objawy niepożądane</w:t>
      </w:r>
      <w:r w:rsidR="002A2453" w:rsidRPr="0015541C">
        <w:rPr>
          <w:lang w:val="pl-PL"/>
        </w:rPr>
        <w:t xml:space="preserve"> niewymienione w ulotce, należy powiedzieć o tym lekarzowi, farmaceucie lub pielęgniarce.</w:t>
      </w:r>
      <w:r w:rsidR="0026465C" w:rsidRPr="0015541C">
        <w:rPr>
          <w:lang w:val="pl-PL"/>
        </w:rPr>
        <w:t xml:space="preserve"> </w:t>
      </w:r>
      <w:r w:rsidR="0026465C" w:rsidRPr="0015541C">
        <w:rPr>
          <w:szCs w:val="22"/>
          <w:lang w:val="pl-PL"/>
        </w:rPr>
        <w:t>Patrz punkt 4.</w:t>
      </w:r>
    </w:p>
    <w:p w14:paraId="6CEF7EC8" w14:textId="77777777" w:rsidR="002A2453" w:rsidRPr="0015541C" w:rsidRDefault="002A2453" w:rsidP="002A2453">
      <w:pPr>
        <w:rPr>
          <w:lang w:val="pl-PL"/>
        </w:rPr>
      </w:pPr>
    </w:p>
    <w:p w14:paraId="3ADFB0C6" w14:textId="77777777" w:rsidR="002A2453" w:rsidRPr="0015541C" w:rsidRDefault="002A2453" w:rsidP="002A2453">
      <w:pPr>
        <w:rPr>
          <w:b/>
          <w:lang w:val="pl-PL"/>
        </w:rPr>
      </w:pPr>
      <w:r w:rsidRPr="0015541C">
        <w:rPr>
          <w:b/>
          <w:lang w:val="pl-PL"/>
        </w:rPr>
        <w:t>Spis treści ulotki:</w:t>
      </w:r>
    </w:p>
    <w:p w14:paraId="328D67FC" w14:textId="77777777" w:rsidR="002A2453" w:rsidRPr="0015541C" w:rsidRDefault="002A2453" w:rsidP="002A2453">
      <w:pPr>
        <w:rPr>
          <w:b/>
          <w:lang w:val="pl-PL"/>
        </w:rPr>
      </w:pPr>
    </w:p>
    <w:p w14:paraId="75DAF008" w14:textId="77777777" w:rsidR="002A2453" w:rsidRPr="0015541C" w:rsidRDefault="002A2453" w:rsidP="002A2453">
      <w:pPr>
        <w:ind w:left="567" w:hanging="567"/>
        <w:rPr>
          <w:lang w:val="pl-PL"/>
        </w:rPr>
      </w:pPr>
      <w:r w:rsidRPr="0015541C">
        <w:rPr>
          <w:lang w:val="pl-PL"/>
        </w:rPr>
        <w:t>1.</w:t>
      </w:r>
      <w:r w:rsidRPr="0015541C">
        <w:rPr>
          <w:lang w:val="pl-PL"/>
        </w:rPr>
        <w:tab/>
        <w:t xml:space="preserve">Co to jest </w:t>
      </w:r>
      <w:r w:rsidR="00C87F12" w:rsidRPr="0015541C">
        <w:rPr>
          <w:lang w:val="pl-PL"/>
        </w:rPr>
        <w:t>Aybintio</w:t>
      </w:r>
      <w:r w:rsidRPr="0015541C">
        <w:rPr>
          <w:lang w:val="pl-PL"/>
        </w:rPr>
        <w:t xml:space="preserve"> i w jakim celu się go stosuje</w:t>
      </w:r>
    </w:p>
    <w:p w14:paraId="6B3759AA" w14:textId="77777777" w:rsidR="002A2453" w:rsidRPr="0015541C" w:rsidRDefault="002A2453" w:rsidP="002A2453">
      <w:pPr>
        <w:ind w:left="567" w:hanging="567"/>
        <w:rPr>
          <w:lang w:val="pl-PL"/>
        </w:rPr>
      </w:pPr>
      <w:r w:rsidRPr="0015541C">
        <w:rPr>
          <w:lang w:val="pl-PL"/>
        </w:rPr>
        <w:t>2.</w:t>
      </w:r>
      <w:r w:rsidRPr="0015541C">
        <w:rPr>
          <w:lang w:val="pl-PL"/>
        </w:rPr>
        <w:tab/>
        <w:t>Informacje ważne przed zastosowaniem</w:t>
      </w:r>
      <w:r w:rsidRPr="0015541C">
        <w:rPr>
          <w:b/>
          <w:lang w:val="pl-PL"/>
        </w:rPr>
        <w:t xml:space="preserve"> </w:t>
      </w:r>
      <w:r w:rsidRPr="0015541C">
        <w:rPr>
          <w:lang w:val="pl-PL"/>
        </w:rPr>
        <w:t xml:space="preserve">leku </w:t>
      </w:r>
      <w:r w:rsidR="00C87F12" w:rsidRPr="0015541C">
        <w:rPr>
          <w:lang w:val="pl-PL"/>
        </w:rPr>
        <w:t>Aybintio</w:t>
      </w:r>
    </w:p>
    <w:p w14:paraId="4577CB37" w14:textId="77777777" w:rsidR="002A2453" w:rsidRPr="0015541C" w:rsidRDefault="002A2453" w:rsidP="002A2453">
      <w:pPr>
        <w:ind w:left="567" w:hanging="567"/>
        <w:rPr>
          <w:lang w:val="pl-PL"/>
        </w:rPr>
      </w:pPr>
      <w:r w:rsidRPr="0015541C">
        <w:rPr>
          <w:lang w:val="pl-PL"/>
        </w:rPr>
        <w:t>3.</w:t>
      </w:r>
      <w:r w:rsidRPr="0015541C">
        <w:rPr>
          <w:lang w:val="pl-PL"/>
        </w:rPr>
        <w:tab/>
        <w:t xml:space="preserve">Jak stosować </w:t>
      </w:r>
      <w:r w:rsidR="00C87F12" w:rsidRPr="0015541C">
        <w:rPr>
          <w:lang w:val="pl-PL"/>
        </w:rPr>
        <w:t>Aybintio</w:t>
      </w:r>
    </w:p>
    <w:p w14:paraId="1FBBCB95" w14:textId="77777777" w:rsidR="002A2453" w:rsidRPr="0015541C" w:rsidRDefault="002A2453" w:rsidP="002A2453">
      <w:pPr>
        <w:ind w:left="567" w:hanging="567"/>
        <w:rPr>
          <w:lang w:val="pl-PL"/>
        </w:rPr>
      </w:pPr>
      <w:r w:rsidRPr="0015541C">
        <w:rPr>
          <w:lang w:val="pl-PL"/>
        </w:rPr>
        <w:t>4.</w:t>
      </w:r>
      <w:r w:rsidRPr="0015541C">
        <w:rPr>
          <w:lang w:val="pl-PL"/>
        </w:rPr>
        <w:tab/>
        <w:t>Możliwe działania niepożądane</w:t>
      </w:r>
    </w:p>
    <w:p w14:paraId="027DDB5D" w14:textId="77777777" w:rsidR="002A2453" w:rsidRPr="0015541C" w:rsidRDefault="002A2453" w:rsidP="002A2453">
      <w:pPr>
        <w:ind w:left="567" w:hanging="567"/>
        <w:rPr>
          <w:lang w:val="pl-PL"/>
        </w:rPr>
      </w:pPr>
      <w:r w:rsidRPr="0015541C">
        <w:rPr>
          <w:lang w:val="pl-PL"/>
        </w:rPr>
        <w:t>5.</w:t>
      </w:r>
      <w:r w:rsidRPr="0015541C">
        <w:rPr>
          <w:lang w:val="pl-PL"/>
        </w:rPr>
        <w:tab/>
        <w:t xml:space="preserve">Jak przechowywać lek </w:t>
      </w:r>
      <w:r w:rsidR="00C87F12" w:rsidRPr="0015541C">
        <w:rPr>
          <w:lang w:val="pl-PL"/>
        </w:rPr>
        <w:t>Aybintio</w:t>
      </w:r>
    </w:p>
    <w:p w14:paraId="31553629" w14:textId="77777777" w:rsidR="002A2453" w:rsidRPr="0015541C" w:rsidRDefault="002A2453" w:rsidP="002A2453">
      <w:pPr>
        <w:ind w:left="567" w:hanging="567"/>
        <w:rPr>
          <w:lang w:val="pl-PL"/>
        </w:rPr>
      </w:pPr>
      <w:r w:rsidRPr="0015541C">
        <w:rPr>
          <w:lang w:val="pl-PL"/>
        </w:rPr>
        <w:t>6.</w:t>
      </w:r>
      <w:r w:rsidRPr="0015541C">
        <w:rPr>
          <w:lang w:val="pl-PL"/>
        </w:rPr>
        <w:tab/>
      </w:r>
      <w:r w:rsidRPr="0015541C">
        <w:rPr>
          <w:szCs w:val="24"/>
          <w:lang w:val="pl-PL"/>
        </w:rPr>
        <w:t xml:space="preserve">Zawartość opakowania i inne </w:t>
      </w:r>
      <w:r w:rsidRPr="0015541C">
        <w:rPr>
          <w:lang w:val="pl-PL"/>
        </w:rPr>
        <w:t>informacje</w:t>
      </w:r>
    </w:p>
    <w:p w14:paraId="2D0B7F4A" w14:textId="77777777" w:rsidR="002A2453" w:rsidRPr="0015541C" w:rsidRDefault="002A2453" w:rsidP="002A2453">
      <w:pPr>
        <w:rPr>
          <w:lang w:val="pl-PL"/>
        </w:rPr>
      </w:pPr>
    </w:p>
    <w:p w14:paraId="2D1F13CC" w14:textId="77777777" w:rsidR="002A2453" w:rsidRPr="0015541C" w:rsidRDefault="002A2453" w:rsidP="002A2453">
      <w:pPr>
        <w:rPr>
          <w:lang w:val="pl-PL"/>
        </w:rPr>
      </w:pPr>
    </w:p>
    <w:p w14:paraId="1C4751C1" w14:textId="77777777" w:rsidR="002A2453" w:rsidRPr="0015541C" w:rsidRDefault="002A2453" w:rsidP="002A2453">
      <w:pPr>
        <w:ind w:left="567" w:hanging="567"/>
        <w:rPr>
          <w:b/>
          <w:lang w:val="pl-PL"/>
        </w:rPr>
      </w:pPr>
      <w:r w:rsidRPr="0015541C">
        <w:rPr>
          <w:b/>
          <w:lang w:val="pl-PL"/>
        </w:rPr>
        <w:t>1.</w:t>
      </w:r>
      <w:r w:rsidRPr="0015541C">
        <w:rPr>
          <w:b/>
          <w:lang w:val="pl-PL"/>
        </w:rPr>
        <w:tab/>
        <w:t xml:space="preserve">Co to jest </w:t>
      </w:r>
      <w:r w:rsidR="00C87F12" w:rsidRPr="0015541C">
        <w:rPr>
          <w:b/>
          <w:lang w:val="pl-PL"/>
        </w:rPr>
        <w:t>Aybintio</w:t>
      </w:r>
      <w:r w:rsidRPr="0015541C">
        <w:rPr>
          <w:b/>
          <w:lang w:val="pl-PL"/>
        </w:rPr>
        <w:t xml:space="preserve"> i w jakim celu się go stosuje</w:t>
      </w:r>
    </w:p>
    <w:p w14:paraId="77180804" w14:textId="77777777" w:rsidR="002A2453" w:rsidRPr="0015541C" w:rsidRDefault="002A2453" w:rsidP="002A2453">
      <w:pPr>
        <w:rPr>
          <w:lang w:val="pl-PL"/>
        </w:rPr>
      </w:pPr>
    </w:p>
    <w:p w14:paraId="6FF8766A" w14:textId="77777777" w:rsidR="002A2453" w:rsidRPr="0015541C" w:rsidRDefault="002A2453" w:rsidP="002A2453">
      <w:pPr>
        <w:numPr>
          <w:ilvl w:val="12"/>
          <w:numId w:val="0"/>
        </w:numPr>
        <w:ind w:right="-2"/>
        <w:rPr>
          <w:lang w:val="pl-PL"/>
        </w:rPr>
      </w:pPr>
      <w:r w:rsidRPr="0015541C">
        <w:rPr>
          <w:lang w:val="pl-PL"/>
        </w:rPr>
        <w:t xml:space="preserve">Lek </w:t>
      </w:r>
      <w:r w:rsidR="00C87F12" w:rsidRPr="0015541C">
        <w:rPr>
          <w:lang w:val="pl-PL"/>
        </w:rPr>
        <w:t>Aybintio</w:t>
      </w:r>
      <w:r w:rsidRPr="0015541C">
        <w:rPr>
          <w:lang w:val="pl-PL"/>
        </w:rPr>
        <w:t xml:space="preserve"> zawiera jako substancję czynną bewacyzumab, która jest humanizowanym przeciwciałem monoklonalnym (rodzaj białka, które jest w normalnych warunkach</w:t>
      </w:r>
      <w:r w:rsidR="00064871" w:rsidRPr="0015541C">
        <w:rPr>
          <w:lang w:val="pl-PL"/>
        </w:rPr>
        <w:t xml:space="preserve"> </w:t>
      </w:r>
      <w:r w:rsidRPr="0015541C">
        <w:rPr>
          <w:lang w:val="pl-PL"/>
        </w:rPr>
        <w:t xml:space="preserve">produkowane </w:t>
      </w:r>
      <w:r w:rsidR="00FA5F65" w:rsidRPr="0015541C">
        <w:rPr>
          <w:lang w:val="pl-PL"/>
        </w:rPr>
        <w:t xml:space="preserve">przez </w:t>
      </w:r>
      <w:r w:rsidRPr="0015541C">
        <w:rPr>
          <w:lang w:val="pl-PL"/>
        </w:rPr>
        <w:t xml:space="preserve">układ immunologiczny w celu obrony przed </w:t>
      </w:r>
      <w:r w:rsidR="00321E6C" w:rsidRPr="0015541C">
        <w:rPr>
          <w:lang w:val="pl-PL"/>
        </w:rPr>
        <w:t>zakażeniami</w:t>
      </w:r>
      <w:r w:rsidRPr="0015541C">
        <w:rPr>
          <w:lang w:val="pl-PL"/>
        </w:rPr>
        <w:t xml:space="preserve"> i rakiem). Bewacyzumab łączy się wybiórczo z białkiem nazywanym ludzkim czynnikiem wzrostu śródbłonka naczyń (ang. vascular endothelial growth factor - VEGF), które jest obecne w wyściółce naczyń krwionośnych i limfatycznych w organizmie. Białko VEGF powoduje wzrost naczyń krwionośnych w obrębie guza, co umożliwia zaopatrzenie go w tlen i substancje odżywcze. Połączenie bewacyzumabu z VEGF, powoduje zatrzymanie wzrostu guza nowotworowego poprzez zahamowanie powstawania naczyń krwionośnych, które zaopatrują guza w tlen i substancje odżywcze.</w:t>
      </w:r>
    </w:p>
    <w:p w14:paraId="29E3AF2E" w14:textId="77777777" w:rsidR="002A2453" w:rsidRPr="0015541C" w:rsidRDefault="002A2453" w:rsidP="002A2453">
      <w:pPr>
        <w:numPr>
          <w:ilvl w:val="12"/>
          <w:numId w:val="0"/>
        </w:numPr>
        <w:ind w:right="-2"/>
        <w:rPr>
          <w:lang w:val="pl-PL"/>
        </w:rPr>
      </w:pPr>
    </w:p>
    <w:p w14:paraId="1EC43621" w14:textId="77777777" w:rsidR="002A2453" w:rsidRPr="0015541C" w:rsidRDefault="00C87F12" w:rsidP="002A2453">
      <w:pPr>
        <w:numPr>
          <w:ilvl w:val="12"/>
          <w:numId w:val="0"/>
        </w:numPr>
        <w:ind w:right="-2"/>
        <w:rPr>
          <w:lang w:val="pl-PL"/>
        </w:rPr>
      </w:pPr>
      <w:r w:rsidRPr="0015541C">
        <w:rPr>
          <w:lang w:val="pl-PL"/>
        </w:rPr>
        <w:t>Aybintio</w:t>
      </w:r>
      <w:r w:rsidR="002A2453" w:rsidRPr="0015541C">
        <w:rPr>
          <w:lang w:val="pl-PL"/>
        </w:rPr>
        <w:t xml:space="preserve"> jest lekiem, stosowanym w leczeniu </w:t>
      </w:r>
      <w:r w:rsidR="005B20F1" w:rsidRPr="0015541C">
        <w:rPr>
          <w:lang w:val="pl-PL"/>
        </w:rPr>
        <w:t xml:space="preserve">dorosłych </w:t>
      </w:r>
      <w:r w:rsidR="002A2453" w:rsidRPr="0015541C">
        <w:rPr>
          <w:lang w:val="pl-PL"/>
        </w:rPr>
        <w:t>chorych na zaawansowanego raka okrężnicy lub odbytnicy. Jest on stosowany w skojarzeniu z chemioterapią zawierającą fluoropirymidynę.</w:t>
      </w:r>
    </w:p>
    <w:p w14:paraId="685D4F3A" w14:textId="77777777" w:rsidR="002A2453" w:rsidRPr="0015541C" w:rsidRDefault="002A2453" w:rsidP="002A2453">
      <w:pPr>
        <w:numPr>
          <w:ilvl w:val="12"/>
          <w:numId w:val="0"/>
        </w:numPr>
        <w:ind w:right="-2"/>
        <w:rPr>
          <w:lang w:val="pl-PL"/>
        </w:rPr>
      </w:pPr>
    </w:p>
    <w:p w14:paraId="5EB54999" w14:textId="77777777" w:rsidR="004E5583" w:rsidRPr="0015541C" w:rsidRDefault="00C87F12" w:rsidP="002A2453">
      <w:pPr>
        <w:numPr>
          <w:ilvl w:val="12"/>
          <w:numId w:val="0"/>
        </w:numPr>
        <w:ind w:right="-2"/>
        <w:rPr>
          <w:rFonts w:eastAsia="MS Mincho"/>
          <w:szCs w:val="22"/>
          <w:lang w:val="pl-PL"/>
        </w:rPr>
      </w:pPr>
      <w:r w:rsidRPr="0015541C">
        <w:rPr>
          <w:rFonts w:eastAsia="MS Mincho"/>
          <w:szCs w:val="22"/>
          <w:lang w:val="pl-PL"/>
        </w:rPr>
        <w:t>Aybintio</w:t>
      </w:r>
      <w:r w:rsidR="002A2453" w:rsidRPr="0015541C">
        <w:rPr>
          <w:rFonts w:eastAsia="MS Mincho"/>
          <w:szCs w:val="22"/>
          <w:lang w:val="pl-PL"/>
        </w:rPr>
        <w:t xml:space="preserve"> stosuje się również w leczeniu </w:t>
      </w:r>
      <w:r w:rsidR="005B20F1" w:rsidRPr="0015541C">
        <w:rPr>
          <w:rFonts w:eastAsia="MS Mincho"/>
          <w:szCs w:val="22"/>
          <w:lang w:val="pl-PL"/>
        </w:rPr>
        <w:t xml:space="preserve">dorosłych </w:t>
      </w:r>
      <w:r w:rsidR="002A2453" w:rsidRPr="0015541C">
        <w:rPr>
          <w:rFonts w:eastAsia="MS Mincho"/>
          <w:szCs w:val="22"/>
          <w:lang w:val="pl-PL"/>
        </w:rPr>
        <w:t>chorych na rozsianego raka piersi. Podczas leczenia chorych na raka piersi, lek podaje się jednocześnie z lekami chemioterapeutycznymi nazywanymi paklitaksel lub kapecytabina.</w:t>
      </w:r>
      <w:r w:rsidR="007F4E83" w:rsidRPr="0015541C">
        <w:rPr>
          <w:rFonts w:eastAsia="MS Mincho"/>
          <w:szCs w:val="22"/>
          <w:lang w:val="pl-PL"/>
        </w:rPr>
        <w:br/>
      </w:r>
      <w:r w:rsidR="007F4E83" w:rsidRPr="0015541C">
        <w:rPr>
          <w:rFonts w:eastAsia="MS Mincho"/>
          <w:szCs w:val="22"/>
          <w:lang w:val="pl-PL"/>
        </w:rPr>
        <w:br/>
      </w:r>
      <w:r w:rsidRPr="0015541C">
        <w:rPr>
          <w:lang w:val="pl-PL"/>
        </w:rPr>
        <w:t>Aybintio</w:t>
      </w:r>
      <w:r w:rsidR="002A2453" w:rsidRPr="0015541C">
        <w:rPr>
          <w:lang w:val="pl-PL"/>
        </w:rPr>
        <w:t xml:space="preserve"> stosuje się również w leczeniu </w:t>
      </w:r>
      <w:r w:rsidR="005B20F1" w:rsidRPr="0015541C">
        <w:rPr>
          <w:lang w:val="pl-PL"/>
        </w:rPr>
        <w:t xml:space="preserve">dorosłych </w:t>
      </w:r>
      <w:r w:rsidR="002A2453" w:rsidRPr="0015541C">
        <w:rPr>
          <w:rFonts w:eastAsia="MS Mincho"/>
          <w:szCs w:val="22"/>
          <w:lang w:val="pl-PL"/>
        </w:rPr>
        <w:t>chorych na zaawansowanego niedrobnokomórkowego raka płuca. Lek będzie podawany łącznie ze schematem chemioterapii obejmującym stosowanie platyny.</w:t>
      </w:r>
      <w:r w:rsidR="002E6D1A" w:rsidRPr="0015541C">
        <w:rPr>
          <w:rFonts w:eastAsia="MS Mincho"/>
          <w:szCs w:val="22"/>
          <w:lang w:val="pl-PL"/>
        </w:rPr>
        <w:br/>
      </w:r>
      <w:r w:rsidR="002E6D1A" w:rsidRPr="0015541C">
        <w:rPr>
          <w:rFonts w:eastAsia="MS Mincho"/>
          <w:szCs w:val="22"/>
          <w:lang w:val="pl-PL"/>
        </w:rPr>
        <w:br/>
      </w:r>
      <w:r w:rsidRPr="0015541C">
        <w:rPr>
          <w:lang w:val="pl-PL"/>
        </w:rPr>
        <w:t>Aybintio</w:t>
      </w:r>
      <w:r w:rsidR="002E6D1A" w:rsidRPr="0015541C">
        <w:rPr>
          <w:lang w:val="pl-PL"/>
        </w:rPr>
        <w:t xml:space="preserve"> stosuje się również w leczeniu dorosłych </w:t>
      </w:r>
      <w:r w:rsidR="002E6D1A" w:rsidRPr="0015541C">
        <w:rPr>
          <w:rFonts w:eastAsia="MS Mincho"/>
          <w:szCs w:val="22"/>
          <w:lang w:val="pl-PL"/>
        </w:rPr>
        <w:t xml:space="preserve">chorych na zaawansowanego niedrobnokomórkowego raka płuca, jeśli komórki nowotworu wykazują określone mutacje białka nazywanego </w:t>
      </w:r>
      <w:r w:rsidR="002E6D1A" w:rsidRPr="0015541C">
        <w:rPr>
          <w:lang w:val="pl-PL"/>
        </w:rPr>
        <w:t xml:space="preserve">receptorem naskórkowego czynnika wzrostu (EGFR). Lek </w:t>
      </w:r>
      <w:r w:rsidR="007F4E83" w:rsidRPr="0015541C">
        <w:rPr>
          <w:lang w:val="pl-PL"/>
        </w:rPr>
        <w:t>jest podawany</w:t>
      </w:r>
      <w:r w:rsidR="00036B48" w:rsidRPr="0015541C">
        <w:rPr>
          <w:lang w:val="pl-PL"/>
        </w:rPr>
        <w:t xml:space="preserve"> w </w:t>
      </w:r>
      <w:r w:rsidR="006878A7" w:rsidRPr="0015541C">
        <w:rPr>
          <w:lang w:val="pl-PL"/>
        </w:rPr>
        <w:t>skojarzeniu</w:t>
      </w:r>
      <w:r w:rsidR="00036B48" w:rsidRPr="0015541C">
        <w:rPr>
          <w:lang w:val="pl-PL"/>
        </w:rPr>
        <w:t xml:space="preserve"> </w:t>
      </w:r>
      <w:r w:rsidR="00741FDF" w:rsidRPr="0015541C">
        <w:rPr>
          <w:lang w:val="pl-PL"/>
        </w:rPr>
        <w:br/>
      </w:r>
      <w:r w:rsidR="002E6D1A" w:rsidRPr="0015541C">
        <w:rPr>
          <w:lang w:val="pl-PL"/>
        </w:rPr>
        <w:t>z erlotynibem.</w:t>
      </w:r>
    </w:p>
    <w:p w14:paraId="6BD55124" w14:textId="77777777" w:rsidR="002A2453" w:rsidRPr="0015541C" w:rsidRDefault="002A2453" w:rsidP="002A2453">
      <w:pPr>
        <w:numPr>
          <w:ilvl w:val="12"/>
          <w:numId w:val="0"/>
        </w:numPr>
        <w:ind w:right="-2"/>
        <w:rPr>
          <w:lang w:val="pl-PL"/>
        </w:rPr>
      </w:pPr>
    </w:p>
    <w:p w14:paraId="7196B4C2" w14:textId="77777777" w:rsidR="002A2453" w:rsidRPr="0015541C" w:rsidRDefault="00C87F12" w:rsidP="002A2453">
      <w:pPr>
        <w:numPr>
          <w:ilvl w:val="12"/>
          <w:numId w:val="0"/>
        </w:numPr>
        <w:ind w:right="-2"/>
        <w:rPr>
          <w:rFonts w:eastAsia="MS Mincho"/>
          <w:szCs w:val="22"/>
          <w:lang w:val="pl-PL"/>
        </w:rPr>
      </w:pPr>
      <w:r w:rsidRPr="0015541C">
        <w:rPr>
          <w:rFonts w:eastAsia="MS Mincho"/>
          <w:szCs w:val="22"/>
          <w:lang w:val="pl-PL"/>
        </w:rPr>
        <w:t>Aybintio</w:t>
      </w:r>
      <w:r w:rsidR="002A2453" w:rsidRPr="0015541C">
        <w:rPr>
          <w:rFonts w:eastAsia="MS Mincho"/>
          <w:szCs w:val="22"/>
          <w:lang w:val="pl-PL"/>
        </w:rPr>
        <w:t xml:space="preserve"> stosuje się również w leczeniu </w:t>
      </w:r>
      <w:r w:rsidR="005B20F1" w:rsidRPr="0015541C">
        <w:rPr>
          <w:rFonts w:eastAsia="MS Mincho"/>
          <w:szCs w:val="22"/>
          <w:lang w:val="pl-PL"/>
        </w:rPr>
        <w:t xml:space="preserve">dorosłych </w:t>
      </w:r>
      <w:r w:rsidR="002A2453" w:rsidRPr="0015541C">
        <w:rPr>
          <w:rFonts w:eastAsia="MS Mincho"/>
          <w:szCs w:val="22"/>
          <w:lang w:val="pl-PL"/>
        </w:rPr>
        <w:t>chorych na zaawansowanego raka nerki. Podczas leczenia pacjentów z zaawansowanym rakiem nerki, lek podaje się jednocześnie z lekiem o nazwie interferon.</w:t>
      </w:r>
    </w:p>
    <w:p w14:paraId="3DA158DC" w14:textId="77777777" w:rsidR="002A2453" w:rsidRPr="0015541C" w:rsidRDefault="002A2453" w:rsidP="002A2453">
      <w:pPr>
        <w:numPr>
          <w:ilvl w:val="12"/>
          <w:numId w:val="0"/>
        </w:numPr>
        <w:ind w:right="-2"/>
        <w:rPr>
          <w:rFonts w:eastAsia="MS Mincho"/>
          <w:szCs w:val="22"/>
          <w:lang w:val="pl-PL"/>
        </w:rPr>
      </w:pPr>
    </w:p>
    <w:p w14:paraId="71DAB66D" w14:textId="77777777" w:rsidR="002A2453" w:rsidRPr="0015541C" w:rsidRDefault="00C87F12" w:rsidP="002A2453">
      <w:pPr>
        <w:rPr>
          <w:color w:val="000000"/>
          <w:lang w:val="pl-PL"/>
        </w:rPr>
      </w:pPr>
      <w:r w:rsidRPr="0015541C">
        <w:rPr>
          <w:color w:val="000000"/>
          <w:lang w:val="pl-PL"/>
        </w:rPr>
        <w:lastRenderedPageBreak/>
        <w:t>Aybintio</w:t>
      </w:r>
      <w:r w:rsidR="002A2453" w:rsidRPr="0015541C">
        <w:rPr>
          <w:color w:val="000000"/>
          <w:lang w:val="pl-PL"/>
        </w:rPr>
        <w:t xml:space="preserve"> jest również stosowany w leczeniu </w:t>
      </w:r>
      <w:r w:rsidR="005B20F1" w:rsidRPr="0015541C">
        <w:rPr>
          <w:color w:val="000000"/>
          <w:lang w:val="pl-PL"/>
        </w:rPr>
        <w:t xml:space="preserve">dorosłych </w:t>
      </w:r>
      <w:r w:rsidR="002A2453" w:rsidRPr="0015541C">
        <w:rPr>
          <w:color w:val="000000"/>
          <w:lang w:val="pl-PL"/>
        </w:rPr>
        <w:t>chorych na zaawansowanego raka jajnika, raka jajowodu lub pierwotnego raka otrzewnej. U pacjentek z rakiem jajnika, rakiem jajowodu lub pierwotnym rakiem otrzewnej lek jest podawany w skojarzeniu z karboplatyną i paklitakselem.</w:t>
      </w:r>
    </w:p>
    <w:p w14:paraId="6E9570E0" w14:textId="77777777" w:rsidR="002A2453" w:rsidRPr="0015541C" w:rsidRDefault="002A2453" w:rsidP="002A2453">
      <w:pPr>
        <w:numPr>
          <w:ilvl w:val="12"/>
          <w:numId w:val="0"/>
        </w:numPr>
        <w:ind w:right="-2"/>
        <w:rPr>
          <w:lang w:val="pl-PL"/>
        </w:rPr>
      </w:pPr>
    </w:p>
    <w:p w14:paraId="7618362F" w14:textId="77777777" w:rsidR="002A2453" w:rsidRPr="0015541C" w:rsidRDefault="002A2453" w:rsidP="00FE0558">
      <w:pPr>
        <w:keepLines/>
        <w:numPr>
          <w:ilvl w:val="12"/>
          <w:numId w:val="0"/>
        </w:numPr>
        <w:rPr>
          <w:lang w:val="pl-PL"/>
        </w:rPr>
      </w:pPr>
      <w:r w:rsidRPr="0015541C">
        <w:rPr>
          <w:lang w:val="pl-PL"/>
        </w:rPr>
        <w:t xml:space="preserve">U </w:t>
      </w:r>
      <w:r w:rsidR="005B20F1" w:rsidRPr="0015541C">
        <w:rPr>
          <w:lang w:val="pl-PL"/>
        </w:rPr>
        <w:t xml:space="preserve">dorosłych </w:t>
      </w:r>
      <w:r w:rsidR="00B201D0" w:rsidRPr="0015541C">
        <w:rPr>
          <w:color w:val="000000"/>
          <w:lang w:val="pl-PL"/>
        </w:rPr>
        <w:t>chorych na zaawansowanego raka jajnika, raka jajowodu lub pierwotnego raka otrzewnej</w:t>
      </w:r>
      <w:r w:rsidRPr="0015541C">
        <w:rPr>
          <w:lang w:val="pl-PL"/>
        </w:rPr>
        <w:t xml:space="preserve">, u których doszło do nawrotu choroby co najmniej po 6 miesiącach od czasu, kiedy po raz ostatni otrzymali chemioterapię zawierającą </w:t>
      </w:r>
      <w:r w:rsidR="00B201D0" w:rsidRPr="0015541C">
        <w:rPr>
          <w:lang w:val="pl-PL"/>
        </w:rPr>
        <w:t xml:space="preserve">pochodną </w:t>
      </w:r>
      <w:r w:rsidRPr="0015541C">
        <w:rPr>
          <w:lang w:val="pl-PL"/>
        </w:rPr>
        <w:t>platyn</w:t>
      </w:r>
      <w:r w:rsidR="00B201D0" w:rsidRPr="0015541C">
        <w:rPr>
          <w:lang w:val="pl-PL"/>
        </w:rPr>
        <w:t>y</w:t>
      </w:r>
      <w:r w:rsidRPr="0015541C">
        <w:rPr>
          <w:lang w:val="pl-PL"/>
        </w:rPr>
        <w:t xml:space="preserve">, </w:t>
      </w:r>
      <w:r w:rsidR="00C87F12" w:rsidRPr="0015541C">
        <w:rPr>
          <w:lang w:val="pl-PL"/>
        </w:rPr>
        <w:t>Aybintio</w:t>
      </w:r>
      <w:r w:rsidRPr="0015541C">
        <w:rPr>
          <w:lang w:val="pl-PL"/>
        </w:rPr>
        <w:t xml:space="preserve"> będzie podawany jednocześnie z karboplatyną lub gemcytabi</w:t>
      </w:r>
      <w:r w:rsidR="00B201D0" w:rsidRPr="0015541C">
        <w:rPr>
          <w:lang w:val="pl-PL"/>
        </w:rPr>
        <w:t>n</w:t>
      </w:r>
      <w:r w:rsidRPr="0015541C">
        <w:rPr>
          <w:lang w:val="pl-PL"/>
        </w:rPr>
        <w:t>ą</w:t>
      </w:r>
      <w:r w:rsidR="001D51D3" w:rsidRPr="0015541C">
        <w:rPr>
          <w:lang w:val="pl-PL"/>
        </w:rPr>
        <w:t xml:space="preserve"> lub z karboplatyną i paklitakselem</w:t>
      </w:r>
      <w:r w:rsidRPr="0015541C">
        <w:rPr>
          <w:lang w:val="pl-PL"/>
        </w:rPr>
        <w:t xml:space="preserve">. </w:t>
      </w:r>
    </w:p>
    <w:p w14:paraId="19E3B02C" w14:textId="77777777" w:rsidR="002A2453" w:rsidRPr="0015541C" w:rsidRDefault="002A2453" w:rsidP="002A2453">
      <w:pPr>
        <w:numPr>
          <w:ilvl w:val="12"/>
          <w:numId w:val="0"/>
        </w:numPr>
        <w:ind w:right="-2"/>
        <w:rPr>
          <w:lang w:val="pl-PL"/>
        </w:rPr>
      </w:pPr>
    </w:p>
    <w:p w14:paraId="4EEA4EA4" w14:textId="022F7C39" w:rsidR="00B201D0" w:rsidRPr="0015541C" w:rsidRDefault="00B201D0" w:rsidP="00B201D0">
      <w:pPr>
        <w:numPr>
          <w:ilvl w:val="12"/>
          <w:numId w:val="0"/>
        </w:numPr>
        <w:ind w:right="-2"/>
        <w:rPr>
          <w:lang w:val="pl-PL"/>
        </w:rPr>
      </w:pPr>
      <w:r w:rsidRPr="0015541C">
        <w:rPr>
          <w:color w:val="000000"/>
          <w:lang w:val="pl-PL"/>
        </w:rPr>
        <w:t xml:space="preserve">U </w:t>
      </w:r>
      <w:r w:rsidR="00534204" w:rsidRPr="0015541C">
        <w:rPr>
          <w:color w:val="000000"/>
          <w:lang w:val="pl-PL"/>
        </w:rPr>
        <w:t xml:space="preserve">dorosłych </w:t>
      </w:r>
      <w:r w:rsidRPr="0015541C">
        <w:rPr>
          <w:color w:val="000000"/>
          <w:lang w:val="pl-PL"/>
        </w:rPr>
        <w:t xml:space="preserve">chorych na zaawansowanego raka jajnika, raka jajowodu lub pierwotnego raka otrzewnej, u których doszło do nawrotu choroby przed upływem 6 miesięcy od czasu, kiedy po raz ostatni otrzymali chemioterapię zawierającą pochodną platyny, produkt </w:t>
      </w:r>
      <w:r w:rsidR="00C87F12" w:rsidRPr="0015541C">
        <w:rPr>
          <w:color w:val="000000"/>
          <w:lang w:val="pl-PL"/>
        </w:rPr>
        <w:t>Aybintio</w:t>
      </w:r>
      <w:r w:rsidRPr="0015541C">
        <w:rPr>
          <w:color w:val="000000"/>
          <w:lang w:val="pl-PL"/>
        </w:rPr>
        <w:t xml:space="preserve"> będzie podawany w skojarzeniu</w:t>
      </w:r>
      <w:r w:rsidR="00DD574E" w:rsidRPr="0015541C">
        <w:rPr>
          <w:color w:val="000000"/>
          <w:lang w:val="pl-PL"/>
        </w:rPr>
        <w:t xml:space="preserve"> </w:t>
      </w:r>
      <w:r w:rsidRPr="0015541C">
        <w:rPr>
          <w:color w:val="000000"/>
          <w:lang w:val="pl-PL"/>
        </w:rPr>
        <w:t xml:space="preserve">z </w:t>
      </w:r>
      <w:r w:rsidR="000C6576">
        <w:rPr>
          <w:szCs w:val="22"/>
          <w:lang w:val="pl-PL"/>
        </w:rPr>
        <w:t xml:space="preserve">paklitakselem lub </w:t>
      </w:r>
      <w:r w:rsidRPr="0015541C">
        <w:rPr>
          <w:color w:val="000000"/>
          <w:lang w:val="pl-PL"/>
        </w:rPr>
        <w:t>topotekanem lub pegylowaną liposomalną doksorubicyną.</w:t>
      </w:r>
      <w:r w:rsidRPr="0015541C">
        <w:rPr>
          <w:lang w:val="pl-PL"/>
        </w:rPr>
        <w:t xml:space="preserve"> </w:t>
      </w:r>
    </w:p>
    <w:p w14:paraId="0DD7CE6F" w14:textId="77777777" w:rsidR="0031199C" w:rsidRPr="0015541C" w:rsidRDefault="0031199C" w:rsidP="00B201D0">
      <w:pPr>
        <w:numPr>
          <w:ilvl w:val="12"/>
          <w:numId w:val="0"/>
        </w:numPr>
        <w:ind w:right="-2"/>
        <w:rPr>
          <w:lang w:val="pl-PL"/>
        </w:rPr>
      </w:pPr>
    </w:p>
    <w:p w14:paraId="2B173E89" w14:textId="77777777" w:rsidR="0031199C" w:rsidRPr="0015541C" w:rsidRDefault="00C87F12" w:rsidP="00B201D0">
      <w:pPr>
        <w:numPr>
          <w:ilvl w:val="12"/>
          <w:numId w:val="0"/>
        </w:numPr>
        <w:ind w:right="-2"/>
        <w:rPr>
          <w:lang w:val="pl-PL"/>
        </w:rPr>
      </w:pPr>
      <w:r w:rsidRPr="0015541C">
        <w:rPr>
          <w:lang w:val="pl-PL"/>
        </w:rPr>
        <w:t>Aybintio</w:t>
      </w:r>
      <w:r w:rsidR="0031199C" w:rsidRPr="0015541C">
        <w:rPr>
          <w:lang w:val="pl-PL"/>
        </w:rPr>
        <w:t xml:space="preserve"> </w:t>
      </w:r>
      <w:r w:rsidR="005568CA" w:rsidRPr="0015541C">
        <w:rPr>
          <w:lang w:val="pl-PL"/>
        </w:rPr>
        <w:t>stosuje się również w leczeniu</w:t>
      </w:r>
      <w:r w:rsidR="0031199C" w:rsidRPr="0015541C">
        <w:rPr>
          <w:lang w:val="pl-PL"/>
        </w:rPr>
        <w:t xml:space="preserve"> </w:t>
      </w:r>
      <w:r w:rsidR="00AE7DF9" w:rsidRPr="0015541C">
        <w:rPr>
          <w:lang w:val="pl-PL"/>
        </w:rPr>
        <w:t xml:space="preserve">dorosłych </w:t>
      </w:r>
      <w:r w:rsidR="006504E6" w:rsidRPr="0015541C">
        <w:rPr>
          <w:lang w:val="pl-PL"/>
        </w:rPr>
        <w:t xml:space="preserve">chorych na </w:t>
      </w:r>
      <w:r w:rsidR="0031199C" w:rsidRPr="0015541C">
        <w:rPr>
          <w:lang w:val="pl-PL"/>
        </w:rPr>
        <w:t>przetrwał</w:t>
      </w:r>
      <w:r w:rsidR="005568CA" w:rsidRPr="0015541C">
        <w:rPr>
          <w:lang w:val="pl-PL"/>
        </w:rPr>
        <w:t>ego</w:t>
      </w:r>
      <w:r w:rsidR="0031199C" w:rsidRPr="0015541C">
        <w:rPr>
          <w:lang w:val="pl-PL"/>
        </w:rPr>
        <w:t>, nawrotow</w:t>
      </w:r>
      <w:r w:rsidR="005568CA" w:rsidRPr="0015541C">
        <w:rPr>
          <w:lang w:val="pl-PL"/>
        </w:rPr>
        <w:t>ego</w:t>
      </w:r>
      <w:r w:rsidR="0031199C" w:rsidRPr="0015541C">
        <w:rPr>
          <w:lang w:val="pl-PL"/>
        </w:rPr>
        <w:t xml:space="preserve"> lub przerzutow</w:t>
      </w:r>
      <w:r w:rsidR="005568CA" w:rsidRPr="0015541C">
        <w:rPr>
          <w:lang w:val="pl-PL"/>
        </w:rPr>
        <w:t>ego</w:t>
      </w:r>
      <w:r w:rsidR="0031199C" w:rsidRPr="0015541C">
        <w:rPr>
          <w:lang w:val="pl-PL"/>
        </w:rPr>
        <w:t xml:space="preserve"> rak</w:t>
      </w:r>
      <w:r w:rsidR="005568CA" w:rsidRPr="0015541C">
        <w:rPr>
          <w:lang w:val="pl-PL"/>
        </w:rPr>
        <w:t>a</w:t>
      </w:r>
      <w:r w:rsidR="0031199C" w:rsidRPr="0015541C">
        <w:rPr>
          <w:lang w:val="pl-PL"/>
        </w:rPr>
        <w:t xml:space="preserve"> szy</w:t>
      </w:r>
      <w:r w:rsidR="005568CA" w:rsidRPr="0015541C">
        <w:rPr>
          <w:lang w:val="pl-PL"/>
        </w:rPr>
        <w:t>j</w:t>
      </w:r>
      <w:r w:rsidR="0031199C" w:rsidRPr="0015541C">
        <w:rPr>
          <w:lang w:val="pl-PL"/>
        </w:rPr>
        <w:t xml:space="preserve">ki macicy. </w:t>
      </w:r>
      <w:r w:rsidRPr="0015541C">
        <w:rPr>
          <w:lang w:val="pl-PL"/>
        </w:rPr>
        <w:t>Aybintio</w:t>
      </w:r>
      <w:r w:rsidR="0031199C" w:rsidRPr="0015541C">
        <w:rPr>
          <w:lang w:val="pl-PL"/>
        </w:rPr>
        <w:t xml:space="preserve"> jest stosowany </w:t>
      </w:r>
      <w:r w:rsidR="005568CA" w:rsidRPr="0015541C">
        <w:rPr>
          <w:lang w:val="pl-PL"/>
        </w:rPr>
        <w:t xml:space="preserve">w </w:t>
      </w:r>
      <w:r w:rsidR="00F11E76" w:rsidRPr="0015541C">
        <w:rPr>
          <w:lang w:val="pl-PL"/>
        </w:rPr>
        <w:t>skojarzeniu</w:t>
      </w:r>
      <w:r w:rsidR="005568CA" w:rsidRPr="0015541C">
        <w:rPr>
          <w:lang w:val="pl-PL"/>
        </w:rPr>
        <w:t xml:space="preserve"> </w:t>
      </w:r>
      <w:r w:rsidR="0031199C" w:rsidRPr="0015541C">
        <w:rPr>
          <w:lang w:val="pl-PL"/>
        </w:rPr>
        <w:t>z paklitakselem i cis</w:t>
      </w:r>
      <w:r w:rsidR="00593878" w:rsidRPr="0015541C">
        <w:rPr>
          <w:lang w:val="pl-PL"/>
        </w:rPr>
        <w:t>platyną lub alternatywnie z pakl</w:t>
      </w:r>
      <w:r w:rsidR="0031199C" w:rsidRPr="0015541C">
        <w:rPr>
          <w:lang w:val="pl-PL"/>
        </w:rPr>
        <w:t xml:space="preserve">itakselem i topotekanem u </w:t>
      </w:r>
      <w:r w:rsidR="005568CA" w:rsidRPr="0015541C">
        <w:rPr>
          <w:lang w:val="pl-PL"/>
        </w:rPr>
        <w:t>chorych</w:t>
      </w:r>
      <w:r w:rsidR="0031199C" w:rsidRPr="0015541C">
        <w:rPr>
          <w:lang w:val="pl-PL"/>
        </w:rPr>
        <w:t xml:space="preserve"> któr</w:t>
      </w:r>
      <w:r w:rsidR="006504E6" w:rsidRPr="0015541C">
        <w:rPr>
          <w:lang w:val="pl-PL"/>
        </w:rPr>
        <w:t>e</w:t>
      </w:r>
      <w:r w:rsidR="0031199C" w:rsidRPr="0015541C">
        <w:rPr>
          <w:lang w:val="pl-PL"/>
        </w:rPr>
        <w:t xml:space="preserve"> nie mogą być lecz</w:t>
      </w:r>
      <w:r w:rsidR="00F05DDB" w:rsidRPr="0015541C">
        <w:rPr>
          <w:lang w:val="pl-PL"/>
        </w:rPr>
        <w:t>one</w:t>
      </w:r>
      <w:r w:rsidR="0031199C" w:rsidRPr="0015541C">
        <w:rPr>
          <w:lang w:val="pl-PL"/>
        </w:rPr>
        <w:t xml:space="preserve"> związkami platyny.</w:t>
      </w:r>
    </w:p>
    <w:p w14:paraId="35C6C8D0" w14:textId="77777777" w:rsidR="002A2453" w:rsidRPr="0015541C" w:rsidRDefault="002A2453" w:rsidP="002A2453">
      <w:pPr>
        <w:ind w:left="567" w:hanging="567"/>
        <w:rPr>
          <w:b/>
          <w:caps/>
          <w:lang w:val="pl-PL"/>
        </w:rPr>
      </w:pPr>
    </w:p>
    <w:p w14:paraId="2612B280" w14:textId="77777777" w:rsidR="00214CB5" w:rsidRPr="0015541C" w:rsidRDefault="00214CB5" w:rsidP="002A2453">
      <w:pPr>
        <w:ind w:left="567" w:hanging="567"/>
        <w:rPr>
          <w:b/>
          <w:caps/>
          <w:lang w:val="pl-PL"/>
        </w:rPr>
      </w:pPr>
    </w:p>
    <w:p w14:paraId="3656914C" w14:textId="77777777" w:rsidR="002A2453" w:rsidRPr="0015541C" w:rsidRDefault="002A2453" w:rsidP="002A2453">
      <w:pPr>
        <w:keepNext/>
        <w:keepLines/>
        <w:ind w:left="567" w:hanging="567"/>
        <w:rPr>
          <w:b/>
          <w:caps/>
          <w:vertAlign w:val="superscript"/>
          <w:lang w:val="pl-PL"/>
        </w:rPr>
      </w:pPr>
      <w:r w:rsidRPr="0015541C">
        <w:rPr>
          <w:b/>
          <w:caps/>
          <w:lang w:val="pl-PL"/>
        </w:rPr>
        <w:t>2.</w:t>
      </w:r>
      <w:r w:rsidRPr="0015541C">
        <w:rPr>
          <w:b/>
          <w:caps/>
          <w:lang w:val="pl-PL"/>
        </w:rPr>
        <w:tab/>
      </w:r>
      <w:r w:rsidR="001156D8" w:rsidRPr="0015541C">
        <w:rPr>
          <w:b/>
          <w:lang w:val="pl-PL"/>
        </w:rPr>
        <w:t>Informacje</w:t>
      </w:r>
      <w:r w:rsidRPr="0015541C">
        <w:rPr>
          <w:b/>
          <w:lang w:val="pl-PL"/>
        </w:rPr>
        <w:t xml:space="preserve"> ważne przed zastosowaniem leku </w:t>
      </w:r>
      <w:r w:rsidR="00C87F12" w:rsidRPr="0015541C">
        <w:rPr>
          <w:b/>
          <w:lang w:val="pl-PL"/>
        </w:rPr>
        <w:t>Aybintio</w:t>
      </w:r>
    </w:p>
    <w:p w14:paraId="3210DE50" w14:textId="77777777" w:rsidR="002A2453" w:rsidRPr="0015541C" w:rsidRDefault="002A2453" w:rsidP="002A2453">
      <w:pPr>
        <w:keepNext/>
        <w:keepLines/>
        <w:rPr>
          <w:b/>
          <w:lang w:val="pl-PL"/>
        </w:rPr>
      </w:pPr>
    </w:p>
    <w:p w14:paraId="4C2D6466" w14:textId="77777777" w:rsidR="002A2453" w:rsidRPr="0015541C" w:rsidRDefault="002A2453" w:rsidP="002A2453">
      <w:pPr>
        <w:keepNext/>
        <w:keepLines/>
        <w:rPr>
          <w:b/>
          <w:lang w:val="pl-PL"/>
        </w:rPr>
      </w:pPr>
      <w:r w:rsidRPr="0015541C">
        <w:rPr>
          <w:b/>
          <w:lang w:val="pl-PL"/>
        </w:rPr>
        <w:t xml:space="preserve">Kiedy nie stosować leku </w:t>
      </w:r>
      <w:r w:rsidR="00C87F12" w:rsidRPr="0015541C">
        <w:rPr>
          <w:b/>
          <w:lang w:val="pl-PL"/>
        </w:rPr>
        <w:t>Aybintio</w:t>
      </w:r>
    </w:p>
    <w:p w14:paraId="047185E2" w14:textId="77777777" w:rsidR="002A2453" w:rsidRPr="0015541C" w:rsidRDefault="002A2453" w:rsidP="006C6308">
      <w:pPr>
        <w:keepNext/>
        <w:keepLines/>
        <w:numPr>
          <w:ilvl w:val="0"/>
          <w:numId w:val="48"/>
        </w:numPr>
        <w:ind w:left="567" w:hanging="567"/>
        <w:rPr>
          <w:lang w:val="pl-PL"/>
        </w:rPr>
      </w:pPr>
      <w:r w:rsidRPr="0015541C">
        <w:rPr>
          <w:lang w:val="pl-PL"/>
        </w:rPr>
        <w:t xml:space="preserve">jeśli pacjent ma uczulenie na bewacyzumab lub którykolwiek z pozostałych składników </w:t>
      </w:r>
      <w:r w:rsidRPr="0015541C">
        <w:rPr>
          <w:snapToGrid w:val="0"/>
          <w:szCs w:val="24"/>
          <w:lang w:val="pl-PL"/>
        </w:rPr>
        <w:t>tego leku (</w:t>
      </w:r>
      <w:r w:rsidR="008B0A3E" w:rsidRPr="0015541C">
        <w:rPr>
          <w:lang w:val="pl-PL"/>
        </w:rPr>
        <w:t>wymienionych</w:t>
      </w:r>
      <w:r w:rsidRPr="0015541C">
        <w:rPr>
          <w:snapToGrid w:val="0"/>
          <w:szCs w:val="24"/>
          <w:lang w:val="pl-PL"/>
        </w:rPr>
        <w:t xml:space="preserve"> w punkcie 6)</w:t>
      </w:r>
      <w:r w:rsidRPr="0015541C">
        <w:rPr>
          <w:lang w:val="pl-PL"/>
        </w:rPr>
        <w:t>.</w:t>
      </w:r>
    </w:p>
    <w:p w14:paraId="1229E700" w14:textId="77777777" w:rsidR="002A2453" w:rsidRPr="0015541C" w:rsidRDefault="002A2453" w:rsidP="006C6308">
      <w:pPr>
        <w:numPr>
          <w:ilvl w:val="0"/>
          <w:numId w:val="48"/>
        </w:numPr>
        <w:ind w:left="567" w:hanging="567"/>
        <w:rPr>
          <w:lang w:val="pl-PL"/>
        </w:rPr>
      </w:pPr>
      <w:r w:rsidRPr="0015541C">
        <w:rPr>
          <w:lang w:val="pl-PL"/>
        </w:rPr>
        <w:t>jeśli u pacjenta stwierdzono uczulenie (nadwrażliwość) na produkty wytwarzane z komórek jajnika chomika chińskiego (CHO) lub inne rekombinowane ludzkie lub humanizowane przeciwciała.</w:t>
      </w:r>
    </w:p>
    <w:p w14:paraId="6C8FB1CE" w14:textId="77777777" w:rsidR="002A2453" w:rsidRPr="0015541C" w:rsidRDefault="002A2453" w:rsidP="006C6308">
      <w:pPr>
        <w:numPr>
          <w:ilvl w:val="0"/>
          <w:numId w:val="48"/>
        </w:numPr>
        <w:ind w:left="567" w:hanging="567"/>
        <w:rPr>
          <w:lang w:val="pl-PL"/>
        </w:rPr>
      </w:pPr>
      <w:r w:rsidRPr="0015541C">
        <w:rPr>
          <w:lang w:val="pl-PL"/>
        </w:rPr>
        <w:t xml:space="preserve">jeśli pacjentka jest w ciąży. </w:t>
      </w:r>
    </w:p>
    <w:p w14:paraId="5FA51EA0" w14:textId="77777777" w:rsidR="002A2453" w:rsidRPr="0015541C" w:rsidRDefault="002A2453" w:rsidP="002A2453">
      <w:pPr>
        <w:ind w:left="567" w:hanging="567"/>
        <w:rPr>
          <w:b/>
          <w:lang w:val="pl-PL"/>
        </w:rPr>
      </w:pPr>
    </w:p>
    <w:p w14:paraId="5C94C474" w14:textId="77777777" w:rsidR="002A2453" w:rsidRPr="0015541C" w:rsidRDefault="002A2453" w:rsidP="002A2453">
      <w:pPr>
        <w:ind w:left="567" w:hanging="567"/>
        <w:rPr>
          <w:b/>
          <w:lang w:val="pl-PL"/>
        </w:rPr>
      </w:pPr>
      <w:r w:rsidRPr="0015541C">
        <w:rPr>
          <w:b/>
          <w:lang w:val="pl-PL"/>
        </w:rPr>
        <w:t>Ostrzeżenia i środki ostrożności</w:t>
      </w:r>
    </w:p>
    <w:p w14:paraId="5241784C" w14:textId="77777777" w:rsidR="002A2453" w:rsidRPr="0015541C" w:rsidRDefault="002A2453" w:rsidP="002A2453">
      <w:pPr>
        <w:numPr>
          <w:ilvl w:val="12"/>
          <w:numId w:val="0"/>
        </w:numPr>
        <w:outlineLvl w:val="0"/>
        <w:rPr>
          <w:lang w:val="pl-PL"/>
        </w:rPr>
      </w:pPr>
      <w:r w:rsidRPr="0015541C">
        <w:rPr>
          <w:lang w:val="pl-PL"/>
        </w:rPr>
        <w:t xml:space="preserve">Przed rozpoczęciem stosowania leku </w:t>
      </w:r>
      <w:r w:rsidR="00C87F12" w:rsidRPr="0015541C">
        <w:rPr>
          <w:lang w:val="pl-PL"/>
        </w:rPr>
        <w:t>Aybintio</w:t>
      </w:r>
      <w:r w:rsidRPr="0015541C">
        <w:rPr>
          <w:lang w:val="pl-PL"/>
        </w:rPr>
        <w:t xml:space="preserve"> należy </w:t>
      </w:r>
      <w:r w:rsidR="008B0A3E" w:rsidRPr="0015541C">
        <w:rPr>
          <w:lang w:val="pl-PL"/>
        </w:rPr>
        <w:t>omówić to z lekarzem, farmaceutą lub pielęgniarką</w:t>
      </w:r>
      <w:r w:rsidR="00397BE0" w:rsidRPr="0015541C">
        <w:rPr>
          <w:lang w:val="pl-PL"/>
        </w:rPr>
        <w:t>.</w:t>
      </w:r>
    </w:p>
    <w:p w14:paraId="34B0D380" w14:textId="77777777" w:rsidR="002A2453" w:rsidRPr="0015541C" w:rsidRDefault="002A2453" w:rsidP="002A2453">
      <w:pPr>
        <w:rPr>
          <w:b/>
          <w:lang w:val="pl-PL"/>
        </w:rPr>
      </w:pPr>
    </w:p>
    <w:p w14:paraId="7EAEB1CF" w14:textId="77777777" w:rsidR="002A2453" w:rsidRPr="0015541C" w:rsidRDefault="00806DEC" w:rsidP="002A2453">
      <w:pPr>
        <w:ind w:left="567" w:hanging="567"/>
        <w:rPr>
          <w:lang w:val="pl-PL"/>
        </w:rPr>
      </w:pPr>
      <w:r w:rsidRPr="0015541C">
        <w:rPr>
          <w:iCs/>
          <w:lang w:val="pl-PL"/>
        </w:rPr>
        <w:sym w:font="Symbol" w:char="F0B7"/>
      </w:r>
      <w:r w:rsidRPr="0015541C">
        <w:rPr>
          <w:iCs/>
          <w:lang w:val="pl-PL"/>
        </w:rPr>
        <w:tab/>
      </w:r>
      <w:r w:rsidR="00C87F12" w:rsidRPr="0015541C">
        <w:rPr>
          <w:lang w:val="pl-PL"/>
        </w:rPr>
        <w:t>Aybintio</w:t>
      </w:r>
      <w:r w:rsidR="002A2453" w:rsidRPr="0015541C">
        <w:rPr>
          <w:lang w:val="pl-PL"/>
        </w:rPr>
        <w:t xml:space="preserve"> może zwiększyć ryzyko wy</w:t>
      </w:r>
      <w:r w:rsidR="002A2453" w:rsidRPr="00AC3958">
        <w:rPr>
          <w:lang w:val="pl-PL"/>
        </w:rPr>
        <w:t>stąpienia perforacji (przedziurawienia) jelita. Należy poinformować lekarza, jeśli u pacjenta rozpoznano choroby powodujące zmiany zapalne w obrębie jamy brzusznej (np. zapalenie uchyłka, wrzody żołądka, zapalenie jelit związane z chemioterapią).</w:t>
      </w:r>
    </w:p>
    <w:p w14:paraId="0EE84A03" w14:textId="77777777" w:rsidR="002A2453" w:rsidRPr="0015541C" w:rsidRDefault="002A2453" w:rsidP="002A2453">
      <w:pPr>
        <w:ind w:left="567" w:hanging="567"/>
        <w:rPr>
          <w:lang w:val="pl-PL"/>
        </w:rPr>
      </w:pPr>
    </w:p>
    <w:p w14:paraId="006C19A7" w14:textId="77777777" w:rsidR="002A2453" w:rsidRPr="0015541C" w:rsidRDefault="00806DEC" w:rsidP="002A2453">
      <w:pPr>
        <w:ind w:left="567" w:hanging="567"/>
        <w:rPr>
          <w:lang w:val="pl-PL"/>
        </w:rPr>
      </w:pPr>
      <w:r w:rsidRPr="0015541C">
        <w:rPr>
          <w:iCs/>
          <w:lang w:val="pl-PL"/>
        </w:rPr>
        <w:sym w:font="Symbol" w:char="F0B7"/>
      </w:r>
      <w:r w:rsidRPr="0015541C">
        <w:rPr>
          <w:iCs/>
          <w:lang w:val="pl-PL"/>
        </w:rPr>
        <w:tab/>
      </w:r>
      <w:r w:rsidR="001156D8" w:rsidRPr="0015541C">
        <w:rPr>
          <w:lang w:val="pl-PL"/>
        </w:rPr>
        <w:t>L</w:t>
      </w:r>
      <w:r w:rsidR="002A2453" w:rsidRPr="0015541C">
        <w:rPr>
          <w:lang w:val="pl-PL"/>
        </w:rPr>
        <w:t xml:space="preserve">ek </w:t>
      </w:r>
      <w:r w:rsidR="00C87F12" w:rsidRPr="00AC3958">
        <w:rPr>
          <w:lang w:val="pl-PL"/>
        </w:rPr>
        <w:t>Ay</w:t>
      </w:r>
      <w:r w:rsidR="00C87F12" w:rsidRPr="0015541C">
        <w:rPr>
          <w:lang w:val="pl-PL"/>
        </w:rPr>
        <w:t>bintio</w:t>
      </w:r>
      <w:r w:rsidR="002A2453" w:rsidRPr="0015541C">
        <w:rPr>
          <w:lang w:val="pl-PL"/>
        </w:rPr>
        <w:t xml:space="preserve"> może zwiększać ryzyko powstania nieprawidłowych połączeń pomiędzy organami lub naczyniami.</w:t>
      </w:r>
      <w:r w:rsidR="0031199C" w:rsidRPr="0015541C">
        <w:rPr>
          <w:lang w:val="pl-PL"/>
        </w:rPr>
        <w:t xml:space="preserve"> Ryzyko wystąpienia połączeń pomiędzy pochwą i </w:t>
      </w:r>
      <w:r w:rsidR="006504E6" w:rsidRPr="0015541C">
        <w:rPr>
          <w:lang w:val="pl-PL"/>
        </w:rPr>
        <w:t xml:space="preserve">jakąkolwiek </w:t>
      </w:r>
      <w:r w:rsidR="0031199C" w:rsidRPr="0015541C">
        <w:rPr>
          <w:lang w:val="pl-PL"/>
        </w:rPr>
        <w:t xml:space="preserve">częścią </w:t>
      </w:r>
      <w:r w:rsidR="006504E6" w:rsidRPr="0015541C">
        <w:rPr>
          <w:lang w:val="pl-PL"/>
        </w:rPr>
        <w:t>jelit</w:t>
      </w:r>
      <w:r w:rsidR="00064871" w:rsidRPr="0015541C">
        <w:rPr>
          <w:lang w:val="pl-PL"/>
        </w:rPr>
        <w:t xml:space="preserve"> </w:t>
      </w:r>
      <w:r w:rsidR="0031199C" w:rsidRPr="0015541C">
        <w:rPr>
          <w:lang w:val="pl-PL"/>
        </w:rPr>
        <w:t>może się zwiększyć u chorych na przetrwałego, nawrotowego lub przerzutowego raka szyjki macicy.</w:t>
      </w:r>
    </w:p>
    <w:p w14:paraId="4E20D6DC" w14:textId="77777777" w:rsidR="002A2453" w:rsidRPr="0015541C" w:rsidRDefault="002A2453" w:rsidP="002A2453">
      <w:pPr>
        <w:ind w:left="567" w:hanging="567"/>
        <w:rPr>
          <w:lang w:val="pl-PL"/>
        </w:rPr>
      </w:pPr>
    </w:p>
    <w:p w14:paraId="5CDFA2CB" w14:textId="77777777" w:rsidR="002A2453" w:rsidRPr="0015541C" w:rsidRDefault="00806DEC" w:rsidP="002A2453">
      <w:pPr>
        <w:ind w:left="567" w:hanging="567"/>
        <w:rPr>
          <w:lang w:val="pl-PL"/>
        </w:rPr>
      </w:pPr>
      <w:r w:rsidRPr="0015541C">
        <w:rPr>
          <w:iCs/>
          <w:lang w:val="pl-PL"/>
        </w:rPr>
        <w:sym w:font="Symbol" w:char="F0B7"/>
      </w:r>
      <w:r w:rsidRPr="0015541C">
        <w:rPr>
          <w:iCs/>
          <w:lang w:val="pl-PL"/>
        </w:rPr>
        <w:tab/>
      </w:r>
      <w:r w:rsidR="001156D8" w:rsidRPr="0015541C">
        <w:rPr>
          <w:lang w:val="pl-PL"/>
        </w:rPr>
        <w:t>L</w:t>
      </w:r>
      <w:r w:rsidR="002A2453" w:rsidRPr="0015541C">
        <w:rPr>
          <w:lang w:val="pl-PL"/>
        </w:rPr>
        <w:t>ek ten może zwiększyć ryzyko krwawienia po zabiegu lub zwiększyć ryzyko opóźnienia gojenia ran po zabiegu chirurgicznym. Gdy planowany jest u pacjenta zabieg chirurgiczny lub jeśli pacjent miał większy zabieg chirurgiczny w ciągu ostatnich 28</w:t>
      </w:r>
      <w:r w:rsidR="002A2453" w:rsidRPr="00AC3958">
        <w:rPr>
          <w:lang w:val="pl-PL"/>
        </w:rPr>
        <w:t xml:space="preserve"> dni lub jeśli u pacjenta nie wygoiły się jeszcze rany po operacji, nie należy stosować leku </w:t>
      </w:r>
      <w:r w:rsidR="00C87F12" w:rsidRPr="0015541C">
        <w:rPr>
          <w:lang w:val="pl-PL"/>
        </w:rPr>
        <w:t>Aybintio</w:t>
      </w:r>
      <w:r w:rsidR="002A2453" w:rsidRPr="0015541C">
        <w:rPr>
          <w:lang w:val="pl-PL"/>
        </w:rPr>
        <w:t>.</w:t>
      </w:r>
    </w:p>
    <w:p w14:paraId="0A752821" w14:textId="77777777" w:rsidR="00A2076F" w:rsidRPr="0015541C" w:rsidRDefault="00A2076F" w:rsidP="002A2453">
      <w:pPr>
        <w:ind w:left="567" w:hanging="567"/>
        <w:rPr>
          <w:lang w:val="pl-PL"/>
        </w:rPr>
      </w:pPr>
    </w:p>
    <w:p w14:paraId="4B91406C" w14:textId="77777777" w:rsidR="00A2076F" w:rsidRPr="0015541C" w:rsidRDefault="009A53D9" w:rsidP="009A53D9">
      <w:pPr>
        <w:rPr>
          <w:lang w:val="pl-PL"/>
        </w:rPr>
      </w:pPr>
      <w:r w:rsidRPr="0015541C">
        <w:rPr>
          <w:iCs/>
          <w:lang w:val="pl-PL"/>
        </w:rPr>
        <w:sym w:font="Symbol" w:char="F0B7"/>
      </w:r>
      <w:r w:rsidRPr="0015541C">
        <w:rPr>
          <w:iCs/>
          <w:lang w:val="pl-PL"/>
        </w:rPr>
        <w:tab/>
      </w:r>
      <w:r w:rsidR="00C87F12" w:rsidRPr="0015541C">
        <w:rPr>
          <w:lang w:val="pl-PL"/>
        </w:rPr>
        <w:t>Aybintio</w:t>
      </w:r>
      <w:r w:rsidR="00A2076F" w:rsidRPr="0015541C">
        <w:rPr>
          <w:lang w:val="pl-PL"/>
        </w:rPr>
        <w:t xml:space="preserve"> może zwiększać ryzyko wystąpienia ciężkiego zakażenia skóry lub tkanek położonych </w:t>
      </w:r>
      <w:r w:rsidRPr="00AC3958">
        <w:rPr>
          <w:lang w:val="pl-PL"/>
        </w:rPr>
        <w:tab/>
      </w:r>
      <w:r w:rsidR="00A2076F" w:rsidRPr="0015541C">
        <w:rPr>
          <w:lang w:val="pl-PL"/>
        </w:rPr>
        <w:t>głębiej pod skórą</w:t>
      </w:r>
      <w:r w:rsidR="00BD38E3" w:rsidRPr="0015541C">
        <w:rPr>
          <w:lang w:val="pl-PL"/>
        </w:rPr>
        <w:t>, szczególnie w przypadku przedziurawienia jelita lub problemów dotyczących</w:t>
      </w:r>
      <w:r w:rsidRPr="0015541C">
        <w:rPr>
          <w:lang w:val="pl-PL"/>
        </w:rPr>
        <w:tab/>
      </w:r>
      <w:r w:rsidR="00BD38E3" w:rsidRPr="0015541C">
        <w:rPr>
          <w:lang w:val="pl-PL"/>
        </w:rPr>
        <w:t>gojenia ran.</w:t>
      </w:r>
    </w:p>
    <w:p w14:paraId="1E613F2F" w14:textId="77777777" w:rsidR="002A2453" w:rsidRPr="0015541C" w:rsidRDefault="002A2453" w:rsidP="002A2453">
      <w:pPr>
        <w:ind w:left="567" w:hanging="567"/>
        <w:rPr>
          <w:lang w:val="pl-PL"/>
        </w:rPr>
      </w:pPr>
    </w:p>
    <w:p w14:paraId="13C1C0A6" w14:textId="77777777" w:rsidR="002A2453" w:rsidRPr="0015541C" w:rsidRDefault="00806DEC" w:rsidP="006A1F1C">
      <w:pPr>
        <w:keepNext/>
        <w:keepLines/>
        <w:ind w:left="567" w:hanging="567"/>
        <w:rPr>
          <w:lang w:val="pl-PL"/>
        </w:rPr>
      </w:pPr>
      <w:r w:rsidRPr="0015541C">
        <w:rPr>
          <w:iCs/>
          <w:lang w:val="pl-PL"/>
        </w:rPr>
        <w:lastRenderedPageBreak/>
        <w:sym w:font="Symbol" w:char="F0B7"/>
      </w:r>
      <w:r w:rsidRPr="0015541C">
        <w:rPr>
          <w:iCs/>
          <w:lang w:val="pl-PL"/>
        </w:rPr>
        <w:tab/>
      </w:r>
      <w:r w:rsidR="001156D8" w:rsidRPr="0015541C">
        <w:rPr>
          <w:lang w:val="pl-PL"/>
        </w:rPr>
        <w:t>L</w:t>
      </w:r>
      <w:r w:rsidR="002A2453" w:rsidRPr="0015541C">
        <w:rPr>
          <w:lang w:val="pl-PL"/>
        </w:rPr>
        <w:t xml:space="preserve">ek </w:t>
      </w:r>
      <w:r w:rsidR="00C87F12" w:rsidRPr="00AC3958">
        <w:rPr>
          <w:lang w:val="pl-PL"/>
        </w:rPr>
        <w:t>Aybintio</w:t>
      </w:r>
      <w:r w:rsidR="002A2453" w:rsidRPr="0015541C">
        <w:rPr>
          <w:lang w:val="pl-PL"/>
        </w:rPr>
        <w:t xml:space="preserve"> może zwiększać częstość występowania nadciśnienia tętniczego. Jeśli u pacjenta stwierdzono nadciśnienie</w:t>
      </w:r>
      <w:r w:rsidR="00074DF0" w:rsidRPr="0015541C">
        <w:rPr>
          <w:lang w:val="pl-PL"/>
        </w:rPr>
        <w:t xml:space="preserve"> tętnicze</w:t>
      </w:r>
      <w:r w:rsidR="002A2453" w:rsidRPr="0015541C">
        <w:rPr>
          <w:lang w:val="pl-PL"/>
        </w:rPr>
        <w:t xml:space="preserve"> (podwyższone ciśnienie krwi), które nie jest dobrze kontrolowane lekami przeciwnadciśnieniowymi, należy skonsultować to z lekarzem</w:t>
      </w:r>
      <w:r w:rsidR="001156D8" w:rsidRPr="0015541C">
        <w:rPr>
          <w:lang w:val="pl-PL"/>
        </w:rPr>
        <w:t>,</w:t>
      </w:r>
      <w:r w:rsidR="002A2453" w:rsidRPr="0015541C">
        <w:rPr>
          <w:lang w:val="pl-PL"/>
        </w:rPr>
        <w:t xml:space="preserve"> ponieważ jest istotne, aby przed rozpoczęciem leczenia lekiem </w:t>
      </w:r>
      <w:r w:rsidR="00C87F12" w:rsidRPr="0015541C">
        <w:rPr>
          <w:lang w:val="pl-PL"/>
        </w:rPr>
        <w:t>Aybintio</w:t>
      </w:r>
      <w:r w:rsidR="002A2453" w:rsidRPr="0015541C">
        <w:rPr>
          <w:lang w:val="pl-PL"/>
        </w:rPr>
        <w:t xml:space="preserve"> lekarz upewnił się, czy ciśnienie tętnicze krwi jest dobrze kontrolowane.</w:t>
      </w:r>
    </w:p>
    <w:p w14:paraId="0B085A3A" w14:textId="77777777" w:rsidR="00D72EFC" w:rsidRPr="0015541C" w:rsidRDefault="00D72EFC" w:rsidP="006A1F1C">
      <w:pPr>
        <w:keepNext/>
        <w:keepLines/>
        <w:ind w:left="567" w:hanging="567"/>
        <w:rPr>
          <w:lang w:val="pl-PL"/>
        </w:rPr>
      </w:pPr>
    </w:p>
    <w:p w14:paraId="5A7A2634" w14:textId="77777777" w:rsidR="002A2453" w:rsidRPr="00AC3958" w:rsidRDefault="00D72EFC" w:rsidP="00D72EFC">
      <w:pPr>
        <w:ind w:left="567" w:hanging="567"/>
        <w:rPr>
          <w:lang w:val="pl-PL"/>
        </w:rPr>
      </w:pPr>
      <w:r w:rsidRPr="0015541C">
        <w:rPr>
          <w:iCs/>
          <w:lang w:val="pl-PL"/>
        </w:rPr>
        <w:sym w:font="Symbol" w:char="F0B7"/>
      </w:r>
      <w:r w:rsidRPr="0015541C">
        <w:rPr>
          <w:iCs/>
          <w:lang w:val="pl-PL"/>
        </w:rPr>
        <w:tab/>
      </w:r>
      <w:r w:rsidRPr="0015541C">
        <w:rPr>
          <w:lang w:val="pl-PL"/>
        </w:rPr>
        <w:t>Jeśli pacjent ma lub w przeszłości miał tętniaka (powiększenie i osłabienie ściany naczynia krwionośnego) lub rozdarcie ściany naczynia krwionośnego.</w:t>
      </w:r>
    </w:p>
    <w:p w14:paraId="1B188F81" w14:textId="77777777" w:rsidR="00D72EFC" w:rsidRPr="0015541C" w:rsidRDefault="00D72EFC" w:rsidP="00D72EFC">
      <w:pPr>
        <w:ind w:left="567" w:hanging="567"/>
        <w:rPr>
          <w:lang w:val="pl-PL"/>
        </w:rPr>
      </w:pPr>
    </w:p>
    <w:p w14:paraId="18460FF2" w14:textId="77777777" w:rsidR="002A2453" w:rsidRPr="0015541C" w:rsidRDefault="00806DEC" w:rsidP="002A2453">
      <w:pPr>
        <w:ind w:left="567" w:hanging="567"/>
        <w:rPr>
          <w:lang w:val="pl-PL"/>
        </w:rPr>
      </w:pPr>
      <w:r w:rsidRPr="0015541C">
        <w:rPr>
          <w:iCs/>
          <w:lang w:val="pl-PL"/>
        </w:rPr>
        <w:sym w:font="Symbol" w:char="F0B7"/>
      </w:r>
      <w:r w:rsidRPr="0015541C">
        <w:rPr>
          <w:iCs/>
          <w:lang w:val="pl-PL"/>
        </w:rPr>
        <w:tab/>
      </w:r>
      <w:r w:rsidR="00EE2644" w:rsidRPr="0015541C">
        <w:rPr>
          <w:lang w:val="pl-PL"/>
        </w:rPr>
        <w:t>L</w:t>
      </w:r>
      <w:r w:rsidR="002A2453" w:rsidRPr="0015541C">
        <w:rPr>
          <w:lang w:val="pl-PL"/>
        </w:rPr>
        <w:t>ek ten może zwiększać ryzyko pojawienia się białka w moczu, szczególnie, jeśli pacjent choruje na nadciśnienie</w:t>
      </w:r>
      <w:r w:rsidR="004D4CA9" w:rsidRPr="00AC3958">
        <w:rPr>
          <w:lang w:val="pl-PL"/>
        </w:rPr>
        <w:t xml:space="preserve"> </w:t>
      </w:r>
      <w:r w:rsidR="004D4CA9" w:rsidRPr="0015541C">
        <w:rPr>
          <w:lang w:val="pl-PL"/>
        </w:rPr>
        <w:t>tętnicze</w:t>
      </w:r>
      <w:r w:rsidR="002A2453" w:rsidRPr="0015541C">
        <w:rPr>
          <w:lang w:val="pl-PL"/>
        </w:rPr>
        <w:t>.</w:t>
      </w:r>
    </w:p>
    <w:p w14:paraId="52DE86B6" w14:textId="77777777" w:rsidR="002A2453" w:rsidRPr="0015541C" w:rsidRDefault="002A2453" w:rsidP="002A2453">
      <w:pPr>
        <w:ind w:left="567" w:hanging="567"/>
        <w:rPr>
          <w:lang w:val="pl-PL"/>
        </w:rPr>
      </w:pPr>
    </w:p>
    <w:p w14:paraId="3DE2DF1E" w14:textId="6004C3D8" w:rsidR="002A2453" w:rsidRPr="0015541C" w:rsidRDefault="00806DEC" w:rsidP="002A2453">
      <w:pPr>
        <w:ind w:left="567" w:hanging="567"/>
        <w:rPr>
          <w:lang w:val="pl-PL"/>
        </w:rPr>
      </w:pPr>
      <w:r w:rsidRPr="0015541C">
        <w:rPr>
          <w:iCs/>
          <w:lang w:val="pl-PL"/>
        </w:rPr>
        <w:sym w:font="Symbol" w:char="F0B7"/>
      </w:r>
      <w:r w:rsidRPr="0015541C">
        <w:rPr>
          <w:iCs/>
          <w:lang w:val="pl-PL"/>
        </w:rPr>
        <w:tab/>
      </w:r>
      <w:r w:rsidR="0058088B" w:rsidRPr="0015541C">
        <w:rPr>
          <w:lang w:val="pl-PL"/>
        </w:rPr>
        <w:t>R</w:t>
      </w:r>
      <w:r w:rsidR="002A2453" w:rsidRPr="0015541C">
        <w:rPr>
          <w:lang w:val="pl-PL"/>
        </w:rPr>
        <w:t xml:space="preserve">yzyko wystąpienia zakrzepów w tętnicach (rodzaj naczyń krwionośnych), </w:t>
      </w:r>
      <w:r w:rsidR="0058088B" w:rsidRPr="00AC3958">
        <w:rPr>
          <w:lang w:val="pl-PL"/>
        </w:rPr>
        <w:t xml:space="preserve">może być zwiększone </w:t>
      </w:r>
      <w:r w:rsidR="002A2453" w:rsidRPr="0015541C">
        <w:rPr>
          <w:lang w:val="pl-PL"/>
        </w:rPr>
        <w:t xml:space="preserve">jeśli pacjent ma ponad 65 </w:t>
      </w:r>
      <w:r w:rsidR="0026465C" w:rsidRPr="0015541C">
        <w:rPr>
          <w:lang w:val="pl-PL"/>
        </w:rPr>
        <w:t>l</w:t>
      </w:r>
      <w:r w:rsidR="002A2453" w:rsidRPr="0015541C">
        <w:rPr>
          <w:lang w:val="pl-PL"/>
        </w:rPr>
        <w:t>at</w:t>
      </w:r>
      <w:r w:rsidR="0026465C" w:rsidRPr="0015541C">
        <w:rPr>
          <w:lang w:val="pl-PL"/>
        </w:rPr>
        <w:t>, ma cukrzycę</w:t>
      </w:r>
      <w:r w:rsidR="002A2453" w:rsidRPr="0015541C">
        <w:rPr>
          <w:lang w:val="pl-PL"/>
        </w:rPr>
        <w:t xml:space="preserve"> lub występowały u niego zakrzepy w tętnicach w przeszłości. Należy powiedzieć o tym lekarzowi, ponieważ zakrzepy w tętnicach mogą spowodować zawał </w:t>
      </w:r>
      <w:r w:rsidR="00240A11" w:rsidRPr="0015541C">
        <w:rPr>
          <w:lang w:val="pl-PL"/>
        </w:rPr>
        <w:t xml:space="preserve">mięśnia </w:t>
      </w:r>
      <w:r w:rsidR="002A2453" w:rsidRPr="0015541C">
        <w:rPr>
          <w:lang w:val="pl-PL"/>
        </w:rPr>
        <w:t>serc</w:t>
      </w:r>
      <w:r w:rsidR="00240A11" w:rsidRPr="0015541C">
        <w:rPr>
          <w:lang w:val="pl-PL"/>
        </w:rPr>
        <w:t>owego</w:t>
      </w:r>
      <w:r w:rsidR="002A2453" w:rsidRPr="0015541C">
        <w:rPr>
          <w:lang w:val="pl-PL"/>
        </w:rPr>
        <w:t xml:space="preserve"> i udar mózgu.</w:t>
      </w:r>
    </w:p>
    <w:p w14:paraId="4396440F" w14:textId="77777777" w:rsidR="002A2453" w:rsidRPr="0015541C" w:rsidRDefault="002A2453" w:rsidP="002A2453">
      <w:pPr>
        <w:ind w:left="567" w:hanging="567"/>
        <w:rPr>
          <w:lang w:val="pl-PL"/>
        </w:rPr>
      </w:pPr>
    </w:p>
    <w:p w14:paraId="76BDDC32" w14:textId="77777777" w:rsidR="002A2453" w:rsidRPr="00AC3958" w:rsidRDefault="00806DEC" w:rsidP="002A2453">
      <w:pPr>
        <w:ind w:left="567" w:hanging="567"/>
        <w:rPr>
          <w:lang w:val="pl-PL"/>
        </w:rPr>
      </w:pPr>
      <w:r w:rsidRPr="0015541C">
        <w:rPr>
          <w:iCs/>
          <w:lang w:val="pl-PL"/>
        </w:rPr>
        <w:sym w:font="Symbol" w:char="F0B7"/>
      </w:r>
      <w:r w:rsidRPr="0015541C">
        <w:rPr>
          <w:iCs/>
          <w:lang w:val="pl-PL"/>
        </w:rPr>
        <w:tab/>
      </w:r>
      <w:r w:rsidR="00C87F12" w:rsidRPr="0015541C">
        <w:rPr>
          <w:lang w:val="pl-PL"/>
        </w:rPr>
        <w:t>Aybintio</w:t>
      </w:r>
      <w:r w:rsidR="002A2453" w:rsidRPr="0015541C">
        <w:rPr>
          <w:lang w:val="pl-PL"/>
        </w:rPr>
        <w:t xml:space="preserve"> może zwiększać ryzyko wystąpienia zakrzepów w żyłach (rodzaj naczyń krwionośnych). </w:t>
      </w:r>
    </w:p>
    <w:p w14:paraId="6CB567D1" w14:textId="77777777" w:rsidR="002A2453" w:rsidRPr="0015541C" w:rsidRDefault="002A2453" w:rsidP="002A2453">
      <w:pPr>
        <w:ind w:left="567" w:hanging="567"/>
        <w:rPr>
          <w:lang w:val="pl-PL"/>
        </w:rPr>
      </w:pPr>
    </w:p>
    <w:p w14:paraId="065CAE4C" w14:textId="77777777" w:rsidR="002A2453" w:rsidRPr="0015541C" w:rsidRDefault="00806DEC" w:rsidP="004452DB">
      <w:pPr>
        <w:keepNext/>
        <w:keepLines/>
        <w:ind w:left="562" w:hanging="562"/>
        <w:rPr>
          <w:lang w:val="pl-PL"/>
        </w:rPr>
      </w:pPr>
      <w:r w:rsidRPr="0015541C">
        <w:rPr>
          <w:iCs/>
          <w:lang w:val="pl-PL"/>
        </w:rPr>
        <w:sym w:font="Symbol" w:char="F0B7"/>
      </w:r>
      <w:r w:rsidRPr="0015541C">
        <w:rPr>
          <w:iCs/>
          <w:lang w:val="pl-PL"/>
        </w:rPr>
        <w:tab/>
      </w:r>
      <w:r w:rsidR="00586143" w:rsidRPr="0015541C">
        <w:rPr>
          <w:lang w:val="pl-PL"/>
        </w:rPr>
        <w:t>L</w:t>
      </w:r>
      <w:r w:rsidR="002A2453" w:rsidRPr="0015541C">
        <w:rPr>
          <w:lang w:val="pl-PL"/>
        </w:rPr>
        <w:t>ek ten może powodować krwawienie, zwłaszcza krwawienie związane z guzem. Należy powiedzieć lekarzowi</w:t>
      </w:r>
      <w:r w:rsidR="002A2453" w:rsidRPr="00AC3958">
        <w:rPr>
          <w:lang w:val="pl-PL"/>
        </w:rPr>
        <w:t xml:space="preserve">, jeśli u pacjenta lub w jego rodzinie występuje skłonność do problemów </w:t>
      </w:r>
      <w:r w:rsidR="005769B3" w:rsidRPr="0015541C">
        <w:rPr>
          <w:lang w:val="pl-PL"/>
        </w:rPr>
        <w:br/>
      </w:r>
      <w:r w:rsidR="002A2453" w:rsidRPr="0015541C">
        <w:rPr>
          <w:lang w:val="pl-PL"/>
        </w:rPr>
        <w:t>z krwawieniem lub z jakiegokolwiek powodu przyjmowane są leki przeciwko tworzeniu się zakrzepów krwi w naczyniach.</w:t>
      </w:r>
    </w:p>
    <w:p w14:paraId="2C974658" w14:textId="77777777" w:rsidR="002A2453" w:rsidRPr="0015541C" w:rsidRDefault="002A2453" w:rsidP="002A2453">
      <w:pPr>
        <w:ind w:left="567" w:hanging="567"/>
        <w:rPr>
          <w:lang w:val="pl-PL"/>
        </w:rPr>
      </w:pPr>
    </w:p>
    <w:p w14:paraId="4272624E" w14:textId="77777777" w:rsidR="002A2453" w:rsidRPr="0015541C" w:rsidRDefault="00806DEC" w:rsidP="002A2453">
      <w:pPr>
        <w:ind w:left="567" w:hanging="567"/>
        <w:rPr>
          <w:lang w:val="pl-PL"/>
        </w:rPr>
      </w:pPr>
      <w:r w:rsidRPr="0015541C">
        <w:rPr>
          <w:iCs/>
          <w:lang w:val="pl-PL"/>
        </w:rPr>
        <w:sym w:font="Symbol" w:char="F0B7"/>
      </w:r>
      <w:r w:rsidRPr="0015541C">
        <w:rPr>
          <w:iCs/>
          <w:lang w:val="pl-PL"/>
        </w:rPr>
        <w:tab/>
      </w:r>
      <w:r w:rsidR="00586143" w:rsidRPr="0015541C">
        <w:rPr>
          <w:lang w:val="pl-PL"/>
        </w:rPr>
        <w:t>J</w:t>
      </w:r>
      <w:r w:rsidR="002A2453" w:rsidRPr="0015541C">
        <w:rPr>
          <w:lang w:val="pl-PL"/>
        </w:rPr>
        <w:t xml:space="preserve">est możliwe, że </w:t>
      </w:r>
      <w:r w:rsidR="00C87F12" w:rsidRPr="00AC3958">
        <w:rPr>
          <w:lang w:val="pl-PL"/>
        </w:rPr>
        <w:t>Aybintio</w:t>
      </w:r>
      <w:r w:rsidR="002A2453" w:rsidRPr="0015541C">
        <w:rPr>
          <w:lang w:val="pl-PL"/>
        </w:rPr>
        <w:t xml:space="preserve"> może zwiększyć ryzyko krwawienia w mózgu i wokół niego. Należy powiedzieć lekarzowi, jeśli u pacjenta zdiagnozowano przerzut nowotworu do mózgu.</w:t>
      </w:r>
    </w:p>
    <w:p w14:paraId="393216FD" w14:textId="77777777" w:rsidR="002A2453" w:rsidRPr="0015541C" w:rsidRDefault="002A2453" w:rsidP="002A2453">
      <w:pPr>
        <w:ind w:left="567" w:hanging="567"/>
        <w:rPr>
          <w:lang w:val="pl-PL"/>
        </w:rPr>
      </w:pPr>
    </w:p>
    <w:p w14:paraId="51A8BAC8" w14:textId="77777777" w:rsidR="002A2453" w:rsidRPr="0015541C" w:rsidRDefault="00806DEC" w:rsidP="002A2453">
      <w:pPr>
        <w:tabs>
          <w:tab w:val="left" w:pos="567"/>
        </w:tabs>
        <w:ind w:left="567" w:hanging="567"/>
        <w:rPr>
          <w:lang w:val="pl-PL"/>
        </w:rPr>
      </w:pPr>
      <w:r w:rsidRPr="0015541C">
        <w:rPr>
          <w:iCs/>
          <w:lang w:val="pl-PL"/>
        </w:rPr>
        <w:sym w:font="Symbol" w:char="F0B7"/>
      </w:r>
      <w:r w:rsidRPr="0015541C">
        <w:rPr>
          <w:iCs/>
          <w:lang w:val="pl-PL"/>
        </w:rPr>
        <w:tab/>
      </w:r>
      <w:r w:rsidR="00586143" w:rsidRPr="0015541C">
        <w:rPr>
          <w:lang w:val="pl-PL"/>
        </w:rPr>
        <w:t>J</w:t>
      </w:r>
      <w:r w:rsidR="002A2453" w:rsidRPr="0015541C">
        <w:rPr>
          <w:lang w:val="pl-PL"/>
        </w:rPr>
        <w:t xml:space="preserve">est możliwe, że </w:t>
      </w:r>
      <w:r w:rsidR="00C87F12" w:rsidRPr="00AC3958">
        <w:rPr>
          <w:lang w:val="pl-PL"/>
        </w:rPr>
        <w:t>Aybintio</w:t>
      </w:r>
      <w:r w:rsidR="002A2453" w:rsidRPr="0015541C">
        <w:rPr>
          <w:lang w:val="pl-PL"/>
        </w:rPr>
        <w:t xml:space="preserve"> może zwiększyć ryzyko krwawienia w płucach, łącznie </w:t>
      </w:r>
      <w:r w:rsidR="001772A9" w:rsidRPr="0015541C">
        <w:rPr>
          <w:lang w:val="pl-PL"/>
        </w:rPr>
        <w:br/>
      </w:r>
      <w:r w:rsidR="002A2453" w:rsidRPr="0015541C">
        <w:rPr>
          <w:lang w:val="pl-PL"/>
        </w:rPr>
        <w:t>z odkrztuszaniem lub pluciem krwią. Należy powiedzieć lekarzowi, jeśli pacjent wcześniej zauważył takie objawy.</w:t>
      </w:r>
    </w:p>
    <w:p w14:paraId="51126073" w14:textId="77777777" w:rsidR="002A2453" w:rsidRPr="0015541C" w:rsidRDefault="002A2453" w:rsidP="002A2453">
      <w:pPr>
        <w:ind w:left="567" w:hanging="567"/>
        <w:rPr>
          <w:lang w:val="pl-PL"/>
        </w:rPr>
      </w:pPr>
    </w:p>
    <w:p w14:paraId="490AF4CB" w14:textId="77777777" w:rsidR="002A2453" w:rsidRPr="0015541C" w:rsidRDefault="00806DEC" w:rsidP="002A2453">
      <w:pPr>
        <w:ind w:left="567" w:hanging="567"/>
        <w:rPr>
          <w:lang w:val="pl-PL"/>
        </w:rPr>
      </w:pPr>
      <w:r w:rsidRPr="0015541C">
        <w:rPr>
          <w:iCs/>
          <w:lang w:val="pl-PL"/>
        </w:rPr>
        <w:sym w:font="Symbol" w:char="F0B7"/>
      </w:r>
      <w:r w:rsidRPr="0015541C">
        <w:rPr>
          <w:iCs/>
          <w:lang w:val="pl-PL"/>
        </w:rPr>
        <w:tab/>
      </w:r>
      <w:r w:rsidR="00586143" w:rsidRPr="0015541C">
        <w:rPr>
          <w:lang w:val="pl-PL"/>
        </w:rPr>
        <w:t>L</w:t>
      </w:r>
      <w:r w:rsidR="002A2453" w:rsidRPr="0015541C">
        <w:rPr>
          <w:lang w:val="pl-PL"/>
        </w:rPr>
        <w:t xml:space="preserve">ek </w:t>
      </w:r>
      <w:r w:rsidR="00C87F12" w:rsidRPr="00AC3958">
        <w:rPr>
          <w:lang w:val="pl-PL"/>
        </w:rPr>
        <w:t>Aybintio</w:t>
      </w:r>
      <w:r w:rsidR="002A2453" w:rsidRPr="0015541C">
        <w:rPr>
          <w:lang w:val="pl-PL"/>
        </w:rPr>
        <w:t xml:space="preserve"> może zwiększać ryzyko </w:t>
      </w:r>
      <w:r w:rsidR="00140D7C" w:rsidRPr="0015541C">
        <w:rPr>
          <w:lang w:val="pl-PL"/>
        </w:rPr>
        <w:t>zaburzeń</w:t>
      </w:r>
      <w:r w:rsidR="002A2453" w:rsidRPr="0015541C">
        <w:rPr>
          <w:lang w:val="pl-PL"/>
        </w:rPr>
        <w:t xml:space="preserve"> </w:t>
      </w:r>
      <w:r w:rsidR="00140D7C" w:rsidRPr="0015541C">
        <w:rPr>
          <w:lang w:val="pl-PL"/>
        </w:rPr>
        <w:t xml:space="preserve">czynności </w:t>
      </w:r>
      <w:r w:rsidR="002A2453" w:rsidRPr="0015541C">
        <w:rPr>
          <w:lang w:val="pl-PL"/>
        </w:rPr>
        <w:t>serca. Jest ważne, aby lekarz wiedział, czy pacjent kiedykolwiek otrzymywał antracykliny (np. doksorubicynę - specjalną chemioterapię wykorzystywaną w leczeniu niektórych nowotworów), był poddawany radioterapii klatki piersiowej lub miał chorobę serca.</w:t>
      </w:r>
    </w:p>
    <w:p w14:paraId="445DE17E" w14:textId="77777777" w:rsidR="002A2453" w:rsidRPr="0015541C" w:rsidRDefault="002A2453" w:rsidP="002A2453">
      <w:pPr>
        <w:ind w:left="567" w:hanging="567"/>
        <w:rPr>
          <w:lang w:val="pl-PL"/>
        </w:rPr>
      </w:pPr>
    </w:p>
    <w:p w14:paraId="60A07F21" w14:textId="77777777" w:rsidR="002A2453" w:rsidRPr="0015541C" w:rsidRDefault="00806DEC" w:rsidP="002A2453">
      <w:pPr>
        <w:ind w:left="567" w:hanging="567"/>
        <w:rPr>
          <w:lang w:val="pl-PL"/>
        </w:rPr>
      </w:pPr>
      <w:r w:rsidRPr="0015541C">
        <w:rPr>
          <w:iCs/>
          <w:lang w:val="pl-PL"/>
        </w:rPr>
        <w:sym w:font="Symbol" w:char="F0B7"/>
      </w:r>
      <w:r w:rsidRPr="0015541C">
        <w:rPr>
          <w:iCs/>
          <w:lang w:val="pl-PL"/>
        </w:rPr>
        <w:tab/>
      </w:r>
      <w:r w:rsidR="00586143" w:rsidRPr="0015541C">
        <w:rPr>
          <w:lang w:val="pl-PL"/>
        </w:rPr>
        <w:t>L</w:t>
      </w:r>
      <w:r w:rsidR="002A2453" w:rsidRPr="0015541C">
        <w:rPr>
          <w:lang w:val="pl-PL"/>
        </w:rPr>
        <w:t xml:space="preserve">ek ten może powodować zakażenia oraz zmniejszać liczbę neutrofili (jednego z typów białych krwinek, które chronią organizm przed </w:t>
      </w:r>
      <w:r w:rsidR="00AD495B" w:rsidRPr="00AC3958">
        <w:rPr>
          <w:lang w:val="pl-PL"/>
        </w:rPr>
        <w:t>zakażeniami</w:t>
      </w:r>
      <w:r w:rsidR="002A2453" w:rsidRPr="0015541C">
        <w:rPr>
          <w:lang w:val="pl-PL"/>
        </w:rPr>
        <w:t>)</w:t>
      </w:r>
      <w:r w:rsidR="00EE2644" w:rsidRPr="0015541C">
        <w:rPr>
          <w:lang w:val="pl-PL"/>
        </w:rPr>
        <w:t>.</w:t>
      </w:r>
    </w:p>
    <w:p w14:paraId="083A0576" w14:textId="77777777" w:rsidR="002A2453" w:rsidRPr="0015541C" w:rsidRDefault="002A2453" w:rsidP="002A2453">
      <w:pPr>
        <w:ind w:left="567" w:hanging="567"/>
        <w:rPr>
          <w:lang w:val="pl-PL"/>
        </w:rPr>
      </w:pPr>
    </w:p>
    <w:p w14:paraId="34F025A2" w14:textId="47DB8071" w:rsidR="002A2453" w:rsidRPr="0015541C" w:rsidRDefault="00806DEC" w:rsidP="002A2453">
      <w:pPr>
        <w:ind w:left="567" w:hanging="567"/>
        <w:rPr>
          <w:lang w:val="pl-PL"/>
        </w:rPr>
      </w:pPr>
      <w:r w:rsidRPr="0015541C">
        <w:rPr>
          <w:iCs/>
          <w:lang w:val="pl-PL"/>
        </w:rPr>
        <w:sym w:font="Symbol" w:char="F0B7"/>
      </w:r>
      <w:r w:rsidRPr="0015541C">
        <w:rPr>
          <w:iCs/>
          <w:lang w:val="pl-PL"/>
        </w:rPr>
        <w:tab/>
      </w:r>
      <w:r w:rsidR="00586143" w:rsidRPr="0015541C">
        <w:rPr>
          <w:lang w:val="pl-PL"/>
        </w:rPr>
        <w:t>J</w:t>
      </w:r>
      <w:r w:rsidR="002A2453" w:rsidRPr="0015541C">
        <w:rPr>
          <w:lang w:val="pl-PL"/>
        </w:rPr>
        <w:t>est</w:t>
      </w:r>
      <w:r w:rsidR="002A2453" w:rsidRPr="00AC3958">
        <w:rPr>
          <w:lang w:val="pl-PL"/>
        </w:rPr>
        <w:t xml:space="preserve"> możliwe, że </w:t>
      </w:r>
      <w:r w:rsidR="00C87F12" w:rsidRPr="0015541C">
        <w:rPr>
          <w:lang w:val="pl-PL"/>
        </w:rPr>
        <w:t>Aybintio</w:t>
      </w:r>
      <w:r w:rsidR="002A2453" w:rsidRPr="0015541C">
        <w:rPr>
          <w:lang w:val="pl-PL"/>
        </w:rPr>
        <w:t xml:space="preserve"> może powodować nadwrażliwość</w:t>
      </w:r>
      <w:r w:rsidR="00420F0C">
        <w:rPr>
          <w:lang w:val="pl-PL"/>
        </w:rPr>
        <w:t xml:space="preserve"> (w tym wstrząs anafilaktyczny) </w:t>
      </w:r>
      <w:r w:rsidR="002A2453" w:rsidRPr="0015541C">
        <w:rPr>
          <w:lang w:val="pl-PL"/>
        </w:rPr>
        <w:t xml:space="preserve"> i (lub) reakcje podczas wlewu (reakcje związane z wstrzyknięciem leku). Należy powiedzieć lekarzowi, farmaceucie lub pielęgniarce, jeśli pacjent miał w przeszłości kłopoty po wstrzyknięciu leku, takie jak zawroty głowy/ uczucie omdlenia, duszność, obrzęk lub wysypka na skórze.</w:t>
      </w:r>
    </w:p>
    <w:p w14:paraId="7BE0804E" w14:textId="77777777" w:rsidR="002A2453" w:rsidRPr="0015541C" w:rsidRDefault="002A2453" w:rsidP="002A2453">
      <w:pPr>
        <w:ind w:left="567" w:hanging="567"/>
        <w:rPr>
          <w:lang w:val="pl-PL"/>
        </w:rPr>
      </w:pPr>
    </w:p>
    <w:p w14:paraId="6EA722F9" w14:textId="77777777" w:rsidR="002A2453" w:rsidRPr="0015541C" w:rsidRDefault="00806DEC" w:rsidP="002A2453">
      <w:pPr>
        <w:ind w:left="567" w:hanging="567"/>
        <w:rPr>
          <w:lang w:val="pl-PL"/>
        </w:rPr>
      </w:pPr>
      <w:r w:rsidRPr="0015541C">
        <w:rPr>
          <w:iCs/>
          <w:lang w:val="pl-PL"/>
        </w:rPr>
        <w:sym w:font="Symbol" w:char="F0B7"/>
      </w:r>
      <w:r w:rsidRPr="0015541C">
        <w:rPr>
          <w:iCs/>
          <w:lang w:val="pl-PL"/>
        </w:rPr>
        <w:tab/>
      </w:r>
      <w:r w:rsidR="00EE2644" w:rsidRPr="0015541C">
        <w:rPr>
          <w:lang w:val="pl-PL"/>
        </w:rPr>
        <w:t>O</w:t>
      </w:r>
      <w:r w:rsidR="002A2453" w:rsidRPr="0015541C">
        <w:rPr>
          <w:szCs w:val="22"/>
          <w:lang w:val="pl-PL"/>
        </w:rPr>
        <w:t>bjawy rzadkiej choroby neurologicznej zwanej z</w:t>
      </w:r>
      <w:r w:rsidR="00DE24FA" w:rsidRPr="00AC3958">
        <w:rPr>
          <w:lang w:val="pl-PL"/>
        </w:rPr>
        <w:t>espo</w:t>
      </w:r>
      <w:r w:rsidR="002A2453" w:rsidRPr="0015541C">
        <w:rPr>
          <w:lang w:val="pl-PL"/>
        </w:rPr>
        <w:t xml:space="preserve">łem odwracalnej tylnej encefalopatii </w:t>
      </w:r>
      <w:r w:rsidR="003D4FBC" w:rsidRPr="0015541C">
        <w:rPr>
          <w:lang w:val="pl-PL"/>
        </w:rPr>
        <w:t>(</w:t>
      </w:r>
      <w:r w:rsidR="004C73AA" w:rsidRPr="0015541C">
        <w:rPr>
          <w:lang w:val="pl-PL"/>
        </w:rPr>
        <w:t xml:space="preserve">ang. posterior reversible encephalopathy syndrome, </w:t>
      </w:r>
      <w:r w:rsidR="003D4FBC" w:rsidRPr="0015541C">
        <w:rPr>
          <w:lang w:val="pl-PL"/>
        </w:rPr>
        <w:t xml:space="preserve">PRES) </w:t>
      </w:r>
      <w:r w:rsidR="002A2453" w:rsidRPr="0015541C">
        <w:rPr>
          <w:lang w:val="pl-PL"/>
        </w:rPr>
        <w:t xml:space="preserve">były powiązane z leczeniem lekiem </w:t>
      </w:r>
      <w:r w:rsidR="00C87F12" w:rsidRPr="0015541C">
        <w:rPr>
          <w:lang w:val="pl-PL"/>
        </w:rPr>
        <w:t>Aybintio</w:t>
      </w:r>
      <w:r w:rsidR="002A2453" w:rsidRPr="0015541C">
        <w:rPr>
          <w:lang w:val="pl-PL"/>
        </w:rPr>
        <w:t xml:space="preserve">. Jeśli u pacjenta występują </w:t>
      </w:r>
      <w:r w:rsidR="002A2453" w:rsidRPr="0015541C">
        <w:rPr>
          <w:szCs w:val="22"/>
          <w:lang w:val="pl-PL"/>
        </w:rPr>
        <w:t>bóle głowy, zaburzenia widzenia, stany spl</w:t>
      </w:r>
      <w:r w:rsidR="00EE2644" w:rsidRPr="0015541C">
        <w:rPr>
          <w:szCs w:val="22"/>
          <w:lang w:val="pl-PL"/>
        </w:rPr>
        <w:t>ą</w:t>
      </w:r>
      <w:r w:rsidR="002A2453" w:rsidRPr="0015541C">
        <w:rPr>
          <w:szCs w:val="22"/>
          <w:lang w:val="pl-PL"/>
        </w:rPr>
        <w:t>tania lub napady drgawkowe z towarzyszącym wysokim ciśnieniem tętniczym lub bez</w:t>
      </w:r>
      <w:r w:rsidR="00D95D10" w:rsidRPr="0015541C">
        <w:rPr>
          <w:szCs w:val="22"/>
          <w:lang w:val="pl-PL"/>
        </w:rPr>
        <w:t xml:space="preserve"> niego</w:t>
      </w:r>
      <w:r w:rsidR="002A2453" w:rsidRPr="0015541C">
        <w:rPr>
          <w:szCs w:val="22"/>
          <w:lang w:val="pl-PL"/>
        </w:rPr>
        <w:t xml:space="preserve"> należy skontaktować się z lekarzem prowadzącym.</w:t>
      </w:r>
    </w:p>
    <w:p w14:paraId="1CF5A75D" w14:textId="77777777" w:rsidR="002A2453" w:rsidRPr="0015541C" w:rsidRDefault="002A2453" w:rsidP="002A2453">
      <w:pPr>
        <w:ind w:left="567" w:hanging="567"/>
        <w:rPr>
          <w:lang w:val="pl-PL"/>
        </w:rPr>
      </w:pPr>
    </w:p>
    <w:p w14:paraId="17226CD6" w14:textId="77777777" w:rsidR="002A2453" w:rsidRPr="0015541C" w:rsidRDefault="002A2453" w:rsidP="002A2453">
      <w:pPr>
        <w:outlineLvl w:val="0"/>
        <w:rPr>
          <w:lang w:val="pl-PL"/>
        </w:rPr>
      </w:pPr>
      <w:r w:rsidRPr="0015541C">
        <w:rPr>
          <w:lang w:val="pl-PL"/>
        </w:rPr>
        <w:t>Należy skontaktować się z lekarzem prowadzącym, nawet jeśli powyższe stwierdzenia dotyczyły jedynie pacjenta w przeszłości.</w:t>
      </w:r>
    </w:p>
    <w:p w14:paraId="1EB5FD40" w14:textId="77777777" w:rsidR="002A2453" w:rsidRPr="0015541C" w:rsidRDefault="002A2453" w:rsidP="002A2453">
      <w:pPr>
        <w:outlineLvl w:val="0"/>
        <w:rPr>
          <w:lang w:val="pl-PL"/>
        </w:rPr>
      </w:pPr>
    </w:p>
    <w:p w14:paraId="46C139DF" w14:textId="77777777" w:rsidR="002A2453" w:rsidRPr="0015541C" w:rsidRDefault="002A2453" w:rsidP="002A2453">
      <w:pPr>
        <w:keepNext/>
        <w:keepLines/>
        <w:outlineLvl w:val="0"/>
        <w:rPr>
          <w:lang w:val="pl-PL"/>
        </w:rPr>
      </w:pPr>
      <w:r w:rsidRPr="0015541C">
        <w:rPr>
          <w:lang w:val="pl-PL"/>
        </w:rPr>
        <w:lastRenderedPageBreak/>
        <w:t xml:space="preserve">Przed rozpoczęciem lub w trakcie leczenia </w:t>
      </w:r>
      <w:r w:rsidR="00EE2644" w:rsidRPr="0015541C">
        <w:rPr>
          <w:lang w:val="pl-PL"/>
        </w:rPr>
        <w:t xml:space="preserve">lekiem </w:t>
      </w:r>
      <w:r w:rsidR="00C87F12" w:rsidRPr="0015541C">
        <w:rPr>
          <w:lang w:val="pl-PL"/>
        </w:rPr>
        <w:t>Aybintio</w:t>
      </w:r>
      <w:r w:rsidRPr="0015541C">
        <w:rPr>
          <w:lang w:val="pl-PL"/>
        </w:rPr>
        <w:t>:</w:t>
      </w:r>
    </w:p>
    <w:p w14:paraId="7DD5EDA2" w14:textId="77777777" w:rsidR="002A2453" w:rsidRPr="00AC3958" w:rsidRDefault="00806DEC" w:rsidP="002A2453">
      <w:pPr>
        <w:keepNext/>
        <w:keepLines/>
        <w:ind w:left="576" w:hanging="576"/>
        <w:outlineLvl w:val="0"/>
        <w:rPr>
          <w:lang w:val="pl-PL"/>
        </w:rPr>
      </w:pPr>
      <w:r w:rsidRPr="0015541C">
        <w:rPr>
          <w:iCs/>
          <w:lang w:val="pl-PL"/>
        </w:rPr>
        <w:sym w:font="Symbol" w:char="F0B7"/>
      </w:r>
      <w:r w:rsidRPr="0015541C">
        <w:rPr>
          <w:iCs/>
          <w:lang w:val="pl-PL"/>
        </w:rPr>
        <w:tab/>
      </w:r>
      <w:r w:rsidR="002A2453" w:rsidRPr="0015541C">
        <w:rPr>
          <w:lang w:val="pl-PL"/>
        </w:rPr>
        <w:t>jeżeli występuje lub w przeszłości występował u pacjenta ból w jamie ustnej lub ból zębów i (lub) szczęki/żuchwy, opuchlizna lub owrzodzenie wewnątrz jamy ustnej, drętwienie szczęki lub żuchwy, uczucie ciężkości szczęki lub żuchwy lub obluzowania zęba należy niezwłocznie poinformować o tym lekarza.</w:t>
      </w:r>
    </w:p>
    <w:p w14:paraId="130A66F3" w14:textId="77777777" w:rsidR="002A2453" w:rsidRPr="0015541C" w:rsidRDefault="00806DEC" w:rsidP="002A2453">
      <w:pPr>
        <w:ind w:left="540" w:hanging="540"/>
        <w:outlineLvl w:val="0"/>
        <w:rPr>
          <w:lang w:val="pl-PL"/>
        </w:rPr>
      </w:pPr>
      <w:r w:rsidRPr="0015541C">
        <w:rPr>
          <w:iCs/>
          <w:lang w:val="pl-PL"/>
        </w:rPr>
        <w:sym w:font="Symbol" w:char="F0B7"/>
      </w:r>
      <w:r w:rsidRPr="0015541C">
        <w:rPr>
          <w:iCs/>
          <w:lang w:val="pl-PL"/>
        </w:rPr>
        <w:tab/>
      </w:r>
      <w:r w:rsidR="002A2453" w:rsidRPr="0015541C">
        <w:rPr>
          <w:lang w:val="pl-PL"/>
        </w:rPr>
        <w:t xml:space="preserve">jeżeli u pacjenta planowane jest inwazyjne leczenie stomatologiczne lub operacja stomatologiczna należy poinformować lekarza stomatologa o przyjmowaniu leku </w:t>
      </w:r>
      <w:r w:rsidR="00C87F12" w:rsidRPr="00AC3958">
        <w:rPr>
          <w:lang w:val="pl-PL"/>
        </w:rPr>
        <w:t>Aybintio</w:t>
      </w:r>
      <w:r w:rsidR="002A2453" w:rsidRPr="0015541C">
        <w:rPr>
          <w:lang w:val="pl-PL"/>
        </w:rPr>
        <w:t>, zwłaszcza jeśli pacjent przyjmuje lub przyjmował także lek z grupy bi</w:t>
      </w:r>
      <w:r w:rsidR="00DE24FA" w:rsidRPr="0015541C">
        <w:rPr>
          <w:lang w:val="pl-PL"/>
        </w:rPr>
        <w:t>s</w:t>
      </w:r>
      <w:r w:rsidR="002A2453" w:rsidRPr="0015541C">
        <w:rPr>
          <w:lang w:val="pl-PL"/>
        </w:rPr>
        <w:t xml:space="preserve">fosfonianów w postaci wstrzyknięcia do krwi. </w:t>
      </w:r>
    </w:p>
    <w:p w14:paraId="111C3EF0" w14:textId="77777777" w:rsidR="002A2453" w:rsidRPr="0015541C" w:rsidRDefault="002A2453" w:rsidP="002A2453">
      <w:pPr>
        <w:outlineLvl w:val="0"/>
        <w:rPr>
          <w:lang w:val="pl-PL"/>
        </w:rPr>
      </w:pPr>
    </w:p>
    <w:p w14:paraId="03A73BAF" w14:textId="77777777" w:rsidR="002A2453" w:rsidRPr="0015541C" w:rsidRDefault="002A2453" w:rsidP="002A2453">
      <w:pPr>
        <w:outlineLvl w:val="0"/>
        <w:rPr>
          <w:lang w:val="pl-PL"/>
        </w:rPr>
      </w:pPr>
      <w:r w:rsidRPr="0015541C">
        <w:rPr>
          <w:lang w:val="pl-PL"/>
        </w:rPr>
        <w:t xml:space="preserve">Lekarz może zalecić pacjentowi kontrolę stomatologiczną przed rozpoczęciem leczenia lekiem </w:t>
      </w:r>
      <w:r w:rsidR="00C87F12" w:rsidRPr="0015541C">
        <w:rPr>
          <w:lang w:val="pl-PL"/>
        </w:rPr>
        <w:t>Aybintio</w:t>
      </w:r>
      <w:r w:rsidRPr="0015541C">
        <w:rPr>
          <w:lang w:val="pl-PL"/>
        </w:rPr>
        <w:t xml:space="preserve">. </w:t>
      </w:r>
    </w:p>
    <w:p w14:paraId="41A9486B" w14:textId="77777777" w:rsidR="002A2453" w:rsidRPr="0015541C" w:rsidRDefault="002A2453" w:rsidP="002A2453">
      <w:pPr>
        <w:numPr>
          <w:ilvl w:val="12"/>
          <w:numId w:val="0"/>
        </w:numPr>
        <w:rPr>
          <w:b/>
          <w:szCs w:val="24"/>
          <w:lang w:val="pl-PL"/>
        </w:rPr>
      </w:pPr>
    </w:p>
    <w:p w14:paraId="164C1248" w14:textId="77777777" w:rsidR="00397BE0" w:rsidRPr="0015541C" w:rsidRDefault="002A2453" w:rsidP="00017F7B">
      <w:pPr>
        <w:keepNext/>
        <w:keepLines/>
        <w:numPr>
          <w:ilvl w:val="12"/>
          <w:numId w:val="0"/>
        </w:numPr>
        <w:rPr>
          <w:b/>
          <w:szCs w:val="24"/>
          <w:lang w:val="pl-PL"/>
        </w:rPr>
      </w:pPr>
      <w:r w:rsidRPr="0015541C">
        <w:rPr>
          <w:b/>
          <w:szCs w:val="24"/>
          <w:lang w:val="pl-PL"/>
        </w:rPr>
        <w:t>Dzieci i młodzież</w:t>
      </w:r>
    </w:p>
    <w:p w14:paraId="7F660CB9" w14:textId="2FB42FED" w:rsidR="00224BC0" w:rsidRPr="0015541C" w:rsidRDefault="00A31B38" w:rsidP="00EE7A0B">
      <w:pPr>
        <w:rPr>
          <w:lang w:val="pl-PL"/>
        </w:rPr>
      </w:pPr>
      <w:r w:rsidRPr="0015541C">
        <w:rPr>
          <w:lang w:val="pl-PL"/>
        </w:rPr>
        <w:t xml:space="preserve">Nie zaleca się stosowania leku </w:t>
      </w:r>
      <w:r w:rsidR="00C87F12" w:rsidRPr="0015541C">
        <w:rPr>
          <w:lang w:val="pl-PL"/>
        </w:rPr>
        <w:t>Aybintio</w:t>
      </w:r>
      <w:r w:rsidRPr="0015541C">
        <w:rPr>
          <w:lang w:val="pl-PL"/>
        </w:rPr>
        <w:t xml:space="preserve"> u dzieci i młodzieży </w:t>
      </w:r>
      <w:r w:rsidR="00A16C6F" w:rsidRPr="0015541C">
        <w:rPr>
          <w:lang w:val="pl-PL"/>
        </w:rPr>
        <w:t xml:space="preserve">w wieku </w:t>
      </w:r>
      <w:r w:rsidRPr="0015541C">
        <w:rPr>
          <w:lang w:val="pl-PL"/>
        </w:rPr>
        <w:t xml:space="preserve">poniżej </w:t>
      </w:r>
      <w:r w:rsidR="00CC2FC7" w:rsidRPr="0015541C">
        <w:rPr>
          <w:lang w:val="pl-PL"/>
        </w:rPr>
        <w:t xml:space="preserve">18 </w:t>
      </w:r>
      <w:r w:rsidR="00271A33" w:rsidRPr="0015541C">
        <w:rPr>
          <w:lang w:val="pl-PL"/>
        </w:rPr>
        <w:t>lat</w:t>
      </w:r>
      <w:r w:rsidR="006A310C" w:rsidRPr="0015541C">
        <w:rPr>
          <w:lang w:val="pl-PL"/>
        </w:rPr>
        <w:t>,</w:t>
      </w:r>
      <w:r w:rsidR="00CC2FC7" w:rsidRPr="0015541C">
        <w:rPr>
          <w:lang w:val="pl-PL"/>
        </w:rPr>
        <w:t xml:space="preserve"> </w:t>
      </w:r>
      <w:r w:rsidR="00755F4B" w:rsidRPr="0015541C">
        <w:rPr>
          <w:lang w:val="pl-PL"/>
        </w:rPr>
        <w:t xml:space="preserve">ponieważ nie określono bezpieczeństwa i skuteczności </w:t>
      </w:r>
      <w:r w:rsidR="00A0395B" w:rsidRPr="0015541C">
        <w:rPr>
          <w:lang w:val="pl-PL"/>
        </w:rPr>
        <w:t xml:space="preserve">jego stosowania </w:t>
      </w:r>
      <w:r w:rsidR="00755F4B" w:rsidRPr="0015541C">
        <w:rPr>
          <w:lang w:val="pl-PL"/>
        </w:rPr>
        <w:t>w tych grupach chorych.</w:t>
      </w:r>
    </w:p>
    <w:p w14:paraId="09031ABC" w14:textId="77777777" w:rsidR="009A36DF" w:rsidRPr="0015541C" w:rsidRDefault="009A36DF" w:rsidP="002A2453">
      <w:pPr>
        <w:rPr>
          <w:lang w:val="pl-PL"/>
        </w:rPr>
      </w:pPr>
    </w:p>
    <w:p w14:paraId="572545C8" w14:textId="77777777" w:rsidR="009A36DF" w:rsidRPr="0015541C" w:rsidRDefault="009A36DF" w:rsidP="002A2453">
      <w:pPr>
        <w:rPr>
          <w:lang w:val="pl-PL"/>
        </w:rPr>
      </w:pPr>
      <w:r w:rsidRPr="0015541C">
        <w:rPr>
          <w:lang w:val="pl-PL"/>
        </w:rPr>
        <w:t xml:space="preserve">Zgłaszano przypadki martwicy kości innych niż szczęki lub żuchwy u pacjentów w wieku poniżej </w:t>
      </w:r>
      <w:r w:rsidR="00ED27C6" w:rsidRPr="0015541C">
        <w:rPr>
          <w:lang w:val="pl-PL"/>
        </w:rPr>
        <w:br/>
      </w:r>
      <w:r w:rsidRPr="0015541C">
        <w:rPr>
          <w:lang w:val="pl-PL"/>
        </w:rPr>
        <w:t xml:space="preserve">18 lat leczonych lekiem </w:t>
      </w:r>
      <w:r w:rsidR="00C87F12" w:rsidRPr="0015541C">
        <w:rPr>
          <w:lang w:val="pl-PL"/>
        </w:rPr>
        <w:t>Aybintio</w:t>
      </w:r>
      <w:r w:rsidRPr="0015541C">
        <w:rPr>
          <w:lang w:val="pl-PL"/>
        </w:rPr>
        <w:t>.</w:t>
      </w:r>
    </w:p>
    <w:p w14:paraId="4BF2FF4B" w14:textId="77777777" w:rsidR="00224BC0" w:rsidRPr="0015541C" w:rsidRDefault="00224BC0" w:rsidP="002A2453">
      <w:pPr>
        <w:rPr>
          <w:b/>
          <w:lang w:val="pl-PL"/>
        </w:rPr>
      </w:pPr>
    </w:p>
    <w:p w14:paraId="4438C0D4" w14:textId="77777777" w:rsidR="002A2453" w:rsidRPr="0015541C" w:rsidRDefault="008B0A3E" w:rsidP="002A2453">
      <w:pPr>
        <w:rPr>
          <w:b/>
          <w:lang w:val="pl-PL"/>
        </w:rPr>
      </w:pPr>
      <w:r w:rsidRPr="0015541C">
        <w:rPr>
          <w:b/>
          <w:lang w:val="pl-PL"/>
        </w:rPr>
        <w:t>Lek</w:t>
      </w:r>
      <w:r w:rsidR="002A2453" w:rsidRPr="0015541C">
        <w:rPr>
          <w:b/>
          <w:lang w:val="pl-PL"/>
        </w:rPr>
        <w:t xml:space="preserve"> </w:t>
      </w:r>
      <w:bookmarkStart w:id="5" w:name="_Hlk40179247"/>
      <w:r w:rsidR="00C87F12" w:rsidRPr="0015541C">
        <w:rPr>
          <w:b/>
          <w:lang w:val="pl-PL"/>
        </w:rPr>
        <w:t>Aybintio</w:t>
      </w:r>
      <w:bookmarkEnd w:id="5"/>
      <w:r w:rsidRPr="0015541C">
        <w:rPr>
          <w:b/>
          <w:lang w:val="pl-PL"/>
        </w:rPr>
        <w:t xml:space="preserve"> a inne leki</w:t>
      </w:r>
    </w:p>
    <w:p w14:paraId="504A6406" w14:textId="77777777" w:rsidR="002A2453" w:rsidRPr="0015541C" w:rsidRDefault="002A2453" w:rsidP="002A2453">
      <w:pPr>
        <w:rPr>
          <w:lang w:val="pl-PL"/>
        </w:rPr>
      </w:pPr>
      <w:r w:rsidRPr="0015541C">
        <w:rPr>
          <w:lang w:val="pl-PL"/>
        </w:rPr>
        <w:t xml:space="preserve">Należy powiedzieć lekarzowi, farmaceucie lub pielęgniarce o wszystkich </w:t>
      </w:r>
      <w:r w:rsidRPr="0015541C">
        <w:rPr>
          <w:snapToGrid w:val="0"/>
          <w:szCs w:val="24"/>
          <w:lang w:val="pl-PL"/>
        </w:rPr>
        <w:t xml:space="preserve">lekach </w:t>
      </w:r>
      <w:r w:rsidRPr="0015541C">
        <w:rPr>
          <w:lang w:val="pl-PL"/>
        </w:rPr>
        <w:t xml:space="preserve">przyjmowanych </w:t>
      </w:r>
      <w:r w:rsidRPr="0015541C">
        <w:rPr>
          <w:snapToGrid w:val="0"/>
          <w:szCs w:val="24"/>
          <w:lang w:val="pl-PL"/>
        </w:rPr>
        <w:t xml:space="preserve">obecnie lub </w:t>
      </w:r>
      <w:r w:rsidRPr="0015541C">
        <w:rPr>
          <w:lang w:val="pl-PL"/>
        </w:rPr>
        <w:t xml:space="preserve">ostatnio </w:t>
      </w:r>
      <w:r w:rsidRPr="0015541C">
        <w:rPr>
          <w:snapToGrid w:val="0"/>
          <w:szCs w:val="24"/>
          <w:lang w:val="pl-PL"/>
        </w:rPr>
        <w:t>a także o lekach</w:t>
      </w:r>
      <w:r w:rsidRPr="0015541C">
        <w:rPr>
          <w:lang w:val="pl-PL"/>
        </w:rPr>
        <w:t xml:space="preserve">, które </w:t>
      </w:r>
      <w:r w:rsidRPr="0015541C">
        <w:rPr>
          <w:snapToGrid w:val="0"/>
          <w:szCs w:val="24"/>
          <w:lang w:val="pl-PL"/>
        </w:rPr>
        <w:t>pacjent planuje przyjmować</w:t>
      </w:r>
      <w:r w:rsidRPr="0015541C">
        <w:rPr>
          <w:lang w:val="pl-PL"/>
        </w:rPr>
        <w:t>.</w:t>
      </w:r>
    </w:p>
    <w:p w14:paraId="50EC204E" w14:textId="77777777" w:rsidR="002A2453" w:rsidRPr="0015541C" w:rsidRDefault="002A2453" w:rsidP="002A2453">
      <w:pPr>
        <w:outlineLvl w:val="0"/>
        <w:rPr>
          <w:lang w:val="pl-PL"/>
        </w:rPr>
      </w:pPr>
    </w:p>
    <w:p w14:paraId="0DA04048" w14:textId="77777777" w:rsidR="002A2453" w:rsidRPr="0015541C" w:rsidRDefault="002A2453" w:rsidP="002A2453">
      <w:pPr>
        <w:outlineLvl w:val="0"/>
        <w:rPr>
          <w:bCs/>
          <w:lang w:val="pl-PL"/>
        </w:rPr>
      </w:pPr>
      <w:r w:rsidRPr="0015541C">
        <w:rPr>
          <w:bCs/>
          <w:lang w:val="pl-PL"/>
        </w:rPr>
        <w:t xml:space="preserve">Jednoczesne stosowanie leku </w:t>
      </w:r>
      <w:r w:rsidR="00C87F12" w:rsidRPr="0015541C">
        <w:rPr>
          <w:bCs/>
          <w:lang w:val="pl-PL"/>
        </w:rPr>
        <w:t>Aybintio</w:t>
      </w:r>
      <w:r w:rsidRPr="0015541C">
        <w:rPr>
          <w:bCs/>
          <w:lang w:val="pl-PL"/>
        </w:rPr>
        <w:t xml:space="preserve"> z innym lekiem zwanym jabłczanem sunitynibu (lek stosowany z powodu raka nerki i raka przewodu pokarmowego) może powodować ciężkie objawy niepożądane. Należy omówić to z lekarzem, aby upewnić się, że nie zastosuje się jednocześnie tych leków.</w:t>
      </w:r>
    </w:p>
    <w:p w14:paraId="57CECBDE" w14:textId="77777777" w:rsidR="002A2453" w:rsidRPr="0015541C" w:rsidRDefault="002A2453" w:rsidP="002A2453">
      <w:pPr>
        <w:outlineLvl w:val="0"/>
        <w:rPr>
          <w:lang w:val="pl-PL"/>
        </w:rPr>
      </w:pPr>
    </w:p>
    <w:p w14:paraId="336FE8F4" w14:textId="77777777" w:rsidR="002A2453" w:rsidRPr="0015541C" w:rsidRDefault="002A2453" w:rsidP="002A2453">
      <w:pPr>
        <w:outlineLvl w:val="0"/>
        <w:rPr>
          <w:rFonts w:eastAsia="MS Mincho"/>
          <w:szCs w:val="22"/>
          <w:lang w:val="pl-PL"/>
        </w:rPr>
      </w:pPr>
      <w:r w:rsidRPr="0015541C">
        <w:rPr>
          <w:lang w:val="pl-PL"/>
        </w:rPr>
        <w:t xml:space="preserve">Należy powiedzieć lekarzowi, jeśli pacjent przyjmuje terapię opartą na lekach zawierających platynę lub taksany z powodu raka płuc lub </w:t>
      </w:r>
      <w:r w:rsidRPr="0015541C">
        <w:rPr>
          <w:rFonts w:eastAsia="MS Mincho"/>
          <w:szCs w:val="22"/>
          <w:lang w:val="pl-PL"/>
        </w:rPr>
        <w:t xml:space="preserve">rozsianego raka piersi. Takie leczenie w </w:t>
      </w:r>
      <w:r w:rsidR="00BD18E1" w:rsidRPr="0015541C">
        <w:rPr>
          <w:rFonts w:eastAsia="MS Mincho"/>
          <w:szCs w:val="22"/>
          <w:lang w:val="pl-PL"/>
        </w:rPr>
        <w:t>skojarzeniu</w:t>
      </w:r>
      <w:r w:rsidRPr="0015541C">
        <w:rPr>
          <w:rFonts w:eastAsia="MS Mincho"/>
          <w:szCs w:val="22"/>
          <w:lang w:val="pl-PL"/>
        </w:rPr>
        <w:t xml:space="preserve"> z lekiem </w:t>
      </w:r>
      <w:r w:rsidR="00C87F12" w:rsidRPr="0015541C">
        <w:rPr>
          <w:rFonts w:eastAsia="MS Mincho"/>
          <w:szCs w:val="22"/>
          <w:lang w:val="pl-PL"/>
        </w:rPr>
        <w:t>Aybintio</w:t>
      </w:r>
      <w:r w:rsidRPr="0015541C">
        <w:rPr>
          <w:rFonts w:eastAsia="MS Mincho"/>
          <w:szCs w:val="22"/>
          <w:lang w:val="pl-PL"/>
        </w:rPr>
        <w:t xml:space="preserve"> może zwiększać ryzyko ciężkich zdarzeń niepożądanych.</w:t>
      </w:r>
    </w:p>
    <w:p w14:paraId="6748A24B" w14:textId="77777777" w:rsidR="002A2453" w:rsidRPr="0015541C" w:rsidRDefault="002A2453" w:rsidP="002A2453">
      <w:pPr>
        <w:outlineLvl w:val="0"/>
        <w:rPr>
          <w:lang w:val="pl-PL"/>
        </w:rPr>
      </w:pPr>
    </w:p>
    <w:p w14:paraId="6887064A" w14:textId="77777777" w:rsidR="002A2453" w:rsidRPr="0015541C" w:rsidRDefault="002A2453" w:rsidP="002A2453">
      <w:pPr>
        <w:outlineLvl w:val="0"/>
        <w:rPr>
          <w:lang w:val="pl-PL"/>
        </w:rPr>
      </w:pPr>
      <w:r w:rsidRPr="0015541C">
        <w:rPr>
          <w:lang w:val="pl-PL"/>
        </w:rPr>
        <w:t>Należy poinformować lekarza, czy ostatnio otrzymywano lub otrzymuje się radioterapię.</w:t>
      </w:r>
    </w:p>
    <w:p w14:paraId="1F092611" w14:textId="77777777" w:rsidR="002A2453" w:rsidRPr="0015541C" w:rsidRDefault="002A2453" w:rsidP="002A2453">
      <w:pPr>
        <w:outlineLvl w:val="0"/>
        <w:rPr>
          <w:b/>
          <w:lang w:val="pl-PL"/>
        </w:rPr>
      </w:pPr>
    </w:p>
    <w:p w14:paraId="3D062435" w14:textId="77777777" w:rsidR="002A2453" w:rsidRPr="0015541C" w:rsidRDefault="002A2453" w:rsidP="00586143">
      <w:pPr>
        <w:keepNext/>
        <w:outlineLvl w:val="0"/>
        <w:rPr>
          <w:b/>
          <w:lang w:val="pl-PL"/>
        </w:rPr>
      </w:pPr>
      <w:r w:rsidRPr="0015541C">
        <w:rPr>
          <w:b/>
          <w:lang w:val="pl-PL"/>
        </w:rPr>
        <w:t>Ciąża, karmienie piersią</w:t>
      </w:r>
      <w:r w:rsidRPr="0015541C">
        <w:rPr>
          <w:b/>
          <w:snapToGrid w:val="0"/>
          <w:szCs w:val="24"/>
          <w:lang w:val="pl-PL"/>
        </w:rPr>
        <w:t xml:space="preserve"> i wpływ na płodność</w:t>
      </w:r>
    </w:p>
    <w:p w14:paraId="2FA7CA6A" w14:textId="77777777" w:rsidR="002A2453" w:rsidRPr="0015541C" w:rsidRDefault="002A2453" w:rsidP="00586143">
      <w:pPr>
        <w:keepNext/>
        <w:rPr>
          <w:lang w:val="pl-PL"/>
        </w:rPr>
      </w:pPr>
      <w:r w:rsidRPr="0015541C">
        <w:rPr>
          <w:lang w:val="pl-PL"/>
        </w:rPr>
        <w:t xml:space="preserve">Nie stosować leku </w:t>
      </w:r>
      <w:r w:rsidR="00C87F12" w:rsidRPr="0015541C">
        <w:rPr>
          <w:lang w:val="pl-PL"/>
        </w:rPr>
        <w:t>Aybintio</w:t>
      </w:r>
      <w:r w:rsidRPr="0015541C">
        <w:rPr>
          <w:lang w:val="pl-PL"/>
        </w:rPr>
        <w:t xml:space="preserve"> w trakcie ciąży. </w:t>
      </w:r>
      <w:r w:rsidR="00C87F12" w:rsidRPr="0015541C">
        <w:rPr>
          <w:lang w:val="pl-PL"/>
        </w:rPr>
        <w:t>Aybintio</w:t>
      </w:r>
      <w:r w:rsidRPr="0015541C">
        <w:rPr>
          <w:lang w:val="pl-PL"/>
        </w:rPr>
        <w:t xml:space="preserve"> może spowodować uszkodzenie nienarodzonego dziecka, ponieważ może hamować rozwój nowych naczyń krwionośnych. Lekarz prowadzący powinien poinformować pacjenta o metodach antykoncepcji w czasie terapii lekiem </w:t>
      </w:r>
      <w:r w:rsidR="00C87F12" w:rsidRPr="0015541C">
        <w:rPr>
          <w:lang w:val="pl-PL"/>
        </w:rPr>
        <w:t>Aybintio</w:t>
      </w:r>
      <w:r w:rsidRPr="0015541C">
        <w:rPr>
          <w:lang w:val="pl-PL"/>
        </w:rPr>
        <w:t xml:space="preserve"> i co najmniej przez 6 miesięcy od momentu podania ostatniej dawki leku </w:t>
      </w:r>
      <w:r w:rsidR="00C87F12" w:rsidRPr="0015541C">
        <w:rPr>
          <w:lang w:val="pl-PL"/>
        </w:rPr>
        <w:t>Aybintio</w:t>
      </w:r>
      <w:r w:rsidRPr="0015541C">
        <w:rPr>
          <w:lang w:val="pl-PL"/>
        </w:rPr>
        <w:t xml:space="preserve">. </w:t>
      </w:r>
    </w:p>
    <w:p w14:paraId="530D1115" w14:textId="77777777" w:rsidR="002A2453" w:rsidRPr="0015541C" w:rsidRDefault="002A2453" w:rsidP="002A2453">
      <w:pPr>
        <w:rPr>
          <w:lang w:val="pl-PL"/>
        </w:rPr>
      </w:pPr>
    </w:p>
    <w:p w14:paraId="375544E5" w14:textId="77777777" w:rsidR="002A2453" w:rsidRPr="0015541C" w:rsidRDefault="002A2453" w:rsidP="002A2453">
      <w:pPr>
        <w:rPr>
          <w:lang w:val="pl-PL"/>
        </w:rPr>
      </w:pPr>
      <w:r w:rsidRPr="0015541C">
        <w:rPr>
          <w:lang w:val="pl-PL"/>
        </w:rPr>
        <w:t xml:space="preserve">Należy natychmiast poinformować lekarza, jeśli pacjentka jest w ciąży, zaszła w ciążę w trakcie terapii lekiem </w:t>
      </w:r>
      <w:r w:rsidR="00C87F12" w:rsidRPr="0015541C">
        <w:rPr>
          <w:lang w:val="pl-PL"/>
        </w:rPr>
        <w:t>Aybintio</w:t>
      </w:r>
      <w:r w:rsidRPr="0015541C">
        <w:rPr>
          <w:lang w:val="pl-PL"/>
        </w:rPr>
        <w:t xml:space="preserve"> lub zamierza być w ciąży w niedalekiej przyszłości. </w:t>
      </w:r>
    </w:p>
    <w:p w14:paraId="5D40DF1B" w14:textId="77777777" w:rsidR="002A2453" w:rsidRPr="0015541C" w:rsidRDefault="002A2453" w:rsidP="002A2453">
      <w:pPr>
        <w:ind w:left="567" w:hanging="567"/>
        <w:rPr>
          <w:lang w:val="pl-PL"/>
        </w:rPr>
      </w:pPr>
    </w:p>
    <w:p w14:paraId="1CBBE774" w14:textId="77777777" w:rsidR="002A2453" w:rsidRPr="0015541C" w:rsidRDefault="002A2453" w:rsidP="002A2453">
      <w:pPr>
        <w:rPr>
          <w:lang w:val="pl-PL"/>
        </w:rPr>
      </w:pPr>
      <w:r w:rsidRPr="0015541C">
        <w:rPr>
          <w:lang w:val="pl-PL"/>
        </w:rPr>
        <w:t xml:space="preserve">Nie karmić piersią w trakcie terapii lekiem </w:t>
      </w:r>
      <w:r w:rsidR="00C87F12" w:rsidRPr="0015541C">
        <w:rPr>
          <w:lang w:val="pl-PL"/>
        </w:rPr>
        <w:t>Aybintio</w:t>
      </w:r>
      <w:r w:rsidRPr="0015541C">
        <w:rPr>
          <w:lang w:val="pl-PL"/>
        </w:rPr>
        <w:t xml:space="preserve"> i co najmniej przez 6 miesięcy od momentu podania ostatniej dawki leku </w:t>
      </w:r>
      <w:r w:rsidR="00C87F12" w:rsidRPr="0015541C">
        <w:rPr>
          <w:lang w:val="pl-PL"/>
        </w:rPr>
        <w:t>Aybintio</w:t>
      </w:r>
      <w:r w:rsidRPr="0015541C">
        <w:rPr>
          <w:lang w:val="pl-PL"/>
        </w:rPr>
        <w:t>, ponieważ lek może negatywnie wpływać na wzrost i rozwój dziecka.</w:t>
      </w:r>
    </w:p>
    <w:p w14:paraId="6FAAFC0B" w14:textId="77777777" w:rsidR="00777F1C" w:rsidRPr="0015541C" w:rsidRDefault="00777F1C" w:rsidP="002A2453">
      <w:pPr>
        <w:rPr>
          <w:lang w:val="pl-PL"/>
        </w:rPr>
      </w:pPr>
    </w:p>
    <w:p w14:paraId="0D9426F6" w14:textId="77777777" w:rsidR="00777F1C" w:rsidRPr="0015541C" w:rsidRDefault="00C87F12" w:rsidP="002A2453">
      <w:pPr>
        <w:rPr>
          <w:lang w:val="pl-PL"/>
        </w:rPr>
      </w:pPr>
      <w:r w:rsidRPr="0015541C">
        <w:rPr>
          <w:lang w:val="pl-PL"/>
        </w:rPr>
        <w:t>Aybintio</w:t>
      </w:r>
      <w:r w:rsidR="00777F1C" w:rsidRPr="0015541C">
        <w:rPr>
          <w:lang w:val="pl-PL"/>
        </w:rPr>
        <w:t xml:space="preserve"> może wpłynąć niekorzystnie na płodność kobiety. W celu uzyskania dodatkowych informacji, należy skonsultować się z lekarzem.</w:t>
      </w:r>
    </w:p>
    <w:p w14:paraId="07A773AD" w14:textId="77777777" w:rsidR="002A2453" w:rsidRPr="0015541C" w:rsidRDefault="002A2453" w:rsidP="002A2453">
      <w:pPr>
        <w:ind w:left="567" w:hanging="567"/>
        <w:outlineLvl w:val="0"/>
        <w:rPr>
          <w:lang w:val="pl-PL"/>
        </w:rPr>
      </w:pPr>
    </w:p>
    <w:p w14:paraId="3E0D7230" w14:textId="77777777" w:rsidR="002A2453" w:rsidRPr="0015541C" w:rsidRDefault="002A2453" w:rsidP="002A2453">
      <w:pPr>
        <w:ind w:left="567" w:hanging="567"/>
        <w:outlineLvl w:val="0"/>
        <w:rPr>
          <w:lang w:val="pl-PL"/>
        </w:rPr>
      </w:pPr>
      <w:r w:rsidRPr="0015541C">
        <w:rPr>
          <w:lang w:val="pl-PL"/>
        </w:rPr>
        <w:t>Przed zastosowaniem jakiegokolwiek leku należy poradzić się lekarza, farmaceuty lub pielęgniarki.</w:t>
      </w:r>
    </w:p>
    <w:p w14:paraId="24E27A13" w14:textId="77777777" w:rsidR="002A2453" w:rsidRPr="0015541C" w:rsidRDefault="002A2453" w:rsidP="002A2453">
      <w:pPr>
        <w:ind w:left="567" w:hanging="567"/>
        <w:outlineLvl w:val="0"/>
        <w:rPr>
          <w:lang w:val="pl-PL"/>
        </w:rPr>
      </w:pPr>
    </w:p>
    <w:p w14:paraId="1F71EE31" w14:textId="77777777" w:rsidR="002A2453" w:rsidRPr="0015541C" w:rsidRDefault="002A2453" w:rsidP="002A2453">
      <w:pPr>
        <w:rPr>
          <w:b/>
          <w:lang w:val="pl-PL"/>
        </w:rPr>
      </w:pPr>
      <w:r w:rsidRPr="0015541C">
        <w:rPr>
          <w:b/>
          <w:lang w:val="pl-PL"/>
        </w:rPr>
        <w:t>Prowadzenie pojazdów i obsługa maszyn</w:t>
      </w:r>
    </w:p>
    <w:p w14:paraId="70CB859F" w14:textId="77777777" w:rsidR="006A310C" w:rsidRPr="0015541C" w:rsidRDefault="002A2453" w:rsidP="002A2453">
      <w:pPr>
        <w:rPr>
          <w:lang w:val="pl-PL"/>
        </w:rPr>
      </w:pPr>
      <w:r w:rsidRPr="0015541C">
        <w:rPr>
          <w:lang w:val="pl-PL"/>
        </w:rPr>
        <w:t xml:space="preserve">Nie stwierdzono, żeby lek </w:t>
      </w:r>
      <w:r w:rsidR="00C87F12" w:rsidRPr="0015541C">
        <w:rPr>
          <w:lang w:val="pl-PL"/>
        </w:rPr>
        <w:t>Aybintio</w:t>
      </w:r>
      <w:r w:rsidRPr="0015541C">
        <w:rPr>
          <w:lang w:val="pl-PL"/>
        </w:rPr>
        <w:t xml:space="preserve"> powodował u pacjenta </w:t>
      </w:r>
      <w:r w:rsidR="00777F1C" w:rsidRPr="0015541C">
        <w:rPr>
          <w:lang w:val="pl-PL"/>
        </w:rPr>
        <w:t xml:space="preserve">zmniejszenie </w:t>
      </w:r>
      <w:r w:rsidRPr="0015541C">
        <w:rPr>
          <w:lang w:val="pl-PL"/>
        </w:rPr>
        <w:t>zdolności kierowania pojazdami, posługiwania się narzędziami lub obsługi maszyn.</w:t>
      </w:r>
      <w:r w:rsidR="001456DF" w:rsidRPr="0015541C">
        <w:rPr>
          <w:lang w:val="pl-PL"/>
        </w:rPr>
        <w:br/>
        <w:t xml:space="preserve">Jednakże, u chorych przyjmujących lek </w:t>
      </w:r>
      <w:r w:rsidR="00C87F12" w:rsidRPr="0015541C">
        <w:rPr>
          <w:lang w:val="pl-PL"/>
        </w:rPr>
        <w:t>Aybintio</w:t>
      </w:r>
      <w:r w:rsidR="001456DF" w:rsidRPr="0015541C">
        <w:rPr>
          <w:lang w:val="pl-PL"/>
        </w:rPr>
        <w:t xml:space="preserve"> zgłaszano przypadki senności i omdlenia. Jeżeli </w:t>
      </w:r>
      <w:r w:rsidR="001456DF" w:rsidRPr="0015541C">
        <w:rPr>
          <w:lang w:val="pl-PL"/>
        </w:rPr>
        <w:lastRenderedPageBreak/>
        <w:t>wystąpią objawy wpływające na widzenie, koncentrację lub zdolność do reakcji, nie należy p</w:t>
      </w:r>
      <w:r w:rsidR="00F346DD" w:rsidRPr="0015541C">
        <w:rPr>
          <w:lang w:val="pl-PL"/>
        </w:rPr>
        <w:t xml:space="preserve">rowadzić pojazdów </w:t>
      </w:r>
      <w:r w:rsidR="001456DF" w:rsidRPr="0015541C">
        <w:rPr>
          <w:lang w:val="pl-PL"/>
        </w:rPr>
        <w:t xml:space="preserve">i obsługiwać maszyn do czasu </w:t>
      </w:r>
      <w:r w:rsidR="00F346DD" w:rsidRPr="0015541C">
        <w:rPr>
          <w:lang w:val="pl-PL"/>
        </w:rPr>
        <w:t xml:space="preserve">ustąpienia tych </w:t>
      </w:r>
      <w:r w:rsidR="006A310C" w:rsidRPr="0015541C">
        <w:rPr>
          <w:lang w:val="pl-PL"/>
        </w:rPr>
        <w:t>objawów.</w:t>
      </w:r>
    </w:p>
    <w:p w14:paraId="4AD20AF7" w14:textId="77777777" w:rsidR="00BE61A6" w:rsidRPr="0070444C" w:rsidRDefault="00BE61A6" w:rsidP="002A2453">
      <w:pPr>
        <w:rPr>
          <w:b/>
          <w:lang w:val="pl-PL"/>
        </w:rPr>
      </w:pPr>
    </w:p>
    <w:p w14:paraId="76FB7646" w14:textId="73FCC346" w:rsidR="00BE61A6" w:rsidRPr="0015541C" w:rsidRDefault="0048590C" w:rsidP="002A2453">
      <w:pPr>
        <w:rPr>
          <w:b/>
          <w:lang w:val="pl-PL"/>
        </w:rPr>
      </w:pPr>
      <w:r>
        <w:rPr>
          <w:b/>
          <w:lang w:val="pl-PL"/>
        </w:rPr>
        <w:t xml:space="preserve">Lek </w:t>
      </w:r>
      <w:r w:rsidR="00C87F12" w:rsidRPr="0015541C">
        <w:rPr>
          <w:b/>
          <w:lang w:val="pl-PL"/>
        </w:rPr>
        <w:t>Aybintio</w:t>
      </w:r>
      <w:r>
        <w:rPr>
          <w:b/>
          <w:lang w:val="pl-PL"/>
        </w:rPr>
        <w:t xml:space="preserve"> zawiera sód i polisorbat 20</w:t>
      </w:r>
    </w:p>
    <w:p w14:paraId="27F565C0" w14:textId="73316647" w:rsidR="00BE61A6" w:rsidRPr="0015541C" w:rsidRDefault="004F6092" w:rsidP="002A2453">
      <w:pPr>
        <w:rPr>
          <w:lang w:val="pl-PL"/>
        </w:rPr>
      </w:pPr>
      <w:r w:rsidRPr="0015541C">
        <w:rPr>
          <w:lang w:val="pl-PL"/>
        </w:rPr>
        <w:t>L</w:t>
      </w:r>
      <w:r w:rsidR="00BE61A6" w:rsidRPr="0015541C">
        <w:rPr>
          <w:lang w:val="pl-PL"/>
        </w:rPr>
        <w:t xml:space="preserve">ek zawiera mniej niż 1 mmol (23 mg) </w:t>
      </w:r>
      <w:r w:rsidRPr="0015541C">
        <w:rPr>
          <w:lang w:val="pl-PL"/>
        </w:rPr>
        <w:t xml:space="preserve">sodu na </w:t>
      </w:r>
      <w:r w:rsidR="00BE61A6" w:rsidRPr="0015541C">
        <w:rPr>
          <w:lang w:val="pl-PL"/>
        </w:rPr>
        <w:t>fiol</w:t>
      </w:r>
      <w:r w:rsidRPr="0015541C">
        <w:rPr>
          <w:lang w:val="pl-PL"/>
        </w:rPr>
        <w:t>kę,</w:t>
      </w:r>
      <w:r w:rsidR="00BE61A6" w:rsidRPr="0015541C">
        <w:rPr>
          <w:lang w:val="pl-PL"/>
        </w:rPr>
        <w:t xml:space="preserve"> to znaczy lek uznaje się za „wolny od sodu”.</w:t>
      </w:r>
    </w:p>
    <w:p w14:paraId="0C4D3638" w14:textId="77777777" w:rsidR="00F346DD" w:rsidRDefault="00F346DD" w:rsidP="002A2453">
      <w:pPr>
        <w:rPr>
          <w:lang w:val="pl-PL"/>
        </w:rPr>
      </w:pPr>
    </w:p>
    <w:p w14:paraId="0C47CCDD" w14:textId="084F0742" w:rsidR="0048590C" w:rsidRPr="0015541C" w:rsidRDefault="0048590C" w:rsidP="002A2453">
      <w:pPr>
        <w:rPr>
          <w:lang w:val="pl-PL"/>
        </w:rPr>
      </w:pPr>
      <w:r w:rsidRPr="0048590C">
        <w:rPr>
          <w:rFonts w:eastAsia="Times New Roman"/>
          <w:lang w:val="pl-PL"/>
        </w:rPr>
        <w:t>Ten lek zawiera 1,6 mg polisorbatu 20 w każdej fiolce 100 mg/4 ml i 6,4 mg w każdej fiolce 400 mg/16 ml, co odpowiada stężeniu 0,4 mg/ml. Polisorbaty mogą powodować reakcje alergiczne. Należy poinformować lekarza, jeśli u pacjenta występują jakiekolwiek reakcje alergiczne.</w:t>
      </w:r>
    </w:p>
    <w:p w14:paraId="0925B00E" w14:textId="77777777" w:rsidR="00D22841" w:rsidRDefault="00D22841" w:rsidP="002A2453">
      <w:pPr>
        <w:rPr>
          <w:lang w:val="pl-PL"/>
        </w:rPr>
      </w:pPr>
    </w:p>
    <w:p w14:paraId="7CCD8A53" w14:textId="77777777" w:rsidR="00FF4492" w:rsidRPr="0015541C" w:rsidRDefault="00FF4492" w:rsidP="002A2453">
      <w:pPr>
        <w:rPr>
          <w:lang w:val="pl-PL"/>
        </w:rPr>
      </w:pPr>
    </w:p>
    <w:p w14:paraId="05DFB4EC" w14:textId="77777777" w:rsidR="002A2453" w:rsidRPr="0015541C" w:rsidRDefault="002A2453" w:rsidP="009E44C7">
      <w:pPr>
        <w:keepNext/>
        <w:keepLines/>
        <w:ind w:left="567" w:hanging="567"/>
        <w:rPr>
          <w:b/>
          <w:lang w:val="pl-PL"/>
        </w:rPr>
      </w:pPr>
      <w:r w:rsidRPr="0015541C">
        <w:rPr>
          <w:b/>
          <w:lang w:val="pl-PL"/>
        </w:rPr>
        <w:t>3.</w:t>
      </w:r>
      <w:r w:rsidRPr="0015541C">
        <w:rPr>
          <w:b/>
          <w:lang w:val="pl-PL"/>
        </w:rPr>
        <w:tab/>
        <w:t xml:space="preserve">Jak stosować </w:t>
      </w:r>
      <w:r w:rsidR="00C87F12" w:rsidRPr="0015541C">
        <w:rPr>
          <w:b/>
          <w:lang w:val="pl-PL"/>
        </w:rPr>
        <w:t>Aybintio</w:t>
      </w:r>
    </w:p>
    <w:p w14:paraId="722C7F2C" w14:textId="77777777" w:rsidR="002A2453" w:rsidRPr="0015541C" w:rsidRDefault="002A2453" w:rsidP="009E44C7">
      <w:pPr>
        <w:keepNext/>
        <w:keepLines/>
        <w:numPr>
          <w:ilvl w:val="12"/>
          <w:numId w:val="0"/>
        </w:numPr>
        <w:ind w:right="-2"/>
        <w:outlineLvl w:val="0"/>
        <w:rPr>
          <w:b/>
          <w:lang w:val="pl-PL"/>
        </w:rPr>
      </w:pPr>
    </w:p>
    <w:p w14:paraId="3017B917" w14:textId="0E2135FF" w:rsidR="002A2453" w:rsidRPr="0015541C" w:rsidRDefault="004F6092" w:rsidP="009E44C7">
      <w:pPr>
        <w:keepNext/>
        <w:keepLines/>
        <w:numPr>
          <w:ilvl w:val="12"/>
          <w:numId w:val="0"/>
        </w:numPr>
        <w:ind w:right="-2"/>
        <w:outlineLvl w:val="0"/>
        <w:rPr>
          <w:b/>
          <w:lang w:val="pl-PL"/>
        </w:rPr>
      </w:pPr>
      <w:r w:rsidRPr="0015541C">
        <w:rPr>
          <w:b/>
          <w:lang w:val="pl-PL"/>
        </w:rPr>
        <w:t xml:space="preserve">Dawka </w:t>
      </w:r>
      <w:r w:rsidR="002A2453" w:rsidRPr="0015541C">
        <w:rPr>
          <w:b/>
          <w:lang w:val="pl-PL"/>
        </w:rPr>
        <w:t>i częstość podawania</w:t>
      </w:r>
    </w:p>
    <w:p w14:paraId="192475CF" w14:textId="77777777" w:rsidR="002A2453" w:rsidRPr="0015541C" w:rsidRDefault="002A2453" w:rsidP="009E44C7">
      <w:pPr>
        <w:keepNext/>
        <w:keepLines/>
        <w:autoSpaceDE w:val="0"/>
        <w:autoSpaceDN w:val="0"/>
        <w:adjustRightInd w:val="0"/>
        <w:rPr>
          <w:rFonts w:eastAsia="MS Mincho"/>
          <w:szCs w:val="22"/>
          <w:lang w:val="pl-PL"/>
        </w:rPr>
      </w:pPr>
      <w:r w:rsidRPr="0015541C">
        <w:rPr>
          <w:rFonts w:eastAsia="MS Mincho"/>
          <w:szCs w:val="22"/>
          <w:lang w:val="pl-PL"/>
        </w:rPr>
        <w:t xml:space="preserve">Dawka leku </w:t>
      </w:r>
      <w:r w:rsidR="00C87F12" w:rsidRPr="0015541C">
        <w:rPr>
          <w:rFonts w:eastAsia="MS Mincho"/>
          <w:szCs w:val="22"/>
          <w:lang w:val="pl-PL"/>
        </w:rPr>
        <w:t>Aybintio</w:t>
      </w:r>
      <w:r w:rsidRPr="0015541C">
        <w:rPr>
          <w:rFonts w:eastAsia="MS Mincho"/>
          <w:szCs w:val="22"/>
          <w:lang w:val="pl-PL"/>
        </w:rPr>
        <w:t xml:space="preserve"> wymaga dostosowania w zależności od masy ciała pacjenta i rodzaju nowotworu, jaki będzie leczony. Zalecana dawka wynosi 5 mg, 7,5 mg, 10 mg lub 15 mg na kg masy ciała pacjenta. Lekarz prowadzący zaleci dawkę odpowiednią dla danego pacjenta. Lek </w:t>
      </w:r>
      <w:r w:rsidR="00C87F12" w:rsidRPr="0015541C">
        <w:rPr>
          <w:rFonts w:eastAsia="MS Mincho"/>
          <w:szCs w:val="22"/>
          <w:lang w:val="pl-PL"/>
        </w:rPr>
        <w:t>Aybintio</w:t>
      </w:r>
      <w:r w:rsidRPr="0015541C">
        <w:rPr>
          <w:rFonts w:eastAsia="MS Mincho"/>
          <w:szCs w:val="22"/>
          <w:lang w:val="pl-PL"/>
        </w:rPr>
        <w:t xml:space="preserve"> jest podawany co 2 lub 3 tygodnie. Ilość infuzji dożylnych podawanych pacjentowi zależy od tego, jaka jest odpowiedź na leczenie, lek powinien być podawany do momentu, gdy stwierdza się, że przestał on być skuteczny w hamowaniu wzrostu nowotworu. Kwestie te mogą być przedyskutowane z lekarzem prowadzącym.</w:t>
      </w:r>
    </w:p>
    <w:p w14:paraId="26C8407F" w14:textId="77777777" w:rsidR="002A2453" w:rsidRPr="0015541C" w:rsidRDefault="002A2453" w:rsidP="002A2453">
      <w:pPr>
        <w:numPr>
          <w:ilvl w:val="12"/>
          <w:numId w:val="0"/>
        </w:numPr>
        <w:ind w:right="-2"/>
        <w:rPr>
          <w:lang w:val="pl-PL"/>
        </w:rPr>
      </w:pPr>
    </w:p>
    <w:p w14:paraId="6B5F07C0" w14:textId="77777777" w:rsidR="002A2453" w:rsidRPr="0015541C" w:rsidRDefault="002A2453" w:rsidP="00C2007F">
      <w:pPr>
        <w:keepNext/>
        <w:keepLines/>
        <w:numPr>
          <w:ilvl w:val="12"/>
          <w:numId w:val="0"/>
        </w:numPr>
        <w:ind w:right="-2"/>
        <w:outlineLvl w:val="0"/>
        <w:rPr>
          <w:b/>
          <w:lang w:val="pl-PL"/>
        </w:rPr>
      </w:pPr>
      <w:r w:rsidRPr="0015541C">
        <w:rPr>
          <w:b/>
          <w:lang w:val="pl-PL"/>
        </w:rPr>
        <w:t>Sposób i droga podania</w:t>
      </w:r>
    </w:p>
    <w:p w14:paraId="37B932C2" w14:textId="315FF434" w:rsidR="002A2453" w:rsidRPr="0015541C" w:rsidRDefault="004E3D54" w:rsidP="00C2007F">
      <w:pPr>
        <w:keepNext/>
        <w:keepLines/>
        <w:autoSpaceDE w:val="0"/>
        <w:autoSpaceDN w:val="0"/>
        <w:adjustRightInd w:val="0"/>
        <w:rPr>
          <w:rFonts w:eastAsia="MS Mincho"/>
          <w:szCs w:val="22"/>
          <w:lang w:val="pl-PL"/>
        </w:rPr>
      </w:pPr>
      <w:bookmarkStart w:id="6" w:name="_Hlk104823377"/>
      <w:r>
        <w:rPr>
          <w:rFonts w:eastAsia="MS Mincho"/>
          <w:szCs w:val="22"/>
          <w:lang w:val="pl-PL"/>
        </w:rPr>
        <w:t xml:space="preserve">Nie wstrząsać fiolką. </w:t>
      </w:r>
      <w:bookmarkEnd w:id="6"/>
      <w:r w:rsidR="002A2453" w:rsidRPr="0015541C">
        <w:rPr>
          <w:rFonts w:eastAsia="MS Mincho"/>
          <w:szCs w:val="22"/>
          <w:lang w:val="pl-PL"/>
        </w:rPr>
        <w:t xml:space="preserve">Lek </w:t>
      </w:r>
      <w:r w:rsidR="00C87F12" w:rsidRPr="0015541C">
        <w:rPr>
          <w:rFonts w:eastAsia="MS Mincho"/>
          <w:szCs w:val="22"/>
          <w:lang w:val="pl-PL"/>
        </w:rPr>
        <w:t>Aybintio</w:t>
      </w:r>
      <w:r w:rsidR="002A2453" w:rsidRPr="0015541C">
        <w:rPr>
          <w:rFonts w:eastAsia="MS Mincho"/>
          <w:szCs w:val="22"/>
          <w:lang w:val="pl-PL"/>
        </w:rPr>
        <w:t xml:space="preserve"> jest koncentratem do sporządzania roztworu do infuzji. W zależności od zaleconej dawki, całość lub część zawartości fiolki będzie rozcieńczona w roztworze chlorku sodu przed podaniem pacjentowi. Lekarz lub pielęgniarka poda rozcieńczony w ten sposób lek </w:t>
      </w:r>
      <w:r w:rsidR="00C87F12" w:rsidRPr="0015541C">
        <w:rPr>
          <w:rFonts w:eastAsia="MS Mincho"/>
          <w:szCs w:val="22"/>
          <w:lang w:val="pl-PL"/>
        </w:rPr>
        <w:t>Aybintio</w:t>
      </w:r>
      <w:r w:rsidR="002A2453" w:rsidRPr="0015541C">
        <w:rPr>
          <w:rFonts w:eastAsia="MS Mincho"/>
          <w:szCs w:val="22"/>
          <w:lang w:val="pl-PL"/>
        </w:rPr>
        <w:t xml:space="preserve"> w formie infuzji dożylnej (kroplówka do żyły). Pierwsza infuzja będzie podawana w ciągu 90 minut. Jeżeli pacjent dobrze tolerował pierwsze podanie, druga infuzja może być podawana w ciągu 60 minut. Kolejne można podawać w ciągu 30 minut. </w:t>
      </w:r>
    </w:p>
    <w:p w14:paraId="56DD066E" w14:textId="77777777" w:rsidR="002A2453" w:rsidRPr="0015541C" w:rsidRDefault="002A2453" w:rsidP="00C2007F">
      <w:pPr>
        <w:keepNext/>
        <w:keepLines/>
        <w:numPr>
          <w:ilvl w:val="12"/>
          <w:numId w:val="0"/>
        </w:numPr>
        <w:ind w:right="-2"/>
        <w:rPr>
          <w:lang w:val="pl-PL"/>
        </w:rPr>
      </w:pPr>
    </w:p>
    <w:p w14:paraId="784C8E83" w14:textId="77777777" w:rsidR="002A2453" w:rsidRPr="0015541C" w:rsidRDefault="002A2453" w:rsidP="002A2453">
      <w:pPr>
        <w:keepNext/>
        <w:autoSpaceDE w:val="0"/>
        <w:autoSpaceDN w:val="0"/>
        <w:adjustRightInd w:val="0"/>
        <w:rPr>
          <w:rFonts w:eastAsia="MS Mincho"/>
          <w:b/>
          <w:szCs w:val="22"/>
          <w:lang w:val="pl-PL"/>
        </w:rPr>
      </w:pPr>
      <w:r w:rsidRPr="0015541C">
        <w:rPr>
          <w:rFonts w:eastAsia="MS Mincho"/>
          <w:b/>
          <w:szCs w:val="22"/>
          <w:lang w:val="pl-PL"/>
        </w:rPr>
        <w:t xml:space="preserve">Podawanie leku </w:t>
      </w:r>
      <w:r w:rsidR="00C87F12" w:rsidRPr="0015541C">
        <w:rPr>
          <w:rFonts w:eastAsia="MS Mincho"/>
          <w:b/>
          <w:szCs w:val="22"/>
          <w:lang w:val="pl-PL"/>
        </w:rPr>
        <w:t>Aybintio</w:t>
      </w:r>
      <w:r w:rsidRPr="0015541C">
        <w:rPr>
          <w:rFonts w:eastAsia="MS Mincho"/>
          <w:b/>
          <w:szCs w:val="22"/>
          <w:lang w:val="pl-PL"/>
        </w:rPr>
        <w:t xml:space="preserve"> powinno być czasowo przerwane, jeżeli</w:t>
      </w:r>
      <w:r w:rsidR="00BC264A" w:rsidRPr="0015541C">
        <w:rPr>
          <w:rFonts w:eastAsia="MS Mincho"/>
          <w:b/>
          <w:szCs w:val="22"/>
          <w:lang w:val="pl-PL"/>
        </w:rPr>
        <w:t>:</w:t>
      </w:r>
    </w:p>
    <w:p w14:paraId="2C042EA7" w14:textId="77777777" w:rsidR="002A2453" w:rsidRPr="0015541C" w:rsidRDefault="00806DEC" w:rsidP="002A2453">
      <w:pPr>
        <w:keepNext/>
        <w:autoSpaceDE w:val="0"/>
        <w:autoSpaceDN w:val="0"/>
        <w:adjustRightInd w:val="0"/>
        <w:ind w:left="540" w:hanging="540"/>
        <w:rPr>
          <w:rFonts w:eastAsia="MS Mincho"/>
          <w:szCs w:val="22"/>
          <w:lang w:val="pl-PL"/>
        </w:rPr>
      </w:pPr>
      <w:r w:rsidRPr="0015541C">
        <w:rPr>
          <w:iCs/>
          <w:lang w:val="pl-PL"/>
        </w:rPr>
        <w:sym w:font="Symbol" w:char="F0B7"/>
      </w:r>
      <w:r w:rsidRPr="0015541C">
        <w:rPr>
          <w:iCs/>
          <w:lang w:val="pl-PL"/>
        </w:rPr>
        <w:tab/>
      </w:r>
      <w:r w:rsidR="002A2453" w:rsidRPr="0015541C">
        <w:rPr>
          <w:rFonts w:eastAsia="MS Mincho"/>
          <w:szCs w:val="22"/>
          <w:lang w:val="pl-PL"/>
        </w:rPr>
        <w:t>u pacjenta występują poważne przypadki podwyższonego ciśnienia krwi, wymagające leczenia z zastosowaniem leków obniżających ciśnienie</w:t>
      </w:r>
      <w:r w:rsidR="00BC264A" w:rsidRPr="00AC3958">
        <w:rPr>
          <w:rFonts w:eastAsia="MS Mincho"/>
          <w:szCs w:val="22"/>
          <w:lang w:val="pl-PL"/>
        </w:rPr>
        <w:t>,</w:t>
      </w:r>
    </w:p>
    <w:p w14:paraId="377E8845" w14:textId="77777777" w:rsidR="002A2453" w:rsidRPr="0015541C" w:rsidRDefault="00806DEC" w:rsidP="002A2453">
      <w:pPr>
        <w:keepNext/>
        <w:autoSpaceDE w:val="0"/>
        <w:autoSpaceDN w:val="0"/>
        <w:adjustRightInd w:val="0"/>
        <w:ind w:left="540" w:hanging="540"/>
        <w:rPr>
          <w:rFonts w:eastAsia="MS Mincho"/>
          <w:szCs w:val="22"/>
          <w:lang w:val="pl-PL"/>
        </w:rPr>
      </w:pPr>
      <w:r w:rsidRPr="0015541C">
        <w:rPr>
          <w:iCs/>
          <w:lang w:val="pl-PL"/>
        </w:rPr>
        <w:sym w:font="Symbol" w:char="F0B7"/>
      </w:r>
      <w:r w:rsidRPr="0015541C">
        <w:rPr>
          <w:iCs/>
          <w:lang w:val="pl-PL"/>
        </w:rPr>
        <w:tab/>
      </w:r>
      <w:r w:rsidR="002A2453" w:rsidRPr="0015541C">
        <w:rPr>
          <w:rFonts w:eastAsia="MS Mincho"/>
          <w:szCs w:val="22"/>
          <w:lang w:val="pl-PL"/>
        </w:rPr>
        <w:t xml:space="preserve">u pacjenta wystąpią problemy z gojeniem ran po zabiegu chirurgicznym, </w:t>
      </w:r>
    </w:p>
    <w:p w14:paraId="0C3EA379" w14:textId="77777777" w:rsidR="002A2453" w:rsidRPr="0015541C" w:rsidRDefault="00806DEC" w:rsidP="002A2453">
      <w:pPr>
        <w:keepNext/>
        <w:autoSpaceDE w:val="0"/>
        <w:autoSpaceDN w:val="0"/>
        <w:adjustRightInd w:val="0"/>
        <w:ind w:left="540" w:hanging="540"/>
        <w:rPr>
          <w:rFonts w:eastAsia="MS Mincho"/>
          <w:szCs w:val="22"/>
          <w:lang w:val="pl-PL"/>
        </w:rPr>
      </w:pPr>
      <w:r w:rsidRPr="0015541C">
        <w:rPr>
          <w:iCs/>
          <w:lang w:val="pl-PL"/>
        </w:rPr>
        <w:sym w:font="Symbol" w:char="F0B7"/>
      </w:r>
      <w:r w:rsidRPr="0015541C">
        <w:rPr>
          <w:iCs/>
          <w:lang w:val="pl-PL"/>
        </w:rPr>
        <w:tab/>
      </w:r>
      <w:r w:rsidR="002A2453" w:rsidRPr="0015541C">
        <w:rPr>
          <w:rFonts w:eastAsia="MS Mincho"/>
          <w:szCs w:val="22"/>
          <w:lang w:val="pl-PL"/>
        </w:rPr>
        <w:t>pacjent poddawany jest zabiegowi chirurgicznemu.</w:t>
      </w:r>
    </w:p>
    <w:p w14:paraId="5A121BB8" w14:textId="77777777" w:rsidR="002A2453" w:rsidRPr="00AC3958" w:rsidRDefault="002A2453" w:rsidP="002A2453">
      <w:pPr>
        <w:autoSpaceDE w:val="0"/>
        <w:autoSpaceDN w:val="0"/>
        <w:adjustRightInd w:val="0"/>
        <w:ind w:left="540" w:hanging="540"/>
        <w:rPr>
          <w:rFonts w:eastAsia="MS Mincho"/>
          <w:szCs w:val="22"/>
          <w:lang w:val="pl-PL"/>
        </w:rPr>
      </w:pPr>
    </w:p>
    <w:p w14:paraId="03BE359E" w14:textId="77777777" w:rsidR="002A2453" w:rsidRPr="0015541C" w:rsidRDefault="002A2453" w:rsidP="007379DB">
      <w:pPr>
        <w:keepNext/>
        <w:keepLines/>
        <w:autoSpaceDE w:val="0"/>
        <w:autoSpaceDN w:val="0"/>
        <w:adjustRightInd w:val="0"/>
        <w:rPr>
          <w:rFonts w:eastAsia="MS Mincho"/>
          <w:b/>
          <w:bCs/>
          <w:szCs w:val="22"/>
          <w:lang w:val="pl-PL"/>
        </w:rPr>
      </w:pPr>
      <w:r w:rsidRPr="0015541C">
        <w:rPr>
          <w:rFonts w:eastAsia="MS Mincho"/>
          <w:b/>
          <w:bCs/>
          <w:szCs w:val="22"/>
          <w:lang w:val="pl-PL"/>
        </w:rPr>
        <w:t xml:space="preserve">Podawanie leku </w:t>
      </w:r>
      <w:r w:rsidR="00C87F12" w:rsidRPr="0015541C">
        <w:rPr>
          <w:rFonts w:eastAsia="MS Mincho"/>
          <w:b/>
          <w:bCs/>
          <w:szCs w:val="22"/>
          <w:lang w:val="pl-PL"/>
        </w:rPr>
        <w:t>Aybintio</w:t>
      </w:r>
      <w:r w:rsidRPr="0015541C">
        <w:rPr>
          <w:rFonts w:eastAsia="MS Mincho"/>
          <w:b/>
          <w:bCs/>
          <w:szCs w:val="22"/>
          <w:lang w:val="pl-PL"/>
        </w:rPr>
        <w:t xml:space="preserve"> powinno być zakończone, jeżeli:</w:t>
      </w:r>
    </w:p>
    <w:p w14:paraId="331BA4B9" w14:textId="77777777" w:rsidR="002A2453" w:rsidRPr="00AC3958" w:rsidRDefault="00806DEC" w:rsidP="007379DB">
      <w:pPr>
        <w:keepNext/>
        <w:keepLines/>
        <w:autoSpaceDE w:val="0"/>
        <w:autoSpaceDN w:val="0"/>
        <w:adjustRightInd w:val="0"/>
        <w:ind w:left="567" w:hanging="567"/>
        <w:rPr>
          <w:rFonts w:eastAsia="MS Mincho"/>
          <w:szCs w:val="22"/>
          <w:lang w:val="pl-PL"/>
        </w:rPr>
      </w:pPr>
      <w:r w:rsidRPr="0015541C">
        <w:rPr>
          <w:iCs/>
          <w:lang w:val="pl-PL"/>
        </w:rPr>
        <w:sym w:font="Symbol" w:char="F0B7"/>
      </w:r>
      <w:r w:rsidRPr="0015541C">
        <w:rPr>
          <w:iCs/>
          <w:lang w:val="pl-PL"/>
        </w:rPr>
        <w:tab/>
      </w:r>
      <w:r w:rsidR="002A2453" w:rsidRPr="0015541C">
        <w:rPr>
          <w:rFonts w:eastAsia="MS Mincho"/>
          <w:szCs w:val="22"/>
          <w:lang w:val="pl-PL"/>
        </w:rPr>
        <w:t>u pacjenta występują poważne przypadki podwyższonego ciśnienia krwi, które nie poddaje się leczeniu lekami przeciwnadciśnieniowymi lub, gdy wystąpi nagłe znaczne podwyższenie ciśnienia,</w:t>
      </w:r>
    </w:p>
    <w:p w14:paraId="468B1B22" w14:textId="77777777" w:rsidR="002A2453" w:rsidRPr="0015541C" w:rsidRDefault="00806DEC" w:rsidP="007379DB">
      <w:pPr>
        <w:keepNext/>
        <w:keepLines/>
        <w:autoSpaceDE w:val="0"/>
        <w:autoSpaceDN w:val="0"/>
        <w:adjustRightInd w:val="0"/>
        <w:rPr>
          <w:rFonts w:eastAsia="MS Mincho"/>
          <w:szCs w:val="22"/>
          <w:lang w:val="pl-PL"/>
        </w:rPr>
      </w:pPr>
      <w:r w:rsidRPr="0015541C">
        <w:rPr>
          <w:iCs/>
          <w:lang w:val="pl-PL"/>
        </w:rPr>
        <w:sym w:font="Symbol" w:char="F0B7"/>
      </w:r>
      <w:r w:rsidRPr="0015541C">
        <w:rPr>
          <w:iCs/>
          <w:lang w:val="pl-PL"/>
        </w:rPr>
        <w:tab/>
      </w:r>
      <w:r w:rsidR="002A2453" w:rsidRPr="0015541C">
        <w:rPr>
          <w:rFonts w:eastAsia="MS Mincho"/>
          <w:szCs w:val="22"/>
          <w:lang w:val="pl-PL"/>
        </w:rPr>
        <w:t>u pacjenta występuje białko w moczu oraz objawy obrzęku całego ciała,</w:t>
      </w:r>
    </w:p>
    <w:p w14:paraId="619CBD98" w14:textId="77777777" w:rsidR="002A2453" w:rsidRPr="00AC3958" w:rsidRDefault="00806DEC" w:rsidP="007379DB">
      <w:pPr>
        <w:keepNext/>
        <w:keepLines/>
        <w:autoSpaceDE w:val="0"/>
        <w:autoSpaceDN w:val="0"/>
        <w:adjustRightInd w:val="0"/>
        <w:rPr>
          <w:rFonts w:eastAsia="MS Mincho"/>
          <w:szCs w:val="22"/>
          <w:lang w:val="pl-PL"/>
        </w:rPr>
      </w:pPr>
      <w:r w:rsidRPr="0015541C">
        <w:rPr>
          <w:iCs/>
          <w:lang w:val="pl-PL"/>
        </w:rPr>
        <w:sym w:font="Symbol" w:char="F0B7"/>
      </w:r>
      <w:r w:rsidRPr="0015541C">
        <w:rPr>
          <w:iCs/>
          <w:lang w:val="pl-PL"/>
        </w:rPr>
        <w:tab/>
      </w:r>
      <w:r w:rsidR="002A2453" w:rsidRPr="0015541C">
        <w:rPr>
          <w:rFonts w:eastAsia="MS Mincho"/>
          <w:szCs w:val="22"/>
          <w:lang w:val="pl-PL"/>
        </w:rPr>
        <w:t>u pacjenta występuje perforacja (dziura) w ścianach przewodu pokarmowego,</w:t>
      </w:r>
    </w:p>
    <w:p w14:paraId="55224CAE" w14:textId="77777777" w:rsidR="002A2453" w:rsidRPr="0015541C" w:rsidRDefault="00806DEC" w:rsidP="007379DB">
      <w:pPr>
        <w:keepNext/>
        <w:keepLines/>
        <w:autoSpaceDE w:val="0"/>
        <w:autoSpaceDN w:val="0"/>
        <w:adjustRightInd w:val="0"/>
        <w:ind w:left="540" w:hanging="540"/>
        <w:rPr>
          <w:lang w:val="pl-PL"/>
        </w:rPr>
      </w:pPr>
      <w:r w:rsidRPr="0015541C">
        <w:rPr>
          <w:iCs/>
          <w:lang w:val="pl-PL"/>
        </w:rPr>
        <w:sym w:font="Symbol" w:char="F0B7"/>
      </w:r>
      <w:r w:rsidRPr="0015541C">
        <w:rPr>
          <w:iCs/>
          <w:lang w:val="pl-PL"/>
        </w:rPr>
        <w:tab/>
      </w:r>
      <w:r w:rsidR="002A2453" w:rsidRPr="0015541C">
        <w:rPr>
          <w:rFonts w:eastAsia="MS Mincho"/>
          <w:szCs w:val="22"/>
          <w:lang w:val="pl-PL"/>
        </w:rPr>
        <w:t xml:space="preserve">u pacjenta występuje </w:t>
      </w:r>
      <w:r w:rsidR="002A2453" w:rsidRPr="0015541C">
        <w:rPr>
          <w:lang w:val="pl-PL"/>
        </w:rPr>
        <w:t>nieprawidłowe połączenie lub przejście w kształcie rurki między tchawicą i przełykiem, między narządami wewnętrznymi i skórą</w:t>
      </w:r>
      <w:r w:rsidR="0031199C" w:rsidRPr="00AC3958">
        <w:rPr>
          <w:lang w:val="pl-PL"/>
        </w:rPr>
        <w:t>, między pochwą i</w:t>
      </w:r>
      <w:r w:rsidR="006504E6" w:rsidRPr="0015541C">
        <w:rPr>
          <w:lang w:val="pl-PL"/>
        </w:rPr>
        <w:t xml:space="preserve"> jakąkolwiek</w:t>
      </w:r>
      <w:r w:rsidR="0031199C" w:rsidRPr="0015541C">
        <w:rPr>
          <w:lang w:val="pl-PL"/>
        </w:rPr>
        <w:t xml:space="preserve"> częścią </w:t>
      </w:r>
      <w:r w:rsidR="006504E6" w:rsidRPr="0015541C">
        <w:rPr>
          <w:lang w:val="pl-PL"/>
        </w:rPr>
        <w:t xml:space="preserve">jelit </w:t>
      </w:r>
      <w:r w:rsidR="0031199C" w:rsidRPr="0015541C">
        <w:rPr>
          <w:lang w:val="pl-PL"/>
        </w:rPr>
        <w:t>lub między</w:t>
      </w:r>
      <w:r w:rsidR="002A2453" w:rsidRPr="0015541C">
        <w:rPr>
          <w:lang w:val="pl-PL"/>
        </w:rPr>
        <w:t xml:space="preserve"> innymi tkankami, które zazwyczaj nie są ze sobą połączone</w:t>
      </w:r>
      <w:r w:rsidR="00625395" w:rsidRPr="0015541C">
        <w:rPr>
          <w:lang w:val="pl-PL"/>
        </w:rPr>
        <w:t xml:space="preserve"> (przetoka)</w:t>
      </w:r>
      <w:r w:rsidR="002A2453" w:rsidRPr="0015541C">
        <w:rPr>
          <w:lang w:val="pl-PL"/>
        </w:rPr>
        <w:t>, ocenione przez lekarza jako poważne,</w:t>
      </w:r>
    </w:p>
    <w:p w14:paraId="1FE48E99" w14:textId="77777777" w:rsidR="00BD38E3" w:rsidRPr="0015541C" w:rsidRDefault="009A53D9" w:rsidP="007379DB">
      <w:pPr>
        <w:keepNext/>
        <w:keepLines/>
        <w:autoSpaceDE w:val="0"/>
        <w:autoSpaceDN w:val="0"/>
        <w:adjustRightInd w:val="0"/>
        <w:rPr>
          <w:lang w:val="pl-PL"/>
        </w:rPr>
      </w:pPr>
      <w:r w:rsidRPr="0015541C">
        <w:rPr>
          <w:iCs/>
          <w:lang w:val="pl-PL"/>
        </w:rPr>
        <w:sym w:font="Symbol" w:char="F0B7"/>
      </w:r>
      <w:r w:rsidRPr="0015541C">
        <w:rPr>
          <w:iCs/>
          <w:lang w:val="pl-PL"/>
        </w:rPr>
        <w:tab/>
      </w:r>
      <w:r w:rsidR="00BD38E3" w:rsidRPr="0015541C">
        <w:rPr>
          <w:lang w:val="pl-PL"/>
        </w:rPr>
        <w:t>u pacjenta wystąpi ciężkie zakażenie</w:t>
      </w:r>
      <w:r w:rsidR="003737D7" w:rsidRPr="0015541C">
        <w:rPr>
          <w:lang w:val="pl-PL"/>
        </w:rPr>
        <w:t xml:space="preserve"> </w:t>
      </w:r>
      <w:r w:rsidR="00BD38E3" w:rsidRPr="00AC3958">
        <w:rPr>
          <w:lang w:val="pl-PL"/>
        </w:rPr>
        <w:t>skóry lub tkanek położonych głębiej pod skórą</w:t>
      </w:r>
    </w:p>
    <w:p w14:paraId="1E3F3FD4" w14:textId="77777777" w:rsidR="002A2453" w:rsidRPr="0015541C" w:rsidRDefault="00806DEC" w:rsidP="007379DB">
      <w:pPr>
        <w:keepNext/>
        <w:keepLines/>
        <w:autoSpaceDE w:val="0"/>
        <w:autoSpaceDN w:val="0"/>
        <w:adjustRightInd w:val="0"/>
        <w:ind w:left="539" w:hanging="539"/>
        <w:rPr>
          <w:rFonts w:eastAsia="MS Mincho"/>
          <w:szCs w:val="22"/>
          <w:lang w:val="pl-PL"/>
        </w:rPr>
      </w:pPr>
      <w:r w:rsidRPr="0015541C">
        <w:rPr>
          <w:iCs/>
          <w:lang w:val="pl-PL"/>
        </w:rPr>
        <w:sym w:font="Symbol" w:char="F0B7"/>
      </w:r>
      <w:r w:rsidRPr="0015541C">
        <w:rPr>
          <w:iCs/>
          <w:lang w:val="pl-PL"/>
        </w:rPr>
        <w:tab/>
      </w:r>
      <w:r w:rsidR="002A2453" w:rsidRPr="0015541C">
        <w:rPr>
          <w:rFonts w:eastAsia="MS Mincho"/>
          <w:szCs w:val="22"/>
          <w:lang w:val="pl-PL"/>
        </w:rPr>
        <w:t>u pacjenta występują zakrzepy w tętnicach,</w:t>
      </w:r>
    </w:p>
    <w:p w14:paraId="7B805CFD" w14:textId="77777777" w:rsidR="002A2453" w:rsidRPr="0015541C" w:rsidRDefault="00806DEC" w:rsidP="007379DB">
      <w:pPr>
        <w:keepNext/>
        <w:keepLines/>
        <w:autoSpaceDE w:val="0"/>
        <w:autoSpaceDN w:val="0"/>
        <w:adjustRightInd w:val="0"/>
        <w:rPr>
          <w:rFonts w:eastAsia="MS Mincho"/>
          <w:szCs w:val="22"/>
          <w:lang w:val="pl-PL"/>
        </w:rPr>
      </w:pPr>
      <w:r w:rsidRPr="0015541C">
        <w:rPr>
          <w:iCs/>
          <w:lang w:val="pl-PL"/>
        </w:rPr>
        <w:sym w:font="Symbol" w:char="F0B7"/>
      </w:r>
      <w:r w:rsidRPr="0015541C">
        <w:rPr>
          <w:iCs/>
          <w:lang w:val="pl-PL"/>
        </w:rPr>
        <w:tab/>
      </w:r>
      <w:r w:rsidR="002A2453" w:rsidRPr="0015541C">
        <w:rPr>
          <w:rFonts w:eastAsia="MS Mincho"/>
          <w:szCs w:val="22"/>
          <w:lang w:val="pl-PL"/>
        </w:rPr>
        <w:t xml:space="preserve">u pacjenta występują zakrzepy w </w:t>
      </w:r>
      <w:r w:rsidR="00D55EA5" w:rsidRPr="0015541C">
        <w:rPr>
          <w:rFonts w:eastAsia="MS Mincho"/>
          <w:szCs w:val="22"/>
          <w:lang w:val="pl-PL"/>
        </w:rPr>
        <w:t xml:space="preserve">naczyniach krwionośnych </w:t>
      </w:r>
      <w:r w:rsidR="002A2453" w:rsidRPr="00AC3958">
        <w:rPr>
          <w:rFonts w:eastAsia="MS Mincho"/>
          <w:szCs w:val="22"/>
          <w:lang w:val="pl-PL"/>
        </w:rPr>
        <w:t>płuc,</w:t>
      </w:r>
    </w:p>
    <w:p w14:paraId="067C3FDD" w14:textId="77777777" w:rsidR="002A2453" w:rsidRPr="0015541C" w:rsidRDefault="00806DEC" w:rsidP="007379DB">
      <w:pPr>
        <w:keepNext/>
        <w:keepLines/>
        <w:autoSpaceDE w:val="0"/>
        <w:autoSpaceDN w:val="0"/>
        <w:adjustRightInd w:val="0"/>
        <w:ind w:left="540" w:hanging="540"/>
        <w:rPr>
          <w:b/>
          <w:lang w:val="pl-PL"/>
        </w:rPr>
      </w:pPr>
      <w:r w:rsidRPr="0015541C">
        <w:rPr>
          <w:iCs/>
          <w:lang w:val="pl-PL"/>
        </w:rPr>
        <w:sym w:font="Symbol" w:char="F0B7"/>
      </w:r>
      <w:r w:rsidRPr="0015541C">
        <w:rPr>
          <w:iCs/>
          <w:lang w:val="pl-PL"/>
        </w:rPr>
        <w:tab/>
      </w:r>
      <w:r w:rsidR="002A2453" w:rsidRPr="0015541C">
        <w:rPr>
          <w:rFonts w:eastAsia="MS Mincho"/>
          <w:szCs w:val="22"/>
          <w:lang w:val="pl-PL"/>
        </w:rPr>
        <w:t>u pacjenta występuje jakiekolwiek poważne krwawienie.</w:t>
      </w:r>
    </w:p>
    <w:p w14:paraId="67AAAEC4" w14:textId="77777777" w:rsidR="002A2453" w:rsidRPr="00AC3958" w:rsidRDefault="002A2453" w:rsidP="002A2453">
      <w:pPr>
        <w:numPr>
          <w:ilvl w:val="12"/>
          <w:numId w:val="0"/>
        </w:numPr>
        <w:ind w:right="-2"/>
        <w:outlineLvl w:val="0"/>
        <w:rPr>
          <w:b/>
          <w:lang w:val="pl-PL"/>
        </w:rPr>
      </w:pPr>
    </w:p>
    <w:p w14:paraId="19FF78DC" w14:textId="77777777" w:rsidR="002A2453" w:rsidRPr="0015541C" w:rsidRDefault="002A2453" w:rsidP="002A2453">
      <w:pPr>
        <w:keepNext/>
        <w:keepLines/>
        <w:rPr>
          <w:b/>
          <w:lang w:val="pl-PL"/>
        </w:rPr>
      </w:pPr>
      <w:r w:rsidRPr="0015541C">
        <w:rPr>
          <w:b/>
          <w:lang w:val="pl-PL"/>
        </w:rPr>
        <w:t xml:space="preserve">Zastosowanie większej niż zalecana dawki leku </w:t>
      </w:r>
      <w:r w:rsidR="00C87F12" w:rsidRPr="0015541C">
        <w:rPr>
          <w:b/>
          <w:lang w:val="pl-PL"/>
        </w:rPr>
        <w:t>Aybintio</w:t>
      </w:r>
    </w:p>
    <w:p w14:paraId="78CC59B9" w14:textId="77777777" w:rsidR="002A2453" w:rsidRPr="00AC3958" w:rsidRDefault="00806DEC" w:rsidP="002A2453">
      <w:pPr>
        <w:numPr>
          <w:ilvl w:val="12"/>
          <w:numId w:val="0"/>
        </w:numPr>
        <w:ind w:left="567" w:right="-2" w:hanging="567"/>
        <w:rPr>
          <w:lang w:val="pl-PL"/>
        </w:rPr>
      </w:pPr>
      <w:r w:rsidRPr="0015541C">
        <w:rPr>
          <w:iCs/>
          <w:lang w:val="pl-PL"/>
        </w:rPr>
        <w:sym w:font="Symbol" w:char="F0B7"/>
      </w:r>
      <w:r w:rsidRPr="0015541C">
        <w:rPr>
          <w:iCs/>
          <w:lang w:val="pl-PL"/>
        </w:rPr>
        <w:tab/>
      </w:r>
      <w:r w:rsidR="002A2453" w:rsidRPr="0015541C">
        <w:rPr>
          <w:lang w:val="pl-PL"/>
        </w:rPr>
        <w:t>u pacjenta może wystąpić ciężka migrena. W takim przypadku należy pilnie skontaktować się z lekarzem, farmaceutą lub pielęgniarką.</w:t>
      </w:r>
    </w:p>
    <w:p w14:paraId="529B0B30" w14:textId="77777777" w:rsidR="002A2453" w:rsidRPr="0015541C" w:rsidRDefault="002A2453" w:rsidP="002A2453">
      <w:pPr>
        <w:numPr>
          <w:ilvl w:val="12"/>
          <w:numId w:val="0"/>
        </w:numPr>
        <w:ind w:left="567" w:right="-2" w:hanging="567"/>
        <w:rPr>
          <w:lang w:val="pl-PL"/>
        </w:rPr>
      </w:pPr>
    </w:p>
    <w:p w14:paraId="21090961" w14:textId="77777777" w:rsidR="002A2453" w:rsidRPr="0015541C" w:rsidRDefault="002A2453" w:rsidP="002A2453">
      <w:pPr>
        <w:rPr>
          <w:b/>
          <w:lang w:val="pl-PL"/>
        </w:rPr>
      </w:pPr>
      <w:r w:rsidRPr="0015541C">
        <w:rPr>
          <w:b/>
          <w:lang w:val="pl-PL"/>
        </w:rPr>
        <w:t xml:space="preserve">Pominięcie zastosowania leku </w:t>
      </w:r>
      <w:r w:rsidR="00C87F12" w:rsidRPr="0015541C">
        <w:rPr>
          <w:b/>
          <w:lang w:val="pl-PL"/>
        </w:rPr>
        <w:t>Aybintio</w:t>
      </w:r>
    </w:p>
    <w:p w14:paraId="72B99904" w14:textId="77777777" w:rsidR="002A2453" w:rsidRPr="0015541C" w:rsidRDefault="00806DEC" w:rsidP="002A2453">
      <w:pPr>
        <w:ind w:left="567" w:right="-2" w:hanging="567"/>
        <w:rPr>
          <w:lang w:val="pl-PL"/>
        </w:rPr>
      </w:pPr>
      <w:r w:rsidRPr="0015541C">
        <w:rPr>
          <w:iCs/>
          <w:lang w:val="pl-PL"/>
        </w:rPr>
        <w:lastRenderedPageBreak/>
        <w:sym w:font="Symbol" w:char="F0B7"/>
      </w:r>
      <w:r w:rsidRPr="0015541C">
        <w:rPr>
          <w:iCs/>
          <w:lang w:val="pl-PL"/>
        </w:rPr>
        <w:tab/>
      </w:r>
      <w:r w:rsidR="002A2453" w:rsidRPr="0015541C">
        <w:rPr>
          <w:lang w:val="pl-PL"/>
        </w:rPr>
        <w:t xml:space="preserve">lekarz prowadzący podejmie decyzję, kiedy powinna być podana następna dawka leku </w:t>
      </w:r>
      <w:r w:rsidR="00C87F12" w:rsidRPr="0015541C">
        <w:rPr>
          <w:lang w:val="pl-PL"/>
        </w:rPr>
        <w:t>Aybintio</w:t>
      </w:r>
      <w:r w:rsidR="002A2453" w:rsidRPr="00AC3958">
        <w:rPr>
          <w:lang w:val="pl-PL"/>
        </w:rPr>
        <w:t>. Pacjent powinien omówić to z lekarzem prowadzącym.</w:t>
      </w:r>
    </w:p>
    <w:p w14:paraId="553012EE" w14:textId="77777777" w:rsidR="002A2453" w:rsidRPr="0015541C" w:rsidRDefault="002A2453" w:rsidP="002A2453">
      <w:pPr>
        <w:numPr>
          <w:ilvl w:val="12"/>
          <w:numId w:val="0"/>
        </w:numPr>
        <w:ind w:right="-2"/>
        <w:rPr>
          <w:lang w:val="pl-PL"/>
        </w:rPr>
      </w:pPr>
    </w:p>
    <w:p w14:paraId="305324A1" w14:textId="77777777" w:rsidR="002A2453" w:rsidRPr="0015541C" w:rsidRDefault="002A2453" w:rsidP="002A2453">
      <w:pPr>
        <w:rPr>
          <w:b/>
          <w:lang w:val="pl-PL"/>
        </w:rPr>
      </w:pPr>
      <w:r w:rsidRPr="0015541C">
        <w:rPr>
          <w:b/>
          <w:lang w:val="pl-PL"/>
        </w:rPr>
        <w:t xml:space="preserve">Przerwanie stosowania leku </w:t>
      </w:r>
      <w:r w:rsidR="00C87F12" w:rsidRPr="0015541C">
        <w:rPr>
          <w:b/>
          <w:lang w:val="pl-PL"/>
        </w:rPr>
        <w:t>Aybintio</w:t>
      </w:r>
    </w:p>
    <w:p w14:paraId="00B10B1C" w14:textId="492D93E0" w:rsidR="002A2453" w:rsidRPr="0015541C" w:rsidRDefault="002A2453" w:rsidP="002A2453">
      <w:pPr>
        <w:numPr>
          <w:ilvl w:val="12"/>
          <w:numId w:val="0"/>
        </w:numPr>
        <w:ind w:right="-2"/>
        <w:rPr>
          <w:lang w:val="pl-PL"/>
        </w:rPr>
      </w:pPr>
      <w:r w:rsidRPr="0015541C">
        <w:rPr>
          <w:lang w:val="pl-PL"/>
        </w:rPr>
        <w:t xml:space="preserve">Przerwanie podawania leku </w:t>
      </w:r>
      <w:r w:rsidR="00C87F12" w:rsidRPr="0015541C">
        <w:rPr>
          <w:lang w:val="pl-PL"/>
        </w:rPr>
        <w:t>Aybintio</w:t>
      </w:r>
      <w:r w:rsidRPr="0015541C">
        <w:rPr>
          <w:lang w:val="pl-PL"/>
        </w:rPr>
        <w:t xml:space="preserve"> może spowodować zatrzymanie wpływu na wzrost nowotworu. Nie należy przerywać stosowania leku </w:t>
      </w:r>
      <w:r w:rsidR="00C87F12" w:rsidRPr="0015541C">
        <w:rPr>
          <w:lang w:val="pl-PL"/>
        </w:rPr>
        <w:t>Aybintio</w:t>
      </w:r>
      <w:r w:rsidRPr="0015541C">
        <w:rPr>
          <w:lang w:val="pl-PL"/>
        </w:rPr>
        <w:t xml:space="preserve"> chyba że zostało to uzgodnione z lekarzem prowadzącym. </w:t>
      </w:r>
    </w:p>
    <w:p w14:paraId="2303E3C0" w14:textId="77777777" w:rsidR="002A2453" w:rsidRPr="0015541C" w:rsidRDefault="002A2453" w:rsidP="002A2453">
      <w:pPr>
        <w:numPr>
          <w:ilvl w:val="12"/>
          <w:numId w:val="0"/>
        </w:numPr>
        <w:ind w:right="-2"/>
        <w:rPr>
          <w:lang w:val="pl-PL"/>
        </w:rPr>
      </w:pPr>
    </w:p>
    <w:p w14:paraId="67450787" w14:textId="77777777" w:rsidR="002A2453" w:rsidRPr="0015541C" w:rsidRDefault="002A2453" w:rsidP="002A2453">
      <w:pPr>
        <w:rPr>
          <w:lang w:val="pl-PL"/>
        </w:rPr>
      </w:pPr>
      <w:r w:rsidRPr="0015541C">
        <w:rPr>
          <w:lang w:val="pl-PL"/>
        </w:rPr>
        <w:t>W razie jakichkolwiek dalszych wątpliwości związanych ze stosowaniem tego leku należy zwrócić się do lekarza, farmaceuty lub pielęgniarki.</w:t>
      </w:r>
    </w:p>
    <w:p w14:paraId="5E3EB606" w14:textId="77777777" w:rsidR="002A2453" w:rsidRPr="0015541C" w:rsidRDefault="002A2453" w:rsidP="002A2453">
      <w:pPr>
        <w:rPr>
          <w:lang w:val="pl-PL"/>
        </w:rPr>
      </w:pPr>
    </w:p>
    <w:p w14:paraId="26D9DC99" w14:textId="77777777" w:rsidR="002A2453" w:rsidRPr="0015541C" w:rsidRDefault="002A2453" w:rsidP="002A2453">
      <w:pPr>
        <w:rPr>
          <w:lang w:val="pl-PL"/>
        </w:rPr>
      </w:pPr>
    </w:p>
    <w:p w14:paraId="0EF099F3" w14:textId="77777777" w:rsidR="002A2453" w:rsidRPr="0015541C" w:rsidRDefault="002A2453" w:rsidP="00B92213">
      <w:pPr>
        <w:keepNext/>
        <w:ind w:left="567" w:hanging="567"/>
        <w:rPr>
          <w:b/>
          <w:lang w:val="pl-PL"/>
        </w:rPr>
      </w:pPr>
      <w:r w:rsidRPr="0015541C">
        <w:rPr>
          <w:b/>
          <w:lang w:val="pl-PL"/>
        </w:rPr>
        <w:t>4.</w:t>
      </w:r>
      <w:r w:rsidRPr="0015541C">
        <w:rPr>
          <w:b/>
          <w:lang w:val="pl-PL"/>
        </w:rPr>
        <w:tab/>
        <w:t>Możliwe działania niepożądane</w:t>
      </w:r>
    </w:p>
    <w:p w14:paraId="3F4EB3E1" w14:textId="77777777" w:rsidR="002A2453" w:rsidRPr="0015541C" w:rsidRDefault="002A2453" w:rsidP="00B92213">
      <w:pPr>
        <w:keepNext/>
        <w:numPr>
          <w:ilvl w:val="12"/>
          <w:numId w:val="0"/>
        </w:numPr>
        <w:ind w:right="-29"/>
        <w:outlineLvl w:val="0"/>
        <w:rPr>
          <w:lang w:val="pl-PL"/>
        </w:rPr>
      </w:pPr>
    </w:p>
    <w:p w14:paraId="495785D8" w14:textId="77777777" w:rsidR="002A2453" w:rsidRPr="0015541C" w:rsidRDefault="002A2453" w:rsidP="00B92213">
      <w:pPr>
        <w:keepNext/>
        <w:rPr>
          <w:lang w:val="pl-PL"/>
        </w:rPr>
      </w:pPr>
      <w:r w:rsidRPr="0015541C">
        <w:rPr>
          <w:lang w:val="pl-PL"/>
        </w:rPr>
        <w:t>Jak każdy lek, lek ten może powodować działania niepożądane, chociaż nie u każdego one wystąpią.</w:t>
      </w:r>
    </w:p>
    <w:p w14:paraId="3DB697C5" w14:textId="77777777" w:rsidR="002A2453" w:rsidRPr="0015541C" w:rsidRDefault="002A2453" w:rsidP="00B92213">
      <w:pPr>
        <w:keepNext/>
        <w:rPr>
          <w:lang w:val="pl-PL"/>
        </w:rPr>
      </w:pPr>
    </w:p>
    <w:p w14:paraId="20E9346A" w14:textId="77777777" w:rsidR="002A2453" w:rsidRPr="0015541C" w:rsidRDefault="002A2453" w:rsidP="002A2453">
      <w:pPr>
        <w:rPr>
          <w:lang w:val="pl-PL"/>
        </w:rPr>
      </w:pPr>
      <w:r w:rsidRPr="0015541C">
        <w:rPr>
          <w:lang w:val="pl-PL"/>
        </w:rPr>
        <w:t>Jeśli wystąpią jakiekolwiek objawy niepożądane,</w:t>
      </w:r>
      <w:r w:rsidRPr="0015541C">
        <w:rPr>
          <w:snapToGrid w:val="0"/>
          <w:szCs w:val="24"/>
          <w:lang w:val="pl-PL"/>
        </w:rPr>
        <w:t xml:space="preserve"> w tym wszelkie możliwe objawy niepożądane niewymienione w ulotce,</w:t>
      </w:r>
      <w:r w:rsidRPr="0015541C">
        <w:rPr>
          <w:lang w:val="pl-PL"/>
        </w:rPr>
        <w:t xml:space="preserve"> należy zwrócić się do lekarza, farmaceuty lub pielęgniarki.</w:t>
      </w:r>
    </w:p>
    <w:p w14:paraId="2D8C83CD" w14:textId="77777777" w:rsidR="002A2453" w:rsidRPr="0015541C" w:rsidRDefault="002A2453" w:rsidP="002A2453">
      <w:pPr>
        <w:rPr>
          <w:lang w:val="pl-PL"/>
        </w:rPr>
      </w:pPr>
    </w:p>
    <w:p w14:paraId="02A91948" w14:textId="77777777" w:rsidR="002A2453" w:rsidRPr="0015541C" w:rsidRDefault="002A2453" w:rsidP="002A2453">
      <w:pPr>
        <w:rPr>
          <w:lang w:val="pl-PL"/>
        </w:rPr>
      </w:pPr>
      <w:r w:rsidRPr="0015541C">
        <w:rPr>
          <w:lang w:val="pl-PL"/>
        </w:rPr>
        <w:t xml:space="preserve">Poniżej wymienione działania niepożądane były obserwowane, gdy </w:t>
      </w:r>
      <w:r w:rsidR="00C87F12" w:rsidRPr="0015541C">
        <w:rPr>
          <w:lang w:val="pl-PL"/>
        </w:rPr>
        <w:t>Aybintio</w:t>
      </w:r>
      <w:r w:rsidRPr="0015541C">
        <w:rPr>
          <w:lang w:val="pl-PL"/>
        </w:rPr>
        <w:t xml:space="preserve"> był stosowany w skojarzeniu z chemioterapią. Nie oznacza to koniecznie, że działania te były powodowane przez lek </w:t>
      </w:r>
      <w:r w:rsidR="00C87F12" w:rsidRPr="0015541C">
        <w:rPr>
          <w:lang w:val="pl-PL"/>
        </w:rPr>
        <w:t>Aybintio</w:t>
      </w:r>
      <w:r w:rsidRPr="0015541C">
        <w:rPr>
          <w:lang w:val="pl-PL"/>
        </w:rPr>
        <w:t>.</w:t>
      </w:r>
    </w:p>
    <w:p w14:paraId="2C3B8F69" w14:textId="77777777" w:rsidR="002A2453" w:rsidRPr="0015541C" w:rsidRDefault="002A2453" w:rsidP="002A2453">
      <w:pPr>
        <w:ind w:left="540" w:right="-29" w:hanging="540"/>
        <w:outlineLvl w:val="0"/>
        <w:rPr>
          <w:b/>
          <w:lang w:val="pl-PL"/>
        </w:rPr>
      </w:pPr>
    </w:p>
    <w:p w14:paraId="03F98817" w14:textId="77777777" w:rsidR="002A2453" w:rsidRPr="0015541C" w:rsidRDefault="002A2453" w:rsidP="004452DB">
      <w:pPr>
        <w:ind w:left="539" w:right="-28" w:hanging="539"/>
        <w:outlineLvl w:val="0"/>
        <w:rPr>
          <w:b/>
          <w:lang w:val="pl-PL"/>
        </w:rPr>
      </w:pPr>
      <w:r w:rsidRPr="0015541C">
        <w:rPr>
          <w:b/>
          <w:lang w:val="pl-PL"/>
        </w:rPr>
        <w:t>Reakcje alergiczne</w:t>
      </w:r>
    </w:p>
    <w:p w14:paraId="16E695C7" w14:textId="444E6D08" w:rsidR="002A2453" w:rsidRPr="0015541C" w:rsidRDefault="002A2453" w:rsidP="004452DB">
      <w:pPr>
        <w:ind w:right="-29"/>
        <w:outlineLvl w:val="0"/>
        <w:rPr>
          <w:lang w:val="pl-PL"/>
        </w:rPr>
      </w:pPr>
      <w:r w:rsidRPr="0015541C">
        <w:rPr>
          <w:lang w:val="pl-PL"/>
        </w:rPr>
        <w:t xml:space="preserve">Jeśli wystąpi reakcja alergiczna należy natychmiast poinformować lekarza lub innego członka zespołu medycznego. Objawy takiej reakcji mogą obejmować: trudności w oddychaniu lub ból w klatce piersiowej. Może również wystąpić rumień, nagłe zaczerwienienie skóry, wysypka skórna, </w:t>
      </w:r>
      <w:r w:rsidR="00625395" w:rsidRPr="0015541C">
        <w:rPr>
          <w:lang w:val="pl-PL"/>
        </w:rPr>
        <w:t xml:space="preserve">dreszcze </w:t>
      </w:r>
      <w:r w:rsidR="00A855F1" w:rsidRPr="0015541C">
        <w:rPr>
          <w:lang w:val="pl-PL"/>
        </w:rPr>
        <w:br/>
      </w:r>
      <w:r w:rsidR="00625395" w:rsidRPr="0015541C">
        <w:rPr>
          <w:lang w:val="pl-PL"/>
        </w:rPr>
        <w:t>i uczucie zimna</w:t>
      </w:r>
      <w:r w:rsidRPr="0015541C">
        <w:rPr>
          <w:lang w:val="pl-PL"/>
        </w:rPr>
        <w:t>, nudności lub wymioty</w:t>
      </w:r>
      <w:r w:rsidR="00420F0C">
        <w:rPr>
          <w:lang w:val="pl-PL"/>
        </w:rPr>
        <w:t>, obrzęk, zawroty głowy, szybkie bicie serca i utrata przytomności.</w:t>
      </w:r>
    </w:p>
    <w:p w14:paraId="270CA858" w14:textId="77777777" w:rsidR="002A2453" w:rsidRPr="0015541C" w:rsidRDefault="002A2453" w:rsidP="004452DB">
      <w:pPr>
        <w:numPr>
          <w:ilvl w:val="12"/>
          <w:numId w:val="0"/>
        </w:numPr>
        <w:ind w:right="-29"/>
        <w:outlineLvl w:val="0"/>
        <w:rPr>
          <w:lang w:val="pl-PL"/>
        </w:rPr>
      </w:pPr>
    </w:p>
    <w:p w14:paraId="2BA30286" w14:textId="77777777" w:rsidR="002A2453" w:rsidRPr="0015541C" w:rsidRDefault="002A2453" w:rsidP="004452DB">
      <w:pPr>
        <w:keepNext/>
        <w:keepLines/>
        <w:numPr>
          <w:ilvl w:val="12"/>
          <w:numId w:val="0"/>
        </w:numPr>
        <w:ind w:right="-29"/>
        <w:outlineLvl w:val="0"/>
        <w:rPr>
          <w:lang w:val="pl-PL"/>
        </w:rPr>
      </w:pPr>
      <w:r w:rsidRPr="0015541C">
        <w:rPr>
          <w:b/>
          <w:bCs/>
          <w:lang w:val="pl-PL"/>
        </w:rPr>
        <w:t xml:space="preserve">Należy natychmiast skontaktować się z lekarzem w przypadku wystąpienia któregoś z poniższych działań niepożądanych. </w:t>
      </w:r>
    </w:p>
    <w:p w14:paraId="27A49E41" w14:textId="77777777" w:rsidR="002A2453" w:rsidRPr="0015541C" w:rsidRDefault="002A2453" w:rsidP="004452DB">
      <w:pPr>
        <w:keepNext/>
        <w:keepLines/>
        <w:numPr>
          <w:ilvl w:val="12"/>
          <w:numId w:val="0"/>
        </w:numPr>
        <w:ind w:right="-29"/>
        <w:rPr>
          <w:lang w:val="pl-PL"/>
        </w:rPr>
      </w:pPr>
    </w:p>
    <w:p w14:paraId="7157F9B4" w14:textId="49F5E166" w:rsidR="002A2453" w:rsidRPr="0015541C" w:rsidRDefault="002A2453" w:rsidP="002A2453">
      <w:pPr>
        <w:keepNext/>
        <w:numPr>
          <w:ilvl w:val="12"/>
          <w:numId w:val="0"/>
        </w:numPr>
        <w:ind w:right="-28"/>
        <w:rPr>
          <w:lang w:val="pl-PL"/>
        </w:rPr>
      </w:pPr>
      <w:r w:rsidRPr="0015541C">
        <w:rPr>
          <w:lang w:val="pl-PL"/>
        </w:rPr>
        <w:t>Do ciężkich działań niepożądanych, które mogą występować</w:t>
      </w:r>
      <w:r w:rsidRPr="0015541C">
        <w:rPr>
          <w:b/>
          <w:bCs/>
          <w:lang w:val="pl-PL"/>
        </w:rPr>
        <w:t xml:space="preserve"> bardzo często</w:t>
      </w:r>
      <w:r w:rsidR="009A1065" w:rsidRPr="0015541C">
        <w:rPr>
          <w:b/>
          <w:bCs/>
          <w:lang w:val="pl-PL"/>
        </w:rPr>
        <w:t xml:space="preserve"> </w:t>
      </w:r>
      <w:r w:rsidR="00625395" w:rsidRPr="0015541C">
        <w:rPr>
          <w:bCs/>
          <w:lang w:val="pl-PL"/>
        </w:rPr>
        <w:t>(</w:t>
      </w:r>
      <w:r w:rsidR="00420F0C">
        <w:rPr>
          <w:bCs/>
          <w:lang w:val="pl-PL"/>
        </w:rPr>
        <w:t>mogą wystąpić u więcej niż 1 na 10 osób</w:t>
      </w:r>
      <w:r w:rsidR="00625395" w:rsidRPr="0015541C">
        <w:rPr>
          <w:bCs/>
          <w:lang w:val="pl-PL"/>
        </w:rPr>
        <w:t>)</w:t>
      </w:r>
      <w:r w:rsidRPr="0015541C">
        <w:rPr>
          <w:b/>
          <w:bCs/>
          <w:lang w:val="pl-PL"/>
        </w:rPr>
        <w:t xml:space="preserve"> </w:t>
      </w:r>
      <w:r w:rsidRPr="0015541C">
        <w:rPr>
          <w:bCs/>
          <w:lang w:val="pl-PL"/>
        </w:rPr>
        <w:t>należą</w:t>
      </w:r>
      <w:r w:rsidRPr="0015541C">
        <w:rPr>
          <w:lang w:val="pl-PL"/>
        </w:rPr>
        <w:t>:</w:t>
      </w:r>
    </w:p>
    <w:p w14:paraId="57136347" w14:textId="77777777" w:rsidR="002A2453" w:rsidRPr="0015541C" w:rsidRDefault="00806DEC" w:rsidP="002A2453">
      <w:pPr>
        <w:keepNext/>
        <w:ind w:left="567" w:right="-28" w:hanging="567"/>
        <w:rPr>
          <w:lang w:val="pl-PL"/>
        </w:rPr>
      </w:pPr>
      <w:r w:rsidRPr="0015541C">
        <w:rPr>
          <w:iCs/>
          <w:lang w:val="pl-PL"/>
        </w:rPr>
        <w:sym w:font="Symbol" w:char="F0B7"/>
      </w:r>
      <w:r w:rsidRPr="0015541C">
        <w:rPr>
          <w:iCs/>
          <w:lang w:val="pl-PL"/>
        </w:rPr>
        <w:tab/>
      </w:r>
      <w:r w:rsidR="002A2453" w:rsidRPr="0015541C">
        <w:rPr>
          <w:lang w:val="pl-PL"/>
        </w:rPr>
        <w:t>podwyższone ciśnienie krwi,</w:t>
      </w:r>
    </w:p>
    <w:p w14:paraId="1DD4826C" w14:textId="77777777" w:rsidR="002A2453" w:rsidRPr="0015541C" w:rsidRDefault="00806DEC" w:rsidP="002A2453">
      <w:pPr>
        <w:rPr>
          <w:lang w:val="pl-PL"/>
        </w:rPr>
      </w:pPr>
      <w:r w:rsidRPr="0015541C">
        <w:rPr>
          <w:iCs/>
          <w:lang w:val="pl-PL"/>
        </w:rPr>
        <w:sym w:font="Symbol" w:char="F0B7"/>
      </w:r>
      <w:r w:rsidRPr="0015541C">
        <w:rPr>
          <w:iCs/>
          <w:lang w:val="pl-PL"/>
        </w:rPr>
        <w:tab/>
      </w:r>
      <w:r w:rsidR="002A2453" w:rsidRPr="0015541C">
        <w:rPr>
          <w:lang w:val="pl-PL"/>
        </w:rPr>
        <w:t>uczucie zdrętwienia lub mrowienia w dłoniach i stopach,</w:t>
      </w:r>
    </w:p>
    <w:p w14:paraId="7C9C24B9" w14:textId="3F0F08FB" w:rsidR="002A2453" w:rsidRPr="0015541C" w:rsidRDefault="00806DEC" w:rsidP="002A2453">
      <w:pPr>
        <w:ind w:left="567" w:right="-29" w:hanging="567"/>
        <w:rPr>
          <w:lang w:val="pl-PL"/>
        </w:rPr>
      </w:pPr>
      <w:r w:rsidRPr="0015541C">
        <w:rPr>
          <w:iCs/>
          <w:lang w:val="pl-PL"/>
        </w:rPr>
        <w:sym w:font="Symbol" w:char="F0B7"/>
      </w:r>
      <w:r w:rsidRPr="0015541C">
        <w:rPr>
          <w:iCs/>
          <w:lang w:val="pl-PL"/>
        </w:rPr>
        <w:tab/>
      </w:r>
      <w:r w:rsidR="002A2453" w:rsidRPr="0015541C">
        <w:rPr>
          <w:lang w:val="pl-PL"/>
        </w:rPr>
        <w:t xml:space="preserve">zmniejszona liczba krwinek we krwi, włącznie z krwinkami białymi, które wspomagają zwalczanie </w:t>
      </w:r>
      <w:r w:rsidR="00687059" w:rsidRPr="0015541C">
        <w:rPr>
          <w:lang w:val="pl-PL"/>
        </w:rPr>
        <w:t>zakażeń</w:t>
      </w:r>
      <w:r w:rsidR="00687059" w:rsidRPr="00AC3958">
        <w:rPr>
          <w:color w:val="000000"/>
          <w:lang w:val="pl-PL"/>
        </w:rPr>
        <w:t xml:space="preserve"> </w:t>
      </w:r>
      <w:r w:rsidR="002A2453" w:rsidRPr="0015541C">
        <w:rPr>
          <w:color w:val="000000"/>
          <w:lang w:val="pl-PL"/>
        </w:rPr>
        <w:t>(mogące objawiać się gorączką)</w:t>
      </w:r>
      <w:r w:rsidR="002A2453" w:rsidRPr="0015541C">
        <w:rPr>
          <w:lang w:val="pl-PL"/>
        </w:rPr>
        <w:t>, oraz krwinek, które wpływają na krzepliwość krwi,</w:t>
      </w:r>
    </w:p>
    <w:p w14:paraId="0D39D5F4" w14:textId="77777777" w:rsidR="00625395" w:rsidRPr="0015541C" w:rsidRDefault="00625395" w:rsidP="00625395">
      <w:pPr>
        <w:ind w:left="567" w:right="-29" w:hanging="567"/>
        <w:rPr>
          <w:lang w:val="pl-PL"/>
        </w:rPr>
      </w:pPr>
      <w:r w:rsidRPr="0015541C">
        <w:rPr>
          <w:iCs/>
          <w:lang w:val="pl-PL"/>
        </w:rPr>
        <w:sym w:font="Symbol" w:char="F0B7"/>
      </w:r>
      <w:r w:rsidRPr="0015541C">
        <w:rPr>
          <w:iCs/>
          <w:lang w:val="pl-PL"/>
        </w:rPr>
        <w:tab/>
        <w:t>uczucie osłabienia oraz brak energii,</w:t>
      </w:r>
    </w:p>
    <w:p w14:paraId="7ED1B825" w14:textId="77777777" w:rsidR="002A2453" w:rsidRPr="0015541C" w:rsidRDefault="00806DEC" w:rsidP="002C0295">
      <w:pPr>
        <w:keepNext/>
        <w:keepLines/>
        <w:ind w:left="567" w:right="-28" w:hanging="567"/>
        <w:rPr>
          <w:lang w:val="pl-PL"/>
        </w:rPr>
      </w:pPr>
      <w:r w:rsidRPr="0015541C">
        <w:rPr>
          <w:iCs/>
          <w:lang w:val="pl-PL"/>
        </w:rPr>
        <w:sym w:font="Symbol" w:char="F0B7"/>
      </w:r>
      <w:r w:rsidRPr="0015541C">
        <w:rPr>
          <w:iCs/>
          <w:lang w:val="pl-PL"/>
        </w:rPr>
        <w:tab/>
      </w:r>
      <w:r w:rsidR="002A2453" w:rsidRPr="0015541C">
        <w:rPr>
          <w:lang w:val="pl-PL"/>
        </w:rPr>
        <w:t>uczucie zmęczenia,</w:t>
      </w:r>
    </w:p>
    <w:p w14:paraId="4E9260B9" w14:textId="77777777" w:rsidR="00AF7A2B" w:rsidRPr="0015541C" w:rsidRDefault="00806DEC" w:rsidP="002C0295">
      <w:pPr>
        <w:keepNext/>
        <w:keepLines/>
        <w:ind w:right="-28"/>
        <w:rPr>
          <w:lang w:val="pl-PL"/>
        </w:rPr>
      </w:pPr>
      <w:r w:rsidRPr="0015541C">
        <w:rPr>
          <w:iCs/>
          <w:lang w:val="pl-PL"/>
        </w:rPr>
        <w:sym w:font="Symbol" w:char="F0B7"/>
      </w:r>
      <w:r w:rsidRPr="0015541C">
        <w:rPr>
          <w:iCs/>
          <w:lang w:val="pl-PL"/>
        </w:rPr>
        <w:tab/>
      </w:r>
      <w:r w:rsidR="002A2453" w:rsidRPr="0015541C">
        <w:rPr>
          <w:rFonts w:eastAsia="MS Mincho"/>
          <w:szCs w:val="22"/>
          <w:lang w:val="pl-PL"/>
        </w:rPr>
        <w:t xml:space="preserve">biegunka, </w:t>
      </w:r>
      <w:r w:rsidR="002A2453" w:rsidRPr="0015541C">
        <w:rPr>
          <w:lang w:val="pl-PL"/>
        </w:rPr>
        <w:t>nudności</w:t>
      </w:r>
      <w:r w:rsidR="0031199C" w:rsidRPr="00AC3958">
        <w:rPr>
          <w:lang w:val="pl-PL"/>
        </w:rPr>
        <w:t>,</w:t>
      </w:r>
      <w:r w:rsidR="002A2453" w:rsidRPr="0015541C">
        <w:rPr>
          <w:lang w:val="pl-PL"/>
        </w:rPr>
        <w:t xml:space="preserve"> wymioty</w:t>
      </w:r>
      <w:r w:rsidR="0031199C" w:rsidRPr="0015541C">
        <w:rPr>
          <w:lang w:val="pl-PL"/>
        </w:rPr>
        <w:t xml:space="preserve"> i ból brzucha</w:t>
      </w:r>
      <w:r w:rsidR="004E5583" w:rsidRPr="0015541C">
        <w:rPr>
          <w:lang w:val="pl-PL"/>
        </w:rPr>
        <w:t>.</w:t>
      </w:r>
    </w:p>
    <w:p w14:paraId="609567A8" w14:textId="77777777" w:rsidR="002A2453" w:rsidRPr="0015541C" w:rsidRDefault="002A2453" w:rsidP="002A2453">
      <w:pPr>
        <w:numPr>
          <w:ilvl w:val="12"/>
          <w:numId w:val="0"/>
        </w:numPr>
        <w:ind w:right="-29"/>
        <w:rPr>
          <w:lang w:val="pl-PL"/>
        </w:rPr>
      </w:pPr>
    </w:p>
    <w:p w14:paraId="5EB678B0" w14:textId="70CCFC84" w:rsidR="002A2453" w:rsidRPr="0015541C" w:rsidRDefault="002A2453" w:rsidP="002A2453">
      <w:pPr>
        <w:numPr>
          <w:ilvl w:val="12"/>
          <w:numId w:val="0"/>
        </w:numPr>
        <w:ind w:right="-29"/>
        <w:rPr>
          <w:lang w:val="pl-PL"/>
        </w:rPr>
      </w:pPr>
      <w:r w:rsidRPr="0015541C">
        <w:rPr>
          <w:lang w:val="pl-PL"/>
        </w:rPr>
        <w:t xml:space="preserve">Do ciężkich działań niepożądanych, które mogą występować </w:t>
      </w:r>
      <w:r w:rsidRPr="0015541C">
        <w:rPr>
          <w:b/>
          <w:bCs/>
          <w:lang w:val="pl-PL"/>
        </w:rPr>
        <w:t xml:space="preserve">często </w:t>
      </w:r>
      <w:r w:rsidR="00625395" w:rsidRPr="0015541C">
        <w:rPr>
          <w:bCs/>
          <w:lang w:val="pl-PL"/>
        </w:rPr>
        <w:t>(</w:t>
      </w:r>
      <w:r w:rsidR="00420F0C">
        <w:rPr>
          <w:bCs/>
          <w:lang w:val="pl-PL"/>
        </w:rPr>
        <w:t>mogą wystąpić u nie więcej niż 1 na 10 osób</w:t>
      </w:r>
      <w:r w:rsidR="00625395" w:rsidRPr="0015541C">
        <w:rPr>
          <w:bCs/>
          <w:lang w:val="pl-PL"/>
        </w:rPr>
        <w:t xml:space="preserve">) </w:t>
      </w:r>
      <w:r w:rsidRPr="0015541C">
        <w:rPr>
          <w:bCs/>
          <w:lang w:val="pl-PL"/>
        </w:rPr>
        <w:t>należą</w:t>
      </w:r>
      <w:r w:rsidRPr="0015541C">
        <w:rPr>
          <w:lang w:val="pl-PL"/>
        </w:rPr>
        <w:t>:</w:t>
      </w:r>
    </w:p>
    <w:p w14:paraId="1940DDEB" w14:textId="77777777" w:rsidR="00625395" w:rsidRPr="0015541C" w:rsidRDefault="00625395" w:rsidP="00625395">
      <w:pPr>
        <w:ind w:right="-29"/>
        <w:rPr>
          <w:lang w:val="pl-PL"/>
        </w:rPr>
      </w:pPr>
      <w:r w:rsidRPr="0015541C">
        <w:rPr>
          <w:iCs/>
          <w:lang w:val="pl-PL"/>
        </w:rPr>
        <w:sym w:font="Symbol" w:char="F0B7"/>
      </w:r>
      <w:r w:rsidRPr="0015541C">
        <w:rPr>
          <w:iCs/>
          <w:lang w:val="pl-PL"/>
        </w:rPr>
        <w:tab/>
      </w:r>
      <w:r w:rsidRPr="0015541C">
        <w:rPr>
          <w:lang w:val="pl-PL"/>
        </w:rPr>
        <w:t>perforacja jelita,</w:t>
      </w:r>
    </w:p>
    <w:p w14:paraId="688E3C03" w14:textId="77777777" w:rsidR="00625395" w:rsidRPr="0015541C" w:rsidRDefault="00625395" w:rsidP="00625395">
      <w:pPr>
        <w:ind w:left="567" w:right="-29" w:hanging="567"/>
        <w:rPr>
          <w:lang w:val="pl-PL"/>
        </w:rPr>
      </w:pPr>
      <w:r w:rsidRPr="0015541C">
        <w:rPr>
          <w:iCs/>
          <w:lang w:val="pl-PL"/>
        </w:rPr>
        <w:sym w:font="Symbol" w:char="F0B7"/>
      </w:r>
      <w:r w:rsidRPr="0015541C">
        <w:rPr>
          <w:iCs/>
          <w:lang w:val="pl-PL"/>
        </w:rPr>
        <w:tab/>
      </w:r>
      <w:r w:rsidRPr="0015541C">
        <w:rPr>
          <w:lang w:val="pl-PL"/>
        </w:rPr>
        <w:t>krwawienie, w tym krwawienie w płucach u pacjentów z niedrobnokomórkowym rakiem płuca,</w:t>
      </w:r>
    </w:p>
    <w:p w14:paraId="33A12F69" w14:textId="77777777" w:rsidR="00625395" w:rsidRPr="0015541C" w:rsidRDefault="00625395" w:rsidP="00625395">
      <w:pPr>
        <w:ind w:left="567" w:right="-29" w:hanging="567"/>
        <w:rPr>
          <w:lang w:val="pl-PL"/>
        </w:rPr>
      </w:pPr>
      <w:r w:rsidRPr="0015541C">
        <w:rPr>
          <w:iCs/>
          <w:lang w:val="pl-PL"/>
        </w:rPr>
        <w:sym w:font="Symbol" w:char="F0B7"/>
      </w:r>
      <w:r w:rsidRPr="0015541C">
        <w:rPr>
          <w:iCs/>
          <w:lang w:val="pl-PL"/>
        </w:rPr>
        <w:tab/>
      </w:r>
      <w:r w:rsidRPr="0015541C">
        <w:rPr>
          <w:lang w:val="pl-PL"/>
        </w:rPr>
        <w:t>blokowanie tętnic przez zakrzepy,</w:t>
      </w:r>
    </w:p>
    <w:p w14:paraId="49A48D56" w14:textId="77777777" w:rsidR="00625395" w:rsidRPr="0015541C" w:rsidRDefault="00625395" w:rsidP="00625395">
      <w:pPr>
        <w:ind w:left="567" w:right="-29" w:hanging="567"/>
        <w:rPr>
          <w:lang w:val="pl-PL"/>
        </w:rPr>
      </w:pPr>
      <w:r w:rsidRPr="0015541C">
        <w:rPr>
          <w:iCs/>
          <w:lang w:val="pl-PL"/>
        </w:rPr>
        <w:sym w:font="Symbol" w:char="F0B7"/>
      </w:r>
      <w:r w:rsidRPr="0015541C">
        <w:rPr>
          <w:iCs/>
          <w:lang w:val="pl-PL"/>
        </w:rPr>
        <w:tab/>
        <w:t>blokowanie żył przez zakrzepy,</w:t>
      </w:r>
    </w:p>
    <w:p w14:paraId="48CEECF1" w14:textId="77777777" w:rsidR="00625395" w:rsidRPr="00AC3958" w:rsidRDefault="00625395" w:rsidP="00625395">
      <w:pPr>
        <w:ind w:right="-29"/>
        <w:rPr>
          <w:lang w:val="pl-PL"/>
        </w:rPr>
      </w:pPr>
      <w:r w:rsidRPr="0015541C">
        <w:rPr>
          <w:iCs/>
          <w:lang w:val="pl-PL"/>
        </w:rPr>
        <w:sym w:font="Symbol" w:char="F0B7"/>
      </w:r>
      <w:r w:rsidRPr="0015541C">
        <w:rPr>
          <w:iCs/>
          <w:lang w:val="pl-PL"/>
        </w:rPr>
        <w:tab/>
      </w:r>
      <w:r w:rsidRPr="0015541C">
        <w:rPr>
          <w:lang w:val="pl-PL"/>
        </w:rPr>
        <w:t>blokowanie naczyń krwionośnych płuc przez zakrzepy,</w:t>
      </w:r>
    </w:p>
    <w:p w14:paraId="4564A514" w14:textId="77777777" w:rsidR="00625395" w:rsidRPr="0015541C" w:rsidRDefault="00625395" w:rsidP="00625395">
      <w:pPr>
        <w:ind w:right="-29"/>
        <w:rPr>
          <w:lang w:val="pl-PL"/>
        </w:rPr>
      </w:pPr>
      <w:r w:rsidRPr="0015541C">
        <w:rPr>
          <w:iCs/>
          <w:lang w:val="pl-PL"/>
        </w:rPr>
        <w:sym w:font="Symbol" w:char="F0B7"/>
      </w:r>
      <w:r w:rsidRPr="0015541C">
        <w:rPr>
          <w:iCs/>
          <w:lang w:val="pl-PL"/>
        </w:rPr>
        <w:tab/>
        <w:t xml:space="preserve">blokowanie </w:t>
      </w:r>
      <w:r w:rsidRPr="0015541C">
        <w:rPr>
          <w:lang w:val="pl-PL"/>
        </w:rPr>
        <w:t>żył w nogach przez zakrzepy,</w:t>
      </w:r>
    </w:p>
    <w:p w14:paraId="411DCDB4" w14:textId="77777777" w:rsidR="00625395" w:rsidRPr="0015541C" w:rsidRDefault="00625395" w:rsidP="00625395">
      <w:pPr>
        <w:ind w:right="-29"/>
        <w:rPr>
          <w:lang w:val="pl-PL"/>
        </w:rPr>
      </w:pPr>
      <w:r w:rsidRPr="0015541C">
        <w:rPr>
          <w:iCs/>
          <w:lang w:val="pl-PL"/>
        </w:rPr>
        <w:sym w:font="Symbol" w:char="F0B7"/>
      </w:r>
      <w:r w:rsidRPr="0015541C">
        <w:rPr>
          <w:iCs/>
          <w:lang w:val="pl-PL"/>
        </w:rPr>
        <w:tab/>
      </w:r>
      <w:r w:rsidRPr="0015541C">
        <w:rPr>
          <w:lang w:val="pl-PL"/>
        </w:rPr>
        <w:t>niewydolność serca,</w:t>
      </w:r>
    </w:p>
    <w:p w14:paraId="2F693946" w14:textId="77777777" w:rsidR="00625395" w:rsidRPr="0015541C" w:rsidRDefault="00625395" w:rsidP="00625395">
      <w:pPr>
        <w:keepNext/>
        <w:ind w:left="567" w:right="-28" w:hanging="567"/>
        <w:rPr>
          <w:lang w:val="pl-PL"/>
        </w:rPr>
      </w:pPr>
      <w:r w:rsidRPr="0015541C">
        <w:rPr>
          <w:iCs/>
          <w:lang w:val="pl-PL"/>
        </w:rPr>
        <w:sym w:font="Symbol" w:char="F0B7"/>
      </w:r>
      <w:r w:rsidRPr="0015541C">
        <w:rPr>
          <w:iCs/>
          <w:lang w:val="pl-PL"/>
        </w:rPr>
        <w:tab/>
      </w:r>
      <w:r w:rsidRPr="0015541C">
        <w:rPr>
          <w:lang w:val="pl-PL"/>
        </w:rPr>
        <w:t>problemy z gojeniem ran po zabiegach chirurgicznych,</w:t>
      </w:r>
    </w:p>
    <w:p w14:paraId="72C705D2" w14:textId="77777777" w:rsidR="00625395" w:rsidRPr="0015541C" w:rsidRDefault="00625395" w:rsidP="005E6736">
      <w:pPr>
        <w:ind w:right="-29"/>
        <w:rPr>
          <w:iCs/>
          <w:lang w:val="pl-PL"/>
        </w:rPr>
      </w:pPr>
      <w:r w:rsidRPr="0015541C">
        <w:rPr>
          <w:iCs/>
          <w:lang w:val="pl-PL"/>
        </w:rPr>
        <w:sym w:font="Symbol" w:char="F0B7"/>
      </w:r>
      <w:r w:rsidRPr="0015541C">
        <w:rPr>
          <w:iCs/>
          <w:lang w:val="pl-PL"/>
        </w:rPr>
        <w:tab/>
        <w:t>zaczerwienienie, złuszczanie, tkliwość, ból lub pęcherze na palcach lub stopach,</w:t>
      </w:r>
    </w:p>
    <w:p w14:paraId="58374FDC" w14:textId="77777777" w:rsidR="00625395" w:rsidRPr="00AC3958" w:rsidRDefault="00625395" w:rsidP="005E6736">
      <w:pPr>
        <w:ind w:left="567" w:hanging="567"/>
        <w:rPr>
          <w:lang w:val="pl-PL"/>
        </w:rPr>
      </w:pPr>
      <w:r w:rsidRPr="0015541C">
        <w:rPr>
          <w:iCs/>
          <w:lang w:val="pl-PL"/>
        </w:rPr>
        <w:sym w:font="Symbol" w:char="F0B7"/>
      </w:r>
      <w:r w:rsidRPr="0015541C">
        <w:rPr>
          <w:iCs/>
          <w:lang w:val="pl-PL"/>
        </w:rPr>
        <w:tab/>
      </w:r>
      <w:r w:rsidRPr="0015541C">
        <w:rPr>
          <w:lang w:val="pl-PL"/>
        </w:rPr>
        <w:t xml:space="preserve">zmniejszenie liczby krwinek czerwonych we krwi, </w:t>
      </w:r>
    </w:p>
    <w:p w14:paraId="5CFF8D73" w14:textId="77777777" w:rsidR="00625395" w:rsidRPr="0015541C" w:rsidRDefault="00625395" w:rsidP="00625395">
      <w:pPr>
        <w:ind w:left="567" w:right="-29" w:hanging="567"/>
        <w:rPr>
          <w:lang w:val="pl-PL"/>
        </w:rPr>
      </w:pPr>
      <w:r w:rsidRPr="0015541C">
        <w:rPr>
          <w:iCs/>
          <w:lang w:val="pl-PL"/>
        </w:rPr>
        <w:lastRenderedPageBreak/>
        <w:sym w:font="Symbol" w:char="F0B7"/>
      </w:r>
      <w:r w:rsidRPr="0015541C">
        <w:rPr>
          <w:iCs/>
          <w:lang w:val="pl-PL"/>
        </w:rPr>
        <w:tab/>
      </w:r>
      <w:r w:rsidRPr="0015541C">
        <w:rPr>
          <w:lang w:val="pl-PL"/>
        </w:rPr>
        <w:t xml:space="preserve">osłabienie, </w:t>
      </w:r>
    </w:p>
    <w:p w14:paraId="52E26F82" w14:textId="77777777" w:rsidR="00625395" w:rsidRPr="0015541C" w:rsidRDefault="00625395" w:rsidP="00625395">
      <w:pPr>
        <w:keepNext/>
        <w:ind w:left="567" w:right="-28" w:hanging="567"/>
        <w:rPr>
          <w:lang w:val="pl-PL"/>
        </w:rPr>
      </w:pPr>
      <w:r w:rsidRPr="0015541C">
        <w:rPr>
          <w:iCs/>
          <w:lang w:val="pl-PL"/>
        </w:rPr>
        <w:sym w:font="Symbol" w:char="F0B7"/>
      </w:r>
      <w:r w:rsidRPr="0015541C">
        <w:rPr>
          <w:iCs/>
          <w:lang w:val="pl-PL"/>
        </w:rPr>
        <w:tab/>
      </w:r>
      <w:r w:rsidRPr="0015541C">
        <w:rPr>
          <w:lang w:val="pl-PL"/>
        </w:rPr>
        <w:t>zaburzenia żołądka i jelit,</w:t>
      </w:r>
    </w:p>
    <w:p w14:paraId="53DCBC4C" w14:textId="77777777" w:rsidR="00625395" w:rsidRPr="0015541C" w:rsidRDefault="00625395" w:rsidP="00625395">
      <w:pPr>
        <w:ind w:left="567" w:right="-29" w:hanging="567"/>
        <w:rPr>
          <w:lang w:val="pl-PL"/>
        </w:rPr>
      </w:pPr>
      <w:r w:rsidRPr="0015541C">
        <w:rPr>
          <w:iCs/>
          <w:lang w:val="pl-PL"/>
        </w:rPr>
        <w:sym w:font="Symbol" w:char="F0B7"/>
      </w:r>
      <w:r w:rsidRPr="0015541C">
        <w:rPr>
          <w:iCs/>
          <w:lang w:val="pl-PL"/>
        </w:rPr>
        <w:tab/>
      </w:r>
      <w:r w:rsidRPr="0015541C">
        <w:rPr>
          <w:lang w:val="pl-PL"/>
        </w:rPr>
        <w:t>bóle mięśniowe i bóle stawów, osłabienie mięśni,</w:t>
      </w:r>
    </w:p>
    <w:p w14:paraId="563082EE" w14:textId="77777777" w:rsidR="00625395" w:rsidRPr="0015541C" w:rsidRDefault="00625395" w:rsidP="00625395">
      <w:pPr>
        <w:ind w:left="567" w:right="-29" w:hanging="567"/>
        <w:rPr>
          <w:lang w:val="pl-PL"/>
        </w:rPr>
      </w:pPr>
      <w:r w:rsidRPr="0015541C">
        <w:rPr>
          <w:iCs/>
          <w:lang w:val="pl-PL"/>
        </w:rPr>
        <w:sym w:font="Symbol" w:char="F0B7"/>
      </w:r>
      <w:r w:rsidRPr="0015541C">
        <w:rPr>
          <w:iCs/>
          <w:lang w:val="pl-PL"/>
        </w:rPr>
        <w:tab/>
      </w:r>
      <w:r w:rsidRPr="0015541C">
        <w:rPr>
          <w:lang w:val="pl-PL"/>
        </w:rPr>
        <w:t>suchość w jamie ustnej z uczuciem pragnienia i (lub) zmniejszon</w:t>
      </w:r>
      <w:r w:rsidR="00C14E22" w:rsidRPr="0015541C">
        <w:rPr>
          <w:lang w:val="pl-PL"/>
        </w:rPr>
        <w:t>a</w:t>
      </w:r>
      <w:r w:rsidRPr="00AC3958">
        <w:rPr>
          <w:lang w:val="pl-PL"/>
        </w:rPr>
        <w:t xml:space="preserve"> iloś</w:t>
      </w:r>
      <w:r w:rsidR="009A1065" w:rsidRPr="0015541C">
        <w:rPr>
          <w:lang w:val="pl-PL"/>
        </w:rPr>
        <w:t>ć</w:t>
      </w:r>
      <w:r w:rsidRPr="0015541C">
        <w:rPr>
          <w:lang w:val="pl-PL"/>
        </w:rPr>
        <w:t xml:space="preserve"> moczu lub ciemniejsz</w:t>
      </w:r>
      <w:r w:rsidR="00C14E22" w:rsidRPr="0015541C">
        <w:rPr>
          <w:lang w:val="pl-PL"/>
        </w:rPr>
        <w:t>e</w:t>
      </w:r>
      <w:r w:rsidRPr="0015541C">
        <w:rPr>
          <w:lang w:val="pl-PL"/>
        </w:rPr>
        <w:t xml:space="preserve"> zabarwienie moczu,</w:t>
      </w:r>
    </w:p>
    <w:p w14:paraId="1E1BBDB4" w14:textId="77777777" w:rsidR="00625395" w:rsidRPr="00AC3958" w:rsidRDefault="00625395" w:rsidP="00625395">
      <w:pPr>
        <w:ind w:left="567" w:right="-29" w:hanging="567"/>
        <w:rPr>
          <w:lang w:val="pl-PL"/>
        </w:rPr>
      </w:pPr>
      <w:r w:rsidRPr="0015541C">
        <w:rPr>
          <w:iCs/>
          <w:lang w:val="pl-PL"/>
        </w:rPr>
        <w:sym w:font="Symbol" w:char="F0B7"/>
      </w:r>
      <w:r w:rsidRPr="0015541C">
        <w:rPr>
          <w:iCs/>
          <w:lang w:val="pl-PL"/>
        </w:rPr>
        <w:tab/>
      </w:r>
      <w:r w:rsidRPr="0015541C">
        <w:rPr>
          <w:lang w:val="pl-PL"/>
        </w:rPr>
        <w:t>zapalenie błony śluzowej jamy ustnej i przewodu pokarmowego, płuc i dróg oddechowych, układu rozrodczego i moczowego,</w:t>
      </w:r>
    </w:p>
    <w:p w14:paraId="294962AE" w14:textId="77777777" w:rsidR="00625395" w:rsidRPr="0015541C" w:rsidRDefault="00625395" w:rsidP="005E6736">
      <w:pPr>
        <w:ind w:left="567" w:hanging="567"/>
        <w:rPr>
          <w:lang w:val="pl-PL"/>
        </w:rPr>
      </w:pPr>
      <w:r w:rsidRPr="0015541C">
        <w:rPr>
          <w:iCs/>
          <w:lang w:val="pl-PL"/>
        </w:rPr>
        <w:sym w:font="Symbol" w:char="F0B7"/>
      </w:r>
      <w:r w:rsidRPr="0015541C">
        <w:rPr>
          <w:iCs/>
          <w:lang w:val="pl-PL"/>
        </w:rPr>
        <w:tab/>
      </w:r>
      <w:r w:rsidRPr="0015541C">
        <w:rPr>
          <w:lang w:val="pl-PL"/>
        </w:rPr>
        <w:t xml:space="preserve">owrzodzenia w jamie ustnej i przełyku, które mogą być bolesne i powodować trudności </w:t>
      </w:r>
      <w:r w:rsidR="00A855F1" w:rsidRPr="0015541C">
        <w:rPr>
          <w:lang w:val="pl-PL"/>
        </w:rPr>
        <w:br/>
      </w:r>
      <w:r w:rsidRPr="00AC3958">
        <w:rPr>
          <w:lang w:val="pl-PL"/>
        </w:rPr>
        <w:t>z połykaniem,</w:t>
      </w:r>
    </w:p>
    <w:p w14:paraId="7F5B8134" w14:textId="77777777" w:rsidR="00625395" w:rsidRPr="0015541C" w:rsidRDefault="00625395" w:rsidP="00625395">
      <w:pPr>
        <w:ind w:left="567" w:right="-29" w:hanging="567"/>
        <w:rPr>
          <w:lang w:val="pl-PL"/>
        </w:rPr>
      </w:pPr>
      <w:r w:rsidRPr="0015541C">
        <w:rPr>
          <w:iCs/>
          <w:lang w:val="pl-PL"/>
        </w:rPr>
        <w:sym w:font="Symbol" w:char="F0B7"/>
      </w:r>
      <w:r w:rsidRPr="0015541C">
        <w:rPr>
          <w:iCs/>
          <w:lang w:val="pl-PL"/>
        </w:rPr>
        <w:tab/>
      </w:r>
      <w:r w:rsidRPr="0015541C">
        <w:rPr>
          <w:lang w:val="pl-PL"/>
        </w:rPr>
        <w:t>ból, w tym ból głowy,</w:t>
      </w:r>
      <w:r w:rsidR="0031199C" w:rsidRPr="0015541C">
        <w:rPr>
          <w:lang w:val="pl-PL"/>
        </w:rPr>
        <w:t xml:space="preserve"> ból pleców, ból miednic</w:t>
      </w:r>
      <w:r w:rsidR="0031199C" w:rsidRPr="00AC3958">
        <w:rPr>
          <w:lang w:val="pl-PL"/>
        </w:rPr>
        <w:t xml:space="preserve">y, ból </w:t>
      </w:r>
      <w:r w:rsidR="005568CA" w:rsidRPr="0015541C">
        <w:rPr>
          <w:lang w:val="pl-PL"/>
        </w:rPr>
        <w:t xml:space="preserve">okolicy </w:t>
      </w:r>
      <w:r w:rsidR="0031199C" w:rsidRPr="0015541C">
        <w:rPr>
          <w:lang w:val="pl-PL"/>
        </w:rPr>
        <w:t>odbytu</w:t>
      </w:r>
      <w:r w:rsidR="005568CA" w:rsidRPr="0015541C">
        <w:rPr>
          <w:lang w:val="pl-PL"/>
        </w:rPr>
        <w:t>,</w:t>
      </w:r>
    </w:p>
    <w:p w14:paraId="7478997B" w14:textId="77777777" w:rsidR="00625395" w:rsidRPr="0015541C" w:rsidRDefault="00625395" w:rsidP="00625395">
      <w:pPr>
        <w:ind w:left="567" w:right="-29" w:hanging="567"/>
        <w:rPr>
          <w:lang w:val="pl-PL"/>
        </w:rPr>
      </w:pPr>
      <w:r w:rsidRPr="0015541C">
        <w:rPr>
          <w:iCs/>
          <w:lang w:val="pl-PL"/>
        </w:rPr>
        <w:sym w:font="Symbol" w:char="F0B7"/>
      </w:r>
      <w:r w:rsidRPr="0015541C">
        <w:rPr>
          <w:iCs/>
          <w:lang w:val="pl-PL"/>
        </w:rPr>
        <w:tab/>
      </w:r>
      <w:r w:rsidRPr="0015541C">
        <w:rPr>
          <w:lang w:val="pl-PL"/>
        </w:rPr>
        <w:t>miejscowe gromadzenie się ropy,</w:t>
      </w:r>
    </w:p>
    <w:p w14:paraId="51A4EB9C" w14:textId="77777777" w:rsidR="00625395" w:rsidRPr="0015541C" w:rsidRDefault="00625395" w:rsidP="00625395">
      <w:pPr>
        <w:ind w:left="567" w:right="-29" w:hanging="567"/>
        <w:rPr>
          <w:lang w:val="pl-PL"/>
        </w:rPr>
      </w:pPr>
      <w:r w:rsidRPr="0015541C">
        <w:rPr>
          <w:iCs/>
          <w:lang w:val="pl-PL"/>
        </w:rPr>
        <w:sym w:font="Symbol" w:char="F0B7"/>
      </w:r>
      <w:r w:rsidRPr="0015541C">
        <w:rPr>
          <w:iCs/>
          <w:lang w:val="pl-PL"/>
        </w:rPr>
        <w:tab/>
      </w:r>
      <w:r w:rsidRPr="0015541C">
        <w:rPr>
          <w:lang w:val="pl-PL"/>
        </w:rPr>
        <w:t>zakażenia, w szczególności zakażenia krwi lub pęcherza moczowego,</w:t>
      </w:r>
    </w:p>
    <w:p w14:paraId="3EEF971D" w14:textId="77777777" w:rsidR="00625395" w:rsidRPr="0015541C" w:rsidRDefault="00625395" w:rsidP="00625395">
      <w:pPr>
        <w:ind w:left="567" w:right="-29" w:hanging="567"/>
        <w:rPr>
          <w:lang w:val="pl-PL"/>
        </w:rPr>
      </w:pPr>
      <w:r w:rsidRPr="0015541C">
        <w:rPr>
          <w:iCs/>
          <w:lang w:val="pl-PL"/>
        </w:rPr>
        <w:sym w:font="Symbol" w:char="F0B7"/>
      </w:r>
      <w:r w:rsidRPr="0015541C">
        <w:rPr>
          <w:iCs/>
          <w:lang w:val="pl-PL"/>
        </w:rPr>
        <w:tab/>
      </w:r>
      <w:r w:rsidRPr="0015541C">
        <w:rPr>
          <w:lang w:val="pl-PL"/>
        </w:rPr>
        <w:t>niedostateczna ilość krwi dostarczana do mózgu lub udar,</w:t>
      </w:r>
    </w:p>
    <w:p w14:paraId="08850C67" w14:textId="77777777" w:rsidR="00625395" w:rsidRPr="0015541C" w:rsidRDefault="00625395" w:rsidP="00625395">
      <w:pPr>
        <w:ind w:left="567" w:right="-29" w:hanging="567"/>
        <w:rPr>
          <w:lang w:val="pl-PL"/>
        </w:rPr>
      </w:pPr>
      <w:r w:rsidRPr="0015541C">
        <w:rPr>
          <w:iCs/>
          <w:lang w:val="pl-PL"/>
        </w:rPr>
        <w:sym w:font="Symbol" w:char="F0B7"/>
      </w:r>
      <w:r w:rsidRPr="0015541C">
        <w:rPr>
          <w:iCs/>
          <w:lang w:val="pl-PL"/>
        </w:rPr>
        <w:tab/>
      </w:r>
      <w:r w:rsidRPr="0015541C">
        <w:rPr>
          <w:lang w:val="pl-PL"/>
        </w:rPr>
        <w:t>senność,</w:t>
      </w:r>
    </w:p>
    <w:p w14:paraId="73398F3A" w14:textId="77777777" w:rsidR="00625395" w:rsidRPr="0015541C" w:rsidRDefault="00625395" w:rsidP="00625395">
      <w:pPr>
        <w:ind w:right="-29"/>
        <w:rPr>
          <w:lang w:val="pl-PL"/>
        </w:rPr>
      </w:pPr>
      <w:r w:rsidRPr="0015541C">
        <w:rPr>
          <w:iCs/>
          <w:lang w:val="pl-PL"/>
        </w:rPr>
        <w:sym w:font="Symbol" w:char="F0B7"/>
      </w:r>
      <w:r w:rsidRPr="0015541C">
        <w:rPr>
          <w:iCs/>
          <w:lang w:val="pl-PL"/>
        </w:rPr>
        <w:tab/>
      </w:r>
      <w:r w:rsidRPr="0015541C">
        <w:rPr>
          <w:lang w:val="pl-PL"/>
        </w:rPr>
        <w:t>krwawienie z nosa,</w:t>
      </w:r>
    </w:p>
    <w:p w14:paraId="02388CAD" w14:textId="77777777" w:rsidR="00625395" w:rsidRPr="00AC3958" w:rsidRDefault="00625395" w:rsidP="00625395">
      <w:pPr>
        <w:ind w:left="567" w:right="-29" w:hanging="567"/>
        <w:rPr>
          <w:lang w:val="pl-PL"/>
        </w:rPr>
      </w:pPr>
      <w:r w:rsidRPr="0015541C">
        <w:rPr>
          <w:iCs/>
          <w:lang w:val="pl-PL"/>
        </w:rPr>
        <w:sym w:font="Symbol" w:char="F0B7"/>
      </w:r>
      <w:r w:rsidRPr="0015541C">
        <w:rPr>
          <w:iCs/>
          <w:lang w:val="pl-PL"/>
        </w:rPr>
        <w:tab/>
      </w:r>
      <w:r w:rsidRPr="0015541C">
        <w:rPr>
          <w:lang w:val="pl-PL"/>
        </w:rPr>
        <w:t>zwiększenie częstości rytmu serca (tętna),</w:t>
      </w:r>
    </w:p>
    <w:p w14:paraId="4E796BD7" w14:textId="77777777" w:rsidR="00625395" w:rsidRPr="0015541C" w:rsidRDefault="00625395" w:rsidP="00625395">
      <w:pPr>
        <w:ind w:left="567" w:right="-29" w:hanging="567"/>
        <w:rPr>
          <w:lang w:val="pl-PL"/>
        </w:rPr>
      </w:pPr>
      <w:r w:rsidRPr="0015541C">
        <w:rPr>
          <w:iCs/>
          <w:lang w:val="pl-PL"/>
        </w:rPr>
        <w:sym w:font="Symbol" w:char="F0B7"/>
      </w:r>
      <w:r w:rsidRPr="0015541C">
        <w:rPr>
          <w:iCs/>
          <w:lang w:val="pl-PL"/>
        </w:rPr>
        <w:tab/>
      </w:r>
      <w:r w:rsidRPr="0015541C">
        <w:rPr>
          <w:lang w:val="pl-PL"/>
        </w:rPr>
        <w:t>zaparcia w obrębie jelit,</w:t>
      </w:r>
    </w:p>
    <w:p w14:paraId="232AEA48" w14:textId="77777777" w:rsidR="00625395" w:rsidRPr="0015541C" w:rsidRDefault="00625395" w:rsidP="00625395">
      <w:pPr>
        <w:ind w:left="567" w:right="-29" w:hanging="567"/>
        <w:rPr>
          <w:lang w:val="pl-PL"/>
        </w:rPr>
      </w:pPr>
      <w:r w:rsidRPr="0015541C">
        <w:rPr>
          <w:iCs/>
          <w:lang w:val="pl-PL"/>
        </w:rPr>
        <w:sym w:font="Symbol" w:char="F0B7"/>
      </w:r>
      <w:r w:rsidRPr="0015541C">
        <w:rPr>
          <w:iCs/>
          <w:lang w:val="pl-PL"/>
        </w:rPr>
        <w:tab/>
      </w:r>
      <w:r w:rsidRPr="0015541C">
        <w:rPr>
          <w:lang w:val="pl-PL"/>
        </w:rPr>
        <w:t>nieprawidłowe wyniki badań moczu (obecność białka w moczu),</w:t>
      </w:r>
    </w:p>
    <w:p w14:paraId="406A8819" w14:textId="77777777" w:rsidR="00625395" w:rsidRPr="00AC3958" w:rsidRDefault="00625395" w:rsidP="00625395">
      <w:pPr>
        <w:ind w:left="567" w:right="-29" w:hanging="567"/>
        <w:rPr>
          <w:lang w:val="pl-PL"/>
        </w:rPr>
      </w:pPr>
      <w:r w:rsidRPr="0015541C">
        <w:rPr>
          <w:iCs/>
          <w:lang w:val="pl-PL"/>
        </w:rPr>
        <w:sym w:font="Symbol" w:char="F0B7"/>
      </w:r>
      <w:r w:rsidRPr="0015541C">
        <w:rPr>
          <w:iCs/>
          <w:lang w:val="pl-PL"/>
        </w:rPr>
        <w:tab/>
      </w:r>
      <w:r w:rsidRPr="0015541C">
        <w:rPr>
          <w:lang w:val="pl-PL"/>
        </w:rPr>
        <w:t>duszność lub małe stężenia tlenu we krwi</w:t>
      </w:r>
      <w:r w:rsidR="0031199C" w:rsidRPr="0015541C">
        <w:rPr>
          <w:lang w:val="pl-PL"/>
        </w:rPr>
        <w:t>,</w:t>
      </w:r>
    </w:p>
    <w:p w14:paraId="51F40CE9" w14:textId="77777777" w:rsidR="0031199C" w:rsidRPr="0015541C" w:rsidRDefault="0031199C" w:rsidP="00625395">
      <w:pPr>
        <w:ind w:left="567" w:right="-29" w:hanging="567"/>
        <w:rPr>
          <w:lang w:val="pl-PL"/>
        </w:rPr>
      </w:pPr>
      <w:r w:rsidRPr="0015541C">
        <w:rPr>
          <w:iCs/>
          <w:lang w:val="pl-PL"/>
        </w:rPr>
        <w:sym w:font="Symbol" w:char="F0B7"/>
      </w:r>
      <w:r w:rsidRPr="0015541C">
        <w:rPr>
          <w:iCs/>
          <w:lang w:val="pl-PL"/>
        </w:rPr>
        <w:tab/>
      </w:r>
      <w:r w:rsidRPr="0015541C">
        <w:rPr>
          <w:lang w:val="pl-PL"/>
        </w:rPr>
        <w:t>zakażenia skóry l</w:t>
      </w:r>
      <w:r w:rsidR="005568CA" w:rsidRPr="0015541C">
        <w:rPr>
          <w:lang w:val="pl-PL"/>
        </w:rPr>
        <w:t>ub</w:t>
      </w:r>
      <w:r w:rsidRPr="00AC3958">
        <w:rPr>
          <w:lang w:val="pl-PL"/>
        </w:rPr>
        <w:t xml:space="preserve"> tkanki podskó</w:t>
      </w:r>
      <w:r w:rsidR="005568CA" w:rsidRPr="0015541C">
        <w:rPr>
          <w:lang w:val="pl-PL"/>
        </w:rPr>
        <w:t>r</w:t>
      </w:r>
      <w:r w:rsidRPr="0015541C">
        <w:rPr>
          <w:lang w:val="pl-PL"/>
        </w:rPr>
        <w:t>nej,</w:t>
      </w:r>
    </w:p>
    <w:p w14:paraId="1AA01AB7" w14:textId="0595F0F0" w:rsidR="0031199C" w:rsidRDefault="0031199C" w:rsidP="00625395">
      <w:pPr>
        <w:ind w:left="567" w:right="-29" w:hanging="567"/>
        <w:rPr>
          <w:lang w:val="pl-PL"/>
        </w:rPr>
      </w:pPr>
      <w:r w:rsidRPr="0015541C">
        <w:rPr>
          <w:iCs/>
          <w:lang w:val="pl-PL"/>
        </w:rPr>
        <w:sym w:font="Symbol" w:char="F0B7"/>
      </w:r>
      <w:r w:rsidRPr="0015541C">
        <w:rPr>
          <w:iCs/>
          <w:lang w:val="pl-PL"/>
        </w:rPr>
        <w:tab/>
      </w:r>
      <w:r w:rsidR="00AE7DF9" w:rsidRPr="0015541C">
        <w:rPr>
          <w:iCs/>
          <w:lang w:val="pl-PL"/>
        </w:rPr>
        <w:t xml:space="preserve">przetoka: </w:t>
      </w:r>
      <w:r w:rsidR="00C14E22" w:rsidRPr="0015541C">
        <w:rPr>
          <w:lang w:val="pl-PL"/>
        </w:rPr>
        <w:t>nieprawidłowe połączenie lub przejście w kształcie rurki</w:t>
      </w:r>
      <w:r w:rsidR="00064871" w:rsidRPr="00AC3958">
        <w:rPr>
          <w:lang w:val="pl-PL"/>
        </w:rPr>
        <w:t xml:space="preserve"> </w:t>
      </w:r>
      <w:r w:rsidR="00C14E22" w:rsidRPr="0015541C">
        <w:rPr>
          <w:lang w:val="pl-PL"/>
        </w:rPr>
        <w:t xml:space="preserve">między narządami wewnętrznymi i skórą lub innymi tkankami, które zazwyczaj nie są ze sobą połączone, włączając połączenia między pochwą i </w:t>
      </w:r>
      <w:r w:rsidR="002815CF" w:rsidRPr="0015541C">
        <w:rPr>
          <w:lang w:val="pl-PL"/>
        </w:rPr>
        <w:t>jelitami</w:t>
      </w:r>
      <w:r w:rsidR="00C14E22" w:rsidRPr="0015541C">
        <w:rPr>
          <w:lang w:val="pl-PL"/>
        </w:rPr>
        <w:t xml:space="preserve"> u </w:t>
      </w:r>
      <w:r w:rsidR="00A1521E" w:rsidRPr="0015541C">
        <w:rPr>
          <w:lang w:val="pl-PL"/>
        </w:rPr>
        <w:t>chorych</w:t>
      </w:r>
      <w:r w:rsidR="00C14E22" w:rsidRPr="0015541C">
        <w:rPr>
          <w:lang w:val="pl-PL"/>
        </w:rPr>
        <w:t xml:space="preserve"> z rakiem szy</w:t>
      </w:r>
      <w:r w:rsidR="00F6235C" w:rsidRPr="0015541C">
        <w:rPr>
          <w:lang w:val="pl-PL"/>
        </w:rPr>
        <w:t>j</w:t>
      </w:r>
      <w:r w:rsidR="00C14E22" w:rsidRPr="0015541C">
        <w:rPr>
          <w:lang w:val="pl-PL"/>
        </w:rPr>
        <w:t>ki macicy.</w:t>
      </w:r>
    </w:p>
    <w:p w14:paraId="5BF92669" w14:textId="77777777" w:rsidR="00420F0C" w:rsidRDefault="00420F0C" w:rsidP="00420F0C">
      <w:pPr>
        <w:ind w:left="567" w:right="-29" w:hanging="567"/>
        <w:rPr>
          <w:iCs/>
          <w:lang w:val="pl-PL"/>
        </w:rPr>
      </w:pPr>
      <w:r w:rsidRPr="007E2685">
        <w:rPr>
          <w:iCs/>
          <w:lang w:val="pl-PL"/>
        </w:rPr>
        <w:sym w:font="Symbol" w:char="F0B7"/>
      </w:r>
      <w:r w:rsidRPr="007E2685">
        <w:rPr>
          <w:iCs/>
          <w:lang w:val="pl-PL"/>
        </w:rPr>
        <w:tab/>
      </w:r>
      <w:r>
        <w:rPr>
          <w:iCs/>
          <w:lang w:val="pl-PL"/>
        </w:rPr>
        <w:t>reakcje alergiczne (objawami mogą być: trudności w oddychaniu, zaczerwienienie twarzy, wysypka, zmniejszone lub zwiększone ciśnienie krwi, zmniejszone stężenie tlenu we krwi, ból w klatce piersiowej lub nudności/wymioty).</w:t>
      </w:r>
    </w:p>
    <w:p w14:paraId="00435EE5" w14:textId="77777777" w:rsidR="00420F0C" w:rsidRDefault="00420F0C" w:rsidP="00420F0C">
      <w:pPr>
        <w:ind w:left="567" w:right="-29" w:hanging="567"/>
        <w:rPr>
          <w:iCs/>
          <w:lang w:val="pl-PL"/>
        </w:rPr>
      </w:pPr>
    </w:p>
    <w:p w14:paraId="339C1504" w14:textId="77777777" w:rsidR="00420F0C" w:rsidRPr="007E2685" w:rsidRDefault="00420F0C" w:rsidP="00420F0C">
      <w:pPr>
        <w:numPr>
          <w:ilvl w:val="12"/>
          <w:numId w:val="0"/>
        </w:numPr>
        <w:ind w:right="-29"/>
        <w:rPr>
          <w:lang w:val="pl-PL"/>
        </w:rPr>
      </w:pPr>
      <w:r w:rsidRPr="007E2685">
        <w:rPr>
          <w:lang w:val="pl-PL"/>
        </w:rPr>
        <w:t xml:space="preserve">Do ciężkich działań niepożądanych, które mogą występować </w:t>
      </w:r>
      <w:r>
        <w:rPr>
          <w:b/>
          <w:bCs/>
          <w:lang w:val="pl-PL"/>
        </w:rPr>
        <w:t>rzadko</w:t>
      </w:r>
      <w:r w:rsidRPr="007E2685">
        <w:rPr>
          <w:b/>
          <w:bCs/>
          <w:lang w:val="pl-PL"/>
        </w:rPr>
        <w:t xml:space="preserve"> </w:t>
      </w:r>
      <w:r w:rsidRPr="007E2685">
        <w:rPr>
          <w:bCs/>
          <w:lang w:val="pl-PL"/>
        </w:rPr>
        <w:t>(</w:t>
      </w:r>
      <w:r>
        <w:rPr>
          <w:bCs/>
          <w:lang w:val="pl-PL"/>
        </w:rPr>
        <w:t>mogą wystąpić u nie więcej niż 1 na 1000 osób</w:t>
      </w:r>
      <w:r w:rsidRPr="007E2685">
        <w:rPr>
          <w:bCs/>
          <w:lang w:val="pl-PL"/>
        </w:rPr>
        <w:t>) należą</w:t>
      </w:r>
      <w:r w:rsidRPr="007E2685">
        <w:rPr>
          <w:lang w:val="pl-PL"/>
        </w:rPr>
        <w:t>:</w:t>
      </w:r>
    </w:p>
    <w:p w14:paraId="05DEF92C" w14:textId="77777777" w:rsidR="00420F0C" w:rsidRPr="007E2685" w:rsidRDefault="00420F0C" w:rsidP="00420F0C">
      <w:pPr>
        <w:ind w:left="567" w:right="-29" w:hanging="567"/>
        <w:rPr>
          <w:lang w:val="pl-PL"/>
        </w:rPr>
      </w:pPr>
      <w:r w:rsidRPr="007E2685">
        <w:rPr>
          <w:iCs/>
          <w:lang w:val="pl-PL"/>
        </w:rPr>
        <w:sym w:font="Symbol" w:char="F0B7"/>
      </w:r>
      <w:r w:rsidRPr="007E2685">
        <w:rPr>
          <w:iCs/>
          <w:lang w:val="pl-PL"/>
        </w:rPr>
        <w:tab/>
      </w:r>
      <w:r>
        <w:rPr>
          <w:iCs/>
          <w:lang w:val="pl-PL"/>
        </w:rPr>
        <w:t xml:space="preserve">nagłe, ciężkie reakcje alergiczne, w tym trudności w oddychaniu, obrzęk, zawroty głowy, szybkie bicie serca i utrata przytomności (wstrząs anafilaktyczny). </w:t>
      </w:r>
    </w:p>
    <w:p w14:paraId="0B2DB0AE" w14:textId="77777777" w:rsidR="00625395" w:rsidRPr="0015541C" w:rsidRDefault="00625395" w:rsidP="002A2453">
      <w:pPr>
        <w:rPr>
          <w:bCs/>
          <w:lang w:val="pl-PL"/>
        </w:rPr>
      </w:pPr>
    </w:p>
    <w:p w14:paraId="72DFC0A6" w14:textId="3ED84C4A" w:rsidR="00625395" w:rsidRPr="0015541C" w:rsidRDefault="00625395" w:rsidP="00625395">
      <w:pPr>
        <w:rPr>
          <w:bCs/>
          <w:lang w:val="pl-PL"/>
        </w:rPr>
      </w:pPr>
      <w:r w:rsidRPr="0015541C">
        <w:rPr>
          <w:bCs/>
          <w:lang w:val="pl-PL"/>
        </w:rPr>
        <w:t xml:space="preserve">Do ciężkich działań niepożądanych, których częstość występowania </w:t>
      </w:r>
      <w:r w:rsidRPr="0015541C">
        <w:rPr>
          <w:b/>
          <w:bCs/>
          <w:lang w:val="pl-PL"/>
        </w:rPr>
        <w:t xml:space="preserve">jest </w:t>
      </w:r>
      <w:r w:rsidR="00593878" w:rsidRPr="0015541C">
        <w:rPr>
          <w:b/>
          <w:bCs/>
          <w:lang w:val="pl-PL"/>
        </w:rPr>
        <w:t>nie</w:t>
      </w:r>
      <w:r w:rsidRPr="0015541C">
        <w:rPr>
          <w:b/>
          <w:bCs/>
          <w:lang w:val="pl-PL"/>
        </w:rPr>
        <w:t>znana</w:t>
      </w:r>
      <w:r w:rsidRPr="0015541C">
        <w:rPr>
          <w:bCs/>
          <w:lang w:val="pl-PL"/>
        </w:rPr>
        <w:t xml:space="preserve"> (ich częstość nie może </w:t>
      </w:r>
      <w:r w:rsidR="00E8734A" w:rsidRPr="0015541C">
        <w:rPr>
          <w:bCs/>
          <w:lang w:val="pl-PL"/>
        </w:rPr>
        <w:t xml:space="preserve">być </w:t>
      </w:r>
      <w:r w:rsidRPr="0015541C">
        <w:rPr>
          <w:bCs/>
          <w:lang w:val="pl-PL"/>
        </w:rPr>
        <w:t>oceniona na podstawie dostępnych danych) należą:</w:t>
      </w:r>
    </w:p>
    <w:p w14:paraId="0CEE9E6A" w14:textId="77777777" w:rsidR="00625395" w:rsidRPr="0015541C" w:rsidRDefault="00625395" w:rsidP="005E6736">
      <w:pPr>
        <w:ind w:left="567" w:hanging="567"/>
        <w:rPr>
          <w:bCs/>
          <w:lang w:val="pl-PL"/>
        </w:rPr>
      </w:pPr>
      <w:r w:rsidRPr="0015541C">
        <w:rPr>
          <w:iCs/>
          <w:lang w:val="pl-PL"/>
        </w:rPr>
        <w:sym w:font="Symbol" w:char="F0B7"/>
      </w:r>
      <w:r w:rsidRPr="0015541C">
        <w:rPr>
          <w:iCs/>
          <w:lang w:val="pl-PL"/>
        </w:rPr>
        <w:tab/>
      </w:r>
      <w:r w:rsidRPr="0015541C">
        <w:rPr>
          <w:bCs/>
          <w:lang w:val="pl-PL"/>
        </w:rPr>
        <w:t xml:space="preserve">ciężkie zakażenie skóry lub tkanek położonych głębiej pod skórą, zwłaszcza jeśli wcześniej wystąpiły perforacje jelita lub problemy z gojeniem ran, </w:t>
      </w:r>
    </w:p>
    <w:p w14:paraId="64FDD7E0" w14:textId="77777777" w:rsidR="00625395" w:rsidRPr="00AC3958" w:rsidRDefault="00625395" w:rsidP="005E6736">
      <w:pPr>
        <w:ind w:left="567" w:hanging="567"/>
        <w:rPr>
          <w:bCs/>
          <w:lang w:val="pl-PL"/>
        </w:rPr>
      </w:pPr>
      <w:r w:rsidRPr="0015541C">
        <w:rPr>
          <w:iCs/>
          <w:lang w:val="pl-PL"/>
        </w:rPr>
        <w:sym w:font="Symbol" w:char="F0B7"/>
      </w:r>
      <w:r w:rsidRPr="0015541C">
        <w:rPr>
          <w:iCs/>
          <w:lang w:val="pl-PL"/>
        </w:rPr>
        <w:tab/>
      </w:r>
      <w:r w:rsidRPr="0015541C">
        <w:rPr>
          <w:bCs/>
          <w:lang w:val="pl-PL"/>
        </w:rPr>
        <w:t>szkodliwy wpływ na zdolność rozrodczą kobiet (w celu uzyskania dalszych informacji patrz akapity poniżej z wykazem działań niepożądanych),</w:t>
      </w:r>
    </w:p>
    <w:p w14:paraId="794F9259" w14:textId="77777777" w:rsidR="00625395" w:rsidRPr="0015541C" w:rsidRDefault="00625395" w:rsidP="00625395">
      <w:pPr>
        <w:tabs>
          <w:tab w:val="left" w:pos="567"/>
        </w:tabs>
        <w:ind w:left="540" w:hanging="540"/>
        <w:rPr>
          <w:lang w:val="pl-PL"/>
        </w:rPr>
      </w:pPr>
      <w:r w:rsidRPr="0015541C">
        <w:rPr>
          <w:iCs/>
          <w:lang w:val="pl-PL"/>
        </w:rPr>
        <w:sym w:font="Symbol" w:char="F0B7"/>
      </w:r>
      <w:r w:rsidRPr="0015541C">
        <w:rPr>
          <w:iCs/>
          <w:lang w:val="pl-PL"/>
        </w:rPr>
        <w:tab/>
      </w:r>
      <w:r w:rsidRPr="0015541C">
        <w:rPr>
          <w:szCs w:val="22"/>
          <w:lang w:val="pl-PL"/>
        </w:rPr>
        <w:t xml:space="preserve">zaburzenie czynności mózgu </w:t>
      </w:r>
      <w:r w:rsidRPr="0015541C">
        <w:rPr>
          <w:bCs/>
          <w:lang w:val="pl-PL"/>
        </w:rPr>
        <w:t xml:space="preserve">objawiające się </w:t>
      </w:r>
      <w:r w:rsidRPr="00AC3958">
        <w:rPr>
          <w:lang w:val="pl-PL"/>
        </w:rPr>
        <w:t>drgawkami (napady drgawkowe), bólem głowy, splątaniem oraz zaburzeniami widzenia</w:t>
      </w:r>
      <w:r w:rsidRPr="0015541C">
        <w:rPr>
          <w:bCs/>
          <w:lang w:val="pl-PL"/>
        </w:rPr>
        <w:t xml:space="preserve"> (zwane zespołem tylnej odwracalnej encefalopatii lub PRES, ang.</w:t>
      </w:r>
      <w:r w:rsidRPr="0015541C">
        <w:rPr>
          <w:b/>
          <w:bCs/>
          <w:lang w:val="pl-PL"/>
        </w:rPr>
        <w:t xml:space="preserve"> </w:t>
      </w:r>
      <w:r w:rsidRPr="0015541C">
        <w:rPr>
          <w:bCs/>
          <w:lang w:val="pl-PL"/>
        </w:rPr>
        <w:t>Posterior Reversible Encephalopathy Syndrome),</w:t>
      </w:r>
    </w:p>
    <w:p w14:paraId="7CAE68B3" w14:textId="77777777" w:rsidR="00D72EFC" w:rsidRPr="0015541C" w:rsidRDefault="00625395" w:rsidP="00D72EFC">
      <w:pPr>
        <w:tabs>
          <w:tab w:val="left" w:pos="567"/>
        </w:tabs>
        <w:ind w:left="540" w:hanging="540"/>
        <w:rPr>
          <w:iCs/>
          <w:lang w:val="pl-PL"/>
        </w:rPr>
      </w:pPr>
      <w:r w:rsidRPr="0015541C">
        <w:rPr>
          <w:iCs/>
          <w:lang w:val="pl-PL"/>
        </w:rPr>
        <w:sym w:font="Symbol" w:char="F0B7"/>
      </w:r>
      <w:r w:rsidRPr="0015541C">
        <w:rPr>
          <w:iCs/>
          <w:lang w:val="pl-PL"/>
        </w:rPr>
        <w:tab/>
        <w:t>objawy wskazujące na zmiany w normalnym funkcjonowaniu mózgu (bóle głowy, zaburzenia widzenia, splątanie lub drgawki) oraz wysokie ciśnienie krwi,</w:t>
      </w:r>
    </w:p>
    <w:p w14:paraId="49F38B58" w14:textId="77777777" w:rsidR="00D72EFC" w:rsidRPr="0015541C" w:rsidRDefault="00D72EFC" w:rsidP="00D72EFC">
      <w:pPr>
        <w:tabs>
          <w:tab w:val="left" w:pos="567"/>
        </w:tabs>
        <w:ind w:left="540" w:hanging="540"/>
        <w:rPr>
          <w:iCs/>
          <w:lang w:val="pl-PL"/>
        </w:rPr>
      </w:pPr>
      <w:r w:rsidRPr="0015541C">
        <w:rPr>
          <w:iCs/>
          <w:lang w:val="pl-PL"/>
        </w:rPr>
        <w:sym w:font="Symbol" w:char="F0B7"/>
      </w:r>
      <w:r w:rsidRPr="0015541C">
        <w:rPr>
          <w:iCs/>
          <w:lang w:val="pl-PL"/>
        </w:rPr>
        <w:tab/>
        <w:t>p</w:t>
      </w:r>
      <w:r w:rsidRPr="0070444C">
        <w:rPr>
          <w:lang w:val="pl-PL"/>
        </w:rPr>
        <w:t>owiększenie i osłabienie ściany naczynia krwionośnego lub rozdarcie ściany naczynia krwionośnego (tętniak i rozwarstwienie tętnicy),</w:t>
      </w:r>
    </w:p>
    <w:p w14:paraId="1F35939A" w14:textId="77777777" w:rsidR="00625395" w:rsidRPr="0015541C" w:rsidRDefault="00625395" w:rsidP="005E6736">
      <w:pPr>
        <w:tabs>
          <w:tab w:val="left" w:pos="567"/>
        </w:tabs>
        <w:ind w:left="567" w:hanging="567"/>
        <w:rPr>
          <w:iCs/>
          <w:lang w:val="pl-PL"/>
        </w:rPr>
      </w:pPr>
      <w:r w:rsidRPr="0015541C">
        <w:rPr>
          <w:iCs/>
          <w:lang w:val="pl-PL"/>
        </w:rPr>
        <w:sym w:font="Symbol" w:char="F0B7"/>
      </w:r>
      <w:r w:rsidRPr="0015541C">
        <w:rPr>
          <w:iCs/>
          <w:lang w:val="pl-PL"/>
        </w:rPr>
        <w:tab/>
        <w:t xml:space="preserve">zatykanie bardzo małych naczyń krwionośnych w nerkach, </w:t>
      </w:r>
    </w:p>
    <w:p w14:paraId="656C2C3F" w14:textId="77777777" w:rsidR="00625395" w:rsidRPr="0015541C" w:rsidRDefault="00625395" w:rsidP="00625395">
      <w:pPr>
        <w:tabs>
          <w:tab w:val="left" w:pos="567"/>
        </w:tabs>
        <w:ind w:left="567" w:hanging="567"/>
        <w:rPr>
          <w:iCs/>
          <w:lang w:val="pl-PL"/>
        </w:rPr>
      </w:pPr>
      <w:r w:rsidRPr="0015541C">
        <w:rPr>
          <w:iCs/>
          <w:lang w:val="pl-PL"/>
        </w:rPr>
        <w:sym w:font="Symbol" w:char="F0B7"/>
      </w:r>
      <w:r w:rsidRPr="0015541C">
        <w:rPr>
          <w:iCs/>
          <w:lang w:val="pl-PL"/>
        </w:rPr>
        <w:tab/>
        <w:t>nieprawidłowo zwiększone ciśnienie krwi w naczyniach krwionośnych płuc, powodujące przyspieszoną pracę prawej strony serca,</w:t>
      </w:r>
    </w:p>
    <w:p w14:paraId="01EA5AA9" w14:textId="77777777" w:rsidR="00625395" w:rsidRPr="0015541C" w:rsidRDefault="00625395" w:rsidP="00625395">
      <w:pPr>
        <w:tabs>
          <w:tab w:val="left" w:pos="567"/>
        </w:tabs>
        <w:ind w:left="567" w:hanging="567"/>
        <w:rPr>
          <w:iCs/>
          <w:lang w:val="pl-PL"/>
        </w:rPr>
      </w:pPr>
      <w:r w:rsidRPr="0015541C">
        <w:rPr>
          <w:iCs/>
          <w:lang w:val="pl-PL"/>
        </w:rPr>
        <w:sym w:font="Symbol" w:char="F0B7"/>
      </w:r>
      <w:r w:rsidRPr="0015541C">
        <w:rPr>
          <w:iCs/>
          <w:lang w:val="pl-PL"/>
        </w:rPr>
        <w:tab/>
        <w:t>dziura w przegrodzie nosowej – płytce kostnej oddzielającej nozdrza od siebie,</w:t>
      </w:r>
    </w:p>
    <w:p w14:paraId="16A4BCD8" w14:textId="77777777" w:rsidR="00625395" w:rsidRPr="0015541C" w:rsidRDefault="00625395" w:rsidP="00625395">
      <w:pPr>
        <w:tabs>
          <w:tab w:val="left" w:pos="567"/>
        </w:tabs>
        <w:ind w:left="567" w:hanging="567"/>
        <w:rPr>
          <w:iCs/>
          <w:lang w:val="pl-PL"/>
        </w:rPr>
      </w:pPr>
      <w:r w:rsidRPr="0015541C">
        <w:rPr>
          <w:iCs/>
          <w:lang w:val="pl-PL"/>
        </w:rPr>
        <w:sym w:font="Symbol" w:char="F0B7"/>
      </w:r>
      <w:r w:rsidRPr="0015541C">
        <w:rPr>
          <w:iCs/>
          <w:lang w:val="pl-PL"/>
        </w:rPr>
        <w:tab/>
        <w:t xml:space="preserve">dziura w żołądku lub jelitach, </w:t>
      </w:r>
    </w:p>
    <w:p w14:paraId="48ED6DD5" w14:textId="77777777" w:rsidR="00625395" w:rsidRPr="0015541C" w:rsidRDefault="00625395" w:rsidP="00625395">
      <w:pPr>
        <w:tabs>
          <w:tab w:val="left" w:pos="567"/>
        </w:tabs>
        <w:ind w:left="567" w:hanging="567"/>
        <w:rPr>
          <w:iCs/>
          <w:lang w:val="pl-PL"/>
        </w:rPr>
      </w:pPr>
      <w:r w:rsidRPr="0015541C">
        <w:rPr>
          <w:iCs/>
          <w:lang w:val="pl-PL"/>
        </w:rPr>
        <w:sym w:font="Symbol" w:char="F0B7"/>
      </w:r>
      <w:r w:rsidRPr="0015541C">
        <w:rPr>
          <w:iCs/>
          <w:lang w:val="pl-PL"/>
        </w:rPr>
        <w:tab/>
        <w:t xml:space="preserve">otwarta rana lub dziura w błonie śluzowej żołądka lub jelita cienkiego (objawy mogą obejmować bóle brzucha, wzdęcia, czarne smoliste stolce lub krew w stolcu lub w wymiocinach), </w:t>
      </w:r>
    </w:p>
    <w:p w14:paraId="579B5A2C" w14:textId="77777777" w:rsidR="00625395" w:rsidRPr="0015541C" w:rsidRDefault="00625395" w:rsidP="00625395">
      <w:pPr>
        <w:tabs>
          <w:tab w:val="left" w:pos="567"/>
        </w:tabs>
        <w:ind w:left="567" w:hanging="567"/>
        <w:rPr>
          <w:iCs/>
          <w:lang w:val="pl-PL"/>
        </w:rPr>
      </w:pPr>
      <w:r w:rsidRPr="0015541C">
        <w:rPr>
          <w:iCs/>
          <w:lang w:val="pl-PL"/>
        </w:rPr>
        <w:sym w:font="Symbol" w:char="F0B7"/>
      </w:r>
      <w:r w:rsidRPr="0015541C">
        <w:rPr>
          <w:iCs/>
          <w:lang w:val="pl-PL"/>
        </w:rPr>
        <w:tab/>
        <w:t xml:space="preserve">krwawienie z dolnej części jelita grubego, </w:t>
      </w:r>
    </w:p>
    <w:p w14:paraId="7DDF22FF" w14:textId="77777777" w:rsidR="00625395" w:rsidRPr="0015541C" w:rsidRDefault="00625395" w:rsidP="00625395">
      <w:pPr>
        <w:tabs>
          <w:tab w:val="left" w:pos="567"/>
        </w:tabs>
        <w:ind w:left="567" w:hanging="567"/>
        <w:rPr>
          <w:iCs/>
          <w:lang w:val="pl-PL"/>
        </w:rPr>
      </w:pPr>
      <w:r w:rsidRPr="0015541C">
        <w:rPr>
          <w:iCs/>
          <w:lang w:val="pl-PL"/>
        </w:rPr>
        <w:lastRenderedPageBreak/>
        <w:sym w:font="Symbol" w:char="F0B7"/>
      </w:r>
      <w:r w:rsidRPr="0015541C">
        <w:rPr>
          <w:iCs/>
          <w:lang w:val="pl-PL"/>
        </w:rPr>
        <w:tab/>
        <w:t>zmiany w dziąsłach z odsłonięciem kości szczęki, które nie ulegają gojeniu i mogą być związane z bólem i zapaleniem otaczających tkanek (</w:t>
      </w:r>
      <w:r w:rsidRPr="0015541C">
        <w:rPr>
          <w:bCs/>
          <w:lang w:val="pl-PL"/>
        </w:rPr>
        <w:t>w celu uzyskania dalszych informacji patrz akapity poniżej z wykazem działań niepożądanych)</w:t>
      </w:r>
      <w:r w:rsidRPr="00AC3958">
        <w:rPr>
          <w:iCs/>
          <w:lang w:val="pl-PL"/>
        </w:rPr>
        <w:t>,</w:t>
      </w:r>
    </w:p>
    <w:p w14:paraId="744E88BE" w14:textId="77777777" w:rsidR="00625395" w:rsidRPr="00AC3958" w:rsidRDefault="00625395" w:rsidP="00625395">
      <w:pPr>
        <w:tabs>
          <w:tab w:val="left" w:pos="567"/>
        </w:tabs>
        <w:ind w:left="567" w:hanging="567"/>
        <w:rPr>
          <w:iCs/>
          <w:lang w:val="pl-PL"/>
        </w:rPr>
      </w:pPr>
      <w:r w:rsidRPr="0015541C">
        <w:rPr>
          <w:iCs/>
          <w:lang w:val="pl-PL"/>
        </w:rPr>
        <w:sym w:font="Symbol" w:char="F0B7"/>
      </w:r>
      <w:r w:rsidRPr="0015541C">
        <w:rPr>
          <w:iCs/>
          <w:lang w:val="pl-PL"/>
        </w:rPr>
        <w:tab/>
        <w:t xml:space="preserve">dziura w pęcherzyku żółciowym (objawy mogą obejmować bóle brzucha, gorączkę </w:t>
      </w:r>
      <w:r w:rsidR="00A855F1" w:rsidRPr="0015541C">
        <w:rPr>
          <w:iCs/>
          <w:lang w:val="pl-PL"/>
        </w:rPr>
        <w:br/>
      </w:r>
      <w:r w:rsidRPr="0015541C">
        <w:rPr>
          <w:iCs/>
          <w:lang w:val="pl-PL"/>
        </w:rPr>
        <w:t>i nudności/wymioty).</w:t>
      </w:r>
    </w:p>
    <w:p w14:paraId="03E0E7D3" w14:textId="77777777" w:rsidR="00625395" w:rsidRPr="0015541C" w:rsidRDefault="00625395" w:rsidP="00625395">
      <w:pPr>
        <w:tabs>
          <w:tab w:val="left" w:pos="567"/>
        </w:tabs>
        <w:ind w:left="567"/>
        <w:rPr>
          <w:lang w:val="pl-PL"/>
        </w:rPr>
      </w:pPr>
    </w:p>
    <w:p w14:paraId="662A346F" w14:textId="77777777" w:rsidR="00625395" w:rsidRPr="0015541C" w:rsidRDefault="00625395" w:rsidP="009B05D2">
      <w:pPr>
        <w:keepNext/>
        <w:keepLines/>
        <w:numPr>
          <w:ilvl w:val="12"/>
          <w:numId w:val="0"/>
        </w:numPr>
        <w:ind w:right="-28"/>
        <w:outlineLvl w:val="0"/>
        <w:rPr>
          <w:b/>
          <w:bCs/>
          <w:lang w:val="pl-PL"/>
        </w:rPr>
      </w:pPr>
      <w:r w:rsidRPr="0015541C">
        <w:rPr>
          <w:b/>
          <w:bCs/>
          <w:lang w:val="pl-PL"/>
        </w:rPr>
        <w:t>Należy skontaktować się tak szybko jak to możliwe z lekarzem w przypadku wystąpienia któregoś z niżej wymienionych działań niepożądanych.</w:t>
      </w:r>
    </w:p>
    <w:p w14:paraId="7C2A7BA9" w14:textId="77777777" w:rsidR="00625395" w:rsidRPr="0015541C" w:rsidRDefault="00625395" w:rsidP="009B05D2">
      <w:pPr>
        <w:keepNext/>
        <w:keepLines/>
        <w:numPr>
          <w:ilvl w:val="12"/>
          <w:numId w:val="0"/>
        </w:numPr>
        <w:ind w:right="-28"/>
        <w:rPr>
          <w:lang w:val="pl-PL"/>
        </w:rPr>
      </w:pPr>
    </w:p>
    <w:p w14:paraId="04D6ED79" w14:textId="074C8092" w:rsidR="00625395" w:rsidRPr="0015541C" w:rsidRDefault="00625395" w:rsidP="009B05D2">
      <w:pPr>
        <w:keepNext/>
        <w:keepLines/>
        <w:numPr>
          <w:ilvl w:val="12"/>
          <w:numId w:val="0"/>
        </w:numPr>
        <w:ind w:right="-28"/>
        <w:rPr>
          <w:lang w:val="pl-PL"/>
        </w:rPr>
      </w:pPr>
      <w:r w:rsidRPr="0015541C">
        <w:rPr>
          <w:b/>
          <w:bCs/>
          <w:lang w:val="pl-PL"/>
        </w:rPr>
        <w:t xml:space="preserve">Bardzo częste </w:t>
      </w:r>
      <w:r w:rsidRPr="0015541C">
        <w:rPr>
          <w:bCs/>
          <w:lang w:val="pl-PL"/>
        </w:rPr>
        <w:t>(</w:t>
      </w:r>
      <w:r w:rsidR="00420F0C">
        <w:rPr>
          <w:bCs/>
          <w:lang w:val="pl-PL"/>
        </w:rPr>
        <w:t>mogą wystąpić u więcej niż 1 na 10 osób</w:t>
      </w:r>
      <w:r w:rsidRPr="0015541C">
        <w:rPr>
          <w:bCs/>
          <w:lang w:val="pl-PL"/>
        </w:rPr>
        <w:t xml:space="preserve">) </w:t>
      </w:r>
      <w:r w:rsidRPr="0015541C">
        <w:rPr>
          <w:lang w:val="pl-PL"/>
        </w:rPr>
        <w:t>działania niepożądane, które nie były określane jako ciężkie, to:</w:t>
      </w:r>
    </w:p>
    <w:p w14:paraId="4460DDCC" w14:textId="77777777" w:rsidR="00625395" w:rsidRPr="0015541C" w:rsidRDefault="00625395" w:rsidP="00EE7A0B">
      <w:pPr>
        <w:ind w:left="567" w:right="-28" w:hanging="567"/>
        <w:rPr>
          <w:lang w:val="pl-PL"/>
        </w:rPr>
      </w:pPr>
      <w:r w:rsidRPr="0015541C">
        <w:rPr>
          <w:iCs/>
          <w:lang w:val="pl-PL"/>
        </w:rPr>
        <w:sym w:font="Symbol" w:char="F0B7"/>
      </w:r>
      <w:r w:rsidRPr="0015541C">
        <w:rPr>
          <w:iCs/>
          <w:lang w:val="pl-PL"/>
        </w:rPr>
        <w:tab/>
      </w:r>
      <w:r w:rsidRPr="0015541C">
        <w:rPr>
          <w:lang w:val="pl-PL"/>
        </w:rPr>
        <w:t>zaparcia,</w:t>
      </w:r>
    </w:p>
    <w:p w14:paraId="5329C6B5" w14:textId="77777777" w:rsidR="00625395" w:rsidRPr="0015541C" w:rsidRDefault="00625395" w:rsidP="00EE7A0B">
      <w:pPr>
        <w:ind w:left="567" w:right="-28" w:hanging="567"/>
        <w:rPr>
          <w:lang w:val="pl-PL"/>
        </w:rPr>
      </w:pPr>
      <w:r w:rsidRPr="0015541C">
        <w:rPr>
          <w:iCs/>
          <w:lang w:val="pl-PL"/>
        </w:rPr>
        <w:sym w:font="Symbol" w:char="F0B7"/>
      </w:r>
      <w:r w:rsidRPr="0015541C">
        <w:rPr>
          <w:iCs/>
          <w:lang w:val="pl-PL"/>
        </w:rPr>
        <w:tab/>
      </w:r>
      <w:r w:rsidRPr="0015541C">
        <w:rPr>
          <w:lang w:val="pl-PL"/>
        </w:rPr>
        <w:t>utrata apetytu,</w:t>
      </w:r>
    </w:p>
    <w:p w14:paraId="04B8E14E" w14:textId="77777777" w:rsidR="00625395" w:rsidRPr="00AC3958" w:rsidRDefault="00625395" w:rsidP="00625395">
      <w:pPr>
        <w:ind w:left="567" w:right="-29" w:hanging="567"/>
        <w:rPr>
          <w:lang w:val="pl-PL"/>
        </w:rPr>
      </w:pPr>
      <w:r w:rsidRPr="0015541C">
        <w:rPr>
          <w:iCs/>
          <w:lang w:val="pl-PL"/>
        </w:rPr>
        <w:sym w:font="Symbol" w:char="F0B7"/>
      </w:r>
      <w:r w:rsidRPr="0015541C">
        <w:rPr>
          <w:iCs/>
          <w:lang w:val="pl-PL"/>
        </w:rPr>
        <w:tab/>
      </w:r>
      <w:r w:rsidRPr="0015541C">
        <w:rPr>
          <w:lang w:val="pl-PL"/>
        </w:rPr>
        <w:t>gorączka,</w:t>
      </w:r>
    </w:p>
    <w:p w14:paraId="43A80EC1" w14:textId="77777777" w:rsidR="00625395" w:rsidRPr="0015541C" w:rsidRDefault="00625395" w:rsidP="00625395">
      <w:pPr>
        <w:ind w:right="-29"/>
        <w:rPr>
          <w:lang w:val="pl-PL"/>
        </w:rPr>
      </w:pPr>
      <w:r w:rsidRPr="0015541C">
        <w:rPr>
          <w:iCs/>
          <w:lang w:val="pl-PL"/>
        </w:rPr>
        <w:sym w:font="Symbol" w:char="F0B7"/>
      </w:r>
      <w:r w:rsidRPr="0015541C">
        <w:rPr>
          <w:iCs/>
          <w:lang w:val="pl-PL"/>
        </w:rPr>
        <w:tab/>
      </w:r>
      <w:r w:rsidRPr="0015541C">
        <w:rPr>
          <w:lang w:val="pl-PL"/>
        </w:rPr>
        <w:t>problemy dotyczące oczu (w tym zwiększone łzawienie),</w:t>
      </w:r>
    </w:p>
    <w:p w14:paraId="214ADC67" w14:textId="77777777" w:rsidR="00625395" w:rsidRPr="0015541C" w:rsidRDefault="00625395" w:rsidP="00625395">
      <w:pPr>
        <w:ind w:right="-29"/>
        <w:rPr>
          <w:lang w:val="pl-PL"/>
        </w:rPr>
      </w:pPr>
      <w:r w:rsidRPr="0015541C">
        <w:rPr>
          <w:iCs/>
          <w:lang w:val="pl-PL"/>
        </w:rPr>
        <w:sym w:font="Symbol" w:char="F0B7"/>
      </w:r>
      <w:r w:rsidRPr="0015541C">
        <w:rPr>
          <w:iCs/>
          <w:lang w:val="pl-PL"/>
        </w:rPr>
        <w:tab/>
      </w:r>
      <w:r w:rsidRPr="0015541C">
        <w:rPr>
          <w:lang w:val="pl-PL"/>
        </w:rPr>
        <w:t>zmiany w mowie,</w:t>
      </w:r>
    </w:p>
    <w:p w14:paraId="4FF63089" w14:textId="77777777" w:rsidR="00625395" w:rsidRPr="0015541C" w:rsidRDefault="00625395" w:rsidP="005E6736">
      <w:pPr>
        <w:ind w:left="567" w:hanging="567"/>
        <w:rPr>
          <w:lang w:val="pl-PL"/>
        </w:rPr>
      </w:pPr>
      <w:r w:rsidRPr="0015541C">
        <w:rPr>
          <w:iCs/>
          <w:lang w:val="pl-PL"/>
        </w:rPr>
        <w:sym w:font="Symbol" w:char="F0B7"/>
      </w:r>
      <w:r w:rsidRPr="0015541C">
        <w:rPr>
          <w:iCs/>
          <w:lang w:val="pl-PL"/>
        </w:rPr>
        <w:tab/>
      </w:r>
      <w:r w:rsidRPr="0015541C">
        <w:rPr>
          <w:lang w:val="pl-PL"/>
        </w:rPr>
        <w:t>zmiany odczuwania smaku,</w:t>
      </w:r>
    </w:p>
    <w:p w14:paraId="32B0DECC" w14:textId="77777777" w:rsidR="00625395" w:rsidRPr="0015541C" w:rsidRDefault="00625395" w:rsidP="005E6736">
      <w:pPr>
        <w:ind w:left="567" w:hanging="567"/>
        <w:rPr>
          <w:lang w:val="pl-PL"/>
        </w:rPr>
      </w:pPr>
      <w:r w:rsidRPr="0015541C">
        <w:rPr>
          <w:iCs/>
          <w:lang w:val="pl-PL"/>
        </w:rPr>
        <w:sym w:font="Symbol" w:char="F0B7"/>
      </w:r>
      <w:r w:rsidRPr="0015541C">
        <w:rPr>
          <w:iCs/>
          <w:lang w:val="pl-PL"/>
        </w:rPr>
        <w:tab/>
      </w:r>
      <w:r w:rsidRPr="0015541C">
        <w:rPr>
          <w:lang w:val="pl-PL"/>
        </w:rPr>
        <w:t>katar,</w:t>
      </w:r>
    </w:p>
    <w:p w14:paraId="46600895" w14:textId="77777777" w:rsidR="00625395" w:rsidRPr="00AC3958" w:rsidRDefault="00625395" w:rsidP="005E6736">
      <w:pPr>
        <w:ind w:left="567" w:hanging="567"/>
        <w:rPr>
          <w:lang w:val="pl-PL"/>
        </w:rPr>
      </w:pPr>
      <w:r w:rsidRPr="0015541C">
        <w:rPr>
          <w:iCs/>
          <w:lang w:val="pl-PL"/>
        </w:rPr>
        <w:sym w:font="Symbol" w:char="F0B7"/>
      </w:r>
      <w:r w:rsidRPr="0015541C">
        <w:rPr>
          <w:iCs/>
          <w:lang w:val="pl-PL"/>
        </w:rPr>
        <w:tab/>
      </w:r>
      <w:r w:rsidRPr="0015541C">
        <w:rPr>
          <w:lang w:val="pl-PL"/>
        </w:rPr>
        <w:t>suchość skóry, łuszczenie i zapalenie skóry, zmiany koloru skóry</w:t>
      </w:r>
      <w:r w:rsidR="00C14E22" w:rsidRPr="0015541C">
        <w:rPr>
          <w:lang w:val="pl-PL"/>
        </w:rPr>
        <w:t>,</w:t>
      </w:r>
    </w:p>
    <w:p w14:paraId="6D36191D" w14:textId="77777777" w:rsidR="001D51D3" w:rsidRPr="00AC3958" w:rsidRDefault="00C14E22" w:rsidP="007163A2">
      <w:pPr>
        <w:ind w:left="567" w:hanging="567"/>
        <w:rPr>
          <w:lang w:val="pl-PL"/>
        </w:rPr>
      </w:pPr>
      <w:r w:rsidRPr="0015541C">
        <w:rPr>
          <w:iCs/>
          <w:lang w:val="pl-PL"/>
        </w:rPr>
        <w:sym w:font="Symbol" w:char="F0B7"/>
      </w:r>
      <w:r w:rsidRPr="0015541C">
        <w:rPr>
          <w:iCs/>
          <w:lang w:val="pl-PL"/>
        </w:rPr>
        <w:tab/>
      </w:r>
      <w:r w:rsidRPr="0015541C">
        <w:rPr>
          <w:lang w:val="pl-PL"/>
        </w:rPr>
        <w:t>zmniejszenie masy ciała</w:t>
      </w:r>
      <w:r w:rsidR="001D51D3" w:rsidRPr="0015541C">
        <w:rPr>
          <w:lang w:val="pl-PL"/>
        </w:rPr>
        <w:t>,</w:t>
      </w:r>
    </w:p>
    <w:p w14:paraId="4F6E5755" w14:textId="77777777" w:rsidR="00C14E22" w:rsidRPr="0015541C" w:rsidRDefault="001D51D3" w:rsidP="007163A2">
      <w:pPr>
        <w:ind w:left="567" w:hanging="567"/>
        <w:rPr>
          <w:lang w:val="pl-PL"/>
        </w:rPr>
      </w:pPr>
      <w:r w:rsidRPr="0015541C">
        <w:rPr>
          <w:iCs/>
          <w:lang w:val="pl-PL"/>
        </w:rPr>
        <w:sym w:font="Symbol" w:char="F0B7"/>
      </w:r>
      <w:r w:rsidRPr="0015541C">
        <w:rPr>
          <w:iCs/>
          <w:lang w:val="pl-PL"/>
        </w:rPr>
        <w:tab/>
        <w:t>krwawienie z nosa</w:t>
      </w:r>
      <w:r w:rsidR="007163A2" w:rsidRPr="0015541C">
        <w:rPr>
          <w:lang w:val="pl-PL"/>
        </w:rPr>
        <w:t>.</w:t>
      </w:r>
    </w:p>
    <w:p w14:paraId="57194400" w14:textId="77777777" w:rsidR="00625395" w:rsidRPr="00AC3958" w:rsidRDefault="00625395" w:rsidP="005E6736">
      <w:pPr>
        <w:ind w:left="567" w:hanging="567"/>
        <w:rPr>
          <w:lang w:val="pl-PL"/>
        </w:rPr>
      </w:pPr>
    </w:p>
    <w:p w14:paraId="7F5291F5" w14:textId="1CED126B" w:rsidR="00625395" w:rsidRPr="0015541C" w:rsidRDefault="00625395" w:rsidP="00625395">
      <w:pPr>
        <w:keepNext/>
        <w:numPr>
          <w:ilvl w:val="12"/>
          <w:numId w:val="0"/>
        </w:numPr>
        <w:ind w:right="-28"/>
        <w:rPr>
          <w:lang w:val="pl-PL"/>
        </w:rPr>
      </w:pPr>
      <w:r w:rsidRPr="0015541C">
        <w:rPr>
          <w:lang w:val="pl-PL"/>
        </w:rPr>
        <w:t xml:space="preserve">Do </w:t>
      </w:r>
      <w:r w:rsidRPr="0015541C">
        <w:rPr>
          <w:b/>
          <w:bCs/>
          <w:lang w:val="pl-PL"/>
        </w:rPr>
        <w:t xml:space="preserve">częstych </w:t>
      </w:r>
      <w:r w:rsidRPr="0015541C">
        <w:rPr>
          <w:bCs/>
          <w:lang w:val="pl-PL"/>
        </w:rPr>
        <w:t>(</w:t>
      </w:r>
      <w:r w:rsidR="00420F0C">
        <w:rPr>
          <w:bCs/>
          <w:lang w:val="pl-PL"/>
        </w:rPr>
        <w:t>mogą wystąpić u nie więcej niż 1 na 10 osób</w:t>
      </w:r>
      <w:r w:rsidRPr="0015541C">
        <w:rPr>
          <w:bCs/>
          <w:lang w:val="pl-PL"/>
        </w:rPr>
        <w:t xml:space="preserve">) </w:t>
      </w:r>
      <w:r w:rsidRPr="0015541C">
        <w:rPr>
          <w:lang w:val="pl-PL"/>
        </w:rPr>
        <w:t>działań niepożądanych, które nie były ciężkie, można zaliczyć:</w:t>
      </w:r>
    </w:p>
    <w:p w14:paraId="1DB65BAB" w14:textId="77777777" w:rsidR="00625395" w:rsidRPr="0015541C" w:rsidRDefault="00625395" w:rsidP="00625395">
      <w:pPr>
        <w:numPr>
          <w:ilvl w:val="12"/>
          <w:numId w:val="0"/>
        </w:numPr>
        <w:ind w:left="540" w:right="-29" w:hanging="540"/>
        <w:rPr>
          <w:lang w:val="pl-PL"/>
        </w:rPr>
      </w:pPr>
      <w:r w:rsidRPr="0015541C">
        <w:rPr>
          <w:iCs/>
          <w:lang w:val="pl-PL"/>
        </w:rPr>
        <w:sym w:font="Symbol" w:char="F0B7"/>
      </w:r>
      <w:r w:rsidRPr="0015541C">
        <w:rPr>
          <w:iCs/>
          <w:lang w:val="pl-PL"/>
        </w:rPr>
        <w:tab/>
      </w:r>
      <w:r w:rsidRPr="0015541C">
        <w:rPr>
          <w:lang w:val="pl-PL"/>
        </w:rPr>
        <w:t>zmiany głosu i chrypka.</w:t>
      </w:r>
    </w:p>
    <w:p w14:paraId="77E765BE" w14:textId="77777777" w:rsidR="00625395" w:rsidRPr="00AC3958" w:rsidRDefault="00625395" w:rsidP="00625395">
      <w:pPr>
        <w:numPr>
          <w:ilvl w:val="12"/>
          <w:numId w:val="0"/>
        </w:numPr>
        <w:ind w:right="-29"/>
        <w:rPr>
          <w:lang w:val="pl-PL"/>
        </w:rPr>
      </w:pPr>
    </w:p>
    <w:p w14:paraId="033713D4" w14:textId="77777777" w:rsidR="00625395" w:rsidRPr="0015541C" w:rsidRDefault="00625395" w:rsidP="00625395">
      <w:pPr>
        <w:numPr>
          <w:ilvl w:val="12"/>
          <w:numId w:val="0"/>
        </w:numPr>
        <w:ind w:right="-29"/>
        <w:rPr>
          <w:lang w:val="pl-PL"/>
        </w:rPr>
      </w:pPr>
      <w:r w:rsidRPr="0015541C">
        <w:rPr>
          <w:lang w:val="pl-PL"/>
        </w:rPr>
        <w:t>U pacjentów w wieku powyżej 65 lat występuje zwiększone ryzyko następujących działań niepożądanych:</w:t>
      </w:r>
    </w:p>
    <w:p w14:paraId="73004B68" w14:textId="0AF39B30" w:rsidR="00625395" w:rsidRPr="0015541C" w:rsidRDefault="00625395" w:rsidP="005E6736">
      <w:pPr>
        <w:ind w:left="567" w:hanging="567"/>
        <w:rPr>
          <w:lang w:val="pl-PL"/>
        </w:rPr>
      </w:pPr>
      <w:r w:rsidRPr="0015541C">
        <w:rPr>
          <w:iCs/>
          <w:lang w:val="pl-PL"/>
        </w:rPr>
        <w:sym w:font="Symbol" w:char="F0B7"/>
      </w:r>
      <w:r w:rsidRPr="0015541C">
        <w:rPr>
          <w:iCs/>
          <w:lang w:val="pl-PL"/>
        </w:rPr>
        <w:tab/>
      </w:r>
      <w:r w:rsidRPr="0015541C">
        <w:rPr>
          <w:lang w:val="pl-PL"/>
        </w:rPr>
        <w:t xml:space="preserve">zakrzepy w tętnicach mogące prowadzić do udaru mózgu lub zawału </w:t>
      </w:r>
      <w:r w:rsidR="00E528FC" w:rsidRPr="00AC3958">
        <w:rPr>
          <w:lang w:val="pl-PL"/>
        </w:rPr>
        <w:t xml:space="preserve">mięśnia </w:t>
      </w:r>
      <w:r w:rsidRPr="0015541C">
        <w:rPr>
          <w:lang w:val="pl-PL"/>
        </w:rPr>
        <w:t>serc</w:t>
      </w:r>
      <w:r w:rsidR="00E528FC" w:rsidRPr="0015541C">
        <w:rPr>
          <w:lang w:val="pl-PL"/>
        </w:rPr>
        <w:t>owego</w:t>
      </w:r>
      <w:r w:rsidRPr="0015541C">
        <w:rPr>
          <w:lang w:val="pl-PL"/>
        </w:rPr>
        <w:t>,</w:t>
      </w:r>
    </w:p>
    <w:p w14:paraId="6D59D91B" w14:textId="77777777" w:rsidR="00625395" w:rsidRPr="0015541C" w:rsidRDefault="00625395" w:rsidP="005E6736">
      <w:pPr>
        <w:ind w:left="567" w:hanging="567"/>
        <w:rPr>
          <w:lang w:val="pl-PL"/>
        </w:rPr>
      </w:pPr>
      <w:r w:rsidRPr="0015541C">
        <w:rPr>
          <w:iCs/>
          <w:lang w:val="pl-PL"/>
        </w:rPr>
        <w:sym w:font="Symbol" w:char="F0B7"/>
      </w:r>
      <w:r w:rsidRPr="0015541C">
        <w:rPr>
          <w:iCs/>
          <w:lang w:val="pl-PL"/>
        </w:rPr>
        <w:tab/>
      </w:r>
      <w:r w:rsidRPr="0015541C">
        <w:rPr>
          <w:lang w:val="pl-PL"/>
        </w:rPr>
        <w:t>zmniejszenie liczby białych krwinek we krwi oraz krwinek, które wpływają na krzepliwość krwi,</w:t>
      </w:r>
    </w:p>
    <w:p w14:paraId="2AEAC92F" w14:textId="77777777" w:rsidR="00625395" w:rsidRPr="0015541C" w:rsidRDefault="00625395" w:rsidP="005E6736">
      <w:pPr>
        <w:ind w:left="567" w:hanging="567"/>
        <w:rPr>
          <w:lang w:val="pl-PL"/>
        </w:rPr>
      </w:pPr>
      <w:r w:rsidRPr="0015541C">
        <w:rPr>
          <w:iCs/>
          <w:lang w:val="pl-PL"/>
        </w:rPr>
        <w:sym w:font="Symbol" w:char="F0B7"/>
      </w:r>
      <w:r w:rsidRPr="0015541C">
        <w:rPr>
          <w:iCs/>
          <w:lang w:val="pl-PL"/>
        </w:rPr>
        <w:tab/>
      </w:r>
      <w:r w:rsidRPr="0015541C">
        <w:rPr>
          <w:lang w:val="pl-PL"/>
        </w:rPr>
        <w:t xml:space="preserve">biegunka, </w:t>
      </w:r>
    </w:p>
    <w:p w14:paraId="0C34EAF7" w14:textId="77777777" w:rsidR="00625395" w:rsidRPr="0015541C" w:rsidRDefault="00625395" w:rsidP="005E6736">
      <w:pPr>
        <w:ind w:left="567" w:hanging="567"/>
        <w:rPr>
          <w:lang w:val="pl-PL"/>
        </w:rPr>
      </w:pPr>
      <w:r w:rsidRPr="0015541C">
        <w:rPr>
          <w:iCs/>
          <w:lang w:val="pl-PL"/>
        </w:rPr>
        <w:sym w:font="Symbol" w:char="F0B7"/>
      </w:r>
      <w:r w:rsidRPr="0015541C">
        <w:rPr>
          <w:iCs/>
          <w:lang w:val="pl-PL"/>
        </w:rPr>
        <w:tab/>
      </w:r>
      <w:r w:rsidRPr="0015541C">
        <w:rPr>
          <w:lang w:val="pl-PL"/>
        </w:rPr>
        <w:t xml:space="preserve">nudności, </w:t>
      </w:r>
    </w:p>
    <w:p w14:paraId="6526C5DE" w14:textId="77777777" w:rsidR="00625395" w:rsidRPr="0015541C" w:rsidRDefault="00625395" w:rsidP="005E6736">
      <w:pPr>
        <w:ind w:left="567" w:hanging="567"/>
        <w:rPr>
          <w:lang w:val="pl-PL"/>
        </w:rPr>
      </w:pPr>
      <w:r w:rsidRPr="0015541C">
        <w:rPr>
          <w:iCs/>
          <w:lang w:val="pl-PL"/>
        </w:rPr>
        <w:sym w:font="Symbol" w:char="F0B7"/>
      </w:r>
      <w:r w:rsidRPr="0015541C">
        <w:rPr>
          <w:iCs/>
          <w:lang w:val="pl-PL"/>
        </w:rPr>
        <w:tab/>
      </w:r>
      <w:r w:rsidRPr="0015541C">
        <w:rPr>
          <w:lang w:val="pl-PL"/>
        </w:rPr>
        <w:t>ból głowy,</w:t>
      </w:r>
    </w:p>
    <w:p w14:paraId="1B81C212" w14:textId="77777777" w:rsidR="00625395" w:rsidRPr="0015541C" w:rsidRDefault="00625395" w:rsidP="005E6736">
      <w:pPr>
        <w:ind w:left="567" w:hanging="567"/>
        <w:rPr>
          <w:lang w:val="pl-PL"/>
        </w:rPr>
      </w:pPr>
      <w:r w:rsidRPr="0015541C">
        <w:rPr>
          <w:iCs/>
          <w:lang w:val="pl-PL"/>
        </w:rPr>
        <w:sym w:font="Symbol" w:char="F0B7"/>
      </w:r>
      <w:r w:rsidRPr="0015541C">
        <w:rPr>
          <w:iCs/>
          <w:lang w:val="pl-PL"/>
        </w:rPr>
        <w:tab/>
      </w:r>
      <w:r w:rsidRPr="0015541C">
        <w:rPr>
          <w:lang w:val="pl-PL"/>
        </w:rPr>
        <w:t>zmęczenie,</w:t>
      </w:r>
    </w:p>
    <w:p w14:paraId="5BFF0002" w14:textId="77777777" w:rsidR="00625395" w:rsidRPr="0015541C" w:rsidRDefault="00625395" w:rsidP="005E6736">
      <w:pPr>
        <w:ind w:left="567" w:hanging="567"/>
        <w:rPr>
          <w:lang w:val="pl-PL"/>
        </w:rPr>
      </w:pPr>
      <w:r w:rsidRPr="0015541C">
        <w:rPr>
          <w:iCs/>
          <w:lang w:val="pl-PL"/>
        </w:rPr>
        <w:sym w:font="Symbol" w:char="F0B7"/>
      </w:r>
      <w:r w:rsidRPr="0015541C">
        <w:rPr>
          <w:iCs/>
          <w:lang w:val="pl-PL"/>
        </w:rPr>
        <w:tab/>
      </w:r>
      <w:r w:rsidRPr="0015541C">
        <w:rPr>
          <w:lang w:val="pl-PL"/>
        </w:rPr>
        <w:t>zwiększone ciśnienie krwi.</w:t>
      </w:r>
    </w:p>
    <w:p w14:paraId="60B033E7" w14:textId="77777777" w:rsidR="002A2453" w:rsidRPr="00AC3958" w:rsidRDefault="002A2453" w:rsidP="002A2453">
      <w:pPr>
        <w:numPr>
          <w:ilvl w:val="12"/>
          <w:numId w:val="0"/>
        </w:numPr>
        <w:ind w:right="-29"/>
        <w:rPr>
          <w:lang w:val="pl-PL"/>
        </w:rPr>
      </w:pPr>
    </w:p>
    <w:p w14:paraId="62C40353" w14:textId="3E952DEB" w:rsidR="002A2453" w:rsidRPr="0015541C" w:rsidRDefault="00C87F12" w:rsidP="002A2453">
      <w:pPr>
        <w:rPr>
          <w:lang w:val="pl-PL"/>
        </w:rPr>
      </w:pPr>
      <w:r w:rsidRPr="0015541C">
        <w:rPr>
          <w:lang w:val="pl-PL"/>
        </w:rPr>
        <w:t>Aybintio</w:t>
      </w:r>
      <w:r w:rsidR="002A2453" w:rsidRPr="0015541C">
        <w:rPr>
          <w:lang w:val="pl-PL"/>
        </w:rPr>
        <w:t xml:space="preserve"> może również powodować zmiany w wynikach badań laboratoryjnych zleconych przez lekarza, w tym</w:t>
      </w:r>
      <w:r w:rsidR="002651D6" w:rsidRPr="0015541C">
        <w:rPr>
          <w:lang w:val="pl-PL"/>
        </w:rPr>
        <w:t>:</w:t>
      </w:r>
      <w:r w:rsidR="002A2453" w:rsidRPr="0015541C">
        <w:rPr>
          <w:lang w:val="pl-PL"/>
        </w:rPr>
        <w:t xml:space="preserve"> zmniejszoną liczbę białych krwinek we krwi, szczególnie neutrofili (jednego z typów białych krwinek, które chronią organizm przed </w:t>
      </w:r>
      <w:r w:rsidR="00C64A82" w:rsidRPr="0015541C">
        <w:rPr>
          <w:lang w:val="pl-PL"/>
        </w:rPr>
        <w:t>zakażeniami</w:t>
      </w:r>
      <w:r w:rsidR="002A2453" w:rsidRPr="0015541C">
        <w:rPr>
          <w:lang w:val="pl-PL"/>
        </w:rPr>
        <w:t>), obecność białka w moczu, zmniejszone stężenie potasu, sodu lub fosforu (substancja mineralna) we krwi, zwiększone stężenie cukru we krwi, zwiększon</w:t>
      </w:r>
      <w:r w:rsidR="002651D6" w:rsidRPr="0015541C">
        <w:rPr>
          <w:lang w:val="pl-PL"/>
        </w:rPr>
        <w:t>ą</w:t>
      </w:r>
      <w:r w:rsidR="002A2453" w:rsidRPr="0015541C">
        <w:rPr>
          <w:lang w:val="pl-PL"/>
        </w:rPr>
        <w:t xml:space="preserve"> aktywnoś</w:t>
      </w:r>
      <w:r w:rsidR="00DE24FA" w:rsidRPr="0015541C">
        <w:rPr>
          <w:lang w:val="pl-PL"/>
        </w:rPr>
        <w:t>ć</w:t>
      </w:r>
      <w:r w:rsidR="002A2453" w:rsidRPr="0015541C">
        <w:rPr>
          <w:lang w:val="pl-PL"/>
        </w:rPr>
        <w:t xml:space="preserve"> fosfatazy zasadowej (enzym), zmniejszone stężenie hemoglobiny (substancja występująca w krwinkach czerwonych przenosząca tlen), które mogą mieć ciężki charakter.</w:t>
      </w:r>
    </w:p>
    <w:p w14:paraId="14C08243" w14:textId="77777777" w:rsidR="002A2453" w:rsidRPr="0015541C" w:rsidRDefault="002A2453" w:rsidP="002A2453">
      <w:pPr>
        <w:rPr>
          <w:lang w:val="pl-PL"/>
        </w:rPr>
      </w:pPr>
    </w:p>
    <w:p w14:paraId="38520886" w14:textId="77777777" w:rsidR="002A2453" w:rsidRPr="0015541C" w:rsidRDefault="002A2453" w:rsidP="002A2453">
      <w:pPr>
        <w:rPr>
          <w:lang w:val="pl-PL"/>
        </w:rPr>
      </w:pPr>
      <w:r w:rsidRPr="0015541C">
        <w:rPr>
          <w:lang w:val="pl-PL"/>
        </w:rPr>
        <w:t xml:space="preserve">Ból w jamie ustnej, ból zębów i (lub) szczęki/żuchwy, opuchlizna lub owrzodzenie wewnątrz jamy ustnej, drętwienie szczęki lub żuchwy, uczucie ciężkości szczęki/żuchwy lub obluzowania zęba mogą być objawami uszkodzenia kości szczęki/żuchwy (martwica kości). W przypadku wystąpienia któregokolwiek z tych objawów należy niezwłocznie poinformować lekarza onkologa oraz stomatologa. </w:t>
      </w:r>
    </w:p>
    <w:p w14:paraId="3E1DE1C2" w14:textId="77777777" w:rsidR="002A2453" w:rsidRPr="0015541C" w:rsidRDefault="002A2453" w:rsidP="002A2453">
      <w:pPr>
        <w:rPr>
          <w:lang w:val="pl-PL"/>
        </w:rPr>
      </w:pPr>
    </w:p>
    <w:p w14:paraId="1B6AAA98" w14:textId="748EC95F" w:rsidR="002A2453" w:rsidRPr="0015541C" w:rsidRDefault="002A2453" w:rsidP="007379DB">
      <w:pPr>
        <w:keepNext/>
        <w:keepLines/>
        <w:rPr>
          <w:lang w:val="pl-PL"/>
        </w:rPr>
      </w:pPr>
      <w:r w:rsidRPr="0015541C">
        <w:rPr>
          <w:lang w:val="pl-PL"/>
        </w:rPr>
        <w:t>Kobiety przed menopauzą (u których występuje cykl menstruacyjny) mogą zaobserwować nieregularne krwawienia miesięczne lub ich zaniknięcie, z możliwym upośledzeniem płodności. Jeśli pacjentka rozważa posiadanie dzieci, powinna przedyskutować tę kwest</w:t>
      </w:r>
      <w:r w:rsidR="00ED49CB" w:rsidRPr="0015541C">
        <w:rPr>
          <w:lang w:val="pl-PL"/>
        </w:rPr>
        <w:t>i</w:t>
      </w:r>
      <w:r w:rsidRPr="0015541C">
        <w:rPr>
          <w:lang w:val="pl-PL"/>
        </w:rPr>
        <w:t>ę z lekarzem przed rozpoczęciem leczenia.</w:t>
      </w:r>
    </w:p>
    <w:p w14:paraId="661F37E6" w14:textId="77777777" w:rsidR="002A2453" w:rsidRPr="0015541C" w:rsidRDefault="002A2453" w:rsidP="002A2453">
      <w:pPr>
        <w:rPr>
          <w:lang w:val="pl-PL"/>
        </w:rPr>
      </w:pPr>
    </w:p>
    <w:p w14:paraId="56B0529D" w14:textId="77777777" w:rsidR="002A2453" w:rsidRPr="0015541C" w:rsidRDefault="0075218E" w:rsidP="000F44C8">
      <w:pPr>
        <w:keepNext/>
        <w:keepLines/>
        <w:rPr>
          <w:lang w:val="pl-PL"/>
        </w:rPr>
      </w:pPr>
      <w:r w:rsidRPr="0015541C">
        <w:rPr>
          <w:lang w:val="pl-PL"/>
        </w:rPr>
        <w:lastRenderedPageBreak/>
        <w:t xml:space="preserve">Lek </w:t>
      </w:r>
      <w:r w:rsidR="00C87F12" w:rsidRPr="0015541C">
        <w:rPr>
          <w:lang w:val="pl-PL"/>
        </w:rPr>
        <w:t>Aybintio</w:t>
      </w:r>
      <w:r w:rsidRPr="0015541C">
        <w:rPr>
          <w:lang w:val="pl-PL"/>
        </w:rPr>
        <w:t xml:space="preserve"> został wynaleziony i stworzony do leczenia chorych na raka poprzez wstrzyknięcie leku do krwioobiegu. Nie został wynaleziony ani stworzony do wstrzyknięcia do oka. W związku z tym nie jest zarejestrowany do zastosowania w ten sposób. Po podaniu leku </w:t>
      </w:r>
      <w:r w:rsidR="00C87F12" w:rsidRPr="0015541C">
        <w:rPr>
          <w:lang w:val="pl-PL"/>
        </w:rPr>
        <w:t>Aybintio</w:t>
      </w:r>
      <w:r w:rsidRPr="0015541C">
        <w:rPr>
          <w:lang w:val="pl-PL"/>
        </w:rPr>
        <w:t xml:space="preserve"> do oka (stosowanie niezgodne z rejestracją) mogą wystąpić poniższe działania niepożądane:</w:t>
      </w:r>
    </w:p>
    <w:p w14:paraId="455E25A1" w14:textId="77777777" w:rsidR="0075218E" w:rsidRPr="0015541C" w:rsidRDefault="0075218E" w:rsidP="006A1F1C">
      <w:pPr>
        <w:keepNext/>
        <w:keepLines/>
        <w:rPr>
          <w:lang w:val="pl-PL"/>
        </w:rPr>
      </w:pPr>
    </w:p>
    <w:p w14:paraId="47D66E19" w14:textId="77777777" w:rsidR="002A2453" w:rsidRPr="0015541C" w:rsidRDefault="00806DEC" w:rsidP="00032AF8">
      <w:pPr>
        <w:keepNext/>
        <w:keepLines/>
        <w:rPr>
          <w:lang w:val="pl-PL"/>
        </w:rPr>
      </w:pPr>
      <w:r w:rsidRPr="0015541C">
        <w:rPr>
          <w:iCs/>
          <w:lang w:val="pl-PL"/>
        </w:rPr>
        <w:sym w:font="Symbol" w:char="F0B7"/>
      </w:r>
      <w:r w:rsidRPr="0015541C">
        <w:rPr>
          <w:iCs/>
          <w:lang w:val="pl-PL"/>
        </w:rPr>
        <w:tab/>
      </w:r>
      <w:r w:rsidR="002A2453" w:rsidRPr="0015541C">
        <w:rPr>
          <w:lang w:val="pl-PL"/>
        </w:rPr>
        <w:t>Zakażenie lub zapalenie gałki ocznej,</w:t>
      </w:r>
    </w:p>
    <w:p w14:paraId="084AA268" w14:textId="77777777" w:rsidR="002A2453" w:rsidRPr="00AC3958" w:rsidRDefault="00806DEC" w:rsidP="00032AF8">
      <w:pPr>
        <w:keepNext/>
        <w:keepLines/>
        <w:rPr>
          <w:lang w:val="pl-PL"/>
        </w:rPr>
      </w:pPr>
      <w:r w:rsidRPr="0015541C">
        <w:rPr>
          <w:iCs/>
          <w:lang w:val="pl-PL"/>
        </w:rPr>
        <w:sym w:font="Symbol" w:char="F0B7"/>
      </w:r>
      <w:r w:rsidRPr="0015541C">
        <w:rPr>
          <w:iCs/>
          <w:lang w:val="pl-PL"/>
        </w:rPr>
        <w:tab/>
      </w:r>
      <w:r w:rsidR="002A2453" w:rsidRPr="0015541C">
        <w:rPr>
          <w:lang w:val="pl-PL"/>
        </w:rPr>
        <w:t>Zaczerwienienie oka, ruchome punkty lub plamy w polu widzenia (mroczki), ból oka</w:t>
      </w:r>
      <w:r w:rsidR="00BC264A" w:rsidRPr="0015541C">
        <w:rPr>
          <w:lang w:val="pl-PL"/>
        </w:rPr>
        <w:t>,</w:t>
      </w:r>
    </w:p>
    <w:p w14:paraId="324523C8" w14:textId="77777777" w:rsidR="002A2453" w:rsidRPr="0015541C" w:rsidRDefault="00806DEC" w:rsidP="00032AF8">
      <w:pPr>
        <w:keepNext/>
        <w:keepLines/>
        <w:rPr>
          <w:lang w:val="pl-PL"/>
        </w:rPr>
      </w:pPr>
      <w:r w:rsidRPr="0015541C">
        <w:rPr>
          <w:iCs/>
          <w:lang w:val="pl-PL"/>
        </w:rPr>
        <w:sym w:font="Symbol" w:char="F0B7"/>
      </w:r>
      <w:r w:rsidRPr="0015541C">
        <w:rPr>
          <w:iCs/>
          <w:lang w:val="pl-PL"/>
        </w:rPr>
        <w:tab/>
      </w:r>
      <w:r w:rsidR="002A2453" w:rsidRPr="0015541C">
        <w:rPr>
          <w:lang w:val="pl-PL"/>
        </w:rPr>
        <w:t>Błyski światła z mroczkami, które mogą prowadzić do częściowej utraty wzroku</w:t>
      </w:r>
      <w:r w:rsidR="00BC264A" w:rsidRPr="00AC3958">
        <w:rPr>
          <w:lang w:val="pl-PL"/>
        </w:rPr>
        <w:t>,</w:t>
      </w:r>
    </w:p>
    <w:p w14:paraId="217A8BBF" w14:textId="77777777" w:rsidR="002A2453" w:rsidRPr="00AC3958" w:rsidRDefault="00806DEC" w:rsidP="00032AF8">
      <w:pPr>
        <w:rPr>
          <w:lang w:val="pl-PL"/>
        </w:rPr>
      </w:pPr>
      <w:r w:rsidRPr="0015541C">
        <w:rPr>
          <w:iCs/>
          <w:lang w:val="pl-PL"/>
        </w:rPr>
        <w:sym w:font="Symbol" w:char="F0B7"/>
      </w:r>
      <w:r w:rsidRPr="0015541C">
        <w:rPr>
          <w:iCs/>
          <w:lang w:val="pl-PL"/>
        </w:rPr>
        <w:tab/>
      </w:r>
      <w:r w:rsidR="002A2453" w:rsidRPr="0015541C">
        <w:rPr>
          <w:lang w:val="pl-PL"/>
        </w:rPr>
        <w:t>Wzrost ciśnienia śródgałkowego</w:t>
      </w:r>
      <w:r w:rsidR="00BC264A" w:rsidRPr="0015541C">
        <w:rPr>
          <w:lang w:val="pl-PL"/>
        </w:rPr>
        <w:t>,</w:t>
      </w:r>
    </w:p>
    <w:p w14:paraId="754FDAED" w14:textId="77777777" w:rsidR="002A2453" w:rsidRPr="00AC3958" w:rsidRDefault="00806DEC" w:rsidP="00032AF8">
      <w:pPr>
        <w:rPr>
          <w:lang w:val="pl-PL"/>
        </w:rPr>
      </w:pPr>
      <w:r w:rsidRPr="0015541C">
        <w:rPr>
          <w:iCs/>
          <w:lang w:val="pl-PL"/>
        </w:rPr>
        <w:sym w:font="Symbol" w:char="F0B7"/>
      </w:r>
      <w:r w:rsidRPr="0015541C">
        <w:rPr>
          <w:iCs/>
          <w:lang w:val="pl-PL"/>
        </w:rPr>
        <w:tab/>
      </w:r>
      <w:r w:rsidR="002A2453" w:rsidRPr="0015541C">
        <w:rPr>
          <w:lang w:val="pl-PL"/>
        </w:rPr>
        <w:t>Krwawienie wewnątrz oka</w:t>
      </w:r>
      <w:r w:rsidR="00BC264A" w:rsidRPr="0015541C">
        <w:rPr>
          <w:lang w:val="pl-PL"/>
        </w:rPr>
        <w:t>.</w:t>
      </w:r>
    </w:p>
    <w:p w14:paraId="138EAD50" w14:textId="77777777" w:rsidR="002A2453" w:rsidRPr="0015541C" w:rsidRDefault="002A2453" w:rsidP="002A2453">
      <w:pPr>
        <w:rPr>
          <w:lang w:val="pl-PL"/>
        </w:rPr>
      </w:pPr>
    </w:p>
    <w:p w14:paraId="639B893D" w14:textId="77777777" w:rsidR="0026465C" w:rsidRPr="0015541C" w:rsidRDefault="0026465C" w:rsidP="00EE7A0B">
      <w:pPr>
        <w:rPr>
          <w:b/>
          <w:szCs w:val="22"/>
          <w:lang w:val="pl-PL"/>
        </w:rPr>
      </w:pPr>
      <w:r w:rsidRPr="0015541C">
        <w:rPr>
          <w:b/>
          <w:szCs w:val="22"/>
          <w:lang w:val="pl-PL"/>
        </w:rPr>
        <w:t>Zgłaszanie działań niepożądanych</w:t>
      </w:r>
    </w:p>
    <w:p w14:paraId="60ECC552" w14:textId="77777777" w:rsidR="0026465C" w:rsidRPr="0015541C" w:rsidRDefault="0026465C" w:rsidP="00EE7A0B">
      <w:pPr>
        <w:tabs>
          <w:tab w:val="left" w:pos="540"/>
        </w:tabs>
        <w:ind w:left="57"/>
        <w:rPr>
          <w:szCs w:val="22"/>
          <w:lang w:val="pl-PL"/>
        </w:rPr>
      </w:pPr>
      <w:r w:rsidRPr="0015541C">
        <w:rPr>
          <w:szCs w:val="22"/>
          <w:lang w:val="pl-PL"/>
        </w:rPr>
        <w:t xml:space="preserve">Jeśli wystąpią jakiekolwiek objawy niepożądane, w tym wszelkie objawy niepożądane niewymienione w ulotce, należy powiedzieć o tym lekarzowi, farmaceucie lub pielęgniarce. Działania niepożądane można zgłaszać bezpośrednio do </w:t>
      </w:r>
      <w:r w:rsidRPr="0015541C">
        <w:rPr>
          <w:szCs w:val="22"/>
          <w:highlight w:val="lightGray"/>
          <w:lang w:val="pl-PL"/>
        </w:rPr>
        <w:t xml:space="preserve">„krajowego systemu zgłaszania” wymienionego w </w:t>
      </w:r>
      <w:hyperlink r:id="rId16" w:history="1">
        <w:r w:rsidRPr="0015541C">
          <w:rPr>
            <w:rStyle w:val="Hyperlink"/>
            <w:highlight w:val="lightGray"/>
            <w:lang w:val="pl-PL"/>
          </w:rPr>
          <w:t>załączniku V</w:t>
        </w:r>
      </w:hyperlink>
      <w:r w:rsidRPr="0015541C">
        <w:rPr>
          <w:szCs w:val="22"/>
          <w:lang w:val="pl-PL"/>
        </w:rPr>
        <w:t>. Dzięki zgłaszaniu działań niepożądanych można będzie zgromadzić więcej informacji na temat bezpieczeństwa stosowania leku.</w:t>
      </w:r>
    </w:p>
    <w:p w14:paraId="765AC4A9" w14:textId="77777777" w:rsidR="002A2453" w:rsidRPr="0015541C" w:rsidRDefault="002A2453" w:rsidP="00FE0558">
      <w:pPr>
        <w:keepNext/>
        <w:keepLines/>
        <w:rPr>
          <w:lang w:val="pl-PL"/>
        </w:rPr>
      </w:pPr>
    </w:p>
    <w:p w14:paraId="13377A7D" w14:textId="77777777" w:rsidR="0026465C" w:rsidRPr="00AC3958" w:rsidRDefault="0026465C" w:rsidP="002A2453">
      <w:pPr>
        <w:rPr>
          <w:lang w:val="pl-PL"/>
        </w:rPr>
      </w:pPr>
    </w:p>
    <w:p w14:paraId="5262C0E3" w14:textId="77777777" w:rsidR="002A2453" w:rsidRPr="0015541C" w:rsidRDefault="002A2453" w:rsidP="002C0295">
      <w:pPr>
        <w:keepNext/>
        <w:keepLines/>
        <w:ind w:left="567" w:hanging="567"/>
        <w:rPr>
          <w:b/>
          <w:caps/>
          <w:lang w:val="pl-PL"/>
        </w:rPr>
      </w:pPr>
      <w:r w:rsidRPr="0015541C">
        <w:rPr>
          <w:b/>
          <w:caps/>
          <w:lang w:val="pl-PL"/>
        </w:rPr>
        <w:t>5.</w:t>
      </w:r>
      <w:r w:rsidRPr="0015541C">
        <w:rPr>
          <w:b/>
          <w:caps/>
          <w:lang w:val="pl-PL"/>
        </w:rPr>
        <w:tab/>
      </w:r>
      <w:r w:rsidRPr="0015541C">
        <w:rPr>
          <w:b/>
          <w:lang w:val="pl-PL"/>
        </w:rPr>
        <w:t xml:space="preserve">Jak przechowywać lek </w:t>
      </w:r>
      <w:r w:rsidR="00C87F12" w:rsidRPr="0015541C">
        <w:rPr>
          <w:b/>
          <w:lang w:val="pl-PL"/>
        </w:rPr>
        <w:t>Aybintio</w:t>
      </w:r>
    </w:p>
    <w:p w14:paraId="318E9623" w14:textId="77777777" w:rsidR="002A2453" w:rsidRPr="0015541C" w:rsidRDefault="002A2453" w:rsidP="002C0295">
      <w:pPr>
        <w:keepNext/>
        <w:keepLines/>
        <w:rPr>
          <w:lang w:val="pl-PL"/>
        </w:rPr>
      </w:pPr>
    </w:p>
    <w:p w14:paraId="4622961B" w14:textId="77777777" w:rsidR="002A2453" w:rsidRPr="0015541C" w:rsidRDefault="002A2453" w:rsidP="002C0295">
      <w:pPr>
        <w:keepNext/>
        <w:keepLines/>
        <w:rPr>
          <w:lang w:val="pl-PL"/>
        </w:rPr>
      </w:pPr>
      <w:r w:rsidRPr="0015541C">
        <w:rPr>
          <w:lang w:val="pl-PL"/>
        </w:rPr>
        <w:t>Lek należy przechowywać w miejscu niewidocznym i niedostępnym dla dzieci.</w:t>
      </w:r>
    </w:p>
    <w:p w14:paraId="37E55809" w14:textId="77777777" w:rsidR="002A2453" w:rsidRPr="0015541C" w:rsidRDefault="002A2453" w:rsidP="002C0295">
      <w:pPr>
        <w:keepNext/>
        <w:keepLines/>
        <w:rPr>
          <w:lang w:val="pl-PL"/>
        </w:rPr>
      </w:pPr>
    </w:p>
    <w:p w14:paraId="746F1D05" w14:textId="77777777" w:rsidR="002A2453" w:rsidRPr="0015541C" w:rsidRDefault="002A2453" w:rsidP="002C0295">
      <w:pPr>
        <w:keepNext/>
        <w:keepLines/>
        <w:rPr>
          <w:lang w:val="pl-PL"/>
        </w:rPr>
      </w:pPr>
      <w:r w:rsidRPr="0015541C">
        <w:rPr>
          <w:lang w:val="pl-PL"/>
        </w:rPr>
        <w:t>Nie stosować tego leku po upływie terminu ważności zamieszczonego na opakowaniu oraz na etykiecie fiolki. Termin ważności oznacza ostatni dzień podanego miesiąca.</w:t>
      </w:r>
    </w:p>
    <w:p w14:paraId="65B93B28" w14:textId="77777777" w:rsidR="002A2453" w:rsidRPr="0015541C" w:rsidRDefault="002A2453" w:rsidP="002A2453">
      <w:pPr>
        <w:rPr>
          <w:lang w:val="pl-PL"/>
        </w:rPr>
      </w:pPr>
    </w:p>
    <w:p w14:paraId="0E1F4E91" w14:textId="77777777" w:rsidR="002A2453" w:rsidRPr="0015541C" w:rsidRDefault="002A2453" w:rsidP="002A2453">
      <w:pPr>
        <w:rPr>
          <w:lang w:val="pl-PL"/>
        </w:rPr>
      </w:pPr>
      <w:r w:rsidRPr="0015541C">
        <w:rPr>
          <w:lang w:val="pl-PL"/>
        </w:rPr>
        <w:t>Przechowywać w lodówce (2°C-8°C).</w:t>
      </w:r>
    </w:p>
    <w:p w14:paraId="6215CCC4" w14:textId="77777777" w:rsidR="002A2453" w:rsidRPr="0015541C" w:rsidRDefault="002A2453" w:rsidP="002A2453">
      <w:pPr>
        <w:rPr>
          <w:lang w:val="pl-PL"/>
        </w:rPr>
      </w:pPr>
      <w:r w:rsidRPr="0015541C">
        <w:rPr>
          <w:lang w:val="pl-PL"/>
        </w:rPr>
        <w:t xml:space="preserve">Nie zamrażać. </w:t>
      </w:r>
    </w:p>
    <w:p w14:paraId="795D6EF7" w14:textId="77777777" w:rsidR="002A2453" w:rsidRPr="0015541C" w:rsidRDefault="002A2453" w:rsidP="002A2453">
      <w:pPr>
        <w:rPr>
          <w:lang w:val="pl-PL"/>
        </w:rPr>
      </w:pPr>
      <w:r w:rsidRPr="0015541C">
        <w:rPr>
          <w:lang w:val="pl-PL"/>
        </w:rPr>
        <w:t>Fiolki z lekiem przechowywać w opakowaniu zewnętrznym w celu ochrony przed światłem.</w:t>
      </w:r>
    </w:p>
    <w:p w14:paraId="1076EBED" w14:textId="77777777" w:rsidR="002A2453" w:rsidRPr="0015541C" w:rsidRDefault="002A2453" w:rsidP="002A2453">
      <w:pPr>
        <w:rPr>
          <w:lang w:val="pl-PL"/>
        </w:rPr>
      </w:pPr>
    </w:p>
    <w:p w14:paraId="61385A3E" w14:textId="3735A919" w:rsidR="005D73FB" w:rsidRPr="0015541C" w:rsidRDefault="005D73FB" w:rsidP="00EE7A0B">
      <w:pPr>
        <w:rPr>
          <w:lang w:val="pl-PL"/>
        </w:rPr>
      </w:pPr>
      <w:r w:rsidRPr="0070444C">
        <w:rPr>
          <w:szCs w:val="22"/>
          <w:lang w:val="pl-PL"/>
        </w:rPr>
        <w:t xml:space="preserve">Nieotwartą fiolkę można przechowywać w temperaturze nieprzekraczającej 30°C przez okres do 35 dni. </w:t>
      </w:r>
      <w:r w:rsidR="00F24723" w:rsidRPr="0070444C">
        <w:rPr>
          <w:szCs w:val="22"/>
          <w:lang w:val="pl-PL"/>
        </w:rPr>
        <w:t>W przypadku gdy fiolka nie zostanie zużyta w ciągu 35 dni od wyjęcia jej z lodówki, należy ją wyrzucić, nawet jeśli w tym okresie została z powrotem umieszczona w lodówce.</w:t>
      </w:r>
    </w:p>
    <w:p w14:paraId="53C68195" w14:textId="77777777" w:rsidR="005D73FB" w:rsidRPr="0015541C" w:rsidRDefault="005D73FB" w:rsidP="00EE7A0B">
      <w:pPr>
        <w:rPr>
          <w:lang w:val="pl-PL"/>
        </w:rPr>
      </w:pPr>
    </w:p>
    <w:p w14:paraId="3D458FAE" w14:textId="287FD894" w:rsidR="009648CF" w:rsidRPr="0015541C" w:rsidRDefault="002A2453" w:rsidP="00EE7A0B">
      <w:pPr>
        <w:rPr>
          <w:lang w:val="pl-PL"/>
        </w:rPr>
      </w:pPr>
      <w:r w:rsidRPr="0015541C">
        <w:rPr>
          <w:lang w:val="pl-PL"/>
        </w:rPr>
        <w:t xml:space="preserve">Roztwór do infuzji należy zużyć natychmiast po rozcieńczeniu. </w:t>
      </w:r>
      <w:r w:rsidR="009648CF" w:rsidRPr="0070444C">
        <w:rPr>
          <w:lang w:val="pl-PL"/>
        </w:rPr>
        <w:t>Jeśli nie zostanie zużyty natychmiast, za ustalenie czasu i warunków przechowywania jest odpowiedzialna osoba podająca lek i czas ten nie powinien być dłuższy niż 24 godziny w temperaturze od 2°C do 8°C, chyba, że roztwór do infuzji został przygotowany w jałowym środowisku.</w:t>
      </w:r>
      <w:r w:rsidR="003E2E17" w:rsidRPr="0070444C">
        <w:rPr>
          <w:lang w:val="pl-PL"/>
        </w:rPr>
        <w:t xml:space="preserve"> Jeśli rozcieńczenie przeprowadzono w warunkach jałowych, lek Aybintio jest stabilny przez 45 dni w temperaturze od 2°C do 8°C oraz dodatkowe 72 godziny w temperaturze nieprzekraczającej 30°C.</w:t>
      </w:r>
    </w:p>
    <w:p w14:paraId="30A5E2F9" w14:textId="77777777" w:rsidR="009648CF" w:rsidRPr="0015541C" w:rsidRDefault="009648CF" w:rsidP="002A2453">
      <w:pPr>
        <w:rPr>
          <w:lang w:val="pl-PL"/>
        </w:rPr>
      </w:pPr>
    </w:p>
    <w:p w14:paraId="67013F59" w14:textId="24BA4057" w:rsidR="002A2453" w:rsidRPr="0015541C" w:rsidRDefault="002A2453" w:rsidP="002A2453">
      <w:pPr>
        <w:rPr>
          <w:lang w:val="pl-PL"/>
        </w:rPr>
      </w:pPr>
      <w:r w:rsidRPr="0015541C">
        <w:rPr>
          <w:lang w:val="pl-PL"/>
        </w:rPr>
        <w:t xml:space="preserve">Nie stosować leku </w:t>
      </w:r>
      <w:r w:rsidR="00C87F12" w:rsidRPr="00AC3958">
        <w:rPr>
          <w:lang w:val="pl-PL"/>
        </w:rPr>
        <w:t>Aybintio</w:t>
      </w:r>
      <w:r w:rsidR="006E6212" w:rsidRPr="0015541C">
        <w:rPr>
          <w:lang w:val="pl-PL"/>
        </w:rPr>
        <w:t>,</w:t>
      </w:r>
      <w:r w:rsidRPr="0015541C">
        <w:rPr>
          <w:lang w:val="pl-PL"/>
        </w:rPr>
        <w:t xml:space="preserve"> jeśli zauważy się </w:t>
      </w:r>
      <w:r w:rsidRPr="0015541C">
        <w:rPr>
          <w:rFonts w:eastAsia="SimSun"/>
          <w:szCs w:val="22"/>
          <w:lang w:val="pl-PL" w:eastAsia="zh-CN"/>
        </w:rPr>
        <w:t>cząstki stałe lub jeśli wystąpiła zmiana jego barwy.</w:t>
      </w:r>
    </w:p>
    <w:p w14:paraId="35E831D1" w14:textId="77777777" w:rsidR="002A2453" w:rsidRPr="0015541C" w:rsidRDefault="002A2453" w:rsidP="002A2453">
      <w:pPr>
        <w:rPr>
          <w:lang w:val="pl-PL"/>
        </w:rPr>
      </w:pPr>
    </w:p>
    <w:p w14:paraId="27CBFBC4" w14:textId="77777777" w:rsidR="002A2453" w:rsidRPr="0015541C" w:rsidRDefault="002A2453" w:rsidP="002A2453">
      <w:pPr>
        <w:rPr>
          <w:lang w:val="pl-PL"/>
        </w:rPr>
      </w:pPr>
      <w:r w:rsidRPr="0015541C">
        <w:rPr>
          <w:lang w:val="pl-PL"/>
        </w:rPr>
        <w:t>Leków nie należy wyrzucać do kanalizacji ani domowych pojemników na odpadki. Należy zapytać farmaceutę</w:t>
      </w:r>
      <w:r w:rsidR="00507543" w:rsidRPr="0015541C">
        <w:rPr>
          <w:lang w:val="pl-PL"/>
        </w:rPr>
        <w:t>,</w:t>
      </w:r>
      <w:r w:rsidRPr="0015541C">
        <w:rPr>
          <w:szCs w:val="24"/>
          <w:lang w:val="pl-PL"/>
        </w:rPr>
        <w:t xml:space="preserve"> jak usunąć leki, których się</w:t>
      </w:r>
      <w:r w:rsidRPr="0015541C">
        <w:rPr>
          <w:lang w:val="pl-PL"/>
        </w:rPr>
        <w:t xml:space="preserve"> już nie używa. Takie postępowanie pomoże chronić środowisko.</w:t>
      </w:r>
    </w:p>
    <w:p w14:paraId="578643B3" w14:textId="77777777" w:rsidR="002A2453" w:rsidRPr="0015541C" w:rsidRDefault="002A2453" w:rsidP="002A2453">
      <w:pPr>
        <w:rPr>
          <w:lang w:val="pl-PL"/>
        </w:rPr>
      </w:pPr>
    </w:p>
    <w:p w14:paraId="54E01E64" w14:textId="77777777" w:rsidR="002A2453" w:rsidRPr="0015541C" w:rsidRDefault="002A2453" w:rsidP="002A2453">
      <w:pPr>
        <w:rPr>
          <w:lang w:val="pl-PL"/>
        </w:rPr>
      </w:pPr>
    </w:p>
    <w:p w14:paraId="34FABF8A" w14:textId="77777777" w:rsidR="002A2453" w:rsidRPr="0015541C" w:rsidRDefault="002A2453" w:rsidP="002A2453">
      <w:pPr>
        <w:ind w:left="567" w:hanging="567"/>
        <w:rPr>
          <w:b/>
          <w:caps/>
          <w:lang w:val="pl-PL"/>
        </w:rPr>
      </w:pPr>
      <w:r w:rsidRPr="0015541C">
        <w:rPr>
          <w:b/>
          <w:caps/>
          <w:lang w:val="pl-PL"/>
        </w:rPr>
        <w:t>6.</w:t>
      </w:r>
      <w:r w:rsidRPr="0015541C">
        <w:rPr>
          <w:b/>
          <w:caps/>
          <w:lang w:val="pl-PL"/>
        </w:rPr>
        <w:tab/>
      </w:r>
      <w:r w:rsidRPr="0015541C">
        <w:rPr>
          <w:b/>
          <w:szCs w:val="24"/>
          <w:lang w:val="pl-PL"/>
        </w:rPr>
        <w:t>Zawartość opakowania i inne informacje</w:t>
      </w:r>
    </w:p>
    <w:p w14:paraId="1292E97A" w14:textId="77777777" w:rsidR="002A2453" w:rsidRPr="0015541C" w:rsidRDefault="002A2453" w:rsidP="002A2453">
      <w:pPr>
        <w:rPr>
          <w:lang w:val="pl-PL"/>
        </w:rPr>
      </w:pPr>
    </w:p>
    <w:p w14:paraId="2913A6B8" w14:textId="77777777" w:rsidR="002A2453" w:rsidRPr="0070444C" w:rsidRDefault="002A2453" w:rsidP="003C6FA3">
      <w:pPr>
        <w:rPr>
          <w:lang w:val="pl-PL"/>
        </w:rPr>
      </w:pPr>
      <w:r w:rsidRPr="0015541C">
        <w:rPr>
          <w:b/>
          <w:lang w:val="pl-PL"/>
        </w:rPr>
        <w:t xml:space="preserve">Co zawiera lek </w:t>
      </w:r>
      <w:r w:rsidR="00C87F12" w:rsidRPr="0015541C">
        <w:rPr>
          <w:b/>
          <w:lang w:val="pl-PL"/>
        </w:rPr>
        <w:t>Aybintio</w:t>
      </w:r>
    </w:p>
    <w:p w14:paraId="71EF9990" w14:textId="7527B774" w:rsidR="002A2453" w:rsidRPr="0015541C" w:rsidRDefault="00AD7932" w:rsidP="008167EA">
      <w:pPr>
        <w:numPr>
          <w:ilvl w:val="0"/>
          <w:numId w:val="50"/>
        </w:numPr>
        <w:ind w:left="567" w:hanging="567"/>
        <w:rPr>
          <w:lang w:val="pl-PL"/>
        </w:rPr>
      </w:pPr>
      <w:r w:rsidRPr="0015541C">
        <w:rPr>
          <w:lang w:val="pl-PL"/>
        </w:rPr>
        <w:t xml:space="preserve">Substancją czynną leku jest bewacyzumab. </w:t>
      </w:r>
      <w:r w:rsidR="002A2453" w:rsidRPr="0015541C">
        <w:rPr>
          <w:lang w:val="pl-PL"/>
        </w:rPr>
        <w:t>Każdy milil</w:t>
      </w:r>
      <w:r w:rsidR="00BC264A" w:rsidRPr="0015541C">
        <w:rPr>
          <w:lang w:val="pl-PL"/>
        </w:rPr>
        <w:t>i</w:t>
      </w:r>
      <w:r w:rsidR="002A2453" w:rsidRPr="0015541C">
        <w:rPr>
          <w:lang w:val="pl-PL"/>
        </w:rPr>
        <w:t xml:space="preserve">tr </w:t>
      </w:r>
      <w:r w:rsidRPr="0015541C">
        <w:rPr>
          <w:lang w:val="pl-PL"/>
        </w:rPr>
        <w:t xml:space="preserve">koncentratu </w:t>
      </w:r>
      <w:r w:rsidR="002A2453" w:rsidRPr="0015541C">
        <w:rPr>
          <w:lang w:val="pl-PL"/>
        </w:rPr>
        <w:t>zawiera 25 mg bewacyzumabu.</w:t>
      </w:r>
    </w:p>
    <w:p w14:paraId="0FE31669" w14:textId="77777777" w:rsidR="00AD7932" w:rsidRPr="0015541C" w:rsidRDefault="00AD7932" w:rsidP="00651E35">
      <w:pPr>
        <w:ind w:left="567"/>
        <w:rPr>
          <w:lang w:val="pl-PL"/>
        </w:rPr>
      </w:pPr>
      <w:r w:rsidRPr="0015541C">
        <w:rPr>
          <w:lang w:val="pl-PL"/>
        </w:rPr>
        <w:t xml:space="preserve">Każda fiolka o pojemności 4 ml zawiera 100 mg bewacyzumabu, co odpowiada stężeniu 1,4 mg/ml, jeżeli roztwór jest rozcieńczany zgodnie z zaleceniami. </w:t>
      </w:r>
    </w:p>
    <w:p w14:paraId="15DF7F9B" w14:textId="77777777" w:rsidR="00AD7932" w:rsidRPr="0015541C" w:rsidRDefault="00AD7932" w:rsidP="00661511">
      <w:pPr>
        <w:ind w:left="567"/>
        <w:rPr>
          <w:lang w:val="pl-PL"/>
        </w:rPr>
      </w:pPr>
      <w:r w:rsidRPr="0015541C">
        <w:rPr>
          <w:lang w:val="pl-PL"/>
        </w:rPr>
        <w:t xml:space="preserve">Każda fiolka o pojemności 16 ml zawiera 400 mg bewacyzumabu, co odpowiada stężeniu 16,5 mg/ml, jeżeli roztwór jest rozcieńczany zgodnie z zaleceniami. </w:t>
      </w:r>
    </w:p>
    <w:p w14:paraId="3A2F1F65" w14:textId="42DC48F1" w:rsidR="002A2453" w:rsidRPr="0015541C" w:rsidRDefault="00AD7932" w:rsidP="008167EA">
      <w:pPr>
        <w:numPr>
          <w:ilvl w:val="0"/>
          <w:numId w:val="50"/>
        </w:numPr>
        <w:ind w:left="567" w:hanging="567"/>
        <w:rPr>
          <w:lang w:val="pl-PL"/>
        </w:rPr>
      </w:pPr>
      <w:r w:rsidRPr="0015541C">
        <w:rPr>
          <w:lang w:val="pl-PL"/>
        </w:rPr>
        <w:lastRenderedPageBreak/>
        <w:t>Pozostałe składniki to</w:t>
      </w:r>
      <w:r w:rsidR="002A2453" w:rsidRPr="0015541C">
        <w:rPr>
          <w:lang w:val="pl-PL"/>
        </w:rPr>
        <w:t xml:space="preserve"> trehalozy dwuwodzian, sodu </w:t>
      </w:r>
      <w:r w:rsidR="00B23A29" w:rsidRPr="0015541C">
        <w:rPr>
          <w:lang w:val="pl-PL"/>
        </w:rPr>
        <w:t>octan trójwodny, kwas octowy</w:t>
      </w:r>
      <w:r w:rsidR="002A2453" w:rsidRPr="0015541C">
        <w:rPr>
          <w:lang w:val="pl-PL"/>
        </w:rPr>
        <w:t xml:space="preserve">, polisorbat 20 </w:t>
      </w:r>
      <w:r w:rsidR="0048590C">
        <w:rPr>
          <w:lang w:val="pl-PL"/>
        </w:rPr>
        <w:t xml:space="preserve">(E 432) (patrz punkt 2 „Lek </w:t>
      </w:r>
      <w:r w:rsidR="00466BE1" w:rsidRPr="00466BE1">
        <w:rPr>
          <w:lang w:val="pl-PL"/>
        </w:rPr>
        <w:t>Aybintio</w:t>
      </w:r>
      <w:r w:rsidR="0048590C">
        <w:rPr>
          <w:lang w:val="pl-PL"/>
        </w:rPr>
        <w:t xml:space="preserve"> zawiera sód i polisorbat 20”)</w:t>
      </w:r>
      <w:r w:rsidR="0048590C" w:rsidRPr="007E2685">
        <w:rPr>
          <w:lang w:val="pl-PL"/>
        </w:rPr>
        <w:t xml:space="preserve"> </w:t>
      </w:r>
      <w:r w:rsidR="002A2453" w:rsidRPr="0015541C">
        <w:rPr>
          <w:lang w:val="pl-PL"/>
        </w:rPr>
        <w:t>oraz wod</w:t>
      </w:r>
      <w:r w:rsidRPr="0015541C">
        <w:rPr>
          <w:lang w:val="pl-PL"/>
        </w:rPr>
        <w:t>a</w:t>
      </w:r>
      <w:r w:rsidR="002A2453" w:rsidRPr="0015541C">
        <w:rPr>
          <w:lang w:val="pl-PL"/>
        </w:rPr>
        <w:t xml:space="preserve"> do wstrzykiwań.</w:t>
      </w:r>
    </w:p>
    <w:p w14:paraId="3CD44779" w14:textId="77777777" w:rsidR="002A2453" w:rsidRPr="0015541C" w:rsidRDefault="002A2453" w:rsidP="002A2453">
      <w:pPr>
        <w:rPr>
          <w:lang w:val="pl-PL"/>
        </w:rPr>
      </w:pPr>
    </w:p>
    <w:p w14:paraId="36C6C85F" w14:textId="77777777" w:rsidR="002A2453" w:rsidRPr="0015541C" w:rsidRDefault="002A2453" w:rsidP="00301F63">
      <w:pPr>
        <w:keepNext/>
        <w:keepLines/>
        <w:rPr>
          <w:b/>
          <w:lang w:val="pl-PL"/>
        </w:rPr>
      </w:pPr>
      <w:r w:rsidRPr="0015541C">
        <w:rPr>
          <w:b/>
          <w:lang w:val="pl-PL"/>
        </w:rPr>
        <w:t xml:space="preserve">Jak wygląda lek </w:t>
      </w:r>
      <w:r w:rsidR="00C87F12" w:rsidRPr="0015541C">
        <w:rPr>
          <w:b/>
          <w:lang w:val="pl-PL"/>
        </w:rPr>
        <w:t>Aybintio</w:t>
      </w:r>
      <w:r w:rsidRPr="0015541C">
        <w:rPr>
          <w:b/>
          <w:lang w:val="pl-PL"/>
        </w:rPr>
        <w:t xml:space="preserve"> i co zawiera opakowanie</w:t>
      </w:r>
    </w:p>
    <w:p w14:paraId="0301AF12" w14:textId="77777777" w:rsidR="002A2453" w:rsidRPr="0015541C" w:rsidRDefault="00C87F12" w:rsidP="002A2453">
      <w:pPr>
        <w:rPr>
          <w:lang w:val="pl-PL"/>
        </w:rPr>
      </w:pPr>
      <w:r w:rsidRPr="0015541C">
        <w:rPr>
          <w:lang w:val="pl-PL"/>
        </w:rPr>
        <w:t>Aybintio</w:t>
      </w:r>
      <w:r w:rsidR="002A2453" w:rsidRPr="0015541C">
        <w:rPr>
          <w:lang w:val="pl-PL"/>
        </w:rPr>
        <w:t xml:space="preserve"> </w:t>
      </w:r>
      <w:r w:rsidR="00AD7932" w:rsidRPr="0015541C">
        <w:rPr>
          <w:lang w:val="pl-PL"/>
        </w:rPr>
        <w:t xml:space="preserve">jest koncentratem do sporządzania roztworu do infuzji. Koncentrat </w:t>
      </w:r>
      <w:r w:rsidR="002A2453" w:rsidRPr="0015541C">
        <w:rPr>
          <w:lang w:val="pl-PL"/>
        </w:rPr>
        <w:t>ma postać przezroczystego roztworu, o barwie od bezbarwnej do jasnobrązowej, dostępnego w szklanych fiolkach zamkniętych gumowym korkiem. Jedna fiolka zawiera 100 mg bewacyzumabu w 4 ml lub 400 mg bewacyzumabu w 16 ml roztworu.</w:t>
      </w:r>
      <w:r w:rsidR="00AD7932" w:rsidRPr="0015541C">
        <w:rPr>
          <w:lang w:val="pl-PL"/>
        </w:rPr>
        <w:t xml:space="preserve"> Każde opakowanie leku </w:t>
      </w:r>
      <w:r w:rsidRPr="0015541C">
        <w:rPr>
          <w:lang w:val="pl-PL"/>
        </w:rPr>
        <w:t>Aybintio</w:t>
      </w:r>
      <w:r w:rsidR="00AD7932" w:rsidRPr="0015541C">
        <w:rPr>
          <w:lang w:val="pl-PL"/>
        </w:rPr>
        <w:t xml:space="preserve"> zawiera jedną fiolkę. </w:t>
      </w:r>
    </w:p>
    <w:p w14:paraId="72A5EEBF" w14:textId="77777777" w:rsidR="002A2453" w:rsidRPr="0015541C" w:rsidRDefault="002A2453" w:rsidP="002A2453">
      <w:pPr>
        <w:rPr>
          <w:lang w:val="pl-PL"/>
        </w:rPr>
      </w:pPr>
    </w:p>
    <w:p w14:paraId="62C511D8" w14:textId="77777777" w:rsidR="002A2453" w:rsidRPr="0015541C" w:rsidRDefault="002A2453" w:rsidP="002A2453">
      <w:pPr>
        <w:rPr>
          <w:b/>
          <w:lang w:val="pl-PL"/>
        </w:rPr>
      </w:pPr>
      <w:r w:rsidRPr="0015541C">
        <w:rPr>
          <w:b/>
          <w:lang w:val="pl-PL"/>
        </w:rPr>
        <w:t>Podmiot odpowiedzialny:</w:t>
      </w:r>
    </w:p>
    <w:p w14:paraId="3D4A70FF" w14:textId="77777777" w:rsidR="0014166C" w:rsidRPr="0015541C" w:rsidRDefault="0014166C" w:rsidP="0014166C">
      <w:pPr>
        <w:numPr>
          <w:ilvl w:val="12"/>
          <w:numId w:val="0"/>
        </w:numPr>
        <w:ind w:right="-2"/>
        <w:rPr>
          <w:lang w:val="pl-PL"/>
        </w:rPr>
      </w:pPr>
      <w:r w:rsidRPr="0015541C">
        <w:rPr>
          <w:lang w:val="pl-PL"/>
        </w:rPr>
        <w:t>Samsung Bioepis NL B.V.</w:t>
      </w:r>
    </w:p>
    <w:p w14:paraId="6BDDC532" w14:textId="77777777" w:rsidR="0014166C" w:rsidRPr="0015541C" w:rsidRDefault="0014166C" w:rsidP="0014166C">
      <w:pPr>
        <w:numPr>
          <w:ilvl w:val="12"/>
          <w:numId w:val="0"/>
        </w:numPr>
        <w:ind w:right="-2"/>
        <w:rPr>
          <w:lang w:val="pl-PL"/>
        </w:rPr>
      </w:pPr>
      <w:r w:rsidRPr="0015541C">
        <w:rPr>
          <w:lang w:val="pl-PL"/>
        </w:rPr>
        <w:t>Olof Palmestraat 10</w:t>
      </w:r>
    </w:p>
    <w:p w14:paraId="35E2F1D8" w14:textId="77777777" w:rsidR="0014166C" w:rsidRPr="0015541C" w:rsidRDefault="0014166C" w:rsidP="0014166C">
      <w:pPr>
        <w:numPr>
          <w:ilvl w:val="12"/>
          <w:numId w:val="0"/>
        </w:numPr>
        <w:ind w:right="-2"/>
        <w:rPr>
          <w:lang w:val="pl-PL"/>
        </w:rPr>
      </w:pPr>
      <w:r w:rsidRPr="0015541C">
        <w:rPr>
          <w:lang w:val="pl-PL"/>
        </w:rPr>
        <w:t>2616 LR Delft</w:t>
      </w:r>
    </w:p>
    <w:p w14:paraId="5E64CDD9" w14:textId="19C5B028" w:rsidR="000E0EFF" w:rsidRPr="0015541C" w:rsidRDefault="0014166C" w:rsidP="000E0EFF">
      <w:pPr>
        <w:tabs>
          <w:tab w:val="left" w:pos="-720"/>
        </w:tabs>
        <w:ind w:left="-108" w:firstLine="108"/>
        <w:rPr>
          <w:lang w:val="pl-PL"/>
        </w:rPr>
      </w:pPr>
      <w:r w:rsidRPr="0015541C">
        <w:rPr>
          <w:lang w:val="pl-PL"/>
        </w:rPr>
        <w:t>Holandia</w:t>
      </w:r>
    </w:p>
    <w:p w14:paraId="5003AD19" w14:textId="7D55E141" w:rsidR="00DE6CE3" w:rsidRPr="0015541C" w:rsidRDefault="00ED652F" w:rsidP="000E0EFF">
      <w:pPr>
        <w:tabs>
          <w:tab w:val="left" w:pos="-720"/>
        </w:tabs>
        <w:ind w:left="-108" w:firstLine="108"/>
        <w:rPr>
          <w:lang w:val="pl-PL"/>
        </w:rPr>
      </w:pPr>
      <w:hyperlink r:id="rId17" w:history="1">
        <w:r w:rsidR="00DE6CE3" w:rsidRPr="0015541C">
          <w:rPr>
            <w:rStyle w:val="Hyperlink"/>
            <w:lang w:val="pl-PL"/>
          </w:rPr>
          <w:t>bioepis.mi@medinformation.co.uk</w:t>
        </w:r>
      </w:hyperlink>
    </w:p>
    <w:p w14:paraId="5C39EAA0" w14:textId="77777777" w:rsidR="002A2453" w:rsidRPr="0070444C" w:rsidRDefault="002A2453" w:rsidP="002A2453">
      <w:pPr>
        <w:rPr>
          <w:lang w:val="pl-PL"/>
        </w:rPr>
      </w:pPr>
    </w:p>
    <w:p w14:paraId="34EAF270" w14:textId="77777777" w:rsidR="002A2453" w:rsidRPr="0070444C" w:rsidRDefault="002A2453" w:rsidP="00FE0559">
      <w:pPr>
        <w:keepNext/>
        <w:keepLines/>
        <w:rPr>
          <w:b/>
          <w:lang w:val="pl-PL"/>
        </w:rPr>
      </w:pPr>
      <w:r w:rsidRPr="0070444C">
        <w:rPr>
          <w:b/>
          <w:lang w:val="pl-PL"/>
        </w:rPr>
        <w:t>Wytwórca:</w:t>
      </w:r>
    </w:p>
    <w:p w14:paraId="2FE018A6" w14:textId="77777777" w:rsidR="00F1227F" w:rsidRPr="0070444C" w:rsidRDefault="00F1227F" w:rsidP="00F1227F">
      <w:pPr>
        <w:rPr>
          <w:rFonts w:eastAsia="Yu Mincho"/>
          <w:lang w:val="pl-PL"/>
        </w:rPr>
      </w:pPr>
      <w:r w:rsidRPr="0070444C">
        <w:rPr>
          <w:rFonts w:eastAsia="Yu Mincho"/>
          <w:lang w:val="pl-PL"/>
        </w:rPr>
        <w:t>Samsung Bioepis NL B.V.</w:t>
      </w:r>
    </w:p>
    <w:p w14:paraId="431E6F5F" w14:textId="77777777" w:rsidR="00F1227F" w:rsidRPr="0070444C" w:rsidRDefault="00F1227F" w:rsidP="00F1227F">
      <w:pPr>
        <w:rPr>
          <w:rFonts w:eastAsia="Yu Mincho"/>
          <w:lang w:val="pl-PL"/>
        </w:rPr>
      </w:pPr>
      <w:r w:rsidRPr="0070444C">
        <w:rPr>
          <w:rFonts w:eastAsia="Yu Mincho"/>
          <w:lang w:val="pl-PL"/>
        </w:rPr>
        <w:t>Olof Palmestraat 10</w:t>
      </w:r>
    </w:p>
    <w:p w14:paraId="01A37A4A" w14:textId="77777777" w:rsidR="00F1227F" w:rsidRPr="0070444C" w:rsidRDefault="00F1227F" w:rsidP="00F1227F">
      <w:pPr>
        <w:rPr>
          <w:rFonts w:eastAsia="Yu Mincho"/>
          <w:lang w:val="pl-PL"/>
        </w:rPr>
      </w:pPr>
      <w:r w:rsidRPr="0070444C">
        <w:rPr>
          <w:rFonts w:eastAsia="Yu Mincho"/>
          <w:lang w:val="pl-PL"/>
        </w:rPr>
        <w:t>2616 LR Delft</w:t>
      </w:r>
    </w:p>
    <w:p w14:paraId="77971623" w14:textId="77777777" w:rsidR="00F1227F" w:rsidRPr="0070444C" w:rsidRDefault="00F1227F" w:rsidP="00F1227F">
      <w:pPr>
        <w:rPr>
          <w:rFonts w:eastAsia="Yu Mincho"/>
          <w:lang w:val="pl-PL"/>
        </w:rPr>
      </w:pPr>
      <w:r w:rsidRPr="0070444C">
        <w:rPr>
          <w:rFonts w:eastAsia="Yu Mincho"/>
          <w:lang w:val="pl-PL"/>
        </w:rPr>
        <w:t>Holandia</w:t>
      </w:r>
    </w:p>
    <w:p w14:paraId="323E0AE6" w14:textId="77777777" w:rsidR="00F1227F" w:rsidRPr="0015541C" w:rsidRDefault="00F1227F" w:rsidP="006B68BF">
      <w:pPr>
        <w:rPr>
          <w:rFonts w:eastAsia="Yu Mincho"/>
          <w:lang w:val="pl-PL"/>
        </w:rPr>
      </w:pPr>
    </w:p>
    <w:p w14:paraId="54BAD80F" w14:textId="77777777" w:rsidR="002A2453" w:rsidRPr="0015541C" w:rsidRDefault="002A2453" w:rsidP="00017F7B">
      <w:pPr>
        <w:keepNext/>
        <w:keepLines/>
        <w:rPr>
          <w:i/>
          <w:lang w:val="pl-PL"/>
        </w:rPr>
      </w:pPr>
      <w:r w:rsidRPr="0015541C">
        <w:rPr>
          <w:lang w:val="pl-PL"/>
        </w:rPr>
        <w:t>W celu uzyskania bardziej szczegółowych informacji należy zwrócić się do miejscowego przedstawiciela podmiotu odpowiedzialnego</w:t>
      </w:r>
      <w:r w:rsidR="009925EA" w:rsidRPr="00AC3958">
        <w:rPr>
          <w:iCs/>
          <w:lang w:val="pl-PL"/>
        </w:rPr>
        <w:t>:</w:t>
      </w:r>
    </w:p>
    <w:p w14:paraId="1EFFA286" w14:textId="77777777" w:rsidR="002A2453" w:rsidRPr="0015541C" w:rsidRDefault="002A2453" w:rsidP="00017F7B">
      <w:pPr>
        <w:keepNext/>
        <w:keepLines/>
        <w:numPr>
          <w:ilvl w:val="12"/>
          <w:numId w:val="0"/>
        </w:numPr>
        <w:ind w:right="-2"/>
        <w:rPr>
          <w:lang w:val="pl-PL"/>
        </w:rPr>
      </w:pPr>
    </w:p>
    <w:tbl>
      <w:tblPr>
        <w:tblW w:w="0" w:type="auto"/>
        <w:tblLayout w:type="fixed"/>
        <w:tblLook w:val="0000" w:firstRow="0" w:lastRow="0" w:firstColumn="0" w:lastColumn="0" w:noHBand="0" w:noVBand="0"/>
      </w:tblPr>
      <w:tblGrid>
        <w:gridCol w:w="4590"/>
        <w:gridCol w:w="4590"/>
      </w:tblGrid>
      <w:tr w:rsidR="00592DC1" w:rsidRPr="0070444C" w14:paraId="0C71179B" w14:textId="77777777" w:rsidTr="005673A2">
        <w:trPr>
          <w:cantSplit/>
        </w:trPr>
        <w:tc>
          <w:tcPr>
            <w:tcW w:w="4590" w:type="dxa"/>
          </w:tcPr>
          <w:p w14:paraId="500AB7CF" w14:textId="77777777" w:rsidR="00592DC1" w:rsidRPr="0070444C" w:rsidRDefault="00592DC1" w:rsidP="0040007F">
            <w:pPr>
              <w:rPr>
                <w:lang w:val="pl-PL"/>
              </w:rPr>
            </w:pPr>
            <w:r w:rsidRPr="0070444C">
              <w:rPr>
                <w:b/>
                <w:lang w:val="pl-PL"/>
              </w:rPr>
              <w:t>België/Belgique/Belgien</w:t>
            </w:r>
          </w:p>
          <w:p w14:paraId="463A64D4" w14:textId="77777777" w:rsidR="00592DC1" w:rsidRPr="0070444C" w:rsidRDefault="00592DC1" w:rsidP="0040007F">
            <w:pPr>
              <w:rPr>
                <w:lang w:val="pl-PL"/>
              </w:rPr>
            </w:pPr>
            <w:r w:rsidRPr="0070444C">
              <w:rPr>
                <w:szCs w:val="22"/>
                <w:lang w:val="pl-PL"/>
              </w:rPr>
              <w:t>Samsung Bioepis NL B</w:t>
            </w:r>
            <w:r w:rsidRPr="0070444C">
              <w:rPr>
                <w:lang w:val="pl-PL"/>
              </w:rPr>
              <w:t>.V.</w:t>
            </w:r>
          </w:p>
          <w:p w14:paraId="493AF0AE" w14:textId="77777777" w:rsidR="00592DC1" w:rsidRPr="0070444C" w:rsidRDefault="00592DC1" w:rsidP="00592DC1">
            <w:pPr>
              <w:numPr>
                <w:ilvl w:val="12"/>
                <w:numId w:val="0"/>
              </w:numPr>
              <w:ind w:right="-2"/>
              <w:rPr>
                <w:lang w:val="pl-PL"/>
              </w:rPr>
            </w:pPr>
            <w:r w:rsidRPr="0070444C">
              <w:rPr>
                <w:lang w:val="pl-PL"/>
              </w:rPr>
              <w:t>Olof Palmestraat 10, 2616 LR Delft</w:t>
            </w:r>
          </w:p>
          <w:p w14:paraId="5F83D8C5" w14:textId="77777777" w:rsidR="00DE6CE3" w:rsidRPr="0070444C" w:rsidRDefault="00592DC1" w:rsidP="00592DC1">
            <w:pPr>
              <w:keepNext/>
              <w:keepLines/>
              <w:rPr>
                <w:szCs w:val="22"/>
                <w:lang w:val="pl-PL"/>
              </w:rPr>
            </w:pPr>
            <w:r w:rsidRPr="0070444C">
              <w:rPr>
                <w:szCs w:val="22"/>
                <w:lang w:val="pl-PL"/>
              </w:rPr>
              <w:t>Nederland/Pays-Bas/Niederlande</w:t>
            </w:r>
          </w:p>
          <w:p w14:paraId="0C4BD6C6" w14:textId="20A4F708" w:rsidR="00592DC1" w:rsidRPr="0070444C" w:rsidRDefault="00ED652F" w:rsidP="00592DC1">
            <w:pPr>
              <w:keepNext/>
              <w:keepLines/>
              <w:rPr>
                <w:szCs w:val="22"/>
                <w:lang w:val="pl-PL"/>
              </w:rPr>
            </w:pPr>
            <w:hyperlink r:id="rId18" w:history="1">
              <w:r w:rsidR="00DE6CE3" w:rsidRPr="0070444C">
                <w:rPr>
                  <w:rStyle w:val="Hyperlink"/>
                  <w:lang w:val="pl-PL"/>
                </w:rPr>
                <w:t>bioepis.mi@medinformation.co.uk</w:t>
              </w:r>
            </w:hyperlink>
          </w:p>
          <w:p w14:paraId="753030FA" w14:textId="39FBCF48" w:rsidR="00DE6CE3" w:rsidRPr="0070444C" w:rsidRDefault="00DE6CE3" w:rsidP="00592DC1">
            <w:pPr>
              <w:keepNext/>
              <w:keepLines/>
              <w:rPr>
                <w:rFonts w:eastAsia="Yu Mincho"/>
                <w:b/>
                <w:lang w:val="pl-PL"/>
              </w:rPr>
            </w:pPr>
          </w:p>
        </w:tc>
        <w:tc>
          <w:tcPr>
            <w:tcW w:w="4590" w:type="dxa"/>
          </w:tcPr>
          <w:p w14:paraId="54D3EAFE" w14:textId="77777777" w:rsidR="00592DC1" w:rsidRPr="0070444C" w:rsidRDefault="00592DC1" w:rsidP="0040007F">
            <w:pPr>
              <w:autoSpaceDE w:val="0"/>
              <w:autoSpaceDN w:val="0"/>
              <w:adjustRightInd w:val="0"/>
              <w:rPr>
                <w:lang w:val="pl-PL"/>
              </w:rPr>
            </w:pPr>
            <w:r w:rsidRPr="0070444C">
              <w:rPr>
                <w:b/>
                <w:lang w:val="pl-PL"/>
              </w:rPr>
              <w:t>Lietuva</w:t>
            </w:r>
          </w:p>
          <w:p w14:paraId="60EAFBFF" w14:textId="77777777" w:rsidR="00592DC1" w:rsidRPr="0070444C" w:rsidRDefault="00592DC1" w:rsidP="00592DC1">
            <w:pPr>
              <w:rPr>
                <w:szCs w:val="22"/>
                <w:lang w:val="pl-PL"/>
              </w:rPr>
            </w:pPr>
            <w:r w:rsidRPr="0070444C">
              <w:rPr>
                <w:szCs w:val="22"/>
                <w:lang w:val="pl-PL"/>
              </w:rPr>
              <w:t>Samsung Bioepis NL B.V.</w:t>
            </w:r>
          </w:p>
          <w:p w14:paraId="31D24ACB" w14:textId="77777777" w:rsidR="00592DC1" w:rsidRPr="0015541C" w:rsidRDefault="00592DC1" w:rsidP="00592DC1">
            <w:pPr>
              <w:numPr>
                <w:ilvl w:val="12"/>
                <w:numId w:val="0"/>
              </w:numPr>
              <w:ind w:right="-2"/>
              <w:rPr>
                <w:lang w:val="pl-PL"/>
              </w:rPr>
            </w:pPr>
            <w:r w:rsidRPr="0015541C">
              <w:rPr>
                <w:lang w:val="pl-PL"/>
              </w:rPr>
              <w:t>Olof Palmestraat 10, 2616 LR Delft</w:t>
            </w:r>
          </w:p>
          <w:p w14:paraId="6B8C0976" w14:textId="77777777" w:rsidR="00592DC1" w:rsidRPr="00AC3958" w:rsidRDefault="00592DC1" w:rsidP="00592DC1">
            <w:pPr>
              <w:numPr>
                <w:ilvl w:val="12"/>
                <w:numId w:val="0"/>
              </w:numPr>
              <w:ind w:right="-2"/>
              <w:rPr>
                <w:lang w:val="pl-PL"/>
              </w:rPr>
            </w:pPr>
            <w:r w:rsidRPr="0015541C">
              <w:rPr>
                <w:lang w:val="pl-PL"/>
              </w:rPr>
              <w:t>Nyderlandai</w:t>
            </w:r>
          </w:p>
          <w:p w14:paraId="6FED783F" w14:textId="0738FD46" w:rsidR="00592DC1" w:rsidRPr="0015541C" w:rsidRDefault="00ED652F" w:rsidP="00592DC1">
            <w:pPr>
              <w:keepNext/>
              <w:keepLines/>
              <w:suppressAutoHyphens/>
              <w:rPr>
                <w:lang w:val="pl-PL"/>
              </w:rPr>
            </w:pPr>
            <w:hyperlink r:id="rId19" w:history="1">
              <w:r w:rsidR="00DE6CE3" w:rsidRPr="0015541C">
                <w:rPr>
                  <w:rStyle w:val="Hyperlink"/>
                  <w:lang w:val="pl-PL"/>
                </w:rPr>
                <w:t>bioepis.mi@medinformation.co.uk</w:t>
              </w:r>
            </w:hyperlink>
          </w:p>
          <w:p w14:paraId="7653EB26" w14:textId="595D6B62" w:rsidR="00DE6CE3" w:rsidRPr="0070444C" w:rsidRDefault="00DE6CE3" w:rsidP="00592DC1">
            <w:pPr>
              <w:keepNext/>
              <w:keepLines/>
              <w:suppressAutoHyphens/>
              <w:rPr>
                <w:rFonts w:eastAsia="Yu Mincho"/>
                <w:b/>
                <w:lang w:val="pl-PL"/>
              </w:rPr>
            </w:pPr>
          </w:p>
        </w:tc>
      </w:tr>
      <w:tr w:rsidR="00592DC1" w:rsidRPr="008D11DD" w14:paraId="6EDA8FBF" w14:textId="77777777" w:rsidTr="005673A2">
        <w:trPr>
          <w:cantSplit/>
        </w:trPr>
        <w:tc>
          <w:tcPr>
            <w:tcW w:w="4590" w:type="dxa"/>
          </w:tcPr>
          <w:p w14:paraId="69A34017" w14:textId="77777777" w:rsidR="00592DC1" w:rsidRPr="0070444C" w:rsidRDefault="00240530" w:rsidP="0040007F">
            <w:pPr>
              <w:autoSpaceDE w:val="0"/>
              <w:autoSpaceDN w:val="0"/>
              <w:adjustRightInd w:val="0"/>
              <w:rPr>
                <w:b/>
                <w:lang w:val="pl-PL"/>
              </w:rPr>
            </w:pPr>
            <w:r w:rsidRPr="0070444C">
              <w:rPr>
                <w:b/>
                <w:lang w:val="pl-PL"/>
              </w:rPr>
              <w:t>България</w:t>
            </w:r>
          </w:p>
          <w:p w14:paraId="36DEA7B2" w14:textId="77777777" w:rsidR="00592DC1" w:rsidRPr="0070444C" w:rsidRDefault="00592DC1" w:rsidP="00592DC1">
            <w:pPr>
              <w:rPr>
                <w:bCs/>
                <w:szCs w:val="22"/>
                <w:lang w:val="pl-PL"/>
              </w:rPr>
            </w:pPr>
            <w:r w:rsidRPr="0070444C">
              <w:rPr>
                <w:szCs w:val="22"/>
                <w:lang w:val="pl-PL"/>
              </w:rPr>
              <w:t>Samsung Bioepis NL B.V.</w:t>
            </w:r>
          </w:p>
          <w:p w14:paraId="16D41C60" w14:textId="77777777" w:rsidR="00592DC1" w:rsidRPr="0070444C" w:rsidRDefault="00592DC1" w:rsidP="00592DC1">
            <w:pPr>
              <w:numPr>
                <w:ilvl w:val="12"/>
                <w:numId w:val="0"/>
              </w:numPr>
              <w:ind w:right="-2"/>
              <w:rPr>
                <w:bCs/>
                <w:szCs w:val="22"/>
                <w:lang w:val="pl-PL"/>
              </w:rPr>
            </w:pPr>
            <w:r w:rsidRPr="0070444C">
              <w:rPr>
                <w:szCs w:val="22"/>
                <w:lang w:val="pl-PL"/>
              </w:rPr>
              <w:t>Olof Palmestraat 10, 2616 LR Delft</w:t>
            </w:r>
          </w:p>
          <w:p w14:paraId="2D6EC112" w14:textId="77777777" w:rsidR="00592DC1" w:rsidRPr="0070444C" w:rsidRDefault="00240530" w:rsidP="00592DC1">
            <w:pPr>
              <w:keepNext/>
              <w:keepLines/>
              <w:rPr>
                <w:lang w:val="pl-PL"/>
              </w:rPr>
            </w:pPr>
            <w:r w:rsidRPr="0070444C">
              <w:rPr>
                <w:lang w:val="pl-PL"/>
              </w:rPr>
              <w:t>Нидерландия</w:t>
            </w:r>
          </w:p>
          <w:p w14:paraId="145E6FDC" w14:textId="21744440" w:rsidR="00DE6CE3" w:rsidRPr="0070444C" w:rsidRDefault="00ED652F" w:rsidP="00592DC1">
            <w:pPr>
              <w:keepNext/>
              <w:keepLines/>
              <w:rPr>
                <w:lang w:val="pl-PL"/>
              </w:rPr>
            </w:pPr>
            <w:hyperlink r:id="rId20" w:history="1">
              <w:r w:rsidR="00DE6CE3" w:rsidRPr="0070444C">
                <w:rPr>
                  <w:rStyle w:val="Hyperlink"/>
                  <w:lang w:val="pl-PL"/>
                </w:rPr>
                <w:t>bioepis.mi@medinformation.co.uk</w:t>
              </w:r>
            </w:hyperlink>
          </w:p>
          <w:p w14:paraId="62515801" w14:textId="3E77C8C8" w:rsidR="00DE6CE3" w:rsidRPr="0070444C" w:rsidRDefault="00DE6CE3" w:rsidP="00592DC1">
            <w:pPr>
              <w:keepNext/>
              <w:keepLines/>
              <w:rPr>
                <w:rFonts w:eastAsia="Yu Mincho"/>
                <w:lang w:val="pl-PL"/>
              </w:rPr>
            </w:pPr>
          </w:p>
        </w:tc>
        <w:tc>
          <w:tcPr>
            <w:tcW w:w="4590" w:type="dxa"/>
          </w:tcPr>
          <w:p w14:paraId="65AA02FD" w14:textId="77777777" w:rsidR="00592DC1" w:rsidRPr="0070444C" w:rsidRDefault="00592DC1" w:rsidP="0040007F">
            <w:pPr>
              <w:tabs>
                <w:tab w:val="left" w:pos="-720"/>
              </w:tabs>
              <w:suppressAutoHyphens/>
              <w:rPr>
                <w:lang w:val="pl-PL"/>
              </w:rPr>
            </w:pPr>
            <w:r w:rsidRPr="0070444C">
              <w:rPr>
                <w:b/>
                <w:lang w:val="pl-PL"/>
              </w:rPr>
              <w:t>Luxembourg/Luxemburg</w:t>
            </w:r>
          </w:p>
          <w:p w14:paraId="4641A1F1" w14:textId="77777777" w:rsidR="00592DC1" w:rsidRPr="0070444C" w:rsidRDefault="00592DC1" w:rsidP="00592DC1">
            <w:pPr>
              <w:rPr>
                <w:szCs w:val="22"/>
                <w:lang w:val="pl-PL"/>
              </w:rPr>
            </w:pPr>
            <w:r w:rsidRPr="0070444C">
              <w:rPr>
                <w:szCs w:val="22"/>
                <w:lang w:val="pl-PL"/>
              </w:rPr>
              <w:t>Samsung Bioepis NL B.V.</w:t>
            </w:r>
          </w:p>
          <w:p w14:paraId="5EEE61F5" w14:textId="77777777" w:rsidR="00592DC1" w:rsidRPr="0070444C" w:rsidRDefault="00592DC1" w:rsidP="00592DC1">
            <w:pPr>
              <w:numPr>
                <w:ilvl w:val="12"/>
                <w:numId w:val="0"/>
              </w:numPr>
              <w:ind w:right="-2"/>
              <w:rPr>
                <w:szCs w:val="22"/>
                <w:lang w:val="pl-PL"/>
              </w:rPr>
            </w:pPr>
            <w:r w:rsidRPr="0070444C">
              <w:rPr>
                <w:lang w:val="pl-PL"/>
              </w:rPr>
              <w:t>Olof Palmestraat 10, 2616 LR Delft</w:t>
            </w:r>
          </w:p>
          <w:p w14:paraId="7A30D1D0" w14:textId="77777777" w:rsidR="00592DC1" w:rsidRPr="0070444C" w:rsidRDefault="00592DC1" w:rsidP="00592DC1">
            <w:pPr>
              <w:autoSpaceDE w:val="0"/>
              <w:autoSpaceDN w:val="0"/>
              <w:adjustRightInd w:val="0"/>
              <w:rPr>
                <w:rFonts w:eastAsia="TimesNewRoman"/>
                <w:szCs w:val="22"/>
                <w:lang w:val="pl-PL"/>
              </w:rPr>
            </w:pPr>
            <w:r w:rsidRPr="0070444C">
              <w:rPr>
                <w:szCs w:val="22"/>
                <w:lang w:val="pl-PL"/>
              </w:rPr>
              <w:t>Holland/Niederlande</w:t>
            </w:r>
          </w:p>
          <w:p w14:paraId="46F736B2" w14:textId="554B4D29" w:rsidR="00592DC1" w:rsidRPr="0070444C" w:rsidRDefault="00ED652F" w:rsidP="00592DC1">
            <w:pPr>
              <w:keepNext/>
              <w:keepLines/>
              <w:rPr>
                <w:lang w:val="pl-PL"/>
              </w:rPr>
            </w:pPr>
            <w:hyperlink r:id="rId21" w:history="1">
              <w:r w:rsidR="00DE6CE3" w:rsidRPr="0070444C">
                <w:rPr>
                  <w:rStyle w:val="Hyperlink"/>
                  <w:lang w:val="pl-PL"/>
                </w:rPr>
                <w:t>bioepis.mi@medinformation.co.uk</w:t>
              </w:r>
            </w:hyperlink>
          </w:p>
          <w:p w14:paraId="3DEE0249" w14:textId="5EFA64BB" w:rsidR="00DE6CE3" w:rsidRPr="0070444C" w:rsidRDefault="00DE6CE3" w:rsidP="00592DC1">
            <w:pPr>
              <w:keepNext/>
              <w:keepLines/>
              <w:rPr>
                <w:rFonts w:eastAsia="Yu Mincho"/>
                <w:lang w:val="pl-PL"/>
              </w:rPr>
            </w:pPr>
          </w:p>
        </w:tc>
      </w:tr>
      <w:tr w:rsidR="00592DC1" w:rsidRPr="0070444C" w14:paraId="11C06CF9" w14:textId="77777777" w:rsidTr="005673A2">
        <w:trPr>
          <w:cantSplit/>
        </w:trPr>
        <w:tc>
          <w:tcPr>
            <w:tcW w:w="4590" w:type="dxa"/>
          </w:tcPr>
          <w:p w14:paraId="51C97B6F" w14:textId="77777777" w:rsidR="00592DC1" w:rsidRPr="0070444C" w:rsidRDefault="00592DC1" w:rsidP="0040007F">
            <w:pPr>
              <w:tabs>
                <w:tab w:val="left" w:pos="-720"/>
              </w:tabs>
              <w:suppressAutoHyphens/>
              <w:rPr>
                <w:lang w:val="pl-PL"/>
              </w:rPr>
            </w:pPr>
            <w:r w:rsidRPr="0070444C">
              <w:rPr>
                <w:b/>
                <w:bCs/>
                <w:szCs w:val="22"/>
                <w:lang w:val="pl-PL"/>
              </w:rPr>
              <w:t>Česká republika</w:t>
            </w:r>
          </w:p>
          <w:p w14:paraId="399144A4" w14:textId="77777777" w:rsidR="00592DC1" w:rsidRPr="0070444C" w:rsidRDefault="00592DC1" w:rsidP="00592DC1">
            <w:pPr>
              <w:rPr>
                <w:szCs w:val="22"/>
                <w:lang w:val="pl-PL"/>
              </w:rPr>
            </w:pPr>
            <w:r w:rsidRPr="0070444C">
              <w:rPr>
                <w:szCs w:val="22"/>
                <w:lang w:val="pl-PL"/>
              </w:rPr>
              <w:t>Samsung Bioepis NL B.V.</w:t>
            </w:r>
          </w:p>
          <w:p w14:paraId="15030FF6" w14:textId="77777777" w:rsidR="00592DC1" w:rsidRPr="0070444C" w:rsidRDefault="00592DC1" w:rsidP="00592DC1">
            <w:pPr>
              <w:numPr>
                <w:ilvl w:val="12"/>
                <w:numId w:val="0"/>
              </w:numPr>
              <w:ind w:right="-2"/>
              <w:rPr>
                <w:szCs w:val="22"/>
                <w:lang w:val="pl-PL"/>
              </w:rPr>
            </w:pPr>
            <w:r w:rsidRPr="0070444C">
              <w:rPr>
                <w:lang w:val="pl-PL"/>
              </w:rPr>
              <w:t>Olof Palmestraat 10, 2616 LR Delft</w:t>
            </w:r>
          </w:p>
          <w:p w14:paraId="26880D54" w14:textId="77777777" w:rsidR="00592DC1" w:rsidRPr="0070444C" w:rsidRDefault="00592DC1" w:rsidP="00592DC1">
            <w:pPr>
              <w:keepNext/>
              <w:keepLines/>
              <w:rPr>
                <w:szCs w:val="22"/>
                <w:lang w:val="pl-PL"/>
              </w:rPr>
            </w:pPr>
            <w:r w:rsidRPr="0070444C">
              <w:rPr>
                <w:szCs w:val="22"/>
                <w:lang w:val="pl-PL"/>
              </w:rPr>
              <w:t>Nizozemsko</w:t>
            </w:r>
          </w:p>
          <w:p w14:paraId="1B881332" w14:textId="64563FE7" w:rsidR="00DE6CE3" w:rsidRPr="0070444C" w:rsidRDefault="00ED652F" w:rsidP="00592DC1">
            <w:pPr>
              <w:keepNext/>
              <w:keepLines/>
              <w:rPr>
                <w:lang w:val="pl-PL"/>
              </w:rPr>
            </w:pPr>
            <w:hyperlink r:id="rId22" w:history="1">
              <w:r w:rsidR="00DE6CE3" w:rsidRPr="0070444C">
                <w:rPr>
                  <w:rStyle w:val="Hyperlink"/>
                  <w:lang w:val="pl-PL"/>
                </w:rPr>
                <w:t>bioepis.mi@medinformation.co.uk</w:t>
              </w:r>
            </w:hyperlink>
          </w:p>
          <w:p w14:paraId="318815AD" w14:textId="66D8858B" w:rsidR="00DE6CE3" w:rsidRPr="0070444C" w:rsidRDefault="00DE6CE3" w:rsidP="00592DC1">
            <w:pPr>
              <w:keepNext/>
              <w:keepLines/>
              <w:rPr>
                <w:rFonts w:eastAsia="Yu Mincho"/>
                <w:lang w:val="pl-PL"/>
              </w:rPr>
            </w:pPr>
          </w:p>
        </w:tc>
        <w:tc>
          <w:tcPr>
            <w:tcW w:w="4590" w:type="dxa"/>
          </w:tcPr>
          <w:p w14:paraId="4CB4685C" w14:textId="77777777" w:rsidR="00592DC1" w:rsidRPr="0070444C" w:rsidRDefault="00592DC1" w:rsidP="0040007F">
            <w:pPr>
              <w:rPr>
                <w:b/>
                <w:lang w:val="pl-PL"/>
              </w:rPr>
            </w:pPr>
            <w:r w:rsidRPr="0070444C">
              <w:rPr>
                <w:b/>
                <w:lang w:val="pl-PL"/>
              </w:rPr>
              <w:t>Magyarország</w:t>
            </w:r>
          </w:p>
          <w:p w14:paraId="40147B72" w14:textId="77777777" w:rsidR="00592DC1" w:rsidRPr="0070444C" w:rsidRDefault="00592DC1" w:rsidP="00592DC1">
            <w:pPr>
              <w:rPr>
                <w:szCs w:val="22"/>
                <w:lang w:val="pl-PL"/>
              </w:rPr>
            </w:pPr>
            <w:r w:rsidRPr="0070444C">
              <w:rPr>
                <w:szCs w:val="22"/>
                <w:lang w:val="pl-PL"/>
              </w:rPr>
              <w:t>Samsung Bioepis NL B.V.</w:t>
            </w:r>
          </w:p>
          <w:p w14:paraId="6CD09F13" w14:textId="77777777" w:rsidR="00592DC1" w:rsidRPr="0015541C" w:rsidRDefault="00592DC1" w:rsidP="00592DC1">
            <w:pPr>
              <w:numPr>
                <w:ilvl w:val="12"/>
                <w:numId w:val="0"/>
              </w:numPr>
              <w:ind w:right="-2"/>
              <w:rPr>
                <w:szCs w:val="22"/>
                <w:lang w:val="pl-PL"/>
              </w:rPr>
            </w:pPr>
            <w:r w:rsidRPr="0015541C">
              <w:rPr>
                <w:lang w:val="pl-PL"/>
              </w:rPr>
              <w:t>Olof Palmestraat 10, 2616 LR Delft</w:t>
            </w:r>
          </w:p>
          <w:p w14:paraId="1A7393DD" w14:textId="77777777" w:rsidR="00592DC1" w:rsidRPr="0015541C" w:rsidRDefault="00592DC1" w:rsidP="00592DC1">
            <w:pPr>
              <w:autoSpaceDE w:val="0"/>
              <w:autoSpaceDN w:val="0"/>
              <w:adjustRightInd w:val="0"/>
              <w:rPr>
                <w:rFonts w:eastAsia="TimesNewRoman"/>
                <w:szCs w:val="22"/>
                <w:lang w:val="pl-PL"/>
              </w:rPr>
            </w:pPr>
            <w:r w:rsidRPr="00AC3958">
              <w:rPr>
                <w:rFonts w:eastAsia="TimesNewRoman"/>
                <w:szCs w:val="22"/>
                <w:lang w:val="pl-PL"/>
              </w:rPr>
              <w:t>Hollandia</w:t>
            </w:r>
          </w:p>
          <w:p w14:paraId="2FDB8322" w14:textId="0BE0BE0E" w:rsidR="00592DC1" w:rsidRPr="0015541C" w:rsidRDefault="00ED652F" w:rsidP="00592DC1">
            <w:pPr>
              <w:keepNext/>
              <w:keepLines/>
              <w:autoSpaceDE w:val="0"/>
              <w:autoSpaceDN w:val="0"/>
              <w:adjustRightInd w:val="0"/>
              <w:rPr>
                <w:lang w:val="pl-PL"/>
              </w:rPr>
            </w:pPr>
            <w:hyperlink r:id="rId23" w:history="1">
              <w:r w:rsidR="00DE6CE3" w:rsidRPr="0015541C">
                <w:rPr>
                  <w:rStyle w:val="Hyperlink"/>
                  <w:lang w:val="pl-PL"/>
                </w:rPr>
                <w:t>bioepis.mi@medinformation.co.uk</w:t>
              </w:r>
            </w:hyperlink>
          </w:p>
          <w:p w14:paraId="5EFC57C8" w14:textId="6004B689" w:rsidR="00DE6CE3" w:rsidRPr="0070444C" w:rsidRDefault="00DE6CE3" w:rsidP="00592DC1">
            <w:pPr>
              <w:keepNext/>
              <w:keepLines/>
              <w:autoSpaceDE w:val="0"/>
              <w:autoSpaceDN w:val="0"/>
              <w:adjustRightInd w:val="0"/>
              <w:rPr>
                <w:rFonts w:eastAsia="Yu Mincho"/>
                <w:lang w:val="pl-PL"/>
              </w:rPr>
            </w:pPr>
          </w:p>
        </w:tc>
      </w:tr>
      <w:tr w:rsidR="00592DC1" w:rsidRPr="0070444C" w14:paraId="4EE1D769" w14:textId="77777777" w:rsidTr="005673A2">
        <w:trPr>
          <w:cantSplit/>
        </w:trPr>
        <w:tc>
          <w:tcPr>
            <w:tcW w:w="4590" w:type="dxa"/>
          </w:tcPr>
          <w:p w14:paraId="1E2153B7" w14:textId="77777777" w:rsidR="00592DC1" w:rsidRPr="0070444C" w:rsidRDefault="00592DC1" w:rsidP="00592DC1">
            <w:pPr>
              <w:rPr>
                <w:lang w:val="pl-PL"/>
              </w:rPr>
            </w:pPr>
            <w:r w:rsidRPr="0070444C">
              <w:rPr>
                <w:b/>
                <w:lang w:val="pl-PL"/>
              </w:rPr>
              <w:t>Danmark</w:t>
            </w:r>
          </w:p>
          <w:p w14:paraId="7F95635A" w14:textId="77777777" w:rsidR="00592DC1" w:rsidRPr="0070444C" w:rsidRDefault="00592DC1" w:rsidP="00592DC1">
            <w:pPr>
              <w:rPr>
                <w:szCs w:val="22"/>
                <w:lang w:val="pl-PL"/>
              </w:rPr>
            </w:pPr>
            <w:r w:rsidRPr="0070444C">
              <w:rPr>
                <w:szCs w:val="22"/>
                <w:lang w:val="pl-PL"/>
              </w:rPr>
              <w:t>Samsung Bioepis NL B.V.</w:t>
            </w:r>
          </w:p>
          <w:p w14:paraId="211165AA" w14:textId="77777777" w:rsidR="00592DC1" w:rsidRPr="0070444C" w:rsidRDefault="00592DC1" w:rsidP="00592DC1">
            <w:pPr>
              <w:numPr>
                <w:ilvl w:val="12"/>
                <w:numId w:val="0"/>
              </w:numPr>
              <w:ind w:right="-2"/>
              <w:rPr>
                <w:lang w:val="pl-PL"/>
              </w:rPr>
            </w:pPr>
            <w:r w:rsidRPr="0070444C">
              <w:rPr>
                <w:lang w:val="pl-PL"/>
              </w:rPr>
              <w:t>Olof Palmestraat 10, 2616 LR Delft</w:t>
            </w:r>
          </w:p>
          <w:p w14:paraId="3375E8E0" w14:textId="77777777" w:rsidR="00592DC1" w:rsidRPr="0070444C" w:rsidRDefault="00592DC1" w:rsidP="00592DC1">
            <w:pPr>
              <w:numPr>
                <w:ilvl w:val="12"/>
                <w:numId w:val="0"/>
              </w:numPr>
              <w:ind w:right="-2"/>
              <w:rPr>
                <w:lang w:val="pl-PL"/>
              </w:rPr>
            </w:pPr>
            <w:r w:rsidRPr="0070444C">
              <w:rPr>
                <w:lang w:val="pl-PL"/>
              </w:rPr>
              <w:t>Holland</w:t>
            </w:r>
          </w:p>
          <w:p w14:paraId="748F028B" w14:textId="75DB0FE7" w:rsidR="00DE6CE3" w:rsidRPr="0070444C" w:rsidRDefault="00ED652F" w:rsidP="00592DC1">
            <w:pPr>
              <w:rPr>
                <w:lang w:val="pl-PL"/>
              </w:rPr>
            </w:pPr>
            <w:hyperlink r:id="rId24" w:history="1">
              <w:r w:rsidR="00DE6CE3" w:rsidRPr="0070444C">
                <w:rPr>
                  <w:rStyle w:val="Hyperlink"/>
                  <w:lang w:val="pl-PL"/>
                </w:rPr>
                <w:t>bioepis.mi@medinformation.co.uk</w:t>
              </w:r>
            </w:hyperlink>
          </w:p>
          <w:p w14:paraId="68451275" w14:textId="77777777" w:rsidR="00592DC1" w:rsidRPr="0070444C" w:rsidRDefault="00592DC1" w:rsidP="00592DC1">
            <w:pPr>
              <w:rPr>
                <w:rFonts w:eastAsia="Yu Mincho"/>
                <w:b/>
                <w:lang w:val="pl-PL"/>
              </w:rPr>
            </w:pPr>
          </w:p>
        </w:tc>
        <w:tc>
          <w:tcPr>
            <w:tcW w:w="4590" w:type="dxa"/>
          </w:tcPr>
          <w:p w14:paraId="3CE1EF91" w14:textId="77777777" w:rsidR="00592DC1" w:rsidRPr="0070444C" w:rsidRDefault="00592DC1" w:rsidP="00592DC1">
            <w:pPr>
              <w:rPr>
                <w:b/>
                <w:lang w:val="pl-PL"/>
              </w:rPr>
            </w:pPr>
            <w:r w:rsidRPr="0070444C">
              <w:rPr>
                <w:b/>
                <w:lang w:val="pl-PL"/>
              </w:rPr>
              <w:t>Malta</w:t>
            </w:r>
          </w:p>
          <w:p w14:paraId="42B05814" w14:textId="77777777" w:rsidR="00592DC1" w:rsidRPr="0070444C" w:rsidRDefault="00592DC1" w:rsidP="00592DC1">
            <w:pPr>
              <w:rPr>
                <w:szCs w:val="22"/>
                <w:lang w:val="pl-PL"/>
              </w:rPr>
            </w:pPr>
            <w:r w:rsidRPr="0070444C">
              <w:rPr>
                <w:szCs w:val="22"/>
                <w:lang w:val="pl-PL"/>
              </w:rPr>
              <w:t>Samsung Bioepis NL B.V.</w:t>
            </w:r>
          </w:p>
          <w:p w14:paraId="022FDF45" w14:textId="77777777" w:rsidR="00592DC1" w:rsidRPr="0070444C" w:rsidRDefault="00592DC1" w:rsidP="00592DC1">
            <w:pPr>
              <w:numPr>
                <w:ilvl w:val="12"/>
                <w:numId w:val="0"/>
              </w:numPr>
              <w:ind w:right="-2"/>
              <w:rPr>
                <w:szCs w:val="22"/>
                <w:lang w:val="pl-PL"/>
              </w:rPr>
            </w:pPr>
            <w:r w:rsidRPr="0070444C">
              <w:rPr>
                <w:lang w:val="pl-PL"/>
              </w:rPr>
              <w:t>Olof Palmestraat 10, 2616 LR Delft</w:t>
            </w:r>
          </w:p>
          <w:p w14:paraId="7E32604A" w14:textId="77777777" w:rsidR="00592DC1" w:rsidRPr="0070444C" w:rsidRDefault="00592DC1" w:rsidP="00592DC1">
            <w:pPr>
              <w:rPr>
                <w:rFonts w:eastAsia="TimesNewRoman"/>
                <w:szCs w:val="22"/>
                <w:lang w:val="pl-PL"/>
              </w:rPr>
            </w:pPr>
            <w:r w:rsidRPr="0070444C">
              <w:rPr>
                <w:rFonts w:eastAsia="TimesNewRoman"/>
                <w:szCs w:val="22"/>
                <w:lang w:val="pl-PL"/>
              </w:rPr>
              <w:t>Olanda</w:t>
            </w:r>
          </w:p>
          <w:p w14:paraId="0FDCE9E1" w14:textId="342E6833" w:rsidR="00DE6CE3" w:rsidRPr="0070444C" w:rsidRDefault="00ED652F" w:rsidP="00592DC1">
            <w:pPr>
              <w:rPr>
                <w:lang w:val="pl-PL"/>
              </w:rPr>
            </w:pPr>
            <w:hyperlink r:id="rId25" w:history="1">
              <w:r w:rsidR="00DE6CE3" w:rsidRPr="0070444C">
                <w:rPr>
                  <w:rStyle w:val="Hyperlink"/>
                  <w:lang w:val="pl-PL"/>
                </w:rPr>
                <w:t>bioepis.mi@medinformation.co.uk</w:t>
              </w:r>
            </w:hyperlink>
          </w:p>
          <w:p w14:paraId="0195120B" w14:textId="66ACD7BA" w:rsidR="00DE6CE3" w:rsidRPr="0070444C" w:rsidRDefault="00DE6CE3" w:rsidP="00592DC1">
            <w:pPr>
              <w:rPr>
                <w:rFonts w:eastAsia="Yu Mincho"/>
                <w:lang w:val="pl-PL"/>
              </w:rPr>
            </w:pPr>
          </w:p>
        </w:tc>
      </w:tr>
      <w:tr w:rsidR="00592DC1" w:rsidRPr="0070444C" w14:paraId="0C042F7F" w14:textId="77777777" w:rsidTr="005673A2">
        <w:trPr>
          <w:cantSplit/>
        </w:trPr>
        <w:tc>
          <w:tcPr>
            <w:tcW w:w="4590" w:type="dxa"/>
          </w:tcPr>
          <w:p w14:paraId="4911B672" w14:textId="77777777" w:rsidR="00592DC1" w:rsidRPr="0070444C" w:rsidRDefault="00592DC1" w:rsidP="00592DC1">
            <w:pPr>
              <w:rPr>
                <w:lang w:val="pl-PL"/>
              </w:rPr>
            </w:pPr>
            <w:r w:rsidRPr="0070444C">
              <w:rPr>
                <w:b/>
                <w:lang w:val="pl-PL"/>
              </w:rPr>
              <w:t>Deutschland</w:t>
            </w:r>
          </w:p>
          <w:p w14:paraId="1C43734B" w14:textId="77777777" w:rsidR="00D95AB9" w:rsidRPr="001001F0" w:rsidRDefault="00D95AB9" w:rsidP="00D95AB9">
            <w:pPr>
              <w:widowControl w:val="0"/>
              <w:autoSpaceDE w:val="0"/>
              <w:autoSpaceDN w:val="0"/>
              <w:adjustRightInd w:val="0"/>
              <w:rPr>
                <w:noProof/>
                <w:szCs w:val="22"/>
                <w:lang w:val="de-DE"/>
              </w:rPr>
            </w:pPr>
            <w:r w:rsidRPr="001001F0">
              <w:rPr>
                <w:noProof/>
                <w:szCs w:val="22"/>
                <w:lang w:val="de-DE"/>
              </w:rPr>
              <w:t>Organon Healthcare GmbH</w:t>
            </w:r>
          </w:p>
          <w:p w14:paraId="62AAB5EC" w14:textId="77777777" w:rsidR="00D95AB9" w:rsidRPr="001001F0" w:rsidRDefault="00D95AB9" w:rsidP="00D95AB9">
            <w:pPr>
              <w:widowControl w:val="0"/>
              <w:autoSpaceDE w:val="0"/>
              <w:autoSpaceDN w:val="0"/>
              <w:adjustRightInd w:val="0"/>
              <w:rPr>
                <w:noProof/>
                <w:szCs w:val="22"/>
                <w:lang w:val="de-DE"/>
              </w:rPr>
            </w:pPr>
            <w:r w:rsidRPr="001001F0">
              <w:rPr>
                <w:noProof/>
                <w:szCs w:val="22"/>
                <w:lang w:val="de-DE"/>
              </w:rPr>
              <w:t>Tel: 0800 3384 726 (+49 (0) 89 2040022 10)</w:t>
            </w:r>
          </w:p>
          <w:p w14:paraId="514A2D2F" w14:textId="4A1BA606" w:rsidR="00592DC1" w:rsidRPr="0015541C" w:rsidRDefault="00C70138" w:rsidP="00592DC1">
            <w:pPr>
              <w:rPr>
                <w:szCs w:val="22"/>
                <w:lang w:val="pl-PL"/>
              </w:rPr>
            </w:pPr>
            <w:r w:rsidRPr="00A5462B">
              <w:rPr>
                <w:lang w:val="de-DE"/>
              </w:rPr>
              <w:t>dpoc.germany</w:t>
            </w:r>
            <w:hyperlink r:id="rId26" w:history="1">
              <w:r w:rsidR="00526A6D" w:rsidRPr="00526A6D">
                <w:rPr>
                  <w:rStyle w:val="Hyperlink"/>
                  <w:szCs w:val="22"/>
                  <w:lang w:val="de-DE"/>
                </w:rPr>
                <w:t>@organon.com</w:t>
              </w:r>
            </w:hyperlink>
          </w:p>
          <w:p w14:paraId="25B44ED9" w14:textId="77777777" w:rsidR="00592DC1" w:rsidRPr="0070444C" w:rsidRDefault="00592DC1" w:rsidP="00592DC1">
            <w:pPr>
              <w:rPr>
                <w:b/>
                <w:lang w:val="pl-PL"/>
              </w:rPr>
            </w:pPr>
          </w:p>
        </w:tc>
        <w:tc>
          <w:tcPr>
            <w:tcW w:w="4590" w:type="dxa"/>
          </w:tcPr>
          <w:p w14:paraId="1141AE75" w14:textId="77777777" w:rsidR="00592DC1" w:rsidRPr="0070444C" w:rsidRDefault="00592DC1" w:rsidP="0040007F">
            <w:pPr>
              <w:tabs>
                <w:tab w:val="left" w:pos="-720"/>
              </w:tabs>
              <w:suppressAutoHyphens/>
              <w:rPr>
                <w:lang w:val="pl-PL"/>
              </w:rPr>
            </w:pPr>
            <w:r w:rsidRPr="0070444C">
              <w:rPr>
                <w:b/>
                <w:lang w:val="pl-PL"/>
              </w:rPr>
              <w:t>Nederland</w:t>
            </w:r>
          </w:p>
          <w:p w14:paraId="1FCE66E4" w14:textId="77777777" w:rsidR="00592DC1" w:rsidRPr="0070444C" w:rsidRDefault="00592DC1" w:rsidP="00592DC1">
            <w:pPr>
              <w:rPr>
                <w:szCs w:val="22"/>
                <w:lang w:val="pl-PL"/>
              </w:rPr>
            </w:pPr>
            <w:r w:rsidRPr="0070444C">
              <w:rPr>
                <w:szCs w:val="22"/>
                <w:lang w:val="pl-PL"/>
              </w:rPr>
              <w:t>Samsung Bioepis NL B.V.</w:t>
            </w:r>
          </w:p>
          <w:p w14:paraId="4C4E0EFF" w14:textId="77777777" w:rsidR="00592DC1" w:rsidRPr="0070444C" w:rsidRDefault="00592DC1" w:rsidP="00592DC1">
            <w:pPr>
              <w:numPr>
                <w:ilvl w:val="12"/>
                <w:numId w:val="0"/>
              </w:numPr>
              <w:ind w:right="-2"/>
              <w:rPr>
                <w:szCs w:val="22"/>
                <w:lang w:val="pl-PL"/>
              </w:rPr>
            </w:pPr>
            <w:r w:rsidRPr="0070444C">
              <w:rPr>
                <w:lang w:val="pl-PL"/>
              </w:rPr>
              <w:t>Olof Palmestraat 10, 2616 LR Delft</w:t>
            </w:r>
          </w:p>
          <w:p w14:paraId="0B605AD7" w14:textId="77777777" w:rsidR="00592DC1" w:rsidRPr="0070444C" w:rsidRDefault="00592DC1" w:rsidP="00592DC1">
            <w:pPr>
              <w:rPr>
                <w:lang w:val="pl-PL"/>
              </w:rPr>
            </w:pPr>
            <w:r w:rsidRPr="0070444C">
              <w:rPr>
                <w:lang w:val="pl-PL"/>
              </w:rPr>
              <w:t>Nederland</w:t>
            </w:r>
          </w:p>
          <w:p w14:paraId="629E4587" w14:textId="343E497C" w:rsidR="00DE6CE3" w:rsidRPr="0070444C" w:rsidRDefault="00ED652F" w:rsidP="00592DC1">
            <w:pPr>
              <w:rPr>
                <w:lang w:val="pl-PL"/>
              </w:rPr>
            </w:pPr>
            <w:hyperlink r:id="rId27" w:history="1">
              <w:r w:rsidR="00DE6CE3" w:rsidRPr="0070444C">
                <w:rPr>
                  <w:rStyle w:val="Hyperlink"/>
                  <w:lang w:val="pl-PL"/>
                </w:rPr>
                <w:t>bioepis.mi@medinformation.co.uk</w:t>
              </w:r>
            </w:hyperlink>
          </w:p>
          <w:p w14:paraId="69A22221" w14:textId="705AB352" w:rsidR="00DE6CE3" w:rsidRPr="0070444C" w:rsidRDefault="00DE6CE3" w:rsidP="00592DC1">
            <w:pPr>
              <w:rPr>
                <w:rFonts w:eastAsia="Yu Mincho"/>
                <w:lang w:val="pl-PL"/>
              </w:rPr>
            </w:pPr>
          </w:p>
        </w:tc>
      </w:tr>
      <w:tr w:rsidR="00592DC1" w:rsidRPr="0070444C" w14:paraId="21FA43D4" w14:textId="77777777" w:rsidTr="005673A2">
        <w:trPr>
          <w:cantSplit/>
        </w:trPr>
        <w:tc>
          <w:tcPr>
            <w:tcW w:w="4590" w:type="dxa"/>
          </w:tcPr>
          <w:p w14:paraId="179ED702" w14:textId="77777777" w:rsidR="00592DC1" w:rsidRPr="0070444C" w:rsidRDefault="00592DC1" w:rsidP="0040007F">
            <w:pPr>
              <w:tabs>
                <w:tab w:val="left" w:pos="-720"/>
              </w:tabs>
              <w:suppressAutoHyphens/>
              <w:rPr>
                <w:b/>
                <w:lang w:val="pl-PL"/>
              </w:rPr>
            </w:pPr>
            <w:r w:rsidRPr="0070444C">
              <w:rPr>
                <w:b/>
                <w:lang w:val="pl-PL"/>
              </w:rPr>
              <w:lastRenderedPageBreak/>
              <w:t>Eesti</w:t>
            </w:r>
          </w:p>
          <w:p w14:paraId="43AB2039" w14:textId="77777777" w:rsidR="00592DC1" w:rsidRPr="0070444C" w:rsidRDefault="00592DC1" w:rsidP="00592DC1">
            <w:pPr>
              <w:rPr>
                <w:szCs w:val="22"/>
                <w:lang w:val="pl-PL"/>
              </w:rPr>
            </w:pPr>
            <w:r w:rsidRPr="0070444C">
              <w:rPr>
                <w:szCs w:val="22"/>
                <w:lang w:val="pl-PL"/>
              </w:rPr>
              <w:t>Samsung Bioepis NL B.V.</w:t>
            </w:r>
          </w:p>
          <w:p w14:paraId="170002E7" w14:textId="77777777" w:rsidR="00592DC1" w:rsidRPr="0070444C" w:rsidRDefault="00592DC1" w:rsidP="00592DC1">
            <w:pPr>
              <w:numPr>
                <w:ilvl w:val="12"/>
                <w:numId w:val="0"/>
              </w:numPr>
              <w:ind w:right="-2"/>
              <w:rPr>
                <w:lang w:val="pl-PL"/>
              </w:rPr>
            </w:pPr>
            <w:r w:rsidRPr="0070444C">
              <w:rPr>
                <w:lang w:val="pl-PL"/>
              </w:rPr>
              <w:t>Olof Palmestraat 10, 2616 LR Delft</w:t>
            </w:r>
          </w:p>
          <w:p w14:paraId="27DD8FD9" w14:textId="77777777" w:rsidR="00592DC1" w:rsidRPr="0070444C" w:rsidRDefault="00592DC1" w:rsidP="00592DC1">
            <w:pPr>
              <w:rPr>
                <w:szCs w:val="22"/>
                <w:lang w:val="pl-PL"/>
              </w:rPr>
            </w:pPr>
            <w:r w:rsidRPr="0070444C">
              <w:rPr>
                <w:szCs w:val="22"/>
                <w:lang w:val="pl-PL"/>
              </w:rPr>
              <w:t>Holland</w:t>
            </w:r>
          </w:p>
          <w:p w14:paraId="201FC8FC" w14:textId="385A0192" w:rsidR="00DE6CE3" w:rsidRPr="0070444C" w:rsidRDefault="00ED652F" w:rsidP="00592DC1">
            <w:pPr>
              <w:rPr>
                <w:lang w:val="pl-PL"/>
              </w:rPr>
            </w:pPr>
            <w:hyperlink r:id="rId28" w:history="1">
              <w:r w:rsidR="00DE6CE3" w:rsidRPr="0070444C">
                <w:rPr>
                  <w:rStyle w:val="Hyperlink"/>
                  <w:lang w:val="pl-PL"/>
                </w:rPr>
                <w:t>bioepis.mi@medinformation.co.uk</w:t>
              </w:r>
            </w:hyperlink>
          </w:p>
          <w:p w14:paraId="767C0360" w14:textId="50030D3D" w:rsidR="00DE6CE3" w:rsidRPr="0070444C" w:rsidRDefault="00DE6CE3" w:rsidP="00592DC1">
            <w:pPr>
              <w:rPr>
                <w:rFonts w:eastAsia="Yu Mincho"/>
                <w:lang w:val="pl-PL"/>
              </w:rPr>
            </w:pPr>
          </w:p>
        </w:tc>
        <w:tc>
          <w:tcPr>
            <w:tcW w:w="4590" w:type="dxa"/>
          </w:tcPr>
          <w:p w14:paraId="0E9A6134" w14:textId="77777777" w:rsidR="00592DC1" w:rsidRPr="0070444C" w:rsidRDefault="00592DC1" w:rsidP="00592DC1">
            <w:pPr>
              <w:rPr>
                <w:lang w:val="pl-PL"/>
              </w:rPr>
            </w:pPr>
            <w:r w:rsidRPr="0070444C">
              <w:rPr>
                <w:b/>
                <w:lang w:val="pl-PL"/>
              </w:rPr>
              <w:t>Norge</w:t>
            </w:r>
          </w:p>
          <w:p w14:paraId="538FCDF3" w14:textId="77777777" w:rsidR="00592DC1" w:rsidRPr="0070444C" w:rsidRDefault="00592DC1" w:rsidP="00592DC1">
            <w:pPr>
              <w:rPr>
                <w:szCs w:val="22"/>
                <w:lang w:val="pl-PL"/>
              </w:rPr>
            </w:pPr>
            <w:r w:rsidRPr="0070444C">
              <w:rPr>
                <w:szCs w:val="22"/>
                <w:lang w:val="pl-PL"/>
              </w:rPr>
              <w:t>Samsung Bioepis NL B.V.</w:t>
            </w:r>
          </w:p>
          <w:p w14:paraId="4EDCB6BF" w14:textId="77777777" w:rsidR="00592DC1" w:rsidRPr="0070444C" w:rsidRDefault="00592DC1" w:rsidP="00592DC1">
            <w:pPr>
              <w:numPr>
                <w:ilvl w:val="12"/>
                <w:numId w:val="0"/>
              </w:numPr>
              <w:ind w:right="-2"/>
              <w:rPr>
                <w:szCs w:val="22"/>
                <w:lang w:val="pl-PL"/>
              </w:rPr>
            </w:pPr>
            <w:r w:rsidRPr="0070444C">
              <w:rPr>
                <w:lang w:val="pl-PL"/>
              </w:rPr>
              <w:t>Olof Palmestraat 10, 2616 LR Delft</w:t>
            </w:r>
          </w:p>
          <w:p w14:paraId="045BA491" w14:textId="77777777" w:rsidR="00592DC1" w:rsidRPr="0070444C" w:rsidRDefault="00592DC1" w:rsidP="00592DC1">
            <w:pPr>
              <w:numPr>
                <w:ilvl w:val="12"/>
                <w:numId w:val="0"/>
              </w:numPr>
              <w:ind w:right="-2"/>
              <w:rPr>
                <w:lang w:val="pl-PL"/>
              </w:rPr>
            </w:pPr>
            <w:r w:rsidRPr="0070444C">
              <w:rPr>
                <w:lang w:val="pl-PL"/>
              </w:rPr>
              <w:t>Nederland</w:t>
            </w:r>
          </w:p>
          <w:p w14:paraId="4AFF68D4" w14:textId="3B783CAA" w:rsidR="00DE6CE3" w:rsidRPr="0070444C" w:rsidRDefault="00ED652F" w:rsidP="00592DC1">
            <w:pPr>
              <w:autoSpaceDE w:val="0"/>
              <w:autoSpaceDN w:val="0"/>
              <w:adjustRightInd w:val="0"/>
              <w:rPr>
                <w:lang w:val="pl-PL"/>
              </w:rPr>
            </w:pPr>
            <w:hyperlink r:id="rId29" w:history="1">
              <w:r w:rsidR="00DE6CE3" w:rsidRPr="0070444C">
                <w:rPr>
                  <w:rStyle w:val="Hyperlink"/>
                  <w:lang w:val="pl-PL"/>
                </w:rPr>
                <w:t>bioepis.mi@medinformation.co.uk</w:t>
              </w:r>
            </w:hyperlink>
          </w:p>
          <w:p w14:paraId="039FBBF4" w14:textId="77777777" w:rsidR="00592DC1" w:rsidRPr="0070444C" w:rsidRDefault="00592DC1" w:rsidP="00592DC1">
            <w:pPr>
              <w:rPr>
                <w:rFonts w:eastAsia="Yu Mincho"/>
                <w:lang w:val="pl-PL"/>
              </w:rPr>
            </w:pPr>
          </w:p>
        </w:tc>
      </w:tr>
      <w:tr w:rsidR="00592DC1" w:rsidRPr="0070444C" w14:paraId="07E06749" w14:textId="77777777" w:rsidTr="005673A2">
        <w:trPr>
          <w:cantSplit/>
        </w:trPr>
        <w:tc>
          <w:tcPr>
            <w:tcW w:w="4590" w:type="dxa"/>
          </w:tcPr>
          <w:p w14:paraId="4556A164" w14:textId="77777777" w:rsidR="00A2102F" w:rsidRPr="0070444C" w:rsidRDefault="008F03C9" w:rsidP="00592DC1">
            <w:pPr>
              <w:rPr>
                <w:b/>
                <w:bCs/>
                <w:szCs w:val="22"/>
                <w:lang w:val="pl-PL"/>
              </w:rPr>
            </w:pPr>
            <w:r w:rsidRPr="0070444C">
              <w:rPr>
                <w:b/>
                <w:lang w:val="pl-PL"/>
              </w:rPr>
              <w:t>Ελλάδα</w:t>
            </w:r>
            <w:r w:rsidRPr="0070444C" w:rsidDel="008F03C9">
              <w:rPr>
                <w:b/>
                <w:bCs/>
                <w:szCs w:val="22"/>
                <w:lang w:val="pl-PL"/>
              </w:rPr>
              <w:t xml:space="preserve"> </w:t>
            </w:r>
          </w:p>
          <w:p w14:paraId="1908DABC" w14:textId="1D905697" w:rsidR="00592DC1" w:rsidRPr="0070444C" w:rsidRDefault="00592DC1" w:rsidP="00592DC1">
            <w:pPr>
              <w:rPr>
                <w:lang w:val="pl-PL"/>
              </w:rPr>
            </w:pPr>
            <w:r w:rsidRPr="0070444C">
              <w:rPr>
                <w:szCs w:val="22"/>
                <w:lang w:val="pl-PL"/>
              </w:rPr>
              <w:t>Samsung Bioepis NL B.V.</w:t>
            </w:r>
          </w:p>
          <w:p w14:paraId="03BC130D" w14:textId="77777777" w:rsidR="00592DC1" w:rsidRPr="0070444C" w:rsidRDefault="00592DC1" w:rsidP="00592DC1">
            <w:pPr>
              <w:numPr>
                <w:ilvl w:val="12"/>
                <w:numId w:val="0"/>
              </w:numPr>
              <w:ind w:right="-2"/>
              <w:rPr>
                <w:szCs w:val="22"/>
                <w:lang w:val="pl-PL"/>
              </w:rPr>
            </w:pPr>
            <w:r w:rsidRPr="0070444C">
              <w:rPr>
                <w:lang w:val="pl-PL"/>
              </w:rPr>
              <w:t>Olof Palmestraat 10, 2616 LR Delft</w:t>
            </w:r>
          </w:p>
          <w:p w14:paraId="0D51959D" w14:textId="77777777" w:rsidR="00592DC1" w:rsidRPr="0070444C" w:rsidRDefault="008F03C9" w:rsidP="00592DC1">
            <w:pPr>
              <w:rPr>
                <w:lang w:val="pl-PL"/>
              </w:rPr>
            </w:pPr>
            <w:r w:rsidRPr="0070444C">
              <w:rPr>
                <w:lang w:val="pl-PL"/>
              </w:rPr>
              <w:t>Ολλανδία</w:t>
            </w:r>
          </w:p>
          <w:p w14:paraId="453E3726" w14:textId="70E00625" w:rsidR="00DE6CE3" w:rsidRPr="0070444C" w:rsidRDefault="00ED652F" w:rsidP="00592DC1">
            <w:pPr>
              <w:rPr>
                <w:lang w:val="pl-PL"/>
              </w:rPr>
            </w:pPr>
            <w:hyperlink r:id="rId30" w:history="1">
              <w:r w:rsidR="00DE6CE3" w:rsidRPr="0070444C">
                <w:rPr>
                  <w:rStyle w:val="Hyperlink"/>
                  <w:lang w:val="pl-PL"/>
                </w:rPr>
                <w:t>bioepis.mi@medinformation.co.uk</w:t>
              </w:r>
            </w:hyperlink>
          </w:p>
          <w:p w14:paraId="61338867" w14:textId="6192511A" w:rsidR="00DE6CE3" w:rsidRPr="0070444C" w:rsidRDefault="00DE6CE3" w:rsidP="00592DC1">
            <w:pPr>
              <w:rPr>
                <w:rFonts w:eastAsia="Yu Mincho"/>
                <w:lang w:val="pl-PL"/>
              </w:rPr>
            </w:pPr>
          </w:p>
        </w:tc>
        <w:tc>
          <w:tcPr>
            <w:tcW w:w="4590" w:type="dxa"/>
          </w:tcPr>
          <w:p w14:paraId="1104B77B" w14:textId="77777777" w:rsidR="00592DC1" w:rsidRPr="0070444C" w:rsidRDefault="00592DC1" w:rsidP="0040007F">
            <w:pPr>
              <w:tabs>
                <w:tab w:val="left" w:pos="-720"/>
              </w:tabs>
              <w:suppressAutoHyphens/>
              <w:rPr>
                <w:lang w:val="pl-PL"/>
              </w:rPr>
            </w:pPr>
            <w:r w:rsidRPr="0070444C">
              <w:rPr>
                <w:b/>
                <w:lang w:val="pl-PL"/>
              </w:rPr>
              <w:t>Österreich</w:t>
            </w:r>
          </w:p>
          <w:p w14:paraId="7CFF97E9" w14:textId="77777777" w:rsidR="00592DC1" w:rsidRPr="0070444C" w:rsidRDefault="00592DC1" w:rsidP="00592DC1">
            <w:pPr>
              <w:rPr>
                <w:szCs w:val="22"/>
                <w:lang w:val="pl-PL"/>
              </w:rPr>
            </w:pPr>
            <w:r w:rsidRPr="0070444C">
              <w:rPr>
                <w:szCs w:val="22"/>
                <w:lang w:val="pl-PL"/>
              </w:rPr>
              <w:t>Samsung Bioepis NL B.V.</w:t>
            </w:r>
          </w:p>
          <w:p w14:paraId="7473C89E" w14:textId="77777777" w:rsidR="00592DC1" w:rsidRPr="0070444C" w:rsidRDefault="00592DC1" w:rsidP="00592DC1">
            <w:pPr>
              <w:numPr>
                <w:ilvl w:val="12"/>
                <w:numId w:val="0"/>
              </w:numPr>
              <w:ind w:right="-2"/>
              <w:rPr>
                <w:lang w:val="pl-PL"/>
              </w:rPr>
            </w:pPr>
            <w:r w:rsidRPr="0070444C">
              <w:rPr>
                <w:lang w:val="pl-PL"/>
              </w:rPr>
              <w:t>Olof Palmestraat 10, 2616 LR Delft</w:t>
            </w:r>
          </w:p>
          <w:p w14:paraId="2DA35A0A" w14:textId="77777777" w:rsidR="00592DC1" w:rsidRPr="0070444C" w:rsidRDefault="00592DC1" w:rsidP="00592DC1">
            <w:pPr>
              <w:rPr>
                <w:rFonts w:eastAsia="TimesNewRoman"/>
                <w:szCs w:val="22"/>
                <w:lang w:val="pl-PL"/>
              </w:rPr>
            </w:pPr>
            <w:r w:rsidRPr="0070444C">
              <w:rPr>
                <w:rFonts w:eastAsia="TimesNewRoman"/>
                <w:szCs w:val="22"/>
                <w:lang w:val="pl-PL"/>
              </w:rPr>
              <w:t>Niederlande</w:t>
            </w:r>
          </w:p>
          <w:p w14:paraId="32D45AF2" w14:textId="60B089E0" w:rsidR="00DE6CE3" w:rsidRPr="0070444C" w:rsidRDefault="00ED652F" w:rsidP="00592DC1">
            <w:pPr>
              <w:rPr>
                <w:lang w:val="pl-PL"/>
              </w:rPr>
            </w:pPr>
            <w:hyperlink r:id="rId31" w:history="1">
              <w:r w:rsidR="00DE6CE3" w:rsidRPr="0070444C">
                <w:rPr>
                  <w:rStyle w:val="Hyperlink"/>
                  <w:lang w:val="pl-PL"/>
                </w:rPr>
                <w:t>bioepis.mi@medinformation.co.uk</w:t>
              </w:r>
            </w:hyperlink>
          </w:p>
          <w:p w14:paraId="18E442B9" w14:textId="26D775F1" w:rsidR="00DE6CE3" w:rsidRPr="0070444C" w:rsidRDefault="00DE6CE3" w:rsidP="00592DC1">
            <w:pPr>
              <w:rPr>
                <w:rFonts w:eastAsia="Yu Mincho"/>
                <w:lang w:val="pl-PL"/>
              </w:rPr>
            </w:pPr>
          </w:p>
        </w:tc>
      </w:tr>
      <w:tr w:rsidR="00592DC1" w:rsidRPr="0070444C" w14:paraId="5159198D" w14:textId="77777777" w:rsidTr="005673A2">
        <w:trPr>
          <w:cantSplit/>
        </w:trPr>
        <w:tc>
          <w:tcPr>
            <w:tcW w:w="4590" w:type="dxa"/>
          </w:tcPr>
          <w:p w14:paraId="46E71836" w14:textId="77777777" w:rsidR="00592DC1" w:rsidRPr="0070444C" w:rsidRDefault="00592DC1" w:rsidP="0040007F">
            <w:pPr>
              <w:keepNext/>
              <w:tabs>
                <w:tab w:val="left" w:pos="-720"/>
                <w:tab w:val="left" w:pos="4536"/>
              </w:tabs>
              <w:suppressAutoHyphens/>
              <w:rPr>
                <w:b/>
                <w:szCs w:val="22"/>
                <w:lang w:val="pl-PL"/>
              </w:rPr>
            </w:pPr>
            <w:r w:rsidRPr="0070444C">
              <w:rPr>
                <w:b/>
                <w:bCs/>
                <w:szCs w:val="22"/>
                <w:lang w:val="pl-PL"/>
              </w:rPr>
              <w:t>España</w:t>
            </w:r>
          </w:p>
          <w:p w14:paraId="2A98AE67" w14:textId="40D38835" w:rsidR="00592DC1" w:rsidRPr="0070444C" w:rsidRDefault="00DE6CE3" w:rsidP="0040007F">
            <w:pPr>
              <w:keepNext/>
              <w:rPr>
                <w:szCs w:val="22"/>
                <w:lang w:val="pl-PL"/>
              </w:rPr>
            </w:pPr>
            <w:r w:rsidRPr="0070444C">
              <w:rPr>
                <w:lang w:val="pl-PL"/>
              </w:rPr>
              <w:t xml:space="preserve">Organon Salud, S.L. </w:t>
            </w:r>
          </w:p>
          <w:p w14:paraId="223F4786" w14:textId="0A1224FF" w:rsidR="00592DC1" w:rsidRPr="0015541C" w:rsidRDefault="00592DC1" w:rsidP="00CA1882">
            <w:pPr>
              <w:keepNext/>
              <w:rPr>
                <w:szCs w:val="22"/>
                <w:lang w:val="pl-PL"/>
              </w:rPr>
            </w:pPr>
            <w:r w:rsidRPr="0015541C">
              <w:rPr>
                <w:szCs w:val="22"/>
                <w:lang w:val="pl-PL"/>
              </w:rPr>
              <w:t xml:space="preserve">Tel: +34 91 </w:t>
            </w:r>
            <w:r w:rsidR="00DE6CE3" w:rsidRPr="0070444C">
              <w:rPr>
                <w:lang w:val="pl-PL"/>
              </w:rPr>
              <w:t xml:space="preserve">591 12 79 </w:t>
            </w:r>
            <w:r w:rsidR="00DE6CE3" w:rsidRPr="0015541C" w:rsidDel="00DE6CE3">
              <w:rPr>
                <w:szCs w:val="22"/>
                <w:lang w:val="pl-PL"/>
              </w:rPr>
              <w:t xml:space="preserve"> </w:t>
            </w:r>
          </w:p>
          <w:p w14:paraId="70A7A044" w14:textId="77777777" w:rsidR="00592DC1" w:rsidRPr="0015541C" w:rsidRDefault="00592DC1" w:rsidP="00592DC1">
            <w:pPr>
              <w:rPr>
                <w:lang w:val="pl-PL"/>
              </w:rPr>
            </w:pPr>
          </w:p>
        </w:tc>
        <w:tc>
          <w:tcPr>
            <w:tcW w:w="4590" w:type="dxa"/>
          </w:tcPr>
          <w:p w14:paraId="69BC4092" w14:textId="77777777" w:rsidR="00592DC1" w:rsidRPr="0070444C" w:rsidRDefault="00592DC1" w:rsidP="0040007F">
            <w:pPr>
              <w:keepNext/>
              <w:tabs>
                <w:tab w:val="left" w:pos="-720"/>
              </w:tabs>
              <w:suppressAutoHyphens/>
              <w:rPr>
                <w:b/>
                <w:i/>
                <w:lang w:val="pl-PL"/>
              </w:rPr>
            </w:pPr>
            <w:r w:rsidRPr="00AC3958">
              <w:rPr>
                <w:b/>
                <w:bCs/>
                <w:szCs w:val="22"/>
                <w:lang w:val="pl-PL"/>
              </w:rPr>
              <w:t>Polska</w:t>
            </w:r>
          </w:p>
          <w:p w14:paraId="76060238" w14:textId="77777777" w:rsidR="00592DC1" w:rsidRPr="0015541C" w:rsidRDefault="00592DC1" w:rsidP="00592DC1">
            <w:pPr>
              <w:rPr>
                <w:szCs w:val="22"/>
                <w:lang w:val="pl-PL"/>
              </w:rPr>
            </w:pPr>
            <w:r w:rsidRPr="0015541C">
              <w:rPr>
                <w:szCs w:val="22"/>
                <w:lang w:val="pl-PL"/>
              </w:rPr>
              <w:t>Samsung Bioepis NL B.V.</w:t>
            </w:r>
          </w:p>
          <w:p w14:paraId="5F900EBC" w14:textId="77777777" w:rsidR="00592DC1" w:rsidRPr="0015541C" w:rsidRDefault="00592DC1" w:rsidP="00592DC1">
            <w:pPr>
              <w:numPr>
                <w:ilvl w:val="12"/>
                <w:numId w:val="0"/>
              </w:numPr>
              <w:ind w:right="-2"/>
              <w:rPr>
                <w:lang w:val="pl-PL"/>
              </w:rPr>
            </w:pPr>
            <w:r w:rsidRPr="0015541C">
              <w:rPr>
                <w:lang w:val="pl-PL"/>
              </w:rPr>
              <w:t>Olof Palmestraat 10, 2616 LR Delft</w:t>
            </w:r>
          </w:p>
          <w:p w14:paraId="34922DD2" w14:textId="6FA62E30" w:rsidR="00592DC1" w:rsidRPr="0015541C" w:rsidRDefault="00592DC1" w:rsidP="00592DC1">
            <w:pPr>
              <w:keepNext/>
              <w:tabs>
                <w:tab w:val="left" w:pos="-720"/>
              </w:tabs>
              <w:suppressAutoHyphens/>
              <w:rPr>
                <w:rFonts w:eastAsia="TimesNewRoman"/>
                <w:szCs w:val="22"/>
                <w:lang w:val="pl-PL"/>
              </w:rPr>
            </w:pPr>
            <w:r w:rsidRPr="0015541C">
              <w:rPr>
                <w:rFonts w:eastAsia="TimesNewRoman"/>
                <w:szCs w:val="22"/>
                <w:lang w:val="pl-PL"/>
              </w:rPr>
              <w:t>Holandia</w:t>
            </w:r>
          </w:p>
          <w:p w14:paraId="5546E325" w14:textId="415DA9B0" w:rsidR="00DE6CE3" w:rsidRPr="0015541C" w:rsidRDefault="00ED652F" w:rsidP="00592DC1">
            <w:pPr>
              <w:keepNext/>
              <w:tabs>
                <w:tab w:val="left" w:pos="-720"/>
              </w:tabs>
              <w:suppressAutoHyphens/>
              <w:rPr>
                <w:lang w:val="pl-PL"/>
              </w:rPr>
            </w:pPr>
            <w:hyperlink r:id="rId32" w:history="1">
              <w:r w:rsidR="00DE6CE3" w:rsidRPr="0015541C">
                <w:rPr>
                  <w:rStyle w:val="Hyperlink"/>
                  <w:lang w:val="pl-PL"/>
                </w:rPr>
                <w:t>bioepis.mi@medinformation.co.uk</w:t>
              </w:r>
            </w:hyperlink>
          </w:p>
          <w:p w14:paraId="66F49DDD" w14:textId="77777777" w:rsidR="00592DC1" w:rsidRPr="0015541C" w:rsidRDefault="00592DC1" w:rsidP="00592DC1">
            <w:pPr>
              <w:rPr>
                <w:lang w:val="pl-PL"/>
              </w:rPr>
            </w:pPr>
          </w:p>
        </w:tc>
      </w:tr>
      <w:tr w:rsidR="00592DC1" w:rsidRPr="008D11DD" w14:paraId="2C9978F7" w14:textId="77777777" w:rsidTr="005673A2">
        <w:trPr>
          <w:cantSplit/>
        </w:trPr>
        <w:tc>
          <w:tcPr>
            <w:tcW w:w="4590" w:type="dxa"/>
          </w:tcPr>
          <w:p w14:paraId="62361023" w14:textId="77777777" w:rsidR="00592DC1" w:rsidRPr="0070444C" w:rsidRDefault="00592DC1" w:rsidP="0040007F">
            <w:pPr>
              <w:tabs>
                <w:tab w:val="left" w:pos="-720"/>
                <w:tab w:val="left" w:pos="4536"/>
              </w:tabs>
              <w:suppressAutoHyphens/>
              <w:rPr>
                <w:b/>
                <w:lang w:val="pl-PL"/>
              </w:rPr>
            </w:pPr>
            <w:r w:rsidRPr="0015541C">
              <w:rPr>
                <w:b/>
                <w:bCs/>
                <w:szCs w:val="22"/>
                <w:lang w:val="pl-PL"/>
              </w:rPr>
              <w:t>France</w:t>
            </w:r>
          </w:p>
          <w:p w14:paraId="4F15E75B" w14:textId="2E25D391" w:rsidR="00592DC1" w:rsidRPr="0015541C" w:rsidRDefault="005077EC" w:rsidP="00592DC1">
            <w:pPr>
              <w:rPr>
                <w:szCs w:val="22"/>
                <w:lang w:val="pl-PL"/>
              </w:rPr>
            </w:pPr>
            <w:r w:rsidRPr="0015541C">
              <w:rPr>
                <w:szCs w:val="22"/>
                <w:lang w:val="pl-PL"/>
              </w:rPr>
              <w:t>Organon</w:t>
            </w:r>
            <w:r w:rsidR="00592DC1" w:rsidRPr="0015541C">
              <w:rPr>
                <w:szCs w:val="22"/>
                <w:lang w:val="pl-PL"/>
              </w:rPr>
              <w:t xml:space="preserve"> France</w:t>
            </w:r>
          </w:p>
          <w:p w14:paraId="16596354" w14:textId="7C3232D2" w:rsidR="00592DC1" w:rsidRPr="0015541C" w:rsidRDefault="00592DC1" w:rsidP="00592DC1">
            <w:pPr>
              <w:rPr>
                <w:szCs w:val="22"/>
                <w:lang w:val="pl-PL"/>
              </w:rPr>
            </w:pPr>
            <w:r w:rsidRPr="0015541C">
              <w:rPr>
                <w:szCs w:val="22"/>
                <w:lang w:val="pl-PL"/>
              </w:rPr>
              <w:t xml:space="preserve">Tél: + 33 (0) 1 </w:t>
            </w:r>
            <w:r w:rsidR="005077EC" w:rsidRPr="0015541C">
              <w:rPr>
                <w:szCs w:val="22"/>
                <w:lang w:val="pl-PL"/>
              </w:rPr>
              <w:t>57 77 32 00</w:t>
            </w:r>
          </w:p>
          <w:p w14:paraId="7E445C1D" w14:textId="77777777" w:rsidR="00592DC1" w:rsidRPr="0015541C" w:rsidRDefault="00592DC1" w:rsidP="00592DC1">
            <w:pPr>
              <w:rPr>
                <w:b/>
                <w:lang w:val="pl-PL"/>
              </w:rPr>
            </w:pPr>
          </w:p>
        </w:tc>
        <w:tc>
          <w:tcPr>
            <w:tcW w:w="4590" w:type="dxa"/>
          </w:tcPr>
          <w:p w14:paraId="1F8EB322" w14:textId="77777777" w:rsidR="00592DC1" w:rsidRPr="0070444C" w:rsidRDefault="00592DC1" w:rsidP="0040007F">
            <w:pPr>
              <w:tabs>
                <w:tab w:val="left" w:pos="-720"/>
              </w:tabs>
              <w:suppressAutoHyphens/>
              <w:rPr>
                <w:lang w:val="pl-PL"/>
              </w:rPr>
            </w:pPr>
            <w:r w:rsidRPr="0070444C">
              <w:rPr>
                <w:b/>
                <w:lang w:val="pl-PL"/>
              </w:rPr>
              <w:t>Portugal</w:t>
            </w:r>
          </w:p>
          <w:p w14:paraId="407AD6B9" w14:textId="77777777" w:rsidR="00592DC1" w:rsidRPr="0070444C" w:rsidRDefault="00592DC1" w:rsidP="00592DC1">
            <w:pPr>
              <w:rPr>
                <w:szCs w:val="22"/>
                <w:lang w:val="pl-PL"/>
              </w:rPr>
            </w:pPr>
            <w:r w:rsidRPr="0070444C">
              <w:rPr>
                <w:szCs w:val="22"/>
                <w:lang w:val="pl-PL"/>
              </w:rPr>
              <w:t>Samsung Bioepis NL B.V.</w:t>
            </w:r>
          </w:p>
          <w:p w14:paraId="438C59F6" w14:textId="77777777" w:rsidR="00592DC1" w:rsidRPr="0070444C" w:rsidRDefault="00592DC1" w:rsidP="00592DC1">
            <w:pPr>
              <w:numPr>
                <w:ilvl w:val="12"/>
                <w:numId w:val="0"/>
              </w:numPr>
              <w:ind w:right="-2"/>
              <w:rPr>
                <w:szCs w:val="22"/>
                <w:lang w:val="pl-PL"/>
              </w:rPr>
            </w:pPr>
            <w:r w:rsidRPr="0070444C">
              <w:rPr>
                <w:lang w:val="pl-PL"/>
              </w:rPr>
              <w:t>Olof Palmestraat 10, 2616 LR Delft</w:t>
            </w:r>
          </w:p>
          <w:p w14:paraId="7A641BA3" w14:textId="77777777" w:rsidR="00592DC1" w:rsidRPr="0070444C" w:rsidRDefault="00592DC1" w:rsidP="00592DC1">
            <w:pPr>
              <w:tabs>
                <w:tab w:val="left" w:pos="-720"/>
              </w:tabs>
              <w:suppressAutoHyphens/>
              <w:rPr>
                <w:szCs w:val="22"/>
                <w:lang w:val="pl-PL"/>
              </w:rPr>
            </w:pPr>
            <w:r w:rsidRPr="0070444C">
              <w:rPr>
                <w:rFonts w:eastAsia="TimesNewRoman"/>
                <w:szCs w:val="22"/>
                <w:lang w:val="pl-PL"/>
              </w:rPr>
              <w:t>Países Baixos</w:t>
            </w:r>
          </w:p>
          <w:p w14:paraId="70E784FA" w14:textId="63704D67" w:rsidR="00592DC1" w:rsidRPr="0070444C" w:rsidRDefault="00ED652F" w:rsidP="00592DC1">
            <w:pPr>
              <w:rPr>
                <w:lang w:val="pl-PL"/>
              </w:rPr>
            </w:pPr>
            <w:hyperlink r:id="rId33" w:history="1">
              <w:r w:rsidR="00DE6CE3" w:rsidRPr="0070444C">
                <w:rPr>
                  <w:rStyle w:val="Hyperlink"/>
                  <w:lang w:val="pl-PL"/>
                </w:rPr>
                <w:t>bioepis.mi@medinformation.co.uk</w:t>
              </w:r>
            </w:hyperlink>
          </w:p>
          <w:p w14:paraId="6D854448" w14:textId="274A8546" w:rsidR="00DE6CE3" w:rsidRPr="0070444C" w:rsidRDefault="00DE6CE3" w:rsidP="00592DC1">
            <w:pPr>
              <w:rPr>
                <w:rFonts w:eastAsia="Yu Mincho"/>
                <w:lang w:val="pl-PL"/>
              </w:rPr>
            </w:pPr>
          </w:p>
        </w:tc>
      </w:tr>
      <w:tr w:rsidR="00592DC1" w:rsidRPr="0070444C" w14:paraId="64387370" w14:textId="77777777" w:rsidTr="005673A2">
        <w:trPr>
          <w:cantSplit/>
        </w:trPr>
        <w:tc>
          <w:tcPr>
            <w:tcW w:w="4590" w:type="dxa"/>
          </w:tcPr>
          <w:p w14:paraId="16C26A7C" w14:textId="77777777" w:rsidR="00592DC1" w:rsidRPr="0070444C" w:rsidRDefault="00592DC1" w:rsidP="00592DC1">
            <w:pPr>
              <w:rPr>
                <w:lang w:val="pl-PL"/>
              </w:rPr>
            </w:pPr>
            <w:r w:rsidRPr="0070444C">
              <w:rPr>
                <w:szCs w:val="22"/>
                <w:lang w:val="pl-PL"/>
              </w:rPr>
              <w:br w:type="page"/>
            </w:r>
            <w:r w:rsidRPr="0070444C">
              <w:rPr>
                <w:b/>
                <w:lang w:val="pl-PL"/>
              </w:rPr>
              <w:t>Hrvatska</w:t>
            </w:r>
          </w:p>
          <w:p w14:paraId="3B7BC6DA" w14:textId="77777777" w:rsidR="00592DC1" w:rsidRPr="0070444C" w:rsidRDefault="00592DC1" w:rsidP="00592DC1">
            <w:pPr>
              <w:rPr>
                <w:szCs w:val="22"/>
                <w:lang w:val="pl-PL"/>
              </w:rPr>
            </w:pPr>
            <w:r w:rsidRPr="0070444C">
              <w:rPr>
                <w:szCs w:val="22"/>
                <w:lang w:val="pl-PL"/>
              </w:rPr>
              <w:t>Samsung Bioepis NL B.V.</w:t>
            </w:r>
          </w:p>
          <w:p w14:paraId="16886EB1" w14:textId="77777777" w:rsidR="00592DC1" w:rsidRPr="0070444C" w:rsidRDefault="00592DC1" w:rsidP="00592DC1">
            <w:pPr>
              <w:numPr>
                <w:ilvl w:val="12"/>
                <w:numId w:val="0"/>
              </w:numPr>
              <w:ind w:right="-2"/>
              <w:rPr>
                <w:szCs w:val="22"/>
                <w:lang w:val="pl-PL"/>
              </w:rPr>
            </w:pPr>
            <w:r w:rsidRPr="0070444C">
              <w:rPr>
                <w:lang w:val="pl-PL"/>
              </w:rPr>
              <w:t>Olof Palmestraat 10, 2616 LR Delft</w:t>
            </w:r>
          </w:p>
          <w:p w14:paraId="0B0B3972" w14:textId="66565583" w:rsidR="00592DC1" w:rsidRPr="0070444C" w:rsidRDefault="008F03C9" w:rsidP="00592DC1">
            <w:pPr>
              <w:tabs>
                <w:tab w:val="left" w:pos="-720"/>
              </w:tabs>
              <w:suppressAutoHyphens/>
              <w:rPr>
                <w:lang w:val="pl-PL"/>
              </w:rPr>
            </w:pPr>
            <w:r w:rsidRPr="0070444C">
              <w:rPr>
                <w:lang w:val="pl-PL"/>
              </w:rPr>
              <w:t>Nizozemska</w:t>
            </w:r>
          </w:p>
          <w:p w14:paraId="191B6E6A" w14:textId="35F6A4DB" w:rsidR="00DE6CE3" w:rsidRPr="0070444C" w:rsidRDefault="00ED652F" w:rsidP="00592DC1">
            <w:pPr>
              <w:tabs>
                <w:tab w:val="left" w:pos="-720"/>
              </w:tabs>
              <w:suppressAutoHyphens/>
              <w:rPr>
                <w:lang w:val="pl-PL"/>
              </w:rPr>
            </w:pPr>
            <w:hyperlink r:id="rId34" w:history="1">
              <w:r w:rsidR="00DE6CE3" w:rsidRPr="0070444C">
                <w:rPr>
                  <w:rStyle w:val="Hyperlink"/>
                  <w:lang w:val="pl-PL"/>
                </w:rPr>
                <w:t>bioepis.mi@medinformation.co.uk</w:t>
              </w:r>
            </w:hyperlink>
          </w:p>
          <w:p w14:paraId="48A78648" w14:textId="77777777" w:rsidR="001535A2" w:rsidRPr="0070444C" w:rsidRDefault="001535A2" w:rsidP="00592DC1">
            <w:pPr>
              <w:tabs>
                <w:tab w:val="left" w:pos="-720"/>
              </w:tabs>
              <w:suppressAutoHyphens/>
              <w:rPr>
                <w:rFonts w:eastAsia="Yu Mincho"/>
                <w:szCs w:val="22"/>
                <w:lang w:val="pl-PL"/>
              </w:rPr>
            </w:pPr>
          </w:p>
          <w:p w14:paraId="5DD75704" w14:textId="77777777" w:rsidR="00592DC1" w:rsidRPr="0070444C" w:rsidRDefault="00592DC1" w:rsidP="00592DC1">
            <w:pPr>
              <w:rPr>
                <w:szCs w:val="22"/>
                <w:lang w:val="pl-PL"/>
              </w:rPr>
            </w:pPr>
            <w:r w:rsidRPr="0070444C">
              <w:rPr>
                <w:b/>
                <w:lang w:val="pl-PL"/>
              </w:rPr>
              <w:t>Ireland</w:t>
            </w:r>
          </w:p>
          <w:p w14:paraId="29320CA5" w14:textId="77777777" w:rsidR="00592DC1" w:rsidRPr="0070444C" w:rsidRDefault="00592DC1" w:rsidP="00592DC1">
            <w:pPr>
              <w:rPr>
                <w:szCs w:val="22"/>
                <w:lang w:val="pl-PL"/>
              </w:rPr>
            </w:pPr>
            <w:r w:rsidRPr="0070444C">
              <w:rPr>
                <w:szCs w:val="22"/>
                <w:lang w:val="pl-PL"/>
              </w:rPr>
              <w:t>Samsung Bioepis NL B.V.</w:t>
            </w:r>
          </w:p>
          <w:p w14:paraId="001BE7C4" w14:textId="77777777" w:rsidR="00592DC1" w:rsidRPr="0015541C" w:rsidRDefault="00592DC1" w:rsidP="00592DC1">
            <w:pPr>
              <w:numPr>
                <w:ilvl w:val="12"/>
                <w:numId w:val="0"/>
              </w:numPr>
              <w:ind w:right="-2"/>
              <w:rPr>
                <w:lang w:val="pl-PL"/>
              </w:rPr>
            </w:pPr>
            <w:r w:rsidRPr="0015541C">
              <w:rPr>
                <w:lang w:val="pl-PL"/>
              </w:rPr>
              <w:t>Olof Palmestraat 10, 2616 LR Delft</w:t>
            </w:r>
          </w:p>
          <w:p w14:paraId="49970B2A" w14:textId="77777777" w:rsidR="00592DC1" w:rsidRPr="00AC3958" w:rsidRDefault="00592DC1" w:rsidP="00592DC1">
            <w:pPr>
              <w:tabs>
                <w:tab w:val="left" w:pos="-720"/>
              </w:tabs>
              <w:suppressAutoHyphens/>
              <w:rPr>
                <w:szCs w:val="22"/>
                <w:lang w:val="pl-PL"/>
              </w:rPr>
            </w:pPr>
            <w:r w:rsidRPr="0015541C">
              <w:rPr>
                <w:rFonts w:eastAsia="TimesNewRoman"/>
                <w:szCs w:val="22"/>
                <w:lang w:val="pl-PL"/>
              </w:rPr>
              <w:t>Netherlands</w:t>
            </w:r>
          </w:p>
          <w:p w14:paraId="1C86D2E0" w14:textId="7001C0CB" w:rsidR="00592DC1" w:rsidRPr="0015541C" w:rsidRDefault="00ED652F" w:rsidP="00592DC1">
            <w:pPr>
              <w:rPr>
                <w:lang w:val="pl-PL"/>
              </w:rPr>
            </w:pPr>
            <w:hyperlink r:id="rId35" w:history="1">
              <w:r w:rsidR="00DE6CE3" w:rsidRPr="0015541C">
                <w:rPr>
                  <w:rStyle w:val="Hyperlink"/>
                  <w:lang w:val="pl-PL"/>
                </w:rPr>
                <w:t>bioepis.mi@medinformation.co.uk</w:t>
              </w:r>
            </w:hyperlink>
          </w:p>
          <w:p w14:paraId="4294369B" w14:textId="07B09668" w:rsidR="00DE6CE3" w:rsidRPr="0015541C" w:rsidRDefault="00DE6CE3" w:rsidP="00592DC1">
            <w:pPr>
              <w:rPr>
                <w:rFonts w:eastAsia="Yu Mincho"/>
                <w:b/>
                <w:lang w:val="pl-PL"/>
              </w:rPr>
            </w:pPr>
          </w:p>
        </w:tc>
        <w:tc>
          <w:tcPr>
            <w:tcW w:w="4590" w:type="dxa"/>
          </w:tcPr>
          <w:p w14:paraId="4AFFB332" w14:textId="77777777" w:rsidR="00592DC1" w:rsidRPr="0070444C" w:rsidRDefault="00592DC1" w:rsidP="0040007F">
            <w:pPr>
              <w:tabs>
                <w:tab w:val="left" w:pos="-720"/>
              </w:tabs>
              <w:suppressAutoHyphens/>
              <w:rPr>
                <w:b/>
                <w:lang w:val="pl-PL"/>
              </w:rPr>
            </w:pPr>
            <w:r w:rsidRPr="0070444C">
              <w:rPr>
                <w:b/>
                <w:lang w:val="pl-PL"/>
              </w:rPr>
              <w:t>România</w:t>
            </w:r>
          </w:p>
          <w:p w14:paraId="4E8A6BAA" w14:textId="77777777" w:rsidR="00592DC1" w:rsidRPr="0015541C" w:rsidRDefault="00592DC1" w:rsidP="00592DC1">
            <w:pPr>
              <w:rPr>
                <w:szCs w:val="22"/>
                <w:lang w:val="pl-PL"/>
              </w:rPr>
            </w:pPr>
            <w:r w:rsidRPr="0015541C">
              <w:rPr>
                <w:szCs w:val="22"/>
                <w:lang w:val="pl-PL"/>
              </w:rPr>
              <w:t>Samsung Bioepis NL B.V.</w:t>
            </w:r>
          </w:p>
          <w:p w14:paraId="2F51452E" w14:textId="77777777" w:rsidR="00592DC1" w:rsidRPr="0015541C" w:rsidRDefault="00592DC1" w:rsidP="00592DC1">
            <w:pPr>
              <w:numPr>
                <w:ilvl w:val="12"/>
                <w:numId w:val="0"/>
              </w:numPr>
              <w:ind w:right="-2"/>
              <w:rPr>
                <w:lang w:val="pl-PL"/>
              </w:rPr>
            </w:pPr>
            <w:r w:rsidRPr="0015541C">
              <w:rPr>
                <w:lang w:val="pl-PL"/>
              </w:rPr>
              <w:t>Olof Palmestraat 10, 2616 LR Delft</w:t>
            </w:r>
          </w:p>
          <w:p w14:paraId="5BD7C92E" w14:textId="11D054C0" w:rsidR="00592DC1" w:rsidRPr="0070444C" w:rsidRDefault="00592DC1" w:rsidP="00592DC1">
            <w:pPr>
              <w:rPr>
                <w:rFonts w:eastAsia="TimesNewRoman"/>
                <w:szCs w:val="22"/>
                <w:lang w:val="pl-PL"/>
              </w:rPr>
            </w:pPr>
            <w:r w:rsidRPr="0070444C">
              <w:rPr>
                <w:rFonts w:eastAsia="TimesNewRoman"/>
                <w:szCs w:val="22"/>
                <w:lang w:val="pl-PL"/>
              </w:rPr>
              <w:t>Olanda</w:t>
            </w:r>
          </w:p>
          <w:p w14:paraId="0050016D" w14:textId="374E31B8" w:rsidR="00DE6CE3" w:rsidRPr="0070444C" w:rsidRDefault="00ED652F" w:rsidP="00592DC1">
            <w:pPr>
              <w:rPr>
                <w:lang w:val="pl-PL"/>
              </w:rPr>
            </w:pPr>
            <w:hyperlink r:id="rId36" w:history="1">
              <w:r w:rsidR="00DE6CE3" w:rsidRPr="0070444C">
                <w:rPr>
                  <w:rStyle w:val="Hyperlink"/>
                  <w:lang w:val="pl-PL"/>
                </w:rPr>
                <w:t>bioepis.mi@medinformation.co.uk</w:t>
              </w:r>
            </w:hyperlink>
          </w:p>
          <w:p w14:paraId="004DD0E4" w14:textId="77777777" w:rsidR="00592DC1" w:rsidRPr="0070444C" w:rsidRDefault="00592DC1" w:rsidP="00592DC1">
            <w:pPr>
              <w:rPr>
                <w:b/>
                <w:szCs w:val="22"/>
                <w:lang w:val="pl-PL"/>
              </w:rPr>
            </w:pPr>
          </w:p>
          <w:p w14:paraId="445372E0" w14:textId="77777777" w:rsidR="00592DC1" w:rsidRPr="0070444C" w:rsidRDefault="00592DC1" w:rsidP="00592DC1">
            <w:pPr>
              <w:rPr>
                <w:lang w:val="pl-PL"/>
              </w:rPr>
            </w:pPr>
            <w:r w:rsidRPr="0070444C">
              <w:rPr>
                <w:b/>
                <w:bCs/>
                <w:szCs w:val="22"/>
                <w:lang w:val="pl-PL"/>
              </w:rPr>
              <w:t>Slovenija</w:t>
            </w:r>
          </w:p>
          <w:p w14:paraId="506AD01F" w14:textId="77777777" w:rsidR="00592DC1" w:rsidRPr="0070444C" w:rsidRDefault="00592DC1" w:rsidP="00592DC1">
            <w:pPr>
              <w:rPr>
                <w:szCs w:val="22"/>
                <w:lang w:val="pl-PL"/>
              </w:rPr>
            </w:pPr>
            <w:r w:rsidRPr="0070444C">
              <w:rPr>
                <w:szCs w:val="22"/>
                <w:lang w:val="pl-PL"/>
              </w:rPr>
              <w:t>Samsung Bioepis NL B.V.</w:t>
            </w:r>
          </w:p>
          <w:p w14:paraId="2CBF07D6" w14:textId="77777777" w:rsidR="00592DC1" w:rsidRPr="0015541C" w:rsidRDefault="00592DC1" w:rsidP="00592DC1">
            <w:pPr>
              <w:numPr>
                <w:ilvl w:val="12"/>
                <w:numId w:val="0"/>
              </w:numPr>
              <w:ind w:right="-2"/>
              <w:rPr>
                <w:lang w:val="pl-PL"/>
              </w:rPr>
            </w:pPr>
            <w:r w:rsidRPr="0015541C">
              <w:rPr>
                <w:lang w:val="pl-PL"/>
              </w:rPr>
              <w:t>Olof Palmestraat 10, 2616 LR Delft</w:t>
            </w:r>
          </w:p>
          <w:p w14:paraId="379C56AA" w14:textId="77777777" w:rsidR="00592DC1" w:rsidRPr="00AC3958" w:rsidRDefault="00592DC1" w:rsidP="00592DC1">
            <w:pPr>
              <w:tabs>
                <w:tab w:val="left" w:pos="-720"/>
              </w:tabs>
              <w:suppressAutoHyphens/>
              <w:rPr>
                <w:szCs w:val="22"/>
                <w:lang w:val="pl-PL"/>
              </w:rPr>
            </w:pPr>
            <w:r w:rsidRPr="0015541C">
              <w:rPr>
                <w:rFonts w:eastAsia="TimesNewRoman"/>
                <w:szCs w:val="22"/>
                <w:lang w:val="pl-PL"/>
              </w:rPr>
              <w:t>Nizozemska</w:t>
            </w:r>
          </w:p>
          <w:p w14:paraId="5A67C00C" w14:textId="4E75BAA9" w:rsidR="00592DC1" w:rsidRPr="0015541C" w:rsidRDefault="00ED652F" w:rsidP="00592DC1">
            <w:pPr>
              <w:rPr>
                <w:lang w:val="pl-PL"/>
              </w:rPr>
            </w:pPr>
            <w:hyperlink r:id="rId37" w:history="1">
              <w:r w:rsidR="00DE6CE3" w:rsidRPr="0015541C">
                <w:rPr>
                  <w:rStyle w:val="Hyperlink"/>
                  <w:lang w:val="pl-PL"/>
                </w:rPr>
                <w:t>bioepis.mi@medinformation.co.uk</w:t>
              </w:r>
            </w:hyperlink>
          </w:p>
          <w:p w14:paraId="03B57AE6" w14:textId="08B31CE2" w:rsidR="00DE6CE3" w:rsidRPr="0015541C" w:rsidRDefault="00DE6CE3" w:rsidP="00592DC1">
            <w:pPr>
              <w:rPr>
                <w:rFonts w:eastAsia="Yu Mincho"/>
                <w:b/>
                <w:lang w:val="pl-PL"/>
              </w:rPr>
            </w:pPr>
          </w:p>
        </w:tc>
      </w:tr>
      <w:tr w:rsidR="00592DC1" w:rsidRPr="0070444C" w14:paraId="74DCFA88" w14:textId="77777777" w:rsidTr="005673A2">
        <w:trPr>
          <w:cantSplit/>
        </w:trPr>
        <w:tc>
          <w:tcPr>
            <w:tcW w:w="4590" w:type="dxa"/>
          </w:tcPr>
          <w:p w14:paraId="64B17E21" w14:textId="77777777" w:rsidR="00592DC1" w:rsidRPr="0070444C" w:rsidRDefault="00592DC1" w:rsidP="00592DC1">
            <w:pPr>
              <w:rPr>
                <w:b/>
                <w:szCs w:val="22"/>
                <w:lang w:val="pl-PL"/>
              </w:rPr>
            </w:pPr>
            <w:r w:rsidRPr="0070444C">
              <w:rPr>
                <w:b/>
                <w:bCs/>
                <w:szCs w:val="22"/>
                <w:lang w:val="pl-PL"/>
              </w:rPr>
              <w:t>Ísland</w:t>
            </w:r>
          </w:p>
          <w:p w14:paraId="0840AE27" w14:textId="77777777" w:rsidR="00592DC1" w:rsidRPr="0070444C" w:rsidRDefault="00592DC1" w:rsidP="00592DC1">
            <w:pPr>
              <w:rPr>
                <w:szCs w:val="22"/>
                <w:lang w:val="pl-PL"/>
              </w:rPr>
            </w:pPr>
            <w:r w:rsidRPr="0070444C">
              <w:rPr>
                <w:szCs w:val="22"/>
                <w:lang w:val="pl-PL"/>
              </w:rPr>
              <w:t>Samsung Bioepis NL B.V.</w:t>
            </w:r>
          </w:p>
          <w:p w14:paraId="3465D2CE" w14:textId="77777777" w:rsidR="00592DC1" w:rsidRPr="0070444C" w:rsidRDefault="00592DC1" w:rsidP="00592DC1">
            <w:pPr>
              <w:numPr>
                <w:ilvl w:val="12"/>
                <w:numId w:val="0"/>
              </w:numPr>
              <w:ind w:right="-2"/>
              <w:rPr>
                <w:lang w:val="pl-PL"/>
              </w:rPr>
            </w:pPr>
            <w:r w:rsidRPr="0070444C">
              <w:rPr>
                <w:lang w:val="pl-PL"/>
              </w:rPr>
              <w:t>Olof Palmestraat 10, 2616 LR Delft</w:t>
            </w:r>
          </w:p>
          <w:p w14:paraId="66079178" w14:textId="77777777" w:rsidR="00592DC1" w:rsidRPr="0070444C" w:rsidRDefault="00592DC1" w:rsidP="00592DC1">
            <w:pPr>
              <w:rPr>
                <w:rFonts w:eastAsia="TimesNewRoman"/>
                <w:szCs w:val="22"/>
                <w:lang w:val="pl-PL"/>
              </w:rPr>
            </w:pPr>
            <w:r w:rsidRPr="0070444C">
              <w:rPr>
                <w:rFonts w:eastAsia="TimesNewRoman"/>
                <w:szCs w:val="22"/>
                <w:lang w:val="pl-PL"/>
              </w:rPr>
              <w:t>Holland</w:t>
            </w:r>
          </w:p>
          <w:p w14:paraId="6C38D4DF" w14:textId="46C94D34" w:rsidR="00DE6CE3" w:rsidRPr="0070444C" w:rsidRDefault="00ED652F" w:rsidP="00592DC1">
            <w:pPr>
              <w:rPr>
                <w:lang w:val="pl-PL"/>
              </w:rPr>
            </w:pPr>
            <w:hyperlink r:id="rId38" w:history="1">
              <w:r w:rsidR="00DE6CE3" w:rsidRPr="0070444C">
                <w:rPr>
                  <w:rStyle w:val="Hyperlink"/>
                  <w:lang w:val="pl-PL"/>
                </w:rPr>
                <w:t>bioepis.mi@medinformation.co.uk</w:t>
              </w:r>
            </w:hyperlink>
          </w:p>
          <w:p w14:paraId="4154EAFF" w14:textId="73FDD748" w:rsidR="00DE6CE3" w:rsidRPr="0070444C" w:rsidRDefault="00DE6CE3" w:rsidP="00592DC1">
            <w:pPr>
              <w:rPr>
                <w:rFonts w:eastAsia="Yu Mincho"/>
                <w:lang w:val="pl-PL"/>
              </w:rPr>
            </w:pPr>
          </w:p>
        </w:tc>
        <w:tc>
          <w:tcPr>
            <w:tcW w:w="4590" w:type="dxa"/>
          </w:tcPr>
          <w:p w14:paraId="71C82162" w14:textId="77777777" w:rsidR="00592DC1" w:rsidRPr="0070444C" w:rsidRDefault="00592DC1" w:rsidP="00592DC1">
            <w:pPr>
              <w:tabs>
                <w:tab w:val="left" w:pos="-720"/>
              </w:tabs>
              <w:suppressAutoHyphens/>
              <w:rPr>
                <w:b/>
                <w:szCs w:val="22"/>
                <w:lang w:val="pl-PL"/>
              </w:rPr>
            </w:pPr>
            <w:r w:rsidRPr="0070444C">
              <w:rPr>
                <w:b/>
                <w:lang w:val="pl-PL"/>
              </w:rPr>
              <w:t>Slovenská republika</w:t>
            </w:r>
          </w:p>
          <w:p w14:paraId="25B5AA42" w14:textId="77777777" w:rsidR="00592DC1" w:rsidRPr="0070444C" w:rsidRDefault="00592DC1" w:rsidP="00592DC1">
            <w:pPr>
              <w:rPr>
                <w:szCs w:val="22"/>
                <w:lang w:val="pl-PL"/>
              </w:rPr>
            </w:pPr>
            <w:r w:rsidRPr="0070444C">
              <w:rPr>
                <w:szCs w:val="22"/>
                <w:lang w:val="pl-PL"/>
              </w:rPr>
              <w:t>Samsung Bioepis NL B.V.</w:t>
            </w:r>
          </w:p>
          <w:p w14:paraId="455170FB" w14:textId="77777777" w:rsidR="00592DC1" w:rsidRPr="0015541C" w:rsidRDefault="00592DC1" w:rsidP="00592DC1">
            <w:pPr>
              <w:numPr>
                <w:ilvl w:val="12"/>
                <w:numId w:val="0"/>
              </w:numPr>
              <w:ind w:right="-2"/>
              <w:rPr>
                <w:lang w:val="pl-PL"/>
              </w:rPr>
            </w:pPr>
            <w:r w:rsidRPr="0015541C">
              <w:rPr>
                <w:lang w:val="pl-PL"/>
              </w:rPr>
              <w:t>Olof Palmestraat 10, 2616 LR Delft</w:t>
            </w:r>
          </w:p>
          <w:p w14:paraId="60682034" w14:textId="77777777" w:rsidR="00592DC1" w:rsidRPr="00AC3958" w:rsidRDefault="00592DC1" w:rsidP="00592DC1">
            <w:pPr>
              <w:autoSpaceDE w:val="0"/>
              <w:autoSpaceDN w:val="0"/>
              <w:adjustRightInd w:val="0"/>
              <w:rPr>
                <w:rFonts w:eastAsia="TimesNewRoman"/>
                <w:szCs w:val="22"/>
                <w:lang w:val="pl-PL"/>
              </w:rPr>
            </w:pPr>
            <w:r w:rsidRPr="0015541C">
              <w:rPr>
                <w:rFonts w:eastAsia="TimesNewRoman"/>
                <w:szCs w:val="22"/>
                <w:lang w:val="pl-PL"/>
              </w:rPr>
              <w:t>Holandsko</w:t>
            </w:r>
          </w:p>
          <w:p w14:paraId="5BA20DD2" w14:textId="240F3537" w:rsidR="00592DC1" w:rsidRPr="0015541C" w:rsidRDefault="00ED652F" w:rsidP="00592DC1">
            <w:pPr>
              <w:rPr>
                <w:lang w:val="pl-PL"/>
              </w:rPr>
            </w:pPr>
            <w:hyperlink r:id="rId39" w:history="1">
              <w:r w:rsidR="00DE6CE3" w:rsidRPr="0015541C">
                <w:rPr>
                  <w:rStyle w:val="Hyperlink"/>
                  <w:lang w:val="pl-PL"/>
                </w:rPr>
                <w:t>bioepis.mi@medinformation.co.uk</w:t>
              </w:r>
            </w:hyperlink>
          </w:p>
          <w:p w14:paraId="15A84EA0" w14:textId="494AF4E7" w:rsidR="00DE6CE3" w:rsidRPr="0015541C" w:rsidRDefault="00DE6CE3" w:rsidP="00592DC1">
            <w:pPr>
              <w:rPr>
                <w:rFonts w:eastAsia="Yu Mincho"/>
                <w:lang w:val="pl-PL"/>
              </w:rPr>
            </w:pPr>
          </w:p>
        </w:tc>
      </w:tr>
      <w:tr w:rsidR="00592DC1" w:rsidRPr="008D11DD" w14:paraId="6D7E75CA" w14:textId="77777777" w:rsidTr="005673A2">
        <w:trPr>
          <w:cantSplit/>
        </w:trPr>
        <w:tc>
          <w:tcPr>
            <w:tcW w:w="4590" w:type="dxa"/>
          </w:tcPr>
          <w:p w14:paraId="5C842C44" w14:textId="77777777" w:rsidR="00592DC1" w:rsidRPr="0070444C" w:rsidRDefault="00592DC1" w:rsidP="00592DC1">
            <w:pPr>
              <w:rPr>
                <w:lang w:val="pl-PL"/>
              </w:rPr>
            </w:pPr>
            <w:r w:rsidRPr="0070444C">
              <w:rPr>
                <w:b/>
                <w:lang w:val="pl-PL"/>
              </w:rPr>
              <w:t>Italia</w:t>
            </w:r>
          </w:p>
          <w:p w14:paraId="55A30617" w14:textId="2CD497A1" w:rsidR="00592DC1" w:rsidRPr="0070444C" w:rsidRDefault="005077EC" w:rsidP="00592DC1">
            <w:pPr>
              <w:autoSpaceDE w:val="0"/>
              <w:autoSpaceDN w:val="0"/>
              <w:adjustRightInd w:val="0"/>
              <w:rPr>
                <w:rFonts w:eastAsia="TimesNewRoman"/>
                <w:szCs w:val="22"/>
                <w:lang w:val="pl-PL"/>
              </w:rPr>
            </w:pPr>
            <w:r w:rsidRPr="0070444C">
              <w:rPr>
                <w:rFonts w:eastAsia="TimesNewRoman"/>
                <w:szCs w:val="22"/>
                <w:lang w:val="pl-PL"/>
              </w:rPr>
              <w:t>Organon</w:t>
            </w:r>
            <w:r w:rsidR="00592DC1" w:rsidRPr="0070444C">
              <w:rPr>
                <w:rFonts w:eastAsia="TimesNewRoman"/>
                <w:szCs w:val="22"/>
                <w:lang w:val="pl-PL"/>
              </w:rPr>
              <w:t xml:space="preserve"> Italia S.r.l.</w:t>
            </w:r>
          </w:p>
          <w:p w14:paraId="6A2D94F1" w14:textId="21BD10A5" w:rsidR="00592DC1" w:rsidRPr="0015541C" w:rsidRDefault="00592DC1" w:rsidP="00592DC1">
            <w:pPr>
              <w:autoSpaceDE w:val="0"/>
              <w:autoSpaceDN w:val="0"/>
              <w:adjustRightInd w:val="0"/>
              <w:rPr>
                <w:rFonts w:eastAsia="TimesNewRoman"/>
                <w:szCs w:val="22"/>
                <w:lang w:val="pl-PL"/>
              </w:rPr>
            </w:pPr>
            <w:r w:rsidRPr="0015541C">
              <w:rPr>
                <w:rFonts w:eastAsia="TimesNewRoman"/>
                <w:szCs w:val="22"/>
                <w:lang w:val="pl-PL"/>
              </w:rPr>
              <w:t xml:space="preserve">Tel: +39 06 </w:t>
            </w:r>
            <w:r w:rsidR="00526A6D">
              <w:rPr>
                <w:rFonts w:eastAsia="TimesNewRoman"/>
                <w:szCs w:val="22"/>
                <w:lang w:val="it-IT"/>
              </w:rPr>
              <w:t>90259059</w:t>
            </w:r>
          </w:p>
          <w:p w14:paraId="34401319" w14:textId="77777777" w:rsidR="00592DC1" w:rsidRPr="00AC3958" w:rsidRDefault="00592DC1" w:rsidP="00FC0812">
            <w:pPr>
              <w:rPr>
                <w:b/>
                <w:lang w:val="pl-PL"/>
              </w:rPr>
            </w:pPr>
          </w:p>
        </w:tc>
        <w:tc>
          <w:tcPr>
            <w:tcW w:w="4590" w:type="dxa"/>
          </w:tcPr>
          <w:p w14:paraId="1929871E" w14:textId="77777777" w:rsidR="00592DC1" w:rsidRPr="0070444C" w:rsidRDefault="00592DC1" w:rsidP="0040007F">
            <w:pPr>
              <w:tabs>
                <w:tab w:val="left" w:pos="-720"/>
                <w:tab w:val="left" w:pos="4536"/>
              </w:tabs>
              <w:suppressAutoHyphens/>
              <w:rPr>
                <w:lang w:val="pl-PL"/>
              </w:rPr>
            </w:pPr>
            <w:r w:rsidRPr="0070444C">
              <w:rPr>
                <w:b/>
                <w:lang w:val="pl-PL"/>
              </w:rPr>
              <w:t>Suomi/Finland</w:t>
            </w:r>
          </w:p>
          <w:p w14:paraId="693145FD" w14:textId="77777777" w:rsidR="00592DC1" w:rsidRPr="0015541C" w:rsidRDefault="00592DC1" w:rsidP="00592DC1">
            <w:pPr>
              <w:rPr>
                <w:szCs w:val="22"/>
                <w:lang w:val="pl-PL"/>
              </w:rPr>
            </w:pPr>
            <w:r w:rsidRPr="0015541C">
              <w:rPr>
                <w:szCs w:val="22"/>
                <w:lang w:val="pl-PL"/>
              </w:rPr>
              <w:t>Samsung Bioepis NL B.V.</w:t>
            </w:r>
          </w:p>
          <w:p w14:paraId="2256EEAD" w14:textId="77777777" w:rsidR="00592DC1" w:rsidRPr="0015541C" w:rsidRDefault="00592DC1" w:rsidP="00592DC1">
            <w:pPr>
              <w:numPr>
                <w:ilvl w:val="12"/>
                <w:numId w:val="0"/>
              </w:numPr>
              <w:ind w:right="-2"/>
              <w:rPr>
                <w:lang w:val="pl-PL"/>
              </w:rPr>
            </w:pPr>
            <w:r w:rsidRPr="0015541C">
              <w:rPr>
                <w:lang w:val="pl-PL"/>
              </w:rPr>
              <w:t>Olof Palmestraat 10, 2616 LR Delft</w:t>
            </w:r>
          </w:p>
          <w:p w14:paraId="278DCAC2" w14:textId="77777777" w:rsidR="00592DC1" w:rsidRPr="0015541C" w:rsidRDefault="008F03C9" w:rsidP="00592DC1">
            <w:pPr>
              <w:rPr>
                <w:szCs w:val="22"/>
                <w:lang w:val="pl-PL"/>
              </w:rPr>
            </w:pPr>
            <w:r w:rsidRPr="0015541C">
              <w:rPr>
                <w:lang w:val="pl-PL"/>
              </w:rPr>
              <w:t>Alankomaat</w:t>
            </w:r>
            <w:r w:rsidR="00592DC1" w:rsidRPr="0015541C">
              <w:rPr>
                <w:szCs w:val="22"/>
                <w:lang w:val="pl-PL"/>
              </w:rPr>
              <w:t>/Nederländerna</w:t>
            </w:r>
          </w:p>
          <w:p w14:paraId="15F01F15" w14:textId="49283F33" w:rsidR="00DE6CE3" w:rsidRPr="0015541C" w:rsidRDefault="00ED652F" w:rsidP="00592DC1">
            <w:pPr>
              <w:rPr>
                <w:lang w:val="pl-PL"/>
              </w:rPr>
            </w:pPr>
            <w:hyperlink r:id="rId40" w:history="1">
              <w:r w:rsidR="00DE6CE3" w:rsidRPr="0015541C">
                <w:rPr>
                  <w:rStyle w:val="Hyperlink"/>
                  <w:lang w:val="pl-PL"/>
                </w:rPr>
                <w:t>bioepis.mi@medinformation.co.uk</w:t>
              </w:r>
            </w:hyperlink>
          </w:p>
          <w:p w14:paraId="7C0F2EAC" w14:textId="457E3626" w:rsidR="00DE6CE3" w:rsidRPr="0015541C" w:rsidRDefault="00DE6CE3" w:rsidP="00592DC1">
            <w:pPr>
              <w:rPr>
                <w:rFonts w:eastAsia="Yu Mincho"/>
                <w:b/>
                <w:lang w:val="pl-PL"/>
              </w:rPr>
            </w:pPr>
          </w:p>
        </w:tc>
      </w:tr>
      <w:tr w:rsidR="00592DC1" w:rsidRPr="0070444C" w14:paraId="0C07D516" w14:textId="77777777" w:rsidTr="005673A2">
        <w:trPr>
          <w:cantSplit/>
        </w:trPr>
        <w:tc>
          <w:tcPr>
            <w:tcW w:w="4590" w:type="dxa"/>
          </w:tcPr>
          <w:p w14:paraId="2779C996" w14:textId="77777777" w:rsidR="00592DC1" w:rsidRPr="0015541C" w:rsidRDefault="00592DC1" w:rsidP="00592DC1">
            <w:pPr>
              <w:rPr>
                <w:b/>
                <w:szCs w:val="22"/>
                <w:lang w:val="pl-PL"/>
              </w:rPr>
            </w:pPr>
            <w:r w:rsidRPr="0015541C">
              <w:rPr>
                <w:b/>
                <w:bCs/>
                <w:szCs w:val="22"/>
                <w:lang w:val="pl-PL"/>
              </w:rPr>
              <w:t>Κύπρος</w:t>
            </w:r>
          </w:p>
          <w:p w14:paraId="06373512" w14:textId="77777777" w:rsidR="00592DC1" w:rsidRPr="00AC3958" w:rsidRDefault="00592DC1" w:rsidP="00592DC1">
            <w:pPr>
              <w:rPr>
                <w:szCs w:val="22"/>
                <w:lang w:val="pl-PL"/>
              </w:rPr>
            </w:pPr>
            <w:r w:rsidRPr="0015541C">
              <w:rPr>
                <w:szCs w:val="22"/>
                <w:lang w:val="pl-PL"/>
              </w:rPr>
              <w:t>Samsung Bioepis NL B.V.</w:t>
            </w:r>
          </w:p>
          <w:p w14:paraId="0EFBA226" w14:textId="77777777" w:rsidR="00592DC1" w:rsidRPr="0015541C" w:rsidRDefault="00592DC1" w:rsidP="00592DC1">
            <w:pPr>
              <w:numPr>
                <w:ilvl w:val="12"/>
                <w:numId w:val="0"/>
              </w:numPr>
              <w:ind w:right="-2"/>
              <w:rPr>
                <w:lang w:val="pl-PL"/>
              </w:rPr>
            </w:pPr>
            <w:r w:rsidRPr="0015541C">
              <w:rPr>
                <w:lang w:val="pl-PL"/>
              </w:rPr>
              <w:t>Olof Palmestraat 10, 2616 LR Delft</w:t>
            </w:r>
          </w:p>
          <w:p w14:paraId="66883E87" w14:textId="280D5621" w:rsidR="00592DC1" w:rsidRPr="0070444C" w:rsidRDefault="008F03C9" w:rsidP="00592DC1">
            <w:pPr>
              <w:rPr>
                <w:lang w:val="pl-PL"/>
              </w:rPr>
            </w:pPr>
            <w:r w:rsidRPr="0070444C">
              <w:rPr>
                <w:lang w:val="pl-PL"/>
              </w:rPr>
              <w:t>Ολλανδία</w:t>
            </w:r>
          </w:p>
          <w:p w14:paraId="22ADF839" w14:textId="6521930D" w:rsidR="00DE6CE3" w:rsidRPr="0070444C" w:rsidRDefault="00ED652F" w:rsidP="00592DC1">
            <w:pPr>
              <w:rPr>
                <w:lang w:val="pl-PL"/>
              </w:rPr>
            </w:pPr>
            <w:hyperlink r:id="rId41" w:history="1">
              <w:r w:rsidR="00DE6CE3" w:rsidRPr="0070444C">
                <w:rPr>
                  <w:rStyle w:val="Hyperlink"/>
                  <w:lang w:val="pl-PL"/>
                </w:rPr>
                <w:t>bioepis.mi@medinformation.co.uk</w:t>
              </w:r>
            </w:hyperlink>
          </w:p>
          <w:p w14:paraId="13D3C020" w14:textId="77777777" w:rsidR="00592DC1" w:rsidRPr="0070444C" w:rsidRDefault="00592DC1" w:rsidP="00592DC1">
            <w:pPr>
              <w:rPr>
                <w:rFonts w:eastAsia="Yu Mincho"/>
                <w:b/>
                <w:lang w:val="pl-PL"/>
              </w:rPr>
            </w:pPr>
          </w:p>
        </w:tc>
        <w:tc>
          <w:tcPr>
            <w:tcW w:w="4590" w:type="dxa"/>
          </w:tcPr>
          <w:p w14:paraId="3D7E4180" w14:textId="77777777" w:rsidR="00592DC1" w:rsidRPr="0070444C" w:rsidRDefault="00592DC1" w:rsidP="0040007F">
            <w:pPr>
              <w:tabs>
                <w:tab w:val="left" w:pos="-720"/>
                <w:tab w:val="left" w:pos="4536"/>
              </w:tabs>
              <w:suppressAutoHyphens/>
              <w:rPr>
                <w:b/>
                <w:lang w:val="pl-PL"/>
              </w:rPr>
            </w:pPr>
            <w:r w:rsidRPr="0015541C">
              <w:rPr>
                <w:b/>
                <w:bCs/>
                <w:szCs w:val="22"/>
                <w:lang w:val="pl-PL"/>
              </w:rPr>
              <w:t>Sverige</w:t>
            </w:r>
          </w:p>
          <w:p w14:paraId="2FA395FB" w14:textId="77777777" w:rsidR="00592DC1" w:rsidRPr="0015541C" w:rsidRDefault="00592DC1" w:rsidP="00592DC1">
            <w:pPr>
              <w:rPr>
                <w:szCs w:val="22"/>
                <w:lang w:val="pl-PL"/>
              </w:rPr>
            </w:pPr>
            <w:r w:rsidRPr="0015541C">
              <w:rPr>
                <w:szCs w:val="22"/>
                <w:lang w:val="pl-PL"/>
              </w:rPr>
              <w:t>Samsung Bioepis NL B.V.</w:t>
            </w:r>
          </w:p>
          <w:p w14:paraId="31BD86CA" w14:textId="77777777" w:rsidR="00592DC1" w:rsidRPr="0015541C" w:rsidRDefault="00592DC1" w:rsidP="00592DC1">
            <w:pPr>
              <w:numPr>
                <w:ilvl w:val="12"/>
                <w:numId w:val="0"/>
              </w:numPr>
              <w:ind w:right="-2"/>
              <w:rPr>
                <w:lang w:val="pl-PL"/>
              </w:rPr>
            </w:pPr>
            <w:r w:rsidRPr="0015541C">
              <w:rPr>
                <w:lang w:val="pl-PL"/>
              </w:rPr>
              <w:t>Olof Palmestraat 10, 2616 LR Delft</w:t>
            </w:r>
          </w:p>
          <w:p w14:paraId="4EE8CD99" w14:textId="77777777" w:rsidR="00592DC1" w:rsidRPr="0015541C" w:rsidRDefault="00592DC1" w:rsidP="00592DC1">
            <w:pPr>
              <w:numPr>
                <w:ilvl w:val="12"/>
                <w:numId w:val="0"/>
              </w:numPr>
              <w:ind w:right="-2"/>
              <w:rPr>
                <w:lang w:val="pl-PL"/>
              </w:rPr>
            </w:pPr>
            <w:r w:rsidRPr="0015541C">
              <w:rPr>
                <w:szCs w:val="22"/>
                <w:lang w:val="pl-PL"/>
              </w:rPr>
              <w:t>Nederländerna</w:t>
            </w:r>
          </w:p>
          <w:p w14:paraId="084040A9" w14:textId="07288302" w:rsidR="00592DC1" w:rsidRPr="0015541C" w:rsidRDefault="00ED652F" w:rsidP="00592DC1">
            <w:pPr>
              <w:rPr>
                <w:lang w:val="pl-PL"/>
              </w:rPr>
            </w:pPr>
            <w:hyperlink r:id="rId42" w:history="1">
              <w:r w:rsidR="00DE6CE3" w:rsidRPr="0015541C">
                <w:rPr>
                  <w:rStyle w:val="Hyperlink"/>
                  <w:lang w:val="pl-PL"/>
                </w:rPr>
                <w:t>bioepis.mi@medinformation.co.uk</w:t>
              </w:r>
            </w:hyperlink>
          </w:p>
          <w:p w14:paraId="542434BB" w14:textId="1FEDFE44" w:rsidR="00DE6CE3" w:rsidRPr="0070444C" w:rsidRDefault="00DE6CE3" w:rsidP="00592DC1">
            <w:pPr>
              <w:rPr>
                <w:rFonts w:eastAsia="Yu Mincho"/>
                <w:lang w:val="pl-PL"/>
              </w:rPr>
            </w:pPr>
          </w:p>
        </w:tc>
      </w:tr>
      <w:tr w:rsidR="00592DC1" w:rsidRPr="0070444C" w14:paraId="59E3485B" w14:textId="77777777" w:rsidTr="005673A2">
        <w:trPr>
          <w:cantSplit/>
        </w:trPr>
        <w:tc>
          <w:tcPr>
            <w:tcW w:w="4590" w:type="dxa"/>
          </w:tcPr>
          <w:p w14:paraId="238656BB" w14:textId="77777777" w:rsidR="00592DC1" w:rsidRPr="0070444C" w:rsidRDefault="00592DC1" w:rsidP="00592DC1">
            <w:pPr>
              <w:rPr>
                <w:b/>
                <w:szCs w:val="22"/>
                <w:lang w:val="pl-PL"/>
              </w:rPr>
            </w:pPr>
            <w:r w:rsidRPr="0070444C">
              <w:rPr>
                <w:b/>
                <w:bCs/>
                <w:szCs w:val="22"/>
                <w:lang w:val="pl-PL"/>
              </w:rPr>
              <w:lastRenderedPageBreak/>
              <w:t>Latvija</w:t>
            </w:r>
          </w:p>
          <w:p w14:paraId="73B9FE13" w14:textId="77777777" w:rsidR="00592DC1" w:rsidRPr="0070444C" w:rsidRDefault="00592DC1" w:rsidP="00592DC1">
            <w:pPr>
              <w:rPr>
                <w:szCs w:val="22"/>
                <w:lang w:val="pl-PL"/>
              </w:rPr>
            </w:pPr>
            <w:r w:rsidRPr="0070444C">
              <w:rPr>
                <w:szCs w:val="22"/>
                <w:lang w:val="pl-PL"/>
              </w:rPr>
              <w:t>Samsung Bioepis NL B.V.</w:t>
            </w:r>
          </w:p>
          <w:p w14:paraId="41551D4E" w14:textId="77777777" w:rsidR="00592DC1" w:rsidRPr="0070444C" w:rsidRDefault="00592DC1" w:rsidP="00592DC1">
            <w:pPr>
              <w:numPr>
                <w:ilvl w:val="12"/>
                <w:numId w:val="0"/>
              </w:numPr>
              <w:ind w:right="-2"/>
              <w:rPr>
                <w:szCs w:val="22"/>
                <w:lang w:val="pl-PL"/>
              </w:rPr>
            </w:pPr>
            <w:r w:rsidRPr="0070444C">
              <w:rPr>
                <w:lang w:val="pl-PL"/>
              </w:rPr>
              <w:t>Olof Palmestraat 10, 2616 LR Delft</w:t>
            </w:r>
          </w:p>
          <w:p w14:paraId="5BC2100B" w14:textId="77777777" w:rsidR="00592DC1" w:rsidRPr="0070444C" w:rsidRDefault="00592DC1" w:rsidP="00592DC1">
            <w:pPr>
              <w:rPr>
                <w:rFonts w:eastAsia="TimesNewRoman"/>
                <w:szCs w:val="22"/>
                <w:lang w:val="pl-PL"/>
              </w:rPr>
            </w:pPr>
            <w:r w:rsidRPr="0070444C">
              <w:rPr>
                <w:rFonts w:eastAsia="TimesNewRoman"/>
                <w:szCs w:val="22"/>
                <w:lang w:val="pl-PL"/>
              </w:rPr>
              <w:t>Nīderlande</w:t>
            </w:r>
          </w:p>
          <w:p w14:paraId="022ED7D8" w14:textId="591C5E43" w:rsidR="00DE6CE3" w:rsidRPr="0070444C" w:rsidRDefault="00ED652F" w:rsidP="00592DC1">
            <w:pPr>
              <w:rPr>
                <w:lang w:val="pl-PL"/>
              </w:rPr>
            </w:pPr>
            <w:hyperlink r:id="rId43" w:history="1">
              <w:r w:rsidR="00DE6CE3" w:rsidRPr="0070444C">
                <w:rPr>
                  <w:rStyle w:val="Hyperlink"/>
                  <w:lang w:val="pl-PL"/>
                </w:rPr>
                <w:t>bioepis.mi@medinformation.co.uk</w:t>
              </w:r>
            </w:hyperlink>
          </w:p>
          <w:p w14:paraId="795223A8" w14:textId="724CAA51" w:rsidR="00DE6CE3" w:rsidRPr="0070444C" w:rsidRDefault="00DE6CE3" w:rsidP="00592DC1">
            <w:pPr>
              <w:rPr>
                <w:rFonts w:eastAsia="Yu Mincho"/>
                <w:lang w:val="pl-PL"/>
              </w:rPr>
            </w:pPr>
          </w:p>
        </w:tc>
        <w:tc>
          <w:tcPr>
            <w:tcW w:w="4590" w:type="dxa"/>
          </w:tcPr>
          <w:p w14:paraId="287CE17D" w14:textId="77777777" w:rsidR="00592DC1" w:rsidRPr="0015541C" w:rsidRDefault="00592DC1" w:rsidP="005812D2">
            <w:pPr>
              <w:numPr>
                <w:ilvl w:val="12"/>
                <w:numId w:val="0"/>
              </w:numPr>
              <w:ind w:right="-2"/>
              <w:rPr>
                <w:lang w:val="pl-PL"/>
              </w:rPr>
            </w:pPr>
          </w:p>
        </w:tc>
      </w:tr>
      <w:tr w:rsidR="00592DC1" w:rsidRPr="0070444C" w14:paraId="47467C29" w14:textId="77777777" w:rsidTr="005673A2">
        <w:trPr>
          <w:cantSplit/>
        </w:trPr>
        <w:tc>
          <w:tcPr>
            <w:tcW w:w="4590" w:type="dxa"/>
          </w:tcPr>
          <w:p w14:paraId="7F5BC3FD" w14:textId="77777777" w:rsidR="00592DC1" w:rsidRPr="0015541C" w:rsidRDefault="00592DC1" w:rsidP="00592DC1">
            <w:pPr>
              <w:rPr>
                <w:b/>
                <w:lang w:val="pl-PL"/>
              </w:rPr>
            </w:pPr>
          </w:p>
        </w:tc>
        <w:tc>
          <w:tcPr>
            <w:tcW w:w="4590" w:type="dxa"/>
          </w:tcPr>
          <w:p w14:paraId="7E7AC78E" w14:textId="77777777" w:rsidR="00592DC1" w:rsidRPr="0015541C" w:rsidRDefault="00592DC1" w:rsidP="00592DC1">
            <w:pPr>
              <w:rPr>
                <w:lang w:val="pl-PL"/>
              </w:rPr>
            </w:pPr>
          </w:p>
        </w:tc>
      </w:tr>
    </w:tbl>
    <w:p w14:paraId="7616082F" w14:textId="77777777" w:rsidR="002A2453" w:rsidRPr="0015541C" w:rsidRDefault="002A2453" w:rsidP="006E448D">
      <w:pPr>
        <w:rPr>
          <w:lang w:val="pl-PL"/>
        </w:rPr>
      </w:pPr>
    </w:p>
    <w:p w14:paraId="4644E45E" w14:textId="77777777" w:rsidR="002A2453" w:rsidRPr="0015541C" w:rsidRDefault="002A2453" w:rsidP="006B68BF">
      <w:pPr>
        <w:rPr>
          <w:lang w:val="pl-PL"/>
        </w:rPr>
      </w:pPr>
      <w:r w:rsidRPr="0015541C">
        <w:rPr>
          <w:b/>
          <w:lang w:val="pl-PL"/>
        </w:rPr>
        <w:t xml:space="preserve">Data </w:t>
      </w:r>
      <w:r w:rsidRPr="0015541C">
        <w:rPr>
          <w:b/>
          <w:szCs w:val="24"/>
          <w:lang w:val="pl-PL"/>
        </w:rPr>
        <w:t xml:space="preserve">ostatniej aktualizacji </w:t>
      </w:r>
      <w:r w:rsidRPr="00AC3958">
        <w:rPr>
          <w:b/>
          <w:lang w:val="pl-PL"/>
        </w:rPr>
        <w:t>ulotki:</w:t>
      </w:r>
      <w:r w:rsidRPr="0015541C">
        <w:rPr>
          <w:lang w:val="pl-PL"/>
        </w:rPr>
        <w:t xml:space="preserve"> </w:t>
      </w:r>
    </w:p>
    <w:p w14:paraId="5BF9B633" w14:textId="77777777" w:rsidR="002A2453" w:rsidRPr="0015541C" w:rsidRDefault="002A2453" w:rsidP="006B68BF">
      <w:pPr>
        <w:rPr>
          <w:lang w:val="pl-PL"/>
        </w:rPr>
      </w:pPr>
    </w:p>
    <w:p w14:paraId="15CFAA61" w14:textId="77777777" w:rsidR="002A2453" w:rsidRPr="0015541C" w:rsidRDefault="002A2453" w:rsidP="006B68BF">
      <w:pPr>
        <w:rPr>
          <w:b/>
          <w:szCs w:val="24"/>
          <w:lang w:val="pl-PL"/>
        </w:rPr>
      </w:pPr>
      <w:r w:rsidRPr="0015541C">
        <w:rPr>
          <w:b/>
          <w:szCs w:val="24"/>
          <w:lang w:val="pl-PL"/>
        </w:rPr>
        <w:t>Inne źródła informacji</w:t>
      </w:r>
    </w:p>
    <w:p w14:paraId="5AC81BA3" w14:textId="77777777" w:rsidR="002A2453" w:rsidRPr="0015541C" w:rsidRDefault="002A2453" w:rsidP="006B68BF">
      <w:pPr>
        <w:rPr>
          <w:lang w:val="pl-PL"/>
        </w:rPr>
      </w:pPr>
    </w:p>
    <w:p w14:paraId="49D9123B" w14:textId="77777777" w:rsidR="002A2453" w:rsidRPr="0015541C" w:rsidRDefault="002A2453" w:rsidP="006B68BF">
      <w:pPr>
        <w:rPr>
          <w:color w:val="0000FF"/>
          <w:lang w:val="pl-PL"/>
        </w:rPr>
      </w:pPr>
      <w:r w:rsidRPr="0015541C">
        <w:rPr>
          <w:lang w:val="pl-PL"/>
        </w:rPr>
        <w:t xml:space="preserve">Szczegółowe informacje o tym leku </w:t>
      </w:r>
      <w:r w:rsidRPr="0015541C">
        <w:rPr>
          <w:szCs w:val="24"/>
          <w:lang w:val="pl-PL"/>
        </w:rPr>
        <w:t xml:space="preserve">znajdują się </w:t>
      </w:r>
      <w:r w:rsidRPr="0015541C">
        <w:rPr>
          <w:lang w:val="pl-PL"/>
        </w:rPr>
        <w:t xml:space="preserve">na stronie internetowej Europejskiej Agencji Leków </w:t>
      </w:r>
      <w:hyperlink r:id="rId44" w:history="1">
        <w:r w:rsidRPr="0015541C">
          <w:rPr>
            <w:rStyle w:val="Hyperlink"/>
            <w:lang w:val="pl-PL"/>
          </w:rPr>
          <w:t>http://www.ema.europa.eu</w:t>
        </w:r>
      </w:hyperlink>
      <w:r w:rsidRPr="0015541C">
        <w:rPr>
          <w:color w:val="0000FF"/>
          <w:lang w:val="pl-PL"/>
        </w:rPr>
        <w:t>.</w:t>
      </w:r>
    </w:p>
    <w:p w14:paraId="279D4F5B" w14:textId="77777777" w:rsidR="00592DC1" w:rsidRPr="0015541C" w:rsidRDefault="00592DC1" w:rsidP="006B68BF">
      <w:pPr>
        <w:rPr>
          <w:color w:val="0000FF"/>
          <w:lang w:val="pl-PL"/>
        </w:rPr>
      </w:pPr>
    </w:p>
    <w:p w14:paraId="58FA1B71" w14:textId="77777777" w:rsidR="00592DC1" w:rsidRPr="0015541C" w:rsidRDefault="00592DC1" w:rsidP="006B68BF">
      <w:pPr>
        <w:rPr>
          <w:color w:val="0000FF"/>
          <w:lang w:val="pl-PL"/>
        </w:rPr>
      </w:pPr>
      <w:r w:rsidRPr="00AC3958">
        <w:rPr>
          <w:szCs w:val="22"/>
          <w:lang w:val="pl-PL"/>
        </w:rPr>
        <w:t>Ta ulotka jest dostępna we wszystkich językach UE/EOG na stronie internetowej Europejskiej Agencji Leków.</w:t>
      </w:r>
    </w:p>
    <w:p w14:paraId="69EA6C8A" w14:textId="77777777" w:rsidR="00A3098D" w:rsidRPr="003009ED" w:rsidRDefault="00A3098D" w:rsidP="00A3098D">
      <w:pPr>
        <w:rPr>
          <w:lang w:val="pl-PL"/>
        </w:rPr>
      </w:pPr>
    </w:p>
    <w:p w14:paraId="0DFB9F89" w14:textId="5D80F269" w:rsidR="007E5473" w:rsidRPr="0015541C" w:rsidRDefault="007E5473" w:rsidP="0061454B">
      <w:pPr>
        <w:rPr>
          <w:lang w:val="pl-PL"/>
        </w:rPr>
      </w:pPr>
    </w:p>
    <w:sectPr w:rsidR="007E5473" w:rsidRPr="0015541C" w:rsidSect="00384766">
      <w:footerReference w:type="default" r:id="rId45"/>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9340A" w14:textId="77777777" w:rsidR="00ED652F" w:rsidRDefault="00ED652F">
      <w:r>
        <w:separator/>
      </w:r>
    </w:p>
  </w:endnote>
  <w:endnote w:type="continuationSeparator" w:id="0">
    <w:p w14:paraId="2F1F8A69" w14:textId="77777777" w:rsidR="00ED652F" w:rsidRDefault="00ED652F">
      <w:r>
        <w:continuationSeparator/>
      </w:r>
    </w:p>
  </w:endnote>
  <w:endnote w:type="continuationNotice" w:id="1">
    <w:p w14:paraId="716F0F2E" w14:textId="77777777" w:rsidR="00ED652F" w:rsidRDefault="00ED6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NewRoman">
    <w:altName w:val="Yu 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2D162" w14:textId="2CCCA1A2" w:rsidR="00874149" w:rsidRDefault="00E40CF2">
    <w:pPr>
      <w:pStyle w:val="Footer"/>
      <w:jc w:val="center"/>
    </w:pPr>
    <w:r>
      <w:rPr>
        <w:rStyle w:val="PageNumber"/>
      </w:rPr>
      <w:fldChar w:fldCharType="begin"/>
    </w:r>
    <w:r>
      <w:rPr>
        <w:rStyle w:val="PageNumber"/>
      </w:rPr>
      <w:instrText xml:space="preserve"> PAGE </w:instrText>
    </w:r>
    <w:r>
      <w:rPr>
        <w:rStyle w:val="PageNumber"/>
      </w:rPr>
      <w:fldChar w:fldCharType="separate"/>
    </w:r>
    <w:r w:rsidR="00EA3F2B">
      <w:rPr>
        <w:rStyle w:val="PageNumber"/>
      </w:rPr>
      <w:t>83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17262" w14:textId="77777777" w:rsidR="00ED652F" w:rsidRDefault="00ED652F">
      <w:r>
        <w:separator/>
      </w:r>
    </w:p>
  </w:footnote>
  <w:footnote w:type="continuationSeparator" w:id="0">
    <w:p w14:paraId="3D6C46E4" w14:textId="77777777" w:rsidR="00ED652F" w:rsidRDefault="00ED652F">
      <w:r>
        <w:continuationSeparator/>
      </w:r>
    </w:p>
  </w:footnote>
  <w:footnote w:type="continuationNotice" w:id="1">
    <w:p w14:paraId="58CEC3F0" w14:textId="77777777" w:rsidR="00ED652F" w:rsidRDefault="00ED65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FEAEC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3214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1D8D3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B4C923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5485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0A363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FE36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7A0A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06484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0450AB"/>
    <w:multiLevelType w:val="hybridMultilevel"/>
    <w:tmpl w:val="0CFEF2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7832AF"/>
    <w:multiLevelType w:val="hybridMultilevel"/>
    <w:tmpl w:val="4008F506"/>
    <w:lvl w:ilvl="0" w:tplc="FBB8659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02F46"/>
    <w:multiLevelType w:val="hybridMultilevel"/>
    <w:tmpl w:val="A8F2C8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DA81855"/>
    <w:multiLevelType w:val="hybridMultilevel"/>
    <w:tmpl w:val="66321164"/>
    <w:lvl w:ilvl="0" w:tplc="ABCA070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CA1E27"/>
    <w:multiLevelType w:val="hybridMultilevel"/>
    <w:tmpl w:val="EF46CF5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B14941"/>
    <w:multiLevelType w:val="hybridMultilevel"/>
    <w:tmpl w:val="6486C96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A631DB"/>
    <w:multiLevelType w:val="hybridMultilevel"/>
    <w:tmpl w:val="C74AFE74"/>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AD0549C"/>
    <w:multiLevelType w:val="hybridMultilevel"/>
    <w:tmpl w:val="F424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D96FB8"/>
    <w:multiLevelType w:val="hybridMultilevel"/>
    <w:tmpl w:val="8D3EF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0D1558"/>
    <w:multiLevelType w:val="hybridMultilevel"/>
    <w:tmpl w:val="0298C6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A7790B"/>
    <w:multiLevelType w:val="hybridMultilevel"/>
    <w:tmpl w:val="FB9ADAB8"/>
    <w:lvl w:ilvl="0" w:tplc="ABCA070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4A57B1E"/>
    <w:multiLevelType w:val="hybridMultilevel"/>
    <w:tmpl w:val="16868C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3F5B74"/>
    <w:multiLevelType w:val="hybridMultilevel"/>
    <w:tmpl w:val="7402056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1458F1"/>
    <w:multiLevelType w:val="hybridMultilevel"/>
    <w:tmpl w:val="A7B2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6" w15:restartNumberingAfterBreak="0">
    <w:nsid w:val="327B5D71"/>
    <w:multiLevelType w:val="hybridMultilevel"/>
    <w:tmpl w:val="E1307B76"/>
    <w:lvl w:ilvl="0" w:tplc="04090001">
      <w:start w:val="16"/>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3672835"/>
    <w:multiLevelType w:val="hybridMultilevel"/>
    <w:tmpl w:val="6F2A0E6E"/>
    <w:lvl w:ilvl="0" w:tplc="03A087BA">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6C48CD"/>
    <w:multiLevelType w:val="hybridMultilevel"/>
    <w:tmpl w:val="2408CD24"/>
    <w:lvl w:ilvl="0" w:tplc="E904D9CA">
      <w:start w:val="1"/>
      <w:numFmt w:val="bullet"/>
      <w:lvlText w:val=""/>
      <w:lvlJc w:val="left"/>
      <w:pPr>
        <w:tabs>
          <w:tab w:val="num" w:pos="720"/>
        </w:tabs>
        <w:ind w:left="720" w:hanging="360"/>
      </w:pPr>
      <w:rPr>
        <w:rFonts w:ascii="Symbol" w:hAnsi="Symbol" w:hint="default"/>
        <w:b w:val="0"/>
        <w:i w:val="0"/>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3041D4"/>
    <w:multiLevelType w:val="hybridMultilevel"/>
    <w:tmpl w:val="2F0C66E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5A5982"/>
    <w:multiLevelType w:val="hybridMultilevel"/>
    <w:tmpl w:val="217AB060"/>
    <w:lvl w:ilvl="0" w:tplc="04090001">
      <w:start w:val="1"/>
      <w:numFmt w:val="bullet"/>
      <w:lvlText w:val=""/>
      <w:lvlJc w:val="left"/>
      <w:pPr>
        <w:ind w:left="234" w:hanging="360"/>
      </w:pPr>
      <w:rPr>
        <w:rFonts w:ascii="Symbol" w:hAnsi="Symbol" w:hint="default"/>
      </w:rPr>
    </w:lvl>
    <w:lvl w:ilvl="1" w:tplc="04090003" w:tentative="1">
      <w:start w:val="1"/>
      <w:numFmt w:val="bullet"/>
      <w:lvlText w:val="o"/>
      <w:lvlJc w:val="left"/>
      <w:pPr>
        <w:ind w:left="954" w:hanging="360"/>
      </w:pPr>
      <w:rPr>
        <w:rFonts w:ascii="Courier New" w:hAnsi="Courier New" w:cs="Courier New" w:hint="default"/>
      </w:rPr>
    </w:lvl>
    <w:lvl w:ilvl="2" w:tplc="04090005" w:tentative="1">
      <w:start w:val="1"/>
      <w:numFmt w:val="bullet"/>
      <w:lvlText w:val=""/>
      <w:lvlJc w:val="left"/>
      <w:pPr>
        <w:ind w:left="1674" w:hanging="360"/>
      </w:pPr>
      <w:rPr>
        <w:rFonts w:ascii="Wingdings" w:hAnsi="Wingdings" w:hint="default"/>
      </w:rPr>
    </w:lvl>
    <w:lvl w:ilvl="3" w:tplc="04090001" w:tentative="1">
      <w:start w:val="1"/>
      <w:numFmt w:val="bullet"/>
      <w:lvlText w:val=""/>
      <w:lvlJc w:val="left"/>
      <w:pPr>
        <w:ind w:left="2394" w:hanging="360"/>
      </w:pPr>
      <w:rPr>
        <w:rFonts w:ascii="Symbol" w:hAnsi="Symbol" w:hint="default"/>
      </w:rPr>
    </w:lvl>
    <w:lvl w:ilvl="4" w:tplc="04090003" w:tentative="1">
      <w:start w:val="1"/>
      <w:numFmt w:val="bullet"/>
      <w:lvlText w:val="o"/>
      <w:lvlJc w:val="left"/>
      <w:pPr>
        <w:ind w:left="3114" w:hanging="360"/>
      </w:pPr>
      <w:rPr>
        <w:rFonts w:ascii="Courier New" w:hAnsi="Courier New" w:cs="Courier New" w:hint="default"/>
      </w:rPr>
    </w:lvl>
    <w:lvl w:ilvl="5" w:tplc="04090005" w:tentative="1">
      <w:start w:val="1"/>
      <w:numFmt w:val="bullet"/>
      <w:lvlText w:val=""/>
      <w:lvlJc w:val="left"/>
      <w:pPr>
        <w:ind w:left="3834" w:hanging="360"/>
      </w:pPr>
      <w:rPr>
        <w:rFonts w:ascii="Wingdings" w:hAnsi="Wingdings" w:hint="default"/>
      </w:rPr>
    </w:lvl>
    <w:lvl w:ilvl="6" w:tplc="04090001" w:tentative="1">
      <w:start w:val="1"/>
      <w:numFmt w:val="bullet"/>
      <w:lvlText w:val=""/>
      <w:lvlJc w:val="left"/>
      <w:pPr>
        <w:ind w:left="4554" w:hanging="360"/>
      </w:pPr>
      <w:rPr>
        <w:rFonts w:ascii="Symbol" w:hAnsi="Symbol" w:hint="default"/>
      </w:rPr>
    </w:lvl>
    <w:lvl w:ilvl="7" w:tplc="04090003" w:tentative="1">
      <w:start w:val="1"/>
      <w:numFmt w:val="bullet"/>
      <w:lvlText w:val="o"/>
      <w:lvlJc w:val="left"/>
      <w:pPr>
        <w:ind w:left="5274" w:hanging="360"/>
      </w:pPr>
      <w:rPr>
        <w:rFonts w:ascii="Courier New" w:hAnsi="Courier New" w:cs="Courier New" w:hint="default"/>
      </w:rPr>
    </w:lvl>
    <w:lvl w:ilvl="8" w:tplc="04090005" w:tentative="1">
      <w:start w:val="1"/>
      <w:numFmt w:val="bullet"/>
      <w:lvlText w:val=""/>
      <w:lvlJc w:val="left"/>
      <w:pPr>
        <w:ind w:left="5994" w:hanging="360"/>
      </w:pPr>
      <w:rPr>
        <w:rFonts w:ascii="Wingdings" w:hAnsi="Wingdings" w:hint="default"/>
      </w:rPr>
    </w:lvl>
  </w:abstractNum>
  <w:abstractNum w:abstractNumId="31" w15:restartNumberingAfterBreak="0">
    <w:nsid w:val="3748083C"/>
    <w:multiLevelType w:val="hybridMultilevel"/>
    <w:tmpl w:val="09427F32"/>
    <w:lvl w:ilvl="0" w:tplc="50DC7050">
      <w:start w:val="1"/>
      <w:numFmt w:val="bullet"/>
      <w:pStyle w:val="Bullet"/>
      <w:lvlText w:val=""/>
      <w:lvlJc w:val="left"/>
      <w:pPr>
        <w:tabs>
          <w:tab w:val="num" w:pos="567"/>
        </w:tabs>
        <w:ind w:left="567" w:hanging="454"/>
      </w:pPr>
      <w:rPr>
        <w:rFonts w:ascii="Symbol" w:hAnsi="Symbol" w:hint="default"/>
      </w:rPr>
    </w:lvl>
    <w:lvl w:ilvl="1" w:tplc="1892DCEA" w:tentative="1">
      <w:start w:val="1"/>
      <w:numFmt w:val="bullet"/>
      <w:lvlText w:val="o"/>
      <w:lvlJc w:val="left"/>
      <w:pPr>
        <w:tabs>
          <w:tab w:val="num" w:pos="1440"/>
        </w:tabs>
        <w:ind w:left="1440" w:hanging="360"/>
      </w:pPr>
      <w:rPr>
        <w:rFonts w:ascii="Courier New" w:hAnsi="Courier New" w:hint="default"/>
      </w:rPr>
    </w:lvl>
    <w:lvl w:ilvl="2" w:tplc="81AABFF2" w:tentative="1">
      <w:start w:val="1"/>
      <w:numFmt w:val="bullet"/>
      <w:lvlText w:val=""/>
      <w:lvlJc w:val="left"/>
      <w:pPr>
        <w:tabs>
          <w:tab w:val="num" w:pos="2160"/>
        </w:tabs>
        <w:ind w:left="2160" w:hanging="360"/>
      </w:pPr>
      <w:rPr>
        <w:rFonts w:ascii="Wingdings" w:hAnsi="Wingdings" w:hint="default"/>
      </w:rPr>
    </w:lvl>
    <w:lvl w:ilvl="3" w:tplc="2656F528" w:tentative="1">
      <w:start w:val="1"/>
      <w:numFmt w:val="bullet"/>
      <w:lvlText w:val=""/>
      <w:lvlJc w:val="left"/>
      <w:pPr>
        <w:tabs>
          <w:tab w:val="num" w:pos="2880"/>
        </w:tabs>
        <w:ind w:left="2880" w:hanging="360"/>
      </w:pPr>
      <w:rPr>
        <w:rFonts w:ascii="Symbol" w:hAnsi="Symbol" w:hint="default"/>
      </w:rPr>
    </w:lvl>
    <w:lvl w:ilvl="4" w:tplc="7F5C53F8" w:tentative="1">
      <w:start w:val="1"/>
      <w:numFmt w:val="bullet"/>
      <w:lvlText w:val="o"/>
      <w:lvlJc w:val="left"/>
      <w:pPr>
        <w:tabs>
          <w:tab w:val="num" w:pos="3600"/>
        </w:tabs>
        <w:ind w:left="3600" w:hanging="360"/>
      </w:pPr>
      <w:rPr>
        <w:rFonts w:ascii="Courier New" w:hAnsi="Courier New" w:hint="default"/>
      </w:rPr>
    </w:lvl>
    <w:lvl w:ilvl="5" w:tplc="E0001F7A" w:tentative="1">
      <w:start w:val="1"/>
      <w:numFmt w:val="bullet"/>
      <w:lvlText w:val=""/>
      <w:lvlJc w:val="left"/>
      <w:pPr>
        <w:tabs>
          <w:tab w:val="num" w:pos="4320"/>
        </w:tabs>
        <w:ind w:left="4320" w:hanging="360"/>
      </w:pPr>
      <w:rPr>
        <w:rFonts w:ascii="Wingdings" w:hAnsi="Wingdings" w:hint="default"/>
      </w:rPr>
    </w:lvl>
    <w:lvl w:ilvl="6" w:tplc="FBA0B79C" w:tentative="1">
      <w:start w:val="1"/>
      <w:numFmt w:val="bullet"/>
      <w:lvlText w:val=""/>
      <w:lvlJc w:val="left"/>
      <w:pPr>
        <w:tabs>
          <w:tab w:val="num" w:pos="5040"/>
        </w:tabs>
        <w:ind w:left="5040" w:hanging="360"/>
      </w:pPr>
      <w:rPr>
        <w:rFonts w:ascii="Symbol" w:hAnsi="Symbol" w:hint="default"/>
      </w:rPr>
    </w:lvl>
    <w:lvl w:ilvl="7" w:tplc="6E8ED0F0" w:tentative="1">
      <w:start w:val="1"/>
      <w:numFmt w:val="bullet"/>
      <w:lvlText w:val="o"/>
      <w:lvlJc w:val="left"/>
      <w:pPr>
        <w:tabs>
          <w:tab w:val="num" w:pos="5760"/>
        </w:tabs>
        <w:ind w:left="5760" w:hanging="360"/>
      </w:pPr>
      <w:rPr>
        <w:rFonts w:ascii="Courier New" w:hAnsi="Courier New" w:hint="default"/>
      </w:rPr>
    </w:lvl>
    <w:lvl w:ilvl="8" w:tplc="37A0786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9B87AAC"/>
    <w:multiLevelType w:val="hybridMultilevel"/>
    <w:tmpl w:val="FBB02F60"/>
    <w:lvl w:ilvl="0" w:tplc="ABCA070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2D812ED"/>
    <w:multiLevelType w:val="hybridMultilevel"/>
    <w:tmpl w:val="89D8AEC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7054C2E"/>
    <w:multiLevelType w:val="multilevel"/>
    <w:tmpl w:val="FB9ADA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086310"/>
    <w:multiLevelType w:val="hybridMultilevel"/>
    <w:tmpl w:val="4EB03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6904D5"/>
    <w:multiLevelType w:val="hybridMultilevel"/>
    <w:tmpl w:val="1340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981396"/>
    <w:multiLevelType w:val="hybridMultilevel"/>
    <w:tmpl w:val="14BE29B4"/>
    <w:lvl w:ilvl="0" w:tplc="ABCA070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0A0EBD"/>
    <w:multiLevelType w:val="hybridMultilevel"/>
    <w:tmpl w:val="5AA4AE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A9F416F"/>
    <w:multiLevelType w:val="hybridMultilevel"/>
    <w:tmpl w:val="18FA7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2" w15:restartNumberingAfterBreak="0">
    <w:nsid w:val="64863200"/>
    <w:multiLevelType w:val="hybridMultilevel"/>
    <w:tmpl w:val="1D84BA62"/>
    <w:lvl w:ilvl="0" w:tplc="D04444A2">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43" w15:restartNumberingAfterBreak="0">
    <w:nsid w:val="69CB5ADF"/>
    <w:multiLevelType w:val="hybridMultilevel"/>
    <w:tmpl w:val="F200A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A1C709F"/>
    <w:multiLevelType w:val="hybridMultilevel"/>
    <w:tmpl w:val="89A0568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AC048F"/>
    <w:multiLevelType w:val="hybridMultilevel"/>
    <w:tmpl w:val="75BE580E"/>
    <w:lvl w:ilvl="0" w:tplc="94E217D4">
      <w:numFmt w:val="bullet"/>
      <w:lvlText w:val=""/>
      <w:lvlJc w:val="left"/>
      <w:pPr>
        <w:ind w:left="930" w:hanging="57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100D28"/>
    <w:multiLevelType w:val="hybridMultilevel"/>
    <w:tmpl w:val="7DACC05E"/>
    <w:lvl w:ilvl="0" w:tplc="FD788292">
      <w:start w:val="1"/>
      <w:numFmt w:val="upperLetter"/>
      <w:lvlText w:val="%1."/>
      <w:lvlJc w:val="left"/>
      <w:pPr>
        <w:ind w:left="5670" w:hanging="5670"/>
      </w:pPr>
      <w:rPr>
        <w:b/>
      </w:rPr>
    </w:lvl>
    <w:lvl w:ilvl="1" w:tplc="89B20B3C">
      <w:start w:val="17"/>
      <w:numFmt w:val="decimal"/>
      <w:lvlText w:val="%2."/>
      <w:lvlJc w:val="left"/>
      <w:pPr>
        <w:ind w:left="1650" w:hanging="570"/>
      </w:pPr>
      <w:rPr>
        <w:rFonts w:hint="default"/>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9" w15:restartNumberingAfterBreak="0">
    <w:nsid w:val="7D8938B2"/>
    <w:multiLevelType w:val="hybridMultilevel"/>
    <w:tmpl w:val="0FAECFE6"/>
    <w:lvl w:ilvl="0" w:tplc="180261BE">
      <w:numFmt w:val="bullet"/>
      <w:lvlText w:val=""/>
      <w:lvlJc w:val="left"/>
      <w:pPr>
        <w:ind w:left="930" w:hanging="57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
  </w:num>
  <w:num w:numId="3">
    <w:abstractNumId w:val="25"/>
  </w:num>
  <w:num w:numId="4">
    <w:abstractNumId w:val="46"/>
  </w:num>
  <w:num w:numId="5">
    <w:abstractNumId w:val="42"/>
  </w:num>
  <w:num w:numId="6">
    <w:abstractNumId w:val="12"/>
  </w:num>
  <w:num w:numId="7">
    <w:abstractNumId w:val="21"/>
  </w:num>
  <w:num w:numId="8">
    <w:abstractNumId w:val="35"/>
  </w:num>
  <w:num w:numId="9">
    <w:abstractNumId w:val="28"/>
  </w:num>
  <w:num w:numId="10">
    <w:abstractNumId w:val="32"/>
  </w:num>
  <w:num w:numId="11">
    <w:abstractNumId w:val="14"/>
  </w:num>
  <w:num w:numId="12">
    <w:abstractNumId w:val="40"/>
  </w:num>
  <w:num w:numId="13">
    <w:abstractNumId w:val="38"/>
  </w:num>
  <w:num w:numId="14">
    <w:abstractNumId w:val="43"/>
  </w:num>
  <w:num w:numId="15">
    <w:abstractNumId w:val="15"/>
  </w:num>
  <w:num w:numId="16">
    <w:abstractNumId w:val="44"/>
  </w:num>
  <w:num w:numId="17">
    <w:abstractNumId w:val="16"/>
  </w:num>
  <w:num w:numId="18">
    <w:abstractNumId w:val="36"/>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0"/>
  </w:num>
  <w:num w:numId="28">
    <w:abstractNumId w:val="20"/>
  </w:num>
  <w:num w:numId="29">
    <w:abstractNumId w:val="19"/>
  </w:num>
  <w:num w:numId="30">
    <w:abstractNumId w:val="34"/>
  </w:num>
  <w:num w:numId="31">
    <w:abstractNumId w:val="11"/>
  </w:num>
  <w:num w:numId="32">
    <w:abstractNumId w:val="47"/>
  </w:num>
  <w:num w:numId="33">
    <w:abstractNumId w:val="30"/>
  </w:num>
  <w:num w:numId="34">
    <w:abstractNumId w:val="22"/>
  </w:num>
  <w:num w:numId="35">
    <w:abstractNumId w:val="33"/>
  </w:num>
  <w:num w:numId="36">
    <w:abstractNumId w:val="37"/>
  </w:num>
  <w:num w:numId="37">
    <w:abstractNumId w:val="18"/>
  </w:num>
  <w:num w:numId="38">
    <w:abstractNumId w:val="26"/>
  </w:num>
  <w:num w:numId="39">
    <w:abstractNumId w:val="24"/>
  </w:num>
  <w:num w:numId="40">
    <w:abstractNumId w:val="13"/>
  </w:num>
  <w:num w:numId="41">
    <w:abstractNumId w:val="48"/>
  </w:num>
  <w:num w:numId="42">
    <w:abstractNumId w:val="48"/>
  </w:num>
  <w:num w:numId="43">
    <w:abstractNumId w:val="27"/>
  </w:num>
  <w:num w:numId="44">
    <w:abstractNumId w:val="39"/>
  </w:num>
  <w:num w:numId="45">
    <w:abstractNumId w:val="17"/>
  </w:num>
  <w:num w:numId="46">
    <w:abstractNumId w:val="41"/>
  </w:num>
  <w:num w:numId="47">
    <w:abstractNumId w:val="10"/>
    <w:lvlOverride w:ilvl="0">
      <w:lvl w:ilvl="0">
        <w:start w:val="1"/>
        <w:numFmt w:val="bullet"/>
        <w:lvlText w:val="-"/>
        <w:legacy w:legacy="1" w:legacySpace="0" w:legacyIndent="360"/>
        <w:lvlJc w:val="left"/>
        <w:pPr>
          <w:ind w:left="360" w:hanging="360"/>
        </w:pPr>
      </w:lvl>
    </w:lvlOverride>
  </w:num>
  <w:num w:numId="48">
    <w:abstractNumId w:val="29"/>
  </w:num>
  <w:num w:numId="49">
    <w:abstractNumId w:val="49"/>
  </w:num>
  <w:num w:numId="50">
    <w:abstractNumId w:val="23"/>
  </w:num>
  <w:num w:numId="5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hideSpellingErrors/>
  <w:hideGrammaticalErrors/>
  <w:activeWritingStyle w:appName="MSWord" w:lang="en-US" w:vendorID="64" w:dllVersion="6" w:nlCheck="1" w:checkStyle="0"/>
  <w:activeWritingStyle w:appName="MSWord" w:lang="de-CH" w:vendorID="64" w:dllVersion="6" w:nlCheck="1" w:checkStyle="0"/>
  <w:activeWritingStyle w:appName="MSWord" w:lang="fr-FR" w:vendorID="64" w:dllVersion="6" w:nlCheck="1" w:checkStyle="1"/>
  <w:activeWritingStyle w:appName="MSWord" w:lang="en-GB" w:vendorID="64" w:dllVersion="6" w:nlCheck="1" w:checkStyle="0"/>
  <w:activeWritingStyle w:appName="MSWord" w:lang="de-DE" w:vendorID="64" w:dllVersion="6" w:nlCheck="1" w:checkStyle="1"/>
  <w:activeWritingStyle w:appName="MSWord" w:lang="fr-CH" w:vendorID="64" w:dllVersion="6" w:nlCheck="1" w:checkStyle="0"/>
  <w:activeWritingStyle w:appName="MSWord" w:lang="es-ES" w:vendorID="64" w:dllVersion="6" w:nlCheck="1" w:checkStyle="1"/>
  <w:activeWritingStyle w:appName="MSWord" w:lang="en-US" w:vendorID="64" w:dllVersion="0" w:nlCheck="1" w:checkStyle="0"/>
  <w:activeWritingStyle w:appName="MSWord" w:lang="pl-PL" w:vendorID="64" w:dllVersion="0" w:nlCheck="1" w:checkStyle="0"/>
  <w:activeWritingStyle w:appName="MSWord" w:lang="en-US" w:vendorID="64" w:dllVersion="4096" w:nlCheck="1" w:checkStyle="0"/>
  <w:activeWritingStyle w:appName="MSWord" w:lang="ko-KR" w:vendorID="64" w:dllVersion="0" w:nlCheck="1" w:checkStyle="0"/>
  <w:activeWritingStyle w:appName="MSWord" w:lang="es-ES" w:vendorID="64" w:dllVersion="4096" w:nlCheck="1" w:checkStyle="0"/>
  <w:activeWritingStyle w:appName="MSWord" w:lang="de-DE" w:vendorID="64" w:dllVersion="0" w:nlCheck="1" w:checkStyle="0"/>
  <w:activeWritingStyle w:appName="MSWord" w:lang="pl-PL" w:vendorID="64" w:dllVersion="4096" w:nlCheck="1" w:checkStyle="0"/>
  <w:activeWritingStyle w:appName="MSWord" w:lang="cs-CZ" w:vendorID="64" w:dllVersion="4096" w:nlCheck="1" w:checkStyle="0"/>
  <w:activeWritingStyle w:appName="MSWord" w:lang="pl-PL" w:vendorID="12" w:dllVersion="512" w:checkStyle="1"/>
  <w:activeWritingStyle w:appName="MSWord" w:lang="pt-BR" w:vendorID="1" w:dllVersion="513" w:checkStyle="1"/>
  <w:activeWritingStyle w:appName="MSWord" w:lang="it-IT" w:vendorID="3" w:dllVersion="517"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ldViewShowStyleArea" w:val="3"/>
    <w:docVar w:name="Registered" w:val="-1"/>
    <w:docVar w:name="Version" w:val="0"/>
  </w:docVars>
  <w:rsids>
    <w:rsidRoot w:val="0072780D"/>
    <w:rsid w:val="00000749"/>
    <w:rsid w:val="000018FD"/>
    <w:rsid w:val="000019C8"/>
    <w:rsid w:val="000028AD"/>
    <w:rsid w:val="00002F73"/>
    <w:rsid w:val="00004276"/>
    <w:rsid w:val="0000582D"/>
    <w:rsid w:val="00005D25"/>
    <w:rsid w:val="00010D7E"/>
    <w:rsid w:val="000110D0"/>
    <w:rsid w:val="00011586"/>
    <w:rsid w:val="0001208A"/>
    <w:rsid w:val="00012535"/>
    <w:rsid w:val="00012618"/>
    <w:rsid w:val="00014FCE"/>
    <w:rsid w:val="00016238"/>
    <w:rsid w:val="00017088"/>
    <w:rsid w:val="0001731D"/>
    <w:rsid w:val="0001732F"/>
    <w:rsid w:val="0001768A"/>
    <w:rsid w:val="000176E7"/>
    <w:rsid w:val="00017F7B"/>
    <w:rsid w:val="000219B4"/>
    <w:rsid w:val="00021DAE"/>
    <w:rsid w:val="00022EB2"/>
    <w:rsid w:val="00023726"/>
    <w:rsid w:val="00024535"/>
    <w:rsid w:val="00024E77"/>
    <w:rsid w:val="00024EB8"/>
    <w:rsid w:val="00025B29"/>
    <w:rsid w:val="000263C7"/>
    <w:rsid w:val="000268BE"/>
    <w:rsid w:val="00026C24"/>
    <w:rsid w:val="0002772D"/>
    <w:rsid w:val="000301A0"/>
    <w:rsid w:val="000302AF"/>
    <w:rsid w:val="00030A7F"/>
    <w:rsid w:val="00030BB4"/>
    <w:rsid w:val="00031411"/>
    <w:rsid w:val="00031736"/>
    <w:rsid w:val="00031F8F"/>
    <w:rsid w:val="000320FC"/>
    <w:rsid w:val="00032AF8"/>
    <w:rsid w:val="00032B56"/>
    <w:rsid w:val="00034D6A"/>
    <w:rsid w:val="00035CF9"/>
    <w:rsid w:val="00035E87"/>
    <w:rsid w:val="00036182"/>
    <w:rsid w:val="000369AE"/>
    <w:rsid w:val="00036B48"/>
    <w:rsid w:val="000375ED"/>
    <w:rsid w:val="0004073D"/>
    <w:rsid w:val="00040E3E"/>
    <w:rsid w:val="000411D6"/>
    <w:rsid w:val="0004245F"/>
    <w:rsid w:val="00042C8C"/>
    <w:rsid w:val="00042FCE"/>
    <w:rsid w:val="000430CB"/>
    <w:rsid w:val="000435D0"/>
    <w:rsid w:val="000437B1"/>
    <w:rsid w:val="00043A34"/>
    <w:rsid w:val="00043DAA"/>
    <w:rsid w:val="000441F1"/>
    <w:rsid w:val="00044AEC"/>
    <w:rsid w:val="00044E3C"/>
    <w:rsid w:val="00046DF5"/>
    <w:rsid w:val="000476DA"/>
    <w:rsid w:val="000505B2"/>
    <w:rsid w:val="00050B03"/>
    <w:rsid w:val="00050DF4"/>
    <w:rsid w:val="00050FA4"/>
    <w:rsid w:val="00051168"/>
    <w:rsid w:val="000516C6"/>
    <w:rsid w:val="00051810"/>
    <w:rsid w:val="00051A51"/>
    <w:rsid w:val="00051B8E"/>
    <w:rsid w:val="0005215B"/>
    <w:rsid w:val="0005284C"/>
    <w:rsid w:val="00052859"/>
    <w:rsid w:val="000548D6"/>
    <w:rsid w:val="00054A4E"/>
    <w:rsid w:val="00054F14"/>
    <w:rsid w:val="00055896"/>
    <w:rsid w:val="00055E78"/>
    <w:rsid w:val="00056FC2"/>
    <w:rsid w:val="0005723B"/>
    <w:rsid w:val="00057392"/>
    <w:rsid w:val="00057B67"/>
    <w:rsid w:val="00057C78"/>
    <w:rsid w:val="00060AEC"/>
    <w:rsid w:val="00061B89"/>
    <w:rsid w:val="00062AB0"/>
    <w:rsid w:val="00062DAA"/>
    <w:rsid w:val="0006341B"/>
    <w:rsid w:val="00064871"/>
    <w:rsid w:val="00065E03"/>
    <w:rsid w:val="00066442"/>
    <w:rsid w:val="00070471"/>
    <w:rsid w:val="0007054F"/>
    <w:rsid w:val="000707B5"/>
    <w:rsid w:val="000708BC"/>
    <w:rsid w:val="000711F7"/>
    <w:rsid w:val="00072565"/>
    <w:rsid w:val="00072E9E"/>
    <w:rsid w:val="0007447B"/>
    <w:rsid w:val="000748D6"/>
    <w:rsid w:val="00074DF0"/>
    <w:rsid w:val="00075289"/>
    <w:rsid w:val="000753C1"/>
    <w:rsid w:val="000753FD"/>
    <w:rsid w:val="00075AC7"/>
    <w:rsid w:val="00076103"/>
    <w:rsid w:val="00076496"/>
    <w:rsid w:val="00081A06"/>
    <w:rsid w:val="000820F9"/>
    <w:rsid w:val="000826AB"/>
    <w:rsid w:val="000832BD"/>
    <w:rsid w:val="00083DFC"/>
    <w:rsid w:val="000848B4"/>
    <w:rsid w:val="00084F22"/>
    <w:rsid w:val="000850B8"/>
    <w:rsid w:val="000855FA"/>
    <w:rsid w:val="00085863"/>
    <w:rsid w:val="00085A65"/>
    <w:rsid w:val="000866ED"/>
    <w:rsid w:val="00086739"/>
    <w:rsid w:val="0008690D"/>
    <w:rsid w:val="00086BF7"/>
    <w:rsid w:val="000871F1"/>
    <w:rsid w:val="00087CF2"/>
    <w:rsid w:val="00090166"/>
    <w:rsid w:val="000914DF"/>
    <w:rsid w:val="00091793"/>
    <w:rsid w:val="000925EB"/>
    <w:rsid w:val="0009262C"/>
    <w:rsid w:val="000956E6"/>
    <w:rsid w:val="000963B6"/>
    <w:rsid w:val="00096586"/>
    <w:rsid w:val="0009749D"/>
    <w:rsid w:val="00097AC3"/>
    <w:rsid w:val="00097D07"/>
    <w:rsid w:val="000A0A58"/>
    <w:rsid w:val="000A0F17"/>
    <w:rsid w:val="000A2347"/>
    <w:rsid w:val="000A6814"/>
    <w:rsid w:val="000A712B"/>
    <w:rsid w:val="000A76A3"/>
    <w:rsid w:val="000B04F1"/>
    <w:rsid w:val="000B153B"/>
    <w:rsid w:val="000B1F28"/>
    <w:rsid w:val="000B28A9"/>
    <w:rsid w:val="000B29CA"/>
    <w:rsid w:val="000B35D3"/>
    <w:rsid w:val="000B3D09"/>
    <w:rsid w:val="000B469C"/>
    <w:rsid w:val="000B4C6B"/>
    <w:rsid w:val="000B586F"/>
    <w:rsid w:val="000B7335"/>
    <w:rsid w:val="000C05AB"/>
    <w:rsid w:val="000C0E61"/>
    <w:rsid w:val="000C14BB"/>
    <w:rsid w:val="000C16D2"/>
    <w:rsid w:val="000C22AD"/>
    <w:rsid w:val="000C2348"/>
    <w:rsid w:val="000C3160"/>
    <w:rsid w:val="000C3898"/>
    <w:rsid w:val="000C618F"/>
    <w:rsid w:val="000C6576"/>
    <w:rsid w:val="000C6785"/>
    <w:rsid w:val="000C7CD4"/>
    <w:rsid w:val="000C7FD3"/>
    <w:rsid w:val="000D047F"/>
    <w:rsid w:val="000D125E"/>
    <w:rsid w:val="000D1963"/>
    <w:rsid w:val="000D21AF"/>
    <w:rsid w:val="000D2635"/>
    <w:rsid w:val="000D578A"/>
    <w:rsid w:val="000D5F5D"/>
    <w:rsid w:val="000D60AB"/>
    <w:rsid w:val="000D64A5"/>
    <w:rsid w:val="000D64D8"/>
    <w:rsid w:val="000D766D"/>
    <w:rsid w:val="000E0EFF"/>
    <w:rsid w:val="000E4E4A"/>
    <w:rsid w:val="000E553C"/>
    <w:rsid w:val="000E55B9"/>
    <w:rsid w:val="000E5EFA"/>
    <w:rsid w:val="000E5FBF"/>
    <w:rsid w:val="000E7011"/>
    <w:rsid w:val="000F0069"/>
    <w:rsid w:val="000F0DB1"/>
    <w:rsid w:val="000F0F7A"/>
    <w:rsid w:val="000F1015"/>
    <w:rsid w:val="000F1512"/>
    <w:rsid w:val="000F303A"/>
    <w:rsid w:val="000F32E4"/>
    <w:rsid w:val="000F3794"/>
    <w:rsid w:val="000F44C8"/>
    <w:rsid w:val="000F4940"/>
    <w:rsid w:val="000F4E75"/>
    <w:rsid w:val="000F5342"/>
    <w:rsid w:val="000F5980"/>
    <w:rsid w:val="000F5BC3"/>
    <w:rsid w:val="000F6DD1"/>
    <w:rsid w:val="000F7287"/>
    <w:rsid w:val="000F7434"/>
    <w:rsid w:val="001000EB"/>
    <w:rsid w:val="001006D5"/>
    <w:rsid w:val="0010169B"/>
    <w:rsid w:val="001016F8"/>
    <w:rsid w:val="001019DD"/>
    <w:rsid w:val="00101CC1"/>
    <w:rsid w:val="00101D33"/>
    <w:rsid w:val="001021A7"/>
    <w:rsid w:val="00102676"/>
    <w:rsid w:val="00102A35"/>
    <w:rsid w:val="00102D1D"/>
    <w:rsid w:val="001031A5"/>
    <w:rsid w:val="00103527"/>
    <w:rsid w:val="00104565"/>
    <w:rsid w:val="00104CCC"/>
    <w:rsid w:val="00104E43"/>
    <w:rsid w:val="001067A8"/>
    <w:rsid w:val="0010759C"/>
    <w:rsid w:val="00107A98"/>
    <w:rsid w:val="00107CE5"/>
    <w:rsid w:val="001102A3"/>
    <w:rsid w:val="00110311"/>
    <w:rsid w:val="0011160B"/>
    <w:rsid w:val="00111BB9"/>
    <w:rsid w:val="00111C24"/>
    <w:rsid w:val="00111D9B"/>
    <w:rsid w:val="00112762"/>
    <w:rsid w:val="001137BB"/>
    <w:rsid w:val="00113B3D"/>
    <w:rsid w:val="00113C1F"/>
    <w:rsid w:val="00114E7B"/>
    <w:rsid w:val="00114F39"/>
    <w:rsid w:val="001156D8"/>
    <w:rsid w:val="001157DB"/>
    <w:rsid w:val="001161CF"/>
    <w:rsid w:val="00116A61"/>
    <w:rsid w:val="00117EFA"/>
    <w:rsid w:val="00120177"/>
    <w:rsid w:val="00120F7E"/>
    <w:rsid w:val="0012192F"/>
    <w:rsid w:val="00121FEC"/>
    <w:rsid w:val="001224A0"/>
    <w:rsid w:val="001228DC"/>
    <w:rsid w:val="00122D48"/>
    <w:rsid w:val="00124018"/>
    <w:rsid w:val="0012401D"/>
    <w:rsid w:val="0012440C"/>
    <w:rsid w:val="0012548D"/>
    <w:rsid w:val="00125507"/>
    <w:rsid w:val="001256D8"/>
    <w:rsid w:val="001258F9"/>
    <w:rsid w:val="001271D8"/>
    <w:rsid w:val="001275A3"/>
    <w:rsid w:val="00130D19"/>
    <w:rsid w:val="00131094"/>
    <w:rsid w:val="001314F1"/>
    <w:rsid w:val="001327D8"/>
    <w:rsid w:val="00132A3A"/>
    <w:rsid w:val="00133204"/>
    <w:rsid w:val="001334C9"/>
    <w:rsid w:val="00134969"/>
    <w:rsid w:val="00134F0F"/>
    <w:rsid w:val="001353FE"/>
    <w:rsid w:val="001359D9"/>
    <w:rsid w:val="00135A3C"/>
    <w:rsid w:val="00135CF1"/>
    <w:rsid w:val="001361AA"/>
    <w:rsid w:val="0013764A"/>
    <w:rsid w:val="00137E97"/>
    <w:rsid w:val="00140D7C"/>
    <w:rsid w:val="00140F25"/>
    <w:rsid w:val="0014131B"/>
    <w:rsid w:val="0014166C"/>
    <w:rsid w:val="001417D3"/>
    <w:rsid w:val="00143189"/>
    <w:rsid w:val="001431F3"/>
    <w:rsid w:val="00143D62"/>
    <w:rsid w:val="00144423"/>
    <w:rsid w:val="00145015"/>
    <w:rsid w:val="001456DF"/>
    <w:rsid w:val="00147C46"/>
    <w:rsid w:val="0015282A"/>
    <w:rsid w:val="00152D6D"/>
    <w:rsid w:val="0015359E"/>
    <w:rsid w:val="001535A2"/>
    <w:rsid w:val="00154632"/>
    <w:rsid w:val="0015541C"/>
    <w:rsid w:val="00155610"/>
    <w:rsid w:val="00155C5C"/>
    <w:rsid w:val="00155C77"/>
    <w:rsid w:val="00155EAD"/>
    <w:rsid w:val="001573F2"/>
    <w:rsid w:val="00157460"/>
    <w:rsid w:val="00157DDB"/>
    <w:rsid w:val="00160004"/>
    <w:rsid w:val="00160FD6"/>
    <w:rsid w:val="0016181A"/>
    <w:rsid w:val="001629AC"/>
    <w:rsid w:val="00163031"/>
    <w:rsid w:val="0016317F"/>
    <w:rsid w:val="001631AA"/>
    <w:rsid w:val="001632C6"/>
    <w:rsid w:val="00163478"/>
    <w:rsid w:val="00163D00"/>
    <w:rsid w:val="001642A9"/>
    <w:rsid w:val="00165D4B"/>
    <w:rsid w:val="00166E01"/>
    <w:rsid w:val="00167AEC"/>
    <w:rsid w:val="001710FE"/>
    <w:rsid w:val="0017259E"/>
    <w:rsid w:val="001749C5"/>
    <w:rsid w:val="00175564"/>
    <w:rsid w:val="00175F23"/>
    <w:rsid w:val="001772A9"/>
    <w:rsid w:val="00177443"/>
    <w:rsid w:val="0017765F"/>
    <w:rsid w:val="00177E64"/>
    <w:rsid w:val="00180684"/>
    <w:rsid w:val="00181A66"/>
    <w:rsid w:val="00181A8E"/>
    <w:rsid w:val="001820C1"/>
    <w:rsid w:val="00182F3B"/>
    <w:rsid w:val="00183050"/>
    <w:rsid w:val="00183451"/>
    <w:rsid w:val="00183565"/>
    <w:rsid w:val="00184154"/>
    <w:rsid w:val="00184294"/>
    <w:rsid w:val="00184D62"/>
    <w:rsid w:val="001860DA"/>
    <w:rsid w:val="00186BBA"/>
    <w:rsid w:val="00187C78"/>
    <w:rsid w:val="00190634"/>
    <w:rsid w:val="00190D1D"/>
    <w:rsid w:val="00191E33"/>
    <w:rsid w:val="00192237"/>
    <w:rsid w:val="00193642"/>
    <w:rsid w:val="00193EEE"/>
    <w:rsid w:val="001964F0"/>
    <w:rsid w:val="001966F5"/>
    <w:rsid w:val="001A0657"/>
    <w:rsid w:val="001A067D"/>
    <w:rsid w:val="001A22E3"/>
    <w:rsid w:val="001A2568"/>
    <w:rsid w:val="001A3BF1"/>
    <w:rsid w:val="001A3D9A"/>
    <w:rsid w:val="001A3F3F"/>
    <w:rsid w:val="001A56C3"/>
    <w:rsid w:val="001A604E"/>
    <w:rsid w:val="001A6150"/>
    <w:rsid w:val="001A7CCF"/>
    <w:rsid w:val="001B0979"/>
    <w:rsid w:val="001B42B6"/>
    <w:rsid w:val="001B49F3"/>
    <w:rsid w:val="001B5177"/>
    <w:rsid w:val="001B5481"/>
    <w:rsid w:val="001B67C0"/>
    <w:rsid w:val="001B6D81"/>
    <w:rsid w:val="001B754B"/>
    <w:rsid w:val="001C39FB"/>
    <w:rsid w:val="001C3C47"/>
    <w:rsid w:val="001C50D7"/>
    <w:rsid w:val="001C5D3A"/>
    <w:rsid w:val="001C5E3D"/>
    <w:rsid w:val="001C6718"/>
    <w:rsid w:val="001C6DEB"/>
    <w:rsid w:val="001D01FE"/>
    <w:rsid w:val="001D0ACD"/>
    <w:rsid w:val="001D1527"/>
    <w:rsid w:val="001D1A68"/>
    <w:rsid w:val="001D2033"/>
    <w:rsid w:val="001D2249"/>
    <w:rsid w:val="001D2958"/>
    <w:rsid w:val="001D35FE"/>
    <w:rsid w:val="001D3C75"/>
    <w:rsid w:val="001D483E"/>
    <w:rsid w:val="001D49A9"/>
    <w:rsid w:val="001D4C67"/>
    <w:rsid w:val="001D51D3"/>
    <w:rsid w:val="001D540B"/>
    <w:rsid w:val="001D55C8"/>
    <w:rsid w:val="001D5B4D"/>
    <w:rsid w:val="001D6AE7"/>
    <w:rsid w:val="001D76A6"/>
    <w:rsid w:val="001E20A4"/>
    <w:rsid w:val="001E286F"/>
    <w:rsid w:val="001E3B21"/>
    <w:rsid w:val="001E3C47"/>
    <w:rsid w:val="001E5950"/>
    <w:rsid w:val="001E5F41"/>
    <w:rsid w:val="001E787A"/>
    <w:rsid w:val="001F01E2"/>
    <w:rsid w:val="001F066F"/>
    <w:rsid w:val="001F0D1C"/>
    <w:rsid w:val="001F1411"/>
    <w:rsid w:val="001F16F6"/>
    <w:rsid w:val="001F276A"/>
    <w:rsid w:val="001F2BDA"/>
    <w:rsid w:val="001F32BD"/>
    <w:rsid w:val="001F5128"/>
    <w:rsid w:val="001F5870"/>
    <w:rsid w:val="001F6CB7"/>
    <w:rsid w:val="001F7233"/>
    <w:rsid w:val="001F7DC3"/>
    <w:rsid w:val="002003B1"/>
    <w:rsid w:val="0020052D"/>
    <w:rsid w:val="002014ED"/>
    <w:rsid w:val="00201A09"/>
    <w:rsid w:val="00201A29"/>
    <w:rsid w:val="0020228B"/>
    <w:rsid w:val="00202DCB"/>
    <w:rsid w:val="00202DFC"/>
    <w:rsid w:val="0020546E"/>
    <w:rsid w:val="00205CBC"/>
    <w:rsid w:val="00205CE0"/>
    <w:rsid w:val="0020677D"/>
    <w:rsid w:val="002074CB"/>
    <w:rsid w:val="002102C9"/>
    <w:rsid w:val="0021037C"/>
    <w:rsid w:val="00211998"/>
    <w:rsid w:val="002124EB"/>
    <w:rsid w:val="00212B83"/>
    <w:rsid w:val="00214CB5"/>
    <w:rsid w:val="002151AB"/>
    <w:rsid w:val="002166F7"/>
    <w:rsid w:val="00217615"/>
    <w:rsid w:val="00217A9A"/>
    <w:rsid w:val="0022002F"/>
    <w:rsid w:val="0022098E"/>
    <w:rsid w:val="00220A7D"/>
    <w:rsid w:val="00221749"/>
    <w:rsid w:val="00221DB9"/>
    <w:rsid w:val="00222C5E"/>
    <w:rsid w:val="00222D7F"/>
    <w:rsid w:val="0022440C"/>
    <w:rsid w:val="002247CB"/>
    <w:rsid w:val="00224BC0"/>
    <w:rsid w:val="00224D4C"/>
    <w:rsid w:val="00225446"/>
    <w:rsid w:val="00225C67"/>
    <w:rsid w:val="002262CA"/>
    <w:rsid w:val="00226D47"/>
    <w:rsid w:val="002276C6"/>
    <w:rsid w:val="00227CBC"/>
    <w:rsid w:val="00227E41"/>
    <w:rsid w:val="0023016E"/>
    <w:rsid w:val="002306BC"/>
    <w:rsid w:val="00230A42"/>
    <w:rsid w:val="00232562"/>
    <w:rsid w:val="0023275F"/>
    <w:rsid w:val="002331C3"/>
    <w:rsid w:val="002334AB"/>
    <w:rsid w:val="002338BB"/>
    <w:rsid w:val="00234B5A"/>
    <w:rsid w:val="00234BEC"/>
    <w:rsid w:val="00235508"/>
    <w:rsid w:val="00235D41"/>
    <w:rsid w:val="00236E06"/>
    <w:rsid w:val="00237126"/>
    <w:rsid w:val="002376B9"/>
    <w:rsid w:val="00237B04"/>
    <w:rsid w:val="00240530"/>
    <w:rsid w:val="00240A11"/>
    <w:rsid w:val="00240BE6"/>
    <w:rsid w:val="00241496"/>
    <w:rsid w:val="0024164E"/>
    <w:rsid w:val="00241E2A"/>
    <w:rsid w:val="0024219B"/>
    <w:rsid w:val="002422F5"/>
    <w:rsid w:val="002430CD"/>
    <w:rsid w:val="00243306"/>
    <w:rsid w:val="00243691"/>
    <w:rsid w:val="00243F16"/>
    <w:rsid w:val="0024491F"/>
    <w:rsid w:val="002452F2"/>
    <w:rsid w:val="00245665"/>
    <w:rsid w:val="00245C80"/>
    <w:rsid w:val="00246A9E"/>
    <w:rsid w:val="00246E09"/>
    <w:rsid w:val="002472FC"/>
    <w:rsid w:val="00247D7C"/>
    <w:rsid w:val="002505DF"/>
    <w:rsid w:val="00250B15"/>
    <w:rsid w:val="00251145"/>
    <w:rsid w:val="00251961"/>
    <w:rsid w:val="00251B5E"/>
    <w:rsid w:val="00252084"/>
    <w:rsid w:val="0025227D"/>
    <w:rsid w:val="002525B4"/>
    <w:rsid w:val="0025282A"/>
    <w:rsid w:val="0025290F"/>
    <w:rsid w:val="002558BF"/>
    <w:rsid w:val="0025690E"/>
    <w:rsid w:val="00256B57"/>
    <w:rsid w:val="00256C2B"/>
    <w:rsid w:val="0025721F"/>
    <w:rsid w:val="00257A61"/>
    <w:rsid w:val="00257BBF"/>
    <w:rsid w:val="00257F17"/>
    <w:rsid w:val="0026029D"/>
    <w:rsid w:val="0026086C"/>
    <w:rsid w:val="00260CEC"/>
    <w:rsid w:val="00261442"/>
    <w:rsid w:val="002624EA"/>
    <w:rsid w:val="002629C7"/>
    <w:rsid w:val="002634D3"/>
    <w:rsid w:val="00263CE4"/>
    <w:rsid w:val="002642FD"/>
    <w:rsid w:val="0026449F"/>
    <w:rsid w:val="0026465C"/>
    <w:rsid w:val="002651D6"/>
    <w:rsid w:val="002652DF"/>
    <w:rsid w:val="0026559E"/>
    <w:rsid w:val="00265D11"/>
    <w:rsid w:val="00266020"/>
    <w:rsid w:val="00266E74"/>
    <w:rsid w:val="002673F4"/>
    <w:rsid w:val="002678DF"/>
    <w:rsid w:val="002679CC"/>
    <w:rsid w:val="002704B1"/>
    <w:rsid w:val="002706EE"/>
    <w:rsid w:val="00271001"/>
    <w:rsid w:val="00271476"/>
    <w:rsid w:val="00271780"/>
    <w:rsid w:val="00271958"/>
    <w:rsid w:val="00271A33"/>
    <w:rsid w:val="0027255D"/>
    <w:rsid w:val="00272699"/>
    <w:rsid w:val="002735E8"/>
    <w:rsid w:val="00273BC9"/>
    <w:rsid w:val="00275266"/>
    <w:rsid w:val="00275B7D"/>
    <w:rsid w:val="00276A5A"/>
    <w:rsid w:val="0027761D"/>
    <w:rsid w:val="002800AA"/>
    <w:rsid w:val="00280DFD"/>
    <w:rsid w:val="002815CF"/>
    <w:rsid w:val="00282D0F"/>
    <w:rsid w:val="00284377"/>
    <w:rsid w:val="002848E0"/>
    <w:rsid w:val="00286F91"/>
    <w:rsid w:val="00287227"/>
    <w:rsid w:val="00290E15"/>
    <w:rsid w:val="00291CDE"/>
    <w:rsid w:val="00291F62"/>
    <w:rsid w:val="002920E1"/>
    <w:rsid w:val="0029228E"/>
    <w:rsid w:val="0029364E"/>
    <w:rsid w:val="0029497F"/>
    <w:rsid w:val="002950F2"/>
    <w:rsid w:val="002952F7"/>
    <w:rsid w:val="0029679C"/>
    <w:rsid w:val="00296C51"/>
    <w:rsid w:val="00296E21"/>
    <w:rsid w:val="00297ACF"/>
    <w:rsid w:val="002A1CD9"/>
    <w:rsid w:val="002A2453"/>
    <w:rsid w:val="002A2614"/>
    <w:rsid w:val="002A2FFB"/>
    <w:rsid w:val="002A32B1"/>
    <w:rsid w:val="002A4B38"/>
    <w:rsid w:val="002A740C"/>
    <w:rsid w:val="002A7722"/>
    <w:rsid w:val="002B1A6C"/>
    <w:rsid w:val="002B2EB9"/>
    <w:rsid w:val="002B30D9"/>
    <w:rsid w:val="002B3C68"/>
    <w:rsid w:val="002B447F"/>
    <w:rsid w:val="002B4863"/>
    <w:rsid w:val="002B4882"/>
    <w:rsid w:val="002B48B3"/>
    <w:rsid w:val="002B48FF"/>
    <w:rsid w:val="002B58FF"/>
    <w:rsid w:val="002B6D57"/>
    <w:rsid w:val="002B7A4B"/>
    <w:rsid w:val="002C0087"/>
    <w:rsid w:val="002C0295"/>
    <w:rsid w:val="002C04A3"/>
    <w:rsid w:val="002C1884"/>
    <w:rsid w:val="002C1A28"/>
    <w:rsid w:val="002C28BB"/>
    <w:rsid w:val="002C2978"/>
    <w:rsid w:val="002C2C37"/>
    <w:rsid w:val="002C2DBF"/>
    <w:rsid w:val="002C5111"/>
    <w:rsid w:val="002C5880"/>
    <w:rsid w:val="002C6B39"/>
    <w:rsid w:val="002C7033"/>
    <w:rsid w:val="002C709C"/>
    <w:rsid w:val="002C75F1"/>
    <w:rsid w:val="002C7673"/>
    <w:rsid w:val="002D0F15"/>
    <w:rsid w:val="002D0FE0"/>
    <w:rsid w:val="002D101D"/>
    <w:rsid w:val="002D1F0F"/>
    <w:rsid w:val="002D38D1"/>
    <w:rsid w:val="002D3928"/>
    <w:rsid w:val="002D5793"/>
    <w:rsid w:val="002D6354"/>
    <w:rsid w:val="002D687C"/>
    <w:rsid w:val="002D7EC9"/>
    <w:rsid w:val="002E0424"/>
    <w:rsid w:val="002E0A5E"/>
    <w:rsid w:val="002E1129"/>
    <w:rsid w:val="002E12FF"/>
    <w:rsid w:val="002E1848"/>
    <w:rsid w:val="002E1A07"/>
    <w:rsid w:val="002E1E02"/>
    <w:rsid w:val="002E44B8"/>
    <w:rsid w:val="002E4A36"/>
    <w:rsid w:val="002E55EF"/>
    <w:rsid w:val="002E5CA5"/>
    <w:rsid w:val="002E6D1A"/>
    <w:rsid w:val="002E6D7D"/>
    <w:rsid w:val="002E7D96"/>
    <w:rsid w:val="002F142F"/>
    <w:rsid w:val="002F157C"/>
    <w:rsid w:val="002F1D14"/>
    <w:rsid w:val="002F2130"/>
    <w:rsid w:val="002F2193"/>
    <w:rsid w:val="002F31F0"/>
    <w:rsid w:val="002F39CA"/>
    <w:rsid w:val="002F43D2"/>
    <w:rsid w:val="002F4A58"/>
    <w:rsid w:val="002F4E45"/>
    <w:rsid w:val="002F606F"/>
    <w:rsid w:val="003006C8"/>
    <w:rsid w:val="003009ED"/>
    <w:rsid w:val="00300D91"/>
    <w:rsid w:val="00300DF7"/>
    <w:rsid w:val="00300E9C"/>
    <w:rsid w:val="00301B4F"/>
    <w:rsid w:val="00301F63"/>
    <w:rsid w:val="003020FC"/>
    <w:rsid w:val="00303007"/>
    <w:rsid w:val="003032BE"/>
    <w:rsid w:val="0030410C"/>
    <w:rsid w:val="003048C6"/>
    <w:rsid w:val="00304903"/>
    <w:rsid w:val="003053FE"/>
    <w:rsid w:val="003067BA"/>
    <w:rsid w:val="003069F8"/>
    <w:rsid w:val="00306DFE"/>
    <w:rsid w:val="003072A5"/>
    <w:rsid w:val="00310300"/>
    <w:rsid w:val="0031058D"/>
    <w:rsid w:val="003108F2"/>
    <w:rsid w:val="00310D45"/>
    <w:rsid w:val="00310F75"/>
    <w:rsid w:val="00310FAD"/>
    <w:rsid w:val="0031199C"/>
    <w:rsid w:val="00312262"/>
    <w:rsid w:val="00312C30"/>
    <w:rsid w:val="00313745"/>
    <w:rsid w:val="003137EC"/>
    <w:rsid w:val="0031640C"/>
    <w:rsid w:val="00317A60"/>
    <w:rsid w:val="003205E6"/>
    <w:rsid w:val="00320949"/>
    <w:rsid w:val="00320A93"/>
    <w:rsid w:val="00320F0D"/>
    <w:rsid w:val="00321AD7"/>
    <w:rsid w:val="00321E6C"/>
    <w:rsid w:val="00322334"/>
    <w:rsid w:val="00322DBB"/>
    <w:rsid w:val="00322F2C"/>
    <w:rsid w:val="0032304E"/>
    <w:rsid w:val="00323062"/>
    <w:rsid w:val="003237F5"/>
    <w:rsid w:val="00323C3A"/>
    <w:rsid w:val="00323F75"/>
    <w:rsid w:val="003244EC"/>
    <w:rsid w:val="00324B21"/>
    <w:rsid w:val="00324EFF"/>
    <w:rsid w:val="00325A10"/>
    <w:rsid w:val="00325BAF"/>
    <w:rsid w:val="00326EFF"/>
    <w:rsid w:val="00327AEB"/>
    <w:rsid w:val="003309B9"/>
    <w:rsid w:val="003325C2"/>
    <w:rsid w:val="00332F37"/>
    <w:rsid w:val="003334F6"/>
    <w:rsid w:val="00333B78"/>
    <w:rsid w:val="00334E7A"/>
    <w:rsid w:val="00334F6E"/>
    <w:rsid w:val="0033514F"/>
    <w:rsid w:val="0033771B"/>
    <w:rsid w:val="00340814"/>
    <w:rsid w:val="003424E3"/>
    <w:rsid w:val="003430BA"/>
    <w:rsid w:val="003443C5"/>
    <w:rsid w:val="00344BAB"/>
    <w:rsid w:val="00344E63"/>
    <w:rsid w:val="003467D0"/>
    <w:rsid w:val="00346B6F"/>
    <w:rsid w:val="003473F3"/>
    <w:rsid w:val="00347B99"/>
    <w:rsid w:val="003500D9"/>
    <w:rsid w:val="00350152"/>
    <w:rsid w:val="00351393"/>
    <w:rsid w:val="003515C9"/>
    <w:rsid w:val="003517AB"/>
    <w:rsid w:val="00351F07"/>
    <w:rsid w:val="00352197"/>
    <w:rsid w:val="00352DCD"/>
    <w:rsid w:val="003530C4"/>
    <w:rsid w:val="00354BDE"/>
    <w:rsid w:val="003559B2"/>
    <w:rsid w:val="00355D98"/>
    <w:rsid w:val="003562BB"/>
    <w:rsid w:val="00356403"/>
    <w:rsid w:val="00360555"/>
    <w:rsid w:val="0036056D"/>
    <w:rsid w:val="00360C85"/>
    <w:rsid w:val="00360FF4"/>
    <w:rsid w:val="00361AD6"/>
    <w:rsid w:val="003620AF"/>
    <w:rsid w:val="003624AF"/>
    <w:rsid w:val="003638C5"/>
    <w:rsid w:val="00363FDD"/>
    <w:rsid w:val="003646A0"/>
    <w:rsid w:val="00365736"/>
    <w:rsid w:val="00365AB1"/>
    <w:rsid w:val="00365F61"/>
    <w:rsid w:val="003666C4"/>
    <w:rsid w:val="003670C8"/>
    <w:rsid w:val="00370668"/>
    <w:rsid w:val="00372289"/>
    <w:rsid w:val="003726C0"/>
    <w:rsid w:val="00372944"/>
    <w:rsid w:val="003737D7"/>
    <w:rsid w:val="0037420E"/>
    <w:rsid w:val="0037429A"/>
    <w:rsid w:val="003749C8"/>
    <w:rsid w:val="003769F0"/>
    <w:rsid w:val="00377F7F"/>
    <w:rsid w:val="00380805"/>
    <w:rsid w:val="003815FE"/>
    <w:rsid w:val="003821CA"/>
    <w:rsid w:val="00382D79"/>
    <w:rsid w:val="003836EF"/>
    <w:rsid w:val="00383DED"/>
    <w:rsid w:val="003840C5"/>
    <w:rsid w:val="003841A0"/>
    <w:rsid w:val="0038504E"/>
    <w:rsid w:val="003860B5"/>
    <w:rsid w:val="003870AF"/>
    <w:rsid w:val="003871C2"/>
    <w:rsid w:val="0039034C"/>
    <w:rsid w:val="00390752"/>
    <w:rsid w:val="00391E77"/>
    <w:rsid w:val="00392277"/>
    <w:rsid w:val="00392847"/>
    <w:rsid w:val="00394871"/>
    <w:rsid w:val="00395143"/>
    <w:rsid w:val="0039534C"/>
    <w:rsid w:val="0039576B"/>
    <w:rsid w:val="00395F64"/>
    <w:rsid w:val="00396396"/>
    <w:rsid w:val="00397BE0"/>
    <w:rsid w:val="00397BE2"/>
    <w:rsid w:val="003A1670"/>
    <w:rsid w:val="003A2550"/>
    <w:rsid w:val="003A259E"/>
    <w:rsid w:val="003A290A"/>
    <w:rsid w:val="003A3919"/>
    <w:rsid w:val="003A3AB0"/>
    <w:rsid w:val="003A3AD8"/>
    <w:rsid w:val="003A3E3F"/>
    <w:rsid w:val="003A3F28"/>
    <w:rsid w:val="003A6CB7"/>
    <w:rsid w:val="003A7735"/>
    <w:rsid w:val="003A7F93"/>
    <w:rsid w:val="003B0050"/>
    <w:rsid w:val="003B0051"/>
    <w:rsid w:val="003B140A"/>
    <w:rsid w:val="003B1866"/>
    <w:rsid w:val="003B25DE"/>
    <w:rsid w:val="003B26EC"/>
    <w:rsid w:val="003B2CC4"/>
    <w:rsid w:val="003B2FAF"/>
    <w:rsid w:val="003B316C"/>
    <w:rsid w:val="003B578A"/>
    <w:rsid w:val="003B5828"/>
    <w:rsid w:val="003B5A95"/>
    <w:rsid w:val="003B62E6"/>
    <w:rsid w:val="003B7480"/>
    <w:rsid w:val="003B7695"/>
    <w:rsid w:val="003C0CFB"/>
    <w:rsid w:val="003C1B83"/>
    <w:rsid w:val="003C1F84"/>
    <w:rsid w:val="003C36AE"/>
    <w:rsid w:val="003C4A3F"/>
    <w:rsid w:val="003C5778"/>
    <w:rsid w:val="003C58FB"/>
    <w:rsid w:val="003C6BC3"/>
    <w:rsid w:val="003C6FA3"/>
    <w:rsid w:val="003C731B"/>
    <w:rsid w:val="003C7416"/>
    <w:rsid w:val="003C74A1"/>
    <w:rsid w:val="003C7885"/>
    <w:rsid w:val="003D04BA"/>
    <w:rsid w:val="003D0A31"/>
    <w:rsid w:val="003D0C68"/>
    <w:rsid w:val="003D1384"/>
    <w:rsid w:val="003D18CB"/>
    <w:rsid w:val="003D4FBC"/>
    <w:rsid w:val="003D62EE"/>
    <w:rsid w:val="003D6982"/>
    <w:rsid w:val="003D796A"/>
    <w:rsid w:val="003E03F4"/>
    <w:rsid w:val="003E2318"/>
    <w:rsid w:val="003E2E17"/>
    <w:rsid w:val="003E2F83"/>
    <w:rsid w:val="003E38F9"/>
    <w:rsid w:val="003E393D"/>
    <w:rsid w:val="003E3C2C"/>
    <w:rsid w:val="003E4622"/>
    <w:rsid w:val="003E4690"/>
    <w:rsid w:val="003F1657"/>
    <w:rsid w:val="003F265E"/>
    <w:rsid w:val="003F2892"/>
    <w:rsid w:val="003F2F21"/>
    <w:rsid w:val="003F3870"/>
    <w:rsid w:val="003F3E4A"/>
    <w:rsid w:val="003F41CE"/>
    <w:rsid w:val="003F5C71"/>
    <w:rsid w:val="0040007F"/>
    <w:rsid w:val="00400495"/>
    <w:rsid w:val="00400E49"/>
    <w:rsid w:val="004020BB"/>
    <w:rsid w:val="00402182"/>
    <w:rsid w:val="004029E7"/>
    <w:rsid w:val="00404246"/>
    <w:rsid w:val="00404E20"/>
    <w:rsid w:val="00405562"/>
    <w:rsid w:val="00405EF4"/>
    <w:rsid w:val="0040629F"/>
    <w:rsid w:val="0040657A"/>
    <w:rsid w:val="00406D73"/>
    <w:rsid w:val="00407085"/>
    <w:rsid w:val="00407AEE"/>
    <w:rsid w:val="00407D22"/>
    <w:rsid w:val="00410710"/>
    <w:rsid w:val="00410A68"/>
    <w:rsid w:val="0041175F"/>
    <w:rsid w:val="00411B4F"/>
    <w:rsid w:val="00411CCE"/>
    <w:rsid w:val="0041225F"/>
    <w:rsid w:val="0041284C"/>
    <w:rsid w:val="00414FAB"/>
    <w:rsid w:val="004151CA"/>
    <w:rsid w:val="00415843"/>
    <w:rsid w:val="0041689B"/>
    <w:rsid w:val="00416EAE"/>
    <w:rsid w:val="00417026"/>
    <w:rsid w:val="00420F0C"/>
    <w:rsid w:val="0042193A"/>
    <w:rsid w:val="00421DFB"/>
    <w:rsid w:val="004221D1"/>
    <w:rsid w:val="00423A6B"/>
    <w:rsid w:val="00424561"/>
    <w:rsid w:val="004256B3"/>
    <w:rsid w:val="00426339"/>
    <w:rsid w:val="00426DE5"/>
    <w:rsid w:val="0042773F"/>
    <w:rsid w:val="004303F3"/>
    <w:rsid w:val="00431904"/>
    <w:rsid w:val="00431BB0"/>
    <w:rsid w:val="00432158"/>
    <w:rsid w:val="004321FD"/>
    <w:rsid w:val="00432FE9"/>
    <w:rsid w:val="0043300E"/>
    <w:rsid w:val="00434368"/>
    <w:rsid w:val="00435254"/>
    <w:rsid w:val="0043679B"/>
    <w:rsid w:val="00436A1C"/>
    <w:rsid w:val="00441C8E"/>
    <w:rsid w:val="00442B58"/>
    <w:rsid w:val="00443D64"/>
    <w:rsid w:val="00444226"/>
    <w:rsid w:val="00444862"/>
    <w:rsid w:val="004452DB"/>
    <w:rsid w:val="00447061"/>
    <w:rsid w:val="004478F4"/>
    <w:rsid w:val="00447BD4"/>
    <w:rsid w:val="00450243"/>
    <w:rsid w:val="0045025D"/>
    <w:rsid w:val="0045051D"/>
    <w:rsid w:val="004509AA"/>
    <w:rsid w:val="00450ABC"/>
    <w:rsid w:val="00452FF8"/>
    <w:rsid w:val="00453049"/>
    <w:rsid w:val="004542B9"/>
    <w:rsid w:val="004543D1"/>
    <w:rsid w:val="004553DD"/>
    <w:rsid w:val="00455E1C"/>
    <w:rsid w:val="004569DF"/>
    <w:rsid w:val="00457400"/>
    <w:rsid w:val="00457865"/>
    <w:rsid w:val="00460D00"/>
    <w:rsid w:val="00461334"/>
    <w:rsid w:val="004621AB"/>
    <w:rsid w:val="00463585"/>
    <w:rsid w:val="00463C77"/>
    <w:rsid w:val="00463ECA"/>
    <w:rsid w:val="004651EA"/>
    <w:rsid w:val="00465B20"/>
    <w:rsid w:val="00465F34"/>
    <w:rsid w:val="00466BE1"/>
    <w:rsid w:val="004670DA"/>
    <w:rsid w:val="0046776D"/>
    <w:rsid w:val="004713B0"/>
    <w:rsid w:val="00472CCD"/>
    <w:rsid w:val="00473482"/>
    <w:rsid w:val="004744D6"/>
    <w:rsid w:val="00474AB5"/>
    <w:rsid w:val="00475427"/>
    <w:rsid w:val="00476A6B"/>
    <w:rsid w:val="004772F3"/>
    <w:rsid w:val="00477487"/>
    <w:rsid w:val="0047777A"/>
    <w:rsid w:val="00477959"/>
    <w:rsid w:val="00477B0E"/>
    <w:rsid w:val="00477F02"/>
    <w:rsid w:val="004805AA"/>
    <w:rsid w:val="00481985"/>
    <w:rsid w:val="004824A7"/>
    <w:rsid w:val="004827FB"/>
    <w:rsid w:val="0048350F"/>
    <w:rsid w:val="00484553"/>
    <w:rsid w:val="00484C84"/>
    <w:rsid w:val="0048510C"/>
    <w:rsid w:val="0048590C"/>
    <w:rsid w:val="00485B35"/>
    <w:rsid w:val="00485D50"/>
    <w:rsid w:val="004879C7"/>
    <w:rsid w:val="00487BC7"/>
    <w:rsid w:val="00487E14"/>
    <w:rsid w:val="0049059F"/>
    <w:rsid w:val="00490C99"/>
    <w:rsid w:val="00490E6E"/>
    <w:rsid w:val="004938C7"/>
    <w:rsid w:val="0049445A"/>
    <w:rsid w:val="00494E71"/>
    <w:rsid w:val="004952A7"/>
    <w:rsid w:val="00495A7C"/>
    <w:rsid w:val="00496939"/>
    <w:rsid w:val="00496CA5"/>
    <w:rsid w:val="00497096"/>
    <w:rsid w:val="004A00DC"/>
    <w:rsid w:val="004A07C8"/>
    <w:rsid w:val="004A0D29"/>
    <w:rsid w:val="004A151F"/>
    <w:rsid w:val="004A16AA"/>
    <w:rsid w:val="004A174D"/>
    <w:rsid w:val="004A1BAE"/>
    <w:rsid w:val="004A1D77"/>
    <w:rsid w:val="004A22B3"/>
    <w:rsid w:val="004A2A1D"/>
    <w:rsid w:val="004A4759"/>
    <w:rsid w:val="004A4FEA"/>
    <w:rsid w:val="004A63B4"/>
    <w:rsid w:val="004A6439"/>
    <w:rsid w:val="004A6AF4"/>
    <w:rsid w:val="004A6EBE"/>
    <w:rsid w:val="004A7282"/>
    <w:rsid w:val="004B041F"/>
    <w:rsid w:val="004B07E7"/>
    <w:rsid w:val="004B0A6B"/>
    <w:rsid w:val="004B219F"/>
    <w:rsid w:val="004B2882"/>
    <w:rsid w:val="004B30D4"/>
    <w:rsid w:val="004B3323"/>
    <w:rsid w:val="004B3E6E"/>
    <w:rsid w:val="004B4673"/>
    <w:rsid w:val="004C0CC0"/>
    <w:rsid w:val="004C1222"/>
    <w:rsid w:val="004C1769"/>
    <w:rsid w:val="004C2804"/>
    <w:rsid w:val="004C2B3C"/>
    <w:rsid w:val="004C496C"/>
    <w:rsid w:val="004C4A93"/>
    <w:rsid w:val="004C4BF7"/>
    <w:rsid w:val="004C4C2E"/>
    <w:rsid w:val="004C50B2"/>
    <w:rsid w:val="004C532B"/>
    <w:rsid w:val="004C5984"/>
    <w:rsid w:val="004C5BF4"/>
    <w:rsid w:val="004C62C5"/>
    <w:rsid w:val="004C6C53"/>
    <w:rsid w:val="004C6E08"/>
    <w:rsid w:val="004C73AA"/>
    <w:rsid w:val="004C7588"/>
    <w:rsid w:val="004C794D"/>
    <w:rsid w:val="004D00FE"/>
    <w:rsid w:val="004D032B"/>
    <w:rsid w:val="004D06EB"/>
    <w:rsid w:val="004D0F0C"/>
    <w:rsid w:val="004D12CB"/>
    <w:rsid w:val="004D1B57"/>
    <w:rsid w:val="004D25B9"/>
    <w:rsid w:val="004D3548"/>
    <w:rsid w:val="004D3824"/>
    <w:rsid w:val="004D413B"/>
    <w:rsid w:val="004D4CA9"/>
    <w:rsid w:val="004D4FCA"/>
    <w:rsid w:val="004D6ABA"/>
    <w:rsid w:val="004D6DFB"/>
    <w:rsid w:val="004D6F99"/>
    <w:rsid w:val="004E1C9B"/>
    <w:rsid w:val="004E1D3F"/>
    <w:rsid w:val="004E1E9A"/>
    <w:rsid w:val="004E2C5E"/>
    <w:rsid w:val="004E398D"/>
    <w:rsid w:val="004E3D54"/>
    <w:rsid w:val="004E42F3"/>
    <w:rsid w:val="004E494E"/>
    <w:rsid w:val="004E5583"/>
    <w:rsid w:val="004E56F9"/>
    <w:rsid w:val="004E5719"/>
    <w:rsid w:val="004E59F3"/>
    <w:rsid w:val="004E6258"/>
    <w:rsid w:val="004E6340"/>
    <w:rsid w:val="004F0945"/>
    <w:rsid w:val="004F0DB0"/>
    <w:rsid w:val="004F0DEC"/>
    <w:rsid w:val="004F16A8"/>
    <w:rsid w:val="004F2B25"/>
    <w:rsid w:val="004F2D49"/>
    <w:rsid w:val="004F2F43"/>
    <w:rsid w:val="004F3C6E"/>
    <w:rsid w:val="004F4A41"/>
    <w:rsid w:val="004F4DD5"/>
    <w:rsid w:val="004F50D9"/>
    <w:rsid w:val="004F53DA"/>
    <w:rsid w:val="004F5E6E"/>
    <w:rsid w:val="004F6092"/>
    <w:rsid w:val="004F62C2"/>
    <w:rsid w:val="004F69F2"/>
    <w:rsid w:val="004F735C"/>
    <w:rsid w:val="004F7D49"/>
    <w:rsid w:val="005001DD"/>
    <w:rsid w:val="005020A7"/>
    <w:rsid w:val="005021D2"/>
    <w:rsid w:val="00503983"/>
    <w:rsid w:val="00505366"/>
    <w:rsid w:val="00505440"/>
    <w:rsid w:val="005065AF"/>
    <w:rsid w:val="00506838"/>
    <w:rsid w:val="00506D44"/>
    <w:rsid w:val="00506FA9"/>
    <w:rsid w:val="0050718C"/>
    <w:rsid w:val="00507543"/>
    <w:rsid w:val="005077EC"/>
    <w:rsid w:val="00507DAC"/>
    <w:rsid w:val="00510896"/>
    <w:rsid w:val="00510B05"/>
    <w:rsid w:val="00510F24"/>
    <w:rsid w:val="00511432"/>
    <w:rsid w:val="00511A82"/>
    <w:rsid w:val="0051331B"/>
    <w:rsid w:val="00513B9F"/>
    <w:rsid w:val="0051455D"/>
    <w:rsid w:val="00514625"/>
    <w:rsid w:val="00514BE3"/>
    <w:rsid w:val="00514F1C"/>
    <w:rsid w:val="0051679C"/>
    <w:rsid w:val="005170A9"/>
    <w:rsid w:val="005174E1"/>
    <w:rsid w:val="005176C9"/>
    <w:rsid w:val="00517C0A"/>
    <w:rsid w:val="005216A7"/>
    <w:rsid w:val="00522983"/>
    <w:rsid w:val="00523551"/>
    <w:rsid w:val="00523EC3"/>
    <w:rsid w:val="00523F0F"/>
    <w:rsid w:val="00524F5A"/>
    <w:rsid w:val="00525629"/>
    <w:rsid w:val="0052571C"/>
    <w:rsid w:val="00525980"/>
    <w:rsid w:val="00525C4E"/>
    <w:rsid w:val="00525E6C"/>
    <w:rsid w:val="005262A0"/>
    <w:rsid w:val="0052677F"/>
    <w:rsid w:val="00526A6D"/>
    <w:rsid w:val="00530D13"/>
    <w:rsid w:val="0053192D"/>
    <w:rsid w:val="00531A48"/>
    <w:rsid w:val="005337FE"/>
    <w:rsid w:val="0053391E"/>
    <w:rsid w:val="00533EB3"/>
    <w:rsid w:val="00534204"/>
    <w:rsid w:val="00534BC9"/>
    <w:rsid w:val="00534C97"/>
    <w:rsid w:val="0053651F"/>
    <w:rsid w:val="00536B4A"/>
    <w:rsid w:val="00537CB9"/>
    <w:rsid w:val="00540D4C"/>
    <w:rsid w:val="00541233"/>
    <w:rsid w:val="0054201B"/>
    <w:rsid w:val="00542369"/>
    <w:rsid w:val="0054248C"/>
    <w:rsid w:val="00542B24"/>
    <w:rsid w:val="00542F2C"/>
    <w:rsid w:val="005436B8"/>
    <w:rsid w:val="005451D6"/>
    <w:rsid w:val="0054735C"/>
    <w:rsid w:val="00547ABE"/>
    <w:rsid w:val="00550EC1"/>
    <w:rsid w:val="00551548"/>
    <w:rsid w:val="005515B6"/>
    <w:rsid w:val="00554A45"/>
    <w:rsid w:val="00554CB9"/>
    <w:rsid w:val="00555A7D"/>
    <w:rsid w:val="005568CA"/>
    <w:rsid w:val="00557514"/>
    <w:rsid w:val="00557749"/>
    <w:rsid w:val="00557D68"/>
    <w:rsid w:val="00560F98"/>
    <w:rsid w:val="005610CB"/>
    <w:rsid w:val="00562681"/>
    <w:rsid w:val="00562769"/>
    <w:rsid w:val="005631CF"/>
    <w:rsid w:val="005647D9"/>
    <w:rsid w:val="00564B05"/>
    <w:rsid w:val="005664D4"/>
    <w:rsid w:val="005673A2"/>
    <w:rsid w:val="00567E99"/>
    <w:rsid w:val="00571AC2"/>
    <w:rsid w:val="00571DA1"/>
    <w:rsid w:val="005723D5"/>
    <w:rsid w:val="0057269A"/>
    <w:rsid w:val="00572B3F"/>
    <w:rsid w:val="00573661"/>
    <w:rsid w:val="0057398F"/>
    <w:rsid w:val="00573A94"/>
    <w:rsid w:val="00574D6F"/>
    <w:rsid w:val="00575049"/>
    <w:rsid w:val="00575EB0"/>
    <w:rsid w:val="00576385"/>
    <w:rsid w:val="005769B3"/>
    <w:rsid w:val="00580795"/>
    <w:rsid w:val="0058088B"/>
    <w:rsid w:val="00580F0B"/>
    <w:rsid w:val="005812D2"/>
    <w:rsid w:val="00581AF0"/>
    <w:rsid w:val="00582153"/>
    <w:rsid w:val="005821EE"/>
    <w:rsid w:val="005825C8"/>
    <w:rsid w:val="00584028"/>
    <w:rsid w:val="0058433D"/>
    <w:rsid w:val="00584E44"/>
    <w:rsid w:val="00584ECA"/>
    <w:rsid w:val="00584F75"/>
    <w:rsid w:val="0058579D"/>
    <w:rsid w:val="00585941"/>
    <w:rsid w:val="00586143"/>
    <w:rsid w:val="00587AEB"/>
    <w:rsid w:val="00592DC1"/>
    <w:rsid w:val="00592F2C"/>
    <w:rsid w:val="00593878"/>
    <w:rsid w:val="0059492D"/>
    <w:rsid w:val="00595273"/>
    <w:rsid w:val="0059536F"/>
    <w:rsid w:val="00596654"/>
    <w:rsid w:val="005975E1"/>
    <w:rsid w:val="00597997"/>
    <w:rsid w:val="005A1B65"/>
    <w:rsid w:val="005A281F"/>
    <w:rsid w:val="005A32F3"/>
    <w:rsid w:val="005A3A25"/>
    <w:rsid w:val="005A46BA"/>
    <w:rsid w:val="005A4F32"/>
    <w:rsid w:val="005B0196"/>
    <w:rsid w:val="005B01B3"/>
    <w:rsid w:val="005B0603"/>
    <w:rsid w:val="005B11BC"/>
    <w:rsid w:val="005B1334"/>
    <w:rsid w:val="005B1766"/>
    <w:rsid w:val="005B20E6"/>
    <w:rsid w:val="005B20F1"/>
    <w:rsid w:val="005B3093"/>
    <w:rsid w:val="005B33FB"/>
    <w:rsid w:val="005B5107"/>
    <w:rsid w:val="005B5934"/>
    <w:rsid w:val="005B5F0A"/>
    <w:rsid w:val="005B7C32"/>
    <w:rsid w:val="005C0113"/>
    <w:rsid w:val="005C07FC"/>
    <w:rsid w:val="005C0B01"/>
    <w:rsid w:val="005C2382"/>
    <w:rsid w:val="005C23CA"/>
    <w:rsid w:val="005C2609"/>
    <w:rsid w:val="005C33F4"/>
    <w:rsid w:val="005C456A"/>
    <w:rsid w:val="005C4F82"/>
    <w:rsid w:val="005D0E8F"/>
    <w:rsid w:val="005D1C46"/>
    <w:rsid w:val="005D2D5B"/>
    <w:rsid w:val="005D2F40"/>
    <w:rsid w:val="005D38BF"/>
    <w:rsid w:val="005D552E"/>
    <w:rsid w:val="005D589C"/>
    <w:rsid w:val="005D73FB"/>
    <w:rsid w:val="005D740F"/>
    <w:rsid w:val="005D78B8"/>
    <w:rsid w:val="005D7D59"/>
    <w:rsid w:val="005E0C52"/>
    <w:rsid w:val="005E0FEC"/>
    <w:rsid w:val="005E1984"/>
    <w:rsid w:val="005E3D01"/>
    <w:rsid w:val="005E406D"/>
    <w:rsid w:val="005E42E4"/>
    <w:rsid w:val="005E4A50"/>
    <w:rsid w:val="005E5370"/>
    <w:rsid w:val="005E5885"/>
    <w:rsid w:val="005E5FEF"/>
    <w:rsid w:val="005E6175"/>
    <w:rsid w:val="005E6736"/>
    <w:rsid w:val="005E74F7"/>
    <w:rsid w:val="005E7872"/>
    <w:rsid w:val="005E790E"/>
    <w:rsid w:val="005F006C"/>
    <w:rsid w:val="005F06BE"/>
    <w:rsid w:val="005F1157"/>
    <w:rsid w:val="005F1ECE"/>
    <w:rsid w:val="005F3B01"/>
    <w:rsid w:val="005F41F3"/>
    <w:rsid w:val="005F4289"/>
    <w:rsid w:val="005F678E"/>
    <w:rsid w:val="005F6843"/>
    <w:rsid w:val="005F6BAC"/>
    <w:rsid w:val="005F6CC1"/>
    <w:rsid w:val="005F703E"/>
    <w:rsid w:val="005F731E"/>
    <w:rsid w:val="005F7C5E"/>
    <w:rsid w:val="0060008E"/>
    <w:rsid w:val="00600289"/>
    <w:rsid w:val="00600B22"/>
    <w:rsid w:val="0060161E"/>
    <w:rsid w:val="00601D12"/>
    <w:rsid w:val="00602574"/>
    <w:rsid w:val="006036D2"/>
    <w:rsid w:val="0060481D"/>
    <w:rsid w:val="00604A5D"/>
    <w:rsid w:val="00604F12"/>
    <w:rsid w:val="006055D2"/>
    <w:rsid w:val="00605A6E"/>
    <w:rsid w:val="0060614A"/>
    <w:rsid w:val="00606AF9"/>
    <w:rsid w:val="006100C7"/>
    <w:rsid w:val="00611DEB"/>
    <w:rsid w:val="006120D4"/>
    <w:rsid w:val="0061231F"/>
    <w:rsid w:val="006125E9"/>
    <w:rsid w:val="00613FF1"/>
    <w:rsid w:val="0061454B"/>
    <w:rsid w:val="00614E14"/>
    <w:rsid w:val="006154C4"/>
    <w:rsid w:val="0061558F"/>
    <w:rsid w:val="006155A0"/>
    <w:rsid w:val="006157A8"/>
    <w:rsid w:val="00615D63"/>
    <w:rsid w:val="00616D37"/>
    <w:rsid w:val="006179B8"/>
    <w:rsid w:val="0062152F"/>
    <w:rsid w:val="006216DF"/>
    <w:rsid w:val="0062193B"/>
    <w:rsid w:val="006226FB"/>
    <w:rsid w:val="00622BEF"/>
    <w:rsid w:val="00623A51"/>
    <w:rsid w:val="00623A78"/>
    <w:rsid w:val="00625395"/>
    <w:rsid w:val="00625A2E"/>
    <w:rsid w:val="00625F45"/>
    <w:rsid w:val="006262C9"/>
    <w:rsid w:val="0062698A"/>
    <w:rsid w:val="00626A83"/>
    <w:rsid w:val="00626B4F"/>
    <w:rsid w:val="00626F40"/>
    <w:rsid w:val="006271CD"/>
    <w:rsid w:val="00627835"/>
    <w:rsid w:val="0062793A"/>
    <w:rsid w:val="00631024"/>
    <w:rsid w:val="00631A7B"/>
    <w:rsid w:val="00632C2C"/>
    <w:rsid w:val="006362B5"/>
    <w:rsid w:val="00637767"/>
    <w:rsid w:val="00640752"/>
    <w:rsid w:val="0064076F"/>
    <w:rsid w:val="006408FD"/>
    <w:rsid w:val="00640E8D"/>
    <w:rsid w:val="0064399F"/>
    <w:rsid w:val="00644694"/>
    <w:rsid w:val="006446A5"/>
    <w:rsid w:val="00645162"/>
    <w:rsid w:val="0064585D"/>
    <w:rsid w:val="0064643D"/>
    <w:rsid w:val="00646729"/>
    <w:rsid w:val="00646DC4"/>
    <w:rsid w:val="006470B8"/>
    <w:rsid w:val="00647995"/>
    <w:rsid w:val="006504E6"/>
    <w:rsid w:val="00650A57"/>
    <w:rsid w:val="00650A95"/>
    <w:rsid w:val="00650E16"/>
    <w:rsid w:val="00651D5D"/>
    <w:rsid w:val="00651E35"/>
    <w:rsid w:val="00656D3B"/>
    <w:rsid w:val="00657AB8"/>
    <w:rsid w:val="0066037B"/>
    <w:rsid w:val="00660780"/>
    <w:rsid w:val="00660BD5"/>
    <w:rsid w:val="00661092"/>
    <w:rsid w:val="00661511"/>
    <w:rsid w:val="00661AB5"/>
    <w:rsid w:val="00662FF9"/>
    <w:rsid w:val="00663115"/>
    <w:rsid w:val="00663478"/>
    <w:rsid w:val="00663521"/>
    <w:rsid w:val="00664744"/>
    <w:rsid w:val="00664825"/>
    <w:rsid w:val="006654CE"/>
    <w:rsid w:val="00665A6D"/>
    <w:rsid w:val="00667152"/>
    <w:rsid w:val="00667B27"/>
    <w:rsid w:val="00670FFB"/>
    <w:rsid w:val="006713CB"/>
    <w:rsid w:val="00672129"/>
    <w:rsid w:val="0067274D"/>
    <w:rsid w:val="0067364F"/>
    <w:rsid w:val="00673CD2"/>
    <w:rsid w:val="0067433E"/>
    <w:rsid w:val="006761AE"/>
    <w:rsid w:val="006764E5"/>
    <w:rsid w:val="0067653F"/>
    <w:rsid w:val="00676AE0"/>
    <w:rsid w:val="00677464"/>
    <w:rsid w:val="006775B2"/>
    <w:rsid w:val="0067765B"/>
    <w:rsid w:val="0067770E"/>
    <w:rsid w:val="006800B8"/>
    <w:rsid w:val="00680413"/>
    <w:rsid w:val="00681339"/>
    <w:rsid w:val="00681F23"/>
    <w:rsid w:val="00683352"/>
    <w:rsid w:val="00683AC8"/>
    <w:rsid w:val="00684239"/>
    <w:rsid w:val="00685C01"/>
    <w:rsid w:val="00685C34"/>
    <w:rsid w:val="00686017"/>
    <w:rsid w:val="0068695A"/>
    <w:rsid w:val="0068699D"/>
    <w:rsid w:val="00686B44"/>
    <w:rsid w:val="00686E31"/>
    <w:rsid w:val="00687059"/>
    <w:rsid w:val="006878A7"/>
    <w:rsid w:val="0069161A"/>
    <w:rsid w:val="006918E9"/>
    <w:rsid w:val="0069345B"/>
    <w:rsid w:val="00693993"/>
    <w:rsid w:val="006939E7"/>
    <w:rsid w:val="00694708"/>
    <w:rsid w:val="006953F3"/>
    <w:rsid w:val="006977B9"/>
    <w:rsid w:val="006A04C8"/>
    <w:rsid w:val="006A086C"/>
    <w:rsid w:val="006A133B"/>
    <w:rsid w:val="006A1558"/>
    <w:rsid w:val="006A1CFF"/>
    <w:rsid w:val="006A1E35"/>
    <w:rsid w:val="006A1F1C"/>
    <w:rsid w:val="006A2001"/>
    <w:rsid w:val="006A20ED"/>
    <w:rsid w:val="006A2379"/>
    <w:rsid w:val="006A3066"/>
    <w:rsid w:val="006A310C"/>
    <w:rsid w:val="006A3D7D"/>
    <w:rsid w:val="006A43C2"/>
    <w:rsid w:val="006A468B"/>
    <w:rsid w:val="006A475A"/>
    <w:rsid w:val="006A4BF1"/>
    <w:rsid w:val="006A4C26"/>
    <w:rsid w:val="006A4D2D"/>
    <w:rsid w:val="006A5055"/>
    <w:rsid w:val="006A5553"/>
    <w:rsid w:val="006A55B6"/>
    <w:rsid w:val="006A5FF3"/>
    <w:rsid w:val="006A66E4"/>
    <w:rsid w:val="006A6FBB"/>
    <w:rsid w:val="006A7E50"/>
    <w:rsid w:val="006A7E67"/>
    <w:rsid w:val="006B01D2"/>
    <w:rsid w:val="006B056B"/>
    <w:rsid w:val="006B08B8"/>
    <w:rsid w:val="006B099A"/>
    <w:rsid w:val="006B0CAF"/>
    <w:rsid w:val="006B0F4F"/>
    <w:rsid w:val="006B1509"/>
    <w:rsid w:val="006B1EAC"/>
    <w:rsid w:val="006B2033"/>
    <w:rsid w:val="006B2489"/>
    <w:rsid w:val="006B3A28"/>
    <w:rsid w:val="006B4483"/>
    <w:rsid w:val="006B64EF"/>
    <w:rsid w:val="006B68BF"/>
    <w:rsid w:val="006B71EF"/>
    <w:rsid w:val="006C0B1A"/>
    <w:rsid w:val="006C10E9"/>
    <w:rsid w:val="006C1132"/>
    <w:rsid w:val="006C1285"/>
    <w:rsid w:val="006C15F7"/>
    <w:rsid w:val="006C2751"/>
    <w:rsid w:val="006C2AB2"/>
    <w:rsid w:val="006C33E3"/>
    <w:rsid w:val="006C3937"/>
    <w:rsid w:val="006C3A15"/>
    <w:rsid w:val="006C3A77"/>
    <w:rsid w:val="006C4FB4"/>
    <w:rsid w:val="006C54FF"/>
    <w:rsid w:val="006C5B74"/>
    <w:rsid w:val="006C5FA1"/>
    <w:rsid w:val="006C6308"/>
    <w:rsid w:val="006C6C37"/>
    <w:rsid w:val="006C715E"/>
    <w:rsid w:val="006D023F"/>
    <w:rsid w:val="006D0A59"/>
    <w:rsid w:val="006D0BB8"/>
    <w:rsid w:val="006D0C20"/>
    <w:rsid w:val="006D1126"/>
    <w:rsid w:val="006D33EC"/>
    <w:rsid w:val="006D3B40"/>
    <w:rsid w:val="006D3BD4"/>
    <w:rsid w:val="006D3E65"/>
    <w:rsid w:val="006D3FFD"/>
    <w:rsid w:val="006D4146"/>
    <w:rsid w:val="006D428B"/>
    <w:rsid w:val="006D5421"/>
    <w:rsid w:val="006D57A5"/>
    <w:rsid w:val="006D5E97"/>
    <w:rsid w:val="006D6732"/>
    <w:rsid w:val="006D70D9"/>
    <w:rsid w:val="006E0202"/>
    <w:rsid w:val="006E2916"/>
    <w:rsid w:val="006E35B1"/>
    <w:rsid w:val="006E3B4D"/>
    <w:rsid w:val="006E448D"/>
    <w:rsid w:val="006E46F7"/>
    <w:rsid w:val="006E4BB1"/>
    <w:rsid w:val="006E4BCE"/>
    <w:rsid w:val="006E58D4"/>
    <w:rsid w:val="006E6212"/>
    <w:rsid w:val="006E67E0"/>
    <w:rsid w:val="006F2204"/>
    <w:rsid w:val="006F3482"/>
    <w:rsid w:val="006F351E"/>
    <w:rsid w:val="006F41EC"/>
    <w:rsid w:val="006F4F5E"/>
    <w:rsid w:val="006F53CA"/>
    <w:rsid w:val="006F5522"/>
    <w:rsid w:val="006F56DC"/>
    <w:rsid w:val="006F571E"/>
    <w:rsid w:val="006F624F"/>
    <w:rsid w:val="006F6FAE"/>
    <w:rsid w:val="006F74C5"/>
    <w:rsid w:val="00701D09"/>
    <w:rsid w:val="00702791"/>
    <w:rsid w:val="0070444C"/>
    <w:rsid w:val="00706008"/>
    <w:rsid w:val="00706479"/>
    <w:rsid w:val="00706934"/>
    <w:rsid w:val="007070EA"/>
    <w:rsid w:val="00707128"/>
    <w:rsid w:val="00707301"/>
    <w:rsid w:val="00710134"/>
    <w:rsid w:val="00710327"/>
    <w:rsid w:val="00710563"/>
    <w:rsid w:val="00710D39"/>
    <w:rsid w:val="0071109B"/>
    <w:rsid w:val="00712103"/>
    <w:rsid w:val="00713331"/>
    <w:rsid w:val="00713357"/>
    <w:rsid w:val="0071344E"/>
    <w:rsid w:val="00713846"/>
    <w:rsid w:val="00715003"/>
    <w:rsid w:val="0071524C"/>
    <w:rsid w:val="00715294"/>
    <w:rsid w:val="00715C1F"/>
    <w:rsid w:val="007163A2"/>
    <w:rsid w:val="00716425"/>
    <w:rsid w:val="00716953"/>
    <w:rsid w:val="00716D46"/>
    <w:rsid w:val="00717B17"/>
    <w:rsid w:val="00720081"/>
    <w:rsid w:val="00720155"/>
    <w:rsid w:val="00720208"/>
    <w:rsid w:val="007209E5"/>
    <w:rsid w:val="007219BA"/>
    <w:rsid w:val="00722B42"/>
    <w:rsid w:val="00722BB3"/>
    <w:rsid w:val="00723A5B"/>
    <w:rsid w:val="00723D07"/>
    <w:rsid w:val="00725DB9"/>
    <w:rsid w:val="00725F10"/>
    <w:rsid w:val="0072719A"/>
    <w:rsid w:val="0072780D"/>
    <w:rsid w:val="00727989"/>
    <w:rsid w:val="007303EF"/>
    <w:rsid w:val="00730573"/>
    <w:rsid w:val="007307F8"/>
    <w:rsid w:val="00730CE4"/>
    <w:rsid w:val="00731020"/>
    <w:rsid w:val="007318EA"/>
    <w:rsid w:val="0073233D"/>
    <w:rsid w:val="00732852"/>
    <w:rsid w:val="0073344B"/>
    <w:rsid w:val="00733885"/>
    <w:rsid w:val="00736082"/>
    <w:rsid w:val="007366AC"/>
    <w:rsid w:val="00736F42"/>
    <w:rsid w:val="007379DB"/>
    <w:rsid w:val="00740C63"/>
    <w:rsid w:val="00741FDF"/>
    <w:rsid w:val="007426EF"/>
    <w:rsid w:val="00742DDE"/>
    <w:rsid w:val="00742F1E"/>
    <w:rsid w:val="007431CD"/>
    <w:rsid w:val="007438C8"/>
    <w:rsid w:val="007444C7"/>
    <w:rsid w:val="007448FB"/>
    <w:rsid w:val="00744E5D"/>
    <w:rsid w:val="007450B5"/>
    <w:rsid w:val="0074518E"/>
    <w:rsid w:val="007454E4"/>
    <w:rsid w:val="007465EB"/>
    <w:rsid w:val="0074699B"/>
    <w:rsid w:val="00746A8E"/>
    <w:rsid w:val="00747706"/>
    <w:rsid w:val="00747A06"/>
    <w:rsid w:val="007506AB"/>
    <w:rsid w:val="007513E0"/>
    <w:rsid w:val="0075218E"/>
    <w:rsid w:val="007525F1"/>
    <w:rsid w:val="00752AB4"/>
    <w:rsid w:val="00754D91"/>
    <w:rsid w:val="007554E6"/>
    <w:rsid w:val="00755B72"/>
    <w:rsid w:val="00755E0D"/>
    <w:rsid w:val="00755F4B"/>
    <w:rsid w:val="00756EF6"/>
    <w:rsid w:val="00761E70"/>
    <w:rsid w:val="007621E2"/>
    <w:rsid w:val="0076234F"/>
    <w:rsid w:val="007623CC"/>
    <w:rsid w:val="00762CF8"/>
    <w:rsid w:val="00762E6B"/>
    <w:rsid w:val="00762F95"/>
    <w:rsid w:val="00763CC2"/>
    <w:rsid w:val="00763DEB"/>
    <w:rsid w:val="007656F8"/>
    <w:rsid w:val="00765818"/>
    <w:rsid w:val="00766161"/>
    <w:rsid w:val="00766C3A"/>
    <w:rsid w:val="00767B02"/>
    <w:rsid w:val="00767B10"/>
    <w:rsid w:val="00767CC0"/>
    <w:rsid w:val="00770164"/>
    <w:rsid w:val="00770AC9"/>
    <w:rsid w:val="00771543"/>
    <w:rsid w:val="00771E68"/>
    <w:rsid w:val="007723D5"/>
    <w:rsid w:val="007725BE"/>
    <w:rsid w:val="00772BB3"/>
    <w:rsid w:val="00774819"/>
    <w:rsid w:val="00775EED"/>
    <w:rsid w:val="00776724"/>
    <w:rsid w:val="00776790"/>
    <w:rsid w:val="007776AB"/>
    <w:rsid w:val="0077777A"/>
    <w:rsid w:val="00777933"/>
    <w:rsid w:val="00777F1C"/>
    <w:rsid w:val="00777FD0"/>
    <w:rsid w:val="007814D8"/>
    <w:rsid w:val="00781664"/>
    <w:rsid w:val="00782A9E"/>
    <w:rsid w:val="00782EA9"/>
    <w:rsid w:val="00783B3A"/>
    <w:rsid w:val="00783CCC"/>
    <w:rsid w:val="007842F8"/>
    <w:rsid w:val="007855B7"/>
    <w:rsid w:val="00785A01"/>
    <w:rsid w:val="00785A12"/>
    <w:rsid w:val="00787016"/>
    <w:rsid w:val="007873BE"/>
    <w:rsid w:val="00787D9F"/>
    <w:rsid w:val="00791B1D"/>
    <w:rsid w:val="0079250E"/>
    <w:rsid w:val="00792906"/>
    <w:rsid w:val="0079410D"/>
    <w:rsid w:val="007945B4"/>
    <w:rsid w:val="00794E5A"/>
    <w:rsid w:val="00795670"/>
    <w:rsid w:val="00795898"/>
    <w:rsid w:val="0079636B"/>
    <w:rsid w:val="00796642"/>
    <w:rsid w:val="00797B2B"/>
    <w:rsid w:val="007A009B"/>
    <w:rsid w:val="007A2816"/>
    <w:rsid w:val="007A3504"/>
    <w:rsid w:val="007A3BE0"/>
    <w:rsid w:val="007A3DB9"/>
    <w:rsid w:val="007A471D"/>
    <w:rsid w:val="007A4794"/>
    <w:rsid w:val="007A4845"/>
    <w:rsid w:val="007A4861"/>
    <w:rsid w:val="007A4B6D"/>
    <w:rsid w:val="007A582F"/>
    <w:rsid w:val="007A67DD"/>
    <w:rsid w:val="007A6FD4"/>
    <w:rsid w:val="007A729E"/>
    <w:rsid w:val="007A73D5"/>
    <w:rsid w:val="007A7417"/>
    <w:rsid w:val="007B06CE"/>
    <w:rsid w:val="007B070D"/>
    <w:rsid w:val="007B1358"/>
    <w:rsid w:val="007B2625"/>
    <w:rsid w:val="007B26ED"/>
    <w:rsid w:val="007B29C8"/>
    <w:rsid w:val="007B2E01"/>
    <w:rsid w:val="007B2F0B"/>
    <w:rsid w:val="007B3107"/>
    <w:rsid w:val="007B3662"/>
    <w:rsid w:val="007B4E2D"/>
    <w:rsid w:val="007B5435"/>
    <w:rsid w:val="007B57E8"/>
    <w:rsid w:val="007B590E"/>
    <w:rsid w:val="007B774B"/>
    <w:rsid w:val="007C0616"/>
    <w:rsid w:val="007C0B59"/>
    <w:rsid w:val="007C0C24"/>
    <w:rsid w:val="007C0DAF"/>
    <w:rsid w:val="007C14B8"/>
    <w:rsid w:val="007C31FF"/>
    <w:rsid w:val="007C42CA"/>
    <w:rsid w:val="007C47F9"/>
    <w:rsid w:val="007C5300"/>
    <w:rsid w:val="007C5BD0"/>
    <w:rsid w:val="007D405C"/>
    <w:rsid w:val="007D478E"/>
    <w:rsid w:val="007D67FA"/>
    <w:rsid w:val="007D6805"/>
    <w:rsid w:val="007D74E0"/>
    <w:rsid w:val="007D7A75"/>
    <w:rsid w:val="007D7B66"/>
    <w:rsid w:val="007D7C98"/>
    <w:rsid w:val="007E0300"/>
    <w:rsid w:val="007E0FF8"/>
    <w:rsid w:val="007E1451"/>
    <w:rsid w:val="007E2685"/>
    <w:rsid w:val="007E27AF"/>
    <w:rsid w:val="007E29B6"/>
    <w:rsid w:val="007E5473"/>
    <w:rsid w:val="007E5AFF"/>
    <w:rsid w:val="007E635C"/>
    <w:rsid w:val="007E6506"/>
    <w:rsid w:val="007E654D"/>
    <w:rsid w:val="007E6990"/>
    <w:rsid w:val="007E7053"/>
    <w:rsid w:val="007F0665"/>
    <w:rsid w:val="007F0D01"/>
    <w:rsid w:val="007F0E9A"/>
    <w:rsid w:val="007F1F89"/>
    <w:rsid w:val="007F240E"/>
    <w:rsid w:val="007F3025"/>
    <w:rsid w:val="007F3FEE"/>
    <w:rsid w:val="007F4192"/>
    <w:rsid w:val="007F4384"/>
    <w:rsid w:val="007F4E83"/>
    <w:rsid w:val="007F4ECA"/>
    <w:rsid w:val="007F6A00"/>
    <w:rsid w:val="007F6FC3"/>
    <w:rsid w:val="00802166"/>
    <w:rsid w:val="00802A33"/>
    <w:rsid w:val="00804499"/>
    <w:rsid w:val="008049C6"/>
    <w:rsid w:val="0080563B"/>
    <w:rsid w:val="0080577F"/>
    <w:rsid w:val="0080603D"/>
    <w:rsid w:val="0080618C"/>
    <w:rsid w:val="008069E3"/>
    <w:rsid w:val="00806C90"/>
    <w:rsid w:val="00806DEC"/>
    <w:rsid w:val="00806E4B"/>
    <w:rsid w:val="00807544"/>
    <w:rsid w:val="00807ECF"/>
    <w:rsid w:val="008112CE"/>
    <w:rsid w:val="00812802"/>
    <w:rsid w:val="00812DB4"/>
    <w:rsid w:val="00812EEB"/>
    <w:rsid w:val="008130C3"/>
    <w:rsid w:val="008139EE"/>
    <w:rsid w:val="008148EB"/>
    <w:rsid w:val="00814D1D"/>
    <w:rsid w:val="00816156"/>
    <w:rsid w:val="008167EA"/>
    <w:rsid w:val="00816EC5"/>
    <w:rsid w:val="00817954"/>
    <w:rsid w:val="00820407"/>
    <w:rsid w:val="00820806"/>
    <w:rsid w:val="0082166A"/>
    <w:rsid w:val="00821F7A"/>
    <w:rsid w:val="00823623"/>
    <w:rsid w:val="00824150"/>
    <w:rsid w:val="00824285"/>
    <w:rsid w:val="008252A1"/>
    <w:rsid w:val="008263E3"/>
    <w:rsid w:val="0082658D"/>
    <w:rsid w:val="00826B61"/>
    <w:rsid w:val="00827511"/>
    <w:rsid w:val="008276FF"/>
    <w:rsid w:val="008279CC"/>
    <w:rsid w:val="008313F5"/>
    <w:rsid w:val="00831E76"/>
    <w:rsid w:val="008320A0"/>
    <w:rsid w:val="00832373"/>
    <w:rsid w:val="00832B24"/>
    <w:rsid w:val="00833C13"/>
    <w:rsid w:val="00833DA1"/>
    <w:rsid w:val="00834DA4"/>
    <w:rsid w:val="00834F13"/>
    <w:rsid w:val="00835315"/>
    <w:rsid w:val="0083548E"/>
    <w:rsid w:val="008368D8"/>
    <w:rsid w:val="008403FF"/>
    <w:rsid w:val="008408B0"/>
    <w:rsid w:val="00840A36"/>
    <w:rsid w:val="00841774"/>
    <w:rsid w:val="008419D0"/>
    <w:rsid w:val="00841AB6"/>
    <w:rsid w:val="0084227C"/>
    <w:rsid w:val="008426D7"/>
    <w:rsid w:val="008428C3"/>
    <w:rsid w:val="00843185"/>
    <w:rsid w:val="008431CB"/>
    <w:rsid w:val="0084406B"/>
    <w:rsid w:val="00844222"/>
    <w:rsid w:val="00844757"/>
    <w:rsid w:val="008451AB"/>
    <w:rsid w:val="0084606C"/>
    <w:rsid w:val="00846AC9"/>
    <w:rsid w:val="00847380"/>
    <w:rsid w:val="008478A0"/>
    <w:rsid w:val="00847A83"/>
    <w:rsid w:val="00847AB5"/>
    <w:rsid w:val="00847B1F"/>
    <w:rsid w:val="00850551"/>
    <w:rsid w:val="00850700"/>
    <w:rsid w:val="00852E08"/>
    <w:rsid w:val="00852F99"/>
    <w:rsid w:val="0085354A"/>
    <w:rsid w:val="0085384E"/>
    <w:rsid w:val="00854474"/>
    <w:rsid w:val="0085464E"/>
    <w:rsid w:val="008554F9"/>
    <w:rsid w:val="00855B19"/>
    <w:rsid w:val="00855F2B"/>
    <w:rsid w:val="0085668F"/>
    <w:rsid w:val="00857407"/>
    <w:rsid w:val="0085750A"/>
    <w:rsid w:val="00857796"/>
    <w:rsid w:val="00861B06"/>
    <w:rsid w:val="0086208E"/>
    <w:rsid w:val="008639CC"/>
    <w:rsid w:val="0086545A"/>
    <w:rsid w:val="00865709"/>
    <w:rsid w:val="00866417"/>
    <w:rsid w:val="00867950"/>
    <w:rsid w:val="00867BB9"/>
    <w:rsid w:val="00867FB3"/>
    <w:rsid w:val="0087070E"/>
    <w:rsid w:val="00870B62"/>
    <w:rsid w:val="00870BAF"/>
    <w:rsid w:val="00870DAF"/>
    <w:rsid w:val="00870EF0"/>
    <w:rsid w:val="0087272A"/>
    <w:rsid w:val="00872E02"/>
    <w:rsid w:val="008737D2"/>
    <w:rsid w:val="00873B7C"/>
    <w:rsid w:val="00874149"/>
    <w:rsid w:val="008745B6"/>
    <w:rsid w:val="0087485B"/>
    <w:rsid w:val="00875F6A"/>
    <w:rsid w:val="00876183"/>
    <w:rsid w:val="00877040"/>
    <w:rsid w:val="008774C8"/>
    <w:rsid w:val="00877BF8"/>
    <w:rsid w:val="00877FB2"/>
    <w:rsid w:val="008800D7"/>
    <w:rsid w:val="00880189"/>
    <w:rsid w:val="0088096D"/>
    <w:rsid w:val="008809AE"/>
    <w:rsid w:val="00880FC0"/>
    <w:rsid w:val="00882A1B"/>
    <w:rsid w:val="00883471"/>
    <w:rsid w:val="00883F2E"/>
    <w:rsid w:val="008843A0"/>
    <w:rsid w:val="0088461C"/>
    <w:rsid w:val="008851BA"/>
    <w:rsid w:val="00885272"/>
    <w:rsid w:val="00885478"/>
    <w:rsid w:val="00885C1B"/>
    <w:rsid w:val="00891A59"/>
    <w:rsid w:val="00892690"/>
    <w:rsid w:val="00892FB2"/>
    <w:rsid w:val="00893432"/>
    <w:rsid w:val="00893F2B"/>
    <w:rsid w:val="00895115"/>
    <w:rsid w:val="008959C7"/>
    <w:rsid w:val="00895A71"/>
    <w:rsid w:val="008962FC"/>
    <w:rsid w:val="00896A8C"/>
    <w:rsid w:val="00897F30"/>
    <w:rsid w:val="008A06CA"/>
    <w:rsid w:val="008A0BE7"/>
    <w:rsid w:val="008A1C2D"/>
    <w:rsid w:val="008A2030"/>
    <w:rsid w:val="008A3167"/>
    <w:rsid w:val="008A3671"/>
    <w:rsid w:val="008A37C9"/>
    <w:rsid w:val="008A53FE"/>
    <w:rsid w:val="008A6098"/>
    <w:rsid w:val="008A7C5A"/>
    <w:rsid w:val="008B0112"/>
    <w:rsid w:val="008B0A3E"/>
    <w:rsid w:val="008B1A39"/>
    <w:rsid w:val="008B2AD4"/>
    <w:rsid w:val="008B378C"/>
    <w:rsid w:val="008B42EC"/>
    <w:rsid w:val="008B45EB"/>
    <w:rsid w:val="008B4B3B"/>
    <w:rsid w:val="008B4BA9"/>
    <w:rsid w:val="008B4F90"/>
    <w:rsid w:val="008B5E86"/>
    <w:rsid w:val="008B6523"/>
    <w:rsid w:val="008B6C0A"/>
    <w:rsid w:val="008B6FF2"/>
    <w:rsid w:val="008B7257"/>
    <w:rsid w:val="008B7D2C"/>
    <w:rsid w:val="008C1787"/>
    <w:rsid w:val="008C188A"/>
    <w:rsid w:val="008C19D4"/>
    <w:rsid w:val="008C2765"/>
    <w:rsid w:val="008C2AD3"/>
    <w:rsid w:val="008C3297"/>
    <w:rsid w:val="008C3554"/>
    <w:rsid w:val="008C390A"/>
    <w:rsid w:val="008C504B"/>
    <w:rsid w:val="008C66AD"/>
    <w:rsid w:val="008C66E9"/>
    <w:rsid w:val="008C7289"/>
    <w:rsid w:val="008C7652"/>
    <w:rsid w:val="008C78B8"/>
    <w:rsid w:val="008C7945"/>
    <w:rsid w:val="008D0A59"/>
    <w:rsid w:val="008D11C0"/>
    <w:rsid w:val="008D11DD"/>
    <w:rsid w:val="008D1244"/>
    <w:rsid w:val="008D18AA"/>
    <w:rsid w:val="008D1C16"/>
    <w:rsid w:val="008D2683"/>
    <w:rsid w:val="008D2699"/>
    <w:rsid w:val="008D3295"/>
    <w:rsid w:val="008D4B90"/>
    <w:rsid w:val="008D4C59"/>
    <w:rsid w:val="008D548F"/>
    <w:rsid w:val="008D6A4B"/>
    <w:rsid w:val="008D741A"/>
    <w:rsid w:val="008D7533"/>
    <w:rsid w:val="008D7F56"/>
    <w:rsid w:val="008E0D17"/>
    <w:rsid w:val="008E1934"/>
    <w:rsid w:val="008E1AF6"/>
    <w:rsid w:val="008E2E39"/>
    <w:rsid w:val="008E381D"/>
    <w:rsid w:val="008E3BE5"/>
    <w:rsid w:val="008E48A9"/>
    <w:rsid w:val="008E493A"/>
    <w:rsid w:val="008E4B97"/>
    <w:rsid w:val="008E5652"/>
    <w:rsid w:val="008E61D1"/>
    <w:rsid w:val="008E6627"/>
    <w:rsid w:val="008E6A58"/>
    <w:rsid w:val="008E6B2B"/>
    <w:rsid w:val="008E6F85"/>
    <w:rsid w:val="008F0119"/>
    <w:rsid w:val="008F03C9"/>
    <w:rsid w:val="008F1ED0"/>
    <w:rsid w:val="008F3EB8"/>
    <w:rsid w:val="008F4B4A"/>
    <w:rsid w:val="008F6B13"/>
    <w:rsid w:val="008F6E8C"/>
    <w:rsid w:val="008F7371"/>
    <w:rsid w:val="00900807"/>
    <w:rsid w:val="009009DF"/>
    <w:rsid w:val="00900BDF"/>
    <w:rsid w:val="00901377"/>
    <w:rsid w:val="0090142B"/>
    <w:rsid w:val="009014FE"/>
    <w:rsid w:val="00901511"/>
    <w:rsid w:val="0090152D"/>
    <w:rsid w:val="0090230B"/>
    <w:rsid w:val="0090255D"/>
    <w:rsid w:val="00902C3F"/>
    <w:rsid w:val="00903311"/>
    <w:rsid w:val="00905545"/>
    <w:rsid w:val="00905646"/>
    <w:rsid w:val="009058D5"/>
    <w:rsid w:val="009060D7"/>
    <w:rsid w:val="009063A6"/>
    <w:rsid w:val="00906CE3"/>
    <w:rsid w:val="0090785F"/>
    <w:rsid w:val="00910262"/>
    <w:rsid w:val="00910A73"/>
    <w:rsid w:val="00911C3B"/>
    <w:rsid w:val="00911D92"/>
    <w:rsid w:val="009124C1"/>
    <w:rsid w:val="009129DC"/>
    <w:rsid w:val="009129F8"/>
    <w:rsid w:val="00914027"/>
    <w:rsid w:val="00915A5A"/>
    <w:rsid w:val="00916998"/>
    <w:rsid w:val="00916A77"/>
    <w:rsid w:val="00916B6D"/>
    <w:rsid w:val="00916C8B"/>
    <w:rsid w:val="00917364"/>
    <w:rsid w:val="00917EF2"/>
    <w:rsid w:val="009207A4"/>
    <w:rsid w:val="00920B97"/>
    <w:rsid w:val="009223A4"/>
    <w:rsid w:val="00922CB6"/>
    <w:rsid w:val="00922E09"/>
    <w:rsid w:val="00922F68"/>
    <w:rsid w:val="009233E6"/>
    <w:rsid w:val="0092343B"/>
    <w:rsid w:val="00923F97"/>
    <w:rsid w:val="009252C4"/>
    <w:rsid w:val="00925AAD"/>
    <w:rsid w:val="00926882"/>
    <w:rsid w:val="0092716E"/>
    <w:rsid w:val="00930950"/>
    <w:rsid w:val="00930B85"/>
    <w:rsid w:val="00930C2C"/>
    <w:rsid w:val="009317FA"/>
    <w:rsid w:val="00931B62"/>
    <w:rsid w:val="00931CDF"/>
    <w:rsid w:val="009338F8"/>
    <w:rsid w:val="00934857"/>
    <w:rsid w:val="00934ED7"/>
    <w:rsid w:val="00935B3D"/>
    <w:rsid w:val="00935E3E"/>
    <w:rsid w:val="0093685F"/>
    <w:rsid w:val="00936C6A"/>
    <w:rsid w:val="009376D4"/>
    <w:rsid w:val="00937C72"/>
    <w:rsid w:val="00940981"/>
    <w:rsid w:val="009409B2"/>
    <w:rsid w:val="00940BF9"/>
    <w:rsid w:val="00943B43"/>
    <w:rsid w:val="00944430"/>
    <w:rsid w:val="00945E00"/>
    <w:rsid w:val="00950EB8"/>
    <w:rsid w:val="009516E3"/>
    <w:rsid w:val="0095238D"/>
    <w:rsid w:val="009527FE"/>
    <w:rsid w:val="009531C9"/>
    <w:rsid w:val="009535D2"/>
    <w:rsid w:val="0095377B"/>
    <w:rsid w:val="00953C74"/>
    <w:rsid w:val="00953ECA"/>
    <w:rsid w:val="00954493"/>
    <w:rsid w:val="009546D8"/>
    <w:rsid w:val="0095498F"/>
    <w:rsid w:val="00954CD5"/>
    <w:rsid w:val="00954E4E"/>
    <w:rsid w:val="0095503C"/>
    <w:rsid w:val="009559AB"/>
    <w:rsid w:val="00955B35"/>
    <w:rsid w:val="00955DEC"/>
    <w:rsid w:val="0095610C"/>
    <w:rsid w:val="0095693A"/>
    <w:rsid w:val="00960DC0"/>
    <w:rsid w:val="00960EC9"/>
    <w:rsid w:val="00960F49"/>
    <w:rsid w:val="0096109D"/>
    <w:rsid w:val="00961FC9"/>
    <w:rsid w:val="009623FE"/>
    <w:rsid w:val="009648CF"/>
    <w:rsid w:val="00964E1C"/>
    <w:rsid w:val="00964EED"/>
    <w:rsid w:val="00964F65"/>
    <w:rsid w:val="009654FB"/>
    <w:rsid w:val="00965AC2"/>
    <w:rsid w:val="00966CDF"/>
    <w:rsid w:val="00966EFA"/>
    <w:rsid w:val="00967720"/>
    <w:rsid w:val="0097225B"/>
    <w:rsid w:val="009725A0"/>
    <w:rsid w:val="00973215"/>
    <w:rsid w:val="00973E37"/>
    <w:rsid w:val="0097446C"/>
    <w:rsid w:val="00975895"/>
    <w:rsid w:val="00975AC6"/>
    <w:rsid w:val="009763F1"/>
    <w:rsid w:val="00977366"/>
    <w:rsid w:val="00977486"/>
    <w:rsid w:val="00980264"/>
    <w:rsid w:val="0098104B"/>
    <w:rsid w:val="00981E75"/>
    <w:rsid w:val="009837B9"/>
    <w:rsid w:val="00983E04"/>
    <w:rsid w:val="00985F83"/>
    <w:rsid w:val="0098632F"/>
    <w:rsid w:val="00986485"/>
    <w:rsid w:val="009865C8"/>
    <w:rsid w:val="00986FDA"/>
    <w:rsid w:val="00987B76"/>
    <w:rsid w:val="009925EA"/>
    <w:rsid w:val="009927BC"/>
    <w:rsid w:val="00994050"/>
    <w:rsid w:val="00995B47"/>
    <w:rsid w:val="00996C3C"/>
    <w:rsid w:val="00996DB0"/>
    <w:rsid w:val="009A0138"/>
    <w:rsid w:val="009A07FF"/>
    <w:rsid w:val="009A1065"/>
    <w:rsid w:val="009A2220"/>
    <w:rsid w:val="009A2AB4"/>
    <w:rsid w:val="009A2C56"/>
    <w:rsid w:val="009A36DF"/>
    <w:rsid w:val="009A4F11"/>
    <w:rsid w:val="009A50C2"/>
    <w:rsid w:val="009A53D9"/>
    <w:rsid w:val="009A5762"/>
    <w:rsid w:val="009A59EB"/>
    <w:rsid w:val="009A6F85"/>
    <w:rsid w:val="009A7678"/>
    <w:rsid w:val="009A7839"/>
    <w:rsid w:val="009B02C0"/>
    <w:rsid w:val="009B05D2"/>
    <w:rsid w:val="009B12E8"/>
    <w:rsid w:val="009B2309"/>
    <w:rsid w:val="009B2A24"/>
    <w:rsid w:val="009B2A31"/>
    <w:rsid w:val="009B2C17"/>
    <w:rsid w:val="009B2E80"/>
    <w:rsid w:val="009B3095"/>
    <w:rsid w:val="009B3295"/>
    <w:rsid w:val="009B476A"/>
    <w:rsid w:val="009B52FC"/>
    <w:rsid w:val="009B53B7"/>
    <w:rsid w:val="009C056B"/>
    <w:rsid w:val="009C14F2"/>
    <w:rsid w:val="009C17EF"/>
    <w:rsid w:val="009C2403"/>
    <w:rsid w:val="009C2E95"/>
    <w:rsid w:val="009C347D"/>
    <w:rsid w:val="009C46C3"/>
    <w:rsid w:val="009C4868"/>
    <w:rsid w:val="009C4A66"/>
    <w:rsid w:val="009C53E2"/>
    <w:rsid w:val="009C71F5"/>
    <w:rsid w:val="009C73B2"/>
    <w:rsid w:val="009D003B"/>
    <w:rsid w:val="009D1D47"/>
    <w:rsid w:val="009D2968"/>
    <w:rsid w:val="009D2F09"/>
    <w:rsid w:val="009D36CC"/>
    <w:rsid w:val="009D3DFB"/>
    <w:rsid w:val="009D4039"/>
    <w:rsid w:val="009D4451"/>
    <w:rsid w:val="009D4BED"/>
    <w:rsid w:val="009D54EA"/>
    <w:rsid w:val="009D7212"/>
    <w:rsid w:val="009D74A7"/>
    <w:rsid w:val="009E11EE"/>
    <w:rsid w:val="009E1B20"/>
    <w:rsid w:val="009E25BD"/>
    <w:rsid w:val="009E2B24"/>
    <w:rsid w:val="009E3288"/>
    <w:rsid w:val="009E32DD"/>
    <w:rsid w:val="009E36C9"/>
    <w:rsid w:val="009E3D90"/>
    <w:rsid w:val="009E44C7"/>
    <w:rsid w:val="009E46CA"/>
    <w:rsid w:val="009E49ED"/>
    <w:rsid w:val="009E5154"/>
    <w:rsid w:val="009E69F1"/>
    <w:rsid w:val="009F1289"/>
    <w:rsid w:val="009F2EA4"/>
    <w:rsid w:val="009F3E65"/>
    <w:rsid w:val="009F4427"/>
    <w:rsid w:val="009F6DDA"/>
    <w:rsid w:val="009F7825"/>
    <w:rsid w:val="009F7AF2"/>
    <w:rsid w:val="009F7C72"/>
    <w:rsid w:val="00A00369"/>
    <w:rsid w:val="00A02BAF"/>
    <w:rsid w:val="00A0395B"/>
    <w:rsid w:val="00A03E6A"/>
    <w:rsid w:val="00A046DE"/>
    <w:rsid w:val="00A04E10"/>
    <w:rsid w:val="00A077F5"/>
    <w:rsid w:val="00A07F0B"/>
    <w:rsid w:val="00A101BA"/>
    <w:rsid w:val="00A10608"/>
    <w:rsid w:val="00A10700"/>
    <w:rsid w:val="00A10A10"/>
    <w:rsid w:val="00A1208D"/>
    <w:rsid w:val="00A123C5"/>
    <w:rsid w:val="00A123F5"/>
    <w:rsid w:val="00A130AC"/>
    <w:rsid w:val="00A14248"/>
    <w:rsid w:val="00A14730"/>
    <w:rsid w:val="00A14A09"/>
    <w:rsid w:val="00A14FD5"/>
    <w:rsid w:val="00A1521E"/>
    <w:rsid w:val="00A15818"/>
    <w:rsid w:val="00A1617F"/>
    <w:rsid w:val="00A164C2"/>
    <w:rsid w:val="00A16636"/>
    <w:rsid w:val="00A16C6F"/>
    <w:rsid w:val="00A1766E"/>
    <w:rsid w:val="00A17BC8"/>
    <w:rsid w:val="00A200FD"/>
    <w:rsid w:val="00A2025A"/>
    <w:rsid w:val="00A2076F"/>
    <w:rsid w:val="00A2102F"/>
    <w:rsid w:val="00A216D8"/>
    <w:rsid w:val="00A21B69"/>
    <w:rsid w:val="00A240C7"/>
    <w:rsid w:val="00A246ED"/>
    <w:rsid w:val="00A24D03"/>
    <w:rsid w:val="00A251D8"/>
    <w:rsid w:val="00A267D3"/>
    <w:rsid w:val="00A26E2F"/>
    <w:rsid w:val="00A272F6"/>
    <w:rsid w:val="00A30496"/>
    <w:rsid w:val="00A30655"/>
    <w:rsid w:val="00A3098D"/>
    <w:rsid w:val="00A31187"/>
    <w:rsid w:val="00A31348"/>
    <w:rsid w:val="00A31B38"/>
    <w:rsid w:val="00A31B6B"/>
    <w:rsid w:val="00A33C10"/>
    <w:rsid w:val="00A3472F"/>
    <w:rsid w:val="00A34FD6"/>
    <w:rsid w:val="00A3562E"/>
    <w:rsid w:val="00A35ABD"/>
    <w:rsid w:val="00A35B65"/>
    <w:rsid w:val="00A35D2A"/>
    <w:rsid w:val="00A365C7"/>
    <w:rsid w:val="00A370AC"/>
    <w:rsid w:val="00A37424"/>
    <w:rsid w:val="00A37427"/>
    <w:rsid w:val="00A41057"/>
    <w:rsid w:val="00A41877"/>
    <w:rsid w:val="00A420A2"/>
    <w:rsid w:val="00A42520"/>
    <w:rsid w:val="00A434DF"/>
    <w:rsid w:val="00A440FB"/>
    <w:rsid w:val="00A449AA"/>
    <w:rsid w:val="00A45045"/>
    <w:rsid w:val="00A45354"/>
    <w:rsid w:val="00A45B9D"/>
    <w:rsid w:val="00A45EE0"/>
    <w:rsid w:val="00A464CB"/>
    <w:rsid w:val="00A476F1"/>
    <w:rsid w:val="00A4774D"/>
    <w:rsid w:val="00A47944"/>
    <w:rsid w:val="00A50900"/>
    <w:rsid w:val="00A50974"/>
    <w:rsid w:val="00A5264D"/>
    <w:rsid w:val="00A5354D"/>
    <w:rsid w:val="00A53586"/>
    <w:rsid w:val="00A5462B"/>
    <w:rsid w:val="00A55C8F"/>
    <w:rsid w:val="00A5651D"/>
    <w:rsid w:val="00A56625"/>
    <w:rsid w:val="00A5671E"/>
    <w:rsid w:val="00A60767"/>
    <w:rsid w:val="00A61FE8"/>
    <w:rsid w:val="00A621B3"/>
    <w:rsid w:val="00A627F6"/>
    <w:rsid w:val="00A628B5"/>
    <w:rsid w:val="00A63338"/>
    <w:rsid w:val="00A63593"/>
    <w:rsid w:val="00A63A54"/>
    <w:rsid w:val="00A63ECE"/>
    <w:rsid w:val="00A65AEF"/>
    <w:rsid w:val="00A67329"/>
    <w:rsid w:val="00A67487"/>
    <w:rsid w:val="00A679FD"/>
    <w:rsid w:val="00A7092C"/>
    <w:rsid w:val="00A7194F"/>
    <w:rsid w:val="00A71DB2"/>
    <w:rsid w:val="00A71EF4"/>
    <w:rsid w:val="00A72685"/>
    <w:rsid w:val="00A72A37"/>
    <w:rsid w:val="00A73107"/>
    <w:rsid w:val="00A73C16"/>
    <w:rsid w:val="00A74AF1"/>
    <w:rsid w:val="00A74FB3"/>
    <w:rsid w:val="00A756E3"/>
    <w:rsid w:val="00A75E13"/>
    <w:rsid w:val="00A77E44"/>
    <w:rsid w:val="00A77E4C"/>
    <w:rsid w:val="00A80C59"/>
    <w:rsid w:val="00A81070"/>
    <w:rsid w:val="00A81369"/>
    <w:rsid w:val="00A81B12"/>
    <w:rsid w:val="00A8254F"/>
    <w:rsid w:val="00A83B30"/>
    <w:rsid w:val="00A855F1"/>
    <w:rsid w:val="00A86307"/>
    <w:rsid w:val="00A8675E"/>
    <w:rsid w:val="00A9049A"/>
    <w:rsid w:val="00A9167B"/>
    <w:rsid w:val="00A919BA"/>
    <w:rsid w:val="00A93B88"/>
    <w:rsid w:val="00A93C31"/>
    <w:rsid w:val="00A93EB7"/>
    <w:rsid w:val="00A93F0C"/>
    <w:rsid w:val="00A94301"/>
    <w:rsid w:val="00A94813"/>
    <w:rsid w:val="00A94B7B"/>
    <w:rsid w:val="00A956B5"/>
    <w:rsid w:val="00A960AD"/>
    <w:rsid w:val="00A9688A"/>
    <w:rsid w:val="00A97128"/>
    <w:rsid w:val="00A97440"/>
    <w:rsid w:val="00A97F7F"/>
    <w:rsid w:val="00AA0B43"/>
    <w:rsid w:val="00AA0D13"/>
    <w:rsid w:val="00AA2B08"/>
    <w:rsid w:val="00AA2FB2"/>
    <w:rsid w:val="00AA3804"/>
    <w:rsid w:val="00AA4261"/>
    <w:rsid w:val="00AA5903"/>
    <w:rsid w:val="00AA616D"/>
    <w:rsid w:val="00AA6C5B"/>
    <w:rsid w:val="00AB09CC"/>
    <w:rsid w:val="00AB10E8"/>
    <w:rsid w:val="00AB17C7"/>
    <w:rsid w:val="00AB1A36"/>
    <w:rsid w:val="00AB24A0"/>
    <w:rsid w:val="00AB2885"/>
    <w:rsid w:val="00AB2B5C"/>
    <w:rsid w:val="00AB36EC"/>
    <w:rsid w:val="00AB37C7"/>
    <w:rsid w:val="00AB392D"/>
    <w:rsid w:val="00AB3EA8"/>
    <w:rsid w:val="00AB3ECA"/>
    <w:rsid w:val="00AB47BB"/>
    <w:rsid w:val="00AB49B8"/>
    <w:rsid w:val="00AB4ACA"/>
    <w:rsid w:val="00AB5D72"/>
    <w:rsid w:val="00AB6C55"/>
    <w:rsid w:val="00AB6EC1"/>
    <w:rsid w:val="00AB6EDA"/>
    <w:rsid w:val="00AB6F3E"/>
    <w:rsid w:val="00AB6F99"/>
    <w:rsid w:val="00AC06F4"/>
    <w:rsid w:val="00AC11A2"/>
    <w:rsid w:val="00AC1580"/>
    <w:rsid w:val="00AC1608"/>
    <w:rsid w:val="00AC1B3C"/>
    <w:rsid w:val="00AC280B"/>
    <w:rsid w:val="00AC2912"/>
    <w:rsid w:val="00AC2D76"/>
    <w:rsid w:val="00AC3958"/>
    <w:rsid w:val="00AC3BF2"/>
    <w:rsid w:val="00AC424A"/>
    <w:rsid w:val="00AC4D7F"/>
    <w:rsid w:val="00AC591A"/>
    <w:rsid w:val="00AC694B"/>
    <w:rsid w:val="00AC7486"/>
    <w:rsid w:val="00AC74F3"/>
    <w:rsid w:val="00AC78E9"/>
    <w:rsid w:val="00AC7D83"/>
    <w:rsid w:val="00AC7E4F"/>
    <w:rsid w:val="00AC7FEC"/>
    <w:rsid w:val="00AD1A87"/>
    <w:rsid w:val="00AD28A6"/>
    <w:rsid w:val="00AD3091"/>
    <w:rsid w:val="00AD33D4"/>
    <w:rsid w:val="00AD3672"/>
    <w:rsid w:val="00AD3D50"/>
    <w:rsid w:val="00AD3F4B"/>
    <w:rsid w:val="00AD495B"/>
    <w:rsid w:val="00AD4A8D"/>
    <w:rsid w:val="00AD4E39"/>
    <w:rsid w:val="00AD5018"/>
    <w:rsid w:val="00AD55CC"/>
    <w:rsid w:val="00AD7932"/>
    <w:rsid w:val="00AD7950"/>
    <w:rsid w:val="00AE064A"/>
    <w:rsid w:val="00AE0B49"/>
    <w:rsid w:val="00AE0BB9"/>
    <w:rsid w:val="00AE1195"/>
    <w:rsid w:val="00AE1709"/>
    <w:rsid w:val="00AE42A8"/>
    <w:rsid w:val="00AE590F"/>
    <w:rsid w:val="00AE5B1E"/>
    <w:rsid w:val="00AE63A2"/>
    <w:rsid w:val="00AE6F2E"/>
    <w:rsid w:val="00AE7DF9"/>
    <w:rsid w:val="00AF0438"/>
    <w:rsid w:val="00AF1197"/>
    <w:rsid w:val="00AF1AB8"/>
    <w:rsid w:val="00AF25D1"/>
    <w:rsid w:val="00AF2D00"/>
    <w:rsid w:val="00AF2DF4"/>
    <w:rsid w:val="00AF323D"/>
    <w:rsid w:val="00AF3504"/>
    <w:rsid w:val="00AF3634"/>
    <w:rsid w:val="00AF40AA"/>
    <w:rsid w:val="00AF447E"/>
    <w:rsid w:val="00AF4B47"/>
    <w:rsid w:val="00AF4E92"/>
    <w:rsid w:val="00AF507F"/>
    <w:rsid w:val="00AF7A2B"/>
    <w:rsid w:val="00AF7B28"/>
    <w:rsid w:val="00B0060E"/>
    <w:rsid w:val="00B01C0C"/>
    <w:rsid w:val="00B03F3B"/>
    <w:rsid w:val="00B04186"/>
    <w:rsid w:val="00B0526A"/>
    <w:rsid w:val="00B05491"/>
    <w:rsid w:val="00B1036A"/>
    <w:rsid w:val="00B10788"/>
    <w:rsid w:val="00B10F7B"/>
    <w:rsid w:val="00B111CA"/>
    <w:rsid w:val="00B11F46"/>
    <w:rsid w:val="00B120DD"/>
    <w:rsid w:val="00B13C1C"/>
    <w:rsid w:val="00B14500"/>
    <w:rsid w:val="00B15965"/>
    <w:rsid w:val="00B1634A"/>
    <w:rsid w:val="00B163E7"/>
    <w:rsid w:val="00B1642E"/>
    <w:rsid w:val="00B16455"/>
    <w:rsid w:val="00B201D0"/>
    <w:rsid w:val="00B20A3A"/>
    <w:rsid w:val="00B21126"/>
    <w:rsid w:val="00B21FD1"/>
    <w:rsid w:val="00B221D2"/>
    <w:rsid w:val="00B2358C"/>
    <w:rsid w:val="00B23A29"/>
    <w:rsid w:val="00B247C3"/>
    <w:rsid w:val="00B249A7"/>
    <w:rsid w:val="00B24CC5"/>
    <w:rsid w:val="00B25765"/>
    <w:rsid w:val="00B26C34"/>
    <w:rsid w:val="00B2702E"/>
    <w:rsid w:val="00B277F2"/>
    <w:rsid w:val="00B30244"/>
    <w:rsid w:val="00B3101B"/>
    <w:rsid w:val="00B32044"/>
    <w:rsid w:val="00B33E08"/>
    <w:rsid w:val="00B342E0"/>
    <w:rsid w:val="00B346CB"/>
    <w:rsid w:val="00B35D2D"/>
    <w:rsid w:val="00B35F0A"/>
    <w:rsid w:val="00B3622A"/>
    <w:rsid w:val="00B36F86"/>
    <w:rsid w:val="00B37C4C"/>
    <w:rsid w:val="00B406C3"/>
    <w:rsid w:val="00B40925"/>
    <w:rsid w:val="00B40F9C"/>
    <w:rsid w:val="00B41AAE"/>
    <w:rsid w:val="00B42212"/>
    <w:rsid w:val="00B447F0"/>
    <w:rsid w:val="00B44E4A"/>
    <w:rsid w:val="00B45476"/>
    <w:rsid w:val="00B47D42"/>
    <w:rsid w:val="00B47E80"/>
    <w:rsid w:val="00B47EB3"/>
    <w:rsid w:val="00B5026F"/>
    <w:rsid w:val="00B50490"/>
    <w:rsid w:val="00B504A6"/>
    <w:rsid w:val="00B5083A"/>
    <w:rsid w:val="00B50B9B"/>
    <w:rsid w:val="00B5114E"/>
    <w:rsid w:val="00B53695"/>
    <w:rsid w:val="00B53746"/>
    <w:rsid w:val="00B539BD"/>
    <w:rsid w:val="00B549AF"/>
    <w:rsid w:val="00B54B26"/>
    <w:rsid w:val="00B54C2D"/>
    <w:rsid w:val="00B56CF2"/>
    <w:rsid w:val="00B57361"/>
    <w:rsid w:val="00B60D21"/>
    <w:rsid w:val="00B60E01"/>
    <w:rsid w:val="00B60E71"/>
    <w:rsid w:val="00B60F6D"/>
    <w:rsid w:val="00B60FA0"/>
    <w:rsid w:val="00B61B0F"/>
    <w:rsid w:val="00B61C7E"/>
    <w:rsid w:val="00B6202A"/>
    <w:rsid w:val="00B625E6"/>
    <w:rsid w:val="00B627B7"/>
    <w:rsid w:val="00B62F30"/>
    <w:rsid w:val="00B649E3"/>
    <w:rsid w:val="00B64CD6"/>
    <w:rsid w:val="00B64DB4"/>
    <w:rsid w:val="00B65ED9"/>
    <w:rsid w:val="00B6652A"/>
    <w:rsid w:val="00B669BC"/>
    <w:rsid w:val="00B70E98"/>
    <w:rsid w:val="00B71420"/>
    <w:rsid w:val="00B72121"/>
    <w:rsid w:val="00B7213A"/>
    <w:rsid w:val="00B722C9"/>
    <w:rsid w:val="00B72F6F"/>
    <w:rsid w:val="00B73900"/>
    <w:rsid w:val="00B73927"/>
    <w:rsid w:val="00B73CF5"/>
    <w:rsid w:val="00B73F4C"/>
    <w:rsid w:val="00B740BE"/>
    <w:rsid w:val="00B7471F"/>
    <w:rsid w:val="00B749CC"/>
    <w:rsid w:val="00B76584"/>
    <w:rsid w:val="00B7688B"/>
    <w:rsid w:val="00B76AB2"/>
    <w:rsid w:val="00B80C9E"/>
    <w:rsid w:val="00B82467"/>
    <w:rsid w:val="00B829F7"/>
    <w:rsid w:val="00B82AED"/>
    <w:rsid w:val="00B82EF2"/>
    <w:rsid w:val="00B8305E"/>
    <w:rsid w:val="00B84480"/>
    <w:rsid w:val="00B8533E"/>
    <w:rsid w:val="00B85C48"/>
    <w:rsid w:val="00B85F03"/>
    <w:rsid w:val="00B86341"/>
    <w:rsid w:val="00B90A27"/>
    <w:rsid w:val="00B90D82"/>
    <w:rsid w:val="00B910A6"/>
    <w:rsid w:val="00B9187E"/>
    <w:rsid w:val="00B92213"/>
    <w:rsid w:val="00B92284"/>
    <w:rsid w:val="00B93F89"/>
    <w:rsid w:val="00B95F78"/>
    <w:rsid w:val="00B96D49"/>
    <w:rsid w:val="00B96D6D"/>
    <w:rsid w:val="00B96FB3"/>
    <w:rsid w:val="00B97A0D"/>
    <w:rsid w:val="00B97C51"/>
    <w:rsid w:val="00BA0631"/>
    <w:rsid w:val="00BA1BDE"/>
    <w:rsid w:val="00BA2582"/>
    <w:rsid w:val="00BA4658"/>
    <w:rsid w:val="00BA5860"/>
    <w:rsid w:val="00BB04D7"/>
    <w:rsid w:val="00BB15EE"/>
    <w:rsid w:val="00BB1D10"/>
    <w:rsid w:val="00BB22D9"/>
    <w:rsid w:val="00BB2A29"/>
    <w:rsid w:val="00BB2C64"/>
    <w:rsid w:val="00BB51B4"/>
    <w:rsid w:val="00BB5346"/>
    <w:rsid w:val="00BB5E91"/>
    <w:rsid w:val="00BB60C9"/>
    <w:rsid w:val="00BB6127"/>
    <w:rsid w:val="00BB61E1"/>
    <w:rsid w:val="00BB73B3"/>
    <w:rsid w:val="00BB7B57"/>
    <w:rsid w:val="00BC026D"/>
    <w:rsid w:val="00BC2290"/>
    <w:rsid w:val="00BC264A"/>
    <w:rsid w:val="00BC36AB"/>
    <w:rsid w:val="00BC3A2D"/>
    <w:rsid w:val="00BC4091"/>
    <w:rsid w:val="00BC4985"/>
    <w:rsid w:val="00BC4C49"/>
    <w:rsid w:val="00BC6082"/>
    <w:rsid w:val="00BC6452"/>
    <w:rsid w:val="00BC652F"/>
    <w:rsid w:val="00BC653C"/>
    <w:rsid w:val="00BC69E1"/>
    <w:rsid w:val="00BC6F13"/>
    <w:rsid w:val="00BC7538"/>
    <w:rsid w:val="00BD077E"/>
    <w:rsid w:val="00BD11C1"/>
    <w:rsid w:val="00BD1660"/>
    <w:rsid w:val="00BD18E1"/>
    <w:rsid w:val="00BD19A2"/>
    <w:rsid w:val="00BD236A"/>
    <w:rsid w:val="00BD38E3"/>
    <w:rsid w:val="00BD3C30"/>
    <w:rsid w:val="00BD4523"/>
    <w:rsid w:val="00BD472D"/>
    <w:rsid w:val="00BD492E"/>
    <w:rsid w:val="00BD5A66"/>
    <w:rsid w:val="00BD7C61"/>
    <w:rsid w:val="00BE1B58"/>
    <w:rsid w:val="00BE28A6"/>
    <w:rsid w:val="00BE2938"/>
    <w:rsid w:val="00BE2944"/>
    <w:rsid w:val="00BE2EB1"/>
    <w:rsid w:val="00BE3250"/>
    <w:rsid w:val="00BE55DC"/>
    <w:rsid w:val="00BE5937"/>
    <w:rsid w:val="00BE60C0"/>
    <w:rsid w:val="00BE61A6"/>
    <w:rsid w:val="00BE6427"/>
    <w:rsid w:val="00BE6486"/>
    <w:rsid w:val="00BE6E44"/>
    <w:rsid w:val="00BF04A1"/>
    <w:rsid w:val="00BF14BB"/>
    <w:rsid w:val="00BF2D87"/>
    <w:rsid w:val="00BF41F3"/>
    <w:rsid w:val="00BF560B"/>
    <w:rsid w:val="00BF76F2"/>
    <w:rsid w:val="00BF79B4"/>
    <w:rsid w:val="00BF7BD8"/>
    <w:rsid w:val="00BF7ED2"/>
    <w:rsid w:val="00C00199"/>
    <w:rsid w:val="00C00537"/>
    <w:rsid w:val="00C006A3"/>
    <w:rsid w:val="00C02A0B"/>
    <w:rsid w:val="00C02ADF"/>
    <w:rsid w:val="00C02EAD"/>
    <w:rsid w:val="00C0393C"/>
    <w:rsid w:val="00C03D91"/>
    <w:rsid w:val="00C0423E"/>
    <w:rsid w:val="00C045D7"/>
    <w:rsid w:val="00C048FF"/>
    <w:rsid w:val="00C04FC1"/>
    <w:rsid w:val="00C05CAD"/>
    <w:rsid w:val="00C0733A"/>
    <w:rsid w:val="00C077B6"/>
    <w:rsid w:val="00C10892"/>
    <w:rsid w:val="00C11671"/>
    <w:rsid w:val="00C130D0"/>
    <w:rsid w:val="00C13A8B"/>
    <w:rsid w:val="00C13C64"/>
    <w:rsid w:val="00C14DD8"/>
    <w:rsid w:val="00C14DDE"/>
    <w:rsid w:val="00C14E22"/>
    <w:rsid w:val="00C15158"/>
    <w:rsid w:val="00C163D2"/>
    <w:rsid w:val="00C17B13"/>
    <w:rsid w:val="00C2007F"/>
    <w:rsid w:val="00C20508"/>
    <w:rsid w:val="00C21C53"/>
    <w:rsid w:val="00C21DE3"/>
    <w:rsid w:val="00C21F8F"/>
    <w:rsid w:val="00C233EA"/>
    <w:rsid w:val="00C238AE"/>
    <w:rsid w:val="00C23D39"/>
    <w:rsid w:val="00C24314"/>
    <w:rsid w:val="00C25447"/>
    <w:rsid w:val="00C25809"/>
    <w:rsid w:val="00C2628C"/>
    <w:rsid w:val="00C26498"/>
    <w:rsid w:val="00C26B69"/>
    <w:rsid w:val="00C26D13"/>
    <w:rsid w:val="00C26E13"/>
    <w:rsid w:val="00C2720F"/>
    <w:rsid w:val="00C277D1"/>
    <w:rsid w:val="00C277EF"/>
    <w:rsid w:val="00C27B7C"/>
    <w:rsid w:val="00C304D6"/>
    <w:rsid w:val="00C308EB"/>
    <w:rsid w:val="00C30B79"/>
    <w:rsid w:val="00C312FA"/>
    <w:rsid w:val="00C31682"/>
    <w:rsid w:val="00C354DE"/>
    <w:rsid w:val="00C3559D"/>
    <w:rsid w:val="00C358F1"/>
    <w:rsid w:val="00C35B02"/>
    <w:rsid w:val="00C35CDB"/>
    <w:rsid w:val="00C36916"/>
    <w:rsid w:val="00C36E40"/>
    <w:rsid w:val="00C36F3D"/>
    <w:rsid w:val="00C41B6D"/>
    <w:rsid w:val="00C41B88"/>
    <w:rsid w:val="00C4215E"/>
    <w:rsid w:val="00C4271B"/>
    <w:rsid w:val="00C431F6"/>
    <w:rsid w:val="00C434B9"/>
    <w:rsid w:val="00C435B4"/>
    <w:rsid w:val="00C44659"/>
    <w:rsid w:val="00C44C6E"/>
    <w:rsid w:val="00C44C8C"/>
    <w:rsid w:val="00C45FD0"/>
    <w:rsid w:val="00C46ADB"/>
    <w:rsid w:val="00C46B8B"/>
    <w:rsid w:val="00C47045"/>
    <w:rsid w:val="00C513E8"/>
    <w:rsid w:val="00C521AB"/>
    <w:rsid w:val="00C521FD"/>
    <w:rsid w:val="00C5238D"/>
    <w:rsid w:val="00C53702"/>
    <w:rsid w:val="00C537FC"/>
    <w:rsid w:val="00C53FF5"/>
    <w:rsid w:val="00C5433A"/>
    <w:rsid w:val="00C54B78"/>
    <w:rsid w:val="00C613D5"/>
    <w:rsid w:val="00C61FA1"/>
    <w:rsid w:val="00C62505"/>
    <w:rsid w:val="00C631BD"/>
    <w:rsid w:val="00C6332F"/>
    <w:rsid w:val="00C63963"/>
    <w:rsid w:val="00C64152"/>
    <w:rsid w:val="00C64A82"/>
    <w:rsid w:val="00C65409"/>
    <w:rsid w:val="00C65DDF"/>
    <w:rsid w:val="00C66505"/>
    <w:rsid w:val="00C665BF"/>
    <w:rsid w:val="00C6707B"/>
    <w:rsid w:val="00C67FCF"/>
    <w:rsid w:val="00C70138"/>
    <w:rsid w:val="00C71117"/>
    <w:rsid w:val="00C7162C"/>
    <w:rsid w:val="00C7184E"/>
    <w:rsid w:val="00C7199A"/>
    <w:rsid w:val="00C722AD"/>
    <w:rsid w:val="00C729FD"/>
    <w:rsid w:val="00C73E1E"/>
    <w:rsid w:val="00C74C9A"/>
    <w:rsid w:val="00C751DC"/>
    <w:rsid w:val="00C76036"/>
    <w:rsid w:val="00C76543"/>
    <w:rsid w:val="00C77A5D"/>
    <w:rsid w:val="00C802E0"/>
    <w:rsid w:val="00C81280"/>
    <w:rsid w:val="00C829EA"/>
    <w:rsid w:val="00C8338D"/>
    <w:rsid w:val="00C848A7"/>
    <w:rsid w:val="00C84DF3"/>
    <w:rsid w:val="00C8555D"/>
    <w:rsid w:val="00C8589C"/>
    <w:rsid w:val="00C85D7E"/>
    <w:rsid w:val="00C86C9E"/>
    <w:rsid w:val="00C875BF"/>
    <w:rsid w:val="00C877EC"/>
    <w:rsid w:val="00C87C33"/>
    <w:rsid w:val="00C87F12"/>
    <w:rsid w:val="00C90D72"/>
    <w:rsid w:val="00C910B5"/>
    <w:rsid w:val="00C9222D"/>
    <w:rsid w:val="00C9229F"/>
    <w:rsid w:val="00C92589"/>
    <w:rsid w:val="00C9337D"/>
    <w:rsid w:val="00C943B2"/>
    <w:rsid w:val="00C951F8"/>
    <w:rsid w:val="00C95233"/>
    <w:rsid w:val="00C95C72"/>
    <w:rsid w:val="00C95F73"/>
    <w:rsid w:val="00C96C02"/>
    <w:rsid w:val="00C977D3"/>
    <w:rsid w:val="00C97999"/>
    <w:rsid w:val="00CA009A"/>
    <w:rsid w:val="00CA1882"/>
    <w:rsid w:val="00CA1A9F"/>
    <w:rsid w:val="00CA3069"/>
    <w:rsid w:val="00CA35BD"/>
    <w:rsid w:val="00CA3F64"/>
    <w:rsid w:val="00CA4512"/>
    <w:rsid w:val="00CA484C"/>
    <w:rsid w:val="00CA6CD7"/>
    <w:rsid w:val="00CA6CFA"/>
    <w:rsid w:val="00CA7668"/>
    <w:rsid w:val="00CB023C"/>
    <w:rsid w:val="00CB0256"/>
    <w:rsid w:val="00CB1429"/>
    <w:rsid w:val="00CB169F"/>
    <w:rsid w:val="00CB194B"/>
    <w:rsid w:val="00CB4E13"/>
    <w:rsid w:val="00CB51E7"/>
    <w:rsid w:val="00CB5262"/>
    <w:rsid w:val="00CB5C5F"/>
    <w:rsid w:val="00CB65E3"/>
    <w:rsid w:val="00CB72D2"/>
    <w:rsid w:val="00CB77F4"/>
    <w:rsid w:val="00CB7AAB"/>
    <w:rsid w:val="00CB7EED"/>
    <w:rsid w:val="00CB7FC7"/>
    <w:rsid w:val="00CC1658"/>
    <w:rsid w:val="00CC1D19"/>
    <w:rsid w:val="00CC2B0E"/>
    <w:rsid w:val="00CC2D3A"/>
    <w:rsid w:val="00CC2FC7"/>
    <w:rsid w:val="00CC3CB7"/>
    <w:rsid w:val="00CC4087"/>
    <w:rsid w:val="00CC4286"/>
    <w:rsid w:val="00CC6D80"/>
    <w:rsid w:val="00CC7A07"/>
    <w:rsid w:val="00CD01F2"/>
    <w:rsid w:val="00CD07A8"/>
    <w:rsid w:val="00CD08E3"/>
    <w:rsid w:val="00CD240D"/>
    <w:rsid w:val="00CD269E"/>
    <w:rsid w:val="00CD336F"/>
    <w:rsid w:val="00CD48F8"/>
    <w:rsid w:val="00CD4A5E"/>
    <w:rsid w:val="00CD4C43"/>
    <w:rsid w:val="00CD621D"/>
    <w:rsid w:val="00CD679A"/>
    <w:rsid w:val="00CD700F"/>
    <w:rsid w:val="00CE036C"/>
    <w:rsid w:val="00CE0490"/>
    <w:rsid w:val="00CE0AAC"/>
    <w:rsid w:val="00CE0CE5"/>
    <w:rsid w:val="00CE2DA2"/>
    <w:rsid w:val="00CE2E9F"/>
    <w:rsid w:val="00CE3FFD"/>
    <w:rsid w:val="00CE4281"/>
    <w:rsid w:val="00CE4FAC"/>
    <w:rsid w:val="00CE5168"/>
    <w:rsid w:val="00CE5C30"/>
    <w:rsid w:val="00CE6A95"/>
    <w:rsid w:val="00CE701C"/>
    <w:rsid w:val="00CE7134"/>
    <w:rsid w:val="00CE76A2"/>
    <w:rsid w:val="00CE7792"/>
    <w:rsid w:val="00CF09A4"/>
    <w:rsid w:val="00CF1BA3"/>
    <w:rsid w:val="00CF2740"/>
    <w:rsid w:val="00CF37B9"/>
    <w:rsid w:val="00CF43D4"/>
    <w:rsid w:val="00CF554B"/>
    <w:rsid w:val="00CF5CD4"/>
    <w:rsid w:val="00CF5F37"/>
    <w:rsid w:val="00CF6228"/>
    <w:rsid w:val="00CF6584"/>
    <w:rsid w:val="00CF7C07"/>
    <w:rsid w:val="00D00623"/>
    <w:rsid w:val="00D02B76"/>
    <w:rsid w:val="00D02C09"/>
    <w:rsid w:val="00D02C81"/>
    <w:rsid w:val="00D03045"/>
    <w:rsid w:val="00D0438E"/>
    <w:rsid w:val="00D046E5"/>
    <w:rsid w:val="00D0501C"/>
    <w:rsid w:val="00D0626F"/>
    <w:rsid w:val="00D066A3"/>
    <w:rsid w:val="00D06988"/>
    <w:rsid w:val="00D06A94"/>
    <w:rsid w:val="00D06AE1"/>
    <w:rsid w:val="00D06E26"/>
    <w:rsid w:val="00D12DA0"/>
    <w:rsid w:val="00D142AD"/>
    <w:rsid w:val="00D14396"/>
    <w:rsid w:val="00D14666"/>
    <w:rsid w:val="00D14D13"/>
    <w:rsid w:val="00D16D1F"/>
    <w:rsid w:val="00D16D61"/>
    <w:rsid w:val="00D2009E"/>
    <w:rsid w:val="00D203E3"/>
    <w:rsid w:val="00D20543"/>
    <w:rsid w:val="00D20862"/>
    <w:rsid w:val="00D21502"/>
    <w:rsid w:val="00D22841"/>
    <w:rsid w:val="00D235CE"/>
    <w:rsid w:val="00D24668"/>
    <w:rsid w:val="00D249C0"/>
    <w:rsid w:val="00D24E90"/>
    <w:rsid w:val="00D25775"/>
    <w:rsid w:val="00D257DD"/>
    <w:rsid w:val="00D26EBC"/>
    <w:rsid w:val="00D30090"/>
    <w:rsid w:val="00D3023E"/>
    <w:rsid w:val="00D32B0C"/>
    <w:rsid w:val="00D33AC2"/>
    <w:rsid w:val="00D33ADB"/>
    <w:rsid w:val="00D33E13"/>
    <w:rsid w:val="00D3432B"/>
    <w:rsid w:val="00D349E6"/>
    <w:rsid w:val="00D34C05"/>
    <w:rsid w:val="00D3585E"/>
    <w:rsid w:val="00D35AC6"/>
    <w:rsid w:val="00D361B4"/>
    <w:rsid w:val="00D36530"/>
    <w:rsid w:val="00D36788"/>
    <w:rsid w:val="00D37167"/>
    <w:rsid w:val="00D37AC2"/>
    <w:rsid w:val="00D402A2"/>
    <w:rsid w:val="00D416DC"/>
    <w:rsid w:val="00D42700"/>
    <w:rsid w:val="00D42A61"/>
    <w:rsid w:val="00D433B3"/>
    <w:rsid w:val="00D43A8E"/>
    <w:rsid w:val="00D458D8"/>
    <w:rsid w:val="00D463A3"/>
    <w:rsid w:val="00D46663"/>
    <w:rsid w:val="00D50FF9"/>
    <w:rsid w:val="00D517AA"/>
    <w:rsid w:val="00D51A71"/>
    <w:rsid w:val="00D537FF"/>
    <w:rsid w:val="00D53B44"/>
    <w:rsid w:val="00D5488E"/>
    <w:rsid w:val="00D54B15"/>
    <w:rsid w:val="00D559B6"/>
    <w:rsid w:val="00D55EA5"/>
    <w:rsid w:val="00D57493"/>
    <w:rsid w:val="00D57630"/>
    <w:rsid w:val="00D6103F"/>
    <w:rsid w:val="00D619F9"/>
    <w:rsid w:val="00D61B28"/>
    <w:rsid w:val="00D627B8"/>
    <w:rsid w:val="00D6335C"/>
    <w:rsid w:val="00D63889"/>
    <w:rsid w:val="00D64272"/>
    <w:rsid w:val="00D64681"/>
    <w:rsid w:val="00D64A76"/>
    <w:rsid w:val="00D64EA0"/>
    <w:rsid w:val="00D670D0"/>
    <w:rsid w:val="00D6734A"/>
    <w:rsid w:val="00D6760A"/>
    <w:rsid w:val="00D71135"/>
    <w:rsid w:val="00D71671"/>
    <w:rsid w:val="00D71AC9"/>
    <w:rsid w:val="00D720B4"/>
    <w:rsid w:val="00D7259F"/>
    <w:rsid w:val="00D7286A"/>
    <w:rsid w:val="00D72EFC"/>
    <w:rsid w:val="00D738C9"/>
    <w:rsid w:val="00D74386"/>
    <w:rsid w:val="00D74841"/>
    <w:rsid w:val="00D74975"/>
    <w:rsid w:val="00D74AF9"/>
    <w:rsid w:val="00D74C42"/>
    <w:rsid w:val="00D755B1"/>
    <w:rsid w:val="00D75D0F"/>
    <w:rsid w:val="00D76341"/>
    <w:rsid w:val="00D76D89"/>
    <w:rsid w:val="00D77436"/>
    <w:rsid w:val="00D776D9"/>
    <w:rsid w:val="00D77B77"/>
    <w:rsid w:val="00D80D19"/>
    <w:rsid w:val="00D80E3B"/>
    <w:rsid w:val="00D813C3"/>
    <w:rsid w:val="00D81F17"/>
    <w:rsid w:val="00D82C78"/>
    <w:rsid w:val="00D83B1D"/>
    <w:rsid w:val="00D8479C"/>
    <w:rsid w:val="00D84B67"/>
    <w:rsid w:val="00D84DA4"/>
    <w:rsid w:val="00D85454"/>
    <w:rsid w:val="00D855AB"/>
    <w:rsid w:val="00D87032"/>
    <w:rsid w:val="00D876C2"/>
    <w:rsid w:val="00D87E2C"/>
    <w:rsid w:val="00D904DE"/>
    <w:rsid w:val="00D91171"/>
    <w:rsid w:val="00D91E90"/>
    <w:rsid w:val="00D92556"/>
    <w:rsid w:val="00D93BC4"/>
    <w:rsid w:val="00D93E81"/>
    <w:rsid w:val="00D940FB"/>
    <w:rsid w:val="00D942A8"/>
    <w:rsid w:val="00D946F7"/>
    <w:rsid w:val="00D9499C"/>
    <w:rsid w:val="00D95440"/>
    <w:rsid w:val="00D95AB9"/>
    <w:rsid w:val="00D95D10"/>
    <w:rsid w:val="00D97A0A"/>
    <w:rsid w:val="00D97CE4"/>
    <w:rsid w:val="00DA059D"/>
    <w:rsid w:val="00DA171C"/>
    <w:rsid w:val="00DA1992"/>
    <w:rsid w:val="00DA333D"/>
    <w:rsid w:val="00DA4475"/>
    <w:rsid w:val="00DA44A5"/>
    <w:rsid w:val="00DA473D"/>
    <w:rsid w:val="00DA5A65"/>
    <w:rsid w:val="00DA62F3"/>
    <w:rsid w:val="00DB0720"/>
    <w:rsid w:val="00DB0D9C"/>
    <w:rsid w:val="00DB1593"/>
    <w:rsid w:val="00DB2AE0"/>
    <w:rsid w:val="00DB2BE7"/>
    <w:rsid w:val="00DB38EC"/>
    <w:rsid w:val="00DB4716"/>
    <w:rsid w:val="00DB486E"/>
    <w:rsid w:val="00DB4AE0"/>
    <w:rsid w:val="00DB54DA"/>
    <w:rsid w:val="00DB5659"/>
    <w:rsid w:val="00DB588C"/>
    <w:rsid w:val="00DB5B86"/>
    <w:rsid w:val="00DB5C5E"/>
    <w:rsid w:val="00DB67BF"/>
    <w:rsid w:val="00DB6EA5"/>
    <w:rsid w:val="00DB7BEE"/>
    <w:rsid w:val="00DC10D0"/>
    <w:rsid w:val="00DC12DD"/>
    <w:rsid w:val="00DC16E5"/>
    <w:rsid w:val="00DC1AED"/>
    <w:rsid w:val="00DC3480"/>
    <w:rsid w:val="00DC4506"/>
    <w:rsid w:val="00DC47E0"/>
    <w:rsid w:val="00DC4E04"/>
    <w:rsid w:val="00DC5EC3"/>
    <w:rsid w:val="00DC7ADB"/>
    <w:rsid w:val="00DC7EAB"/>
    <w:rsid w:val="00DD06FF"/>
    <w:rsid w:val="00DD1043"/>
    <w:rsid w:val="00DD1448"/>
    <w:rsid w:val="00DD1482"/>
    <w:rsid w:val="00DD17FF"/>
    <w:rsid w:val="00DD2A22"/>
    <w:rsid w:val="00DD4350"/>
    <w:rsid w:val="00DD574E"/>
    <w:rsid w:val="00DD59D8"/>
    <w:rsid w:val="00DD61DB"/>
    <w:rsid w:val="00DD6EBD"/>
    <w:rsid w:val="00DE0612"/>
    <w:rsid w:val="00DE15C0"/>
    <w:rsid w:val="00DE2370"/>
    <w:rsid w:val="00DE24F1"/>
    <w:rsid w:val="00DE24FA"/>
    <w:rsid w:val="00DE28D6"/>
    <w:rsid w:val="00DE2B8E"/>
    <w:rsid w:val="00DE2E77"/>
    <w:rsid w:val="00DE3B9D"/>
    <w:rsid w:val="00DE4F1A"/>
    <w:rsid w:val="00DE59D8"/>
    <w:rsid w:val="00DE5C2C"/>
    <w:rsid w:val="00DE6AEE"/>
    <w:rsid w:val="00DE6CE3"/>
    <w:rsid w:val="00DE6F4F"/>
    <w:rsid w:val="00DE77D5"/>
    <w:rsid w:val="00DF029A"/>
    <w:rsid w:val="00DF14BF"/>
    <w:rsid w:val="00DF20D9"/>
    <w:rsid w:val="00DF2426"/>
    <w:rsid w:val="00DF266C"/>
    <w:rsid w:val="00DF3095"/>
    <w:rsid w:val="00DF371D"/>
    <w:rsid w:val="00DF432D"/>
    <w:rsid w:val="00DF52AC"/>
    <w:rsid w:val="00DF6130"/>
    <w:rsid w:val="00DF6868"/>
    <w:rsid w:val="00DF6CDE"/>
    <w:rsid w:val="00DF7212"/>
    <w:rsid w:val="00E00D96"/>
    <w:rsid w:val="00E01386"/>
    <w:rsid w:val="00E02B2F"/>
    <w:rsid w:val="00E02DAB"/>
    <w:rsid w:val="00E044EC"/>
    <w:rsid w:val="00E05B3B"/>
    <w:rsid w:val="00E0689C"/>
    <w:rsid w:val="00E068E4"/>
    <w:rsid w:val="00E0710F"/>
    <w:rsid w:val="00E0754D"/>
    <w:rsid w:val="00E079A1"/>
    <w:rsid w:val="00E07A00"/>
    <w:rsid w:val="00E106E9"/>
    <w:rsid w:val="00E109B2"/>
    <w:rsid w:val="00E12BE8"/>
    <w:rsid w:val="00E1388D"/>
    <w:rsid w:val="00E14293"/>
    <w:rsid w:val="00E15393"/>
    <w:rsid w:val="00E156D0"/>
    <w:rsid w:val="00E20376"/>
    <w:rsid w:val="00E2093B"/>
    <w:rsid w:val="00E2121A"/>
    <w:rsid w:val="00E21CD7"/>
    <w:rsid w:val="00E2454C"/>
    <w:rsid w:val="00E250F5"/>
    <w:rsid w:val="00E25163"/>
    <w:rsid w:val="00E25916"/>
    <w:rsid w:val="00E26196"/>
    <w:rsid w:val="00E2631A"/>
    <w:rsid w:val="00E27080"/>
    <w:rsid w:val="00E30097"/>
    <w:rsid w:val="00E302A4"/>
    <w:rsid w:val="00E306B1"/>
    <w:rsid w:val="00E3202B"/>
    <w:rsid w:val="00E32136"/>
    <w:rsid w:val="00E32D13"/>
    <w:rsid w:val="00E356C7"/>
    <w:rsid w:val="00E35EDA"/>
    <w:rsid w:val="00E36309"/>
    <w:rsid w:val="00E36A42"/>
    <w:rsid w:val="00E36AC0"/>
    <w:rsid w:val="00E37258"/>
    <w:rsid w:val="00E372E3"/>
    <w:rsid w:val="00E4087C"/>
    <w:rsid w:val="00E40CF2"/>
    <w:rsid w:val="00E41426"/>
    <w:rsid w:val="00E41B31"/>
    <w:rsid w:val="00E41B67"/>
    <w:rsid w:val="00E42368"/>
    <w:rsid w:val="00E4476C"/>
    <w:rsid w:val="00E45760"/>
    <w:rsid w:val="00E45F89"/>
    <w:rsid w:val="00E4740C"/>
    <w:rsid w:val="00E47C98"/>
    <w:rsid w:val="00E500C2"/>
    <w:rsid w:val="00E503DC"/>
    <w:rsid w:val="00E50792"/>
    <w:rsid w:val="00E51092"/>
    <w:rsid w:val="00E51772"/>
    <w:rsid w:val="00E528FC"/>
    <w:rsid w:val="00E52CB0"/>
    <w:rsid w:val="00E53136"/>
    <w:rsid w:val="00E53C35"/>
    <w:rsid w:val="00E53D38"/>
    <w:rsid w:val="00E54B4F"/>
    <w:rsid w:val="00E54E3F"/>
    <w:rsid w:val="00E561E8"/>
    <w:rsid w:val="00E56273"/>
    <w:rsid w:val="00E56554"/>
    <w:rsid w:val="00E571E3"/>
    <w:rsid w:val="00E577C5"/>
    <w:rsid w:val="00E57D2D"/>
    <w:rsid w:val="00E57EDE"/>
    <w:rsid w:val="00E60DA7"/>
    <w:rsid w:val="00E61155"/>
    <w:rsid w:val="00E61775"/>
    <w:rsid w:val="00E62CBB"/>
    <w:rsid w:val="00E63FAE"/>
    <w:rsid w:val="00E6419D"/>
    <w:rsid w:val="00E6590D"/>
    <w:rsid w:val="00E65A53"/>
    <w:rsid w:val="00E71893"/>
    <w:rsid w:val="00E73150"/>
    <w:rsid w:val="00E7361A"/>
    <w:rsid w:val="00E74622"/>
    <w:rsid w:val="00E74667"/>
    <w:rsid w:val="00E7591F"/>
    <w:rsid w:val="00E75D56"/>
    <w:rsid w:val="00E7624C"/>
    <w:rsid w:val="00E7653F"/>
    <w:rsid w:val="00E766E5"/>
    <w:rsid w:val="00E76986"/>
    <w:rsid w:val="00E77374"/>
    <w:rsid w:val="00E77C17"/>
    <w:rsid w:val="00E77C99"/>
    <w:rsid w:val="00E80ABE"/>
    <w:rsid w:val="00E80E8D"/>
    <w:rsid w:val="00E83CDB"/>
    <w:rsid w:val="00E83F60"/>
    <w:rsid w:val="00E85237"/>
    <w:rsid w:val="00E85A5B"/>
    <w:rsid w:val="00E8734A"/>
    <w:rsid w:val="00E87B8A"/>
    <w:rsid w:val="00E91551"/>
    <w:rsid w:val="00E93E2B"/>
    <w:rsid w:val="00E949DC"/>
    <w:rsid w:val="00E94F7E"/>
    <w:rsid w:val="00E95BC6"/>
    <w:rsid w:val="00E95E27"/>
    <w:rsid w:val="00E96858"/>
    <w:rsid w:val="00E969E5"/>
    <w:rsid w:val="00EA21DF"/>
    <w:rsid w:val="00EA25B2"/>
    <w:rsid w:val="00EA30DF"/>
    <w:rsid w:val="00EA3B82"/>
    <w:rsid w:val="00EA3D4F"/>
    <w:rsid w:val="00EA3F2B"/>
    <w:rsid w:val="00EA5CCD"/>
    <w:rsid w:val="00EA5CE3"/>
    <w:rsid w:val="00EA6551"/>
    <w:rsid w:val="00EA6DF4"/>
    <w:rsid w:val="00EA7086"/>
    <w:rsid w:val="00EA7AC4"/>
    <w:rsid w:val="00EB04F6"/>
    <w:rsid w:val="00EB0A49"/>
    <w:rsid w:val="00EB1C47"/>
    <w:rsid w:val="00EB1C67"/>
    <w:rsid w:val="00EB4565"/>
    <w:rsid w:val="00EB474D"/>
    <w:rsid w:val="00EB586A"/>
    <w:rsid w:val="00EB6558"/>
    <w:rsid w:val="00EB6B04"/>
    <w:rsid w:val="00EB6E29"/>
    <w:rsid w:val="00EB79A6"/>
    <w:rsid w:val="00EC0944"/>
    <w:rsid w:val="00EC09B6"/>
    <w:rsid w:val="00EC186C"/>
    <w:rsid w:val="00EC192F"/>
    <w:rsid w:val="00EC230E"/>
    <w:rsid w:val="00EC2641"/>
    <w:rsid w:val="00EC27F3"/>
    <w:rsid w:val="00EC3237"/>
    <w:rsid w:val="00EC4E64"/>
    <w:rsid w:val="00EC57DE"/>
    <w:rsid w:val="00EC6C1A"/>
    <w:rsid w:val="00EC6EFF"/>
    <w:rsid w:val="00ED109B"/>
    <w:rsid w:val="00ED125E"/>
    <w:rsid w:val="00ED2615"/>
    <w:rsid w:val="00ED27C6"/>
    <w:rsid w:val="00ED354F"/>
    <w:rsid w:val="00ED3AA8"/>
    <w:rsid w:val="00ED3D04"/>
    <w:rsid w:val="00ED49CB"/>
    <w:rsid w:val="00ED652F"/>
    <w:rsid w:val="00ED6769"/>
    <w:rsid w:val="00EE020E"/>
    <w:rsid w:val="00EE1444"/>
    <w:rsid w:val="00EE17C5"/>
    <w:rsid w:val="00EE19E4"/>
    <w:rsid w:val="00EE1C20"/>
    <w:rsid w:val="00EE1CDE"/>
    <w:rsid w:val="00EE1E71"/>
    <w:rsid w:val="00EE222A"/>
    <w:rsid w:val="00EE2644"/>
    <w:rsid w:val="00EE2F64"/>
    <w:rsid w:val="00EE4420"/>
    <w:rsid w:val="00EE4537"/>
    <w:rsid w:val="00EE5A40"/>
    <w:rsid w:val="00EE5D63"/>
    <w:rsid w:val="00EE6410"/>
    <w:rsid w:val="00EE7A0B"/>
    <w:rsid w:val="00EF0C17"/>
    <w:rsid w:val="00EF2318"/>
    <w:rsid w:val="00EF56D6"/>
    <w:rsid w:val="00EF5D91"/>
    <w:rsid w:val="00EF6255"/>
    <w:rsid w:val="00EF685A"/>
    <w:rsid w:val="00EF7088"/>
    <w:rsid w:val="00EF74C3"/>
    <w:rsid w:val="00EF74D7"/>
    <w:rsid w:val="00F015A0"/>
    <w:rsid w:val="00F01A73"/>
    <w:rsid w:val="00F01C16"/>
    <w:rsid w:val="00F02104"/>
    <w:rsid w:val="00F02164"/>
    <w:rsid w:val="00F02743"/>
    <w:rsid w:val="00F0425B"/>
    <w:rsid w:val="00F043A7"/>
    <w:rsid w:val="00F05BDA"/>
    <w:rsid w:val="00F05DDB"/>
    <w:rsid w:val="00F07AB3"/>
    <w:rsid w:val="00F1043A"/>
    <w:rsid w:val="00F11032"/>
    <w:rsid w:val="00F11CD6"/>
    <w:rsid w:val="00F11E76"/>
    <w:rsid w:val="00F1212F"/>
    <w:rsid w:val="00F1227F"/>
    <w:rsid w:val="00F12EB7"/>
    <w:rsid w:val="00F134C2"/>
    <w:rsid w:val="00F13819"/>
    <w:rsid w:val="00F13F02"/>
    <w:rsid w:val="00F14EFC"/>
    <w:rsid w:val="00F15534"/>
    <w:rsid w:val="00F158F9"/>
    <w:rsid w:val="00F16907"/>
    <w:rsid w:val="00F16BCE"/>
    <w:rsid w:val="00F202F1"/>
    <w:rsid w:val="00F20346"/>
    <w:rsid w:val="00F21388"/>
    <w:rsid w:val="00F21625"/>
    <w:rsid w:val="00F21ABE"/>
    <w:rsid w:val="00F22290"/>
    <w:rsid w:val="00F2283D"/>
    <w:rsid w:val="00F23351"/>
    <w:rsid w:val="00F24723"/>
    <w:rsid w:val="00F26FFA"/>
    <w:rsid w:val="00F30276"/>
    <w:rsid w:val="00F30525"/>
    <w:rsid w:val="00F3084E"/>
    <w:rsid w:val="00F30C64"/>
    <w:rsid w:val="00F31E8B"/>
    <w:rsid w:val="00F3302F"/>
    <w:rsid w:val="00F33153"/>
    <w:rsid w:val="00F3378E"/>
    <w:rsid w:val="00F345B0"/>
    <w:rsid w:val="00F346DD"/>
    <w:rsid w:val="00F34D83"/>
    <w:rsid w:val="00F35214"/>
    <w:rsid w:val="00F35903"/>
    <w:rsid w:val="00F368F7"/>
    <w:rsid w:val="00F36C47"/>
    <w:rsid w:val="00F37DDF"/>
    <w:rsid w:val="00F40848"/>
    <w:rsid w:val="00F40CDD"/>
    <w:rsid w:val="00F4235F"/>
    <w:rsid w:val="00F42518"/>
    <w:rsid w:val="00F4333D"/>
    <w:rsid w:val="00F4345E"/>
    <w:rsid w:val="00F4435E"/>
    <w:rsid w:val="00F44576"/>
    <w:rsid w:val="00F44923"/>
    <w:rsid w:val="00F44E32"/>
    <w:rsid w:val="00F4576F"/>
    <w:rsid w:val="00F45BC9"/>
    <w:rsid w:val="00F45DAD"/>
    <w:rsid w:val="00F4609C"/>
    <w:rsid w:val="00F47885"/>
    <w:rsid w:val="00F50654"/>
    <w:rsid w:val="00F509B9"/>
    <w:rsid w:val="00F52B38"/>
    <w:rsid w:val="00F52CC7"/>
    <w:rsid w:val="00F53B64"/>
    <w:rsid w:val="00F54018"/>
    <w:rsid w:val="00F547DC"/>
    <w:rsid w:val="00F553BF"/>
    <w:rsid w:val="00F55897"/>
    <w:rsid w:val="00F55A93"/>
    <w:rsid w:val="00F56E35"/>
    <w:rsid w:val="00F57B50"/>
    <w:rsid w:val="00F606FC"/>
    <w:rsid w:val="00F60FC6"/>
    <w:rsid w:val="00F61150"/>
    <w:rsid w:val="00F61771"/>
    <w:rsid w:val="00F6235C"/>
    <w:rsid w:val="00F62D78"/>
    <w:rsid w:val="00F66274"/>
    <w:rsid w:val="00F6656D"/>
    <w:rsid w:val="00F66841"/>
    <w:rsid w:val="00F70992"/>
    <w:rsid w:val="00F7143A"/>
    <w:rsid w:val="00F737F6"/>
    <w:rsid w:val="00F73A8A"/>
    <w:rsid w:val="00F74442"/>
    <w:rsid w:val="00F74686"/>
    <w:rsid w:val="00F7468B"/>
    <w:rsid w:val="00F747DC"/>
    <w:rsid w:val="00F74932"/>
    <w:rsid w:val="00F74DF7"/>
    <w:rsid w:val="00F76A51"/>
    <w:rsid w:val="00F77043"/>
    <w:rsid w:val="00F771C2"/>
    <w:rsid w:val="00F77A6D"/>
    <w:rsid w:val="00F80157"/>
    <w:rsid w:val="00F815FD"/>
    <w:rsid w:val="00F81FE5"/>
    <w:rsid w:val="00F82D14"/>
    <w:rsid w:val="00F83058"/>
    <w:rsid w:val="00F83D90"/>
    <w:rsid w:val="00F83DFE"/>
    <w:rsid w:val="00F8492E"/>
    <w:rsid w:val="00F84964"/>
    <w:rsid w:val="00F8580D"/>
    <w:rsid w:val="00F86048"/>
    <w:rsid w:val="00F869DB"/>
    <w:rsid w:val="00F872BE"/>
    <w:rsid w:val="00F8779C"/>
    <w:rsid w:val="00F87E1C"/>
    <w:rsid w:val="00F91560"/>
    <w:rsid w:val="00F91D3D"/>
    <w:rsid w:val="00F92069"/>
    <w:rsid w:val="00F92CA3"/>
    <w:rsid w:val="00F9308B"/>
    <w:rsid w:val="00F9322A"/>
    <w:rsid w:val="00F93969"/>
    <w:rsid w:val="00F94079"/>
    <w:rsid w:val="00F9442B"/>
    <w:rsid w:val="00F95679"/>
    <w:rsid w:val="00F95849"/>
    <w:rsid w:val="00F95AAE"/>
    <w:rsid w:val="00F95DF5"/>
    <w:rsid w:val="00F9616C"/>
    <w:rsid w:val="00F964D3"/>
    <w:rsid w:val="00F966AF"/>
    <w:rsid w:val="00F97059"/>
    <w:rsid w:val="00FA1598"/>
    <w:rsid w:val="00FA180B"/>
    <w:rsid w:val="00FA1A24"/>
    <w:rsid w:val="00FA1F07"/>
    <w:rsid w:val="00FA3484"/>
    <w:rsid w:val="00FA3939"/>
    <w:rsid w:val="00FA40A0"/>
    <w:rsid w:val="00FA417D"/>
    <w:rsid w:val="00FA47FA"/>
    <w:rsid w:val="00FA5C51"/>
    <w:rsid w:val="00FA5F65"/>
    <w:rsid w:val="00FA6D9F"/>
    <w:rsid w:val="00FA715F"/>
    <w:rsid w:val="00FA7A11"/>
    <w:rsid w:val="00FB115A"/>
    <w:rsid w:val="00FB246C"/>
    <w:rsid w:val="00FB28CF"/>
    <w:rsid w:val="00FB3E29"/>
    <w:rsid w:val="00FB484A"/>
    <w:rsid w:val="00FB49C9"/>
    <w:rsid w:val="00FB4E6F"/>
    <w:rsid w:val="00FB4FA7"/>
    <w:rsid w:val="00FB555D"/>
    <w:rsid w:val="00FB66BA"/>
    <w:rsid w:val="00FB67CC"/>
    <w:rsid w:val="00FB7121"/>
    <w:rsid w:val="00FB72CA"/>
    <w:rsid w:val="00FB7525"/>
    <w:rsid w:val="00FB7ABB"/>
    <w:rsid w:val="00FC0812"/>
    <w:rsid w:val="00FC0C5F"/>
    <w:rsid w:val="00FC1414"/>
    <w:rsid w:val="00FC18C4"/>
    <w:rsid w:val="00FC1F72"/>
    <w:rsid w:val="00FC2DD1"/>
    <w:rsid w:val="00FC2E87"/>
    <w:rsid w:val="00FC3A38"/>
    <w:rsid w:val="00FC3EC6"/>
    <w:rsid w:val="00FC4BEC"/>
    <w:rsid w:val="00FC5383"/>
    <w:rsid w:val="00FC5FF2"/>
    <w:rsid w:val="00FC7675"/>
    <w:rsid w:val="00FD1193"/>
    <w:rsid w:val="00FD1819"/>
    <w:rsid w:val="00FD382C"/>
    <w:rsid w:val="00FD3909"/>
    <w:rsid w:val="00FD572A"/>
    <w:rsid w:val="00FD6401"/>
    <w:rsid w:val="00FD64E3"/>
    <w:rsid w:val="00FD69BC"/>
    <w:rsid w:val="00FD75CC"/>
    <w:rsid w:val="00FD7E5C"/>
    <w:rsid w:val="00FE020F"/>
    <w:rsid w:val="00FE0558"/>
    <w:rsid w:val="00FE0559"/>
    <w:rsid w:val="00FE0887"/>
    <w:rsid w:val="00FE08A9"/>
    <w:rsid w:val="00FE205B"/>
    <w:rsid w:val="00FE208F"/>
    <w:rsid w:val="00FE27CD"/>
    <w:rsid w:val="00FE2ABB"/>
    <w:rsid w:val="00FE3D5B"/>
    <w:rsid w:val="00FE3E95"/>
    <w:rsid w:val="00FE3F32"/>
    <w:rsid w:val="00FE4D6E"/>
    <w:rsid w:val="00FE5D91"/>
    <w:rsid w:val="00FE665A"/>
    <w:rsid w:val="00FE6DB8"/>
    <w:rsid w:val="00FE6F7C"/>
    <w:rsid w:val="00FE72B8"/>
    <w:rsid w:val="00FF0AD4"/>
    <w:rsid w:val="00FF282B"/>
    <w:rsid w:val="00FF2A6D"/>
    <w:rsid w:val="00FF3CEA"/>
    <w:rsid w:val="00FF4492"/>
    <w:rsid w:val="00FF4BBF"/>
    <w:rsid w:val="00FF6576"/>
    <w:rsid w:val="00FF6881"/>
    <w:rsid w:val="00FF6B9C"/>
    <w:rsid w:val="00FF6B9F"/>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19F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맑은 고딕"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6354"/>
    <w:rPr>
      <w:sz w:val="22"/>
      <w:lang w:val="en-US" w:eastAsia="ja-JP"/>
    </w:rPr>
  </w:style>
  <w:style w:type="paragraph" w:styleId="Heading1">
    <w:name w:val="heading 1"/>
    <w:basedOn w:val="Normal"/>
    <w:next w:val="Normal"/>
    <w:qFormat/>
    <w:rsid w:val="00F44576"/>
    <w:pPr>
      <w:ind w:left="567" w:hanging="567"/>
      <w:outlineLvl w:val="0"/>
    </w:pPr>
    <w:rPr>
      <w:b/>
      <w:caps/>
    </w:rPr>
  </w:style>
  <w:style w:type="paragraph" w:styleId="Heading2">
    <w:name w:val="heading 2"/>
    <w:basedOn w:val="Heading1"/>
    <w:next w:val="Normal"/>
    <w:qFormat/>
    <w:rsid w:val="00F44576"/>
    <w:pPr>
      <w:outlineLvl w:val="1"/>
    </w:pPr>
    <w:rPr>
      <w:caps w:val="0"/>
    </w:rPr>
  </w:style>
  <w:style w:type="paragraph" w:styleId="Heading3">
    <w:name w:val="heading 3"/>
    <w:basedOn w:val="Normal"/>
    <w:next w:val="Normal"/>
    <w:qFormat/>
    <w:rsid w:val="00F44576"/>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left" w:pos="567"/>
      </w:tabs>
      <w:spacing w:line="260" w:lineRule="exact"/>
      <w:jc w:val="both"/>
      <w:outlineLvl w:val="3"/>
    </w:pPr>
    <w:rPr>
      <w:b/>
      <w:noProof/>
      <w:lang w:val="cs-CZ" w:eastAsia="en-US"/>
    </w:rPr>
  </w:style>
  <w:style w:type="paragraph" w:styleId="Heading5">
    <w:name w:val="heading 5"/>
    <w:basedOn w:val="Normal"/>
    <w:next w:val="Normal"/>
    <w:qFormat/>
    <w:pPr>
      <w:keepNext/>
      <w:tabs>
        <w:tab w:val="left" w:pos="567"/>
      </w:tabs>
      <w:spacing w:line="260" w:lineRule="exact"/>
      <w:jc w:val="both"/>
      <w:outlineLvl w:val="4"/>
    </w:pPr>
    <w:rPr>
      <w:noProof/>
      <w:lang w:val="cs-CZ" w:eastAsia="en-US"/>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cs-CZ" w:eastAsia="en-US"/>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cs-CZ" w:eastAsia="en-US"/>
    </w:rPr>
  </w:style>
  <w:style w:type="paragraph" w:styleId="Heading8">
    <w:name w:val="heading 8"/>
    <w:basedOn w:val="Normal"/>
    <w:next w:val="Normal"/>
    <w:qFormat/>
    <w:pPr>
      <w:keepNext/>
      <w:tabs>
        <w:tab w:val="left" w:pos="567"/>
      </w:tabs>
      <w:spacing w:line="260" w:lineRule="exact"/>
      <w:jc w:val="both"/>
      <w:outlineLvl w:val="7"/>
    </w:pPr>
    <w:rPr>
      <w:b/>
      <w:i/>
      <w:lang w:val="cs-CZ" w:eastAsia="en-US"/>
    </w:rPr>
  </w:style>
  <w:style w:type="paragraph" w:styleId="Heading9">
    <w:name w:val="heading 9"/>
    <w:basedOn w:val="Normal"/>
    <w:next w:val="Normal"/>
    <w:qFormat/>
    <w:pPr>
      <w:keepNext/>
      <w:tabs>
        <w:tab w:val="left" w:pos="567"/>
      </w:tabs>
      <w:spacing w:line="260" w:lineRule="exact"/>
      <w:jc w:val="both"/>
      <w:outlineLvl w:val="8"/>
    </w:pPr>
    <w:rPr>
      <w:b/>
      <w:i/>
      <w:lang w:val="cs-C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line="360" w:lineRule="auto"/>
      <w:jc w:val="center"/>
    </w:pPr>
    <w:rPr>
      <w:u w:val="single"/>
    </w:rPr>
  </w:style>
  <w:style w:type="paragraph" w:styleId="Footer">
    <w:name w:val="footer"/>
    <w:basedOn w:val="Normal"/>
    <w:rsid w:val="00F44576"/>
    <w:rPr>
      <w:rFonts w:ascii="Arial" w:hAnsi="Arial"/>
      <w:sz w:val="16"/>
    </w:rPr>
  </w:style>
  <w:style w:type="paragraph" w:styleId="BodyText">
    <w:name w:val="Body Text"/>
    <w:basedOn w:val="Normal"/>
    <w:link w:val="BodyTextChar"/>
    <w:pPr>
      <w:tabs>
        <w:tab w:val="left" w:pos="567"/>
      </w:tabs>
      <w:spacing w:line="260" w:lineRule="exact"/>
    </w:pPr>
    <w:rPr>
      <w:b/>
      <w:i/>
      <w:lang w:val="cs-CZ" w:eastAsia="en-US"/>
    </w:rPr>
  </w:style>
  <w:style w:type="paragraph" w:styleId="BodyTextIndent">
    <w:name w:val="Body Text Indent"/>
    <w:basedOn w:val="Normal"/>
    <w:rPr>
      <w:b/>
      <w:color w:val="808080"/>
      <w:lang w:val="cs-CZ" w:eastAsia="en-US"/>
    </w:rPr>
  </w:style>
  <w:style w:type="paragraph" w:styleId="BodyTextIndent2">
    <w:name w:val="Body Text Indent 2"/>
    <w:basedOn w:val="Normal"/>
    <w:pPr>
      <w:tabs>
        <w:tab w:val="left" w:pos="567"/>
      </w:tabs>
      <w:spacing w:line="260" w:lineRule="exact"/>
      <w:jc w:val="both"/>
    </w:pPr>
    <w:rPr>
      <w:b/>
      <w:lang w:val="cs-CZ" w:eastAsia="en-US"/>
    </w:rPr>
  </w:style>
  <w:style w:type="paragraph" w:styleId="BodyTextIndent3">
    <w:name w:val="Body Text Indent 3"/>
    <w:basedOn w:val="Normal"/>
    <w:pPr>
      <w:tabs>
        <w:tab w:val="left" w:pos="567"/>
      </w:tabs>
      <w:spacing w:line="260" w:lineRule="exact"/>
    </w:pPr>
    <w:rPr>
      <w:i/>
      <w:color w:val="008000"/>
      <w:lang w:val="cs-CZ" w:eastAsia="en-US"/>
    </w:rPr>
  </w:style>
  <w:style w:type="character" w:styleId="PageNumber">
    <w:name w:val="page number"/>
    <w:rsid w:val="00F44576"/>
    <w:rPr>
      <w:rFonts w:ascii="Arial" w:hAnsi="Arial"/>
      <w:noProof/>
      <w:sz w:val="16"/>
    </w:rPr>
  </w:style>
  <w:style w:type="paragraph" w:styleId="BodyText3">
    <w:name w:val="Body Text 3"/>
    <w:basedOn w:val="Normal"/>
    <w:pPr>
      <w:tabs>
        <w:tab w:val="left" w:pos="567"/>
      </w:tabs>
      <w:spacing w:line="260" w:lineRule="exact"/>
      <w:jc w:val="both"/>
    </w:pPr>
    <w:rPr>
      <w:b/>
      <w:i/>
      <w:lang w:val="cs-CZ" w:eastAsia="en-US"/>
    </w:rPr>
  </w:style>
  <w:style w:type="paragraph" w:styleId="Header">
    <w:name w:val="header"/>
    <w:basedOn w:val="Normal"/>
    <w:rsid w:val="00F44576"/>
    <w:pPr>
      <w:tabs>
        <w:tab w:val="center" w:pos="4536"/>
        <w:tab w:val="right" w:pos="9072"/>
      </w:tabs>
    </w:pPr>
  </w:style>
  <w:style w:type="paragraph" w:styleId="BlockText">
    <w:name w:val="Block Text"/>
    <w:basedOn w:val="Normal"/>
    <w:pPr>
      <w:tabs>
        <w:tab w:val="left" w:pos="2657"/>
      </w:tabs>
      <w:spacing w:before="120"/>
      <w:ind w:left="-37" w:right="-28"/>
    </w:pPr>
    <w:rPr>
      <w:lang w:val="cs-CZ" w:eastAsia="en-US"/>
    </w:rPr>
  </w:style>
  <w:style w:type="paragraph" w:styleId="BodyText2">
    <w:name w:val="Body Text 2"/>
    <w:basedOn w:val="Normal"/>
    <w:rPr>
      <w:b/>
      <w:lang w:val="cs-CZ" w:eastAsia="en-US"/>
    </w:rPr>
  </w:style>
  <w:style w:type="character" w:styleId="CommentReference">
    <w:name w:val="annotation reference"/>
    <w:semiHidden/>
    <w:rPr>
      <w:sz w:val="16"/>
    </w:rPr>
  </w:style>
  <w:style w:type="paragraph" w:styleId="CommentText">
    <w:name w:val="annotation text"/>
    <w:basedOn w:val="Normal"/>
    <w:link w:val="CommentTextChar"/>
    <w:semiHidden/>
    <w:pPr>
      <w:tabs>
        <w:tab w:val="left" w:pos="567"/>
      </w:tabs>
      <w:spacing w:line="260" w:lineRule="exact"/>
    </w:pPr>
    <w:rPr>
      <w:sz w:val="20"/>
      <w:lang w:val="cs-CZ" w:eastAsia="en-US"/>
    </w:rPr>
  </w:style>
  <w:style w:type="paragraph" w:styleId="DocumentMap">
    <w:name w:val="Document Map"/>
    <w:basedOn w:val="Normal"/>
    <w:semiHidden/>
    <w:pPr>
      <w:shd w:val="clear" w:color="auto" w:fill="000080"/>
      <w:tabs>
        <w:tab w:val="left" w:pos="567"/>
      </w:tabs>
      <w:spacing w:line="260" w:lineRule="exact"/>
    </w:pPr>
    <w:rPr>
      <w:rFonts w:ascii="Tahoma" w:hAnsi="Tahoma"/>
      <w:lang w:val="cs-CZ" w:eastAsia="en-US"/>
    </w:rPr>
  </w:style>
  <w:style w:type="character" w:styleId="EndnoteReference">
    <w:name w:val="endnote reference"/>
    <w:semiHidden/>
    <w:rPr>
      <w:vertAlign w:val="superscript"/>
    </w:rPr>
  </w:style>
  <w:style w:type="paragraph" w:styleId="EndnoteText">
    <w:name w:val="endnote text"/>
    <w:basedOn w:val="Normal"/>
    <w:next w:val="Normal"/>
    <w:semiHidden/>
    <w:pPr>
      <w:tabs>
        <w:tab w:val="left" w:pos="567"/>
      </w:tabs>
    </w:pPr>
    <w:rPr>
      <w:lang w:val="cs-CZ" w:eastAsia="en-US"/>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paragraph" w:styleId="FootnoteText">
    <w:name w:val="footnote text"/>
    <w:basedOn w:val="Normal"/>
    <w:semiHidden/>
    <w:pPr>
      <w:tabs>
        <w:tab w:val="left" w:pos="567"/>
      </w:tabs>
      <w:spacing w:line="260" w:lineRule="exact"/>
    </w:pPr>
    <w:rPr>
      <w:sz w:val="20"/>
      <w:lang w:val="cs-CZ" w:eastAsia="en-US"/>
    </w:rPr>
  </w:style>
  <w:style w:type="character" w:styleId="Hyperlink">
    <w:name w:val="Hyperlink"/>
    <w:rPr>
      <w:color w:val="0000FF"/>
      <w:u w:val="single"/>
    </w:rPr>
  </w:style>
  <w:style w:type="paragraph" w:customStyle="1" w:styleId="Bullet">
    <w:name w:val="Bullet"/>
    <w:basedOn w:val="Normal"/>
    <w:pPr>
      <w:numPr>
        <w:numId w:val="1"/>
      </w:numPr>
    </w:pPr>
  </w:style>
  <w:style w:type="paragraph" w:customStyle="1" w:styleId="Annex">
    <w:name w:val="Annex"/>
    <w:basedOn w:val="Normal"/>
    <w:next w:val="Normal"/>
    <w:rsid w:val="00F44576"/>
    <w:pPr>
      <w:jc w:val="center"/>
    </w:pPr>
    <w:rPr>
      <w:b/>
    </w:rPr>
  </w:style>
  <w:style w:type="paragraph" w:customStyle="1" w:styleId="Description">
    <w:name w:val="Description"/>
    <w:basedOn w:val="Normal"/>
    <w:next w:val="Normal"/>
    <w:rsid w:val="00F44576"/>
  </w:style>
  <w:style w:type="paragraph" w:customStyle="1" w:styleId="HangingIndent">
    <w:name w:val="HangingIndent"/>
    <w:basedOn w:val="Normal"/>
    <w:rsid w:val="0022002F"/>
    <w:pPr>
      <w:ind w:left="567" w:hanging="567"/>
    </w:pPr>
  </w:style>
  <w:style w:type="paragraph" w:styleId="BalloonText">
    <w:name w:val="Balloon Text"/>
    <w:basedOn w:val="Normal"/>
    <w:semiHidden/>
    <w:rPr>
      <w:rFonts w:ascii="Tahoma" w:hAnsi="Tahoma" w:cs="Tahoma"/>
      <w:sz w:val="16"/>
      <w:szCs w:val="16"/>
    </w:rPr>
  </w:style>
  <w:style w:type="paragraph" w:customStyle="1" w:styleId="TextTi10">
    <w:name w:val="Text:Ti10"/>
    <w:basedOn w:val="Normal"/>
    <w:rsid w:val="000D21AF"/>
    <w:rPr>
      <w:sz w:val="20"/>
    </w:rPr>
  </w:style>
  <w:style w:type="character" w:customStyle="1" w:styleId="TextTi12Char1">
    <w:name w:val="Text:Ti12 Char1"/>
    <w:rsid w:val="000D21AF"/>
    <w:rPr>
      <w:noProof w:val="0"/>
      <w:sz w:val="24"/>
      <w:lang w:val="en-US" w:eastAsia="ja-JP" w:bidi="ar-SA"/>
    </w:rPr>
  </w:style>
  <w:style w:type="paragraph" w:customStyle="1" w:styleId="TextTi12">
    <w:name w:val="Text:Ti12"/>
    <w:basedOn w:val="Normal"/>
    <w:link w:val="TextTi12Char"/>
    <w:rsid w:val="000D21AF"/>
    <w:pPr>
      <w:spacing w:after="170" w:line="280" w:lineRule="atLeast"/>
      <w:jc w:val="both"/>
    </w:pPr>
    <w:rPr>
      <w:sz w:val="24"/>
    </w:rPr>
  </w:style>
  <w:style w:type="character" w:customStyle="1" w:styleId="TextTi12Char">
    <w:name w:val="Text:Ti12 Char"/>
    <w:link w:val="TextTi12"/>
    <w:rsid w:val="000D21AF"/>
    <w:rPr>
      <w:sz w:val="24"/>
      <w:lang w:val="en-US" w:eastAsia="ja-JP" w:bidi="ar-SA"/>
    </w:rPr>
  </w:style>
  <w:style w:type="paragraph" w:customStyle="1" w:styleId="TableCellCenter">
    <w:name w:val="Table Cell Center"/>
    <w:basedOn w:val="Normal"/>
    <w:rsid w:val="000D21AF"/>
    <w:pPr>
      <w:keepNext/>
      <w:keepLines/>
      <w:spacing w:before="50" w:after="50" w:line="240" w:lineRule="exact"/>
      <w:jc w:val="center"/>
    </w:pPr>
    <w:rPr>
      <w:sz w:val="20"/>
      <w:lang w:eastAsia="da-DK"/>
    </w:rPr>
  </w:style>
  <w:style w:type="paragraph" w:customStyle="1" w:styleId="TableCellHead">
    <w:name w:val="Table Cell Head"/>
    <w:basedOn w:val="Normal"/>
    <w:next w:val="Normal"/>
    <w:rsid w:val="000D21AF"/>
    <w:pPr>
      <w:keepNext/>
      <w:keepLines/>
      <w:spacing w:before="100" w:line="240" w:lineRule="exact"/>
    </w:pPr>
    <w:rPr>
      <w:sz w:val="20"/>
      <w:u w:val="single"/>
      <w:lang w:eastAsia="da-DK"/>
    </w:rPr>
  </w:style>
  <w:style w:type="paragraph" w:customStyle="1" w:styleId="TableFooter">
    <w:name w:val="Table Footer"/>
    <w:basedOn w:val="Normal"/>
    <w:rsid w:val="000D21AF"/>
    <w:pPr>
      <w:keepNext/>
      <w:keepLines/>
      <w:tabs>
        <w:tab w:val="right" w:pos="144"/>
      </w:tabs>
      <w:spacing w:before="60" w:line="240" w:lineRule="exact"/>
      <w:ind w:left="216" w:hanging="216"/>
    </w:pPr>
    <w:rPr>
      <w:sz w:val="20"/>
      <w:lang w:eastAsia="da-DK"/>
    </w:rPr>
  </w:style>
  <w:style w:type="character" w:customStyle="1" w:styleId="tw4winMark">
    <w:name w:val="tw4winMark"/>
    <w:rsid w:val="002A2453"/>
    <w:rPr>
      <w:rFonts w:ascii="Courier New" w:hAnsi="Courier New"/>
      <w:b w:val="0"/>
      <w:i w:val="0"/>
      <w:dstrike w:val="0"/>
      <w:noProof/>
      <w:vanish/>
      <w:color w:val="800080"/>
      <w:sz w:val="22"/>
      <w:effect w:val="none"/>
      <w:vertAlign w:val="subscript"/>
      <w:lang w:val="en-US"/>
    </w:rPr>
  </w:style>
  <w:style w:type="paragraph" w:customStyle="1" w:styleId="TableCellLeft">
    <w:name w:val="Table Cell Left"/>
    <w:basedOn w:val="Normal"/>
    <w:rsid w:val="000D21AF"/>
    <w:pPr>
      <w:keepNext/>
      <w:keepLines/>
      <w:spacing w:before="50" w:after="50" w:line="240" w:lineRule="exact"/>
    </w:pPr>
    <w:rPr>
      <w:sz w:val="20"/>
      <w:lang w:eastAsia="da-DK"/>
    </w:rPr>
  </w:style>
  <w:style w:type="paragraph" w:customStyle="1" w:styleId="HdTab1">
    <w:name w:val="Hd:Tab:1"/>
    <w:basedOn w:val="Caption"/>
    <w:next w:val="TextTi12"/>
    <w:link w:val="HdTab1Char"/>
    <w:rsid w:val="000D21AF"/>
    <w:pPr>
      <w:keepNext/>
      <w:spacing w:before="113" w:after="57" w:line="280" w:lineRule="atLeast"/>
      <w:ind w:left="1701" w:hanging="1701"/>
      <w:outlineLvl w:val="4"/>
    </w:pPr>
    <w:rPr>
      <w:rFonts w:ascii="Arial" w:hAnsi="Arial"/>
      <w:bCs w:val="0"/>
      <w:sz w:val="24"/>
      <w:lang w:val="en-GB"/>
    </w:rPr>
  </w:style>
  <w:style w:type="paragraph" w:styleId="Caption">
    <w:name w:val="caption"/>
    <w:basedOn w:val="Normal"/>
    <w:next w:val="Normal"/>
    <w:qFormat/>
    <w:rsid w:val="000D21AF"/>
    <w:rPr>
      <w:b/>
      <w:bCs/>
      <w:sz w:val="20"/>
    </w:rPr>
  </w:style>
  <w:style w:type="table" w:styleId="TableGrid">
    <w:name w:val="Table Grid"/>
    <w:basedOn w:val="TableNormal"/>
    <w:rsid w:val="00E36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Tab1Char">
    <w:name w:val="Hd:Tab:1 Char"/>
    <w:link w:val="HdTab1"/>
    <w:rsid w:val="00844757"/>
    <w:rPr>
      <w:rFonts w:ascii="Arial" w:hAnsi="Arial"/>
      <w:b/>
      <w:sz w:val="24"/>
      <w:lang w:val="en-GB" w:eastAsia="ja-JP" w:bidi="ar-SA"/>
    </w:rPr>
  </w:style>
  <w:style w:type="paragraph" w:customStyle="1" w:styleId="AnnexHeading">
    <w:name w:val="Annex Heading"/>
    <w:basedOn w:val="Normal"/>
    <w:next w:val="Normal"/>
    <w:rsid w:val="00F44576"/>
    <w:pPr>
      <w:ind w:left="567" w:hanging="567"/>
    </w:pPr>
    <w:rPr>
      <w:b/>
    </w:rPr>
  </w:style>
  <w:style w:type="paragraph" w:styleId="BodyTextFirstIndent">
    <w:name w:val="Body Text First Indent"/>
    <w:basedOn w:val="BodyText"/>
    <w:rsid w:val="006036D2"/>
    <w:pPr>
      <w:tabs>
        <w:tab w:val="clear" w:pos="567"/>
      </w:tabs>
      <w:spacing w:after="120" w:line="240" w:lineRule="auto"/>
      <w:ind w:firstLine="210"/>
    </w:pPr>
    <w:rPr>
      <w:b w:val="0"/>
      <w:i w:val="0"/>
      <w:lang w:val="en-US" w:eastAsia="ja-JP"/>
    </w:rPr>
  </w:style>
  <w:style w:type="paragraph" w:styleId="BodyTextFirstIndent2">
    <w:name w:val="Body Text First Indent 2"/>
    <w:basedOn w:val="BodyTextIndent"/>
    <w:rsid w:val="006036D2"/>
    <w:pPr>
      <w:spacing w:after="120"/>
      <w:ind w:left="360" w:firstLine="210"/>
    </w:pPr>
    <w:rPr>
      <w:b w:val="0"/>
      <w:color w:val="auto"/>
      <w:lang w:val="en-US" w:eastAsia="ja-JP"/>
    </w:rPr>
  </w:style>
  <w:style w:type="paragraph" w:styleId="Closing">
    <w:name w:val="Closing"/>
    <w:basedOn w:val="Normal"/>
    <w:rsid w:val="006036D2"/>
    <w:pPr>
      <w:ind w:left="4320"/>
    </w:pPr>
  </w:style>
  <w:style w:type="paragraph" w:styleId="CommentSubject">
    <w:name w:val="annotation subject"/>
    <w:basedOn w:val="CommentText"/>
    <w:next w:val="CommentText"/>
    <w:semiHidden/>
    <w:rsid w:val="006036D2"/>
    <w:pPr>
      <w:tabs>
        <w:tab w:val="clear" w:pos="567"/>
      </w:tabs>
      <w:spacing w:line="240" w:lineRule="auto"/>
    </w:pPr>
    <w:rPr>
      <w:b/>
      <w:bCs/>
      <w:lang w:val="en-US" w:eastAsia="ja-JP"/>
    </w:rPr>
  </w:style>
  <w:style w:type="paragraph" w:styleId="Date">
    <w:name w:val="Date"/>
    <w:basedOn w:val="Normal"/>
    <w:next w:val="Normal"/>
    <w:rsid w:val="006036D2"/>
  </w:style>
  <w:style w:type="paragraph" w:styleId="E-mailSignature">
    <w:name w:val="E-mail Signature"/>
    <w:basedOn w:val="Normal"/>
    <w:rsid w:val="006036D2"/>
  </w:style>
  <w:style w:type="paragraph" w:styleId="EnvelopeAddress">
    <w:name w:val="envelope address"/>
    <w:basedOn w:val="Normal"/>
    <w:rsid w:val="006036D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6036D2"/>
    <w:rPr>
      <w:rFonts w:ascii="Arial" w:hAnsi="Arial" w:cs="Arial"/>
      <w:sz w:val="20"/>
    </w:rPr>
  </w:style>
  <w:style w:type="paragraph" w:styleId="HTMLAddress">
    <w:name w:val="HTML Address"/>
    <w:basedOn w:val="Normal"/>
    <w:rsid w:val="006036D2"/>
    <w:rPr>
      <w:i/>
      <w:iCs/>
    </w:rPr>
  </w:style>
  <w:style w:type="paragraph" w:styleId="HTMLPreformatted">
    <w:name w:val="HTML Preformatted"/>
    <w:basedOn w:val="Normal"/>
    <w:rsid w:val="006036D2"/>
    <w:rPr>
      <w:rFonts w:ascii="Courier New" w:hAnsi="Courier New" w:cs="Courier New"/>
      <w:sz w:val="20"/>
    </w:rPr>
  </w:style>
  <w:style w:type="paragraph" w:styleId="Index1">
    <w:name w:val="index 1"/>
    <w:basedOn w:val="Normal"/>
    <w:next w:val="Normal"/>
    <w:autoRedefine/>
    <w:semiHidden/>
    <w:rsid w:val="006036D2"/>
    <w:pPr>
      <w:ind w:left="220" w:hanging="220"/>
    </w:pPr>
  </w:style>
  <w:style w:type="paragraph" w:styleId="Index2">
    <w:name w:val="index 2"/>
    <w:basedOn w:val="Normal"/>
    <w:next w:val="Normal"/>
    <w:autoRedefine/>
    <w:semiHidden/>
    <w:rsid w:val="006036D2"/>
    <w:pPr>
      <w:ind w:left="440" w:hanging="220"/>
    </w:pPr>
  </w:style>
  <w:style w:type="paragraph" w:styleId="Index3">
    <w:name w:val="index 3"/>
    <w:basedOn w:val="Normal"/>
    <w:next w:val="Normal"/>
    <w:autoRedefine/>
    <w:semiHidden/>
    <w:rsid w:val="006036D2"/>
    <w:pPr>
      <w:ind w:left="660" w:hanging="220"/>
    </w:pPr>
  </w:style>
  <w:style w:type="paragraph" w:styleId="Index4">
    <w:name w:val="index 4"/>
    <w:basedOn w:val="Normal"/>
    <w:next w:val="Normal"/>
    <w:autoRedefine/>
    <w:semiHidden/>
    <w:rsid w:val="006036D2"/>
    <w:pPr>
      <w:ind w:left="880" w:hanging="220"/>
    </w:pPr>
  </w:style>
  <w:style w:type="paragraph" w:styleId="Index5">
    <w:name w:val="index 5"/>
    <w:basedOn w:val="Normal"/>
    <w:next w:val="Normal"/>
    <w:autoRedefine/>
    <w:semiHidden/>
    <w:rsid w:val="006036D2"/>
    <w:pPr>
      <w:ind w:left="1100" w:hanging="220"/>
    </w:pPr>
  </w:style>
  <w:style w:type="paragraph" w:styleId="Index6">
    <w:name w:val="index 6"/>
    <w:basedOn w:val="Normal"/>
    <w:next w:val="Normal"/>
    <w:autoRedefine/>
    <w:semiHidden/>
    <w:rsid w:val="006036D2"/>
    <w:pPr>
      <w:ind w:left="1320" w:hanging="220"/>
    </w:pPr>
  </w:style>
  <w:style w:type="paragraph" w:styleId="Index7">
    <w:name w:val="index 7"/>
    <w:basedOn w:val="Normal"/>
    <w:next w:val="Normal"/>
    <w:autoRedefine/>
    <w:semiHidden/>
    <w:rsid w:val="006036D2"/>
    <w:pPr>
      <w:ind w:left="1540" w:hanging="220"/>
    </w:pPr>
  </w:style>
  <w:style w:type="paragraph" w:styleId="Index8">
    <w:name w:val="index 8"/>
    <w:basedOn w:val="Normal"/>
    <w:next w:val="Normal"/>
    <w:autoRedefine/>
    <w:semiHidden/>
    <w:rsid w:val="006036D2"/>
    <w:pPr>
      <w:ind w:left="1760" w:hanging="220"/>
    </w:pPr>
  </w:style>
  <w:style w:type="paragraph" w:styleId="Index9">
    <w:name w:val="index 9"/>
    <w:basedOn w:val="Normal"/>
    <w:next w:val="Normal"/>
    <w:autoRedefine/>
    <w:semiHidden/>
    <w:rsid w:val="006036D2"/>
    <w:pPr>
      <w:ind w:left="1980" w:hanging="220"/>
    </w:pPr>
  </w:style>
  <w:style w:type="paragraph" w:styleId="IndexHeading">
    <w:name w:val="index heading"/>
    <w:basedOn w:val="Normal"/>
    <w:next w:val="Index1"/>
    <w:semiHidden/>
    <w:rsid w:val="006036D2"/>
    <w:rPr>
      <w:rFonts w:ascii="Arial" w:hAnsi="Arial" w:cs="Arial"/>
      <w:b/>
      <w:bCs/>
    </w:rPr>
  </w:style>
  <w:style w:type="paragraph" w:styleId="List">
    <w:name w:val="List"/>
    <w:basedOn w:val="Normal"/>
    <w:rsid w:val="006036D2"/>
    <w:pPr>
      <w:ind w:left="360" w:hanging="360"/>
    </w:pPr>
  </w:style>
  <w:style w:type="paragraph" w:styleId="List2">
    <w:name w:val="List 2"/>
    <w:basedOn w:val="Normal"/>
    <w:rsid w:val="006036D2"/>
    <w:pPr>
      <w:ind w:left="720" w:hanging="360"/>
    </w:pPr>
  </w:style>
  <w:style w:type="paragraph" w:styleId="List3">
    <w:name w:val="List 3"/>
    <w:basedOn w:val="Normal"/>
    <w:rsid w:val="006036D2"/>
    <w:pPr>
      <w:ind w:left="1080" w:hanging="360"/>
    </w:pPr>
  </w:style>
  <w:style w:type="paragraph" w:styleId="List4">
    <w:name w:val="List 4"/>
    <w:basedOn w:val="Normal"/>
    <w:rsid w:val="006036D2"/>
    <w:pPr>
      <w:ind w:left="1440" w:hanging="360"/>
    </w:pPr>
  </w:style>
  <w:style w:type="paragraph" w:styleId="List5">
    <w:name w:val="List 5"/>
    <w:basedOn w:val="Normal"/>
    <w:rsid w:val="006036D2"/>
    <w:pPr>
      <w:ind w:left="1800" w:hanging="360"/>
    </w:pPr>
  </w:style>
  <w:style w:type="paragraph" w:styleId="ListBullet">
    <w:name w:val="List Bullet"/>
    <w:basedOn w:val="Normal"/>
    <w:rsid w:val="006036D2"/>
    <w:pPr>
      <w:numPr>
        <w:numId w:val="19"/>
      </w:numPr>
    </w:pPr>
  </w:style>
  <w:style w:type="paragraph" w:styleId="ListBullet2">
    <w:name w:val="List Bullet 2"/>
    <w:basedOn w:val="Normal"/>
    <w:rsid w:val="006036D2"/>
    <w:pPr>
      <w:numPr>
        <w:numId w:val="20"/>
      </w:numPr>
    </w:pPr>
  </w:style>
  <w:style w:type="paragraph" w:styleId="ListBullet3">
    <w:name w:val="List Bullet 3"/>
    <w:basedOn w:val="Normal"/>
    <w:rsid w:val="006036D2"/>
    <w:pPr>
      <w:numPr>
        <w:numId w:val="21"/>
      </w:numPr>
    </w:pPr>
  </w:style>
  <w:style w:type="paragraph" w:styleId="ListBullet4">
    <w:name w:val="List Bullet 4"/>
    <w:basedOn w:val="Normal"/>
    <w:rsid w:val="006036D2"/>
    <w:pPr>
      <w:numPr>
        <w:numId w:val="22"/>
      </w:numPr>
    </w:pPr>
  </w:style>
  <w:style w:type="paragraph" w:styleId="ListBullet5">
    <w:name w:val="List Bullet 5"/>
    <w:basedOn w:val="Normal"/>
    <w:rsid w:val="006036D2"/>
    <w:pPr>
      <w:numPr>
        <w:numId w:val="23"/>
      </w:numPr>
    </w:pPr>
  </w:style>
  <w:style w:type="paragraph" w:styleId="ListContinue">
    <w:name w:val="List Continue"/>
    <w:basedOn w:val="Normal"/>
    <w:rsid w:val="006036D2"/>
    <w:pPr>
      <w:spacing w:after="120"/>
      <w:ind w:left="360"/>
    </w:pPr>
  </w:style>
  <w:style w:type="paragraph" w:styleId="ListContinue2">
    <w:name w:val="List Continue 2"/>
    <w:basedOn w:val="Normal"/>
    <w:rsid w:val="006036D2"/>
    <w:pPr>
      <w:spacing w:after="120"/>
      <w:ind w:left="720"/>
    </w:pPr>
  </w:style>
  <w:style w:type="paragraph" w:styleId="ListContinue3">
    <w:name w:val="List Continue 3"/>
    <w:basedOn w:val="Normal"/>
    <w:rsid w:val="006036D2"/>
    <w:pPr>
      <w:spacing w:after="120"/>
      <w:ind w:left="1080"/>
    </w:pPr>
  </w:style>
  <w:style w:type="paragraph" w:styleId="ListContinue4">
    <w:name w:val="List Continue 4"/>
    <w:basedOn w:val="Normal"/>
    <w:rsid w:val="006036D2"/>
    <w:pPr>
      <w:spacing w:after="120"/>
      <w:ind w:left="1440"/>
    </w:pPr>
  </w:style>
  <w:style w:type="paragraph" w:styleId="ListContinue5">
    <w:name w:val="List Continue 5"/>
    <w:basedOn w:val="Normal"/>
    <w:rsid w:val="006036D2"/>
    <w:pPr>
      <w:spacing w:after="120"/>
      <w:ind w:left="1800"/>
    </w:pPr>
  </w:style>
  <w:style w:type="paragraph" w:styleId="ListNumber">
    <w:name w:val="List Number"/>
    <w:basedOn w:val="Normal"/>
    <w:rsid w:val="006036D2"/>
    <w:pPr>
      <w:numPr>
        <w:numId w:val="24"/>
      </w:numPr>
    </w:pPr>
  </w:style>
  <w:style w:type="paragraph" w:styleId="ListNumber2">
    <w:name w:val="List Number 2"/>
    <w:basedOn w:val="Normal"/>
    <w:rsid w:val="006036D2"/>
    <w:pPr>
      <w:numPr>
        <w:numId w:val="25"/>
      </w:numPr>
    </w:pPr>
  </w:style>
  <w:style w:type="paragraph" w:styleId="ListNumber3">
    <w:name w:val="List Number 3"/>
    <w:basedOn w:val="Normal"/>
    <w:rsid w:val="006036D2"/>
    <w:pPr>
      <w:numPr>
        <w:numId w:val="26"/>
      </w:numPr>
    </w:pPr>
  </w:style>
  <w:style w:type="paragraph" w:styleId="ListNumber4">
    <w:name w:val="List Number 4"/>
    <w:basedOn w:val="Normal"/>
    <w:rsid w:val="006036D2"/>
    <w:pPr>
      <w:numPr>
        <w:numId w:val="2"/>
      </w:numPr>
    </w:pPr>
  </w:style>
  <w:style w:type="paragraph" w:styleId="ListNumber5">
    <w:name w:val="List Number 5"/>
    <w:basedOn w:val="Normal"/>
    <w:rsid w:val="006036D2"/>
    <w:pPr>
      <w:numPr>
        <w:numId w:val="27"/>
      </w:numPr>
    </w:pPr>
  </w:style>
  <w:style w:type="paragraph" w:styleId="MacroText">
    <w:name w:val="macro"/>
    <w:semiHidden/>
    <w:rsid w:val="006036D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paragraph" w:styleId="MessageHeader">
    <w:name w:val="Message Header"/>
    <w:basedOn w:val="Normal"/>
    <w:rsid w:val="006036D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6036D2"/>
    <w:rPr>
      <w:sz w:val="24"/>
      <w:szCs w:val="24"/>
    </w:rPr>
  </w:style>
  <w:style w:type="paragraph" w:styleId="NormalIndent">
    <w:name w:val="Normal Indent"/>
    <w:basedOn w:val="Normal"/>
    <w:rsid w:val="006036D2"/>
    <w:pPr>
      <w:ind w:left="720"/>
    </w:pPr>
  </w:style>
  <w:style w:type="paragraph" w:styleId="NoteHeading">
    <w:name w:val="Note Heading"/>
    <w:basedOn w:val="Normal"/>
    <w:next w:val="Normal"/>
    <w:rsid w:val="006036D2"/>
  </w:style>
  <w:style w:type="paragraph" w:styleId="PlainText">
    <w:name w:val="Plain Text"/>
    <w:basedOn w:val="Normal"/>
    <w:rsid w:val="006036D2"/>
    <w:rPr>
      <w:rFonts w:ascii="Courier New" w:hAnsi="Courier New" w:cs="Courier New"/>
      <w:sz w:val="20"/>
    </w:rPr>
  </w:style>
  <w:style w:type="paragraph" w:styleId="Salutation">
    <w:name w:val="Salutation"/>
    <w:basedOn w:val="Normal"/>
    <w:next w:val="Normal"/>
    <w:rsid w:val="006036D2"/>
  </w:style>
  <w:style w:type="paragraph" w:styleId="Signature">
    <w:name w:val="Signature"/>
    <w:basedOn w:val="Normal"/>
    <w:rsid w:val="006036D2"/>
    <w:pPr>
      <w:ind w:left="4320"/>
    </w:pPr>
  </w:style>
  <w:style w:type="paragraph" w:styleId="Subtitle">
    <w:name w:val="Subtitle"/>
    <w:basedOn w:val="Normal"/>
    <w:qFormat/>
    <w:rsid w:val="006036D2"/>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6036D2"/>
    <w:pPr>
      <w:ind w:left="220" w:hanging="220"/>
    </w:pPr>
  </w:style>
  <w:style w:type="paragraph" w:styleId="TableofFigures">
    <w:name w:val="table of figures"/>
    <w:basedOn w:val="Normal"/>
    <w:next w:val="Normal"/>
    <w:semiHidden/>
    <w:rsid w:val="006036D2"/>
  </w:style>
  <w:style w:type="paragraph" w:styleId="TOAHeading">
    <w:name w:val="toa heading"/>
    <w:basedOn w:val="Normal"/>
    <w:next w:val="Normal"/>
    <w:semiHidden/>
    <w:rsid w:val="006036D2"/>
    <w:pPr>
      <w:spacing w:before="120"/>
    </w:pPr>
    <w:rPr>
      <w:rFonts w:ascii="Arial" w:hAnsi="Arial" w:cs="Arial"/>
      <w:b/>
      <w:bCs/>
      <w:sz w:val="24"/>
      <w:szCs w:val="24"/>
    </w:rPr>
  </w:style>
  <w:style w:type="paragraph" w:styleId="TOC1">
    <w:name w:val="toc 1"/>
    <w:basedOn w:val="Normal"/>
    <w:next w:val="Normal"/>
    <w:autoRedefine/>
    <w:semiHidden/>
    <w:rsid w:val="006036D2"/>
  </w:style>
  <w:style w:type="paragraph" w:styleId="TOC2">
    <w:name w:val="toc 2"/>
    <w:basedOn w:val="Normal"/>
    <w:next w:val="Normal"/>
    <w:autoRedefine/>
    <w:semiHidden/>
    <w:rsid w:val="006036D2"/>
    <w:pPr>
      <w:ind w:left="220"/>
    </w:pPr>
  </w:style>
  <w:style w:type="paragraph" w:styleId="TOC3">
    <w:name w:val="toc 3"/>
    <w:basedOn w:val="Normal"/>
    <w:next w:val="Normal"/>
    <w:autoRedefine/>
    <w:semiHidden/>
    <w:rsid w:val="006036D2"/>
    <w:pPr>
      <w:ind w:left="440"/>
    </w:pPr>
  </w:style>
  <w:style w:type="paragraph" w:styleId="TOC4">
    <w:name w:val="toc 4"/>
    <w:basedOn w:val="Normal"/>
    <w:next w:val="Normal"/>
    <w:autoRedefine/>
    <w:semiHidden/>
    <w:rsid w:val="006036D2"/>
    <w:pPr>
      <w:ind w:left="660"/>
    </w:pPr>
  </w:style>
  <w:style w:type="paragraph" w:styleId="TOC5">
    <w:name w:val="toc 5"/>
    <w:basedOn w:val="Normal"/>
    <w:next w:val="Normal"/>
    <w:autoRedefine/>
    <w:semiHidden/>
    <w:rsid w:val="006036D2"/>
    <w:pPr>
      <w:ind w:left="880"/>
    </w:pPr>
  </w:style>
  <w:style w:type="paragraph" w:styleId="TOC6">
    <w:name w:val="toc 6"/>
    <w:basedOn w:val="Normal"/>
    <w:next w:val="Normal"/>
    <w:autoRedefine/>
    <w:semiHidden/>
    <w:rsid w:val="006036D2"/>
    <w:pPr>
      <w:ind w:left="1100"/>
    </w:pPr>
  </w:style>
  <w:style w:type="paragraph" w:styleId="TOC7">
    <w:name w:val="toc 7"/>
    <w:basedOn w:val="Normal"/>
    <w:next w:val="Normal"/>
    <w:autoRedefine/>
    <w:semiHidden/>
    <w:rsid w:val="006036D2"/>
    <w:pPr>
      <w:ind w:left="1320"/>
    </w:pPr>
  </w:style>
  <w:style w:type="paragraph" w:styleId="TOC8">
    <w:name w:val="toc 8"/>
    <w:basedOn w:val="Normal"/>
    <w:next w:val="Normal"/>
    <w:autoRedefine/>
    <w:semiHidden/>
    <w:rsid w:val="006036D2"/>
    <w:pPr>
      <w:ind w:left="1540"/>
    </w:pPr>
  </w:style>
  <w:style w:type="paragraph" w:styleId="TOC9">
    <w:name w:val="toc 9"/>
    <w:basedOn w:val="Normal"/>
    <w:next w:val="Normal"/>
    <w:autoRedefine/>
    <w:semiHidden/>
    <w:rsid w:val="006036D2"/>
    <w:pPr>
      <w:ind w:left="1760"/>
    </w:pPr>
  </w:style>
  <w:style w:type="paragraph" w:customStyle="1" w:styleId="TableText10">
    <w:name w:val="TableText:10"/>
    <w:basedOn w:val="Normal"/>
    <w:link w:val="TableText10Char"/>
    <w:rsid w:val="004C6C53"/>
    <w:rPr>
      <w:sz w:val="20"/>
    </w:rPr>
  </w:style>
  <w:style w:type="character" w:customStyle="1" w:styleId="TableText10Char">
    <w:name w:val="TableText:10 Char"/>
    <w:link w:val="TableText10"/>
    <w:rsid w:val="004C6C53"/>
    <w:rPr>
      <w:lang w:val="en-US" w:eastAsia="ja-JP" w:bidi="ar-SA"/>
    </w:rPr>
  </w:style>
  <w:style w:type="character" w:styleId="Emphasis">
    <w:name w:val="Emphasis"/>
    <w:qFormat/>
    <w:rsid w:val="000441F1"/>
    <w:rPr>
      <w:i/>
      <w:iCs/>
    </w:rPr>
  </w:style>
  <w:style w:type="paragraph" w:customStyle="1" w:styleId="TabFigNote">
    <w:name w:val="TabFig Note"/>
    <w:basedOn w:val="Normal"/>
    <w:rsid w:val="00D02C09"/>
    <w:pPr>
      <w:keepNext/>
      <w:keepLines/>
      <w:spacing w:before="40" w:line="240" w:lineRule="exact"/>
      <w:ind w:left="29"/>
    </w:pPr>
    <w:rPr>
      <w:rFonts w:ascii="Arial" w:eastAsia="SimSun" w:hAnsi="Arial"/>
      <w:sz w:val="20"/>
      <w:szCs w:val="24"/>
      <w:lang w:eastAsia="zh-CN"/>
    </w:rPr>
  </w:style>
  <w:style w:type="paragraph" w:customStyle="1" w:styleId="Revision1">
    <w:name w:val="Revision1"/>
    <w:hidden/>
    <w:uiPriority w:val="99"/>
    <w:semiHidden/>
    <w:rsid w:val="00625A2E"/>
    <w:rPr>
      <w:sz w:val="22"/>
      <w:lang w:val="en-US" w:eastAsia="ja-JP"/>
    </w:rPr>
  </w:style>
  <w:style w:type="paragraph" w:customStyle="1" w:styleId="ListParagraph1">
    <w:name w:val="List Paragraph1"/>
    <w:basedOn w:val="Normal"/>
    <w:uiPriority w:val="34"/>
    <w:qFormat/>
    <w:rsid w:val="00560F98"/>
    <w:pPr>
      <w:ind w:left="720"/>
    </w:pPr>
  </w:style>
  <w:style w:type="paragraph" w:customStyle="1" w:styleId="TabletextrowsAgency">
    <w:name w:val="Table text rows (Agency)"/>
    <w:basedOn w:val="Normal"/>
    <w:rsid w:val="00582153"/>
    <w:pPr>
      <w:spacing w:line="280" w:lineRule="exact"/>
    </w:pPr>
    <w:rPr>
      <w:rFonts w:ascii="Verdana" w:hAnsi="Verdana" w:cs="Verdana"/>
      <w:sz w:val="18"/>
      <w:szCs w:val="18"/>
      <w:lang w:val="en-GB"/>
    </w:rPr>
  </w:style>
  <w:style w:type="character" w:customStyle="1" w:styleId="st">
    <w:name w:val="st"/>
    <w:rsid w:val="00A81B12"/>
  </w:style>
  <w:style w:type="paragraph" w:customStyle="1" w:styleId="HangingIndent0">
    <w:name w:val="Hanging Indent"/>
    <w:basedOn w:val="Normal"/>
    <w:rsid w:val="00F44576"/>
    <w:pPr>
      <w:ind w:left="567" w:hanging="567"/>
    </w:pPr>
  </w:style>
  <w:style w:type="character" w:customStyle="1" w:styleId="ParagraphChar">
    <w:name w:val="Paragraph Char"/>
    <w:link w:val="Paragraph"/>
    <w:locked/>
    <w:rsid w:val="00184154"/>
    <w:rPr>
      <w:rFonts w:ascii="Arial" w:eastAsia="SimSun" w:hAnsi="Arial" w:cs="Arial"/>
      <w:sz w:val="24"/>
      <w:szCs w:val="24"/>
      <w:lang w:eastAsia="zh-CN"/>
    </w:rPr>
  </w:style>
  <w:style w:type="paragraph" w:customStyle="1" w:styleId="Paragraph">
    <w:name w:val="Paragraph"/>
    <w:basedOn w:val="Normal"/>
    <w:link w:val="ParagraphChar"/>
    <w:rsid w:val="00184154"/>
    <w:pPr>
      <w:spacing w:after="170" w:line="280" w:lineRule="exact"/>
    </w:pPr>
    <w:rPr>
      <w:rFonts w:ascii="Arial" w:eastAsia="SimSun" w:hAnsi="Arial"/>
      <w:sz w:val="24"/>
      <w:szCs w:val="24"/>
      <w:lang w:val="x-none" w:eastAsia="zh-CN"/>
    </w:rPr>
  </w:style>
  <w:style w:type="character" w:customStyle="1" w:styleId="CommentTextChar">
    <w:name w:val="Comment Text Char"/>
    <w:link w:val="CommentText"/>
    <w:semiHidden/>
    <w:rsid w:val="00184154"/>
    <w:rPr>
      <w:lang w:val="cs-CZ" w:eastAsia="en-US"/>
    </w:rPr>
  </w:style>
  <w:style w:type="paragraph" w:customStyle="1" w:styleId="TableText12">
    <w:name w:val="TableText:12"/>
    <w:basedOn w:val="Normal"/>
    <w:link w:val="TableText12Char"/>
    <w:rsid w:val="00184154"/>
    <w:rPr>
      <w:rFonts w:eastAsia="MS Mincho"/>
      <w:sz w:val="24"/>
    </w:rPr>
  </w:style>
  <w:style w:type="character" w:customStyle="1" w:styleId="TableText12Char">
    <w:name w:val="TableText:12 Char"/>
    <w:link w:val="TableText12"/>
    <w:rsid w:val="00184154"/>
    <w:rPr>
      <w:rFonts w:eastAsia="MS Mincho"/>
      <w:sz w:val="24"/>
      <w:lang w:val="en-US" w:eastAsia="ja-JP"/>
    </w:rPr>
  </w:style>
  <w:style w:type="paragraph" w:customStyle="1" w:styleId="TableCell10Center">
    <w:name w:val="Table Cell 10 Center"/>
    <w:basedOn w:val="TableCell10Left"/>
    <w:rsid w:val="00FA3484"/>
    <w:pPr>
      <w:jc w:val="center"/>
    </w:pPr>
  </w:style>
  <w:style w:type="paragraph" w:customStyle="1" w:styleId="TableCell10Left">
    <w:name w:val="Table Cell 10 Left"/>
    <w:basedOn w:val="Normal"/>
    <w:rsid w:val="00FA3484"/>
    <w:pPr>
      <w:keepNext/>
      <w:keepLines/>
      <w:spacing w:before="50" w:after="50" w:line="240" w:lineRule="exact"/>
    </w:pPr>
    <w:rPr>
      <w:rFonts w:ascii="Arial" w:eastAsia="SimSun" w:hAnsi="Arial"/>
      <w:sz w:val="20"/>
      <w:szCs w:val="24"/>
      <w:lang w:eastAsia="zh-CN"/>
    </w:rPr>
  </w:style>
  <w:style w:type="character" w:customStyle="1" w:styleId="apple-converted-space">
    <w:name w:val="apple-converted-space"/>
    <w:rsid w:val="00F86048"/>
  </w:style>
  <w:style w:type="paragraph" w:customStyle="1" w:styleId="TabFigFooter">
    <w:name w:val="TabFig Footer"/>
    <w:basedOn w:val="TabFigNote"/>
    <w:link w:val="TabFigFooterChar"/>
    <w:rsid w:val="00FD69BC"/>
    <w:pPr>
      <w:ind w:left="245" w:hanging="216"/>
    </w:pPr>
    <w:rPr>
      <w:lang w:val="x-none"/>
    </w:rPr>
  </w:style>
  <w:style w:type="character" w:customStyle="1" w:styleId="TabFigFooterChar">
    <w:name w:val="TabFig Footer Char"/>
    <w:link w:val="TabFigFooter"/>
    <w:locked/>
    <w:rsid w:val="00FD69BC"/>
    <w:rPr>
      <w:rFonts w:ascii="Arial" w:eastAsia="SimSun" w:hAnsi="Arial"/>
      <w:szCs w:val="24"/>
      <w:lang w:eastAsia="zh-CN"/>
    </w:rPr>
  </w:style>
  <w:style w:type="paragraph" w:customStyle="1" w:styleId="Revision2">
    <w:name w:val="Revision2"/>
    <w:hidden/>
    <w:uiPriority w:val="99"/>
    <w:semiHidden/>
    <w:rsid w:val="000C618F"/>
    <w:rPr>
      <w:sz w:val="22"/>
      <w:lang w:val="en-US" w:eastAsia="ja-JP"/>
    </w:rPr>
  </w:style>
  <w:style w:type="paragraph" w:styleId="Revision">
    <w:name w:val="Revision"/>
    <w:hidden/>
    <w:uiPriority w:val="99"/>
    <w:semiHidden/>
    <w:rsid w:val="001749C5"/>
    <w:rPr>
      <w:sz w:val="22"/>
      <w:lang w:val="en-US" w:eastAsia="ja-JP"/>
    </w:rPr>
  </w:style>
  <w:style w:type="paragraph" w:styleId="Bibliography">
    <w:name w:val="Bibliography"/>
    <w:basedOn w:val="Normal"/>
    <w:next w:val="Normal"/>
    <w:uiPriority w:val="37"/>
    <w:semiHidden/>
    <w:unhideWhenUsed/>
    <w:rsid w:val="00411CCE"/>
  </w:style>
  <w:style w:type="paragraph" w:styleId="IntenseQuote">
    <w:name w:val="Intense Quote"/>
    <w:basedOn w:val="Normal"/>
    <w:next w:val="Normal"/>
    <w:link w:val="IntenseQuoteChar"/>
    <w:uiPriority w:val="30"/>
    <w:qFormat/>
    <w:rsid w:val="00411CC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411CCE"/>
    <w:rPr>
      <w:b/>
      <w:bCs/>
      <w:i/>
      <w:iCs/>
      <w:noProof/>
      <w:color w:val="4F81BD"/>
      <w:sz w:val="22"/>
      <w:lang w:eastAsia="ja-JP"/>
    </w:rPr>
  </w:style>
  <w:style w:type="paragraph" w:styleId="ListParagraph">
    <w:name w:val="List Paragraph"/>
    <w:basedOn w:val="Normal"/>
    <w:uiPriority w:val="34"/>
    <w:qFormat/>
    <w:rsid w:val="00411CCE"/>
    <w:pPr>
      <w:ind w:left="720"/>
    </w:pPr>
  </w:style>
  <w:style w:type="paragraph" w:styleId="NoSpacing">
    <w:name w:val="No Spacing"/>
    <w:uiPriority w:val="1"/>
    <w:qFormat/>
    <w:rsid w:val="00411CCE"/>
    <w:rPr>
      <w:sz w:val="22"/>
      <w:lang w:val="en-US" w:eastAsia="ja-JP"/>
    </w:rPr>
  </w:style>
  <w:style w:type="paragraph" w:styleId="Quote">
    <w:name w:val="Quote"/>
    <w:basedOn w:val="Normal"/>
    <w:next w:val="Normal"/>
    <w:link w:val="QuoteChar"/>
    <w:uiPriority w:val="29"/>
    <w:qFormat/>
    <w:rsid w:val="00411CCE"/>
    <w:rPr>
      <w:i/>
      <w:iCs/>
      <w:color w:val="000000"/>
    </w:rPr>
  </w:style>
  <w:style w:type="character" w:customStyle="1" w:styleId="QuoteChar">
    <w:name w:val="Quote Char"/>
    <w:link w:val="Quote"/>
    <w:uiPriority w:val="29"/>
    <w:rsid w:val="00411CCE"/>
    <w:rPr>
      <w:i/>
      <w:iCs/>
      <w:noProof/>
      <w:color w:val="000000"/>
      <w:sz w:val="22"/>
      <w:lang w:eastAsia="ja-JP"/>
    </w:rPr>
  </w:style>
  <w:style w:type="paragraph" w:styleId="TOCHeading">
    <w:name w:val="TOC Heading"/>
    <w:basedOn w:val="Heading1"/>
    <w:next w:val="Normal"/>
    <w:uiPriority w:val="39"/>
    <w:semiHidden/>
    <w:unhideWhenUsed/>
    <w:qFormat/>
    <w:rsid w:val="00411CCE"/>
    <w:pPr>
      <w:keepNext/>
      <w:spacing w:before="240" w:after="60"/>
      <w:ind w:left="0" w:firstLine="0"/>
      <w:outlineLvl w:val="9"/>
    </w:pPr>
    <w:rPr>
      <w:rFonts w:ascii="Cambria" w:eastAsia="Times New Roman" w:hAnsi="Cambria"/>
      <w:bCs/>
      <w:caps w:val="0"/>
      <w:kern w:val="32"/>
      <w:sz w:val="32"/>
      <w:szCs w:val="32"/>
    </w:rPr>
  </w:style>
  <w:style w:type="character" w:customStyle="1" w:styleId="tlid-translationtranslation">
    <w:name w:val="tlid-translation translation"/>
    <w:basedOn w:val="DefaultParagraphFont"/>
    <w:rsid w:val="00D463A3"/>
    <w:rPr>
      <w:noProof/>
    </w:rPr>
  </w:style>
  <w:style w:type="character" w:customStyle="1" w:styleId="UnresolvedMention1">
    <w:name w:val="Unresolved Mention1"/>
    <w:basedOn w:val="DefaultParagraphFont"/>
    <w:uiPriority w:val="99"/>
    <w:semiHidden/>
    <w:unhideWhenUsed/>
    <w:rsid w:val="00DE6CE3"/>
    <w:rPr>
      <w:color w:val="605E5C"/>
      <w:shd w:val="clear" w:color="auto" w:fill="E1DFDD"/>
    </w:rPr>
  </w:style>
  <w:style w:type="character" w:customStyle="1" w:styleId="BodyTextChar">
    <w:name w:val="Body Text Char"/>
    <w:basedOn w:val="DefaultParagraphFont"/>
    <w:link w:val="BodyText"/>
    <w:rsid w:val="00A251D8"/>
    <w:rPr>
      <w:b/>
      <w:i/>
      <w:sz w:val="22"/>
      <w:lang w:val="cs-CZ" w:eastAsia="en-US"/>
    </w:rPr>
  </w:style>
  <w:style w:type="character" w:customStyle="1" w:styleId="1">
    <w:name w:val="확인되지 않은 멘션1"/>
    <w:basedOn w:val="DefaultParagraphFont"/>
    <w:uiPriority w:val="99"/>
    <w:semiHidden/>
    <w:unhideWhenUsed/>
    <w:rsid w:val="00C70138"/>
    <w:rPr>
      <w:color w:val="605E5C"/>
      <w:shd w:val="clear" w:color="auto" w:fill="E1DFDD"/>
    </w:rPr>
  </w:style>
  <w:style w:type="paragraph" w:customStyle="1" w:styleId="BodytextAgency">
    <w:name w:val="Body text (Agency)"/>
    <w:basedOn w:val="Normal"/>
    <w:link w:val="BodytextAgencyChar"/>
    <w:qFormat/>
    <w:rsid w:val="00A3098D"/>
    <w:pPr>
      <w:spacing w:after="140" w:line="280" w:lineRule="atLeast"/>
    </w:pPr>
    <w:rPr>
      <w:rFonts w:ascii="Verdana" w:eastAsia="SimSun" w:hAnsi="Verdana"/>
      <w:sz w:val="18"/>
      <w:lang w:val="pl-PL" w:eastAsia="pl-PL"/>
    </w:rPr>
  </w:style>
  <w:style w:type="paragraph" w:customStyle="1" w:styleId="DraftingNotesAgency">
    <w:name w:val="Drafting Notes (Agency)"/>
    <w:basedOn w:val="Normal"/>
    <w:next w:val="BodytextAgency"/>
    <w:link w:val="DraftingNotesAgencyChar"/>
    <w:rsid w:val="00A3098D"/>
    <w:pPr>
      <w:spacing w:after="140" w:line="280" w:lineRule="atLeast"/>
    </w:pPr>
    <w:rPr>
      <w:rFonts w:ascii="Courier New" w:eastAsia="SimSun" w:hAnsi="Courier New"/>
      <w:i/>
      <w:color w:val="339966"/>
      <w:sz w:val="18"/>
      <w:lang w:val="pl-PL" w:eastAsia="pl-PL"/>
    </w:rPr>
  </w:style>
  <w:style w:type="paragraph" w:customStyle="1" w:styleId="No-numheading3Agency">
    <w:name w:val="No-num heading 3 (Agency)"/>
    <w:basedOn w:val="Normal"/>
    <w:next w:val="BodytextAgency"/>
    <w:link w:val="No-numheading3AgencyChar"/>
    <w:uiPriority w:val="99"/>
    <w:rsid w:val="00A3098D"/>
    <w:pPr>
      <w:keepNext/>
      <w:spacing w:before="280" w:after="220"/>
      <w:outlineLvl w:val="2"/>
    </w:pPr>
    <w:rPr>
      <w:rFonts w:ascii="Verdana" w:eastAsia="SimSun" w:hAnsi="Verdana"/>
      <w:b/>
      <w:kern w:val="32"/>
      <w:lang w:val="pl-PL" w:eastAsia="pl-PL"/>
    </w:rPr>
  </w:style>
  <w:style w:type="character" w:customStyle="1" w:styleId="DraftingNotesAgencyChar">
    <w:name w:val="Drafting Notes (Agency) Char"/>
    <w:link w:val="DraftingNotesAgency"/>
    <w:locked/>
    <w:rsid w:val="00A3098D"/>
    <w:rPr>
      <w:rFonts w:ascii="Courier New" w:eastAsia="SimSun" w:hAnsi="Courier New"/>
      <w:i/>
      <w:color w:val="339966"/>
      <w:sz w:val="18"/>
    </w:rPr>
  </w:style>
  <w:style w:type="character" w:customStyle="1" w:styleId="BodytextAgencyChar">
    <w:name w:val="Body text (Agency) Char"/>
    <w:link w:val="BodytextAgency"/>
    <w:locked/>
    <w:rsid w:val="00A3098D"/>
    <w:rPr>
      <w:rFonts w:ascii="Verdana" w:eastAsia="SimSun" w:hAnsi="Verdana"/>
      <w:sz w:val="18"/>
    </w:rPr>
  </w:style>
  <w:style w:type="character" w:customStyle="1" w:styleId="No-numheading3AgencyChar">
    <w:name w:val="No-num heading 3 (Agency) Char"/>
    <w:link w:val="No-numheading3Agency"/>
    <w:uiPriority w:val="99"/>
    <w:locked/>
    <w:rsid w:val="00A3098D"/>
    <w:rPr>
      <w:rFonts w:ascii="Verdana" w:eastAsia="SimSun" w:hAnsi="Verdana"/>
      <w:b/>
      <w:kern w:val="3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8179">
      <w:bodyDiv w:val="1"/>
      <w:marLeft w:val="0"/>
      <w:marRight w:val="0"/>
      <w:marTop w:val="0"/>
      <w:marBottom w:val="0"/>
      <w:divBdr>
        <w:top w:val="none" w:sz="0" w:space="0" w:color="auto"/>
        <w:left w:val="none" w:sz="0" w:space="0" w:color="auto"/>
        <w:bottom w:val="none" w:sz="0" w:space="0" w:color="auto"/>
        <w:right w:val="none" w:sz="0" w:space="0" w:color="auto"/>
      </w:divBdr>
    </w:div>
    <w:div w:id="242884087">
      <w:bodyDiv w:val="1"/>
      <w:marLeft w:val="0"/>
      <w:marRight w:val="0"/>
      <w:marTop w:val="0"/>
      <w:marBottom w:val="0"/>
      <w:divBdr>
        <w:top w:val="none" w:sz="0" w:space="0" w:color="auto"/>
        <w:left w:val="none" w:sz="0" w:space="0" w:color="auto"/>
        <w:bottom w:val="none" w:sz="0" w:space="0" w:color="auto"/>
        <w:right w:val="none" w:sz="0" w:space="0" w:color="auto"/>
      </w:divBdr>
    </w:div>
    <w:div w:id="643852528">
      <w:bodyDiv w:val="1"/>
      <w:marLeft w:val="0"/>
      <w:marRight w:val="0"/>
      <w:marTop w:val="0"/>
      <w:marBottom w:val="0"/>
      <w:divBdr>
        <w:top w:val="none" w:sz="0" w:space="0" w:color="auto"/>
        <w:left w:val="none" w:sz="0" w:space="0" w:color="auto"/>
        <w:bottom w:val="none" w:sz="0" w:space="0" w:color="auto"/>
        <w:right w:val="none" w:sz="0" w:space="0" w:color="auto"/>
      </w:divBdr>
    </w:div>
    <w:div w:id="868495572">
      <w:bodyDiv w:val="1"/>
      <w:marLeft w:val="0"/>
      <w:marRight w:val="0"/>
      <w:marTop w:val="0"/>
      <w:marBottom w:val="0"/>
      <w:divBdr>
        <w:top w:val="none" w:sz="0" w:space="0" w:color="auto"/>
        <w:left w:val="none" w:sz="0" w:space="0" w:color="auto"/>
        <w:bottom w:val="none" w:sz="0" w:space="0" w:color="auto"/>
        <w:right w:val="none" w:sz="0" w:space="0" w:color="auto"/>
      </w:divBdr>
    </w:div>
    <w:div w:id="1068456081">
      <w:bodyDiv w:val="1"/>
      <w:marLeft w:val="0"/>
      <w:marRight w:val="0"/>
      <w:marTop w:val="0"/>
      <w:marBottom w:val="0"/>
      <w:divBdr>
        <w:top w:val="none" w:sz="0" w:space="0" w:color="auto"/>
        <w:left w:val="none" w:sz="0" w:space="0" w:color="auto"/>
        <w:bottom w:val="none" w:sz="0" w:space="0" w:color="auto"/>
        <w:right w:val="none" w:sz="0" w:space="0" w:color="auto"/>
      </w:divBdr>
    </w:div>
    <w:div w:id="1398287064">
      <w:bodyDiv w:val="1"/>
      <w:marLeft w:val="0"/>
      <w:marRight w:val="0"/>
      <w:marTop w:val="0"/>
      <w:marBottom w:val="0"/>
      <w:divBdr>
        <w:top w:val="none" w:sz="0" w:space="0" w:color="auto"/>
        <w:left w:val="none" w:sz="0" w:space="0" w:color="auto"/>
        <w:bottom w:val="none" w:sz="0" w:space="0" w:color="auto"/>
        <w:right w:val="none" w:sz="0" w:space="0" w:color="auto"/>
      </w:divBdr>
    </w:div>
    <w:div w:id="1474638773">
      <w:bodyDiv w:val="1"/>
      <w:marLeft w:val="0"/>
      <w:marRight w:val="0"/>
      <w:marTop w:val="0"/>
      <w:marBottom w:val="0"/>
      <w:divBdr>
        <w:top w:val="none" w:sz="0" w:space="0" w:color="auto"/>
        <w:left w:val="none" w:sz="0" w:space="0" w:color="auto"/>
        <w:bottom w:val="none" w:sz="0" w:space="0" w:color="auto"/>
        <w:right w:val="none" w:sz="0" w:space="0" w:color="auto"/>
      </w:divBdr>
    </w:div>
    <w:div w:id="1597860257">
      <w:bodyDiv w:val="1"/>
      <w:marLeft w:val="0"/>
      <w:marRight w:val="0"/>
      <w:marTop w:val="0"/>
      <w:marBottom w:val="0"/>
      <w:divBdr>
        <w:top w:val="none" w:sz="0" w:space="0" w:color="auto"/>
        <w:left w:val="none" w:sz="0" w:space="0" w:color="auto"/>
        <w:bottom w:val="none" w:sz="0" w:space="0" w:color="auto"/>
        <w:right w:val="none" w:sz="0" w:space="0" w:color="auto"/>
      </w:divBdr>
    </w:div>
    <w:div w:id="1640837608">
      <w:bodyDiv w:val="1"/>
      <w:marLeft w:val="0"/>
      <w:marRight w:val="0"/>
      <w:marTop w:val="0"/>
      <w:marBottom w:val="0"/>
      <w:divBdr>
        <w:top w:val="none" w:sz="0" w:space="0" w:color="auto"/>
        <w:left w:val="none" w:sz="0" w:space="0" w:color="auto"/>
        <w:bottom w:val="none" w:sz="0" w:space="0" w:color="auto"/>
        <w:right w:val="none" w:sz="0" w:space="0" w:color="auto"/>
      </w:divBdr>
    </w:div>
    <w:div w:id="1648511369">
      <w:bodyDiv w:val="1"/>
      <w:marLeft w:val="0"/>
      <w:marRight w:val="0"/>
      <w:marTop w:val="0"/>
      <w:marBottom w:val="0"/>
      <w:divBdr>
        <w:top w:val="none" w:sz="0" w:space="0" w:color="auto"/>
        <w:left w:val="none" w:sz="0" w:space="0" w:color="auto"/>
        <w:bottom w:val="none" w:sz="0" w:space="0" w:color="auto"/>
        <w:right w:val="none" w:sz="0" w:space="0" w:color="auto"/>
      </w:divBdr>
    </w:div>
    <w:div w:id="1815370717">
      <w:bodyDiv w:val="1"/>
      <w:marLeft w:val="0"/>
      <w:marRight w:val="0"/>
      <w:marTop w:val="0"/>
      <w:marBottom w:val="0"/>
      <w:divBdr>
        <w:top w:val="none" w:sz="0" w:space="0" w:color="auto"/>
        <w:left w:val="none" w:sz="0" w:space="0" w:color="auto"/>
        <w:bottom w:val="none" w:sz="0" w:space="0" w:color="auto"/>
        <w:right w:val="none" w:sz="0" w:space="0" w:color="auto"/>
      </w:divBdr>
    </w:div>
    <w:div w:id="1834955928">
      <w:bodyDiv w:val="1"/>
      <w:marLeft w:val="0"/>
      <w:marRight w:val="0"/>
      <w:marTop w:val="0"/>
      <w:marBottom w:val="0"/>
      <w:divBdr>
        <w:top w:val="none" w:sz="0" w:space="0" w:color="auto"/>
        <w:left w:val="none" w:sz="0" w:space="0" w:color="auto"/>
        <w:bottom w:val="none" w:sz="0" w:space="0" w:color="auto"/>
        <w:right w:val="none" w:sz="0" w:space="0" w:color="auto"/>
      </w:divBdr>
    </w:div>
    <w:div w:id="1844202317">
      <w:bodyDiv w:val="1"/>
      <w:marLeft w:val="0"/>
      <w:marRight w:val="0"/>
      <w:marTop w:val="0"/>
      <w:marBottom w:val="0"/>
      <w:divBdr>
        <w:top w:val="none" w:sz="0" w:space="0" w:color="auto"/>
        <w:left w:val="none" w:sz="0" w:space="0" w:color="auto"/>
        <w:bottom w:val="none" w:sz="0" w:space="0" w:color="auto"/>
        <w:right w:val="none" w:sz="0" w:space="0" w:color="auto"/>
      </w:divBdr>
    </w:div>
    <w:div w:id="1921911477">
      <w:bodyDiv w:val="1"/>
      <w:marLeft w:val="0"/>
      <w:marRight w:val="0"/>
      <w:marTop w:val="0"/>
      <w:marBottom w:val="0"/>
      <w:divBdr>
        <w:top w:val="none" w:sz="0" w:space="0" w:color="auto"/>
        <w:left w:val="none" w:sz="0" w:space="0" w:color="auto"/>
        <w:bottom w:val="none" w:sz="0" w:space="0" w:color="auto"/>
        <w:right w:val="none" w:sz="0" w:space="0" w:color="auto"/>
      </w:divBdr>
    </w:div>
    <w:div w:id="1950770645">
      <w:bodyDiv w:val="1"/>
      <w:marLeft w:val="0"/>
      <w:marRight w:val="0"/>
      <w:marTop w:val="0"/>
      <w:marBottom w:val="0"/>
      <w:divBdr>
        <w:top w:val="none" w:sz="0" w:space="0" w:color="auto"/>
        <w:left w:val="none" w:sz="0" w:space="0" w:color="auto"/>
        <w:bottom w:val="none" w:sz="0" w:space="0" w:color="auto"/>
        <w:right w:val="none" w:sz="0" w:space="0" w:color="auto"/>
      </w:divBdr>
    </w:div>
    <w:div w:id="2023973175">
      <w:bodyDiv w:val="1"/>
      <w:marLeft w:val="0"/>
      <w:marRight w:val="0"/>
      <w:marTop w:val="0"/>
      <w:marBottom w:val="0"/>
      <w:divBdr>
        <w:top w:val="none" w:sz="0" w:space="0" w:color="auto"/>
        <w:left w:val="none" w:sz="0" w:space="0" w:color="auto"/>
        <w:bottom w:val="none" w:sz="0" w:space="0" w:color="auto"/>
        <w:right w:val="none" w:sz="0" w:space="0" w:color="auto"/>
      </w:divBdr>
    </w:div>
    <w:div w:id="2083215293">
      <w:bodyDiv w:val="1"/>
      <w:marLeft w:val="0"/>
      <w:marRight w:val="0"/>
      <w:marTop w:val="0"/>
      <w:marBottom w:val="0"/>
      <w:divBdr>
        <w:top w:val="none" w:sz="0" w:space="0" w:color="auto"/>
        <w:left w:val="none" w:sz="0" w:space="0" w:color="auto"/>
        <w:bottom w:val="none" w:sz="0" w:space="0" w:color="auto"/>
        <w:right w:val="none" w:sz="0" w:space="0" w:color="auto"/>
      </w:divBdr>
    </w:div>
    <w:div w:id="212442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mailto:bioepis.mi@medinformation.co.uk" TargetMode="External"/><Relationship Id="rId26" Type="http://schemas.openxmlformats.org/officeDocument/2006/relationships/hyperlink" Target="mailto:@organon.com" TargetMode="External"/><Relationship Id="rId39" Type="http://schemas.openxmlformats.org/officeDocument/2006/relationships/hyperlink" Target="mailto:bioepis.mi@medinformation.co.uk" TargetMode="External"/><Relationship Id="rId21" Type="http://schemas.openxmlformats.org/officeDocument/2006/relationships/hyperlink" Target="mailto:bioepis.mi@medinformation.co.uk" TargetMode="External"/><Relationship Id="rId34" Type="http://schemas.openxmlformats.org/officeDocument/2006/relationships/hyperlink" Target="mailto:bioepis.mi@medinformation.co.uk" TargetMode="External"/><Relationship Id="rId42" Type="http://schemas.openxmlformats.org/officeDocument/2006/relationships/hyperlink" Target="mailto:bioepis.mi@medinformation.co.uk"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ma.europa.eu/documents/template-form/appendix-v-adverse-drug-reaction-reporting-details_en.doc" TargetMode="External"/><Relationship Id="rId29" Type="http://schemas.openxmlformats.org/officeDocument/2006/relationships/hyperlink" Target="mailto:bioepis.mi@medinformation.co.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bioepis.mi@medinformation.co.uk" TargetMode="External"/><Relationship Id="rId32" Type="http://schemas.openxmlformats.org/officeDocument/2006/relationships/hyperlink" Target="mailto:bioepis.mi@medinformation.co.uk" TargetMode="External"/><Relationship Id="rId37" Type="http://schemas.openxmlformats.org/officeDocument/2006/relationships/hyperlink" Target="mailto:bioepis.mi@medinformation.co.uk" TargetMode="External"/><Relationship Id="rId40" Type="http://schemas.openxmlformats.org/officeDocument/2006/relationships/hyperlink" Target="mailto:bioepis.mi@medinformation.co.uk"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hyperlink" Target="mailto:bioepis.mi@medinformation.co.uk" TargetMode="External"/><Relationship Id="rId28" Type="http://schemas.openxmlformats.org/officeDocument/2006/relationships/hyperlink" Target="mailto:bioepis.mi@medinformation.co.uk" TargetMode="External"/><Relationship Id="rId36" Type="http://schemas.openxmlformats.org/officeDocument/2006/relationships/hyperlink" Target="mailto:bioepis.mi@medinformation.co.uk" TargetMode="External"/><Relationship Id="rId10" Type="http://schemas.openxmlformats.org/officeDocument/2006/relationships/footnotes" Target="footnotes.xml"/><Relationship Id="rId19" Type="http://schemas.openxmlformats.org/officeDocument/2006/relationships/hyperlink" Target="mailto:bioepis.mi@medinformation.co.uk" TargetMode="External"/><Relationship Id="rId31" Type="http://schemas.openxmlformats.org/officeDocument/2006/relationships/hyperlink" Target="mailto:bioepis.mi@medinformation.co.uk" TargetMode="External"/><Relationship Id="rId44"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oepis.mi@medinformation.co.uk" TargetMode="External"/><Relationship Id="rId22" Type="http://schemas.openxmlformats.org/officeDocument/2006/relationships/hyperlink" Target="mailto:bioepis.mi@medinformation.co.uk" TargetMode="External"/><Relationship Id="rId27" Type="http://schemas.openxmlformats.org/officeDocument/2006/relationships/hyperlink" Target="mailto:bioepis.mi@medinformation.co.uk" TargetMode="External"/><Relationship Id="rId30" Type="http://schemas.openxmlformats.org/officeDocument/2006/relationships/hyperlink" Target="mailto:bioepis.mi@medinformation.co.uk" TargetMode="External"/><Relationship Id="rId35" Type="http://schemas.openxmlformats.org/officeDocument/2006/relationships/hyperlink" Target="mailto:bioepis.mi@medinformation.co.uk" TargetMode="External"/><Relationship Id="rId43" Type="http://schemas.openxmlformats.org/officeDocument/2006/relationships/hyperlink" Target="mailto:bioepis.mi@medinformation.co.uk" TargetMode="External"/><Relationship Id="rId48" Type="http://schemas.openxmlformats.org/officeDocument/2006/relationships/customXml" Target="../customXml/item6.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ma.europa.eu/documents/template-form/appendix-v-adverse-drug-reaction-reporting-details_en.doc" TargetMode="External"/><Relationship Id="rId17" Type="http://schemas.openxmlformats.org/officeDocument/2006/relationships/hyperlink" Target="mailto:bioepis.mi@medinformation.co.uk" TargetMode="External"/><Relationship Id="rId25" Type="http://schemas.openxmlformats.org/officeDocument/2006/relationships/hyperlink" Target="mailto:bioepis.mi@medinformation.co.uk" TargetMode="External"/><Relationship Id="rId33" Type="http://schemas.openxmlformats.org/officeDocument/2006/relationships/hyperlink" Target="mailto:bioepis.mi@medinformation.co.uk" TargetMode="External"/><Relationship Id="rId38" Type="http://schemas.openxmlformats.org/officeDocument/2006/relationships/hyperlink" Target="mailto:bioepis.mi@medinformation.co.uk" TargetMode="External"/><Relationship Id="rId46" Type="http://schemas.openxmlformats.org/officeDocument/2006/relationships/fontTable" Target="fontTable.xml"/><Relationship Id="rId20" Type="http://schemas.openxmlformats.org/officeDocument/2006/relationships/hyperlink" Target="mailto:bioepis.mi@medinformation.co.uk" TargetMode="External"/><Relationship Id="rId41" Type="http://schemas.openxmlformats.org/officeDocument/2006/relationships/hyperlink" Target="mailto:bioepis.mi@medinformation.co.u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EMADOC-1700519818-2657490</_dlc_DocId>
    <_dlc_DocIdUrl xmlns="a034c160-bfb7-45f5-8632-2eb7e0508071">
      <Url>https://euema.sharepoint.com/sites/CRM/_layouts/15/DocIdRedir.aspx?ID=EMADOC-1700519818-2657490</Url>
      <Description>EMADOC-1700519818-2657490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A9A4B3-6844-470C-9F03-2D2AC254D4F9}">
  <ds:schemaRefs>
    <ds:schemaRef ds:uri="http://schemas.microsoft.com/office/2006/metadata/longProperties"/>
  </ds:schemaRefs>
</ds:datastoreItem>
</file>

<file path=customXml/itemProps2.xml><?xml version="1.0" encoding="utf-8"?>
<ds:datastoreItem xmlns:ds="http://schemas.openxmlformats.org/officeDocument/2006/customXml" ds:itemID="{F33EAC04-0667-4620-BED9-32B286722EC5}"/>
</file>

<file path=customXml/itemProps3.xml><?xml version="1.0" encoding="utf-8"?>
<ds:datastoreItem xmlns:ds="http://schemas.openxmlformats.org/officeDocument/2006/customXml" ds:itemID="{519B057A-E6F4-44F8-AC74-F161452A7429}">
  <ds:schemaRefs>
    <ds:schemaRef ds:uri="http://schemas.microsoft.com/office/2006/metadata/properties"/>
    <ds:schemaRef ds:uri="http://schemas.microsoft.com/office/infopath/2007/PartnerControls"/>
    <ds:schemaRef ds:uri="d2f8a4ff-0ab2-4dfd-9f00-3c856190af41"/>
    <ds:schemaRef ds:uri="e7d6e953-7105-4bf5-a28a-e39e2de6e73f"/>
  </ds:schemaRefs>
</ds:datastoreItem>
</file>

<file path=customXml/itemProps4.xml><?xml version="1.0" encoding="utf-8"?>
<ds:datastoreItem xmlns:ds="http://schemas.openxmlformats.org/officeDocument/2006/customXml" ds:itemID="{A58CBF99-0703-4455-8ED6-4C993CBD6DEC}">
  <ds:schemaRefs>
    <ds:schemaRef ds:uri="http://schemas.microsoft.com/sharepoint/v3/contenttype/forms"/>
  </ds:schemaRefs>
</ds:datastoreItem>
</file>

<file path=customXml/itemProps5.xml><?xml version="1.0" encoding="utf-8"?>
<ds:datastoreItem xmlns:ds="http://schemas.openxmlformats.org/officeDocument/2006/customXml" ds:itemID="{236B5537-3335-4AE2-A2C0-38669F070D5C}">
  <ds:schemaRefs>
    <ds:schemaRef ds:uri="http://schemas.openxmlformats.org/officeDocument/2006/bibliography"/>
  </ds:schemaRefs>
</ds:datastoreItem>
</file>

<file path=customXml/itemProps6.xml><?xml version="1.0" encoding="utf-8"?>
<ds:datastoreItem xmlns:ds="http://schemas.openxmlformats.org/officeDocument/2006/customXml" ds:itemID="{1FAAF718-5849-4E13-8A3A-0A6A4D1D2CA0}"/>
</file>

<file path=docProps/app.xml><?xml version="1.0" encoding="utf-8"?>
<Properties xmlns="http://schemas.openxmlformats.org/officeDocument/2006/extended-properties" xmlns:vt="http://schemas.openxmlformats.org/officeDocument/2006/docPropsVTypes">
  <Template>Normal.dotm</Template>
  <TotalTime>0</TotalTime>
  <Pages>82</Pages>
  <Words>30765</Words>
  <Characters>175365</Characters>
  <Application>Microsoft Office Word</Application>
  <DocSecurity>0</DocSecurity>
  <Lines>1461</Lines>
  <Paragraphs>411</Paragraphs>
  <ScaleCrop>false</ScaleCrop>
  <HeadingPairs>
    <vt:vector size="6" baseType="variant">
      <vt:variant>
        <vt:lpstr>Título</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205719</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6357056</vt:i4>
      </vt:variant>
      <vt:variant>
        <vt:i4>21</vt:i4>
      </vt:variant>
      <vt:variant>
        <vt:i4>0</vt:i4>
      </vt:variant>
      <vt:variant>
        <vt:i4>5</vt:i4>
      </vt:variant>
      <vt:variant>
        <vt:lpwstr>mailto:medicalinformationuk@merck.com</vt:lpwstr>
      </vt:variant>
      <vt:variant>
        <vt:lpwstr/>
      </vt:variant>
      <vt:variant>
        <vt:i4>3342418</vt:i4>
      </vt:variant>
      <vt:variant>
        <vt:i4>18</vt:i4>
      </vt:variant>
      <vt:variant>
        <vt:i4>0</vt:i4>
      </vt:variant>
      <vt:variant>
        <vt:i4>5</vt:i4>
      </vt:variant>
      <vt:variant>
        <vt:lpwstr>mailto:medicalinformation.it@merck.com</vt:lpwstr>
      </vt:variant>
      <vt:variant>
        <vt:lpwstr/>
      </vt:variant>
      <vt:variant>
        <vt:i4>6488176</vt:i4>
      </vt:variant>
      <vt:variant>
        <vt:i4>15</vt:i4>
      </vt:variant>
      <vt:variant>
        <vt:i4>0</vt:i4>
      </vt:variant>
      <vt:variant>
        <vt:i4>5</vt:i4>
      </vt:variant>
      <vt:variant>
        <vt:lpwstr>mailto:msd_info@merck.com</vt:lpwstr>
      </vt:variant>
      <vt:variant>
        <vt:lpwstr/>
      </vt:variant>
      <vt:variant>
        <vt:i4>8060935</vt:i4>
      </vt:variant>
      <vt:variant>
        <vt:i4>12</vt:i4>
      </vt:variant>
      <vt:variant>
        <vt:i4>0</vt:i4>
      </vt:variant>
      <vt:variant>
        <vt:i4>5</vt:i4>
      </vt:variant>
      <vt:variant>
        <vt:lpwstr>mailto:e-mail@msd.de</vt:lpwstr>
      </vt:variant>
      <vt:variant>
        <vt:lpwstr/>
      </vt:variant>
      <vt:variant>
        <vt:i4>2490456</vt:i4>
      </vt:variant>
      <vt:variant>
        <vt:i4>9</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2025-06-20T10:49:00Z</dcterms:created>
  <dcterms:modified xsi:type="dcterms:W3CDTF">2025-09-16T02:41:00Z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0x0101000DA6AD19014FF648A49316945EE786F90200176DED4FF78CD74995F64A0F46B59E48</vt:lpwstr>
  </property>
  <property fmtid="{D5CDD505-2E9C-101B-9397-08002B2CF9AE}" pid="4" name="_dlc_DocIdItemGuid">
    <vt:lpwstr>6cd8b9ce-c97b-426f-a45d-f05ccb84f1df</vt:lpwstr>
  </property>
  <property fmtid="{D5CDD505-2E9C-101B-9397-08002B2CF9AE}" pid="5" name="MediaServiceImageTags">
    <vt:lpwstr/>
  </property>
</Properties>
</file>