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Look w:val="04A0" w:firstRow="1" w:lastRow="0" w:firstColumn="1" w:lastColumn="0" w:noHBand="0" w:noVBand="1"/>
      </w:tblPr>
      <w:tblGrid>
        <w:gridCol w:w="9496"/>
      </w:tblGrid>
      <w:tr w:rsidR="00C6254E" w14:paraId="3D4F8CC0" w14:textId="77777777" w:rsidTr="00C6254E">
        <w:trPr>
          <w:ins w:id="0" w:author="만든 이"/>
        </w:trPr>
        <w:tc>
          <w:tcPr>
            <w:tcW w:w="9496" w:type="dxa"/>
          </w:tcPr>
          <w:p w14:paraId="1CC2171A" w14:textId="6C90479D" w:rsidR="00C6254E" w:rsidRDefault="00C6254E" w:rsidP="00C6254E">
            <w:pPr>
              <w:rPr>
                <w:ins w:id="1" w:author="만든 이"/>
              </w:rPr>
            </w:pPr>
            <w:bookmarkStart w:id="2" w:name="CHARAKTERYSTYKA_PRODUKTU_LECZNICZEGO"/>
            <w:bookmarkEnd w:id="2"/>
            <w:ins w:id="3" w:author="만든 이">
              <w:r>
                <w:t xml:space="preserve">Niniejszy dokument to zatwierdzone druki informacyjne dla leku </w:t>
              </w:r>
              <w:r w:rsidR="00595A8A">
                <w:t>Byooviz</w:t>
              </w:r>
              <w:r>
                <w:t xml:space="preserve"> z wyróżnionymi zmianami wprowadzonymi od czasu poprzedniej procedury, mającymi wpływ na druki informacyjne (</w:t>
              </w:r>
              <w:r w:rsidR="00595A8A">
                <w:t>EMA/VR/0000257998</w:t>
              </w:r>
              <w:r>
                <w:t>).</w:t>
              </w:r>
            </w:ins>
          </w:p>
          <w:p w14:paraId="5CFCFDBC" w14:textId="77777777" w:rsidR="00C6254E" w:rsidRDefault="00C6254E" w:rsidP="00C6254E">
            <w:pPr>
              <w:rPr>
                <w:ins w:id="4" w:author="만든 이"/>
              </w:rPr>
            </w:pPr>
          </w:p>
          <w:p w14:paraId="07CC2261" w14:textId="3DC0903E" w:rsidR="00C6254E" w:rsidRDefault="00C6254E" w:rsidP="00C6254E">
            <w:pPr>
              <w:rPr>
                <w:ins w:id="5" w:author="만든 이"/>
                <w:noProof/>
              </w:rPr>
            </w:pPr>
            <w:ins w:id="6" w:author="만든 이">
              <w:r>
                <w:t>Więcej informacji znajduje się na stronie internetowej Europejskiej Agencji Leków: https://www.ema.europa.eu/en/medicines/human/EPAR/</w:t>
              </w:r>
              <w:r w:rsidR="00595A8A">
                <w:t>byooviz</w:t>
              </w:r>
              <w:bookmarkStart w:id="7" w:name="_GoBack"/>
              <w:bookmarkEnd w:id="7"/>
            </w:ins>
          </w:p>
        </w:tc>
      </w:tr>
    </w:tbl>
    <w:p w14:paraId="64972275" w14:textId="77777777" w:rsidR="00947EB2" w:rsidRPr="000643D3" w:rsidRDefault="00947EB2" w:rsidP="00947EB2">
      <w:pPr>
        <w:rPr>
          <w:noProof/>
        </w:rPr>
      </w:pPr>
    </w:p>
    <w:p w14:paraId="1511DA9E" w14:textId="77777777" w:rsidR="00947EB2" w:rsidRPr="00412450" w:rsidRDefault="00947EB2" w:rsidP="00947EB2">
      <w:pPr>
        <w:rPr>
          <w:noProof/>
        </w:rPr>
      </w:pPr>
    </w:p>
    <w:p w14:paraId="68FC9964" w14:textId="77777777" w:rsidR="00947EB2" w:rsidRPr="00412450" w:rsidRDefault="00947EB2" w:rsidP="00947EB2">
      <w:pPr>
        <w:rPr>
          <w:noProof/>
        </w:rPr>
      </w:pPr>
    </w:p>
    <w:p w14:paraId="3D9581CC" w14:textId="77777777" w:rsidR="00947EB2" w:rsidRPr="00EB595B" w:rsidRDefault="00947EB2" w:rsidP="00947EB2">
      <w:pPr>
        <w:rPr>
          <w:noProof/>
        </w:rPr>
      </w:pPr>
    </w:p>
    <w:p w14:paraId="2BA13B3D" w14:textId="77777777" w:rsidR="00947EB2" w:rsidRPr="008A1008" w:rsidRDefault="00947EB2" w:rsidP="00947EB2">
      <w:pPr>
        <w:rPr>
          <w:noProof/>
        </w:rPr>
      </w:pPr>
    </w:p>
    <w:p w14:paraId="636A5B9D" w14:textId="77777777" w:rsidR="00947EB2" w:rsidRPr="006B4557" w:rsidRDefault="00947EB2" w:rsidP="00947EB2"/>
    <w:p w14:paraId="024988AE" w14:textId="77777777" w:rsidR="00947EB2" w:rsidRPr="006B4557" w:rsidRDefault="00947EB2" w:rsidP="00947EB2"/>
    <w:p w14:paraId="5A0D2B3D" w14:textId="77777777" w:rsidR="00947EB2" w:rsidRPr="006B4557" w:rsidRDefault="00947EB2" w:rsidP="00947EB2"/>
    <w:p w14:paraId="4640AD90" w14:textId="77777777" w:rsidR="00947EB2" w:rsidRPr="006B4557" w:rsidRDefault="00947EB2" w:rsidP="00947EB2"/>
    <w:p w14:paraId="3A4F3518" w14:textId="77777777" w:rsidR="00947EB2" w:rsidRPr="006B4557" w:rsidRDefault="00947EB2" w:rsidP="00947EB2"/>
    <w:p w14:paraId="0BB4B403" w14:textId="77777777" w:rsidR="00947EB2" w:rsidRPr="00BC6DC2" w:rsidRDefault="00947EB2" w:rsidP="00947EB2">
      <w:pPr>
        <w:rPr>
          <w:noProof/>
        </w:rPr>
      </w:pPr>
    </w:p>
    <w:p w14:paraId="2E6A85D9" w14:textId="77777777" w:rsidR="00947EB2" w:rsidRPr="00157895" w:rsidRDefault="00947EB2" w:rsidP="00947EB2">
      <w:pPr>
        <w:rPr>
          <w:noProof/>
        </w:rPr>
      </w:pPr>
    </w:p>
    <w:p w14:paraId="479D967F" w14:textId="77777777" w:rsidR="00947EB2" w:rsidRPr="001F6423" w:rsidRDefault="00947EB2" w:rsidP="00947EB2">
      <w:pPr>
        <w:rPr>
          <w:noProof/>
        </w:rPr>
      </w:pPr>
    </w:p>
    <w:p w14:paraId="03A3569D" w14:textId="77777777" w:rsidR="00947EB2" w:rsidRPr="001F6423" w:rsidRDefault="00947EB2" w:rsidP="00947EB2">
      <w:pPr>
        <w:rPr>
          <w:noProof/>
        </w:rPr>
      </w:pPr>
    </w:p>
    <w:p w14:paraId="2C3E7BA9" w14:textId="77777777" w:rsidR="00947EB2" w:rsidRPr="006B4557" w:rsidRDefault="00947EB2" w:rsidP="00947EB2">
      <w:pPr>
        <w:rPr>
          <w:noProof/>
        </w:rPr>
      </w:pPr>
    </w:p>
    <w:p w14:paraId="741AC5D4" w14:textId="77777777" w:rsidR="00947EB2" w:rsidRPr="006B4557" w:rsidRDefault="00947EB2" w:rsidP="00947EB2">
      <w:pPr>
        <w:rPr>
          <w:noProof/>
        </w:rPr>
      </w:pPr>
    </w:p>
    <w:p w14:paraId="42244223" w14:textId="77777777" w:rsidR="00947EB2" w:rsidRPr="006B4557" w:rsidRDefault="00947EB2" w:rsidP="00947EB2">
      <w:pPr>
        <w:rPr>
          <w:noProof/>
        </w:rPr>
      </w:pPr>
    </w:p>
    <w:p w14:paraId="040A16C1" w14:textId="77777777" w:rsidR="00947EB2" w:rsidRPr="006B4557" w:rsidRDefault="00947EB2" w:rsidP="00947EB2">
      <w:pPr>
        <w:rPr>
          <w:b/>
          <w:noProof/>
        </w:rPr>
      </w:pPr>
    </w:p>
    <w:p w14:paraId="12179C05" w14:textId="77777777" w:rsidR="00947EB2" w:rsidRPr="006B4557" w:rsidRDefault="00947EB2" w:rsidP="00947EB2">
      <w:pPr>
        <w:rPr>
          <w:b/>
          <w:noProof/>
        </w:rPr>
      </w:pPr>
    </w:p>
    <w:p w14:paraId="2EC91E3F" w14:textId="77777777" w:rsidR="00947EB2" w:rsidRPr="006B4557" w:rsidRDefault="00947EB2" w:rsidP="00947EB2">
      <w:pPr>
        <w:rPr>
          <w:b/>
          <w:noProof/>
        </w:rPr>
      </w:pPr>
    </w:p>
    <w:p w14:paraId="749A13BA" w14:textId="77777777" w:rsidR="00947EB2" w:rsidRPr="006B4557" w:rsidRDefault="00947EB2" w:rsidP="00947EB2">
      <w:pPr>
        <w:rPr>
          <w:b/>
          <w:noProof/>
        </w:rPr>
      </w:pPr>
    </w:p>
    <w:p w14:paraId="55F3B34A" w14:textId="77777777" w:rsidR="00947EB2" w:rsidRPr="006B4557" w:rsidRDefault="00947EB2" w:rsidP="00947EB2">
      <w:pPr>
        <w:rPr>
          <w:b/>
          <w:noProof/>
        </w:rPr>
      </w:pPr>
    </w:p>
    <w:p w14:paraId="01320D4E" w14:textId="77777777" w:rsidR="00947EB2" w:rsidRPr="006B4557" w:rsidRDefault="00947EB2" w:rsidP="00947EB2">
      <w:pPr>
        <w:rPr>
          <w:b/>
          <w:noProof/>
        </w:rPr>
      </w:pPr>
    </w:p>
    <w:p w14:paraId="783520A1" w14:textId="77777777" w:rsidR="00C50532" w:rsidRDefault="000E2AE0" w:rsidP="00947EB2">
      <w:pPr>
        <w:pStyle w:val="1"/>
        <w:ind w:left="0" w:right="2"/>
        <w:jc w:val="center"/>
      </w:pPr>
      <w:r w:rsidRPr="008B2522">
        <w:t>ANEKS I</w:t>
      </w:r>
    </w:p>
    <w:p w14:paraId="2931C2A4" w14:textId="77777777" w:rsidR="00C50532" w:rsidRPr="00947EB2" w:rsidRDefault="00C50532" w:rsidP="00947EB2">
      <w:pPr>
        <w:pStyle w:val="a3"/>
        <w:rPr>
          <w:sz w:val="21"/>
          <w:szCs w:val="21"/>
        </w:rPr>
      </w:pPr>
    </w:p>
    <w:p w14:paraId="7504E039" w14:textId="77777777" w:rsidR="001432C3" w:rsidRPr="008B09C7" w:rsidRDefault="000E2AE0" w:rsidP="008B09C7">
      <w:pPr>
        <w:pStyle w:val="TitleA"/>
        <w:rPr>
          <w:lang w:val="sk-SK"/>
        </w:rPr>
      </w:pPr>
      <w:r w:rsidRPr="008B09C7">
        <w:rPr>
          <w:lang w:val="sk-SK"/>
        </w:rPr>
        <w:t>CHARAKTERYSTYKA PRODUKTU LECZNICZEGO</w:t>
      </w:r>
    </w:p>
    <w:p w14:paraId="571AD1F5" w14:textId="77777777" w:rsidR="001432C3" w:rsidRPr="00947EB2" w:rsidRDefault="001432C3" w:rsidP="00947EB2">
      <w:pPr>
        <w:pStyle w:val="a3"/>
        <w:jc w:val="center"/>
        <w:rPr>
          <w:b/>
        </w:rPr>
        <w:sectPr w:rsidR="001432C3" w:rsidRPr="00947EB2" w:rsidSect="00315294">
          <w:footerReference w:type="default" r:id="rId8"/>
          <w:type w:val="continuous"/>
          <w:pgSz w:w="11910" w:h="16840" w:code="9"/>
          <w:pgMar w:top="1378" w:right="1202" w:bottom="902" w:left="1202" w:header="737" w:footer="737" w:gutter="0"/>
          <w:pgNumType w:start="1"/>
          <w:cols w:space="720"/>
        </w:sectPr>
      </w:pPr>
    </w:p>
    <w:p w14:paraId="3AF58988" w14:textId="77777777" w:rsidR="008B2522" w:rsidRPr="000E2AE0" w:rsidRDefault="00AF62E2" w:rsidP="000E2AE0">
      <w:pPr>
        <w:tabs>
          <w:tab w:val="left" w:pos="685"/>
          <w:tab w:val="left" w:pos="686"/>
        </w:tabs>
        <w:spacing w:before="73"/>
      </w:pPr>
      <w:r>
        <w:rPr>
          <w:noProof/>
          <w:lang w:val="es-ES" w:eastAsia="ko-KR"/>
        </w:rPr>
        <w:lastRenderedPageBreak/>
        <w:drawing>
          <wp:inline distT="0" distB="0" distL="0" distR="0" wp14:anchorId="2445E46A" wp14:editId="2858790C">
            <wp:extent cx="200025" cy="161925"/>
            <wp:effectExtent l="0" t="0" r="0" b="0"/>
            <wp:docPr id="8"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8B2522" w:rsidRPr="000E2AE0">
        <w:t xml:space="preserve">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w:t>
      </w:r>
      <w:r w:rsidR="0020790E">
        <w:t>punkt </w:t>
      </w:r>
      <w:r w:rsidR="008B2522" w:rsidRPr="000E2AE0">
        <w:t>4.8.</w:t>
      </w:r>
    </w:p>
    <w:p w14:paraId="78AA04F6" w14:textId="77777777" w:rsidR="000E2AE0" w:rsidRPr="000E2AE0" w:rsidRDefault="000E2AE0" w:rsidP="00D22CB7">
      <w:pPr>
        <w:tabs>
          <w:tab w:val="left" w:pos="685"/>
          <w:tab w:val="left" w:pos="686"/>
        </w:tabs>
        <w:rPr>
          <w:b/>
        </w:rPr>
      </w:pPr>
    </w:p>
    <w:p w14:paraId="2D8D5A6A" w14:textId="77777777" w:rsidR="001432C3" w:rsidRPr="00947EB2" w:rsidRDefault="00505EF6" w:rsidP="00E0574D">
      <w:pPr>
        <w:pStyle w:val="1"/>
        <w:tabs>
          <w:tab w:val="left" w:pos="685"/>
          <w:tab w:val="left" w:pos="687"/>
        </w:tabs>
      </w:pPr>
      <w:r>
        <w:t>1.</w:t>
      </w:r>
      <w:r>
        <w:tab/>
      </w:r>
      <w:r w:rsidR="000E2AE0" w:rsidRPr="00947EB2">
        <w:t>NAZWA PRODUKTU LECZNICZEGO</w:t>
      </w:r>
    </w:p>
    <w:p w14:paraId="22D25087" w14:textId="77777777" w:rsidR="001432C3" w:rsidRPr="00947EB2" w:rsidRDefault="001432C3" w:rsidP="00947EB2">
      <w:pPr>
        <w:pStyle w:val="a3"/>
        <w:rPr>
          <w:sz w:val="24"/>
        </w:rPr>
      </w:pPr>
    </w:p>
    <w:p w14:paraId="79681179" w14:textId="77777777" w:rsidR="001432C3" w:rsidRPr="004A2080" w:rsidRDefault="008B2522" w:rsidP="00947EB2">
      <w:pPr>
        <w:pStyle w:val="a3"/>
        <w:ind w:left="118"/>
      </w:pPr>
      <w:r w:rsidRPr="004A2080">
        <w:t>Byooviz</w:t>
      </w:r>
      <w:r w:rsidR="000E2AE0" w:rsidRPr="004A2080">
        <w:t xml:space="preserve"> 10</w:t>
      </w:r>
      <w:r w:rsidR="00257CD6" w:rsidRPr="004A2080">
        <w:t> mg</w:t>
      </w:r>
      <w:r w:rsidR="000E2AE0" w:rsidRPr="004A2080">
        <w:t>/ml roztwór do wstrzykiwań</w:t>
      </w:r>
    </w:p>
    <w:p w14:paraId="28734545" w14:textId="77777777" w:rsidR="001432C3" w:rsidRPr="008B2522" w:rsidRDefault="001432C3" w:rsidP="000F5294">
      <w:pPr>
        <w:pStyle w:val="a3"/>
        <w:rPr>
          <w:sz w:val="24"/>
        </w:rPr>
      </w:pPr>
    </w:p>
    <w:p w14:paraId="69353AB6" w14:textId="77777777" w:rsidR="001432C3" w:rsidRPr="008B2522" w:rsidRDefault="001432C3" w:rsidP="00D22CB7">
      <w:pPr>
        <w:pStyle w:val="a3"/>
        <w:rPr>
          <w:sz w:val="20"/>
        </w:rPr>
      </w:pPr>
    </w:p>
    <w:p w14:paraId="3A1A3F5E" w14:textId="77777777" w:rsidR="001432C3" w:rsidRPr="00947EB2" w:rsidRDefault="00505EF6" w:rsidP="00E0574D">
      <w:pPr>
        <w:pStyle w:val="1"/>
      </w:pPr>
      <w:r>
        <w:t>2.</w:t>
      </w:r>
      <w:r>
        <w:tab/>
      </w:r>
      <w:r w:rsidR="000E2AE0" w:rsidRPr="00947EB2">
        <w:t>SKŁAD JAKOŚCIOWY I ILOŚCIOWY</w:t>
      </w:r>
    </w:p>
    <w:p w14:paraId="1BFDDE87" w14:textId="77777777" w:rsidR="001432C3" w:rsidRPr="00947EB2" w:rsidRDefault="001432C3" w:rsidP="00947EB2">
      <w:pPr>
        <w:pStyle w:val="a3"/>
        <w:rPr>
          <w:sz w:val="24"/>
        </w:rPr>
      </w:pPr>
    </w:p>
    <w:p w14:paraId="754EB1AA" w14:textId="77777777" w:rsidR="001432C3" w:rsidRPr="004A2080" w:rsidRDefault="000E2AE0" w:rsidP="00947EB2">
      <w:pPr>
        <w:pStyle w:val="a3"/>
        <w:ind w:left="118"/>
      </w:pPr>
      <w:r w:rsidRPr="004A2080">
        <w:t>Jeden</w:t>
      </w:r>
      <w:r w:rsidR="0020790E" w:rsidRPr="004A2080">
        <w:t> ml</w:t>
      </w:r>
      <w:r w:rsidRPr="004A2080">
        <w:t xml:space="preserve"> zawiera 10</w:t>
      </w:r>
      <w:r w:rsidR="00257CD6" w:rsidRPr="004A2080">
        <w:t> mg</w:t>
      </w:r>
      <w:r w:rsidRPr="004A2080">
        <w:t xml:space="preserve"> ranibizumabu*. Każda fiolka zawiera 2,</w:t>
      </w:r>
      <w:r w:rsidR="0020790E" w:rsidRPr="004A2080">
        <w:t>3</w:t>
      </w:r>
      <w:r w:rsidR="00257CD6" w:rsidRPr="004A2080">
        <w:t> mg</w:t>
      </w:r>
      <w:r w:rsidRPr="004A2080">
        <w:t xml:space="preserve"> ranibizumabu w 0,</w:t>
      </w:r>
      <w:r w:rsidR="0020790E" w:rsidRPr="004A2080">
        <w:t>23 ml</w:t>
      </w:r>
      <w:r w:rsidRPr="004A2080">
        <w:t xml:space="preserve"> roztworu. Taka ilość zapewnia podanie pojedynczej dawki 0,</w:t>
      </w:r>
      <w:r w:rsidR="0020790E" w:rsidRPr="004A2080">
        <w:t>05 ml</w:t>
      </w:r>
      <w:r w:rsidRPr="004A2080">
        <w:t xml:space="preserve"> zawierającej 0,</w:t>
      </w:r>
      <w:r w:rsidR="0020790E" w:rsidRPr="004A2080">
        <w:t>5</w:t>
      </w:r>
      <w:r w:rsidR="00257CD6" w:rsidRPr="004A2080">
        <w:t> mg</w:t>
      </w:r>
      <w:r w:rsidRPr="004A2080">
        <w:t xml:space="preserve"> ranibizumabu u dorosłych pacjentów.</w:t>
      </w:r>
    </w:p>
    <w:p w14:paraId="6702B1AE" w14:textId="77777777" w:rsidR="001432C3" w:rsidRPr="00947EB2" w:rsidRDefault="001432C3" w:rsidP="00947EB2">
      <w:pPr>
        <w:pStyle w:val="a3"/>
        <w:ind w:left="118"/>
      </w:pPr>
    </w:p>
    <w:p w14:paraId="6D6741D7" w14:textId="77777777" w:rsidR="001432C3" w:rsidRPr="008B2522" w:rsidRDefault="000E2AE0" w:rsidP="00947EB2">
      <w:pPr>
        <w:pStyle w:val="a3"/>
        <w:ind w:left="118"/>
      </w:pPr>
      <w:r w:rsidRPr="004A2080">
        <w:t>*Ranibizumab jest fragmentem humanizowanego przeciwciała monoklonalnego wytwarzanego w</w:t>
      </w:r>
      <w:r w:rsidRPr="008B2522">
        <w:t xml:space="preserve"> komórkach </w:t>
      </w:r>
      <w:r w:rsidRPr="008B2522">
        <w:rPr>
          <w:i/>
        </w:rPr>
        <w:t xml:space="preserve">Escherichia coli </w:t>
      </w:r>
      <w:r w:rsidRPr="008B2522">
        <w:t>za pomocą technologii rekombinacji DNA.</w:t>
      </w:r>
    </w:p>
    <w:p w14:paraId="2D55C8F2" w14:textId="77777777" w:rsidR="001432C3" w:rsidRPr="008B2522" w:rsidRDefault="001432C3" w:rsidP="00D22CB7">
      <w:pPr>
        <w:pStyle w:val="a3"/>
      </w:pPr>
    </w:p>
    <w:p w14:paraId="4F0ABEDC" w14:textId="77777777" w:rsidR="001432C3" w:rsidRPr="004A2080" w:rsidRDefault="000E2AE0" w:rsidP="00947EB2">
      <w:pPr>
        <w:pStyle w:val="a3"/>
        <w:ind w:left="118"/>
      </w:pPr>
      <w:r w:rsidRPr="004A2080">
        <w:t xml:space="preserve">Pełny wykaz substancji pomocniczych, patrz </w:t>
      </w:r>
      <w:r w:rsidR="0020790E" w:rsidRPr="004A2080">
        <w:t>punkt </w:t>
      </w:r>
      <w:r w:rsidRPr="004A2080">
        <w:t>6.1.</w:t>
      </w:r>
    </w:p>
    <w:p w14:paraId="6A48DAAE" w14:textId="77777777" w:rsidR="001432C3" w:rsidRPr="008B2522" w:rsidRDefault="001432C3" w:rsidP="000F5294">
      <w:pPr>
        <w:pStyle w:val="a3"/>
        <w:rPr>
          <w:sz w:val="24"/>
        </w:rPr>
      </w:pPr>
    </w:p>
    <w:p w14:paraId="07FA4079" w14:textId="77777777" w:rsidR="001432C3" w:rsidRPr="008B2522" w:rsidRDefault="001432C3" w:rsidP="00D22CB7">
      <w:pPr>
        <w:pStyle w:val="a3"/>
        <w:rPr>
          <w:sz w:val="20"/>
        </w:rPr>
      </w:pPr>
    </w:p>
    <w:p w14:paraId="26880DB8" w14:textId="77777777" w:rsidR="001432C3" w:rsidRPr="00947EB2" w:rsidRDefault="00505EF6" w:rsidP="00E0574D">
      <w:pPr>
        <w:pStyle w:val="1"/>
        <w:tabs>
          <w:tab w:val="left" w:pos="685"/>
          <w:tab w:val="left" w:pos="687"/>
        </w:tabs>
      </w:pPr>
      <w:r>
        <w:t>3.</w:t>
      </w:r>
      <w:r>
        <w:tab/>
      </w:r>
      <w:r w:rsidR="000E2AE0" w:rsidRPr="00947EB2">
        <w:t>POSTAĆ FARMACEUTYCZNA</w:t>
      </w:r>
    </w:p>
    <w:p w14:paraId="4C830251" w14:textId="77777777" w:rsidR="001432C3" w:rsidRPr="00947EB2" w:rsidRDefault="001432C3" w:rsidP="00947EB2">
      <w:pPr>
        <w:pStyle w:val="a3"/>
        <w:rPr>
          <w:sz w:val="24"/>
        </w:rPr>
      </w:pPr>
    </w:p>
    <w:p w14:paraId="58FCB949" w14:textId="77777777" w:rsidR="001432C3" w:rsidRPr="00947EB2" w:rsidRDefault="000E2AE0" w:rsidP="00947EB2">
      <w:pPr>
        <w:pStyle w:val="a3"/>
        <w:ind w:left="118"/>
      </w:pPr>
      <w:r w:rsidRPr="00947EB2">
        <w:t>Roztwór do wstrzykiwań</w:t>
      </w:r>
    </w:p>
    <w:p w14:paraId="725D19E1" w14:textId="77777777" w:rsidR="001432C3" w:rsidRPr="00947EB2" w:rsidRDefault="001432C3" w:rsidP="00947EB2">
      <w:pPr>
        <w:pStyle w:val="a3"/>
        <w:ind w:left="118"/>
      </w:pPr>
    </w:p>
    <w:p w14:paraId="78B6D04F" w14:textId="77777777" w:rsidR="001432C3" w:rsidRPr="004A2080" w:rsidRDefault="000E2AE0" w:rsidP="00947EB2">
      <w:pPr>
        <w:pStyle w:val="a3"/>
        <w:ind w:left="118"/>
      </w:pPr>
      <w:r w:rsidRPr="004A2080">
        <w:t>Przejrzysty, bezbarwny do barwy bladożółtej roztwór wodny.</w:t>
      </w:r>
    </w:p>
    <w:p w14:paraId="18626568" w14:textId="77777777" w:rsidR="001432C3" w:rsidRPr="008B2522" w:rsidRDefault="001432C3" w:rsidP="000F5294">
      <w:pPr>
        <w:pStyle w:val="a3"/>
        <w:rPr>
          <w:sz w:val="24"/>
        </w:rPr>
      </w:pPr>
    </w:p>
    <w:p w14:paraId="11D90041" w14:textId="77777777" w:rsidR="001432C3" w:rsidRPr="008B2522" w:rsidRDefault="001432C3" w:rsidP="00D22CB7">
      <w:pPr>
        <w:pStyle w:val="a3"/>
        <w:rPr>
          <w:sz w:val="20"/>
        </w:rPr>
      </w:pPr>
    </w:p>
    <w:p w14:paraId="4CEB7D4D" w14:textId="77777777" w:rsidR="001432C3" w:rsidRPr="00947EB2" w:rsidRDefault="00505EF6" w:rsidP="00E0574D">
      <w:pPr>
        <w:pStyle w:val="1"/>
        <w:tabs>
          <w:tab w:val="left" w:pos="685"/>
          <w:tab w:val="left" w:pos="687"/>
        </w:tabs>
      </w:pPr>
      <w:r>
        <w:t>4.</w:t>
      </w:r>
      <w:r>
        <w:tab/>
      </w:r>
      <w:r w:rsidR="000E2AE0" w:rsidRPr="00947EB2">
        <w:t>SZCZEGÓŁOWE DANE KLINICZNE</w:t>
      </w:r>
    </w:p>
    <w:p w14:paraId="0132DBF4" w14:textId="77777777" w:rsidR="001432C3" w:rsidRPr="00947EB2" w:rsidRDefault="001432C3" w:rsidP="00947EB2">
      <w:pPr>
        <w:pStyle w:val="a3"/>
        <w:ind w:left="118"/>
      </w:pPr>
    </w:p>
    <w:p w14:paraId="172CBF1D" w14:textId="77777777" w:rsidR="001432C3" w:rsidRPr="004A2080" w:rsidRDefault="00505EF6" w:rsidP="00E0574D">
      <w:pPr>
        <w:pStyle w:val="1"/>
        <w:tabs>
          <w:tab w:val="left" w:pos="685"/>
          <w:tab w:val="left" w:pos="686"/>
        </w:tabs>
      </w:pPr>
      <w:r>
        <w:t>4.1</w:t>
      </w:r>
      <w:r>
        <w:tab/>
      </w:r>
      <w:r w:rsidR="000E2AE0" w:rsidRPr="004A2080">
        <w:t>Wskazania do stosowania</w:t>
      </w:r>
    </w:p>
    <w:p w14:paraId="2AAC7A1A" w14:textId="77777777" w:rsidR="001432C3" w:rsidRPr="00947EB2" w:rsidRDefault="001432C3" w:rsidP="00947EB2">
      <w:pPr>
        <w:pStyle w:val="a3"/>
        <w:ind w:left="118"/>
      </w:pPr>
    </w:p>
    <w:p w14:paraId="35D51020" w14:textId="77777777" w:rsidR="001432C3" w:rsidRPr="004A2080" w:rsidRDefault="000E2AE0" w:rsidP="000F5294">
      <w:pPr>
        <w:pStyle w:val="a3"/>
        <w:ind w:left="118"/>
      </w:pPr>
      <w:r w:rsidRPr="004A2080">
        <w:t xml:space="preserve">Produkt leczniczy </w:t>
      </w:r>
      <w:r w:rsidR="008B2522" w:rsidRPr="004A2080">
        <w:t>Byooviz</w:t>
      </w:r>
      <w:r w:rsidRPr="004A2080">
        <w:t xml:space="preserve"> jest wskazany do stosowania u dorosłych w:</w:t>
      </w:r>
    </w:p>
    <w:p w14:paraId="49D86132" w14:textId="77777777" w:rsidR="001432C3" w:rsidRPr="008B2522" w:rsidRDefault="000E2AE0" w:rsidP="00D22CB7">
      <w:pPr>
        <w:pStyle w:val="a4"/>
        <w:numPr>
          <w:ilvl w:val="0"/>
          <w:numId w:val="31"/>
        </w:numPr>
        <w:tabs>
          <w:tab w:val="left" w:pos="685"/>
          <w:tab w:val="left" w:pos="686"/>
        </w:tabs>
        <w:ind w:right="443"/>
      </w:pPr>
      <w:r w:rsidRPr="008B2522">
        <w:t xml:space="preserve">leczeniu neowaskularnej (wysiękowej) postaci zwyrodnienia plamki związanego z wiekiem (AMD, ang. </w:t>
      </w:r>
      <w:r w:rsidRPr="008B2522">
        <w:rPr>
          <w:i/>
        </w:rPr>
        <w:t>age-related macular</w:t>
      </w:r>
      <w:r w:rsidRPr="008B2522">
        <w:rPr>
          <w:i/>
          <w:spacing w:val="-11"/>
        </w:rPr>
        <w:t xml:space="preserve"> </w:t>
      </w:r>
      <w:r w:rsidRPr="008B2522">
        <w:rPr>
          <w:i/>
        </w:rPr>
        <w:t>degeneration</w:t>
      </w:r>
      <w:r w:rsidRPr="008B2522">
        <w:t>);</w:t>
      </w:r>
    </w:p>
    <w:p w14:paraId="0D159AED" w14:textId="77777777" w:rsidR="001432C3" w:rsidRPr="008B2522" w:rsidRDefault="000E2AE0" w:rsidP="00D22CB7">
      <w:pPr>
        <w:pStyle w:val="a4"/>
        <w:numPr>
          <w:ilvl w:val="0"/>
          <w:numId w:val="31"/>
        </w:numPr>
        <w:tabs>
          <w:tab w:val="left" w:pos="685"/>
          <w:tab w:val="left" w:pos="686"/>
        </w:tabs>
      </w:pPr>
      <w:r w:rsidRPr="008B2522">
        <w:t>leczeniu zaburzeń widzenia spowodowanych cukrzycowym obrzękiem plamki (DME,</w:t>
      </w:r>
      <w:r w:rsidRPr="008B2522">
        <w:rPr>
          <w:spacing w:val="-17"/>
        </w:rPr>
        <w:t xml:space="preserve"> </w:t>
      </w:r>
      <w:r w:rsidRPr="008B2522">
        <w:t>ang.</w:t>
      </w:r>
    </w:p>
    <w:p w14:paraId="10E52ED2" w14:textId="77777777" w:rsidR="001432C3" w:rsidRPr="008B2522" w:rsidRDefault="000E2AE0" w:rsidP="00D22CB7">
      <w:pPr>
        <w:ind w:left="685"/>
      </w:pPr>
      <w:r w:rsidRPr="008B2522">
        <w:rPr>
          <w:i/>
        </w:rPr>
        <w:t>diabetic macular oedema</w:t>
      </w:r>
      <w:r w:rsidRPr="008B2522">
        <w:t>);</w:t>
      </w:r>
    </w:p>
    <w:p w14:paraId="4341F506" w14:textId="77777777" w:rsidR="001432C3" w:rsidRPr="008B2522" w:rsidRDefault="000E2AE0" w:rsidP="00D22CB7">
      <w:pPr>
        <w:pStyle w:val="a4"/>
        <w:numPr>
          <w:ilvl w:val="0"/>
          <w:numId w:val="31"/>
        </w:numPr>
        <w:tabs>
          <w:tab w:val="left" w:pos="685"/>
          <w:tab w:val="left" w:pos="686"/>
        </w:tabs>
      </w:pPr>
      <w:r w:rsidRPr="008B2522">
        <w:t xml:space="preserve">leczeniu retinopatii cukrzycowej proliferacyjnej (PDR, ang. </w:t>
      </w:r>
      <w:r w:rsidRPr="008B2522">
        <w:rPr>
          <w:i/>
        </w:rPr>
        <w:t>proliferative diabetic</w:t>
      </w:r>
      <w:r w:rsidRPr="008B2522">
        <w:rPr>
          <w:i/>
          <w:spacing w:val="-27"/>
        </w:rPr>
        <w:t xml:space="preserve"> </w:t>
      </w:r>
      <w:r w:rsidRPr="008B2522">
        <w:rPr>
          <w:i/>
        </w:rPr>
        <w:t>retinopathy</w:t>
      </w:r>
      <w:r w:rsidRPr="008B2522">
        <w:t>);</w:t>
      </w:r>
    </w:p>
    <w:p w14:paraId="5461ACA3" w14:textId="77777777" w:rsidR="001432C3" w:rsidRPr="008B2522" w:rsidRDefault="000E2AE0" w:rsidP="000F5294">
      <w:pPr>
        <w:pStyle w:val="a4"/>
        <w:numPr>
          <w:ilvl w:val="0"/>
          <w:numId w:val="31"/>
        </w:numPr>
        <w:tabs>
          <w:tab w:val="left" w:pos="686"/>
        </w:tabs>
        <w:ind w:right="588"/>
        <w:jc w:val="both"/>
      </w:pPr>
      <w:r w:rsidRPr="008B2522">
        <w:t xml:space="preserve">leczeniu zaburzeń widzenia spowodowanych obrzękiem plamki wtórnym do niedrożności naczyń żylnych siatkówki (RVO, ang. </w:t>
      </w:r>
      <w:r w:rsidRPr="008B2522">
        <w:rPr>
          <w:i/>
        </w:rPr>
        <w:t>retinal vein occlusion</w:t>
      </w:r>
      <w:r w:rsidRPr="008B2522">
        <w:t xml:space="preserve">) tj. zakrzepie żyły środkowej siatkówki (CRVO, ang. </w:t>
      </w:r>
      <w:r w:rsidRPr="008B2522">
        <w:rPr>
          <w:i/>
        </w:rPr>
        <w:t>central RVO</w:t>
      </w:r>
      <w:r w:rsidRPr="008B2522">
        <w:t xml:space="preserve">) lub jej gałęzi (BRVO, ang. </w:t>
      </w:r>
      <w:r w:rsidRPr="008B2522">
        <w:rPr>
          <w:i/>
        </w:rPr>
        <w:t>branch</w:t>
      </w:r>
      <w:r w:rsidRPr="008B2522">
        <w:rPr>
          <w:i/>
          <w:spacing w:val="-17"/>
        </w:rPr>
        <w:t xml:space="preserve"> </w:t>
      </w:r>
      <w:r w:rsidRPr="008B2522">
        <w:rPr>
          <w:i/>
        </w:rPr>
        <w:t>RVO</w:t>
      </w:r>
      <w:r w:rsidRPr="008B2522">
        <w:t>);</w:t>
      </w:r>
    </w:p>
    <w:p w14:paraId="4228D1AA" w14:textId="77777777" w:rsidR="001432C3" w:rsidRPr="008B2522" w:rsidRDefault="000E2AE0" w:rsidP="00D22CB7">
      <w:pPr>
        <w:pStyle w:val="a4"/>
        <w:numPr>
          <w:ilvl w:val="0"/>
          <w:numId w:val="31"/>
        </w:numPr>
        <w:tabs>
          <w:tab w:val="left" w:pos="685"/>
          <w:tab w:val="left" w:pos="686"/>
        </w:tabs>
      </w:pPr>
      <w:r w:rsidRPr="008B2522">
        <w:t>leczeniu zaburzeń widzenia spowodowanych neowaskularyzacją naczyniówkową (CNV,</w:t>
      </w:r>
      <w:r w:rsidRPr="008B2522">
        <w:rPr>
          <w:spacing w:val="-14"/>
        </w:rPr>
        <w:t xml:space="preserve"> </w:t>
      </w:r>
      <w:r w:rsidRPr="008B2522">
        <w:t>ang.</w:t>
      </w:r>
    </w:p>
    <w:p w14:paraId="3300488A" w14:textId="77777777" w:rsidR="001432C3" w:rsidRPr="008B2522" w:rsidRDefault="000E2AE0" w:rsidP="00D22CB7">
      <w:pPr>
        <w:ind w:left="669" w:right="5787"/>
        <w:jc w:val="center"/>
      </w:pPr>
      <w:r w:rsidRPr="008B2522">
        <w:rPr>
          <w:i/>
        </w:rPr>
        <w:t>choroidal neovascularisation</w:t>
      </w:r>
      <w:r w:rsidRPr="008B2522">
        <w:t>).</w:t>
      </w:r>
    </w:p>
    <w:p w14:paraId="2CEBB18C" w14:textId="77777777" w:rsidR="001432C3" w:rsidRPr="008B2522" w:rsidRDefault="001432C3" w:rsidP="00D22CB7">
      <w:pPr>
        <w:pStyle w:val="a3"/>
      </w:pPr>
    </w:p>
    <w:p w14:paraId="69071269" w14:textId="77777777" w:rsidR="001432C3" w:rsidRPr="00947EB2" w:rsidRDefault="00505EF6" w:rsidP="00E0574D">
      <w:pPr>
        <w:pStyle w:val="1"/>
        <w:tabs>
          <w:tab w:val="left" w:pos="685"/>
          <w:tab w:val="left" w:pos="686"/>
        </w:tabs>
      </w:pPr>
      <w:r>
        <w:t>4.2</w:t>
      </w:r>
      <w:r>
        <w:tab/>
      </w:r>
      <w:r w:rsidR="000E2AE0" w:rsidRPr="00947EB2">
        <w:t>Dawkowanie i sposób podawania</w:t>
      </w:r>
    </w:p>
    <w:p w14:paraId="4F5A3C15" w14:textId="77777777" w:rsidR="001432C3" w:rsidRPr="00947EB2" w:rsidRDefault="001432C3" w:rsidP="00947EB2">
      <w:pPr>
        <w:pStyle w:val="a3"/>
        <w:ind w:left="118"/>
      </w:pPr>
    </w:p>
    <w:p w14:paraId="53BFC7B8" w14:textId="77777777" w:rsidR="001432C3" w:rsidRPr="004A2080" w:rsidRDefault="000E2AE0" w:rsidP="00947EB2">
      <w:pPr>
        <w:pStyle w:val="a3"/>
        <w:ind w:left="118"/>
      </w:pPr>
      <w:r w:rsidRPr="004A2080">
        <w:t xml:space="preserve">Produkt </w:t>
      </w:r>
      <w:r w:rsidR="008B2522" w:rsidRPr="004A2080">
        <w:t>Byooviz</w:t>
      </w:r>
      <w:r w:rsidRPr="004A2080">
        <w:t xml:space="preserve"> musi być podawany przez wykwalifikowanego lekarza okulistę, posiadającego doświadczenie w wykonywaniu wstrzykiwań do ciała szklistego.</w:t>
      </w:r>
    </w:p>
    <w:p w14:paraId="7F5DD2BA" w14:textId="77777777" w:rsidR="001432C3" w:rsidRPr="004A2080" w:rsidRDefault="001432C3" w:rsidP="00947EB2">
      <w:pPr>
        <w:pStyle w:val="a3"/>
        <w:ind w:left="118"/>
      </w:pPr>
    </w:p>
    <w:p w14:paraId="4D6A378F" w14:textId="77777777" w:rsidR="001432C3" w:rsidRPr="004A2080" w:rsidRDefault="000E2AE0" w:rsidP="00947EB2">
      <w:pPr>
        <w:pStyle w:val="a3"/>
        <w:ind w:left="118"/>
        <w:rPr>
          <w:u w:val="single"/>
        </w:rPr>
      </w:pPr>
      <w:r w:rsidRPr="004A2080">
        <w:rPr>
          <w:u w:val="single"/>
        </w:rPr>
        <w:t>Dawkowanie</w:t>
      </w:r>
    </w:p>
    <w:p w14:paraId="7EE24AE1" w14:textId="77777777" w:rsidR="001432C3" w:rsidRPr="004A2080" w:rsidRDefault="001432C3" w:rsidP="00947EB2">
      <w:pPr>
        <w:pStyle w:val="a3"/>
        <w:ind w:left="118"/>
      </w:pPr>
    </w:p>
    <w:p w14:paraId="4A5F8316" w14:textId="77777777" w:rsidR="001432C3" w:rsidRPr="004A2080" w:rsidRDefault="000E2AE0" w:rsidP="00947EB2">
      <w:pPr>
        <w:pStyle w:val="a3"/>
        <w:ind w:left="118"/>
        <w:rPr>
          <w:i/>
          <w:u w:val="single"/>
        </w:rPr>
      </w:pPr>
      <w:r w:rsidRPr="004A2080">
        <w:rPr>
          <w:i/>
          <w:u w:val="single"/>
        </w:rPr>
        <w:t>Dorośli</w:t>
      </w:r>
    </w:p>
    <w:p w14:paraId="4D34CBD1" w14:textId="77777777" w:rsidR="001432C3" w:rsidRPr="004A2080" w:rsidRDefault="000E2AE0" w:rsidP="00947EB2">
      <w:pPr>
        <w:pStyle w:val="a3"/>
        <w:ind w:left="118"/>
      </w:pPr>
      <w:r w:rsidRPr="004A2080">
        <w:t xml:space="preserve">Zalecana dawka produktu leczniczego </w:t>
      </w:r>
      <w:r w:rsidR="008B2522" w:rsidRPr="004A2080">
        <w:t>Byooviz</w:t>
      </w:r>
      <w:r w:rsidRPr="004A2080">
        <w:t xml:space="preserve"> u dorosłych wynosi 0,5</w:t>
      </w:r>
      <w:r w:rsidR="00257CD6" w:rsidRPr="004A2080">
        <w:t> mg</w:t>
      </w:r>
      <w:r w:rsidRPr="004A2080">
        <w:t>, podawana w pojedynczym wstrzyknięciu do ciała szklistego. Dawka ta odpowiada objętości 0,05</w:t>
      </w:r>
      <w:r w:rsidR="0020790E" w:rsidRPr="004A2080">
        <w:t> ml</w:t>
      </w:r>
      <w:r w:rsidRPr="004A2080">
        <w:t xml:space="preserve"> wstrzykiwanego leku. Odstęp pomiędzy wstrzyknięciem dwóch dawek do tego samego oka powinien wynosić co najmniej cztery tygodnie.</w:t>
      </w:r>
    </w:p>
    <w:p w14:paraId="7D7BEF2F" w14:textId="77777777" w:rsidR="001432C3" w:rsidRPr="004A2080" w:rsidRDefault="001432C3" w:rsidP="005E6AA6">
      <w:pPr>
        <w:pStyle w:val="a3"/>
        <w:ind w:left="118"/>
      </w:pPr>
    </w:p>
    <w:p w14:paraId="1693CB3F" w14:textId="77777777" w:rsidR="001432C3" w:rsidRPr="004A2080" w:rsidRDefault="000E2AE0" w:rsidP="005E6AA6">
      <w:pPr>
        <w:pStyle w:val="a3"/>
        <w:ind w:left="118"/>
      </w:pPr>
      <w:r w:rsidRPr="004A2080">
        <w:t>Leczenie u dorosłych rozpoczyna się od jednej iniekcji na miesiąc, do czasu uzyskania maksymalnej ostrości wzroku i (lub) braku cech aktywności choroby, tj. braku zmian w ostrości wzroku oraz innych objawów przedmiotowych choroby podczas kontynuowania leczenia. U pacjentów z wysiękową postacią AMD, DME, PDR i RVO, początkowo mogą być potrzebne trzy lub więcej kolejne, comiesięczne iniekcje.</w:t>
      </w:r>
    </w:p>
    <w:p w14:paraId="3EE8FC64" w14:textId="77777777" w:rsidR="001432C3" w:rsidRPr="004A2080" w:rsidRDefault="001432C3" w:rsidP="005E6AA6">
      <w:pPr>
        <w:pStyle w:val="a3"/>
        <w:ind w:left="118"/>
      </w:pPr>
    </w:p>
    <w:p w14:paraId="0B274D44" w14:textId="77777777" w:rsidR="001432C3" w:rsidRPr="004A2080" w:rsidRDefault="000E2AE0" w:rsidP="005E6AA6">
      <w:pPr>
        <w:pStyle w:val="a3"/>
        <w:ind w:left="118"/>
      </w:pPr>
      <w:r w:rsidRPr="004A2080">
        <w:t>Następnie odstępy w leczeniu i badaniach kontrolnych powinny być ustalane przez lekarza i powinny być uzależnione od aktywności choroby, ocenianej na podstawie ostrości wzroku i (lub) parametrów anatomicznych.</w:t>
      </w:r>
    </w:p>
    <w:p w14:paraId="7DCBE15F" w14:textId="77777777" w:rsidR="001432C3" w:rsidRPr="004A2080" w:rsidRDefault="001432C3" w:rsidP="005E6AA6">
      <w:pPr>
        <w:pStyle w:val="a3"/>
        <w:ind w:left="118"/>
      </w:pPr>
    </w:p>
    <w:p w14:paraId="1191F825" w14:textId="77777777" w:rsidR="001432C3" w:rsidRPr="004A2080" w:rsidRDefault="000E2AE0" w:rsidP="005E6AA6">
      <w:pPr>
        <w:pStyle w:val="a3"/>
        <w:ind w:left="118"/>
      </w:pPr>
      <w:r w:rsidRPr="004A2080">
        <w:t xml:space="preserve">Jeśli lekarz stwierdzi na podstawie ocenianej ostrości wzroku oraz parametrów anatomicznych, że kontynuacja leczenia nie przynosi poprawy stanu pacjenta, leczenie produktem leczniczym </w:t>
      </w:r>
      <w:r w:rsidR="008B2522" w:rsidRPr="004A2080">
        <w:t>Byooviz</w:t>
      </w:r>
      <w:r w:rsidRPr="004A2080">
        <w:t xml:space="preserve"> powinno być przerwane.</w:t>
      </w:r>
    </w:p>
    <w:p w14:paraId="27E95605" w14:textId="77777777" w:rsidR="001432C3" w:rsidRPr="004A2080" w:rsidRDefault="001432C3" w:rsidP="005E6AA6">
      <w:pPr>
        <w:pStyle w:val="a3"/>
        <w:ind w:left="118"/>
      </w:pPr>
    </w:p>
    <w:p w14:paraId="3D95C898" w14:textId="77777777" w:rsidR="001432C3" w:rsidRPr="004A2080" w:rsidRDefault="000E2AE0" w:rsidP="005E6AA6">
      <w:pPr>
        <w:pStyle w:val="a3"/>
        <w:ind w:left="118"/>
      </w:pPr>
      <w:r w:rsidRPr="004A2080">
        <w:t>Monitorowanie aktywności choroby może obejmować badanie kliniczne, testy czynnościowe lub badania obrazowe (np. optyczną koherentną tomografię lub angiografię fluoresceinową).</w:t>
      </w:r>
    </w:p>
    <w:p w14:paraId="363D53B3" w14:textId="77777777" w:rsidR="001432C3" w:rsidRPr="004A2080" w:rsidRDefault="001432C3" w:rsidP="005E6AA6">
      <w:pPr>
        <w:pStyle w:val="a3"/>
        <w:ind w:left="118"/>
      </w:pPr>
    </w:p>
    <w:p w14:paraId="69C0C3C1" w14:textId="77777777" w:rsidR="001432C3" w:rsidRPr="004A2080" w:rsidRDefault="000E2AE0" w:rsidP="005E6AA6">
      <w:pPr>
        <w:pStyle w:val="a3"/>
        <w:ind w:left="118"/>
      </w:pPr>
      <w:r w:rsidRPr="004A2080">
        <w:t>U pacjentów leczonych według schematu „treat-and-extend” („lecz i wydłużaj odstępy pomiędzy dawkami”), po osiągnięciu maksymalnej ostrości wzroku i (lub) braku cech aktywności choroby, odstępy pomiędzy dawkami można stopniowo wydłużać, aż do wystąpienia cech aktywności choroby lub pogorszenia widzenia. Odstępy między dawkami należy jednorazowo wydłużać o nie więcej niż dwa tygodnie u pacjentów z wysiękowym AMD, a u pacjentów z DME odstępy te mogą być jednorazowo wydłużane maksymalnie o jeden miesiąc. U pacjentów z PDR i RVO, odstępy między iniekcjami mogą być również stopniowo wydłużane, jednak brak wystarczających danych do określenia długości tych odstępów. Jeśli aktywność choroby nawróci, odstępy pomiędzy dawkami należy odpowiednio skracać.</w:t>
      </w:r>
    </w:p>
    <w:p w14:paraId="2322B921" w14:textId="77777777" w:rsidR="001432C3" w:rsidRPr="004A2080" w:rsidRDefault="001432C3" w:rsidP="005E6AA6">
      <w:pPr>
        <w:pStyle w:val="a3"/>
        <w:ind w:left="118"/>
      </w:pPr>
    </w:p>
    <w:p w14:paraId="0624DDB1" w14:textId="77777777" w:rsidR="001432C3" w:rsidRPr="004A2080" w:rsidRDefault="000E2AE0" w:rsidP="005E6AA6">
      <w:pPr>
        <w:pStyle w:val="a3"/>
        <w:ind w:left="118"/>
      </w:pPr>
      <w:r w:rsidRPr="004A2080">
        <w:t xml:space="preserve">Leczenie zaburzeń widzenia spowodowanych CNV powinno być ustalane indywidualnie dla każdego pacjenta, w zależności od aktywności choroby. Niektórzy pacjenci mogą potrzebować tylko jednej iniekcji w ciągu pierwszych 12 miesięcy; inni mogą wymagać częstszego leczenia, a nawet comiesięcznych iniekcji. W przypadku CNV wtórnej do patologicznej krótkowzroczności (PM, ang. pathologic myopia), wielu pacjentów może wymagać tylko jednego lub dwóch wstrzyknięć w pierwszym roku leczenia (patrz </w:t>
      </w:r>
      <w:r w:rsidR="0020790E" w:rsidRPr="004A2080">
        <w:t>punkt </w:t>
      </w:r>
      <w:r w:rsidRPr="004A2080">
        <w:t>5.1).</w:t>
      </w:r>
    </w:p>
    <w:p w14:paraId="4F597357" w14:textId="77777777" w:rsidR="001432C3" w:rsidRPr="008B2522" w:rsidRDefault="001432C3" w:rsidP="005E6AA6">
      <w:pPr>
        <w:pStyle w:val="a3"/>
        <w:ind w:leftChars="64" w:left="141"/>
      </w:pPr>
    </w:p>
    <w:p w14:paraId="35AAB89B" w14:textId="77777777" w:rsidR="0020790E" w:rsidRPr="00947EB2" w:rsidRDefault="000E2AE0" w:rsidP="005E6AA6">
      <w:pPr>
        <w:pStyle w:val="a3"/>
        <w:ind w:leftChars="64" w:left="141"/>
        <w:rPr>
          <w:i/>
        </w:rPr>
      </w:pPr>
      <w:r w:rsidRPr="00947EB2">
        <w:rPr>
          <w:i/>
        </w:rPr>
        <w:t>Ranibizumab a fotokoagulacja laserowa w DME i obrzęku plamki wtórnym do BRVO</w:t>
      </w:r>
    </w:p>
    <w:p w14:paraId="7178F0A4" w14:textId="77777777" w:rsidR="001432C3" w:rsidRPr="008B2522" w:rsidRDefault="000E2AE0" w:rsidP="005E6AA6">
      <w:pPr>
        <w:pStyle w:val="a3"/>
        <w:ind w:leftChars="64" w:left="141"/>
      </w:pPr>
      <w:r w:rsidRPr="008B2522">
        <w:t xml:space="preserve">Istnieją pewne doświadczenia z podawaniem </w:t>
      </w:r>
      <w:r>
        <w:t>ranibizumabu</w:t>
      </w:r>
      <w:r w:rsidRPr="008B2522">
        <w:t xml:space="preserve"> jednocześnie z wykonywaniem fotokoagulacji laserowej (patrz </w:t>
      </w:r>
      <w:r w:rsidR="0020790E">
        <w:t>punkt </w:t>
      </w:r>
      <w:r w:rsidRPr="008B2522">
        <w:t xml:space="preserve">5.1).W przypadku wykonania fotokoagulacji laserowej i podawania leku tego samego dnia, podanie </w:t>
      </w:r>
      <w:r>
        <w:t>ranibizumabu</w:t>
      </w:r>
      <w:r w:rsidRPr="008B2522">
        <w:t xml:space="preserve"> należy wykonać co najmniej </w:t>
      </w:r>
      <w:r w:rsidR="0020790E" w:rsidRPr="008B2522">
        <w:t>30</w:t>
      </w:r>
      <w:r w:rsidR="0020790E">
        <w:t> </w:t>
      </w:r>
      <w:r w:rsidRPr="008B2522">
        <w:t xml:space="preserve">minut po wykonaniu fotokoagulacji laserowej. </w:t>
      </w:r>
      <w:r>
        <w:t xml:space="preserve">Ranibizumab </w:t>
      </w:r>
      <w:r w:rsidRPr="008B2522">
        <w:t>może być stosowany u pacjentów, u których wcześniej wykonano fotokoagulację laserową.</w:t>
      </w:r>
    </w:p>
    <w:p w14:paraId="47B4B7B8" w14:textId="77777777" w:rsidR="001432C3" w:rsidRPr="008B2522" w:rsidRDefault="001432C3" w:rsidP="005E6AA6">
      <w:pPr>
        <w:pStyle w:val="a3"/>
        <w:ind w:leftChars="64" w:left="141"/>
      </w:pPr>
    </w:p>
    <w:p w14:paraId="7AF8D64C" w14:textId="77777777" w:rsidR="001432C3" w:rsidRPr="008B2522" w:rsidRDefault="000E2AE0" w:rsidP="005E6AA6">
      <w:pPr>
        <w:pStyle w:val="a3"/>
        <w:ind w:leftChars="64" w:left="141"/>
        <w:rPr>
          <w:i/>
        </w:rPr>
      </w:pPr>
      <w:r w:rsidRPr="00947EB2">
        <w:rPr>
          <w:i/>
        </w:rPr>
        <w:t>Ranibizumab</w:t>
      </w:r>
      <w:r w:rsidRPr="008B2522" w:rsidDel="000E2AE0">
        <w:rPr>
          <w:i/>
        </w:rPr>
        <w:t xml:space="preserve"> </w:t>
      </w:r>
      <w:r w:rsidRPr="008B2522">
        <w:rPr>
          <w:i/>
        </w:rPr>
        <w:t>i terapia fotodynamiczna z werteporfiną w CNV wtórnej do PM</w:t>
      </w:r>
    </w:p>
    <w:p w14:paraId="37421440" w14:textId="77777777" w:rsidR="001432C3" w:rsidRPr="008B2522" w:rsidRDefault="000E2AE0" w:rsidP="005E6AA6">
      <w:pPr>
        <w:pStyle w:val="a3"/>
        <w:ind w:leftChars="64" w:left="141"/>
      </w:pPr>
      <w:r w:rsidRPr="008B2522">
        <w:t xml:space="preserve">Brak jest doświadczenia w jednoczesnym podawaniu </w:t>
      </w:r>
      <w:r>
        <w:t>ranibizumabu</w:t>
      </w:r>
      <w:r w:rsidRPr="008B2522">
        <w:t xml:space="preserve"> i werteporfiny.</w:t>
      </w:r>
    </w:p>
    <w:p w14:paraId="7D0FB1CA" w14:textId="77777777" w:rsidR="001432C3" w:rsidRPr="008B2522" w:rsidRDefault="001432C3" w:rsidP="005E6AA6">
      <w:pPr>
        <w:pStyle w:val="a3"/>
        <w:ind w:leftChars="64" w:left="141"/>
      </w:pPr>
    </w:p>
    <w:p w14:paraId="5E248AB7" w14:textId="77777777" w:rsidR="00947EB2" w:rsidRPr="00947EB2" w:rsidRDefault="000E2AE0" w:rsidP="005E6AA6">
      <w:pPr>
        <w:pStyle w:val="a3"/>
        <w:ind w:leftChars="64" w:left="141"/>
        <w:rPr>
          <w:i/>
          <w:u w:val="single"/>
        </w:rPr>
      </w:pPr>
      <w:r w:rsidRPr="00947EB2">
        <w:rPr>
          <w:i/>
          <w:u w:val="single"/>
        </w:rPr>
        <w:t>Szczególne populacje pacjentów</w:t>
      </w:r>
    </w:p>
    <w:p w14:paraId="3AEA83E5" w14:textId="77777777" w:rsidR="001432C3" w:rsidRPr="00947EB2" w:rsidRDefault="000E2AE0" w:rsidP="005E6AA6">
      <w:pPr>
        <w:pStyle w:val="a3"/>
        <w:ind w:leftChars="64" w:left="141"/>
        <w:rPr>
          <w:i/>
        </w:rPr>
      </w:pPr>
      <w:r w:rsidRPr="00947EB2">
        <w:rPr>
          <w:i/>
        </w:rPr>
        <w:t>Zaburzenia czynności wątroby</w:t>
      </w:r>
    </w:p>
    <w:p w14:paraId="51D2B3DE" w14:textId="77777777" w:rsidR="001432C3" w:rsidRPr="008B2522" w:rsidRDefault="000E2AE0" w:rsidP="005E6AA6">
      <w:pPr>
        <w:pStyle w:val="a3"/>
        <w:ind w:leftChars="64" w:left="141"/>
      </w:pPr>
      <w:r>
        <w:t>Ranibizumab</w:t>
      </w:r>
      <w:r w:rsidR="00773A02">
        <w:t>u</w:t>
      </w:r>
      <w:r w:rsidRPr="008B2522">
        <w:t xml:space="preserve"> nie badano u pacjentów z zaburzeniami czynności wątroby. Jednak w tej populacji nie ma konieczności zachowania szczególnych środków ostrożności.</w:t>
      </w:r>
    </w:p>
    <w:p w14:paraId="1B4B3706" w14:textId="77777777" w:rsidR="001432C3" w:rsidRPr="008B2522" w:rsidRDefault="001432C3" w:rsidP="005E6AA6">
      <w:pPr>
        <w:pStyle w:val="a3"/>
        <w:ind w:leftChars="64" w:left="141"/>
      </w:pPr>
    </w:p>
    <w:p w14:paraId="2F8A9FD2" w14:textId="77777777" w:rsidR="001432C3" w:rsidRPr="008B2522" w:rsidRDefault="000E2AE0" w:rsidP="005E6AA6">
      <w:pPr>
        <w:pStyle w:val="a3"/>
        <w:ind w:leftChars="64" w:left="141"/>
        <w:rPr>
          <w:i/>
        </w:rPr>
      </w:pPr>
      <w:r w:rsidRPr="008B2522">
        <w:rPr>
          <w:i/>
        </w:rPr>
        <w:t>Zaburzenia czynności nerek</w:t>
      </w:r>
    </w:p>
    <w:p w14:paraId="74220F6E" w14:textId="77777777" w:rsidR="001432C3" w:rsidRPr="008B2522" w:rsidRDefault="000E2AE0" w:rsidP="005E6AA6">
      <w:pPr>
        <w:pStyle w:val="a3"/>
        <w:ind w:leftChars="64" w:left="141" w:right="630"/>
      </w:pPr>
      <w:r w:rsidRPr="008B2522">
        <w:t xml:space="preserve">Nie ma konieczności dostosowywania dawki u pacjentów z zaburzeniami czynności nerek (patrz </w:t>
      </w:r>
      <w:r w:rsidR="0020790E">
        <w:t>punkt </w:t>
      </w:r>
      <w:r w:rsidRPr="008B2522">
        <w:t>5.2).</w:t>
      </w:r>
    </w:p>
    <w:p w14:paraId="59B6EE7D" w14:textId="77777777" w:rsidR="001432C3" w:rsidRPr="008B2522" w:rsidRDefault="001432C3" w:rsidP="005E6AA6">
      <w:pPr>
        <w:pStyle w:val="a3"/>
        <w:ind w:leftChars="64" w:left="141"/>
      </w:pPr>
    </w:p>
    <w:p w14:paraId="59E8113E" w14:textId="77777777" w:rsidR="001432C3" w:rsidRPr="008B2522" w:rsidRDefault="000E2AE0" w:rsidP="005E6AA6">
      <w:pPr>
        <w:pStyle w:val="a3"/>
        <w:ind w:leftChars="64" w:left="141"/>
        <w:rPr>
          <w:i/>
        </w:rPr>
      </w:pPr>
      <w:r w:rsidRPr="008B2522">
        <w:rPr>
          <w:i/>
        </w:rPr>
        <w:t>Pacjenci w podeszłym wieku</w:t>
      </w:r>
    </w:p>
    <w:p w14:paraId="36EA5D94" w14:textId="77777777" w:rsidR="001432C3" w:rsidRPr="008B2522" w:rsidRDefault="000E2AE0" w:rsidP="005E6AA6">
      <w:pPr>
        <w:pStyle w:val="a3"/>
        <w:ind w:leftChars="64" w:left="141" w:right="586"/>
      </w:pPr>
      <w:r w:rsidRPr="008B2522">
        <w:t>Nie ma konieczności dostosowywania dawki u pacjentów w podeszłym wieku. Doświadczenie w leczeniu pacjentów powyżej 75 lat z DME jest ograniczone.</w:t>
      </w:r>
    </w:p>
    <w:p w14:paraId="5814B960" w14:textId="77777777" w:rsidR="001432C3" w:rsidRPr="008B2522" w:rsidRDefault="001432C3" w:rsidP="005E6AA6">
      <w:pPr>
        <w:pStyle w:val="a3"/>
        <w:ind w:leftChars="64" w:left="141"/>
      </w:pPr>
    </w:p>
    <w:p w14:paraId="2E188413" w14:textId="77777777" w:rsidR="001432C3" w:rsidRPr="008B2522" w:rsidRDefault="000E2AE0" w:rsidP="005E6AA6">
      <w:pPr>
        <w:pStyle w:val="a3"/>
        <w:ind w:leftChars="64" w:left="141"/>
        <w:rPr>
          <w:i/>
        </w:rPr>
      </w:pPr>
      <w:r w:rsidRPr="008B2522">
        <w:rPr>
          <w:i/>
        </w:rPr>
        <w:lastRenderedPageBreak/>
        <w:t>Dzieci i młodzież</w:t>
      </w:r>
    </w:p>
    <w:p w14:paraId="7D8F8B77" w14:textId="77777777" w:rsidR="001432C3" w:rsidRPr="008B2522" w:rsidRDefault="000E2AE0" w:rsidP="005E6AA6">
      <w:pPr>
        <w:pStyle w:val="a3"/>
        <w:ind w:leftChars="64" w:left="141" w:right="324"/>
      </w:pPr>
      <w:r w:rsidRPr="008B2522">
        <w:t xml:space="preserve">Nie określono bezpieczeństwa stosowania ani skuteczności </w:t>
      </w:r>
      <w:r w:rsidR="00773A02">
        <w:t>ranibizumabu</w:t>
      </w:r>
      <w:r w:rsidRPr="008B2522">
        <w:t xml:space="preserve"> u dzieci i młodzieży w wieku poniżej 18 lat. Dostępne dane dotyczące nastoletnich pacjentów w wieku od 12 do 17 lat z zaburzeniami widzenia spowodowanymi CNV opisano w punkcie 5.1, ale nie ma zaleceń dotyczących dawkowania.</w:t>
      </w:r>
    </w:p>
    <w:p w14:paraId="06E647C6" w14:textId="77777777" w:rsidR="001432C3" w:rsidRPr="008B2522" w:rsidRDefault="001432C3" w:rsidP="005E6AA6">
      <w:pPr>
        <w:pStyle w:val="a3"/>
        <w:ind w:leftChars="64" w:left="141"/>
        <w:rPr>
          <w:sz w:val="21"/>
        </w:rPr>
      </w:pPr>
    </w:p>
    <w:p w14:paraId="4B5C2E00" w14:textId="77777777" w:rsidR="001432C3" w:rsidRPr="00947EB2" w:rsidRDefault="000E2AE0" w:rsidP="005E6AA6">
      <w:pPr>
        <w:pStyle w:val="a3"/>
        <w:ind w:leftChars="64" w:left="141" w:right="98"/>
        <w:rPr>
          <w:u w:val="single"/>
        </w:rPr>
      </w:pPr>
      <w:r w:rsidRPr="00947EB2">
        <w:rPr>
          <w:u w:val="single"/>
        </w:rPr>
        <w:t>Sposób podawania</w:t>
      </w:r>
    </w:p>
    <w:p w14:paraId="2A5DA33F" w14:textId="77777777" w:rsidR="001432C3" w:rsidRPr="00D22CB7" w:rsidRDefault="001432C3" w:rsidP="005E6AA6">
      <w:pPr>
        <w:pStyle w:val="a3"/>
        <w:ind w:leftChars="64" w:left="141" w:right="98"/>
      </w:pPr>
    </w:p>
    <w:p w14:paraId="654C7B48" w14:textId="77777777" w:rsidR="001432C3" w:rsidRPr="008B2522" w:rsidRDefault="000E2AE0" w:rsidP="005E6AA6">
      <w:pPr>
        <w:pStyle w:val="a3"/>
        <w:ind w:leftChars="64" w:left="141"/>
      </w:pPr>
      <w:r w:rsidRPr="008B2522">
        <w:t>Fiolka jednorazowego użytku wyłącznie do podania do ciała szklistego.</w:t>
      </w:r>
    </w:p>
    <w:p w14:paraId="4222595D" w14:textId="77777777" w:rsidR="001432C3" w:rsidRPr="008B2522" w:rsidRDefault="001432C3" w:rsidP="005E6AA6">
      <w:pPr>
        <w:pStyle w:val="a3"/>
        <w:ind w:leftChars="64" w:left="141"/>
        <w:rPr>
          <w:sz w:val="21"/>
        </w:rPr>
      </w:pPr>
    </w:p>
    <w:p w14:paraId="3ACB2751" w14:textId="77777777" w:rsidR="001432C3" w:rsidRPr="008B2522" w:rsidRDefault="000E2AE0" w:rsidP="005E6AA6">
      <w:pPr>
        <w:pStyle w:val="a3"/>
        <w:ind w:leftChars="64" w:left="141" w:right="98"/>
      </w:pPr>
      <w:r w:rsidRPr="008B2522">
        <w:t>Objętość roztworu w fiolce (0,23</w:t>
      </w:r>
      <w:r w:rsidR="0020790E">
        <w:t> ml</w:t>
      </w:r>
      <w:r w:rsidRPr="008B2522">
        <w:t>) jest większa niż zalecana dawka (0,05</w:t>
      </w:r>
      <w:r w:rsidR="0020790E">
        <w:t> ml</w:t>
      </w:r>
      <w:r w:rsidRPr="008B2522">
        <w:t xml:space="preserve"> dla pacjentów dorosłych), dlatego </w:t>
      </w:r>
      <w:r w:rsidRPr="008B2522">
        <w:rPr>
          <w:color w:val="212121"/>
        </w:rPr>
        <w:t>część roztworu zawartego w fiolce należy usunąć przed użyciem.</w:t>
      </w:r>
    </w:p>
    <w:p w14:paraId="1EB022CC" w14:textId="77777777" w:rsidR="001432C3" w:rsidRPr="008B2522" w:rsidRDefault="001432C3" w:rsidP="005E6AA6">
      <w:pPr>
        <w:pStyle w:val="a3"/>
        <w:ind w:leftChars="64" w:left="141"/>
      </w:pPr>
    </w:p>
    <w:p w14:paraId="6633B3D0" w14:textId="77777777" w:rsidR="001432C3" w:rsidRPr="008B2522" w:rsidRDefault="000E2AE0" w:rsidP="005E6AA6">
      <w:pPr>
        <w:pStyle w:val="a3"/>
        <w:ind w:leftChars="64" w:left="141" w:right="1040"/>
      </w:pPr>
      <w:r w:rsidRPr="008B2522">
        <w:t xml:space="preserve">Należy obejrzeć produkt leczniczy </w:t>
      </w:r>
      <w:r w:rsidR="008B2522">
        <w:t>Byooviz</w:t>
      </w:r>
      <w:r w:rsidRPr="008B2522">
        <w:t xml:space="preserve"> przed podaniem, sprawdzając czy nie doszło do wytrącenia osadu i przebarwienia.</w:t>
      </w:r>
    </w:p>
    <w:p w14:paraId="68862C3E" w14:textId="77777777" w:rsidR="001432C3" w:rsidRPr="008B2522" w:rsidRDefault="001432C3" w:rsidP="005E6AA6">
      <w:pPr>
        <w:pStyle w:val="a3"/>
        <w:ind w:leftChars="64" w:left="141"/>
      </w:pPr>
    </w:p>
    <w:p w14:paraId="7E5C461F" w14:textId="77777777" w:rsidR="001432C3" w:rsidRPr="008B2522" w:rsidRDefault="000E2AE0" w:rsidP="005E6AA6">
      <w:pPr>
        <w:pStyle w:val="a3"/>
        <w:ind w:leftChars="64" w:left="141"/>
      </w:pPr>
      <w:r w:rsidRPr="008B2522">
        <w:t xml:space="preserve">Informacje dotyczące przygotowania produktu leczniczego </w:t>
      </w:r>
      <w:r w:rsidR="008B2522">
        <w:t>Byooviz</w:t>
      </w:r>
      <w:r w:rsidRPr="008B2522">
        <w:t xml:space="preserve">, patrz </w:t>
      </w:r>
      <w:r w:rsidR="0020790E">
        <w:t>punkt </w:t>
      </w:r>
      <w:r w:rsidRPr="008B2522">
        <w:t>6.6.</w:t>
      </w:r>
    </w:p>
    <w:p w14:paraId="34FB2047" w14:textId="77777777" w:rsidR="001432C3" w:rsidRPr="008B2522" w:rsidRDefault="001432C3" w:rsidP="005E6AA6">
      <w:pPr>
        <w:pStyle w:val="a3"/>
        <w:ind w:leftChars="64" w:left="141"/>
      </w:pPr>
    </w:p>
    <w:p w14:paraId="211217F1" w14:textId="77777777" w:rsidR="001432C3" w:rsidRPr="008B2522" w:rsidRDefault="000E2AE0" w:rsidP="005E6AA6">
      <w:pPr>
        <w:pStyle w:val="a3"/>
        <w:ind w:leftChars="64" w:left="141" w:right="92"/>
      </w:pPr>
      <w:r w:rsidRPr="008B2522">
        <w:t xml:space="preserve">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przeprowadzić wywiad medyczny z pacjentem, aby stwierdzić czy nie występowały u niego reakcje nadwrażliwości (patrz </w:t>
      </w:r>
      <w:r w:rsidR="0020790E">
        <w:t>punkt </w:t>
      </w:r>
      <w:r w:rsidRPr="008B2522">
        <w:t>4.4). Przed wstrzyknięciem leku należy zastosować odpowiednie znieczulenie i miejscowy środek bakteriobójczy o szerokim spektrum działania do dezynfekcji skóry wokół oka, powieki i powierzchni gałki ocznej, zgodnie z lokalną praktyką.</w:t>
      </w:r>
    </w:p>
    <w:p w14:paraId="4E2D2B5A" w14:textId="77777777" w:rsidR="001432C3" w:rsidRPr="008B2522" w:rsidRDefault="001432C3" w:rsidP="005E6AA6">
      <w:pPr>
        <w:pStyle w:val="a3"/>
        <w:ind w:leftChars="64" w:left="141"/>
        <w:rPr>
          <w:sz w:val="21"/>
        </w:rPr>
      </w:pPr>
    </w:p>
    <w:p w14:paraId="35E4FB61" w14:textId="77777777" w:rsidR="001432C3" w:rsidRPr="00947EB2" w:rsidRDefault="000E2AE0" w:rsidP="005E6AA6">
      <w:pPr>
        <w:pStyle w:val="a3"/>
        <w:ind w:leftChars="64" w:left="141"/>
        <w:rPr>
          <w:i/>
          <w:u w:val="single"/>
        </w:rPr>
      </w:pPr>
      <w:r w:rsidRPr="008B2522">
        <w:rPr>
          <w:i/>
          <w:u w:val="single"/>
        </w:rPr>
        <w:t>Dorośli</w:t>
      </w:r>
    </w:p>
    <w:p w14:paraId="2C8C905B" w14:textId="77777777" w:rsidR="001432C3" w:rsidRPr="008B2522" w:rsidRDefault="000E2AE0" w:rsidP="005E6AA6">
      <w:pPr>
        <w:pStyle w:val="a3"/>
        <w:ind w:leftChars="64" w:left="141" w:right="233"/>
      </w:pPr>
      <w:r w:rsidRPr="008B2522">
        <w:t>U dorosłych igłę iniekcyjną należy wprowadzić 3,5-4,0 mm za rąbkiem do ciała szklistego, unikając południka poziomego i kierując ją do części centralnej gałki ocznej. Następnie należy wstrzyknąć lek w objętości 0,05</w:t>
      </w:r>
      <w:r w:rsidR="0020790E">
        <w:t> ml</w:t>
      </w:r>
      <w:r w:rsidRPr="008B2522">
        <w:t>. Należy wybierać różne miejsca wkłucia na twardówce podczas kolejnych wstrzyknięć.</w:t>
      </w:r>
    </w:p>
    <w:p w14:paraId="278ABDEA" w14:textId="77777777" w:rsidR="001432C3" w:rsidRPr="008B2522" w:rsidRDefault="001432C3" w:rsidP="005E6AA6">
      <w:pPr>
        <w:pStyle w:val="a3"/>
        <w:ind w:leftChars="64" w:left="141"/>
      </w:pPr>
    </w:p>
    <w:p w14:paraId="10A47F18" w14:textId="77777777" w:rsidR="001432C3" w:rsidRPr="00947EB2" w:rsidRDefault="00505EF6" w:rsidP="00E0574D">
      <w:pPr>
        <w:pStyle w:val="1"/>
        <w:tabs>
          <w:tab w:val="left" w:pos="685"/>
          <w:tab w:val="left" w:pos="686"/>
        </w:tabs>
      </w:pPr>
      <w:r>
        <w:t>4.3</w:t>
      </w:r>
      <w:r>
        <w:tab/>
      </w:r>
      <w:r w:rsidR="000E2AE0" w:rsidRPr="00947EB2">
        <w:t>Przeciwwskazania</w:t>
      </w:r>
    </w:p>
    <w:p w14:paraId="11AC8155" w14:textId="77777777" w:rsidR="001432C3" w:rsidRPr="00947EB2" w:rsidRDefault="001432C3" w:rsidP="005E6AA6">
      <w:pPr>
        <w:pStyle w:val="a3"/>
        <w:ind w:leftChars="64" w:left="141"/>
      </w:pPr>
    </w:p>
    <w:p w14:paraId="21EA438B" w14:textId="77777777" w:rsidR="001432C3" w:rsidRPr="008B2522" w:rsidRDefault="000E2AE0" w:rsidP="005E6AA6">
      <w:pPr>
        <w:pStyle w:val="a3"/>
        <w:ind w:leftChars="64" w:left="141" w:right="631"/>
      </w:pPr>
      <w:r w:rsidRPr="008B2522">
        <w:t>Nadwrażliwość na substancję czynną lub na którąkolwiek substancję pomocniczą wymienioną w punkcie 6.1.</w:t>
      </w:r>
    </w:p>
    <w:p w14:paraId="332DDEAC" w14:textId="77777777" w:rsidR="001432C3" w:rsidRPr="008B2522" w:rsidRDefault="001432C3" w:rsidP="005E6AA6">
      <w:pPr>
        <w:pStyle w:val="a3"/>
        <w:ind w:leftChars="64" w:left="141"/>
      </w:pPr>
    </w:p>
    <w:p w14:paraId="01C448A6" w14:textId="77777777" w:rsidR="001432C3" w:rsidRPr="008B2522" w:rsidRDefault="000E2AE0" w:rsidP="005E6AA6">
      <w:pPr>
        <w:pStyle w:val="a3"/>
        <w:ind w:leftChars="64" w:left="141" w:right="686"/>
      </w:pPr>
      <w:r w:rsidRPr="008B2522">
        <w:t>Pacjenci z czynnymi zakażeniami oka lub jego okolic, lub pacjenci, u których podejrzewane jest zakażenie.</w:t>
      </w:r>
    </w:p>
    <w:p w14:paraId="6223CBD0" w14:textId="77777777" w:rsidR="001432C3" w:rsidRPr="008B2522" w:rsidRDefault="001432C3" w:rsidP="005E6AA6">
      <w:pPr>
        <w:pStyle w:val="a3"/>
        <w:ind w:leftChars="64" w:left="141"/>
        <w:rPr>
          <w:sz w:val="21"/>
        </w:rPr>
      </w:pPr>
    </w:p>
    <w:p w14:paraId="124EDDA8" w14:textId="77777777" w:rsidR="001432C3" w:rsidRPr="008B2522" w:rsidRDefault="000E2AE0" w:rsidP="005E6AA6">
      <w:pPr>
        <w:pStyle w:val="a3"/>
        <w:ind w:leftChars="64" w:left="141"/>
      </w:pPr>
      <w:r w:rsidRPr="008B2522">
        <w:t>Pacjenci z czynnym ciężkim zapaleniem wnętrza gałki.</w:t>
      </w:r>
    </w:p>
    <w:p w14:paraId="769A4082" w14:textId="77777777" w:rsidR="001432C3" w:rsidRPr="008B2522" w:rsidRDefault="001432C3" w:rsidP="005E6AA6">
      <w:pPr>
        <w:pStyle w:val="a3"/>
        <w:ind w:leftChars="64" w:left="141"/>
      </w:pPr>
    </w:p>
    <w:p w14:paraId="16A9AA33" w14:textId="77777777" w:rsidR="001432C3" w:rsidRPr="004A2080" w:rsidRDefault="00505EF6" w:rsidP="00E0574D">
      <w:pPr>
        <w:pStyle w:val="1"/>
        <w:tabs>
          <w:tab w:val="left" w:pos="685"/>
          <w:tab w:val="left" w:pos="686"/>
        </w:tabs>
      </w:pPr>
      <w:r>
        <w:t>4.4</w:t>
      </w:r>
      <w:r>
        <w:tab/>
      </w:r>
      <w:r w:rsidR="000E2AE0" w:rsidRPr="004A2080">
        <w:t>Specjalne ostrzeżenia i środki ostrożności dotyczące stosowania</w:t>
      </w:r>
    </w:p>
    <w:p w14:paraId="05F31A75" w14:textId="77777777" w:rsidR="001432C3" w:rsidRPr="00947EB2" w:rsidRDefault="001432C3" w:rsidP="005E6AA6">
      <w:pPr>
        <w:pStyle w:val="a3"/>
        <w:ind w:leftChars="64" w:left="141"/>
      </w:pPr>
    </w:p>
    <w:p w14:paraId="5A4AA942" w14:textId="77777777" w:rsidR="00652951" w:rsidRPr="004A2080" w:rsidRDefault="00652951" w:rsidP="005E6AA6">
      <w:pPr>
        <w:pStyle w:val="a3"/>
        <w:ind w:leftChars="64" w:left="141"/>
        <w:rPr>
          <w:u w:val="single"/>
        </w:rPr>
      </w:pPr>
      <w:r w:rsidRPr="004A2080">
        <w:rPr>
          <w:u w:val="single"/>
        </w:rPr>
        <w:t>Identyfikowalność</w:t>
      </w:r>
    </w:p>
    <w:p w14:paraId="7D4C3000" w14:textId="77777777" w:rsidR="00652951" w:rsidRPr="000F5294" w:rsidRDefault="00652951" w:rsidP="005E6AA6">
      <w:pPr>
        <w:pStyle w:val="a3"/>
        <w:ind w:leftChars="64" w:left="141"/>
        <w:rPr>
          <w:rStyle w:val="tlid-translationtranslation"/>
        </w:rPr>
      </w:pPr>
      <w:r w:rsidRPr="000F5294">
        <w:br/>
      </w:r>
      <w:r w:rsidRPr="000F5294">
        <w:rPr>
          <w:rStyle w:val="tlid-translationtranslation"/>
        </w:rPr>
        <w:t>W celu poprawienia identyfikowalności biologicznych produktów leczniczych należy czytelnie zapisać nazwę i numer serii podawanego produktu.</w:t>
      </w:r>
    </w:p>
    <w:p w14:paraId="6EDA66D5" w14:textId="77777777" w:rsidR="00652951" w:rsidRPr="00D22CB7" w:rsidRDefault="00652951" w:rsidP="005E6AA6">
      <w:pPr>
        <w:pStyle w:val="a3"/>
        <w:ind w:leftChars="64" w:left="141"/>
        <w:rPr>
          <w:b/>
        </w:rPr>
      </w:pPr>
    </w:p>
    <w:p w14:paraId="4BA7FCE1" w14:textId="77777777" w:rsidR="001432C3" w:rsidRPr="00947EB2" w:rsidRDefault="000E2AE0" w:rsidP="005E6AA6">
      <w:pPr>
        <w:pStyle w:val="a3"/>
        <w:ind w:leftChars="64" w:left="141" w:right="98"/>
        <w:rPr>
          <w:u w:val="single"/>
        </w:rPr>
      </w:pPr>
      <w:r w:rsidRPr="000F5294">
        <w:rPr>
          <w:u w:val="single"/>
        </w:rPr>
        <w:t>Reakcje związane z wstrzyknięciem do ciała szklistego</w:t>
      </w:r>
    </w:p>
    <w:p w14:paraId="069D1530" w14:textId="77777777" w:rsidR="001432C3" w:rsidRPr="00D22CB7" w:rsidRDefault="001432C3" w:rsidP="005E6AA6">
      <w:pPr>
        <w:pStyle w:val="a3"/>
        <w:ind w:leftChars="64" w:left="141"/>
      </w:pPr>
    </w:p>
    <w:p w14:paraId="534296EC" w14:textId="77777777" w:rsidR="001432C3" w:rsidRPr="000F5294" w:rsidRDefault="000E2AE0" w:rsidP="005E6AA6">
      <w:pPr>
        <w:pStyle w:val="a3"/>
        <w:ind w:leftChars="64" w:left="141" w:right="106"/>
      </w:pPr>
      <w:r w:rsidRPr="000F5294">
        <w:t xml:space="preserve">Wstrzyknięcia do ciała szklistego, w tym wstrzyknięcia </w:t>
      </w:r>
      <w:r w:rsidR="00652951" w:rsidRPr="000F5294">
        <w:t>ranibizumabu</w:t>
      </w:r>
      <w:r w:rsidRPr="000F5294">
        <w:t xml:space="preserve">, były związane z występowaniem zapalenia wnętrza gałki, </w:t>
      </w:r>
      <w:r w:rsidR="0085449F">
        <w:t>regmatogennego</w:t>
      </w:r>
      <w:r w:rsidR="0085449F" w:rsidRPr="000F5294">
        <w:t xml:space="preserve"> </w:t>
      </w:r>
      <w:r w:rsidRPr="000F5294">
        <w:t xml:space="preserve">odwarstwienia siatkówki, rozerwania siatkówki i jatrogennej zaćmy urazowej (patrz </w:t>
      </w:r>
      <w:r w:rsidR="0020790E" w:rsidRPr="000F5294">
        <w:t>punkt </w:t>
      </w:r>
      <w:r w:rsidRPr="000F5294">
        <w:t xml:space="preserve">4.8). Podczas każdego podania </w:t>
      </w:r>
      <w:r w:rsidR="00652951" w:rsidRPr="000F5294">
        <w:t>ranibizumabu</w:t>
      </w:r>
      <w:r w:rsidR="004A6A3A" w:rsidRPr="000F5294">
        <w:t xml:space="preserve"> </w:t>
      </w:r>
      <w:r w:rsidRPr="000F5294">
        <w:t>należy stosować odpowiednie aseptyczne techniki wstrzykiwań. Ponadto, należy monitorować pacjentów przez tydzień po wstrzyknięciu, co pozwoli na wczesne rozpoczęcie leczenia ewentualnego zakażenia. Należy poinformować pacjentów, by bezzwłocznie zgłaszali wszelkie objawy sugerujące zapalenie wnętrza gałki lub wszelkie wymienione wyżej zdarzenia.</w:t>
      </w:r>
    </w:p>
    <w:p w14:paraId="3CA4B653" w14:textId="77777777" w:rsidR="001432C3" w:rsidRPr="00D22CB7" w:rsidRDefault="001432C3" w:rsidP="005E6AA6">
      <w:pPr>
        <w:pStyle w:val="a3"/>
        <w:ind w:leftChars="64" w:left="141"/>
      </w:pPr>
    </w:p>
    <w:p w14:paraId="15F358C9" w14:textId="77777777" w:rsidR="001432C3" w:rsidRPr="00947EB2" w:rsidRDefault="000E2AE0" w:rsidP="005E6AA6">
      <w:pPr>
        <w:pStyle w:val="a3"/>
        <w:ind w:leftChars="64" w:left="141" w:right="98"/>
        <w:rPr>
          <w:u w:val="single"/>
        </w:rPr>
      </w:pPr>
      <w:r w:rsidRPr="000F5294">
        <w:rPr>
          <w:u w:val="single"/>
        </w:rPr>
        <w:t>Zwiększenie ciśnienia śródgałkowego</w:t>
      </w:r>
    </w:p>
    <w:p w14:paraId="33A1C733" w14:textId="77777777" w:rsidR="001432C3" w:rsidRPr="00D22CB7" w:rsidRDefault="001432C3" w:rsidP="005E6AA6">
      <w:pPr>
        <w:pStyle w:val="a3"/>
        <w:ind w:leftChars="64" w:left="141"/>
      </w:pPr>
    </w:p>
    <w:p w14:paraId="6063C17F" w14:textId="77777777" w:rsidR="001432C3" w:rsidRPr="000F5294" w:rsidRDefault="000E2AE0" w:rsidP="005E6AA6">
      <w:pPr>
        <w:pStyle w:val="a3"/>
        <w:ind w:leftChars="64" w:left="141" w:right="222"/>
      </w:pPr>
      <w:r w:rsidRPr="000F5294">
        <w:t xml:space="preserve">U dorosłych w ciągu 60 minut po wstrzyknięciu </w:t>
      </w:r>
      <w:r w:rsidR="00652951" w:rsidRPr="000F5294">
        <w:t xml:space="preserve">ranibizumabu </w:t>
      </w:r>
      <w:r w:rsidRPr="000F5294">
        <w:t xml:space="preserve">obserwowano przemijające zwiększenie ciśnienia śródgałkowego (IOP, </w:t>
      </w:r>
      <w:r w:rsidRPr="000F5294">
        <w:rPr>
          <w:i/>
        </w:rPr>
        <w:t>ang. intraocular pressure</w:t>
      </w:r>
      <w:r w:rsidRPr="000F5294">
        <w:t xml:space="preserve">). Zaobserwowano również trwałe zwiększenie IOP (patrz </w:t>
      </w:r>
      <w:r w:rsidR="0020790E" w:rsidRPr="000F5294">
        <w:t>punkt </w:t>
      </w:r>
      <w:r w:rsidRPr="000F5294">
        <w:t>4.8). Należy monitorować i wdrożyć odpowiednie postępowanie dotyczące zarówno ciśnienia śródgałkowego jak i ukrwienia nerwu wzrokowego.</w:t>
      </w:r>
    </w:p>
    <w:p w14:paraId="6E031A66" w14:textId="77777777" w:rsidR="001432C3" w:rsidRPr="000F5294" w:rsidRDefault="001432C3" w:rsidP="005E6AA6">
      <w:pPr>
        <w:pStyle w:val="a3"/>
        <w:ind w:leftChars="64" w:left="141"/>
      </w:pPr>
    </w:p>
    <w:p w14:paraId="08189F2A" w14:textId="77777777" w:rsidR="001432C3" w:rsidRPr="000F5294" w:rsidRDefault="000E2AE0" w:rsidP="005E6AA6">
      <w:pPr>
        <w:pStyle w:val="a3"/>
        <w:ind w:leftChars="64" w:left="141" w:right="375"/>
      </w:pPr>
      <w:r w:rsidRPr="000F5294">
        <w:t xml:space="preserve">Należy poinformować pacjentów o objawach tych potencjalnych zdarzeń niepożądanych i poinstruować ich o konieczności informowania lekarza w razie wystąpienia takich objawów jak ból oka lub narastające uczucie dyskomfortu, nasilone zaczerwienienie oka, zaburzenia lub pogorszenie widzenia, większa liczba drobnych plamek w polu widzenia, lub zwiększona wrażliwość na światło (patrz </w:t>
      </w:r>
      <w:r w:rsidR="0020790E" w:rsidRPr="000F5294">
        <w:t>punkt </w:t>
      </w:r>
      <w:r w:rsidRPr="000F5294">
        <w:t>4.8).</w:t>
      </w:r>
    </w:p>
    <w:p w14:paraId="339EB526" w14:textId="77777777" w:rsidR="001432C3" w:rsidRPr="00D22CB7" w:rsidRDefault="001432C3" w:rsidP="005E6AA6">
      <w:pPr>
        <w:pStyle w:val="a3"/>
        <w:ind w:leftChars="64" w:left="141"/>
      </w:pPr>
    </w:p>
    <w:p w14:paraId="6A9830B1" w14:textId="77777777" w:rsidR="001432C3" w:rsidRPr="00947EB2" w:rsidRDefault="000E2AE0" w:rsidP="005E6AA6">
      <w:pPr>
        <w:pStyle w:val="a3"/>
        <w:ind w:leftChars="64" w:left="141" w:right="98"/>
        <w:rPr>
          <w:u w:val="single"/>
        </w:rPr>
      </w:pPr>
      <w:r w:rsidRPr="000F5294">
        <w:rPr>
          <w:u w:val="single"/>
        </w:rPr>
        <w:t>Leczenie obu oczu</w:t>
      </w:r>
    </w:p>
    <w:p w14:paraId="6B90F7D9" w14:textId="77777777" w:rsidR="001432C3" w:rsidRPr="00D22CB7" w:rsidRDefault="001432C3" w:rsidP="005E6AA6">
      <w:pPr>
        <w:pStyle w:val="a3"/>
        <w:ind w:leftChars="64" w:left="141"/>
      </w:pPr>
    </w:p>
    <w:p w14:paraId="33814235" w14:textId="77777777" w:rsidR="001432C3" w:rsidRPr="000F5294" w:rsidRDefault="000E2AE0" w:rsidP="005E6AA6">
      <w:pPr>
        <w:pStyle w:val="a3"/>
        <w:ind w:leftChars="64" w:left="141" w:right="217"/>
        <w:jc w:val="both"/>
      </w:pPr>
      <w:r w:rsidRPr="000F5294">
        <w:t xml:space="preserve">Ograniczone dane dotyczące leczenia </w:t>
      </w:r>
      <w:r w:rsidR="00652951" w:rsidRPr="000F5294">
        <w:t xml:space="preserve">ranibizumabem </w:t>
      </w:r>
      <w:r w:rsidRPr="000F5294">
        <w:t>jednocześnie obu oczu (w tym podanie leku tego samego dnia) nie wskazują na zwiększenie ryzyka wystąpienia układowych działań niepożądanych w porównaniu z leczeniem jednego oka.</w:t>
      </w:r>
    </w:p>
    <w:p w14:paraId="00D5C732" w14:textId="77777777" w:rsidR="001432C3" w:rsidRPr="000F5294" w:rsidRDefault="001432C3" w:rsidP="005E6AA6">
      <w:pPr>
        <w:pStyle w:val="a3"/>
        <w:ind w:leftChars="64" w:left="141"/>
      </w:pPr>
    </w:p>
    <w:p w14:paraId="244777C5" w14:textId="77777777" w:rsidR="001432C3" w:rsidRPr="00947EB2" w:rsidRDefault="000E2AE0" w:rsidP="005E6AA6">
      <w:pPr>
        <w:pStyle w:val="a3"/>
        <w:ind w:leftChars="64" w:left="141" w:right="98"/>
        <w:rPr>
          <w:u w:val="single"/>
        </w:rPr>
      </w:pPr>
      <w:r w:rsidRPr="000F5294">
        <w:rPr>
          <w:u w:val="single"/>
        </w:rPr>
        <w:t>Immunogenność</w:t>
      </w:r>
    </w:p>
    <w:p w14:paraId="64CA99A8" w14:textId="77777777" w:rsidR="001432C3" w:rsidRPr="00D22CB7" w:rsidRDefault="001432C3" w:rsidP="005E6AA6">
      <w:pPr>
        <w:pStyle w:val="a3"/>
        <w:ind w:leftChars="64" w:left="141"/>
      </w:pPr>
    </w:p>
    <w:p w14:paraId="4B75A63F" w14:textId="77777777" w:rsidR="001432C3" w:rsidRPr="000F5294" w:rsidRDefault="00652951" w:rsidP="005E6AA6">
      <w:pPr>
        <w:pStyle w:val="a3"/>
        <w:ind w:leftChars="64" w:left="141" w:right="326"/>
      </w:pPr>
      <w:r w:rsidRPr="000F5294">
        <w:t>Ranibizumab</w:t>
      </w:r>
      <w:r w:rsidR="000E2AE0" w:rsidRPr="000F5294">
        <w:t xml:space="preserve"> </w:t>
      </w:r>
      <w:r w:rsidR="0085449F">
        <w:t xml:space="preserve">ma </w:t>
      </w:r>
      <w:r w:rsidR="000E2AE0" w:rsidRPr="000F5294">
        <w:t>właściwości potencjalnie immunogenne. Z uwagi na ryzyko zwiększenia układowej ekspozycji u pacjentów z DME, nie można wykluczyć zwiększonego ryzyka wystąpienia nadwrażliwości w tej populacji pacjentów. Ponadto należy pouczyć pacjentów, że powinni oni zgłaszać nasilenie stanu zapalnego wewnątrz oka, co może być objawem klinicznym związanym z powstawaniem przeciwciał wewnątrz oka.</w:t>
      </w:r>
    </w:p>
    <w:p w14:paraId="7B77A9BB" w14:textId="77777777" w:rsidR="0085449F" w:rsidRDefault="0085449F" w:rsidP="005E6AA6">
      <w:pPr>
        <w:pStyle w:val="a3"/>
        <w:ind w:leftChars="64" w:left="141" w:right="331"/>
        <w:rPr>
          <w:u w:val="single"/>
        </w:rPr>
      </w:pPr>
    </w:p>
    <w:p w14:paraId="38B76BE3" w14:textId="77777777" w:rsidR="001432C3" w:rsidRPr="000F5294" w:rsidRDefault="000E2AE0" w:rsidP="005E6AA6">
      <w:pPr>
        <w:pStyle w:val="a3"/>
        <w:ind w:leftChars="64" w:left="141" w:right="331"/>
      </w:pPr>
      <w:r w:rsidRPr="000F5294">
        <w:rPr>
          <w:u w:val="single"/>
        </w:rPr>
        <w:t>Jednoczesne stosowanie z innymi produktami leczniczymi anty-VEGF (czynnik wzrostu śródbłonka naczyń)</w:t>
      </w:r>
    </w:p>
    <w:p w14:paraId="6FB2AE2A" w14:textId="77777777" w:rsidR="0085449F" w:rsidRDefault="0085449F" w:rsidP="005E6AA6">
      <w:pPr>
        <w:pStyle w:val="a3"/>
        <w:ind w:leftChars="64" w:left="141" w:right="454"/>
      </w:pPr>
    </w:p>
    <w:p w14:paraId="34D08522" w14:textId="77777777" w:rsidR="001432C3" w:rsidRPr="000F5294" w:rsidRDefault="00DC5C63" w:rsidP="005E6AA6">
      <w:pPr>
        <w:pStyle w:val="a3"/>
        <w:ind w:leftChars="64" w:left="141" w:right="454"/>
      </w:pPr>
      <w:r w:rsidRPr="000F5294">
        <w:t xml:space="preserve">Ranibizumabu </w:t>
      </w:r>
      <w:r w:rsidR="000E2AE0" w:rsidRPr="000F5294">
        <w:t>nie należy podawać jednocześnie z innymi produktami leczniczymi (o działaniu układowym lub do oka) anty-VEGF.</w:t>
      </w:r>
    </w:p>
    <w:p w14:paraId="3E903734" w14:textId="77777777" w:rsidR="001432C3" w:rsidRPr="00D22CB7" w:rsidRDefault="001432C3" w:rsidP="005E6AA6">
      <w:pPr>
        <w:pStyle w:val="a3"/>
        <w:ind w:leftChars="64" w:left="141"/>
      </w:pPr>
    </w:p>
    <w:p w14:paraId="3DA2952A" w14:textId="77777777" w:rsidR="001432C3" w:rsidRPr="00947EB2" w:rsidRDefault="000E2AE0" w:rsidP="005E6AA6">
      <w:pPr>
        <w:pStyle w:val="a3"/>
        <w:ind w:leftChars="64" w:left="141" w:right="98"/>
        <w:rPr>
          <w:u w:val="single"/>
        </w:rPr>
      </w:pPr>
      <w:r w:rsidRPr="000F5294">
        <w:rPr>
          <w:u w:val="single"/>
        </w:rPr>
        <w:t xml:space="preserve">Wstrzymanie podawania </w:t>
      </w:r>
      <w:r w:rsidR="00DC5C63" w:rsidRPr="00947EB2">
        <w:rPr>
          <w:u w:val="single"/>
        </w:rPr>
        <w:t>ranibizumabu</w:t>
      </w:r>
      <w:r w:rsidRPr="000F5294">
        <w:rPr>
          <w:u w:val="single"/>
        </w:rPr>
        <w:t>u dorosłych</w:t>
      </w:r>
    </w:p>
    <w:p w14:paraId="21414CD8" w14:textId="77777777" w:rsidR="001432C3" w:rsidRPr="00D22CB7" w:rsidRDefault="001432C3" w:rsidP="005E6AA6">
      <w:pPr>
        <w:pStyle w:val="a3"/>
        <w:ind w:leftChars="64" w:left="141"/>
      </w:pPr>
    </w:p>
    <w:p w14:paraId="612DB31D" w14:textId="77777777" w:rsidR="001432C3" w:rsidRPr="000F5294" w:rsidRDefault="000E2AE0" w:rsidP="005E6AA6">
      <w:pPr>
        <w:pStyle w:val="a3"/>
        <w:ind w:leftChars="64" w:left="141" w:right="284"/>
      </w:pPr>
      <w:r w:rsidRPr="000F5294">
        <w:t>Dawkowanie leku należy wstrzymać i nie wznawiać leczenia przed kolejną wyznaczoną wizytą, jeśli wystąpi:</w:t>
      </w:r>
    </w:p>
    <w:p w14:paraId="313D45AA" w14:textId="77777777" w:rsidR="001432C3" w:rsidRPr="000F5294" w:rsidRDefault="000E2AE0" w:rsidP="005E6AA6">
      <w:pPr>
        <w:pStyle w:val="a4"/>
        <w:numPr>
          <w:ilvl w:val="0"/>
          <w:numId w:val="31"/>
        </w:numPr>
        <w:tabs>
          <w:tab w:val="left" w:pos="685"/>
          <w:tab w:val="left" w:pos="686"/>
        </w:tabs>
        <w:ind w:leftChars="64" w:left="708" w:right="179"/>
      </w:pPr>
      <w:r w:rsidRPr="000F5294">
        <w:t xml:space="preserve">pogorszenie ostrości wzroku w najlepszej korekcji (BCVA) o </w:t>
      </w:r>
      <w:r w:rsidRPr="000F5294">
        <w:rPr>
          <w:rFonts w:ascii="Symbol" w:hAnsi="Symbol"/>
        </w:rPr>
        <w:t></w:t>
      </w:r>
      <w:r w:rsidRPr="000F5294">
        <w:t>30 liter w porównaniu z ostatnią oceną ostrości</w:t>
      </w:r>
      <w:r w:rsidRPr="000F5294">
        <w:rPr>
          <w:spacing w:val="-4"/>
        </w:rPr>
        <w:t xml:space="preserve"> </w:t>
      </w:r>
      <w:r w:rsidRPr="000F5294">
        <w:t>wzroku;</w:t>
      </w:r>
    </w:p>
    <w:p w14:paraId="16A65457" w14:textId="77777777" w:rsidR="001432C3" w:rsidRPr="000F5294" w:rsidRDefault="000E2AE0" w:rsidP="005E6AA6">
      <w:pPr>
        <w:pStyle w:val="a4"/>
        <w:numPr>
          <w:ilvl w:val="0"/>
          <w:numId w:val="31"/>
        </w:numPr>
        <w:tabs>
          <w:tab w:val="left" w:pos="685"/>
          <w:tab w:val="left" w:pos="686"/>
        </w:tabs>
        <w:ind w:leftChars="64" w:left="708"/>
      </w:pPr>
      <w:r w:rsidRPr="000F5294">
        <w:t>ciśnienie śródgałkowe ≥30</w:t>
      </w:r>
      <w:r w:rsidRPr="000F5294">
        <w:rPr>
          <w:spacing w:val="-10"/>
        </w:rPr>
        <w:t xml:space="preserve"> </w:t>
      </w:r>
      <w:r w:rsidRPr="000F5294">
        <w:t>mmHg;</w:t>
      </w:r>
    </w:p>
    <w:p w14:paraId="05FE4F52" w14:textId="77777777" w:rsidR="001432C3" w:rsidRPr="000F5294" w:rsidRDefault="000E2AE0" w:rsidP="005E6AA6">
      <w:pPr>
        <w:pStyle w:val="a4"/>
        <w:numPr>
          <w:ilvl w:val="0"/>
          <w:numId w:val="31"/>
        </w:numPr>
        <w:tabs>
          <w:tab w:val="left" w:pos="685"/>
          <w:tab w:val="left" w:pos="686"/>
        </w:tabs>
        <w:ind w:leftChars="64" w:left="708"/>
      </w:pPr>
      <w:r w:rsidRPr="000F5294">
        <w:t>rozerwanie</w:t>
      </w:r>
      <w:r w:rsidRPr="000F5294">
        <w:rPr>
          <w:spacing w:val="-11"/>
        </w:rPr>
        <w:t xml:space="preserve"> </w:t>
      </w:r>
      <w:r w:rsidRPr="000F5294">
        <w:t>siatkówki;</w:t>
      </w:r>
    </w:p>
    <w:p w14:paraId="0835BBBC" w14:textId="77777777" w:rsidR="001432C3" w:rsidRPr="000F5294" w:rsidRDefault="000E2AE0" w:rsidP="005E6AA6">
      <w:pPr>
        <w:pStyle w:val="a4"/>
        <w:numPr>
          <w:ilvl w:val="0"/>
          <w:numId w:val="31"/>
        </w:numPr>
        <w:tabs>
          <w:tab w:val="left" w:pos="685"/>
          <w:tab w:val="left" w:pos="686"/>
        </w:tabs>
        <w:ind w:leftChars="64" w:left="708" w:right="765"/>
      </w:pPr>
      <w:r w:rsidRPr="000F5294">
        <w:t xml:space="preserve">wylew podsiatkówkowy obejmujący centrum dołka siatkówki, lub jeśli wielkość wylewu wynosi </w:t>
      </w:r>
      <w:r w:rsidRPr="000F5294">
        <w:rPr>
          <w:rFonts w:ascii="Symbol" w:hAnsi="Symbol"/>
        </w:rPr>
        <w:t></w:t>
      </w:r>
      <w:r w:rsidRPr="000F5294">
        <w:t>50% całkowitej powierzchni</w:t>
      </w:r>
      <w:r w:rsidRPr="000F5294">
        <w:rPr>
          <w:spacing w:val="-14"/>
        </w:rPr>
        <w:t xml:space="preserve"> </w:t>
      </w:r>
      <w:r w:rsidRPr="000F5294">
        <w:t>zmiany;</w:t>
      </w:r>
    </w:p>
    <w:p w14:paraId="106FBE97" w14:textId="77777777" w:rsidR="001432C3" w:rsidRPr="000F5294" w:rsidRDefault="000E2AE0" w:rsidP="005E6AA6">
      <w:pPr>
        <w:pStyle w:val="a4"/>
        <w:numPr>
          <w:ilvl w:val="0"/>
          <w:numId w:val="31"/>
        </w:numPr>
        <w:tabs>
          <w:tab w:val="left" w:pos="685"/>
          <w:tab w:val="left" w:pos="686"/>
        </w:tabs>
        <w:ind w:leftChars="64" w:left="708" w:right="338"/>
      </w:pPr>
      <w:r w:rsidRPr="000F5294">
        <w:t>przeprowadzenie lub planowanie operacji wewnątrzgałkowej w ciągu 28 dni poprzedzających zabieg operacyjny lub 28 dni po</w:t>
      </w:r>
      <w:r w:rsidRPr="000F5294">
        <w:rPr>
          <w:spacing w:val="-4"/>
        </w:rPr>
        <w:t xml:space="preserve"> </w:t>
      </w:r>
      <w:r w:rsidRPr="000F5294">
        <w:t>zabiegu.</w:t>
      </w:r>
    </w:p>
    <w:p w14:paraId="29EF6F8A" w14:textId="77777777" w:rsidR="001432C3" w:rsidRPr="000F5294" w:rsidRDefault="001432C3" w:rsidP="005E6AA6">
      <w:pPr>
        <w:pStyle w:val="a3"/>
        <w:ind w:leftChars="64" w:left="141"/>
      </w:pPr>
    </w:p>
    <w:p w14:paraId="6196BBF3" w14:textId="77777777" w:rsidR="001432C3" w:rsidRPr="00947EB2" w:rsidRDefault="000E2AE0" w:rsidP="005E6AA6">
      <w:pPr>
        <w:pStyle w:val="a3"/>
        <w:ind w:leftChars="64" w:left="141" w:right="98"/>
        <w:rPr>
          <w:u w:val="single"/>
        </w:rPr>
      </w:pPr>
      <w:r w:rsidRPr="000F5294">
        <w:rPr>
          <w:u w:val="single"/>
        </w:rPr>
        <w:t>Przedarcie nabłonka barwnikowego siatkówki</w:t>
      </w:r>
    </w:p>
    <w:p w14:paraId="6EB549AB" w14:textId="77777777" w:rsidR="001432C3" w:rsidRPr="00D22CB7" w:rsidRDefault="001432C3" w:rsidP="005E6AA6">
      <w:pPr>
        <w:pStyle w:val="a3"/>
        <w:ind w:leftChars="64" w:left="141"/>
      </w:pPr>
    </w:p>
    <w:p w14:paraId="3BD810A5" w14:textId="77777777" w:rsidR="001432C3" w:rsidRPr="000F5294" w:rsidRDefault="000E2AE0" w:rsidP="005E6AA6">
      <w:pPr>
        <w:pStyle w:val="a3"/>
        <w:ind w:leftChars="64" w:left="141" w:right="123"/>
      </w:pPr>
      <w:r w:rsidRPr="000F5294">
        <w:t>Czynniki ryzyka związane z rozwojem przedarcia nabłonka barwnikowego siatkówki po iniekcji preparatu anty-VEGF u pacjentów z wysiękową postacią AMD, a potencjalnie także z innymi postaciami CNV, obejmują duże i (lub) wysokie odwarstwienie nabłonka barwnikowego siatkówki. W momencie rozpoczęcia terapii ranibizumabem, powinno się zachować ostrożność u pacjentów z tymi czynnikami ryzyka odnośnie wystąpienia przedarcia nabłonka barwnikowego siatkówki.</w:t>
      </w:r>
    </w:p>
    <w:p w14:paraId="6B035697" w14:textId="77777777" w:rsidR="001432C3" w:rsidRPr="000F5294" w:rsidRDefault="001432C3" w:rsidP="005E6AA6">
      <w:pPr>
        <w:pStyle w:val="a3"/>
        <w:ind w:leftChars="64" w:left="141"/>
      </w:pPr>
    </w:p>
    <w:p w14:paraId="7A1DD816" w14:textId="77777777" w:rsidR="001432C3" w:rsidRPr="00947EB2" w:rsidRDefault="00056E72" w:rsidP="005E6AA6">
      <w:pPr>
        <w:pStyle w:val="a3"/>
        <w:ind w:leftChars="64" w:left="141" w:right="98"/>
        <w:rPr>
          <w:u w:val="single"/>
        </w:rPr>
      </w:pPr>
      <w:r>
        <w:rPr>
          <w:u w:val="single"/>
        </w:rPr>
        <w:t>Regmatogenne</w:t>
      </w:r>
      <w:r w:rsidRPr="000F5294">
        <w:rPr>
          <w:u w:val="single"/>
        </w:rPr>
        <w:t xml:space="preserve"> </w:t>
      </w:r>
      <w:r w:rsidR="000E2AE0" w:rsidRPr="000F5294">
        <w:rPr>
          <w:u w:val="single"/>
        </w:rPr>
        <w:t>odwarstwienie siatkówki lub otwory w plamce u dorosłych</w:t>
      </w:r>
    </w:p>
    <w:p w14:paraId="65F7C04C" w14:textId="77777777" w:rsidR="001432C3" w:rsidRPr="00D22CB7" w:rsidRDefault="001432C3" w:rsidP="005E6AA6">
      <w:pPr>
        <w:pStyle w:val="a3"/>
        <w:ind w:leftChars="64" w:left="141"/>
      </w:pPr>
    </w:p>
    <w:p w14:paraId="6C990AA2" w14:textId="77777777" w:rsidR="001432C3" w:rsidRPr="000F5294" w:rsidRDefault="000E2AE0" w:rsidP="005E6AA6">
      <w:pPr>
        <w:pStyle w:val="a3"/>
        <w:ind w:leftChars="64" w:left="141" w:right="320"/>
      </w:pPr>
      <w:r w:rsidRPr="000F5294">
        <w:t xml:space="preserve">Leczenie należy przerwać u pacjentów z </w:t>
      </w:r>
      <w:r w:rsidR="00056E72">
        <w:t>regmatogennym</w:t>
      </w:r>
      <w:r w:rsidR="00056E72" w:rsidRPr="000F5294">
        <w:t xml:space="preserve"> </w:t>
      </w:r>
      <w:r w:rsidRPr="000F5294">
        <w:t xml:space="preserve">odwarstwieniem siatkówki lub otworami </w:t>
      </w:r>
      <w:r w:rsidRPr="000F5294">
        <w:lastRenderedPageBreak/>
        <w:t>w plamce 3. lub 4. stopnia.</w:t>
      </w:r>
    </w:p>
    <w:p w14:paraId="4639DFB0" w14:textId="77777777" w:rsidR="001432C3" w:rsidRPr="000F5294" w:rsidRDefault="001432C3" w:rsidP="005E6AA6">
      <w:pPr>
        <w:pStyle w:val="a3"/>
        <w:ind w:leftChars="64" w:left="141"/>
      </w:pPr>
    </w:p>
    <w:p w14:paraId="35474013" w14:textId="77777777" w:rsidR="001432C3" w:rsidRPr="00947EB2" w:rsidRDefault="000E2AE0" w:rsidP="005E6AA6">
      <w:pPr>
        <w:pStyle w:val="a3"/>
        <w:ind w:leftChars="64" w:left="141" w:right="98"/>
        <w:rPr>
          <w:u w:val="single"/>
        </w:rPr>
      </w:pPr>
      <w:r w:rsidRPr="000F5294">
        <w:rPr>
          <w:u w:val="single"/>
        </w:rPr>
        <w:t>Populacje z ograniczonym</w:t>
      </w:r>
      <w:r w:rsidR="00056E72">
        <w:rPr>
          <w:u w:val="single"/>
        </w:rPr>
        <w:t>i</w:t>
      </w:r>
      <w:r w:rsidRPr="000F5294">
        <w:rPr>
          <w:u w:val="single"/>
        </w:rPr>
        <w:t xml:space="preserve"> </w:t>
      </w:r>
      <w:r w:rsidR="00056E72">
        <w:rPr>
          <w:u w:val="single"/>
        </w:rPr>
        <w:t>danymi</w:t>
      </w:r>
    </w:p>
    <w:p w14:paraId="0971EA47" w14:textId="77777777" w:rsidR="001432C3" w:rsidRPr="00D22CB7" w:rsidRDefault="001432C3" w:rsidP="005E6AA6">
      <w:pPr>
        <w:pStyle w:val="a3"/>
        <w:ind w:leftChars="64" w:left="141"/>
      </w:pPr>
    </w:p>
    <w:p w14:paraId="7235634E" w14:textId="77777777" w:rsidR="001432C3" w:rsidRPr="000F5294" w:rsidRDefault="000E2AE0" w:rsidP="005E6AA6">
      <w:pPr>
        <w:pStyle w:val="a3"/>
        <w:ind w:leftChars="64" w:left="141" w:right="216"/>
      </w:pPr>
      <w:r w:rsidRPr="000F5294">
        <w:t xml:space="preserve">Istnieje jedynie ograniczone doświadczenie w leczeniu pacjentów z DME spowodowanym cukrzycą typu I. Stosowanie produktu </w:t>
      </w:r>
      <w:r w:rsidR="00DC5C63" w:rsidRPr="000F5294">
        <w:t xml:space="preserve">ranibizumabu </w:t>
      </w:r>
      <w:r w:rsidRPr="000F5294">
        <w:t xml:space="preserve">nie było badane u pacjentów, u których wcześniej zastosowano wstrzyknięcia do ciała szklistego, u pacjentów z czynnymi zakażeniami ogólnoustrojowymi, ani u pacjentów ze współistniejącymi chorobami oczu, takimi jak odwarstwienie siatkówki lub otwór w plamce. Doświadczenie w leczeniu </w:t>
      </w:r>
      <w:r w:rsidR="00DC5C63" w:rsidRPr="000F5294">
        <w:t>ranibizumabem</w:t>
      </w:r>
      <w:r w:rsidRPr="000F5294">
        <w:t xml:space="preserve"> pacjentów z cukrzycą i HbA1c powyżej </w:t>
      </w:r>
      <w:r w:rsidR="0059037D" w:rsidRPr="000F5294">
        <w:t>108 </w:t>
      </w:r>
      <w:r w:rsidRPr="000F5294">
        <w:t xml:space="preserve">mmol/mol (12%) jest ograniczone i </w:t>
      </w:r>
      <w:r w:rsidR="00056E72">
        <w:t>nie ma</w:t>
      </w:r>
      <w:r w:rsidR="00056E72" w:rsidRPr="000F5294">
        <w:t xml:space="preserve"> doświadcze</w:t>
      </w:r>
      <w:r w:rsidR="00056E72">
        <w:t>nia</w:t>
      </w:r>
      <w:r w:rsidR="00056E72" w:rsidRPr="000F5294">
        <w:t xml:space="preserve"> </w:t>
      </w:r>
      <w:r w:rsidRPr="000F5294">
        <w:t xml:space="preserve">w leczeniu pacjentów z niekontrolowanym nadciśnieniem. Lekarz w czasie leczenia takich pacjentów, powinien wziąć pod uwagę ten brak </w:t>
      </w:r>
      <w:r w:rsidR="00556713" w:rsidRPr="000F5294">
        <w:t>doświadcze</w:t>
      </w:r>
      <w:r w:rsidR="00556713">
        <w:t>nia</w:t>
      </w:r>
      <w:r w:rsidRPr="000F5294">
        <w:t>.</w:t>
      </w:r>
    </w:p>
    <w:p w14:paraId="052FAC6A" w14:textId="77777777" w:rsidR="001432C3" w:rsidRPr="00D22CB7" w:rsidRDefault="001432C3" w:rsidP="005E6AA6">
      <w:pPr>
        <w:pStyle w:val="a3"/>
        <w:ind w:leftChars="64" w:left="141"/>
      </w:pPr>
    </w:p>
    <w:p w14:paraId="10F60267" w14:textId="77777777" w:rsidR="001432C3" w:rsidRDefault="00556713" w:rsidP="005E6AA6">
      <w:pPr>
        <w:pStyle w:val="a3"/>
        <w:ind w:leftChars="64" w:left="141" w:right="241"/>
      </w:pPr>
      <w:r>
        <w:t>Nie ma</w:t>
      </w:r>
      <w:r w:rsidR="000E2AE0" w:rsidRPr="000F5294">
        <w:t xml:space="preserve"> wystarczających danych, by jednoznacznie ocenić wpływ </w:t>
      </w:r>
      <w:r w:rsidR="00DC5C63" w:rsidRPr="000F5294">
        <w:t xml:space="preserve">ranibizumabu </w:t>
      </w:r>
      <w:r w:rsidR="000E2AE0" w:rsidRPr="000F5294">
        <w:t>na pacjentów z niedokrwienną postacią RVO i nieodwracalną utratą funkcji wzrokowych.</w:t>
      </w:r>
    </w:p>
    <w:p w14:paraId="48C6DD1E" w14:textId="77777777" w:rsidR="00556713" w:rsidRPr="000F5294" w:rsidRDefault="00556713" w:rsidP="005E6AA6">
      <w:pPr>
        <w:pStyle w:val="a3"/>
        <w:ind w:leftChars="64" w:left="141" w:right="241"/>
      </w:pPr>
    </w:p>
    <w:p w14:paraId="101DAE7B" w14:textId="77777777" w:rsidR="001432C3" w:rsidRPr="000F5294" w:rsidRDefault="000E2AE0" w:rsidP="005E6AA6">
      <w:pPr>
        <w:pStyle w:val="a3"/>
        <w:ind w:leftChars="64" w:left="141" w:right="413"/>
      </w:pPr>
      <w:r w:rsidRPr="000F5294">
        <w:t xml:space="preserve">W przypadku pacjentów z patologiczną krótkowzrocznością istnieją ograniczone dane dotyczące działania </w:t>
      </w:r>
      <w:r w:rsidR="00DC5C63" w:rsidRPr="000F5294">
        <w:t xml:space="preserve">ranibizumabu </w:t>
      </w:r>
      <w:r w:rsidRPr="000F5294">
        <w:t xml:space="preserve">u pacjentów, u których terapia fotodynamiczna z werteporfiną (vPDT, ang. </w:t>
      </w:r>
      <w:r w:rsidRPr="000F5294">
        <w:rPr>
          <w:i/>
        </w:rPr>
        <w:t>verteporfin photodynamic therapy</w:t>
      </w:r>
      <w:r w:rsidRPr="000F5294">
        <w:t xml:space="preserve">) okazała się nieskuteczna. Pomimo powtarzalnego działania leku obserwowanego u pacjentów ze zmianami poddołkowymi i okołodołkowymi, istnieje niewystarczająca ilość danych, by wysnuć wniosek o działaniu </w:t>
      </w:r>
      <w:r w:rsidR="00DC5C63" w:rsidRPr="000F5294">
        <w:t>ranibizumab</w:t>
      </w:r>
      <w:r w:rsidRPr="000F5294">
        <w:t>u pacjentów z patologiczną krótkowzrocznością i zmianami pozadołkowymi.</w:t>
      </w:r>
    </w:p>
    <w:p w14:paraId="5DBB4B58" w14:textId="77777777" w:rsidR="001432C3" w:rsidRPr="00D22CB7" w:rsidRDefault="001432C3" w:rsidP="005E6AA6">
      <w:pPr>
        <w:pStyle w:val="a3"/>
        <w:ind w:leftChars="64" w:left="141"/>
      </w:pPr>
    </w:p>
    <w:p w14:paraId="754664AE" w14:textId="77777777" w:rsidR="001432C3" w:rsidRPr="00947EB2" w:rsidRDefault="000E2AE0" w:rsidP="005E6AA6">
      <w:pPr>
        <w:pStyle w:val="a3"/>
        <w:ind w:leftChars="64" w:left="141" w:right="98"/>
        <w:rPr>
          <w:u w:val="single"/>
        </w:rPr>
      </w:pPr>
      <w:r w:rsidRPr="000F5294">
        <w:rPr>
          <w:u w:val="single"/>
        </w:rPr>
        <w:t>Ogólnoustrojowe działania niepożądane po podaniu do ciała szklistego</w:t>
      </w:r>
    </w:p>
    <w:p w14:paraId="28914EC3" w14:textId="77777777" w:rsidR="001432C3" w:rsidRPr="00D22CB7" w:rsidRDefault="001432C3" w:rsidP="005E6AA6">
      <w:pPr>
        <w:pStyle w:val="a3"/>
        <w:ind w:leftChars="64" w:left="141"/>
      </w:pPr>
    </w:p>
    <w:p w14:paraId="698769E0" w14:textId="77777777" w:rsidR="001432C3" w:rsidRPr="000F5294" w:rsidRDefault="000E2AE0" w:rsidP="005E6AA6">
      <w:pPr>
        <w:pStyle w:val="a3"/>
        <w:ind w:leftChars="64" w:left="141" w:right="413"/>
      </w:pPr>
      <w:r w:rsidRPr="000F5294">
        <w:t xml:space="preserve">Po </w:t>
      </w:r>
      <w:r w:rsidR="00646CF1">
        <w:t>wstrzyknięciu</w:t>
      </w:r>
      <w:r w:rsidRPr="000F5294">
        <w:t xml:space="preserve"> inhibitorów VEGF do ciała szklistego opisywano ogólnoustrojowe działania niepożądane, w tym krwotoki poza okiem oraz tętnicze zdarzenia zakrzepowo-zatorowe.</w:t>
      </w:r>
    </w:p>
    <w:p w14:paraId="0AF5AAD1" w14:textId="77777777" w:rsidR="001432C3" w:rsidRPr="00D22CB7" w:rsidRDefault="001432C3" w:rsidP="005E6AA6">
      <w:pPr>
        <w:pStyle w:val="a3"/>
        <w:ind w:leftChars="64" w:left="141"/>
      </w:pPr>
    </w:p>
    <w:p w14:paraId="0DA6D1BF" w14:textId="77777777" w:rsidR="001432C3" w:rsidRPr="000F5294" w:rsidRDefault="000E2AE0" w:rsidP="005E6AA6">
      <w:pPr>
        <w:pStyle w:val="a3"/>
        <w:ind w:leftChars="64" w:left="141" w:right="132"/>
      </w:pPr>
      <w:r w:rsidRPr="000F5294">
        <w:t xml:space="preserve">Istnieją ograniczone dane dotyczące bezpieczeństwa w leczeniu pacjentów z DME, obrzękiem plamki spowodowanym RVO i CNV wtórną do PM, u których w wywiadzie odnotowano udar lub przemijające napady niedokrwienne. Należy zachować ostrożność w leczeniu tych pacjentów (patrz </w:t>
      </w:r>
      <w:r w:rsidR="0020790E" w:rsidRPr="000F5294">
        <w:t>punkt </w:t>
      </w:r>
      <w:r w:rsidRPr="000F5294">
        <w:t>4.8).</w:t>
      </w:r>
    </w:p>
    <w:p w14:paraId="53C93A3E" w14:textId="77777777" w:rsidR="001432C3" w:rsidRPr="008B2522" w:rsidRDefault="001432C3" w:rsidP="005E6AA6">
      <w:pPr>
        <w:pStyle w:val="a3"/>
        <w:spacing w:before="2"/>
        <w:ind w:leftChars="64" w:left="141"/>
      </w:pPr>
    </w:p>
    <w:p w14:paraId="69CC3CA7" w14:textId="77777777" w:rsidR="001432C3" w:rsidRPr="004A2080" w:rsidRDefault="00505EF6" w:rsidP="00E0574D">
      <w:pPr>
        <w:pStyle w:val="1"/>
        <w:tabs>
          <w:tab w:val="left" w:pos="685"/>
          <w:tab w:val="left" w:pos="686"/>
        </w:tabs>
      </w:pPr>
      <w:r>
        <w:t>4.5</w:t>
      </w:r>
      <w:r>
        <w:tab/>
      </w:r>
      <w:r w:rsidR="000E2AE0" w:rsidRPr="004A2080">
        <w:t>Interakcje z innymi produktami leczniczymi i inne rodzaje interakcji</w:t>
      </w:r>
    </w:p>
    <w:p w14:paraId="5B3FD498" w14:textId="77777777" w:rsidR="001432C3" w:rsidRPr="00947EB2" w:rsidRDefault="001432C3" w:rsidP="005E6AA6">
      <w:pPr>
        <w:pStyle w:val="a3"/>
        <w:spacing w:before="11"/>
        <w:ind w:leftChars="64" w:left="141"/>
        <w:rPr>
          <w:sz w:val="21"/>
        </w:rPr>
      </w:pPr>
    </w:p>
    <w:p w14:paraId="3ACBA3B6" w14:textId="77777777" w:rsidR="001432C3" w:rsidRPr="008B2522" w:rsidRDefault="000E2AE0" w:rsidP="005E6AA6">
      <w:pPr>
        <w:pStyle w:val="a3"/>
        <w:ind w:leftChars="64" w:left="141"/>
      </w:pPr>
      <w:r w:rsidRPr="008B2522">
        <w:t>Nie przeprowadzono badań dotyczących interakcji.</w:t>
      </w:r>
    </w:p>
    <w:p w14:paraId="31544473" w14:textId="77777777" w:rsidR="001432C3" w:rsidRPr="008B2522" w:rsidRDefault="001432C3" w:rsidP="005E6AA6">
      <w:pPr>
        <w:pStyle w:val="a3"/>
        <w:spacing w:before="11"/>
        <w:ind w:leftChars="64" w:left="141"/>
        <w:rPr>
          <w:sz w:val="21"/>
        </w:rPr>
      </w:pPr>
    </w:p>
    <w:p w14:paraId="08D2C69F" w14:textId="77777777" w:rsidR="001432C3" w:rsidRPr="008B2522" w:rsidRDefault="000E2AE0" w:rsidP="005E6AA6">
      <w:pPr>
        <w:pStyle w:val="a3"/>
        <w:ind w:leftChars="64" w:left="141" w:right="521"/>
      </w:pPr>
      <w:r w:rsidRPr="008B2522">
        <w:t xml:space="preserve">W przypadku leczenia skojarzonego terapią fotodynamiczną (PDT) z werteporfiną i </w:t>
      </w:r>
      <w:r w:rsidR="00DC5C63">
        <w:t xml:space="preserve">ranibizumabem </w:t>
      </w:r>
      <w:r w:rsidRPr="008B2522">
        <w:t xml:space="preserve">u pacjentów z wysiękową postacią AMD i PM, patrz </w:t>
      </w:r>
      <w:r w:rsidR="0020790E">
        <w:t>punkt </w:t>
      </w:r>
      <w:r w:rsidRPr="008B2522">
        <w:t>5.1.</w:t>
      </w:r>
    </w:p>
    <w:p w14:paraId="191A893F" w14:textId="77777777" w:rsidR="001432C3" w:rsidRPr="008B2522" w:rsidRDefault="001432C3" w:rsidP="005E6AA6">
      <w:pPr>
        <w:pStyle w:val="a3"/>
        <w:ind w:leftChars="64" w:left="141"/>
      </w:pPr>
    </w:p>
    <w:p w14:paraId="2A0FF44E" w14:textId="77777777" w:rsidR="001432C3" w:rsidRPr="008B2522" w:rsidRDefault="000E2AE0" w:rsidP="005E6AA6">
      <w:pPr>
        <w:pStyle w:val="a3"/>
        <w:ind w:leftChars="64" w:left="141" w:right="259"/>
      </w:pPr>
      <w:r w:rsidRPr="008B2522">
        <w:t xml:space="preserve">Łączne stosowanie fotokoagulacji laserowej i </w:t>
      </w:r>
      <w:r w:rsidR="00DC5C63">
        <w:t>ranibizumabu</w:t>
      </w:r>
      <w:r w:rsidR="00072CEA">
        <w:t xml:space="preserve"> </w:t>
      </w:r>
      <w:r w:rsidRPr="008B2522">
        <w:t xml:space="preserve">w DME i BRVO, patrz </w:t>
      </w:r>
      <w:r w:rsidR="0059037D" w:rsidRPr="008B2522">
        <w:t>punkty</w:t>
      </w:r>
      <w:r w:rsidR="0059037D">
        <w:t> </w:t>
      </w:r>
      <w:r w:rsidRPr="008B2522">
        <w:t>4.2 i 5.1.</w:t>
      </w:r>
    </w:p>
    <w:p w14:paraId="411C1393" w14:textId="77777777" w:rsidR="001432C3" w:rsidRPr="008B2522" w:rsidRDefault="001432C3" w:rsidP="005E6AA6">
      <w:pPr>
        <w:pStyle w:val="a3"/>
        <w:ind w:leftChars="64" w:left="141"/>
      </w:pPr>
    </w:p>
    <w:p w14:paraId="6D27D3EE" w14:textId="77777777" w:rsidR="001432C3" w:rsidRPr="008B2522" w:rsidRDefault="000E2AE0" w:rsidP="005E6AA6">
      <w:pPr>
        <w:pStyle w:val="a3"/>
        <w:ind w:leftChars="64" w:left="141" w:right="241"/>
      </w:pPr>
      <w:r w:rsidRPr="008B2522">
        <w:t xml:space="preserve">W badaniach klinicznych oceniających leczenie zaburzeń widzenia spowodowanych DME, wynik leczenia w zakresie ostrości widzenia lub grubości centralnej części siatkówki (CSFT) u pacjentów leczonych </w:t>
      </w:r>
      <w:r w:rsidR="00DC5C63">
        <w:t xml:space="preserve">ranibizumabem </w:t>
      </w:r>
      <w:r w:rsidRPr="008B2522">
        <w:t>nie zmieniał się pod wpływem jednoczesnego podawania tiazolidinedionów.</w:t>
      </w:r>
    </w:p>
    <w:p w14:paraId="2BFA3006" w14:textId="77777777" w:rsidR="001432C3" w:rsidRPr="008B2522" w:rsidRDefault="001432C3" w:rsidP="005E6AA6">
      <w:pPr>
        <w:pStyle w:val="a3"/>
        <w:spacing w:before="92"/>
        <w:ind w:leftChars="64" w:left="141"/>
      </w:pPr>
    </w:p>
    <w:p w14:paraId="381112A6" w14:textId="77777777" w:rsidR="001432C3" w:rsidRPr="005E6AA6" w:rsidRDefault="00505EF6" w:rsidP="00E0574D">
      <w:pPr>
        <w:pStyle w:val="1"/>
        <w:tabs>
          <w:tab w:val="left" w:pos="685"/>
          <w:tab w:val="left" w:pos="686"/>
        </w:tabs>
      </w:pPr>
      <w:r>
        <w:t>4.6</w:t>
      </w:r>
      <w:r>
        <w:tab/>
      </w:r>
      <w:r w:rsidR="000E2AE0" w:rsidRPr="005E6AA6">
        <w:t>Wpływ na płodność, ciążę i laktację</w:t>
      </w:r>
    </w:p>
    <w:p w14:paraId="02053430" w14:textId="77777777" w:rsidR="001432C3" w:rsidRPr="00947EB2" w:rsidRDefault="001432C3" w:rsidP="005E6AA6">
      <w:pPr>
        <w:pStyle w:val="a3"/>
        <w:spacing w:before="11"/>
        <w:ind w:leftChars="64" w:left="141"/>
        <w:rPr>
          <w:sz w:val="21"/>
        </w:rPr>
      </w:pPr>
    </w:p>
    <w:p w14:paraId="1CAFCCAA" w14:textId="77777777" w:rsidR="001432C3" w:rsidRPr="000F5294" w:rsidRDefault="000E2AE0" w:rsidP="005E6AA6">
      <w:pPr>
        <w:pStyle w:val="a3"/>
        <w:ind w:leftChars="64" w:left="141"/>
      </w:pPr>
      <w:r w:rsidRPr="000F5294">
        <w:rPr>
          <w:u w:val="single"/>
        </w:rPr>
        <w:t>Kobiety w wieku rozrodczym/antykoncepcja u kobiet</w:t>
      </w:r>
    </w:p>
    <w:p w14:paraId="1F4B4438" w14:textId="77777777" w:rsidR="001432C3" w:rsidRPr="00D22CB7" w:rsidRDefault="001432C3" w:rsidP="005E6AA6">
      <w:pPr>
        <w:pStyle w:val="a3"/>
        <w:ind w:leftChars="64" w:left="141"/>
      </w:pPr>
    </w:p>
    <w:p w14:paraId="2584D423" w14:textId="77777777" w:rsidR="000F5294" w:rsidRDefault="000E2AE0" w:rsidP="005E6AA6">
      <w:pPr>
        <w:pStyle w:val="a3"/>
        <w:ind w:leftChars="64" w:left="141" w:right="241"/>
      </w:pPr>
      <w:r w:rsidRPr="000F5294">
        <w:t xml:space="preserve">Kobiety w wieku rozrodczym powinny stosować skuteczną metodę antykoncepcji w trakcie leczenia. </w:t>
      </w:r>
    </w:p>
    <w:p w14:paraId="73CB1A9A" w14:textId="77777777" w:rsidR="000F5294" w:rsidRPr="00947EB2" w:rsidRDefault="000F5294" w:rsidP="005E6AA6">
      <w:pPr>
        <w:pStyle w:val="a3"/>
        <w:spacing w:before="11"/>
        <w:ind w:leftChars="64" w:left="141"/>
        <w:rPr>
          <w:sz w:val="21"/>
        </w:rPr>
      </w:pPr>
    </w:p>
    <w:p w14:paraId="51C8889F" w14:textId="77777777" w:rsidR="001432C3" w:rsidRPr="00947EB2" w:rsidRDefault="000E2AE0" w:rsidP="005E6AA6">
      <w:pPr>
        <w:pStyle w:val="a3"/>
        <w:ind w:leftChars="64" w:left="141" w:right="98"/>
        <w:rPr>
          <w:u w:val="single"/>
        </w:rPr>
      </w:pPr>
      <w:r w:rsidRPr="000F5294">
        <w:rPr>
          <w:u w:val="single"/>
        </w:rPr>
        <w:t>Ciąża</w:t>
      </w:r>
    </w:p>
    <w:p w14:paraId="152E0D36" w14:textId="77777777" w:rsidR="001432C3" w:rsidRPr="000F5294" w:rsidRDefault="000E2AE0" w:rsidP="005E6AA6">
      <w:pPr>
        <w:pStyle w:val="a3"/>
        <w:ind w:leftChars="64" w:left="141" w:right="102"/>
      </w:pPr>
      <w:r w:rsidRPr="000F5294">
        <w:t xml:space="preserve">Brak jest danych klinicznych dotyczących stosowania ranibizumabu u kobiet w ciąży. Badania na małpach cynomolgus nie wykazały bezpośredniego ani pośredniego szkodliwego wpływu na ciążę lub rozwój zarodka/płodu (patrz </w:t>
      </w:r>
      <w:r w:rsidR="0020790E" w:rsidRPr="000F5294">
        <w:t>punkt </w:t>
      </w:r>
      <w:r w:rsidRPr="000F5294">
        <w:t xml:space="preserve">5.3). Ogólnoustrojowy wpływ ranibizumabu na organizm po podaniu do oka jest niewielki, jednak ze względu na mechanizm działania, ranibizumab należy </w:t>
      </w:r>
      <w:r w:rsidRPr="000F5294">
        <w:lastRenderedPageBreak/>
        <w:t xml:space="preserve">uważać za lek potencjalnie teratogenny oraz o szkodliwym działaniu na zarodek i płód. Dlatego ranibizumabu nie </w:t>
      </w:r>
      <w:r w:rsidR="00690787" w:rsidRPr="000F5294">
        <w:t xml:space="preserve">należy </w:t>
      </w:r>
      <w:r w:rsidRPr="000F5294">
        <w:t xml:space="preserve">stosować w okresie ciąży, chyba że spodziewane korzyści przewyższają potencjalne ryzyko dla płodu. Kobiety leczone ranibizumabem, chcące zajść w ciążę powinny odczekać co najmniej </w:t>
      </w:r>
      <w:r w:rsidR="0059037D" w:rsidRPr="000F5294">
        <w:t>3 </w:t>
      </w:r>
      <w:r w:rsidRPr="000F5294">
        <w:t>miesiące od ostatniej dawki</w:t>
      </w:r>
      <w:r w:rsidRPr="000F5294">
        <w:rPr>
          <w:spacing w:val="-13"/>
        </w:rPr>
        <w:t xml:space="preserve"> </w:t>
      </w:r>
      <w:r w:rsidRPr="000F5294">
        <w:t>ranibizumabu.</w:t>
      </w:r>
    </w:p>
    <w:p w14:paraId="22BD951B" w14:textId="77777777" w:rsidR="001432C3" w:rsidRPr="000F5294" w:rsidRDefault="001432C3" w:rsidP="005E6AA6">
      <w:pPr>
        <w:pStyle w:val="a3"/>
        <w:ind w:leftChars="64" w:left="141"/>
      </w:pPr>
    </w:p>
    <w:p w14:paraId="5E0DE108" w14:textId="77777777" w:rsidR="001432C3" w:rsidRPr="00947EB2" w:rsidRDefault="000E2AE0" w:rsidP="005E6AA6">
      <w:pPr>
        <w:pStyle w:val="a3"/>
        <w:ind w:leftChars="64" w:left="141" w:right="98"/>
        <w:rPr>
          <w:u w:val="single"/>
        </w:rPr>
      </w:pPr>
      <w:r w:rsidRPr="000F5294">
        <w:rPr>
          <w:u w:val="single"/>
        </w:rPr>
        <w:t>Karmienie piersią</w:t>
      </w:r>
    </w:p>
    <w:p w14:paraId="557EE0E6" w14:textId="77777777" w:rsidR="001432C3" w:rsidRPr="005E6AA6" w:rsidRDefault="001432C3" w:rsidP="005E6AA6">
      <w:pPr>
        <w:pStyle w:val="a3"/>
        <w:spacing w:before="11"/>
        <w:ind w:leftChars="64" w:left="141"/>
        <w:rPr>
          <w:sz w:val="21"/>
        </w:rPr>
      </w:pPr>
    </w:p>
    <w:p w14:paraId="7F86AE18" w14:textId="00B9C9D2" w:rsidR="001432C3" w:rsidRDefault="00F84771" w:rsidP="005E6AA6">
      <w:pPr>
        <w:pStyle w:val="a3"/>
        <w:ind w:leftChars="64" w:left="141" w:right="199"/>
      </w:pPr>
      <w:r w:rsidRPr="00F84771">
        <w:t>Na podstawie bardzo ograniczonych danych, ranibizumab w małych stężeniach może przenikać do mleka ludzkiego. Wpływ ranibizumabu na organizm noworodka/dziecka karmionego piersią jest nieznany. Jako środek ostrożności</w:t>
      </w:r>
      <w:r>
        <w:t xml:space="preserve"> n</w:t>
      </w:r>
      <w:r w:rsidR="000E2AE0" w:rsidRPr="000F5294">
        <w:t xml:space="preserve">ie zaleca się karmienia piersią podczas stosowania </w:t>
      </w:r>
      <w:r w:rsidR="00690787" w:rsidRPr="000F5294">
        <w:t>ranibizumabu</w:t>
      </w:r>
      <w:r w:rsidR="000E2AE0" w:rsidRPr="000F5294">
        <w:t>.</w:t>
      </w:r>
    </w:p>
    <w:p w14:paraId="6CD1C70D" w14:textId="77777777" w:rsidR="000F5294" w:rsidRPr="000F5294" w:rsidRDefault="000F5294" w:rsidP="005E6AA6">
      <w:pPr>
        <w:pStyle w:val="a3"/>
        <w:ind w:leftChars="64" w:left="141" w:right="199"/>
      </w:pPr>
    </w:p>
    <w:p w14:paraId="46CE3323" w14:textId="77777777" w:rsidR="001432C3" w:rsidRPr="00947EB2" w:rsidRDefault="000E2AE0" w:rsidP="005E6AA6">
      <w:pPr>
        <w:pStyle w:val="a3"/>
        <w:ind w:leftChars="64" w:left="141" w:right="98"/>
        <w:rPr>
          <w:u w:val="single"/>
        </w:rPr>
      </w:pPr>
      <w:r w:rsidRPr="000F5294">
        <w:rPr>
          <w:u w:val="single"/>
        </w:rPr>
        <w:t>Płodność</w:t>
      </w:r>
    </w:p>
    <w:p w14:paraId="6F8C9177" w14:textId="77777777" w:rsidR="001432C3" w:rsidRPr="005E6AA6" w:rsidRDefault="001432C3" w:rsidP="005E6AA6">
      <w:pPr>
        <w:pStyle w:val="a3"/>
        <w:spacing w:before="11"/>
        <w:ind w:leftChars="64" w:left="141"/>
      </w:pPr>
    </w:p>
    <w:p w14:paraId="7EB57491" w14:textId="77777777" w:rsidR="001432C3" w:rsidRPr="005E6AA6" w:rsidRDefault="000E2AE0" w:rsidP="005E6AA6">
      <w:pPr>
        <w:pStyle w:val="a3"/>
        <w:spacing w:before="11"/>
        <w:ind w:leftChars="64" w:left="141"/>
      </w:pPr>
      <w:r w:rsidRPr="005E6AA6">
        <w:t>Brak danych dotyczących płodności.</w:t>
      </w:r>
    </w:p>
    <w:p w14:paraId="1245E613" w14:textId="77777777" w:rsidR="001432C3" w:rsidRPr="005E6AA6" w:rsidRDefault="001432C3" w:rsidP="005E6AA6">
      <w:pPr>
        <w:pStyle w:val="a3"/>
        <w:spacing w:before="5"/>
        <w:ind w:leftChars="64" w:left="141"/>
      </w:pPr>
    </w:p>
    <w:p w14:paraId="1E982312" w14:textId="77777777" w:rsidR="001432C3" w:rsidRPr="005E6AA6" w:rsidRDefault="00505EF6" w:rsidP="00E0574D">
      <w:pPr>
        <w:pStyle w:val="1"/>
        <w:tabs>
          <w:tab w:val="left" w:pos="685"/>
          <w:tab w:val="left" w:pos="686"/>
        </w:tabs>
      </w:pPr>
      <w:r>
        <w:t>4.7</w:t>
      </w:r>
      <w:r>
        <w:tab/>
      </w:r>
      <w:r w:rsidR="000E2AE0" w:rsidRPr="005E6AA6">
        <w:t>Wpływ na zdolność prowadzenia pojazdów i obsługiwania maszyn</w:t>
      </w:r>
    </w:p>
    <w:p w14:paraId="4D863DE8" w14:textId="77777777" w:rsidR="001432C3" w:rsidRPr="005E6AA6" w:rsidRDefault="001432C3" w:rsidP="005E6AA6">
      <w:pPr>
        <w:pStyle w:val="a3"/>
        <w:spacing w:before="11"/>
        <w:ind w:leftChars="64" w:left="141"/>
      </w:pPr>
    </w:p>
    <w:p w14:paraId="3201DB5A" w14:textId="77777777" w:rsidR="001432C3" w:rsidRPr="008B2522" w:rsidRDefault="000E2AE0" w:rsidP="005E6AA6">
      <w:pPr>
        <w:pStyle w:val="a3"/>
        <w:spacing w:before="11"/>
        <w:ind w:leftChars="64" w:left="141"/>
      </w:pPr>
      <w:r w:rsidRPr="008B2522">
        <w:t xml:space="preserve">Zabieg może wywołać przejściowe zaburzenia widzenia, które mogą wpływać na zdolność prowadzenia pojazdów i obsługiwanie maszyn (patrz </w:t>
      </w:r>
      <w:r w:rsidR="0020790E">
        <w:t>punkt </w:t>
      </w:r>
      <w:r w:rsidRPr="008B2522">
        <w:t>4.8). Pacjenci, u których wystąpią te objawy nie mogą prowadzić pojazdów ani obsługiwać urządzeń mechanicznych do czasu ustąpienia tych czasowych zaburzeń widzenia.</w:t>
      </w:r>
    </w:p>
    <w:p w14:paraId="0C48DF05" w14:textId="77777777" w:rsidR="001432C3" w:rsidRPr="008B2522" w:rsidRDefault="001432C3">
      <w:pPr>
        <w:pStyle w:val="a3"/>
        <w:spacing w:before="2"/>
      </w:pPr>
    </w:p>
    <w:p w14:paraId="62A075B1" w14:textId="77777777" w:rsidR="001432C3" w:rsidRPr="00947EB2" w:rsidRDefault="00505EF6" w:rsidP="00E0574D">
      <w:pPr>
        <w:pStyle w:val="1"/>
        <w:tabs>
          <w:tab w:val="left" w:pos="685"/>
          <w:tab w:val="left" w:pos="686"/>
        </w:tabs>
      </w:pPr>
      <w:r>
        <w:t>4.8</w:t>
      </w:r>
      <w:r>
        <w:tab/>
      </w:r>
      <w:r w:rsidR="000E2AE0" w:rsidRPr="00947EB2">
        <w:t>Działania niepożądane</w:t>
      </w:r>
    </w:p>
    <w:p w14:paraId="40CFEDF4" w14:textId="77777777" w:rsidR="001432C3" w:rsidRPr="005E6AA6" w:rsidRDefault="001432C3" w:rsidP="005E6AA6">
      <w:pPr>
        <w:pStyle w:val="a3"/>
        <w:spacing w:before="11"/>
        <w:ind w:leftChars="64" w:left="141"/>
      </w:pPr>
    </w:p>
    <w:p w14:paraId="03E87DA4" w14:textId="77777777" w:rsidR="001432C3" w:rsidRPr="00947EB2" w:rsidRDefault="000E2AE0" w:rsidP="005E6AA6">
      <w:pPr>
        <w:pStyle w:val="a3"/>
        <w:ind w:leftChars="64" w:left="141" w:right="98"/>
        <w:rPr>
          <w:u w:val="single"/>
        </w:rPr>
      </w:pPr>
      <w:r w:rsidRPr="008B2522">
        <w:rPr>
          <w:u w:val="single"/>
        </w:rPr>
        <w:t>Podsumowanie profilu bezpieczeństwa stosowania</w:t>
      </w:r>
    </w:p>
    <w:p w14:paraId="0928A172" w14:textId="77777777" w:rsidR="001432C3" w:rsidRPr="00D22CB7" w:rsidRDefault="001432C3" w:rsidP="005E6AA6">
      <w:pPr>
        <w:pStyle w:val="a3"/>
        <w:spacing w:before="11"/>
        <w:ind w:leftChars="64" w:left="141"/>
      </w:pPr>
    </w:p>
    <w:p w14:paraId="76C653F9" w14:textId="77777777" w:rsidR="001432C3" w:rsidRPr="008B2522" w:rsidRDefault="000E2AE0" w:rsidP="005E6AA6">
      <w:pPr>
        <w:pStyle w:val="a3"/>
        <w:spacing w:before="11"/>
        <w:ind w:leftChars="64" w:left="141"/>
      </w:pPr>
      <w:r w:rsidRPr="008B2522">
        <w:t xml:space="preserve">Większość zdarzeń niepożądanych zgłaszanych po podaniu </w:t>
      </w:r>
      <w:r w:rsidR="00690787">
        <w:t xml:space="preserve">ranibizumabu </w:t>
      </w:r>
      <w:r w:rsidRPr="008B2522">
        <w:t>związanych jest z procedurą wstrzyknięcia do ciała szklistego.</w:t>
      </w:r>
    </w:p>
    <w:p w14:paraId="31907530" w14:textId="77777777" w:rsidR="001432C3" w:rsidRPr="008B2522" w:rsidRDefault="001432C3" w:rsidP="005E6AA6">
      <w:pPr>
        <w:pStyle w:val="a3"/>
        <w:spacing w:before="11"/>
        <w:ind w:leftChars="64" w:left="141"/>
      </w:pPr>
    </w:p>
    <w:p w14:paraId="0DEC847D" w14:textId="77777777" w:rsidR="001432C3" w:rsidRPr="008B2522" w:rsidRDefault="000E2AE0" w:rsidP="005E6AA6">
      <w:pPr>
        <w:pStyle w:val="a3"/>
        <w:spacing w:before="11"/>
        <w:ind w:leftChars="64" w:left="141"/>
      </w:pPr>
      <w:r w:rsidRPr="008B2522">
        <w:t xml:space="preserve">Najczęściej zgłaszanymi zdarzeniami niepożądanymi dotyczącymi oczu występującymi po wstrzyknięciu </w:t>
      </w:r>
      <w:r w:rsidR="00690787">
        <w:t xml:space="preserve">ranibizumabu </w:t>
      </w:r>
      <w:r w:rsidRPr="008B2522">
        <w:t>są: ból oka, przekrwienie oka, zwiększone ciśnienie śródgałkowe, zapalenie ciała szklistego, odłączenie ciała szklistego, krwotok w obrębie siatkówki, zaburzenia widzenia, męty w ciele szklistym, krwotok spojówkowy, podrażnienie oka, uczucie obecności ciała obcego w oku, nasilone łzawienie, zapalenie powiek, suchość oka i świąd oka.</w:t>
      </w:r>
    </w:p>
    <w:p w14:paraId="45A35EEA" w14:textId="77777777" w:rsidR="001432C3" w:rsidRPr="008B2522" w:rsidRDefault="001432C3" w:rsidP="005E6AA6">
      <w:pPr>
        <w:pStyle w:val="a3"/>
        <w:spacing w:before="11"/>
        <w:ind w:leftChars="64" w:left="141"/>
      </w:pPr>
    </w:p>
    <w:p w14:paraId="277D16FE" w14:textId="77777777" w:rsidR="001432C3" w:rsidRPr="008B2522" w:rsidRDefault="000E2AE0" w:rsidP="005E6AA6">
      <w:pPr>
        <w:pStyle w:val="a3"/>
        <w:spacing w:before="11"/>
        <w:ind w:leftChars="64" w:left="141"/>
      </w:pPr>
      <w:r w:rsidRPr="008B2522">
        <w:t>Najczęściej zgłaszanymi zdarzeniami niepożądanymi niedotyczącymi oczu są ból głowy, zapalenie nosogardła i ból stawów.</w:t>
      </w:r>
    </w:p>
    <w:p w14:paraId="04E7DBE7" w14:textId="77777777" w:rsidR="001432C3" w:rsidRPr="008B2522" w:rsidRDefault="001432C3" w:rsidP="005E6AA6">
      <w:pPr>
        <w:pStyle w:val="a3"/>
        <w:spacing w:before="11"/>
        <w:ind w:leftChars="64" w:left="141"/>
      </w:pPr>
    </w:p>
    <w:p w14:paraId="4DEBE749" w14:textId="77777777" w:rsidR="001432C3" w:rsidRPr="008B2522" w:rsidRDefault="000E2AE0" w:rsidP="005E6AA6">
      <w:pPr>
        <w:pStyle w:val="a3"/>
        <w:spacing w:before="11"/>
        <w:ind w:leftChars="64" w:left="141"/>
      </w:pPr>
      <w:r w:rsidRPr="008B2522">
        <w:t xml:space="preserve">Rzadziej zgłaszane, ale cięższe zdarzenia niepożądane obejmują zapalenie wnętrza gałki, ślepotę, odwarstwienie siatkówki, przedarcie siatkówki i jatrogenną zaćmę pourazową (patrz </w:t>
      </w:r>
      <w:r w:rsidR="0020790E">
        <w:t>punkt </w:t>
      </w:r>
      <w:r w:rsidRPr="008B2522">
        <w:t>4.4).</w:t>
      </w:r>
    </w:p>
    <w:p w14:paraId="6E14C876" w14:textId="77777777" w:rsidR="001432C3" w:rsidRPr="008B2522" w:rsidRDefault="001432C3" w:rsidP="005E6AA6">
      <w:pPr>
        <w:pStyle w:val="a3"/>
        <w:spacing w:before="11"/>
        <w:ind w:leftChars="64" w:left="141"/>
      </w:pPr>
    </w:p>
    <w:p w14:paraId="2E5B5B1E" w14:textId="77777777" w:rsidR="001432C3" w:rsidRPr="008B2522" w:rsidRDefault="000E2AE0" w:rsidP="005E6AA6">
      <w:pPr>
        <w:pStyle w:val="a3"/>
        <w:spacing w:before="11"/>
        <w:ind w:leftChars="64" w:left="141"/>
      </w:pPr>
      <w:r w:rsidRPr="008B2522">
        <w:t xml:space="preserve">Zdarzenia niepożądane odnotowane w następstwie podania </w:t>
      </w:r>
      <w:r w:rsidR="00690787">
        <w:t xml:space="preserve">ranibizumabu </w:t>
      </w:r>
      <w:r w:rsidRPr="008B2522">
        <w:t>w trakcie badań klinicznych zostały streszczone w tabeli poniżej.</w:t>
      </w:r>
    </w:p>
    <w:p w14:paraId="01C3584E" w14:textId="77777777" w:rsidR="001432C3" w:rsidRPr="005E6AA6" w:rsidRDefault="001432C3" w:rsidP="005E6AA6">
      <w:pPr>
        <w:pStyle w:val="a3"/>
        <w:spacing w:before="11"/>
        <w:ind w:leftChars="64" w:left="141"/>
      </w:pPr>
    </w:p>
    <w:p w14:paraId="3E1F69F9" w14:textId="77777777" w:rsidR="001432C3" w:rsidRPr="008B2522" w:rsidRDefault="00AF62E2" w:rsidP="005E6AA6">
      <w:pPr>
        <w:pStyle w:val="a3"/>
        <w:ind w:leftChars="64" w:left="141"/>
        <w:rPr>
          <w:sz w:val="14"/>
        </w:rPr>
      </w:pPr>
      <w:r>
        <w:rPr>
          <w:noProof/>
          <w:lang w:val="es-ES" w:eastAsia="ko-KR"/>
        </w:rPr>
        <mc:AlternateContent>
          <mc:Choice Requires="wps">
            <w:drawing>
              <wp:anchor distT="0" distB="0" distL="114300" distR="114300" simplePos="0" relativeHeight="503174720" behindDoc="1" locked="0" layoutInCell="1" allowOverlap="1" wp14:anchorId="65288039" wp14:editId="5DCBF3C1">
                <wp:simplePos x="0" y="0"/>
                <wp:positionH relativeFrom="page">
                  <wp:posOffset>901065</wp:posOffset>
                </wp:positionH>
                <wp:positionV relativeFrom="paragraph">
                  <wp:posOffset>152400</wp:posOffset>
                </wp:positionV>
                <wp:extent cx="2376170" cy="0"/>
                <wp:effectExtent l="5715" t="10795" r="8890" b="8255"/>
                <wp:wrapNone/>
                <wp:docPr id="1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E8832E" id="Line 131" o:spid="_x0000_s1026" style="position:absolute;z-index:-14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2pt" to="25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XWFQIAACsEAAAOAAAAZHJzL2Uyb0RvYy54bWysU8uu2jAQ3VfqP1jeQxJIcy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" strokeweight=".48pt">
                <w10:wrap anchorx="page"/>
              </v:line>
            </w:pict>
          </mc:Fallback>
        </mc:AlternateContent>
      </w:r>
      <w:r w:rsidR="000E2AE0" w:rsidRPr="008B2522">
        <w:t>Tabelaryczna lista działań niepożądanych</w:t>
      </w:r>
      <w:r w:rsidR="000E2AE0" w:rsidRPr="008B2522">
        <w:rPr>
          <w:position w:val="8"/>
          <w:sz w:val="14"/>
        </w:rPr>
        <w:t>#</w:t>
      </w:r>
    </w:p>
    <w:p w14:paraId="563153CB" w14:textId="77777777" w:rsidR="001432C3" w:rsidRPr="008B2522" w:rsidRDefault="001432C3">
      <w:pPr>
        <w:pStyle w:val="a3"/>
        <w:rPr>
          <w:sz w:val="14"/>
        </w:rPr>
      </w:pPr>
    </w:p>
    <w:p w14:paraId="3D687786" w14:textId="77777777" w:rsidR="001432C3" w:rsidRPr="008B2522" w:rsidRDefault="000E2AE0" w:rsidP="005E6AA6">
      <w:pPr>
        <w:pStyle w:val="a3"/>
        <w:spacing w:before="92"/>
        <w:ind w:left="142" w:right="104"/>
      </w:pPr>
      <w:r w:rsidRPr="008B2522">
        <w:t>Działania niepożądane wymieniono według klasyfikacji układów i narządów oraz częstości występowania stosując następującą konwencję: bardzo często (</w:t>
      </w:r>
      <w:r w:rsidRPr="008B2522">
        <w:rPr>
          <w:rFonts w:ascii="Symbol" w:hAnsi="Symbol"/>
        </w:rPr>
        <w:t></w:t>
      </w:r>
      <w:r w:rsidRPr="008B2522">
        <w:t>1/10), często (</w:t>
      </w:r>
      <w:r w:rsidRPr="008B2522">
        <w:rPr>
          <w:rFonts w:ascii="Symbol" w:hAnsi="Symbol"/>
        </w:rPr>
        <w:t></w:t>
      </w:r>
      <w:r w:rsidRPr="008B2522">
        <w:t>1/100 do &lt;1/10), niezbyt często (</w:t>
      </w:r>
      <w:r w:rsidRPr="008B2522">
        <w:rPr>
          <w:rFonts w:ascii="Symbol" w:hAnsi="Symbol"/>
        </w:rPr>
        <w:t></w:t>
      </w:r>
      <w:r w:rsidRPr="008B2522">
        <w:t>1/1 000 do &lt;1/100), rzadko (</w:t>
      </w:r>
      <w:r w:rsidRPr="008B2522">
        <w:rPr>
          <w:rFonts w:ascii="Symbol" w:hAnsi="Symbol"/>
        </w:rPr>
        <w:t></w:t>
      </w:r>
      <w:r w:rsidRPr="008B2522">
        <w:t>1/10 000 do &lt;1/1 000), bardzo rzadko (&lt;1/10 000), częstość nieznana (częstość nie może być określona na podstawie dostępnych danych). W obrębie każdej grupy o określonej częstości występowania działania niepożądane są wymienione zgodnie ze zmniejszającym się nasileniem.</w:t>
      </w:r>
    </w:p>
    <w:p w14:paraId="6BBE3548" w14:textId="77777777" w:rsidR="005E6AA6" w:rsidRPr="004A2080" w:rsidRDefault="005E6AA6" w:rsidP="005E6AA6">
      <w:pPr>
        <w:pStyle w:val="a3"/>
        <w:spacing w:before="11"/>
        <w:rPr>
          <w:sz w:val="21"/>
        </w:rPr>
      </w:pPr>
    </w:p>
    <w:p w14:paraId="7B0EF0AE" w14:textId="77777777" w:rsidR="005E6AA6" w:rsidRPr="004A2080" w:rsidRDefault="005E6AA6" w:rsidP="005E6AA6">
      <w:pPr>
        <w:pStyle w:val="a3"/>
        <w:ind w:left="191"/>
        <w:jc w:val="both"/>
      </w:pPr>
      <w:r w:rsidRPr="008B2522">
        <w:t>Zakażenia i zarażenia pasożytnicze</w:t>
      </w:r>
    </w:p>
    <w:p w14:paraId="07344836" w14:textId="77777777" w:rsidR="005E6AA6" w:rsidRPr="004A2080" w:rsidRDefault="005E6AA6" w:rsidP="005E6AA6">
      <w:pPr>
        <w:tabs>
          <w:tab w:val="left" w:pos="3453"/>
        </w:tabs>
        <w:spacing w:before="1"/>
        <w:ind w:left="191"/>
        <w:jc w:val="both"/>
      </w:pPr>
      <w:r w:rsidRPr="008B2522">
        <w:rPr>
          <w:i/>
        </w:rPr>
        <w:t>Bardzo często</w:t>
      </w:r>
      <w:r w:rsidRPr="004A2080">
        <w:rPr>
          <w:i/>
        </w:rPr>
        <w:tab/>
      </w:r>
      <w:r w:rsidRPr="008B2522">
        <w:t>Zapalenie nosogardła</w:t>
      </w:r>
    </w:p>
    <w:p w14:paraId="7BC302F9" w14:textId="77777777" w:rsidR="005E6AA6" w:rsidRPr="004A2080" w:rsidRDefault="005E6AA6" w:rsidP="005E6AA6">
      <w:pPr>
        <w:tabs>
          <w:tab w:val="left" w:pos="3453"/>
        </w:tabs>
        <w:ind w:left="191"/>
        <w:jc w:val="both"/>
      </w:pPr>
      <w:r w:rsidRPr="008B2522">
        <w:rPr>
          <w:i/>
        </w:rPr>
        <w:t>Często</w:t>
      </w:r>
      <w:r w:rsidRPr="004A2080">
        <w:rPr>
          <w:i/>
        </w:rPr>
        <w:tab/>
      </w:r>
      <w:r w:rsidRPr="008B2522">
        <w:t>Zakażenia układu moczowego</w:t>
      </w:r>
      <w:r w:rsidRPr="004A2080">
        <w:t xml:space="preserve"> *</w:t>
      </w:r>
    </w:p>
    <w:p w14:paraId="035615FA" w14:textId="77777777" w:rsidR="005E6AA6" w:rsidRPr="004A2080" w:rsidRDefault="005E6AA6" w:rsidP="005E6AA6">
      <w:pPr>
        <w:pStyle w:val="a3"/>
        <w:spacing w:before="9"/>
        <w:rPr>
          <w:sz w:val="21"/>
        </w:rPr>
      </w:pPr>
    </w:p>
    <w:p w14:paraId="1895D3B1" w14:textId="77777777" w:rsidR="005E6AA6" w:rsidRPr="004A2080" w:rsidRDefault="005E6AA6" w:rsidP="005E6AA6">
      <w:pPr>
        <w:pStyle w:val="a3"/>
        <w:ind w:left="191"/>
        <w:jc w:val="both"/>
      </w:pPr>
      <w:r w:rsidRPr="008B2522">
        <w:t>Zaburzenia krwi i układu chłonnego</w:t>
      </w:r>
    </w:p>
    <w:p w14:paraId="46E6E5CC" w14:textId="77777777" w:rsidR="005E6AA6" w:rsidRPr="004A2080" w:rsidRDefault="005E6AA6" w:rsidP="005E6AA6">
      <w:pPr>
        <w:tabs>
          <w:tab w:val="left" w:pos="3453"/>
        </w:tabs>
        <w:spacing w:before="1"/>
        <w:ind w:left="191"/>
        <w:jc w:val="both"/>
      </w:pPr>
      <w:r w:rsidRPr="008B2522">
        <w:rPr>
          <w:i/>
        </w:rPr>
        <w:lastRenderedPageBreak/>
        <w:t>Często</w:t>
      </w:r>
      <w:r w:rsidRPr="004A2080">
        <w:rPr>
          <w:i/>
        </w:rPr>
        <w:tab/>
      </w:r>
      <w:r w:rsidRPr="008B2522">
        <w:t>Niedokrwistość</w:t>
      </w:r>
    </w:p>
    <w:p w14:paraId="230A9B4D" w14:textId="77777777" w:rsidR="005E6AA6" w:rsidRPr="004A2080" w:rsidRDefault="005E6AA6" w:rsidP="005E6AA6">
      <w:pPr>
        <w:pStyle w:val="a3"/>
        <w:spacing w:before="10"/>
        <w:rPr>
          <w:sz w:val="21"/>
        </w:rPr>
      </w:pPr>
    </w:p>
    <w:p w14:paraId="68F4AACB" w14:textId="77777777" w:rsidR="005E6AA6" w:rsidRPr="004A2080" w:rsidRDefault="005E6AA6" w:rsidP="005E6AA6">
      <w:pPr>
        <w:pStyle w:val="a3"/>
        <w:ind w:left="191"/>
        <w:jc w:val="both"/>
      </w:pPr>
      <w:r w:rsidRPr="008B2522">
        <w:t>Zaburzenia układu immunologicznego</w:t>
      </w:r>
    </w:p>
    <w:p w14:paraId="0D491513" w14:textId="77777777" w:rsidR="005E6AA6" w:rsidRPr="004A2080" w:rsidRDefault="005E6AA6" w:rsidP="005E6AA6">
      <w:pPr>
        <w:tabs>
          <w:tab w:val="left" w:pos="3453"/>
        </w:tabs>
        <w:ind w:left="191"/>
        <w:jc w:val="both"/>
      </w:pPr>
      <w:r w:rsidRPr="008B2522">
        <w:rPr>
          <w:i/>
        </w:rPr>
        <w:t>Często</w:t>
      </w:r>
      <w:r w:rsidRPr="004A2080">
        <w:rPr>
          <w:i/>
        </w:rPr>
        <w:tab/>
      </w:r>
      <w:r w:rsidRPr="008B2522">
        <w:t>Nadwrażliwość</w:t>
      </w:r>
    </w:p>
    <w:p w14:paraId="47BA3FE3" w14:textId="77777777" w:rsidR="005E6AA6" w:rsidRPr="004A2080" w:rsidRDefault="005E6AA6" w:rsidP="005E6AA6">
      <w:pPr>
        <w:pStyle w:val="a3"/>
        <w:spacing w:before="10"/>
        <w:rPr>
          <w:sz w:val="21"/>
        </w:rPr>
      </w:pPr>
    </w:p>
    <w:p w14:paraId="4F31B3F7" w14:textId="77777777" w:rsidR="005E6AA6" w:rsidRPr="004A2080" w:rsidRDefault="005E6AA6" w:rsidP="005E6AA6">
      <w:pPr>
        <w:pStyle w:val="a3"/>
        <w:spacing w:before="66"/>
        <w:ind w:left="191"/>
      </w:pPr>
      <w:r w:rsidRPr="008B2522">
        <w:t>Zaburzenia psychiczne</w:t>
      </w:r>
    </w:p>
    <w:p w14:paraId="40D1F607" w14:textId="77777777" w:rsidR="005E6AA6" w:rsidRPr="004A2080" w:rsidRDefault="005E6AA6" w:rsidP="005E6AA6">
      <w:pPr>
        <w:tabs>
          <w:tab w:val="left" w:pos="3453"/>
        </w:tabs>
        <w:ind w:left="191"/>
      </w:pPr>
      <w:r w:rsidRPr="008B2522">
        <w:rPr>
          <w:i/>
        </w:rPr>
        <w:t>Często</w:t>
      </w:r>
      <w:r w:rsidRPr="004A2080">
        <w:rPr>
          <w:i/>
        </w:rPr>
        <w:tab/>
      </w:r>
      <w:r w:rsidRPr="008B2522">
        <w:t>Lęk</w:t>
      </w:r>
    </w:p>
    <w:p w14:paraId="51D84894" w14:textId="77777777" w:rsidR="005E6AA6" w:rsidRPr="004A2080" w:rsidRDefault="005E6AA6" w:rsidP="005E6AA6">
      <w:pPr>
        <w:pStyle w:val="a3"/>
        <w:spacing w:before="10"/>
        <w:rPr>
          <w:sz w:val="21"/>
        </w:rPr>
      </w:pPr>
    </w:p>
    <w:p w14:paraId="71652E07" w14:textId="77777777" w:rsidR="005E6AA6" w:rsidRPr="004A2080" w:rsidRDefault="005E6AA6" w:rsidP="005E6AA6">
      <w:pPr>
        <w:pStyle w:val="a3"/>
        <w:ind w:left="191"/>
      </w:pPr>
      <w:r w:rsidRPr="008B2522">
        <w:t>Zaburzenia układu nerwowego</w:t>
      </w:r>
    </w:p>
    <w:p w14:paraId="51A3C1B2" w14:textId="77777777" w:rsidR="005E6AA6" w:rsidRPr="004A2080" w:rsidRDefault="005E6AA6" w:rsidP="005E6AA6">
      <w:pPr>
        <w:tabs>
          <w:tab w:val="left" w:pos="3453"/>
        </w:tabs>
        <w:ind w:left="191"/>
      </w:pPr>
      <w:r w:rsidRPr="008B2522">
        <w:rPr>
          <w:i/>
        </w:rPr>
        <w:t>Bardzo często</w:t>
      </w:r>
      <w:r w:rsidRPr="004A2080">
        <w:rPr>
          <w:i/>
        </w:rPr>
        <w:tab/>
      </w:r>
      <w:r w:rsidRPr="008B2522">
        <w:t>Ból głowy</w:t>
      </w:r>
    </w:p>
    <w:p w14:paraId="124AACF2" w14:textId="77777777" w:rsidR="005E6AA6" w:rsidRPr="004A2080" w:rsidRDefault="005E6AA6" w:rsidP="005E6AA6">
      <w:pPr>
        <w:pStyle w:val="a3"/>
        <w:spacing w:before="10"/>
        <w:rPr>
          <w:sz w:val="21"/>
        </w:rPr>
      </w:pPr>
    </w:p>
    <w:p w14:paraId="55D98D3D" w14:textId="77777777" w:rsidR="005E6AA6" w:rsidRPr="004A2080" w:rsidRDefault="005E6AA6" w:rsidP="005E6AA6">
      <w:pPr>
        <w:pStyle w:val="a3"/>
        <w:ind w:left="191"/>
      </w:pPr>
      <w:r w:rsidRPr="008B2522">
        <w:t>Zaburzenia oka</w:t>
      </w:r>
    </w:p>
    <w:p w14:paraId="160C4863" w14:textId="77777777" w:rsidR="005E6AA6" w:rsidRPr="004A2080" w:rsidRDefault="005E6AA6" w:rsidP="005E6AA6">
      <w:pPr>
        <w:pStyle w:val="a3"/>
        <w:tabs>
          <w:tab w:val="left" w:pos="3453"/>
        </w:tabs>
        <w:ind w:left="3453" w:right="328" w:hanging="3262"/>
      </w:pPr>
      <w:r w:rsidRPr="008B2522">
        <w:rPr>
          <w:i/>
        </w:rPr>
        <w:t>Bardzo często</w:t>
      </w:r>
      <w:r w:rsidRPr="004A2080">
        <w:rPr>
          <w:i/>
        </w:rPr>
        <w:tab/>
      </w:r>
      <w:r w:rsidRPr="008B2522">
        <w:t>Zapalenie ciała szklistego, odłączenie ciała szklistego, krwotok w obrębie siatkówki, zaburzenia widzenia, ból oka, męty w ciele szklistym, krwotok spojówkowy, podrażnienie oka, uczucie obecności ciała obcego w oku, nasilone łzawienie, zapalenie powiek, suchość oka, przekrwienie oka, świąd oka.</w:t>
      </w:r>
    </w:p>
    <w:p w14:paraId="7041AEAA" w14:textId="77777777" w:rsidR="005E6AA6" w:rsidRPr="004A2080" w:rsidRDefault="005E6AA6" w:rsidP="005E6AA6">
      <w:pPr>
        <w:pStyle w:val="a3"/>
        <w:tabs>
          <w:tab w:val="left" w:pos="3453"/>
        </w:tabs>
        <w:ind w:left="3453" w:right="258" w:hanging="3262"/>
      </w:pPr>
      <w:r w:rsidRPr="008B2522">
        <w:rPr>
          <w:i/>
        </w:rPr>
        <w:t>Często</w:t>
      </w:r>
      <w:r w:rsidRPr="004A2080">
        <w:rPr>
          <w:i/>
        </w:rPr>
        <w:tab/>
      </w:r>
      <w:r w:rsidRPr="008B2522">
        <w:t>Zwyrodnienie siatkówki, zaburzenia siatkówki, odwarstwienie siatkówki, przedarcie siatkówki, odwarstwienie nabłonka barwnikowego siatkówki, przedarcie nabłonka barwnikowego siatkówki, spadek ostrości wzroku, krwotok do ciała szklistego, zaburzenia ciała szklistego, zapalenie błony naczyniowej oka, zapalenie tęczówki, zapalenie tęczówki i ciała rzęskowego, zaćma, zaćma podtorebkowa, zmętnienie torebki tylnej soczewki, punktowate zapalenie rogówki, otarcie nabłonka rogówki, odczyn zapalny w komorze przedniej, zamazane widzenie, krwotok w miejscu wstrzyknięcia, krwotok w obrębie oka, zapalenie spojówek, alergiczne zapalenie spojówek, wydzielina z oka, fotopsja, światłowstręt, uczucie dyskomfortu w oku, obrzęk powieki, ból powieki, przekrwienie spojówek.</w:t>
      </w:r>
    </w:p>
    <w:p w14:paraId="22D6B283" w14:textId="77777777" w:rsidR="005E6AA6" w:rsidRPr="004A2080" w:rsidRDefault="005E6AA6" w:rsidP="005E6AA6">
      <w:pPr>
        <w:pStyle w:val="a3"/>
        <w:tabs>
          <w:tab w:val="left" w:pos="3453"/>
        </w:tabs>
        <w:spacing w:before="1"/>
        <w:ind w:left="3453" w:right="463" w:hanging="3262"/>
      </w:pPr>
      <w:r w:rsidRPr="008B2522">
        <w:rPr>
          <w:i/>
        </w:rPr>
        <w:t>Niezbyt często</w:t>
      </w:r>
      <w:r w:rsidRPr="004A2080">
        <w:rPr>
          <w:i/>
        </w:rPr>
        <w:tab/>
      </w:r>
      <w:r w:rsidRPr="008B2522">
        <w:t>Ślepota, zapalenie wnętrza gałki ocznej, wysięk ropny w</w:t>
      </w:r>
      <w:r w:rsidRPr="008B2522">
        <w:rPr>
          <w:spacing w:val="-18"/>
        </w:rPr>
        <w:t xml:space="preserve"> </w:t>
      </w:r>
      <w:r w:rsidRPr="008B2522">
        <w:t>komorze przedniej oka, wylew krwi do przedniej komory oka, keratopatia, zrosty tęczówki, złogi w rogówce, obrzęk rogówki, fałdy rogówki, ból w miejscu wstrzyknięcia, podrażnienie w miejscu wstrzyknięcia, nieprawidłowe odczucia wewnątrz oka, podrażnienie</w:t>
      </w:r>
      <w:r w:rsidRPr="008B2522">
        <w:rPr>
          <w:spacing w:val="-3"/>
        </w:rPr>
        <w:t xml:space="preserve"> </w:t>
      </w:r>
      <w:r w:rsidRPr="008B2522">
        <w:t>powieki</w:t>
      </w:r>
      <w:r w:rsidRPr="004A2080">
        <w:t>.</w:t>
      </w:r>
    </w:p>
    <w:p w14:paraId="218AFDB8" w14:textId="77777777" w:rsidR="005E6AA6" w:rsidRPr="004A2080" w:rsidRDefault="005E6AA6" w:rsidP="005E6AA6">
      <w:pPr>
        <w:pStyle w:val="a3"/>
      </w:pPr>
    </w:p>
    <w:p w14:paraId="6C34432C" w14:textId="77777777" w:rsidR="005E6AA6" w:rsidRPr="004A2080" w:rsidRDefault="005E6AA6" w:rsidP="005E6AA6">
      <w:pPr>
        <w:pStyle w:val="a3"/>
        <w:ind w:left="191"/>
      </w:pPr>
      <w:r w:rsidRPr="008B2522">
        <w:t>Zaburzenia układu oddechowego, klatki piersiowej i śródpiersia</w:t>
      </w:r>
    </w:p>
    <w:p w14:paraId="2C01EC31" w14:textId="77777777" w:rsidR="005E6AA6" w:rsidRPr="004A2080" w:rsidRDefault="005E6AA6" w:rsidP="005E6AA6">
      <w:pPr>
        <w:tabs>
          <w:tab w:val="left" w:pos="3453"/>
        </w:tabs>
        <w:ind w:left="191"/>
      </w:pPr>
      <w:r w:rsidRPr="008B2522">
        <w:rPr>
          <w:i/>
        </w:rPr>
        <w:t>Często</w:t>
      </w:r>
      <w:r w:rsidRPr="004A2080">
        <w:rPr>
          <w:i/>
        </w:rPr>
        <w:tab/>
      </w:r>
      <w:r w:rsidRPr="008B2522">
        <w:t>Kaszel</w:t>
      </w:r>
    </w:p>
    <w:p w14:paraId="60CEDB5B" w14:textId="77777777" w:rsidR="005E6AA6" w:rsidRPr="004A2080" w:rsidRDefault="005E6AA6" w:rsidP="005E6AA6">
      <w:pPr>
        <w:pStyle w:val="a3"/>
        <w:spacing w:before="10"/>
        <w:rPr>
          <w:sz w:val="21"/>
        </w:rPr>
      </w:pPr>
    </w:p>
    <w:p w14:paraId="7AC21DCD" w14:textId="77777777" w:rsidR="005E6AA6" w:rsidRPr="004A2080" w:rsidRDefault="005E6AA6" w:rsidP="005E6AA6">
      <w:pPr>
        <w:pStyle w:val="a3"/>
        <w:ind w:left="191"/>
      </w:pPr>
      <w:r w:rsidRPr="008B2522">
        <w:t>Zaburzenia żołądka i jelit</w:t>
      </w:r>
    </w:p>
    <w:p w14:paraId="03FE4952" w14:textId="77777777" w:rsidR="005E6AA6" w:rsidRPr="004A2080" w:rsidRDefault="005E6AA6" w:rsidP="005E6AA6">
      <w:pPr>
        <w:tabs>
          <w:tab w:val="left" w:pos="3453"/>
        </w:tabs>
        <w:spacing w:before="1"/>
        <w:ind w:left="191"/>
      </w:pPr>
      <w:r w:rsidRPr="008B2522">
        <w:rPr>
          <w:i/>
        </w:rPr>
        <w:t>Często</w:t>
      </w:r>
      <w:r w:rsidRPr="004A2080">
        <w:rPr>
          <w:i/>
        </w:rPr>
        <w:tab/>
      </w:r>
      <w:r w:rsidRPr="008B2522">
        <w:t>Nudności</w:t>
      </w:r>
    </w:p>
    <w:p w14:paraId="4D4F8E67" w14:textId="77777777" w:rsidR="005E6AA6" w:rsidRPr="004A2080" w:rsidRDefault="005E6AA6" w:rsidP="005E6AA6">
      <w:pPr>
        <w:pStyle w:val="a3"/>
        <w:spacing w:before="10"/>
        <w:rPr>
          <w:sz w:val="21"/>
        </w:rPr>
      </w:pPr>
    </w:p>
    <w:p w14:paraId="0016E76E" w14:textId="77777777" w:rsidR="005E6AA6" w:rsidRPr="004A2080" w:rsidRDefault="005E6AA6" w:rsidP="005E6AA6">
      <w:pPr>
        <w:pStyle w:val="a3"/>
        <w:spacing w:before="1"/>
        <w:ind w:left="191"/>
      </w:pPr>
      <w:r w:rsidRPr="008B2522">
        <w:t>Zaburzenia skóry i tkanki podskórnej</w:t>
      </w:r>
    </w:p>
    <w:p w14:paraId="09B90A8E" w14:textId="77777777" w:rsidR="005E6AA6" w:rsidRPr="004A2080" w:rsidRDefault="005E6AA6" w:rsidP="005E6AA6">
      <w:pPr>
        <w:pStyle w:val="a3"/>
        <w:tabs>
          <w:tab w:val="left" w:pos="3453"/>
        </w:tabs>
        <w:ind w:left="191"/>
      </w:pPr>
      <w:r w:rsidRPr="008B2522">
        <w:rPr>
          <w:i/>
        </w:rPr>
        <w:t>Często</w:t>
      </w:r>
      <w:r w:rsidRPr="004A2080">
        <w:rPr>
          <w:i/>
        </w:rPr>
        <w:tab/>
      </w:r>
      <w:r w:rsidRPr="008B2522">
        <w:t>Reakcje alergiczne (wysypka, pokrzywka, świąd, rumień)</w:t>
      </w:r>
    </w:p>
    <w:p w14:paraId="1AD6A7C8" w14:textId="77777777" w:rsidR="005E6AA6" w:rsidRPr="004A2080" w:rsidRDefault="005E6AA6" w:rsidP="005E6AA6">
      <w:pPr>
        <w:pStyle w:val="a3"/>
        <w:spacing w:before="10"/>
        <w:rPr>
          <w:sz w:val="21"/>
        </w:rPr>
      </w:pPr>
    </w:p>
    <w:p w14:paraId="37EF5BA6" w14:textId="77777777" w:rsidR="005E6AA6" w:rsidRPr="004A2080" w:rsidRDefault="005E6AA6" w:rsidP="005E6AA6">
      <w:pPr>
        <w:pStyle w:val="a3"/>
        <w:ind w:left="191"/>
      </w:pPr>
      <w:r w:rsidRPr="008B2522">
        <w:t>Zaburzenia mięśniowo-szkieletowe i tkanki łącznej</w:t>
      </w:r>
    </w:p>
    <w:p w14:paraId="749BB536" w14:textId="77777777" w:rsidR="005E6AA6" w:rsidRPr="004A2080" w:rsidRDefault="005E6AA6" w:rsidP="005E6AA6">
      <w:pPr>
        <w:tabs>
          <w:tab w:val="left" w:pos="3453"/>
        </w:tabs>
        <w:spacing w:before="1"/>
        <w:ind w:left="191"/>
      </w:pPr>
      <w:r w:rsidRPr="008B2522">
        <w:rPr>
          <w:i/>
        </w:rPr>
        <w:t>Bardzo często</w:t>
      </w:r>
      <w:r w:rsidRPr="004A2080">
        <w:rPr>
          <w:i/>
        </w:rPr>
        <w:tab/>
      </w:r>
      <w:r w:rsidRPr="008B2522">
        <w:t>Ból stawów</w:t>
      </w:r>
    </w:p>
    <w:p w14:paraId="1483C484" w14:textId="77777777" w:rsidR="005E6AA6" w:rsidRPr="004A2080" w:rsidRDefault="005E6AA6" w:rsidP="005E6AA6">
      <w:pPr>
        <w:pStyle w:val="a3"/>
        <w:spacing w:before="9"/>
        <w:rPr>
          <w:sz w:val="21"/>
        </w:rPr>
      </w:pPr>
    </w:p>
    <w:p w14:paraId="1E16C503" w14:textId="77777777" w:rsidR="005E6AA6" w:rsidRPr="004A2080" w:rsidRDefault="005E6AA6" w:rsidP="005E6AA6">
      <w:pPr>
        <w:pStyle w:val="a3"/>
        <w:ind w:left="191"/>
      </w:pPr>
      <w:r w:rsidRPr="008B2522">
        <w:t>Badania diagnostyczne</w:t>
      </w:r>
    </w:p>
    <w:p w14:paraId="6A90BB62" w14:textId="77777777" w:rsidR="005E6AA6" w:rsidRPr="004A2080" w:rsidRDefault="005E6AA6" w:rsidP="005E6AA6">
      <w:pPr>
        <w:tabs>
          <w:tab w:val="left" w:pos="3453"/>
        </w:tabs>
        <w:spacing w:before="1" w:line="245" w:lineRule="exact"/>
        <w:ind w:left="191"/>
      </w:pPr>
      <w:r w:rsidRPr="008B2522">
        <w:rPr>
          <w:i/>
        </w:rPr>
        <w:t>Bardzo często</w:t>
      </w:r>
      <w:r w:rsidRPr="004A2080">
        <w:rPr>
          <w:i/>
        </w:rPr>
        <w:tab/>
      </w:r>
      <w:r w:rsidRPr="008B2522">
        <w:t>Zwiększone ciśnienie śródgałkowe</w:t>
      </w:r>
    </w:p>
    <w:p w14:paraId="4D71A0C0" w14:textId="7F00B086" w:rsidR="005E6AA6" w:rsidRPr="008B2522" w:rsidRDefault="005E6AA6" w:rsidP="005E6AA6">
      <w:pPr>
        <w:pStyle w:val="TableParagraph"/>
        <w:spacing w:line="248" w:lineRule="exact"/>
        <w:ind w:left="200"/>
      </w:pPr>
      <w:r w:rsidRPr="008B2522">
        <w:rPr>
          <w:position w:val="8"/>
          <w:sz w:val="14"/>
        </w:rPr>
        <w:t xml:space="preserve"># </w:t>
      </w:r>
      <w:r w:rsidRPr="008B2522">
        <w:t>Zdarzenia niepożądane zostały zdefiniowane jako działania niepożądane (u co najmniej 0,5</w:t>
      </w:r>
      <w:r>
        <w:t> </w:t>
      </w:r>
      <w:r w:rsidRPr="008B2522">
        <w:t>punktów</w:t>
      </w:r>
    </w:p>
    <w:p w14:paraId="1B30D326" w14:textId="77777777" w:rsidR="005E6AA6" w:rsidRPr="008B2522" w:rsidRDefault="005E6AA6" w:rsidP="005E6AA6">
      <w:pPr>
        <w:pStyle w:val="TableParagraph"/>
        <w:ind w:left="200" w:right="222"/>
      </w:pPr>
      <w:r w:rsidRPr="008B2522">
        <w:t>procentowych pacjentów), które wystąpiły z wyższą częstością (o co najmniej 2</w:t>
      </w:r>
      <w:r>
        <w:t> </w:t>
      </w:r>
      <w:r w:rsidRPr="008B2522">
        <w:t xml:space="preserve">punkty procentowe) u pacjentów leczonych </w:t>
      </w:r>
      <w:r>
        <w:t>ranibizumabem</w:t>
      </w:r>
      <w:r w:rsidRPr="008B2522">
        <w:t xml:space="preserve"> w dawce 0,5</w:t>
      </w:r>
      <w:r>
        <w:t> mg</w:t>
      </w:r>
      <w:r w:rsidRPr="008B2522">
        <w:t xml:space="preserve"> niż u pacjentów z grupy kontrolnej (wstrzyknięcie pozorowane lub terapia PDT z werteporfiną).</w:t>
      </w:r>
    </w:p>
    <w:p w14:paraId="3B2113C6" w14:textId="77777777" w:rsidR="005E6AA6" w:rsidRDefault="005E6AA6" w:rsidP="005E6AA6">
      <w:pPr>
        <w:pStyle w:val="a3"/>
        <w:spacing w:before="9"/>
        <w:ind w:left="142"/>
      </w:pPr>
      <w:r w:rsidRPr="008B2522">
        <w:t>*obserwowane tylko w populacji DME</w:t>
      </w:r>
    </w:p>
    <w:p w14:paraId="7F006AE4" w14:textId="77777777" w:rsidR="00105C10" w:rsidRPr="005E6AA6" w:rsidRDefault="00105C10" w:rsidP="005E6AA6">
      <w:pPr>
        <w:pStyle w:val="a3"/>
        <w:ind w:right="98"/>
      </w:pPr>
    </w:p>
    <w:p w14:paraId="4E11B679" w14:textId="77777777" w:rsidR="001432C3" w:rsidRPr="005E6AA6" w:rsidRDefault="000E2AE0" w:rsidP="00E0574D">
      <w:pPr>
        <w:pStyle w:val="a3"/>
        <w:ind w:leftChars="64" w:left="141" w:right="98"/>
        <w:rPr>
          <w:u w:val="single"/>
        </w:rPr>
      </w:pPr>
      <w:r w:rsidRPr="005E6AA6">
        <w:rPr>
          <w:u w:val="single"/>
        </w:rPr>
        <w:t>Działania niepożądane związane z klasą produktu</w:t>
      </w:r>
    </w:p>
    <w:p w14:paraId="18920D5C" w14:textId="77777777" w:rsidR="001432C3" w:rsidRPr="005E6AA6" w:rsidRDefault="001432C3" w:rsidP="00E0574D">
      <w:pPr>
        <w:pStyle w:val="a3"/>
        <w:ind w:leftChars="64" w:left="141" w:right="98"/>
      </w:pPr>
    </w:p>
    <w:p w14:paraId="36174E40" w14:textId="77777777" w:rsidR="001432C3" w:rsidRPr="008B2522" w:rsidRDefault="000E2AE0" w:rsidP="00E0574D">
      <w:pPr>
        <w:pStyle w:val="a3"/>
        <w:ind w:leftChars="64" w:left="141" w:right="173"/>
      </w:pPr>
      <w:r w:rsidRPr="008B2522">
        <w:t>W badaniach III fazy dotyczących wysiękowej postaci AMD, całkowita częstość występowania krwotoków poza okiem, zdarzenia niepożądanego prawdopodobnie związanego z układowym hamowaniem VEGF (czynnika wzrostu śródbłonka naczyniowego), była nieznacznie zwiększona u pacjentów leczonych ranibizumabem. Jednakże, nie stwierdzono stałej zależności pomiędzy poszczególnymi krwotokami. Istnieje teoretyczne ryzyko występowania tętniczych zdarzeń zatorowo- zakrzepowych, w tym udaru i zawału mięśnia sercowego, po zastosowaniu inhibitorów VEGF w postaci wstrzyknięć do</w:t>
      </w:r>
      <w:r w:rsidR="00646CF1">
        <w:t xml:space="preserve"> ciała </w:t>
      </w:r>
      <w:r w:rsidRPr="008B2522">
        <w:t>szklist</w:t>
      </w:r>
      <w:r w:rsidR="00646CF1">
        <w:t>ego</w:t>
      </w:r>
      <w:r w:rsidRPr="008B2522">
        <w:t xml:space="preserve">. W badaniach klinicznych z udziałem pacjentów z AMD, DME, PDR, RVO i CNV z zastosowaniem </w:t>
      </w:r>
      <w:r w:rsidR="00D45FB0">
        <w:t xml:space="preserve">ranibizumabu </w:t>
      </w:r>
      <w:r w:rsidRPr="008B2522">
        <w:t>obserwowano małą częstość występowania zdarzeń zatorowo-zakrzepowych i nie wykazano znaczących różnic między grupami poddanymi leczeniu ranibizumabem a grupami kontrolnymi.</w:t>
      </w:r>
    </w:p>
    <w:p w14:paraId="3721C032" w14:textId="77777777" w:rsidR="001432C3" w:rsidRPr="008B2522" w:rsidRDefault="001432C3" w:rsidP="00E0574D">
      <w:pPr>
        <w:pStyle w:val="a3"/>
        <w:ind w:leftChars="64" w:left="141"/>
      </w:pPr>
    </w:p>
    <w:p w14:paraId="24D71AED" w14:textId="77777777" w:rsidR="001432C3" w:rsidRPr="00947EB2" w:rsidRDefault="000E2AE0" w:rsidP="00E0574D">
      <w:pPr>
        <w:pStyle w:val="a3"/>
        <w:ind w:leftChars="64" w:left="141" w:right="98"/>
        <w:rPr>
          <w:u w:val="single"/>
        </w:rPr>
      </w:pPr>
      <w:r w:rsidRPr="008B2522">
        <w:rPr>
          <w:u w:val="single"/>
        </w:rPr>
        <w:t>Zgłaszanie podejrzewanych działań niepożądanych</w:t>
      </w:r>
    </w:p>
    <w:p w14:paraId="6B30CAFD" w14:textId="77777777" w:rsidR="001432C3" w:rsidRPr="005E6AA6" w:rsidRDefault="001432C3" w:rsidP="00E0574D">
      <w:pPr>
        <w:pStyle w:val="a3"/>
        <w:ind w:leftChars="64" w:left="141"/>
      </w:pPr>
    </w:p>
    <w:p w14:paraId="49E84465" w14:textId="77777777" w:rsidR="001432C3" w:rsidRPr="008B2522" w:rsidRDefault="000E2AE0" w:rsidP="00E0574D">
      <w:pPr>
        <w:pStyle w:val="a3"/>
        <w:ind w:leftChars="64" w:left="141" w:right="313"/>
      </w:pPr>
      <w:r w:rsidRPr="008B2522">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8B2522">
        <w:rPr>
          <w:shd w:val="clear" w:color="auto" w:fill="D9D9D9"/>
        </w:rPr>
        <w:t xml:space="preserve">krajowego systemu zgłaszania wymienionego w </w:t>
      </w:r>
      <w:hyperlink r:id="rId10">
        <w:r w:rsidRPr="008B2522">
          <w:rPr>
            <w:color w:val="0000FF"/>
            <w:u w:val="single" w:color="0000FF"/>
            <w:shd w:val="clear" w:color="auto" w:fill="D9D9D9"/>
          </w:rPr>
          <w:t>załączniku V</w:t>
        </w:r>
      </w:hyperlink>
      <w:r w:rsidRPr="008B2522">
        <w:rPr>
          <w:shd w:val="clear" w:color="auto" w:fill="D9D9D9"/>
        </w:rPr>
        <w:t>.</w:t>
      </w:r>
    </w:p>
    <w:p w14:paraId="6E94B386" w14:textId="77777777" w:rsidR="001432C3" w:rsidRPr="00D22CB7" w:rsidRDefault="001432C3" w:rsidP="00E0574D">
      <w:pPr>
        <w:pStyle w:val="a3"/>
        <w:ind w:leftChars="64" w:left="141"/>
      </w:pPr>
    </w:p>
    <w:p w14:paraId="59B81DE7" w14:textId="77777777" w:rsidR="001432C3" w:rsidRPr="00947EB2" w:rsidRDefault="00505EF6" w:rsidP="00E0574D">
      <w:pPr>
        <w:pStyle w:val="1"/>
        <w:tabs>
          <w:tab w:val="left" w:pos="685"/>
          <w:tab w:val="left" w:pos="686"/>
        </w:tabs>
        <w:ind w:leftChars="64" w:left="141"/>
      </w:pPr>
      <w:r>
        <w:t>4.9</w:t>
      </w:r>
      <w:r>
        <w:tab/>
      </w:r>
      <w:r w:rsidR="000E2AE0" w:rsidRPr="00947EB2">
        <w:t>Przedawkowanie</w:t>
      </w:r>
    </w:p>
    <w:p w14:paraId="07601B6F" w14:textId="77777777" w:rsidR="001432C3" w:rsidRPr="005E6AA6" w:rsidRDefault="001432C3" w:rsidP="00E0574D">
      <w:pPr>
        <w:pStyle w:val="a3"/>
        <w:ind w:leftChars="64" w:left="141"/>
      </w:pPr>
    </w:p>
    <w:p w14:paraId="0D09361D" w14:textId="77777777" w:rsidR="001432C3" w:rsidRDefault="000E2AE0" w:rsidP="00E0574D">
      <w:pPr>
        <w:pStyle w:val="a3"/>
        <w:ind w:leftChars="64" w:left="141" w:right="124"/>
      </w:pPr>
      <w:r w:rsidRPr="008B2522">
        <w:t>W czasie badań klinicznych obejmujących pacjentów z wysiękową postacią AMD i po wprowadzeniu leku do obrotu odnotowano przypadki niezamierzonego przedawkowania. Działaniami niepożądanymi związanymi ze zgłoszonymi przypadkami były wzrost ciśnienia śródgałkowego, przemijająca ślepota, zmniejszenie ostrości widzenia, obrzęk rogówki, ból rogówki i ból oka. W razie przedawkowania należy kontrolować i leczyć ciśnienie śródgałkowe, jeśli lekarz uzna to za konieczne.</w:t>
      </w:r>
    </w:p>
    <w:p w14:paraId="356DA045" w14:textId="77777777" w:rsidR="00D45FB0" w:rsidRDefault="00D45FB0" w:rsidP="00E0574D">
      <w:pPr>
        <w:pStyle w:val="a3"/>
        <w:ind w:leftChars="64" w:left="141" w:right="124"/>
      </w:pPr>
    </w:p>
    <w:p w14:paraId="49AA5793" w14:textId="77777777" w:rsidR="00D45FB0" w:rsidRPr="008B2522" w:rsidRDefault="00D45FB0" w:rsidP="00E0574D">
      <w:pPr>
        <w:pStyle w:val="a3"/>
        <w:ind w:leftChars="64" w:left="141" w:right="124"/>
      </w:pPr>
    </w:p>
    <w:p w14:paraId="26EE7A72" w14:textId="77777777" w:rsidR="001432C3" w:rsidRPr="004235BC" w:rsidRDefault="00505EF6" w:rsidP="00E0574D">
      <w:pPr>
        <w:pStyle w:val="1"/>
        <w:tabs>
          <w:tab w:val="left" w:pos="685"/>
          <w:tab w:val="left" w:pos="686"/>
        </w:tabs>
      </w:pPr>
      <w:r>
        <w:t>5.</w:t>
      </w:r>
      <w:r>
        <w:tab/>
      </w:r>
      <w:r w:rsidR="000E2AE0" w:rsidRPr="004235BC">
        <w:t>WŁAŚCIWOŚCI FARMAKOLOGICZNE</w:t>
      </w:r>
    </w:p>
    <w:p w14:paraId="25DC2B4D" w14:textId="77777777" w:rsidR="001432C3" w:rsidRPr="005E6AA6" w:rsidRDefault="001432C3" w:rsidP="00E0574D">
      <w:pPr>
        <w:pStyle w:val="a3"/>
        <w:ind w:leftChars="64" w:left="141"/>
      </w:pPr>
    </w:p>
    <w:p w14:paraId="0A75F22E" w14:textId="77777777" w:rsidR="001432C3" w:rsidRPr="00947EB2" w:rsidRDefault="00505EF6" w:rsidP="00E0574D">
      <w:pPr>
        <w:pStyle w:val="1"/>
        <w:tabs>
          <w:tab w:val="left" w:pos="685"/>
          <w:tab w:val="left" w:pos="686"/>
        </w:tabs>
      </w:pPr>
      <w:r>
        <w:t>5.1</w:t>
      </w:r>
      <w:r>
        <w:tab/>
      </w:r>
      <w:r w:rsidR="000E2AE0" w:rsidRPr="00947EB2">
        <w:t>Właściwości farmakodynamiczne</w:t>
      </w:r>
    </w:p>
    <w:p w14:paraId="69D893F1" w14:textId="77777777" w:rsidR="001432C3" w:rsidRPr="005E6AA6" w:rsidRDefault="001432C3" w:rsidP="00E0574D">
      <w:pPr>
        <w:pStyle w:val="a3"/>
        <w:ind w:leftChars="64" w:left="141"/>
      </w:pPr>
    </w:p>
    <w:p w14:paraId="34B07E76" w14:textId="77777777" w:rsidR="00D45FB0" w:rsidRDefault="000E2AE0" w:rsidP="00E0574D">
      <w:pPr>
        <w:pStyle w:val="a3"/>
        <w:ind w:leftChars="64" w:left="141" w:right="104"/>
      </w:pPr>
      <w:r w:rsidRPr="008B2522">
        <w:t>Grupa farmakoterapeutyczna: Oftalmologiczne, środki antyneowaskularyzacyjne, kod ATC: S01LA04</w:t>
      </w:r>
    </w:p>
    <w:p w14:paraId="71F03CA5" w14:textId="77777777" w:rsidR="000F5294" w:rsidRDefault="000F5294" w:rsidP="00E0574D">
      <w:pPr>
        <w:pStyle w:val="a3"/>
        <w:ind w:leftChars="64" w:left="141" w:right="104"/>
      </w:pPr>
    </w:p>
    <w:p w14:paraId="28538698" w14:textId="77777777" w:rsidR="00D45FB0" w:rsidRPr="00D45FB0" w:rsidRDefault="00D45FB0" w:rsidP="00E0574D">
      <w:pPr>
        <w:pStyle w:val="a3"/>
        <w:ind w:leftChars="64" w:left="141" w:right="104"/>
      </w:pPr>
      <w:r w:rsidRPr="00D45FB0">
        <w:t xml:space="preserve">Byooviz jest produktem leczniczym biopodobnym. Szczegółowe informacje są dostępne na stronie internetowej Europejskiej Agencji Leków </w:t>
      </w:r>
      <w:hyperlink r:id="rId11" w:history="1">
        <w:r w:rsidRPr="00D45FB0">
          <w:rPr>
            <w:rStyle w:val="Hipercze1"/>
          </w:rPr>
          <w:t>http://www.ema.europa.eu</w:t>
        </w:r>
      </w:hyperlink>
      <w:r w:rsidRPr="00D45FB0">
        <w:t>.</w:t>
      </w:r>
    </w:p>
    <w:p w14:paraId="275F4A6A" w14:textId="77777777" w:rsidR="00D45FB0" w:rsidRDefault="00D45FB0" w:rsidP="00E0574D">
      <w:pPr>
        <w:pStyle w:val="a3"/>
        <w:ind w:leftChars="64" w:left="141" w:right="104"/>
      </w:pPr>
    </w:p>
    <w:p w14:paraId="0DB68C25" w14:textId="77777777" w:rsidR="001432C3" w:rsidRPr="00947EB2" w:rsidRDefault="000E2AE0" w:rsidP="00E0574D">
      <w:pPr>
        <w:pStyle w:val="a3"/>
        <w:ind w:leftChars="64" w:left="141" w:right="98"/>
        <w:rPr>
          <w:u w:val="single"/>
        </w:rPr>
      </w:pPr>
      <w:r w:rsidRPr="008B2522">
        <w:rPr>
          <w:u w:val="single"/>
        </w:rPr>
        <w:t>Mechanizm działania</w:t>
      </w:r>
    </w:p>
    <w:p w14:paraId="2F2B0D6E" w14:textId="77777777" w:rsidR="001432C3" w:rsidRPr="008B2522" w:rsidRDefault="000E2AE0" w:rsidP="00E0574D">
      <w:pPr>
        <w:pStyle w:val="a3"/>
        <w:ind w:leftChars="64" w:left="141" w:right="192"/>
      </w:pPr>
      <w:r w:rsidRPr="008B2522">
        <w:t xml:space="preserve">Ranibizumab jest fragmentem rekombinowanego humanizowanego przeciwciała monoklonalnego, skierowanym przeciwko ludzkiemu śródbłonkowemu czynnikowi wzrostu naczyń typu A (VGEF-A). </w:t>
      </w:r>
      <w:r w:rsidRPr="008B2522">
        <w:rPr>
          <w:position w:val="2"/>
        </w:rPr>
        <w:t>Ranibizumab wiąże się z dużym powinowactwem z izoformami VEGF-A (np. VEGF</w:t>
      </w:r>
      <w:r w:rsidRPr="008B2522">
        <w:rPr>
          <w:sz w:val="14"/>
        </w:rPr>
        <w:t>110</w:t>
      </w:r>
      <w:r w:rsidRPr="008B2522">
        <w:rPr>
          <w:position w:val="2"/>
        </w:rPr>
        <w:t>, VEGF</w:t>
      </w:r>
      <w:r w:rsidRPr="008B2522">
        <w:rPr>
          <w:sz w:val="14"/>
        </w:rPr>
        <w:t xml:space="preserve">112 </w:t>
      </w:r>
      <w:r w:rsidRPr="008B2522">
        <w:rPr>
          <w:position w:val="2"/>
        </w:rPr>
        <w:t>i VEGF</w:t>
      </w:r>
      <w:r w:rsidRPr="008B2522">
        <w:rPr>
          <w:sz w:val="14"/>
        </w:rPr>
        <w:t>165</w:t>
      </w:r>
      <w:r w:rsidRPr="008B2522">
        <w:rPr>
          <w:position w:val="2"/>
        </w:rPr>
        <w:t>) zapobiegając w ten sposób wiązaniu VEGF-A ze swoimi receptorami VEGFR-1 i VEGFR-</w:t>
      </w:r>
    </w:p>
    <w:p w14:paraId="21AF1253" w14:textId="77777777" w:rsidR="001432C3" w:rsidRPr="008B2522" w:rsidRDefault="000E2AE0" w:rsidP="00E0574D">
      <w:pPr>
        <w:pStyle w:val="a3"/>
        <w:ind w:leftChars="64" w:left="141" w:right="190"/>
      </w:pPr>
      <w:r w:rsidRPr="008B2522">
        <w:t>2. Wiązanie VEGF-A z receptorami prowadzi do proliferacji komórek śródbłonka i powstawania nowych naczyń, jak również do przecieku naczyniowego, czynniki uznawane za sprzyjające progresji wysiękowej postaci zwyrodnienia plamki związanego z wiekiem, patologicznej krótkowzroczności i CNV lub zaburzeń widzenia, spowodowanych albo cukrzycowym obrzękiem plamki albo obrzękiem plamki wtórnym do RVO u dorosłych.</w:t>
      </w:r>
    </w:p>
    <w:p w14:paraId="545EBA11" w14:textId="77777777" w:rsidR="001432C3" w:rsidRPr="008B2522" w:rsidRDefault="001432C3" w:rsidP="00E0574D">
      <w:pPr>
        <w:pStyle w:val="a3"/>
        <w:ind w:leftChars="64" w:left="141"/>
      </w:pPr>
    </w:p>
    <w:p w14:paraId="5114F5B1" w14:textId="77777777" w:rsidR="001432C3" w:rsidRPr="00947EB2" w:rsidRDefault="000E2AE0" w:rsidP="00E0574D">
      <w:pPr>
        <w:pStyle w:val="a3"/>
        <w:ind w:leftChars="64" w:left="141" w:right="98"/>
        <w:rPr>
          <w:u w:val="single"/>
        </w:rPr>
      </w:pPr>
      <w:r w:rsidRPr="008B2522">
        <w:rPr>
          <w:u w:val="single"/>
        </w:rPr>
        <w:t>Skuteczność kliniczna i bezpieczeństwo stosowania</w:t>
      </w:r>
    </w:p>
    <w:p w14:paraId="2C226723" w14:textId="77777777" w:rsidR="001432C3" w:rsidRPr="008B2522" w:rsidRDefault="001432C3" w:rsidP="00E0574D">
      <w:pPr>
        <w:pStyle w:val="a3"/>
        <w:ind w:leftChars="64" w:left="141"/>
        <w:rPr>
          <w:sz w:val="14"/>
        </w:rPr>
      </w:pPr>
    </w:p>
    <w:p w14:paraId="3EDB6967" w14:textId="77777777" w:rsidR="001432C3" w:rsidRPr="005E6AA6" w:rsidRDefault="000E2AE0" w:rsidP="00E0574D">
      <w:pPr>
        <w:pStyle w:val="a3"/>
        <w:ind w:leftChars="64" w:left="141" w:right="98"/>
        <w:rPr>
          <w:i/>
          <w:u w:val="single"/>
        </w:rPr>
      </w:pPr>
      <w:r w:rsidRPr="005E6AA6">
        <w:rPr>
          <w:i/>
          <w:u w:val="single"/>
        </w:rPr>
        <w:t>Leczenie wysiękowej postaci AMD</w:t>
      </w:r>
    </w:p>
    <w:p w14:paraId="02677D66" w14:textId="77777777" w:rsidR="001432C3" w:rsidRPr="008B2522" w:rsidRDefault="000E2AE0" w:rsidP="00E0574D">
      <w:pPr>
        <w:pStyle w:val="a3"/>
        <w:ind w:leftChars="64" w:left="141" w:right="143"/>
      </w:pPr>
      <w:r w:rsidRPr="008B2522">
        <w:t xml:space="preserve">W przypadku wysiękowej postaci AMD, kliniczne bezpieczeństwo stosowania i skuteczność </w:t>
      </w:r>
      <w:r w:rsidR="00D45FB0">
        <w:t>ranibizumabu</w:t>
      </w:r>
      <w:r w:rsidRPr="008B2522">
        <w:t xml:space="preserve"> oceniano w trwających 24 miesiące, trzech, randomizowanych, podwójnie maskowanych badaniach kontrolowanych wstrzyknięciem pozorowanym lub substancją czynną, u pacjentów z wysiękową postacią AMD. W sumie do badań tych włączono 1</w:t>
      </w:r>
      <w:r w:rsidR="008A49C3">
        <w:t> </w:t>
      </w:r>
      <w:r w:rsidR="008A49C3" w:rsidRPr="008B2522">
        <w:t>323</w:t>
      </w:r>
      <w:r w:rsidR="008A49C3">
        <w:t> </w:t>
      </w:r>
      <w:r w:rsidRPr="008B2522">
        <w:t>pacjentów (</w:t>
      </w:r>
      <w:r w:rsidR="008A49C3" w:rsidRPr="008B2522">
        <w:t>879</w:t>
      </w:r>
      <w:r w:rsidR="008A49C3">
        <w:t> </w:t>
      </w:r>
      <w:r w:rsidRPr="008B2522">
        <w:t xml:space="preserve">w grupie aktywnej terapii i </w:t>
      </w:r>
      <w:r w:rsidR="008A49C3" w:rsidRPr="008B2522">
        <w:t>444</w:t>
      </w:r>
      <w:r w:rsidR="008A49C3">
        <w:t> </w:t>
      </w:r>
      <w:r w:rsidRPr="008B2522">
        <w:t>w grupie</w:t>
      </w:r>
      <w:r w:rsidRPr="008B2522">
        <w:rPr>
          <w:spacing w:val="-13"/>
        </w:rPr>
        <w:t xml:space="preserve"> </w:t>
      </w:r>
      <w:r w:rsidRPr="008B2522">
        <w:t>kontrolnej).</w:t>
      </w:r>
    </w:p>
    <w:p w14:paraId="57425186" w14:textId="77777777" w:rsidR="001432C3" w:rsidRPr="008B2522" w:rsidRDefault="001432C3" w:rsidP="00E0574D">
      <w:pPr>
        <w:pStyle w:val="a3"/>
        <w:ind w:leftChars="64" w:left="141"/>
      </w:pPr>
    </w:p>
    <w:p w14:paraId="263E669D" w14:textId="77777777" w:rsidR="001432C3" w:rsidRPr="008B2522" w:rsidRDefault="000E2AE0" w:rsidP="00E0574D">
      <w:pPr>
        <w:pStyle w:val="a3"/>
        <w:ind w:leftChars="64" w:left="141" w:right="152"/>
      </w:pPr>
      <w:r w:rsidRPr="008B2522">
        <w:t xml:space="preserve">W badaniu FVF2598g (MARINA) </w:t>
      </w:r>
      <w:r w:rsidR="008A49C3" w:rsidRPr="008B2522">
        <w:t>716</w:t>
      </w:r>
      <w:r w:rsidR="008A49C3">
        <w:t> </w:t>
      </w:r>
      <w:r w:rsidRPr="008B2522">
        <w:t xml:space="preserve">pacjentów ze zmianami minimalnie klasycznymi lub ukrytymi bez cech klasycznych zostało losowo przydzielonych w stosunku 1:1:1 do grup otrzymujących comiesięczne wstrzyknięcia </w:t>
      </w:r>
      <w:r w:rsidR="00F75654">
        <w:t xml:space="preserve">ranibizumabu </w:t>
      </w:r>
      <w:r w:rsidRPr="008B2522">
        <w:t>w dawce 0,</w:t>
      </w:r>
      <w:r w:rsidR="008A49C3" w:rsidRPr="008B2522">
        <w:t>3</w:t>
      </w:r>
      <w:r w:rsidR="00257CD6">
        <w:t> mg</w:t>
      </w:r>
      <w:r w:rsidRPr="008B2522">
        <w:t xml:space="preserve">, </w:t>
      </w:r>
      <w:r w:rsidR="00F75654">
        <w:t>ranibizumabu</w:t>
      </w:r>
      <w:r w:rsidRPr="008B2522">
        <w:t xml:space="preserve"> w dawce 0,</w:t>
      </w:r>
      <w:r w:rsidR="008A49C3" w:rsidRPr="008B2522">
        <w:t>5</w:t>
      </w:r>
      <w:r w:rsidR="00257CD6">
        <w:t> mg</w:t>
      </w:r>
      <w:r w:rsidRPr="008B2522">
        <w:t xml:space="preserve"> lub wstrzyknięcia pozorowane.</w:t>
      </w:r>
    </w:p>
    <w:p w14:paraId="42F352DA" w14:textId="77777777" w:rsidR="001432C3" w:rsidRPr="008B2522" w:rsidRDefault="001432C3" w:rsidP="00E0574D">
      <w:pPr>
        <w:pStyle w:val="a3"/>
        <w:ind w:leftChars="64" w:left="141"/>
      </w:pPr>
    </w:p>
    <w:p w14:paraId="0BBE496B" w14:textId="77777777" w:rsidR="001432C3" w:rsidRPr="008B2522" w:rsidRDefault="000E2AE0" w:rsidP="00E0574D">
      <w:pPr>
        <w:pStyle w:val="a3"/>
        <w:ind w:leftChars="64" w:left="141" w:right="349"/>
      </w:pPr>
      <w:r w:rsidRPr="008B2522">
        <w:t xml:space="preserve">W badaniu FVF2587g (ANCHOR) </w:t>
      </w:r>
      <w:r w:rsidR="008A49C3" w:rsidRPr="008B2522">
        <w:t>423</w:t>
      </w:r>
      <w:r w:rsidR="008A49C3">
        <w:t> </w:t>
      </w:r>
      <w:r w:rsidRPr="008B2522">
        <w:t xml:space="preserve">pacjentów z dominująco klasyczną postacią CNV zostało losowo przydzielonych w stosunku 1:1:1 do grup otrzymujących </w:t>
      </w:r>
      <w:r w:rsidR="00F75654">
        <w:t xml:space="preserve">ranibizumab </w:t>
      </w:r>
      <w:r w:rsidRPr="008B2522">
        <w:t>w dawce 0,</w:t>
      </w:r>
      <w:r w:rsidR="008A49C3" w:rsidRPr="008B2522">
        <w:t>3</w:t>
      </w:r>
      <w:r w:rsidR="00257CD6">
        <w:t> mg</w:t>
      </w:r>
      <w:r w:rsidRPr="008B2522">
        <w:t xml:space="preserve"> raz na miesiąc, </w:t>
      </w:r>
      <w:r w:rsidR="00F75654">
        <w:t xml:space="preserve">ranibizumab </w:t>
      </w:r>
      <w:r w:rsidRPr="008B2522">
        <w:t>w dawce 0,</w:t>
      </w:r>
      <w:r w:rsidR="008A49C3" w:rsidRPr="008B2522">
        <w:t>5</w:t>
      </w:r>
      <w:r w:rsidR="00257CD6">
        <w:t> mg</w:t>
      </w:r>
      <w:r w:rsidRPr="008B2522">
        <w:t xml:space="preserve"> raz na miesiąc lub terapię PDT z werteporfiną (na początku leczenia, a następnie co </w:t>
      </w:r>
      <w:r w:rsidR="008A49C3" w:rsidRPr="008B2522">
        <w:t>3</w:t>
      </w:r>
      <w:r w:rsidR="008A49C3">
        <w:t> </w:t>
      </w:r>
      <w:r w:rsidRPr="008B2522">
        <w:t>miesiące, jeśli w angiografii fluoresceinowej obserwowano utrzymywanie się lub nawrót przecieku z naczyń).</w:t>
      </w:r>
    </w:p>
    <w:p w14:paraId="1E1347A5" w14:textId="77777777" w:rsidR="00F75654" w:rsidRDefault="00F75654" w:rsidP="00E0574D">
      <w:pPr>
        <w:pStyle w:val="a3"/>
        <w:ind w:leftChars="64" w:left="141"/>
      </w:pPr>
    </w:p>
    <w:p w14:paraId="64B03A23" w14:textId="77777777" w:rsidR="001432C3" w:rsidRPr="008B2522" w:rsidRDefault="000E2AE0" w:rsidP="00E0574D">
      <w:pPr>
        <w:pStyle w:val="a3"/>
        <w:ind w:leftChars="64" w:left="141"/>
      </w:pPr>
      <w:r w:rsidRPr="008B2522">
        <w:t xml:space="preserve">Kluczowe wyniki przedstawiono w </w:t>
      </w:r>
      <w:r w:rsidR="008A49C3" w:rsidRPr="008B2522">
        <w:t>Tabeli</w:t>
      </w:r>
      <w:r w:rsidR="008A49C3">
        <w:t> </w:t>
      </w:r>
      <w:r w:rsidRPr="008B2522">
        <w:t xml:space="preserve">1 i na </w:t>
      </w:r>
      <w:r w:rsidR="008A49C3" w:rsidRPr="008B2522">
        <w:t>Rycinie</w:t>
      </w:r>
      <w:r w:rsidR="008A49C3">
        <w:t> </w:t>
      </w:r>
      <w:r w:rsidRPr="008B2522">
        <w:t>1.</w:t>
      </w:r>
    </w:p>
    <w:p w14:paraId="57B34F91" w14:textId="77777777" w:rsidR="001432C3" w:rsidRPr="008B2522" w:rsidRDefault="001432C3" w:rsidP="00E0574D">
      <w:pPr>
        <w:pStyle w:val="a3"/>
        <w:spacing w:before="5"/>
        <w:ind w:leftChars="64" w:left="141"/>
      </w:pPr>
    </w:p>
    <w:p w14:paraId="15005B60" w14:textId="77777777" w:rsidR="001432C3" w:rsidRPr="004A2080" w:rsidRDefault="008A49C3" w:rsidP="00E0574D">
      <w:pPr>
        <w:pStyle w:val="1"/>
        <w:tabs>
          <w:tab w:val="left" w:pos="1251"/>
        </w:tabs>
        <w:ind w:leftChars="64" w:left="1415" w:hangingChars="590" w:hanging="1274"/>
      </w:pPr>
      <w:r w:rsidRPr="004A2080">
        <w:t>Tabela </w:t>
      </w:r>
      <w:r w:rsidR="000E2AE0" w:rsidRPr="004A2080">
        <w:t>1</w:t>
      </w:r>
      <w:r w:rsidR="000E2AE0" w:rsidRPr="004A2080">
        <w:tab/>
        <w:t>Wyniki po 12 miesiącach i 24 miesiącach w badaniu FVF2598g (MARINA) i FVF2587g (ANCHOR)</w:t>
      </w:r>
    </w:p>
    <w:p w14:paraId="49BE225A" w14:textId="77777777" w:rsidR="001432C3" w:rsidRPr="008B2522" w:rsidRDefault="001432C3">
      <w:pPr>
        <w:pStyle w:val="a3"/>
        <w:spacing w:before="1"/>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498"/>
        <w:gridCol w:w="1294"/>
        <w:gridCol w:w="1253"/>
        <w:gridCol w:w="1642"/>
        <w:gridCol w:w="1349"/>
      </w:tblGrid>
      <w:tr w:rsidR="001432C3" w:rsidRPr="008B2522" w14:paraId="33044412" w14:textId="77777777">
        <w:trPr>
          <w:trHeight w:hRule="exact" w:val="262"/>
        </w:trPr>
        <w:tc>
          <w:tcPr>
            <w:tcW w:w="2026" w:type="dxa"/>
          </w:tcPr>
          <w:p w14:paraId="1E38C48B" w14:textId="77777777" w:rsidR="001432C3" w:rsidRPr="008B2522" w:rsidRDefault="001432C3" w:rsidP="00DE6CD4">
            <w:pPr>
              <w:ind w:leftChars="18" w:left="40" w:rightChars="18" w:right="40"/>
            </w:pPr>
          </w:p>
        </w:tc>
        <w:tc>
          <w:tcPr>
            <w:tcW w:w="1498" w:type="dxa"/>
          </w:tcPr>
          <w:p w14:paraId="02D8C6EA" w14:textId="77777777" w:rsidR="001432C3" w:rsidRPr="008B2522" w:rsidRDefault="001432C3" w:rsidP="00DE6CD4">
            <w:pPr>
              <w:ind w:leftChars="18" w:left="40" w:rightChars="18" w:right="40"/>
            </w:pPr>
          </w:p>
        </w:tc>
        <w:tc>
          <w:tcPr>
            <w:tcW w:w="2547" w:type="dxa"/>
            <w:gridSpan w:val="2"/>
          </w:tcPr>
          <w:p w14:paraId="5153BE3F" w14:textId="77777777" w:rsidR="001432C3" w:rsidRPr="008B2522" w:rsidRDefault="000E2AE0" w:rsidP="00DE6CD4">
            <w:pPr>
              <w:pStyle w:val="TableParagraph"/>
              <w:spacing w:line="247" w:lineRule="exact"/>
              <w:ind w:leftChars="18" w:left="40" w:rightChars="18" w:right="40"/>
              <w:jc w:val="center"/>
            </w:pPr>
            <w:r w:rsidRPr="008B2522">
              <w:t>FVF2598g (MARINA)</w:t>
            </w:r>
          </w:p>
        </w:tc>
        <w:tc>
          <w:tcPr>
            <w:tcW w:w="2991" w:type="dxa"/>
            <w:gridSpan w:val="2"/>
          </w:tcPr>
          <w:p w14:paraId="14B65C6B" w14:textId="77777777" w:rsidR="001432C3" w:rsidRPr="008B2522" w:rsidRDefault="000E2AE0" w:rsidP="00DE6CD4">
            <w:pPr>
              <w:pStyle w:val="TableParagraph"/>
              <w:spacing w:line="247" w:lineRule="exact"/>
              <w:ind w:leftChars="18" w:left="40" w:rightChars="18" w:right="40"/>
              <w:jc w:val="center"/>
            </w:pPr>
            <w:r w:rsidRPr="008B2522">
              <w:t>FVF2587g (ANCHOR)</w:t>
            </w:r>
          </w:p>
        </w:tc>
      </w:tr>
      <w:tr w:rsidR="001432C3" w:rsidRPr="008B2522" w14:paraId="09E85D99" w14:textId="77777777">
        <w:trPr>
          <w:trHeight w:hRule="exact" w:val="770"/>
        </w:trPr>
        <w:tc>
          <w:tcPr>
            <w:tcW w:w="2026" w:type="dxa"/>
          </w:tcPr>
          <w:p w14:paraId="45B44027" w14:textId="77777777" w:rsidR="001432C3" w:rsidRPr="008B2522" w:rsidRDefault="000E2AE0" w:rsidP="00DE6CD4">
            <w:pPr>
              <w:pStyle w:val="TableParagraph"/>
              <w:spacing w:line="247" w:lineRule="exact"/>
              <w:ind w:leftChars="18" w:left="40" w:rightChars="18" w:right="40"/>
            </w:pPr>
            <w:r w:rsidRPr="008B2522">
              <w:t>Wynik leczenia</w:t>
            </w:r>
          </w:p>
        </w:tc>
        <w:tc>
          <w:tcPr>
            <w:tcW w:w="1498" w:type="dxa"/>
          </w:tcPr>
          <w:p w14:paraId="2F0DFB4D" w14:textId="77777777" w:rsidR="001432C3" w:rsidRPr="008B2522" w:rsidRDefault="000E2AE0" w:rsidP="00DE6CD4">
            <w:pPr>
              <w:pStyle w:val="TableParagraph"/>
              <w:spacing w:line="247" w:lineRule="exact"/>
              <w:ind w:leftChars="18" w:left="40" w:rightChars="18" w:right="40"/>
              <w:jc w:val="center"/>
            </w:pPr>
            <w:r w:rsidRPr="008B2522">
              <w:t>Miesiąc</w:t>
            </w:r>
          </w:p>
        </w:tc>
        <w:tc>
          <w:tcPr>
            <w:tcW w:w="1294" w:type="dxa"/>
          </w:tcPr>
          <w:p w14:paraId="466E785D" w14:textId="77777777" w:rsidR="001432C3" w:rsidRPr="008B2522" w:rsidRDefault="000E2AE0" w:rsidP="00DE6CD4">
            <w:pPr>
              <w:pStyle w:val="TableParagraph"/>
              <w:ind w:leftChars="18" w:left="45" w:rightChars="18" w:right="40" w:hanging="5"/>
              <w:jc w:val="center"/>
            </w:pPr>
            <w:r w:rsidRPr="008B2522">
              <w:t>Terapia pozorowana (n=238)</w:t>
            </w:r>
          </w:p>
        </w:tc>
        <w:tc>
          <w:tcPr>
            <w:tcW w:w="1253" w:type="dxa"/>
          </w:tcPr>
          <w:p w14:paraId="170C54E4" w14:textId="77777777" w:rsidR="001432C3" w:rsidRPr="008B2522" w:rsidRDefault="00E35F32" w:rsidP="00DE6CD4">
            <w:pPr>
              <w:pStyle w:val="TableParagraph"/>
              <w:ind w:leftChars="18" w:left="40" w:rightChars="18" w:right="40"/>
              <w:jc w:val="center"/>
            </w:pPr>
            <w:r>
              <w:t>Ranibizumab</w:t>
            </w:r>
            <w:r w:rsidRPr="008B2522">
              <w:t xml:space="preserve"> </w:t>
            </w:r>
            <w:r w:rsidR="000E2AE0" w:rsidRPr="008B2522">
              <w:t>0,</w:t>
            </w:r>
            <w:r w:rsidR="008A49C3" w:rsidRPr="008B2522">
              <w:t>5</w:t>
            </w:r>
            <w:r w:rsidR="00257CD6">
              <w:t> mg</w:t>
            </w:r>
            <w:r w:rsidR="000E2AE0" w:rsidRPr="008B2522">
              <w:t xml:space="preserve"> (n=240)</w:t>
            </w:r>
          </w:p>
        </w:tc>
        <w:tc>
          <w:tcPr>
            <w:tcW w:w="1642" w:type="dxa"/>
          </w:tcPr>
          <w:p w14:paraId="4F215EC8" w14:textId="77777777" w:rsidR="001432C3" w:rsidRPr="008B2522" w:rsidRDefault="000E2AE0" w:rsidP="00DE6CD4">
            <w:pPr>
              <w:pStyle w:val="TableParagraph"/>
              <w:spacing w:line="247" w:lineRule="exact"/>
              <w:ind w:leftChars="18" w:left="40" w:rightChars="18" w:right="40"/>
              <w:jc w:val="center"/>
            </w:pPr>
            <w:r w:rsidRPr="008B2522">
              <w:t>PDT z</w:t>
            </w:r>
          </w:p>
          <w:p w14:paraId="4E3E0216" w14:textId="77777777" w:rsidR="001432C3" w:rsidRPr="008B2522" w:rsidRDefault="000E2AE0" w:rsidP="00DE6CD4">
            <w:pPr>
              <w:pStyle w:val="TableParagraph"/>
              <w:spacing w:before="1"/>
              <w:ind w:leftChars="18" w:left="40" w:rightChars="18" w:right="40"/>
              <w:jc w:val="center"/>
            </w:pPr>
            <w:r w:rsidRPr="008B2522">
              <w:t>werteporfiną (n=143)</w:t>
            </w:r>
          </w:p>
        </w:tc>
        <w:tc>
          <w:tcPr>
            <w:tcW w:w="1349" w:type="dxa"/>
          </w:tcPr>
          <w:p w14:paraId="3BE2E141" w14:textId="77777777" w:rsidR="001432C3" w:rsidRPr="008B2522" w:rsidRDefault="00E35F32" w:rsidP="00DE6CD4">
            <w:pPr>
              <w:pStyle w:val="TableParagraph"/>
              <w:ind w:leftChars="18" w:left="40" w:rightChars="18" w:right="40"/>
              <w:jc w:val="center"/>
            </w:pPr>
            <w:r>
              <w:t>Ranibizumab</w:t>
            </w:r>
            <w:r w:rsidRPr="008B2522">
              <w:t xml:space="preserve"> </w:t>
            </w:r>
            <w:r w:rsidR="000E2AE0" w:rsidRPr="008B2522">
              <w:t>0,</w:t>
            </w:r>
            <w:r w:rsidR="008A49C3" w:rsidRPr="008B2522">
              <w:t>5</w:t>
            </w:r>
            <w:r w:rsidR="00257CD6">
              <w:t> mg</w:t>
            </w:r>
            <w:r w:rsidR="000E2AE0" w:rsidRPr="008B2522">
              <w:t xml:space="preserve"> (n=140)</w:t>
            </w:r>
          </w:p>
        </w:tc>
      </w:tr>
      <w:tr w:rsidR="001432C3" w:rsidRPr="008B2522" w14:paraId="45B73DBE" w14:textId="77777777">
        <w:trPr>
          <w:trHeight w:hRule="exact" w:val="262"/>
        </w:trPr>
        <w:tc>
          <w:tcPr>
            <w:tcW w:w="2026" w:type="dxa"/>
            <w:vMerge w:val="restart"/>
          </w:tcPr>
          <w:p w14:paraId="325B6809" w14:textId="77777777" w:rsidR="001432C3" w:rsidRPr="008B2522" w:rsidRDefault="000E2AE0" w:rsidP="00DE6CD4">
            <w:pPr>
              <w:pStyle w:val="TableParagraph"/>
              <w:spacing w:line="237" w:lineRule="auto"/>
              <w:ind w:leftChars="18" w:left="40" w:rightChars="18" w:right="40"/>
              <w:rPr>
                <w:sz w:val="14"/>
              </w:rPr>
            </w:pPr>
            <w:r w:rsidRPr="008B2522">
              <w:t>Utrata ostrości wzroku &lt;15 liter (%)</w:t>
            </w:r>
            <w:r w:rsidRPr="008B2522">
              <w:rPr>
                <w:position w:val="8"/>
                <w:sz w:val="14"/>
              </w:rPr>
              <w:t>a</w:t>
            </w:r>
          </w:p>
          <w:p w14:paraId="77B2F69C" w14:textId="77777777" w:rsidR="001432C3" w:rsidRPr="008B2522" w:rsidRDefault="000E2AE0" w:rsidP="00DE6CD4">
            <w:pPr>
              <w:pStyle w:val="TableParagraph"/>
              <w:spacing w:before="6"/>
              <w:ind w:leftChars="18" w:left="40" w:rightChars="18" w:right="40"/>
            </w:pPr>
            <w:r w:rsidRPr="008B2522">
              <w:t>(zachowanie widzenia, pierwszorzędowy punkt końcowy)</w:t>
            </w:r>
          </w:p>
        </w:tc>
        <w:tc>
          <w:tcPr>
            <w:tcW w:w="1498" w:type="dxa"/>
          </w:tcPr>
          <w:p w14:paraId="27ABBA9B" w14:textId="77777777" w:rsidR="001432C3" w:rsidRPr="008B2522" w:rsidRDefault="000E2AE0" w:rsidP="00DE6CD4">
            <w:pPr>
              <w:pStyle w:val="TableParagraph"/>
              <w:spacing w:line="247" w:lineRule="exact"/>
              <w:ind w:leftChars="18" w:left="40" w:rightChars="18" w:right="40"/>
              <w:jc w:val="center"/>
            </w:pPr>
            <w:r w:rsidRPr="008B2522">
              <w:t>Miesiąc 12</w:t>
            </w:r>
          </w:p>
        </w:tc>
        <w:tc>
          <w:tcPr>
            <w:tcW w:w="1294" w:type="dxa"/>
          </w:tcPr>
          <w:p w14:paraId="02229093" w14:textId="77777777" w:rsidR="001432C3" w:rsidRPr="008B2522" w:rsidRDefault="000E2AE0" w:rsidP="00DE6CD4">
            <w:pPr>
              <w:pStyle w:val="TableParagraph"/>
              <w:spacing w:line="247" w:lineRule="exact"/>
              <w:ind w:leftChars="18" w:left="40" w:rightChars="18" w:right="40"/>
              <w:jc w:val="center"/>
            </w:pPr>
            <w:r w:rsidRPr="008B2522">
              <w:t>62%</w:t>
            </w:r>
          </w:p>
        </w:tc>
        <w:tc>
          <w:tcPr>
            <w:tcW w:w="1253" w:type="dxa"/>
          </w:tcPr>
          <w:p w14:paraId="0310F6BA" w14:textId="77777777" w:rsidR="001432C3" w:rsidRPr="008B2522" w:rsidRDefault="000E2AE0" w:rsidP="00DE6CD4">
            <w:pPr>
              <w:pStyle w:val="TableParagraph"/>
              <w:spacing w:line="247" w:lineRule="exact"/>
              <w:ind w:leftChars="18" w:left="40" w:rightChars="18" w:right="40"/>
              <w:jc w:val="center"/>
            </w:pPr>
            <w:r w:rsidRPr="008B2522">
              <w:t>95%</w:t>
            </w:r>
          </w:p>
        </w:tc>
        <w:tc>
          <w:tcPr>
            <w:tcW w:w="1642" w:type="dxa"/>
          </w:tcPr>
          <w:p w14:paraId="3CD5EE34" w14:textId="77777777" w:rsidR="001432C3" w:rsidRPr="008B2522" w:rsidRDefault="000E2AE0" w:rsidP="00DE6CD4">
            <w:pPr>
              <w:pStyle w:val="TableParagraph"/>
              <w:spacing w:line="247" w:lineRule="exact"/>
              <w:ind w:leftChars="18" w:left="40" w:rightChars="18" w:right="40"/>
              <w:jc w:val="center"/>
            </w:pPr>
            <w:r w:rsidRPr="008B2522">
              <w:t>64%</w:t>
            </w:r>
          </w:p>
        </w:tc>
        <w:tc>
          <w:tcPr>
            <w:tcW w:w="1349" w:type="dxa"/>
          </w:tcPr>
          <w:p w14:paraId="762006F1" w14:textId="77777777" w:rsidR="001432C3" w:rsidRPr="008B2522" w:rsidRDefault="000E2AE0" w:rsidP="00DE6CD4">
            <w:pPr>
              <w:pStyle w:val="TableParagraph"/>
              <w:spacing w:line="247" w:lineRule="exact"/>
              <w:ind w:leftChars="18" w:left="40" w:rightChars="18" w:right="40"/>
              <w:jc w:val="center"/>
            </w:pPr>
            <w:r w:rsidRPr="008B2522">
              <w:t>96%</w:t>
            </w:r>
          </w:p>
        </w:tc>
      </w:tr>
      <w:tr w:rsidR="001432C3" w:rsidRPr="008B2522" w14:paraId="1766A29F" w14:textId="77777777">
        <w:trPr>
          <w:trHeight w:hRule="exact" w:val="1520"/>
        </w:trPr>
        <w:tc>
          <w:tcPr>
            <w:tcW w:w="2026" w:type="dxa"/>
            <w:vMerge/>
          </w:tcPr>
          <w:p w14:paraId="21C874F9" w14:textId="77777777" w:rsidR="001432C3" w:rsidRPr="008B2522" w:rsidRDefault="001432C3" w:rsidP="00DE6CD4">
            <w:pPr>
              <w:ind w:leftChars="18" w:left="40" w:rightChars="18" w:right="40"/>
            </w:pPr>
          </w:p>
        </w:tc>
        <w:tc>
          <w:tcPr>
            <w:tcW w:w="1498" w:type="dxa"/>
          </w:tcPr>
          <w:p w14:paraId="223C2ADB" w14:textId="77777777" w:rsidR="001432C3" w:rsidRPr="008B2522" w:rsidRDefault="000E2AE0" w:rsidP="00DE6CD4">
            <w:pPr>
              <w:pStyle w:val="TableParagraph"/>
              <w:spacing w:line="247" w:lineRule="exact"/>
              <w:ind w:leftChars="18" w:left="40" w:rightChars="18" w:right="40"/>
              <w:jc w:val="center"/>
            </w:pPr>
            <w:r w:rsidRPr="008B2522">
              <w:t>Miesiąc 24</w:t>
            </w:r>
          </w:p>
        </w:tc>
        <w:tc>
          <w:tcPr>
            <w:tcW w:w="1294" w:type="dxa"/>
          </w:tcPr>
          <w:p w14:paraId="7944E873" w14:textId="77777777" w:rsidR="001432C3" w:rsidRPr="008B2522" w:rsidRDefault="000E2AE0" w:rsidP="00DE6CD4">
            <w:pPr>
              <w:pStyle w:val="TableParagraph"/>
              <w:spacing w:line="247" w:lineRule="exact"/>
              <w:ind w:leftChars="18" w:left="40" w:rightChars="18" w:right="40"/>
              <w:jc w:val="center"/>
            </w:pPr>
            <w:r w:rsidRPr="008B2522">
              <w:t>53%</w:t>
            </w:r>
          </w:p>
        </w:tc>
        <w:tc>
          <w:tcPr>
            <w:tcW w:w="1253" w:type="dxa"/>
          </w:tcPr>
          <w:p w14:paraId="63967C43" w14:textId="77777777" w:rsidR="001432C3" w:rsidRPr="008B2522" w:rsidRDefault="000E2AE0" w:rsidP="00DE6CD4">
            <w:pPr>
              <w:pStyle w:val="TableParagraph"/>
              <w:spacing w:line="247" w:lineRule="exact"/>
              <w:ind w:leftChars="18" w:left="40" w:rightChars="18" w:right="40"/>
              <w:jc w:val="center"/>
            </w:pPr>
            <w:r w:rsidRPr="008B2522">
              <w:t>90%</w:t>
            </w:r>
          </w:p>
        </w:tc>
        <w:tc>
          <w:tcPr>
            <w:tcW w:w="1642" w:type="dxa"/>
          </w:tcPr>
          <w:p w14:paraId="1F29F32E" w14:textId="77777777" w:rsidR="001432C3" w:rsidRPr="008B2522" w:rsidRDefault="000E2AE0" w:rsidP="00DE6CD4">
            <w:pPr>
              <w:pStyle w:val="TableParagraph"/>
              <w:spacing w:line="247" w:lineRule="exact"/>
              <w:ind w:leftChars="18" w:left="40" w:rightChars="18" w:right="40"/>
              <w:jc w:val="center"/>
            </w:pPr>
            <w:r w:rsidRPr="008B2522">
              <w:t>66%</w:t>
            </w:r>
          </w:p>
        </w:tc>
        <w:tc>
          <w:tcPr>
            <w:tcW w:w="1349" w:type="dxa"/>
          </w:tcPr>
          <w:p w14:paraId="2762E136" w14:textId="77777777" w:rsidR="001432C3" w:rsidRPr="008B2522" w:rsidRDefault="000E2AE0" w:rsidP="00DE6CD4">
            <w:pPr>
              <w:pStyle w:val="TableParagraph"/>
              <w:spacing w:line="247" w:lineRule="exact"/>
              <w:ind w:leftChars="18" w:left="40" w:rightChars="18" w:right="40"/>
              <w:jc w:val="center"/>
            </w:pPr>
            <w:r w:rsidRPr="008B2522">
              <w:t>90%</w:t>
            </w:r>
          </w:p>
        </w:tc>
      </w:tr>
      <w:tr w:rsidR="001432C3" w:rsidRPr="008B2522" w14:paraId="1905DE28" w14:textId="77777777">
        <w:trPr>
          <w:trHeight w:hRule="exact" w:val="262"/>
        </w:trPr>
        <w:tc>
          <w:tcPr>
            <w:tcW w:w="2026" w:type="dxa"/>
            <w:vMerge w:val="restart"/>
          </w:tcPr>
          <w:p w14:paraId="5779649C" w14:textId="77777777" w:rsidR="001432C3" w:rsidRPr="008B2522" w:rsidRDefault="000E2AE0" w:rsidP="00DE6CD4">
            <w:pPr>
              <w:pStyle w:val="TableParagraph"/>
              <w:spacing w:line="237" w:lineRule="auto"/>
              <w:ind w:leftChars="18" w:left="40" w:rightChars="18" w:right="40"/>
              <w:jc w:val="both"/>
              <w:rPr>
                <w:sz w:val="14"/>
              </w:rPr>
            </w:pPr>
            <w:r w:rsidRPr="008B2522">
              <w:t xml:space="preserve">Poprawa ostrości wzroku </w:t>
            </w:r>
            <w:r w:rsidRPr="008B2522">
              <w:rPr>
                <w:rFonts w:ascii="Symbol" w:hAnsi="Symbol"/>
              </w:rPr>
              <w:t></w:t>
            </w:r>
            <w:r w:rsidRPr="008B2522">
              <w:t>15 liter (%)</w:t>
            </w:r>
            <w:r w:rsidRPr="008B2522">
              <w:rPr>
                <w:position w:val="8"/>
                <w:sz w:val="14"/>
              </w:rPr>
              <w:t>a</w:t>
            </w:r>
          </w:p>
        </w:tc>
        <w:tc>
          <w:tcPr>
            <w:tcW w:w="1498" w:type="dxa"/>
          </w:tcPr>
          <w:p w14:paraId="67158D03" w14:textId="77777777" w:rsidR="001432C3" w:rsidRPr="008B2522" w:rsidRDefault="000E2AE0" w:rsidP="00DE6CD4">
            <w:pPr>
              <w:pStyle w:val="TableParagraph"/>
              <w:spacing w:line="247" w:lineRule="exact"/>
              <w:ind w:leftChars="18" w:left="40" w:rightChars="18" w:right="40"/>
              <w:jc w:val="center"/>
            </w:pPr>
            <w:r w:rsidRPr="008B2522">
              <w:t>Miesiąc 12</w:t>
            </w:r>
          </w:p>
        </w:tc>
        <w:tc>
          <w:tcPr>
            <w:tcW w:w="1294" w:type="dxa"/>
          </w:tcPr>
          <w:p w14:paraId="40CF8BD9" w14:textId="77777777" w:rsidR="001432C3" w:rsidRPr="008B2522" w:rsidRDefault="000E2AE0" w:rsidP="00DE6CD4">
            <w:pPr>
              <w:pStyle w:val="TableParagraph"/>
              <w:spacing w:line="247" w:lineRule="exact"/>
              <w:ind w:leftChars="18" w:left="40" w:rightChars="18" w:right="40"/>
              <w:jc w:val="center"/>
            </w:pPr>
            <w:r w:rsidRPr="008B2522">
              <w:t>5%</w:t>
            </w:r>
          </w:p>
        </w:tc>
        <w:tc>
          <w:tcPr>
            <w:tcW w:w="1253" w:type="dxa"/>
          </w:tcPr>
          <w:p w14:paraId="7534E2EA" w14:textId="77777777" w:rsidR="001432C3" w:rsidRPr="008B2522" w:rsidRDefault="000E2AE0" w:rsidP="00DE6CD4">
            <w:pPr>
              <w:pStyle w:val="TableParagraph"/>
              <w:spacing w:line="247" w:lineRule="exact"/>
              <w:ind w:leftChars="18" w:left="40" w:rightChars="18" w:right="40"/>
              <w:jc w:val="center"/>
            </w:pPr>
            <w:r w:rsidRPr="008B2522">
              <w:t>34%</w:t>
            </w:r>
          </w:p>
        </w:tc>
        <w:tc>
          <w:tcPr>
            <w:tcW w:w="1642" w:type="dxa"/>
          </w:tcPr>
          <w:p w14:paraId="08F2181B" w14:textId="77777777" w:rsidR="001432C3" w:rsidRPr="008B2522" w:rsidRDefault="000E2AE0" w:rsidP="00DE6CD4">
            <w:pPr>
              <w:pStyle w:val="TableParagraph"/>
              <w:spacing w:line="247" w:lineRule="exact"/>
              <w:ind w:leftChars="18" w:left="40" w:rightChars="18" w:right="40"/>
              <w:jc w:val="center"/>
            </w:pPr>
            <w:r w:rsidRPr="008B2522">
              <w:t>6%</w:t>
            </w:r>
          </w:p>
        </w:tc>
        <w:tc>
          <w:tcPr>
            <w:tcW w:w="1349" w:type="dxa"/>
          </w:tcPr>
          <w:p w14:paraId="4A938944" w14:textId="77777777" w:rsidR="001432C3" w:rsidRPr="008B2522" w:rsidRDefault="000E2AE0" w:rsidP="00DE6CD4">
            <w:pPr>
              <w:pStyle w:val="TableParagraph"/>
              <w:spacing w:line="247" w:lineRule="exact"/>
              <w:ind w:leftChars="18" w:left="40" w:rightChars="18" w:right="40"/>
              <w:jc w:val="center"/>
            </w:pPr>
            <w:r w:rsidRPr="008B2522">
              <w:t>40%</w:t>
            </w:r>
          </w:p>
        </w:tc>
      </w:tr>
      <w:tr w:rsidR="001432C3" w:rsidRPr="008B2522" w14:paraId="4473A498" w14:textId="77777777">
        <w:trPr>
          <w:trHeight w:hRule="exact" w:val="523"/>
        </w:trPr>
        <w:tc>
          <w:tcPr>
            <w:tcW w:w="2026" w:type="dxa"/>
            <w:vMerge/>
          </w:tcPr>
          <w:p w14:paraId="11285FF4" w14:textId="77777777" w:rsidR="001432C3" w:rsidRPr="008B2522" w:rsidRDefault="001432C3" w:rsidP="00DE6CD4">
            <w:pPr>
              <w:ind w:leftChars="18" w:left="40" w:rightChars="18" w:right="40"/>
            </w:pPr>
          </w:p>
        </w:tc>
        <w:tc>
          <w:tcPr>
            <w:tcW w:w="1498" w:type="dxa"/>
          </w:tcPr>
          <w:p w14:paraId="54F5C8B0" w14:textId="77777777" w:rsidR="001432C3" w:rsidRPr="008B2522" w:rsidRDefault="000E2AE0" w:rsidP="00DE6CD4">
            <w:pPr>
              <w:pStyle w:val="TableParagraph"/>
              <w:spacing w:line="247" w:lineRule="exact"/>
              <w:ind w:leftChars="18" w:left="40" w:rightChars="18" w:right="40"/>
              <w:jc w:val="center"/>
            </w:pPr>
            <w:r w:rsidRPr="008B2522">
              <w:t>Miesiąc 24</w:t>
            </w:r>
          </w:p>
        </w:tc>
        <w:tc>
          <w:tcPr>
            <w:tcW w:w="1294" w:type="dxa"/>
          </w:tcPr>
          <w:p w14:paraId="7420F8DA" w14:textId="77777777" w:rsidR="001432C3" w:rsidRPr="008B2522" w:rsidRDefault="000E2AE0" w:rsidP="00DE6CD4">
            <w:pPr>
              <w:pStyle w:val="TableParagraph"/>
              <w:spacing w:line="247" w:lineRule="exact"/>
              <w:ind w:leftChars="18" w:left="40" w:rightChars="18" w:right="40"/>
              <w:jc w:val="center"/>
            </w:pPr>
            <w:r w:rsidRPr="008B2522">
              <w:t>4%</w:t>
            </w:r>
          </w:p>
        </w:tc>
        <w:tc>
          <w:tcPr>
            <w:tcW w:w="1253" w:type="dxa"/>
          </w:tcPr>
          <w:p w14:paraId="2FF7B922" w14:textId="77777777" w:rsidR="001432C3" w:rsidRPr="008B2522" w:rsidRDefault="000E2AE0" w:rsidP="00DE6CD4">
            <w:pPr>
              <w:pStyle w:val="TableParagraph"/>
              <w:spacing w:line="247" w:lineRule="exact"/>
              <w:ind w:leftChars="18" w:left="40" w:rightChars="18" w:right="40"/>
              <w:jc w:val="center"/>
            </w:pPr>
            <w:r w:rsidRPr="008B2522">
              <w:t>33%</w:t>
            </w:r>
          </w:p>
        </w:tc>
        <w:tc>
          <w:tcPr>
            <w:tcW w:w="1642" w:type="dxa"/>
          </w:tcPr>
          <w:p w14:paraId="4D862398" w14:textId="77777777" w:rsidR="001432C3" w:rsidRPr="008B2522" w:rsidRDefault="000E2AE0" w:rsidP="00DE6CD4">
            <w:pPr>
              <w:pStyle w:val="TableParagraph"/>
              <w:spacing w:line="247" w:lineRule="exact"/>
              <w:ind w:leftChars="18" w:left="40" w:rightChars="18" w:right="40"/>
              <w:jc w:val="center"/>
            </w:pPr>
            <w:r w:rsidRPr="008B2522">
              <w:t>6%</w:t>
            </w:r>
          </w:p>
        </w:tc>
        <w:tc>
          <w:tcPr>
            <w:tcW w:w="1349" w:type="dxa"/>
          </w:tcPr>
          <w:p w14:paraId="2E105AAF" w14:textId="77777777" w:rsidR="001432C3" w:rsidRPr="008B2522" w:rsidRDefault="000E2AE0" w:rsidP="00DE6CD4">
            <w:pPr>
              <w:pStyle w:val="TableParagraph"/>
              <w:spacing w:line="247" w:lineRule="exact"/>
              <w:ind w:leftChars="18" w:left="40" w:rightChars="18" w:right="40"/>
              <w:jc w:val="center"/>
            </w:pPr>
            <w:r w:rsidRPr="008B2522">
              <w:t>41%</w:t>
            </w:r>
          </w:p>
        </w:tc>
      </w:tr>
      <w:tr w:rsidR="001432C3" w:rsidRPr="008B2522" w14:paraId="738938DB" w14:textId="77777777">
        <w:trPr>
          <w:trHeight w:hRule="exact" w:val="262"/>
        </w:trPr>
        <w:tc>
          <w:tcPr>
            <w:tcW w:w="2026" w:type="dxa"/>
            <w:vMerge w:val="restart"/>
          </w:tcPr>
          <w:p w14:paraId="237E3DD4" w14:textId="77777777" w:rsidR="001432C3" w:rsidRPr="008B2522" w:rsidRDefault="000E2AE0" w:rsidP="00DE6CD4">
            <w:pPr>
              <w:pStyle w:val="TableParagraph"/>
              <w:spacing w:line="237" w:lineRule="auto"/>
              <w:ind w:leftChars="18" w:left="40" w:rightChars="18" w:right="40"/>
              <w:rPr>
                <w:sz w:val="14"/>
              </w:rPr>
            </w:pPr>
            <w:r w:rsidRPr="008B2522">
              <w:t>Średnia zmiana w ostrości wzroku (litery) (SD)</w:t>
            </w:r>
            <w:r w:rsidRPr="008B2522">
              <w:rPr>
                <w:position w:val="8"/>
                <w:sz w:val="14"/>
              </w:rPr>
              <w:t>a</w:t>
            </w:r>
          </w:p>
        </w:tc>
        <w:tc>
          <w:tcPr>
            <w:tcW w:w="1498" w:type="dxa"/>
          </w:tcPr>
          <w:p w14:paraId="3D16A2FE" w14:textId="77777777" w:rsidR="001432C3" w:rsidRPr="008B2522" w:rsidRDefault="000E2AE0" w:rsidP="00DE6CD4">
            <w:pPr>
              <w:pStyle w:val="TableParagraph"/>
              <w:spacing w:line="247" w:lineRule="exact"/>
              <w:ind w:leftChars="18" w:left="40" w:rightChars="18" w:right="40"/>
              <w:jc w:val="center"/>
            </w:pPr>
            <w:r w:rsidRPr="008B2522">
              <w:t>Miesiąc 12</w:t>
            </w:r>
          </w:p>
        </w:tc>
        <w:tc>
          <w:tcPr>
            <w:tcW w:w="1294" w:type="dxa"/>
          </w:tcPr>
          <w:p w14:paraId="2877ADDC" w14:textId="77777777" w:rsidR="001432C3" w:rsidRPr="008B2522" w:rsidRDefault="000E2AE0" w:rsidP="00DE6CD4">
            <w:pPr>
              <w:pStyle w:val="TableParagraph"/>
              <w:spacing w:line="247" w:lineRule="exact"/>
              <w:ind w:leftChars="18" w:left="40" w:rightChars="18" w:right="40"/>
              <w:jc w:val="center"/>
            </w:pPr>
            <w:r w:rsidRPr="008B2522">
              <w:t>-10,5 (16,6)</w:t>
            </w:r>
          </w:p>
        </w:tc>
        <w:tc>
          <w:tcPr>
            <w:tcW w:w="1253" w:type="dxa"/>
          </w:tcPr>
          <w:p w14:paraId="1255A49F" w14:textId="77777777" w:rsidR="001432C3" w:rsidRPr="008B2522" w:rsidRDefault="000E2AE0" w:rsidP="00DE6CD4">
            <w:pPr>
              <w:pStyle w:val="TableParagraph"/>
              <w:spacing w:line="247" w:lineRule="exact"/>
              <w:ind w:leftChars="18" w:left="40" w:rightChars="18" w:right="40"/>
              <w:jc w:val="center"/>
            </w:pPr>
            <w:r w:rsidRPr="008B2522">
              <w:t>+7,2 (14,4)</w:t>
            </w:r>
          </w:p>
        </w:tc>
        <w:tc>
          <w:tcPr>
            <w:tcW w:w="1642" w:type="dxa"/>
          </w:tcPr>
          <w:p w14:paraId="7A99171D" w14:textId="77777777" w:rsidR="001432C3" w:rsidRPr="008B2522" w:rsidRDefault="000E2AE0" w:rsidP="00DE6CD4">
            <w:pPr>
              <w:pStyle w:val="TableParagraph"/>
              <w:spacing w:line="247" w:lineRule="exact"/>
              <w:ind w:leftChars="18" w:left="40" w:rightChars="18" w:right="40"/>
              <w:jc w:val="center"/>
            </w:pPr>
            <w:r w:rsidRPr="008B2522">
              <w:t>-9,5 (16,4)</w:t>
            </w:r>
          </w:p>
        </w:tc>
        <w:tc>
          <w:tcPr>
            <w:tcW w:w="1349" w:type="dxa"/>
          </w:tcPr>
          <w:p w14:paraId="5E18ABF2" w14:textId="77777777" w:rsidR="001432C3" w:rsidRPr="008B2522" w:rsidRDefault="000E2AE0" w:rsidP="00DE6CD4">
            <w:pPr>
              <w:pStyle w:val="TableParagraph"/>
              <w:spacing w:line="247" w:lineRule="exact"/>
              <w:ind w:leftChars="18" w:left="40" w:rightChars="18" w:right="40"/>
              <w:jc w:val="center"/>
            </w:pPr>
            <w:r w:rsidRPr="008B2522">
              <w:t>+11,3 (14,6)</w:t>
            </w:r>
          </w:p>
        </w:tc>
      </w:tr>
      <w:tr w:rsidR="001432C3" w:rsidRPr="008B2522" w14:paraId="4FAFF56B" w14:textId="77777777">
        <w:trPr>
          <w:trHeight w:hRule="exact" w:val="506"/>
        </w:trPr>
        <w:tc>
          <w:tcPr>
            <w:tcW w:w="2026" w:type="dxa"/>
            <w:vMerge/>
          </w:tcPr>
          <w:p w14:paraId="72571082" w14:textId="77777777" w:rsidR="001432C3" w:rsidRPr="008B2522" w:rsidRDefault="001432C3" w:rsidP="00DE6CD4">
            <w:pPr>
              <w:ind w:leftChars="18" w:left="40" w:rightChars="18" w:right="40"/>
            </w:pPr>
          </w:p>
        </w:tc>
        <w:tc>
          <w:tcPr>
            <w:tcW w:w="1498" w:type="dxa"/>
          </w:tcPr>
          <w:p w14:paraId="11213B3F" w14:textId="77777777" w:rsidR="001432C3" w:rsidRPr="008B2522" w:rsidRDefault="000E2AE0" w:rsidP="00DE6CD4">
            <w:pPr>
              <w:pStyle w:val="TableParagraph"/>
              <w:spacing w:line="249" w:lineRule="exact"/>
              <w:ind w:leftChars="18" w:left="40" w:rightChars="18" w:right="40"/>
              <w:jc w:val="center"/>
            </w:pPr>
            <w:r w:rsidRPr="008B2522">
              <w:t>Miesiąc 24</w:t>
            </w:r>
          </w:p>
        </w:tc>
        <w:tc>
          <w:tcPr>
            <w:tcW w:w="1294" w:type="dxa"/>
          </w:tcPr>
          <w:p w14:paraId="42EAA8A4" w14:textId="77777777" w:rsidR="001432C3" w:rsidRPr="008B2522" w:rsidRDefault="000E2AE0" w:rsidP="00DE6CD4">
            <w:pPr>
              <w:pStyle w:val="TableParagraph"/>
              <w:spacing w:line="249" w:lineRule="exact"/>
              <w:ind w:leftChars="18" w:left="40" w:rightChars="18" w:right="40"/>
              <w:jc w:val="center"/>
            </w:pPr>
            <w:r w:rsidRPr="008B2522">
              <w:t>-14,9 (18,7)</w:t>
            </w:r>
          </w:p>
        </w:tc>
        <w:tc>
          <w:tcPr>
            <w:tcW w:w="1253" w:type="dxa"/>
          </w:tcPr>
          <w:p w14:paraId="3F5483BB" w14:textId="77777777" w:rsidR="001432C3" w:rsidRPr="008B2522" w:rsidRDefault="000E2AE0" w:rsidP="00DE6CD4">
            <w:pPr>
              <w:pStyle w:val="TableParagraph"/>
              <w:spacing w:line="249" w:lineRule="exact"/>
              <w:ind w:leftChars="18" w:left="40" w:rightChars="18" w:right="40"/>
              <w:jc w:val="center"/>
            </w:pPr>
            <w:r w:rsidRPr="008B2522">
              <w:t>+6,6 (16,5)</w:t>
            </w:r>
          </w:p>
        </w:tc>
        <w:tc>
          <w:tcPr>
            <w:tcW w:w="1642" w:type="dxa"/>
          </w:tcPr>
          <w:p w14:paraId="284E62D8" w14:textId="77777777" w:rsidR="001432C3" w:rsidRPr="008B2522" w:rsidRDefault="000E2AE0" w:rsidP="00DE6CD4">
            <w:pPr>
              <w:pStyle w:val="TableParagraph"/>
              <w:spacing w:line="249" w:lineRule="exact"/>
              <w:ind w:leftChars="18" w:left="40" w:rightChars="18" w:right="40"/>
              <w:jc w:val="center"/>
            </w:pPr>
            <w:r w:rsidRPr="008B2522">
              <w:t>-9,8 (17,6)</w:t>
            </w:r>
          </w:p>
        </w:tc>
        <w:tc>
          <w:tcPr>
            <w:tcW w:w="1349" w:type="dxa"/>
          </w:tcPr>
          <w:p w14:paraId="6232BE00" w14:textId="77777777" w:rsidR="001432C3" w:rsidRPr="008B2522" w:rsidRDefault="000E2AE0" w:rsidP="00DE6CD4">
            <w:pPr>
              <w:pStyle w:val="TableParagraph"/>
              <w:spacing w:line="249" w:lineRule="exact"/>
              <w:ind w:leftChars="18" w:left="40" w:rightChars="18" w:right="40"/>
              <w:jc w:val="center"/>
            </w:pPr>
            <w:r w:rsidRPr="008B2522">
              <w:t>+10,7 (16,5)</w:t>
            </w:r>
          </w:p>
        </w:tc>
      </w:tr>
    </w:tbl>
    <w:p w14:paraId="2C66E788" w14:textId="77777777" w:rsidR="001432C3" w:rsidRPr="008B2522" w:rsidRDefault="000E2AE0">
      <w:pPr>
        <w:pStyle w:val="a3"/>
        <w:ind w:left="118"/>
      </w:pPr>
      <w:r w:rsidRPr="008B2522">
        <w:rPr>
          <w:sz w:val="14"/>
        </w:rPr>
        <w:t>a</w:t>
      </w:r>
      <w:r w:rsidRPr="008B2522">
        <w:rPr>
          <w:position w:val="-7"/>
        </w:rPr>
        <w:t>p&lt;0,01</w:t>
      </w:r>
    </w:p>
    <w:p w14:paraId="02CD2833" w14:textId="77777777" w:rsidR="001432C3" w:rsidRPr="008B2522" w:rsidRDefault="001432C3">
      <w:pPr>
        <w:sectPr w:rsidR="001432C3" w:rsidRPr="008B2522" w:rsidSect="00105C10">
          <w:pgSz w:w="11910" w:h="16840"/>
          <w:pgMar w:top="1040" w:right="1300" w:bottom="900" w:left="1300" w:header="0" w:footer="656" w:gutter="0"/>
          <w:cols w:space="720"/>
        </w:sectPr>
      </w:pPr>
    </w:p>
    <w:p w14:paraId="138BCD33" w14:textId="77777777" w:rsidR="001432C3" w:rsidRPr="008B2522" w:rsidRDefault="008A49C3" w:rsidP="00E0574D">
      <w:pPr>
        <w:pStyle w:val="1"/>
        <w:tabs>
          <w:tab w:val="left" w:pos="1251"/>
        </w:tabs>
        <w:spacing w:before="73"/>
        <w:ind w:leftChars="64" w:left="1275" w:right="102" w:hanging="1134"/>
      </w:pPr>
      <w:r w:rsidRPr="008B2522">
        <w:lastRenderedPageBreak/>
        <w:t>Rycina</w:t>
      </w:r>
      <w:r>
        <w:t> </w:t>
      </w:r>
      <w:r w:rsidR="000E2AE0" w:rsidRPr="008B2522">
        <w:t>1</w:t>
      </w:r>
      <w:r w:rsidR="000E2AE0" w:rsidRPr="008B2522">
        <w:tab/>
        <w:t>Średnia zmiana ostrości wzroku w stosunku do stanu wyjściowego do miesiąca</w:t>
      </w:r>
      <w:r w:rsidR="000E2AE0" w:rsidRPr="008B2522">
        <w:rPr>
          <w:spacing w:val="-11"/>
        </w:rPr>
        <w:t xml:space="preserve"> </w:t>
      </w:r>
      <w:r w:rsidR="000E2AE0" w:rsidRPr="008B2522">
        <w:t>24</w:t>
      </w:r>
      <w:r w:rsidR="000E2AE0" w:rsidRPr="008B2522">
        <w:rPr>
          <w:spacing w:val="-4"/>
        </w:rPr>
        <w:t xml:space="preserve"> </w:t>
      </w:r>
      <w:r w:rsidR="000E2AE0" w:rsidRPr="008B2522">
        <w:t>w badaniu FVF2598g (MARINA) oraz w badaniu FVF2587g</w:t>
      </w:r>
      <w:r w:rsidR="000E2AE0" w:rsidRPr="008B2522">
        <w:rPr>
          <w:spacing w:val="-13"/>
        </w:rPr>
        <w:t xml:space="preserve"> </w:t>
      </w:r>
      <w:r w:rsidR="000E2AE0" w:rsidRPr="008B2522">
        <w:t>(ANCHOR)</w:t>
      </w:r>
    </w:p>
    <w:p w14:paraId="754BD87F" w14:textId="77777777" w:rsidR="008A49C3" w:rsidRPr="00D22CB7" w:rsidRDefault="008A49C3">
      <w:pPr>
        <w:pStyle w:val="a3"/>
        <w:spacing w:before="8"/>
        <w:rPr>
          <w:noProof/>
          <w:lang w:eastAsia="en-GB"/>
        </w:rPr>
      </w:pPr>
    </w:p>
    <w:tbl>
      <w:tblPr>
        <w:tblStyle w:val="a6"/>
        <w:tblpPr w:leftFromText="141" w:rightFromText="141" w:vertAnchor="text" w:horzAnchor="margin" w:tblpXSpec="right" w:tblpY="8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696"/>
        <w:gridCol w:w="13"/>
        <w:gridCol w:w="3287"/>
        <w:gridCol w:w="696"/>
      </w:tblGrid>
      <w:tr w:rsidR="008A49C3" w:rsidRPr="00576E5E" w14:paraId="34074947" w14:textId="77777777" w:rsidTr="008A49C3">
        <w:tc>
          <w:tcPr>
            <w:tcW w:w="4257" w:type="dxa"/>
            <w:gridSpan w:val="2"/>
          </w:tcPr>
          <w:p w14:paraId="79BD6F1A" w14:textId="77777777" w:rsidR="008A49C3" w:rsidRPr="00576E5E" w:rsidRDefault="008A49C3" w:rsidP="008A49C3">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3"/>
          </w:tcPr>
          <w:p w14:paraId="735C3918" w14:textId="77777777" w:rsidR="008A49C3" w:rsidRPr="00576E5E" w:rsidRDefault="008A49C3" w:rsidP="008A49C3">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8A49C3" w:rsidRPr="00576E5E" w14:paraId="467D07B2" w14:textId="77777777" w:rsidTr="008A49C3">
        <w:trPr>
          <w:gridAfter w:val="1"/>
          <w:wAfter w:w="696" w:type="dxa"/>
        </w:trPr>
        <w:tc>
          <w:tcPr>
            <w:tcW w:w="3561" w:type="dxa"/>
            <w:vAlign w:val="center"/>
          </w:tcPr>
          <w:p w14:paraId="1692F081" w14:textId="687FC59A" w:rsidR="008A49C3" w:rsidRPr="00576E5E" w:rsidRDefault="008A49C3" w:rsidP="008A49C3">
            <w:pPr>
              <w:pStyle w:val="a3"/>
              <w:spacing w:before="3"/>
              <w:jc w:val="both"/>
              <w:rPr>
                <w:rFonts w:ascii="Arial" w:eastAsiaTheme="minorEastAsia" w:hAnsi="Arial" w:cs="Arial"/>
                <w:sz w:val="18"/>
                <w:lang w:eastAsia="ko-KR"/>
              </w:rPr>
            </w:pPr>
            <w:r w:rsidRPr="00576E5E">
              <w:rPr>
                <w:rFonts w:ascii="Arial" w:hAnsi="Arial" w:cs="Arial"/>
                <w:noProof/>
                <w:sz w:val="18"/>
                <w:lang w:val="es-ES" w:eastAsia="ko-KR"/>
              </w:rPr>
              <w:drawing>
                <wp:inline distT="0" distB="0" distL="0" distR="0" wp14:anchorId="74532646" wp14:editId="34F0529A">
                  <wp:extent cx="286100" cy="168295"/>
                  <wp:effectExtent l="0" t="0" r="0" b="3175"/>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heme="minorEastAsia" w:hAnsi="Arial" w:cs="Arial"/>
                <w:sz w:val="18"/>
                <w:lang w:eastAsia="ko-KR"/>
              </w:rPr>
              <w:t xml:space="preserve"> Ranibizumab 0,</w:t>
            </w:r>
            <w:r w:rsidRPr="00576E5E">
              <w:rPr>
                <w:rFonts w:ascii="Arial" w:eastAsiaTheme="minorEastAsia" w:hAnsi="Arial" w:cs="Arial"/>
                <w:sz w:val="18"/>
                <w:lang w:eastAsia="ko-KR"/>
              </w:rPr>
              <w:t>5</w:t>
            </w:r>
            <w:r w:rsidR="00257CD6">
              <w:rPr>
                <w:rFonts w:ascii="Arial" w:eastAsiaTheme="minorEastAsia" w:hAnsi="Arial" w:cs="Arial"/>
                <w:sz w:val="18"/>
                <w:lang w:eastAsia="ko-KR"/>
              </w:rPr>
              <w:t> mg</w:t>
            </w:r>
            <w:r w:rsidRPr="00576E5E">
              <w:rPr>
                <w:rFonts w:ascii="Arial" w:eastAsiaTheme="minorEastAsia" w:hAnsi="Arial" w:cs="Arial"/>
                <w:sz w:val="18"/>
                <w:lang w:eastAsia="ko-KR"/>
              </w:rPr>
              <w:t xml:space="preserve"> (n=240)</w:t>
            </w:r>
          </w:p>
        </w:tc>
        <w:tc>
          <w:tcPr>
            <w:tcW w:w="709" w:type="dxa"/>
            <w:gridSpan w:val="2"/>
            <w:vAlign w:val="center"/>
          </w:tcPr>
          <w:p w14:paraId="1E2131D3" w14:textId="77777777" w:rsidR="008A49C3" w:rsidRPr="00576E5E" w:rsidRDefault="008A49C3" w:rsidP="008A49C3">
            <w:pPr>
              <w:pStyle w:val="a3"/>
              <w:spacing w:before="3"/>
              <w:jc w:val="both"/>
              <w:rPr>
                <w:rFonts w:ascii="Arial" w:hAnsi="Arial" w:cs="Arial"/>
                <w:sz w:val="18"/>
              </w:rPr>
            </w:pPr>
            <w:r w:rsidRPr="00576E5E">
              <w:rPr>
                <w:rFonts w:ascii="Arial" w:hAnsi="Arial" w:cs="Arial"/>
                <w:noProof/>
                <w:sz w:val="18"/>
                <w:lang w:val="es-ES" w:eastAsia="ko-KR"/>
              </w:rPr>
              <w:drawing>
                <wp:inline distT="0" distB="0" distL="0" distR="0" wp14:anchorId="029DAB80" wp14:editId="75C900E6">
                  <wp:extent cx="274320" cy="173355"/>
                  <wp:effectExtent l="0" t="0" r="0" b="0"/>
                  <wp:docPr id="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7A811E87" w14:textId="77777777" w:rsidR="008A49C3" w:rsidRPr="00576E5E" w:rsidRDefault="008A49C3" w:rsidP="008A49C3">
            <w:pPr>
              <w:pStyle w:val="a3"/>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sidR="00257CD6">
              <w:rPr>
                <w:rFonts w:ascii="Arial" w:eastAsiaTheme="minorEastAsia" w:hAnsi="Arial" w:cs="Arial"/>
                <w:sz w:val="18"/>
                <w:lang w:eastAsia="ko-KR"/>
              </w:rPr>
              <w:t> mg</w:t>
            </w:r>
            <w:r w:rsidRPr="00576E5E">
              <w:rPr>
                <w:rFonts w:ascii="Arial" w:eastAsiaTheme="minorEastAsia" w:hAnsi="Arial" w:cs="Arial"/>
                <w:sz w:val="18"/>
                <w:lang w:eastAsia="ko-KR"/>
              </w:rPr>
              <w:t xml:space="preserve"> (n=140)</w:t>
            </w:r>
          </w:p>
        </w:tc>
      </w:tr>
      <w:tr w:rsidR="008A49C3" w:rsidRPr="00576E5E" w14:paraId="66968BB5" w14:textId="77777777" w:rsidTr="008A49C3">
        <w:trPr>
          <w:gridAfter w:val="1"/>
          <w:wAfter w:w="696" w:type="dxa"/>
        </w:trPr>
        <w:tc>
          <w:tcPr>
            <w:tcW w:w="3561" w:type="dxa"/>
            <w:vAlign w:val="center"/>
          </w:tcPr>
          <w:p w14:paraId="459D0BCF" w14:textId="77777777" w:rsidR="008A49C3" w:rsidRPr="00576E5E" w:rsidRDefault="008A49C3" w:rsidP="008A49C3">
            <w:pPr>
              <w:pStyle w:val="a3"/>
              <w:spacing w:before="3"/>
              <w:jc w:val="both"/>
              <w:rPr>
                <w:rFonts w:ascii="Arial" w:eastAsiaTheme="minorEastAsia" w:hAnsi="Arial" w:cs="Arial"/>
                <w:sz w:val="18"/>
                <w:lang w:eastAsia="ko-KR"/>
              </w:rPr>
            </w:pPr>
            <w:r w:rsidRPr="00576E5E">
              <w:rPr>
                <w:rFonts w:ascii="Arial" w:hAnsi="Arial" w:cs="Arial"/>
                <w:noProof/>
                <w:sz w:val="18"/>
                <w:lang w:val="es-ES" w:eastAsia="ko-KR"/>
              </w:rPr>
              <w:drawing>
                <wp:inline distT="0" distB="0" distL="0" distR="0" wp14:anchorId="3B3468A0" wp14:editId="649E9046">
                  <wp:extent cx="302260" cy="201295"/>
                  <wp:effectExtent l="0" t="0" r="2540" b="8255"/>
                  <wp:docPr id="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r w:rsidRPr="00F75654">
              <w:rPr>
                <w:rFonts w:ascii="Arial" w:eastAsiaTheme="minorEastAsia" w:hAnsi="Arial" w:cs="Arial"/>
                <w:sz w:val="18"/>
                <w:lang w:eastAsia="ko-KR"/>
              </w:rPr>
              <w:t>Wstrzyknięcie pozorowane</w:t>
            </w:r>
            <w:r w:rsidRPr="00576E5E">
              <w:rPr>
                <w:rFonts w:ascii="Arial" w:eastAsiaTheme="minorEastAsia" w:hAnsi="Arial" w:cs="Arial"/>
                <w:sz w:val="18"/>
                <w:lang w:eastAsia="ko-KR"/>
              </w:rPr>
              <w:t xml:space="preserve"> (n=238)</w:t>
            </w:r>
          </w:p>
        </w:tc>
        <w:tc>
          <w:tcPr>
            <w:tcW w:w="709" w:type="dxa"/>
            <w:gridSpan w:val="2"/>
            <w:vAlign w:val="center"/>
          </w:tcPr>
          <w:p w14:paraId="34DADD5D" w14:textId="77777777" w:rsidR="008A49C3" w:rsidRPr="00576E5E" w:rsidRDefault="008A49C3" w:rsidP="008A49C3">
            <w:pPr>
              <w:pStyle w:val="a3"/>
              <w:spacing w:before="3"/>
              <w:jc w:val="both"/>
              <w:rPr>
                <w:rFonts w:ascii="Arial" w:hAnsi="Arial" w:cs="Arial"/>
                <w:sz w:val="18"/>
              </w:rPr>
            </w:pPr>
            <w:r w:rsidRPr="00576E5E">
              <w:rPr>
                <w:rFonts w:ascii="Arial" w:hAnsi="Arial" w:cs="Arial"/>
                <w:noProof/>
                <w:sz w:val="18"/>
                <w:lang w:val="es-ES" w:eastAsia="ko-KR"/>
              </w:rPr>
              <w:drawing>
                <wp:inline distT="0" distB="0" distL="0" distR="0" wp14:anchorId="3211B894" wp14:editId="6CE2D5DD">
                  <wp:extent cx="313690" cy="195580"/>
                  <wp:effectExtent l="0" t="0" r="0" b="0"/>
                  <wp:docPr id="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4B6B1878" w14:textId="77777777" w:rsidR="008A49C3" w:rsidRPr="00576E5E" w:rsidRDefault="008A49C3" w:rsidP="008A49C3">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 xml:space="preserve">PDT </w:t>
            </w:r>
            <w:r>
              <w:rPr>
                <w:rFonts w:ascii="Arial" w:eastAsiaTheme="minorEastAsia" w:hAnsi="Arial" w:cs="Arial"/>
                <w:sz w:val="18"/>
                <w:lang w:eastAsia="ko-KR"/>
              </w:rPr>
              <w:t xml:space="preserve">z werteporfiną </w:t>
            </w:r>
            <w:r w:rsidRPr="00576E5E">
              <w:rPr>
                <w:rFonts w:ascii="Arial" w:eastAsiaTheme="minorEastAsia" w:hAnsi="Arial" w:cs="Arial"/>
                <w:sz w:val="18"/>
                <w:lang w:eastAsia="ko-KR"/>
              </w:rPr>
              <w:t>(n=143)</w:t>
            </w:r>
          </w:p>
        </w:tc>
      </w:tr>
    </w:tbl>
    <w:p w14:paraId="387A8FF9" w14:textId="77777777" w:rsidR="00F75654" w:rsidRDefault="008A49C3" w:rsidP="00DE6CD4">
      <w:pPr>
        <w:pStyle w:val="a3"/>
        <w:spacing w:before="8"/>
      </w:pPr>
      <w:r w:rsidRPr="008B2522">
        <w:rPr>
          <w:noProof/>
          <w:lang w:val="en-GB" w:eastAsia="en-GB"/>
        </w:rPr>
        <w:t xml:space="preserve"> </w:t>
      </w:r>
      <w:r w:rsidR="000E2AE0" w:rsidRPr="008B2522">
        <w:rPr>
          <w:noProof/>
          <w:lang w:val="es-ES" w:eastAsia="ko-KR"/>
        </w:rPr>
        <w:drawing>
          <wp:anchor distT="0" distB="0" distL="0" distR="0" simplePos="0" relativeHeight="251618816" behindDoc="0" locked="0" layoutInCell="1" allowOverlap="1" wp14:anchorId="55335FCB" wp14:editId="2EEEC6CA">
            <wp:simplePos x="0" y="0"/>
            <wp:positionH relativeFrom="page">
              <wp:posOffset>903605</wp:posOffset>
            </wp:positionH>
            <wp:positionV relativeFrom="paragraph">
              <wp:posOffset>162560</wp:posOffset>
            </wp:positionV>
            <wp:extent cx="5412740" cy="52736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6" cstate="print"/>
                    <a:srcRect b="14087"/>
                    <a:stretch/>
                  </pic:blipFill>
                  <pic:spPr bwMode="auto">
                    <a:xfrm>
                      <a:off x="0" y="0"/>
                      <a:ext cx="5412740" cy="5273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0F2088A" w14:textId="77777777" w:rsidR="008A49C3" w:rsidRDefault="008A49C3">
      <w:pPr>
        <w:pStyle w:val="a3"/>
        <w:spacing w:before="68"/>
        <w:ind w:left="118" w:right="287"/>
      </w:pPr>
    </w:p>
    <w:p w14:paraId="703E821A" w14:textId="77777777" w:rsidR="008A49C3" w:rsidRDefault="008A49C3">
      <w:pPr>
        <w:pStyle w:val="a3"/>
        <w:spacing w:before="68"/>
        <w:ind w:left="118" w:right="287"/>
      </w:pPr>
    </w:p>
    <w:p w14:paraId="291215D5" w14:textId="77777777" w:rsidR="008A49C3" w:rsidRDefault="008A49C3">
      <w:pPr>
        <w:pStyle w:val="a3"/>
        <w:spacing w:before="68"/>
        <w:ind w:left="118" w:right="287"/>
      </w:pPr>
    </w:p>
    <w:p w14:paraId="35DC65EB" w14:textId="77777777" w:rsidR="001432C3" w:rsidRPr="008B2522" w:rsidRDefault="000E2AE0" w:rsidP="00E0574D">
      <w:pPr>
        <w:pStyle w:val="a3"/>
        <w:spacing w:before="68"/>
        <w:ind w:leftChars="64" w:left="141" w:right="287"/>
      </w:pPr>
      <w:r w:rsidRPr="008B2522">
        <w:t xml:space="preserve">Wyniki uzyskane w obu badaniach wskazywały, że kontynuacja leczenia ranibizumabem może być również korzystna dla pacjentów z utratą </w:t>
      </w:r>
      <w:r w:rsidRPr="008B2522">
        <w:rPr>
          <w:rFonts w:ascii="Symbol" w:hAnsi="Symbol"/>
        </w:rPr>
        <w:t></w:t>
      </w:r>
      <w:r w:rsidR="008A49C3" w:rsidRPr="008B2522">
        <w:t>15</w:t>
      </w:r>
      <w:r w:rsidR="008A49C3">
        <w:t> </w:t>
      </w:r>
      <w:r w:rsidRPr="008B2522">
        <w:t>liter w najlepszej korekcji (BCVA) w pierwszym roku leczenia.</w:t>
      </w:r>
    </w:p>
    <w:p w14:paraId="633EC488" w14:textId="77777777" w:rsidR="001432C3" w:rsidRPr="008B2522" w:rsidRDefault="001432C3" w:rsidP="00E0574D">
      <w:pPr>
        <w:pStyle w:val="a3"/>
        <w:ind w:leftChars="64" w:left="141"/>
      </w:pPr>
    </w:p>
    <w:p w14:paraId="7A067F47" w14:textId="77777777" w:rsidR="001432C3" w:rsidRPr="008B2522" w:rsidRDefault="000E2AE0" w:rsidP="00E0574D">
      <w:pPr>
        <w:pStyle w:val="a3"/>
        <w:ind w:leftChars="64" w:left="141" w:right="213"/>
      </w:pPr>
      <w:r w:rsidRPr="008B2522">
        <w:t>Zarówno w badaniu MARINA, jak i w badaniu ANCHOR obserwowano statystycznie znamienne korzyści dotyczące funkcjonowaniu wzroku, zgłaszane przez pacjentów leczonych ranibizumabem w porównaniu z grupą kontrolną, mierzone za pomocą kwestionariusza NEI VFQ-25.</w:t>
      </w:r>
    </w:p>
    <w:p w14:paraId="664DB9E1" w14:textId="77777777" w:rsidR="001432C3" w:rsidRPr="008B2522" w:rsidRDefault="001432C3" w:rsidP="00E0574D">
      <w:pPr>
        <w:pStyle w:val="a3"/>
        <w:ind w:leftChars="64" w:left="141"/>
      </w:pPr>
    </w:p>
    <w:p w14:paraId="4EE0ECF1" w14:textId="77777777" w:rsidR="001432C3" w:rsidRPr="008B2522" w:rsidRDefault="000E2AE0" w:rsidP="00E0574D">
      <w:pPr>
        <w:pStyle w:val="a3"/>
        <w:ind w:leftChars="64" w:left="141" w:right="111"/>
      </w:pPr>
      <w:r w:rsidRPr="008B2522">
        <w:t xml:space="preserve">W badaniu FVF3192g (PIER) </w:t>
      </w:r>
      <w:r w:rsidR="008A49C3" w:rsidRPr="008B2522">
        <w:t>184</w:t>
      </w:r>
      <w:r w:rsidR="008A49C3">
        <w:t> </w:t>
      </w:r>
      <w:r w:rsidRPr="008B2522">
        <w:t xml:space="preserve">pacjentów z wszystkimi formami neowaskularnej postaci AMD zostało losowo przydzielonych w stosunku 1:1:1 do grup otrzymujących </w:t>
      </w:r>
      <w:r w:rsidR="00F75654">
        <w:t>ranibizumab</w:t>
      </w:r>
      <w:r w:rsidRPr="008B2522">
        <w:t xml:space="preserve"> w dawce 0,</w:t>
      </w:r>
      <w:r w:rsidR="008A49C3" w:rsidRPr="008B2522">
        <w:t>3</w:t>
      </w:r>
      <w:r w:rsidR="00257CD6">
        <w:t> mg</w:t>
      </w:r>
      <w:r w:rsidRPr="008B2522">
        <w:rPr>
          <w:spacing w:val="-3"/>
        </w:rPr>
        <w:t xml:space="preserve">, </w:t>
      </w:r>
      <w:r w:rsidR="00F75654">
        <w:t xml:space="preserve">ranibizumab </w:t>
      </w:r>
      <w:r w:rsidRPr="008B2522">
        <w:t>w dawce 0,</w:t>
      </w:r>
      <w:r w:rsidR="008A49C3" w:rsidRPr="008B2522">
        <w:t>5</w:t>
      </w:r>
      <w:r w:rsidR="00257CD6">
        <w:t> mg</w:t>
      </w:r>
      <w:r w:rsidRPr="008B2522">
        <w:t xml:space="preserve"> lub wstrzyknięcia pozorowane raz na miesiąc przez </w:t>
      </w:r>
      <w:r w:rsidR="008A49C3" w:rsidRPr="008B2522">
        <w:t>3</w:t>
      </w:r>
      <w:r w:rsidR="008A49C3">
        <w:t> </w:t>
      </w:r>
      <w:r w:rsidRPr="008B2522">
        <w:t xml:space="preserve">kolejne dawki, a następne dawki podawano raz na </w:t>
      </w:r>
      <w:r w:rsidR="008A49C3" w:rsidRPr="008B2522">
        <w:t>3</w:t>
      </w:r>
      <w:r w:rsidR="008A49C3">
        <w:t> </w:t>
      </w:r>
      <w:r w:rsidRPr="008B2522">
        <w:t xml:space="preserve">miesiące. Od </w:t>
      </w:r>
      <w:r w:rsidR="008A49C3" w:rsidRPr="008B2522">
        <w:t>14</w:t>
      </w:r>
      <w:r w:rsidR="008A49C3">
        <w:t> </w:t>
      </w:r>
      <w:r w:rsidRPr="008B2522">
        <w:t xml:space="preserve">miesiąca badania, pacjenci otrzymujący wstrzyknięcie pozorowane mogli otrzymywać leczenie ranibizumabem i od </w:t>
      </w:r>
      <w:r w:rsidR="008A49C3" w:rsidRPr="008B2522">
        <w:t>19</w:t>
      </w:r>
      <w:r w:rsidR="008A49C3">
        <w:t> </w:t>
      </w:r>
      <w:r w:rsidRPr="008B2522">
        <w:t xml:space="preserve">miesiąca możliwe było zwiększenie częstości stosowania leczenia. Pacjenci leczeni produktem </w:t>
      </w:r>
      <w:r w:rsidR="00F75654">
        <w:t xml:space="preserve">ranibizumab </w:t>
      </w:r>
      <w:r w:rsidRPr="008B2522">
        <w:t xml:space="preserve">w badaniu PIER otrzymali średnio </w:t>
      </w:r>
      <w:r w:rsidR="008A49C3" w:rsidRPr="008B2522">
        <w:t>10</w:t>
      </w:r>
      <w:r w:rsidR="008A49C3">
        <w:rPr>
          <w:spacing w:val="-13"/>
        </w:rPr>
        <w:t> </w:t>
      </w:r>
      <w:r w:rsidRPr="008B2522">
        <w:t>iniekcji.</w:t>
      </w:r>
    </w:p>
    <w:p w14:paraId="25EEAB39" w14:textId="77777777" w:rsidR="001432C3" w:rsidRPr="008B2522" w:rsidRDefault="001432C3">
      <w:pPr>
        <w:pStyle w:val="a3"/>
      </w:pPr>
    </w:p>
    <w:p w14:paraId="502B8319" w14:textId="77777777" w:rsidR="001432C3" w:rsidRPr="008B2522" w:rsidRDefault="000E2AE0" w:rsidP="00E0574D">
      <w:pPr>
        <w:pStyle w:val="a3"/>
        <w:spacing w:before="1"/>
        <w:ind w:leftChars="64" w:left="141" w:right="183"/>
      </w:pPr>
      <w:r w:rsidRPr="008B2522">
        <w:lastRenderedPageBreak/>
        <w:t xml:space="preserve">Po początkowej średniej poprawie ostrości wzroku (po podawaniu dawek co miesiąc), u pacjentów odnotowano obniżenie ostrości wzroku po podawaniu dawek raz na kwartał, powracając do stanu wyjściowego w </w:t>
      </w:r>
      <w:r w:rsidR="008A49C3" w:rsidRPr="008B2522">
        <w:t>miesiącu</w:t>
      </w:r>
      <w:r w:rsidR="008A49C3">
        <w:t> </w:t>
      </w:r>
      <w:r w:rsidRPr="008B2522">
        <w:t xml:space="preserve">12 i wynik ten został utrzymany u większości pacjentów leczonych ranibizumabem (82%) w </w:t>
      </w:r>
      <w:r w:rsidR="008A49C3" w:rsidRPr="008B2522">
        <w:t>24</w:t>
      </w:r>
      <w:r w:rsidR="008A49C3">
        <w:t> </w:t>
      </w:r>
      <w:r w:rsidRPr="008B2522">
        <w:t>miesiącu. Ograniczone dane od pacjentów otrzymujących wstrzyknięcia pozorowane, którzy później otrzymali ranibizumab, wskazują, że wczesne rozpoczęcie leczenia może być związane z zachowaniem lepszej ostrości wzroku.</w:t>
      </w:r>
    </w:p>
    <w:p w14:paraId="3051244F" w14:textId="77777777" w:rsidR="001432C3" w:rsidRPr="008B2522" w:rsidRDefault="001432C3" w:rsidP="00E0574D">
      <w:pPr>
        <w:pStyle w:val="a3"/>
        <w:ind w:leftChars="64" w:left="141"/>
      </w:pPr>
    </w:p>
    <w:p w14:paraId="33EAB674" w14:textId="77777777" w:rsidR="001432C3" w:rsidRPr="008B2522" w:rsidRDefault="000E2AE0" w:rsidP="00E0574D">
      <w:pPr>
        <w:pStyle w:val="a3"/>
        <w:spacing w:line="252" w:lineRule="exact"/>
        <w:ind w:leftChars="64" w:left="141"/>
      </w:pPr>
      <w:r w:rsidRPr="008B2522">
        <w:t>Dane z dwóch badań (MONT BLANC, BPD952A2308 i DENALI, BPD952A2309)</w:t>
      </w:r>
      <w:r w:rsidR="000F5294">
        <w:t xml:space="preserve"> </w:t>
      </w:r>
      <w:r w:rsidRPr="008B2522">
        <w:t xml:space="preserve">przeprowadzonych po uzyskaniu pozwolenia na dopuszczenie do obrotu potwierdziły skuteczność </w:t>
      </w:r>
      <w:r w:rsidR="00F75654">
        <w:t>ranibizumabu</w:t>
      </w:r>
      <w:r w:rsidRPr="008B2522">
        <w:t xml:space="preserve">, ale nie wskazywały na występowanie dodatkowego działania leczenia skojarzonego werteporfiną (Visudyne PDT) i </w:t>
      </w:r>
      <w:r w:rsidR="00411C5B">
        <w:t>ranibizumabem</w:t>
      </w:r>
      <w:r w:rsidRPr="008B2522">
        <w:t xml:space="preserve"> w porównaniu z monoterapią </w:t>
      </w:r>
      <w:r w:rsidR="00411C5B">
        <w:t>ranibizumabem</w:t>
      </w:r>
      <w:r w:rsidRPr="008B2522">
        <w:t>.</w:t>
      </w:r>
    </w:p>
    <w:p w14:paraId="4E664C1E" w14:textId="77777777" w:rsidR="001432C3" w:rsidRPr="008B2522" w:rsidRDefault="001432C3" w:rsidP="00E0574D">
      <w:pPr>
        <w:pStyle w:val="a3"/>
        <w:spacing w:before="1"/>
        <w:ind w:leftChars="64" w:left="141"/>
      </w:pPr>
    </w:p>
    <w:p w14:paraId="4582FBC8" w14:textId="77777777" w:rsidR="001432C3" w:rsidRPr="008B2522" w:rsidRDefault="000E2AE0" w:rsidP="00E0574D">
      <w:pPr>
        <w:keepNext/>
        <w:ind w:leftChars="64" w:left="141"/>
        <w:rPr>
          <w:i/>
        </w:rPr>
      </w:pPr>
      <w:r w:rsidRPr="008B2522">
        <w:rPr>
          <w:i/>
          <w:u w:val="single"/>
        </w:rPr>
        <w:t>Leczenie zaburzeń widzenia spowodowanych CNV wtórną do PM</w:t>
      </w:r>
    </w:p>
    <w:p w14:paraId="4D01FC2D" w14:textId="77777777" w:rsidR="001432C3" w:rsidRPr="008B2522" w:rsidRDefault="000E2AE0" w:rsidP="00E0574D">
      <w:pPr>
        <w:pStyle w:val="a3"/>
        <w:spacing w:before="1"/>
        <w:ind w:leftChars="64" w:left="141" w:right="224"/>
      </w:pPr>
      <w:r w:rsidRPr="008B2522">
        <w:t xml:space="preserve">Bezpieczeństwo stosowania i skuteczność kliniczną produktu leczniczego </w:t>
      </w:r>
      <w:r w:rsidR="00411C5B">
        <w:t>ranibizumabu</w:t>
      </w:r>
      <w:r w:rsidRPr="008B2522">
        <w:t xml:space="preserve"> u pacjentów z zaburzeniami widzenia spowodowanymi CNV w PM oceniano na podstawie danych zgromadzonych w okresie </w:t>
      </w:r>
      <w:r w:rsidR="008A49C3" w:rsidRPr="008B2522">
        <w:t>12</w:t>
      </w:r>
      <w:r w:rsidR="008A49C3">
        <w:t> </w:t>
      </w:r>
      <w:r w:rsidRPr="008B2522">
        <w:t xml:space="preserve">miesięcy w podwójnie maskowanym, kontrolowanym badaniu rejestracyjnym F2301 (RADIANCE). W tym badaniu </w:t>
      </w:r>
      <w:r w:rsidR="008A49C3" w:rsidRPr="008B2522">
        <w:t>277</w:t>
      </w:r>
      <w:r w:rsidR="008A49C3">
        <w:t> </w:t>
      </w:r>
      <w:r w:rsidRPr="008B2522">
        <w:t>pacjentów zostało losowo przydzielonych w stosunku 2:2:1 do następujących grup:</w:t>
      </w:r>
    </w:p>
    <w:p w14:paraId="60341FFD" w14:textId="77777777" w:rsidR="001432C3" w:rsidRPr="008B2522" w:rsidRDefault="00761524">
      <w:pPr>
        <w:pStyle w:val="a4"/>
        <w:numPr>
          <w:ilvl w:val="0"/>
          <w:numId w:val="31"/>
        </w:numPr>
        <w:tabs>
          <w:tab w:val="left" w:pos="685"/>
          <w:tab w:val="left" w:pos="686"/>
        </w:tabs>
        <w:spacing w:before="2" w:line="269" w:lineRule="exact"/>
      </w:pPr>
      <w:r w:rsidRPr="008B2522">
        <w:t>Grupa</w:t>
      </w:r>
      <w:r>
        <w:t> </w:t>
      </w:r>
      <w:r w:rsidR="000E2AE0" w:rsidRPr="008B2522">
        <w:t>I (ranibizumab w dawce 0,</w:t>
      </w:r>
      <w:r w:rsidR="008A49C3" w:rsidRPr="008B2522">
        <w:t>5</w:t>
      </w:r>
      <w:r w:rsidR="00257CD6">
        <w:t> mg</w:t>
      </w:r>
      <w:r w:rsidR="000E2AE0" w:rsidRPr="008B2522">
        <w:rPr>
          <w:spacing w:val="-3"/>
        </w:rPr>
        <w:t xml:space="preserve">, </w:t>
      </w:r>
      <w:r w:rsidR="000E2AE0" w:rsidRPr="008B2522">
        <w:t>schemat dawkowania ustalony na podstawie</w:t>
      </w:r>
      <w:r w:rsidR="000E2AE0" w:rsidRPr="008B2522">
        <w:rPr>
          <w:spacing w:val="-7"/>
        </w:rPr>
        <w:t xml:space="preserve"> </w:t>
      </w:r>
      <w:r w:rsidR="000E2AE0" w:rsidRPr="008B2522">
        <w:t>kryteriów</w:t>
      </w:r>
    </w:p>
    <w:p w14:paraId="4ABC1E5A" w14:textId="77777777" w:rsidR="001432C3" w:rsidRPr="008B2522" w:rsidRDefault="000E2AE0">
      <w:pPr>
        <w:pStyle w:val="a3"/>
        <w:ind w:left="685" w:right="250"/>
      </w:pPr>
      <w:r w:rsidRPr="008B2522">
        <w:t>„stabilizacji” definiowanych jako brak zmiany w BCVA w porównaniu z dwoma poprzednimi comiesięcznymi badaniami);</w:t>
      </w:r>
    </w:p>
    <w:p w14:paraId="2DE53CB0" w14:textId="77777777" w:rsidR="001432C3" w:rsidRPr="008B2522" w:rsidRDefault="00761524">
      <w:pPr>
        <w:pStyle w:val="a4"/>
        <w:numPr>
          <w:ilvl w:val="0"/>
          <w:numId w:val="31"/>
        </w:numPr>
        <w:tabs>
          <w:tab w:val="left" w:pos="685"/>
          <w:tab w:val="left" w:pos="686"/>
        </w:tabs>
        <w:spacing w:before="1" w:line="269" w:lineRule="exact"/>
      </w:pPr>
      <w:r w:rsidRPr="008B2522">
        <w:t>Grupa</w:t>
      </w:r>
      <w:r>
        <w:t> </w:t>
      </w:r>
      <w:r w:rsidR="000E2AE0" w:rsidRPr="008B2522">
        <w:t>II (ranibizumab w dawce 0,</w:t>
      </w:r>
      <w:r w:rsidR="008A49C3" w:rsidRPr="008B2522">
        <w:t>5</w:t>
      </w:r>
      <w:r w:rsidR="00257CD6">
        <w:t> mg</w:t>
      </w:r>
      <w:r w:rsidR="000E2AE0" w:rsidRPr="008B2522">
        <w:rPr>
          <w:spacing w:val="-3"/>
        </w:rPr>
        <w:t xml:space="preserve">, </w:t>
      </w:r>
      <w:r w:rsidR="000E2AE0" w:rsidRPr="008B2522">
        <w:t>schemat dawkowania ustalony na podstawie</w:t>
      </w:r>
      <w:r w:rsidR="000E2AE0" w:rsidRPr="008B2522">
        <w:rPr>
          <w:spacing w:val="-8"/>
        </w:rPr>
        <w:t xml:space="preserve"> </w:t>
      </w:r>
      <w:r w:rsidR="000E2AE0" w:rsidRPr="008B2522">
        <w:t>kryteriów</w:t>
      </w:r>
    </w:p>
    <w:p w14:paraId="4E55E52F" w14:textId="77777777" w:rsidR="001432C3" w:rsidRPr="008B2522" w:rsidRDefault="000E2AE0">
      <w:pPr>
        <w:pStyle w:val="a3"/>
        <w:ind w:left="685" w:right="524"/>
        <w:jc w:val="both"/>
      </w:pPr>
      <w:r w:rsidRPr="008B2522">
        <w:t>„aktywności choroby” definiowanych jako zaburzenia widzenia spowodowane obecnością płynu wewnątrz- lub podsiatkówkowego lub czynnego przecieku spowodowanego zmianą CNV, stwierdzoną w optycznej koherentnej tomografii i (lub) angiografii fluoresceinowej);</w:t>
      </w:r>
    </w:p>
    <w:p w14:paraId="50460D39" w14:textId="77777777" w:rsidR="001432C3" w:rsidRPr="008B2522" w:rsidRDefault="00761524">
      <w:pPr>
        <w:pStyle w:val="a4"/>
        <w:numPr>
          <w:ilvl w:val="0"/>
          <w:numId w:val="31"/>
        </w:numPr>
        <w:tabs>
          <w:tab w:val="left" w:pos="685"/>
          <w:tab w:val="left" w:pos="686"/>
        </w:tabs>
        <w:spacing w:before="3" w:line="269" w:lineRule="exact"/>
      </w:pPr>
      <w:r w:rsidRPr="008B2522">
        <w:t>Grupa</w:t>
      </w:r>
      <w:r>
        <w:t> </w:t>
      </w:r>
      <w:r w:rsidR="000E2AE0" w:rsidRPr="008B2522">
        <w:t xml:space="preserve">III (vPDT – pacjenci mogli otrzymywać leczenie ranibizumabem od </w:t>
      </w:r>
      <w:r w:rsidR="008A49C3" w:rsidRPr="008B2522">
        <w:t>miesiąca</w:t>
      </w:r>
      <w:r w:rsidR="008A49C3">
        <w:rPr>
          <w:spacing w:val="-23"/>
        </w:rPr>
        <w:t> </w:t>
      </w:r>
      <w:r w:rsidR="000E2AE0" w:rsidRPr="008B2522">
        <w:t>3.).</w:t>
      </w:r>
    </w:p>
    <w:p w14:paraId="2A7612AF" w14:textId="77777777" w:rsidR="001432C3" w:rsidRPr="008B2522" w:rsidRDefault="000E2AE0" w:rsidP="00E0574D">
      <w:pPr>
        <w:pStyle w:val="a3"/>
        <w:ind w:leftChars="64" w:left="141" w:right="121"/>
      </w:pPr>
      <w:r w:rsidRPr="008B2522">
        <w:t xml:space="preserve">W </w:t>
      </w:r>
      <w:r w:rsidR="00761524" w:rsidRPr="008B2522">
        <w:t>Grupie</w:t>
      </w:r>
      <w:r w:rsidR="00761524">
        <w:t> </w:t>
      </w:r>
      <w:r w:rsidRPr="008B2522">
        <w:t xml:space="preserve">II, w której stosowano zalecane dawkowanie (patrz </w:t>
      </w:r>
      <w:r w:rsidR="0020790E">
        <w:t>punkt </w:t>
      </w:r>
      <w:r w:rsidRPr="008B2522">
        <w:t xml:space="preserve">4.2), 50,9% pacjentów wymagało podania 1 lub </w:t>
      </w:r>
      <w:r w:rsidR="008A49C3" w:rsidRPr="008B2522">
        <w:t>2</w:t>
      </w:r>
      <w:r w:rsidR="008A49C3">
        <w:t> </w:t>
      </w:r>
      <w:r w:rsidRPr="008B2522">
        <w:t xml:space="preserve">wstrzyknięć; 34,5% wymagało 3 do </w:t>
      </w:r>
      <w:r w:rsidR="008A49C3" w:rsidRPr="008B2522">
        <w:t>5</w:t>
      </w:r>
      <w:r w:rsidR="008A49C3">
        <w:t> </w:t>
      </w:r>
      <w:r w:rsidRPr="008B2522">
        <w:t xml:space="preserve">wstrzyknięć, a 14,7% pacjentów wymagało podania 6 do </w:t>
      </w:r>
      <w:r w:rsidR="008A49C3" w:rsidRPr="008B2522">
        <w:t>12</w:t>
      </w:r>
      <w:r w:rsidR="008A49C3">
        <w:t> </w:t>
      </w:r>
      <w:r w:rsidRPr="008B2522">
        <w:t xml:space="preserve">wstrzyknięć w 12-miesięcznym okresie badania. 62,9% pacjentów z </w:t>
      </w:r>
      <w:r w:rsidR="00761524" w:rsidRPr="008B2522">
        <w:t>Grupy</w:t>
      </w:r>
      <w:r w:rsidR="00761524">
        <w:t> </w:t>
      </w:r>
      <w:r w:rsidRPr="008B2522">
        <w:t>II nie wymagało wstrzyknięć leku w drugim półroczu badania.</w:t>
      </w:r>
    </w:p>
    <w:p w14:paraId="0EB78849" w14:textId="77777777" w:rsidR="00DE6CD4" w:rsidRDefault="00DE6CD4" w:rsidP="00E0574D">
      <w:pPr>
        <w:ind w:leftChars="64" w:left="141"/>
      </w:pPr>
      <w:r>
        <w:br w:type="page"/>
      </w:r>
    </w:p>
    <w:p w14:paraId="31F421A7" w14:textId="77777777" w:rsidR="001432C3" w:rsidRDefault="000E2AE0" w:rsidP="00E0574D">
      <w:pPr>
        <w:pStyle w:val="a3"/>
        <w:spacing w:before="68"/>
        <w:ind w:leftChars="64" w:left="141"/>
      </w:pPr>
      <w:r w:rsidRPr="008B2522">
        <w:lastRenderedPageBreak/>
        <w:t xml:space="preserve">Najważniejsze wyniki badania RADIANCE podsumowano w </w:t>
      </w:r>
      <w:r w:rsidR="00761524" w:rsidRPr="008B2522">
        <w:t>Tabeli</w:t>
      </w:r>
      <w:r w:rsidR="00761524">
        <w:t> </w:t>
      </w:r>
      <w:r w:rsidRPr="008B2522">
        <w:t xml:space="preserve">2 i na </w:t>
      </w:r>
      <w:r w:rsidR="00761524" w:rsidRPr="008B2522">
        <w:t>Rycinie</w:t>
      </w:r>
      <w:r w:rsidR="00761524">
        <w:t> </w:t>
      </w:r>
      <w:r w:rsidRPr="008B2522">
        <w:t>2.</w:t>
      </w:r>
    </w:p>
    <w:p w14:paraId="7DBBC1EE" w14:textId="77777777" w:rsidR="00DE6CD4" w:rsidRPr="008B2522" w:rsidRDefault="00DE6CD4" w:rsidP="00E0574D">
      <w:pPr>
        <w:pStyle w:val="a3"/>
        <w:spacing w:before="68"/>
        <w:ind w:leftChars="64" w:left="141"/>
      </w:pPr>
    </w:p>
    <w:p w14:paraId="270BC57E" w14:textId="77777777" w:rsidR="00411C5B" w:rsidRPr="00DE6CD4" w:rsidRDefault="00761524" w:rsidP="00E0574D">
      <w:pPr>
        <w:pStyle w:val="1"/>
        <w:tabs>
          <w:tab w:val="left" w:pos="1252"/>
        </w:tabs>
        <w:ind w:leftChars="64" w:left="141"/>
      </w:pPr>
      <w:r w:rsidRPr="004A2080">
        <w:t>Tabela </w:t>
      </w:r>
      <w:r w:rsidR="000E2AE0" w:rsidRPr="004A2080">
        <w:t>2</w:t>
      </w:r>
      <w:r w:rsidR="000E2AE0" w:rsidRPr="004A2080">
        <w:tab/>
        <w:t xml:space="preserve">Wyniki w miesiącu 3. i 12. </w:t>
      </w:r>
      <w:r w:rsidR="000E2AE0" w:rsidRPr="00DE6CD4">
        <w:t>(RADIANCE)</w:t>
      </w:r>
    </w:p>
    <w:p w14:paraId="09A43A55" w14:textId="77777777" w:rsidR="001432C3" w:rsidRPr="00DE6CD4" w:rsidRDefault="001432C3" w:rsidP="00DE6CD4">
      <w:pPr>
        <w:pStyle w:val="a3"/>
        <w:spacing w:before="68"/>
      </w:pPr>
    </w:p>
    <w:tbl>
      <w:tblPr>
        <w:tblW w:w="9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95"/>
        <w:gridCol w:w="1701"/>
        <w:gridCol w:w="1842"/>
        <w:gridCol w:w="1418"/>
      </w:tblGrid>
      <w:tr w:rsidR="00D42ED7" w:rsidRPr="008B2522" w14:paraId="4F3ED312" w14:textId="77777777" w:rsidTr="00DE6CD4">
        <w:trPr>
          <w:trHeight w:hRule="exact" w:val="340"/>
        </w:trPr>
        <w:tc>
          <w:tcPr>
            <w:tcW w:w="4395" w:type="dxa"/>
            <w:tcBorders>
              <w:top w:val="single" w:sz="4" w:space="0" w:color="auto"/>
              <w:left w:val="nil"/>
              <w:bottom w:val="nil"/>
              <w:right w:val="nil"/>
            </w:tcBorders>
          </w:tcPr>
          <w:p w14:paraId="7C5E9442" w14:textId="77777777" w:rsidR="00D42ED7" w:rsidRPr="008B2522" w:rsidRDefault="00D42ED7" w:rsidP="00D22CB7">
            <w:pPr>
              <w:keepNext/>
            </w:pPr>
          </w:p>
        </w:tc>
        <w:tc>
          <w:tcPr>
            <w:tcW w:w="1701" w:type="dxa"/>
            <w:tcBorders>
              <w:top w:val="single" w:sz="4" w:space="0" w:color="auto"/>
              <w:left w:val="nil"/>
              <w:bottom w:val="nil"/>
              <w:right w:val="nil"/>
            </w:tcBorders>
          </w:tcPr>
          <w:p w14:paraId="536AAFD2" w14:textId="77777777" w:rsidR="00D42ED7" w:rsidRPr="008B2522" w:rsidRDefault="00D42ED7" w:rsidP="00D22CB7">
            <w:pPr>
              <w:pStyle w:val="TableParagraph"/>
              <w:keepNext/>
              <w:ind w:left="157" w:right="317"/>
              <w:jc w:val="center"/>
              <w:rPr>
                <w:b/>
              </w:rPr>
            </w:pPr>
            <w:r w:rsidRPr="008B2522">
              <w:rPr>
                <w:b/>
              </w:rPr>
              <w:t>Grupa I</w:t>
            </w:r>
          </w:p>
        </w:tc>
        <w:tc>
          <w:tcPr>
            <w:tcW w:w="1842" w:type="dxa"/>
            <w:tcBorders>
              <w:top w:val="single" w:sz="4" w:space="0" w:color="auto"/>
              <w:left w:val="nil"/>
              <w:bottom w:val="nil"/>
              <w:right w:val="nil"/>
            </w:tcBorders>
          </w:tcPr>
          <w:p w14:paraId="3EE7F144" w14:textId="77777777" w:rsidR="00D42ED7" w:rsidRPr="008B2522" w:rsidRDefault="00D42ED7" w:rsidP="00D22CB7">
            <w:pPr>
              <w:pStyle w:val="TableParagraph"/>
              <w:keepNext/>
              <w:ind w:left="319" w:right="252"/>
              <w:jc w:val="center"/>
              <w:rPr>
                <w:b/>
              </w:rPr>
            </w:pPr>
            <w:r w:rsidRPr="008B2522">
              <w:rPr>
                <w:b/>
              </w:rPr>
              <w:t>Grupa II</w:t>
            </w:r>
          </w:p>
        </w:tc>
        <w:tc>
          <w:tcPr>
            <w:tcW w:w="1418" w:type="dxa"/>
            <w:tcBorders>
              <w:top w:val="single" w:sz="4" w:space="0" w:color="auto"/>
              <w:left w:val="nil"/>
              <w:bottom w:val="nil"/>
              <w:right w:val="nil"/>
            </w:tcBorders>
          </w:tcPr>
          <w:p w14:paraId="631F9FB5" w14:textId="77777777" w:rsidR="00D42ED7" w:rsidRPr="008B2522" w:rsidRDefault="00D42ED7" w:rsidP="00D22CB7">
            <w:pPr>
              <w:pStyle w:val="TableParagraph"/>
              <w:keepNext/>
              <w:spacing w:line="254" w:lineRule="exact"/>
              <w:ind w:left="254" w:right="151"/>
              <w:jc w:val="center"/>
              <w:rPr>
                <w:b/>
              </w:rPr>
            </w:pPr>
            <w:r w:rsidRPr="008B2522">
              <w:rPr>
                <w:b/>
              </w:rPr>
              <w:t>Grupa III</w:t>
            </w:r>
          </w:p>
        </w:tc>
      </w:tr>
      <w:tr w:rsidR="001432C3" w:rsidRPr="008B2522" w14:paraId="0D5D39F8" w14:textId="77777777" w:rsidTr="00DE6CD4">
        <w:trPr>
          <w:trHeight w:hRule="exact" w:val="1263"/>
        </w:trPr>
        <w:tc>
          <w:tcPr>
            <w:tcW w:w="4395" w:type="dxa"/>
            <w:tcBorders>
              <w:top w:val="nil"/>
              <w:left w:val="nil"/>
              <w:bottom w:val="single" w:sz="4" w:space="0" w:color="auto"/>
              <w:right w:val="nil"/>
            </w:tcBorders>
          </w:tcPr>
          <w:p w14:paraId="38343E18" w14:textId="77777777" w:rsidR="001432C3" w:rsidRPr="008B2522" w:rsidRDefault="001432C3" w:rsidP="00D22CB7">
            <w:pPr>
              <w:keepNext/>
            </w:pPr>
          </w:p>
        </w:tc>
        <w:tc>
          <w:tcPr>
            <w:tcW w:w="1701" w:type="dxa"/>
            <w:tcBorders>
              <w:top w:val="nil"/>
              <w:left w:val="nil"/>
              <w:bottom w:val="single" w:sz="4" w:space="0" w:color="auto"/>
              <w:right w:val="nil"/>
            </w:tcBorders>
          </w:tcPr>
          <w:p w14:paraId="473EEF6B" w14:textId="77777777" w:rsidR="001432C3" w:rsidRPr="008B2522" w:rsidRDefault="000E2AE0" w:rsidP="00D22CB7">
            <w:pPr>
              <w:pStyle w:val="TableParagraph"/>
              <w:keepNext/>
              <w:ind w:left="157" w:right="317"/>
              <w:jc w:val="center"/>
              <w:rPr>
                <w:b/>
              </w:rPr>
            </w:pPr>
            <w:r w:rsidRPr="008B2522">
              <w:rPr>
                <w:b/>
              </w:rPr>
              <w:t>Ranibizumab 0,</w:t>
            </w:r>
            <w:r w:rsidR="00761524" w:rsidRPr="008B2522">
              <w:rPr>
                <w:b/>
              </w:rPr>
              <w:t>5</w:t>
            </w:r>
            <w:r w:rsidR="00257CD6">
              <w:rPr>
                <w:b/>
              </w:rPr>
              <w:t> mg</w:t>
            </w:r>
          </w:p>
          <w:p w14:paraId="5473A766" w14:textId="77777777" w:rsidR="001432C3" w:rsidRPr="008B2522" w:rsidRDefault="000E2AE0" w:rsidP="00D22CB7">
            <w:pPr>
              <w:pStyle w:val="TableParagraph"/>
              <w:keepNext/>
              <w:spacing w:before="3"/>
              <w:ind w:left="157" w:right="287"/>
              <w:jc w:val="center"/>
              <w:rPr>
                <w:b/>
              </w:rPr>
            </w:pPr>
            <w:r w:rsidRPr="008B2522">
              <w:rPr>
                <w:b/>
              </w:rPr>
              <w:t>„stabilizacja widzenia” (n=105)</w:t>
            </w:r>
          </w:p>
        </w:tc>
        <w:tc>
          <w:tcPr>
            <w:tcW w:w="1842" w:type="dxa"/>
            <w:tcBorders>
              <w:top w:val="nil"/>
              <w:left w:val="nil"/>
              <w:bottom w:val="single" w:sz="4" w:space="0" w:color="auto"/>
              <w:right w:val="nil"/>
            </w:tcBorders>
          </w:tcPr>
          <w:p w14:paraId="73E9D17D" w14:textId="77777777" w:rsidR="001432C3" w:rsidRPr="008B2522" w:rsidRDefault="000E2AE0" w:rsidP="00D22CB7">
            <w:pPr>
              <w:pStyle w:val="TableParagraph"/>
              <w:keepNext/>
              <w:ind w:left="319" w:right="252"/>
              <w:jc w:val="center"/>
              <w:rPr>
                <w:b/>
              </w:rPr>
            </w:pPr>
            <w:r w:rsidRPr="008B2522">
              <w:rPr>
                <w:b/>
              </w:rPr>
              <w:t>Ranibizumab 0,</w:t>
            </w:r>
            <w:r w:rsidR="00761524" w:rsidRPr="008B2522">
              <w:rPr>
                <w:b/>
              </w:rPr>
              <w:t>5</w:t>
            </w:r>
            <w:r w:rsidR="00257CD6">
              <w:rPr>
                <w:b/>
              </w:rPr>
              <w:t> mg</w:t>
            </w:r>
          </w:p>
          <w:p w14:paraId="6C1695A7" w14:textId="77777777" w:rsidR="001432C3" w:rsidRPr="008B2522" w:rsidRDefault="000E2AE0" w:rsidP="00D22CB7">
            <w:pPr>
              <w:pStyle w:val="TableParagraph"/>
              <w:keepNext/>
              <w:spacing w:before="3"/>
              <w:ind w:left="318" w:right="252"/>
              <w:jc w:val="center"/>
              <w:rPr>
                <w:b/>
              </w:rPr>
            </w:pPr>
            <w:r w:rsidRPr="008B2522">
              <w:rPr>
                <w:b/>
              </w:rPr>
              <w:t>„aktywność choroby” (n=116)</w:t>
            </w:r>
          </w:p>
        </w:tc>
        <w:tc>
          <w:tcPr>
            <w:tcW w:w="1418" w:type="dxa"/>
            <w:tcBorders>
              <w:top w:val="nil"/>
              <w:left w:val="nil"/>
              <w:bottom w:val="single" w:sz="4" w:space="0" w:color="auto"/>
              <w:right w:val="nil"/>
            </w:tcBorders>
          </w:tcPr>
          <w:p w14:paraId="39782194" w14:textId="77777777" w:rsidR="001432C3" w:rsidRPr="008B2522" w:rsidRDefault="000E2AE0" w:rsidP="00D22CB7">
            <w:pPr>
              <w:pStyle w:val="TableParagraph"/>
              <w:keepNext/>
              <w:spacing w:line="254" w:lineRule="exact"/>
              <w:ind w:left="254" w:right="151"/>
              <w:jc w:val="center"/>
              <w:rPr>
                <w:b/>
                <w:sz w:val="14"/>
              </w:rPr>
            </w:pPr>
            <w:r w:rsidRPr="008B2522">
              <w:rPr>
                <w:b/>
              </w:rPr>
              <w:t>vPDT</w:t>
            </w:r>
            <w:r w:rsidRPr="008B2522">
              <w:rPr>
                <w:b/>
                <w:position w:val="8"/>
                <w:sz w:val="14"/>
              </w:rPr>
              <w:t>b</w:t>
            </w:r>
          </w:p>
          <w:p w14:paraId="50ACF29F" w14:textId="77777777" w:rsidR="001432C3" w:rsidRPr="008B2522" w:rsidRDefault="001432C3" w:rsidP="00D22CB7">
            <w:pPr>
              <w:pStyle w:val="TableParagraph"/>
              <w:keepNext/>
              <w:ind w:left="0"/>
              <w:rPr>
                <w:b/>
                <w:sz w:val="24"/>
              </w:rPr>
            </w:pPr>
          </w:p>
          <w:p w14:paraId="15E49F06" w14:textId="77777777" w:rsidR="001432C3" w:rsidRPr="008B2522" w:rsidRDefault="001432C3" w:rsidP="00D22CB7">
            <w:pPr>
              <w:pStyle w:val="TableParagraph"/>
              <w:keepNext/>
              <w:ind w:left="0"/>
              <w:rPr>
                <w:b/>
                <w:sz w:val="24"/>
              </w:rPr>
            </w:pPr>
          </w:p>
          <w:p w14:paraId="7EB553CF" w14:textId="77777777" w:rsidR="001432C3" w:rsidRPr="008B2522" w:rsidRDefault="000E2AE0" w:rsidP="00D22CB7">
            <w:pPr>
              <w:pStyle w:val="TableParagraph"/>
              <w:keepNext/>
              <w:spacing w:before="201"/>
              <w:ind w:left="251" w:right="151"/>
              <w:jc w:val="center"/>
              <w:rPr>
                <w:b/>
              </w:rPr>
            </w:pPr>
            <w:r w:rsidRPr="008B2522">
              <w:rPr>
                <w:b/>
              </w:rPr>
              <w:t>(n=55)</w:t>
            </w:r>
          </w:p>
        </w:tc>
      </w:tr>
      <w:tr w:rsidR="001432C3" w:rsidRPr="008B2522" w14:paraId="2E89026D" w14:textId="77777777" w:rsidTr="00DE6CD4">
        <w:trPr>
          <w:trHeight w:hRule="exact" w:val="258"/>
        </w:trPr>
        <w:tc>
          <w:tcPr>
            <w:tcW w:w="4395" w:type="dxa"/>
            <w:tcBorders>
              <w:top w:val="single" w:sz="4" w:space="0" w:color="auto"/>
            </w:tcBorders>
          </w:tcPr>
          <w:p w14:paraId="4C8585AE" w14:textId="77777777" w:rsidR="001432C3" w:rsidRPr="008B2522" w:rsidRDefault="00761524" w:rsidP="00D22CB7">
            <w:pPr>
              <w:pStyle w:val="TableParagraph"/>
              <w:keepNext/>
              <w:spacing w:line="252" w:lineRule="exact"/>
              <w:ind w:left="122"/>
              <w:rPr>
                <w:b/>
              </w:rPr>
            </w:pPr>
            <w:r w:rsidRPr="008B2522">
              <w:rPr>
                <w:b/>
              </w:rPr>
              <w:t>Miesiąc</w:t>
            </w:r>
            <w:r>
              <w:rPr>
                <w:b/>
              </w:rPr>
              <w:t> </w:t>
            </w:r>
            <w:r w:rsidR="000E2AE0" w:rsidRPr="008B2522">
              <w:rPr>
                <w:b/>
              </w:rPr>
              <w:t>3.</w:t>
            </w:r>
          </w:p>
        </w:tc>
        <w:tc>
          <w:tcPr>
            <w:tcW w:w="1701" w:type="dxa"/>
            <w:tcBorders>
              <w:top w:val="single" w:sz="4" w:space="0" w:color="auto"/>
            </w:tcBorders>
          </w:tcPr>
          <w:p w14:paraId="396652F5" w14:textId="77777777" w:rsidR="001432C3" w:rsidRPr="008B2522" w:rsidRDefault="001432C3" w:rsidP="00D22CB7">
            <w:pPr>
              <w:keepNext/>
            </w:pPr>
          </w:p>
        </w:tc>
        <w:tc>
          <w:tcPr>
            <w:tcW w:w="1842" w:type="dxa"/>
            <w:tcBorders>
              <w:top w:val="single" w:sz="4" w:space="0" w:color="auto"/>
            </w:tcBorders>
          </w:tcPr>
          <w:p w14:paraId="25894651" w14:textId="77777777" w:rsidR="001432C3" w:rsidRPr="008B2522" w:rsidRDefault="001432C3" w:rsidP="00D22CB7">
            <w:pPr>
              <w:keepNext/>
            </w:pPr>
          </w:p>
        </w:tc>
        <w:tc>
          <w:tcPr>
            <w:tcW w:w="1418" w:type="dxa"/>
            <w:tcBorders>
              <w:top w:val="single" w:sz="4" w:space="0" w:color="auto"/>
            </w:tcBorders>
          </w:tcPr>
          <w:p w14:paraId="1E5B4594" w14:textId="77777777" w:rsidR="001432C3" w:rsidRPr="008B2522" w:rsidRDefault="001432C3" w:rsidP="00D22CB7">
            <w:pPr>
              <w:keepNext/>
            </w:pPr>
          </w:p>
        </w:tc>
      </w:tr>
      <w:tr w:rsidR="001432C3" w:rsidRPr="008B2522" w14:paraId="7E763431" w14:textId="77777777" w:rsidTr="00DE6CD4">
        <w:trPr>
          <w:trHeight w:hRule="exact" w:val="757"/>
        </w:trPr>
        <w:tc>
          <w:tcPr>
            <w:tcW w:w="4395" w:type="dxa"/>
          </w:tcPr>
          <w:p w14:paraId="592EEA42" w14:textId="77777777" w:rsidR="001432C3" w:rsidRPr="008B2522" w:rsidRDefault="000E2AE0" w:rsidP="00D22CB7">
            <w:pPr>
              <w:pStyle w:val="TableParagraph"/>
              <w:keepNext/>
              <w:spacing w:line="237" w:lineRule="auto"/>
              <w:ind w:left="122" w:right="597"/>
            </w:pPr>
            <w:r w:rsidRPr="008B2522">
              <w:t xml:space="preserve">Średnia zmiana BCVA od miesiąca 1. do </w:t>
            </w:r>
            <w:r w:rsidR="00761524" w:rsidRPr="008B2522">
              <w:t>miesiąca</w:t>
            </w:r>
            <w:r w:rsidR="00761524">
              <w:t> </w:t>
            </w:r>
            <w:r w:rsidRPr="008B2522">
              <w:t>3. w porównaniu ze stanem wyjściowym</w:t>
            </w:r>
            <w:r w:rsidRPr="008B2522">
              <w:rPr>
                <w:position w:val="8"/>
                <w:sz w:val="14"/>
              </w:rPr>
              <w:t xml:space="preserve">a </w:t>
            </w:r>
            <w:r w:rsidRPr="008B2522">
              <w:t>(litery)</w:t>
            </w:r>
          </w:p>
        </w:tc>
        <w:tc>
          <w:tcPr>
            <w:tcW w:w="1701" w:type="dxa"/>
          </w:tcPr>
          <w:p w14:paraId="77DDDDEF" w14:textId="77777777" w:rsidR="001432C3" w:rsidRPr="008B2522" w:rsidRDefault="000E2AE0" w:rsidP="00D22CB7">
            <w:pPr>
              <w:pStyle w:val="TableParagraph"/>
              <w:keepNext/>
              <w:spacing w:line="246" w:lineRule="exact"/>
              <w:ind w:left="538"/>
            </w:pPr>
            <w:r w:rsidRPr="008B2522">
              <w:t>+10,5</w:t>
            </w:r>
          </w:p>
        </w:tc>
        <w:tc>
          <w:tcPr>
            <w:tcW w:w="1842" w:type="dxa"/>
          </w:tcPr>
          <w:p w14:paraId="1598129D" w14:textId="77777777" w:rsidR="001432C3" w:rsidRPr="008B2522" w:rsidRDefault="000E2AE0" w:rsidP="00D22CB7">
            <w:pPr>
              <w:pStyle w:val="TableParagraph"/>
              <w:keepNext/>
              <w:spacing w:line="246" w:lineRule="exact"/>
              <w:ind w:left="317" w:right="252"/>
              <w:jc w:val="center"/>
            </w:pPr>
            <w:r w:rsidRPr="008B2522">
              <w:t>+10,6</w:t>
            </w:r>
          </w:p>
        </w:tc>
        <w:tc>
          <w:tcPr>
            <w:tcW w:w="1418" w:type="dxa"/>
          </w:tcPr>
          <w:p w14:paraId="060EBD06" w14:textId="77777777" w:rsidR="001432C3" w:rsidRPr="008B2522" w:rsidRDefault="000E2AE0" w:rsidP="00D22CB7">
            <w:pPr>
              <w:pStyle w:val="TableParagraph"/>
              <w:keepNext/>
              <w:spacing w:line="246" w:lineRule="exact"/>
              <w:ind w:left="252" w:right="151"/>
              <w:jc w:val="center"/>
            </w:pPr>
            <w:r w:rsidRPr="008B2522">
              <w:t>+2,2</w:t>
            </w:r>
          </w:p>
        </w:tc>
      </w:tr>
      <w:tr w:rsidR="001432C3" w:rsidRPr="008B2522" w14:paraId="2B0325E1" w14:textId="77777777" w:rsidTr="00E0574D">
        <w:trPr>
          <w:trHeight w:hRule="exact" w:val="757"/>
        </w:trPr>
        <w:tc>
          <w:tcPr>
            <w:tcW w:w="4395" w:type="dxa"/>
          </w:tcPr>
          <w:p w14:paraId="17BD31AA" w14:textId="77777777" w:rsidR="001432C3" w:rsidRPr="008B2522" w:rsidRDefault="000E2AE0" w:rsidP="00D22CB7">
            <w:pPr>
              <w:pStyle w:val="TableParagraph"/>
              <w:keepNext/>
              <w:spacing w:line="249" w:lineRule="exact"/>
              <w:ind w:left="122"/>
            </w:pPr>
            <w:r w:rsidRPr="008B2522">
              <w:t>Odsetek pacjentów, którzy zyskali:</w:t>
            </w:r>
          </w:p>
          <w:p w14:paraId="502715F5" w14:textId="77777777" w:rsidR="001432C3" w:rsidRPr="008B2522" w:rsidRDefault="000E2AE0" w:rsidP="00D22CB7">
            <w:pPr>
              <w:pStyle w:val="TableParagraph"/>
              <w:keepNext/>
              <w:ind w:left="122"/>
            </w:pPr>
            <w:r w:rsidRPr="008B2522">
              <w:t>≥</w:t>
            </w:r>
            <w:r w:rsidR="00761524" w:rsidRPr="008B2522">
              <w:t>15</w:t>
            </w:r>
            <w:r w:rsidR="00761524">
              <w:t> </w:t>
            </w:r>
            <w:r w:rsidRPr="008B2522">
              <w:t>liter lub osiągnęli ≥</w:t>
            </w:r>
            <w:r w:rsidR="00761524" w:rsidRPr="008B2522">
              <w:t>84</w:t>
            </w:r>
            <w:r w:rsidR="00761524">
              <w:t> </w:t>
            </w:r>
            <w:r w:rsidRPr="008B2522">
              <w:t>litery w BCVA</w:t>
            </w:r>
          </w:p>
        </w:tc>
        <w:tc>
          <w:tcPr>
            <w:tcW w:w="1701" w:type="dxa"/>
          </w:tcPr>
          <w:p w14:paraId="0682319F" w14:textId="77777777" w:rsidR="001432C3" w:rsidRPr="008B2522" w:rsidRDefault="001432C3" w:rsidP="00D22CB7">
            <w:pPr>
              <w:pStyle w:val="TableParagraph"/>
              <w:keepNext/>
              <w:spacing w:before="7"/>
              <w:ind w:left="0"/>
              <w:rPr>
                <w:b/>
                <w:sz w:val="21"/>
              </w:rPr>
            </w:pPr>
          </w:p>
          <w:p w14:paraId="4BB65D87" w14:textId="77777777" w:rsidR="001432C3" w:rsidRPr="008B2522" w:rsidRDefault="000E2AE0" w:rsidP="00D22CB7">
            <w:pPr>
              <w:pStyle w:val="TableParagraph"/>
              <w:keepNext/>
              <w:ind w:left="507"/>
            </w:pPr>
            <w:r w:rsidRPr="008B2522">
              <w:t>38,1%</w:t>
            </w:r>
          </w:p>
        </w:tc>
        <w:tc>
          <w:tcPr>
            <w:tcW w:w="1842" w:type="dxa"/>
          </w:tcPr>
          <w:p w14:paraId="2E2EE9CC" w14:textId="77777777" w:rsidR="001432C3" w:rsidRPr="008B2522" w:rsidRDefault="001432C3" w:rsidP="00D22CB7">
            <w:pPr>
              <w:pStyle w:val="TableParagraph"/>
              <w:keepNext/>
              <w:spacing w:before="7"/>
              <w:ind w:left="0"/>
              <w:rPr>
                <w:b/>
                <w:sz w:val="21"/>
              </w:rPr>
            </w:pPr>
          </w:p>
          <w:p w14:paraId="58CC0436" w14:textId="77777777" w:rsidR="001432C3" w:rsidRPr="008B2522" w:rsidRDefault="000E2AE0" w:rsidP="00D22CB7">
            <w:pPr>
              <w:pStyle w:val="TableParagraph"/>
              <w:keepNext/>
              <w:ind w:left="318" w:right="252"/>
              <w:jc w:val="center"/>
            </w:pPr>
            <w:r w:rsidRPr="008B2522">
              <w:t>43,1%</w:t>
            </w:r>
          </w:p>
        </w:tc>
        <w:tc>
          <w:tcPr>
            <w:tcW w:w="1418" w:type="dxa"/>
          </w:tcPr>
          <w:p w14:paraId="25CA61F0" w14:textId="77777777" w:rsidR="001432C3" w:rsidRPr="008B2522" w:rsidRDefault="001432C3" w:rsidP="00D22CB7">
            <w:pPr>
              <w:pStyle w:val="TableParagraph"/>
              <w:keepNext/>
              <w:spacing w:before="7"/>
              <w:ind w:left="0"/>
              <w:rPr>
                <w:b/>
                <w:sz w:val="21"/>
              </w:rPr>
            </w:pPr>
          </w:p>
          <w:p w14:paraId="601BF141" w14:textId="77777777" w:rsidR="001432C3" w:rsidRPr="008B2522" w:rsidRDefault="000E2AE0" w:rsidP="00D22CB7">
            <w:pPr>
              <w:pStyle w:val="TableParagraph"/>
              <w:keepNext/>
              <w:ind w:left="249" w:right="151"/>
              <w:jc w:val="center"/>
            </w:pPr>
            <w:r w:rsidRPr="008B2522">
              <w:t>14,5%</w:t>
            </w:r>
          </w:p>
        </w:tc>
      </w:tr>
      <w:tr w:rsidR="001432C3" w:rsidRPr="008B2522" w14:paraId="1878DB9F" w14:textId="77777777" w:rsidTr="00DE6CD4">
        <w:trPr>
          <w:trHeight w:hRule="exact" w:val="253"/>
        </w:trPr>
        <w:tc>
          <w:tcPr>
            <w:tcW w:w="4395" w:type="dxa"/>
          </w:tcPr>
          <w:p w14:paraId="32D0E55B" w14:textId="77777777" w:rsidR="001432C3" w:rsidRPr="008B2522" w:rsidRDefault="00761524" w:rsidP="00D22CB7">
            <w:pPr>
              <w:pStyle w:val="TableParagraph"/>
              <w:keepNext/>
              <w:spacing w:line="250" w:lineRule="exact"/>
              <w:ind w:left="122"/>
              <w:rPr>
                <w:b/>
              </w:rPr>
            </w:pPr>
            <w:r w:rsidRPr="008B2522">
              <w:rPr>
                <w:b/>
              </w:rPr>
              <w:t>Miesiąc</w:t>
            </w:r>
            <w:r>
              <w:rPr>
                <w:b/>
              </w:rPr>
              <w:t> </w:t>
            </w:r>
            <w:r w:rsidR="000E2AE0" w:rsidRPr="008B2522">
              <w:rPr>
                <w:b/>
              </w:rPr>
              <w:t>12.</w:t>
            </w:r>
          </w:p>
        </w:tc>
        <w:tc>
          <w:tcPr>
            <w:tcW w:w="1701" w:type="dxa"/>
          </w:tcPr>
          <w:p w14:paraId="12FBABE1" w14:textId="77777777" w:rsidR="001432C3" w:rsidRPr="008B2522" w:rsidRDefault="001432C3" w:rsidP="00D22CB7">
            <w:pPr>
              <w:keepNext/>
            </w:pPr>
          </w:p>
        </w:tc>
        <w:tc>
          <w:tcPr>
            <w:tcW w:w="1842" w:type="dxa"/>
          </w:tcPr>
          <w:p w14:paraId="5BFD85B8" w14:textId="77777777" w:rsidR="001432C3" w:rsidRPr="008B2522" w:rsidRDefault="001432C3" w:rsidP="00D22CB7">
            <w:pPr>
              <w:keepNext/>
            </w:pPr>
          </w:p>
        </w:tc>
        <w:tc>
          <w:tcPr>
            <w:tcW w:w="1418" w:type="dxa"/>
          </w:tcPr>
          <w:p w14:paraId="27FFB96A" w14:textId="77777777" w:rsidR="001432C3" w:rsidRPr="008B2522" w:rsidRDefault="001432C3" w:rsidP="00D22CB7">
            <w:pPr>
              <w:keepNext/>
            </w:pPr>
          </w:p>
        </w:tc>
      </w:tr>
      <w:tr w:rsidR="001432C3" w:rsidRPr="008B2522" w14:paraId="67704AE9" w14:textId="77777777" w:rsidTr="00DE6CD4">
        <w:trPr>
          <w:trHeight w:hRule="exact" w:val="757"/>
        </w:trPr>
        <w:tc>
          <w:tcPr>
            <w:tcW w:w="4395" w:type="dxa"/>
          </w:tcPr>
          <w:p w14:paraId="6F8E1A81" w14:textId="77777777" w:rsidR="001432C3" w:rsidRPr="008B2522" w:rsidRDefault="000E2AE0" w:rsidP="00D22CB7">
            <w:pPr>
              <w:pStyle w:val="TableParagraph"/>
              <w:keepNext/>
              <w:ind w:left="122" w:right="1416"/>
            </w:pPr>
            <w:r w:rsidRPr="008B2522">
              <w:t xml:space="preserve">Liczba iniekcji do </w:t>
            </w:r>
            <w:r w:rsidR="00761524" w:rsidRPr="008B2522">
              <w:t>miesiąca</w:t>
            </w:r>
            <w:r w:rsidR="00761524">
              <w:t> </w:t>
            </w:r>
            <w:r w:rsidRPr="008B2522">
              <w:t>12.: Średnia</w:t>
            </w:r>
          </w:p>
          <w:p w14:paraId="399BCC76" w14:textId="77777777" w:rsidR="001432C3" w:rsidRPr="008B2522" w:rsidRDefault="000E2AE0" w:rsidP="00D22CB7">
            <w:pPr>
              <w:pStyle w:val="TableParagraph"/>
              <w:keepNext/>
              <w:spacing w:before="7"/>
              <w:ind w:left="122"/>
            </w:pPr>
            <w:r w:rsidRPr="008B2522">
              <w:t>Mediana</w:t>
            </w:r>
          </w:p>
        </w:tc>
        <w:tc>
          <w:tcPr>
            <w:tcW w:w="1701" w:type="dxa"/>
          </w:tcPr>
          <w:p w14:paraId="28FF9F9D" w14:textId="77777777" w:rsidR="001432C3" w:rsidRPr="008B2522" w:rsidRDefault="001432C3" w:rsidP="00D22CB7">
            <w:pPr>
              <w:pStyle w:val="TableParagraph"/>
              <w:keepNext/>
              <w:spacing w:before="4"/>
              <w:ind w:left="0"/>
              <w:rPr>
                <w:b/>
                <w:sz w:val="21"/>
              </w:rPr>
            </w:pPr>
          </w:p>
          <w:p w14:paraId="719B0E38" w14:textId="77777777" w:rsidR="001432C3" w:rsidRPr="008B2522" w:rsidRDefault="000E2AE0" w:rsidP="00D22CB7">
            <w:pPr>
              <w:pStyle w:val="TableParagraph"/>
              <w:keepNext/>
              <w:ind w:left="153" w:right="317"/>
              <w:jc w:val="center"/>
            </w:pPr>
            <w:r w:rsidRPr="008B2522">
              <w:t>4,6</w:t>
            </w:r>
          </w:p>
          <w:p w14:paraId="647D5F6C" w14:textId="77777777" w:rsidR="001432C3" w:rsidRPr="008B2522" w:rsidRDefault="000E2AE0" w:rsidP="00D22CB7">
            <w:pPr>
              <w:pStyle w:val="TableParagraph"/>
              <w:keepNext/>
              <w:spacing w:before="1"/>
              <w:ind w:left="153" w:right="317"/>
              <w:jc w:val="center"/>
            </w:pPr>
            <w:r w:rsidRPr="008B2522">
              <w:t>4,0</w:t>
            </w:r>
          </w:p>
        </w:tc>
        <w:tc>
          <w:tcPr>
            <w:tcW w:w="1842" w:type="dxa"/>
          </w:tcPr>
          <w:p w14:paraId="38C28D6C" w14:textId="77777777" w:rsidR="001432C3" w:rsidRPr="008B2522" w:rsidRDefault="001432C3" w:rsidP="00D22CB7">
            <w:pPr>
              <w:pStyle w:val="TableParagraph"/>
              <w:keepNext/>
              <w:spacing w:before="4"/>
              <w:ind w:left="0"/>
              <w:rPr>
                <w:b/>
                <w:sz w:val="21"/>
              </w:rPr>
            </w:pPr>
          </w:p>
          <w:p w14:paraId="1AB84440" w14:textId="77777777" w:rsidR="001432C3" w:rsidRPr="008B2522" w:rsidRDefault="000E2AE0" w:rsidP="00D22CB7">
            <w:pPr>
              <w:pStyle w:val="TableParagraph"/>
              <w:keepNext/>
              <w:ind w:left="317" w:right="252"/>
              <w:jc w:val="center"/>
            </w:pPr>
            <w:r w:rsidRPr="008B2522">
              <w:t>3,5</w:t>
            </w:r>
          </w:p>
          <w:p w14:paraId="2A1F00D3" w14:textId="77777777" w:rsidR="001432C3" w:rsidRPr="008B2522" w:rsidRDefault="000E2AE0" w:rsidP="00D22CB7">
            <w:pPr>
              <w:pStyle w:val="TableParagraph"/>
              <w:keepNext/>
              <w:spacing w:before="1"/>
              <w:ind w:left="317" w:right="252"/>
              <w:jc w:val="center"/>
            </w:pPr>
            <w:r w:rsidRPr="008B2522">
              <w:t>2,5</w:t>
            </w:r>
          </w:p>
        </w:tc>
        <w:tc>
          <w:tcPr>
            <w:tcW w:w="1418" w:type="dxa"/>
          </w:tcPr>
          <w:p w14:paraId="026F73A0" w14:textId="77777777" w:rsidR="001432C3" w:rsidRPr="008B2522" w:rsidRDefault="001432C3" w:rsidP="00D22CB7">
            <w:pPr>
              <w:pStyle w:val="TableParagraph"/>
              <w:keepNext/>
              <w:spacing w:before="4"/>
              <w:ind w:left="0"/>
              <w:rPr>
                <w:b/>
                <w:sz w:val="21"/>
              </w:rPr>
            </w:pPr>
          </w:p>
          <w:p w14:paraId="08B373DB" w14:textId="77777777" w:rsidR="001432C3" w:rsidRPr="008B2522" w:rsidRDefault="000E2AE0" w:rsidP="00D22CB7">
            <w:pPr>
              <w:pStyle w:val="TableParagraph"/>
              <w:keepNext/>
              <w:ind w:left="533" w:right="415"/>
            </w:pPr>
            <w:r w:rsidRPr="008B2522">
              <w:t>N/A N/A</w:t>
            </w:r>
          </w:p>
        </w:tc>
      </w:tr>
      <w:tr w:rsidR="001432C3" w:rsidRPr="008B2522" w14:paraId="721A9706" w14:textId="77777777" w:rsidTr="00E0574D">
        <w:trPr>
          <w:trHeight w:hRule="exact" w:val="1136"/>
        </w:trPr>
        <w:tc>
          <w:tcPr>
            <w:tcW w:w="4395" w:type="dxa"/>
          </w:tcPr>
          <w:p w14:paraId="59F6BFE0" w14:textId="77777777" w:rsidR="001432C3" w:rsidRPr="008B2522" w:rsidRDefault="000E2AE0" w:rsidP="00D22CB7">
            <w:pPr>
              <w:pStyle w:val="TableParagraph"/>
              <w:keepNext/>
              <w:ind w:left="122" w:right="597"/>
            </w:pPr>
            <w:r w:rsidRPr="008B2522">
              <w:t xml:space="preserve">Średnia zmiana BCVA od </w:t>
            </w:r>
            <w:r w:rsidR="00761524" w:rsidRPr="008B2522">
              <w:t>miesiąca</w:t>
            </w:r>
            <w:r w:rsidR="00761524">
              <w:t> </w:t>
            </w:r>
            <w:r w:rsidRPr="008B2522">
              <w:t xml:space="preserve">1. do </w:t>
            </w:r>
            <w:r w:rsidR="00761524" w:rsidRPr="008B2522">
              <w:t>miesiąca</w:t>
            </w:r>
            <w:r w:rsidR="00761524">
              <w:t> </w:t>
            </w:r>
            <w:r w:rsidRPr="008B2522">
              <w:t>12. w porównaniu ze stanem wyjściowym (litery)</w:t>
            </w:r>
          </w:p>
        </w:tc>
        <w:tc>
          <w:tcPr>
            <w:tcW w:w="1701" w:type="dxa"/>
          </w:tcPr>
          <w:p w14:paraId="6A2BCCDD" w14:textId="77777777" w:rsidR="001432C3" w:rsidRPr="008B2522" w:rsidRDefault="000E2AE0" w:rsidP="00D22CB7">
            <w:pPr>
              <w:pStyle w:val="TableParagraph"/>
              <w:keepNext/>
              <w:spacing w:line="248" w:lineRule="exact"/>
              <w:ind w:left="538"/>
            </w:pPr>
            <w:r w:rsidRPr="008B2522">
              <w:t>+12,8</w:t>
            </w:r>
          </w:p>
        </w:tc>
        <w:tc>
          <w:tcPr>
            <w:tcW w:w="1842" w:type="dxa"/>
          </w:tcPr>
          <w:p w14:paraId="2D5F27FB" w14:textId="77777777" w:rsidR="001432C3" w:rsidRPr="008B2522" w:rsidRDefault="000E2AE0" w:rsidP="00D22CB7">
            <w:pPr>
              <w:pStyle w:val="TableParagraph"/>
              <w:keepNext/>
              <w:spacing w:line="248" w:lineRule="exact"/>
              <w:ind w:left="317" w:right="252"/>
              <w:jc w:val="center"/>
            </w:pPr>
            <w:r w:rsidRPr="008B2522">
              <w:t>+12,5</w:t>
            </w:r>
          </w:p>
        </w:tc>
        <w:tc>
          <w:tcPr>
            <w:tcW w:w="1418" w:type="dxa"/>
          </w:tcPr>
          <w:p w14:paraId="368D9F07" w14:textId="77777777" w:rsidR="001432C3" w:rsidRPr="008B2522" w:rsidRDefault="000E2AE0" w:rsidP="00D22CB7">
            <w:pPr>
              <w:pStyle w:val="TableParagraph"/>
              <w:keepNext/>
              <w:spacing w:line="248" w:lineRule="exact"/>
              <w:ind w:left="250" w:right="151"/>
              <w:jc w:val="center"/>
            </w:pPr>
            <w:r w:rsidRPr="008B2522">
              <w:t>N/A</w:t>
            </w:r>
          </w:p>
        </w:tc>
      </w:tr>
      <w:tr w:rsidR="001432C3" w:rsidRPr="008B2522" w14:paraId="1B3E32AA" w14:textId="77777777" w:rsidTr="00E0574D">
        <w:trPr>
          <w:trHeight w:hRule="exact" w:val="840"/>
        </w:trPr>
        <w:tc>
          <w:tcPr>
            <w:tcW w:w="4395" w:type="dxa"/>
            <w:tcBorders>
              <w:bottom w:val="single" w:sz="4" w:space="0" w:color="000000"/>
            </w:tcBorders>
          </w:tcPr>
          <w:p w14:paraId="0120A5F6" w14:textId="77777777" w:rsidR="001432C3" w:rsidRPr="00BE6E27" w:rsidRDefault="000E2AE0">
            <w:pPr>
              <w:pStyle w:val="TableParagraph"/>
              <w:spacing w:line="248" w:lineRule="exact"/>
              <w:ind w:left="122"/>
            </w:pPr>
            <w:r w:rsidRPr="00BE6E27">
              <w:t>Odsetek pacjentów, którzy zyskali:</w:t>
            </w:r>
          </w:p>
          <w:p w14:paraId="5C8B8DAE" w14:textId="77777777" w:rsidR="001432C3" w:rsidRPr="008B2522" w:rsidRDefault="000E2AE0">
            <w:pPr>
              <w:pStyle w:val="TableParagraph"/>
              <w:spacing w:before="1"/>
              <w:ind w:left="122"/>
            </w:pPr>
            <w:r w:rsidRPr="008B2522">
              <w:t>≥</w:t>
            </w:r>
            <w:r w:rsidR="00761524" w:rsidRPr="008B2522">
              <w:t>15</w:t>
            </w:r>
            <w:r w:rsidR="00761524">
              <w:t> </w:t>
            </w:r>
            <w:r w:rsidRPr="008B2522">
              <w:t>liter lub osiągnęli ≥</w:t>
            </w:r>
            <w:r w:rsidR="00761524" w:rsidRPr="008B2522">
              <w:t>84</w:t>
            </w:r>
            <w:r w:rsidR="00761524">
              <w:t> </w:t>
            </w:r>
            <w:r w:rsidRPr="008B2522">
              <w:t>litery w BCVA</w:t>
            </w:r>
          </w:p>
        </w:tc>
        <w:tc>
          <w:tcPr>
            <w:tcW w:w="1701" w:type="dxa"/>
            <w:tcBorders>
              <w:bottom w:val="single" w:sz="4" w:space="0" w:color="000000"/>
            </w:tcBorders>
          </w:tcPr>
          <w:p w14:paraId="70C738B5" w14:textId="77777777" w:rsidR="001432C3" w:rsidRPr="008B2522" w:rsidRDefault="001432C3">
            <w:pPr>
              <w:pStyle w:val="TableParagraph"/>
              <w:spacing w:before="8"/>
              <w:ind w:left="0"/>
              <w:rPr>
                <w:b/>
                <w:sz w:val="21"/>
              </w:rPr>
            </w:pPr>
          </w:p>
          <w:p w14:paraId="25D75DA9" w14:textId="77777777" w:rsidR="001432C3" w:rsidRPr="008B2522" w:rsidRDefault="000E2AE0">
            <w:pPr>
              <w:pStyle w:val="TableParagraph"/>
              <w:ind w:left="507"/>
            </w:pPr>
            <w:r w:rsidRPr="008B2522">
              <w:t>53,3%</w:t>
            </w:r>
          </w:p>
        </w:tc>
        <w:tc>
          <w:tcPr>
            <w:tcW w:w="1842" w:type="dxa"/>
            <w:tcBorders>
              <w:bottom w:val="single" w:sz="4" w:space="0" w:color="000000"/>
            </w:tcBorders>
          </w:tcPr>
          <w:p w14:paraId="5230D111" w14:textId="77777777" w:rsidR="001432C3" w:rsidRPr="008B2522" w:rsidRDefault="001432C3">
            <w:pPr>
              <w:pStyle w:val="TableParagraph"/>
              <w:spacing w:before="8"/>
              <w:ind w:left="0"/>
              <w:rPr>
                <w:b/>
                <w:sz w:val="21"/>
              </w:rPr>
            </w:pPr>
          </w:p>
          <w:p w14:paraId="35D16D9E" w14:textId="77777777" w:rsidR="001432C3" w:rsidRPr="008B2522" w:rsidRDefault="000E2AE0">
            <w:pPr>
              <w:pStyle w:val="TableParagraph"/>
              <w:ind w:left="318" w:right="252"/>
              <w:jc w:val="center"/>
            </w:pPr>
            <w:r w:rsidRPr="008B2522">
              <w:t>51,7%</w:t>
            </w:r>
          </w:p>
        </w:tc>
        <w:tc>
          <w:tcPr>
            <w:tcW w:w="1418" w:type="dxa"/>
            <w:tcBorders>
              <w:bottom w:val="single" w:sz="4" w:space="0" w:color="000000"/>
            </w:tcBorders>
          </w:tcPr>
          <w:p w14:paraId="3E670437" w14:textId="77777777" w:rsidR="001432C3" w:rsidRPr="008B2522" w:rsidRDefault="001432C3">
            <w:pPr>
              <w:pStyle w:val="TableParagraph"/>
              <w:spacing w:before="8"/>
              <w:ind w:left="0"/>
              <w:rPr>
                <w:b/>
                <w:sz w:val="21"/>
              </w:rPr>
            </w:pPr>
          </w:p>
          <w:p w14:paraId="11198634" w14:textId="77777777" w:rsidR="001432C3" w:rsidRPr="008B2522" w:rsidRDefault="000E2AE0">
            <w:pPr>
              <w:pStyle w:val="TableParagraph"/>
              <w:ind w:left="250" w:right="151"/>
              <w:jc w:val="center"/>
            </w:pPr>
            <w:r w:rsidRPr="008B2522">
              <w:t>N/A</w:t>
            </w:r>
          </w:p>
        </w:tc>
      </w:tr>
    </w:tbl>
    <w:p w14:paraId="3C2A58F5" w14:textId="08CC9B7C" w:rsidR="001432C3" w:rsidRPr="008B2522" w:rsidRDefault="000E2AE0">
      <w:pPr>
        <w:pStyle w:val="a3"/>
        <w:spacing w:line="244" w:lineRule="exact"/>
        <w:ind w:left="118"/>
      </w:pPr>
      <w:r w:rsidRPr="008B2522">
        <w:rPr>
          <w:position w:val="8"/>
          <w:sz w:val="14"/>
        </w:rPr>
        <w:t xml:space="preserve">a </w:t>
      </w:r>
      <w:r w:rsidRPr="008B2522">
        <w:t>p&lt;0,00001 porównanie z grupą kontrolną vPDT</w:t>
      </w:r>
    </w:p>
    <w:p w14:paraId="3FA3877F" w14:textId="77777777" w:rsidR="001432C3" w:rsidRDefault="000E2AE0">
      <w:pPr>
        <w:pStyle w:val="a3"/>
        <w:ind w:left="118" w:right="360"/>
      </w:pPr>
      <w:r w:rsidRPr="008B2522">
        <w:rPr>
          <w:position w:val="8"/>
          <w:sz w:val="14"/>
        </w:rPr>
        <w:t xml:space="preserve">b </w:t>
      </w:r>
      <w:r w:rsidRPr="008B2522">
        <w:t>Porównawcza kontrola do miesiąca. 3. Pacjenci zrandomizowani do grupy vPDT mogli otrzymywać leczenie ranibizumabem od miesiąca 3. (w Grupie III 38 pacjentów otrzymało ranibizumab od miesiąca 3.)</w:t>
      </w:r>
    </w:p>
    <w:p w14:paraId="7F91DA77" w14:textId="77777777" w:rsidR="000F5294" w:rsidRDefault="000F5294">
      <w:r>
        <w:br w:type="page"/>
      </w:r>
    </w:p>
    <w:p w14:paraId="19770470" w14:textId="77777777" w:rsidR="001432C3" w:rsidRPr="004A2080" w:rsidRDefault="000E2AE0" w:rsidP="00E0574D">
      <w:pPr>
        <w:pStyle w:val="1"/>
        <w:tabs>
          <w:tab w:val="left" w:pos="1134"/>
        </w:tabs>
        <w:spacing w:before="74"/>
        <w:ind w:leftChars="64" w:left="1275" w:hangingChars="525" w:hanging="1134"/>
      </w:pPr>
      <w:r w:rsidRPr="004A2080">
        <w:lastRenderedPageBreak/>
        <w:t>Rycina</w:t>
      </w:r>
      <w:r w:rsidR="00761524" w:rsidRPr="004A2080">
        <w:t> </w:t>
      </w:r>
      <w:r w:rsidRPr="004A2080">
        <w:t>2</w:t>
      </w:r>
      <w:r w:rsidRPr="004A2080">
        <w:tab/>
        <w:t xml:space="preserve">Średnia zmiana BCVA względem wartości wyjściowych w okresie </w:t>
      </w:r>
      <w:r w:rsidR="00761524" w:rsidRPr="004A2080">
        <w:t>12 </w:t>
      </w:r>
      <w:r w:rsidRPr="004A2080">
        <w:t>miesięcy (RADIANCE)</w:t>
      </w:r>
    </w:p>
    <w:p w14:paraId="05F2043F" w14:textId="77777777" w:rsidR="001432C3" w:rsidRPr="008E3BFD" w:rsidRDefault="000E2AE0" w:rsidP="00E0574D">
      <w:pPr>
        <w:pStyle w:val="a3"/>
        <w:spacing w:before="68"/>
        <w:ind w:leftChars="64" w:left="141"/>
      </w:pPr>
      <w:r w:rsidRPr="008E3BFD">
        <w:rPr>
          <w:noProof/>
          <w:lang w:val="es-ES" w:eastAsia="ko-KR"/>
        </w:rPr>
        <w:drawing>
          <wp:anchor distT="0" distB="0" distL="0" distR="0" simplePos="0" relativeHeight="251621888" behindDoc="0" locked="0" layoutInCell="1" allowOverlap="1" wp14:anchorId="194CF745" wp14:editId="38B6DB46">
            <wp:simplePos x="0" y="0"/>
            <wp:positionH relativeFrom="page">
              <wp:posOffset>900430</wp:posOffset>
            </wp:positionH>
            <wp:positionV relativeFrom="paragraph">
              <wp:posOffset>161799</wp:posOffset>
            </wp:positionV>
            <wp:extent cx="5755771" cy="48682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755771" cy="4868227"/>
                    </a:xfrm>
                    <a:prstGeom prst="rect">
                      <a:avLst/>
                    </a:prstGeom>
                  </pic:spPr>
                </pic:pic>
              </a:graphicData>
            </a:graphic>
          </wp:anchor>
        </w:drawing>
      </w:r>
    </w:p>
    <w:p w14:paraId="3099AA46" w14:textId="77777777" w:rsidR="001432C3" w:rsidRPr="008B2522" w:rsidRDefault="000E2AE0" w:rsidP="00E0574D">
      <w:pPr>
        <w:pStyle w:val="a3"/>
        <w:ind w:leftChars="64" w:left="141"/>
      </w:pPr>
      <w:r w:rsidRPr="008B2522">
        <w:t>Poprawie widzenia towarzyszyło zmniejszenie grubości siatkówki centralnej.</w:t>
      </w:r>
    </w:p>
    <w:p w14:paraId="1225FA8D" w14:textId="77777777" w:rsidR="001432C3" w:rsidRPr="008B2522" w:rsidRDefault="001432C3" w:rsidP="00E0574D">
      <w:pPr>
        <w:pStyle w:val="a3"/>
        <w:spacing w:before="11"/>
        <w:ind w:leftChars="64" w:left="141"/>
        <w:rPr>
          <w:sz w:val="21"/>
        </w:rPr>
      </w:pPr>
    </w:p>
    <w:p w14:paraId="5609B2C3" w14:textId="77777777" w:rsidR="001432C3" w:rsidRPr="008B2522" w:rsidRDefault="000E2AE0" w:rsidP="00E0574D">
      <w:pPr>
        <w:pStyle w:val="a3"/>
        <w:ind w:leftChars="64" w:left="141" w:right="488"/>
      </w:pPr>
      <w:r w:rsidRPr="008B2522">
        <w:t>W grupach leczonych ranibizumabem obserwowano korzyści zgłaszane przez pacjentów w porównaniu z grupą vPDT (wartość p &lt;0,05), dotyczące poprawy łącznego wyniku oraz wyniku w kilku podskalach (widzenie ogólne, widzenie bliży, zdrowie psychiczne i zależność od innych) wg kwestionariusza NEI VFQ-25.</w:t>
      </w:r>
    </w:p>
    <w:p w14:paraId="4D1BBDE1" w14:textId="77777777" w:rsidR="001432C3" w:rsidRPr="008B2522" w:rsidRDefault="001432C3" w:rsidP="00E0574D">
      <w:pPr>
        <w:pStyle w:val="a3"/>
        <w:ind w:leftChars="64" w:left="141"/>
      </w:pPr>
    </w:p>
    <w:p w14:paraId="3C502ED0" w14:textId="77777777" w:rsidR="001432C3" w:rsidRPr="008B2522" w:rsidRDefault="000E2AE0" w:rsidP="00E0574D">
      <w:pPr>
        <w:keepNext/>
        <w:spacing w:before="1"/>
        <w:ind w:leftChars="64" w:left="141" w:right="219"/>
        <w:rPr>
          <w:i/>
        </w:rPr>
      </w:pPr>
      <w:r w:rsidRPr="008B2522">
        <w:rPr>
          <w:i/>
          <w:u w:val="single"/>
        </w:rPr>
        <w:t>Leczenie zaburzeń widzenia spowodowanych CNV (inną niż CNV wtórną do PM i wysiękowej postaci AMD)</w:t>
      </w:r>
    </w:p>
    <w:p w14:paraId="6B20C5BD" w14:textId="77777777" w:rsidR="001432C3" w:rsidRPr="008B2522" w:rsidRDefault="000E2AE0" w:rsidP="00E0574D">
      <w:pPr>
        <w:pStyle w:val="a3"/>
        <w:spacing w:before="1"/>
        <w:ind w:leftChars="64" w:left="141" w:right="441"/>
      </w:pPr>
      <w:r w:rsidRPr="008B2522">
        <w:t xml:space="preserve">Bezpieczeństwo stosowania i skuteczność kliniczną </w:t>
      </w:r>
      <w:r w:rsidR="00411C5B">
        <w:t>ranibizumabu</w:t>
      </w:r>
      <w:r w:rsidRPr="008B2522">
        <w:t xml:space="preserve"> u pacjentów z zaburzeniami widzenia spowodowanymi CNV oceniano na podstawie danych zgromadzonych w okresie </w:t>
      </w:r>
      <w:r w:rsidR="00761524" w:rsidRPr="008B2522">
        <w:t>12</w:t>
      </w:r>
      <w:r w:rsidR="00761524">
        <w:t> </w:t>
      </w:r>
      <w:r w:rsidRPr="008B2522">
        <w:t xml:space="preserve">miesięcy w podwójnie maskowanym badaniu rejestracyjnym kontrolowanym leczeniem pozorowanym G2301 (MINERVA). W tym badaniu </w:t>
      </w:r>
      <w:r w:rsidR="00761524" w:rsidRPr="008B2522">
        <w:t>178</w:t>
      </w:r>
      <w:r w:rsidR="00761524">
        <w:t> </w:t>
      </w:r>
      <w:r w:rsidRPr="008B2522">
        <w:t>dorosłych pacjentów zostało losowo przydzielonych w stosunku 2:1 do następujących grup:</w:t>
      </w:r>
    </w:p>
    <w:p w14:paraId="634EDE3E" w14:textId="77777777" w:rsidR="001432C3" w:rsidRPr="008B2522" w:rsidRDefault="000E2AE0" w:rsidP="008E3BFD">
      <w:pPr>
        <w:pStyle w:val="a4"/>
        <w:numPr>
          <w:ilvl w:val="0"/>
          <w:numId w:val="31"/>
        </w:numPr>
        <w:tabs>
          <w:tab w:val="left" w:pos="685"/>
          <w:tab w:val="left" w:pos="686"/>
        </w:tabs>
        <w:spacing w:before="2"/>
        <w:ind w:right="191" w:hanging="685"/>
      </w:pPr>
      <w:r w:rsidRPr="008B2522">
        <w:t>ranibizumab w dawce 0,</w:t>
      </w:r>
      <w:r w:rsidR="00761524" w:rsidRPr="008B2522">
        <w:t>5</w:t>
      </w:r>
      <w:r w:rsidR="00257CD6">
        <w:t> mg</w:t>
      </w:r>
      <w:r w:rsidRPr="008B2522">
        <w:t xml:space="preserve"> na początku badania, a następnie indywidualnie ustalony schemat dawkowania w zależności od aktywności choroby ocenianej na podstawie ostrości wzroku i (lub) parametrów anatomicznych (np. pogorszenie ostrości wzroku, obecność płynu wewnątrz lub podsiatkówkowego, wylew krwi lub</w:t>
      </w:r>
      <w:r w:rsidRPr="008B2522">
        <w:rPr>
          <w:spacing w:val="-12"/>
        </w:rPr>
        <w:t xml:space="preserve"> </w:t>
      </w:r>
      <w:r w:rsidRPr="008B2522">
        <w:t>przeciek);</w:t>
      </w:r>
    </w:p>
    <w:p w14:paraId="63B0D0A8" w14:textId="77777777" w:rsidR="001432C3" w:rsidRPr="008B2522" w:rsidRDefault="000E2AE0" w:rsidP="008E3BFD">
      <w:pPr>
        <w:pStyle w:val="a4"/>
        <w:numPr>
          <w:ilvl w:val="0"/>
          <w:numId w:val="31"/>
        </w:numPr>
        <w:tabs>
          <w:tab w:val="left" w:pos="685"/>
          <w:tab w:val="left" w:pos="686"/>
        </w:tabs>
        <w:ind w:right="438" w:hanging="685"/>
      </w:pPr>
      <w:r w:rsidRPr="008B2522">
        <w:t>wstrzyknięcie pozorowane na początku badania, a następnie indywidualnie ustalony</w:t>
      </w:r>
      <w:r w:rsidRPr="008B2522">
        <w:rPr>
          <w:spacing w:val="-26"/>
        </w:rPr>
        <w:t xml:space="preserve"> </w:t>
      </w:r>
      <w:r w:rsidRPr="008B2522">
        <w:t>schemat leczenia w zależności od aktywności</w:t>
      </w:r>
      <w:r w:rsidRPr="008B2522">
        <w:rPr>
          <w:spacing w:val="-9"/>
        </w:rPr>
        <w:t xml:space="preserve"> </w:t>
      </w:r>
      <w:r w:rsidRPr="008B2522">
        <w:t>choroby.</w:t>
      </w:r>
    </w:p>
    <w:p w14:paraId="11419899" w14:textId="77777777" w:rsidR="001432C3" w:rsidRPr="008B2522" w:rsidRDefault="000E2AE0" w:rsidP="00E0574D">
      <w:pPr>
        <w:pStyle w:val="a3"/>
        <w:spacing w:before="39"/>
        <w:ind w:leftChars="64" w:left="141" w:right="726"/>
      </w:pPr>
      <w:r w:rsidRPr="008B2522">
        <w:t xml:space="preserve">W </w:t>
      </w:r>
      <w:r w:rsidR="00761524" w:rsidRPr="008B2522">
        <w:t>miesiącu</w:t>
      </w:r>
      <w:r w:rsidR="00761524">
        <w:t> </w:t>
      </w:r>
      <w:r w:rsidRPr="008B2522">
        <w:t>2. wszyscy pacjenci otrzymywali otwarte leczenie ranibizumabem, w zależności od potrzeb.</w:t>
      </w:r>
    </w:p>
    <w:p w14:paraId="1C87D7B6" w14:textId="77777777" w:rsidR="00761524" w:rsidRDefault="00761524">
      <w:pPr>
        <w:pStyle w:val="a3"/>
        <w:spacing w:before="62"/>
        <w:ind w:left="118" w:right="384"/>
        <w:jc w:val="both"/>
      </w:pPr>
    </w:p>
    <w:p w14:paraId="226B2873" w14:textId="77777777" w:rsidR="001432C3" w:rsidRPr="008B2522" w:rsidRDefault="000E2AE0" w:rsidP="00E0574D">
      <w:pPr>
        <w:pStyle w:val="a3"/>
        <w:spacing w:before="62"/>
        <w:ind w:leftChars="64" w:left="141" w:right="384"/>
        <w:jc w:val="both"/>
      </w:pPr>
      <w:r w:rsidRPr="008B2522">
        <w:lastRenderedPageBreak/>
        <w:t xml:space="preserve">Najważniejsze wyniki badania MINERVA podsumowano w </w:t>
      </w:r>
      <w:r w:rsidR="00761524" w:rsidRPr="008B2522">
        <w:t>Tabeli</w:t>
      </w:r>
      <w:r w:rsidR="00761524">
        <w:t> </w:t>
      </w:r>
      <w:r w:rsidRPr="008B2522">
        <w:t xml:space="preserve">3 i na </w:t>
      </w:r>
      <w:r w:rsidR="00761524" w:rsidRPr="008B2522">
        <w:t>Rycinie</w:t>
      </w:r>
      <w:r w:rsidR="00761524">
        <w:t> </w:t>
      </w:r>
      <w:r w:rsidRPr="008B2522">
        <w:t xml:space="preserve">3. Obserwowano poprawę widzenia, której towarzyszyło zmniejszenie grubości centralnej części siatkówki w okresie </w:t>
      </w:r>
      <w:r w:rsidR="00761524" w:rsidRPr="008B2522">
        <w:t>12</w:t>
      </w:r>
      <w:r w:rsidR="00761524">
        <w:t> </w:t>
      </w:r>
      <w:r w:rsidRPr="008B2522">
        <w:t>miesięcy.</w:t>
      </w:r>
    </w:p>
    <w:p w14:paraId="03FB9AA0" w14:textId="77777777" w:rsidR="001432C3" w:rsidRPr="008B2522" w:rsidRDefault="001432C3" w:rsidP="00E0574D">
      <w:pPr>
        <w:pStyle w:val="a3"/>
        <w:spacing w:before="3"/>
        <w:ind w:leftChars="64" w:left="141"/>
        <w:rPr>
          <w:sz w:val="25"/>
        </w:rPr>
      </w:pPr>
    </w:p>
    <w:p w14:paraId="66678D3E" w14:textId="77777777" w:rsidR="001432C3" w:rsidRPr="008B2522" w:rsidRDefault="000E2AE0" w:rsidP="00E0574D">
      <w:pPr>
        <w:pStyle w:val="a3"/>
        <w:ind w:leftChars="64" w:left="141" w:right="124"/>
      </w:pPr>
      <w:r w:rsidRPr="008B2522">
        <w:t xml:space="preserve">Średnia liczba iniekcji podanych w ciągu </w:t>
      </w:r>
      <w:r w:rsidR="00761524" w:rsidRPr="008B2522">
        <w:t>12</w:t>
      </w:r>
      <w:r w:rsidR="00761524">
        <w:t> </w:t>
      </w:r>
      <w:r w:rsidRPr="008B2522">
        <w:t xml:space="preserve">miesięcy wyniosła 5,8 w grupie pacjentów leczonych ranibizumabem oraz 5,4 u pacjentów otrzymujących leczenie pozorowane, którzy kwalifikowali się do leczenia ranibizumabem od </w:t>
      </w:r>
      <w:r w:rsidR="00761524" w:rsidRPr="008B2522">
        <w:t>miesiąca</w:t>
      </w:r>
      <w:r w:rsidR="00761524">
        <w:t> </w:t>
      </w:r>
      <w:r w:rsidRPr="008B2522">
        <w:t xml:space="preserve">2. W grupie leczenia pozorowanego 7 z </w:t>
      </w:r>
      <w:r w:rsidR="00761524" w:rsidRPr="008B2522">
        <w:t>59</w:t>
      </w:r>
      <w:r w:rsidR="00761524">
        <w:t> </w:t>
      </w:r>
      <w:r w:rsidRPr="008B2522">
        <w:t xml:space="preserve">pacjentów nie otrzymało żadnego leczenia ranibizumabem w badanym oku w okresie </w:t>
      </w:r>
      <w:r w:rsidR="00761524" w:rsidRPr="008B2522">
        <w:t>12</w:t>
      </w:r>
      <w:r w:rsidR="00761524">
        <w:t> </w:t>
      </w:r>
      <w:r w:rsidRPr="008B2522">
        <w:t>miesięcy.</w:t>
      </w:r>
    </w:p>
    <w:p w14:paraId="2DA2684E" w14:textId="77777777" w:rsidR="001432C3" w:rsidRPr="008B2522" w:rsidRDefault="001432C3" w:rsidP="00E0574D">
      <w:pPr>
        <w:pStyle w:val="a3"/>
        <w:spacing w:before="5"/>
        <w:ind w:leftChars="64" w:left="141"/>
        <w:rPr>
          <w:sz w:val="29"/>
        </w:rPr>
      </w:pPr>
    </w:p>
    <w:p w14:paraId="4A883793" w14:textId="77777777" w:rsidR="001432C3" w:rsidRPr="004A2080" w:rsidRDefault="000E2AE0" w:rsidP="00E0574D">
      <w:pPr>
        <w:pStyle w:val="1"/>
        <w:tabs>
          <w:tab w:val="left" w:pos="1251"/>
        </w:tabs>
        <w:ind w:leftChars="64" w:left="141"/>
      </w:pPr>
      <w:r w:rsidRPr="004A2080">
        <w:t>Tabela 3</w:t>
      </w:r>
      <w:r w:rsidRPr="004A2080">
        <w:tab/>
        <w:t>Wyniki w miesiącu 2. (MINERVA)</w:t>
      </w:r>
    </w:p>
    <w:p w14:paraId="66C8E7EE" w14:textId="77777777" w:rsidR="001432C3" w:rsidRPr="008B2522" w:rsidRDefault="001432C3">
      <w:pPr>
        <w:pStyle w:val="a3"/>
        <w:spacing w:before="5"/>
        <w:rPr>
          <w:b/>
          <w:sz w:val="2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4"/>
        <w:gridCol w:w="2098"/>
        <w:gridCol w:w="1930"/>
      </w:tblGrid>
      <w:tr w:rsidR="001432C3" w:rsidRPr="008B2522" w14:paraId="5BB04CE1" w14:textId="77777777">
        <w:trPr>
          <w:trHeight w:hRule="exact" w:val="769"/>
        </w:trPr>
        <w:tc>
          <w:tcPr>
            <w:tcW w:w="5034" w:type="dxa"/>
          </w:tcPr>
          <w:p w14:paraId="44767405" w14:textId="77777777" w:rsidR="001432C3" w:rsidRPr="008B2522" w:rsidRDefault="001432C3"/>
        </w:tc>
        <w:tc>
          <w:tcPr>
            <w:tcW w:w="2098" w:type="dxa"/>
          </w:tcPr>
          <w:p w14:paraId="0F4DC680" w14:textId="77777777" w:rsidR="001432C3" w:rsidRPr="008B2522" w:rsidRDefault="000E2AE0">
            <w:pPr>
              <w:pStyle w:val="TableParagraph"/>
              <w:ind w:left="139" w:right="526" w:hanging="36"/>
              <w:rPr>
                <w:b/>
              </w:rPr>
            </w:pPr>
            <w:r w:rsidRPr="008B2522">
              <w:rPr>
                <w:b/>
              </w:rPr>
              <w:t>Ranibizumab 0,</w:t>
            </w:r>
            <w:r w:rsidR="00761524" w:rsidRPr="008B2522">
              <w:rPr>
                <w:b/>
              </w:rPr>
              <w:t>5</w:t>
            </w:r>
            <w:r w:rsidR="00257CD6">
              <w:rPr>
                <w:b/>
              </w:rPr>
              <w:t> mg</w:t>
            </w:r>
            <w:r w:rsidRPr="008B2522">
              <w:rPr>
                <w:b/>
              </w:rPr>
              <w:t xml:space="preserve"> (n=119)</w:t>
            </w:r>
          </w:p>
        </w:tc>
        <w:tc>
          <w:tcPr>
            <w:tcW w:w="1930" w:type="dxa"/>
          </w:tcPr>
          <w:p w14:paraId="35C4D872" w14:textId="77777777" w:rsidR="001432C3" w:rsidRPr="008B2522" w:rsidRDefault="000E2AE0">
            <w:pPr>
              <w:pStyle w:val="TableParagraph"/>
              <w:ind w:left="134" w:right="456" w:hanging="34"/>
              <w:rPr>
                <w:b/>
              </w:rPr>
            </w:pPr>
            <w:r w:rsidRPr="008B2522">
              <w:rPr>
                <w:b/>
              </w:rPr>
              <w:t>Wstrzyknięcie pozorowane (n=59)</w:t>
            </w:r>
          </w:p>
        </w:tc>
      </w:tr>
      <w:tr w:rsidR="001432C3" w:rsidRPr="008B2522" w14:paraId="785B9FE0" w14:textId="77777777">
        <w:trPr>
          <w:trHeight w:hRule="exact" w:val="516"/>
        </w:trPr>
        <w:tc>
          <w:tcPr>
            <w:tcW w:w="5034" w:type="dxa"/>
          </w:tcPr>
          <w:p w14:paraId="158227D0" w14:textId="77777777" w:rsidR="001432C3" w:rsidRPr="008B2522" w:rsidRDefault="000E2AE0">
            <w:pPr>
              <w:pStyle w:val="TableParagraph"/>
              <w:spacing w:line="252" w:lineRule="exact"/>
              <w:ind w:right="306"/>
              <w:rPr>
                <w:sz w:val="14"/>
              </w:rPr>
            </w:pPr>
            <w:r w:rsidRPr="008B2522">
              <w:t xml:space="preserve">Średnia zmiana BCVA od wartości wyjściowych do </w:t>
            </w:r>
            <w:r w:rsidR="00761524" w:rsidRPr="008B2522">
              <w:t>miesiąca</w:t>
            </w:r>
            <w:r w:rsidR="00761524">
              <w:t> </w:t>
            </w:r>
            <w:r w:rsidRPr="008B2522">
              <w:t xml:space="preserve">2. </w:t>
            </w:r>
            <w:r w:rsidRPr="008B2522">
              <w:rPr>
                <w:position w:val="8"/>
                <w:sz w:val="14"/>
              </w:rPr>
              <w:t>a</w:t>
            </w:r>
          </w:p>
        </w:tc>
        <w:tc>
          <w:tcPr>
            <w:tcW w:w="2098" w:type="dxa"/>
          </w:tcPr>
          <w:p w14:paraId="3D3E0265" w14:textId="77777777" w:rsidR="001432C3" w:rsidRPr="008B2522" w:rsidRDefault="000E2AE0">
            <w:pPr>
              <w:pStyle w:val="TableParagraph"/>
              <w:spacing w:line="249" w:lineRule="exact"/>
            </w:pPr>
            <w:r w:rsidRPr="008B2522">
              <w:t>9,</w:t>
            </w:r>
            <w:r w:rsidR="00761524" w:rsidRPr="008B2522">
              <w:t>5</w:t>
            </w:r>
            <w:r w:rsidR="00761524">
              <w:t> </w:t>
            </w:r>
            <w:r w:rsidRPr="008B2522">
              <w:t>liter</w:t>
            </w:r>
          </w:p>
        </w:tc>
        <w:tc>
          <w:tcPr>
            <w:tcW w:w="1930" w:type="dxa"/>
          </w:tcPr>
          <w:p w14:paraId="0EEEC080" w14:textId="77777777" w:rsidR="001432C3" w:rsidRPr="008B2522" w:rsidRDefault="000E2AE0">
            <w:pPr>
              <w:pStyle w:val="TableParagraph"/>
              <w:spacing w:line="249" w:lineRule="exact"/>
              <w:ind w:left="100"/>
            </w:pPr>
            <w:r w:rsidRPr="008B2522">
              <w:t>-0,</w:t>
            </w:r>
            <w:r w:rsidR="00761524" w:rsidRPr="008B2522">
              <w:t>4</w:t>
            </w:r>
            <w:r w:rsidR="00761524">
              <w:t> </w:t>
            </w:r>
            <w:r w:rsidRPr="008B2522">
              <w:t>litery</w:t>
            </w:r>
          </w:p>
        </w:tc>
      </w:tr>
      <w:tr w:rsidR="001432C3" w:rsidRPr="008B2522" w14:paraId="1087471F" w14:textId="77777777">
        <w:trPr>
          <w:trHeight w:hRule="exact" w:val="516"/>
        </w:trPr>
        <w:tc>
          <w:tcPr>
            <w:tcW w:w="5034" w:type="dxa"/>
          </w:tcPr>
          <w:p w14:paraId="6E11491C" w14:textId="77777777" w:rsidR="001432C3" w:rsidRPr="008B2522" w:rsidRDefault="000E2AE0">
            <w:pPr>
              <w:pStyle w:val="TableParagraph"/>
              <w:spacing w:line="252" w:lineRule="exact"/>
              <w:ind w:right="522"/>
            </w:pPr>
            <w:r w:rsidRPr="008B2522">
              <w:t>Pacjenci, którzy zyskali ≥</w:t>
            </w:r>
            <w:r w:rsidR="00761524" w:rsidRPr="008B2522">
              <w:t>15</w:t>
            </w:r>
            <w:r w:rsidR="00761524">
              <w:t> </w:t>
            </w:r>
            <w:r w:rsidRPr="008B2522">
              <w:t xml:space="preserve">liter względem stanu wyjściowego lub osiągnęli </w:t>
            </w:r>
            <w:r w:rsidR="00761524" w:rsidRPr="008B2522">
              <w:t>84</w:t>
            </w:r>
            <w:r w:rsidR="00761524">
              <w:t> </w:t>
            </w:r>
            <w:r w:rsidRPr="008B2522">
              <w:t xml:space="preserve">litery w </w:t>
            </w:r>
            <w:r w:rsidR="00761524" w:rsidRPr="008B2522">
              <w:t>miesiącu</w:t>
            </w:r>
            <w:r w:rsidR="00761524">
              <w:t> </w:t>
            </w:r>
            <w:r w:rsidRPr="008B2522">
              <w:t>2</w:t>
            </w:r>
          </w:p>
        </w:tc>
        <w:tc>
          <w:tcPr>
            <w:tcW w:w="2098" w:type="dxa"/>
          </w:tcPr>
          <w:p w14:paraId="282EB760" w14:textId="77777777" w:rsidR="001432C3" w:rsidRPr="008B2522" w:rsidRDefault="000E2AE0">
            <w:pPr>
              <w:pStyle w:val="TableParagraph"/>
              <w:spacing w:line="249" w:lineRule="exact"/>
            </w:pPr>
            <w:r w:rsidRPr="008B2522">
              <w:t>31,4%</w:t>
            </w:r>
          </w:p>
        </w:tc>
        <w:tc>
          <w:tcPr>
            <w:tcW w:w="1930" w:type="dxa"/>
          </w:tcPr>
          <w:p w14:paraId="233DAFA0" w14:textId="77777777" w:rsidR="001432C3" w:rsidRPr="008B2522" w:rsidRDefault="000E2AE0">
            <w:pPr>
              <w:pStyle w:val="TableParagraph"/>
              <w:spacing w:line="249" w:lineRule="exact"/>
              <w:ind w:left="100"/>
            </w:pPr>
            <w:r w:rsidRPr="008B2522">
              <w:t>12,3%</w:t>
            </w:r>
          </w:p>
        </w:tc>
      </w:tr>
      <w:tr w:rsidR="001432C3" w:rsidRPr="008B2522" w14:paraId="1AA73388" w14:textId="77777777">
        <w:trPr>
          <w:trHeight w:hRule="exact" w:val="516"/>
        </w:trPr>
        <w:tc>
          <w:tcPr>
            <w:tcW w:w="5034" w:type="dxa"/>
          </w:tcPr>
          <w:p w14:paraId="30C03A5E" w14:textId="77777777" w:rsidR="001432C3" w:rsidRPr="008B2522" w:rsidRDefault="000E2AE0">
            <w:pPr>
              <w:pStyle w:val="TableParagraph"/>
              <w:spacing w:line="252" w:lineRule="exact"/>
              <w:ind w:right="219"/>
            </w:pPr>
            <w:r w:rsidRPr="008B2522">
              <w:t>Pacjenci, którzy nie stracili &gt;</w:t>
            </w:r>
            <w:r w:rsidR="00761524" w:rsidRPr="008B2522">
              <w:t>15</w:t>
            </w:r>
            <w:r w:rsidR="00761524">
              <w:t> </w:t>
            </w:r>
            <w:r w:rsidRPr="008B2522">
              <w:t xml:space="preserve">liter względem stanu wyjściowego w </w:t>
            </w:r>
            <w:r w:rsidR="00761524" w:rsidRPr="008B2522">
              <w:t>miesiącu</w:t>
            </w:r>
            <w:r w:rsidR="00761524">
              <w:t> </w:t>
            </w:r>
            <w:r w:rsidRPr="008B2522">
              <w:t>2.</w:t>
            </w:r>
          </w:p>
        </w:tc>
        <w:tc>
          <w:tcPr>
            <w:tcW w:w="2098" w:type="dxa"/>
          </w:tcPr>
          <w:p w14:paraId="598BF446" w14:textId="77777777" w:rsidR="001432C3" w:rsidRPr="008B2522" w:rsidRDefault="000E2AE0">
            <w:pPr>
              <w:pStyle w:val="TableParagraph"/>
              <w:spacing w:line="249" w:lineRule="exact"/>
            </w:pPr>
            <w:r w:rsidRPr="008B2522">
              <w:t>99,2%</w:t>
            </w:r>
          </w:p>
        </w:tc>
        <w:tc>
          <w:tcPr>
            <w:tcW w:w="1930" w:type="dxa"/>
          </w:tcPr>
          <w:p w14:paraId="6927103F" w14:textId="77777777" w:rsidR="001432C3" w:rsidRPr="008B2522" w:rsidRDefault="000E2AE0">
            <w:pPr>
              <w:pStyle w:val="TableParagraph"/>
              <w:spacing w:line="249" w:lineRule="exact"/>
              <w:ind w:left="100"/>
            </w:pPr>
            <w:r w:rsidRPr="008B2522">
              <w:t>94,7%</w:t>
            </w:r>
          </w:p>
        </w:tc>
      </w:tr>
      <w:tr w:rsidR="001432C3" w:rsidRPr="008B2522" w14:paraId="54B86DB0" w14:textId="77777777">
        <w:trPr>
          <w:trHeight w:hRule="exact" w:val="518"/>
        </w:trPr>
        <w:tc>
          <w:tcPr>
            <w:tcW w:w="5034" w:type="dxa"/>
          </w:tcPr>
          <w:p w14:paraId="1B709870" w14:textId="77777777" w:rsidR="001432C3" w:rsidRPr="008B2522" w:rsidRDefault="000E2AE0">
            <w:pPr>
              <w:pStyle w:val="TableParagraph"/>
              <w:spacing w:line="252" w:lineRule="exact"/>
              <w:ind w:right="306"/>
              <w:rPr>
                <w:sz w:val="14"/>
              </w:rPr>
            </w:pPr>
            <w:r w:rsidRPr="008B2522">
              <w:t xml:space="preserve">Zmniejszenie CSFT </w:t>
            </w:r>
            <w:r w:rsidRPr="008B2522">
              <w:rPr>
                <w:position w:val="8"/>
                <w:sz w:val="14"/>
              </w:rPr>
              <w:t xml:space="preserve">b </w:t>
            </w:r>
            <w:r w:rsidRPr="008B2522">
              <w:t xml:space="preserve">od stanu wyjściowego do </w:t>
            </w:r>
            <w:r w:rsidR="00761524" w:rsidRPr="008B2522">
              <w:t>miesiąca</w:t>
            </w:r>
            <w:r w:rsidR="00761524">
              <w:t> </w:t>
            </w:r>
            <w:r w:rsidRPr="008B2522">
              <w:t xml:space="preserve">2. </w:t>
            </w:r>
            <w:r w:rsidRPr="008B2522">
              <w:rPr>
                <w:position w:val="8"/>
                <w:sz w:val="14"/>
              </w:rPr>
              <w:t>a</w:t>
            </w:r>
          </w:p>
        </w:tc>
        <w:tc>
          <w:tcPr>
            <w:tcW w:w="2098" w:type="dxa"/>
          </w:tcPr>
          <w:p w14:paraId="4994C4B9" w14:textId="77777777" w:rsidR="001432C3" w:rsidRPr="008B2522" w:rsidRDefault="00761524">
            <w:pPr>
              <w:pStyle w:val="TableParagraph"/>
              <w:spacing w:line="249" w:lineRule="exact"/>
            </w:pPr>
            <w:r w:rsidRPr="008B2522">
              <w:t>77</w:t>
            </w:r>
            <w:r>
              <w:t> </w:t>
            </w:r>
            <w:r w:rsidR="000E2AE0" w:rsidRPr="008B2522">
              <w:t>µm</w:t>
            </w:r>
          </w:p>
        </w:tc>
        <w:tc>
          <w:tcPr>
            <w:tcW w:w="1930" w:type="dxa"/>
          </w:tcPr>
          <w:p w14:paraId="6B4BC459" w14:textId="77777777" w:rsidR="001432C3" w:rsidRPr="008B2522" w:rsidRDefault="000E2AE0">
            <w:pPr>
              <w:pStyle w:val="TableParagraph"/>
              <w:spacing w:line="249" w:lineRule="exact"/>
              <w:ind w:left="100"/>
            </w:pPr>
            <w:r w:rsidRPr="008B2522">
              <w:t>-9,</w:t>
            </w:r>
            <w:r w:rsidR="00761524" w:rsidRPr="008B2522">
              <w:t>8</w:t>
            </w:r>
            <w:r w:rsidR="00761524">
              <w:t> </w:t>
            </w:r>
            <w:r w:rsidRPr="008B2522">
              <w:t>µm</w:t>
            </w:r>
          </w:p>
        </w:tc>
      </w:tr>
    </w:tbl>
    <w:p w14:paraId="4254CD62" w14:textId="2C75A529" w:rsidR="001432C3" w:rsidRPr="008B2522" w:rsidRDefault="000E2AE0" w:rsidP="00E0574D">
      <w:pPr>
        <w:pStyle w:val="a3"/>
        <w:spacing w:line="243" w:lineRule="exact"/>
        <w:ind w:leftChars="64" w:left="141"/>
      </w:pPr>
      <w:r w:rsidRPr="008B2522">
        <w:rPr>
          <w:position w:val="8"/>
          <w:sz w:val="14"/>
        </w:rPr>
        <w:t xml:space="preserve">a </w:t>
      </w:r>
      <w:r w:rsidRPr="008B2522">
        <w:t>Jednostronna wartość p&lt;0,001 porównanie z kontrolnym wstrzyknięciem pozorowanym</w:t>
      </w:r>
    </w:p>
    <w:p w14:paraId="4A57F747" w14:textId="77777777" w:rsidR="001432C3" w:rsidRPr="008B2522" w:rsidRDefault="000E2AE0" w:rsidP="00E0574D">
      <w:pPr>
        <w:pStyle w:val="a3"/>
        <w:spacing w:line="255" w:lineRule="exact"/>
        <w:ind w:leftChars="64" w:left="141"/>
      </w:pPr>
      <w:r w:rsidRPr="008B2522">
        <w:rPr>
          <w:position w:val="8"/>
          <w:sz w:val="14"/>
        </w:rPr>
        <w:t xml:space="preserve">b </w:t>
      </w:r>
      <w:r w:rsidRPr="008B2522">
        <w:t>CSFT – grubość centralnej części siatkówki</w:t>
      </w:r>
    </w:p>
    <w:p w14:paraId="2BB62DFE" w14:textId="77777777" w:rsidR="001432C3" w:rsidRPr="008B2522" w:rsidRDefault="001432C3" w:rsidP="00E0574D">
      <w:pPr>
        <w:pStyle w:val="a3"/>
        <w:spacing w:before="5"/>
        <w:ind w:leftChars="64" w:left="141"/>
      </w:pPr>
    </w:p>
    <w:p w14:paraId="070F42E4" w14:textId="77777777" w:rsidR="001432C3" w:rsidRPr="004A2080" w:rsidRDefault="00761524" w:rsidP="00E0574D">
      <w:pPr>
        <w:pStyle w:val="1"/>
        <w:tabs>
          <w:tab w:val="left" w:pos="1134"/>
        </w:tabs>
        <w:spacing w:before="74"/>
        <w:ind w:leftChars="64" w:left="1275" w:hangingChars="525" w:hanging="1134"/>
      </w:pPr>
      <w:r w:rsidRPr="004A2080">
        <w:t>Rycina </w:t>
      </w:r>
      <w:r w:rsidR="000E2AE0" w:rsidRPr="004A2080">
        <w:t>3</w:t>
      </w:r>
      <w:r w:rsidR="000E2AE0" w:rsidRPr="004A2080">
        <w:tab/>
      </w:r>
      <w:r w:rsidR="00505EF6">
        <w:tab/>
      </w:r>
      <w:r w:rsidR="000E2AE0" w:rsidRPr="004A2080">
        <w:t xml:space="preserve">Średnia zmiana BCVA od wartości początkowych w miarę upływu czasu do </w:t>
      </w:r>
      <w:r w:rsidRPr="004A2080">
        <w:t>miesiąca </w:t>
      </w:r>
      <w:r w:rsidR="000E2AE0" w:rsidRPr="004A2080">
        <w:t>12. (MINERVA)</w:t>
      </w:r>
    </w:p>
    <w:p w14:paraId="6F85E198" w14:textId="77777777" w:rsidR="001432C3" w:rsidRPr="008B2522" w:rsidRDefault="000E2AE0">
      <w:pPr>
        <w:pStyle w:val="a3"/>
        <w:spacing w:before="7"/>
        <w:rPr>
          <w:b/>
          <w:sz w:val="18"/>
        </w:rPr>
      </w:pPr>
      <w:r w:rsidRPr="008B2522">
        <w:rPr>
          <w:noProof/>
          <w:lang w:val="es-ES" w:eastAsia="ko-KR"/>
        </w:rPr>
        <w:drawing>
          <wp:anchor distT="0" distB="0" distL="0" distR="0" simplePos="0" relativeHeight="251624960" behindDoc="0" locked="0" layoutInCell="1" allowOverlap="1" wp14:anchorId="5A06D1AA" wp14:editId="52A63A4D">
            <wp:simplePos x="0" y="0"/>
            <wp:positionH relativeFrom="page">
              <wp:posOffset>900430</wp:posOffset>
            </wp:positionH>
            <wp:positionV relativeFrom="paragraph">
              <wp:posOffset>160749</wp:posOffset>
            </wp:positionV>
            <wp:extent cx="5712482" cy="411651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5712482" cy="4116514"/>
                    </a:xfrm>
                    <a:prstGeom prst="rect">
                      <a:avLst/>
                    </a:prstGeom>
                  </pic:spPr>
                </pic:pic>
              </a:graphicData>
            </a:graphic>
          </wp:anchor>
        </w:drawing>
      </w:r>
    </w:p>
    <w:p w14:paraId="7E2C69F8" w14:textId="77777777" w:rsidR="001432C3" w:rsidRPr="008B2522" w:rsidRDefault="000E2AE0" w:rsidP="00E0574D">
      <w:pPr>
        <w:pStyle w:val="a3"/>
        <w:spacing w:before="68"/>
        <w:ind w:leftChars="64" w:left="141" w:right="149"/>
      </w:pPr>
      <w:r w:rsidRPr="008B2522">
        <w:t xml:space="preserve">Porównując ranibizumab z kontrolnym wstrzyknięciem pozorowanym w </w:t>
      </w:r>
      <w:r w:rsidR="00761524" w:rsidRPr="008B2522">
        <w:t>miesiącu</w:t>
      </w:r>
      <w:r w:rsidR="00761524">
        <w:t> </w:t>
      </w:r>
      <w:r w:rsidRPr="008B2522">
        <w:t>2. obserwowano konsekwentny wpływ leczenia zarówno w całej grupie, jak i w podgrupach o różnej etiologii zaburzeń na początku badania:</w:t>
      </w:r>
    </w:p>
    <w:p w14:paraId="08EA42B6" w14:textId="77777777" w:rsidR="001432C3" w:rsidRPr="008B2522" w:rsidRDefault="001432C3" w:rsidP="00E0574D">
      <w:pPr>
        <w:pStyle w:val="a3"/>
        <w:spacing w:before="5"/>
        <w:ind w:leftChars="64" w:left="141"/>
      </w:pPr>
    </w:p>
    <w:p w14:paraId="1E0DFE16" w14:textId="77777777" w:rsidR="001432C3" w:rsidRPr="004A2080" w:rsidRDefault="000E2AE0" w:rsidP="00E0574D">
      <w:pPr>
        <w:pStyle w:val="1"/>
        <w:tabs>
          <w:tab w:val="left" w:pos="1251"/>
        </w:tabs>
        <w:ind w:leftChars="64" w:left="1415" w:hangingChars="590" w:hanging="1274"/>
      </w:pPr>
      <w:r w:rsidRPr="004A2080">
        <w:t>Tabela 4</w:t>
      </w:r>
      <w:r w:rsidRPr="004A2080">
        <w:tab/>
      </w:r>
      <w:r w:rsidR="00505EF6">
        <w:tab/>
      </w:r>
      <w:r w:rsidRPr="004A2080">
        <w:t>Wynik leczenia: ogólnie i w poszczególnych podgrupach w zależności od wyjściowej etiologii zaburzeń</w:t>
      </w:r>
    </w:p>
    <w:p w14:paraId="19D94DCA" w14:textId="77777777" w:rsidR="001432C3" w:rsidRPr="008B2522" w:rsidRDefault="001432C3">
      <w:pPr>
        <w:pStyle w:val="a3"/>
        <w:spacing w:before="10" w:after="1"/>
        <w:rPr>
          <w:b/>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3"/>
        <w:gridCol w:w="2597"/>
        <w:gridCol w:w="2432"/>
      </w:tblGrid>
      <w:tr w:rsidR="001432C3" w:rsidRPr="004A2080" w14:paraId="3066AFA0" w14:textId="77777777">
        <w:trPr>
          <w:trHeight w:hRule="exact" w:val="770"/>
        </w:trPr>
        <w:tc>
          <w:tcPr>
            <w:tcW w:w="4033" w:type="dxa"/>
          </w:tcPr>
          <w:p w14:paraId="4089EFE9" w14:textId="77777777" w:rsidR="001432C3" w:rsidRPr="008B2522" w:rsidRDefault="000E2AE0">
            <w:pPr>
              <w:pStyle w:val="TableParagraph"/>
              <w:spacing w:before="1"/>
              <w:ind w:right="472"/>
              <w:rPr>
                <w:b/>
              </w:rPr>
            </w:pPr>
            <w:r w:rsidRPr="008B2522">
              <w:rPr>
                <w:b/>
              </w:rPr>
              <w:t>Ogółem i w zależności od wyjściowej etiologii zaburzeń</w:t>
            </w:r>
          </w:p>
        </w:tc>
        <w:tc>
          <w:tcPr>
            <w:tcW w:w="2597" w:type="dxa"/>
          </w:tcPr>
          <w:p w14:paraId="06C599F6" w14:textId="77777777" w:rsidR="001432C3" w:rsidRPr="008B2522" w:rsidRDefault="000E2AE0">
            <w:pPr>
              <w:pStyle w:val="TableParagraph"/>
              <w:spacing w:before="1"/>
              <w:ind w:left="100" w:right="359"/>
              <w:rPr>
                <w:b/>
              </w:rPr>
            </w:pPr>
            <w:r w:rsidRPr="008B2522">
              <w:rPr>
                <w:b/>
              </w:rPr>
              <w:t>Wynik leczenia względem wstrzyknięć pozorowanych [litery]</w:t>
            </w:r>
          </w:p>
        </w:tc>
        <w:tc>
          <w:tcPr>
            <w:tcW w:w="2432" w:type="dxa"/>
          </w:tcPr>
          <w:p w14:paraId="65B01D73" w14:textId="77777777" w:rsidR="001432C3" w:rsidRPr="008B2522" w:rsidRDefault="000E2AE0">
            <w:pPr>
              <w:pStyle w:val="TableParagraph"/>
              <w:spacing w:before="1"/>
              <w:ind w:right="84"/>
              <w:rPr>
                <w:b/>
              </w:rPr>
            </w:pPr>
            <w:r w:rsidRPr="008B2522">
              <w:rPr>
                <w:b/>
              </w:rPr>
              <w:t>Liczba pacjentów [n] (leczenie+wstrzyknięcie pozorowane)</w:t>
            </w:r>
          </w:p>
        </w:tc>
      </w:tr>
      <w:tr w:rsidR="001432C3" w:rsidRPr="008B2522" w14:paraId="414C5874" w14:textId="77777777">
        <w:trPr>
          <w:trHeight w:hRule="exact" w:val="281"/>
        </w:trPr>
        <w:tc>
          <w:tcPr>
            <w:tcW w:w="4033" w:type="dxa"/>
          </w:tcPr>
          <w:p w14:paraId="6E6C67B6" w14:textId="77777777" w:rsidR="001432C3" w:rsidRPr="008B2522" w:rsidRDefault="000E2AE0">
            <w:pPr>
              <w:pStyle w:val="TableParagraph"/>
              <w:spacing w:line="247" w:lineRule="exact"/>
            </w:pPr>
            <w:r w:rsidRPr="008B2522">
              <w:t>Ogółem</w:t>
            </w:r>
          </w:p>
        </w:tc>
        <w:tc>
          <w:tcPr>
            <w:tcW w:w="2597" w:type="dxa"/>
          </w:tcPr>
          <w:p w14:paraId="4FD3A21C" w14:textId="77777777" w:rsidR="001432C3" w:rsidRPr="008B2522" w:rsidRDefault="000E2AE0">
            <w:pPr>
              <w:pStyle w:val="TableParagraph"/>
              <w:spacing w:line="247" w:lineRule="exact"/>
              <w:ind w:left="100"/>
            </w:pPr>
            <w:r w:rsidRPr="008B2522">
              <w:t>9,9</w:t>
            </w:r>
          </w:p>
        </w:tc>
        <w:tc>
          <w:tcPr>
            <w:tcW w:w="2432" w:type="dxa"/>
          </w:tcPr>
          <w:p w14:paraId="04FEE2B8" w14:textId="77777777" w:rsidR="001432C3" w:rsidRPr="008B2522" w:rsidRDefault="000E2AE0">
            <w:pPr>
              <w:pStyle w:val="TableParagraph"/>
              <w:spacing w:line="247" w:lineRule="exact"/>
            </w:pPr>
            <w:r w:rsidRPr="008B2522">
              <w:t>178</w:t>
            </w:r>
          </w:p>
        </w:tc>
      </w:tr>
      <w:tr w:rsidR="001432C3" w:rsidRPr="008B2522" w14:paraId="55B799E6" w14:textId="77777777">
        <w:trPr>
          <w:trHeight w:hRule="exact" w:val="274"/>
        </w:trPr>
        <w:tc>
          <w:tcPr>
            <w:tcW w:w="4033" w:type="dxa"/>
          </w:tcPr>
          <w:p w14:paraId="28EA290B" w14:textId="77777777" w:rsidR="001432C3" w:rsidRPr="008B2522" w:rsidRDefault="000E2AE0">
            <w:pPr>
              <w:pStyle w:val="TableParagraph"/>
              <w:spacing w:line="247" w:lineRule="exact"/>
            </w:pPr>
            <w:r w:rsidRPr="008B2522">
              <w:t>Pasma naczyniaste</w:t>
            </w:r>
          </w:p>
        </w:tc>
        <w:tc>
          <w:tcPr>
            <w:tcW w:w="2597" w:type="dxa"/>
          </w:tcPr>
          <w:p w14:paraId="3A3548BD" w14:textId="77777777" w:rsidR="001432C3" w:rsidRPr="008B2522" w:rsidRDefault="000E2AE0">
            <w:pPr>
              <w:pStyle w:val="TableParagraph"/>
              <w:spacing w:line="247" w:lineRule="exact"/>
              <w:ind w:left="100"/>
            </w:pPr>
            <w:r w:rsidRPr="008B2522">
              <w:t>14,6</w:t>
            </w:r>
          </w:p>
        </w:tc>
        <w:tc>
          <w:tcPr>
            <w:tcW w:w="2432" w:type="dxa"/>
          </w:tcPr>
          <w:p w14:paraId="293447EA" w14:textId="77777777" w:rsidR="001432C3" w:rsidRPr="008B2522" w:rsidRDefault="000E2AE0">
            <w:pPr>
              <w:pStyle w:val="TableParagraph"/>
              <w:spacing w:line="247" w:lineRule="exact"/>
            </w:pPr>
            <w:r w:rsidRPr="008B2522">
              <w:t>27</w:t>
            </w:r>
          </w:p>
        </w:tc>
      </w:tr>
      <w:tr w:rsidR="001432C3" w:rsidRPr="008B2522" w14:paraId="5CC04739" w14:textId="77777777">
        <w:trPr>
          <w:trHeight w:hRule="exact" w:val="295"/>
        </w:trPr>
        <w:tc>
          <w:tcPr>
            <w:tcW w:w="4033" w:type="dxa"/>
          </w:tcPr>
          <w:p w14:paraId="7F97E7BD" w14:textId="77777777" w:rsidR="001432C3" w:rsidRPr="008B2522" w:rsidRDefault="000E2AE0">
            <w:pPr>
              <w:pStyle w:val="TableParagraph"/>
              <w:spacing w:line="247" w:lineRule="exact"/>
            </w:pPr>
            <w:r w:rsidRPr="008B2522">
              <w:t>Retinochoroidopatia pozapalna</w:t>
            </w:r>
          </w:p>
        </w:tc>
        <w:tc>
          <w:tcPr>
            <w:tcW w:w="2597" w:type="dxa"/>
          </w:tcPr>
          <w:p w14:paraId="01A2400A" w14:textId="77777777" w:rsidR="001432C3" w:rsidRPr="008B2522" w:rsidRDefault="000E2AE0">
            <w:pPr>
              <w:pStyle w:val="TableParagraph"/>
              <w:spacing w:line="247" w:lineRule="exact"/>
              <w:ind w:left="100"/>
            </w:pPr>
            <w:r w:rsidRPr="008B2522">
              <w:t>6,5</w:t>
            </w:r>
          </w:p>
        </w:tc>
        <w:tc>
          <w:tcPr>
            <w:tcW w:w="2432" w:type="dxa"/>
          </w:tcPr>
          <w:p w14:paraId="487F7535" w14:textId="77777777" w:rsidR="001432C3" w:rsidRPr="008B2522" w:rsidRDefault="000E2AE0">
            <w:pPr>
              <w:pStyle w:val="TableParagraph"/>
              <w:spacing w:line="247" w:lineRule="exact"/>
            </w:pPr>
            <w:r w:rsidRPr="008B2522">
              <w:t>28</w:t>
            </w:r>
          </w:p>
        </w:tc>
      </w:tr>
      <w:tr w:rsidR="001432C3" w:rsidRPr="008B2522" w14:paraId="50B55654" w14:textId="77777777">
        <w:trPr>
          <w:trHeight w:hRule="exact" w:val="266"/>
        </w:trPr>
        <w:tc>
          <w:tcPr>
            <w:tcW w:w="4033" w:type="dxa"/>
          </w:tcPr>
          <w:p w14:paraId="57793A42" w14:textId="77777777" w:rsidR="001432C3" w:rsidRPr="008B2522" w:rsidRDefault="000E2AE0">
            <w:pPr>
              <w:pStyle w:val="TableParagraph"/>
              <w:spacing w:line="247" w:lineRule="exact"/>
            </w:pPr>
            <w:r w:rsidRPr="008B2522">
              <w:t>Centralna surowicza retinopatia</w:t>
            </w:r>
          </w:p>
        </w:tc>
        <w:tc>
          <w:tcPr>
            <w:tcW w:w="2597" w:type="dxa"/>
          </w:tcPr>
          <w:p w14:paraId="60BCED09" w14:textId="77777777" w:rsidR="001432C3" w:rsidRPr="008B2522" w:rsidRDefault="000E2AE0">
            <w:pPr>
              <w:pStyle w:val="TableParagraph"/>
              <w:spacing w:line="247" w:lineRule="exact"/>
              <w:ind w:left="100"/>
            </w:pPr>
            <w:r w:rsidRPr="008B2522">
              <w:t>5,0</w:t>
            </w:r>
          </w:p>
        </w:tc>
        <w:tc>
          <w:tcPr>
            <w:tcW w:w="2432" w:type="dxa"/>
          </w:tcPr>
          <w:p w14:paraId="4ADE6429" w14:textId="77777777" w:rsidR="001432C3" w:rsidRPr="008B2522" w:rsidRDefault="000E2AE0">
            <w:pPr>
              <w:pStyle w:val="TableParagraph"/>
              <w:spacing w:line="247" w:lineRule="exact"/>
            </w:pPr>
            <w:r w:rsidRPr="008B2522">
              <w:t>23</w:t>
            </w:r>
          </w:p>
        </w:tc>
      </w:tr>
      <w:tr w:rsidR="001432C3" w:rsidRPr="008B2522" w14:paraId="0C4EDFE6" w14:textId="77777777">
        <w:trPr>
          <w:trHeight w:hRule="exact" w:val="265"/>
        </w:trPr>
        <w:tc>
          <w:tcPr>
            <w:tcW w:w="4033" w:type="dxa"/>
          </w:tcPr>
          <w:p w14:paraId="57BDC1C3" w14:textId="77777777" w:rsidR="001432C3" w:rsidRPr="008B2522" w:rsidRDefault="000E2AE0">
            <w:pPr>
              <w:pStyle w:val="TableParagraph"/>
              <w:spacing w:line="247" w:lineRule="exact"/>
            </w:pPr>
            <w:r w:rsidRPr="008B2522">
              <w:t>Samoistna retinopatia</w:t>
            </w:r>
          </w:p>
        </w:tc>
        <w:tc>
          <w:tcPr>
            <w:tcW w:w="2597" w:type="dxa"/>
          </w:tcPr>
          <w:p w14:paraId="25BF293D" w14:textId="77777777" w:rsidR="001432C3" w:rsidRPr="008B2522" w:rsidRDefault="000E2AE0">
            <w:pPr>
              <w:pStyle w:val="TableParagraph"/>
              <w:spacing w:line="247" w:lineRule="exact"/>
              <w:ind w:left="100"/>
            </w:pPr>
            <w:r w:rsidRPr="008B2522">
              <w:t>11,4</w:t>
            </w:r>
          </w:p>
        </w:tc>
        <w:tc>
          <w:tcPr>
            <w:tcW w:w="2432" w:type="dxa"/>
          </w:tcPr>
          <w:p w14:paraId="319DC302" w14:textId="77777777" w:rsidR="001432C3" w:rsidRPr="008B2522" w:rsidRDefault="000E2AE0">
            <w:pPr>
              <w:pStyle w:val="TableParagraph"/>
              <w:spacing w:line="247" w:lineRule="exact"/>
            </w:pPr>
            <w:r w:rsidRPr="008B2522">
              <w:t>63</w:t>
            </w:r>
          </w:p>
        </w:tc>
      </w:tr>
      <w:tr w:rsidR="001432C3" w:rsidRPr="008B2522" w14:paraId="46A982F4" w14:textId="77777777">
        <w:trPr>
          <w:trHeight w:hRule="exact" w:val="281"/>
        </w:trPr>
        <w:tc>
          <w:tcPr>
            <w:tcW w:w="4033" w:type="dxa"/>
          </w:tcPr>
          <w:p w14:paraId="48F0288F" w14:textId="77777777" w:rsidR="001432C3" w:rsidRPr="008B2522" w:rsidRDefault="000E2AE0">
            <w:pPr>
              <w:pStyle w:val="TableParagraph"/>
              <w:spacing w:line="247" w:lineRule="exact"/>
              <w:rPr>
                <w:sz w:val="14"/>
              </w:rPr>
            </w:pPr>
            <w:r w:rsidRPr="008B2522">
              <w:t>Różne etiologie</w:t>
            </w:r>
            <w:r w:rsidRPr="008B2522">
              <w:rPr>
                <w:position w:val="8"/>
                <w:sz w:val="14"/>
              </w:rPr>
              <w:t>a</w:t>
            </w:r>
          </w:p>
        </w:tc>
        <w:tc>
          <w:tcPr>
            <w:tcW w:w="2597" w:type="dxa"/>
          </w:tcPr>
          <w:p w14:paraId="4050E405" w14:textId="77777777" w:rsidR="001432C3" w:rsidRPr="008B2522" w:rsidRDefault="000E2AE0">
            <w:pPr>
              <w:pStyle w:val="TableParagraph"/>
              <w:spacing w:line="247" w:lineRule="exact"/>
              <w:ind w:left="100"/>
            </w:pPr>
            <w:r w:rsidRPr="008B2522">
              <w:t>10,6</w:t>
            </w:r>
          </w:p>
        </w:tc>
        <w:tc>
          <w:tcPr>
            <w:tcW w:w="2432" w:type="dxa"/>
          </w:tcPr>
          <w:p w14:paraId="7A486722" w14:textId="77777777" w:rsidR="001432C3" w:rsidRPr="008B2522" w:rsidRDefault="000E2AE0">
            <w:pPr>
              <w:pStyle w:val="TableParagraph"/>
              <w:spacing w:line="247" w:lineRule="exact"/>
            </w:pPr>
            <w:r w:rsidRPr="008B2522">
              <w:t>37</w:t>
            </w:r>
          </w:p>
        </w:tc>
      </w:tr>
    </w:tbl>
    <w:p w14:paraId="7011B15D" w14:textId="384DE9D1" w:rsidR="001432C3" w:rsidRPr="008B2522" w:rsidRDefault="000E2AE0">
      <w:pPr>
        <w:pStyle w:val="a3"/>
        <w:spacing w:before="29"/>
        <w:ind w:left="118"/>
      </w:pPr>
      <w:r w:rsidRPr="008B2522">
        <w:rPr>
          <w:position w:val="8"/>
          <w:sz w:val="14"/>
        </w:rPr>
        <w:t xml:space="preserve">a </w:t>
      </w:r>
      <w:r w:rsidRPr="008B2522">
        <w:t>obejmuje różne etiologie o małej częstości występowania nieuwzględnione w innych podgrupach</w:t>
      </w:r>
    </w:p>
    <w:p w14:paraId="71CE3E1C" w14:textId="77777777" w:rsidR="001432C3" w:rsidRPr="008B2522" w:rsidRDefault="001432C3" w:rsidP="00E0574D">
      <w:pPr>
        <w:pStyle w:val="a3"/>
        <w:spacing w:before="9"/>
        <w:ind w:leftChars="64" w:left="141"/>
        <w:rPr>
          <w:sz w:val="21"/>
        </w:rPr>
      </w:pPr>
    </w:p>
    <w:p w14:paraId="1031A5CC" w14:textId="77777777" w:rsidR="001432C3" w:rsidRPr="008B2522" w:rsidRDefault="000E2AE0" w:rsidP="00E0574D">
      <w:pPr>
        <w:pStyle w:val="a3"/>
        <w:ind w:leftChars="64" w:left="141" w:right="157"/>
      </w:pPr>
      <w:r w:rsidRPr="008B2522">
        <w:t xml:space="preserve">W badaniu rejestracyjnym G2301 (MINERVA) pięciu nastoletnich pacjentów w </w:t>
      </w:r>
      <w:r w:rsidR="00761524" w:rsidRPr="008B2522">
        <w:t>wieku</w:t>
      </w:r>
      <w:r w:rsidR="00761524">
        <w:t> </w:t>
      </w:r>
      <w:r w:rsidRPr="008B2522">
        <w:t>12 do 17 lat z zaburzeniami widzenia wtórnymi do CNV otrzymywało otwarte leczenie ranibizumabem w dawce 0,</w:t>
      </w:r>
      <w:r w:rsidR="00761524" w:rsidRPr="008B2522">
        <w:t>5</w:t>
      </w:r>
      <w:r w:rsidR="00257CD6">
        <w:t> mg</w:t>
      </w:r>
      <w:r w:rsidRPr="008B2522">
        <w:t xml:space="preserve"> na początku badania, a następnie indywidualnie ustalony schemat leczenia jak dla populacji pacjentów dorosłych. BCVA uległa poprawie od wartości wyjściowych do </w:t>
      </w:r>
      <w:r w:rsidR="00761524" w:rsidRPr="008B2522">
        <w:t>miesiąca</w:t>
      </w:r>
      <w:r w:rsidR="00761524">
        <w:t> </w:t>
      </w:r>
      <w:r w:rsidRPr="008B2522">
        <w:t xml:space="preserve">12 u wszystkich pięciu pacjentów i wyniosła </w:t>
      </w:r>
      <w:r w:rsidR="00761524" w:rsidRPr="008B2522">
        <w:t>od</w:t>
      </w:r>
      <w:r w:rsidR="00761524">
        <w:t> </w:t>
      </w:r>
      <w:r w:rsidRPr="008B2522">
        <w:t>5 do 38 liter (średnio 16,</w:t>
      </w:r>
      <w:r w:rsidR="00761524" w:rsidRPr="008B2522">
        <w:t>6</w:t>
      </w:r>
      <w:r w:rsidR="00761524">
        <w:t> </w:t>
      </w:r>
      <w:r w:rsidRPr="008B2522">
        <w:t xml:space="preserve">liter). Poprawie widzenia towarzyszyła stabilizacja lub zmniejszenie grubości centralnej części siatkówki w okresie </w:t>
      </w:r>
      <w:r w:rsidR="00761524" w:rsidRPr="008B2522">
        <w:t>12</w:t>
      </w:r>
      <w:r w:rsidR="00761524">
        <w:t> </w:t>
      </w:r>
      <w:r w:rsidRPr="008B2522">
        <w:t xml:space="preserve">miesięcy. Średnia liczba wstrzyknięć ranibizumabu do badanego oka w ciągu </w:t>
      </w:r>
      <w:r w:rsidR="00761524" w:rsidRPr="008B2522">
        <w:t>12</w:t>
      </w:r>
      <w:r w:rsidR="00761524">
        <w:t> </w:t>
      </w:r>
      <w:r w:rsidRPr="008B2522">
        <w:t>miesięcy wyniosła 3 (zakres od 2 do 5). Ogółem, leczenie ranibizumabem było dobrze</w:t>
      </w:r>
      <w:r w:rsidRPr="008B2522">
        <w:rPr>
          <w:spacing w:val="-11"/>
        </w:rPr>
        <w:t xml:space="preserve"> </w:t>
      </w:r>
      <w:r w:rsidRPr="008B2522">
        <w:t>tolerowane.</w:t>
      </w:r>
    </w:p>
    <w:p w14:paraId="5BB22CB1" w14:textId="77777777" w:rsidR="001432C3" w:rsidRPr="008B2522" w:rsidRDefault="001432C3" w:rsidP="00E0574D">
      <w:pPr>
        <w:pStyle w:val="a3"/>
        <w:ind w:leftChars="64" w:left="141"/>
      </w:pPr>
    </w:p>
    <w:p w14:paraId="5D697B3C" w14:textId="77777777" w:rsidR="001432C3" w:rsidRPr="008B2522" w:rsidRDefault="000E2AE0" w:rsidP="00E0574D">
      <w:pPr>
        <w:keepNext/>
        <w:ind w:leftChars="64" w:left="141"/>
        <w:rPr>
          <w:i/>
        </w:rPr>
      </w:pPr>
      <w:r w:rsidRPr="008B2522">
        <w:rPr>
          <w:i/>
          <w:u w:val="single"/>
        </w:rPr>
        <w:t>Leczenie zaburzeń widzenia spowodowanych przez DME</w:t>
      </w:r>
    </w:p>
    <w:p w14:paraId="32A98D15" w14:textId="77777777" w:rsidR="001432C3" w:rsidRPr="008B2522" w:rsidRDefault="000E2AE0" w:rsidP="00E0574D">
      <w:pPr>
        <w:pStyle w:val="a3"/>
        <w:spacing w:before="1"/>
        <w:ind w:leftChars="64" w:left="141" w:right="437"/>
      </w:pPr>
      <w:r w:rsidRPr="008B2522">
        <w:t xml:space="preserve">Skuteczność i bezpieczeństwo stosowania </w:t>
      </w:r>
      <w:r w:rsidR="00135836">
        <w:t xml:space="preserve">ranibizumabu </w:t>
      </w:r>
      <w:r w:rsidRPr="008B2522">
        <w:t xml:space="preserve">oceniano w trzech randomizowanych, kontrolowanych badaniach trwających przynajmniej </w:t>
      </w:r>
      <w:r w:rsidR="00761524" w:rsidRPr="008B2522">
        <w:t>12</w:t>
      </w:r>
      <w:r w:rsidR="00761524">
        <w:t> </w:t>
      </w:r>
      <w:r w:rsidRPr="008B2522">
        <w:t>miesięcy. Do badań włączono w sumie 868</w:t>
      </w:r>
      <w:r w:rsidR="00761524">
        <w:t> </w:t>
      </w:r>
      <w:r w:rsidRPr="008B2522">
        <w:t>pacjentów (</w:t>
      </w:r>
      <w:r w:rsidR="00761524" w:rsidRPr="008B2522">
        <w:t>708</w:t>
      </w:r>
      <w:r w:rsidR="00761524">
        <w:t> </w:t>
      </w:r>
      <w:r w:rsidRPr="008B2522">
        <w:t>pacjentów w grupie aktywnego leczenia i 160 w grupie</w:t>
      </w:r>
      <w:r w:rsidRPr="008B2522">
        <w:rPr>
          <w:spacing w:val="-21"/>
        </w:rPr>
        <w:t xml:space="preserve"> </w:t>
      </w:r>
      <w:r w:rsidRPr="008B2522">
        <w:t>kontrolnej).</w:t>
      </w:r>
    </w:p>
    <w:p w14:paraId="2D9621C4" w14:textId="77777777" w:rsidR="001432C3" w:rsidRPr="008B2522" w:rsidRDefault="001432C3" w:rsidP="00E0574D">
      <w:pPr>
        <w:pStyle w:val="a3"/>
        <w:ind w:leftChars="64" w:left="141"/>
      </w:pPr>
    </w:p>
    <w:p w14:paraId="739A2C73" w14:textId="77777777" w:rsidR="001432C3" w:rsidRPr="008B2522" w:rsidRDefault="000E2AE0" w:rsidP="00E0574D">
      <w:pPr>
        <w:pStyle w:val="a3"/>
        <w:ind w:leftChars="64" w:left="141" w:right="497"/>
      </w:pPr>
      <w:r w:rsidRPr="008B2522">
        <w:t xml:space="preserve">W badaniu II fazy D2201 (RESOLVE) </w:t>
      </w:r>
      <w:r w:rsidR="00761524" w:rsidRPr="008B2522">
        <w:t>151</w:t>
      </w:r>
      <w:r w:rsidR="00761524">
        <w:t> </w:t>
      </w:r>
      <w:r w:rsidRPr="008B2522">
        <w:t>pacjentów było leczonych ranibizumabem (</w:t>
      </w:r>
      <w:r w:rsidR="00761524" w:rsidRPr="008B2522">
        <w:t>6</w:t>
      </w:r>
      <w:r w:rsidR="00257CD6">
        <w:t> mg</w:t>
      </w:r>
      <w:r w:rsidRPr="008B2522">
        <w:t xml:space="preserve">/ml, n=51, </w:t>
      </w:r>
      <w:r w:rsidR="00761524" w:rsidRPr="008B2522">
        <w:t>10</w:t>
      </w:r>
      <w:r w:rsidR="00257CD6">
        <w:t> mg</w:t>
      </w:r>
      <w:r w:rsidRPr="008B2522">
        <w:t xml:space="preserve">/ml, n=51) lub terapią pozorowaną (n=49), podawanymi w comiesięcznych wstrzyknięciach do ciała szklistego. Średnia zmiana BCVA od </w:t>
      </w:r>
      <w:r w:rsidR="00761524" w:rsidRPr="008B2522">
        <w:t>miesiąca</w:t>
      </w:r>
      <w:r w:rsidR="00761524">
        <w:t> </w:t>
      </w:r>
      <w:r w:rsidRPr="008B2522">
        <w:t xml:space="preserve">1. do </w:t>
      </w:r>
      <w:r w:rsidR="00761524" w:rsidRPr="008B2522">
        <w:t>miesiąca</w:t>
      </w:r>
      <w:r w:rsidR="00761524">
        <w:t> </w:t>
      </w:r>
      <w:r w:rsidRPr="008B2522">
        <w:t>12. w porównaniu ze stanem wyjściowym wyniosła +7,8 (</w:t>
      </w:r>
      <w:r w:rsidRPr="008B2522">
        <w:rPr>
          <w:rFonts w:ascii="Symbol" w:hAnsi="Symbol"/>
        </w:rPr>
        <w:t></w:t>
      </w:r>
      <w:r w:rsidRPr="008B2522">
        <w:t>7,72) liter w zbiorczej grupie pacjentów leczonych ranibizumabem (n=102, w porównaniu ze zmianą o -0,1 (</w:t>
      </w:r>
      <w:r w:rsidRPr="008B2522">
        <w:rPr>
          <w:rFonts w:ascii="Symbol" w:hAnsi="Symbol"/>
        </w:rPr>
        <w:t></w:t>
      </w:r>
      <w:r w:rsidRPr="008B2522">
        <w:t>9,77) liter u pacjentów otrzymujących leczenie pozorowane; średnia zmiana w BCVA w miesiącu 12. względem wartości początkowych wyniosła odpowiednio 10,3 (±9,1) litery w porównaniu z -1,4 (±14,2) literami (p&lt;0,0001 dla różnic pomiędzy stosowanym leczeniem).</w:t>
      </w:r>
    </w:p>
    <w:p w14:paraId="7CA82638" w14:textId="77777777" w:rsidR="001432C3" w:rsidRPr="008B2522" w:rsidRDefault="001432C3" w:rsidP="00E0574D">
      <w:pPr>
        <w:pStyle w:val="a3"/>
        <w:spacing w:before="11"/>
        <w:ind w:leftChars="64" w:left="141"/>
        <w:rPr>
          <w:sz w:val="21"/>
        </w:rPr>
      </w:pPr>
    </w:p>
    <w:p w14:paraId="59CF28A7" w14:textId="77777777" w:rsidR="00257CD6" w:rsidRDefault="000E2AE0" w:rsidP="00E0574D">
      <w:pPr>
        <w:pStyle w:val="a3"/>
        <w:ind w:leftChars="64" w:left="141" w:right="473"/>
      </w:pPr>
      <w:r w:rsidRPr="008B2522">
        <w:t xml:space="preserve">W badaniu III fazy D2301 (RESTORE) </w:t>
      </w:r>
      <w:r w:rsidR="00257CD6" w:rsidRPr="008B2522">
        <w:t>345</w:t>
      </w:r>
      <w:r w:rsidR="00257CD6">
        <w:t> </w:t>
      </w:r>
      <w:r w:rsidRPr="008B2522">
        <w:t>pacjentów zostało losowo przydzielonych w stosunku 1:1:1 do grupy otrzymującej monoterapię ranibizumabem w dawce 0,</w:t>
      </w:r>
      <w:r w:rsidR="00257CD6" w:rsidRPr="008B2522">
        <w:t>5</w:t>
      </w:r>
      <w:r w:rsidR="00257CD6">
        <w:t> mg</w:t>
      </w:r>
      <w:r w:rsidRPr="008B2522">
        <w:t xml:space="preserve"> i pozorowaną fotokoagulację laserową lub leczenie skojarzone ranibizumabem w dawce 0,5</w:t>
      </w:r>
      <w:r w:rsidR="00257CD6">
        <w:t> mg</w:t>
      </w:r>
      <w:r w:rsidRPr="008B2522">
        <w:t xml:space="preserve"> z fotokoagulacją laserową, lub pozorowane wstrzyknięcia leku i fotokoagulację laserową. </w:t>
      </w:r>
      <w:r w:rsidR="00097A21">
        <w:t>Dwustu czterdziestu (</w:t>
      </w:r>
      <w:r w:rsidRPr="008B2522">
        <w:t>240</w:t>
      </w:r>
      <w:r w:rsidR="00097A21">
        <w:t>)</w:t>
      </w:r>
      <w:r w:rsidRPr="008B2522">
        <w:t xml:space="preserve"> pacjentów, którzy wcześniej ukończyli 12-miesięczne badanie RESTORE zostało włączonych do otwartej, wieloośrodkowej, 24-miesięcznej kontynuacji tego badania (kontynuacja badania RESTORE).</w:t>
      </w:r>
      <w:r w:rsidR="00097A21">
        <w:t xml:space="preserve"> </w:t>
      </w:r>
      <w:r w:rsidRPr="008B2522">
        <w:t>Pacjentom podawano leczenie ranibizumabem w dawce 0,5</w:t>
      </w:r>
      <w:r w:rsidR="00257CD6">
        <w:t> mg</w:t>
      </w:r>
      <w:r w:rsidRPr="008B2522">
        <w:t xml:space="preserve"> w razie potrzeby (PRN, łac. </w:t>
      </w:r>
      <w:r w:rsidRPr="008B2522">
        <w:rPr>
          <w:i/>
        </w:rPr>
        <w:t>pro re nata</w:t>
      </w:r>
      <w:r w:rsidRPr="008B2522">
        <w:t>) do tego samego oka, które zostało wybrane do oceny w badaniu głównym (D2301 RESTORE).</w:t>
      </w:r>
    </w:p>
    <w:p w14:paraId="7B5787AD" w14:textId="77777777" w:rsidR="00257CD6" w:rsidRDefault="00257CD6" w:rsidP="00E0574D">
      <w:pPr>
        <w:pStyle w:val="a3"/>
        <w:spacing w:before="68"/>
        <w:ind w:leftChars="64" w:left="141" w:right="374"/>
      </w:pPr>
    </w:p>
    <w:p w14:paraId="67FCDF19" w14:textId="77777777" w:rsidR="001432C3" w:rsidRPr="008B2522" w:rsidRDefault="000E2AE0" w:rsidP="00E0574D">
      <w:pPr>
        <w:pStyle w:val="a3"/>
        <w:spacing w:before="68"/>
        <w:ind w:leftChars="64" w:left="141" w:right="374"/>
      </w:pPr>
      <w:r w:rsidRPr="008B2522">
        <w:t>Najważniejsze wyniki przedstawiono w Tabeli 5 (badanie RESTORE i jego kontynuacja) oraz na Rycinie 4 (badanie RESTORE).</w:t>
      </w:r>
    </w:p>
    <w:p w14:paraId="6B07A79C" w14:textId="77777777" w:rsidR="000F5294" w:rsidRDefault="000F5294" w:rsidP="00E0574D">
      <w:pPr>
        <w:ind w:leftChars="64" w:left="141"/>
      </w:pPr>
      <w:r>
        <w:br w:type="page"/>
      </w:r>
    </w:p>
    <w:p w14:paraId="1FB5EA3C" w14:textId="77777777" w:rsidR="001432C3" w:rsidRPr="008B2522" w:rsidRDefault="001432C3" w:rsidP="00E0574D">
      <w:pPr>
        <w:pStyle w:val="a3"/>
        <w:spacing w:before="5"/>
        <w:ind w:leftChars="64" w:left="141"/>
      </w:pPr>
    </w:p>
    <w:p w14:paraId="20E7BC44" w14:textId="77777777" w:rsidR="001432C3" w:rsidRPr="004A2080" w:rsidRDefault="000E2AE0" w:rsidP="00E0574D">
      <w:pPr>
        <w:pStyle w:val="1"/>
        <w:tabs>
          <w:tab w:val="left" w:pos="1134"/>
        </w:tabs>
        <w:spacing w:before="74"/>
        <w:ind w:leftChars="64" w:left="1275" w:hangingChars="525" w:hanging="1134"/>
      </w:pPr>
      <w:r w:rsidRPr="004A2080">
        <w:t>Rycina 4</w:t>
      </w:r>
      <w:r w:rsidRPr="004A2080">
        <w:tab/>
        <w:t>Średnia zmiana ostrości wzroku w czasie, w porównaniu do stanu wyjściowego, w badaniu D2301 (RESTORE)</w:t>
      </w:r>
    </w:p>
    <w:p w14:paraId="752E4694" w14:textId="77777777" w:rsidR="001432C3" w:rsidRPr="008B2522" w:rsidRDefault="000E2AE0" w:rsidP="00E0574D">
      <w:pPr>
        <w:pStyle w:val="a3"/>
        <w:spacing w:before="8"/>
        <w:ind w:leftChars="64" w:left="141"/>
        <w:rPr>
          <w:b/>
          <w:sz w:val="18"/>
        </w:rPr>
      </w:pPr>
      <w:r w:rsidRPr="008B2522">
        <w:rPr>
          <w:noProof/>
          <w:lang w:val="es-ES" w:eastAsia="ko-KR"/>
        </w:rPr>
        <w:drawing>
          <wp:anchor distT="0" distB="0" distL="0" distR="0" simplePos="0" relativeHeight="251628032" behindDoc="0" locked="0" layoutInCell="1" allowOverlap="1" wp14:anchorId="4E178A1E" wp14:editId="781A7B2F">
            <wp:simplePos x="0" y="0"/>
            <wp:positionH relativeFrom="page">
              <wp:posOffset>900430</wp:posOffset>
            </wp:positionH>
            <wp:positionV relativeFrom="paragraph">
              <wp:posOffset>161276</wp:posOffset>
            </wp:positionV>
            <wp:extent cx="5619909" cy="446722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5619909" cy="4467225"/>
                    </a:xfrm>
                    <a:prstGeom prst="rect">
                      <a:avLst/>
                    </a:prstGeom>
                  </pic:spPr>
                </pic:pic>
              </a:graphicData>
            </a:graphic>
          </wp:anchor>
        </w:drawing>
      </w:r>
    </w:p>
    <w:p w14:paraId="0B569FB8" w14:textId="77777777" w:rsidR="001432C3" w:rsidRPr="008B2522" w:rsidRDefault="001432C3" w:rsidP="00E0574D">
      <w:pPr>
        <w:pStyle w:val="a3"/>
        <w:spacing w:before="4"/>
        <w:ind w:leftChars="64" w:left="141"/>
        <w:rPr>
          <w:b/>
          <w:sz w:val="20"/>
        </w:rPr>
      </w:pPr>
    </w:p>
    <w:p w14:paraId="153A0461" w14:textId="77777777" w:rsidR="001432C3" w:rsidRPr="008B2522" w:rsidRDefault="000E2AE0" w:rsidP="00E0574D">
      <w:pPr>
        <w:pStyle w:val="a3"/>
        <w:ind w:leftChars="64" w:left="141" w:right="576"/>
      </w:pPr>
      <w:r w:rsidRPr="008B2522">
        <w:t xml:space="preserve">Efekt obserwowany po </w:t>
      </w:r>
      <w:r w:rsidR="00257CD6" w:rsidRPr="008B2522">
        <w:t>12</w:t>
      </w:r>
      <w:r w:rsidR="00257CD6">
        <w:t> </w:t>
      </w:r>
      <w:r w:rsidRPr="008B2522">
        <w:t>miesiącach był spójny w większości podgrup. Wydaje się jednak, że pacjenci z wyjściową BCVA &gt;</w:t>
      </w:r>
      <w:r w:rsidR="00257CD6" w:rsidRPr="008B2522">
        <w:t>73</w:t>
      </w:r>
      <w:r w:rsidR="00257CD6">
        <w:t> </w:t>
      </w:r>
      <w:r w:rsidRPr="008B2522">
        <w:t>liter oraz obrzękiem plamki i grubością siatkówki centralnej</w:t>
      </w:r>
      <w:r w:rsidR="000F5294">
        <w:t xml:space="preserve"> </w:t>
      </w:r>
      <w:r w:rsidRPr="008B2522">
        <w:t>&lt;</w:t>
      </w:r>
      <w:r w:rsidR="00257CD6" w:rsidRPr="008B2522">
        <w:t>300</w:t>
      </w:r>
      <w:r w:rsidR="00257CD6">
        <w:t> </w:t>
      </w:r>
      <w:r w:rsidRPr="008B2522">
        <w:rPr>
          <w:rFonts w:ascii="Symbol" w:hAnsi="Symbol"/>
        </w:rPr>
        <w:t></w:t>
      </w:r>
      <w:r w:rsidRPr="008B2522">
        <w:t>m nie odnieśli korzyści z leczenia ranibizumabem w porównaniu z fotokoagulacją laserową.</w:t>
      </w:r>
    </w:p>
    <w:p w14:paraId="6DC6A8FE" w14:textId="77777777" w:rsidR="00257CD6" w:rsidRPr="00940317" w:rsidRDefault="00257CD6" w:rsidP="00E0574D">
      <w:pPr>
        <w:pStyle w:val="a3"/>
        <w:spacing w:before="4"/>
        <w:ind w:leftChars="64" w:left="141"/>
        <w:rPr>
          <w:b/>
          <w:sz w:val="20"/>
        </w:rPr>
      </w:pPr>
    </w:p>
    <w:p w14:paraId="794E1B78" w14:textId="77777777" w:rsidR="001432C3" w:rsidRPr="004A2080" w:rsidRDefault="00C32396" w:rsidP="000F168C">
      <w:pPr>
        <w:pStyle w:val="1"/>
        <w:keepNext/>
        <w:keepLines/>
        <w:widowControl/>
        <w:tabs>
          <w:tab w:val="left" w:pos="1251"/>
        </w:tabs>
        <w:ind w:leftChars="64" w:left="1415" w:hangingChars="590" w:hanging="1274"/>
      </w:pPr>
      <w:r w:rsidRPr="004A2080">
        <w:lastRenderedPageBreak/>
        <w:t>Tabela </w:t>
      </w:r>
      <w:r w:rsidR="000E2AE0" w:rsidRPr="004A2080">
        <w:t>5</w:t>
      </w:r>
      <w:r w:rsidR="000E2AE0" w:rsidRPr="004A2080">
        <w:tab/>
      </w:r>
      <w:r w:rsidR="00505EF6">
        <w:tab/>
      </w:r>
      <w:r w:rsidR="000E2AE0" w:rsidRPr="004A2080">
        <w:t>Wyniki po 12</w:t>
      </w:r>
      <w:r w:rsidRPr="004A2080">
        <w:t>. </w:t>
      </w:r>
      <w:r w:rsidR="000E2AE0" w:rsidRPr="004A2080">
        <w:t>miesiącu badania D2301 (RESTORE) oraz po 36</w:t>
      </w:r>
      <w:r w:rsidRPr="004A2080">
        <w:t>. </w:t>
      </w:r>
      <w:r w:rsidR="000E2AE0" w:rsidRPr="004A2080">
        <w:t>miesiącu badania D2301-E1 (kontynuacja badania RESTORE)</w:t>
      </w:r>
    </w:p>
    <w:p w14:paraId="4480CCE5" w14:textId="77777777" w:rsidR="001432C3" w:rsidRPr="008B2522" w:rsidRDefault="001432C3" w:rsidP="000F168C">
      <w:pPr>
        <w:pStyle w:val="a3"/>
        <w:keepNext/>
        <w:keepLines/>
        <w:widowControl/>
        <w:spacing w:before="2"/>
        <w:ind w:leftChars="64" w:left="141"/>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1"/>
        <w:gridCol w:w="1884"/>
        <w:gridCol w:w="1889"/>
        <w:gridCol w:w="1518"/>
      </w:tblGrid>
      <w:tr w:rsidR="001432C3" w:rsidRPr="008B2522" w14:paraId="79E44E15" w14:textId="77777777">
        <w:trPr>
          <w:trHeight w:hRule="exact" w:val="941"/>
        </w:trPr>
        <w:tc>
          <w:tcPr>
            <w:tcW w:w="3771" w:type="dxa"/>
          </w:tcPr>
          <w:p w14:paraId="1C41423D" w14:textId="77777777" w:rsidR="001432C3" w:rsidRPr="008B2522" w:rsidRDefault="000E2AE0" w:rsidP="000F168C">
            <w:pPr>
              <w:pStyle w:val="TableParagraph"/>
              <w:keepNext/>
              <w:keepLines/>
              <w:widowControl/>
              <w:ind w:right="221"/>
              <w:jc w:val="both"/>
            </w:pPr>
            <w:r w:rsidRPr="008B2522">
              <w:t>Wyniki po 12</w:t>
            </w:r>
            <w:r w:rsidR="00C32396" w:rsidRPr="008B2522">
              <w:t>.</w:t>
            </w:r>
            <w:r w:rsidR="00C32396">
              <w:t> </w:t>
            </w:r>
            <w:r w:rsidRPr="008B2522">
              <w:t>miesiącu w porównaniu z wartościami wyjściowymi w badaniu D2301 (RESTORE)</w:t>
            </w:r>
          </w:p>
        </w:tc>
        <w:tc>
          <w:tcPr>
            <w:tcW w:w="1884" w:type="dxa"/>
          </w:tcPr>
          <w:p w14:paraId="0E96D7DC" w14:textId="77777777" w:rsidR="001432C3" w:rsidRPr="008B2522" w:rsidRDefault="000E2AE0" w:rsidP="000F168C">
            <w:pPr>
              <w:pStyle w:val="TableParagraph"/>
              <w:keepNext/>
              <w:keepLines/>
              <w:widowControl/>
              <w:ind w:left="350" w:right="351"/>
              <w:jc w:val="center"/>
            </w:pPr>
            <w:r w:rsidRPr="008B2522">
              <w:t>Ranibizumab 0,5</w:t>
            </w:r>
            <w:r w:rsidR="00257CD6">
              <w:t> mg</w:t>
            </w:r>
            <w:r w:rsidRPr="008B2522">
              <w:t xml:space="preserve"> n=115</w:t>
            </w:r>
          </w:p>
        </w:tc>
        <w:tc>
          <w:tcPr>
            <w:tcW w:w="1889" w:type="dxa"/>
          </w:tcPr>
          <w:p w14:paraId="4BE3C127" w14:textId="77777777" w:rsidR="001432C3" w:rsidRPr="008B2522" w:rsidRDefault="000E2AE0" w:rsidP="000F168C">
            <w:pPr>
              <w:pStyle w:val="TableParagraph"/>
              <w:keepNext/>
              <w:keepLines/>
              <w:widowControl/>
              <w:ind w:left="307" w:right="309"/>
              <w:jc w:val="center"/>
            </w:pPr>
            <w:r w:rsidRPr="008B2522">
              <w:t>Ranibizumab 0,5</w:t>
            </w:r>
            <w:r w:rsidR="00257CD6">
              <w:t> mg</w:t>
            </w:r>
            <w:r w:rsidRPr="008B2522">
              <w:t xml:space="preserve"> + laser n=118</w:t>
            </w:r>
          </w:p>
        </w:tc>
        <w:tc>
          <w:tcPr>
            <w:tcW w:w="1517" w:type="dxa"/>
          </w:tcPr>
          <w:p w14:paraId="7B75D1C7" w14:textId="77777777" w:rsidR="001432C3" w:rsidRPr="008B2522" w:rsidRDefault="000E2AE0" w:rsidP="000F168C">
            <w:pPr>
              <w:pStyle w:val="TableParagraph"/>
              <w:keepNext/>
              <w:keepLines/>
              <w:widowControl/>
              <w:spacing w:line="247" w:lineRule="exact"/>
              <w:ind w:left="470" w:firstLine="38"/>
            </w:pPr>
            <w:r w:rsidRPr="008B2522">
              <w:t>Laser</w:t>
            </w:r>
          </w:p>
          <w:p w14:paraId="71FDAC9C" w14:textId="77777777" w:rsidR="001432C3" w:rsidRPr="008B2522" w:rsidRDefault="001432C3" w:rsidP="000F168C">
            <w:pPr>
              <w:pStyle w:val="TableParagraph"/>
              <w:keepNext/>
              <w:keepLines/>
              <w:widowControl/>
              <w:ind w:left="0"/>
              <w:rPr>
                <w:b/>
              </w:rPr>
            </w:pPr>
          </w:p>
          <w:p w14:paraId="2BD3DD7A" w14:textId="77777777" w:rsidR="001432C3" w:rsidRPr="008B2522" w:rsidRDefault="000E2AE0" w:rsidP="000F168C">
            <w:pPr>
              <w:pStyle w:val="TableParagraph"/>
              <w:keepNext/>
              <w:keepLines/>
              <w:widowControl/>
              <w:ind w:left="470"/>
            </w:pPr>
            <w:r w:rsidRPr="008B2522">
              <w:t>n=110</w:t>
            </w:r>
          </w:p>
        </w:tc>
      </w:tr>
      <w:tr w:rsidR="001432C3" w:rsidRPr="008B2522" w14:paraId="7EFE7EAA" w14:textId="77777777">
        <w:trPr>
          <w:trHeight w:hRule="exact" w:val="533"/>
        </w:trPr>
        <w:tc>
          <w:tcPr>
            <w:tcW w:w="3771" w:type="dxa"/>
          </w:tcPr>
          <w:p w14:paraId="469487BF" w14:textId="77777777" w:rsidR="001432C3" w:rsidRPr="008B2522" w:rsidRDefault="000E2AE0" w:rsidP="00D22CB7">
            <w:pPr>
              <w:pStyle w:val="TableParagraph"/>
              <w:keepNext/>
              <w:spacing w:line="242" w:lineRule="auto"/>
              <w:ind w:right="391"/>
            </w:pPr>
            <w:r w:rsidRPr="008B2522">
              <w:t xml:space="preserve">Średnia zmiana w BCVA od </w:t>
            </w:r>
            <w:r w:rsidR="00C32396" w:rsidRPr="008B2522">
              <w:t>miesiąca</w:t>
            </w:r>
            <w:r w:rsidR="00C32396">
              <w:t> </w:t>
            </w:r>
            <w:r w:rsidRPr="008B2522">
              <w:t xml:space="preserve">1. do </w:t>
            </w:r>
            <w:r w:rsidR="00C32396" w:rsidRPr="008B2522">
              <w:t>miesiąca</w:t>
            </w:r>
            <w:r w:rsidR="00C32396">
              <w:t> </w:t>
            </w:r>
            <w:r w:rsidRPr="008B2522">
              <w:t>12.</w:t>
            </w:r>
            <w:r w:rsidRPr="008B2522">
              <w:rPr>
                <w:position w:val="8"/>
                <w:sz w:val="14"/>
              </w:rPr>
              <w:t xml:space="preserve">a </w:t>
            </w:r>
            <w:r w:rsidRPr="008B2522">
              <w:t>(</w:t>
            </w:r>
            <w:r w:rsidRPr="008B2522">
              <w:rPr>
                <w:rFonts w:ascii="Symbol" w:hAnsi="Symbol"/>
              </w:rPr>
              <w:t></w:t>
            </w:r>
            <w:r w:rsidRPr="008B2522">
              <w:t>SD)</w:t>
            </w:r>
          </w:p>
        </w:tc>
        <w:tc>
          <w:tcPr>
            <w:tcW w:w="1884" w:type="dxa"/>
          </w:tcPr>
          <w:p w14:paraId="4B2877A3" w14:textId="77777777" w:rsidR="001432C3" w:rsidRPr="008B2522" w:rsidRDefault="000E2AE0" w:rsidP="00D22CB7">
            <w:pPr>
              <w:pStyle w:val="TableParagraph"/>
              <w:keepNext/>
              <w:spacing w:line="247" w:lineRule="exact"/>
              <w:ind w:left="350" w:right="349"/>
              <w:jc w:val="center"/>
              <w:rPr>
                <w:sz w:val="14"/>
              </w:rPr>
            </w:pPr>
            <w:r w:rsidRPr="008B2522">
              <w:t>6,1 (6,4)</w:t>
            </w:r>
            <w:r w:rsidRPr="008B2522">
              <w:rPr>
                <w:position w:val="8"/>
                <w:sz w:val="14"/>
              </w:rPr>
              <w:t>a</w:t>
            </w:r>
          </w:p>
        </w:tc>
        <w:tc>
          <w:tcPr>
            <w:tcW w:w="1889" w:type="dxa"/>
            <w:tcBorders>
              <w:right w:val="single" w:sz="2" w:space="0" w:color="000000"/>
            </w:tcBorders>
          </w:tcPr>
          <w:p w14:paraId="6A828C77" w14:textId="77777777" w:rsidR="001432C3" w:rsidRPr="008B2522" w:rsidRDefault="000E2AE0" w:rsidP="00D22CB7">
            <w:pPr>
              <w:pStyle w:val="TableParagraph"/>
              <w:keepNext/>
              <w:spacing w:line="247" w:lineRule="exact"/>
              <w:ind w:left="532"/>
              <w:rPr>
                <w:sz w:val="14"/>
              </w:rPr>
            </w:pPr>
            <w:r w:rsidRPr="008B2522">
              <w:t>5,9 (7,9)</w:t>
            </w:r>
            <w:r w:rsidRPr="008B2522">
              <w:rPr>
                <w:position w:val="8"/>
                <w:sz w:val="14"/>
              </w:rPr>
              <w:t>a</w:t>
            </w:r>
          </w:p>
        </w:tc>
        <w:tc>
          <w:tcPr>
            <w:tcW w:w="1517" w:type="dxa"/>
            <w:tcBorders>
              <w:left w:val="single" w:sz="2" w:space="0" w:color="000000"/>
            </w:tcBorders>
          </w:tcPr>
          <w:p w14:paraId="2D53B2C8" w14:textId="77777777" w:rsidR="001432C3" w:rsidRPr="008B2522" w:rsidRDefault="000E2AE0" w:rsidP="00D22CB7">
            <w:pPr>
              <w:pStyle w:val="TableParagraph"/>
              <w:keepNext/>
              <w:spacing w:line="247" w:lineRule="exact"/>
              <w:ind w:left="108" w:right="107"/>
              <w:jc w:val="center"/>
            </w:pPr>
            <w:r w:rsidRPr="008B2522">
              <w:t>0,8 (8,6)</w:t>
            </w:r>
          </w:p>
        </w:tc>
      </w:tr>
      <w:tr w:rsidR="001432C3" w:rsidRPr="008B2522" w14:paraId="31C9FC7F" w14:textId="77777777">
        <w:trPr>
          <w:trHeight w:hRule="exact" w:val="533"/>
        </w:trPr>
        <w:tc>
          <w:tcPr>
            <w:tcW w:w="3771" w:type="dxa"/>
          </w:tcPr>
          <w:p w14:paraId="044E4210" w14:textId="77777777" w:rsidR="001432C3" w:rsidRPr="008B2522" w:rsidRDefault="000E2AE0" w:rsidP="00D22CB7">
            <w:pPr>
              <w:pStyle w:val="TableParagraph"/>
              <w:keepNext/>
              <w:spacing w:line="247" w:lineRule="exact"/>
            </w:pPr>
            <w:r w:rsidRPr="008B2522">
              <w:t>Średnia zmiana w BCVA po</w:t>
            </w:r>
          </w:p>
          <w:p w14:paraId="49490E7E" w14:textId="77777777" w:rsidR="001432C3" w:rsidRPr="008B2522" w:rsidRDefault="000E2AE0" w:rsidP="00D22CB7">
            <w:pPr>
              <w:pStyle w:val="TableParagraph"/>
              <w:keepNext/>
              <w:spacing w:before="2"/>
            </w:pPr>
            <w:r w:rsidRPr="008B2522">
              <w:t>12</w:t>
            </w:r>
            <w:r w:rsidR="00C32396">
              <w:t> </w:t>
            </w:r>
            <w:r w:rsidRPr="008B2522">
              <w:t>miesiącu (</w:t>
            </w:r>
            <w:r w:rsidRPr="008B2522">
              <w:rPr>
                <w:rFonts w:ascii="Symbol" w:hAnsi="Symbol"/>
              </w:rPr>
              <w:t></w:t>
            </w:r>
            <w:r w:rsidRPr="008B2522">
              <w:t>SD)</w:t>
            </w:r>
          </w:p>
        </w:tc>
        <w:tc>
          <w:tcPr>
            <w:tcW w:w="1884" w:type="dxa"/>
          </w:tcPr>
          <w:p w14:paraId="12BDD7D6" w14:textId="77777777" w:rsidR="001432C3" w:rsidRPr="008B2522" w:rsidRDefault="000E2AE0" w:rsidP="00D22CB7">
            <w:pPr>
              <w:pStyle w:val="TableParagraph"/>
              <w:keepNext/>
              <w:spacing w:line="247" w:lineRule="exact"/>
              <w:ind w:left="350" w:right="349"/>
              <w:jc w:val="center"/>
              <w:rPr>
                <w:sz w:val="14"/>
              </w:rPr>
            </w:pPr>
            <w:r w:rsidRPr="008B2522">
              <w:t>6,8 (8,3)</w:t>
            </w:r>
            <w:r w:rsidRPr="008B2522">
              <w:rPr>
                <w:position w:val="8"/>
                <w:sz w:val="14"/>
              </w:rPr>
              <w:t>a</w:t>
            </w:r>
          </w:p>
        </w:tc>
        <w:tc>
          <w:tcPr>
            <w:tcW w:w="1889" w:type="dxa"/>
            <w:tcBorders>
              <w:right w:val="single" w:sz="2" w:space="0" w:color="000000"/>
            </w:tcBorders>
          </w:tcPr>
          <w:p w14:paraId="180DDAFA" w14:textId="77777777" w:rsidR="001432C3" w:rsidRPr="008B2522" w:rsidRDefault="000E2AE0" w:rsidP="00D22CB7">
            <w:pPr>
              <w:pStyle w:val="TableParagraph"/>
              <w:keepNext/>
              <w:spacing w:line="247" w:lineRule="exact"/>
              <w:ind w:left="477"/>
              <w:rPr>
                <w:sz w:val="14"/>
              </w:rPr>
            </w:pPr>
            <w:r w:rsidRPr="008B2522">
              <w:t>6,4 (11,8)</w:t>
            </w:r>
            <w:r w:rsidRPr="008B2522">
              <w:rPr>
                <w:position w:val="8"/>
                <w:sz w:val="14"/>
              </w:rPr>
              <w:t>a</w:t>
            </w:r>
          </w:p>
        </w:tc>
        <w:tc>
          <w:tcPr>
            <w:tcW w:w="1517" w:type="dxa"/>
            <w:tcBorders>
              <w:left w:val="single" w:sz="2" w:space="0" w:color="000000"/>
            </w:tcBorders>
          </w:tcPr>
          <w:p w14:paraId="66965F11" w14:textId="77777777" w:rsidR="001432C3" w:rsidRPr="008B2522" w:rsidRDefault="000E2AE0" w:rsidP="00D22CB7">
            <w:pPr>
              <w:pStyle w:val="TableParagraph"/>
              <w:keepNext/>
              <w:spacing w:line="247" w:lineRule="exact"/>
              <w:ind w:left="108" w:right="107"/>
              <w:jc w:val="center"/>
            </w:pPr>
            <w:r w:rsidRPr="008B2522">
              <w:t>0,9 (11,4)</w:t>
            </w:r>
          </w:p>
        </w:tc>
      </w:tr>
      <w:tr w:rsidR="001432C3" w:rsidRPr="008B2522" w14:paraId="28FB9162" w14:textId="77777777">
        <w:trPr>
          <w:trHeight w:hRule="exact" w:val="281"/>
        </w:trPr>
        <w:tc>
          <w:tcPr>
            <w:tcW w:w="3771" w:type="dxa"/>
          </w:tcPr>
          <w:p w14:paraId="2CE86E80" w14:textId="77777777" w:rsidR="001432C3" w:rsidRPr="008B2522" w:rsidRDefault="001432C3" w:rsidP="00D22CB7">
            <w:pPr>
              <w:keepNext/>
            </w:pPr>
          </w:p>
        </w:tc>
        <w:tc>
          <w:tcPr>
            <w:tcW w:w="1884" w:type="dxa"/>
          </w:tcPr>
          <w:p w14:paraId="6BE40096" w14:textId="77777777" w:rsidR="001432C3" w:rsidRPr="008B2522" w:rsidRDefault="001432C3" w:rsidP="00D22CB7">
            <w:pPr>
              <w:keepNext/>
            </w:pPr>
          </w:p>
        </w:tc>
        <w:tc>
          <w:tcPr>
            <w:tcW w:w="1889" w:type="dxa"/>
            <w:tcBorders>
              <w:right w:val="single" w:sz="2" w:space="0" w:color="000000"/>
            </w:tcBorders>
          </w:tcPr>
          <w:p w14:paraId="24F75D66" w14:textId="77777777" w:rsidR="001432C3" w:rsidRPr="008B2522" w:rsidRDefault="001432C3" w:rsidP="00D22CB7">
            <w:pPr>
              <w:keepNext/>
            </w:pPr>
          </w:p>
        </w:tc>
        <w:tc>
          <w:tcPr>
            <w:tcW w:w="1517" w:type="dxa"/>
            <w:tcBorders>
              <w:left w:val="single" w:sz="2" w:space="0" w:color="000000"/>
            </w:tcBorders>
          </w:tcPr>
          <w:p w14:paraId="40C6E2E7" w14:textId="77777777" w:rsidR="001432C3" w:rsidRPr="008B2522" w:rsidRDefault="001432C3" w:rsidP="00D22CB7">
            <w:pPr>
              <w:keepNext/>
            </w:pPr>
          </w:p>
        </w:tc>
      </w:tr>
      <w:tr w:rsidR="001432C3" w:rsidRPr="008B2522" w14:paraId="77290F12" w14:textId="77777777">
        <w:trPr>
          <w:trHeight w:hRule="exact" w:val="533"/>
        </w:trPr>
        <w:tc>
          <w:tcPr>
            <w:tcW w:w="3771" w:type="dxa"/>
          </w:tcPr>
          <w:p w14:paraId="560531CB" w14:textId="77777777" w:rsidR="001432C3" w:rsidRPr="008B2522" w:rsidRDefault="000E2AE0" w:rsidP="00D22CB7">
            <w:pPr>
              <w:pStyle w:val="TableParagraph"/>
              <w:keepNext/>
              <w:spacing w:before="14" w:line="252" w:lineRule="exact"/>
              <w:ind w:right="310"/>
            </w:pPr>
            <w:r w:rsidRPr="008B2522">
              <w:t>Zysk o ≥</w:t>
            </w:r>
            <w:r w:rsidR="00C32396" w:rsidRPr="008B2522">
              <w:t>15</w:t>
            </w:r>
            <w:r w:rsidR="00C32396">
              <w:t> </w:t>
            </w:r>
            <w:r w:rsidRPr="008B2522">
              <w:t xml:space="preserve">liter lub BCVA </w:t>
            </w:r>
            <w:r w:rsidRPr="008B2522">
              <w:rPr>
                <w:rFonts w:ascii="Symbol" w:hAnsi="Symbol"/>
              </w:rPr>
              <w:t></w:t>
            </w:r>
            <w:r w:rsidR="00C32396" w:rsidRPr="008B2522">
              <w:t>84</w:t>
            </w:r>
            <w:r w:rsidR="00C32396">
              <w:t> </w:t>
            </w:r>
            <w:r w:rsidRPr="008B2522">
              <w:t>litery po 12</w:t>
            </w:r>
            <w:r w:rsidR="00C32396" w:rsidRPr="008B2522">
              <w:t>.</w:t>
            </w:r>
            <w:r w:rsidR="00C32396">
              <w:t> </w:t>
            </w:r>
            <w:r w:rsidRPr="008B2522">
              <w:t>miesiącu (%)</w:t>
            </w:r>
          </w:p>
        </w:tc>
        <w:tc>
          <w:tcPr>
            <w:tcW w:w="1884" w:type="dxa"/>
          </w:tcPr>
          <w:p w14:paraId="205426BE" w14:textId="77777777" w:rsidR="001432C3" w:rsidRPr="008B2522" w:rsidRDefault="000E2AE0" w:rsidP="00D22CB7">
            <w:pPr>
              <w:pStyle w:val="TableParagraph"/>
              <w:keepNext/>
              <w:spacing w:line="247" w:lineRule="exact"/>
              <w:ind w:left="350" w:right="350"/>
              <w:jc w:val="center"/>
            </w:pPr>
            <w:r w:rsidRPr="008B2522">
              <w:t>22,6</w:t>
            </w:r>
          </w:p>
        </w:tc>
        <w:tc>
          <w:tcPr>
            <w:tcW w:w="1889" w:type="dxa"/>
            <w:tcBorders>
              <w:right w:val="single" w:sz="2" w:space="0" w:color="000000"/>
            </w:tcBorders>
          </w:tcPr>
          <w:p w14:paraId="575F1360" w14:textId="77777777" w:rsidR="001432C3" w:rsidRPr="008B2522" w:rsidRDefault="000E2AE0" w:rsidP="00D22CB7">
            <w:pPr>
              <w:pStyle w:val="TableParagraph"/>
              <w:keepNext/>
              <w:spacing w:line="247" w:lineRule="exact"/>
              <w:ind w:left="728" w:right="729"/>
              <w:jc w:val="center"/>
            </w:pPr>
            <w:r w:rsidRPr="008B2522">
              <w:t>22,9</w:t>
            </w:r>
          </w:p>
        </w:tc>
        <w:tc>
          <w:tcPr>
            <w:tcW w:w="1517" w:type="dxa"/>
            <w:tcBorders>
              <w:left w:val="single" w:sz="2" w:space="0" w:color="000000"/>
            </w:tcBorders>
          </w:tcPr>
          <w:p w14:paraId="7577273C" w14:textId="77777777" w:rsidR="001432C3" w:rsidRPr="008B2522" w:rsidRDefault="000E2AE0" w:rsidP="00D22CB7">
            <w:pPr>
              <w:pStyle w:val="TableParagraph"/>
              <w:keepNext/>
              <w:spacing w:line="247" w:lineRule="exact"/>
              <w:ind w:left="107" w:right="107"/>
              <w:jc w:val="center"/>
            </w:pPr>
            <w:r w:rsidRPr="008B2522">
              <w:t>8,2</w:t>
            </w:r>
          </w:p>
        </w:tc>
      </w:tr>
      <w:tr w:rsidR="001432C3" w:rsidRPr="008B2522" w14:paraId="056FBE49" w14:textId="77777777">
        <w:trPr>
          <w:trHeight w:hRule="exact" w:val="514"/>
        </w:trPr>
        <w:tc>
          <w:tcPr>
            <w:tcW w:w="3771" w:type="dxa"/>
          </w:tcPr>
          <w:p w14:paraId="7D34237D" w14:textId="77777777" w:rsidR="001432C3" w:rsidRPr="008B2522" w:rsidRDefault="000E2AE0" w:rsidP="00D22CB7">
            <w:pPr>
              <w:pStyle w:val="TableParagraph"/>
              <w:keepNext/>
              <w:ind w:right="132"/>
            </w:pPr>
            <w:r w:rsidRPr="008B2522">
              <w:t>Średnia liczba wstrzyknięć (</w:t>
            </w:r>
            <w:r w:rsidR="00C32396" w:rsidRPr="008B2522">
              <w:t>miesiące</w:t>
            </w:r>
            <w:r w:rsidR="00C32396">
              <w:t> </w:t>
            </w:r>
            <w:r w:rsidRPr="008B2522">
              <w:t>0- 11)</w:t>
            </w:r>
          </w:p>
        </w:tc>
        <w:tc>
          <w:tcPr>
            <w:tcW w:w="1884" w:type="dxa"/>
          </w:tcPr>
          <w:p w14:paraId="54427FA6" w14:textId="77777777" w:rsidR="001432C3" w:rsidRPr="008B2522" w:rsidRDefault="000E2AE0" w:rsidP="00D22CB7">
            <w:pPr>
              <w:pStyle w:val="TableParagraph"/>
              <w:keepNext/>
              <w:spacing w:line="247" w:lineRule="exact"/>
              <w:ind w:left="350" w:right="350"/>
              <w:jc w:val="center"/>
            </w:pPr>
            <w:r w:rsidRPr="008B2522">
              <w:t>7,0</w:t>
            </w:r>
          </w:p>
        </w:tc>
        <w:tc>
          <w:tcPr>
            <w:tcW w:w="1889" w:type="dxa"/>
            <w:tcBorders>
              <w:right w:val="single" w:sz="2" w:space="0" w:color="000000"/>
            </w:tcBorders>
          </w:tcPr>
          <w:p w14:paraId="1627EC48" w14:textId="77777777" w:rsidR="001432C3" w:rsidRPr="008B2522" w:rsidRDefault="000E2AE0" w:rsidP="00D22CB7">
            <w:pPr>
              <w:pStyle w:val="TableParagraph"/>
              <w:keepNext/>
              <w:spacing w:line="247" w:lineRule="exact"/>
              <w:ind w:left="728" w:right="729"/>
              <w:jc w:val="center"/>
            </w:pPr>
            <w:r w:rsidRPr="008B2522">
              <w:t>6,8</w:t>
            </w:r>
          </w:p>
        </w:tc>
        <w:tc>
          <w:tcPr>
            <w:tcW w:w="1517" w:type="dxa"/>
            <w:tcBorders>
              <w:left w:val="single" w:sz="2" w:space="0" w:color="000000"/>
            </w:tcBorders>
          </w:tcPr>
          <w:p w14:paraId="14A04BFE" w14:textId="77777777" w:rsidR="001432C3" w:rsidRPr="008B2522" w:rsidRDefault="000E2AE0" w:rsidP="00D22CB7">
            <w:pPr>
              <w:pStyle w:val="TableParagraph"/>
              <w:keepNext/>
              <w:spacing w:line="247" w:lineRule="exact"/>
              <w:ind w:left="107" w:right="107"/>
              <w:jc w:val="center"/>
            </w:pPr>
            <w:r w:rsidRPr="008B2522">
              <w:t>7,3</w:t>
            </w:r>
          </w:p>
          <w:p w14:paraId="64900DD6" w14:textId="77777777" w:rsidR="001432C3" w:rsidRPr="008B2522" w:rsidRDefault="000E2AE0" w:rsidP="00D22CB7">
            <w:pPr>
              <w:pStyle w:val="TableParagraph"/>
              <w:keepNext/>
              <w:spacing w:line="252" w:lineRule="exact"/>
              <w:ind w:left="141" w:right="107"/>
              <w:jc w:val="center"/>
            </w:pPr>
            <w:r w:rsidRPr="008B2522">
              <w:t>(pozorowane)</w:t>
            </w:r>
          </w:p>
        </w:tc>
      </w:tr>
      <w:tr w:rsidR="001432C3" w:rsidRPr="008B2522" w14:paraId="7B81A75B" w14:textId="77777777">
        <w:trPr>
          <w:trHeight w:hRule="exact" w:val="264"/>
        </w:trPr>
        <w:tc>
          <w:tcPr>
            <w:tcW w:w="9062" w:type="dxa"/>
            <w:gridSpan w:val="4"/>
          </w:tcPr>
          <w:p w14:paraId="2AE3AD72" w14:textId="77777777" w:rsidR="001432C3" w:rsidRPr="008B2522" w:rsidRDefault="001432C3" w:rsidP="00D22CB7">
            <w:pPr>
              <w:keepNext/>
            </w:pPr>
          </w:p>
        </w:tc>
      </w:tr>
      <w:tr w:rsidR="001432C3" w:rsidRPr="008B2522" w14:paraId="7A04BA27" w14:textId="77777777">
        <w:trPr>
          <w:trHeight w:hRule="exact" w:val="1022"/>
        </w:trPr>
        <w:tc>
          <w:tcPr>
            <w:tcW w:w="3771" w:type="dxa"/>
          </w:tcPr>
          <w:p w14:paraId="37FE500F" w14:textId="77777777" w:rsidR="001432C3" w:rsidRPr="008B2522" w:rsidRDefault="000E2AE0">
            <w:pPr>
              <w:pStyle w:val="TableParagraph"/>
              <w:ind w:right="183"/>
              <w:jc w:val="both"/>
            </w:pPr>
            <w:r w:rsidRPr="008B2522">
              <w:t>Wyniki po 36</w:t>
            </w:r>
            <w:r w:rsidR="00C32396" w:rsidRPr="008B2522">
              <w:t>.</w:t>
            </w:r>
            <w:r w:rsidR="00C32396">
              <w:t> </w:t>
            </w:r>
            <w:r w:rsidRPr="008B2522">
              <w:t>miesiącu w porównaniu z wartościami wyjściowymi w badaniu D2301 (RESTORE) w badaniu D2301-</w:t>
            </w:r>
          </w:p>
          <w:p w14:paraId="32522EFC" w14:textId="77777777" w:rsidR="001432C3" w:rsidRPr="008B2522" w:rsidRDefault="000E2AE0">
            <w:pPr>
              <w:pStyle w:val="TableParagraph"/>
              <w:spacing w:before="6" w:line="252" w:lineRule="exact"/>
              <w:jc w:val="both"/>
            </w:pPr>
            <w:r w:rsidRPr="008B2522">
              <w:t>E1 (kontynuacja badania RESTORE)</w:t>
            </w:r>
          </w:p>
        </w:tc>
        <w:tc>
          <w:tcPr>
            <w:tcW w:w="1884" w:type="dxa"/>
          </w:tcPr>
          <w:p w14:paraId="15E143BB" w14:textId="77777777" w:rsidR="001432C3" w:rsidRPr="008B2522" w:rsidRDefault="000E2AE0">
            <w:pPr>
              <w:pStyle w:val="TableParagraph"/>
              <w:ind w:left="631" w:right="123" w:hanging="492"/>
            </w:pPr>
            <w:r w:rsidRPr="008B2522">
              <w:t>Prior ranibizumab 0,5</w:t>
            </w:r>
            <w:r w:rsidR="00257CD6">
              <w:t> mg</w:t>
            </w:r>
            <w:r w:rsidRPr="008B2522">
              <w:t xml:space="preserve"> n=83</w:t>
            </w:r>
          </w:p>
        </w:tc>
        <w:tc>
          <w:tcPr>
            <w:tcW w:w="1889" w:type="dxa"/>
          </w:tcPr>
          <w:p w14:paraId="7DF009AA" w14:textId="77777777" w:rsidR="001432C3" w:rsidRPr="004A2080" w:rsidRDefault="000E2AE0">
            <w:pPr>
              <w:pStyle w:val="TableParagraph"/>
              <w:ind w:left="141" w:right="143"/>
              <w:jc w:val="center"/>
              <w:rPr>
                <w:lang w:val="en-GB"/>
              </w:rPr>
            </w:pPr>
            <w:r w:rsidRPr="004A2080">
              <w:rPr>
                <w:lang w:val="en-GB"/>
              </w:rPr>
              <w:t>Prior ranibizumab 0,5</w:t>
            </w:r>
            <w:r w:rsidR="00257CD6" w:rsidRPr="004A2080">
              <w:rPr>
                <w:lang w:val="en-GB"/>
              </w:rPr>
              <w:t> mg</w:t>
            </w:r>
            <w:r w:rsidRPr="004A2080">
              <w:rPr>
                <w:lang w:val="en-GB"/>
              </w:rPr>
              <w:t xml:space="preserve"> + laser n=83</w:t>
            </w:r>
          </w:p>
        </w:tc>
        <w:tc>
          <w:tcPr>
            <w:tcW w:w="1517" w:type="dxa"/>
          </w:tcPr>
          <w:p w14:paraId="7CAFA974" w14:textId="77777777" w:rsidR="001432C3" w:rsidRPr="008B2522" w:rsidRDefault="000E2AE0">
            <w:pPr>
              <w:pStyle w:val="TableParagraph"/>
              <w:spacing w:line="480" w:lineRule="auto"/>
              <w:ind w:left="525" w:right="279" w:hanging="228"/>
            </w:pPr>
            <w:r w:rsidRPr="008B2522">
              <w:t>Prior laser n=74</w:t>
            </w:r>
          </w:p>
        </w:tc>
      </w:tr>
      <w:tr w:rsidR="001432C3" w:rsidRPr="008B2522" w14:paraId="59BCFEEE" w14:textId="77777777">
        <w:trPr>
          <w:trHeight w:hRule="exact" w:val="516"/>
        </w:trPr>
        <w:tc>
          <w:tcPr>
            <w:tcW w:w="3771" w:type="dxa"/>
          </w:tcPr>
          <w:p w14:paraId="2266637B" w14:textId="77777777" w:rsidR="001432C3" w:rsidRPr="008B2522" w:rsidRDefault="000E2AE0">
            <w:pPr>
              <w:pStyle w:val="TableParagraph"/>
              <w:spacing w:line="246" w:lineRule="exact"/>
            </w:pPr>
            <w:r w:rsidRPr="008B2522">
              <w:t>Średnia zmiana w BCVA po</w:t>
            </w:r>
          </w:p>
          <w:p w14:paraId="4D031C28" w14:textId="77777777" w:rsidR="001432C3" w:rsidRPr="008B2522" w:rsidRDefault="000E2AE0">
            <w:pPr>
              <w:pStyle w:val="TableParagraph"/>
              <w:spacing w:line="252" w:lineRule="exact"/>
            </w:pPr>
            <w:r w:rsidRPr="008B2522">
              <w:t>24</w:t>
            </w:r>
            <w:r w:rsidR="00C32396" w:rsidRPr="008B2522">
              <w:t>.</w:t>
            </w:r>
            <w:r w:rsidR="00C32396">
              <w:t> </w:t>
            </w:r>
            <w:r w:rsidRPr="008B2522">
              <w:t>miesiącu (SD)</w:t>
            </w:r>
          </w:p>
        </w:tc>
        <w:tc>
          <w:tcPr>
            <w:tcW w:w="1884" w:type="dxa"/>
          </w:tcPr>
          <w:p w14:paraId="0B5C0666" w14:textId="77777777" w:rsidR="001432C3" w:rsidRPr="008B2522" w:rsidRDefault="000E2AE0">
            <w:pPr>
              <w:pStyle w:val="TableParagraph"/>
              <w:spacing w:before="121"/>
              <w:ind w:left="350" w:right="350"/>
              <w:jc w:val="center"/>
            </w:pPr>
            <w:r w:rsidRPr="008B2522">
              <w:t>7,9 (9,0)</w:t>
            </w:r>
          </w:p>
        </w:tc>
        <w:tc>
          <w:tcPr>
            <w:tcW w:w="1889" w:type="dxa"/>
          </w:tcPr>
          <w:p w14:paraId="646E1EB1" w14:textId="77777777" w:rsidR="001432C3" w:rsidRPr="008B2522" w:rsidRDefault="000E2AE0">
            <w:pPr>
              <w:pStyle w:val="TableParagraph"/>
              <w:spacing w:before="121"/>
              <w:ind w:left="563"/>
            </w:pPr>
            <w:r w:rsidRPr="008B2522">
              <w:t>6,7 (7,9)</w:t>
            </w:r>
          </w:p>
        </w:tc>
        <w:tc>
          <w:tcPr>
            <w:tcW w:w="1517" w:type="dxa"/>
          </w:tcPr>
          <w:p w14:paraId="6F9C4982" w14:textId="77777777" w:rsidR="001432C3" w:rsidRPr="008B2522" w:rsidRDefault="000E2AE0">
            <w:pPr>
              <w:pStyle w:val="TableParagraph"/>
              <w:spacing w:before="121"/>
              <w:ind w:left="357" w:right="358"/>
              <w:jc w:val="center"/>
            </w:pPr>
            <w:r w:rsidRPr="008B2522">
              <w:t>5,4 (9,0)</w:t>
            </w:r>
          </w:p>
        </w:tc>
      </w:tr>
      <w:tr w:rsidR="001432C3" w:rsidRPr="008B2522" w14:paraId="550DC014" w14:textId="77777777">
        <w:trPr>
          <w:trHeight w:hRule="exact" w:val="516"/>
        </w:trPr>
        <w:tc>
          <w:tcPr>
            <w:tcW w:w="3771" w:type="dxa"/>
          </w:tcPr>
          <w:p w14:paraId="428CD04B" w14:textId="77777777" w:rsidR="001432C3" w:rsidRPr="008B2522" w:rsidRDefault="000E2AE0">
            <w:pPr>
              <w:pStyle w:val="TableParagraph"/>
              <w:ind w:right="1396"/>
            </w:pPr>
            <w:r w:rsidRPr="008B2522">
              <w:t>Średnia zmiana w BCVA po 36</w:t>
            </w:r>
            <w:r w:rsidR="00872A39" w:rsidRPr="008B2522">
              <w:t>.</w:t>
            </w:r>
            <w:r w:rsidR="00872A39">
              <w:t> </w:t>
            </w:r>
            <w:r w:rsidRPr="008B2522">
              <w:t>miesiącu (SD)</w:t>
            </w:r>
          </w:p>
        </w:tc>
        <w:tc>
          <w:tcPr>
            <w:tcW w:w="1884" w:type="dxa"/>
          </w:tcPr>
          <w:p w14:paraId="2F1FB34D" w14:textId="77777777" w:rsidR="001432C3" w:rsidRPr="008B2522" w:rsidRDefault="000E2AE0">
            <w:pPr>
              <w:pStyle w:val="TableParagraph"/>
              <w:spacing w:before="121"/>
              <w:ind w:left="350" w:right="350"/>
              <w:jc w:val="center"/>
            </w:pPr>
            <w:r w:rsidRPr="008B2522">
              <w:t>8,0 (10,1)</w:t>
            </w:r>
          </w:p>
        </w:tc>
        <w:tc>
          <w:tcPr>
            <w:tcW w:w="1889" w:type="dxa"/>
          </w:tcPr>
          <w:p w14:paraId="6E2E5395" w14:textId="77777777" w:rsidR="001432C3" w:rsidRPr="008B2522" w:rsidRDefault="000E2AE0">
            <w:pPr>
              <w:pStyle w:val="TableParagraph"/>
              <w:spacing w:before="121"/>
              <w:ind w:left="563"/>
            </w:pPr>
            <w:r w:rsidRPr="008B2522">
              <w:t>6,7 (9,6)</w:t>
            </w:r>
          </w:p>
        </w:tc>
        <w:tc>
          <w:tcPr>
            <w:tcW w:w="1517" w:type="dxa"/>
          </w:tcPr>
          <w:p w14:paraId="02496754" w14:textId="77777777" w:rsidR="001432C3" w:rsidRPr="008B2522" w:rsidRDefault="000E2AE0">
            <w:pPr>
              <w:pStyle w:val="TableParagraph"/>
              <w:spacing w:before="121"/>
              <w:ind w:left="357" w:right="358"/>
              <w:jc w:val="center"/>
            </w:pPr>
            <w:r w:rsidRPr="008B2522">
              <w:t>6,0 (9,4)</w:t>
            </w:r>
          </w:p>
        </w:tc>
      </w:tr>
      <w:tr w:rsidR="001432C3" w:rsidRPr="008B2522" w14:paraId="7E40C86C" w14:textId="77777777">
        <w:trPr>
          <w:trHeight w:hRule="exact" w:val="382"/>
        </w:trPr>
        <w:tc>
          <w:tcPr>
            <w:tcW w:w="3771" w:type="dxa"/>
          </w:tcPr>
          <w:p w14:paraId="0B8EB2D0" w14:textId="77777777" w:rsidR="001432C3" w:rsidRPr="008B2522" w:rsidRDefault="001432C3"/>
        </w:tc>
        <w:tc>
          <w:tcPr>
            <w:tcW w:w="1884" w:type="dxa"/>
          </w:tcPr>
          <w:p w14:paraId="7C6E7D1F" w14:textId="77777777" w:rsidR="001432C3" w:rsidRPr="008B2522" w:rsidRDefault="001432C3"/>
        </w:tc>
        <w:tc>
          <w:tcPr>
            <w:tcW w:w="1889" w:type="dxa"/>
          </w:tcPr>
          <w:p w14:paraId="35C30ADE" w14:textId="77777777" w:rsidR="001432C3" w:rsidRPr="008B2522" w:rsidRDefault="001432C3"/>
        </w:tc>
        <w:tc>
          <w:tcPr>
            <w:tcW w:w="1517" w:type="dxa"/>
          </w:tcPr>
          <w:p w14:paraId="1684C330" w14:textId="77777777" w:rsidR="001432C3" w:rsidRPr="008B2522" w:rsidRDefault="001432C3"/>
        </w:tc>
      </w:tr>
      <w:tr w:rsidR="001432C3" w:rsidRPr="008B2522" w14:paraId="2A57BA38" w14:textId="77777777">
        <w:trPr>
          <w:trHeight w:hRule="exact" w:val="516"/>
        </w:trPr>
        <w:tc>
          <w:tcPr>
            <w:tcW w:w="3771" w:type="dxa"/>
          </w:tcPr>
          <w:p w14:paraId="1655DC16" w14:textId="77777777" w:rsidR="001432C3" w:rsidRPr="008B2522" w:rsidRDefault="000E2AE0">
            <w:pPr>
              <w:pStyle w:val="TableParagraph"/>
              <w:ind w:right="310"/>
            </w:pPr>
            <w:r w:rsidRPr="008B2522">
              <w:t>Zysk o ≥</w:t>
            </w:r>
            <w:r w:rsidR="00872A39" w:rsidRPr="008B2522">
              <w:t>15</w:t>
            </w:r>
            <w:r w:rsidR="00872A39">
              <w:t> </w:t>
            </w:r>
            <w:r w:rsidRPr="008B2522">
              <w:t>liter lub BCVA ≥</w:t>
            </w:r>
            <w:r w:rsidR="00872A39" w:rsidRPr="008B2522">
              <w:t>84</w:t>
            </w:r>
            <w:r w:rsidR="00872A39">
              <w:t> </w:t>
            </w:r>
            <w:r w:rsidRPr="008B2522">
              <w:t xml:space="preserve">litery w </w:t>
            </w:r>
            <w:r w:rsidR="00872A39" w:rsidRPr="008B2522">
              <w:t>miesiącu</w:t>
            </w:r>
            <w:r w:rsidR="00872A39">
              <w:t> </w:t>
            </w:r>
            <w:r w:rsidRPr="008B2522">
              <w:t>36. (%)</w:t>
            </w:r>
          </w:p>
        </w:tc>
        <w:tc>
          <w:tcPr>
            <w:tcW w:w="1884" w:type="dxa"/>
          </w:tcPr>
          <w:p w14:paraId="76E8ED6A" w14:textId="77777777" w:rsidR="001432C3" w:rsidRPr="008B2522" w:rsidRDefault="000E2AE0">
            <w:pPr>
              <w:pStyle w:val="TableParagraph"/>
              <w:spacing w:before="121"/>
              <w:ind w:left="350" w:right="350"/>
              <w:jc w:val="center"/>
            </w:pPr>
            <w:r w:rsidRPr="008B2522">
              <w:t>27,7</w:t>
            </w:r>
          </w:p>
        </w:tc>
        <w:tc>
          <w:tcPr>
            <w:tcW w:w="1889" w:type="dxa"/>
          </w:tcPr>
          <w:p w14:paraId="60E8E8E7" w14:textId="77777777" w:rsidR="001432C3" w:rsidRPr="008B2522" w:rsidRDefault="000E2AE0">
            <w:pPr>
              <w:pStyle w:val="TableParagraph"/>
              <w:spacing w:before="121"/>
              <w:ind w:left="307" w:right="307"/>
              <w:jc w:val="center"/>
            </w:pPr>
            <w:r w:rsidRPr="008B2522">
              <w:t>30,1</w:t>
            </w:r>
          </w:p>
        </w:tc>
        <w:tc>
          <w:tcPr>
            <w:tcW w:w="1517" w:type="dxa"/>
          </w:tcPr>
          <w:p w14:paraId="623BC740" w14:textId="77777777" w:rsidR="001432C3" w:rsidRPr="008B2522" w:rsidRDefault="000E2AE0">
            <w:pPr>
              <w:pStyle w:val="TableParagraph"/>
              <w:spacing w:before="121"/>
              <w:ind w:left="357" w:right="355"/>
              <w:jc w:val="center"/>
            </w:pPr>
            <w:r w:rsidRPr="008B2522">
              <w:t>21,6</w:t>
            </w:r>
          </w:p>
        </w:tc>
      </w:tr>
      <w:tr w:rsidR="001432C3" w:rsidRPr="008B2522" w14:paraId="1ECDEA03" w14:textId="77777777">
        <w:trPr>
          <w:trHeight w:hRule="exact" w:val="518"/>
        </w:trPr>
        <w:tc>
          <w:tcPr>
            <w:tcW w:w="3771" w:type="dxa"/>
          </w:tcPr>
          <w:p w14:paraId="028FB344" w14:textId="77777777" w:rsidR="001432C3" w:rsidRPr="008B2522" w:rsidRDefault="000E2AE0">
            <w:pPr>
              <w:pStyle w:val="TableParagraph"/>
              <w:spacing w:line="252" w:lineRule="exact"/>
              <w:ind w:right="1268"/>
            </w:pPr>
            <w:r w:rsidRPr="008B2522">
              <w:t>Średnia liczba wstrzyknięć (</w:t>
            </w:r>
            <w:r w:rsidR="00872A39" w:rsidRPr="008B2522">
              <w:t>miesiące</w:t>
            </w:r>
            <w:r w:rsidR="00872A39">
              <w:t> </w:t>
            </w:r>
            <w:r w:rsidRPr="008B2522">
              <w:t>12-35)*</w:t>
            </w:r>
          </w:p>
        </w:tc>
        <w:tc>
          <w:tcPr>
            <w:tcW w:w="1884" w:type="dxa"/>
          </w:tcPr>
          <w:p w14:paraId="5DDCDEAA" w14:textId="77777777" w:rsidR="001432C3" w:rsidRPr="008B2522" w:rsidRDefault="000E2AE0">
            <w:pPr>
              <w:pStyle w:val="TableParagraph"/>
              <w:spacing w:before="121"/>
              <w:ind w:left="350" w:right="350"/>
              <w:jc w:val="center"/>
            </w:pPr>
            <w:r w:rsidRPr="008B2522">
              <w:t>6,8</w:t>
            </w:r>
          </w:p>
        </w:tc>
        <w:tc>
          <w:tcPr>
            <w:tcW w:w="1889" w:type="dxa"/>
          </w:tcPr>
          <w:p w14:paraId="7D570AFB" w14:textId="77777777" w:rsidR="001432C3" w:rsidRPr="008B2522" w:rsidRDefault="000E2AE0">
            <w:pPr>
              <w:pStyle w:val="TableParagraph"/>
              <w:spacing w:before="121"/>
              <w:ind w:left="307" w:right="307"/>
              <w:jc w:val="center"/>
            </w:pPr>
            <w:r w:rsidRPr="008B2522">
              <w:t>6,0</w:t>
            </w:r>
          </w:p>
        </w:tc>
        <w:tc>
          <w:tcPr>
            <w:tcW w:w="1517" w:type="dxa"/>
          </w:tcPr>
          <w:p w14:paraId="0F4D2D42" w14:textId="77777777" w:rsidR="001432C3" w:rsidRPr="008B2522" w:rsidRDefault="000E2AE0">
            <w:pPr>
              <w:pStyle w:val="TableParagraph"/>
              <w:spacing w:before="121"/>
              <w:ind w:left="357" w:right="357"/>
              <w:jc w:val="center"/>
            </w:pPr>
            <w:r w:rsidRPr="008B2522">
              <w:t>6,5</w:t>
            </w:r>
          </w:p>
        </w:tc>
      </w:tr>
    </w:tbl>
    <w:p w14:paraId="5C972EEF" w14:textId="77777777" w:rsidR="001432C3" w:rsidRPr="008B2522" w:rsidRDefault="000E2AE0">
      <w:pPr>
        <w:pStyle w:val="a3"/>
        <w:spacing w:line="246" w:lineRule="exact"/>
        <w:ind w:left="118"/>
      </w:pPr>
      <w:r w:rsidRPr="008B2522">
        <w:rPr>
          <w:position w:val="8"/>
          <w:sz w:val="14"/>
        </w:rPr>
        <w:t>a</w:t>
      </w:r>
      <w:r w:rsidRPr="008B2522">
        <w:t>p&lt;0,0001 dla porównań pomiędzy grupami ranibizumabu a grupą laseroterapii.</w:t>
      </w:r>
    </w:p>
    <w:p w14:paraId="2EF0695B" w14:textId="77777777" w:rsidR="001432C3" w:rsidRPr="008B2522" w:rsidRDefault="000E2AE0">
      <w:pPr>
        <w:pStyle w:val="a3"/>
        <w:ind w:left="118" w:right="668"/>
      </w:pPr>
      <w:r w:rsidRPr="008B2522">
        <w:t>n w badaniu D2301-E1 (kontynuacja badania RESTORE) oznacza liczbę pacjentów, dla których uzyskano wartości pomiaru zarówno na początku badania D2301 (RESTORE) (</w:t>
      </w:r>
      <w:r w:rsidR="00872A39" w:rsidRPr="008B2522">
        <w:t>miesiąc</w:t>
      </w:r>
      <w:r w:rsidR="00872A39">
        <w:t> </w:t>
      </w:r>
      <w:r w:rsidRPr="008B2522">
        <w:t>0), jak</w:t>
      </w:r>
    </w:p>
    <w:p w14:paraId="58069C6D" w14:textId="77777777" w:rsidR="001432C3" w:rsidRPr="008B2522" w:rsidRDefault="000E2AE0">
      <w:pPr>
        <w:pStyle w:val="a3"/>
        <w:spacing w:before="2" w:line="252" w:lineRule="exact"/>
        <w:ind w:left="118"/>
      </w:pPr>
      <w:r w:rsidRPr="008B2522">
        <w:t>i podczas wizyty w 36</w:t>
      </w:r>
      <w:r w:rsidR="00872A39" w:rsidRPr="008B2522">
        <w:t>.</w:t>
      </w:r>
      <w:r w:rsidR="00872A39">
        <w:t> </w:t>
      </w:r>
      <w:r w:rsidRPr="008B2522">
        <w:t>miesiącu badania.</w:t>
      </w:r>
    </w:p>
    <w:p w14:paraId="10ABEFAC" w14:textId="77777777" w:rsidR="001432C3" w:rsidRPr="008B2522" w:rsidRDefault="000E2AE0">
      <w:pPr>
        <w:pStyle w:val="a4"/>
        <w:numPr>
          <w:ilvl w:val="0"/>
          <w:numId w:val="30"/>
        </w:numPr>
        <w:tabs>
          <w:tab w:val="left" w:pos="285"/>
        </w:tabs>
        <w:ind w:right="202" w:firstLine="0"/>
      </w:pPr>
      <w:r w:rsidRPr="008B2522">
        <w:t>Odsetek pacjentów w ogóle niewymagających leczenia ranibizumabem w fazie kontynuacji wyniósł 19%, 25% i 20% odpowiednio w grupach otrzymujących wcześniej ranibizumab, otrzymujących wcześniej ranibizumab + laseroterapię i otrzymujących wcześniej</w:t>
      </w:r>
      <w:r w:rsidRPr="008B2522">
        <w:rPr>
          <w:spacing w:val="-24"/>
        </w:rPr>
        <w:t xml:space="preserve"> </w:t>
      </w:r>
      <w:r w:rsidRPr="008B2522">
        <w:t>laseroterapię.</w:t>
      </w:r>
    </w:p>
    <w:p w14:paraId="2F164671" w14:textId="77777777" w:rsidR="001432C3" w:rsidRPr="008B2522" w:rsidRDefault="001432C3">
      <w:pPr>
        <w:pStyle w:val="a3"/>
      </w:pPr>
    </w:p>
    <w:p w14:paraId="0499364B" w14:textId="77777777" w:rsidR="001432C3" w:rsidRPr="008B2522" w:rsidRDefault="000E2AE0" w:rsidP="00E0574D">
      <w:pPr>
        <w:pStyle w:val="a3"/>
        <w:spacing w:before="1"/>
        <w:ind w:leftChars="64" w:left="141" w:right="265"/>
      </w:pPr>
      <w:r w:rsidRPr="008B2522">
        <w:t>Statystycznie znamienne korzyści w zakresie funkcji związanych ze wzrokiem, zgłaszane przez pacjentów, obserwowano po zastosowaniu ranibizumabu (z laseroterapią lub bez) w porównaniu z grupą kontrolną, na podstawie pomiarów wykonanych za pomocą kwestionariusza NEI VFQ-25. W przypadku innych podskal tego kwestionariusza nie można było ustalić żadnych różnic związanych z leczeniem.</w:t>
      </w:r>
    </w:p>
    <w:p w14:paraId="04C49B8A" w14:textId="77777777" w:rsidR="001432C3" w:rsidRPr="008B2522" w:rsidRDefault="001432C3" w:rsidP="00E0574D">
      <w:pPr>
        <w:pStyle w:val="a3"/>
        <w:ind w:leftChars="64" w:left="141"/>
      </w:pPr>
    </w:p>
    <w:p w14:paraId="058FAAC5" w14:textId="77777777" w:rsidR="001432C3" w:rsidRPr="008B2522" w:rsidRDefault="000E2AE0" w:rsidP="00E0574D">
      <w:pPr>
        <w:pStyle w:val="a3"/>
        <w:ind w:leftChars="64" w:left="141" w:right="179"/>
      </w:pPr>
      <w:r w:rsidRPr="008B2522">
        <w:t>Długoterminowe bezpieczeństwo stosowania ranibizumabu obserwowane w 24</w:t>
      </w:r>
      <w:r w:rsidR="00872A39">
        <w:t> </w:t>
      </w:r>
      <w:r w:rsidRPr="008B2522">
        <w:t xml:space="preserve">miesięcznej kontynuacji badania jest spójne ze znanym profilem bezpieczeństwa stosowania </w:t>
      </w:r>
      <w:r w:rsidR="00135836">
        <w:t>ranibizumabu</w:t>
      </w:r>
      <w:r w:rsidRPr="008B2522">
        <w:t>.</w:t>
      </w:r>
    </w:p>
    <w:p w14:paraId="7396EC6E" w14:textId="77777777" w:rsidR="001432C3" w:rsidRPr="008B2522" w:rsidRDefault="001432C3" w:rsidP="00E0574D">
      <w:pPr>
        <w:pStyle w:val="a3"/>
        <w:spacing w:before="11"/>
        <w:ind w:leftChars="64" w:left="141"/>
        <w:rPr>
          <w:sz w:val="21"/>
        </w:rPr>
      </w:pPr>
    </w:p>
    <w:p w14:paraId="7FF91FE2" w14:textId="77777777" w:rsidR="001432C3" w:rsidRPr="008B2522" w:rsidRDefault="000E2AE0" w:rsidP="00E0574D">
      <w:pPr>
        <w:pStyle w:val="a3"/>
        <w:ind w:leftChars="64" w:left="141" w:right="496"/>
      </w:pPr>
      <w:r w:rsidRPr="008B2522">
        <w:t xml:space="preserve">W badaniu fazy IIIb o nazwie D2304 (RETAIN), </w:t>
      </w:r>
      <w:r w:rsidR="00872A39" w:rsidRPr="008B2522">
        <w:t>372</w:t>
      </w:r>
      <w:r w:rsidR="00872A39">
        <w:t> </w:t>
      </w:r>
      <w:r w:rsidRPr="008B2522">
        <w:t>pacjentów zostało losowo przydzielonych w stosunku 1:1:1 do grup otrzymujących:</w:t>
      </w:r>
    </w:p>
    <w:p w14:paraId="13491EE9" w14:textId="77777777" w:rsidR="001432C3" w:rsidRPr="008B2522" w:rsidRDefault="000E2AE0">
      <w:pPr>
        <w:pStyle w:val="a4"/>
        <w:numPr>
          <w:ilvl w:val="0"/>
          <w:numId w:val="31"/>
        </w:numPr>
        <w:tabs>
          <w:tab w:val="left" w:pos="685"/>
          <w:tab w:val="left" w:pos="686"/>
        </w:tabs>
        <w:spacing w:before="2" w:line="269" w:lineRule="exact"/>
      </w:pPr>
      <w:r w:rsidRPr="008B2522">
        <w:t>0,5</w:t>
      </w:r>
      <w:r w:rsidR="00257CD6">
        <w:t> mg</w:t>
      </w:r>
      <w:r w:rsidRPr="008B2522">
        <w:t xml:space="preserve"> ranibizumabu z jednoczesnym zastosowaniem fotokoagulacji laserowej wg</w:t>
      </w:r>
      <w:r w:rsidRPr="008B2522">
        <w:rPr>
          <w:spacing w:val="-27"/>
        </w:rPr>
        <w:t xml:space="preserve"> </w:t>
      </w:r>
      <w:r w:rsidRPr="008B2522">
        <w:t>schematu</w:t>
      </w:r>
    </w:p>
    <w:p w14:paraId="77338338" w14:textId="77777777" w:rsidR="001432C3" w:rsidRPr="008B2522" w:rsidRDefault="000E2AE0">
      <w:pPr>
        <w:spacing w:line="252" w:lineRule="exact"/>
        <w:ind w:left="685"/>
      </w:pPr>
      <w:r w:rsidRPr="008B2522">
        <w:t xml:space="preserve">„lecz i wydłużaj odstępy między dawkami” (TE, ang. </w:t>
      </w:r>
      <w:r w:rsidRPr="008B2522">
        <w:rPr>
          <w:i/>
        </w:rPr>
        <w:t>treat-and-extend</w:t>
      </w:r>
      <w:r w:rsidRPr="008B2522">
        <w:t>),</w:t>
      </w:r>
    </w:p>
    <w:p w14:paraId="0E3DEC7D" w14:textId="77777777" w:rsidR="001432C3" w:rsidRPr="008B2522" w:rsidRDefault="000E2AE0">
      <w:pPr>
        <w:pStyle w:val="a4"/>
        <w:numPr>
          <w:ilvl w:val="0"/>
          <w:numId w:val="31"/>
        </w:numPr>
        <w:tabs>
          <w:tab w:val="left" w:pos="685"/>
          <w:tab w:val="left" w:pos="686"/>
        </w:tabs>
        <w:spacing w:line="269" w:lineRule="exact"/>
      </w:pPr>
      <w:r w:rsidRPr="008B2522">
        <w:t>0,5</w:t>
      </w:r>
      <w:r w:rsidR="00257CD6">
        <w:t> mg</w:t>
      </w:r>
      <w:r w:rsidRPr="008B2522">
        <w:t xml:space="preserve"> ranibizumabu w monoterapii wg schematu</w:t>
      </w:r>
      <w:r w:rsidRPr="008B2522">
        <w:rPr>
          <w:spacing w:val="-10"/>
        </w:rPr>
        <w:t xml:space="preserve"> </w:t>
      </w:r>
      <w:r w:rsidRPr="008B2522">
        <w:t>TE,</w:t>
      </w:r>
    </w:p>
    <w:p w14:paraId="78A635AC" w14:textId="77777777" w:rsidR="001432C3" w:rsidRPr="008B2522" w:rsidRDefault="000E2AE0">
      <w:pPr>
        <w:pStyle w:val="a4"/>
        <w:numPr>
          <w:ilvl w:val="0"/>
          <w:numId w:val="31"/>
        </w:numPr>
        <w:tabs>
          <w:tab w:val="left" w:pos="685"/>
          <w:tab w:val="left" w:pos="686"/>
        </w:tabs>
        <w:spacing w:line="269" w:lineRule="exact"/>
      </w:pPr>
      <w:r w:rsidRPr="008B2522">
        <w:t>0,5</w:t>
      </w:r>
      <w:r w:rsidR="00257CD6">
        <w:t> mg</w:t>
      </w:r>
      <w:r w:rsidRPr="008B2522">
        <w:t xml:space="preserve"> ranibizumabu w monoterapii, stosowanej w razie</w:t>
      </w:r>
      <w:r w:rsidRPr="008B2522">
        <w:rPr>
          <w:spacing w:val="-14"/>
        </w:rPr>
        <w:t xml:space="preserve"> </w:t>
      </w:r>
      <w:r w:rsidRPr="008B2522">
        <w:t>potrzeby.</w:t>
      </w:r>
    </w:p>
    <w:p w14:paraId="1B660584" w14:textId="77777777" w:rsidR="00872A39" w:rsidRDefault="00872A39">
      <w:pPr>
        <w:pStyle w:val="a3"/>
        <w:spacing w:before="68"/>
        <w:ind w:left="118" w:right="339"/>
      </w:pPr>
    </w:p>
    <w:p w14:paraId="33EE6083" w14:textId="77777777" w:rsidR="001432C3" w:rsidRPr="008B2522" w:rsidRDefault="000E2AE0" w:rsidP="000F168C">
      <w:pPr>
        <w:pStyle w:val="a3"/>
        <w:keepNext/>
        <w:keepLines/>
        <w:widowControl/>
        <w:spacing w:before="68"/>
        <w:ind w:leftChars="64" w:left="141" w:right="340"/>
      </w:pPr>
      <w:r w:rsidRPr="008B2522">
        <w:lastRenderedPageBreak/>
        <w:t>We wszystkich grupach ranibizumab podawano raz na miesiąc, aż do uzyskania stabilnych wyników BCVA w co najmniej trzech kolejnych comiesięcznych badaniach. W schemacie TE, ranibizumab był podawany w odstępach co 2-</w:t>
      </w:r>
      <w:r w:rsidR="00872A39" w:rsidRPr="008B2522">
        <w:t>3</w:t>
      </w:r>
      <w:r w:rsidR="00872A39">
        <w:t> </w:t>
      </w:r>
      <w:r w:rsidRPr="008B2522">
        <w:t>miesiące. We wszystkich grupach comiesięczne wstrzyknięcia leku wznawiano po zmniejszeniu BCVA spowodowanym progresją DME i kontynuowano aż do ponownego osiągnięcia stabilnej wartości BCVA.</w:t>
      </w:r>
    </w:p>
    <w:p w14:paraId="5AF946F9" w14:textId="77777777" w:rsidR="001432C3" w:rsidRPr="008B2522" w:rsidRDefault="001432C3" w:rsidP="00E0574D">
      <w:pPr>
        <w:pStyle w:val="a3"/>
        <w:ind w:leftChars="64" w:left="141"/>
      </w:pPr>
    </w:p>
    <w:p w14:paraId="28249FF1" w14:textId="77777777" w:rsidR="001432C3" w:rsidRPr="008B2522" w:rsidRDefault="000E2AE0" w:rsidP="00E0574D">
      <w:pPr>
        <w:pStyle w:val="a3"/>
        <w:ind w:leftChars="64" w:left="141" w:right="776"/>
        <w:jc w:val="both"/>
      </w:pPr>
      <w:r w:rsidRPr="008B2522">
        <w:t xml:space="preserve">Liczba wyznaczonych wizyt z podaniem leku po 3 wstępnych wstrzyknięciach wynosiła 13 i 20, odpowiednio dla schematu TE i PRN. W obu schematach dawkowania TE ponad 70% pacjentów utrzymało swoją wartość BCVA przy przeciętnej częstotliwości wizyt </w:t>
      </w:r>
      <w:r w:rsidRPr="008B2522">
        <w:rPr>
          <w:rFonts w:ascii="Symbol" w:hAnsi="Symbol"/>
        </w:rPr>
        <w:t></w:t>
      </w:r>
      <w:r w:rsidR="00872A39" w:rsidRPr="008B2522">
        <w:t>2</w:t>
      </w:r>
      <w:r w:rsidR="00872A39">
        <w:t> </w:t>
      </w:r>
      <w:r w:rsidRPr="008B2522">
        <w:t>miesiące.</w:t>
      </w:r>
    </w:p>
    <w:p w14:paraId="2018A018" w14:textId="77777777" w:rsidR="001432C3" w:rsidRPr="008B2522" w:rsidRDefault="001432C3" w:rsidP="00E0574D">
      <w:pPr>
        <w:pStyle w:val="a3"/>
        <w:spacing w:before="8"/>
        <w:ind w:leftChars="64" w:left="141"/>
        <w:rPr>
          <w:sz w:val="21"/>
        </w:rPr>
      </w:pPr>
    </w:p>
    <w:p w14:paraId="6BC26D64" w14:textId="77777777" w:rsidR="001432C3" w:rsidRPr="008B2522" w:rsidRDefault="000E2AE0" w:rsidP="00E0574D">
      <w:pPr>
        <w:pStyle w:val="a3"/>
        <w:ind w:leftChars="64" w:left="141"/>
      </w:pPr>
      <w:r w:rsidRPr="008B2522">
        <w:t xml:space="preserve">Najważniejsze wyniki przedstawiono w </w:t>
      </w:r>
      <w:r w:rsidR="00872A39" w:rsidRPr="008B2522">
        <w:t>Tabeli</w:t>
      </w:r>
      <w:r w:rsidR="00872A39">
        <w:t> </w:t>
      </w:r>
      <w:r w:rsidRPr="008B2522">
        <w:t>6.</w:t>
      </w:r>
    </w:p>
    <w:p w14:paraId="1CEB89C5" w14:textId="77777777" w:rsidR="001432C3" w:rsidRPr="008B2522" w:rsidRDefault="001432C3">
      <w:pPr>
        <w:pStyle w:val="a3"/>
        <w:spacing w:before="4"/>
      </w:pPr>
    </w:p>
    <w:p w14:paraId="13110889" w14:textId="77777777" w:rsidR="001432C3" w:rsidRPr="004A2080" w:rsidRDefault="00872A39" w:rsidP="00BE4E62">
      <w:pPr>
        <w:pStyle w:val="1"/>
        <w:tabs>
          <w:tab w:val="left" w:pos="1251"/>
        </w:tabs>
        <w:ind w:left="1274" w:hangingChars="590" w:hanging="1274"/>
      </w:pPr>
      <w:r w:rsidRPr="004A2080">
        <w:t>Tabela </w:t>
      </w:r>
      <w:r w:rsidR="000E2AE0" w:rsidRPr="004A2080">
        <w:t>6</w:t>
      </w:r>
      <w:r w:rsidR="000E2AE0" w:rsidRPr="004A2080">
        <w:tab/>
        <w:t>Wyniki badania D2304 (RETAIN)</w:t>
      </w:r>
    </w:p>
    <w:p w14:paraId="0F812B91" w14:textId="77777777" w:rsidR="001432C3" w:rsidRPr="008B2522" w:rsidRDefault="001432C3">
      <w:pPr>
        <w:pStyle w:val="a3"/>
        <w:spacing w:before="1"/>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5"/>
        <w:gridCol w:w="2304"/>
        <w:gridCol w:w="2305"/>
      </w:tblGrid>
      <w:tr w:rsidR="001432C3" w:rsidRPr="008B2522" w14:paraId="41CE1410" w14:textId="77777777">
        <w:trPr>
          <w:trHeight w:hRule="exact" w:val="1023"/>
        </w:trPr>
        <w:tc>
          <w:tcPr>
            <w:tcW w:w="2304" w:type="dxa"/>
          </w:tcPr>
          <w:p w14:paraId="69710B34" w14:textId="77777777" w:rsidR="001432C3" w:rsidRPr="008B2522" w:rsidRDefault="000E2AE0">
            <w:pPr>
              <w:pStyle w:val="TableParagraph"/>
              <w:ind w:right="252"/>
            </w:pPr>
            <w:r w:rsidRPr="008B2522">
              <w:t>Wynik w porównaniu z wartościami początkowymi</w:t>
            </w:r>
          </w:p>
        </w:tc>
        <w:tc>
          <w:tcPr>
            <w:tcW w:w="2305" w:type="dxa"/>
          </w:tcPr>
          <w:p w14:paraId="30C7A634" w14:textId="77777777" w:rsidR="001432C3" w:rsidRPr="008B2522" w:rsidRDefault="000E2AE0">
            <w:pPr>
              <w:pStyle w:val="TableParagraph"/>
              <w:spacing w:line="247" w:lineRule="exact"/>
              <w:ind w:left="189" w:right="189"/>
              <w:jc w:val="center"/>
            </w:pPr>
            <w:r w:rsidRPr="008B2522">
              <w:t>Schemat TE</w:t>
            </w:r>
          </w:p>
          <w:p w14:paraId="763FEA56" w14:textId="77777777" w:rsidR="001432C3" w:rsidRPr="008B2522" w:rsidRDefault="000E2AE0">
            <w:pPr>
              <w:pStyle w:val="TableParagraph"/>
              <w:spacing w:before="2" w:line="252" w:lineRule="exact"/>
              <w:ind w:left="189" w:right="189"/>
              <w:jc w:val="center"/>
            </w:pPr>
            <w:r w:rsidRPr="008B2522">
              <w:t>0,5</w:t>
            </w:r>
            <w:r w:rsidR="00257CD6">
              <w:t> mg</w:t>
            </w:r>
            <w:r w:rsidRPr="008B2522">
              <w:t xml:space="preserve"> ranibizumabu</w:t>
            </w:r>
          </w:p>
          <w:p w14:paraId="0D0DD018" w14:textId="77777777" w:rsidR="001432C3" w:rsidRPr="008B2522" w:rsidRDefault="000E2AE0">
            <w:pPr>
              <w:pStyle w:val="TableParagraph"/>
              <w:ind w:left="850" w:right="846"/>
              <w:jc w:val="center"/>
            </w:pPr>
            <w:r w:rsidRPr="008B2522">
              <w:t>+ laser n=117</w:t>
            </w:r>
          </w:p>
        </w:tc>
        <w:tc>
          <w:tcPr>
            <w:tcW w:w="2304" w:type="dxa"/>
          </w:tcPr>
          <w:p w14:paraId="65F4DD17" w14:textId="77777777" w:rsidR="001432C3" w:rsidRPr="008B2522" w:rsidRDefault="000E2AE0">
            <w:pPr>
              <w:pStyle w:val="TableParagraph"/>
              <w:spacing w:line="247" w:lineRule="exact"/>
              <w:ind w:left="586" w:right="586"/>
              <w:jc w:val="center"/>
            </w:pPr>
            <w:r w:rsidRPr="008B2522">
              <w:t>Schemat TE</w:t>
            </w:r>
          </w:p>
          <w:p w14:paraId="7DD2BA48" w14:textId="77777777" w:rsidR="001432C3" w:rsidRPr="008B2522" w:rsidRDefault="000E2AE0">
            <w:pPr>
              <w:pStyle w:val="TableParagraph"/>
              <w:spacing w:before="2"/>
              <w:ind w:left="212" w:right="214"/>
              <w:jc w:val="center"/>
            </w:pPr>
            <w:r w:rsidRPr="008B2522">
              <w:t>0,5</w:t>
            </w:r>
            <w:r w:rsidR="00257CD6">
              <w:t> mg</w:t>
            </w:r>
            <w:r w:rsidRPr="008B2522">
              <w:rPr>
                <w:spacing w:val="-7"/>
              </w:rPr>
              <w:t xml:space="preserve"> </w:t>
            </w:r>
            <w:r w:rsidRPr="008B2522">
              <w:t>ranibizumabu w monoterapii n=125</w:t>
            </w:r>
          </w:p>
        </w:tc>
        <w:tc>
          <w:tcPr>
            <w:tcW w:w="2305" w:type="dxa"/>
          </w:tcPr>
          <w:p w14:paraId="184150D3" w14:textId="77777777" w:rsidR="001432C3" w:rsidRPr="008B2522" w:rsidRDefault="000E2AE0">
            <w:pPr>
              <w:pStyle w:val="TableParagraph"/>
              <w:spacing w:line="242" w:lineRule="auto"/>
              <w:ind w:left="670" w:right="315" w:hanging="567"/>
            </w:pPr>
            <w:r w:rsidRPr="008B2522">
              <w:t>Dawkowanie w razie potrzeby</w:t>
            </w:r>
          </w:p>
          <w:p w14:paraId="1CC65B16" w14:textId="77777777" w:rsidR="001432C3" w:rsidRPr="008B2522" w:rsidRDefault="000E2AE0">
            <w:pPr>
              <w:pStyle w:val="TableParagraph"/>
              <w:spacing w:before="6" w:line="249" w:lineRule="exact"/>
            </w:pPr>
            <w:r w:rsidRPr="008B2522">
              <w:t>0,5</w:t>
            </w:r>
            <w:r w:rsidR="00257CD6">
              <w:t> mg</w:t>
            </w:r>
            <w:r w:rsidRPr="008B2522">
              <w:t xml:space="preserve"> ranibizumabu</w:t>
            </w:r>
          </w:p>
          <w:p w14:paraId="00A129D2" w14:textId="77777777" w:rsidR="001432C3" w:rsidRPr="008B2522" w:rsidRDefault="000E2AE0">
            <w:pPr>
              <w:pStyle w:val="TableParagraph"/>
              <w:spacing w:line="252" w:lineRule="exact"/>
              <w:ind w:left="189" w:right="189"/>
              <w:jc w:val="center"/>
            </w:pPr>
            <w:r w:rsidRPr="008B2522">
              <w:t>n=117</w:t>
            </w:r>
          </w:p>
        </w:tc>
      </w:tr>
      <w:tr w:rsidR="001432C3" w:rsidRPr="008B2522" w14:paraId="04EBDDF3" w14:textId="77777777">
        <w:trPr>
          <w:trHeight w:hRule="exact" w:val="1022"/>
        </w:trPr>
        <w:tc>
          <w:tcPr>
            <w:tcW w:w="2304" w:type="dxa"/>
          </w:tcPr>
          <w:p w14:paraId="19E47B30" w14:textId="77777777" w:rsidR="001432C3" w:rsidRPr="008B2522" w:rsidRDefault="000E2AE0">
            <w:pPr>
              <w:pStyle w:val="TableParagraph"/>
              <w:ind w:right="661"/>
            </w:pPr>
            <w:r w:rsidRPr="008B2522">
              <w:t xml:space="preserve">Średnia zmiana w BCVA od miesiąca 1. do </w:t>
            </w:r>
            <w:r w:rsidR="00872A39" w:rsidRPr="008B2522">
              <w:t>miesiąca</w:t>
            </w:r>
            <w:r w:rsidR="00872A39">
              <w:rPr>
                <w:spacing w:val="-5"/>
              </w:rPr>
              <w:t> </w:t>
            </w:r>
            <w:r w:rsidRPr="008B2522">
              <w:t>12.(SD)</w:t>
            </w:r>
          </w:p>
        </w:tc>
        <w:tc>
          <w:tcPr>
            <w:tcW w:w="2305" w:type="dxa"/>
          </w:tcPr>
          <w:p w14:paraId="6D56A96A" w14:textId="77777777" w:rsidR="001432C3" w:rsidRPr="008B2522" w:rsidRDefault="001432C3">
            <w:pPr>
              <w:pStyle w:val="TableParagraph"/>
              <w:spacing w:before="11"/>
              <w:ind w:left="0"/>
              <w:rPr>
                <w:b/>
                <w:sz w:val="31"/>
              </w:rPr>
            </w:pPr>
          </w:p>
          <w:p w14:paraId="30AE4490" w14:textId="77777777" w:rsidR="001432C3" w:rsidRPr="008B2522" w:rsidRDefault="000E2AE0">
            <w:pPr>
              <w:pStyle w:val="TableParagraph"/>
              <w:ind w:left="189" w:right="187"/>
              <w:jc w:val="center"/>
              <w:rPr>
                <w:sz w:val="14"/>
              </w:rPr>
            </w:pPr>
            <w:r w:rsidRPr="008B2522">
              <w:t xml:space="preserve">5,9 (5,5) </w:t>
            </w:r>
            <w:r w:rsidRPr="008B2522">
              <w:rPr>
                <w:position w:val="8"/>
                <w:sz w:val="14"/>
              </w:rPr>
              <w:t>a</w:t>
            </w:r>
          </w:p>
        </w:tc>
        <w:tc>
          <w:tcPr>
            <w:tcW w:w="2304" w:type="dxa"/>
            <w:tcBorders>
              <w:right w:val="single" w:sz="2" w:space="0" w:color="000000"/>
            </w:tcBorders>
          </w:tcPr>
          <w:p w14:paraId="2889284C" w14:textId="77777777" w:rsidR="001432C3" w:rsidRPr="008B2522" w:rsidRDefault="001432C3">
            <w:pPr>
              <w:pStyle w:val="TableParagraph"/>
              <w:spacing w:before="11"/>
              <w:ind w:left="0"/>
              <w:rPr>
                <w:b/>
                <w:sz w:val="31"/>
              </w:rPr>
            </w:pPr>
          </w:p>
          <w:p w14:paraId="30DBB93D" w14:textId="77777777" w:rsidR="001432C3" w:rsidRPr="008B2522" w:rsidRDefault="000E2AE0">
            <w:pPr>
              <w:pStyle w:val="TableParagraph"/>
              <w:ind w:left="694" w:right="694"/>
              <w:jc w:val="center"/>
              <w:rPr>
                <w:sz w:val="14"/>
              </w:rPr>
            </w:pPr>
            <w:r w:rsidRPr="008B2522">
              <w:t xml:space="preserve">6,1 (5,7) </w:t>
            </w:r>
            <w:r w:rsidRPr="008B2522">
              <w:rPr>
                <w:position w:val="8"/>
                <w:sz w:val="14"/>
              </w:rPr>
              <w:t>a</w:t>
            </w:r>
          </w:p>
        </w:tc>
        <w:tc>
          <w:tcPr>
            <w:tcW w:w="2305" w:type="dxa"/>
            <w:tcBorders>
              <w:left w:val="single" w:sz="2" w:space="0" w:color="000000"/>
            </w:tcBorders>
          </w:tcPr>
          <w:p w14:paraId="785E1387" w14:textId="77777777" w:rsidR="001432C3" w:rsidRPr="008B2522" w:rsidRDefault="001432C3">
            <w:pPr>
              <w:pStyle w:val="TableParagraph"/>
              <w:spacing w:before="5"/>
              <w:ind w:left="0"/>
              <w:rPr>
                <w:b/>
                <w:sz w:val="32"/>
              </w:rPr>
            </w:pPr>
          </w:p>
          <w:p w14:paraId="4C200EFD" w14:textId="77777777" w:rsidR="001432C3" w:rsidRPr="008B2522" w:rsidRDefault="000E2AE0">
            <w:pPr>
              <w:pStyle w:val="TableParagraph"/>
              <w:ind w:left="753" w:right="752"/>
              <w:jc w:val="center"/>
            </w:pPr>
            <w:r w:rsidRPr="008B2522">
              <w:t>6,2 (6,0)</w:t>
            </w:r>
          </w:p>
        </w:tc>
      </w:tr>
      <w:tr w:rsidR="001432C3" w:rsidRPr="008B2522" w14:paraId="61E6620C" w14:textId="77777777">
        <w:trPr>
          <w:trHeight w:hRule="exact" w:val="1020"/>
        </w:trPr>
        <w:tc>
          <w:tcPr>
            <w:tcW w:w="2304" w:type="dxa"/>
          </w:tcPr>
          <w:p w14:paraId="67AE652D" w14:textId="77777777" w:rsidR="001432C3" w:rsidRPr="008B2522" w:rsidRDefault="000E2AE0">
            <w:pPr>
              <w:pStyle w:val="TableParagraph"/>
              <w:ind w:right="809"/>
            </w:pPr>
            <w:r w:rsidRPr="008B2522">
              <w:t>Średnia zmiana w BCVA od miesiąca 1. do</w:t>
            </w:r>
          </w:p>
          <w:p w14:paraId="286C6E81" w14:textId="77777777" w:rsidR="001432C3" w:rsidRPr="008B2522" w:rsidRDefault="00872A39">
            <w:pPr>
              <w:pStyle w:val="TableParagraph"/>
              <w:spacing w:before="6" w:line="252" w:lineRule="exact"/>
            </w:pPr>
            <w:r w:rsidRPr="008B2522">
              <w:t>miesiąca</w:t>
            </w:r>
            <w:r>
              <w:t> </w:t>
            </w:r>
            <w:r w:rsidR="000E2AE0" w:rsidRPr="008B2522">
              <w:t>24. (SD)</w:t>
            </w:r>
          </w:p>
        </w:tc>
        <w:tc>
          <w:tcPr>
            <w:tcW w:w="2305" w:type="dxa"/>
          </w:tcPr>
          <w:p w14:paraId="62D807B4" w14:textId="77777777" w:rsidR="001432C3" w:rsidRPr="008B2522" w:rsidRDefault="001432C3">
            <w:pPr>
              <w:pStyle w:val="TableParagraph"/>
              <w:spacing w:before="5"/>
              <w:ind w:left="0"/>
              <w:rPr>
                <w:b/>
                <w:sz w:val="32"/>
              </w:rPr>
            </w:pPr>
          </w:p>
          <w:p w14:paraId="14AC711D" w14:textId="77777777" w:rsidR="001432C3" w:rsidRPr="008B2522" w:rsidRDefault="000E2AE0">
            <w:pPr>
              <w:pStyle w:val="TableParagraph"/>
              <w:ind w:left="189" w:right="189"/>
              <w:jc w:val="center"/>
            </w:pPr>
            <w:r w:rsidRPr="008B2522">
              <w:t>6,8 (6,0)</w:t>
            </w:r>
          </w:p>
        </w:tc>
        <w:tc>
          <w:tcPr>
            <w:tcW w:w="2304" w:type="dxa"/>
            <w:tcBorders>
              <w:right w:val="single" w:sz="2" w:space="0" w:color="000000"/>
            </w:tcBorders>
          </w:tcPr>
          <w:p w14:paraId="367C2E84" w14:textId="77777777" w:rsidR="001432C3" w:rsidRPr="008B2522" w:rsidRDefault="001432C3">
            <w:pPr>
              <w:pStyle w:val="TableParagraph"/>
              <w:spacing w:before="5"/>
              <w:ind w:left="0"/>
              <w:rPr>
                <w:b/>
                <w:sz w:val="32"/>
              </w:rPr>
            </w:pPr>
          </w:p>
          <w:p w14:paraId="551154A5" w14:textId="77777777" w:rsidR="001432C3" w:rsidRPr="008B2522" w:rsidRDefault="000E2AE0">
            <w:pPr>
              <w:pStyle w:val="TableParagraph"/>
              <w:ind w:left="693" w:right="694"/>
              <w:jc w:val="center"/>
            </w:pPr>
            <w:r w:rsidRPr="008B2522">
              <w:t>6,6 (7,1)</w:t>
            </w:r>
          </w:p>
        </w:tc>
        <w:tc>
          <w:tcPr>
            <w:tcW w:w="2305" w:type="dxa"/>
            <w:tcBorders>
              <w:left w:val="single" w:sz="2" w:space="0" w:color="000000"/>
            </w:tcBorders>
          </w:tcPr>
          <w:p w14:paraId="14E91DDA" w14:textId="77777777" w:rsidR="001432C3" w:rsidRPr="008B2522" w:rsidRDefault="001432C3">
            <w:pPr>
              <w:pStyle w:val="TableParagraph"/>
              <w:spacing w:before="5"/>
              <w:ind w:left="0"/>
              <w:rPr>
                <w:b/>
                <w:sz w:val="32"/>
              </w:rPr>
            </w:pPr>
          </w:p>
          <w:p w14:paraId="4E2AFADA" w14:textId="77777777" w:rsidR="001432C3" w:rsidRPr="008B2522" w:rsidRDefault="000E2AE0">
            <w:pPr>
              <w:pStyle w:val="TableParagraph"/>
              <w:ind w:left="753" w:right="752"/>
              <w:jc w:val="center"/>
            </w:pPr>
            <w:r w:rsidRPr="008B2522">
              <w:t>7,0 (6,4)</w:t>
            </w:r>
          </w:p>
        </w:tc>
      </w:tr>
      <w:tr w:rsidR="001432C3" w:rsidRPr="008B2522" w14:paraId="2FD00D71" w14:textId="77777777">
        <w:trPr>
          <w:trHeight w:hRule="exact" w:val="771"/>
        </w:trPr>
        <w:tc>
          <w:tcPr>
            <w:tcW w:w="2304" w:type="dxa"/>
          </w:tcPr>
          <w:p w14:paraId="5E4C52EE" w14:textId="77777777" w:rsidR="001432C3" w:rsidRPr="008B2522" w:rsidRDefault="000E2AE0">
            <w:pPr>
              <w:pStyle w:val="TableParagraph"/>
              <w:spacing w:line="252" w:lineRule="exact"/>
              <w:ind w:right="647"/>
            </w:pPr>
            <w:r w:rsidRPr="008B2522">
              <w:t xml:space="preserve">Średnia zmiana w BCVA po </w:t>
            </w:r>
            <w:r w:rsidR="00872A39" w:rsidRPr="008B2522">
              <w:t>miesiącu</w:t>
            </w:r>
            <w:r w:rsidR="00872A39">
              <w:rPr>
                <w:spacing w:val="-4"/>
              </w:rPr>
              <w:t> </w:t>
            </w:r>
            <w:r w:rsidRPr="008B2522">
              <w:t>24.(SD)</w:t>
            </w:r>
          </w:p>
        </w:tc>
        <w:tc>
          <w:tcPr>
            <w:tcW w:w="2305" w:type="dxa"/>
          </w:tcPr>
          <w:p w14:paraId="311655DE" w14:textId="77777777" w:rsidR="001432C3" w:rsidRPr="008B2522" w:rsidRDefault="001432C3">
            <w:pPr>
              <w:pStyle w:val="TableParagraph"/>
              <w:spacing w:before="7"/>
              <w:ind w:left="0"/>
              <w:rPr>
                <w:b/>
                <w:sz w:val="21"/>
              </w:rPr>
            </w:pPr>
          </w:p>
          <w:p w14:paraId="40E90495" w14:textId="77777777" w:rsidR="001432C3" w:rsidRPr="008B2522" w:rsidRDefault="000E2AE0">
            <w:pPr>
              <w:pStyle w:val="TableParagraph"/>
              <w:ind w:left="189" w:right="189"/>
              <w:jc w:val="center"/>
            </w:pPr>
            <w:r w:rsidRPr="008B2522">
              <w:t>8,3 (8,1)</w:t>
            </w:r>
          </w:p>
        </w:tc>
        <w:tc>
          <w:tcPr>
            <w:tcW w:w="2304" w:type="dxa"/>
            <w:tcBorders>
              <w:right w:val="single" w:sz="2" w:space="0" w:color="000000"/>
            </w:tcBorders>
          </w:tcPr>
          <w:p w14:paraId="4661A74A" w14:textId="77777777" w:rsidR="001432C3" w:rsidRPr="008B2522" w:rsidRDefault="001432C3">
            <w:pPr>
              <w:pStyle w:val="TableParagraph"/>
              <w:spacing w:before="7"/>
              <w:ind w:left="0"/>
              <w:rPr>
                <w:b/>
                <w:sz w:val="21"/>
              </w:rPr>
            </w:pPr>
          </w:p>
          <w:p w14:paraId="2B5B8F96" w14:textId="77777777" w:rsidR="001432C3" w:rsidRPr="008B2522" w:rsidRDefault="000E2AE0">
            <w:pPr>
              <w:pStyle w:val="TableParagraph"/>
              <w:ind w:left="693" w:right="694"/>
              <w:jc w:val="center"/>
            </w:pPr>
            <w:r w:rsidRPr="008B2522">
              <w:t>6,5 (10,9)</w:t>
            </w:r>
          </w:p>
        </w:tc>
        <w:tc>
          <w:tcPr>
            <w:tcW w:w="2305" w:type="dxa"/>
            <w:tcBorders>
              <w:left w:val="single" w:sz="2" w:space="0" w:color="000000"/>
            </w:tcBorders>
          </w:tcPr>
          <w:p w14:paraId="72A02ED4" w14:textId="77777777" w:rsidR="001432C3" w:rsidRPr="008B2522" w:rsidRDefault="001432C3">
            <w:pPr>
              <w:pStyle w:val="TableParagraph"/>
              <w:spacing w:before="7"/>
              <w:ind w:left="0"/>
              <w:rPr>
                <w:b/>
                <w:sz w:val="21"/>
              </w:rPr>
            </w:pPr>
          </w:p>
          <w:p w14:paraId="063163D8" w14:textId="77777777" w:rsidR="001432C3" w:rsidRPr="008B2522" w:rsidRDefault="000E2AE0">
            <w:pPr>
              <w:pStyle w:val="TableParagraph"/>
              <w:ind w:left="753" w:right="752"/>
              <w:jc w:val="center"/>
            </w:pPr>
            <w:r w:rsidRPr="008B2522">
              <w:t>8,1 (8,5)</w:t>
            </w:r>
          </w:p>
        </w:tc>
      </w:tr>
      <w:tr w:rsidR="001432C3" w:rsidRPr="008B2522" w14:paraId="6D6C4F5D" w14:textId="77777777">
        <w:trPr>
          <w:trHeight w:hRule="exact" w:val="785"/>
        </w:trPr>
        <w:tc>
          <w:tcPr>
            <w:tcW w:w="2304" w:type="dxa"/>
          </w:tcPr>
          <w:p w14:paraId="5BA075D3" w14:textId="77777777" w:rsidR="001432C3" w:rsidRPr="008B2522" w:rsidRDefault="000E2AE0">
            <w:pPr>
              <w:pStyle w:val="TableParagraph"/>
              <w:ind w:right="425"/>
            </w:pPr>
            <w:r w:rsidRPr="008B2522">
              <w:t>Zysk o ≥</w:t>
            </w:r>
            <w:r w:rsidR="00D65B86" w:rsidRPr="008B2522">
              <w:t>15</w:t>
            </w:r>
            <w:r w:rsidR="00D65B86">
              <w:t> </w:t>
            </w:r>
            <w:r w:rsidRPr="008B2522">
              <w:t xml:space="preserve">liter lub BCVA </w:t>
            </w:r>
            <w:r w:rsidRPr="008B2522">
              <w:rPr>
                <w:rFonts w:ascii="Symbol" w:hAnsi="Symbol"/>
              </w:rPr>
              <w:t></w:t>
            </w:r>
            <w:r w:rsidR="00D65B86" w:rsidRPr="008B2522">
              <w:t>84</w:t>
            </w:r>
            <w:r w:rsidR="00D65B86">
              <w:t> </w:t>
            </w:r>
            <w:r w:rsidRPr="008B2522">
              <w:t>litery</w:t>
            </w:r>
          </w:p>
          <w:p w14:paraId="35D50E53" w14:textId="77777777" w:rsidR="001432C3" w:rsidRPr="008B2522" w:rsidRDefault="000E2AE0">
            <w:pPr>
              <w:pStyle w:val="TableParagraph"/>
              <w:spacing w:before="7"/>
            </w:pPr>
            <w:r w:rsidRPr="008B2522">
              <w:t xml:space="preserve">w </w:t>
            </w:r>
            <w:r w:rsidR="00D65B86" w:rsidRPr="008B2522">
              <w:t>miesiącu</w:t>
            </w:r>
            <w:r w:rsidR="00D65B86">
              <w:t> </w:t>
            </w:r>
            <w:r w:rsidRPr="008B2522">
              <w:t>24.(%)</w:t>
            </w:r>
          </w:p>
        </w:tc>
        <w:tc>
          <w:tcPr>
            <w:tcW w:w="2305" w:type="dxa"/>
          </w:tcPr>
          <w:p w14:paraId="4993447E" w14:textId="77777777" w:rsidR="001432C3" w:rsidRPr="008B2522" w:rsidRDefault="001432C3">
            <w:pPr>
              <w:pStyle w:val="TableParagraph"/>
              <w:spacing w:before="2"/>
              <w:ind w:left="0"/>
              <w:rPr>
                <w:b/>
              </w:rPr>
            </w:pPr>
          </w:p>
          <w:p w14:paraId="31B77469" w14:textId="77777777" w:rsidR="001432C3" w:rsidRPr="008B2522" w:rsidRDefault="000E2AE0">
            <w:pPr>
              <w:pStyle w:val="TableParagraph"/>
              <w:ind w:left="189" w:right="187"/>
              <w:jc w:val="center"/>
            </w:pPr>
            <w:r w:rsidRPr="008B2522">
              <w:t>25,6</w:t>
            </w:r>
          </w:p>
        </w:tc>
        <w:tc>
          <w:tcPr>
            <w:tcW w:w="2304" w:type="dxa"/>
          </w:tcPr>
          <w:p w14:paraId="65F9A36E" w14:textId="77777777" w:rsidR="001432C3" w:rsidRPr="008B2522" w:rsidRDefault="001432C3">
            <w:pPr>
              <w:pStyle w:val="TableParagraph"/>
              <w:spacing w:before="2"/>
              <w:ind w:left="0"/>
              <w:rPr>
                <w:b/>
              </w:rPr>
            </w:pPr>
          </w:p>
          <w:p w14:paraId="34FF9126" w14:textId="77777777" w:rsidR="001432C3" w:rsidRPr="008B2522" w:rsidRDefault="000E2AE0">
            <w:pPr>
              <w:pStyle w:val="TableParagraph"/>
              <w:ind w:left="586" w:right="584"/>
              <w:jc w:val="center"/>
            </w:pPr>
            <w:r w:rsidRPr="008B2522">
              <w:t>28,0</w:t>
            </w:r>
          </w:p>
        </w:tc>
        <w:tc>
          <w:tcPr>
            <w:tcW w:w="2305" w:type="dxa"/>
          </w:tcPr>
          <w:p w14:paraId="4B701EA5" w14:textId="77777777" w:rsidR="001432C3" w:rsidRPr="008B2522" w:rsidRDefault="001432C3">
            <w:pPr>
              <w:pStyle w:val="TableParagraph"/>
              <w:spacing w:before="2"/>
              <w:ind w:left="0"/>
              <w:rPr>
                <w:b/>
              </w:rPr>
            </w:pPr>
          </w:p>
          <w:p w14:paraId="2754707E" w14:textId="77777777" w:rsidR="001432C3" w:rsidRPr="008B2522" w:rsidRDefault="000E2AE0">
            <w:pPr>
              <w:pStyle w:val="TableParagraph"/>
              <w:ind w:left="189" w:right="186"/>
              <w:jc w:val="center"/>
            </w:pPr>
            <w:r w:rsidRPr="008B2522">
              <w:t>30,8</w:t>
            </w:r>
          </w:p>
        </w:tc>
      </w:tr>
      <w:tr w:rsidR="001432C3" w:rsidRPr="008B2522" w14:paraId="09488372" w14:textId="77777777">
        <w:trPr>
          <w:trHeight w:hRule="exact" w:val="770"/>
        </w:trPr>
        <w:tc>
          <w:tcPr>
            <w:tcW w:w="2304" w:type="dxa"/>
          </w:tcPr>
          <w:p w14:paraId="6F2D8876" w14:textId="77777777" w:rsidR="001432C3" w:rsidRPr="008B2522" w:rsidRDefault="000E2AE0">
            <w:pPr>
              <w:pStyle w:val="TableParagraph"/>
              <w:ind w:right="796"/>
            </w:pPr>
            <w:r w:rsidRPr="008B2522">
              <w:t>Średnia liczba wstrzyknięć (</w:t>
            </w:r>
            <w:r w:rsidR="00D65B86" w:rsidRPr="008B2522">
              <w:t>miesiące</w:t>
            </w:r>
            <w:r w:rsidR="00D65B86">
              <w:t> </w:t>
            </w:r>
            <w:r w:rsidRPr="008B2522">
              <w:t>0-23)</w:t>
            </w:r>
          </w:p>
        </w:tc>
        <w:tc>
          <w:tcPr>
            <w:tcW w:w="2305" w:type="dxa"/>
          </w:tcPr>
          <w:p w14:paraId="40D90370" w14:textId="77777777" w:rsidR="001432C3" w:rsidRPr="008B2522" w:rsidRDefault="001432C3">
            <w:pPr>
              <w:pStyle w:val="TableParagraph"/>
              <w:spacing w:before="6"/>
              <w:ind w:left="0"/>
              <w:rPr>
                <w:b/>
                <w:sz w:val="21"/>
              </w:rPr>
            </w:pPr>
          </w:p>
          <w:p w14:paraId="6065C12B" w14:textId="77777777" w:rsidR="001432C3" w:rsidRPr="008B2522" w:rsidRDefault="000E2AE0">
            <w:pPr>
              <w:pStyle w:val="TableParagraph"/>
              <w:ind w:left="189" w:right="187"/>
              <w:jc w:val="center"/>
            </w:pPr>
            <w:r w:rsidRPr="008B2522">
              <w:t>12,4</w:t>
            </w:r>
          </w:p>
        </w:tc>
        <w:tc>
          <w:tcPr>
            <w:tcW w:w="2304" w:type="dxa"/>
          </w:tcPr>
          <w:p w14:paraId="3AB07486" w14:textId="77777777" w:rsidR="001432C3" w:rsidRPr="008B2522" w:rsidRDefault="001432C3">
            <w:pPr>
              <w:pStyle w:val="TableParagraph"/>
              <w:spacing w:before="6"/>
              <w:ind w:left="0"/>
              <w:rPr>
                <w:b/>
                <w:sz w:val="21"/>
              </w:rPr>
            </w:pPr>
          </w:p>
          <w:p w14:paraId="1E7313B8" w14:textId="77777777" w:rsidR="001432C3" w:rsidRPr="008B2522" w:rsidRDefault="000E2AE0">
            <w:pPr>
              <w:pStyle w:val="TableParagraph"/>
              <w:ind w:left="586" w:right="584"/>
              <w:jc w:val="center"/>
            </w:pPr>
            <w:r w:rsidRPr="008B2522">
              <w:t>12,8</w:t>
            </w:r>
          </w:p>
        </w:tc>
        <w:tc>
          <w:tcPr>
            <w:tcW w:w="2305" w:type="dxa"/>
          </w:tcPr>
          <w:p w14:paraId="3FC847EB" w14:textId="77777777" w:rsidR="001432C3" w:rsidRPr="008B2522" w:rsidRDefault="001432C3">
            <w:pPr>
              <w:pStyle w:val="TableParagraph"/>
              <w:spacing w:before="6"/>
              <w:ind w:left="0"/>
              <w:rPr>
                <w:b/>
                <w:sz w:val="21"/>
              </w:rPr>
            </w:pPr>
          </w:p>
          <w:p w14:paraId="017BE68E" w14:textId="77777777" w:rsidR="001432C3" w:rsidRPr="008B2522" w:rsidRDefault="000E2AE0">
            <w:pPr>
              <w:pStyle w:val="TableParagraph"/>
              <w:ind w:left="189" w:right="186"/>
              <w:jc w:val="center"/>
            </w:pPr>
            <w:r w:rsidRPr="008B2522">
              <w:t>10,7</w:t>
            </w:r>
          </w:p>
        </w:tc>
      </w:tr>
    </w:tbl>
    <w:p w14:paraId="3DE7662F" w14:textId="77777777" w:rsidR="001432C3" w:rsidRPr="008B2522" w:rsidRDefault="000E2AE0">
      <w:pPr>
        <w:pStyle w:val="a3"/>
        <w:ind w:left="118"/>
      </w:pPr>
      <w:r w:rsidRPr="008B2522">
        <w:rPr>
          <w:position w:val="8"/>
          <w:sz w:val="14"/>
        </w:rPr>
        <w:t>a</w:t>
      </w:r>
      <w:r w:rsidRPr="008B2522">
        <w:t>p&lt;0,0001 dla oceny czy schemat TE był nie gorszy od schematu PRN</w:t>
      </w:r>
    </w:p>
    <w:p w14:paraId="71480023" w14:textId="77777777" w:rsidR="001432C3" w:rsidRPr="008B2522" w:rsidRDefault="001432C3">
      <w:pPr>
        <w:pStyle w:val="a3"/>
      </w:pPr>
    </w:p>
    <w:p w14:paraId="723A25D0" w14:textId="77777777" w:rsidR="001432C3" w:rsidRPr="008B2522" w:rsidRDefault="000E2AE0" w:rsidP="00E0574D">
      <w:pPr>
        <w:pStyle w:val="a3"/>
        <w:ind w:leftChars="64" w:left="141" w:right="455"/>
      </w:pPr>
      <w:r w:rsidRPr="008B2522">
        <w:t>W badaniach dotyczących DME poprawie BCVA towarzyszyło obniżenie średniej wartości CSFT w miarę upływu czasu, obserwowane we wszystkich leczonych grupach.</w:t>
      </w:r>
    </w:p>
    <w:p w14:paraId="3BC99A5E" w14:textId="77777777" w:rsidR="001432C3" w:rsidRPr="008B2522" w:rsidRDefault="001432C3" w:rsidP="00E0574D">
      <w:pPr>
        <w:pStyle w:val="a3"/>
        <w:ind w:leftChars="64" w:left="141"/>
      </w:pPr>
    </w:p>
    <w:p w14:paraId="4033E117" w14:textId="77777777" w:rsidR="001432C3" w:rsidRPr="00940317" w:rsidRDefault="000E2AE0" w:rsidP="00E0574D">
      <w:pPr>
        <w:pStyle w:val="a3"/>
        <w:ind w:leftChars="64" w:left="141"/>
        <w:rPr>
          <w:i/>
          <w:u w:val="single"/>
        </w:rPr>
      </w:pPr>
      <w:r w:rsidRPr="00940317">
        <w:rPr>
          <w:i/>
          <w:u w:val="single"/>
        </w:rPr>
        <w:t>Leczenie PDR</w:t>
      </w:r>
    </w:p>
    <w:p w14:paraId="214EFA23" w14:textId="77777777" w:rsidR="001432C3" w:rsidRPr="008B2522" w:rsidRDefault="000E2AE0" w:rsidP="00E0574D">
      <w:pPr>
        <w:pStyle w:val="a3"/>
        <w:ind w:leftChars="64" w:left="141" w:right="271"/>
      </w:pPr>
      <w:r w:rsidRPr="008B2522">
        <w:t xml:space="preserve">Bezpieczeństwo stosowania i skuteczność </w:t>
      </w:r>
      <w:r w:rsidR="00135836">
        <w:t>ranibizumabu</w:t>
      </w:r>
      <w:r w:rsidRPr="008B2522">
        <w:t>u pacjentów z PDR były oceniane w Protokole S, w którym porównywano leczenie ranibizumabem w dawce 0,5</w:t>
      </w:r>
      <w:r w:rsidR="00257CD6">
        <w:t> mg</w:t>
      </w:r>
      <w:r w:rsidRPr="008B2522">
        <w:t xml:space="preserve"> podawanej we wstrzyknięciach do</w:t>
      </w:r>
      <w:r w:rsidR="00646CF1">
        <w:t xml:space="preserve"> ciała </w:t>
      </w:r>
      <w:r w:rsidRPr="008B2522">
        <w:t>szklist</w:t>
      </w:r>
      <w:r w:rsidR="00646CF1">
        <w:t>ego</w:t>
      </w:r>
      <w:r w:rsidRPr="008B2522">
        <w:t xml:space="preserve"> z fotokoagulacją panretinalną (PRP). Pierwszorzędowym punktem końcowym była średnia zmiana ostrości widzenia po </w:t>
      </w:r>
      <w:r w:rsidR="000A6183" w:rsidRPr="008B2522">
        <w:t>2</w:t>
      </w:r>
      <w:r w:rsidR="000A6183">
        <w:t> </w:t>
      </w:r>
      <w:r w:rsidRPr="008B2522">
        <w:t>latach. Ponadto, oceniano zmianę w nasileniu retinopatii cukrzycowej (DR) na podstawie zdjęć dna oka przy użyciu wyniku w skali zaawansowania DR (DRSS).</w:t>
      </w:r>
    </w:p>
    <w:p w14:paraId="6DDECED4" w14:textId="77777777" w:rsidR="001432C3" w:rsidRPr="008B2522" w:rsidRDefault="001432C3" w:rsidP="00E0574D">
      <w:pPr>
        <w:pStyle w:val="a3"/>
        <w:spacing w:before="1"/>
        <w:ind w:leftChars="64" w:left="141"/>
      </w:pPr>
    </w:p>
    <w:p w14:paraId="17B18B1C" w14:textId="77777777" w:rsidR="001432C3" w:rsidRPr="008B2522" w:rsidRDefault="000E2AE0" w:rsidP="00E0574D">
      <w:pPr>
        <w:pStyle w:val="a3"/>
        <w:ind w:leftChars="64" w:left="141" w:right="338"/>
      </w:pPr>
      <w:r w:rsidRPr="008B2522">
        <w:t xml:space="preserve">Protokół S był wieloośrodkowym, randomizowanym badaniem III fazy typu “non-inferiority”, kontrolowanym aktywnym leczeniem i prowadzonym w układzie równoległym, do którego włączono </w:t>
      </w:r>
      <w:r w:rsidR="000A6183" w:rsidRPr="008B2522">
        <w:t>305</w:t>
      </w:r>
      <w:r w:rsidR="000A6183">
        <w:t> </w:t>
      </w:r>
      <w:r w:rsidRPr="008B2522">
        <w:t>pacjentów (394 oczu badanych) z PDR z DME lub bez DME w momencie przystąpienia do badania. W badaniu porównywano ranibizumab w dawce 0,5</w:t>
      </w:r>
      <w:r w:rsidR="00257CD6">
        <w:t> mg</w:t>
      </w:r>
      <w:r w:rsidRPr="008B2522">
        <w:t xml:space="preserve"> podawany we wstrzyknięciach do</w:t>
      </w:r>
      <w:r w:rsidR="00646CF1">
        <w:t xml:space="preserve"> ciała </w:t>
      </w:r>
      <w:r w:rsidRPr="008B2522">
        <w:t>szklist</w:t>
      </w:r>
      <w:r w:rsidR="00646CF1">
        <w:t>ego</w:t>
      </w:r>
      <w:r w:rsidRPr="008B2522">
        <w:t xml:space="preserve"> ze standardowym leczeniem za pomocą PRP. Do grupy otrzymującej ranibizumab w dawce 0,5</w:t>
      </w:r>
      <w:r w:rsidR="00257CD6">
        <w:t> mg</w:t>
      </w:r>
      <w:r w:rsidRPr="008B2522">
        <w:t xml:space="preserve"> losowo przydzielono łącznie </w:t>
      </w:r>
      <w:r w:rsidR="000A6183" w:rsidRPr="008B2522">
        <w:t>191</w:t>
      </w:r>
      <w:r w:rsidR="000A6183">
        <w:t> </w:t>
      </w:r>
      <w:r w:rsidRPr="008B2522">
        <w:t xml:space="preserve">oczu (48,5%), a </w:t>
      </w:r>
      <w:r w:rsidR="000A6183" w:rsidRPr="008B2522">
        <w:t>203</w:t>
      </w:r>
      <w:r w:rsidR="000A6183">
        <w:t> </w:t>
      </w:r>
      <w:r w:rsidRPr="008B2522">
        <w:t xml:space="preserve">oczy (51,5%) zostały losowo przydzielone do grypy otrzymującej PRP. Łącznie w </w:t>
      </w:r>
      <w:r w:rsidR="000A6183" w:rsidRPr="008B2522">
        <w:t>88</w:t>
      </w:r>
      <w:r w:rsidR="000A6183">
        <w:t> </w:t>
      </w:r>
      <w:r w:rsidRPr="008B2522">
        <w:t>oczach (22,3%) stwierdzono DME w momencie przystąpienia do badania: w 42 (22,0%) i 46 (22,7%) oczach odpowiednio w grupie leczonej ranibizumabem i w grupie otrzymującej PRP.</w:t>
      </w:r>
    </w:p>
    <w:p w14:paraId="113280D3" w14:textId="77777777" w:rsidR="000A6183" w:rsidRDefault="000A6183" w:rsidP="00E0574D">
      <w:pPr>
        <w:pStyle w:val="a3"/>
        <w:spacing w:before="62"/>
        <w:ind w:leftChars="64" w:left="141" w:right="-46"/>
      </w:pPr>
    </w:p>
    <w:p w14:paraId="5984D559" w14:textId="77777777" w:rsidR="001432C3" w:rsidRPr="008B2522" w:rsidRDefault="000E2AE0" w:rsidP="00E0574D">
      <w:pPr>
        <w:pStyle w:val="a3"/>
        <w:spacing w:before="62"/>
        <w:ind w:leftChars="64" w:left="141" w:right="-46"/>
      </w:pPr>
      <w:r w:rsidRPr="008B2522">
        <w:lastRenderedPageBreak/>
        <w:t xml:space="preserve">W tym badaniu średnia zmiana ostrości widzenia po </w:t>
      </w:r>
      <w:r w:rsidR="000A6183" w:rsidRPr="008B2522">
        <w:t>2</w:t>
      </w:r>
      <w:r w:rsidR="000A6183">
        <w:t> </w:t>
      </w:r>
      <w:r w:rsidRPr="008B2522">
        <w:t>latach wyniosła +2,</w:t>
      </w:r>
      <w:r w:rsidR="000A6183" w:rsidRPr="008B2522">
        <w:t>7</w:t>
      </w:r>
      <w:r w:rsidR="000A6183">
        <w:t> </w:t>
      </w:r>
      <w:r w:rsidRPr="008B2522">
        <w:t>litery w grupie leczonej ranibizumabem w porównaniu z -0,</w:t>
      </w:r>
      <w:r w:rsidR="000A6183" w:rsidRPr="008B2522">
        <w:t>7</w:t>
      </w:r>
      <w:r w:rsidR="000A6183">
        <w:t> </w:t>
      </w:r>
      <w:r w:rsidRPr="008B2522">
        <w:t>litery w grupie PRP. Różnica średnich obliczanych metodą najmniejszych kwadratów wyniosła 3,</w:t>
      </w:r>
      <w:r w:rsidR="000A6183" w:rsidRPr="008B2522">
        <w:t>5</w:t>
      </w:r>
      <w:r w:rsidR="000A6183">
        <w:t> </w:t>
      </w:r>
      <w:r w:rsidRPr="008B2522">
        <w:t>litery (95% CI: [0,2 do 6,7]).</w:t>
      </w:r>
    </w:p>
    <w:p w14:paraId="57F9A819" w14:textId="77777777" w:rsidR="001432C3" w:rsidRPr="008B2522" w:rsidRDefault="001432C3" w:rsidP="00E0574D">
      <w:pPr>
        <w:pStyle w:val="a3"/>
        <w:spacing w:before="11"/>
        <w:ind w:leftChars="64" w:left="141" w:right="-46"/>
        <w:rPr>
          <w:sz w:val="21"/>
        </w:rPr>
      </w:pPr>
    </w:p>
    <w:p w14:paraId="1FB2AF16" w14:textId="77777777" w:rsidR="001432C3" w:rsidRPr="008B2522" w:rsidRDefault="000E2AE0" w:rsidP="00E0574D">
      <w:pPr>
        <w:pStyle w:val="a3"/>
        <w:ind w:leftChars="64" w:left="141" w:right="-46"/>
      </w:pPr>
      <w:r w:rsidRPr="008B2522">
        <w:t>Po 1 roku w 41,8% oczach nastąpiła ≥2-stopniowa poprawa w skali DRSS podczas leczenia ranibizumabem (n=189) w porównaniu z 14,6% oczu otrzymujących PRP (n=199). Szacunkowa różnica między ranibizumabem a laseroterapią wyniosła 27,4% (95% CI: [18,9; 35,9]).</w:t>
      </w:r>
    </w:p>
    <w:p w14:paraId="24F396F7" w14:textId="77777777" w:rsidR="001432C3" w:rsidRPr="008B2522" w:rsidRDefault="001432C3" w:rsidP="00E0574D">
      <w:pPr>
        <w:pStyle w:val="a3"/>
        <w:spacing w:before="4"/>
        <w:ind w:leftChars="64" w:left="141"/>
      </w:pPr>
    </w:p>
    <w:p w14:paraId="2FF34F82" w14:textId="77777777" w:rsidR="001432C3" w:rsidRPr="004A2080" w:rsidRDefault="000E2AE0" w:rsidP="00E0574D">
      <w:pPr>
        <w:pStyle w:val="1"/>
        <w:tabs>
          <w:tab w:val="left" w:pos="1251"/>
        </w:tabs>
        <w:ind w:leftChars="64" w:left="1415" w:hangingChars="590" w:hanging="1274"/>
      </w:pPr>
      <w:r w:rsidRPr="004A2080">
        <w:t>Tabela 7</w:t>
      </w:r>
      <w:r w:rsidRPr="004A2080">
        <w:tab/>
      </w:r>
      <w:r w:rsidR="00505EF6">
        <w:tab/>
      </w:r>
      <w:r w:rsidRPr="004A2080">
        <w:t>Poprawa lub pogorszenie w skali DRSS o ≥2 lub ≥3 stopnie po 1 roku w badaniu ProtokółS (metoda z przeniesieniem dalej ostatniej obserwacji)</w:t>
      </w:r>
    </w:p>
    <w:p w14:paraId="243DF689" w14:textId="77777777" w:rsidR="001432C3" w:rsidRPr="008B2522" w:rsidRDefault="001432C3">
      <w:pPr>
        <w:pStyle w:val="a3"/>
        <w:spacing w:before="11"/>
        <w:rPr>
          <w:b/>
          <w:sz w:val="21"/>
        </w:rPr>
      </w:pPr>
    </w:p>
    <w:tbl>
      <w:tblPr>
        <w:tblW w:w="91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264"/>
        <w:gridCol w:w="2264"/>
        <w:gridCol w:w="2264"/>
      </w:tblGrid>
      <w:tr w:rsidR="001432C3" w:rsidRPr="008B2522" w14:paraId="6FF25C8F" w14:textId="77777777" w:rsidTr="00940317">
        <w:trPr>
          <w:trHeight w:hRule="exact" w:val="264"/>
        </w:trPr>
        <w:tc>
          <w:tcPr>
            <w:tcW w:w="2338" w:type="dxa"/>
            <w:vMerge w:val="restart"/>
          </w:tcPr>
          <w:p w14:paraId="7827A41B" w14:textId="77777777" w:rsidR="001432C3" w:rsidRPr="008B2522" w:rsidRDefault="000E2AE0" w:rsidP="00940317">
            <w:pPr>
              <w:pStyle w:val="TableParagraph"/>
              <w:spacing w:before="1"/>
              <w:ind w:leftChars="18" w:left="40" w:rightChars="18" w:right="40"/>
              <w:rPr>
                <w:b/>
              </w:rPr>
            </w:pPr>
            <w:r w:rsidRPr="008B2522">
              <w:rPr>
                <w:b/>
              </w:rPr>
              <w:t>Kategoria zmiany względem wartości początkowych</w:t>
            </w:r>
          </w:p>
        </w:tc>
        <w:tc>
          <w:tcPr>
            <w:tcW w:w="6792" w:type="dxa"/>
            <w:gridSpan w:val="3"/>
          </w:tcPr>
          <w:p w14:paraId="23CFA4CF" w14:textId="77777777" w:rsidR="001432C3" w:rsidRPr="008B2522" w:rsidRDefault="000E2AE0" w:rsidP="00940317">
            <w:pPr>
              <w:pStyle w:val="TableParagraph"/>
              <w:spacing w:before="1"/>
              <w:ind w:leftChars="18" w:left="40" w:rightChars="18" w:right="40"/>
              <w:jc w:val="center"/>
              <w:rPr>
                <w:b/>
              </w:rPr>
            </w:pPr>
            <w:r w:rsidRPr="008B2522">
              <w:rPr>
                <w:b/>
              </w:rPr>
              <w:t>Protokół S</w:t>
            </w:r>
          </w:p>
        </w:tc>
      </w:tr>
      <w:tr w:rsidR="001432C3" w:rsidRPr="008B2522" w14:paraId="76DA05BC" w14:textId="77777777" w:rsidTr="00940317">
        <w:trPr>
          <w:trHeight w:hRule="exact" w:val="769"/>
        </w:trPr>
        <w:tc>
          <w:tcPr>
            <w:tcW w:w="2338" w:type="dxa"/>
            <w:vMerge/>
          </w:tcPr>
          <w:p w14:paraId="3FD5BF1A" w14:textId="77777777" w:rsidR="001432C3" w:rsidRPr="008B2522" w:rsidRDefault="001432C3" w:rsidP="00940317">
            <w:pPr>
              <w:ind w:leftChars="18" w:left="40" w:rightChars="18" w:right="40"/>
            </w:pPr>
          </w:p>
        </w:tc>
        <w:tc>
          <w:tcPr>
            <w:tcW w:w="2264" w:type="dxa"/>
          </w:tcPr>
          <w:p w14:paraId="06112AAE" w14:textId="77777777" w:rsidR="001432C3" w:rsidRPr="008B2522" w:rsidRDefault="000E2AE0" w:rsidP="00940317">
            <w:pPr>
              <w:pStyle w:val="TableParagraph"/>
              <w:ind w:leftChars="18" w:left="40" w:rightChars="18" w:right="40"/>
              <w:jc w:val="center"/>
              <w:rPr>
                <w:b/>
              </w:rPr>
            </w:pPr>
            <w:r w:rsidRPr="008B2522">
              <w:rPr>
                <w:b/>
              </w:rPr>
              <w:t>Ranibizumab 0,5</w:t>
            </w:r>
            <w:r w:rsidR="00257CD6">
              <w:rPr>
                <w:b/>
              </w:rPr>
              <w:t> mg</w:t>
            </w:r>
            <w:r w:rsidRPr="008B2522">
              <w:rPr>
                <w:b/>
              </w:rPr>
              <w:t xml:space="preserve"> (N=189)</w:t>
            </w:r>
          </w:p>
        </w:tc>
        <w:tc>
          <w:tcPr>
            <w:tcW w:w="2264" w:type="dxa"/>
          </w:tcPr>
          <w:p w14:paraId="5B9F0DB5" w14:textId="77777777" w:rsidR="001432C3" w:rsidRPr="008B2522" w:rsidRDefault="000E2AE0" w:rsidP="00940317">
            <w:pPr>
              <w:pStyle w:val="TableParagraph"/>
              <w:ind w:leftChars="18" w:left="40" w:rightChars="18" w:right="40" w:firstLine="1"/>
              <w:jc w:val="center"/>
              <w:rPr>
                <w:b/>
              </w:rPr>
            </w:pPr>
            <w:r w:rsidRPr="008B2522">
              <w:rPr>
                <w:b/>
              </w:rPr>
              <w:t>PRP (N=199)</w:t>
            </w:r>
          </w:p>
        </w:tc>
        <w:tc>
          <w:tcPr>
            <w:tcW w:w="2264" w:type="dxa"/>
          </w:tcPr>
          <w:p w14:paraId="7FDDB0F1" w14:textId="77777777" w:rsidR="001432C3" w:rsidRPr="008B2522" w:rsidRDefault="000E2AE0" w:rsidP="00940317">
            <w:pPr>
              <w:pStyle w:val="TableParagraph"/>
              <w:ind w:leftChars="18" w:left="562" w:rightChars="18" w:right="40" w:hanging="522"/>
              <w:rPr>
                <w:b/>
              </w:rPr>
            </w:pPr>
            <w:r w:rsidRPr="008B2522">
              <w:rPr>
                <w:b/>
              </w:rPr>
              <w:t>Różnica w odsetku (%), CI</w:t>
            </w:r>
          </w:p>
        </w:tc>
      </w:tr>
      <w:tr w:rsidR="001432C3" w:rsidRPr="008B2522" w14:paraId="13C19430" w14:textId="77777777" w:rsidTr="00940317">
        <w:trPr>
          <w:trHeight w:hRule="exact" w:val="264"/>
        </w:trPr>
        <w:tc>
          <w:tcPr>
            <w:tcW w:w="9130" w:type="dxa"/>
            <w:gridSpan w:val="4"/>
          </w:tcPr>
          <w:p w14:paraId="251AE4A0" w14:textId="77777777" w:rsidR="001432C3" w:rsidRPr="008B2522" w:rsidRDefault="000E2AE0" w:rsidP="00940317">
            <w:pPr>
              <w:pStyle w:val="TableParagraph"/>
              <w:spacing w:line="249" w:lineRule="exact"/>
              <w:ind w:leftChars="18" w:left="40" w:rightChars="18" w:right="40"/>
            </w:pPr>
            <w:r w:rsidRPr="008B2522">
              <w:t>≥2-stopniowa poprawa</w:t>
            </w:r>
          </w:p>
        </w:tc>
      </w:tr>
      <w:tr w:rsidR="001432C3" w:rsidRPr="008B2522" w14:paraId="4B2CA7EB" w14:textId="77777777" w:rsidTr="00940317">
        <w:trPr>
          <w:trHeight w:hRule="exact" w:val="516"/>
        </w:trPr>
        <w:tc>
          <w:tcPr>
            <w:tcW w:w="2338" w:type="dxa"/>
          </w:tcPr>
          <w:p w14:paraId="045EA28C" w14:textId="77777777" w:rsidR="001432C3" w:rsidRPr="008B2522" w:rsidRDefault="000E2AE0" w:rsidP="00940317">
            <w:pPr>
              <w:pStyle w:val="TableParagraph"/>
              <w:spacing w:line="247" w:lineRule="exact"/>
              <w:ind w:leftChars="18" w:left="40" w:rightChars="18" w:right="40"/>
            </w:pPr>
            <w:r w:rsidRPr="008B2522">
              <w:t>n (%)</w:t>
            </w:r>
          </w:p>
        </w:tc>
        <w:tc>
          <w:tcPr>
            <w:tcW w:w="2264" w:type="dxa"/>
          </w:tcPr>
          <w:p w14:paraId="3D8E95AC" w14:textId="77777777" w:rsidR="001432C3" w:rsidRPr="008B2522" w:rsidRDefault="000E2AE0" w:rsidP="00940317">
            <w:pPr>
              <w:pStyle w:val="TableParagraph"/>
              <w:spacing w:line="247" w:lineRule="exact"/>
              <w:ind w:leftChars="18" w:left="40" w:rightChars="18" w:right="40"/>
              <w:jc w:val="center"/>
            </w:pPr>
            <w:r w:rsidRPr="008B2522">
              <w:t>79</w:t>
            </w:r>
          </w:p>
          <w:p w14:paraId="2210C5E5" w14:textId="77777777" w:rsidR="001432C3" w:rsidRPr="008B2522" w:rsidRDefault="000E2AE0" w:rsidP="00940317">
            <w:pPr>
              <w:pStyle w:val="TableParagraph"/>
              <w:spacing w:before="1"/>
              <w:ind w:leftChars="18" w:left="40" w:rightChars="18" w:right="40"/>
              <w:jc w:val="center"/>
            </w:pPr>
            <w:r w:rsidRPr="008B2522">
              <w:t>(41,8%)</w:t>
            </w:r>
          </w:p>
        </w:tc>
        <w:tc>
          <w:tcPr>
            <w:tcW w:w="2264" w:type="dxa"/>
          </w:tcPr>
          <w:p w14:paraId="7884B6EF" w14:textId="77777777" w:rsidR="001432C3" w:rsidRPr="008B2522" w:rsidRDefault="000E2AE0" w:rsidP="00940317">
            <w:pPr>
              <w:pStyle w:val="TableParagraph"/>
              <w:spacing w:line="247" w:lineRule="exact"/>
              <w:ind w:leftChars="18" w:left="40" w:rightChars="18" w:right="40"/>
              <w:jc w:val="center"/>
            </w:pPr>
            <w:r w:rsidRPr="008B2522">
              <w:t>29</w:t>
            </w:r>
          </w:p>
          <w:p w14:paraId="166AD960" w14:textId="77777777" w:rsidR="001432C3" w:rsidRPr="008B2522" w:rsidRDefault="000E2AE0" w:rsidP="00940317">
            <w:pPr>
              <w:pStyle w:val="TableParagraph"/>
              <w:spacing w:before="1"/>
              <w:ind w:leftChars="18" w:left="40" w:rightChars="18" w:right="40"/>
              <w:jc w:val="center"/>
            </w:pPr>
            <w:r w:rsidRPr="008B2522">
              <w:t>(14,6%)</w:t>
            </w:r>
          </w:p>
        </w:tc>
        <w:tc>
          <w:tcPr>
            <w:tcW w:w="2264" w:type="dxa"/>
          </w:tcPr>
          <w:p w14:paraId="1C21F6BE" w14:textId="77777777" w:rsidR="001432C3" w:rsidRPr="008B2522" w:rsidRDefault="000E2AE0" w:rsidP="00940317">
            <w:pPr>
              <w:pStyle w:val="TableParagraph"/>
              <w:spacing w:line="247" w:lineRule="exact"/>
              <w:ind w:leftChars="18" w:left="40" w:rightChars="18" w:right="40"/>
              <w:jc w:val="center"/>
            </w:pPr>
            <w:r w:rsidRPr="008B2522">
              <w:t>27,4</w:t>
            </w:r>
          </w:p>
          <w:p w14:paraId="5E0399B5" w14:textId="77777777" w:rsidR="001432C3" w:rsidRPr="008B2522" w:rsidRDefault="000E2AE0" w:rsidP="00940317">
            <w:pPr>
              <w:pStyle w:val="TableParagraph"/>
              <w:spacing w:before="1"/>
              <w:ind w:leftChars="18" w:left="40" w:rightChars="18" w:right="40"/>
              <w:jc w:val="center"/>
            </w:pPr>
            <w:r w:rsidRPr="008B2522">
              <w:t>(18,9; 35,9)</w:t>
            </w:r>
          </w:p>
        </w:tc>
      </w:tr>
      <w:tr w:rsidR="001432C3" w:rsidRPr="008B2522" w14:paraId="35768943" w14:textId="77777777" w:rsidTr="00940317">
        <w:trPr>
          <w:trHeight w:hRule="exact" w:val="262"/>
        </w:trPr>
        <w:tc>
          <w:tcPr>
            <w:tcW w:w="9130" w:type="dxa"/>
            <w:gridSpan w:val="4"/>
          </w:tcPr>
          <w:p w14:paraId="0B32C32F" w14:textId="77777777" w:rsidR="001432C3" w:rsidRPr="008B2522" w:rsidRDefault="000E2AE0" w:rsidP="00940317">
            <w:pPr>
              <w:pStyle w:val="TableParagraph"/>
              <w:spacing w:line="247" w:lineRule="exact"/>
              <w:ind w:leftChars="18" w:left="40" w:rightChars="18" w:right="40"/>
            </w:pPr>
            <w:r w:rsidRPr="008B2522">
              <w:t>≥3-stopniowa poprawa</w:t>
            </w:r>
          </w:p>
        </w:tc>
      </w:tr>
      <w:tr w:rsidR="001432C3" w:rsidRPr="008B2522" w14:paraId="6DDC7E1D" w14:textId="77777777" w:rsidTr="00940317">
        <w:trPr>
          <w:trHeight w:hRule="exact" w:val="516"/>
        </w:trPr>
        <w:tc>
          <w:tcPr>
            <w:tcW w:w="2338" w:type="dxa"/>
          </w:tcPr>
          <w:p w14:paraId="1F7CA91B" w14:textId="77777777" w:rsidR="001432C3" w:rsidRPr="008B2522" w:rsidRDefault="000E2AE0" w:rsidP="00940317">
            <w:pPr>
              <w:pStyle w:val="TableParagraph"/>
              <w:spacing w:line="249" w:lineRule="exact"/>
              <w:ind w:leftChars="18" w:left="40" w:rightChars="18" w:right="40"/>
            </w:pPr>
            <w:r w:rsidRPr="008B2522">
              <w:t>n (%)</w:t>
            </w:r>
          </w:p>
        </w:tc>
        <w:tc>
          <w:tcPr>
            <w:tcW w:w="2264" w:type="dxa"/>
          </w:tcPr>
          <w:p w14:paraId="0C703B84" w14:textId="77777777" w:rsidR="001432C3" w:rsidRPr="008B2522" w:rsidRDefault="000E2AE0" w:rsidP="00940317">
            <w:pPr>
              <w:pStyle w:val="TableParagraph"/>
              <w:spacing w:line="249" w:lineRule="exact"/>
              <w:ind w:leftChars="18" w:left="40" w:rightChars="18" w:right="40"/>
              <w:jc w:val="center"/>
            </w:pPr>
            <w:r w:rsidRPr="008B2522">
              <w:t>54</w:t>
            </w:r>
          </w:p>
          <w:p w14:paraId="48A7EE1A" w14:textId="77777777" w:rsidR="001432C3" w:rsidRPr="008B2522" w:rsidRDefault="000E2AE0" w:rsidP="00940317">
            <w:pPr>
              <w:pStyle w:val="TableParagraph"/>
              <w:spacing w:line="252" w:lineRule="exact"/>
              <w:ind w:leftChars="18" w:left="40" w:rightChars="18" w:right="40"/>
              <w:jc w:val="center"/>
            </w:pPr>
            <w:r w:rsidRPr="008B2522">
              <w:t>(28,6%)</w:t>
            </w:r>
          </w:p>
        </w:tc>
        <w:tc>
          <w:tcPr>
            <w:tcW w:w="2264" w:type="dxa"/>
          </w:tcPr>
          <w:p w14:paraId="6D66294B" w14:textId="77777777" w:rsidR="001432C3" w:rsidRPr="008B2522" w:rsidRDefault="000E2AE0" w:rsidP="00940317">
            <w:pPr>
              <w:pStyle w:val="TableParagraph"/>
              <w:spacing w:line="249" w:lineRule="exact"/>
              <w:ind w:leftChars="18" w:left="40" w:rightChars="18" w:right="40"/>
              <w:jc w:val="center"/>
            </w:pPr>
            <w:r w:rsidRPr="008B2522">
              <w:t>6</w:t>
            </w:r>
          </w:p>
          <w:p w14:paraId="034B17E3" w14:textId="77777777" w:rsidR="001432C3" w:rsidRPr="008B2522" w:rsidRDefault="000E2AE0" w:rsidP="00940317">
            <w:pPr>
              <w:pStyle w:val="TableParagraph"/>
              <w:spacing w:line="252" w:lineRule="exact"/>
              <w:ind w:leftChars="18" w:left="40" w:rightChars="18" w:right="40"/>
              <w:jc w:val="center"/>
            </w:pPr>
            <w:r w:rsidRPr="008B2522">
              <w:t>(3,0%)</w:t>
            </w:r>
          </w:p>
        </w:tc>
        <w:tc>
          <w:tcPr>
            <w:tcW w:w="2264" w:type="dxa"/>
          </w:tcPr>
          <w:p w14:paraId="72E019D5" w14:textId="77777777" w:rsidR="001432C3" w:rsidRPr="008B2522" w:rsidRDefault="000E2AE0" w:rsidP="00940317">
            <w:pPr>
              <w:pStyle w:val="TableParagraph"/>
              <w:spacing w:line="249" w:lineRule="exact"/>
              <w:ind w:leftChars="18" w:left="40" w:rightChars="18" w:right="40"/>
              <w:jc w:val="center"/>
            </w:pPr>
            <w:r w:rsidRPr="008B2522">
              <w:t>25,7</w:t>
            </w:r>
          </w:p>
          <w:p w14:paraId="1A4BED54" w14:textId="77777777" w:rsidR="001432C3" w:rsidRPr="008B2522" w:rsidRDefault="000E2AE0" w:rsidP="00940317">
            <w:pPr>
              <w:pStyle w:val="TableParagraph"/>
              <w:spacing w:line="252" w:lineRule="exact"/>
              <w:ind w:leftChars="18" w:left="40" w:rightChars="18" w:right="40"/>
              <w:jc w:val="center"/>
            </w:pPr>
            <w:r w:rsidRPr="008B2522">
              <w:t>(18,9; 32,6)</w:t>
            </w:r>
          </w:p>
        </w:tc>
      </w:tr>
      <w:tr w:rsidR="001432C3" w:rsidRPr="008B2522" w14:paraId="0E0788BA" w14:textId="77777777" w:rsidTr="00940317">
        <w:trPr>
          <w:trHeight w:hRule="exact" w:val="264"/>
        </w:trPr>
        <w:tc>
          <w:tcPr>
            <w:tcW w:w="9130" w:type="dxa"/>
            <w:gridSpan w:val="4"/>
          </w:tcPr>
          <w:p w14:paraId="3EDF0D21" w14:textId="77777777" w:rsidR="001432C3" w:rsidRPr="008B2522" w:rsidRDefault="000E2AE0" w:rsidP="00940317">
            <w:pPr>
              <w:pStyle w:val="TableParagraph"/>
              <w:spacing w:line="249" w:lineRule="exact"/>
              <w:ind w:leftChars="18" w:left="40" w:rightChars="18" w:right="40"/>
            </w:pPr>
            <w:r w:rsidRPr="008B2522">
              <w:t>≥2-stopniowe pogorszenie</w:t>
            </w:r>
          </w:p>
        </w:tc>
      </w:tr>
      <w:tr w:rsidR="001432C3" w:rsidRPr="008B2522" w14:paraId="656ADB3D" w14:textId="77777777" w:rsidTr="00940317">
        <w:trPr>
          <w:trHeight w:hRule="exact" w:val="516"/>
        </w:trPr>
        <w:tc>
          <w:tcPr>
            <w:tcW w:w="2338" w:type="dxa"/>
          </w:tcPr>
          <w:p w14:paraId="521503F6" w14:textId="77777777" w:rsidR="001432C3" w:rsidRPr="008B2522" w:rsidRDefault="000E2AE0" w:rsidP="00940317">
            <w:pPr>
              <w:pStyle w:val="TableParagraph"/>
              <w:spacing w:line="247" w:lineRule="exact"/>
              <w:ind w:leftChars="18" w:left="40" w:rightChars="18" w:right="40"/>
            </w:pPr>
            <w:r w:rsidRPr="008B2522">
              <w:t>n (%)</w:t>
            </w:r>
          </w:p>
        </w:tc>
        <w:tc>
          <w:tcPr>
            <w:tcW w:w="2264" w:type="dxa"/>
          </w:tcPr>
          <w:p w14:paraId="0B45DDA5" w14:textId="77777777" w:rsidR="001432C3" w:rsidRPr="008B2522" w:rsidRDefault="000E2AE0" w:rsidP="00940317">
            <w:pPr>
              <w:pStyle w:val="TableParagraph"/>
              <w:spacing w:line="247" w:lineRule="exact"/>
              <w:ind w:leftChars="18" w:left="40" w:rightChars="18" w:right="40"/>
              <w:jc w:val="center"/>
            </w:pPr>
            <w:r w:rsidRPr="008B2522">
              <w:t>3</w:t>
            </w:r>
          </w:p>
          <w:p w14:paraId="1254BE4A" w14:textId="77777777" w:rsidR="001432C3" w:rsidRPr="008B2522" w:rsidRDefault="000E2AE0" w:rsidP="00940317">
            <w:pPr>
              <w:pStyle w:val="TableParagraph"/>
              <w:spacing w:before="1"/>
              <w:ind w:leftChars="18" w:left="40" w:rightChars="18" w:right="40"/>
              <w:jc w:val="center"/>
            </w:pPr>
            <w:r w:rsidRPr="008B2522">
              <w:t>(1,6%)</w:t>
            </w:r>
          </w:p>
        </w:tc>
        <w:tc>
          <w:tcPr>
            <w:tcW w:w="2264" w:type="dxa"/>
          </w:tcPr>
          <w:p w14:paraId="5814CAF6" w14:textId="77777777" w:rsidR="001432C3" w:rsidRPr="008B2522" w:rsidRDefault="000E2AE0" w:rsidP="00940317">
            <w:pPr>
              <w:pStyle w:val="TableParagraph"/>
              <w:spacing w:line="247" w:lineRule="exact"/>
              <w:ind w:leftChars="18" w:left="40" w:rightChars="18" w:right="40"/>
              <w:jc w:val="center"/>
            </w:pPr>
            <w:r w:rsidRPr="008B2522">
              <w:t>23</w:t>
            </w:r>
          </w:p>
          <w:p w14:paraId="30BB3468" w14:textId="77777777" w:rsidR="001432C3" w:rsidRPr="008B2522" w:rsidRDefault="000E2AE0" w:rsidP="00940317">
            <w:pPr>
              <w:pStyle w:val="TableParagraph"/>
              <w:spacing w:before="1"/>
              <w:ind w:leftChars="18" w:left="40" w:rightChars="18" w:right="40"/>
              <w:jc w:val="center"/>
            </w:pPr>
            <w:r w:rsidRPr="008B2522">
              <w:t>(11,6%)</w:t>
            </w:r>
          </w:p>
        </w:tc>
        <w:tc>
          <w:tcPr>
            <w:tcW w:w="2264" w:type="dxa"/>
          </w:tcPr>
          <w:p w14:paraId="18D648FC" w14:textId="77777777" w:rsidR="001432C3" w:rsidRPr="008B2522" w:rsidRDefault="000E2AE0" w:rsidP="00940317">
            <w:pPr>
              <w:pStyle w:val="TableParagraph"/>
              <w:spacing w:line="247" w:lineRule="exact"/>
              <w:ind w:leftChars="18" w:left="40" w:rightChars="18" w:right="40"/>
              <w:jc w:val="center"/>
            </w:pPr>
            <w:r w:rsidRPr="008B2522">
              <w:t>-9,9</w:t>
            </w:r>
          </w:p>
          <w:p w14:paraId="6FBA9ECC" w14:textId="77777777" w:rsidR="001432C3" w:rsidRPr="008B2522" w:rsidRDefault="000E2AE0" w:rsidP="00940317">
            <w:pPr>
              <w:pStyle w:val="TableParagraph"/>
              <w:spacing w:before="1"/>
              <w:ind w:leftChars="18" w:left="40" w:rightChars="18" w:right="40"/>
              <w:jc w:val="center"/>
            </w:pPr>
            <w:r w:rsidRPr="008B2522">
              <w:t>(-14,7; -5,2)</w:t>
            </w:r>
          </w:p>
        </w:tc>
      </w:tr>
      <w:tr w:rsidR="001432C3" w:rsidRPr="008B2522" w14:paraId="211EF5FB" w14:textId="77777777" w:rsidTr="00940317">
        <w:trPr>
          <w:trHeight w:hRule="exact" w:val="264"/>
        </w:trPr>
        <w:tc>
          <w:tcPr>
            <w:tcW w:w="9130" w:type="dxa"/>
            <w:gridSpan w:val="4"/>
          </w:tcPr>
          <w:p w14:paraId="4F6998FD" w14:textId="77777777" w:rsidR="001432C3" w:rsidRPr="008B2522" w:rsidRDefault="000E2AE0" w:rsidP="00940317">
            <w:pPr>
              <w:pStyle w:val="TableParagraph"/>
              <w:spacing w:line="247" w:lineRule="exact"/>
              <w:ind w:leftChars="18" w:left="40" w:rightChars="18" w:right="40"/>
            </w:pPr>
            <w:r w:rsidRPr="008B2522">
              <w:t>≥3-stopniowe pogorszenie</w:t>
            </w:r>
          </w:p>
        </w:tc>
      </w:tr>
      <w:tr w:rsidR="001432C3" w:rsidRPr="008B2522" w14:paraId="470663A2" w14:textId="77777777" w:rsidTr="00940317">
        <w:trPr>
          <w:trHeight w:hRule="exact" w:val="516"/>
        </w:trPr>
        <w:tc>
          <w:tcPr>
            <w:tcW w:w="2338" w:type="dxa"/>
          </w:tcPr>
          <w:p w14:paraId="3BCF7061" w14:textId="77777777" w:rsidR="001432C3" w:rsidRPr="008B2522" w:rsidRDefault="000E2AE0" w:rsidP="00940317">
            <w:pPr>
              <w:pStyle w:val="TableParagraph"/>
              <w:spacing w:line="247" w:lineRule="exact"/>
              <w:ind w:leftChars="18" w:left="40" w:rightChars="18" w:right="40"/>
            </w:pPr>
            <w:r w:rsidRPr="008B2522">
              <w:t>n (%)</w:t>
            </w:r>
          </w:p>
        </w:tc>
        <w:tc>
          <w:tcPr>
            <w:tcW w:w="2264" w:type="dxa"/>
          </w:tcPr>
          <w:p w14:paraId="20171D0C" w14:textId="77777777" w:rsidR="001432C3" w:rsidRPr="008B2522" w:rsidRDefault="000E2AE0" w:rsidP="00940317">
            <w:pPr>
              <w:pStyle w:val="TableParagraph"/>
              <w:spacing w:line="246" w:lineRule="exact"/>
              <w:ind w:leftChars="18" w:left="40" w:rightChars="18" w:right="40"/>
              <w:jc w:val="center"/>
            </w:pPr>
            <w:r w:rsidRPr="008B2522">
              <w:t>1</w:t>
            </w:r>
          </w:p>
          <w:p w14:paraId="31C206BD" w14:textId="77777777" w:rsidR="001432C3" w:rsidRPr="008B2522" w:rsidRDefault="000E2AE0" w:rsidP="00940317">
            <w:pPr>
              <w:pStyle w:val="TableParagraph"/>
              <w:spacing w:line="253" w:lineRule="exact"/>
              <w:ind w:leftChars="18" w:left="40" w:rightChars="18" w:right="40"/>
              <w:jc w:val="center"/>
            </w:pPr>
            <w:r w:rsidRPr="008B2522">
              <w:t>(0,5%)</w:t>
            </w:r>
          </w:p>
        </w:tc>
        <w:tc>
          <w:tcPr>
            <w:tcW w:w="2264" w:type="dxa"/>
          </w:tcPr>
          <w:p w14:paraId="7B894F08" w14:textId="77777777" w:rsidR="001432C3" w:rsidRPr="008B2522" w:rsidRDefault="000E2AE0" w:rsidP="00940317">
            <w:pPr>
              <w:pStyle w:val="TableParagraph"/>
              <w:spacing w:line="246" w:lineRule="exact"/>
              <w:ind w:leftChars="18" w:left="40" w:rightChars="18" w:right="40"/>
              <w:jc w:val="center"/>
            </w:pPr>
            <w:r w:rsidRPr="008B2522">
              <w:t>8</w:t>
            </w:r>
          </w:p>
          <w:p w14:paraId="5DA9E5F5" w14:textId="77777777" w:rsidR="001432C3" w:rsidRPr="008B2522" w:rsidRDefault="000E2AE0" w:rsidP="00940317">
            <w:pPr>
              <w:pStyle w:val="TableParagraph"/>
              <w:spacing w:line="253" w:lineRule="exact"/>
              <w:ind w:leftChars="18" w:left="40" w:rightChars="18" w:right="40"/>
              <w:jc w:val="center"/>
            </w:pPr>
            <w:r w:rsidRPr="008B2522">
              <w:t>(4,0%)</w:t>
            </w:r>
          </w:p>
        </w:tc>
        <w:tc>
          <w:tcPr>
            <w:tcW w:w="2264" w:type="dxa"/>
          </w:tcPr>
          <w:p w14:paraId="59E7D22D" w14:textId="77777777" w:rsidR="001432C3" w:rsidRPr="008B2522" w:rsidRDefault="000E2AE0" w:rsidP="00940317">
            <w:pPr>
              <w:pStyle w:val="TableParagraph"/>
              <w:spacing w:line="246" w:lineRule="exact"/>
              <w:ind w:leftChars="18" w:left="40" w:rightChars="18" w:right="40"/>
              <w:jc w:val="center"/>
            </w:pPr>
            <w:r w:rsidRPr="008B2522">
              <w:t>-3,4</w:t>
            </w:r>
          </w:p>
          <w:p w14:paraId="2D76F0F3" w14:textId="77777777" w:rsidR="001432C3" w:rsidRPr="008B2522" w:rsidRDefault="000E2AE0" w:rsidP="00940317">
            <w:pPr>
              <w:pStyle w:val="TableParagraph"/>
              <w:spacing w:line="253" w:lineRule="exact"/>
              <w:ind w:leftChars="18" w:left="40" w:rightChars="18" w:right="40"/>
              <w:jc w:val="center"/>
            </w:pPr>
            <w:r w:rsidRPr="008B2522">
              <w:t>(-6,3; -0,5)</w:t>
            </w:r>
          </w:p>
        </w:tc>
      </w:tr>
      <w:tr w:rsidR="001432C3" w:rsidRPr="004A2080" w14:paraId="517EDE7B" w14:textId="77777777" w:rsidTr="00940317">
        <w:trPr>
          <w:trHeight w:hRule="exact" w:val="516"/>
        </w:trPr>
        <w:tc>
          <w:tcPr>
            <w:tcW w:w="9130" w:type="dxa"/>
            <w:gridSpan w:val="4"/>
          </w:tcPr>
          <w:p w14:paraId="5B291105" w14:textId="77777777" w:rsidR="001432C3" w:rsidRPr="008B2522" w:rsidRDefault="000E2AE0" w:rsidP="00940317">
            <w:pPr>
              <w:pStyle w:val="TableParagraph"/>
              <w:ind w:leftChars="18" w:left="72" w:rightChars="18" w:right="40" w:hanging="32"/>
            </w:pPr>
            <w:r w:rsidRPr="008B2522">
              <w:t>DRSS = skala nasilenia retinopatii cukrzycowej, n = liczba pacjentów spełniających warunek podczas wizyty, N = całkowita liczba oczu badanych.</w:t>
            </w:r>
          </w:p>
        </w:tc>
      </w:tr>
    </w:tbl>
    <w:p w14:paraId="0B2A0395" w14:textId="77777777" w:rsidR="001432C3" w:rsidRPr="008B2522" w:rsidRDefault="001432C3">
      <w:pPr>
        <w:pStyle w:val="a3"/>
        <w:spacing w:before="4"/>
        <w:rPr>
          <w:b/>
          <w:sz w:val="21"/>
        </w:rPr>
      </w:pPr>
    </w:p>
    <w:p w14:paraId="65D81802" w14:textId="77777777" w:rsidR="001432C3" w:rsidRPr="008B2522" w:rsidRDefault="000E2AE0" w:rsidP="00E0574D">
      <w:pPr>
        <w:pStyle w:val="a3"/>
        <w:ind w:leftChars="64" w:left="141" w:right="96"/>
      </w:pPr>
      <w:r w:rsidRPr="008B2522">
        <w:t>Po upływie 1 roku w grupie leczonej ranibizumabem w badaniu Protokół S ≥2-stopniowa poprawa w skali DRSS była spójna z wynikami uzyskanymi dla oczu bez DME (39,9%) i z wyjściową DME (48,8%).</w:t>
      </w:r>
    </w:p>
    <w:p w14:paraId="2E1DFD5D" w14:textId="77777777" w:rsidR="001432C3" w:rsidRPr="008B2522" w:rsidRDefault="001432C3" w:rsidP="00E0574D">
      <w:pPr>
        <w:pStyle w:val="a3"/>
        <w:ind w:leftChars="64" w:left="141" w:right="96"/>
      </w:pPr>
    </w:p>
    <w:p w14:paraId="4F8D9D32" w14:textId="77777777" w:rsidR="001432C3" w:rsidRPr="008B2522" w:rsidRDefault="000E2AE0" w:rsidP="00E0574D">
      <w:pPr>
        <w:pStyle w:val="a3"/>
        <w:ind w:leftChars="64" w:left="141" w:right="96"/>
      </w:pPr>
      <w:r w:rsidRPr="008B2522">
        <w:t>Analiza danych z badania Protokół S po 2 latach wykazała, że u 42,3% (n=80) oczu w grupie leczonej ranibizumabem wystąpiła ≥2-stopniowa poprawa w skali DRSS względem wartości początkowej w porównaniu z 23,1% (n=46) oczu z grupy otrzymującej PRP. W grupie leczonej ranibizumabem obserwowano ≥2-stopniową poprawę w skali DRSS względem stanu wyjściowego w 58,5% (n=24) oczu z wyjściową DME i w 37,8% (n=56) oczu bez DME.</w:t>
      </w:r>
    </w:p>
    <w:p w14:paraId="06D45ACA" w14:textId="77777777" w:rsidR="001432C3" w:rsidRPr="008B2522" w:rsidRDefault="001432C3" w:rsidP="00E0574D">
      <w:pPr>
        <w:pStyle w:val="a3"/>
        <w:ind w:leftChars="64" w:left="141" w:right="96"/>
      </w:pPr>
    </w:p>
    <w:p w14:paraId="1BAB9FC6" w14:textId="77777777" w:rsidR="001432C3" w:rsidRPr="008B2522" w:rsidRDefault="000E2AE0" w:rsidP="00E0574D">
      <w:pPr>
        <w:pStyle w:val="a3"/>
        <w:spacing w:before="1"/>
        <w:ind w:leftChars="64" w:left="141" w:right="96"/>
      </w:pPr>
      <w:r w:rsidRPr="008B2522">
        <w:t xml:space="preserve">Wynik w skali zaawansowania retinopatii cukrzycowej (DRSS, ang. </w:t>
      </w:r>
      <w:r w:rsidRPr="008B2522">
        <w:rPr>
          <w:i/>
        </w:rPr>
        <w:t>diabetic retinopathy severity score</w:t>
      </w:r>
      <w:r w:rsidRPr="008B2522">
        <w:t>) oceniano także w trzech oddzielnych kontrolowanych badaniach III fazy z udziałem pacjentów z cukrzycowym obrzękiem plamki (ranibizumab 0,5</w:t>
      </w:r>
      <w:r w:rsidR="00257CD6">
        <w:t> mg</w:t>
      </w:r>
      <w:r w:rsidRPr="008B2522">
        <w:t xml:space="preserve"> podawany w razie potrzeby w porównaniu z laseroterapią), w których uczestniczyło łącznie 875 pacjentów, z których około 75% było pochodzenia azjatyckiego. Meta-analiza tych badań wykazała, że u 48,4% z 315 pacjentów ze stopniowalnymi wynikami DRSS w podgrupie pacjentów z nieproliferacyjną retinopatią cukrzycową (NPDR, ang.</w:t>
      </w:r>
      <w:r w:rsidR="000F5294">
        <w:rPr>
          <w:i/>
        </w:rPr>
        <w:t xml:space="preserve"> </w:t>
      </w:r>
      <w:r w:rsidRPr="008B2522">
        <w:rPr>
          <w:i/>
        </w:rPr>
        <w:t>non-proliferative diabetic retinopathy</w:t>
      </w:r>
      <w:r w:rsidRPr="008B2522">
        <w:t xml:space="preserve">) w stopniu umiarkowanie ciężkim lub gorszym przed rozpoczęciem leczenia wystąpiła ≥2-stopniowa poprawa DRSS w </w:t>
      </w:r>
      <w:r w:rsidR="000A6183" w:rsidRPr="008B2522">
        <w:t>miesiącu</w:t>
      </w:r>
      <w:r w:rsidR="000A6183">
        <w:t> </w:t>
      </w:r>
      <w:r w:rsidRPr="008B2522">
        <w:t>12 w przypadku leczenia ranibizumabem (n=192) w porównaniu z 14,6% pacjentów poddanych laseroterapii (n=123).</w:t>
      </w:r>
    </w:p>
    <w:p w14:paraId="221D1EBC" w14:textId="77777777" w:rsidR="001432C3" w:rsidRPr="008B2522" w:rsidRDefault="000E2AE0" w:rsidP="00E0574D">
      <w:pPr>
        <w:pStyle w:val="a3"/>
        <w:spacing w:before="1"/>
        <w:ind w:leftChars="64" w:left="141" w:right="96"/>
      </w:pPr>
      <w:r w:rsidRPr="008B2522">
        <w:t xml:space="preserve">Szacunkowa różnica pomiędzy ranibizumabem a laseroterapią wyniosła 29,9% (95% CI: [20,0; 39,7]. W grupie </w:t>
      </w:r>
      <w:r w:rsidR="000A6183" w:rsidRPr="008B2522">
        <w:t>405</w:t>
      </w:r>
      <w:r w:rsidR="000A6183">
        <w:t> </w:t>
      </w:r>
      <w:r w:rsidRPr="008B2522">
        <w:t>pacjentów ze stopniowalnymi wynikami DRSS, z NPDR o nasileniu umiarkowanym lub mniejszym, ≥2-stopniową poprawę DRSS obserwowano u 1,4% i 0,9% pacjentów odpowiednio w grupie ranibizumabu i laseroterapii.</w:t>
      </w:r>
    </w:p>
    <w:p w14:paraId="5230E7CA" w14:textId="77777777" w:rsidR="000A6183" w:rsidRDefault="000A6183" w:rsidP="00E0574D">
      <w:pPr>
        <w:spacing w:before="68"/>
        <w:ind w:leftChars="64" w:left="141"/>
        <w:rPr>
          <w:i/>
          <w:u w:val="single"/>
        </w:rPr>
      </w:pPr>
    </w:p>
    <w:p w14:paraId="393913E3" w14:textId="77777777" w:rsidR="001432C3" w:rsidRPr="008B2522" w:rsidRDefault="000E2AE0" w:rsidP="000F168C">
      <w:pPr>
        <w:keepNext/>
        <w:keepLines/>
        <w:widowControl/>
        <w:spacing w:before="68"/>
        <w:ind w:leftChars="64" w:left="141"/>
        <w:rPr>
          <w:i/>
        </w:rPr>
      </w:pPr>
      <w:r w:rsidRPr="008B2522">
        <w:rPr>
          <w:i/>
          <w:u w:val="single"/>
        </w:rPr>
        <w:lastRenderedPageBreak/>
        <w:t>Leczenie zaburzeń widzenia spowodowanych obrzękiem plamki wtórnym do RVO</w:t>
      </w:r>
    </w:p>
    <w:p w14:paraId="5DBCCDB2" w14:textId="77777777" w:rsidR="001432C3" w:rsidRPr="008B2522" w:rsidRDefault="000E2AE0" w:rsidP="000F168C">
      <w:pPr>
        <w:pStyle w:val="a3"/>
        <w:keepNext/>
        <w:keepLines/>
        <w:widowControl/>
        <w:spacing w:before="1"/>
        <w:ind w:leftChars="64" w:left="141" w:right="204"/>
      </w:pPr>
      <w:r w:rsidRPr="008B2522">
        <w:t xml:space="preserve">Bezpieczeństwo stosowania i skuteczność </w:t>
      </w:r>
      <w:r w:rsidR="00135836">
        <w:t xml:space="preserve">ranibizumabu </w:t>
      </w:r>
      <w:r w:rsidRPr="008B2522">
        <w:t>u pacjentów z zaburzeniami widzenia, spowodowanymi obrzękiem plamki wtórnym do RVO oceniano w randomizowanych, podwójnie maskowanych, kontrolowanych badaniach BRAVO i CRUISE, do których włączano odpowiednio pacjentów z BRVO (n=397) oraz CRVO (n=392). W obu badaniach pacjenci otrzymywali ranibizumab w dawce 0,3</w:t>
      </w:r>
      <w:r w:rsidR="00257CD6">
        <w:t> mg</w:t>
      </w:r>
      <w:r w:rsidRPr="008B2522">
        <w:t xml:space="preserve"> lub 0,5</w:t>
      </w:r>
      <w:r w:rsidR="00257CD6">
        <w:t> mg</w:t>
      </w:r>
      <w:r w:rsidRPr="008B2522">
        <w:t>, lub wstrzyknięcia pozorowane. Po</w:t>
      </w:r>
      <w:r w:rsidR="000A6183">
        <w:t xml:space="preserve"> </w:t>
      </w:r>
      <w:r w:rsidRPr="008B2522">
        <w:t>6 miesiącach pacjenci z ramienia wstrzyknięć pozorowanych przechodzili do grupy otrzymującej ranibizumab w dawce 0,5</w:t>
      </w:r>
      <w:r w:rsidR="00257CD6">
        <w:t> mg</w:t>
      </w:r>
      <w:r w:rsidRPr="008B2522">
        <w:t>.</w:t>
      </w:r>
    </w:p>
    <w:p w14:paraId="2F2C0486" w14:textId="77777777" w:rsidR="001432C3" w:rsidRPr="008B2522" w:rsidRDefault="001432C3" w:rsidP="00E0574D">
      <w:pPr>
        <w:pStyle w:val="a3"/>
        <w:spacing w:before="1"/>
        <w:ind w:leftChars="64" w:left="141"/>
      </w:pPr>
    </w:p>
    <w:p w14:paraId="46B660DF" w14:textId="77777777" w:rsidR="001432C3" w:rsidRPr="008B2522" w:rsidRDefault="000E2AE0" w:rsidP="00E0574D">
      <w:pPr>
        <w:pStyle w:val="a3"/>
        <w:ind w:leftChars="64" w:left="141"/>
      </w:pPr>
      <w:r w:rsidRPr="008B2522">
        <w:t xml:space="preserve">Kluczowe wyniki z badań BRAVO i CRUISE przedstawiono w </w:t>
      </w:r>
      <w:r w:rsidR="000A6183" w:rsidRPr="008B2522">
        <w:t>Tabeli</w:t>
      </w:r>
      <w:r w:rsidR="000A6183">
        <w:t> </w:t>
      </w:r>
      <w:r w:rsidRPr="008B2522">
        <w:t xml:space="preserve">8 oraz na </w:t>
      </w:r>
      <w:r w:rsidR="000A6183" w:rsidRPr="008B2522">
        <w:t>Rycinach</w:t>
      </w:r>
      <w:r w:rsidR="000A6183">
        <w:t> </w:t>
      </w:r>
      <w:r w:rsidRPr="008B2522">
        <w:t>5 i 6.</w:t>
      </w:r>
    </w:p>
    <w:p w14:paraId="5DAF1CD5" w14:textId="77777777" w:rsidR="001432C3" w:rsidRPr="008B2522" w:rsidRDefault="001432C3" w:rsidP="00E0574D">
      <w:pPr>
        <w:pStyle w:val="a3"/>
        <w:spacing w:before="4"/>
        <w:ind w:leftChars="64" w:left="141"/>
      </w:pPr>
    </w:p>
    <w:p w14:paraId="21F1FEB5" w14:textId="77777777" w:rsidR="001432C3" w:rsidRPr="004A2080" w:rsidRDefault="000A6183" w:rsidP="00E0574D">
      <w:pPr>
        <w:pStyle w:val="1"/>
        <w:tabs>
          <w:tab w:val="left" w:pos="1251"/>
        </w:tabs>
        <w:ind w:leftChars="64" w:left="1415" w:hangingChars="590" w:hanging="1274"/>
      </w:pPr>
      <w:r w:rsidRPr="004A2080">
        <w:t>Tabela </w:t>
      </w:r>
      <w:r w:rsidR="000E2AE0" w:rsidRPr="004A2080">
        <w:t>8</w:t>
      </w:r>
      <w:r w:rsidR="000E2AE0" w:rsidRPr="004A2080">
        <w:tab/>
        <w:t>Wyniki po 6 i 12 miesiącach (BRAVO i CRUISE)</w:t>
      </w:r>
    </w:p>
    <w:p w14:paraId="5BC52BBC" w14:textId="77777777" w:rsidR="001432C3" w:rsidRPr="008B2522" w:rsidRDefault="001432C3">
      <w:pPr>
        <w:pStyle w:val="a3"/>
        <w:spacing w:before="1"/>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961"/>
        <w:gridCol w:w="1522"/>
        <w:gridCol w:w="1798"/>
        <w:gridCol w:w="1349"/>
      </w:tblGrid>
      <w:tr w:rsidR="001432C3" w:rsidRPr="008B2522" w14:paraId="0B747103" w14:textId="77777777">
        <w:trPr>
          <w:trHeight w:hRule="exact" w:val="262"/>
        </w:trPr>
        <w:tc>
          <w:tcPr>
            <w:tcW w:w="2432" w:type="dxa"/>
          </w:tcPr>
          <w:p w14:paraId="362BBE2A" w14:textId="77777777" w:rsidR="001432C3" w:rsidRPr="008B2522" w:rsidRDefault="001432C3"/>
        </w:tc>
        <w:tc>
          <w:tcPr>
            <w:tcW w:w="3483" w:type="dxa"/>
            <w:gridSpan w:val="2"/>
          </w:tcPr>
          <w:p w14:paraId="472B1631" w14:textId="77777777" w:rsidR="001432C3" w:rsidRPr="008B2522" w:rsidRDefault="000E2AE0">
            <w:pPr>
              <w:pStyle w:val="TableParagraph"/>
              <w:spacing w:line="252" w:lineRule="exact"/>
              <w:ind w:left="1318" w:right="1320"/>
              <w:jc w:val="center"/>
              <w:rPr>
                <w:b/>
              </w:rPr>
            </w:pPr>
            <w:r w:rsidRPr="008B2522">
              <w:rPr>
                <w:b/>
              </w:rPr>
              <w:t>BRAVO</w:t>
            </w:r>
          </w:p>
        </w:tc>
        <w:tc>
          <w:tcPr>
            <w:tcW w:w="3147" w:type="dxa"/>
            <w:gridSpan w:val="2"/>
          </w:tcPr>
          <w:p w14:paraId="5AFF33D6" w14:textId="77777777" w:rsidR="001432C3" w:rsidRPr="008B2522" w:rsidRDefault="000E2AE0">
            <w:pPr>
              <w:pStyle w:val="TableParagraph"/>
              <w:spacing w:line="252" w:lineRule="exact"/>
              <w:ind w:left="1133" w:right="1133"/>
              <w:jc w:val="center"/>
              <w:rPr>
                <w:b/>
              </w:rPr>
            </w:pPr>
            <w:r w:rsidRPr="008B2522">
              <w:rPr>
                <w:b/>
              </w:rPr>
              <w:t>CRUISE</w:t>
            </w:r>
          </w:p>
        </w:tc>
      </w:tr>
      <w:tr w:rsidR="001432C3" w:rsidRPr="008B2522" w14:paraId="1200858E" w14:textId="77777777">
        <w:trPr>
          <w:trHeight w:hRule="exact" w:val="1023"/>
        </w:trPr>
        <w:tc>
          <w:tcPr>
            <w:tcW w:w="2432" w:type="dxa"/>
          </w:tcPr>
          <w:p w14:paraId="0D203285" w14:textId="77777777" w:rsidR="001432C3" w:rsidRPr="008B2522" w:rsidRDefault="001432C3"/>
        </w:tc>
        <w:tc>
          <w:tcPr>
            <w:tcW w:w="1961" w:type="dxa"/>
          </w:tcPr>
          <w:p w14:paraId="273ED529" w14:textId="77777777" w:rsidR="001432C3" w:rsidRPr="008B2522" w:rsidRDefault="000E2AE0">
            <w:pPr>
              <w:pStyle w:val="TableParagraph"/>
              <w:spacing w:before="1"/>
              <w:ind w:left="230" w:right="229" w:hanging="5"/>
              <w:jc w:val="center"/>
              <w:rPr>
                <w:b/>
              </w:rPr>
            </w:pPr>
            <w:r w:rsidRPr="008B2522">
              <w:rPr>
                <w:b/>
              </w:rPr>
              <w:t xml:space="preserve">Wstrzyknięcie pozorowane/ </w:t>
            </w:r>
            <w:r w:rsidR="00135836" w:rsidRPr="00D22CB7">
              <w:rPr>
                <w:b/>
              </w:rPr>
              <w:t>ranibizumab</w:t>
            </w:r>
            <w:r w:rsidRPr="008B2522">
              <w:rPr>
                <w:b/>
              </w:rPr>
              <w:t xml:space="preserve"> 0,5</w:t>
            </w:r>
            <w:r w:rsidR="00257CD6">
              <w:rPr>
                <w:b/>
              </w:rPr>
              <w:t> mg</w:t>
            </w:r>
            <w:r w:rsidRPr="008B2522">
              <w:rPr>
                <w:b/>
              </w:rPr>
              <w:t xml:space="preserve"> (n=132)</w:t>
            </w:r>
          </w:p>
        </w:tc>
        <w:tc>
          <w:tcPr>
            <w:tcW w:w="1522" w:type="dxa"/>
          </w:tcPr>
          <w:p w14:paraId="30844C41" w14:textId="77777777" w:rsidR="001432C3" w:rsidRPr="008B2522" w:rsidRDefault="00E375AE">
            <w:pPr>
              <w:pStyle w:val="TableParagraph"/>
              <w:spacing w:before="1"/>
              <w:ind w:left="249" w:right="250"/>
              <w:jc w:val="center"/>
              <w:rPr>
                <w:b/>
              </w:rPr>
            </w:pPr>
            <w:r>
              <w:rPr>
                <w:b/>
              </w:rPr>
              <w:t>R</w:t>
            </w:r>
            <w:r w:rsidRPr="00BA3FA3">
              <w:rPr>
                <w:b/>
              </w:rPr>
              <w:t>anibizumab</w:t>
            </w:r>
            <w:r w:rsidRPr="008B2522">
              <w:rPr>
                <w:b/>
              </w:rPr>
              <w:t xml:space="preserve"> </w:t>
            </w:r>
            <w:r w:rsidR="000E2AE0" w:rsidRPr="008B2522">
              <w:rPr>
                <w:b/>
              </w:rPr>
              <w:t>0,5</w:t>
            </w:r>
            <w:r w:rsidR="00257CD6">
              <w:rPr>
                <w:b/>
              </w:rPr>
              <w:t> mg</w:t>
            </w:r>
            <w:r w:rsidR="000E2AE0" w:rsidRPr="008B2522">
              <w:rPr>
                <w:b/>
              </w:rPr>
              <w:t xml:space="preserve"> (n=131)</w:t>
            </w:r>
          </w:p>
        </w:tc>
        <w:tc>
          <w:tcPr>
            <w:tcW w:w="1798" w:type="dxa"/>
          </w:tcPr>
          <w:p w14:paraId="5E6E2298" w14:textId="77777777" w:rsidR="001432C3" w:rsidRPr="008B2522" w:rsidRDefault="000E2AE0">
            <w:pPr>
              <w:pStyle w:val="TableParagraph"/>
              <w:spacing w:before="1"/>
              <w:ind w:left="151" w:right="146" w:hanging="5"/>
              <w:jc w:val="center"/>
              <w:rPr>
                <w:b/>
              </w:rPr>
            </w:pPr>
            <w:r w:rsidRPr="008B2522">
              <w:rPr>
                <w:b/>
              </w:rPr>
              <w:t xml:space="preserve">Wstrzyknięcie pozorowane/ </w:t>
            </w:r>
            <w:r w:rsidR="00135836" w:rsidRPr="00BA3FA3">
              <w:rPr>
                <w:b/>
              </w:rPr>
              <w:t>ranibizumab</w:t>
            </w:r>
            <w:r w:rsidRPr="008B2522">
              <w:rPr>
                <w:b/>
              </w:rPr>
              <w:t xml:space="preserve"> 0,5</w:t>
            </w:r>
            <w:r w:rsidR="00257CD6">
              <w:rPr>
                <w:b/>
              </w:rPr>
              <w:t> mg</w:t>
            </w:r>
            <w:r w:rsidRPr="008B2522">
              <w:rPr>
                <w:b/>
              </w:rPr>
              <w:t xml:space="preserve"> (n=130)</w:t>
            </w:r>
          </w:p>
        </w:tc>
        <w:tc>
          <w:tcPr>
            <w:tcW w:w="1349" w:type="dxa"/>
          </w:tcPr>
          <w:p w14:paraId="4231F7E9" w14:textId="77777777" w:rsidR="001432C3" w:rsidRPr="008B2522" w:rsidRDefault="00E375AE">
            <w:pPr>
              <w:pStyle w:val="TableParagraph"/>
              <w:spacing w:before="1"/>
              <w:ind w:left="263" w:right="265"/>
              <w:jc w:val="center"/>
              <w:rPr>
                <w:b/>
              </w:rPr>
            </w:pPr>
            <w:r>
              <w:rPr>
                <w:b/>
              </w:rPr>
              <w:t>R</w:t>
            </w:r>
            <w:r w:rsidRPr="00BA3FA3">
              <w:rPr>
                <w:b/>
              </w:rPr>
              <w:t>anibizumab</w:t>
            </w:r>
            <w:r w:rsidRPr="008B2522">
              <w:rPr>
                <w:b/>
              </w:rPr>
              <w:t xml:space="preserve"> </w:t>
            </w:r>
            <w:r w:rsidR="000E2AE0" w:rsidRPr="008B2522">
              <w:rPr>
                <w:b/>
              </w:rPr>
              <w:t>0,5</w:t>
            </w:r>
            <w:r w:rsidR="00257CD6">
              <w:rPr>
                <w:b/>
              </w:rPr>
              <w:t> mg</w:t>
            </w:r>
            <w:r w:rsidR="000E2AE0" w:rsidRPr="008B2522">
              <w:rPr>
                <w:b/>
              </w:rPr>
              <w:t xml:space="preserve"> (n=130)</w:t>
            </w:r>
          </w:p>
        </w:tc>
      </w:tr>
      <w:tr w:rsidR="001432C3" w:rsidRPr="008B2522" w14:paraId="58BA15B8" w14:textId="77777777">
        <w:trPr>
          <w:trHeight w:hRule="exact" w:val="1274"/>
        </w:trPr>
        <w:tc>
          <w:tcPr>
            <w:tcW w:w="2432" w:type="dxa"/>
          </w:tcPr>
          <w:p w14:paraId="39105F3E" w14:textId="77777777" w:rsidR="001432C3" w:rsidRPr="008B2522" w:rsidRDefault="000E2AE0">
            <w:pPr>
              <w:pStyle w:val="TableParagraph"/>
              <w:spacing w:line="242" w:lineRule="auto"/>
              <w:ind w:right="686"/>
            </w:pPr>
            <w:r w:rsidRPr="008B2522">
              <w:t>Średnia zmiana w ostrości wzroku w</w:t>
            </w:r>
          </w:p>
          <w:p w14:paraId="4422B261" w14:textId="77777777" w:rsidR="001432C3" w:rsidRPr="008B2522" w:rsidRDefault="000E2AE0">
            <w:pPr>
              <w:pStyle w:val="TableParagraph"/>
              <w:ind w:right="103"/>
              <w:jc w:val="both"/>
            </w:pPr>
            <w:r w:rsidRPr="008B2522">
              <w:t>6.</w:t>
            </w:r>
            <w:r w:rsidR="000A6183" w:rsidRPr="008B2522">
              <w:rPr>
                <w:position w:val="8"/>
                <w:sz w:val="14"/>
              </w:rPr>
              <w:t>a</w:t>
            </w:r>
            <w:r w:rsidR="000A6183">
              <w:rPr>
                <w:position w:val="8"/>
                <w:sz w:val="14"/>
              </w:rPr>
              <w:t> </w:t>
            </w:r>
            <w:r w:rsidRPr="008B2522">
              <w:t>miesiącu (litery) (SD) (pierwszorzędowy końcowy)</w:t>
            </w:r>
          </w:p>
        </w:tc>
        <w:tc>
          <w:tcPr>
            <w:tcW w:w="1961" w:type="dxa"/>
          </w:tcPr>
          <w:p w14:paraId="0221F973" w14:textId="77777777" w:rsidR="001432C3" w:rsidRPr="008B2522" w:rsidRDefault="000E2AE0">
            <w:pPr>
              <w:pStyle w:val="TableParagraph"/>
              <w:spacing w:line="247" w:lineRule="exact"/>
              <w:ind w:left="469" w:right="470"/>
              <w:jc w:val="center"/>
            </w:pPr>
            <w:r w:rsidRPr="008B2522">
              <w:t>7,3 (13,0)</w:t>
            </w:r>
          </w:p>
        </w:tc>
        <w:tc>
          <w:tcPr>
            <w:tcW w:w="1522" w:type="dxa"/>
          </w:tcPr>
          <w:p w14:paraId="6C6B6BD2" w14:textId="77777777" w:rsidR="001432C3" w:rsidRPr="008B2522" w:rsidRDefault="000E2AE0">
            <w:pPr>
              <w:pStyle w:val="TableParagraph"/>
              <w:spacing w:line="247" w:lineRule="exact"/>
              <w:ind w:left="249" w:right="250"/>
              <w:jc w:val="center"/>
            </w:pPr>
            <w:r w:rsidRPr="008B2522">
              <w:t>18,3 (13,2)</w:t>
            </w:r>
          </w:p>
        </w:tc>
        <w:tc>
          <w:tcPr>
            <w:tcW w:w="1798" w:type="dxa"/>
          </w:tcPr>
          <w:p w14:paraId="70143639" w14:textId="77777777" w:rsidR="001432C3" w:rsidRPr="008B2522" w:rsidRDefault="000E2AE0">
            <w:pPr>
              <w:pStyle w:val="TableParagraph"/>
              <w:spacing w:line="247" w:lineRule="exact"/>
              <w:ind w:left="443" w:right="443"/>
              <w:jc w:val="center"/>
            </w:pPr>
            <w:r w:rsidRPr="008B2522">
              <w:t>0,8 (16,2)</w:t>
            </w:r>
          </w:p>
        </w:tc>
        <w:tc>
          <w:tcPr>
            <w:tcW w:w="1349" w:type="dxa"/>
          </w:tcPr>
          <w:p w14:paraId="52711EDE" w14:textId="77777777" w:rsidR="001432C3" w:rsidRPr="008B2522" w:rsidRDefault="000E2AE0">
            <w:pPr>
              <w:pStyle w:val="TableParagraph"/>
              <w:spacing w:line="247" w:lineRule="exact"/>
              <w:ind w:left="100" w:right="101"/>
              <w:jc w:val="center"/>
            </w:pPr>
            <w:r w:rsidRPr="008B2522">
              <w:t>14,9 (13,2)</w:t>
            </w:r>
          </w:p>
        </w:tc>
      </w:tr>
      <w:tr w:rsidR="001432C3" w:rsidRPr="008B2522" w14:paraId="028ABBED" w14:textId="77777777">
        <w:trPr>
          <w:trHeight w:hRule="exact" w:val="770"/>
        </w:trPr>
        <w:tc>
          <w:tcPr>
            <w:tcW w:w="2432" w:type="dxa"/>
          </w:tcPr>
          <w:p w14:paraId="75E02356" w14:textId="77777777" w:rsidR="001432C3" w:rsidRPr="008B2522" w:rsidRDefault="000E2AE0">
            <w:pPr>
              <w:pStyle w:val="TableParagraph"/>
              <w:spacing w:line="252" w:lineRule="exact"/>
              <w:ind w:right="307"/>
            </w:pPr>
            <w:r w:rsidRPr="008B2522">
              <w:t>Średnia zmiana w BCVA w 12</w:t>
            </w:r>
            <w:r w:rsidR="000A6183" w:rsidRPr="008B2522">
              <w:t>.</w:t>
            </w:r>
            <w:r w:rsidR="000A6183">
              <w:t> </w:t>
            </w:r>
            <w:r w:rsidRPr="008B2522">
              <w:t>miesiącu (litery) (SD)</w:t>
            </w:r>
          </w:p>
        </w:tc>
        <w:tc>
          <w:tcPr>
            <w:tcW w:w="1961" w:type="dxa"/>
          </w:tcPr>
          <w:p w14:paraId="32B87EDF" w14:textId="77777777" w:rsidR="001432C3" w:rsidRPr="008B2522" w:rsidRDefault="000E2AE0">
            <w:pPr>
              <w:pStyle w:val="TableParagraph"/>
              <w:spacing w:line="249" w:lineRule="exact"/>
              <w:ind w:left="469" w:right="470"/>
              <w:jc w:val="center"/>
            </w:pPr>
            <w:r w:rsidRPr="008B2522">
              <w:t>12,1 (14,4)</w:t>
            </w:r>
          </w:p>
        </w:tc>
        <w:tc>
          <w:tcPr>
            <w:tcW w:w="1522" w:type="dxa"/>
          </w:tcPr>
          <w:p w14:paraId="6AE808C0" w14:textId="77777777" w:rsidR="001432C3" w:rsidRPr="008B2522" w:rsidRDefault="000E2AE0">
            <w:pPr>
              <w:pStyle w:val="TableParagraph"/>
              <w:spacing w:line="249" w:lineRule="exact"/>
              <w:ind w:left="249" w:right="250"/>
              <w:jc w:val="center"/>
            </w:pPr>
            <w:r w:rsidRPr="008B2522">
              <w:t>18,3 (14,6)</w:t>
            </w:r>
          </w:p>
        </w:tc>
        <w:tc>
          <w:tcPr>
            <w:tcW w:w="1798" w:type="dxa"/>
          </w:tcPr>
          <w:p w14:paraId="62A4A27D" w14:textId="77777777" w:rsidR="001432C3" w:rsidRPr="008B2522" w:rsidRDefault="000E2AE0">
            <w:pPr>
              <w:pStyle w:val="TableParagraph"/>
              <w:spacing w:line="249" w:lineRule="exact"/>
              <w:ind w:left="443" w:right="443"/>
              <w:jc w:val="center"/>
            </w:pPr>
            <w:r w:rsidRPr="008B2522">
              <w:t>7,3 (15,9)</w:t>
            </w:r>
          </w:p>
        </w:tc>
        <w:tc>
          <w:tcPr>
            <w:tcW w:w="1349" w:type="dxa"/>
          </w:tcPr>
          <w:p w14:paraId="60FA6F3F" w14:textId="77777777" w:rsidR="001432C3" w:rsidRPr="008B2522" w:rsidRDefault="000E2AE0">
            <w:pPr>
              <w:pStyle w:val="TableParagraph"/>
              <w:spacing w:line="249" w:lineRule="exact"/>
              <w:ind w:left="100" w:right="101"/>
              <w:jc w:val="center"/>
            </w:pPr>
            <w:r w:rsidRPr="008B2522">
              <w:t>13,9 (14,2)</w:t>
            </w:r>
          </w:p>
        </w:tc>
      </w:tr>
      <w:tr w:rsidR="001432C3" w:rsidRPr="008B2522" w14:paraId="198B01F5" w14:textId="77777777">
        <w:trPr>
          <w:trHeight w:hRule="exact" w:val="785"/>
        </w:trPr>
        <w:tc>
          <w:tcPr>
            <w:tcW w:w="2432" w:type="dxa"/>
          </w:tcPr>
          <w:p w14:paraId="1F582620" w14:textId="77777777" w:rsidR="001432C3" w:rsidRPr="008B2522" w:rsidRDefault="000E2AE0">
            <w:pPr>
              <w:pStyle w:val="TableParagraph"/>
              <w:ind w:right="620"/>
            </w:pPr>
            <w:r w:rsidRPr="008B2522">
              <w:t xml:space="preserve">Poprawa ostrości wzroku </w:t>
            </w:r>
            <w:r w:rsidRPr="008B2522">
              <w:rPr>
                <w:rFonts w:ascii="Symbol" w:hAnsi="Symbol"/>
              </w:rPr>
              <w:t></w:t>
            </w:r>
            <w:r w:rsidR="000A6183" w:rsidRPr="008B2522">
              <w:t>15</w:t>
            </w:r>
            <w:r w:rsidR="000A6183">
              <w:t> </w:t>
            </w:r>
            <w:r w:rsidRPr="008B2522">
              <w:t>liter w</w:t>
            </w:r>
          </w:p>
          <w:p w14:paraId="13BB67DB" w14:textId="77777777" w:rsidR="001432C3" w:rsidRPr="008B2522" w:rsidRDefault="000E2AE0">
            <w:pPr>
              <w:pStyle w:val="TableParagraph"/>
              <w:spacing w:before="6" w:line="254" w:lineRule="exact"/>
            </w:pPr>
            <w:r w:rsidRPr="008B2522">
              <w:t>6.</w:t>
            </w:r>
            <w:r w:rsidR="000A6183" w:rsidRPr="008B2522">
              <w:rPr>
                <w:position w:val="8"/>
                <w:sz w:val="14"/>
              </w:rPr>
              <w:t>a</w:t>
            </w:r>
            <w:r w:rsidR="000A6183">
              <w:rPr>
                <w:position w:val="8"/>
                <w:sz w:val="14"/>
              </w:rPr>
              <w:t> </w:t>
            </w:r>
            <w:r w:rsidRPr="008B2522">
              <w:t>miesiącu (%)</w:t>
            </w:r>
          </w:p>
        </w:tc>
        <w:tc>
          <w:tcPr>
            <w:tcW w:w="1961" w:type="dxa"/>
          </w:tcPr>
          <w:p w14:paraId="178BF8F4" w14:textId="77777777" w:rsidR="001432C3" w:rsidRPr="008B2522" w:rsidRDefault="000E2AE0">
            <w:pPr>
              <w:pStyle w:val="TableParagraph"/>
              <w:spacing w:line="247" w:lineRule="exact"/>
              <w:ind w:left="469" w:right="469"/>
              <w:jc w:val="center"/>
            </w:pPr>
            <w:r w:rsidRPr="008B2522">
              <w:t>28,8</w:t>
            </w:r>
          </w:p>
        </w:tc>
        <w:tc>
          <w:tcPr>
            <w:tcW w:w="1522" w:type="dxa"/>
          </w:tcPr>
          <w:p w14:paraId="6FDA6B8D" w14:textId="77777777" w:rsidR="001432C3" w:rsidRPr="008B2522" w:rsidRDefault="000E2AE0">
            <w:pPr>
              <w:pStyle w:val="TableParagraph"/>
              <w:spacing w:line="247" w:lineRule="exact"/>
              <w:ind w:left="249" w:right="247"/>
              <w:jc w:val="center"/>
            </w:pPr>
            <w:r w:rsidRPr="008B2522">
              <w:t>61,1</w:t>
            </w:r>
          </w:p>
        </w:tc>
        <w:tc>
          <w:tcPr>
            <w:tcW w:w="1798" w:type="dxa"/>
          </w:tcPr>
          <w:p w14:paraId="295CE1EE" w14:textId="77777777" w:rsidR="001432C3" w:rsidRPr="008B2522" w:rsidRDefault="000E2AE0">
            <w:pPr>
              <w:pStyle w:val="TableParagraph"/>
              <w:spacing w:line="247" w:lineRule="exact"/>
              <w:ind w:left="443" w:right="443"/>
              <w:jc w:val="center"/>
            </w:pPr>
            <w:r w:rsidRPr="008B2522">
              <w:t>16,9</w:t>
            </w:r>
          </w:p>
        </w:tc>
        <w:tc>
          <w:tcPr>
            <w:tcW w:w="1349" w:type="dxa"/>
          </w:tcPr>
          <w:p w14:paraId="6B543BE7" w14:textId="77777777" w:rsidR="001432C3" w:rsidRPr="008B2522" w:rsidRDefault="000E2AE0">
            <w:pPr>
              <w:pStyle w:val="TableParagraph"/>
              <w:spacing w:line="247" w:lineRule="exact"/>
              <w:ind w:left="263" w:right="261"/>
              <w:jc w:val="center"/>
            </w:pPr>
            <w:r w:rsidRPr="008B2522">
              <w:t>47,7</w:t>
            </w:r>
          </w:p>
        </w:tc>
      </w:tr>
      <w:tr w:rsidR="001432C3" w:rsidRPr="008B2522" w14:paraId="27EEACB8" w14:textId="77777777">
        <w:trPr>
          <w:trHeight w:hRule="exact" w:val="785"/>
        </w:trPr>
        <w:tc>
          <w:tcPr>
            <w:tcW w:w="2432" w:type="dxa"/>
          </w:tcPr>
          <w:p w14:paraId="04D6E35B" w14:textId="77777777" w:rsidR="001432C3" w:rsidRPr="008B2522" w:rsidRDefault="000E2AE0">
            <w:pPr>
              <w:pStyle w:val="TableParagraph"/>
              <w:spacing w:line="242" w:lineRule="auto"/>
              <w:ind w:right="620"/>
            </w:pPr>
            <w:r w:rsidRPr="008B2522">
              <w:t xml:space="preserve">Poprawa ostrości wzroku </w:t>
            </w:r>
            <w:r w:rsidRPr="008B2522">
              <w:rPr>
                <w:rFonts w:ascii="Symbol" w:hAnsi="Symbol"/>
              </w:rPr>
              <w:t></w:t>
            </w:r>
            <w:r w:rsidR="000A6183" w:rsidRPr="008B2522">
              <w:t>15</w:t>
            </w:r>
            <w:r w:rsidR="000A6183">
              <w:t> </w:t>
            </w:r>
            <w:r w:rsidRPr="008B2522">
              <w:t>liter w</w:t>
            </w:r>
          </w:p>
          <w:p w14:paraId="42DCDB3F" w14:textId="77777777" w:rsidR="001432C3" w:rsidRPr="008B2522" w:rsidRDefault="000E2AE0">
            <w:pPr>
              <w:pStyle w:val="TableParagraph"/>
              <w:spacing w:before="6" w:line="249" w:lineRule="exact"/>
            </w:pPr>
            <w:r w:rsidRPr="008B2522">
              <w:t>12</w:t>
            </w:r>
            <w:r w:rsidR="000A6183" w:rsidRPr="008B2522">
              <w:t>.</w:t>
            </w:r>
            <w:r w:rsidR="000A6183">
              <w:t> </w:t>
            </w:r>
            <w:r w:rsidRPr="008B2522">
              <w:t>miesiącu (%)</w:t>
            </w:r>
          </w:p>
        </w:tc>
        <w:tc>
          <w:tcPr>
            <w:tcW w:w="1961" w:type="dxa"/>
          </w:tcPr>
          <w:p w14:paraId="2DD3DAC7" w14:textId="77777777" w:rsidR="001432C3" w:rsidRPr="008B2522" w:rsidRDefault="000E2AE0">
            <w:pPr>
              <w:pStyle w:val="TableParagraph"/>
              <w:spacing w:line="247" w:lineRule="exact"/>
              <w:ind w:left="469" w:right="469"/>
              <w:jc w:val="center"/>
            </w:pPr>
            <w:r w:rsidRPr="008B2522">
              <w:t>43,9</w:t>
            </w:r>
          </w:p>
        </w:tc>
        <w:tc>
          <w:tcPr>
            <w:tcW w:w="1522" w:type="dxa"/>
          </w:tcPr>
          <w:p w14:paraId="337CC46F" w14:textId="77777777" w:rsidR="001432C3" w:rsidRPr="008B2522" w:rsidRDefault="000E2AE0">
            <w:pPr>
              <w:pStyle w:val="TableParagraph"/>
              <w:spacing w:line="247" w:lineRule="exact"/>
              <w:ind w:left="249" w:right="247"/>
              <w:jc w:val="center"/>
            </w:pPr>
            <w:r w:rsidRPr="008B2522">
              <w:t>60,3</w:t>
            </w:r>
          </w:p>
        </w:tc>
        <w:tc>
          <w:tcPr>
            <w:tcW w:w="1798" w:type="dxa"/>
          </w:tcPr>
          <w:p w14:paraId="54889C62" w14:textId="77777777" w:rsidR="001432C3" w:rsidRPr="008B2522" w:rsidRDefault="000E2AE0">
            <w:pPr>
              <w:pStyle w:val="TableParagraph"/>
              <w:spacing w:line="247" w:lineRule="exact"/>
              <w:ind w:left="443" w:right="443"/>
              <w:jc w:val="center"/>
            </w:pPr>
            <w:r w:rsidRPr="008B2522">
              <w:t>33,1</w:t>
            </w:r>
          </w:p>
        </w:tc>
        <w:tc>
          <w:tcPr>
            <w:tcW w:w="1349" w:type="dxa"/>
          </w:tcPr>
          <w:p w14:paraId="17E42F13" w14:textId="77777777" w:rsidR="001432C3" w:rsidRPr="008B2522" w:rsidRDefault="000E2AE0">
            <w:pPr>
              <w:pStyle w:val="TableParagraph"/>
              <w:spacing w:line="247" w:lineRule="exact"/>
              <w:ind w:left="263" w:right="261"/>
              <w:jc w:val="center"/>
            </w:pPr>
            <w:r w:rsidRPr="008B2522">
              <w:t>50,8</w:t>
            </w:r>
          </w:p>
        </w:tc>
      </w:tr>
      <w:tr w:rsidR="001432C3" w:rsidRPr="008B2522" w14:paraId="21720437" w14:textId="77777777">
        <w:trPr>
          <w:trHeight w:hRule="exact" w:val="1022"/>
        </w:trPr>
        <w:tc>
          <w:tcPr>
            <w:tcW w:w="2432" w:type="dxa"/>
          </w:tcPr>
          <w:p w14:paraId="0A64C6E5" w14:textId="77777777" w:rsidR="001432C3" w:rsidRPr="008B2522" w:rsidRDefault="000E2AE0">
            <w:pPr>
              <w:pStyle w:val="TableParagraph"/>
              <w:ind w:right="124"/>
            </w:pPr>
            <w:r w:rsidRPr="008B2522">
              <w:t xml:space="preserve">Odsetek (%), u których zastosowano laser jako postępowanie ratujące w ciągu </w:t>
            </w:r>
            <w:r w:rsidR="000A6183" w:rsidRPr="008B2522">
              <w:t>12</w:t>
            </w:r>
            <w:r w:rsidR="000A6183">
              <w:t> </w:t>
            </w:r>
            <w:r w:rsidRPr="008B2522">
              <w:t>miesięcy</w:t>
            </w:r>
          </w:p>
        </w:tc>
        <w:tc>
          <w:tcPr>
            <w:tcW w:w="1961" w:type="dxa"/>
          </w:tcPr>
          <w:p w14:paraId="572EED92" w14:textId="77777777" w:rsidR="001432C3" w:rsidRPr="008B2522" w:rsidRDefault="000E2AE0">
            <w:pPr>
              <w:pStyle w:val="TableParagraph"/>
              <w:spacing w:line="247" w:lineRule="exact"/>
              <w:ind w:left="469" w:right="469"/>
              <w:jc w:val="center"/>
            </w:pPr>
            <w:r w:rsidRPr="008B2522">
              <w:t>61,4</w:t>
            </w:r>
          </w:p>
        </w:tc>
        <w:tc>
          <w:tcPr>
            <w:tcW w:w="1522" w:type="dxa"/>
          </w:tcPr>
          <w:p w14:paraId="3E5CE496" w14:textId="77777777" w:rsidR="001432C3" w:rsidRPr="008B2522" w:rsidRDefault="000E2AE0">
            <w:pPr>
              <w:pStyle w:val="TableParagraph"/>
              <w:spacing w:line="247" w:lineRule="exact"/>
              <w:ind w:left="249" w:right="247"/>
              <w:jc w:val="center"/>
            </w:pPr>
            <w:r w:rsidRPr="008B2522">
              <w:t>34,4</w:t>
            </w:r>
          </w:p>
        </w:tc>
        <w:tc>
          <w:tcPr>
            <w:tcW w:w="1798" w:type="dxa"/>
          </w:tcPr>
          <w:p w14:paraId="0CBA3393" w14:textId="77777777" w:rsidR="001432C3" w:rsidRPr="008B2522" w:rsidRDefault="000E2AE0">
            <w:pPr>
              <w:pStyle w:val="TableParagraph"/>
              <w:spacing w:line="247" w:lineRule="exact"/>
              <w:ind w:left="443" w:right="443"/>
              <w:jc w:val="center"/>
            </w:pPr>
            <w:r w:rsidRPr="008B2522">
              <w:t>N/A</w:t>
            </w:r>
          </w:p>
        </w:tc>
        <w:tc>
          <w:tcPr>
            <w:tcW w:w="1349" w:type="dxa"/>
          </w:tcPr>
          <w:p w14:paraId="5E594326" w14:textId="77777777" w:rsidR="001432C3" w:rsidRPr="008B2522" w:rsidRDefault="000E2AE0">
            <w:pPr>
              <w:pStyle w:val="TableParagraph"/>
              <w:spacing w:line="247" w:lineRule="exact"/>
              <w:ind w:left="263" w:right="263"/>
              <w:jc w:val="center"/>
            </w:pPr>
            <w:r w:rsidRPr="008B2522">
              <w:t>N/A</w:t>
            </w:r>
          </w:p>
        </w:tc>
      </w:tr>
    </w:tbl>
    <w:p w14:paraId="2E186BAD" w14:textId="77777777" w:rsidR="001432C3" w:rsidRPr="008B2522" w:rsidRDefault="000E2AE0">
      <w:pPr>
        <w:pStyle w:val="a3"/>
        <w:ind w:left="118"/>
      </w:pPr>
      <w:r w:rsidRPr="008B2522">
        <w:rPr>
          <w:position w:val="8"/>
          <w:sz w:val="14"/>
        </w:rPr>
        <w:t>a</w:t>
      </w:r>
      <w:r w:rsidRPr="008B2522">
        <w:t>p&lt;0,0001 w obu badaniach</w:t>
      </w:r>
    </w:p>
    <w:p w14:paraId="79E7A070" w14:textId="77777777" w:rsidR="000F5294" w:rsidRDefault="000F5294">
      <w:pPr>
        <w:rPr>
          <w:b/>
          <w:bCs/>
        </w:rPr>
      </w:pPr>
      <w:r>
        <w:br w:type="page"/>
      </w:r>
    </w:p>
    <w:p w14:paraId="4602EBA9" w14:textId="77777777" w:rsidR="001432C3" w:rsidRPr="00940317" w:rsidRDefault="000A6183" w:rsidP="00E0574D">
      <w:pPr>
        <w:pStyle w:val="1"/>
        <w:tabs>
          <w:tab w:val="left" w:pos="1134"/>
        </w:tabs>
        <w:spacing w:before="74"/>
        <w:ind w:leftChars="64" w:left="1275" w:hangingChars="525" w:hanging="1134"/>
      </w:pPr>
      <w:r w:rsidRPr="00940317">
        <w:lastRenderedPageBreak/>
        <w:t>Rycina </w:t>
      </w:r>
      <w:r w:rsidR="000E2AE0" w:rsidRPr="00940317">
        <w:t>5</w:t>
      </w:r>
      <w:r w:rsidR="000E2AE0" w:rsidRPr="00940317">
        <w:tab/>
      </w:r>
      <w:r w:rsidR="00505EF6">
        <w:tab/>
      </w:r>
      <w:r w:rsidR="000E2AE0" w:rsidRPr="00940317">
        <w:t>Średnia zmiana ostrości wzroku BCVA w czasie, w porównaniu do stanu wyjściowego, do 6</w:t>
      </w:r>
      <w:r w:rsidRPr="00940317">
        <w:t>. </w:t>
      </w:r>
      <w:r w:rsidR="000E2AE0" w:rsidRPr="00940317">
        <w:t>miesiąca oraz do 12</w:t>
      </w:r>
      <w:r w:rsidRPr="00940317">
        <w:t>. </w:t>
      </w:r>
      <w:r w:rsidR="000E2AE0" w:rsidRPr="00940317">
        <w:t>miesiąca (BRAVO)</w:t>
      </w:r>
    </w:p>
    <w:p w14:paraId="79179FB6" w14:textId="77777777" w:rsidR="001432C3" w:rsidRPr="008B2522" w:rsidRDefault="000E2AE0">
      <w:pPr>
        <w:pStyle w:val="a3"/>
        <w:spacing w:before="8"/>
        <w:rPr>
          <w:b/>
          <w:sz w:val="18"/>
        </w:rPr>
      </w:pPr>
      <w:r w:rsidRPr="008B2522">
        <w:rPr>
          <w:noProof/>
          <w:lang w:val="es-ES" w:eastAsia="ko-KR"/>
        </w:rPr>
        <w:drawing>
          <wp:anchor distT="0" distB="0" distL="0" distR="0" simplePos="0" relativeHeight="251631104" behindDoc="0" locked="0" layoutInCell="1" allowOverlap="1" wp14:anchorId="2AF4B58F" wp14:editId="08E5EF9E">
            <wp:simplePos x="0" y="0"/>
            <wp:positionH relativeFrom="page">
              <wp:posOffset>900430</wp:posOffset>
            </wp:positionH>
            <wp:positionV relativeFrom="paragraph">
              <wp:posOffset>161799</wp:posOffset>
            </wp:positionV>
            <wp:extent cx="5706324" cy="449484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5706324" cy="4494847"/>
                    </a:xfrm>
                    <a:prstGeom prst="rect">
                      <a:avLst/>
                    </a:prstGeom>
                  </pic:spPr>
                </pic:pic>
              </a:graphicData>
            </a:graphic>
          </wp:anchor>
        </w:drawing>
      </w:r>
    </w:p>
    <w:p w14:paraId="1A5709D9" w14:textId="77777777" w:rsidR="001432C3" w:rsidRPr="008B2522" w:rsidRDefault="001432C3">
      <w:pPr>
        <w:rPr>
          <w:sz w:val="18"/>
        </w:rPr>
        <w:sectPr w:rsidR="001432C3" w:rsidRPr="008B2522" w:rsidSect="00105C10">
          <w:pgSz w:w="11910" w:h="16840"/>
          <w:pgMar w:top="1040" w:right="1300" w:bottom="900" w:left="1300" w:header="0" w:footer="656" w:gutter="0"/>
          <w:cols w:space="720"/>
        </w:sectPr>
      </w:pPr>
    </w:p>
    <w:p w14:paraId="18217FB5" w14:textId="77777777" w:rsidR="001432C3" w:rsidRPr="008B2522" w:rsidRDefault="000A6183" w:rsidP="00E0574D">
      <w:pPr>
        <w:tabs>
          <w:tab w:val="left" w:pos="1251"/>
        </w:tabs>
        <w:spacing w:before="73"/>
        <w:ind w:leftChars="64" w:left="1274" w:right="1223" w:hanging="1133"/>
        <w:rPr>
          <w:b/>
        </w:rPr>
      </w:pPr>
      <w:r w:rsidRPr="008B2522">
        <w:rPr>
          <w:b/>
        </w:rPr>
        <w:lastRenderedPageBreak/>
        <w:t>Rycina</w:t>
      </w:r>
      <w:r>
        <w:rPr>
          <w:b/>
        </w:rPr>
        <w:t> </w:t>
      </w:r>
      <w:r w:rsidR="000E2AE0" w:rsidRPr="008B2522">
        <w:rPr>
          <w:b/>
        </w:rPr>
        <w:t>6</w:t>
      </w:r>
      <w:r w:rsidR="000E2AE0" w:rsidRPr="008B2522">
        <w:rPr>
          <w:b/>
        </w:rPr>
        <w:tab/>
        <w:t>Średnia zmiana ostrości wzroku BCVA w czasie, w porównaniu</w:t>
      </w:r>
      <w:r w:rsidR="000E2AE0" w:rsidRPr="008B2522">
        <w:rPr>
          <w:b/>
          <w:spacing w:val="-8"/>
        </w:rPr>
        <w:t xml:space="preserve"> </w:t>
      </w:r>
      <w:r w:rsidR="000E2AE0" w:rsidRPr="008B2522">
        <w:rPr>
          <w:b/>
        </w:rPr>
        <w:t>do</w:t>
      </w:r>
      <w:r w:rsidR="000E2AE0" w:rsidRPr="008B2522">
        <w:rPr>
          <w:b/>
          <w:spacing w:val="-3"/>
        </w:rPr>
        <w:t xml:space="preserve"> </w:t>
      </w:r>
      <w:r w:rsidR="000E2AE0" w:rsidRPr="008B2522">
        <w:rPr>
          <w:b/>
        </w:rPr>
        <w:t>stanu wyjściowego, do 6</w:t>
      </w:r>
      <w:r w:rsidRPr="008B2522">
        <w:rPr>
          <w:b/>
        </w:rPr>
        <w:t>.</w:t>
      </w:r>
      <w:r>
        <w:rPr>
          <w:b/>
        </w:rPr>
        <w:t> </w:t>
      </w:r>
      <w:r w:rsidR="000E2AE0" w:rsidRPr="008B2522">
        <w:rPr>
          <w:b/>
        </w:rPr>
        <w:t>miesiąca oraz do 12</w:t>
      </w:r>
      <w:r w:rsidRPr="008B2522">
        <w:rPr>
          <w:b/>
        </w:rPr>
        <w:t>.</w:t>
      </w:r>
      <w:r>
        <w:rPr>
          <w:b/>
        </w:rPr>
        <w:t> </w:t>
      </w:r>
      <w:r w:rsidR="000E2AE0" w:rsidRPr="008B2522">
        <w:rPr>
          <w:b/>
        </w:rPr>
        <w:t>miesiąca</w:t>
      </w:r>
      <w:r w:rsidR="000E2AE0" w:rsidRPr="008B2522">
        <w:rPr>
          <w:b/>
          <w:spacing w:val="-15"/>
        </w:rPr>
        <w:t xml:space="preserve"> </w:t>
      </w:r>
      <w:r w:rsidR="000E2AE0" w:rsidRPr="008B2522">
        <w:rPr>
          <w:b/>
        </w:rPr>
        <w:t>(CRUISE)</w:t>
      </w:r>
    </w:p>
    <w:p w14:paraId="582D0D3B" w14:textId="77777777" w:rsidR="001432C3" w:rsidRPr="008B2522" w:rsidRDefault="000E2AE0" w:rsidP="00E0574D">
      <w:pPr>
        <w:pStyle w:val="a3"/>
        <w:spacing w:before="8"/>
        <w:ind w:leftChars="64" w:left="141"/>
        <w:rPr>
          <w:b/>
          <w:sz w:val="18"/>
        </w:rPr>
      </w:pPr>
      <w:r w:rsidRPr="008B2522">
        <w:rPr>
          <w:noProof/>
          <w:lang w:val="es-ES" w:eastAsia="ko-KR"/>
        </w:rPr>
        <w:drawing>
          <wp:anchor distT="0" distB="0" distL="0" distR="0" simplePos="0" relativeHeight="251634176" behindDoc="0" locked="0" layoutInCell="1" allowOverlap="1" wp14:anchorId="78262A81" wp14:editId="6B399A36">
            <wp:simplePos x="0" y="0"/>
            <wp:positionH relativeFrom="page">
              <wp:posOffset>900430</wp:posOffset>
            </wp:positionH>
            <wp:positionV relativeFrom="paragraph">
              <wp:posOffset>161799</wp:posOffset>
            </wp:positionV>
            <wp:extent cx="5780624" cy="4108513"/>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1" cstate="print"/>
                    <a:stretch>
                      <a:fillRect/>
                    </a:stretch>
                  </pic:blipFill>
                  <pic:spPr>
                    <a:xfrm>
                      <a:off x="0" y="0"/>
                      <a:ext cx="5780624" cy="4108513"/>
                    </a:xfrm>
                    <a:prstGeom prst="rect">
                      <a:avLst/>
                    </a:prstGeom>
                  </pic:spPr>
                </pic:pic>
              </a:graphicData>
            </a:graphic>
          </wp:anchor>
        </w:drawing>
      </w:r>
    </w:p>
    <w:p w14:paraId="53617F67" w14:textId="77777777" w:rsidR="001432C3" w:rsidRPr="008B2522" w:rsidRDefault="000E2AE0" w:rsidP="00E0574D">
      <w:pPr>
        <w:pStyle w:val="a3"/>
        <w:spacing w:before="199"/>
        <w:ind w:leftChars="64" w:left="141" w:right="326"/>
      </w:pPr>
      <w:r w:rsidRPr="008B2522">
        <w:t>W obu badaniach poprawie widzenia towarzyszyło znaczne i ciągłe zmniejszenie obrzęku w okolicy plamki, znajdujące odzwierciedlenie w grubości siatkówki centralnej.</w:t>
      </w:r>
    </w:p>
    <w:p w14:paraId="5E616CA1" w14:textId="77777777" w:rsidR="001432C3" w:rsidRPr="008B2522" w:rsidRDefault="001432C3" w:rsidP="00E0574D">
      <w:pPr>
        <w:pStyle w:val="a3"/>
        <w:ind w:leftChars="64" w:left="141"/>
      </w:pPr>
    </w:p>
    <w:p w14:paraId="5A915100" w14:textId="77777777" w:rsidR="001432C3" w:rsidRPr="008B2522" w:rsidRDefault="000E2AE0" w:rsidP="00E0574D">
      <w:pPr>
        <w:pStyle w:val="a3"/>
        <w:ind w:leftChars="64" w:left="141" w:right="497"/>
      </w:pPr>
      <w:r w:rsidRPr="008B2522">
        <w:t xml:space="preserve">Pacjenci z CRVO (badanie CRUISE oraz badanie extension HORIZON): Pacjenci otrzymujący wstrzyknięcia pozorowane w ciągu pierwszych </w:t>
      </w:r>
      <w:r w:rsidR="000A6183" w:rsidRPr="008B2522">
        <w:t>6</w:t>
      </w:r>
      <w:r w:rsidR="000A6183">
        <w:t> </w:t>
      </w:r>
      <w:r w:rsidRPr="008B2522">
        <w:t xml:space="preserve">miesięcy, a następnie leczeni ranibizumabem nie osiągnęli porównywalnej poprawy w VA po </w:t>
      </w:r>
      <w:r w:rsidR="000A6183" w:rsidRPr="008B2522">
        <w:t>24</w:t>
      </w:r>
      <w:r w:rsidR="000A6183">
        <w:t> </w:t>
      </w:r>
      <w:r w:rsidRPr="008B2522">
        <w:t>miesiącach (~</w:t>
      </w:r>
      <w:r w:rsidR="000A6183" w:rsidRPr="008B2522">
        <w:t>6</w:t>
      </w:r>
      <w:r w:rsidR="000A6183">
        <w:t> </w:t>
      </w:r>
      <w:r w:rsidRPr="008B2522">
        <w:t>liter) w porównaniu z pacjentami leczonymi ranibizumabem od początku badania (~</w:t>
      </w:r>
      <w:r w:rsidR="000A6183" w:rsidRPr="008B2522">
        <w:t>12</w:t>
      </w:r>
      <w:r w:rsidR="000A6183">
        <w:t> </w:t>
      </w:r>
      <w:r w:rsidRPr="008B2522">
        <w:t>liter).</w:t>
      </w:r>
    </w:p>
    <w:p w14:paraId="13DD5827" w14:textId="77777777" w:rsidR="001432C3" w:rsidRPr="008B2522" w:rsidRDefault="001432C3" w:rsidP="00E0574D">
      <w:pPr>
        <w:pStyle w:val="a3"/>
        <w:ind w:leftChars="64" w:left="141"/>
      </w:pPr>
    </w:p>
    <w:p w14:paraId="2D8B79E8" w14:textId="77777777" w:rsidR="001432C3" w:rsidRPr="008B2522" w:rsidRDefault="000E2AE0" w:rsidP="00E0574D">
      <w:pPr>
        <w:pStyle w:val="a3"/>
        <w:ind w:leftChars="64" w:left="141" w:right="497"/>
      </w:pPr>
      <w:r w:rsidRPr="008B2522">
        <w:t>U pacjentów leczonych ranibizumabem obserwowano statystycznie znamienne korzyści zgłaszane przez pacjentów w zakresie podskal związanych z widzeniem bliży i dali, w porównaniu z grupą kontrolną, stwierdzane za pomocą kwestionariusza NEI VFQ-25.</w:t>
      </w:r>
    </w:p>
    <w:p w14:paraId="5AD0736D" w14:textId="77777777" w:rsidR="001432C3" w:rsidRPr="008B2522" w:rsidRDefault="001432C3" w:rsidP="00E0574D">
      <w:pPr>
        <w:pStyle w:val="a3"/>
        <w:ind w:leftChars="64" w:left="141"/>
      </w:pPr>
    </w:p>
    <w:p w14:paraId="09E8F4A4" w14:textId="77777777" w:rsidR="001432C3" w:rsidRPr="008B2522" w:rsidRDefault="000E2AE0" w:rsidP="00E0574D">
      <w:pPr>
        <w:pStyle w:val="a3"/>
        <w:ind w:leftChars="64" w:left="141" w:right="157"/>
      </w:pPr>
      <w:r w:rsidRPr="008B2522">
        <w:t xml:space="preserve">Długotrwałe (24-miesięczne) bezpieczeństwo stosowania i skuteczność kliniczną </w:t>
      </w:r>
      <w:r w:rsidR="00CF4CC6" w:rsidRPr="00D22CB7">
        <w:t>ranibizumabu</w:t>
      </w:r>
      <w:r w:rsidRPr="008B2522">
        <w:t xml:space="preserve"> u pacjentów z zaburzeniami wzroku, spowodowanymi obrzękiem plamki wtórnym do RVO oceniano w badaniu BRIGHTER (BRVO) i w badaniu CRYSTAL (CRVO). W obu badaniach pacjenci otrzymywali 0,5</w:t>
      </w:r>
      <w:r w:rsidR="00257CD6">
        <w:t> mg</w:t>
      </w:r>
      <w:r w:rsidRPr="008B2522">
        <w:t xml:space="preserve"> ranibizumabu stosowanego w razie potrzeby, w zależności od indywidualnych kryteriów stabilizacji. Badanie BRIGHTER było 3-ramiennym, randomizowanym badaniem kontrolowanym substancją czynną, w którym porównywano ranibizumab podawany w dawce 0,5</w:t>
      </w:r>
      <w:r w:rsidR="00257CD6">
        <w:t> mg</w:t>
      </w:r>
      <w:r w:rsidRPr="008B2522">
        <w:t xml:space="preserve"> w monoterapii lub w skojarzeniu z fotokoagulacją laserową z samą fotokoagulacją laserową. Po </w:t>
      </w:r>
      <w:r w:rsidR="00C82F55" w:rsidRPr="008B2522">
        <w:t>6</w:t>
      </w:r>
      <w:r w:rsidR="00C82F55">
        <w:t> </w:t>
      </w:r>
      <w:r w:rsidRPr="008B2522">
        <w:t>miesiącach pacjenci z grupy leczenia laserowego mogli otrzymywać ranibizumab w dawce 0,5</w:t>
      </w:r>
      <w:r w:rsidR="00257CD6">
        <w:t> mg</w:t>
      </w:r>
      <w:r w:rsidRPr="008B2522">
        <w:t>. Badanie CRYSTAL było badaniem z jedną grupą leczenia, otrzymującą monoterapię ranibizumabem w dawce 0,5</w:t>
      </w:r>
      <w:r w:rsidR="00257CD6">
        <w:t> mg</w:t>
      </w:r>
      <w:r w:rsidRPr="008B2522">
        <w:t>.</w:t>
      </w:r>
    </w:p>
    <w:p w14:paraId="48FDFB77" w14:textId="77777777" w:rsidR="001432C3" w:rsidRPr="008B2522" w:rsidRDefault="001432C3" w:rsidP="00E0574D">
      <w:pPr>
        <w:pStyle w:val="a3"/>
        <w:spacing w:before="11"/>
        <w:ind w:leftChars="64" w:left="141"/>
        <w:rPr>
          <w:sz w:val="21"/>
        </w:rPr>
      </w:pPr>
    </w:p>
    <w:p w14:paraId="52A4CD6F" w14:textId="77777777" w:rsidR="001432C3" w:rsidRPr="008B2522" w:rsidRDefault="00C82F55" w:rsidP="00E0574D">
      <w:pPr>
        <w:pStyle w:val="a3"/>
        <w:ind w:leftChars="64" w:left="141"/>
      </w:pPr>
      <w:r w:rsidRPr="008B2522">
        <w:t>Tabela</w:t>
      </w:r>
      <w:r>
        <w:t> </w:t>
      </w:r>
      <w:r w:rsidR="000E2AE0" w:rsidRPr="008B2522">
        <w:t>9 przedstawia najważniejsze parametry oceniane w badaniach BRIGHTER i CRYSTAL.</w:t>
      </w:r>
    </w:p>
    <w:p w14:paraId="176A06ED" w14:textId="77777777" w:rsidR="001432C3" w:rsidRPr="008B2522" w:rsidRDefault="001432C3" w:rsidP="00E0574D">
      <w:pPr>
        <w:ind w:leftChars="64" w:left="141"/>
        <w:sectPr w:rsidR="001432C3" w:rsidRPr="008B2522" w:rsidSect="00105C10">
          <w:pgSz w:w="11910" w:h="16840"/>
          <w:pgMar w:top="1040" w:right="1300" w:bottom="900" w:left="1300" w:header="0" w:footer="656" w:gutter="0"/>
          <w:cols w:space="720"/>
        </w:sectPr>
      </w:pPr>
    </w:p>
    <w:p w14:paraId="59985F47" w14:textId="77777777" w:rsidR="001432C3" w:rsidRPr="004A2080" w:rsidRDefault="00C82F55" w:rsidP="00E0574D">
      <w:pPr>
        <w:pStyle w:val="1"/>
        <w:tabs>
          <w:tab w:val="left" w:pos="1251"/>
        </w:tabs>
        <w:ind w:leftChars="64" w:left="1415" w:hangingChars="590" w:hanging="1274"/>
      </w:pPr>
      <w:r w:rsidRPr="004A2080">
        <w:lastRenderedPageBreak/>
        <w:t>Tabela </w:t>
      </w:r>
      <w:r w:rsidR="000E2AE0" w:rsidRPr="004A2080">
        <w:t>9</w:t>
      </w:r>
      <w:r w:rsidR="000E2AE0" w:rsidRPr="004A2080">
        <w:tab/>
      </w:r>
      <w:r w:rsidR="00505EF6">
        <w:tab/>
      </w:r>
      <w:r w:rsidR="000E2AE0" w:rsidRPr="004A2080">
        <w:t xml:space="preserve">Parametry oceny w </w:t>
      </w:r>
      <w:r w:rsidRPr="004A2080">
        <w:t>miesiącu </w:t>
      </w:r>
      <w:r w:rsidR="000E2AE0" w:rsidRPr="004A2080">
        <w:t>6. i 24. (badanie BRIGHTER i badanie CRYSTAL)</w:t>
      </w:r>
    </w:p>
    <w:p w14:paraId="458C14F0" w14:textId="77777777" w:rsidR="001432C3" w:rsidRPr="008B2522" w:rsidRDefault="001432C3">
      <w:pPr>
        <w:pStyle w:val="a3"/>
        <w:spacing w:before="2"/>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820"/>
        <w:gridCol w:w="1812"/>
        <w:gridCol w:w="1776"/>
        <w:gridCol w:w="1820"/>
      </w:tblGrid>
      <w:tr w:rsidR="001432C3" w:rsidRPr="008B2522" w14:paraId="5565FDF4" w14:textId="77777777">
        <w:trPr>
          <w:trHeight w:hRule="exact" w:val="264"/>
        </w:trPr>
        <w:tc>
          <w:tcPr>
            <w:tcW w:w="1834" w:type="dxa"/>
          </w:tcPr>
          <w:p w14:paraId="2A0C157A" w14:textId="77777777" w:rsidR="001432C3" w:rsidRPr="008B2522" w:rsidRDefault="001432C3"/>
        </w:tc>
        <w:tc>
          <w:tcPr>
            <w:tcW w:w="5408" w:type="dxa"/>
            <w:gridSpan w:val="3"/>
          </w:tcPr>
          <w:p w14:paraId="2CA0BE71" w14:textId="77777777" w:rsidR="001432C3" w:rsidRPr="008B2522" w:rsidRDefault="000E2AE0">
            <w:pPr>
              <w:pStyle w:val="TableParagraph"/>
              <w:spacing w:line="252" w:lineRule="exact"/>
              <w:ind w:left="2086" w:right="2086"/>
              <w:jc w:val="center"/>
              <w:rPr>
                <w:b/>
              </w:rPr>
            </w:pPr>
            <w:r w:rsidRPr="008B2522">
              <w:rPr>
                <w:b/>
              </w:rPr>
              <w:t>BRIGHTER</w:t>
            </w:r>
          </w:p>
        </w:tc>
        <w:tc>
          <w:tcPr>
            <w:tcW w:w="1820" w:type="dxa"/>
          </w:tcPr>
          <w:p w14:paraId="2DB6B5B7" w14:textId="77777777" w:rsidR="001432C3" w:rsidRPr="008B2522" w:rsidRDefault="000E2AE0">
            <w:pPr>
              <w:pStyle w:val="TableParagraph"/>
              <w:spacing w:line="252" w:lineRule="exact"/>
              <w:ind w:left="359" w:right="359"/>
              <w:jc w:val="center"/>
              <w:rPr>
                <w:b/>
              </w:rPr>
            </w:pPr>
            <w:r w:rsidRPr="008B2522">
              <w:rPr>
                <w:b/>
              </w:rPr>
              <w:t>CRYSTAL</w:t>
            </w:r>
          </w:p>
        </w:tc>
      </w:tr>
      <w:tr w:rsidR="001432C3" w:rsidRPr="008B2522" w14:paraId="6D7F3FB5" w14:textId="77777777">
        <w:trPr>
          <w:trHeight w:hRule="exact" w:val="768"/>
        </w:trPr>
        <w:tc>
          <w:tcPr>
            <w:tcW w:w="1834" w:type="dxa"/>
          </w:tcPr>
          <w:p w14:paraId="44CC56A0" w14:textId="77777777" w:rsidR="001432C3" w:rsidRPr="008B2522" w:rsidRDefault="001432C3"/>
        </w:tc>
        <w:tc>
          <w:tcPr>
            <w:tcW w:w="1820" w:type="dxa"/>
          </w:tcPr>
          <w:p w14:paraId="6E2421EC" w14:textId="77777777" w:rsidR="001432C3" w:rsidRPr="008B2522" w:rsidRDefault="00CA00F3">
            <w:pPr>
              <w:pStyle w:val="TableParagraph"/>
              <w:ind w:left="622" w:hanging="431"/>
            </w:pPr>
            <w:r>
              <w:t>Ranibizumab</w:t>
            </w:r>
            <w:r w:rsidRPr="008B2522">
              <w:t xml:space="preserve"> </w:t>
            </w:r>
            <w:r w:rsidR="000E2AE0" w:rsidRPr="008B2522">
              <w:t>0,5</w:t>
            </w:r>
            <w:r w:rsidR="00257CD6">
              <w:t> mg</w:t>
            </w:r>
            <w:r w:rsidR="000E2AE0" w:rsidRPr="008B2522">
              <w:t xml:space="preserve"> n=180</w:t>
            </w:r>
          </w:p>
        </w:tc>
        <w:tc>
          <w:tcPr>
            <w:tcW w:w="1812" w:type="dxa"/>
          </w:tcPr>
          <w:p w14:paraId="7B3646DA" w14:textId="77777777" w:rsidR="001432C3" w:rsidRPr="008B2522" w:rsidRDefault="00CA00F3">
            <w:pPr>
              <w:pStyle w:val="TableParagraph"/>
              <w:spacing w:line="246" w:lineRule="exact"/>
              <w:ind w:left="169" w:right="169"/>
              <w:jc w:val="center"/>
            </w:pPr>
            <w:r>
              <w:t>Ranibizumab</w:t>
            </w:r>
            <w:r w:rsidRPr="008B2522">
              <w:t xml:space="preserve"> </w:t>
            </w:r>
            <w:r w:rsidR="000E2AE0" w:rsidRPr="008B2522">
              <w:t>0,5</w:t>
            </w:r>
            <w:r w:rsidR="00257CD6">
              <w:t> mg</w:t>
            </w:r>
          </w:p>
          <w:p w14:paraId="6C491D97" w14:textId="77777777" w:rsidR="001432C3" w:rsidRPr="008B2522" w:rsidRDefault="000E2AE0">
            <w:pPr>
              <w:pStyle w:val="TableParagraph"/>
              <w:ind w:left="566" w:right="565"/>
              <w:jc w:val="center"/>
            </w:pPr>
            <w:r w:rsidRPr="008B2522">
              <w:t>+ Laser n=178</w:t>
            </w:r>
          </w:p>
        </w:tc>
        <w:tc>
          <w:tcPr>
            <w:tcW w:w="1776" w:type="dxa"/>
          </w:tcPr>
          <w:p w14:paraId="4C01288F" w14:textId="77777777" w:rsidR="001432C3" w:rsidRPr="008B2522" w:rsidRDefault="000E2AE0">
            <w:pPr>
              <w:pStyle w:val="TableParagraph"/>
              <w:ind w:left="655" w:right="564" w:hanging="72"/>
            </w:pPr>
            <w:r w:rsidRPr="008B2522">
              <w:t>Laser* n=90</w:t>
            </w:r>
          </w:p>
        </w:tc>
        <w:tc>
          <w:tcPr>
            <w:tcW w:w="1820" w:type="dxa"/>
          </w:tcPr>
          <w:p w14:paraId="637DD5C8" w14:textId="77777777" w:rsidR="001432C3" w:rsidRPr="008B2522" w:rsidRDefault="00CA00F3">
            <w:pPr>
              <w:pStyle w:val="TableParagraph"/>
              <w:ind w:left="622" w:hanging="431"/>
            </w:pPr>
            <w:r>
              <w:t>Ranibizumab</w:t>
            </w:r>
            <w:r w:rsidRPr="008B2522">
              <w:t xml:space="preserve"> </w:t>
            </w:r>
            <w:r w:rsidR="000E2AE0" w:rsidRPr="008B2522">
              <w:t>0,5</w:t>
            </w:r>
            <w:r w:rsidR="00257CD6">
              <w:t> mg</w:t>
            </w:r>
            <w:r w:rsidR="000E2AE0" w:rsidRPr="008B2522">
              <w:t xml:space="preserve"> n=356</w:t>
            </w:r>
          </w:p>
        </w:tc>
      </w:tr>
      <w:tr w:rsidR="001432C3" w:rsidRPr="008B2522" w14:paraId="6491752D" w14:textId="77777777">
        <w:trPr>
          <w:trHeight w:hRule="exact" w:val="1022"/>
        </w:trPr>
        <w:tc>
          <w:tcPr>
            <w:tcW w:w="1834" w:type="dxa"/>
          </w:tcPr>
          <w:p w14:paraId="45BBEBBA" w14:textId="77777777" w:rsidR="001432C3" w:rsidRPr="008B2522" w:rsidRDefault="000E2AE0">
            <w:pPr>
              <w:pStyle w:val="TableParagraph"/>
              <w:spacing w:line="242" w:lineRule="auto"/>
              <w:ind w:right="338"/>
            </w:pPr>
            <w:r w:rsidRPr="008B2522">
              <w:t>Średnia zmiana BCVA w</w:t>
            </w:r>
          </w:p>
          <w:p w14:paraId="554F2AD7" w14:textId="77777777" w:rsidR="001432C3" w:rsidRPr="008B2522" w:rsidRDefault="00C82F55">
            <w:pPr>
              <w:pStyle w:val="TableParagraph"/>
              <w:spacing w:line="242" w:lineRule="auto"/>
              <w:ind w:right="607"/>
            </w:pPr>
            <w:r w:rsidRPr="008B2522">
              <w:t>miesiącu</w:t>
            </w:r>
            <w:r>
              <w:t> </w:t>
            </w:r>
            <w:r w:rsidR="000E2AE0" w:rsidRPr="008B2522">
              <w:t>6.</w:t>
            </w:r>
            <w:r w:rsidR="000E2AE0" w:rsidRPr="008B2522">
              <w:rPr>
                <w:position w:val="8"/>
                <w:sz w:val="14"/>
              </w:rPr>
              <w:t xml:space="preserve">a </w:t>
            </w:r>
            <w:r w:rsidR="000E2AE0" w:rsidRPr="008B2522">
              <w:t>(litery) (SD)</w:t>
            </w:r>
          </w:p>
        </w:tc>
        <w:tc>
          <w:tcPr>
            <w:tcW w:w="1820" w:type="dxa"/>
          </w:tcPr>
          <w:p w14:paraId="592B6600" w14:textId="77777777" w:rsidR="001432C3" w:rsidRPr="008B2522" w:rsidRDefault="001432C3">
            <w:pPr>
              <w:pStyle w:val="TableParagraph"/>
              <w:spacing w:before="6"/>
              <w:ind w:left="0"/>
              <w:rPr>
                <w:b/>
                <w:sz w:val="21"/>
              </w:rPr>
            </w:pPr>
          </w:p>
          <w:p w14:paraId="70F4FD6A" w14:textId="77777777" w:rsidR="001432C3" w:rsidRPr="008B2522" w:rsidRDefault="000E2AE0">
            <w:pPr>
              <w:pStyle w:val="TableParagraph"/>
              <w:spacing w:line="252" w:lineRule="exact"/>
              <w:ind w:left="359" w:right="357"/>
              <w:jc w:val="center"/>
            </w:pPr>
            <w:r w:rsidRPr="008B2522">
              <w:t>+14,8</w:t>
            </w:r>
          </w:p>
          <w:p w14:paraId="01AACF89" w14:textId="77777777" w:rsidR="001432C3" w:rsidRPr="008B2522" w:rsidRDefault="000E2AE0">
            <w:pPr>
              <w:pStyle w:val="TableParagraph"/>
              <w:spacing w:line="252" w:lineRule="exact"/>
              <w:ind w:left="359" w:right="359"/>
              <w:jc w:val="center"/>
            </w:pPr>
            <w:r w:rsidRPr="008B2522">
              <w:t>(10,7)</w:t>
            </w:r>
          </w:p>
        </w:tc>
        <w:tc>
          <w:tcPr>
            <w:tcW w:w="1812" w:type="dxa"/>
          </w:tcPr>
          <w:p w14:paraId="10E87059" w14:textId="77777777" w:rsidR="001432C3" w:rsidRPr="008B2522" w:rsidRDefault="001432C3">
            <w:pPr>
              <w:pStyle w:val="TableParagraph"/>
              <w:spacing w:before="6"/>
              <w:ind w:left="0"/>
              <w:rPr>
                <w:b/>
                <w:sz w:val="21"/>
              </w:rPr>
            </w:pPr>
          </w:p>
          <w:p w14:paraId="402AB4F1" w14:textId="77777777" w:rsidR="001432C3" w:rsidRPr="008B2522" w:rsidRDefault="000E2AE0">
            <w:pPr>
              <w:pStyle w:val="TableParagraph"/>
              <w:spacing w:line="252" w:lineRule="exact"/>
              <w:ind w:left="169" w:right="169"/>
              <w:jc w:val="center"/>
            </w:pPr>
            <w:r w:rsidRPr="008B2522">
              <w:t>+14,8</w:t>
            </w:r>
          </w:p>
          <w:p w14:paraId="416C4B48" w14:textId="77777777" w:rsidR="001432C3" w:rsidRPr="008B2522" w:rsidRDefault="000E2AE0">
            <w:pPr>
              <w:pStyle w:val="TableParagraph"/>
              <w:spacing w:line="252" w:lineRule="exact"/>
              <w:ind w:left="169" w:right="169"/>
              <w:jc w:val="center"/>
            </w:pPr>
            <w:r w:rsidRPr="008B2522">
              <w:t>(11,13)</w:t>
            </w:r>
          </w:p>
        </w:tc>
        <w:tc>
          <w:tcPr>
            <w:tcW w:w="1776" w:type="dxa"/>
          </w:tcPr>
          <w:p w14:paraId="7290D8CD" w14:textId="77777777" w:rsidR="001432C3" w:rsidRPr="008B2522" w:rsidRDefault="001432C3">
            <w:pPr>
              <w:pStyle w:val="TableParagraph"/>
              <w:spacing w:before="6"/>
              <w:ind w:left="0"/>
              <w:rPr>
                <w:b/>
                <w:sz w:val="21"/>
              </w:rPr>
            </w:pPr>
          </w:p>
          <w:p w14:paraId="39DA33E6" w14:textId="77777777" w:rsidR="001432C3" w:rsidRPr="008B2522" w:rsidRDefault="000E2AE0">
            <w:pPr>
              <w:pStyle w:val="TableParagraph"/>
              <w:spacing w:line="252" w:lineRule="exact"/>
              <w:ind w:left="541" w:right="539"/>
              <w:jc w:val="center"/>
            </w:pPr>
            <w:r w:rsidRPr="008B2522">
              <w:t>+6,0</w:t>
            </w:r>
          </w:p>
          <w:p w14:paraId="0305C91D" w14:textId="77777777" w:rsidR="001432C3" w:rsidRPr="008B2522" w:rsidRDefault="000E2AE0">
            <w:pPr>
              <w:pStyle w:val="TableParagraph"/>
              <w:spacing w:line="252" w:lineRule="exact"/>
              <w:ind w:left="541" w:right="542"/>
              <w:jc w:val="center"/>
            </w:pPr>
            <w:r w:rsidRPr="008B2522">
              <w:t>(14,27)</w:t>
            </w:r>
          </w:p>
        </w:tc>
        <w:tc>
          <w:tcPr>
            <w:tcW w:w="1820" w:type="dxa"/>
          </w:tcPr>
          <w:p w14:paraId="100106C0" w14:textId="77777777" w:rsidR="001432C3" w:rsidRPr="008B2522" w:rsidRDefault="001432C3">
            <w:pPr>
              <w:pStyle w:val="TableParagraph"/>
              <w:spacing w:before="6"/>
              <w:ind w:left="0"/>
              <w:rPr>
                <w:b/>
                <w:sz w:val="21"/>
              </w:rPr>
            </w:pPr>
          </w:p>
          <w:p w14:paraId="126CA37C" w14:textId="77777777" w:rsidR="001432C3" w:rsidRPr="008B2522" w:rsidRDefault="000E2AE0">
            <w:pPr>
              <w:pStyle w:val="TableParagraph"/>
              <w:spacing w:line="252" w:lineRule="exact"/>
              <w:ind w:left="359" w:right="357"/>
              <w:jc w:val="center"/>
            </w:pPr>
            <w:r w:rsidRPr="008B2522">
              <w:t>+12,0</w:t>
            </w:r>
          </w:p>
          <w:p w14:paraId="6CC88B36" w14:textId="77777777" w:rsidR="001432C3" w:rsidRPr="008B2522" w:rsidRDefault="000E2AE0">
            <w:pPr>
              <w:pStyle w:val="TableParagraph"/>
              <w:spacing w:line="252" w:lineRule="exact"/>
              <w:ind w:left="359" w:right="359"/>
              <w:jc w:val="center"/>
            </w:pPr>
            <w:r w:rsidRPr="008B2522">
              <w:t>(13,95)</w:t>
            </w:r>
          </w:p>
        </w:tc>
      </w:tr>
      <w:tr w:rsidR="001432C3" w:rsidRPr="008B2522" w14:paraId="11F89EF1" w14:textId="77777777">
        <w:trPr>
          <w:trHeight w:hRule="exact" w:val="1022"/>
        </w:trPr>
        <w:tc>
          <w:tcPr>
            <w:tcW w:w="1834" w:type="dxa"/>
          </w:tcPr>
          <w:p w14:paraId="3B49222E" w14:textId="77777777" w:rsidR="001432C3" w:rsidRPr="008B2522" w:rsidRDefault="000E2AE0">
            <w:pPr>
              <w:pStyle w:val="TableParagraph"/>
              <w:spacing w:line="242" w:lineRule="auto"/>
              <w:ind w:right="338"/>
            </w:pPr>
            <w:r w:rsidRPr="008B2522">
              <w:t>Średnia zmiana BCVA w</w:t>
            </w:r>
          </w:p>
          <w:p w14:paraId="7FB10896" w14:textId="77777777" w:rsidR="001432C3" w:rsidRPr="008B2522" w:rsidRDefault="00C82F55">
            <w:pPr>
              <w:pStyle w:val="TableParagraph"/>
              <w:spacing w:before="6" w:line="252" w:lineRule="exact"/>
              <w:ind w:right="519"/>
            </w:pPr>
            <w:r w:rsidRPr="008B2522">
              <w:t>miesiącu</w:t>
            </w:r>
            <w:r>
              <w:t> </w:t>
            </w:r>
            <w:r w:rsidR="000E2AE0" w:rsidRPr="008B2522">
              <w:t>24.</w:t>
            </w:r>
            <w:r w:rsidR="000E2AE0" w:rsidRPr="008B2522">
              <w:rPr>
                <w:position w:val="8"/>
                <w:sz w:val="14"/>
              </w:rPr>
              <w:t xml:space="preserve">b </w:t>
            </w:r>
            <w:r w:rsidR="000E2AE0" w:rsidRPr="008B2522">
              <w:t>(litery) (SD)</w:t>
            </w:r>
          </w:p>
        </w:tc>
        <w:tc>
          <w:tcPr>
            <w:tcW w:w="1820" w:type="dxa"/>
          </w:tcPr>
          <w:p w14:paraId="45A36671" w14:textId="77777777" w:rsidR="001432C3" w:rsidRPr="008B2522" w:rsidRDefault="001432C3">
            <w:pPr>
              <w:pStyle w:val="TableParagraph"/>
              <w:spacing w:before="6"/>
              <w:ind w:left="0"/>
              <w:rPr>
                <w:b/>
                <w:sz w:val="21"/>
              </w:rPr>
            </w:pPr>
          </w:p>
          <w:p w14:paraId="289DD1F2" w14:textId="77777777" w:rsidR="001432C3" w:rsidRPr="008B2522" w:rsidRDefault="000E2AE0">
            <w:pPr>
              <w:pStyle w:val="TableParagraph"/>
              <w:spacing w:line="252" w:lineRule="exact"/>
              <w:ind w:left="359" w:right="357"/>
              <w:jc w:val="center"/>
            </w:pPr>
            <w:r w:rsidRPr="008B2522">
              <w:t>+15,5</w:t>
            </w:r>
          </w:p>
          <w:p w14:paraId="498C0309" w14:textId="77777777" w:rsidR="001432C3" w:rsidRPr="008B2522" w:rsidRDefault="000E2AE0">
            <w:pPr>
              <w:pStyle w:val="TableParagraph"/>
              <w:spacing w:line="252" w:lineRule="exact"/>
              <w:ind w:left="359" w:right="359"/>
              <w:jc w:val="center"/>
            </w:pPr>
            <w:r w:rsidRPr="008B2522">
              <w:t>(13,91)</w:t>
            </w:r>
          </w:p>
        </w:tc>
        <w:tc>
          <w:tcPr>
            <w:tcW w:w="1812" w:type="dxa"/>
          </w:tcPr>
          <w:p w14:paraId="1B5D4D1C" w14:textId="77777777" w:rsidR="001432C3" w:rsidRPr="008B2522" w:rsidRDefault="001432C3">
            <w:pPr>
              <w:pStyle w:val="TableParagraph"/>
              <w:spacing w:before="6"/>
              <w:ind w:left="0"/>
              <w:rPr>
                <w:b/>
                <w:sz w:val="21"/>
              </w:rPr>
            </w:pPr>
          </w:p>
          <w:p w14:paraId="6563E0AB" w14:textId="77777777" w:rsidR="001432C3" w:rsidRPr="008B2522" w:rsidRDefault="000E2AE0">
            <w:pPr>
              <w:pStyle w:val="TableParagraph"/>
              <w:spacing w:line="252" w:lineRule="exact"/>
              <w:ind w:left="169" w:right="169"/>
              <w:jc w:val="center"/>
            </w:pPr>
            <w:r w:rsidRPr="008B2522">
              <w:t>+17,3</w:t>
            </w:r>
          </w:p>
          <w:p w14:paraId="43AEF47C" w14:textId="77777777" w:rsidR="001432C3" w:rsidRPr="008B2522" w:rsidRDefault="000E2AE0">
            <w:pPr>
              <w:pStyle w:val="TableParagraph"/>
              <w:spacing w:line="252" w:lineRule="exact"/>
              <w:ind w:left="169" w:right="169"/>
              <w:jc w:val="center"/>
            </w:pPr>
            <w:r w:rsidRPr="008B2522">
              <w:t>(12,61)</w:t>
            </w:r>
          </w:p>
        </w:tc>
        <w:tc>
          <w:tcPr>
            <w:tcW w:w="1776" w:type="dxa"/>
          </w:tcPr>
          <w:p w14:paraId="29E61642" w14:textId="77777777" w:rsidR="001432C3" w:rsidRPr="008B2522" w:rsidRDefault="001432C3">
            <w:pPr>
              <w:pStyle w:val="TableParagraph"/>
              <w:spacing w:before="6"/>
              <w:ind w:left="0"/>
              <w:rPr>
                <w:b/>
                <w:sz w:val="21"/>
              </w:rPr>
            </w:pPr>
          </w:p>
          <w:p w14:paraId="7AF0BA50" w14:textId="77777777" w:rsidR="001432C3" w:rsidRPr="008B2522" w:rsidRDefault="000E2AE0">
            <w:pPr>
              <w:pStyle w:val="TableParagraph"/>
              <w:spacing w:line="252" w:lineRule="exact"/>
              <w:ind w:left="541" w:right="539"/>
              <w:jc w:val="center"/>
            </w:pPr>
            <w:r w:rsidRPr="008B2522">
              <w:t>+11,6</w:t>
            </w:r>
          </w:p>
          <w:p w14:paraId="00289530" w14:textId="77777777" w:rsidR="001432C3" w:rsidRPr="008B2522" w:rsidRDefault="000E2AE0">
            <w:pPr>
              <w:pStyle w:val="TableParagraph"/>
              <w:spacing w:line="252" w:lineRule="exact"/>
              <w:ind w:left="541" w:right="542"/>
              <w:jc w:val="center"/>
            </w:pPr>
            <w:r w:rsidRPr="008B2522">
              <w:t>(16,09)</w:t>
            </w:r>
          </w:p>
        </w:tc>
        <w:tc>
          <w:tcPr>
            <w:tcW w:w="1820" w:type="dxa"/>
          </w:tcPr>
          <w:p w14:paraId="2FF00B4F" w14:textId="77777777" w:rsidR="001432C3" w:rsidRPr="008B2522" w:rsidRDefault="001432C3">
            <w:pPr>
              <w:pStyle w:val="TableParagraph"/>
              <w:spacing w:before="6"/>
              <w:ind w:left="0"/>
              <w:rPr>
                <w:b/>
                <w:sz w:val="21"/>
              </w:rPr>
            </w:pPr>
          </w:p>
          <w:p w14:paraId="26EEAA5F" w14:textId="77777777" w:rsidR="001432C3" w:rsidRPr="008B2522" w:rsidRDefault="000E2AE0">
            <w:pPr>
              <w:pStyle w:val="TableParagraph"/>
              <w:spacing w:line="252" w:lineRule="exact"/>
              <w:ind w:left="359" w:right="357"/>
              <w:jc w:val="center"/>
            </w:pPr>
            <w:r w:rsidRPr="008B2522">
              <w:t>+12,1</w:t>
            </w:r>
          </w:p>
          <w:p w14:paraId="2D0ACA1E" w14:textId="77777777" w:rsidR="001432C3" w:rsidRPr="008B2522" w:rsidRDefault="000E2AE0">
            <w:pPr>
              <w:pStyle w:val="TableParagraph"/>
              <w:spacing w:line="252" w:lineRule="exact"/>
              <w:ind w:left="359" w:right="359"/>
              <w:jc w:val="center"/>
            </w:pPr>
            <w:r w:rsidRPr="008B2522">
              <w:t>(18,60)</w:t>
            </w:r>
          </w:p>
        </w:tc>
      </w:tr>
      <w:tr w:rsidR="001432C3" w:rsidRPr="008B2522" w14:paraId="5FA09CFF" w14:textId="77777777">
        <w:trPr>
          <w:trHeight w:hRule="exact" w:val="769"/>
        </w:trPr>
        <w:tc>
          <w:tcPr>
            <w:tcW w:w="1834" w:type="dxa"/>
          </w:tcPr>
          <w:p w14:paraId="09F64651" w14:textId="77777777" w:rsidR="001432C3" w:rsidRPr="008B2522" w:rsidRDefault="000E2AE0">
            <w:pPr>
              <w:pStyle w:val="TableParagraph"/>
              <w:ind w:right="242"/>
            </w:pPr>
            <w:r w:rsidRPr="008B2522">
              <w:t>Zysk ≥</w:t>
            </w:r>
            <w:r w:rsidR="00C82F55" w:rsidRPr="008B2522">
              <w:t>15</w:t>
            </w:r>
            <w:r w:rsidR="00C82F55">
              <w:t> </w:t>
            </w:r>
            <w:r w:rsidRPr="008B2522">
              <w:t>liter w BCVA w</w:t>
            </w:r>
          </w:p>
          <w:p w14:paraId="47F43ED5" w14:textId="77777777" w:rsidR="001432C3" w:rsidRPr="008B2522" w:rsidRDefault="00C82F55">
            <w:pPr>
              <w:pStyle w:val="TableParagraph"/>
              <w:spacing w:before="7"/>
            </w:pPr>
            <w:r w:rsidRPr="008B2522">
              <w:t>miesiącu</w:t>
            </w:r>
            <w:r>
              <w:t> </w:t>
            </w:r>
            <w:r w:rsidR="000E2AE0" w:rsidRPr="008B2522">
              <w:t>24. (%)</w:t>
            </w:r>
          </w:p>
        </w:tc>
        <w:tc>
          <w:tcPr>
            <w:tcW w:w="1820" w:type="dxa"/>
          </w:tcPr>
          <w:p w14:paraId="001B4E12" w14:textId="77777777" w:rsidR="001432C3" w:rsidRPr="008B2522" w:rsidRDefault="001432C3">
            <w:pPr>
              <w:pStyle w:val="TableParagraph"/>
              <w:spacing w:before="4"/>
              <w:ind w:left="0"/>
              <w:rPr>
                <w:b/>
                <w:sz w:val="21"/>
              </w:rPr>
            </w:pPr>
          </w:p>
          <w:p w14:paraId="328EB01A" w14:textId="77777777" w:rsidR="001432C3" w:rsidRPr="008B2522" w:rsidRDefault="000E2AE0">
            <w:pPr>
              <w:pStyle w:val="TableParagraph"/>
              <w:spacing w:before="1"/>
              <w:ind w:left="359" w:right="356"/>
              <w:jc w:val="center"/>
            </w:pPr>
            <w:r w:rsidRPr="008B2522">
              <w:t>52,8</w:t>
            </w:r>
          </w:p>
        </w:tc>
        <w:tc>
          <w:tcPr>
            <w:tcW w:w="1812" w:type="dxa"/>
          </w:tcPr>
          <w:p w14:paraId="2706ABB1" w14:textId="77777777" w:rsidR="001432C3" w:rsidRPr="008B2522" w:rsidRDefault="001432C3">
            <w:pPr>
              <w:pStyle w:val="TableParagraph"/>
              <w:spacing w:before="4"/>
              <w:ind w:left="0"/>
              <w:rPr>
                <w:b/>
                <w:sz w:val="21"/>
              </w:rPr>
            </w:pPr>
          </w:p>
          <w:p w14:paraId="45F569C9" w14:textId="77777777" w:rsidR="001432C3" w:rsidRPr="008B2522" w:rsidRDefault="000E2AE0">
            <w:pPr>
              <w:pStyle w:val="TableParagraph"/>
              <w:spacing w:before="1"/>
              <w:ind w:left="169" w:right="169"/>
              <w:jc w:val="center"/>
            </w:pPr>
            <w:r w:rsidRPr="008B2522">
              <w:t>59,6</w:t>
            </w:r>
          </w:p>
        </w:tc>
        <w:tc>
          <w:tcPr>
            <w:tcW w:w="1776" w:type="dxa"/>
          </w:tcPr>
          <w:p w14:paraId="72E81E9B" w14:textId="77777777" w:rsidR="001432C3" w:rsidRPr="008B2522" w:rsidRDefault="001432C3">
            <w:pPr>
              <w:pStyle w:val="TableParagraph"/>
              <w:spacing w:before="4"/>
              <w:ind w:left="0"/>
              <w:rPr>
                <w:b/>
                <w:sz w:val="21"/>
              </w:rPr>
            </w:pPr>
          </w:p>
          <w:p w14:paraId="4DEB114D" w14:textId="77777777" w:rsidR="001432C3" w:rsidRPr="008B2522" w:rsidRDefault="000E2AE0">
            <w:pPr>
              <w:pStyle w:val="TableParagraph"/>
              <w:spacing w:before="1"/>
              <w:ind w:left="0" w:right="686"/>
              <w:jc w:val="right"/>
            </w:pPr>
            <w:r w:rsidRPr="008B2522">
              <w:t>43,3</w:t>
            </w:r>
          </w:p>
        </w:tc>
        <w:tc>
          <w:tcPr>
            <w:tcW w:w="1820" w:type="dxa"/>
          </w:tcPr>
          <w:p w14:paraId="4E038D84" w14:textId="77777777" w:rsidR="001432C3" w:rsidRPr="008B2522" w:rsidRDefault="001432C3">
            <w:pPr>
              <w:pStyle w:val="TableParagraph"/>
              <w:spacing w:before="4"/>
              <w:ind w:left="0"/>
              <w:rPr>
                <w:b/>
                <w:sz w:val="21"/>
              </w:rPr>
            </w:pPr>
          </w:p>
          <w:p w14:paraId="7958D2EC" w14:textId="77777777" w:rsidR="001432C3" w:rsidRPr="008B2522" w:rsidRDefault="000E2AE0">
            <w:pPr>
              <w:pStyle w:val="TableParagraph"/>
              <w:spacing w:before="1"/>
              <w:ind w:left="359" w:right="356"/>
              <w:jc w:val="center"/>
            </w:pPr>
            <w:r w:rsidRPr="008B2522">
              <w:t>49,2</w:t>
            </w:r>
          </w:p>
        </w:tc>
      </w:tr>
      <w:tr w:rsidR="001432C3" w:rsidRPr="008B2522" w14:paraId="34D08BBE" w14:textId="77777777">
        <w:trPr>
          <w:trHeight w:hRule="exact" w:val="770"/>
        </w:trPr>
        <w:tc>
          <w:tcPr>
            <w:tcW w:w="1834" w:type="dxa"/>
          </w:tcPr>
          <w:p w14:paraId="2FB3C6D1" w14:textId="77777777" w:rsidR="001432C3" w:rsidRPr="008B2522" w:rsidRDefault="000E2AE0">
            <w:pPr>
              <w:pStyle w:val="TableParagraph"/>
              <w:ind w:right="155"/>
            </w:pPr>
            <w:r w:rsidRPr="008B2522">
              <w:t>Średnia liczba wstrzyknięć (SD) (miesiące 0-23)</w:t>
            </w:r>
          </w:p>
        </w:tc>
        <w:tc>
          <w:tcPr>
            <w:tcW w:w="1820" w:type="dxa"/>
          </w:tcPr>
          <w:p w14:paraId="1EDF1426" w14:textId="77777777" w:rsidR="001432C3" w:rsidRPr="008B2522" w:rsidRDefault="000E2AE0">
            <w:pPr>
              <w:pStyle w:val="TableParagraph"/>
              <w:spacing w:before="121"/>
              <w:ind w:left="359" w:right="356"/>
              <w:jc w:val="center"/>
            </w:pPr>
            <w:r w:rsidRPr="008B2522">
              <w:t>11,4</w:t>
            </w:r>
          </w:p>
          <w:p w14:paraId="6F14AF92" w14:textId="77777777" w:rsidR="001432C3" w:rsidRPr="008B2522" w:rsidRDefault="000E2AE0">
            <w:pPr>
              <w:pStyle w:val="TableParagraph"/>
              <w:spacing w:before="1"/>
              <w:ind w:left="359" w:right="359"/>
              <w:jc w:val="center"/>
            </w:pPr>
            <w:r w:rsidRPr="008B2522">
              <w:t>(5,81)</w:t>
            </w:r>
          </w:p>
        </w:tc>
        <w:tc>
          <w:tcPr>
            <w:tcW w:w="1812" w:type="dxa"/>
          </w:tcPr>
          <w:p w14:paraId="07A075F8" w14:textId="77777777" w:rsidR="001432C3" w:rsidRPr="008B2522" w:rsidRDefault="001432C3">
            <w:pPr>
              <w:pStyle w:val="TableParagraph"/>
              <w:spacing w:before="6"/>
              <w:ind w:left="0"/>
              <w:rPr>
                <w:b/>
                <w:sz w:val="21"/>
              </w:rPr>
            </w:pPr>
          </w:p>
          <w:p w14:paraId="31DA5D5F" w14:textId="77777777" w:rsidR="001432C3" w:rsidRPr="008B2522" w:rsidRDefault="000E2AE0">
            <w:pPr>
              <w:pStyle w:val="TableParagraph"/>
              <w:ind w:left="169" w:right="169"/>
              <w:jc w:val="center"/>
            </w:pPr>
            <w:r w:rsidRPr="008B2522">
              <w:t>11,3 (6,02)</w:t>
            </w:r>
          </w:p>
        </w:tc>
        <w:tc>
          <w:tcPr>
            <w:tcW w:w="1776" w:type="dxa"/>
          </w:tcPr>
          <w:p w14:paraId="213CDAC8" w14:textId="77777777" w:rsidR="001432C3" w:rsidRPr="008B2522" w:rsidRDefault="001432C3">
            <w:pPr>
              <w:pStyle w:val="TableParagraph"/>
              <w:spacing w:before="6"/>
              <w:ind w:left="0"/>
              <w:rPr>
                <w:b/>
                <w:sz w:val="21"/>
              </w:rPr>
            </w:pPr>
          </w:p>
          <w:p w14:paraId="36A1F942" w14:textId="77777777" w:rsidR="001432C3" w:rsidRPr="008B2522" w:rsidRDefault="000E2AE0">
            <w:pPr>
              <w:pStyle w:val="TableParagraph"/>
              <w:ind w:left="0" w:right="690"/>
              <w:jc w:val="right"/>
            </w:pPr>
            <w:r w:rsidRPr="008B2522">
              <w:t>N/A</w:t>
            </w:r>
          </w:p>
        </w:tc>
        <w:tc>
          <w:tcPr>
            <w:tcW w:w="1820" w:type="dxa"/>
          </w:tcPr>
          <w:p w14:paraId="7EE42134" w14:textId="77777777" w:rsidR="001432C3" w:rsidRPr="008B2522" w:rsidRDefault="001432C3">
            <w:pPr>
              <w:pStyle w:val="TableParagraph"/>
              <w:spacing w:before="6"/>
              <w:ind w:left="0"/>
              <w:rPr>
                <w:b/>
                <w:sz w:val="21"/>
              </w:rPr>
            </w:pPr>
          </w:p>
          <w:p w14:paraId="10DACBFE" w14:textId="77777777" w:rsidR="001432C3" w:rsidRPr="008B2522" w:rsidRDefault="000E2AE0">
            <w:pPr>
              <w:pStyle w:val="TableParagraph"/>
              <w:ind w:left="359" w:right="359"/>
              <w:jc w:val="center"/>
            </w:pPr>
            <w:r w:rsidRPr="008B2522">
              <w:t>13,1 (6,39)</w:t>
            </w:r>
          </w:p>
        </w:tc>
      </w:tr>
      <w:tr w:rsidR="001432C3" w:rsidRPr="004A2080" w14:paraId="70D95D86" w14:textId="77777777">
        <w:trPr>
          <w:trHeight w:hRule="exact" w:val="1781"/>
        </w:trPr>
        <w:tc>
          <w:tcPr>
            <w:tcW w:w="9062" w:type="dxa"/>
            <w:gridSpan w:val="5"/>
          </w:tcPr>
          <w:p w14:paraId="3F8DC1E7" w14:textId="77777777" w:rsidR="001432C3" w:rsidRPr="008B2522" w:rsidRDefault="000E2AE0">
            <w:pPr>
              <w:pStyle w:val="TableParagraph"/>
              <w:tabs>
                <w:tab w:val="left" w:pos="669"/>
              </w:tabs>
              <w:spacing w:line="246" w:lineRule="exact"/>
            </w:pPr>
            <w:r w:rsidRPr="008B2522">
              <w:rPr>
                <w:position w:val="8"/>
                <w:sz w:val="14"/>
              </w:rPr>
              <w:t>a</w:t>
            </w:r>
            <w:r w:rsidRPr="008B2522">
              <w:rPr>
                <w:position w:val="8"/>
                <w:sz w:val="14"/>
              </w:rPr>
              <w:tab/>
            </w:r>
            <w:r w:rsidRPr="008B2522">
              <w:t xml:space="preserve">p&lt;0,0001dla obu porównań w badaniu BRIGHTER w miesiącu 6.: </w:t>
            </w:r>
            <w:r w:rsidR="00915E00" w:rsidRPr="004A2080">
              <w:t>ranibizumab</w:t>
            </w:r>
            <w:r w:rsidRPr="008B2522">
              <w:t xml:space="preserve"> 0,5</w:t>
            </w:r>
            <w:r w:rsidR="00257CD6">
              <w:t> mg</w:t>
            </w:r>
            <w:r w:rsidRPr="008B2522">
              <w:rPr>
                <w:spacing w:val="-18"/>
              </w:rPr>
              <w:t xml:space="preserve"> </w:t>
            </w:r>
            <w:r w:rsidRPr="008B2522">
              <w:t>w</w:t>
            </w:r>
          </w:p>
          <w:p w14:paraId="3C549881" w14:textId="77777777" w:rsidR="001432C3" w:rsidRPr="008B2522" w:rsidRDefault="000E2AE0" w:rsidP="00E0574D">
            <w:pPr>
              <w:pStyle w:val="TableParagraph"/>
              <w:spacing w:line="252" w:lineRule="exact"/>
              <w:ind w:left="669"/>
            </w:pPr>
            <w:r w:rsidRPr="008B2522">
              <w:t xml:space="preserve">porównaniu </w:t>
            </w:r>
            <w:r w:rsidRPr="008B2522">
              <w:rPr>
                <w:i/>
              </w:rPr>
              <w:t xml:space="preserve">(vs.) </w:t>
            </w:r>
            <w:r w:rsidRPr="008B2522">
              <w:t xml:space="preserve">z fotokoagulacją laserową i </w:t>
            </w:r>
            <w:r w:rsidR="00915E00" w:rsidRPr="00D22CB7">
              <w:t>ranibizumab</w:t>
            </w:r>
            <w:r w:rsidRPr="008B2522">
              <w:t xml:space="preserve"> 0,5</w:t>
            </w:r>
            <w:r w:rsidR="00257CD6">
              <w:t> mg</w:t>
            </w:r>
            <w:r w:rsidRPr="008B2522">
              <w:t xml:space="preserve"> + fotokoagulacja laserowa </w:t>
            </w:r>
            <w:r w:rsidRPr="008B2522">
              <w:rPr>
                <w:i/>
              </w:rPr>
              <w:t>vs.</w:t>
            </w:r>
            <w:r w:rsidR="00CA00F3">
              <w:t xml:space="preserve"> </w:t>
            </w:r>
            <w:r w:rsidRPr="008B2522">
              <w:t>fotokoagulacja laserowa.</w:t>
            </w:r>
          </w:p>
          <w:p w14:paraId="146B61AF" w14:textId="77777777" w:rsidR="001432C3" w:rsidRPr="008B2522" w:rsidRDefault="000E2AE0">
            <w:pPr>
              <w:pStyle w:val="TableParagraph"/>
              <w:tabs>
                <w:tab w:val="left" w:pos="669"/>
              </w:tabs>
              <w:spacing w:before="5" w:line="252" w:lineRule="exact"/>
              <w:ind w:left="669" w:right="622" w:hanging="567"/>
            </w:pPr>
            <w:r w:rsidRPr="008B2522">
              <w:rPr>
                <w:position w:val="8"/>
                <w:sz w:val="14"/>
              </w:rPr>
              <w:t>b</w:t>
            </w:r>
            <w:r w:rsidRPr="008B2522">
              <w:rPr>
                <w:position w:val="8"/>
                <w:sz w:val="14"/>
              </w:rPr>
              <w:tab/>
            </w:r>
            <w:r w:rsidRPr="008B2522">
              <w:t>p&lt;0,0001dla hipotezy zerowej w badaniu CRYSTAL, zgodnie z którą średnia</w:t>
            </w:r>
            <w:r w:rsidRPr="008B2522">
              <w:rPr>
                <w:spacing w:val="-14"/>
              </w:rPr>
              <w:t xml:space="preserve"> </w:t>
            </w:r>
            <w:r w:rsidRPr="008B2522">
              <w:t>zmiana</w:t>
            </w:r>
            <w:r w:rsidRPr="008B2522">
              <w:rPr>
                <w:spacing w:val="-1"/>
              </w:rPr>
              <w:t xml:space="preserve"> </w:t>
            </w:r>
            <w:r w:rsidRPr="008B2522">
              <w:t>w miesiącu 24. od wartości początkowych wynosi</w:t>
            </w:r>
            <w:r w:rsidRPr="008B2522">
              <w:rPr>
                <w:spacing w:val="-11"/>
              </w:rPr>
              <w:t xml:space="preserve"> </w:t>
            </w:r>
            <w:r w:rsidRPr="008B2522">
              <w:t>zero.</w:t>
            </w:r>
          </w:p>
          <w:p w14:paraId="768F41B9" w14:textId="77777777" w:rsidR="001432C3" w:rsidRPr="008B2522" w:rsidRDefault="000E2AE0">
            <w:pPr>
              <w:pStyle w:val="TableParagraph"/>
              <w:tabs>
                <w:tab w:val="left" w:pos="669"/>
              </w:tabs>
              <w:ind w:left="669" w:right="650" w:hanging="567"/>
            </w:pPr>
            <w:r w:rsidRPr="008B2522">
              <w:t>*</w:t>
            </w:r>
            <w:r w:rsidRPr="008B2522">
              <w:tab/>
              <w:t>Począwszy od miesiąca 6. możliwe było leczenie ranibizumabem 0,5</w:t>
            </w:r>
            <w:r w:rsidR="00257CD6">
              <w:t> mg</w:t>
            </w:r>
            <w:r w:rsidRPr="008B2522">
              <w:rPr>
                <w:spacing w:val="-19"/>
              </w:rPr>
              <w:t xml:space="preserve"> </w:t>
            </w:r>
            <w:r w:rsidRPr="008B2522">
              <w:t>(24 pacjentów otrzymywało wyłącznie fotokoagulację</w:t>
            </w:r>
            <w:r w:rsidRPr="008B2522">
              <w:rPr>
                <w:spacing w:val="-12"/>
              </w:rPr>
              <w:t xml:space="preserve"> </w:t>
            </w:r>
            <w:r w:rsidRPr="008B2522">
              <w:t>laserową).</w:t>
            </w:r>
          </w:p>
        </w:tc>
      </w:tr>
    </w:tbl>
    <w:p w14:paraId="5DE5DFAE" w14:textId="77777777" w:rsidR="001432C3" w:rsidRPr="008B2522" w:rsidRDefault="001432C3" w:rsidP="00940317">
      <w:pPr>
        <w:pStyle w:val="a3"/>
        <w:spacing w:before="4"/>
        <w:ind w:leftChars="64" w:left="141"/>
        <w:rPr>
          <w:b/>
          <w:sz w:val="21"/>
        </w:rPr>
      </w:pPr>
    </w:p>
    <w:p w14:paraId="56C2F5BE" w14:textId="77777777" w:rsidR="001432C3" w:rsidRPr="008B2522" w:rsidRDefault="000E2AE0" w:rsidP="00940317">
      <w:pPr>
        <w:pStyle w:val="a3"/>
        <w:ind w:leftChars="64" w:left="141" w:right="117"/>
      </w:pPr>
      <w:r w:rsidRPr="008B2522">
        <w:t>W badaniu BRIGHTER ranibizumab w dawce 0,5</w:t>
      </w:r>
      <w:r w:rsidR="00257CD6">
        <w:t> mg</w:t>
      </w:r>
      <w:r w:rsidRPr="008B2522">
        <w:t xml:space="preserve"> podawany łącznie z terapią laserową okazał się nie gorszy niż ranibizumab w monoterapii, od stanu początkowego do </w:t>
      </w:r>
      <w:r w:rsidR="00C82F55" w:rsidRPr="008B2522">
        <w:t>miesiąca</w:t>
      </w:r>
      <w:r w:rsidR="00C82F55">
        <w:t> </w:t>
      </w:r>
      <w:r w:rsidRPr="008B2522">
        <w:t>24. (95% CI -2,8; 1,4).</w:t>
      </w:r>
    </w:p>
    <w:p w14:paraId="105A6A92" w14:textId="77777777" w:rsidR="001432C3" w:rsidRPr="008B2522" w:rsidRDefault="001432C3" w:rsidP="00940317">
      <w:pPr>
        <w:pStyle w:val="a3"/>
        <w:spacing w:before="8"/>
        <w:ind w:leftChars="64" w:left="141"/>
        <w:rPr>
          <w:sz w:val="21"/>
        </w:rPr>
      </w:pPr>
    </w:p>
    <w:p w14:paraId="77B70FC5" w14:textId="77777777" w:rsidR="001432C3" w:rsidRPr="008B2522" w:rsidRDefault="000E2AE0" w:rsidP="00940317">
      <w:pPr>
        <w:pStyle w:val="a3"/>
        <w:spacing w:before="1"/>
        <w:ind w:leftChars="64" w:left="141" w:right="375"/>
      </w:pPr>
      <w:r w:rsidRPr="008B2522">
        <w:t xml:space="preserve">W obu badaniach obserwowano szybkie i statystycznie znamienne zmniejszenie grubości centralnej części siatkówki w </w:t>
      </w:r>
      <w:r w:rsidR="00C82F55" w:rsidRPr="008B2522">
        <w:t>miesiącu</w:t>
      </w:r>
      <w:r w:rsidR="00C82F55">
        <w:t> </w:t>
      </w:r>
      <w:r w:rsidRPr="008B2522">
        <w:t xml:space="preserve">1. Ten efekt utrzymywał się nawet do </w:t>
      </w:r>
      <w:r w:rsidR="00C82F55" w:rsidRPr="008B2522">
        <w:t>miesiąca</w:t>
      </w:r>
      <w:r w:rsidR="00C82F55">
        <w:t> </w:t>
      </w:r>
      <w:r w:rsidRPr="008B2522">
        <w:t>24.</w:t>
      </w:r>
    </w:p>
    <w:p w14:paraId="44E4E344" w14:textId="77777777" w:rsidR="001432C3" w:rsidRPr="008B2522" w:rsidRDefault="001432C3" w:rsidP="00940317">
      <w:pPr>
        <w:pStyle w:val="a3"/>
        <w:ind w:leftChars="64" w:left="141"/>
      </w:pPr>
    </w:p>
    <w:p w14:paraId="1BEF745B" w14:textId="77777777" w:rsidR="001432C3" w:rsidRPr="008B2522" w:rsidRDefault="000E2AE0" w:rsidP="00940317">
      <w:pPr>
        <w:pStyle w:val="a3"/>
        <w:ind w:leftChars="64" w:left="141" w:right="108"/>
      </w:pPr>
      <w:r w:rsidRPr="008B2522">
        <w:t xml:space="preserve">Wpływ leczenia ranibizumabem był podobny, niezależnie od obecności niedokrwienia siatkówki. W badaniu BRIGHTER pacjenci z niedokrwieniem (n=46) lub brakiem niedokrwienia (n=133), otrzymujący monoterapię ranibizumabem uzyskali średnią zmianę względem wartości początkowych wynoszącą odpowiednio +15,3 i +15,6 liter w </w:t>
      </w:r>
      <w:r w:rsidR="00C82F55" w:rsidRPr="008B2522">
        <w:t>miesiącu</w:t>
      </w:r>
      <w:r w:rsidR="00C82F55">
        <w:t> </w:t>
      </w:r>
      <w:r w:rsidRPr="008B2522">
        <w:t>24. W badaniu CRYSTAL pacjenci z niedokrwieniem (n=53) lub brakiem niedokrwienia (n=300), otrzymujący monoterapię ranibizumabem uzyskali średnią zmianę odpowiednio o +15,0 i +11,5 liter względem wartości początkowych.</w:t>
      </w:r>
    </w:p>
    <w:p w14:paraId="4C4F99EE" w14:textId="77777777" w:rsidR="001432C3" w:rsidRPr="008B2522" w:rsidRDefault="001432C3" w:rsidP="00940317">
      <w:pPr>
        <w:pStyle w:val="a3"/>
        <w:ind w:leftChars="64" w:left="141"/>
      </w:pPr>
    </w:p>
    <w:p w14:paraId="24D11541" w14:textId="77777777" w:rsidR="001432C3" w:rsidRPr="008B2522" w:rsidRDefault="000E2AE0" w:rsidP="00940317">
      <w:pPr>
        <w:pStyle w:val="a3"/>
        <w:ind w:leftChars="64" w:left="141" w:right="433"/>
      </w:pPr>
      <w:r w:rsidRPr="008B2522">
        <w:t>Wpływ leczenia na poprawę widzenia był obserwowany u wszystkich pacjentów otrzymujących monoterapię ranibizumabem w dawce 0,5</w:t>
      </w:r>
      <w:r w:rsidR="00257CD6">
        <w:t> mg</w:t>
      </w:r>
      <w:r w:rsidRPr="008B2522">
        <w:t>, niezależnie od czasu trwania choroby, zarówno w badaniu BRIGHTER, jak i CRYSTAL. U pacjentów z chorobą trwającą &lt;3 miesiące obserwowano poprawę ostrości wzroku o 13,3 i 10,</w:t>
      </w:r>
      <w:r w:rsidR="00C82F55" w:rsidRPr="008B2522">
        <w:t>0</w:t>
      </w:r>
      <w:r w:rsidR="00C82F55">
        <w:t> </w:t>
      </w:r>
      <w:r w:rsidRPr="008B2522">
        <w:t>liter w miesiącu 1; oraz o 17,7 i 13,</w:t>
      </w:r>
      <w:r w:rsidR="00C82F55" w:rsidRPr="008B2522">
        <w:t>2</w:t>
      </w:r>
      <w:r w:rsidR="00C82F55">
        <w:t> </w:t>
      </w:r>
      <w:r w:rsidRPr="008B2522">
        <w:t xml:space="preserve">liter w </w:t>
      </w:r>
      <w:r w:rsidR="00C82F55" w:rsidRPr="008B2522">
        <w:t>miesiącu</w:t>
      </w:r>
      <w:r w:rsidR="00C82F55">
        <w:t> </w:t>
      </w:r>
      <w:r w:rsidRPr="008B2522">
        <w:t>24. odpowiednio w badaniu BRIGHTER i CRYSTAL. Analogiczny zysk dotyczący ostrości wzroku u pacjentów z chorobą trwającą ≥</w:t>
      </w:r>
      <w:r w:rsidR="00C82F55" w:rsidRPr="008B2522">
        <w:t>12</w:t>
      </w:r>
      <w:r w:rsidR="00C82F55">
        <w:t> </w:t>
      </w:r>
      <w:r w:rsidRPr="008B2522">
        <w:t>miesięcy wyniósł odpowiednio 8,6 i 8,</w:t>
      </w:r>
      <w:r w:rsidR="00C82F55" w:rsidRPr="008B2522">
        <w:t>4</w:t>
      </w:r>
      <w:r w:rsidR="00C82F55">
        <w:t> </w:t>
      </w:r>
      <w:r w:rsidRPr="008B2522">
        <w:t>liter w tych badaniach. Należy rozważyć rozpoczęcie leczenia w chwili ustalenia rozpoznania.</w:t>
      </w:r>
    </w:p>
    <w:p w14:paraId="042937A2" w14:textId="77777777" w:rsidR="001432C3" w:rsidRPr="008B2522" w:rsidRDefault="001432C3" w:rsidP="00940317">
      <w:pPr>
        <w:pStyle w:val="a3"/>
        <w:ind w:leftChars="64" w:left="141"/>
      </w:pPr>
    </w:p>
    <w:p w14:paraId="3C47ED3C" w14:textId="77777777" w:rsidR="001432C3" w:rsidRPr="008B2522" w:rsidRDefault="000E2AE0" w:rsidP="00940317">
      <w:pPr>
        <w:pStyle w:val="a3"/>
        <w:ind w:leftChars="64" w:left="141" w:right="155"/>
      </w:pPr>
      <w:r w:rsidRPr="008B2522">
        <w:t xml:space="preserve">Profil długotrwałego bezpieczeństwa stosowania ranibizumabu obserwowany w badaniach trwających </w:t>
      </w:r>
      <w:r w:rsidR="00C82F55" w:rsidRPr="008B2522">
        <w:t>24</w:t>
      </w:r>
      <w:r w:rsidR="00C82F55">
        <w:t> </w:t>
      </w:r>
      <w:r w:rsidRPr="008B2522">
        <w:t xml:space="preserve">miesiące jest zgodny ze znanym profilem bezpieczeństwa stosowania </w:t>
      </w:r>
      <w:r w:rsidR="00915E00" w:rsidRPr="00D22CB7">
        <w:t>ranibizumabu</w:t>
      </w:r>
      <w:r w:rsidRPr="008B2522">
        <w:t>.</w:t>
      </w:r>
    </w:p>
    <w:p w14:paraId="2E64F728" w14:textId="77777777" w:rsidR="001432C3" w:rsidRPr="008B2522" w:rsidRDefault="001432C3" w:rsidP="00940317">
      <w:pPr>
        <w:ind w:leftChars="64" w:left="141"/>
        <w:sectPr w:rsidR="001432C3" w:rsidRPr="008B2522" w:rsidSect="00105C10">
          <w:pgSz w:w="11910" w:h="16840"/>
          <w:pgMar w:top="1040" w:right="1300" w:bottom="900" w:left="1300" w:header="0" w:footer="656" w:gutter="0"/>
          <w:cols w:space="720"/>
        </w:sectPr>
      </w:pPr>
    </w:p>
    <w:p w14:paraId="726A83A2" w14:textId="77777777" w:rsidR="001432C3" w:rsidRPr="008B2522" w:rsidRDefault="000E2AE0" w:rsidP="00940317">
      <w:pPr>
        <w:pStyle w:val="a3"/>
        <w:keepNext/>
        <w:ind w:leftChars="64" w:left="141"/>
      </w:pPr>
      <w:r w:rsidRPr="008B2522">
        <w:rPr>
          <w:u w:val="single"/>
        </w:rPr>
        <w:lastRenderedPageBreak/>
        <w:t>Dzieci i młodzież</w:t>
      </w:r>
    </w:p>
    <w:p w14:paraId="7B48D057" w14:textId="77777777" w:rsidR="001432C3" w:rsidRPr="00940317" w:rsidRDefault="001432C3" w:rsidP="00940317">
      <w:pPr>
        <w:pStyle w:val="a3"/>
        <w:spacing w:before="5"/>
        <w:ind w:leftChars="64" w:left="141"/>
      </w:pPr>
    </w:p>
    <w:p w14:paraId="336D886D" w14:textId="77777777" w:rsidR="001432C3" w:rsidRPr="008B2522" w:rsidRDefault="000E2AE0" w:rsidP="00940317">
      <w:pPr>
        <w:pStyle w:val="a3"/>
        <w:ind w:leftChars="64" w:left="141" w:right="280"/>
      </w:pPr>
      <w:r w:rsidRPr="008B2522">
        <w:t xml:space="preserve">Europejska Agencja Leków uchyliła obowiązek dołączania wyników badań </w:t>
      </w:r>
      <w:r w:rsidR="00915E00" w:rsidRPr="00D22CB7">
        <w:t>ranibizumabu</w:t>
      </w:r>
      <w:r w:rsidRPr="008B2522">
        <w:t xml:space="preserve"> we wszystkich podgrupach populacji dzieci i młodzieży w leczeniu neowaskularnej postaci AMD, zaburzeń widzenia spowodowanych DME, zaburzeń widzenia spowodowanych obrzękiem plamki wtórnym do RVO</w:t>
      </w:r>
      <w:r w:rsidR="00915E00">
        <w:t xml:space="preserve"> oraz</w:t>
      </w:r>
      <w:r w:rsidR="00031173">
        <w:t xml:space="preserve"> </w:t>
      </w:r>
      <w:r w:rsidRPr="008B2522">
        <w:t>zaburzeń widzenia spowodowanych przez CNV i retinopati</w:t>
      </w:r>
      <w:r w:rsidR="00915E00">
        <w:t>ę</w:t>
      </w:r>
      <w:r w:rsidRPr="008B2522">
        <w:t xml:space="preserve"> cukrzycow</w:t>
      </w:r>
      <w:r w:rsidR="00915E00">
        <w:t>ą</w:t>
      </w:r>
      <w:r w:rsidRPr="008B2522">
        <w:t xml:space="preserve"> (stosowanie u dzieci i młodzieży, patrz </w:t>
      </w:r>
      <w:r w:rsidR="0020790E">
        <w:t>punkt </w:t>
      </w:r>
      <w:r w:rsidRPr="008B2522">
        <w:t xml:space="preserve">4.2). </w:t>
      </w:r>
    </w:p>
    <w:p w14:paraId="0C1789F4" w14:textId="77777777" w:rsidR="001432C3" w:rsidRPr="008B2522" w:rsidRDefault="001432C3" w:rsidP="00940317">
      <w:pPr>
        <w:pStyle w:val="a3"/>
        <w:spacing w:before="5"/>
        <w:ind w:leftChars="64" w:left="141"/>
      </w:pPr>
    </w:p>
    <w:p w14:paraId="7E140CA2" w14:textId="77777777" w:rsidR="001432C3" w:rsidRPr="00947EB2" w:rsidRDefault="00505EF6" w:rsidP="00E0574D">
      <w:pPr>
        <w:pStyle w:val="1"/>
        <w:tabs>
          <w:tab w:val="left" w:pos="685"/>
          <w:tab w:val="left" w:pos="686"/>
        </w:tabs>
      </w:pPr>
      <w:r>
        <w:t>5.2</w:t>
      </w:r>
      <w:r>
        <w:tab/>
      </w:r>
      <w:r w:rsidR="000E2AE0" w:rsidRPr="00947EB2">
        <w:t>Właściwości farmakokinetyczne</w:t>
      </w:r>
    </w:p>
    <w:p w14:paraId="6235AF7D" w14:textId="77777777" w:rsidR="001432C3" w:rsidRPr="00940317" w:rsidRDefault="001432C3" w:rsidP="00940317">
      <w:pPr>
        <w:pStyle w:val="a3"/>
        <w:spacing w:before="5"/>
        <w:ind w:leftChars="64" w:left="141"/>
      </w:pPr>
    </w:p>
    <w:p w14:paraId="409A4C5D" w14:textId="77777777" w:rsidR="001432C3" w:rsidRPr="008B2522" w:rsidRDefault="000E2AE0" w:rsidP="00940317">
      <w:pPr>
        <w:pStyle w:val="a3"/>
        <w:ind w:leftChars="64" w:left="141" w:right="127"/>
      </w:pPr>
      <w:r w:rsidRPr="008B2522">
        <w:t xml:space="preserve">Po comiesięcznym podaniu </w:t>
      </w:r>
      <w:r w:rsidR="00915E00" w:rsidRPr="00D22CB7">
        <w:t xml:space="preserve">ranibizumabu </w:t>
      </w:r>
      <w:r w:rsidRPr="008B2522">
        <w:t xml:space="preserve">do ciała szklistego pacjentom z wysiękową postacią </w:t>
      </w:r>
      <w:r w:rsidRPr="008B2522">
        <w:rPr>
          <w:position w:val="2"/>
        </w:rPr>
        <w:t>AMD, stężenia ranibizumabu w surowicy były na ogół małe, a stężenia maksymalne (C</w:t>
      </w:r>
      <w:r w:rsidRPr="008B2522">
        <w:rPr>
          <w:sz w:val="14"/>
        </w:rPr>
        <w:t>max</w:t>
      </w:r>
      <w:r w:rsidRPr="008B2522">
        <w:rPr>
          <w:position w:val="2"/>
        </w:rPr>
        <w:t xml:space="preserve">) były </w:t>
      </w:r>
      <w:r w:rsidRPr="008B2522">
        <w:t xml:space="preserve">zasadniczo mniejsze od stężeń niezbędnych dla zahamowania biologicznej aktywności VEGF o 50% </w:t>
      </w:r>
      <w:r w:rsidRPr="008B2522">
        <w:rPr>
          <w:position w:val="2"/>
        </w:rPr>
        <w:t xml:space="preserve">(11-27 ng/ml, mierzone metodą proliferacji komórek </w:t>
      </w:r>
      <w:r w:rsidRPr="008B2522">
        <w:rPr>
          <w:i/>
          <w:position w:val="2"/>
        </w:rPr>
        <w:t>in vitro</w:t>
      </w:r>
      <w:r w:rsidRPr="008B2522">
        <w:rPr>
          <w:position w:val="2"/>
        </w:rPr>
        <w:t>) Wartości C</w:t>
      </w:r>
      <w:r w:rsidRPr="008B2522">
        <w:rPr>
          <w:sz w:val="14"/>
        </w:rPr>
        <w:t xml:space="preserve">max </w:t>
      </w:r>
      <w:r w:rsidRPr="008B2522">
        <w:rPr>
          <w:position w:val="2"/>
        </w:rPr>
        <w:t xml:space="preserve">były proporcjonalne do </w:t>
      </w:r>
      <w:r w:rsidRPr="008B2522">
        <w:t>dawki w zakresie dawek od 0,05 do 1,0</w:t>
      </w:r>
      <w:r w:rsidR="00257CD6">
        <w:t> mg</w:t>
      </w:r>
      <w:r w:rsidRPr="008B2522">
        <w:t>/oko. Stężenia w surowicy u ograniczonej grupy pacjentów z DME wskazują, że nie można wykluczyć nieco zwiększonej ekspozycji w porównaniu do pacjentów z wysiękową postacią zwyrodnienia plamki. Stężenia ranibizumabu w surowicy pacjentów z RVO były podobne lub nieco większe niż stężenia ranibizumabu w surowicy pacjentów z wysiękową postacią AMD.</w:t>
      </w:r>
    </w:p>
    <w:p w14:paraId="7A707295" w14:textId="77777777" w:rsidR="001432C3" w:rsidRPr="008B2522" w:rsidRDefault="001432C3" w:rsidP="00940317">
      <w:pPr>
        <w:pStyle w:val="a3"/>
        <w:ind w:leftChars="64" w:left="141"/>
      </w:pPr>
    </w:p>
    <w:p w14:paraId="46E8C66C" w14:textId="77777777" w:rsidR="001432C3" w:rsidRPr="008B2522" w:rsidRDefault="000E2AE0" w:rsidP="00940317">
      <w:pPr>
        <w:pStyle w:val="a3"/>
        <w:ind w:leftChars="64" w:left="141" w:right="102"/>
      </w:pPr>
      <w:r w:rsidRPr="008B2522">
        <w:t>W oparciu o farmakokinetykę populacji i eliminację ranibizumabu z surowicy pacjentów z wysiękową postacią AMD, leczonych dawką 0,5</w:t>
      </w:r>
      <w:r w:rsidR="00257CD6">
        <w:t> mg</w:t>
      </w:r>
      <w:r w:rsidRPr="008B2522">
        <w:t xml:space="preserve">, średni okres półtrwania eliminacji ranibizumabu z ciała szklistego wynosi około </w:t>
      </w:r>
      <w:r w:rsidR="00C82F55" w:rsidRPr="008B2522">
        <w:t>9</w:t>
      </w:r>
      <w:r w:rsidR="00C82F55">
        <w:t> </w:t>
      </w:r>
      <w:r w:rsidRPr="008B2522">
        <w:t xml:space="preserve">dni. W schemacie comiesięcznego podawania </w:t>
      </w:r>
      <w:r w:rsidR="00915E00" w:rsidRPr="00D22CB7">
        <w:t>ranibizumabu</w:t>
      </w:r>
      <w:r w:rsidR="00915E00">
        <w:t xml:space="preserve"> </w:t>
      </w:r>
      <w:r w:rsidRPr="008B2522">
        <w:rPr>
          <w:position w:val="2"/>
        </w:rPr>
        <w:t>0,5</w:t>
      </w:r>
      <w:r w:rsidR="00257CD6">
        <w:rPr>
          <w:position w:val="2"/>
        </w:rPr>
        <w:t> mg</w:t>
      </w:r>
      <w:r w:rsidRPr="008B2522">
        <w:rPr>
          <w:position w:val="2"/>
        </w:rPr>
        <w:t>/oko do ciała szklistego, przewiduje się, że stężenie C</w:t>
      </w:r>
      <w:r w:rsidRPr="008B2522">
        <w:rPr>
          <w:sz w:val="14"/>
        </w:rPr>
        <w:t xml:space="preserve">max </w:t>
      </w:r>
      <w:r w:rsidRPr="008B2522">
        <w:rPr>
          <w:position w:val="2"/>
        </w:rPr>
        <w:t>ranibizumabu w surowicy osiągane około 1 dnia po przyjęciu dawki leku wyniesie od 0,79 do 2,</w:t>
      </w:r>
      <w:r w:rsidR="00C82F55" w:rsidRPr="008B2522">
        <w:rPr>
          <w:position w:val="2"/>
        </w:rPr>
        <w:t>90</w:t>
      </w:r>
      <w:r w:rsidR="00C82F55">
        <w:rPr>
          <w:position w:val="2"/>
        </w:rPr>
        <w:t> </w:t>
      </w:r>
      <w:r w:rsidRPr="008B2522">
        <w:rPr>
          <w:position w:val="2"/>
        </w:rPr>
        <w:t>ng/ml, a C</w:t>
      </w:r>
      <w:r w:rsidRPr="008B2522">
        <w:rPr>
          <w:sz w:val="14"/>
        </w:rPr>
        <w:t xml:space="preserve">min </w:t>
      </w:r>
      <w:r w:rsidRPr="008B2522">
        <w:rPr>
          <w:position w:val="2"/>
        </w:rPr>
        <w:t xml:space="preserve">wyniesie na ogół od 0,07 </w:t>
      </w:r>
      <w:r w:rsidRPr="008B2522">
        <w:t>do 0,</w:t>
      </w:r>
      <w:r w:rsidR="00C82F55" w:rsidRPr="008B2522">
        <w:t>49</w:t>
      </w:r>
      <w:r w:rsidR="00C82F55">
        <w:t> </w:t>
      </w:r>
      <w:r w:rsidRPr="008B2522">
        <w:t>ng/ml. Przewiduje się, że stężenia ranibizumabu w surowicy będą około 90 000 krotnie mniejsze niż stężenia ranibizumabu w ciele szklistym.</w:t>
      </w:r>
    </w:p>
    <w:p w14:paraId="6B1106A8" w14:textId="77777777" w:rsidR="001432C3" w:rsidRPr="008B2522" w:rsidRDefault="001432C3" w:rsidP="00940317">
      <w:pPr>
        <w:pStyle w:val="a3"/>
        <w:ind w:leftChars="64" w:left="141"/>
      </w:pPr>
    </w:p>
    <w:p w14:paraId="07394AAE" w14:textId="77777777" w:rsidR="001432C3" w:rsidRPr="008B2522" w:rsidRDefault="000E2AE0" w:rsidP="00940317">
      <w:pPr>
        <w:pStyle w:val="a3"/>
        <w:ind w:leftChars="64" w:left="141" w:right="244"/>
      </w:pPr>
      <w:r w:rsidRPr="008B2522">
        <w:t xml:space="preserve">Pacjenci z zaburzeniami czynności nerek: Nie przeprowadzono formalnych badań pozwalających przeanalizować farmakokinetykę </w:t>
      </w:r>
      <w:r w:rsidR="00915E00" w:rsidRPr="00D22CB7">
        <w:t xml:space="preserve">ranibizumabu </w:t>
      </w:r>
      <w:r w:rsidRPr="008B2522">
        <w:t>u pacjentów z zaburzeniami czynności nerek. W analizie farmakokinetyki populacji pacjentów z wysiękową postacią AMD, u 68% pacjentów (136 z</w:t>
      </w:r>
      <w:r w:rsidR="00915E00">
        <w:t xml:space="preserve"> </w:t>
      </w:r>
      <w:r w:rsidRPr="008B2522">
        <w:t>200) wystąpiły zaburzenia czynności nerek (46,5% łagodne [50-80</w:t>
      </w:r>
      <w:r w:rsidR="0020790E">
        <w:t> ml</w:t>
      </w:r>
      <w:r w:rsidRPr="008B2522">
        <w:t>/min], 20% umiarkowane [30-50</w:t>
      </w:r>
      <w:r w:rsidR="0020790E">
        <w:t> ml</w:t>
      </w:r>
      <w:r w:rsidRPr="008B2522">
        <w:t>/min], i 1,5% ciężkie [&lt;30</w:t>
      </w:r>
      <w:r w:rsidR="0020790E">
        <w:t> ml</w:t>
      </w:r>
      <w:r w:rsidRPr="008B2522">
        <w:t>/min]). U pacjentów z RVO zaburzenia czynności nerek</w:t>
      </w:r>
      <w:r w:rsidR="00915E00">
        <w:t xml:space="preserve"> </w:t>
      </w:r>
      <w:r w:rsidRPr="008B2522">
        <w:t>wystąpiły u 48,2% (253 z 525) pacjentów (u 36,4% łagodne, u 9,5% umiarkowane i u 2,3% ciężkie). Klirens ogólnoustrojowy był nieznacznie mniejszy, jednak fakt ten nie miał znaczenia klinicznego.</w:t>
      </w:r>
    </w:p>
    <w:p w14:paraId="3BF29B33" w14:textId="77777777" w:rsidR="001432C3" w:rsidRPr="008B2522" w:rsidRDefault="001432C3" w:rsidP="00940317">
      <w:pPr>
        <w:pStyle w:val="a3"/>
        <w:spacing w:before="1"/>
        <w:ind w:leftChars="64" w:left="141"/>
      </w:pPr>
    </w:p>
    <w:p w14:paraId="6538D0E3" w14:textId="77777777" w:rsidR="001432C3" w:rsidRPr="008B2522" w:rsidRDefault="000E2AE0" w:rsidP="00940317">
      <w:pPr>
        <w:pStyle w:val="a3"/>
        <w:ind w:leftChars="64" w:left="141" w:right="274"/>
      </w:pPr>
      <w:r w:rsidRPr="008B2522">
        <w:t xml:space="preserve">Zaburzenia czynności wątroby: Nie przeprowadzono formalnych badań pozwalających przeanalizować farmakokinetykę produktu </w:t>
      </w:r>
      <w:r w:rsidR="00915E00" w:rsidRPr="00D22CB7">
        <w:t>ranibizumabu</w:t>
      </w:r>
      <w:r w:rsidRPr="008B2522">
        <w:t xml:space="preserve"> </w:t>
      </w:r>
      <w:r w:rsidR="00915E00">
        <w:t xml:space="preserve">u </w:t>
      </w:r>
      <w:r w:rsidRPr="008B2522">
        <w:t>pacjentów z zaburzeniami czynności wątroby.</w:t>
      </w:r>
    </w:p>
    <w:p w14:paraId="4FB27ABE" w14:textId="77777777" w:rsidR="001432C3" w:rsidRPr="008B2522" w:rsidRDefault="001432C3" w:rsidP="00940317">
      <w:pPr>
        <w:pStyle w:val="a3"/>
        <w:ind w:leftChars="64" w:left="141"/>
      </w:pPr>
    </w:p>
    <w:p w14:paraId="0D1BA28B" w14:textId="77777777" w:rsidR="001432C3" w:rsidRPr="00947EB2" w:rsidRDefault="00505EF6" w:rsidP="00E0574D">
      <w:pPr>
        <w:pStyle w:val="1"/>
        <w:tabs>
          <w:tab w:val="left" w:pos="685"/>
          <w:tab w:val="left" w:pos="686"/>
        </w:tabs>
      </w:pPr>
      <w:r>
        <w:t>5.3</w:t>
      </w:r>
      <w:r>
        <w:tab/>
      </w:r>
      <w:r w:rsidR="000E2AE0" w:rsidRPr="00947EB2">
        <w:t>Przedkliniczne dane o bezpieczeństwie</w:t>
      </w:r>
    </w:p>
    <w:p w14:paraId="783767F7" w14:textId="77777777" w:rsidR="001432C3" w:rsidRPr="008B2522" w:rsidRDefault="001432C3" w:rsidP="00940317">
      <w:pPr>
        <w:pStyle w:val="a3"/>
        <w:spacing w:before="7"/>
        <w:ind w:leftChars="64" w:left="141"/>
        <w:rPr>
          <w:b/>
          <w:sz w:val="21"/>
        </w:rPr>
      </w:pPr>
    </w:p>
    <w:p w14:paraId="009C54C9" w14:textId="77777777" w:rsidR="001432C3" w:rsidRPr="008B2522" w:rsidRDefault="000E2AE0" w:rsidP="00940317">
      <w:pPr>
        <w:pStyle w:val="a3"/>
        <w:ind w:leftChars="64" w:left="141"/>
      </w:pPr>
      <w:r w:rsidRPr="008B2522">
        <w:t>Obustronne podanie ranibizumabu do ciała szklistego małp cynomolgus w dawkach pomiędzy</w:t>
      </w:r>
      <w:r w:rsidR="000F5294">
        <w:t xml:space="preserve"> </w:t>
      </w:r>
      <w:r w:rsidRPr="008B2522">
        <w:t>0,25</w:t>
      </w:r>
      <w:r w:rsidR="00257CD6">
        <w:t> mg</w:t>
      </w:r>
      <w:r w:rsidRPr="008B2522">
        <w:t>/oko i 2,0</w:t>
      </w:r>
      <w:r w:rsidR="00257CD6">
        <w:t> mg</w:t>
      </w:r>
      <w:r w:rsidRPr="008B2522">
        <w:t>/oko raz na 2 tygodnie przez 26 tygodni dało zależne od dawki działania na oczy.</w:t>
      </w:r>
    </w:p>
    <w:p w14:paraId="086D65C9" w14:textId="77777777" w:rsidR="001432C3" w:rsidRPr="008B2522" w:rsidRDefault="001432C3" w:rsidP="00940317">
      <w:pPr>
        <w:pStyle w:val="a3"/>
        <w:ind w:leftChars="64" w:left="141"/>
      </w:pPr>
    </w:p>
    <w:p w14:paraId="67E67D6D" w14:textId="77777777" w:rsidR="001432C3" w:rsidRPr="008B2522" w:rsidRDefault="000E2AE0" w:rsidP="00940317">
      <w:pPr>
        <w:pStyle w:val="a3"/>
        <w:ind w:leftChars="64" w:left="141" w:right="115"/>
      </w:pPr>
      <w:r w:rsidRPr="008B2522">
        <w:t>Wewnątrzgałkowo obserwowano zależne od dawki nasilenie odczynu zapalnego w komorze przedniej i wysięk z maksymalnym nasileniem 2 dni po wstrzyknięciu. Nasilenie reakcji zapalnej na ogół słabło po kolejnych wstrzyknięciach lub w czasie okresu zdrowienia. W odcinku tylnym występowały nacieki komórkowe i męty w ciele szklistym, które również miały tendencję do zależności od dawki i na ogół utrzymywały się do końca okresu leczenia. W badaniu 26-tygodniowym, nasilenie stanu zapalnego w ciele szklistym wzrastało wraz ze zwiększeniem liczby wstrzykiwań. Jednak w okresie zdrowienia obserwowano dowody świadczące o odwracalności tych zmian. Charakterystyka i czas trwania zapalenia w odcinku tylnym sugeruje odpowiedź przeciwciał zależną od układu immunologicznego, która może mieć znaczenie kliniczne. Powstawanie zaćmy było wtórne do ciężkiego zapalenia. Po wstrzyknięciach do ciała szklistego, niezależnie od wielkości dawki obserwowano przemijające zwiększenie ciśnienia śródgałkowego po podaniu dawki.</w:t>
      </w:r>
    </w:p>
    <w:p w14:paraId="1066A6CA" w14:textId="77777777" w:rsidR="001432C3" w:rsidRPr="008B2522" w:rsidRDefault="001432C3" w:rsidP="00940317">
      <w:pPr>
        <w:pStyle w:val="a3"/>
        <w:spacing w:before="9"/>
        <w:ind w:leftChars="64" w:left="141"/>
        <w:rPr>
          <w:sz w:val="21"/>
        </w:rPr>
      </w:pPr>
    </w:p>
    <w:p w14:paraId="4D1949A1" w14:textId="77777777" w:rsidR="001432C3" w:rsidRPr="008B2522" w:rsidRDefault="000E2AE0" w:rsidP="000F168C">
      <w:pPr>
        <w:pStyle w:val="a3"/>
        <w:keepNext/>
        <w:keepLines/>
        <w:widowControl/>
        <w:ind w:leftChars="64" w:left="141" w:right="215"/>
      </w:pPr>
      <w:r w:rsidRPr="008B2522">
        <w:lastRenderedPageBreak/>
        <w:t>Mikroskopijne zmiany w oku były związane ze stanem zapalnym i nie wskazywały na występowanie procesów zwyrodnieniowych. W tarczy nerwu wzrokowego niektórych oczu odnotowano ziarniniakowe zmiany zapalne. Te zmiany w odcinku tylnym słabły, a w niektórych przypadkach nawet ustąpiły zupełnie w okresie zdrowienia.</w:t>
      </w:r>
    </w:p>
    <w:p w14:paraId="5E2A92CF" w14:textId="77777777" w:rsidR="001432C3" w:rsidRPr="008B2522" w:rsidRDefault="001432C3" w:rsidP="00940317">
      <w:pPr>
        <w:pStyle w:val="a3"/>
        <w:spacing w:before="9"/>
        <w:ind w:leftChars="64" w:left="141"/>
        <w:rPr>
          <w:sz w:val="21"/>
        </w:rPr>
      </w:pPr>
    </w:p>
    <w:p w14:paraId="224EE991" w14:textId="77777777" w:rsidR="001432C3" w:rsidRPr="008B2522" w:rsidRDefault="000E2AE0" w:rsidP="00940317">
      <w:pPr>
        <w:pStyle w:val="a3"/>
        <w:ind w:leftChars="64" w:left="141" w:right="219"/>
      </w:pPr>
      <w:r w:rsidRPr="008B2522">
        <w:t>Po podaniu ranibizumabu do ciała szklistego nie odnotowano żadnych objawów toksyczności układowej. W podgrupie leczonych zwierząt odkryto przeciwciała na ranibizumab w surowicy i ciele szklistym.</w:t>
      </w:r>
    </w:p>
    <w:p w14:paraId="48631566" w14:textId="77777777" w:rsidR="001432C3" w:rsidRPr="008B2522" w:rsidRDefault="001432C3" w:rsidP="00940317">
      <w:pPr>
        <w:pStyle w:val="a3"/>
        <w:spacing w:before="11"/>
        <w:ind w:leftChars="64" w:left="141"/>
        <w:rPr>
          <w:sz w:val="21"/>
        </w:rPr>
      </w:pPr>
    </w:p>
    <w:p w14:paraId="1C38CCF6" w14:textId="77777777" w:rsidR="001432C3" w:rsidRPr="008B2522" w:rsidRDefault="000E2AE0" w:rsidP="00940317">
      <w:pPr>
        <w:pStyle w:val="a3"/>
        <w:ind w:leftChars="64" w:left="141"/>
      </w:pPr>
      <w:r w:rsidRPr="008B2522">
        <w:t>Brak danych dotyczących działania rakotwórczego lub mutagennego.</w:t>
      </w:r>
    </w:p>
    <w:p w14:paraId="4A1BCA37" w14:textId="77777777" w:rsidR="001432C3" w:rsidRPr="008B2522" w:rsidRDefault="001432C3" w:rsidP="00940317">
      <w:pPr>
        <w:pStyle w:val="a3"/>
        <w:ind w:leftChars="64" w:left="141"/>
      </w:pPr>
    </w:p>
    <w:p w14:paraId="27297972" w14:textId="77777777" w:rsidR="001432C3" w:rsidRPr="008B2522" w:rsidRDefault="000E2AE0" w:rsidP="00940317">
      <w:pPr>
        <w:pStyle w:val="a3"/>
        <w:ind w:leftChars="64" w:left="141" w:right="268"/>
      </w:pPr>
      <w:r w:rsidRPr="008B2522">
        <w:t>U ciężarnych małp podanie ranibizumabu do ciała szklistego powodowało maksymalną ekspozycję układową, w najgorszym przypadku 0,9-7 krotnie większą niż ekspozycja kliniczna, nie powodując toksycznego wpływu na rozwój płodu, ani wpływu teratogennego oraz nie wpływało na masę i budowę łożyska, jednak na podstawie farmakologicznych działań ranibizumabu należy go traktować jako związek potencjalnie teratogenny i embrio/fetotoksyczny.</w:t>
      </w:r>
    </w:p>
    <w:p w14:paraId="7D24DF9B" w14:textId="77777777" w:rsidR="001432C3" w:rsidRPr="008B2522" w:rsidRDefault="001432C3" w:rsidP="00940317">
      <w:pPr>
        <w:pStyle w:val="a3"/>
        <w:spacing w:before="9"/>
        <w:ind w:leftChars="64" w:left="141"/>
        <w:rPr>
          <w:sz w:val="21"/>
        </w:rPr>
      </w:pPr>
    </w:p>
    <w:p w14:paraId="0AA32B4F" w14:textId="77777777" w:rsidR="001432C3" w:rsidRPr="008B2522" w:rsidRDefault="000E2AE0" w:rsidP="00940317">
      <w:pPr>
        <w:pStyle w:val="a3"/>
        <w:ind w:leftChars="64" w:left="141" w:right="128"/>
      </w:pPr>
      <w:r w:rsidRPr="008B2522">
        <w:t>Brak wpływu ranibizumabu na rozwój zarodka i płodu ma prawdopodobnie związek z faktem, że fragment Fab nie przenika przez łożysko. Opisano jednak przypadek dużych stężeń ranibizumabu w surowicy matki oraz jego obecności w surowicy płodu, co sugeruje, że przeciwciało przeciwko ranibizumabowi odegrało rolę białka transportowego (zawierające region Fc) dla ranibizumabu, zmniejszając jego klirens z surowicy matki i umożliwiając przejście przez łożysko. Ponieważ badania nad rozwojem zarodka i płodu prowadzono na zdrowych ciężarnych samicach zwierząt, a obecność chorób (np. cukrzycy) może wpływać na przepuszczalność łożyska dla fragmentu Fab, badania należy interpretować z ostrożnością.</w:t>
      </w:r>
    </w:p>
    <w:p w14:paraId="30C11BB0" w14:textId="77777777" w:rsidR="001432C3" w:rsidRPr="008B2522" w:rsidRDefault="001432C3" w:rsidP="00940317">
      <w:pPr>
        <w:pStyle w:val="a3"/>
        <w:ind w:leftChars="64" w:left="141"/>
        <w:rPr>
          <w:sz w:val="24"/>
        </w:rPr>
      </w:pPr>
    </w:p>
    <w:p w14:paraId="7B500C4B" w14:textId="77777777" w:rsidR="001432C3" w:rsidRPr="008B2522" w:rsidRDefault="001432C3" w:rsidP="00940317">
      <w:pPr>
        <w:pStyle w:val="a3"/>
        <w:spacing w:before="4"/>
        <w:ind w:leftChars="64" w:left="141"/>
        <w:rPr>
          <w:sz w:val="20"/>
        </w:rPr>
      </w:pPr>
    </w:p>
    <w:p w14:paraId="48F4A5E3" w14:textId="77777777" w:rsidR="001432C3" w:rsidRPr="00947EB2" w:rsidRDefault="00505EF6" w:rsidP="00E0574D">
      <w:pPr>
        <w:pStyle w:val="1"/>
        <w:tabs>
          <w:tab w:val="left" w:pos="685"/>
          <w:tab w:val="left" w:pos="686"/>
        </w:tabs>
      </w:pPr>
      <w:r>
        <w:t>6.</w:t>
      </w:r>
      <w:r>
        <w:tab/>
      </w:r>
      <w:r w:rsidR="000E2AE0" w:rsidRPr="00947EB2">
        <w:t>DANE FARMACEUTYCZNE</w:t>
      </w:r>
    </w:p>
    <w:p w14:paraId="6C8CCD0E" w14:textId="77777777" w:rsidR="001432C3" w:rsidRPr="00940317" w:rsidRDefault="001432C3" w:rsidP="00940317">
      <w:pPr>
        <w:pStyle w:val="a3"/>
        <w:ind w:leftChars="64" w:left="141"/>
        <w:rPr>
          <w:sz w:val="24"/>
        </w:rPr>
      </w:pPr>
    </w:p>
    <w:p w14:paraId="70A378E3" w14:textId="77777777" w:rsidR="001432C3" w:rsidRPr="00947EB2" w:rsidRDefault="00505EF6" w:rsidP="00E0574D">
      <w:pPr>
        <w:pStyle w:val="1"/>
        <w:tabs>
          <w:tab w:val="left" w:pos="685"/>
          <w:tab w:val="left" w:pos="686"/>
        </w:tabs>
      </w:pPr>
      <w:r>
        <w:t>6.1</w:t>
      </w:r>
      <w:r>
        <w:tab/>
      </w:r>
      <w:r w:rsidR="000E2AE0" w:rsidRPr="00947EB2">
        <w:t>Wykaz substancji pomocniczych</w:t>
      </w:r>
    </w:p>
    <w:p w14:paraId="4A617E65" w14:textId="77777777" w:rsidR="001432C3" w:rsidRPr="00940317" w:rsidRDefault="001432C3" w:rsidP="00940317">
      <w:pPr>
        <w:pStyle w:val="a3"/>
        <w:ind w:leftChars="64" w:left="141"/>
        <w:rPr>
          <w:sz w:val="24"/>
        </w:rPr>
      </w:pPr>
    </w:p>
    <w:p w14:paraId="193AD21E" w14:textId="77777777" w:rsidR="001432C3" w:rsidRPr="008B2522" w:rsidRDefault="000E2AE0" w:rsidP="00940317">
      <w:pPr>
        <w:pStyle w:val="a3"/>
        <w:spacing w:before="1"/>
        <w:ind w:leftChars="64" w:left="141" w:right="5630"/>
      </w:pPr>
      <w:r w:rsidRPr="008B2522">
        <w:t xml:space="preserve">Dwuwodzian </w:t>
      </w:r>
      <w:r w:rsidRPr="008B2522">
        <w:rPr>
          <w:rFonts w:ascii="Symbol" w:hAnsi="Symbol"/>
        </w:rPr>
        <w:t></w:t>
      </w:r>
      <w:r w:rsidRPr="008B2522">
        <w:t>,</w:t>
      </w:r>
      <w:r w:rsidRPr="008B2522">
        <w:rPr>
          <w:rFonts w:ascii="Symbol" w:hAnsi="Symbol"/>
        </w:rPr>
        <w:t></w:t>
      </w:r>
      <w:r w:rsidRPr="008B2522">
        <w:t>-trehalozy Chlorowodorek histydyny, jednowodny Histydyna</w:t>
      </w:r>
    </w:p>
    <w:p w14:paraId="009B922F" w14:textId="77777777" w:rsidR="001432C3" w:rsidRPr="008B2522" w:rsidRDefault="000E2AE0" w:rsidP="00940317">
      <w:pPr>
        <w:pStyle w:val="a3"/>
        <w:spacing w:line="252" w:lineRule="exact"/>
        <w:ind w:leftChars="64" w:left="141"/>
      </w:pPr>
      <w:r w:rsidRPr="008B2522">
        <w:t>Polisorbat 20</w:t>
      </w:r>
    </w:p>
    <w:p w14:paraId="6B43BAE9" w14:textId="77777777" w:rsidR="001432C3" w:rsidRDefault="000E2AE0" w:rsidP="00940317">
      <w:pPr>
        <w:pStyle w:val="a3"/>
        <w:spacing w:before="1"/>
        <w:ind w:leftChars="64" w:left="141"/>
      </w:pPr>
      <w:r w:rsidRPr="008B2522">
        <w:t>Woda do wstrzykiwań</w:t>
      </w:r>
    </w:p>
    <w:p w14:paraId="2066726F" w14:textId="77777777" w:rsidR="00B96676" w:rsidRPr="008B2522" w:rsidRDefault="00B96676" w:rsidP="00D22CB7">
      <w:pPr>
        <w:pStyle w:val="a3"/>
        <w:spacing w:before="1"/>
      </w:pPr>
    </w:p>
    <w:p w14:paraId="1540E006" w14:textId="77777777" w:rsidR="001432C3" w:rsidRPr="00947EB2" w:rsidRDefault="00505EF6" w:rsidP="00E0574D">
      <w:pPr>
        <w:pStyle w:val="1"/>
        <w:tabs>
          <w:tab w:val="left" w:pos="685"/>
          <w:tab w:val="left" w:pos="686"/>
        </w:tabs>
      </w:pPr>
      <w:r>
        <w:t>6.2</w:t>
      </w:r>
      <w:r>
        <w:tab/>
      </w:r>
      <w:r w:rsidR="000E2AE0" w:rsidRPr="00947EB2">
        <w:t>Niezgodności farmaceutyczne</w:t>
      </w:r>
    </w:p>
    <w:p w14:paraId="74DEF588" w14:textId="77777777" w:rsidR="001432C3" w:rsidRPr="00940317" w:rsidRDefault="001432C3" w:rsidP="00940317">
      <w:pPr>
        <w:pStyle w:val="a3"/>
        <w:ind w:leftChars="64" w:left="141"/>
        <w:rPr>
          <w:sz w:val="24"/>
        </w:rPr>
      </w:pPr>
    </w:p>
    <w:p w14:paraId="287E5AD1" w14:textId="77777777" w:rsidR="001432C3" w:rsidRPr="008B2522" w:rsidRDefault="000E2AE0" w:rsidP="00940317">
      <w:pPr>
        <w:pStyle w:val="a3"/>
        <w:ind w:leftChars="64" w:left="141" w:right="593"/>
      </w:pPr>
      <w:r w:rsidRPr="008B2522">
        <w:t xml:space="preserve">Nie mieszać produktu leczniczego z innymi produktami leczniczymi, ponieważ nie </w:t>
      </w:r>
      <w:r w:rsidR="00C053B7">
        <w:t>w</w:t>
      </w:r>
      <w:r w:rsidRPr="008B2522">
        <w:t>ykonywano badań dotyczących zgodności.</w:t>
      </w:r>
    </w:p>
    <w:p w14:paraId="126ED9DF" w14:textId="77777777" w:rsidR="001432C3" w:rsidRPr="008B2522" w:rsidRDefault="001432C3" w:rsidP="00940317">
      <w:pPr>
        <w:pStyle w:val="a3"/>
        <w:spacing w:before="4"/>
        <w:ind w:leftChars="64" w:left="141"/>
      </w:pPr>
    </w:p>
    <w:p w14:paraId="41A9009A" w14:textId="77777777" w:rsidR="001432C3" w:rsidRPr="00947EB2" w:rsidRDefault="00505EF6" w:rsidP="00E0574D">
      <w:pPr>
        <w:pStyle w:val="1"/>
        <w:tabs>
          <w:tab w:val="left" w:pos="685"/>
          <w:tab w:val="left" w:pos="686"/>
        </w:tabs>
      </w:pPr>
      <w:r>
        <w:t>6.3</w:t>
      </w:r>
      <w:r>
        <w:tab/>
      </w:r>
      <w:r w:rsidR="000E2AE0" w:rsidRPr="00947EB2">
        <w:t>Okres ważności</w:t>
      </w:r>
    </w:p>
    <w:p w14:paraId="0B88DD74" w14:textId="77777777" w:rsidR="001432C3" w:rsidRPr="00940317" w:rsidRDefault="001432C3" w:rsidP="00940317">
      <w:pPr>
        <w:pStyle w:val="a3"/>
        <w:ind w:leftChars="64" w:left="141"/>
        <w:rPr>
          <w:sz w:val="24"/>
        </w:rPr>
      </w:pPr>
    </w:p>
    <w:p w14:paraId="1CA465E3" w14:textId="7F4B505B" w:rsidR="001432C3" w:rsidRPr="008B2522" w:rsidRDefault="003664C7" w:rsidP="00940317">
      <w:pPr>
        <w:pStyle w:val="a3"/>
        <w:ind w:leftChars="64" w:left="141"/>
      </w:pPr>
      <w:r>
        <w:t>4</w:t>
      </w:r>
      <w:r w:rsidR="006D017F">
        <w:t> </w:t>
      </w:r>
      <w:r w:rsidR="000B36B7" w:rsidRPr="000B36B7">
        <w:t>lata</w:t>
      </w:r>
    </w:p>
    <w:p w14:paraId="69E57886" w14:textId="77777777" w:rsidR="001432C3" w:rsidRPr="008B2522" w:rsidRDefault="001432C3" w:rsidP="00940317">
      <w:pPr>
        <w:pStyle w:val="a3"/>
        <w:spacing w:before="5"/>
        <w:ind w:leftChars="64" w:left="141"/>
      </w:pPr>
    </w:p>
    <w:p w14:paraId="234D9C53" w14:textId="77777777" w:rsidR="001432C3" w:rsidRPr="00940317" w:rsidRDefault="00505EF6" w:rsidP="00E0574D">
      <w:pPr>
        <w:pStyle w:val="1"/>
        <w:tabs>
          <w:tab w:val="left" w:pos="685"/>
          <w:tab w:val="left" w:pos="686"/>
        </w:tabs>
      </w:pPr>
      <w:r>
        <w:t>6.4</w:t>
      </w:r>
      <w:r>
        <w:tab/>
      </w:r>
      <w:r w:rsidR="000E2AE0" w:rsidRPr="00940317">
        <w:t xml:space="preserve">Specjalne środki ostrożności </w:t>
      </w:r>
      <w:r w:rsidR="00915E00" w:rsidRPr="00940317">
        <w:t>przy przechowywaniu</w:t>
      </w:r>
    </w:p>
    <w:p w14:paraId="7372E85A" w14:textId="77777777" w:rsidR="001432C3" w:rsidRPr="00940317" w:rsidRDefault="001432C3" w:rsidP="00940317">
      <w:pPr>
        <w:pStyle w:val="a3"/>
        <w:ind w:leftChars="64" w:left="141"/>
        <w:rPr>
          <w:sz w:val="24"/>
        </w:rPr>
      </w:pPr>
    </w:p>
    <w:p w14:paraId="1A48BA7C" w14:textId="77777777" w:rsidR="001432C3" w:rsidRPr="008B2522" w:rsidRDefault="000E2AE0" w:rsidP="00E0574D">
      <w:pPr>
        <w:pStyle w:val="a3"/>
        <w:spacing w:before="1"/>
        <w:ind w:firstLine="118"/>
      </w:pPr>
      <w:r w:rsidRPr="008B2522">
        <w:t>Przechowywać w lodówce (2</w:t>
      </w:r>
      <w:r w:rsidRPr="008B2522">
        <w:rPr>
          <w:rFonts w:ascii="Symbol" w:hAnsi="Symbol"/>
        </w:rPr>
        <w:t></w:t>
      </w:r>
      <w:r w:rsidRPr="008B2522">
        <w:t xml:space="preserve">C - </w:t>
      </w:r>
      <w:r w:rsidR="00C053B7">
        <w:t>8</w:t>
      </w:r>
      <w:r w:rsidRPr="008B2522">
        <w:rPr>
          <w:rFonts w:ascii="Symbol" w:hAnsi="Symbol"/>
        </w:rPr>
        <w:t></w:t>
      </w:r>
      <w:r w:rsidRPr="008B2522">
        <w:t>C). Nie zamrażać.</w:t>
      </w:r>
    </w:p>
    <w:p w14:paraId="7326EF33" w14:textId="77777777" w:rsidR="001432C3" w:rsidRPr="008B2522" w:rsidRDefault="000E2AE0" w:rsidP="00940317">
      <w:pPr>
        <w:pStyle w:val="a3"/>
        <w:spacing w:before="1"/>
        <w:ind w:leftChars="64" w:left="141"/>
      </w:pPr>
      <w:r w:rsidRPr="008B2522">
        <w:t>Przechowywać fiolkę w opakowaniu zewnętrznym w celu ochrony przed światłem.</w:t>
      </w:r>
    </w:p>
    <w:p w14:paraId="37B374A9" w14:textId="0352BBB4" w:rsidR="001432C3" w:rsidRPr="008B2522" w:rsidRDefault="000E2AE0" w:rsidP="00940317">
      <w:pPr>
        <w:pStyle w:val="a3"/>
        <w:ind w:leftChars="64" w:left="141" w:right="524"/>
      </w:pPr>
      <w:r w:rsidRPr="008B2522">
        <w:t xml:space="preserve">Przed użyciem nieotwarta fiolka może być przechowywana w temperaturze </w:t>
      </w:r>
      <w:r w:rsidR="00915E00">
        <w:t>nieprzekraczającej 30</w:t>
      </w:r>
      <w:r w:rsidRPr="008B2522">
        <w:rPr>
          <w:rFonts w:ascii="Symbol" w:hAnsi="Symbol"/>
        </w:rPr>
        <w:t></w:t>
      </w:r>
      <w:r w:rsidRPr="008B2522">
        <w:t xml:space="preserve">C do </w:t>
      </w:r>
      <w:r w:rsidR="00180C1F">
        <w:t>2</w:t>
      </w:r>
      <w:r w:rsidR="008D5E5C">
        <w:t xml:space="preserve"> miesiąc</w:t>
      </w:r>
      <w:r w:rsidR="00180C1F">
        <w:t>e</w:t>
      </w:r>
      <w:r w:rsidRPr="008B2522">
        <w:t>.</w:t>
      </w:r>
    </w:p>
    <w:p w14:paraId="7A8F380E" w14:textId="77777777" w:rsidR="001432C3" w:rsidRPr="008B2522" w:rsidRDefault="001432C3" w:rsidP="00940317">
      <w:pPr>
        <w:pStyle w:val="a3"/>
        <w:spacing w:before="5"/>
        <w:ind w:leftChars="64" w:left="141"/>
      </w:pPr>
    </w:p>
    <w:p w14:paraId="636667EC" w14:textId="77777777" w:rsidR="001432C3" w:rsidRPr="00947EB2" w:rsidRDefault="00505EF6" w:rsidP="00E0574D">
      <w:pPr>
        <w:pStyle w:val="1"/>
        <w:tabs>
          <w:tab w:val="left" w:pos="685"/>
          <w:tab w:val="left" w:pos="686"/>
        </w:tabs>
      </w:pPr>
      <w:r>
        <w:t>6.5</w:t>
      </w:r>
      <w:r>
        <w:tab/>
      </w:r>
      <w:r w:rsidR="000E2AE0" w:rsidRPr="00947EB2">
        <w:t>Rodzaj i zawartość opakowania</w:t>
      </w:r>
    </w:p>
    <w:p w14:paraId="6AADA5DE" w14:textId="77777777" w:rsidR="00352AFB" w:rsidRDefault="00352AFB" w:rsidP="00352AFB">
      <w:pPr>
        <w:pStyle w:val="a3"/>
        <w:ind w:left="118"/>
        <w:rPr>
          <w:u w:val="single"/>
          <w:lang w:val="pl"/>
        </w:rPr>
      </w:pPr>
    </w:p>
    <w:p w14:paraId="22C12D63" w14:textId="77777777" w:rsidR="00352AFB" w:rsidRPr="00BC0537" w:rsidRDefault="00352AFB" w:rsidP="00352AFB">
      <w:pPr>
        <w:pStyle w:val="a3"/>
        <w:ind w:left="118"/>
        <w:rPr>
          <w:u w:val="single"/>
        </w:rPr>
      </w:pPr>
      <w:r>
        <w:rPr>
          <w:u w:val="single"/>
          <w:lang w:val="pl"/>
        </w:rPr>
        <w:t>Opakowanie zawierające tylko fiolkę</w:t>
      </w:r>
    </w:p>
    <w:p w14:paraId="67F6EC7B" w14:textId="77777777" w:rsidR="00352AFB" w:rsidRPr="00BC0537" w:rsidRDefault="00352AFB" w:rsidP="00352AFB">
      <w:pPr>
        <w:pStyle w:val="a3"/>
        <w:spacing w:before="8"/>
        <w:rPr>
          <w:sz w:val="14"/>
        </w:rPr>
      </w:pPr>
    </w:p>
    <w:p w14:paraId="06DB0966" w14:textId="77777777" w:rsidR="00352AFB" w:rsidRPr="00BC0537" w:rsidRDefault="00352AFB" w:rsidP="00352AFB">
      <w:pPr>
        <w:pStyle w:val="a3"/>
        <w:spacing w:before="91"/>
        <w:ind w:left="117" w:right="236"/>
      </w:pPr>
      <w:r>
        <w:rPr>
          <w:lang w:val="pl"/>
        </w:rPr>
        <w:t xml:space="preserve">Jedna fiolka (szkło typu I) z korkiem (kauczuk chlorobutylowy), zawierająca 0,23 ml jałowego </w:t>
      </w:r>
      <w:r>
        <w:rPr>
          <w:lang w:val="pl"/>
        </w:rPr>
        <w:lastRenderedPageBreak/>
        <w:t>roztworu.</w:t>
      </w:r>
    </w:p>
    <w:p w14:paraId="1C0431F3" w14:textId="77777777" w:rsidR="001432C3" w:rsidRPr="00940317" w:rsidRDefault="001432C3" w:rsidP="00940317">
      <w:pPr>
        <w:pStyle w:val="a3"/>
        <w:ind w:leftChars="64" w:left="141"/>
        <w:rPr>
          <w:sz w:val="24"/>
        </w:rPr>
      </w:pPr>
    </w:p>
    <w:p w14:paraId="67FCEAFA" w14:textId="77777777" w:rsidR="001432C3" w:rsidRPr="000F168C" w:rsidRDefault="000E2AE0" w:rsidP="00940317">
      <w:pPr>
        <w:pStyle w:val="a3"/>
        <w:ind w:leftChars="64" w:left="141"/>
        <w:rPr>
          <w:u w:val="single"/>
        </w:rPr>
      </w:pPr>
      <w:r w:rsidRPr="000F168C">
        <w:rPr>
          <w:u w:val="single"/>
        </w:rPr>
        <w:t>Opakowanie zawierające fiolkę</w:t>
      </w:r>
      <w:r w:rsidR="008D5E5C" w:rsidRPr="000F168C">
        <w:rPr>
          <w:u w:val="single"/>
        </w:rPr>
        <w:t xml:space="preserve">, igłę z filtrem i igłę </w:t>
      </w:r>
      <w:r w:rsidR="00455D34" w:rsidRPr="000F168C">
        <w:rPr>
          <w:u w:val="single"/>
        </w:rPr>
        <w:t>iniekcyjną</w:t>
      </w:r>
    </w:p>
    <w:p w14:paraId="6CCF5F65" w14:textId="77777777" w:rsidR="001432C3" w:rsidRPr="000F168C" w:rsidRDefault="001432C3" w:rsidP="00940317">
      <w:pPr>
        <w:pStyle w:val="a3"/>
        <w:ind w:leftChars="64" w:left="141"/>
      </w:pPr>
    </w:p>
    <w:p w14:paraId="6A8B9914" w14:textId="77777777" w:rsidR="001432C3" w:rsidRPr="00185CD5" w:rsidRDefault="000E2AE0" w:rsidP="00940317">
      <w:pPr>
        <w:pStyle w:val="a3"/>
        <w:ind w:leftChars="64" w:left="141"/>
      </w:pPr>
      <w:r w:rsidRPr="000F168C">
        <w:t>Jedna fiolka (szkło typu I) z korkiem (kauczuk chlorobutylowy), zawierająca 0,23</w:t>
      </w:r>
      <w:r w:rsidR="0020790E" w:rsidRPr="000F168C">
        <w:t> ml</w:t>
      </w:r>
      <w:r w:rsidRPr="000F168C">
        <w:t xml:space="preserve"> jałowego</w:t>
      </w:r>
      <w:r w:rsidRPr="00185CD5">
        <w:t xml:space="preserve"> roztworu </w:t>
      </w:r>
      <w:r w:rsidR="008D5E5C" w:rsidRPr="00B0530F">
        <w:t xml:space="preserve">, </w:t>
      </w:r>
      <w:r w:rsidRPr="00B0530F">
        <w:t>1 tępa igła z filtrem (18G x 1½″, 1,2 mm x 40 mm, 5 µm)</w:t>
      </w:r>
      <w:r w:rsidR="008D5E5C" w:rsidRPr="00B0530F">
        <w:t xml:space="preserve"> oraz 1 igła </w:t>
      </w:r>
      <w:r w:rsidR="00455D34" w:rsidRPr="00B0530F">
        <w:t>iniekcyjna</w:t>
      </w:r>
      <w:r w:rsidR="008D5E5C" w:rsidRPr="00B0530F">
        <w:t xml:space="preserve"> </w:t>
      </w:r>
      <w:r w:rsidR="008D5E5C" w:rsidRPr="00185CD5">
        <w:t>(30G x ½″, 0,3 mm x 13 mm)</w:t>
      </w:r>
      <w:r w:rsidRPr="00185CD5">
        <w:t>.</w:t>
      </w:r>
    </w:p>
    <w:p w14:paraId="087C89FB" w14:textId="77777777" w:rsidR="00A23B73" w:rsidRDefault="00A23B73" w:rsidP="00940317">
      <w:pPr>
        <w:pStyle w:val="a3"/>
        <w:ind w:leftChars="64" w:left="141"/>
      </w:pPr>
    </w:p>
    <w:p w14:paraId="2CC6235F" w14:textId="36650A41" w:rsidR="00A23B73" w:rsidRPr="008B2522" w:rsidRDefault="00A23B73" w:rsidP="00940317">
      <w:pPr>
        <w:pStyle w:val="a3"/>
        <w:ind w:leftChars="64" w:left="141"/>
      </w:pPr>
      <w:r w:rsidRPr="00A05C0B">
        <w:t xml:space="preserve">Nie wszystkie </w:t>
      </w:r>
      <w:r w:rsidR="00C657F7">
        <w:t xml:space="preserve">rodzaje </w:t>
      </w:r>
      <w:r w:rsidRPr="00A05C0B">
        <w:t>opakowań muszą znajdować się w obrocie.</w:t>
      </w:r>
    </w:p>
    <w:p w14:paraId="4847CE66" w14:textId="77777777" w:rsidR="001432C3" w:rsidRPr="008B2522" w:rsidRDefault="001432C3">
      <w:pPr>
        <w:pStyle w:val="a3"/>
        <w:spacing w:before="5"/>
      </w:pPr>
    </w:p>
    <w:p w14:paraId="05C6058F" w14:textId="77777777" w:rsidR="001432C3" w:rsidRPr="004A2080" w:rsidRDefault="00505EF6" w:rsidP="00E0574D">
      <w:pPr>
        <w:pStyle w:val="1"/>
        <w:tabs>
          <w:tab w:val="left" w:pos="685"/>
          <w:tab w:val="left" w:pos="686"/>
        </w:tabs>
        <w:ind w:left="685" w:hanging="577"/>
      </w:pPr>
      <w:r>
        <w:t>6</w:t>
      </w:r>
      <w:r w:rsidR="007777F5">
        <w:t>.6</w:t>
      </w:r>
      <w:r w:rsidR="007777F5">
        <w:tab/>
      </w:r>
      <w:r w:rsidR="000E2AE0" w:rsidRPr="004A2080">
        <w:t>Specjalne środki ostrożności dotyczące usuwania i przygotowania produktu leczniczego do stosowania</w:t>
      </w:r>
    </w:p>
    <w:p w14:paraId="18D00503" w14:textId="77777777" w:rsidR="001432C3" w:rsidRDefault="001432C3" w:rsidP="00940317">
      <w:pPr>
        <w:pStyle w:val="a3"/>
        <w:ind w:leftChars="64" w:left="141"/>
        <w:rPr>
          <w:sz w:val="24"/>
        </w:rPr>
      </w:pPr>
    </w:p>
    <w:p w14:paraId="7F5CF131" w14:textId="77777777" w:rsidR="007C14E1" w:rsidRPr="00A05C0B" w:rsidRDefault="007C14E1" w:rsidP="007C14E1">
      <w:pPr>
        <w:pStyle w:val="a3"/>
        <w:ind w:left="118"/>
        <w:rPr>
          <w:u w:val="single"/>
        </w:rPr>
      </w:pPr>
      <w:r w:rsidRPr="00A05C0B">
        <w:rPr>
          <w:u w:val="single"/>
        </w:rPr>
        <w:t xml:space="preserve">Opakowanie zawierające tylko fiolkę </w:t>
      </w:r>
    </w:p>
    <w:p w14:paraId="2B9DF258" w14:textId="77777777" w:rsidR="007C14E1" w:rsidRPr="00A05C0B" w:rsidRDefault="007C14E1" w:rsidP="007C14E1">
      <w:pPr>
        <w:pStyle w:val="a3"/>
      </w:pPr>
    </w:p>
    <w:p w14:paraId="6566D217" w14:textId="77777777" w:rsidR="007C14E1" w:rsidRPr="00A05C0B" w:rsidRDefault="007C14E1" w:rsidP="007C14E1">
      <w:pPr>
        <w:pStyle w:val="a3"/>
        <w:spacing w:before="90"/>
        <w:ind w:left="118" w:right="36"/>
      </w:pPr>
      <w:r w:rsidRPr="00A05C0B">
        <w:t xml:space="preserve">Fiolka przeznaczona jest wyłącznie do jednorazowego użytku. Po wstrzyknięciu wszelkie niewykorzystane resztki produktu należy wyrzucić. Nie wolno użyć fiolki wykazującej oznaki uszkodzenia lub sfałszowania. Jałowość może być zagwarantowana tylko w przypadku, jeśli zamknięcie opakowania pozostaje nienaruszone. </w:t>
      </w:r>
    </w:p>
    <w:p w14:paraId="34969812" w14:textId="77777777" w:rsidR="007C14E1" w:rsidRPr="00A05C0B" w:rsidRDefault="007C14E1" w:rsidP="007C14E1">
      <w:pPr>
        <w:pStyle w:val="a3"/>
        <w:spacing w:before="10"/>
        <w:rPr>
          <w:sz w:val="21"/>
        </w:rPr>
      </w:pPr>
    </w:p>
    <w:p w14:paraId="1054AA9B" w14:textId="77777777" w:rsidR="007C14E1" w:rsidRPr="00A05C0B" w:rsidRDefault="007C14E1" w:rsidP="007C14E1">
      <w:pPr>
        <w:pStyle w:val="a3"/>
        <w:spacing w:before="90"/>
        <w:ind w:left="118" w:right="36"/>
      </w:pPr>
      <w:r w:rsidRPr="00A05C0B">
        <w:t xml:space="preserve">W celu przygotowania wstrzyknięcia do ciała szklistego potrzebne są następujące elementy zestawu do jednorazowego użytku: </w:t>
      </w:r>
    </w:p>
    <w:p w14:paraId="1B21BB67" w14:textId="08A7D60A" w:rsidR="007C14E1" w:rsidRPr="00A05C0B" w:rsidRDefault="007C14E1" w:rsidP="007C14E1">
      <w:pPr>
        <w:pStyle w:val="a4"/>
        <w:numPr>
          <w:ilvl w:val="0"/>
          <w:numId w:val="36"/>
        </w:numPr>
        <w:tabs>
          <w:tab w:val="left" w:pos="709"/>
        </w:tabs>
        <w:spacing w:line="242" w:lineRule="auto"/>
        <w:ind w:right="590"/>
      </w:pPr>
      <w:r w:rsidRPr="00A05C0B">
        <w:t>igła z filtrem 5 μm (18G)</w:t>
      </w:r>
    </w:p>
    <w:p w14:paraId="781F0FA5" w14:textId="31063FA2" w:rsidR="007C14E1" w:rsidRPr="00A05C0B" w:rsidRDefault="00C22470" w:rsidP="007C14E1">
      <w:pPr>
        <w:pStyle w:val="a4"/>
        <w:numPr>
          <w:ilvl w:val="0"/>
          <w:numId w:val="36"/>
        </w:numPr>
        <w:tabs>
          <w:tab w:val="left" w:pos="709"/>
        </w:tabs>
        <w:spacing w:line="242" w:lineRule="auto"/>
        <w:ind w:right="590"/>
      </w:pPr>
      <w:r w:rsidRPr="00A05C0B">
        <w:t>igła iniekcyjna (30G</w:t>
      </w:r>
      <w:r>
        <w:t> </w:t>
      </w:r>
      <w:r w:rsidRPr="00A05C0B">
        <w:t>x</w:t>
      </w:r>
      <w:r>
        <w:t> </w:t>
      </w:r>
      <w:r w:rsidRPr="00A05C0B">
        <w:t>½″)</w:t>
      </w:r>
      <w:r>
        <w:t xml:space="preserve"> i </w:t>
      </w:r>
      <w:r w:rsidR="007C14E1" w:rsidRPr="00A05C0B">
        <w:t>jałowa strzykawka o pojemności 1 ml (z oznaczoną dawką 0,05 ml)</w:t>
      </w:r>
    </w:p>
    <w:p w14:paraId="5AA813BE" w14:textId="77777777" w:rsidR="007C14E1" w:rsidRPr="00A05C0B" w:rsidRDefault="007C14E1" w:rsidP="007C14E1">
      <w:pPr>
        <w:pStyle w:val="a3"/>
        <w:ind w:left="118" w:right="36"/>
      </w:pPr>
      <w:r w:rsidRPr="00A05C0B">
        <w:t>Opakowanie produktu leczniczego nie zawiera wymienionych elementów.</w:t>
      </w:r>
    </w:p>
    <w:p w14:paraId="7D0A41F4" w14:textId="77777777" w:rsidR="007C14E1" w:rsidRDefault="007C14E1" w:rsidP="00940317">
      <w:pPr>
        <w:pStyle w:val="a3"/>
        <w:ind w:leftChars="64" w:left="141"/>
        <w:rPr>
          <w:sz w:val="24"/>
        </w:rPr>
      </w:pPr>
    </w:p>
    <w:p w14:paraId="0D9116FE" w14:textId="77777777" w:rsidR="007C14E1" w:rsidRPr="00940317" w:rsidRDefault="007C14E1" w:rsidP="00940317">
      <w:pPr>
        <w:pStyle w:val="a3"/>
        <w:ind w:leftChars="64" w:left="141"/>
        <w:rPr>
          <w:sz w:val="24"/>
        </w:rPr>
      </w:pPr>
    </w:p>
    <w:p w14:paraId="122BD0BD" w14:textId="77777777" w:rsidR="001432C3" w:rsidRPr="008B2522" w:rsidRDefault="008D5E5C" w:rsidP="00940317">
      <w:pPr>
        <w:pStyle w:val="a3"/>
        <w:spacing w:before="1"/>
        <w:ind w:leftChars="64" w:left="141"/>
        <w:rPr>
          <w:sz w:val="14"/>
        </w:rPr>
      </w:pPr>
      <w:r w:rsidRPr="008B2522">
        <w:rPr>
          <w:u w:val="single"/>
        </w:rPr>
        <w:t>Opakowanie zawierające fiolkę</w:t>
      </w:r>
      <w:r>
        <w:rPr>
          <w:u w:val="single"/>
        </w:rPr>
        <w:t xml:space="preserve">, igłę z filtrem i </w:t>
      </w:r>
      <w:r w:rsidR="00455D34">
        <w:rPr>
          <w:u w:val="single"/>
        </w:rPr>
        <w:t>igłę iniekcyjną</w:t>
      </w:r>
      <w:r w:rsidRPr="008B2522" w:rsidDel="008D5E5C">
        <w:rPr>
          <w:u w:val="single"/>
        </w:rPr>
        <w:t xml:space="preserve"> </w:t>
      </w:r>
    </w:p>
    <w:p w14:paraId="35F39A8F" w14:textId="77777777" w:rsidR="00316762" w:rsidRPr="008B2522" w:rsidRDefault="000E2AE0" w:rsidP="00940317">
      <w:pPr>
        <w:pStyle w:val="a3"/>
        <w:spacing w:before="91"/>
        <w:ind w:leftChars="64" w:left="141" w:right="86"/>
      </w:pPr>
      <w:r w:rsidRPr="008B2522">
        <w:t>Fiolka</w:t>
      </w:r>
      <w:r w:rsidR="008D5E5C">
        <w:t xml:space="preserve">, igła z filtrem i igła </w:t>
      </w:r>
      <w:r w:rsidR="00455D34">
        <w:t>iniekcyjna</w:t>
      </w:r>
      <w:r w:rsidRPr="008B2522">
        <w:t xml:space="preserve"> </w:t>
      </w:r>
      <w:r w:rsidR="00316762" w:rsidRPr="008B2522">
        <w:t xml:space="preserve">przeznaczone są wyłącznie do jednorazowego użytku. Powtórne użycie może prowadzić do zakażenia lub choroby, lub urazu. Wszystkie elementy zestawu są jałowe. Nie wolno używać żadnego elementu z opakowania, wykazującego oznaki uszkodzenia lub </w:t>
      </w:r>
      <w:r w:rsidR="00316762">
        <w:t>manipulowania</w:t>
      </w:r>
      <w:r w:rsidR="00316762" w:rsidRPr="008B2522">
        <w:t>.</w:t>
      </w:r>
      <w:r w:rsidR="00316762">
        <w:t xml:space="preserve"> </w:t>
      </w:r>
      <w:r w:rsidR="00316762" w:rsidRPr="008B2522">
        <w:t>Jałowość może być zagwarantowana tylko w przypadku, jeśli zamknięcie opakowania z elementami pozostaje nienaruszone.</w:t>
      </w:r>
    </w:p>
    <w:p w14:paraId="5D7D26C1" w14:textId="77777777" w:rsidR="001432C3" w:rsidRPr="008B2522" w:rsidRDefault="001432C3" w:rsidP="00940317">
      <w:pPr>
        <w:pStyle w:val="a3"/>
        <w:spacing w:before="91"/>
        <w:ind w:leftChars="64" w:left="141" w:right="850"/>
      </w:pPr>
    </w:p>
    <w:p w14:paraId="2544ACE8" w14:textId="77777777" w:rsidR="001432C3" w:rsidRPr="00881BBA" w:rsidRDefault="000E2AE0" w:rsidP="00940317">
      <w:pPr>
        <w:pStyle w:val="a3"/>
        <w:ind w:leftChars="64" w:left="141" w:right="337"/>
      </w:pPr>
      <w:r w:rsidRPr="00881BBA">
        <w:t>W celu przygotowania wstrzyknięcia do ciała szklistego potrzebne są następujące elementy zestawu do jednorazowego użytku:</w:t>
      </w:r>
    </w:p>
    <w:p w14:paraId="56A9FE3F" w14:textId="286624A1" w:rsidR="001432C3" w:rsidRPr="00881BBA" w:rsidRDefault="000E2AE0" w:rsidP="00940317">
      <w:pPr>
        <w:pStyle w:val="a4"/>
        <w:numPr>
          <w:ilvl w:val="0"/>
          <w:numId w:val="29"/>
        </w:numPr>
        <w:tabs>
          <w:tab w:val="left" w:pos="685"/>
          <w:tab w:val="left" w:pos="686"/>
        </w:tabs>
        <w:spacing w:before="1" w:line="252" w:lineRule="exact"/>
        <w:ind w:hanging="543"/>
      </w:pPr>
      <w:r w:rsidRPr="00881BBA">
        <w:t xml:space="preserve">igła z filtrem </w:t>
      </w:r>
      <w:r w:rsidR="00316762" w:rsidRPr="00881BBA">
        <w:t xml:space="preserve">(18G x 1½″, 1,2 mm x 40 mm, 5 µm, </w:t>
      </w:r>
      <w:r w:rsidR="00881BBA" w:rsidRPr="00881BBA">
        <w:t>dołączona do opakowania</w:t>
      </w:r>
      <w:r w:rsidR="00316762" w:rsidRPr="00881BBA">
        <w:t>)</w:t>
      </w:r>
    </w:p>
    <w:p w14:paraId="528B990B" w14:textId="5891542B" w:rsidR="00316762" w:rsidRPr="00881BBA" w:rsidRDefault="00316762" w:rsidP="00940317">
      <w:pPr>
        <w:pStyle w:val="a4"/>
        <w:numPr>
          <w:ilvl w:val="0"/>
          <w:numId w:val="29"/>
        </w:numPr>
        <w:tabs>
          <w:tab w:val="left" w:pos="685"/>
          <w:tab w:val="left" w:pos="686"/>
        </w:tabs>
        <w:spacing w:before="1" w:line="252" w:lineRule="exact"/>
        <w:ind w:hanging="543"/>
      </w:pPr>
      <w:r w:rsidRPr="00881BBA">
        <w:t xml:space="preserve">igła </w:t>
      </w:r>
      <w:r w:rsidR="00455D34">
        <w:t>iniekcyjna</w:t>
      </w:r>
      <w:r w:rsidRPr="00881BBA">
        <w:t xml:space="preserve"> (30G x ½″, 0,3 mm x 13 mm, </w:t>
      </w:r>
      <w:r w:rsidR="00881BBA" w:rsidRPr="00881BBA">
        <w:t>dołączona do opakowania</w:t>
      </w:r>
      <w:r w:rsidRPr="00881BBA">
        <w:t>)</w:t>
      </w:r>
    </w:p>
    <w:p w14:paraId="507B12E3" w14:textId="5A56C7F7" w:rsidR="001432C3" w:rsidRPr="00881BBA" w:rsidRDefault="000E2AE0" w:rsidP="00940317">
      <w:pPr>
        <w:pStyle w:val="a4"/>
        <w:numPr>
          <w:ilvl w:val="0"/>
          <w:numId w:val="29"/>
        </w:numPr>
        <w:tabs>
          <w:tab w:val="left" w:pos="685"/>
          <w:tab w:val="left" w:pos="686"/>
        </w:tabs>
        <w:ind w:right="1156" w:hanging="543"/>
      </w:pPr>
      <w:r w:rsidRPr="00881BBA">
        <w:t>jałowa strzykawka o pojemności 1</w:t>
      </w:r>
      <w:r w:rsidR="0020790E">
        <w:t> ml</w:t>
      </w:r>
      <w:r w:rsidRPr="00881BBA">
        <w:t xml:space="preserve"> (z oznaczoną dawką 0,05</w:t>
      </w:r>
      <w:r w:rsidR="0020790E">
        <w:t> ml</w:t>
      </w:r>
      <w:r w:rsidR="00881BBA" w:rsidRPr="00881BBA">
        <w:t>, niedołączona do opakowania</w:t>
      </w:r>
      <w:r w:rsidRPr="00881BBA">
        <w:t xml:space="preserve">) </w:t>
      </w:r>
    </w:p>
    <w:p w14:paraId="1C906AC7" w14:textId="77777777" w:rsidR="001432C3" w:rsidRPr="008B2522" w:rsidRDefault="001432C3" w:rsidP="00940317">
      <w:pPr>
        <w:pStyle w:val="a3"/>
        <w:ind w:leftChars="64" w:left="141"/>
      </w:pPr>
    </w:p>
    <w:p w14:paraId="6B5D25BD" w14:textId="77777777" w:rsidR="001432C3" w:rsidRPr="008B2522" w:rsidRDefault="000E2AE0" w:rsidP="00940317">
      <w:pPr>
        <w:pStyle w:val="a3"/>
        <w:ind w:leftChars="64" w:left="141" w:right="403"/>
      </w:pPr>
      <w:r w:rsidRPr="008B2522">
        <w:t xml:space="preserve">Aby przygotować produkt leczniczy </w:t>
      </w:r>
      <w:r w:rsidR="008B2522">
        <w:t>Byooviz</w:t>
      </w:r>
      <w:r w:rsidRPr="008B2522">
        <w:t xml:space="preserve"> do podania do ciała szklistego </w:t>
      </w:r>
      <w:r w:rsidRPr="008B2522">
        <w:rPr>
          <w:b/>
        </w:rPr>
        <w:t>pacjentom dorosłym</w:t>
      </w:r>
      <w:r w:rsidRPr="008B2522">
        <w:t>, należy postępować według poniższej instrukcji:</w:t>
      </w:r>
    </w:p>
    <w:p w14:paraId="6F7DAE81" w14:textId="77777777" w:rsidR="001432C3" w:rsidRPr="008B2522" w:rsidRDefault="001432C3" w:rsidP="00940317">
      <w:pPr>
        <w:pStyle w:val="a3"/>
        <w:spacing w:before="9"/>
        <w:ind w:leftChars="64" w:left="141"/>
      </w:pPr>
    </w:p>
    <w:p w14:paraId="439C8BF7" w14:textId="77777777" w:rsidR="001432C3" w:rsidRPr="008B2522" w:rsidRDefault="000E2AE0">
      <w:pPr>
        <w:pStyle w:val="a4"/>
        <w:numPr>
          <w:ilvl w:val="0"/>
          <w:numId w:val="28"/>
        </w:numPr>
        <w:tabs>
          <w:tab w:val="left" w:pos="658"/>
          <w:tab w:val="left" w:pos="659"/>
        </w:tabs>
        <w:spacing w:line="244" w:lineRule="auto"/>
        <w:ind w:right="658"/>
      </w:pPr>
      <w:r w:rsidRPr="008B2522">
        <w:t>Przed pobraniem leku do strzykawki należy zdezynfekować zewnętrzną gumową zatyczkę fiolki.</w:t>
      </w:r>
    </w:p>
    <w:p w14:paraId="67B25B5E" w14:textId="77777777" w:rsidR="001432C3" w:rsidRPr="008B2522" w:rsidRDefault="001432C3">
      <w:pPr>
        <w:pStyle w:val="a3"/>
        <w:spacing w:before="9"/>
        <w:rPr>
          <w:sz w:val="20"/>
        </w:rPr>
      </w:pPr>
    </w:p>
    <w:p w14:paraId="406820C8" w14:textId="77777777" w:rsidR="001432C3" w:rsidRPr="00940317" w:rsidRDefault="000E2AE0" w:rsidP="00940317">
      <w:pPr>
        <w:pStyle w:val="a4"/>
        <w:numPr>
          <w:ilvl w:val="0"/>
          <w:numId w:val="28"/>
        </w:numPr>
        <w:tabs>
          <w:tab w:val="left" w:pos="658"/>
          <w:tab w:val="left" w:pos="659"/>
        </w:tabs>
        <w:spacing w:before="5" w:line="247" w:lineRule="auto"/>
        <w:ind w:right="834"/>
      </w:pPr>
      <w:r w:rsidRPr="00940317">
        <w:t>Strzykawkę o pojemności 1</w:t>
      </w:r>
      <w:r w:rsidR="0020790E" w:rsidRPr="00940317">
        <w:t> ml</w:t>
      </w:r>
      <w:r w:rsidRPr="00940317">
        <w:t xml:space="preserve"> należy połączyć z igłą z filtrem 5 </w:t>
      </w:r>
      <w:r w:rsidRPr="00940317">
        <w:rPr>
          <w:rFonts w:ascii="Symbol" w:hAnsi="Symbol"/>
        </w:rPr>
        <w:t></w:t>
      </w:r>
      <w:r w:rsidRPr="00940317">
        <w:t>m (18G x</w:t>
      </w:r>
      <w:r w:rsidRPr="00940317">
        <w:rPr>
          <w:spacing w:val="-17"/>
        </w:rPr>
        <w:t xml:space="preserve"> </w:t>
      </w:r>
      <w:r w:rsidRPr="00940317">
        <w:t>1½″,</w:t>
      </w:r>
      <w:r w:rsidR="00940317" w:rsidRPr="00940317">
        <w:t xml:space="preserve"> </w:t>
      </w:r>
      <w:r w:rsidRPr="00940317">
        <w:t>1,2</w:t>
      </w:r>
      <w:r w:rsidR="00940317">
        <w:t> </w:t>
      </w:r>
      <w:r w:rsidRPr="00940317">
        <w:t>mm x 40 mm), zachowując ich jałowość. Igłą z filtrem przebić sam środek gumowej zatyczki i wprowadzić ją do fiolki tak głęboko, by koniec igły sięgał dna fiolki.</w:t>
      </w:r>
    </w:p>
    <w:p w14:paraId="75BE6741" w14:textId="77777777" w:rsidR="001432C3" w:rsidRPr="008B2522" w:rsidRDefault="001432C3">
      <w:pPr>
        <w:pStyle w:val="a3"/>
      </w:pPr>
    </w:p>
    <w:p w14:paraId="248C1736" w14:textId="77777777" w:rsidR="001432C3" w:rsidRPr="008B2522" w:rsidRDefault="000E2AE0">
      <w:pPr>
        <w:pStyle w:val="a4"/>
        <w:numPr>
          <w:ilvl w:val="0"/>
          <w:numId w:val="28"/>
        </w:numPr>
        <w:tabs>
          <w:tab w:val="left" w:pos="658"/>
          <w:tab w:val="left" w:pos="659"/>
        </w:tabs>
        <w:spacing w:before="1" w:line="244" w:lineRule="auto"/>
        <w:ind w:right="791"/>
      </w:pPr>
      <w:r w:rsidRPr="008B2522">
        <w:t>Należy pobrać całą zawartość fiolki do strzykawki, trzymając fiolkę w pozycji pionowej, nieznacznie przechyloną, co ułatwia pobranie całego</w:t>
      </w:r>
      <w:r w:rsidRPr="008B2522">
        <w:rPr>
          <w:spacing w:val="-16"/>
        </w:rPr>
        <w:t xml:space="preserve"> </w:t>
      </w:r>
      <w:r w:rsidRPr="008B2522">
        <w:t>płynu.</w:t>
      </w:r>
    </w:p>
    <w:p w14:paraId="2D6329FE" w14:textId="77777777" w:rsidR="001432C3" w:rsidRPr="008B2522" w:rsidRDefault="001432C3">
      <w:pPr>
        <w:pStyle w:val="a3"/>
        <w:spacing w:before="2"/>
      </w:pPr>
    </w:p>
    <w:p w14:paraId="504EB1AA" w14:textId="77777777" w:rsidR="001432C3" w:rsidRPr="008B2522" w:rsidRDefault="000E2AE0">
      <w:pPr>
        <w:pStyle w:val="a4"/>
        <w:numPr>
          <w:ilvl w:val="0"/>
          <w:numId w:val="28"/>
        </w:numPr>
        <w:tabs>
          <w:tab w:val="left" w:pos="658"/>
          <w:tab w:val="left" w:pos="659"/>
        </w:tabs>
        <w:spacing w:before="1" w:line="244" w:lineRule="auto"/>
        <w:ind w:right="1170"/>
      </w:pPr>
      <w:r w:rsidRPr="008B2522">
        <w:t xml:space="preserve">Podczas opróżniania fiolki należy upewnić się, że tłok strzykawki jest wystarczająco </w:t>
      </w:r>
      <w:r w:rsidRPr="008B2522">
        <w:lastRenderedPageBreak/>
        <w:t>odciągnięty, dzięki czemu także igła z filtrem zostanie opróżniona z</w:t>
      </w:r>
      <w:r w:rsidRPr="008B2522">
        <w:rPr>
          <w:spacing w:val="-20"/>
        </w:rPr>
        <w:t xml:space="preserve"> </w:t>
      </w:r>
      <w:r w:rsidRPr="008B2522">
        <w:t>leku.</w:t>
      </w:r>
    </w:p>
    <w:p w14:paraId="7602B007" w14:textId="77777777" w:rsidR="001432C3" w:rsidRPr="008B2522" w:rsidRDefault="001432C3">
      <w:pPr>
        <w:pStyle w:val="a3"/>
        <w:spacing w:before="2"/>
      </w:pPr>
    </w:p>
    <w:p w14:paraId="6028049C" w14:textId="77777777" w:rsidR="001432C3" w:rsidRPr="008B2522" w:rsidRDefault="000E2AE0">
      <w:pPr>
        <w:pStyle w:val="a4"/>
        <w:numPr>
          <w:ilvl w:val="0"/>
          <w:numId w:val="28"/>
        </w:numPr>
        <w:tabs>
          <w:tab w:val="left" w:pos="658"/>
          <w:tab w:val="left" w:pos="659"/>
        </w:tabs>
        <w:spacing w:before="1" w:line="244" w:lineRule="auto"/>
        <w:ind w:right="99"/>
      </w:pPr>
      <w:r w:rsidRPr="008B2522">
        <w:t>Odłączyć strzykawkę, pozostawiając igłę z filtrem w fiolce. Po pobraniu zawartości fiolki igłę z filtrem należy wyrzucić. Nie należy używać igły z filtrem do podawania leku do ciała</w:t>
      </w:r>
      <w:r w:rsidRPr="008B2522">
        <w:rPr>
          <w:spacing w:val="-29"/>
        </w:rPr>
        <w:t xml:space="preserve"> </w:t>
      </w:r>
      <w:r w:rsidRPr="008B2522">
        <w:t>szklistego.</w:t>
      </w:r>
    </w:p>
    <w:p w14:paraId="7A45CF7A" w14:textId="77777777" w:rsidR="001432C3" w:rsidRPr="008B2522" w:rsidRDefault="001432C3">
      <w:pPr>
        <w:pStyle w:val="a3"/>
        <w:spacing w:before="2"/>
      </w:pPr>
    </w:p>
    <w:p w14:paraId="6335705B" w14:textId="77777777" w:rsidR="001432C3" w:rsidRPr="008B2522" w:rsidRDefault="000E2AE0">
      <w:pPr>
        <w:pStyle w:val="a4"/>
        <w:numPr>
          <w:ilvl w:val="0"/>
          <w:numId w:val="28"/>
        </w:numPr>
        <w:tabs>
          <w:tab w:val="left" w:pos="658"/>
          <w:tab w:val="left" w:pos="659"/>
        </w:tabs>
        <w:spacing w:before="1" w:line="244" w:lineRule="auto"/>
        <w:ind w:right="1172"/>
      </w:pPr>
      <w:r w:rsidRPr="008B2522">
        <w:t>Następnie należy szczelnie połączyć strzykawkę z jałową igłą iniekcyjną (30G x ½″,</w:t>
      </w:r>
      <w:r w:rsidR="00940317">
        <w:t xml:space="preserve"> </w:t>
      </w:r>
      <w:r w:rsidRPr="008B2522">
        <w:t>0,</w:t>
      </w:r>
      <w:r w:rsidR="00216CDD" w:rsidRPr="008B2522">
        <w:t>3</w:t>
      </w:r>
      <w:r w:rsidR="00216CDD">
        <w:t> </w:t>
      </w:r>
      <w:r w:rsidRPr="008B2522">
        <w:t xml:space="preserve">mm x </w:t>
      </w:r>
      <w:r w:rsidR="00216CDD" w:rsidRPr="008B2522">
        <w:t>13</w:t>
      </w:r>
      <w:r w:rsidR="00216CDD">
        <w:rPr>
          <w:spacing w:val="-5"/>
        </w:rPr>
        <w:t> </w:t>
      </w:r>
      <w:r w:rsidRPr="008B2522">
        <w:t>mm).</w:t>
      </w:r>
    </w:p>
    <w:p w14:paraId="142448C6" w14:textId="77777777" w:rsidR="001432C3" w:rsidRPr="008B2522" w:rsidRDefault="001432C3">
      <w:pPr>
        <w:pStyle w:val="a3"/>
        <w:spacing w:before="3"/>
      </w:pPr>
    </w:p>
    <w:p w14:paraId="4F08951E" w14:textId="77777777" w:rsidR="001432C3" w:rsidRPr="008B2522" w:rsidRDefault="000E2AE0">
      <w:pPr>
        <w:pStyle w:val="a4"/>
        <w:numPr>
          <w:ilvl w:val="0"/>
          <w:numId w:val="28"/>
        </w:numPr>
        <w:tabs>
          <w:tab w:val="left" w:pos="658"/>
          <w:tab w:val="left" w:pos="659"/>
        </w:tabs>
        <w:spacing w:line="244" w:lineRule="auto"/>
        <w:ind w:right="255"/>
      </w:pPr>
      <w:r w:rsidRPr="008B2522">
        <w:t>Należy ostrożnie zdjąć nakładkę ochronną z igły, starając się, by nie doszło do rozłączenia igły ze</w:t>
      </w:r>
      <w:r w:rsidRPr="008B2522">
        <w:rPr>
          <w:spacing w:val="-8"/>
        </w:rPr>
        <w:t xml:space="preserve"> </w:t>
      </w:r>
      <w:r w:rsidRPr="008B2522">
        <w:t>strzykawką.</w:t>
      </w:r>
    </w:p>
    <w:p w14:paraId="174D7ACA" w14:textId="77777777" w:rsidR="001432C3" w:rsidRPr="008B2522" w:rsidRDefault="001432C3">
      <w:pPr>
        <w:pStyle w:val="a3"/>
        <w:spacing w:before="4"/>
        <w:rPr>
          <w:sz w:val="21"/>
        </w:rPr>
      </w:pPr>
    </w:p>
    <w:p w14:paraId="126C5786" w14:textId="77777777" w:rsidR="001432C3" w:rsidRPr="008B2522" w:rsidRDefault="000E2AE0">
      <w:pPr>
        <w:pStyle w:val="a3"/>
        <w:ind w:left="658"/>
      </w:pPr>
      <w:r w:rsidRPr="008B2522">
        <w:t>Uwaga: Podczas zdejmowania nakładki należy przytrzymać palcami trzonek igły.</w:t>
      </w:r>
    </w:p>
    <w:p w14:paraId="616675BC" w14:textId="77777777" w:rsidR="001432C3" w:rsidRPr="008B2522" w:rsidRDefault="001432C3">
      <w:pPr>
        <w:pStyle w:val="a3"/>
        <w:spacing w:before="9"/>
      </w:pPr>
    </w:p>
    <w:p w14:paraId="32BFA722" w14:textId="77777777" w:rsidR="001432C3" w:rsidRPr="008B2522" w:rsidRDefault="000E2AE0">
      <w:pPr>
        <w:pStyle w:val="a4"/>
        <w:numPr>
          <w:ilvl w:val="0"/>
          <w:numId w:val="28"/>
        </w:numPr>
        <w:tabs>
          <w:tab w:val="left" w:pos="658"/>
          <w:tab w:val="left" w:pos="659"/>
        </w:tabs>
        <w:spacing w:before="1" w:line="244" w:lineRule="auto"/>
        <w:ind w:right="826"/>
      </w:pPr>
      <w:r w:rsidRPr="008B2522">
        <w:t>Należy ostrożnie usunąć powietrze wraz z nadmiarem roztworu i ustawić dawkę 0,05</w:t>
      </w:r>
      <w:r w:rsidR="0020790E">
        <w:t> ml</w:t>
      </w:r>
      <w:r w:rsidRPr="008B2522">
        <w:rPr>
          <w:spacing w:val="-4"/>
        </w:rPr>
        <w:t xml:space="preserve"> </w:t>
      </w:r>
      <w:r w:rsidRPr="008B2522">
        <w:t>oznaczoną na strzykawce. Strzykawka jest gotowa do podania</w:t>
      </w:r>
      <w:r w:rsidRPr="008B2522">
        <w:rPr>
          <w:spacing w:val="-16"/>
        </w:rPr>
        <w:t xml:space="preserve"> </w:t>
      </w:r>
      <w:r w:rsidRPr="008B2522">
        <w:t>leku.</w:t>
      </w:r>
    </w:p>
    <w:p w14:paraId="7D7B8429" w14:textId="77777777" w:rsidR="001432C3" w:rsidRPr="008B2522" w:rsidRDefault="001432C3">
      <w:pPr>
        <w:pStyle w:val="a3"/>
        <w:spacing w:before="4"/>
        <w:rPr>
          <w:sz w:val="21"/>
        </w:rPr>
      </w:pPr>
    </w:p>
    <w:p w14:paraId="068A1DAC" w14:textId="77777777" w:rsidR="001432C3" w:rsidRPr="008B2522" w:rsidRDefault="000E2AE0">
      <w:pPr>
        <w:pStyle w:val="a3"/>
        <w:spacing w:before="1"/>
        <w:ind w:left="685"/>
      </w:pPr>
      <w:r w:rsidRPr="008B2522">
        <w:t>Uwaga: Nie przecierać igły iniekcyjnej. Nie odciągać tłoka strzykawki.</w:t>
      </w:r>
    </w:p>
    <w:p w14:paraId="7BA0FDDD" w14:textId="77777777" w:rsidR="001432C3" w:rsidRPr="008B2522" w:rsidRDefault="001432C3">
      <w:pPr>
        <w:pStyle w:val="a3"/>
      </w:pPr>
    </w:p>
    <w:p w14:paraId="6A37F1D5" w14:textId="77777777" w:rsidR="001432C3" w:rsidRPr="008B2522" w:rsidRDefault="000E2AE0" w:rsidP="00D22CB7">
      <w:pPr>
        <w:pStyle w:val="a3"/>
        <w:ind w:right="331"/>
      </w:pPr>
      <w:r w:rsidRPr="008B2522">
        <w:t>Po zakończeniu wstrzyknięcia nie należy zakładać nakładki z powrotem na igłę ani odłączać igły od strzykawki. Zużytą strzykawkę razem z igłą należy wyrzucić do pojemnika na ostre odpady lub usunąć zgodnie z lokalnymi przepisami.</w:t>
      </w:r>
    </w:p>
    <w:p w14:paraId="7F455D9A" w14:textId="77777777" w:rsidR="001432C3" w:rsidRPr="008B2522" w:rsidRDefault="001432C3">
      <w:pPr>
        <w:pStyle w:val="a3"/>
        <w:rPr>
          <w:sz w:val="24"/>
        </w:rPr>
      </w:pPr>
    </w:p>
    <w:p w14:paraId="2324EC5C" w14:textId="77777777" w:rsidR="001432C3" w:rsidRPr="00940317" w:rsidRDefault="001432C3" w:rsidP="00940317">
      <w:pPr>
        <w:pStyle w:val="a3"/>
        <w:ind w:leftChars="64" w:left="141"/>
        <w:rPr>
          <w:sz w:val="24"/>
        </w:rPr>
      </w:pPr>
    </w:p>
    <w:p w14:paraId="5A8C525F" w14:textId="77777777" w:rsidR="001432C3" w:rsidRPr="004A2080" w:rsidRDefault="007777F5" w:rsidP="00E0574D">
      <w:pPr>
        <w:pStyle w:val="1"/>
        <w:tabs>
          <w:tab w:val="left" w:pos="685"/>
          <w:tab w:val="left" w:pos="686"/>
        </w:tabs>
        <w:ind w:left="685" w:hanging="577"/>
      </w:pPr>
      <w:r>
        <w:t>7.</w:t>
      </w:r>
      <w:r>
        <w:tab/>
      </w:r>
      <w:r w:rsidR="000E2AE0" w:rsidRPr="004A2080">
        <w:t>PODMIOT ODPOWIEDZIALNY POSIADAJĄCY POZWOLENIE NA DOPUSZCZENIE DO OBROTU</w:t>
      </w:r>
    </w:p>
    <w:p w14:paraId="5440F541" w14:textId="77777777" w:rsidR="001432C3" w:rsidRPr="00940317" w:rsidRDefault="001432C3" w:rsidP="00940317">
      <w:pPr>
        <w:pStyle w:val="a3"/>
        <w:ind w:leftChars="64" w:left="141"/>
      </w:pPr>
    </w:p>
    <w:p w14:paraId="5B0DAA49" w14:textId="77777777" w:rsidR="00881BBA" w:rsidRPr="004A2080" w:rsidRDefault="00881BBA" w:rsidP="00940317">
      <w:pPr>
        <w:pStyle w:val="a3"/>
        <w:ind w:leftChars="64" w:left="141"/>
        <w:rPr>
          <w:lang w:val="en-GB"/>
        </w:rPr>
      </w:pPr>
      <w:r w:rsidRPr="004A2080">
        <w:rPr>
          <w:lang w:val="en-GB"/>
        </w:rPr>
        <w:t>Samsung Bioepis NL B.V.</w:t>
      </w:r>
    </w:p>
    <w:p w14:paraId="364A8D09" w14:textId="77777777" w:rsidR="00881BBA" w:rsidRPr="00940317" w:rsidRDefault="00881BBA" w:rsidP="00940317">
      <w:pPr>
        <w:pStyle w:val="a3"/>
        <w:ind w:leftChars="64" w:left="141"/>
      </w:pPr>
      <w:r w:rsidRPr="00940317">
        <w:rPr>
          <w:rFonts w:hint="eastAsia"/>
        </w:rPr>
        <w:t>Olof Palmestraat 10</w:t>
      </w:r>
    </w:p>
    <w:p w14:paraId="651155EE" w14:textId="77777777" w:rsidR="00881BBA" w:rsidRPr="00940317" w:rsidRDefault="00881BBA" w:rsidP="00940317">
      <w:pPr>
        <w:pStyle w:val="a3"/>
        <w:ind w:leftChars="64" w:left="141"/>
      </w:pPr>
      <w:r w:rsidRPr="00940317">
        <w:rPr>
          <w:rFonts w:hint="eastAsia"/>
        </w:rPr>
        <w:t>2616 LR Delft</w:t>
      </w:r>
    </w:p>
    <w:p w14:paraId="651A661F" w14:textId="77777777" w:rsidR="001432C3" w:rsidRPr="00940317" w:rsidRDefault="00881BBA" w:rsidP="00940317">
      <w:pPr>
        <w:pStyle w:val="a3"/>
        <w:ind w:leftChars="64" w:left="141"/>
      </w:pPr>
      <w:r w:rsidRPr="00940317">
        <w:t>Holandia</w:t>
      </w:r>
    </w:p>
    <w:p w14:paraId="40CCAB39" w14:textId="77777777" w:rsidR="001432C3" w:rsidRPr="00940317" w:rsidRDefault="001432C3">
      <w:pPr>
        <w:pStyle w:val="a3"/>
      </w:pPr>
    </w:p>
    <w:p w14:paraId="06D17C22" w14:textId="77777777" w:rsidR="001432C3" w:rsidRPr="00940317" w:rsidRDefault="001432C3">
      <w:pPr>
        <w:pStyle w:val="a3"/>
        <w:spacing w:before="4"/>
      </w:pPr>
    </w:p>
    <w:p w14:paraId="2D93D056" w14:textId="77777777" w:rsidR="001432C3" w:rsidRPr="004A2080" w:rsidRDefault="007777F5" w:rsidP="00E0574D">
      <w:pPr>
        <w:pStyle w:val="1"/>
        <w:tabs>
          <w:tab w:val="left" w:pos="685"/>
          <w:tab w:val="left" w:pos="686"/>
        </w:tabs>
        <w:ind w:left="685" w:hanging="577"/>
      </w:pPr>
      <w:r>
        <w:t>8.</w:t>
      </w:r>
      <w:r>
        <w:tab/>
      </w:r>
      <w:r w:rsidR="000E2AE0" w:rsidRPr="004A2080">
        <w:t>NUMERY POZWOLEŃ NA DOPUSZCZENIE DO OBROTU</w:t>
      </w:r>
    </w:p>
    <w:p w14:paraId="1AAC3E9F" w14:textId="77777777" w:rsidR="001432C3" w:rsidRPr="00940317" w:rsidRDefault="001432C3" w:rsidP="00940317">
      <w:pPr>
        <w:pStyle w:val="a3"/>
        <w:ind w:leftChars="64" w:left="141"/>
      </w:pPr>
    </w:p>
    <w:p w14:paraId="5CEB2942" w14:textId="77777777" w:rsidR="00881BBA" w:rsidRDefault="00881BBA" w:rsidP="00940317">
      <w:pPr>
        <w:pStyle w:val="a3"/>
        <w:ind w:leftChars="64" w:left="141"/>
      </w:pPr>
      <w:r w:rsidRPr="00940317">
        <w:t>EU/1/21/1572/001</w:t>
      </w:r>
    </w:p>
    <w:p w14:paraId="449ABE77" w14:textId="77777777" w:rsidR="00D04985" w:rsidRPr="00940317" w:rsidRDefault="00D04985" w:rsidP="00940317">
      <w:pPr>
        <w:pStyle w:val="a3"/>
        <w:ind w:leftChars="64" w:left="141"/>
      </w:pPr>
      <w:r w:rsidRPr="00A05C0B">
        <w:t>EU/1/21/1572/002</w:t>
      </w:r>
    </w:p>
    <w:p w14:paraId="7F89ADDF" w14:textId="77777777" w:rsidR="001432C3" w:rsidRPr="00940317" w:rsidRDefault="001432C3">
      <w:pPr>
        <w:pStyle w:val="a3"/>
      </w:pPr>
    </w:p>
    <w:p w14:paraId="5FE051A0" w14:textId="77777777" w:rsidR="001432C3" w:rsidRPr="00940317" w:rsidRDefault="001432C3">
      <w:pPr>
        <w:pStyle w:val="a3"/>
        <w:spacing w:before="4"/>
      </w:pPr>
    </w:p>
    <w:p w14:paraId="3BA84CA7" w14:textId="77777777" w:rsidR="001432C3" w:rsidRPr="004A2080" w:rsidRDefault="007777F5" w:rsidP="00E0574D">
      <w:pPr>
        <w:pStyle w:val="1"/>
        <w:tabs>
          <w:tab w:val="left" w:pos="685"/>
          <w:tab w:val="left" w:pos="686"/>
        </w:tabs>
        <w:ind w:left="685" w:hanging="577"/>
      </w:pPr>
      <w:r>
        <w:t>9.</w:t>
      </w:r>
      <w:r>
        <w:tab/>
      </w:r>
      <w:r w:rsidR="000E2AE0" w:rsidRPr="004A2080">
        <w:t>DATA WYDANIA PIERWSZEGO POZWOLENIA NA DOPUSZCZENIE DO OBROTU I DATA PRZEDŁUŻENIA POZWOLENIA</w:t>
      </w:r>
    </w:p>
    <w:p w14:paraId="4291813A" w14:textId="77777777" w:rsidR="001432C3" w:rsidRPr="00940317" w:rsidRDefault="001432C3" w:rsidP="00940317">
      <w:pPr>
        <w:pStyle w:val="a3"/>
        <w:ind w:leftChars="64" w:left="141"/>
      </w:pPr>
    </w:p>
    <w:p w14:paraId="631770C0" w14:textId="77777777" w:rsidR="001432C3" w:rsidRPr="00940317" w:rsidRDefault="000E2AE0" w:rsidP="00940317">
      <w:pPr>
        <w:pStyle w:val="a3"/>
        <w:ind w:leftChars="64" w:left="141"/>
      </w:pPr>
      <w:r w:rsidRPr="00940317">
        <w:t xml:space="preserve">Data wydania pierwszego pozwolenia na dopuszczenie do obrotu: </w:t>
      </w:r>
      <w:r w:rsidR="0051644A" w:rsidRPr="00A05C0B">
        <w:t>18 sierpnia 2021</w:t>
      </w:r>
    </w:p>
    <w:p w14:paraId="154D580F" w14:textId="77777777" w:rsidR="001432C3" w:rsidRPr="00940317" w:rsidRDefault="001432C3">
      <w:pPr>
        <w:pStyle w:val="a3"/>
      </w:pPr>
    </w:p>
    <w:p w14:paraId="5337F6EA" w14:textId="77777777" w:rsidR="001432C3" w:rsidRPr="00940317" w:rsidRDefault="001432C3">
      <w:pPr>
        <w:pStyle w:val="a3"/>
        <w:spacing w:before="4"/>
      </w:pPr>
    </w:p>
    <w:p w14:paraId="25084314" w14:textId="77777777" w:rsidR="001432C3" w:rsidRPr="004A2080" w:rsidRDefault="007777F5" w:rsidP="00E0574D">
      <w:pPr>
        <w:pStyle w:val="1"/>
        <w:tabs>
          <w:tab w:val="left" w:pos="685"/>
          <w:tab w:val="left" w:pos="686"/>
        </w:tabs>
        <w:ind w:left="685" w:hanging="577"/>
      </w:pPr>
      <w:r>
        <w:t>10.</w:t>
      </w:r>
      <w:r>
        <w:tab/>
      </w:r>
      <w:r w:rsidR="000E2AE0" w:rsidRPr="004A2080">
        <w:t>DATA ZATWIERDZENIA LUB CZĘŚCIOWEJ ZMIANY TEKSTU CHARAKTERYSTYKI PRODUKTU LECZNICZEGO</w:t>
      </w:r>
    </w:p>
    <w:p w14:paraId="49022876" w14:textId="77777777" w:rsidR="00216CDD" w:rsidRPr="00940317" w:rsidRDefault="00216CDD">
      <w:pPr>
        <w:pStyle w:val="a3"/>
        <w:spacing w:before="5"/>
        <w:rPr>
          <w:b/>
        </w:rPr>
      </w:pPr>
    </w:p>
    <w:p w14:paraId="72D71AAB" w14:textId="77777777" w:rsidR="00216CDD" w:rsidRPr="00940317" w:rsidRDefault="00216CDD">
      <w:pPr>
        <w:pStyle w:val="a3"/>
        <w:spacing w:before="5"/>
        <w:rPr>
          <w:b/>
        </w:rPr>
      </w:pPr>
    </w:p>
    <w:p w14:paraId="4127103A" w14:textId="77777777" w:rsidR="001432C3" w:rsidRPr="00940317" w:rsidRDefault="000E2AE0" w:rsidP="00940317">
      <w:pPr>
        <w:pStyle w:val="a3"/>
        <w:ind w:leftChars="64" w:left="141"/>
      </w:pPr>
      <w:r w:rsidRPr="00940317">
        <w:t xml:space="preserve">Szczegółowe informacje o tym produkcie leczniczym są dostępne na stronie internetowej Europejskiej Agencji Leków </w:t>
      </w:r>
      <w:hyperlink r:id="rId22" w:history="1">
        <w:r w:rsidR="00881BBA" w:rsidRPr="000D06E9">
          <w:rPr>
            <w:rStyle w:val="Hipercze1"/>
          </w:rPr>
          <w:t>http://www.ema.europa.eu</w:t>
        </w:r>
      </w:hyperlink>
      <w:bookmarkStart w:id="8" w:name="4.1_Therapeutic_indications"/>
      <w:bookmarkStart w:id="9" w:name="4.2_Posology_and_method_of_administratio"/>
      <w:bookmarkStart w:id="10" w:name="4.4_Special_warnings_and_precautions_for"/>
      <w:bookmarkStart w:id="11" w:name="4.6_Fertility,_pregnancy_and_lactation"/>
      <w:bookmarkStart w:id="12" w:name="4.7_Effects_on_ability_to_drive_and_use_"/>
      <w:bookmarkStart w:id="13" w:name="4.8_Undesirable_effects"/>
      <w:bookmarkStart w:id="14" w:name="5.2_Pharmacokinetic_properties"/>
      <w:bookmarkStart w:id="15" w:name="5.3_Preclinical_safety_data"/>
      <w:bookmarkStart w:id="16" w:name="6.1_List_of_excipients"/>
      <w:bookmarkStart w:id="17" w:name="6.2_Incompatibilities"/>
      <w:bookmarkStart w:id="18" w:name="6.3_Shelf_life"/>
      <w:bookmarkStart w:id="19" w:name="6.4_Special_precautions_for_storage"/>
      <w:bookmarkStart w:id="20" w:name="6.5_Nature_and_contents_of_container"/>
      <w:bookmarkStart w:id="21" w:name="6.6_Special_precautions_for_disposal_and"/>
      <w:bookmarkStart w:id="22" w:name="Name_and_address_of_the_manufacturers_of"/>
      <w:bookmarkStart w:id="23" w:name="ANNEX_III"/>
      <w:bookmarkStart w:id="24" w:name="LABELLING_AND_PACKAGE_LEAFLET"/>
      <w:bookmarkStart w:id="25" w:name="A._LABELLING"/>
      <w:bookmarkStart w:id="26" w:name="EU/1/06/374/00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881BBA" w:rsidRPr="00940317">
        <w:t>.</w:t>
      </w:r>
    </w:p>
    <w:p w14:paraId="12A64F86" w14:textId="77777777" w:rsidR="001432C3" w:rsidRPr="00940317" w:rsidRDefault="001432C3" w:rsidP="00940317">
      <w:pPr>
        <w:pStyle w:val="a3"/>
        <w:ind w:leftChars="64" w:left="141"/>
        <w:sectPr w:rsidR="001432C3" w:rsidRPr="00940317" w:rsidSect="00105C10">
          <w:pgSz w:w="11910" w:h="16840"/>
          <w:pgMar w:top="1040" w:right="1320" w:bottom="900" w:left="1300" w:header="0" w:footer="656" w:gutter="0"/>
          <w:cols w:space="720"/>
        </w:sectPr>
      </w:pPr>
    </w:p>
    <w:p w14:paraId="114581FA" w14:textId="77777777" w:rsidR="001432C3" w:rsidRPr="008B2522" w:rsidRDefault="001432C3">
      <w:pPr>
        <w:pStyle w:val="a3"/>
        <w:rPr>
          <w:sz w:val="20"/>
        </w:rPr>
      </w:pPr>
    </w:p>
    <w:p w14:paraId="32981370" w14:textId="77777777" w:rsidR="001432C3" w:rsidRPr="008B2522" w:rsidRDefault="001432C3">
      <w:pPr>
        <w:pStyle w:val="a3"/>
        <w:rPr>
          <w:sz w:val="20"/>
        </w:rPr>
      </w:pPr>
    </w:p>
    <w:p w14:paraId="0F2E6B55" w14:textId="77777777" w:rsidR="001432C3" w:rsidRPr="008B2522" w:rsidRDefault="001432C3">
      <w:pPr>
        <w:pStyle w:val="a3"/>
        <w:rPr>
          <w:sz w:val="20"/>
        </w:rPr>
      </w:pPr>
    </w:p>
    <w:p w14:paraId="02D865D6" w14:textId="77777777" w:rsidR="001432C3" w:rsidRPr="008B2522" w:rsidRDefault="001432C3">
      <w:pPr>
        <w:pStyle w:val="a3"/>
        <w:rPr>
          <w:sz w:val="20"/>
        </w:rPr>
      </w:pPr>
    </w:p>
    <w:p w14:paraId="42C780EF" w14:textId="77777777" w:rsidR="001432C3" w:rsidRPr="008B2522" w:rsidRDefault="001432C3">
      <w:pPr>
        <w:pStyle w:val="a3"/>
        <w:rPr>
          <w:sz w:val="20"/>
        </w:rPr>
      </w:pPr>
    </w:p>
    <w:p w14:paraId="7AAA2185" w14:textId="77777777" w:rsidR="001432C3" w:rsidRPr="008B2522" w:rsidRDefault="001432C3">
      <w:pPr>
        <w:pStyle w:val="a3"/>
        <w:rPr>
          <w:sz w:val="20"/>
        </w:rPr>
      </w:pPr>
    </w:p>
    <w:p w14:paraId="6BD4F435" w14:textId="77777777" w:rsidR="001432C3" w:rsidRPr="008B2522" w:rsidRDefault="001432C3">
      <w:pPr>
        <w:pStyle w:val="a3"/>
        <w:rPr>
          <w:sz w:val="20"/>
        </w:rPr>
      </w:pPr>
    </w:p>
    <w:p w14:paraId="63A9900F" w14:textId="77777777" w:rsidR="001432C3" w:rsidRPr="008B2522" w:rsidRDefault="001432C3">
      <w:pPr>
        <w:pStyle w:val="a3"/>
        <w:rPr>
          <w:sz w:val="20"/>
        </w:rPr>
      </w:pPr>
    </w:p>
    <w:p w14:paraId="7B08848F" w14:textId="77777777" w:rsidR="001432C3" w:rsidRPr="008B2522" w:rsidRDefault="001432C3">
      <w:pPr>
        <w:pStyle w:val="a3"/>
        <w:rPr>
          <w:sz w:val="20"/>
        </w:rPr>
      </w:pPr>
    </w:p>
    <w:p w14:paraId="10D25E7C" w14:textId="77777777" w:rsidR="001432C3" w:rsidRPr="008B2522" w:rsidRDefault="001432C3">
      <w:pPr>
        <w:pStyle w:val="a3"/>
        <w:rPr>
          <w:sz w:val="20"/>
        </w:rPr>
      </w:pPr>
    </w:p>
    <w:p w14:paraId="717F6A53" w14:textId="77777777" w:rsidR="001432C3" w:rsidRPr="008B2522" w:rsidRDefault="001432C3">
      <w:pPr>
        <w:pStyle w:val="a3"/>
        <w:rPr>
          <w:sz w:val="20"/>
        </w:rPr>
      </w:pPr>
    </w:p>
    <w:p w14:paraId="401EE398" w14:textId="77777777" w:rsidR="001432C3" w:rsidRPr="008B2522" w:rsidRDefault="001432C3">
      <w:pPr>
        <w:pStyle w:val="a3"/>
        <w:rPr>
          <w:sz w:val="20"/>
        </w:rPr>
      </w:pPr>
    </w:p>
    <w:p w14:paraId="7C0E185B" w14:textId="77777777" w:rsidR="001432C3" w:rsidRPr="008B2522" w:rsidRDefault="001432C3">
      <w:pPr>
        <w:pStyle w:val="a3"/>
        <w:rPr>
          <w:sz w:val="20"/>
        </w:rPr>
      </w:pPr>
    </w:p>
    <w:p w14:paraId="43C9489B" w14:textId="77777777" w:rsidR="001432C3" w:rsidRPr="008B2522" w:rsidRDefault="001432C3">
      <w:pPr>
        <w:pStyle w:val="a3"/>
        <w:rPr>
          <w:sz w:val="20"/>
        </w:rPr>
      </w:pPr>
    </w:p>
    <w:p w14:paraId="1BF32B5E" w14:textId="77777777" w:rsidR="001432C3" w:rsidRPr="008B2522" w:rsidRDefault="001432C3">
      <w:pPr>
        <w:pStyle w:val="a3"/>
        <w:rPr>
          <w:sz w:val="20"/>
        </w:rPr>
      </w:pPr>
    </w:p>
    <w:p w14:paraId="5AD36C72" w14:textId="77777777" w:rsidR="001432C3" w:rsidRPr="008B2522" w:rsidRDefault="001432C3">
      <w:pPr>
        <w:pStyle w:val="a3"/>
        <w:rPr>
          <w:sz w:val="20"/>
        </w:rPr>
      </w:pPr>
    </w:p>
    <w:p w14:paraId="7BF42D33" w14:textId="77777777" w:rsidR="001432C3" w:rsidRPr="008B2522" w:rsidRDefault="001432C3">
      <w:pPr>
        <w:pStyle w:val="a3"/>
        <w:rPr>
          <w:sz w:val="20"/>
        </w:rPr>
      </w:pPr>
    </w:p>
    <w:p w14:paraId="6176EAEC" w14:textId="77777777" w:rsidR="001432C3" w:rsidRPr="008B2522" w:rsidRDefault="001432C3">
      <w:pPr>
        <w:pStyle w:val="a3"/>
        <w:rPr>
          <w:sz w:val="20"/>
        </w:rPr>
      </w:pPr>
    </w:p>
    <w:p w14:paraId="2A1F4111" w14:textId="77777777" w:rsidR="001432C3" w:rsidRPr="008B2522" w:rsidRDefault="001432C3">
      <w:pPr>
        <w:pStyle w:val="a3"/>
        <w:rPr>
          <w:sz w:val="20"/>
        </w:rPr>
      </w:pPr>
    </w:p>
    <w:p w14:paraId="0C100125" w14:textId="77777777" w:rsidR="001432C3" w:rsidRPr="008B2522" w:rsidRDefault="001432C3">
      <w:pPr>
        <w:pStyle w:val="a3"/>
        <w:rPr>
          <w:sz w:val="20"/>
        </w:rPr>
      </w:pPr>
    </w:p>
    <w:p w14:paraId="5D08A55B" w14:textId="77777777" w:rsidR="001432C3" w:rsidRPr="008B2522" w:rsidRDefault="001432C3">
      <w:pPr>
        <w:pStyle w:val="a3"/>
        <w:rPr>
          <w:sz w:val="20"/>
        </w:rPr>
      </w:pPr>
    </w:p>
    <w:p w14:paraId="2FBC87C0" w14:textId="77777777" w:rsidR="001432C3" w:rsidRPr="008B2522" w:rsidRDefault="001432C3">
      <w:pPr>
        <w:pStyle w:val="a3"/>
        <w:rPr>
          <w:sz w:val="20"/>
        </w:rPr>
      </w:pPr>
    </w:p>
    <w:p w14:paraId="6EB0959B" w14:textId="77777777" w:rsidR="001432C3" w:rsidRPr="008B2522" w:rsidRDefault="001432C3">
      <w:pPr>
        <w:pStyle w:val="a3"/>
        <w:rPr>
          <w:sz w:val="20"/>
        </w:rPr>
      </w:pPr>
    </w:p>
    <w:p w14:paraId="076858BE" w14:textId="77777777" w:rsidR="001432C3" w:rsidRPr="008B2522" w:rsidRDefault="001432C3">
      <w:pPr>
        <w:pStyle w:val="a3"/>
        <w:spacing w:before="6"/>
        <w:rPr>
          <w:sz w:val="19"/>
        </w:rPr>
      </w:pPr>
    </w:p>
    <w:p w14:paraId="49212732" w14:textId="77777777" w:rsidR="001432C3" w:rsidRPr="008B2522" w:rsidRDefault="000E2AE0">
      <w:pPr>
        <w:pStyle w:val="1"/>
        <w:spacing w:before="92"/>
        <w:ind w:left="1232" w:right="1231"/>
        <w:jc w:val="center"/>
      </w:pPr>
      <w:r w:rsidRPr="008B2522">
        <w:t>ANEKS II</w:t>
      </w:r>
    </w:p>
    <w:p w14:paraId="17E98F85" w14:textId="77777777" w:rsidR="001432C3" w:rsidRPr="008B2522" w:rsidRDefault="001432C3">
      <w:pPr>
        <w:pStyle w:val="a3"/>
        <w:rPr>
          <w:b/>
        </w:rPr>
      </w:pPr>
    </w:p>
    <w:p w14:paraId="7633996F" w14:textId="77777777" w:rsidR="001432C3" w:rsidRPr="008B2522" w:rsidRDefault="000E2AE0">
      <w:pPr>
        <w:pStyle w:val="a4"/>
        <w:numPr>
          <w:ilvl w:val="0"/>
          <w:numId w:val="19"/>
        </w:numPr>
        <w:tabs>
          <w:tab w:val="left" w:pos="1440"/>
          <w:tab w:val="left" w:pos="1441"/>
        </w:tabs>
        <w:ind w:right="980"/>
        <w:rPr>
          <w:b/>
        </w:rPr>
      </w:pPr>
      <w:r w:rsidRPr="008B2522">
        <w:rPr>
          <w:b/>
        </w:rPr>
        <w:t>WYTWÓRCA BIOLOGICZNEJ SUBSTANCJI CZYNNEJ ORAZ WYTWÓRCA ODPOWIEDZIALNY ZA ZWOLNIENIE SERII</w:t>
      </w:r>
    </w:p>
    <w:p w14:paraId="34923967" w14:textId="77777777" w:rsidR="001432C3" w:rsidRPr="008B2522" w:rsidRDefault="001432C3">
      <w:pPr>
        <w:pStyle w:val="a3"/>
        <w:spacing w:before="11"/>
        <w:rPr>
          <w:b/>
          <w:sz w:val="21"/>
        </w:rPr>
      </w:pPr>
    </w:p>
    <w:p w14:paraId="68B0E47B" w14:textId="77777777" w:rsidR="001432C3" w:rsidRPr="008B2522" w:rsidRDefault="000E2AE0">
      <w:pPr>
        <w:pStyle w:val="a4"/>
        <w:numPr>
          <w:ilvl w:val="0"/>
          <w:numId w:val="19"/>
        </w:numPr>
        <w:tabs>
          <w:tab w:val="left" w:pos="1440"/>
          <w:tab w:val="left" w:pos="1441"/>
        </w:tabs>
        <w:ind w:right="2208"/>
        <w:rPr>
          <w:b/>
        </w:rPr>
      </w:pPr>
      <w:r w:rsidRPr="008B2522">
        <w:rPr>
          <w:b/>
        </w:rPr>
        <w:t>WARUNKI LUB OGRANICZENIA DOTYCZĄCE ZAOPATRZENIA I</w:t>
      </w:r>
      <w:r w:rsidRPr="008B2522">
        <w:rPr>
          <w:b/>
          <w:spacing w:val="-8"/>
        </w:rPr>
        <w:t xml:space="preserve"> </w:t>
      </w:r>
      <w:r w:rsidRPr="008B2522">
        <w:rPr>
          <w:b/>
        </w:rPr>
        <w:t>STOSOWANIA</w:t>
      </w:r>
    </w:p>
    <w:p w14:paraId="653A2822" w14:textId="77777777" w:rsidR="001432C3" w:rsidRPr="008B2522" w:rsidRDefault="001432C3">
      <w:pPr>
        <w:pStyle w:val="a3"/>
        <w:spacing w:before="11"/>
        <w:rPr>
          <w:b/>
          <w:sz w:val="21"/>
        </w:rPr>
      </w:pPr>
    </w:p>
    <w:p w14:paraId="03229E4F" w14:textId="77777777" w:rsidR="001432C3" w:rsidRPr="008B2522" w:rsidRDefault="000E2AE0">
      <w:pPr>
        <w:pStyle w:val="a4"/>
        <w:numPr>
          <w:ilvl w:val="0"/>
          <w:numId w:val="19"/>
        </w:numPr>
        <w:tabs>
          <w:tab w:val="left" w:pos="1440"/>
          <w:tab w:val="left" w:pos="1441"/>
        </w:tabs>
        <w:ind w:right="2252"/>
        <w:rPr>
          <w:b/>
        </w:rPr>
      </w:pPr>
      <w:r w:rsidRPr="008B2522">
        <w:rPr>
          <w:b/>
        </w:rPr>
        <w:t>INNE WARUNKI I WYMAGANIA DOTYCZĄCE DOPUSZCZENIA DO</w:t>
      </w:r>
      <w:r w:rsidRPr="008B2522">
        <w:rPr>
          <w:b/>
          <w:spacing w:val="-9"/>
        </w:rPr>
        <w:t xml:space="preserve"> </w:t>
      </w:r>
      <w:r w:rsidRPr="008B2522">
        <w:rPr>
          <w:b/>
        </w:rPr>
        <w:t>OBROTU</w:t>
      </w:r>
    </w:p>
    <w:p w14:paraId="621FFD23" w14:textId="77777777" w:rsidR="001432C3" w:rsidRPr="008B2522" w:rsidRDefault="001432C3">
      <w:pPr>
        <w:pStyle w:val="a3"/>
        <w:spacing w:before="11"/>
        <w:rPr>
          <w:b/>
          <w:sz w:val="21"/>
        </w:rPr>
      </w:pPr>
    </w:p>
    <w:p w14:paraId="003F09A7" w14:textId="77777777" w:rsidR="001432C3" w:rsidRPr="008B2522" w:rsidRDefault="000E2AE0">
      <w:pPr>
        <w:pStyle w:val="a4"/>
        <w:numPr>
          <w:ilvl w:val="0"/>
          <w:numId w:val="19"/>
        </w:numPr>
        <w:tabs>
          <w:tab w:val="left" w:pos="1440"/>
          <w:tab w:val="left" w:pos="1441"/>
        </w:tabs>
        <w:ind w:right="1877"/>
        <w:rPr>
          <w:b/>
        </w:rPr>
      </w:pPr>
      <w:r w:rsidRPr="008B2522">
        <w:rPr>
          <w:b/>
        </w:rPr>
        <w:t>WARUNKI LUB OGRANICZENIA DOTYCZĄCE BEZPIECZNEGO I SKUTECZNEGO STOSOWANIA PRODUKTU</w:t>
      </w:r>
      <w:r w:rsidRPr="008B2522">
        <w:rPr>
          <w:b/>
          <w:spacing w:val="-12"/>
        </w:rPr>
        <w:t xml:space="preserve"> </w:t>
      </w:r>
      <w:r w:rsidRPr="008B2522">
        <w:rPr>
          <w:b/>
        </w:rPr>
        <w:t>LECZNICZEGO</w:t>
      </w:r>
    </w:p>
    <w:p w14:paraId="0D61FF4C" w14:textId="77777777" w:rsidR="001432C3" w:rsidRPr="008B2522" w:rsidRDefault="001432C3">
      <w:pPr>
        <w:sectPr w:rsidR="001432C3" w:rsidRPr="008B2522" w:rsidSect="00940317">
          <w:pgSz w:w="11910" w:h="16840"/>
          <w:pgMar w:top="1378" w:right="1202" w:bottom="902" w:left="1202" w:header="0" w:footer="656" w:gutter="0"/>
          <w:cols w:space="720"/>
          <w:docGrid w:linePitch="299"/>
        </w:sectPr>
      </w:pPr>
    </w:p>
    <w:p w14:paraId="038BBFDC" w14:textId="77777777" w:rsidR="001432C3" w:rsidRPr="008B09C7" w:rsidRDefault="007777F5" w:rsidP="008B09C7">
      <w:pPr>
        <w:pStyle w:val="TitleB"/>
        <w:rPr>
          <w:bCs/>
          <w:lang w:val="cs"/>
        </w:rPr>
      </w:pPr>
      <w:bookmarkStart w:id="27" w:name="A._WYTWÓRCA_BIOLOGICZNEJ_SUBSTANCJI_CZYN"/>
      <w:bookmarkStart w:id="28" w:name="B._WARUNKI_LUB_OGRANICZENIA_DOTYCZĄCE_ZA"/>
      <w:bookmarkStart w:id="29" w:name="C._INNE_WARUNKI_I_WYMAGANIA_DOTYCZACE_DO"/>
      <w:bookmarkEnd w:id="27"/>
      <w:bookmarkEnd w:id="28"/>
      <w:bookmarkEnd w:id="29"/>
      <w:r w:rsidRPr="008B09C7">
        <w:rPr>
          <w:bCs/>
          <w:lang w:val="cs"/>
        </w:rPr>
        <w:lastRenderedPageBreak/>
        <w:t>A.</w:t>
      </w:r>
      <w:r w:rsidRPr="008B09C7">
        <w:rPr>
          <w:bCs/>
          <w:lang w:val="cs"/>
        </w:rPr>
        <w:tab/>
      </w:r>
      <w:r w:rsidR="000E2AE0" w:rsidRPr="008B09C7">
        <w:rPr>
          <w:bCs/>
          <w:lang w:val="cs"/>
        </w:rPr>
        <w:t>WYTWÓRCA BIOLOGICZNEJ SUBSTANCJI CZYNNEJ ORAZ WYTWÓRCY ODPOWIEDZIALNI ZA ZWOLNIENIE SERII</w:t>
      </w:r>
    </w:p>
    <w:p w14:paraId="234C1413" w14:textId="77777777" w:rsidR="001432C3" w:rsidRPr="004A2080" w:rsidRDefault="001432C3" w:rsidP="00940317">
      <w:pPr>
        <w:ind w:right="1416"/>
        <w:rPr>
          <w:noProof/>
        </w:rPr>
      </w:pPr>
    </w:p>
    <w:p w14:paraId="38AAEEEE" w14:textId="77777777" w:rsidR="001432C3" w:rsidRPr="004A2080" w:rsidRDefault="000E2AE0" w:rsidP="00940317">
      <w:pPr>
        <w:ind w:right="1416"/>
        <w:rPr>
          <w:noProof/>
          <w:u w:val="single"/>
        </w:rPr>
      </w:pPr>
      <w:r w:rsidRPr="004A2080">
        <w:rPr>
          <w:noProof/>
          <w:u w:val="single"/>
        </w:rPr>
        <w:t>Nazwa i adres wytwórcy biologicznej substancji czynnej</w:t>
      </w:r>
    </w:p>
    <w:p w14:paraId="109CFE33" w14:textId="77777777" w:rsidR="001432C3" w:rsidRPr="004A2080" w:rsidRDefault="001432C3" w:rsidP="00940317">
      <w:pPr>
        <w:ind w:right="1416"/>
        <w:rPr>
          <w:noProof/>
        </w:rPr>
      </w:pPr>
    </w:p>
    <w:p w14:paraId="71D0A6EB" w14:textId="77777777" w:rsidR="00823DE3" w:rsidRPr="00E0574D" w:rsidRDefault="00823DE3" w:rsidP="00940317">
      <w:pPr>
        <w:ind w:right="1416"/>
        <w:rPr>
          <w:noProof/>
          <w:lang w:val="sv-SE"/>
        </w:rPr>
      </w:pPr>
      <w:r w:rsidRPr="00E0574D">
        <w:rPr>
          <w:noProof/>
          <w:lang w:val="sv-SE"/>
        </w:rPr>
        <w:t>Wacker Biotech GmbH</w:t>
      </w:r>
    </w:p>
    <w:p w14:paraId="6CA06EA5" w14:textId="77777777" w:rsidR="00823DE3" w:rsidRPr="00E0574D" w:rsidRDefault="00823DE3" w:rsidP="00940317">
      <w:pPr>
        <w:ind w:right="1416"/>
        <w:rPr>
          <w:noProof/>
          <w:lang w:val="sv-SE"/>
        </w:rPr>
      </w:pPr>
      <w:r w:rsidRPr="00E0574D">
        <w:rPr>
          <w:noProof/>
          <w:lang w:val="sv-SE"/>
        </w:rPr>
        <w:t>Hans-Knöll-Straße 3</w:t>
      </w:r>
    </w:p>
    <w:p w14:paraId="61C191B9" w14:textId="77777777" w:rsidR="00823DE3" w:rsidRPr="004A2080" w:rsidRDefault="00823DE3" w:rsidP="00940317">
      <w:pPr>
        <w:ind w:right="1416"/>
        <w:rPr>
          <w:noProof/>
        </w:rPr>
      </w:pPr>
      <w:r w:rsidRPr="004A2080">
        <w:rPr>
          <w:noProof/>
        </w:rPr>
        <w:t>07745 Jena</w:t>
      </w:r>
    </w:p>
    <w:p w14:paraId="5A0041B1" w14:textId="77777777" w:rsidR="00823DE3" w:rsidRPr="004A2080" w:rsidRDefault="00823DE3" w:rsidP="00940317">
      <w:pPr>
        <w:ind w:right="1416"/>
        <w:rPr>
          <w:noProof/>
        </w:rPr>
      </w:pPr>
      <w:r w:rsidRPr="004A2080">
        <w:rPr>
          <w:noProof/>
        </w:rPr>
        <w:t>Niemcy</w:t>
      </w:r>
    </w:p>
    <w:p w14:paraId="56E51B2F" w14:textId="77777777" w:rsidR="001432C3" w:rsidRPr="008B2522" w:rsidRDefault="001432C3">
      <w:pPr>
        <w:pStyle w:val="a3"/>
        <w:spacing w:before="1"/>
      </w:pPr>
    </w:p>
    <w:p w14:paraId="2E50CBE4" w14:textId="77777777" w:rsidR="001432C3" w:rsidRPr="004A2080" w:rsidRDefault="000E2AE0" w:rsidP="00940317">
      <w:pPr>
        <w:ind w:right="1416"/>
        <w:rPr>
          <w:noProof/>
          <w:u w:val="single"/>
        </w:rPr>
      </w:pPr>
      <w:r w:rsidRPr="004A2080">
        <w:rPr>
          <w:noProof/>
          <w:u w:val="single"/>
        </w:rPr>
        <w:t>Nazwa i adres wytwórcy odpowiedzialn</w:t>
      </w:r>
      <w:r w:rsidR="00823DE3" w:rsidRPr="004A2080">
        <w:rPr>
          <w:noProof/>
          <w:u w:val="single"/>
        </w:rPr>
        <w:t>ego</w:t>
      </w:r>
      <w:r w:rsidRPr="004A2080">
        <w:rPr>
          <w:noProof/>
          <w:u w:val="single"/>
        </w:rPr>
        <w:t xml:space="preserve"> za zwolnienie serii</w:t>
      </w:r>
    </w:p>
    <w:p w14:paraId="6CAAC04B" w14:textId="77777777" w:rsidR="001432C3" w:rsidRPr="004A2080" w:rsidRDefault="001432C3" w:rsidP="00940317">
      <w:pPr>
        <w:ind w:right="1416"/>
        <w:rPr>
          <w:noProof/>
        </w:rPr>
      </w:pPr>
    </w:p>
    <w:p w14:paraId="6D9FEE9C" w14:textId="77777777" w:rsidR="00823DE3" w:rsidRPr="00E0574D" w:rsidRDefault="00823DE3" w:rsidP="00823DE3">
      <w:pPr>
        <w:rPr>
          <w:noProof/>
          <w:lang w:val="en-GB"/>
        </w:rPr>
      </w:pPr>
      <w:r w:rsidRPr="00E0574D">
        <w:rPr>
          <w:noProof/>
          <w:lang w:val="en-GB"/>
        </w:rPr>
        <w:t>Samsung Bioepis NL B.V.</w:t>
      </w:r>
    </w:p>
    <w:p w14:paraId="2B91D022" w14:textId="77777777" w:rsidR="00823DE3" w:rsidRPr="00D22CB7" w:rsidRDefault="00823DE3" w:rsidP="00823DE3">
      <w:pPr>
        <w:rPr>
          <w:noProof/>
          <w:lang w:val="pt-PT"/>
        </w:rPr>
      </w:pPr>
      <w:r w:rsidRPr="00D22CB7">
        <w:rPr>
          <w:noProof/>
          <w:lang w:val="pt-PT"/>
        </w:rPr>
        <w:t>Olof Palmestraat 10</w:t>
      </w:r>
    </w:p>
    <w:p w14:paraId="13EA6CC4" w14:textId="77777777" w:rsidR="00823DE3" w:rsidRPr="00D22CB7" w:rsidRDefault="00823DE3" w:rsidP="00823DE3">
      <w:pPr>
        <w:ind w:right="6745"/>
        <w:rPr>
          <w:noProof/>
          <w:lang w:val="pt-PT"/>
        </w:rPr>
      </w:pPr>
      <w:r w:rsidRPr="00D22CB7">
        <w:rPr>
          <w:noProof/>
          <w:lang w:val="pt-PT"/>
        </w:rPr>
        <w:t>2616 LR Delft</w:t>
      </w:r>
    </w:p>
    <w:p w14:paraId="235B4876" w14:textId="77777777" w:rsidR="00823DE3" w:rsidRPr="00823DE3" w:rsidRDefault="00823DE3" w:rsidP="00823DE3">
      <w:pPr>
        <w:ind w:right="6745"/>
      </w:pPr>
      <w:r w:rsidRPr="00D22CB7">
        <w:rPr>
          <w:noProof/>
          <w:lang w:val="pt-PT"/>
        </w:rPr>
        <w:t>Holandia</w:t>
      </w:r>
    </w:p>
    <w:p w14:paraId="7FF7A59D" w14:textId="77777777" w:rsidR="001432C3" w:rsidRPr="008B2522" w:rsidRDefault="001432C3">
      <w:pPr>
        <w:pStyle w:val="a3"/>
        <w:rPr>
          <w:sz w:val="24"/>
        </w:rPr>
      </w:pPr>
    </w:p>
    <w:p w14:paraId="5A997491" w14:textId="77777777" w:rsidR="001432C3" w:rsidRPr="008B2522" w:rsidRDefault="001432C3">
      <w:pPr>
        <w:pStyle w:val="a3"/>
        <w:spacing w:before="3"/>
        <w:rPr>
          <w:sz w:val="20"/>
        </w:rPr>
      </w:pPr>
    </w:p>
    <w:p w14:paraId="4C19B452" w14:textId="57C3E9EA" w:rsidR="001432C3" w:rsidRPr="008B09C7" w:rsidRDefault="007777F5" w:rsidP="008B09C7">
      <w:pPr>
        <w:pStyle w:val="TitleB"/>
        <w:rPr>
          <w:bCs/>
          <w:lang w:val="cs"/>
        </w:rPr>
      </w:pPr>
      <w:r w:rsidRPr="008B09C7">
        <w:rPr>
          <w:bCs/>
          <w:lang w:val="cs"/>
        </w:rPr>
        <w:t>B.</w:t>
      </w:r>
      <w:r w:rsidRPr="008B09C7">
        <w:rPr>
          <w:bCs/>
          <w:lang w:val="cs"/>
        </w:rPr>
        <w:tab/>
      </w:r>
      <w:r w:rsidR="000E2AE0" w:rsidRPr="008B09C7">
        <w:rPr>
          <w:bCs/>
          <w:lang w:val="cs"/>
        </w:rPr>
        <w:t>WARUNKI LUB OGRANICZENIA DOTYCZĄCE ZAOPATRZENIA I</w:t>
      </w:r>
      <w:r w:rsidR="0088073F" w:rsidRPr="008B09C7">
        <w:rPr>
          <w:bCs/>
          <w:lang w:val="cs"/>
        </w:rPr>
        <w:t xml:space="preserve"> </w:t>
      </w:r>
      <w:r w:rsidR="000E2AE0" w:rsidRPr="008B09C7">
        <w:rPr>
          <w:bCs/>
          <w:lang w:val="cs"/>
        </w:rPr>
        <w:t>STOSOWANIA</w:t>
      </w:r>
    </w:p>
    <w:p w14:paraId="112778DF" w14:textId="77777777" w:rsidR="001432C3" w:rsidRPr="004A2080" w:rsidRDefault="001432C3" w:rsidP="00940317">
      <w:pPr>
        <w:ind w:right="1416"/>
        <w:rPr>
          <w:noProof/>
        </w:rPr>
      </w:pPr>
    </w:p>
    <w:p w14:paraId="3254B6A3" w14:textId="77777777" w:rsidR="001432C3" w:rsidRPr="008B2522" w:rsidRDefault="000E2AE0" w:rsidP="00D22CB7">
      <w:pPr>
        <w:pStyle w:val="a3"/>
        <w:ind w:right="130"/>
      </w:pPr>
      <w:r w:rsidRPr="008B2522">
        <w:t xml:space="preserve">Produkt leczniczy wydawany na receptę do zastrzeżonego stosowania (patrz </w:t>
      </w:r>
      <w:r w:rsidR="00216CDD" w:rsidRPr="008B2522">
        <w:t>aneks</w:t>
      </w:r>
      <w:r w:rsidR="00216CDD">
        <w:t> </w:t>
      </w:r>
      <w:r w:rsidRPr="008B2522">
        <w:t xml:space="preserve">I: Charakterystyka Produktu Leczniczego, </w:t>
      </w:r>
      <w:r w:rsidR="0020790E">
        <w:t>punkt </w:t>
      </w:r>
      <w:r w:rsidRPr="008B2522">
        <w:t>4.2).</w:t>
      </w:r>
    </w:p>
    <w:p w14:paraId="76EF6AD2" w14:textId="77777777" w:rsidR="001432C3" w:rsidRPr="008B2522" w:rsidRDefault="001432C3">
      <w:pPr>
        <w:pStyle w:val="a3"/>
        <w:rPr>
          <w:sz w:val="24"/>
        </w:rPr>
      </w:pPr>
    </w:p>
    <w:p w14:paraId="59E1F1CC" w14:textId="77777777" w:rsidR="001432C3" w:rsidRPr="008B2522" w:rsidRDefault="001432C3">
      <w:pPr>
        <w:pStyle w:val="a3"/>
        <w:spacing w:before="3"/>
        <w:rPr>
          <w:sz w:val="20"/>
        </w:rPr>
      </w:pPr>
    </w:p>
    <w:p w14:paraId="4C061486" w14:textId="77777777" w:rsidR="001432C3" w:rsidRPr="008B09C7" w:rsidRDefault="007777F5" w:rsidP="008B09C7">
      <w:pPr>
        <w:pStyle w:val="TitleB"/>
        <w:rPr>
          <w:bCs/>
          <w:lang w:val="cs"/>
        </w:rPr>
      </w:pPr>
      <w:r w:rsidRPr="008B09C7">
        <w:rPr>
          <w:bCs/>
          <w:lang w:val="cs"/>
        </w:rPr>
        <w:t>C.</w:t>
      </w:r>
      <w:r w:rsidRPr="008B09C7">
        <w:rPr>
          <w:bCs/>
          <w:lang w:val="cs"/>
        </w:rPr>
        <w:tab/>
      </w:r>
      <w:r w:rsidR="000E2AE0" w:rsidRPr="008B09C7">
        <w:rPr>
          <w:bCs/>
          <w:lang w:val="cs"/>
        </w:rPr>
        <w:t xml:space="preserve">INNE WARUNKI I WYMAGANIA </w:t>
      </w:r>
      <w:r w:rsidR="00823DE3" w:rsidRPr="008B09C7">
        <w:rPr>
          <w:bCs/>
          <w:lang w:val="cs"/>
        </w:rPr>
        <w:t>DOTYCZĄCE</w:t>
      </w:r>
      <w:r w:rsidR="000E2AE0" w:rsidRPr="008B09C7">
        <w:rPr>
          <w:bCs/>
          <w:lang w:val="cs"/>
        </w:rPr>
        <w:t xml:space="preserve"> DOPUSZCZENIA DO OBROTU</w:t>
      </w:r>
    </w:p>
    <w:p w14:paraId="204E245C" w14:textId="77777777" w:rsidR="001432C3" w:rsidRPr="004A2080" w:rsidRDefault="001432C3" w:rsidP="00940317">
      <w:pPr>
        <w:ind w:right="1416"/>
        <w:rPr>
          <w:noProof/>
        </w:rPr>
      </w:pPr>
    </w:p>
    <w:p w14:paraId="70D5A26E" w14:textId="77777777" w:rsidR="0088073F" w:rsidRPr="00E0574D" w:rsidRDefault="0088073F" w:rsidP="00940317">
      <w:pPr>
        <w:widowControl/>
        <w:numPr>
          <w:ilvl w:val="0"/>
          <w:numId w:val="39"/>
        </w:numPr>
        <w:tabs>
          <w:tab w:val="left" w:pos="567"/>
          <w:tab w:val="num" w:pos="720"/>
        </w:tabs>
        <w:autoSpaceDE/>
        <w:autoSpaceDN/>
        <w:ind w:left="720" w:right="-1" w:hanging="720"/>
        <w:rPr>
          <w:b/>
          <w:lang w:val="en-GB"/>
        </w:rPr>
      </w:pPr>
      <w:r w:rsidRPr="004A2080">
        <w:rPr>
          <w:b/>
        </w:rPr>
        <w:t xml:space="preserve">Okresowe raporty o bezpieczeństwie stosowania (ang. </w:t>
      </w:r>
      <w:r w:rsidRPr="00E0574D">
        <w:rPr>
          <w:b/>
          <w:lang w:val="en-GB"/>
        </w:rPr>
        <w:t>Periodic safety update reports, PSURs)</w:t>
      </w:r>
    </w:p>
    <w:p w14:paraId="4EC53AF7" w14:textId="77777777" w:rsidR="001432C3" w:rsidRPr="004A2080" w:rsidRDefault="001432C3">
      <w:pPr>
        <w:pStyle w:val="a3"/>
        <w:spacing w:before="6"/>
        <w:rPr>
          <w:b/>
          <w:sz w:val="21"/>
          <w:lang w:val="en-GB"/>
        </w:rPr>
      </w:pPr>
    </w:p>
    <w:p w14:paraId="7F73E9DF" w14:textId="77777777" w:rsidR="001432C3" w:rsidRDefault="000E2AE0" w:rsidP="00D22CB7">
      <w:pPr>
        <w:pStyle w:val="a3"/>
        <w:ind w:right="209"/>
      </w:pPr>
      <w:r w:rsidRPr="008B2522">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1CE00F8B" w14:textId="77777777" w:rsidR="0088073F" w:rsidRDefault="0088073F" w:rsidP="00D22CB7">
      <w:pPr>
        <w:pStyle w:val="a3"/>
        <w:ind w:right="209"/>
      </w:pPr>
    </w:p>
    <w:p w14:paraId="5AC100F7" w14:textId="77777777" w:rsidR="0088073F" w:rsidRPr="008B2522" w:rsidRDefault="0088073F" w:rsidP="00D22CB7">
      <w:pPr>
        <w:pStyle w:val="a3"/>
        <w:ind w:right="209"/>
      </w:pPr>
    </w:p>
    <w:p w14:paraId="394EE9C9" w14:textId="77777777" w:rsidR="001432C3" w:rsidRPr="008B09C7" w:rsidRDefault="007777F5" w:rsidP="008B09C7">
      <w:pPr>
        <w:pStyle w:val="TitleB"/>
        <w:rPr>
          <w:bCs/>
          <w:lang w:val="cs"/>
        </w:rPr>
      </w:pPr>
      <w:bookmarkStart w:id="30" w:name="D._WARUNKI_I_OGRANICZENIA_DOTYCZĄCE_BEZP"/>
      <w:bookmarkEnd w:id="30"/>
      <w:r w:rsidRPr="008B09C7">
        <w:rPr>
          <w:bCs/>
          <w:lang w:val="cs"/>
        </w:rPr>
        <w:t>D.</w:t>
      </w:r>
      <w:r w:rsidRPr="008B09C7">
        <w:rPr>
          <w:bCs/>
          <w:lang w:val="cs"/>
        </w:rPr>
        <w:tab/>
      </w:r>
      <w:r w:rsidR="000E2AE0" w:rsidRPr="008B09C7">
        <w:rPr>
          <w:bCs/>
          <w:lang w:val="cs"/>
        </w:rPr>
        <w:t>WARUNKI I OGRANICZENIA DOTYCZĄCE BEZPIECZNEGO I SKUTECZNEGO STOSOWANIA PRODUKTU LECZNICZEGO</w:t>
      </w:r>
    </w:p>
    <w:p w14:paraId="236B86A2" w14:textId="77777777" w:rsidR="001432C3" w:rsidRPr="004A2080" w:rsidRDefault="001432C3" w:rsidP="00940317">
      <w:pPr>
        <w:ind w:right="1416"/>
        <w:rPr>
          <w:noProof/>
        </w:rPr>
      </w:pPr>
    </w:p>
    <w:p w14:paraId="6F18BAAF" w14:textId="77777777" w:rsidR="001432C3" w:rsidRPr="004A2080" w:rsidRDefault="000E2AE0" w:rsidP="00940317">
      <w:pPr>
        <w:widowControl/>
        <w:numPr>
          <w:ilvl w:val="0"/>
          <w:numId w:val="39"/>
        </w:numPr>
        <w:tabs>
          <w:tab w:val="left" w:pos="567"/>
          <w:tab w:val="num" w:pos="720"/>
        </w:tabs>
        <w:autoSpaceDE/>
        <w:autoSpaceDN/>
        <w:ind w:left="720" w:right="-1" w:hanging="720"/>
        <w:rPr>
          <w:b/>
        </w:rPr>
      </w:pPr>
      <w:r w:rsidRPr="004A2080">
        <w:rPr>
          <w:b/>
        </w:rPr>
        <w:t>Plan zarządzania ryzykiem (ang. Risk Management Plan, RMP)</w:t>
      </w:r>
    </w:p>
    <w:p w14:paraId="22BEB081" w14:textId="77777777" w:rsidR="001432C3" w:rsidRPr="004A2080" w:rsidRDefault="001432C3" w:rsidP="00940317">
      <w:pPr>
        <w:ind w:right="1416"/>
        <w:rPr>
          <w:noProof/>
        </w:rPr>
      </w:pPr>
    </w:p>
    <w:p w14:paraId="0886121E" w14:textId="77777777" w:rsidR="001432C3" w:rsidRPr="008B2522" w:rsidRDefault="000E2AE0" w:rsidP="00D22CB7">
      <w:pPr>
        <w:pStyle w:val="a3"/>
        <w:ind w:right="393"/>
      </w:pPr>
      <w:r w:rsidRPr="008B2522">
        <w:t xml:space="preserve">Podmiot odpowiedzialny podejmie wymagane działania i interwencje z zakresu nadzoru nad bezpieczeństwem farmakoterapii wyszczególnione w RMP, przedstawionym w </w:t>
      </w:r>
      <w:r w:rsidR="00216CDD" w:rsidRPr="008B2522">
        <w:t>module</w:t>
      </w:r>
      <w:r w:rsidR="00216CDD">
        <w:t> </w:t>
      </w:r>
      <w:r w:rsidRPr="008B2522">
        <w:t>1.8.2 dokumentacji do pozwolenia na dopuszczenie do obrotu, i wszelkich jego kolejnych aktualizacjach.</w:t>
      </w:r>
    </w:p>
    <w:p w14:paraId="1A71C6CB" w14:textId="77777777" w:rsidR="001432C3" w:rsidRPr="008B2522" w:rsidRDefault="001432C3">
      <w:pPr>
        <w:pStyle w:val="a3"/>
      </w:pPr>
    </w:p>
    <w:p w14:paraId="19E40E93" w14:textId="77777777" w:rsidR="001432C3" w:rsidRPr="008B2522" w:rsidRDefault="000E2AE0" w:rsidP="00D22CB7">
      <w:pPr>
        <w:pStyle w:val="a3"/>
      </w:pPr>
      <w:r w:rsidRPr="008B2522">
        <w:t>Uaktualniony RMP należy przedstawiać:</w:t>
      </w:r>
    </w:p>
    <w:p w14:paraId="5D0FD30D" w14:textId="77777777" w:rsidR="001432C3" w:rsidRPr="008B2522" w:rsidRDefault="000E2AE0" w:rsidP="00940317">
      <w:pPr>
        <w:pStyle w:val="a4"/>
        <w:numPr>
          <w:ilvl w:val="0"/>
          <w:numId w:val="31"/>
        </w:numPr>
        <w:tabs>
          <w:tab w:val="left" w:pos="685"/>
          <w:tab w:val="left" w:pos="686"/>
        </w:tabs>
        <w:spacing w:line="269" w:lineRule="exact"/>
        <w:ind w:hanging="259"/>
      </w:pPr>
      <w:r w:rsidRPr="008B2522">
        <w:t>na żądanie Europejskiej Agencji</w:t>
      </w:r>
      <w:r w:rsidRPr="008B2522">
        <w:rPr>
          <w:spacing w:val="-8"/>
        </w:rPr>
        <w:t xml:space="preserve"> </w:t>
      </w:r>
      <w:r w:rsidRPr="008B2522">
        <w:t>Leków;</w:t>
      </w:r>
    </w:p>
    <w:p w14:paraId="432075A9" w14:textId="77777777" w:rsidR="001432C3" w:rsidRPr="008B2522" w:rsidRDefault="000E2AE0" w:rsidP="00940317">
      <w:pPr>
        <w:pStyle w:val="a4"/>
        <w:numPr>
          <w:ilvl w:val="0"/>
          <w:numId w:val="31"/>
        </w:numPr>
        <w:tabs>
          <w:tab w:val="left" w:pos="685"/>
          <w:tab w:val="left" w:pos="686"/>
        </w:tabs>
        <w:ind w:right="291" w:hanging="259"/>
      </w:pPr>
      <w:r w:rsidRPr="008B2522">
        <w:t>w razie zmiany systemu zarządzania ryzykiem, zwłaszcza w wyniku uzyskania nowych informacji, które mogą istotnie wpłynąć na stosunek ryzyka do korzyści, lub w wyniku uzyskania istotnych informacji, dotyczących bezpieczeństwa stosowania produktu</w:t>
      </w:r>
      <w:r w:rsidRPr="008B2522">
        <w:rPr>
          <w:spacing w:val="-27"/>
        </w:rPr>
        <w:t xml:space="preserve"> </w:t>
      </w:r>
      <w:r w:rsidRPr="008B2522">
        <w:t>leczniczego lub odnoszących się do minimalizacji</w:t>
      </w:r>
      <w:r w:rsidRPr="008B2522">
        <w:rPr>
          <w:spacing w:val="-17"/>
        </w:rPr>
        <w:t xml:space="preserve"> </w:t>
      </w:r>
      <w:r w:rsidRPr="008B2522">
        <w:t>ryzyka.</w:t>
      </w:r>
    </w:p>
    <w:p w14:paraId="4F4EA95D" w14:textId="77777777" w:rsidR="001432C3" w:rsidRPr="008B2522" w:rsidRDefault="001432C3">
      <w:pPr>
        <w:pStyle w:val="a3"/>
        <w:spacing w:before="6"/>
      </w:pPr>
    </w:p>
    <w:p w14:paraId="17C42DE1" w14:textId="77777777" w:rsidR="001432C3" w:rsidRPr="004A2080" w:rsidRDefault="000E2AE0" w:rsidP="00940317">
      <w:pPr>
        <w:widowControl/>
        <w:numPr>
          <w:ilvl w:val="0"/>
          <w:numId w:val="39"/>
        </w:numPr>
        <w:tabs>
          <w:tab w:val="left" w:pos="567"/>
          <w:tab w:val="num" w:pos="720"/>
        </w:tabs>
        <w:autoSpaceDE/>
        <w:autoSpaceDN/>
        <w:ind w:left="720" w:right="-1" w:hanging="720"/>
        <w:rPr>
          <w:b/>
        </w:rPr>
      </w:pPr>
      <w:r w:rsidRPr="004A2080">
        <w:rPr>
          <w:b/>
        </w:rPr>
        <w:t>Dodatkowe działania w celu minimalizacji ryzyka</w:t>
      </w:r>
    </w:p>
    <w:p w14:paraId="5C20C317" w14:textId="77777777" w:rsidR="001432C3" w:rsidRPr="004A2080" w:rsidRDefault="001432C3" w:rsidP="00940317">
      <w:pPr>
        <w:ind w:right="1416"/>
        <w:rPr>
          <w:noProof/>
        </w:rPr>
      </w:pPr>
    </w:p>
    <w:p w14:paraId="6FE92597" w14:textId="77777777" w:rsidR="001432C3" w:rsidRDefault="0088073F">
      <w:pPr>
        <w:pStyle w:val="a3"/>
        <w:spacing w:before="11"/>
        <w:rPr>
          <w:sz w:val="21"/>
        </w:rPr>
      </w:pPr>
      <w:r w:rsidRPr="0088073F">
        <w:t xml:space="preserve">Przed wprowadzeniem produktu </w:t>
      </w:r>
      <w:r>
        <w:t xml:space="preserve">leczniczego </w:t>
      </w:r>
      <w:r w:rsidRPr="0088073F">
        <w:t>Byooviz w każdym państwie członkowskim podmiot odpowiedzialny musi uzgodnić ostateczną treść i format materiałów edukacyjnych z właściwymi organami krajowymi.</w:t>
      </w:r>
    </w:p>
    <w:p w14:paraId="5E5402B2" w14:textId="77777777" w:rsidR="0088073F" w:rsidRDefault="0088073F">
      <w:pPr>
        <w:pStyle w:val="a3"/>
        <w:spacing w:before="11"/>
        <w:rPr>
          <w:sz w:val="21"/>
        </w:rPr>
      </w:pPr>
    </w:p>
    <w:p w14:paraId="57F855C8" w14:textId="77777777" w:rsidR="0088073F" w:rsidRPr="00E0574D" w:rsidRDefault="0088073F">
      <w:pPr>
        <w:pStyle w:val="a3"/>
        <w:spacing w:before="11"/>
      </w:pPr>
      <w:r w:rsidRPr="00E0574D">
        <w:t xml:space="preserve">Materiały edukacyjne mają na celu zapewnienie odpowiedniej edukacji pacjenta na temat </w:t>
      </w:r>
      <w:r w:rsidR="00BD1820" w:rsidRPr="00E0574D">
        <w:t xml:space="preserve">najważniejszych </w:t>
      </w:r>
      <w:r w:rsidR="00BD1820" w:rsidRPr="00E0574D">
        <w:lastRenderedPageBreak/>
        <w:t>objawów przedmiotowych i podmiotowych</w:t>
      </w:r>
      <w:r w:rsidRPr="00E0574D">
        <w:t xml:space="preserve"> potencjalnych działań niepożądanych oraz tego, kiedy należy pilnie zwrócić się o pomoc do lekarza, zapewniając szybką identyfikację i leczenie tych zdarzeń.</w:t>
      </w:r>
    </w:p>
    <w:p w14:paraId="6CFFC1CE" w14:textId="77777777" w:rsidR="0088073F" w:rsidRPr="00E0574D" w:rsidRDefault="0088073F" w:rsidP="00D22CB7">
      <w:pPr>
        <w:pStyle w:val="a3"/>
        <w:ind w:right="203"/>
      </w:pPr>
    </w:p>
    <w:p w14:paraId="2ABAE81C" w14:textId="77777777" w:rsidR="001432C3" w:rsidRPr="007777F5" w:rsidRDefault="0088073F" w:rsidP="00D22CB7">
      <w:pPr>
        <w:pStyle w:val="a3"/>
        <w:ind w:right="203"/>
      </w:pPr>
      <w:r w:rsidRPr="00E0574D">
        <w:t xml:space="preserve">Podmiot odpowiedzialny zapewni, że w każdym państwie członkowskim, w którym produkt leczniczy Byooviz jest dopuszczony do obrotu, wszystkie ośrodki okulistyczne, w których ma być stosowany produkt leczniczy Byooviz, otrzymają </w:t>
      </w:r>
      <w:r w:rsidR="000E2AE0" w:rsidRPr="007777F5">
        <w:t>zestaw aktualnych informacji dla pacjenta.</w:t>
      </w:r>
    </w:p>
    <w:p w14:paraId="5F673FC7" w14:textId="77777777" w:rsidR="001432C3" w:rsidRPr="008B2522" w:rsidRDefault="001432C3">
      <w:pPr>
        <w:pStyle w:val="a3"/>
      </w:pPr>
    </w:p>
    <w:p w14:paraId="1706ABAF" w14:textId="77777777" w:rsidR="001432C3" w:rsidRPr="004A2080" w:rsidRDefault="000E2AE0" w:rsidP="00940317">
      <w:pPr>
        <w:ind w:right="1416"/>
        <w:rPr>
          <w:noProof/>
        </w:rPr>
      </w:pPr>
      <w:r w:rsidRPr="004A2080">
        <w:rPr>
          <w:noProof/>
        </w:rPr>
        <w:t>Opakowanie z informacją dla pacjenta powinno zawierać zarówno broszury informacyjne dla pacjenta jak i płytę CD w formacie audio z uwzględnieniem następujących elementów:</w:t>
      </w:r>
    </w:p>
    <w:p w14:paraId="75F50BBF" w14:textId="77777777" w:rsidR="001432C3" w:rsidRPr="00940317" w:rsidRDefault="000E2AE0" w:rsidP="00F64F2B">
      <w:pPr>
        <w:pStyle w:val="a4"/>
        <w:numPr>
          <w:ilvl w:val="0"/>
          <w:numId w:val="40"/>
        </w:numPr>
        <w:adjustRightInd w:val="0"/>
        <w:ind w:left="851"/>
        <w:rPr>
          <w:rFonts w:eastAsia="SymbolMT"/>
        </w:rPr>
      </w:pPr>
      <w:r w:rsidRPr="00940317">
        <w:rPr>
          <w:rFonts w:eastAsia="SymbolMT"/>
        </w:rPr>
        <w:t>Ulotki informacyjnej dla pacjenta</w:t>
      </w:r>
    </w:p>
    <w:p w14:paraId="54D0A0E9" w14:textId="77777777" w:rsidR="001432C3" w:rsidRPr="004A2080" w:rsidRDefault="000E2AE0" w:rsidP="00F64F2B">
      <w:pPr>
        <w:pStyle w:val="a4"/>
        <w:numPr>
          <w:ilvl w:val="0"/>
          <w:numId w:val="40"/>
        </w:numPr>
        <w:adjustRightInd w:val="0"/>
        <w:ind w:left="851"/>
        <w:rPr>
          <w:rFonts w:eastAsia="SymbolMT"/>
        </w:rPr>
      </w:pPr>
      <w:r w:rsidRPr="004A2080">
        <w:rPr>
          <w:rFonts w:eastAsia="SymbolMT"/>
        </w:rPr>
        <w:t xml:space="preserve">Czynności związanych z przygotowaniem do leczenia produktem </w:t>
      </w:r>
      <w:r w:rsidR="008B2522" w:rsidRPr="004A2080">
        <w:rPr>
          <w:rFonts w:eastAsia="SymbolMT"/>
        </w:rPr>
        <w:t>Byooviz</w:t>
      </w:r>
    </w:p>
    <w:p w14:paraId="62B9F4AB" w14:textId="77777777" w:rsidR="001432C3" w:rsidRPr="00940317" w:rsidRDefault="000E2AE0" w:rsidP="00F64F2B">
      <w:pPr>
        <w:pStyle w:val="a4"/>
        <w:numPr>
          <w:ilvl w:val="0"/>
          <w:numId w:val="40"/>
        </w:numPr>
        <w:adjustRightInd w:val="0"/>
        <w:ind w:left="851"/>
        <w:rPr>
          <w:rFonts w:eastAsia="SymbolMT"/>
        </w:rPr>
      </w:pPr>
      <w:r w:rsidRPr="00940317">
        <w:rPr>
          <w:rFonts w:eastAsia="SymbolMT"/>
        </w:rPr>
        <w:t xml:space="preserve">Postępowania po leczeniu produktem </w:t>
      </w:r>
      <w:r w:rsidR="008B2522" w:rsidRPr="00940317">
        <w:rPr>
          <w:rFonts w:eastAsia="SymbolMT"/>
        </w:rPr>
        <w:t>Byooviz</w:t>
      </w:r>
    </w:p>
    <w:p w14:paraId="12EC1ECA" w14:textId="77777777" w:rsidR="001432C3" w:rsidRPr="004A2080" w:rsidRDefault="000E2AE0" w:rsidP="00F64F2B">
      <w:pPr>
        <w:pStyle w:val="a4"/>
        <w:numPr>
          <w:ilvl w:val="0"/>
          <w:numId w:val="40"/>
        </w:numPr>
        <w:adjustRightInd w:val="0"/>
        <w:ind w:left="851"/>
        <w:rPr>
          <w:rFonts w:eastAsia="SymbolMT"/>
        </w:rPr>
      </w:pPr>
      <w:r w:rsidRPr="004A2080">
        <w:rPr>
          <w:rFonts w:eastAsia="SymbolMT"/>
        </w:rPr>
        <w:t>Najważniejszych przedmiotowych i podmiotowych objawów ciężkich działań niepożądanych, w tym zwiększenie ciśnienia śródgałkowego, zapalenie wewnątrzgałkowe, odwarstwienie siatkówki i przedarcie siatkówki oraz zapalenie wnętrza oka</w:t>
      </w:r>
    </w:p>
    <w:p w14:paraId="0765D69F" w14:textId="77777777" w:rsidR="00216CDD" w:rsidRPr="004A2080" w:rsidRDefault="000E2AE0" w:rsidP="00F64F2B">
      <w:pPr>
        <w:pStyle w:val="a4"/>
        <w:numPr>
          <w:ilvl w:val="0"/>
          <w:numId w:val="40"/>
        </w:numPr>
        <w:adjustRightInd w:val="0"/>
        <w:ind w:left="851"/>
        <w:rPr>
          <w:rFonts w:eastAsia="SymbolMT"/>
        </w:rPr>
        <w:sectPr w:rsidR="00216CDD" w:rsidRPr="004A2080" w:rsidSect="00940317">
          <w:pgSz w:w="11910" w:h="16840"/>
          <w:pgMar w:top="1378" w:right="1202" w:bottom="902" w:left="1202" w:header="0" w:footer="656" w:gutter="0"/>
          <w:cols w:space="720"/>
          <w:docGrid w:linePitch="299"/>
        </w:sectPr>
      </w:pPr>
      <w:r w:rsidRPr="004A2080">
        <w:rPr>
          <w:rFonts w:eastAsia="SymbolMT"/>
        </w:rPr>
        <w:t>Okoliczności, w których konieczna jest pilna konsultacja medyczna</w:t>
      </w:r>
    </w:p>
    <w:p w14:paraId="68E73DD1" w14:textId="77777777" w:rsidR="001432C3" w:rsidRPr="004A2080" w:rsidRDefault="001432C3" w:rsidP="00F64F2B">
      <w:pPr>
        <w:rPr>
          <w:noProof/>
        </w:rPr>
      </w:pPr>
    </w:p>
    <w:p w14:paraId="0A3B73A4" w14:textId="77777777" w:rsidR="001432C3" w:rsidRPr="004A2080" w:rsidRDefault="001432C3" w:rsidP="00F64F2B">
      <w:pPr>
        <w:rPr>
          <w:noProof/>
        </w:rPr>
      </w:pPr>
    </w:p>
    <w:p w14:paraId="25CFFF98" w14:textId="77777777" w:rsidR="001432C3" w:rsidRPr="004A2080" w:rsidRDefault="001432C3" w:rsidP="00F64F2B">
      <w:pPr>
        <w:rPr>
          <w:noProof/>
        </w:rPr>
      </w:pPr>
    </w:p>
    <w:p w14:paraId="378D39B8" w14:textId="77777777" w:rsidR="001432C3" w:rsidRPr="004A2080" w:rsidRDefault="001432C3" w:rsidP="00F64F2B">
      <w:pPr>
        <w:rPr>
          <w:noProof/>
        </w:rPr>
      </w:pPr>
    </w:p>
    <w:p w14:paraId="3FEC16F8" w14:textId="77777777" w:rsidR="001432C3" w:rsidRPr="004A2080" w:rsidRDefault="001432C3" w:rsidP="00F64F2B">
      <w:pPr>
        <w:rPr>
          <w:noProof/>
        </w:rPr>
      </w:pPr>
    </w:p>
    <w:p w14:paraId="5F39FABD" w14:textId="77777777" w:rsidR="001432C3" w:rsidRPr="004A2080" w:rsidRDefault="001432C3" w:rsidP="00F64F2B">
      <w:pPr>
        <w:rPr>
          <w:noProof/>
        </w:rPr>
      </w:pPr>
    </w:p>
    <w:p w14:paraId="4E550BE9" w14:textId="77777777" w:rsidR="001432C3" w:rsidRPr="004A2080" w:rsidRDefault="001432C3" w:rsidP="00F64F2B">
      <w:pPr>
        <w:rPr>
          <w:noProof/>
        </w:rPr>
      </w:pPr>
    </w:p>
    <w:p w14:paraId="2FB6CF06" w14:textId="77777777" w:rsidR="001432C3" w:rsidRPr="004A2080" w:rsidRDefault="001432C3" w:rsidP="00F64F2B">
      <w:pPr>
        <w:rPr>
          <w:noProof/>
        </w:rPr>
      </w:pPr>
    </w:p>
    <w:p w14:paraId="1330E9CE" w14:textId="77777777" w:rsidR="001432C3" w:rsidRPr="004A2080" w:rsidRDefault="001432C3" w:rsidP="00F64F2B">
      <w:pPr>
        <w:rPr>
          <w:noProof/>
        </w:rPr>
      </w:pPr>
    </w:p>
    <w:p w14:paraId="56864865" w14:textId="77777777" w:rsidR="001432C3" w:rsidRPr="004A2080" w:rsidRDefault="001432C3" w:rsidP="00F64F2B">
      <w:pPr>
        <w:rPr>
          <w:noProof/>
        </w:rPr>
      </w:pPr>
    </w:p>
    <w:p w14:paraId="78942C3F" w14:textId="77777777" w:rsidR="001432C3" w:rsidRPr="004A2080" w:rsidRDefault="001432C3" w:rsidP="00F64F2B">
      <w:pPr>
        <w:rPr>
          <w:noProof/>
        </w:rPr>
      </w:pPr>
    </w:p>
    <w:p w14:paraId="677259C1" w14:textId="77777777" w:rsidR="001432C3" w:rsidRPr="004A2080" w:rsidRDefault="001432C3" w:rsidP="00F64F2B">
      <w:pPr>
        <w:rPr>
          <w:noProof/>
        </w:rPr>
      </w:pPr>
    </w:p>
    <w:p w14:paraId="28EA3E78" w14:textId="77777777" w:rsidR="001432C3" w:rsidRPr="004A2080" w:rsidRDefault="001432C3" w:rsidP="00F64F2B">
      <w:pPr>
        <w:rPr>
          <w:noProof/>
        </w:rPr>
      </w:pPr>
    </w:p>
    <w:p w14:paraId="3D6B5703" w14:textId="77777777" w:rsidR="001432C3" w:rsidRPr="004A2080" w:rsidRDefault="001432C3" w:rsidP="00F64F2B">
      <w:pPr>
        <w:rPr>
          <w:noProof/>
        </w:rPr>
      </w:pPr>
    </w:p>
    <w:p w14:paraId="59F5EAA0" w14:textId="77777777" w:rsidR="001432C3" w:rsidRPr="004A2080" w:rsidRDefault="001432C3" w:rsidP="00F64F2B">
      <w:pPr>
        <w:rPr>
          <w:noProof/>
        </w:rPr>
      </w:pPr>
    </w:p>
    <w:p w14:paraId="4A36E27A" w14:textId="77777777" w:rsidR="001432C3" w:rsidRPr="004A2080" w:rsidRDefault="001432C3" w:rsidP="00F64F2B">
      <w:pPr>
        <w:rPr>
          <w:noProof/>
        </w:rPr>
      </w:pPr>
    </w:p>
    <w:p w14:paraId="369B40CE" w14:textId="77777777" w:rsidR="001432C3" w:rsidRPr="004A2080" w:rsidRDefault="001432C3" w:rsidP="00F64F2B">
      <w:pPr>
        <w:rPr>
          <w:noProof/>
        </w:rPr>
      </w:pPr>
    </w:p>
    <w:p w14:paraId="7D11FA8B" w14:textId="77777777" w:rsidR="001432C3" w:rsidRPr="004A2080" w:rsidRDefault="001432C3" w:rsidP="00F64F2B">
      <w:pPr>
        <w:rPr>
          <w:noProof/>
        </w:rPr>
      </w:pPr>
    </w:p>
    <w:p w14:paraId="35C5B34A" w14:textId="77777777" w:rsidR="001432C3" w:rsidRPr="004A2080" w:rsidRDefault="001432C3" w:rsidP="00F64F2B">
      <w:pPr>
        <w:rPr>
          <w:noProof/>
        </w:rPr>
      </w:pPr>
    </w:p>
    <w:p w14:paraId="7C7BDD0B" w14:textId="77777777" w:rsidR="001432C3" w:rsidRPr="004A2080" w:rsidRDefault="001432C3" w:rsidP="00F64F2B">
      <w:pPr>
        <w:rPr>
          <w:noProof/>
        </w:rPr>
      </w:pPr>
    </w:p>
    <w:p w14:paraId="36DBF3EB" w14:textId="77777777" w:rsidR="001432C3" w:rsidRPr="004A2080" w:rsidRDefault="001432C3" w:rsidP="00F64F2B">
      <w:pPr>
        <w:rPr>
          <w:noProof/>
        </w:rPr>
      </w:pPr>
    </w:p>
    <w:p w14:paraId="2F296134" w14:textId="77777777" w:rsidR="001432C3" w:rsidRPr="004A2080" w:rsidRDefault="001432C3" w:rsidP="00F64F2B">
      <w:pPr>
        <w:rPr>
          <w:noProof/>
        </w:rPr>
      </w:pPr>
    </w:p>
    <w:p w14:paraId="6182D1C5" w14:textId="77777777" w:rsidR="001432C3" w:rsidRPr="004A2080" w:rsidRDefault="001432C3" w:rsidP="00F64F2B">
      <w:pPr>
        <w:rPr>
          <w:noProof/>
        </w:rPr>
      </w:pPr>
    </w:p>
    <w:p w14:paraId="72B65026" w14:textId="77777777" w:rsidR="001432C3" w:rsidRPr="008B2522" w:rsidRDefault="000E2AE0">
      <w:pPr>
        <w:pStyle w:val="1"/>
        <w:spacing w:before="92"/>
        <w:ind w:left="1232" w:right="1232"/>
        <w:jc w:val="center"/>
      </w:pPr>
      <w:r w:rsidRPr="008B2522">
        <w:t>ANEKS III</w:t>
      </w:r>
    </w:p>
    <w:p w14:paraId="572DBCFC" w14:textId="77777777" w:rsidR="001432C3" w:rsidRPr="008B2522" w:rsidRDefault="001432C3">
      <w:pPr>
        <w:pStyle w:val="a3"/>
        <w:rPr>
          <w:b/>
        </w:rPr>
      </w:pPr>
    </w:p>
    <w:p w14:paraId="10B80111" w14:textId="77777777" w:rsidR="001432C3" w:rsidRPr="008B2522" w:rsidRDefault="000E2AE0">
      <w:pPr>
        <w:ind w:left="1232" w:right="1232"/>
        <w:jc w:val="center"/>
        <w:rPr>
          <w:b/>
        </w:rPr>
      </w:pPr>
      <w:r w:rsidRPr="008B2522">
        <w:rPr>
          <w:b/>
        </w:rPr>
        <w:t>OZNAKOWANIE OPAKOWAŃ I ULOTKA DLA PACJENTA</w:t>
      </w:r>
    </w:p>
    <w:p w14:paraId="7E0DA3C4" w14:textId="77777777" w:rsidR="001432C3" w:rsidRPr="008B2522" w:rsidRDefault="001432C3">
      <w:pPr>
        <w:jc w:val="center"/>
        <w:sectPr w:rsidR="001432C3" w:rsidRPr="008B2522" w:rsidSect="00F64F2B">
          <w:pgSz w:w="11910" w:h="16840"/>
          <w:pgMar w:top="1378" w:right="1202" w:bottom="902" w:left="1202" w:header="0" w:footer="656" w:gutter="0"/>
          <w:cols w:space="720"/>
          <w:docGrid w:linePitch="299"/>
        </w:sectPr>
      </w:pPr>
    </w:p>
    <w:p w14:paraId="6C50980D" w14:textId="77777777" w:rsidR="00224ECA" w:rsidRPr="004A2080" w:rsidRDefault="00224ECA" w:rsidP="00F64F2B">
      <w:pPr>
        <w:rPr>
          <w:noProof/>
        </w:rPr>
      </w:pPr>
    </w:p>
    <w:p w14:paraId="6AE622AE" w14:textId="77777777" w:rsidR="00224ECA" w:rsidRPr="004A2080" w:rsidRDefault="00224ECA" w:rsidP="00F64F2B">
      <w:pPr>
        <w:rPr>
          <w:noProof/>
        </w:rPr>
      </w:pPr>
    </w:p>
    <w:p w14:paraId="19CD6613" w14:textId="77777777" w:rsidR="00224ECA" w:rsidRPr="004A2080" w:rsidRDefault="00224ECA" w:rsidP="00F64F2B">
      <w:pPr>
        <w:rPr>
          <w:noProof/>
        </w:rPr>
      </w:pPr>
    </w:p>
    <w:p w14:paraId="77D199ED" w14:textId="77777777" w:rsidR="00224ECA" w:rsidRPr="004A2080" w:rsidRDefault="00224ECA" w:rsidP="00F64F2B">
      <w:pPr>
        <w:rPr>
          <w:noProof/>
        </w:rPr>
      </w:pPr>
    </w:p>
    <w:p w14:paraId="3F0B0DB0" w14:textId="77777777" w:rsidR="00224ECA" w:rsidRPr="004A2080" w:rsidRDefault="00224ECA" w:rsidP="00F64F2B">
      <w:pPr>
        <w:rPr>
          <w:noProof/>
        </w:rPr>
      </w:pPr>
    </w:p>
    <w:p w14:paraId="2618E4B1" w14:textId="77777777" w:rsidR="00224ECA" w:rsidRPr="004A2080" w:rsidRDefault="00224ECA" w:rsidP="00F64F2B">
      <w:pPr>
        <w:rPr>
          <w:noProof/>
        </w:rPr>
      </w:pPr>
    </w:p>
    <w:p w14:paraId="240A2648" w14:textId="77777777" w:rsidR="00224ECA" w:rsidRPr="004A2080" w:rsidRDefault="00224ECA" w:rsidP="00F64F2B">
      <w:pPr>
        <w:rPr>
          <w:noProof/>
        </w:rPr>
      </w:pPr>
    </w:p>
    <w:p w14:paraId="346B52AD" w14:textId="77777777" w:rsidR="00224ECA" w:rsidRPr="004A2080" w:rsidRDefault="00224ECA" w:rsidP="00F64F2B">
      <w:pPr>
        <w:rPr>
          <w:noProof/>
        </w:rPr>
      </w:pPr>
    </w:p>
    <w:p w14:paraId="144F8B5F" w14:textId="77777777" w:rsidR="00224ECA" w:rsidRPr="004A2080" w:rsidRDefault="00224ECA" w:rsidP="00F64F2B">
      <w:pPr>
        <w:rPr>
          <w:noProof/>
        </w:rPr>
      </w:pPr>
    </w:p>
    <w:p w14:paraId="4AA26ACB" w14:textId="77777777" w:rsidR="00224ECA" w:rsidRPr="004A2080" w:rsidRDefault="00224ECA" w:rsidP="00F64F2B">
      <w:pPr>
        <w:rPr>
          <w:noProof/>
        </w:rPr>
      </w:pPr>
    </w:p>
    <w:p w14:paraId="53E7B8D3" w14:textId="77777777" w:rsidR="00224ECA" w:rsidRPr="004A2080" w:rsidRDefault="00224ECA" w:rsidP="00F64F2B">
      <w:pPr>
        <w:rPr>
          <w:noProof/>
        </w:rPr>
      </w:pPr>
    </w:p>
    <w:p w14:paraId="7BAA50A3" w14:textId="77777777" w:rsidR="00224ECA" w:rsidRPr="004A2080" w:rsidRDefault="00224ECA" w:rsidP="00F64F2B">
      <w:pPr>
        <w:rPr>
          <w:noProof/>
        </w:rPr>
      </w:pPr>
    </w:p>
    <w:p w14:paraId="4FE48330" w14:textId="77777777" w:rsidR="00224ECA" w:rsidRPr="004A2080" w:rsidRDefault="00224ECA" w:rsidP="00F64F2B">
      <w:pPr>
        <w:rPr>
          <w:noProof/>
        </w:rPr>
      </w:pPr>
    </w:p>
    <w:p w14:paraId="0C899997" w14:textId="77777777" w:rsidR="00224ECA" w:rsidRPr="004A2080" w:rsidRDefault="00224ECA" w:rsidP="00F64F2B">
      <w:pPr>
        <w:rPr>
          <w:noProof/>
        </w:rPr>
      </w:pPr>
    </w:p>
    <w:p w14:paraId="15D5DE78" w14:textId="77777777" w:rsidR="00224ECA" w:rsidRPr="004A2080" w:rsidRDefault="00224ECA" w:rsidP="00F64F2B">
      <w:pPr>
        <w:rPr>
          <w:noProof/>
        </w:rPr>
      </w:pPr>
    </w:p>
    <w:p w14:paraId="48C4664E" w14:textId="77777777" w:rsidR="00224ECA" w:rsidRPr="004A2080" w:rsidRDefault="00224ECA" w:rsidP="00F64F2B">
      <w:pPr>
        <w:rPr>
          <w:noProof/>
        </w:rPr>
      </w:pPr>
    </w:p>
    <w:p w14:paraId="31958778" w14:textId="77777777" w:rsidR="00224ECA" w:rsidRPr="004A2080" w:rsidRDefault="00224ECA" w:rsidP="00F64F2B">
      <w:pPr>
        <w:rPr>
          <w:noProof/>
        </w:rPr>
      </w:pPr>
    </w:p>
    <w:p w14:paraId="507AC4DC" w14:textId="77777777" w:rsidR="00224ECA" w:rsidRPr="004A2080" w:rsidRDefault="00224ECA" w:rsidP="00F64F2B">
      <w:pPr>
        <w:rPr>
          <w:noProof/>
        </w:rPr>
      </w:pPr>
    </w:p>
    <w:p w14:paraId="10DF0397" w14:textId="77777777" w:rsidR="00224ECA" w:rsidRPr="004A2080" w:rsidRDefault="00224ECA" w:rsidP="00F64F2B">
      <w:pPr>
        <w:rPr>
          <w:noProof/>
        </w:rPr>
      </w:pPr>
    </w:p>
    <w:p w14:paraId="56997F43" w14:textId="77777777" w:rsidR="00224ECA" w:rsidRPr="004A2080" w:rsidRDefault="00224ECA" w:rsidP="00F64F2B">
      <w:pPr>
        <w:rPr>
          <w:noProof/>
        </w:rPr>
      </w:pPr>
    </w:p>
    <w:p w14:paraId="59B40B26" w14:textId="77777777" w:rsidR="00224ECA" w:rsidRPr="004A2080" w:rsidRDefault="00224ECA" w:rsidP="00F64F2B">
      <w:pPr>
        <w:rPr>
          <w:noProof/>
        </w:rPr>
      </w:pPr>
    </w:p>
    <w:p w14:paraId="6B1C9A87" w14:textId="77777777" w:rsidR="00224ECA" w:rsidRPr="004A2080" w:rsidRDefault="00224ECA" w:rsidP="00B95FCC">
      <w:pPr>
        <w:pStyle w:val="TitleA"/>
        <w:rPr>
          <w:noProof/>
        </w:rPr>
      </w:pPr>
    </w:p>
    <w:p w14:paraId="43611232" w14:textId="77777777" w:rsidR="00224ECA" w:rsidRPr="00D22CB7" w:rsidRDefault="00224ECA" w:rsidP="00B95FCC">
      <w:pPr>
        <w:pStyle w:val="TitleA"/>
        <w:rPr>
          <w:noProof/>
        </w:rPr>
      </w:pPr>
      <w:r w:rsidRPr="00D22CB7">
        <w:rPr>
          <w:rStyle w:val="DoNotTranslateExternal1"/>
        </w:rPr>
        <w:t>A.</w:t>
      </w:r>
      <w:r w:rsidRPr="00D22CB7">
        <w:rPr>
          <w:noProof/>
        </w:rPr>
        <w:t xml:space="preserve"> OZNAKOWANIE OPAKOWAŃ</w:t>
      </w:r>
    </w:p>
    <w:p w14:paraId="7E03EA64" w14:textId="77777777" w:rsidR="00224ECA" w:rsidRPr="00D22CB7" w:rsidRDefault="00224ECA" w:rsidP="00224ECA">
      <w:pPr>
        <w:shd w:val="clear" w:color="auto" w:fill="FFFFFF"/>
        <w:rPr>
          <w:noProof/>
        </w:rPr>
      </w:pPr>
      <w:r w:rsidRPr="00D22CB7">
        <w:br w:type="page"/>
      </w:r>
    </w:p>
    <w:p w14:paraId="7744038C" w14:textId="77777777" w:rsidR="00224ECA" w:rsidRPr="00224ECA" w:rsidRDefault="00224ECA" w:rsidP="00224ECA">
      <w:pPr>
        <w:pBdr>
          <w:top w:val="single" w:sz="4" w:space="1" w:color="auto"/>
          <w:left w:val="single" w:sz="4" w:space="4" w:color="auto"/>
          <w:bottom w:val="single" w:sz="4" w:space="1" w:color="auto"/>
          <w:right w:val="single" w:sz="4" w:space="4" w:color="auto"/>
        </w:pBdr>
        <w:rPr>
          <w:b/>
          <w:noProof/>
        </w:rPr>
      </w:pPr>
      <w:r w:rsidRPr="00224ECA">
        <w:rPr>
          <w:b/>
          <w:noProof/>
        </w:rPr>
        <w:lastRenderedPageBreak/>
        <w:t>INFORMACJE ZAMIESZCZANE NA OPAKOWANIACH ZEWNĘTRZNYCH</w:t>
      </w:r>
    </w:p>
    <w:p w14:paraId="07491091" w14:textId="77777777" w:rsidR="00224ECA" w:rsidRPr="00224ECA" w:rsidRDefault="00224ECA" w:rsidP="00224ECA">
      <w:pPr>
        <w:pBdr>
          <w:top w:val="single" w:sz="4" w:space="1" w:color="auto"/>
          <w:left w:val="single" w:sz="4" w:space="4" w:color="auto"/>
          <w:bottom w:val="single" w:sz="4" w:space="1" w:color="auto"/>
          <w:right w:val="single" w:sz="4" w:space="4" w:color="auto"/>
        </w:pBdr>
        <w:ind w:left="567" w:hanging="567"/>
        <w:rPr>
          <w:bCs/>
          <w:noProof/>
        </w:rPr>
      </w:pPr>
    </w:p>
    <w:p w14:paraId="190D4426" w14:textId="77777777" w:rsidR="00224ECA" w:rsidRPr="00224ECA" w:rsidRDefault="00224ECA" w:rsidP="00224ECA">
      <w:pPr>
        <w:pBdr>
          <w:top w:val="single" w:sz="4" w:space="1" w:color="auto"/>
          <w:left w:val="single" w:sz="4" w:space="4" w:color="auto"/>
          <w:bottom w:val="single" w:sz="4" w:space="1" w:color="auto"/>
          <w:right w:val="single" w:sz="4" w:space="4" w:color="auto"/>
        </w:pBdr>
        <w:rPr>
          <w:b/>
          <w:noProof/>
        </w:rPr>
      </w:pPr>
      <w:r w:rsidRPr="00224ECA">
        <w:rPr>
          <w:b/>
          <w:noProof/>
        </w:rPr>
        <w:t>PUDEŁKO KARTONOWE</w:t>
      </w:r>
    </w:p>
    <w:p w14:paraId="2CFC257F" w14:textId="77777777" w:rsidR="00224ECA" w:rsidRPr="00224ECA" w:rsidRDefault="00224ECA" w:rsidP="00224ECA">
      <w:pPr>
        <w:pBdr>
          <w:top w:val="single" w:sz="4" w:space="1" w:color="auto"/>
          <w:left w:val="single" w:sz="4" w:space="4" w:color="auto"/>
          <w:bottom w:val="single" w:sz="4" w:space="1" w:color="auto"/>
          <w:right w:val="single" w:sz="4" w:space="4" w:color="auto"/>
        </w:pBdr>
        <w:rPr>
          <w:b/>
          <w:noProof/>
        </w:rPr>
      </w:pPr>
    </w:p>
    <w:p w14:paraId="60373BBF" w14:textId="77777777" w:rsidR="00224ECA" w:rsidRPr="00224ECA" w:rsidRDefault="00224ECA" w:rsidP="00224ECA">
      <w:pPr>
        <w:pBdr>
          <w:top w:val="single" w:sz="4" w:space="1" w:color="auto"/>
          <w:left w:val="single" w:sz="4" w:space="4" w:color="auto"/>
          <w:bottom w:val="single" w:sz="4" w:space="1" w:color="auto"/>
          <w:right w:val="single" w:sz="4" w:space="4" w:color="auto"/>
        </w:pBdr>
        <w:rPr>
          <w:bCs/>
          <w:noProof/>
        </w:rPr>
      </w:pPr>
      <w:r w:rsidRPr="00224ECA">
        <w:rPr>
          <w:b/>
          <w:noProof/>
        </w:rPr>
        <w:t xml:space="preserve">FIOLKA + IGŁA Z FILTREM + IGŁA </w:t>
      </w:r>
      <w:r w:rsidR="00455D34">
        <w:rPr>
          <w:b/>
          <w:noProof/>
        </w:rPr>
        <w:t>INIEKCYJNA</w:t>
      </w:r>
    </w:p>
    <w:p w14:paraId="41FBFA95" w14:textId="77777777" w:rsidR="00224ECA" w:rsidRPr="00224ECA" w:rsidRDefault="00224ECA" w:rsidP="00224ECA"/>
    <w:p w14:paraId="7AC90B0E" w14:textId="77777777" w:rsidR="00224ECA" w:rsidRPr="00224ECA" w:rsidRDefault="00224ECA" w:rsidP="00224ECA">
      <w:pPr>
        <w:rPr>
          <w:noProof/>
        </w:rPr>
      </w:pPr>
    </w:p>
    <w:p w14:paraId="0DBA0BA1" w14:textId="77777777" w:rsidR="00224ECA" w:rsidRPr="00F64F2B" w:rsidRDefault="00224EC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F64F2B">
        <w:rPr>
          <w:b/>
        </w:rPr>
        <w:t>NAZWA PRODUKTU LECZNICZEGO</w:t>
      </w:r>
    </w:p>
    <w:p w14:paraId="355CD690" w14:textId="77777777" w:rsidR="00224ECA" w:rsidRPr="00224ECA" w:rsidRDefault="00224ECA" w:rsidP="00F64F2B">
      <w:pPr>
        <w:rPr>
          <w:noProof/>
        </w:rPr>
      </w:pPr>
    </w:p>
    <w:p w14:paraId="45A01932" w14:textId="77777777" w:rsidR="00224ECA" w:rsidRDefault="00224ECA" w:rsidP="00D22CB7">
      <w:pPr>
        <w:pStyle w:val="a3"/>
        <w:ind w:right="2381"/>
      </w:pPr>
      <w:r>
        <w:t>Byooviz</w:t>
      </w:r>
      <w:r w:rsidRPr="008B2522">
        <w:t xml:space="preserve"> </w:t>
      </w:r>
      <w:r>
        <w:t>10</w:t>
      </w:r>
      <w:r w:rsidR="00257CD6">
        <w:t> mg</w:t>
      </w:r>
      <w:r>
        <w:t>/ml roztwór do wstrzykiwań</w:t>
      </w:r>
    </w:p>
    <w:p w14:paraId="29F36690" w14:textId="77777777" w:rsidR="00224ECA" w:rsidRDefault="00224ECA" w:rsidP="00D22CB7">
      <w:pPr>
        <w:pStyle w:val="a3"/>
        <w:ind w:right="5438"/>
      </w:pPr>
      <w:r w:rsidRPr="008B2522">
        <w:t>ranibizumab</w:t>
      </w:r>
    </w:p>
    <w:p w14:paraId="79B25C27" w14:textId="77777777" w:rsidR="001A589F" w:rsidRPr="00F503EC" w:rsidRDefault="001A589F" w:rsidP="001A589F">
      <w:pPr>
        <w:rPr>
          <w:noProof/>
        </w:rPr>
      </w:pPr>
      <w:r>
        <w:rPr>
          <w:noProof/>
        </w:rPr>
        <w:t>2,</w:t>
      </w:r>
      <w:r w:rsidRPr="00D15983">
        <w:rPr>
          <w:noProof/>
        </w:rPr>
        <w:t>3</w:t>
      </w:r>
      <w:r>
        <w:rPr>
          <w:noProof/>
        </w:rPr>
        <w:t> mg/0,</w:t>
      </w:r>
      <w:r w:rsidRPr="00D15983">
        <w:rPr>
          <w:noProof/>
        </w:rPr>
        <w:t>23</w:t>
      </w:r>
      <w:r>
        <w:rPr>
          <w:noProof/>
        </w:rPr>
        <w:t> </w:t>
      </w:r>
      <w:r w:rsidRPr="00D15983">
        <w:rPr>
          <w:noProof/>
        </w:rPr>
        <w:t>ml</w:t>
      </w:r>
    </w:p>
    <w:p w14:paraId="4A864D10" w14:textId="77777777" w:rsidR="001A589F" w:rsidRPr="008B2522" w:rsidRDefault="001A589F" w:rsidP="00D22CB7">
      <w:pPr>
        <w:pStyle w:val="a3"/>
        <w:ind w:right="5438"/>
      </w:pPr>
    </w:p>
    <w:p w14:paraId="1D473342" w14:textId="77777777" w:rsidR="00224ECA" w:rsidRPr="00224ECA" w:rsidRDefault="00224ECA" w:rsidP="00224ECA">
      <w:pPr>
        <w:rPr>
          <w:noProof/>
        </w:rPr>
      </w:pPr>
    </w:p>
    <w:p w14:paraId="4F8639A7" w14:textId="77777777" w:rsidR="00224ECA" w:rsidRPr="00F64F2B" w:rsidRDefault="00AD61D2"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ZAWARTOŚĆ SUBSTANCJI</w:t>
      </w:r>
      <w:r w:rsidRPr="00F64F2B">
        <w:rPr>
          <w:b/>
        </w:rPr>
        <w:t xml:space="preserve"> </w:t>
      </w:r>
      <w:r>
        <w:rPr>
          <w:b/>
        </w:rPr>
        <w:t>CZYNNEJ</w:t>
      </w:r>
    </w:p>
    <w:p w14:paraId="6B5E8ADD" w14:textId="77777777" w:rsidR="00224ECA" w:rsidRPr="00224ECA" w:rsidRDefault="00224ECA" w:rsidP="00F64F2B">
      <w:pPr>
        <w:rPr>
          <w:noProof/>
        </w:rPr>
      </w:pPr>
    </w:p>
    <w:p w14:paraId="25024044" w14:textId="77777777" w:rsidR="00224ECA" w:rsidRPr="00D22CB7" w:rsidRDefault="00AD61D2" w:rsidP="00224ECA">
      <w:pPr>
        <w:outlineLvl w:val="0"/>
        <w:rPr>
          <w:b/>
          <w:noProof/>
        </w:rPr>
      </w:pPr>
      <w:r w:rsidRPr="008B2522">
        <w:t xml:space="preserve">Jeden </w:t>
      </w:r>
      <w:r w:rsidR="0020790E">
        <w:t>ml</w:t>
      </w:r>
      <w:r w:rsidRPr="008B2522">
        <w:t xml:space="preserve"> zawiera 10 </w:t>
      </w:r>
      <w:r w:rsidR="00257CD6">
        <w:t>mg</w:t>
      </w:r>
      <w:r w:rsidRPr="008B2522">
        <w:t xml:space="preserve"> ranibizumabu. </w:t>
      </w:r>
      <w:r>
        <w:t>Każda f</w:t>
      </w:r>
      <w:r w:rsidRPr="008B2522">
        <w:t>iolka zawiera 2,3</w:t>
      </w:r>
      <w:r w:rsidR="00CE1B98">
        <w:t> </w:t>
      </w:r>
      <w:r w:rsidR="00257CD6">
        <w:t>mg</w:t>
      </w:r>
      <w:r w:rsidRPr="008B2522">
        <w:t xml:space="preserve"> ranibizumabu</w:t>
      </w:r>
      <w:r w:rsidR="001A589F">
        <w:t xml:space="preserve"> w roztworze 0,23 ml</w:t>
      </w:r>
      <w:r>
        <w:t>.</w:t>
      </w:r>
    </w:p>
    <w:p w14:paraId="62682D78" w14:textId="77777777" w:rsidR="00224ECA" w:rsidRPr="00024CB3" w:rsidRDefault="00224ECA" w:rsidP="00024CB3">
      <w:pPr>
        <w:pStyle w:val="a3"/>
        <w:ind w:right="5438"/>
      </w:pPr>
    </w:p>
    <w:p w14:paraId="51A53A58" w14:textId="77777777" w:rsidR="00AD61D2" w:rsidRPr="00224ECA" w:rsidRDefault="00AD61D2" w:rsidP="00024CB3">
      <w:pPr>
        <w:pStyle w:val="a3"/>
        <w:ind w:right="5438"/>
      </w:pPr>
    </w:p>
    <w:p w14:paraId="4ABC356F" w14:textId="77777777" w:rsidR="00AD61D2" w:rsidRPr="00F64F2B" w:rsidRDefault="00AD61D2"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WYKAZ SUBSTANCJI</w:t>
      </w:r>
      <w:r w:rsidRPr="00F64F2B">
        <w:rPr>
          <w:b/>
        </w:rPr>
        <w:t xml:space="preserve"> </w:t>
      </w:r>
      <w:r>
        <w:rPr>
          <w:b/>
        </w:rPr>
        <w:t>POMOCNICZYCH</w:t>
      </w:r>
    </w:p>
    <w:p w14:paraId="315AB9A5" w14:textId="77777777" w:rsidR="00AD61D2" w:rsidRPr="00224ECA" w:rsidRDefault="00AD61D2" w:rsidP="00024CB3">
      <w:pPr>
        <w:pStyle w:val="a3"/>
        <w:ind w:right="5438"/>
      </w:pPr>
    </w:p>
    <w:p w14:paraId="0090AC03" w14:textId="77777777" w:rsidR="00AD61D2" w:rsidRPr="008B2522" w:rsidRDefault="00AD61D2" w:rsidP="00D22CB7">
      <w:pPr>
        <w:pStyle w:val="a3"/>
        <w:spacing w:before="101"/>
        <w:ind w:right="931"/>
      </w:pPr>
      <w:r w:rsidRPr="008B2522">
        <w:t xml:space="preserve">Zawiera także: dwuwodzian </w:t>
      </w:r>
      <w:r w:rsidRPr="008B2522">
        <w:rPr>
          <w:rFonts w:ascii="Symbol" w:hAnsi="Symbol"/>
        </w:rPr>
        <w:t></w:t>
      </w:r>
      <w:r w:rsidRPr="008B2522">
        <w:t>,</w:t>
      </w:r>
      <w:r w:rsidRPr="008B2522">
        <w:rPr>
          <w:rFonts w:ascii="Symbol" w:hAnsi="Symbol"/>
        </w:rPr>
        <w:t></w:t>
      </w:r>
      <w:r w:rsidRPr="008B2522">
        <w:t>-trehalozy; chlorowodorek histydyny, jednowodny; histydynę; polisorbat</w:t>
      </w:r>
      <w:r w:rsidR="00CE1B98">
        <w:t> </w:t>
      </w:r>
      <w:r w:rsidRPr="008B2522">
        <w:t>20; wodę do wstrzykiwań.</w:t>
      </w:r>
    </w:p>
    <w:p w14:paraId="4923A3FD" w14:textId="77777777" w:rsidR="00AD61D2" w:rsidRPr="008B2522" w:rsidRDefault="00AD61D2" w:rsidP="00D22CB7">
      <w:pPr>
        <w:pStyle w:val="a3"/>
        <w:ind w:right="5438"/>
      </w:pPr>
    </w:p>
    <w:p w14:paraId="775703E3" w14:textId="77777777" w:rsidR="00AD61D2" w:rsidRPr="00224ECA" w:rsidRDefault="00AD61D2" w:rsidP="00024CB3">
      <w:pPr>
        <w:pStyle w:val="a3"/>
        <w:ind w:right="5438"/>
      </w:pPr>
    </w:p>
    <w:p w14:paraId="603D251B" w14:textId="77777777" w:rsidR="00AD61D2" w:rsidRPr="00F64F2B" w:rsidRDefault="00AD61D2"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POSTAĆ FARMACEUTYCZNA I ZAWARTOŚĆ</w:t>
      </w:r>
      <w:r w:rsidRPr="00F64F2B">
        <w:rPr>
          <w:b/>
        </w:rPr>
        <w:t xml:space="preserve"> </w:t>
      </w:r>
      <w:r>
        <w:rPr>
          <w:b/>
        </w:rPr>
        <w:t>OPAKOWANIA</w:t>
      </w:r>
    </w:p>
    <w:p w14:paraId="24C57093" w14:textId="77777777" w:rsidR="00AD61D2" w:rsidRPr="00224ECA" w:rsidRDefault="00AD61D2" w:rsidP="00024CB3">
      <w:pPr>
        <w:pStyle w:val="a3"/>
        <w:ind w:right="5438"/>
      </w:pPr>
    </w:p>
    <w:p w14:paraId="457C833B" w14:textId="77777777" w:rsidR="001432C3" w:rsidRPr="008B2522" w:rsidRDefault="000E2AE0" w:rsidP="00D22CB7">
      <w:pPr>
        <w:pStyle w:val="a3"/>
        <w:spacing w:before="92"/>
      </w:pPr>
      <w:bookmarkStart w:id="31" w:name="A._OZNAKOWANIE_OPAKOWAŃ"/>
      <w:bookmarkEnd w:id="31"/>
      <w:r w:rsidRPr="008B2522">
        <w:rPr>
          <w:shd w:val="clear" w:color="auto" w:fill="D9D9D9"/>
        </w:rPr>
        <w:t>Roztwór do wstrzykiwań</w:t>
      </w:r>
    </w:p>
    <w:p w14:paraId="54C34161" w14:textId="77777777" w:rsidR="001432C3" w:rsidRPr="008B2522" w:rsidRDefault="001432C3" w:rsidP="00024CB3">
      <w:pPr>
        <w:pStyle w:val="a3"/>
        <w:ind w:right="5438"/>
      </w:pPr>
    </w:p>
    <w:p w14:paraId="61B002FF" w14:textId="77777777" w:rsidR="001432C3" w:rsidRDefault="000E2AE0" w:rsidP="00D22CB7">
      <w:pPr>
        <w:pStyle w:val="a3"/>
      </w:pPr>
      <w:r w:rsidRPr="008B2522">
        <w:t>1x fiolka z 0,23</w:t>
      </w:r>
      <w:r w:rsidR="0020790E">
        <w:t> ml</w:t>
      </w:r>
      <w:r w:rsidRPr="008B2522">
        <w:t xml:space="preserve"> roztworu</w:t>
      </w:r>
    </w:p>
    <w:p w14:paraId="386FEBE5" w14:textId="77777777" w:rsidR="00AD61D2" w:rsidRDefault="00AD61D2" w:rsidP="00D22CB7">
      <w:pPr>
        <w:pStyle w:val="a3"/>
      </w:pPr>
      <w:r>
        <w:t>1 igła z filtrem</w:t>
      </w:r>
    </w:p>
    <w:p w14:paraId="38B98250" w14:textId="77777777" w:rsidR="00AD61D2" w:rsidRPr="008B2522" w:rsidRDefault="00AD61D2" w:rsidP="00D22CB7">
      <w:pPr>
        <w:pStyle w:val="a3"/>
      </w:pPr>
      <w:r>
        <w:t xml:space="preserve">1 igła </w:t>
      </w:r>
      <w:r w:rsidR="00455D34">
        <w:t>iniekcyjna</w:t>
      </w:r>
    </w:p>
    <w:p w14:paraId="3FC913E6" w14:textId="77777777" w:rsidR="001432C3" w:rsidRPr="008B2522" w:rsidRDefault="000E2AE0" w:rsidP="00D22CB7">
      <w:pPr>
        <w:pStyle w:val="a3"/>
        <w:spacing w:before="1" w:line="252" w:lineRule="exact"/>
      </w:pPr>
      <w:r w:rsidRPr="008B2522">
        <w:t>Pojedyncza dawka dla pacjentów dorosłych: 0,5</w:t>
      </w:r>
      <w:r w:rsidR="00257CD6">
        <w:t> mg</w:t>
      </w:r>
      <w:r w:rsidRPr="008B2522">
        <w:t>/0,05</w:t>
      </w:r>
      <w:r w:rsidR="0020790E">
        <w:t> ml</w:t>
      </w:r>
      <w:r w:rsidRPr="008B2522">
        <w:t>. Usunąć nadmiar roztworu.</w:t>
      </w:r>
    </w:p>
    <w:p w14:paraId="200D3A6B" w14:textId="77777777" w:rsidR="0045183C" w:rsidRPr="00024CB3" w:rsidRDefault="0045183C" w:rsidP="00024CB3">
      <w:pPr>
        <w:pStyle w:val="a3"/>
        <w:ind w:right="5438"/>
      </w:pPr>
    </w:p>
    <w:p w14:paraId="3686E8DF" w14:textId="77777777" w:rsidR="0045183C" w:rsidRPr="00224ECA" w:rsidRDefault="0045183C" w:rsidP="00024CB3">
      <w:pPr>
        <w:pStyle w:val="a3"/>
        <w:ind w:right="5438"/>
      </w:pPr>
    </w:p>
    <w:p w14:paraId="70A09038" w14:textId="77777777" w:rsidR="0045183C" w:rsidRPr="00F64F2B" w:rsidRDefault="0045183C"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SPOSÓB I DROGA</w:t>
      </w:r>
      <w:r w:rsidRPr="00F64F2B">
        <w:rPr>
          <w:b/>
        </w:rPr>
        <w:t xml:space="preserve"> </w:t>
      </w:r>
      <w:r>
        <w:rPr>
          <w:b/>
        </w:rPr>
        <w:t>PODANIA</w:t>
      </w:r>
    </w:p>
    <w:p w14:paraId="5AC9B30C" w14:textId="77777777" w:rsidR="0045183C" w:rsidRPr="00224ECA" w:rsidRDefault="0045183C" w:rsidP="00F64F2B">
      <w:pPr>
        <w:rPr>
          <w:noProof/>
        </w:rPr>
      </w:pPr>
    </w:p>
    <w:p w14:paraId="06E6B332" w14:textId="77777777" w:rsidR="003C79F8" w:rsidRPr="008B2522" w:rsidRDefault="003C79F8" w:rsidP="00D22CB7">
      <w:pPr>
        <w:pStyle w:val="a3"/>
        <w:ind w:right="1985"/>
      </w:pPr>
      <w:r w:rsidRPr="008B2522">
        <w:t>Należy zapo</w:t>
      </w:r>
      <w:r>
        <w:t xml:space="preserve">znać się z treścią ulotki przed </w:t>
      </w:r>
      <w:r w:rsidRPr="008B2522">
        <w:t>zastosowaniem leku.</w:t>
      </w:r>
    </w:p>
    <w:p w14:paraId="5B7544DA" w14:textId="77777777" w:rsidR="0045183C" w:rsidRDefault="0045183C" w:rsidP="00D22CB7">
      <w:pPr>
        <w:pStyle w:val="a3"/>
      </w:pPr>
      <w:r w:rsidRPr="008B2522">
        <w:t>Podanie do ciała szklistego.</w:t>
      </w:r>
    </w:p>
    <w:p w14:paraId="3CDF482C" w14:textId="77777777" w:rsidR="0045183C" w:rsidRDefault="0045183C" w:rsidP="00D22CB7">
      <w:pPr>
        <w:pStyle w:val="a3"/>
      </w:pPr>
      <w:r w:rsidRPr="008B2522">
        <w:t>Fiolka przeznaczona wyłącznie do jednorazowego użytku.</w:t>
      </w:r>
    </w:p>
    <w:p w14:paraId="5CE085D1" w14:textId="77777777" w:rsidR="001A589F" w:rsidRPr="001A589F" w:rsidRDefault="001A589F" w:rsidP="00D22CB7">
      <w:pPr>
        <w:pStyle w:val="a3"/>
      </w:pPr>
      <w:r w:rsidRPr="001A589F">
        <w:t>Igły z filtrem nie należy stosować do wstrzyknięcia leku.</w:t>
      </w:r>
    </w:p>
    <w:p w14:paraId="2C7A87DB" w14:textId="77777777" w:rsidR="0045183C" w:rsidRDefault="0045183C" w:rsidP="00D22CB7">
      <w:pPr>
        <w:pStyle w:val="a3"/>
      </w:pPr>
    </w:p>
    <w:p w14:paraId="73BAA9BB" w14:textId="77777777" w:rsidR="0045183C" w:rsidRPr="00224ECA" w:rsidRDefault="0045183C" w:rsidP="00D22CB7">
      <w:pPr>
        <w:pStyle w:val="a3"/>
      </w:pPr>
    </w:p>
    <w:p w14:paraId="5B0E6E95" w14:textId="77777777" w:rsidR="0045183C" w:rsidRPr="004A2080" w:rsidRDefault="0045183C"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4A2080">
        <w:rPr>
          <w:b/>
        </w:rPr>
        <w:t>OSTRZEŻENIE DOTYCZĄCE PRZECHOWYWANIA PRODUKTU LECZNICZEGO W MIEJSCU NIEWIDOCZNYM I NIEDOSTĘPNYM DLA DZIECI</w:t>
      </w:r>
    </w:p>
    <w:p w14:paraId="53B52983" w14:textId="77777777" w:rsidR="0045183C" w:rsidRPr="00224ECA" w:rsidRDefault="0045183C" w:rsidP="00F64F2B">
      <w:pPr>
        <w:rPr>
          <w:noProof/>
        </w:rPr>
      </w:pPr>
    </w:p>
    <w:p w14:paraId="68066931" w14:textId="77777777" w:rsidR="0045183C" w:rsidRPr="00C906E0" w:rsidRDefault="00C906E0" w:rsidP="00E0574D">
      <w:pPr>
        <w:rPr>
          <w:b/>
          <w:noProof/>
        </w:rPr>
      </w:pPr>
      <w:r w:rsidRPr="00C906E0">
        <w:t>Lek przechowywać w miejscu niewidocznym i niedostępnym dla dzieci.</w:t>
      </w:r>
    </w:p>
    <w:p w14:paraId="58FE7E80" w14:textId="77777777" w:rsidR="0045183C" w:rsidRPr="00224ECA" w:rsidRDefault="0045183C" w:rsidP="0045183C">
      <w:pPr>
        <w:rPr>
          <w:noProof/>
        </w:rPr>
      </w:pPr>
    </w:p>
    <w:p w14:paraId="3647DE73" w14:textId="77777777" w:rsidR="0045183C" w:rsidRPr="00F64F2B" w:rsidRDefault="0045183C"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F64F2B">
        <w:rPr>
          <w:b/>
        </w:rPr>
        <w:t>INNE OSTRZEŻENIA SPECJALNE, JEŚLI KONIECZNE</w:t>
      </w:r>
    </w:p>
    <w:p w14:paraId="7E2DB578" w14:textId="77777777" w:rsidR="0045183C" w:rsidRDefault="0045183C" w:rsidP="0045183C">
      <w:pPr>
        <w:rPr>
          <w:noProof/>
        </w:rPr>
      </w:pPr>
    </w:p>
    <w:p w14:paraId="3A97B8AD" w14:textId="77777777" w:rsidR="0045183C" w:rsidRPr="00224ECA" w:rsidRDefault="0045183C" w:rsidP="0045183C">
      <w:pPr>
        <w:rPr>
          <w:noProof/>
        </w:rPr>
      </w:pPr>
    </w:p>
    <w:p w14:paraId="699496E4" w14:textId="77777777" w:rsidR="0045183C" w:rsidRPr="00F64F2B" w:rsidRDefault="0045183C"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F64F2B">
        <w:rPr>
          <w:b/>
        </w:rPr>
        <w:t xml:space="preserve">TERMIN WAŻNOŚCI </w:t>
      </w:r>
    </w:p>
    <w:p w14:paraId="046DA510" w14:textId="77777777" w:rsidR="0045183C" w:rsidRPr="00F64F2B" w:rsidRDefault="0045183C" w:rsidP="00F64F2B">
      <w:pPr>
        <w:rPr>
          <w:noProof/>
        </w:rPr>
      </w:pPr>
    </w:p>
    <w:p w14:paraId="7D62106E" w14:textId="77777777" w:rsidR="001432C3" w:rsidRPr="008B2522" w:rsidRDefault="000E2AE0" w:rsidP="00D22CB7">
      <w:pPr>
        <w:pStyle w:val="a3"/>
      </w:pPr>
      <w:r w:rsidRPr="008B2522">
        <w:t>Termin ważności (EXP)</w:t>
      </w:r>
    </w:p>
    <w:p w14:paraId="361D3FF3" w14:textId="77777777" w:rsidR="001508B0" w:rsidRPr="00F64F2B" w:rsidRDefault="001508B0"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WARUNKI PRZECHOWYWANIA</w:t>
      </w:r>
    </w:p>
    <w:p w14:paraId="1B2B2E03" w14:textId="77777777" w:rsidR="001508B0" w:rsidRPr="00F64F2B" w:rsidRDefault="001508B0" w:rsidP="00F64F2B">
      <w:pPr>
        <w:rPr>
          <w:noProof/>
        </w:rPr>
      </w:pPr>
    </w:p>
    <w:p w14:paraId="6290EFAC" w14:textId="77777777" w:rsidR="001508B0" w:rsidRPr="008B2522" w:rsidRDefault="001508B0" w:rsidP="00D22CB7">
      <w:pPr>
        <w:pStyle w:val="a3"/>
        <w:ind w:right="2880"/>
      </w:pPr>
      <w:r w:rsidRPr="008B2522">
        <w:t>Przechowywać w lodówce (2</w:t>
      </w:r>
      <w:r w:rsidRPr="008B2522">
        <w:rPr>
          <w:rFonts w:ascii="Symbol" w:hAnsi="Symbol"/>
        </w:rPr>
        <w:t></w:t>
      </w:r>
      <w:r w:rsidRPr="008B2522">
        <w:t>C - 8</w:t>
      </w:r>
      <w:r w:rsidRPr="008B2522">
        <w:rPr>
          <w:rFonts w:ascii="Symbol" w:hAnsi="Symbol"/>
        </w:rPr>
        <w:t></w:t>
      </w:r>
      <w:r w:rsidRPr="008B2522">
        <w:t>C). Nie zamrażać.</w:t>
      </w:r>
    </w:p>
    <w:p w14:paraId="6D47775E" w14:textId="77777777" w:rsidR="001508B0" w:rsidRPr="008B2522" w:rsidRDefault="001508B0" w:rsidP="004763C1">
      <w:pPr>
        <w:pStyle w:val="a3"/>
        <w:spacing w:line="252" w:lineRule="exact"/>
      </w:pPr>
      <w:r w:rsidRPr="008B2522">
        <w:t>Przechowywać fiolkę w opakowaniu zewnętrznym w celu ochrony przed światłem.</w:t>
      </w:r>
    </w:p>
    <w:p w14:paraId="69BB41D7" w14:textId="77777777" w:rsidR="001508B0" w:rsidRPr="00D22CB7" w:rsidRDefault="001508B0" w:rsidP="004763C1">
      <w:pPr>
        <w:rPr>
          <w:noProof/>
        </w:rPr>
      </w:pPr>
    </w:p>
    <w:p w14:paraId="4FD9B623" w14:textId="77777777" w:rsidR="0047153A" w:rsidRPr="00D22CB7" w:rsidRDefault="0047153A" w:rsidP="004763C1">
      <w:pPr>
        <w:rPr>
          <w:noProof/>
        </w:rPr>
      </w:pPr>
    </w:p>
    <w:p w14:paraId="6E2D3F2B" w14:textId="77777777" w:rsidR="0047153A" w:rsidRPr="004A2080"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4A2080">
        <w:rPr>
          <w:b/>
        </w:rPr>
        <w:t>SPECJALNE ŚRODKI OSTROŻNOŚCI DOTYCZĄCE USUWANIA NIEZUŻYTEGO PRODUKTU LECZNICZEGO LUB POCHODZĄCYCH Z NIEGO ODPADÓW, JEŚLI WŁAŚCIWE</w:t>
      </w:r>
    </w:p>
    <w:p w14:paraId="58DD4862" w14:textId="77777777" w:rsidR="001508B0" w:rsidRPr="00D22CB7" w:rsidRDefault="001508B0" w:rsidP="00F64F2B">
      <w:pPr>
        <w:rPr>
          <w:noProof/>
        </w:rPr>
      </w:pPr>
    </w:p>
    <w:p w14:paraId="3C2EC9DE" w14:textId="77777777" w:rsidR="0047153A" w:rsidRPr="00D22CB7" w:rsidRDefault="0047153A" w:rsidP="0047153A">
      <w:pPr>
        <w:rPr>
          <w:noProof/>
        </w:rPr>
      </w:pPr>
    </w:p>
    <w:p w14:paraId="6A03238F" w14:textId="77777777" w:rsidR="0047153A" w:rsidRPr="006B4557"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NAZWA I ADRES PODMIOTU ODPOWIEDZIALNEGO</w:t>
      </w:r>
    </w:p>
    <w:p w14:paraId="157823F5" w14:textId="77777777" w:rsidR="0047153A" w:rsidRPr="006B4557" w:rsidRDefault="0047153A" w:rsidP="0047153A">
      <w:pPr>
        <w:rPr>
          <w:noProof/>
        </w:rPr>
      </w:pPr>
    </w:p>
    <w:p w14:paraId="3D081CE9" w14:textId="77777777" w:rsidR="0047153A" w:rsidRPr="00E0574D" w:rsidRDefault="0047153A" w:rsidP="0047153A">
      <w:pPr>
        <w:rPr>
          <w:noProof/>
          <w:lang w:val="en-GB"/>
        </w:rPr>
      </w:pPr>
      <w:r w:rsidRPr="00E0574D">
        <w:rPr>
          <w:noProof/>
          <w:lang w:val="en-GB"/>
        </w:rPr>
        <w:t>Samsung Bioepis NL B.V.</w:t>
      </w:r>
    </w:p>
    <w:p w14:paraId="7B49E53E" w14:textId="77777777" w:rsidR="0047153A" w:rsidRPr="00B7568F" w:rsidRDefault="0047153A" w:rsidP="0047153A">
      <w:pPr>
        <w:rPr>
          <w:noProof/>
        </w:rPr>
      </w:pPr>
      <w:r w:rsidRPr="00B7568F">
        <w:rPr>
          <w:noProof/>
        </w:rPr>
        <w:t>Olof Palmestraat 10</w:t>
      </w:r>
    </w:p>
    <w:p w14:paraId="5CEC6A1E" w14:textId="77777777" w:rsidR="0047153A" w:rsidRPr="00B7568F" w:rsidRDefault="0047153A" w:rsidP="0047153A">
      <w:pPr>
        <w:rPr>
          <w:noProof/>
        </w:rPr>
      </w:pPr>
      <w:r w:rsidRPr="00B7568F">
        <w:rPr>
          <w:noProof/>
        </w:rPr>
        <w:t>2616 LR Delft</w:t>
      </w:r>
    </w:p>
    <w:p w14:paraId="74AFDEA1" w14:textId="77777777" w:rsidR="0047153A" w:rsidRPr="006B4557" w:rsidRDefault="0047153A" w:rsidP="0047153A">
      <w:pPr>
        <w:rPr>
          <w:noProof/>
        </w:rPr>
      </w:pPr>
      <w:r>
        <w:rPr>
          <w:noProof/>
        </w:rPr>
        <w:t>Holandia</w:t>
      </w:r>
    </w:p>
    <w:p w14:paraId="19FCCF9C" w14:textId="77777777" w:rsidR="0047153A" w:rsidRDefault="0047153A" w:rsidP="0047153A">
      <w:pPr>
        <w:rPr>
          <w:noProof/>
        </w:rPr>
      </w:pPr>
    </w:p>
    <w:p w14:paraId="12B556BC" w14:textId="77777777" w:rsidR="004763C1" w:rsidRPr="006B4557" w:rsidRDefault="004763C1" w:rsidP="0047153A">
      <w:pPr>
        <w:rPr>
          <w:noProof/>
        </w:rPr>
      </w:pPr>
    </w:p>
    <w:p w14:paraId="51CD3393" w14:textId="77777777" w:rsidR="0047153A" w:rsidRPr="004A2080"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4A2080">
        <w:rPr>
          <w:b/>
        </w:rPr>
        <w:t xml:space="preserve">NUMER POZWOLENIA NA DOPUSZCZENIE DO OBROTU </w:t>
      </w:r>
    </w:p>
    <w:p w14:paraId="484080F8" w14:textId="77777777" w:rsidR="0047153A" w:rsidRPr="00D22CB7" w:rsidRDefault="0047153A" w:rsidP="0047153A">
      <w:pPr>
        <w:rPr>
          <w:noProof/>
          <w:lang w:val="pt-PT"/>
        </w:rPr>
      </w:pPr>
    </w:p>
    <w:p w14:paraId="6DA07984" w14:textId="77777777" w:rsidR="0047153A" w:rsidRPr="006B4557" w:rsidRDefault="0047153A" w:rsidP="0047153A">
      <w:pPr>
        <w:rPr>
          <w:noProof/>
        </w:rPr>
      </w:pPr>
      <w:r w:rsidRPr="006B4557">
        <w:rPr>
          <w:noProof/>
        </w:rPr>
        <w:t>EU/</w:t>
      </w:r>
      <w:r w:rsidRPr="005F2A56">
        <w:rPr>
          <w:noProof/>
        </w:rPr>
        <w:t>1/21/1572/001</w:t>
      </w:r>
    </w:p>
    <w:p w14:paraId="4062AB79" w14:textId="77777777" w:rsidR="0047153A" w:rsidRPr="006B4557" w:rsidRDefault="0047153A" w:rsidP="0047153A">
      <w:pPr>
        <w:rPr>
          <w:noProof/>
        </w:rPr>
      </w:pPr>
    </w:p>
    <w:p w14:paraId="245917CD" w14:textId="77777777" w:rsidR="0047153A" w:rsidRPr="006B4557" w:rsidRDefault="0047153A" w:rsidP="0047153A">
      <w:pPr>
        <w:rPr>
          <w:noProof/>
        </w:rPr>
      </w:pPr>
    </w:p>
    <w:p w14:paraId="08F2DAF5" w14:textId="77777777" w:rsidR="0047153A" w:rsidRPr="00F64F2B"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NUMER SERII</w:t>
      </w:r>
    </w:p>
    <w:p w14:paraId="67C6A76B" w14:textId="77777777" w:rsidR="0047153A" w:rsidRPr="006B4557" w:rsidRDefault="0047153A" w:rsidP="004763C1">
      <w:pPr>
        <w:rPr>
          <w:i/>
          <w:noProof/>
        </w:rPr>
      </w:pPr>
    </w:p>
    <w:p w14:paraId="4B119979" w14:textId="77777777" w:rsidR="0047153A" w:rsidRDefault="0047153A" w:rsidP="00D22CB7">
      <w:pPr>
        <w:pStyle w:val="a3"/>
      </w:pPr>
      <w:r w:rsidRPr="008B2522">
        <w:t>Nr serii (Lot)</w:t>
      </w:r>
    </w:p>
    <w:p w14:paraId="7D399C7B" w14:textId="77777777" w:rsidR="003C79F8" w:rsidRPr="008B2522" w:rsidRDefault="003C79F8" w:rsidP="00D22CB7">
      <w:pPr>
        <w:pStyle w:val="a3"/>
      </w:pPr>
    </w:p>
    <w:p w14:paraId="26351F9C" w14:textId="77777777" w:rsidR="0047153A" w:rsidRPr="006B4557" w:rsidRDefault="0047153A" w:rsidP="0047153A">
      <w:pPr>
        <w:rPr>
          <w:noProof/>
        </w:rPr>
      </w:pPr>
    </w:p>
    <w:p w14:paraId="5F0A6023" w14:textId="77777777" w:rsidR="0047153A" w:rsidRPr="00F64F2B"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OGÓLNA KATEGORIA DOSTĘPNOŚCI</w:t>
      </w:r>
    </w:p>
    <w:p w14:paraId="2C170EF5" w14:textId="77777777" w:rsidR="0047153A" w:rsidRDefault="0047153A" w:rsidP="0047153A">
      <w:pPr>
        <w:rPr>
          <w:i/>
          <w:noProof/>
        </w:rPr>
      </w:pPr>
    </w:p>
    <w:p w14:paraId="0BA5AA98" w14:textId="77777777" w:rsidR="0047153A" w:rsidRPr="00B3208E" w:rsidRDefault="0047153A" w:rsidP="0047153A">
      <w:pPr>
        <w:rPr>
          <w:noProof/>
        </w:rPr>
      </w:pPr>
    </w:p>
    <w:p w14:paraId="6D8E37AC" w14:textId="77777777" w:rsidR="0047153A" w:rsidRPr="00F64F2B"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INSTRUKCJA UŻYCIA</w:t>
      </w:r>
    </w:p>
    <w:p w14:paraId="03FAB301" w14:textId="77777777" w:rsidR="0047153A" w:rsidRPr="008225EB" w:rsidRDefault="0047153A" w:rsidP="0047153A">
      <w:pPr>
        <w:rPr>
          <w:noProof/>
        </w:rPr>
      </w:pPr>
    </w:p>
    <w:p w14:paraId="43B1E808" w14:textId="77777777" w:rsidR="003C79F8" w:rsidRPr="008225EB" w:rsidRDefault="003C79F8" w:rsidP="0047153A">
      <w:pPr>
        <w:rPr>
          <w:noProof/>
        </w:rPr>
      </w:pPr>
    </w:p>
    <w:p w14:paraId="1B1F5D5D" w14:textId="77777777" w:rsidR="0047153A" w:rsidRPr="00F64F2B"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INFORMACJA PODANA SYSTEMEM BRAILLE’A</w:t>
      </w:r>
    </w:p>
    <w:p w14:paraId="1D4D8630" w14:textId="77777777" w:rsidR="0047153A" w:rsidRPr="007B42D3" w:rsidRDefault="0047153A" w:rsidP="0047153A">
      <w:pPr>
        <w:rPr>
          <w:noProof/>
        </w:rPr>
      </w:pPr>
    </w:p>
    <w:p w14:paraId="4221AB44" w14:textId="77777777" w:rsidR="0047153A" w:rsidRPr="004A2080" w:rsidRDefault="0047153A" w:rsidP="0047153A">
      <w:pPr>
        <w:rPr>
          <w:noProof/>
          <w:shd w:val="clear" w:color="auto" w:fill="CCCCCC"/>
        </w:rPr>
      </w:pPr>
      <w:r w:rsidRPr="004A2080">
        <w:rPr>
          <w:highlight w:val="lightGray"/>
        </w:rPr>
        <w:t>Zaakceptowano uzasadnienie braku informacji systemem Braille’a.</w:t>
      </w:r>
    </w:p>
    <w:p w14:paraId="20B422A7" w14:textId="77777777" w:rsidR="0047153A" w:rsidRPr="004A2080" w:rsidRDefault="0047153A" w:rsidP="0047153A">
      <w:pPr>
        <w:rPr>
          <w:noProof/>
          <w:shd w:val="clear" w:color="auto" w:fill="CCCCCC"/>
        </w:rPr>
      </w:pPr>
    </w:p>
    <w:p w14:paraId="39A21711" w14:textId="77777777" w:rsidR="0047153A" w:rsidRPr="004A2080" w:rsidRDefault="0047153A" w:rsidP="0047153A">
      <w:pPr>
        <w:rPr>
          <w:noProof/>
          <w:shd w:val="clear" w:color="auto" w:fill="CCCCCC"/>
        </w:rPr>
      </w:pPr>
    </w:p>
    <w:p w14:paraId="1A5BBC12" w14:textId="77777777" w:rsidR="0047153A" w:rsidRPr="00F64F2B"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Pr>
          <w:b/>
        </w:rPr>
        <w:t>NIEPOWTARZALNY IDENTYFIKATOR – KOD 2D</w:t>
      </w:r>
    </w:p>
    <w:p w14:paraId="4C4AD0A9" w14:textId="77777777" w:rsidR="0047153A" w:rsidRPr="00C937E7" w:rsidRDefault="0047153A" w:rsidP="0047153A">
      <w:pPr>
        <w:rPr>
          <w:noProof/>
        </w:rPr>
      </w:pPr>
    </w:p>
    <w:p w14:paraId="6D33C03A" w14:textId="77777777" w:rsidR="001432C3" w:rsidRPr="008B2522" w:rsidRDefault="000E2AE0" w:rsidP="00D22CB7">
      <w:pPr>
        <w:pStyle w:val="a3"/>
        <w:spacing w:before="91"/>
      </w:pPr>
      <w:r w:rsidRPr="008B2522">
        <w:rPr>
          <w:shd w:val="clear" w:color="auto" w:fill="D9D9D9"/>
        </w:rPr>
        <w:t>Obejmuje kod 2D będący nośnikiem niepowtarzalnego identyfikatora.</w:t>
      </w:r>
    </w:p>
    <w:p w14:paraId="7562734B" w14:textId="77777777" w:rsidR="001432C3" w:rsidRPr="008B2522" w:rsidRDefault="001432C3">
      <w:pPr>
        <w:pStyle w:val="a3"/>
        <w:rPr>
          <w:sz w:val="20"/>
        </w:rPr>
      </w:pPr>
    </w:p>
    <w:p w14:paraId="5CEDF8C2" w14:textId="77777777" w:rsidR="0047153A" w:rsidRPr="00D22CB7" w:rsidRDefault="0047153A" w:rsidP="0047153A">
      <w:pPr>
        <w:rPr>
          <w:noProof/>
        </w:rPr>
      </w:pPr>
    </w:p>
    <w:p w14:paraId="306D15B3" w14:textId="77777777" w:rsidR="0047153A" w:rsidRPr="004A2080" w:rsidRDefault="0047153A" w:rsidP="00F64F2B">
      <w:pPr>
        <w:numPr>
          <w:ilvl w:val="1"/>
          <w:numId w:val="34"/>
        </w:numPr>
        <w:pBdr>
          <w:top w:val="single" w:sz="4" w:space="1" w:color="auto"/>
          <w:left w:val="single" w:sz="4" w:space="4" w:color="auto"/>
          <w:bottom w:val="single" w:sz="4" w:space="1" w:color="auto"/>
          <w:right w:val="single" w:sz="4" w:space="4" w:color="auto"/>
        </w:pBdr>
        <w:ind w:left="567" w:hanging="567"/>
        <w:outlineLvl w:val="0"/>
        <w:rPr>
          <w:b/>
        </w:rPr>
      </w:pPr>
      <w:r w:rsidRPr="004A2080">
        <w:rPr>
          <w:b/>
        </w:rPr>
        <w:t>NIEPOWTARZALNY IDENTYFIKATOR – DANE CZYTELNE DLA CZŁOWIEKA</w:t>
      </w:r>
    </w:p>
    <w:p w14:paraId="63E64B18" w14:textId="77777777" w:rsidR="001432C3" w:rsidRPr="00F64F2B" w:rsidRDefault="001432C3" w:rsidP="00F64F2B">
      <w:pPr>
        <w:rPr>
          <w:noProof/>
        </w:rPr>
      </w:pPr>
    </w:p>
    <w:p w14:paraId="14DBB41C" w14:textId="77777777" w:rsidR="001432C3" w:rsidRPr="008B2522" w:rsidRDefault="000E2AE0" w:rsidP="00D22CB7">
      <w:pPr>
        <w:pStyle w:val="a3"/>
        <w:spacing w:before="91"/>
      </w:pPr>
      <w:r w:rsidRPr="008B2522">
        <w:t>PC</w:t>
      </w:r>
    </w:p>
    <w:p w14:paraId="4B994839" w14:textId="77777777" w:rsidR="001432C3" w:rsidRPr="008B2522" w:rsidRDefault="000E2AE0" w:rsidP="00D22CB7">
      <w:pPr>
        <w:pStyle w:val="a3"/>
        <w:spacing w:before="1" w:line="253" w:lineRule="exact"/>
      </w:pPr>
      <w:r w:rsidRPr="008B2522">
        <w:t>SN</w:t>
      </w:r>
    </w:p>
    <w:p w14:paraId="5274996F" w14:textId="77777777" w:rsidR="003C79F8" w:rsidRDefault="000E2AE0">
      <w:r w:rsidRPr="008B2522">
        <w:t>NN</w:t>
      </w:r>
    </w:p>
    <w:p w14:paraId="5E2F1249" w14:textId="77777777" w:rsidR="00D77A9B" w:rsidRDefault="00D77A9B">
      <w:r>
        <w:br w:type="page"/>
      </w:r>
    </w:p>
    <w:p w14:paraId="4EDD67FD" w14:textId="77777777" w:rsidR="00D77A9B" w:rsidRPr="00D22CB7" w:rsidRDefault="00D77A9B" w:rsidP="00D77A9B">
      <w:pPr>
        <w:pBdr>
          <w:top w:val="single" w:sz="4" w:space="1" w:color="auto"/>
          <w:left w:val="single" w:sz="4" w:space="4" w:color="auto"/>
          <w:bottom w:val="single" w:sz="4" w:space="1" w:color="auto"/>
          <w:right w:val="single" w:sz="4" w:space="4" w:color="auto"/>
        </w:pBdr>
        <w:rPr>
          <w:b/>
          <w:noProof/>
        </w:rPr>
      </w:pPr>
      <w:r w:rsidRPr="00D22CB7">
        <w:rPr>
          <w:b/>
          <w:noProof/>
        </w:rPr>
        <w:lastRenderedPageBreak/>
        <w:t>MINIMUM INFORMACJI ZAMIESZCZANYCH NA MAŁYCH OPAKOWANIACH BEZPOŚREDNICH</w:t>
      </w:r>
    </w:p>
    <w:p w14:paraId="1EEB3D36" w14:textId="77777777" w:rsidR="00D77A9B" w:rsidRPr="00D22CB7" w:rsidRDefault="00D77A9B" w:rsidP="00D77A9B">
      <w:pPr>
        <w:pBdr>
          <w:top w:val="single" w:sz="4" w:space="1" w:color="auto"/>
          <w:left w:val="single" w:sz="4" w:space="4" w:color="auto"/>
          <w:bottom w:val="single" w:sz="4" w:space="1" w:color="auto"/>
          <w:right w:val="single" w:sz="4" w:space="4" w:color="auto"/>
        </w:pBdr>
        <w:rPr>
          <w:b/>
          <w:noProof/>
        </w:rPr>
      </w:pPr>
    </w:p>
    <w:p w14:paraId="41981476" w14:textId="77777777" w:rsidR="00D77A9B" w:rsidRDefault="00D77A9B" w:rsidP="00D77A9B">
      <w:pPr>
        <w:pBdr>
          <w:top w:val="single" w:sz="4" w:space="1" w:color="auto"/>
          <w:left w:val="single" w:sz="4" w:space="4" w:color="auto"/>
          <w:bottom w:val="single" w:sz="4" w:space="1" w:color="auto"/>
          <w:right w:val="single" w:sz="4" w:space="4" w:color="auto"/>
        </w:pBdr>
        <w:rPr>
          <w:b/>
          <w:noProof/>
        </w:rPr>
      </w:pPr>
      <w:r>
        <w:rPr>
          <w:b/>
          <w:noProof/>
        </w:rPr>
        <w:t>ETYKIETA</w:t>
      </w:r>
    </w:p>
    <w:p w14:paraId="0255D687" w14:textId="77777777" w:rsidR="00D77A9B" w:rsidRDefault="00D77A9B" w:rsidP="00D77A9B">
      <w:pPr>
        <w:pBdr>
          <w:top w:val="single" w:sz="4" w:space="1" w:color="auto"/>
          <w:left w:val="single" w:sz="4" w:space="4" w:color="auto"/>
          <w:bottom w:val="single" w:sz="4" w:space="1" w:color="auto"/>
          <w:right w:val="single" w:sz="4" w:space="4" w:color="auto"/>
        </w:pBdr>
        <w:rPr>
          <w:b/>
          <w:noProof/>
        </w:rPr>
      </w:pPr>
    </w:p>
    <w:p w14:paraId="32139C7C" w14:textId="77777777" w:rsidR="00D77A9B" w:rsidRPr="006B4557" w:rsidRDefault="00D77A9B" w:rsidP="00D77A9B">
      <w:pPr>
        <w:pBdr>
          <w:top w:val="single" w:sz="4" w:space="1" w:color="auto"/>
          <w:left w:val="single" w:sz="4" w:space="4" w:color="auto"/>
          <w:bottom w:val="single" w:sz="4" w:space="1" w:color="auto"/>
          <w:right w:val="single" w:sz="4" w:space="4" w:color="auto"/>
        </w:pBdr>
        <w:rPr>
          <w:b/>
          <w:noProof/>
        </w:rPr>
      </w:pPr>
      <w:r>
        <w:rPr>
          <w:b/>
          <w:noProof/>
        </w:rPr>
        <w:t>FIOLKA</w:t>
      </w:r>
    </w:p>
    <w:p w14:paraId="356717AB" w14:textId="77777777" w:rsidR="00D77A9B" w:rsidRPr="006B4557" w:rsidRDefault="00D77A9B" w:rsidP="00D77A9B">
      <w:pPr>
        <w:rPr>
          <w:noProof/>
        </w:rPr>
      </w:pPr>
    </w:p>
    <w:p w14:paraId="4F03C4B3" w14:textId="77777777" w:rsidR="00D77A9B" w:rsidRPr="007B42D3" w:rsidRDefault="00D77A9B" w:rsidP="00D77A9B">
      <w:pPr>
        <w:rPr>
          <w:noProof/>
        </w:rPr>
      </w:pPr>
    </w:p>
    <w:p w14:paraId="5E9DEF1A" w14:textId="77777777" w:rsidR="00D77A9B" w:rsidRPr="00D22CB7" w:rsidRDefault="00D77A9B" w:rsidP="00D77A9B">
      <w:pPr>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noProof/>
          <w:lang w:val="pt-PT"/>
        </w:rPr>
      </w:pPr>
      <w:r w:rsidRPr="00D22CB7">
        <w:rPr>
          <w:b/>
          <w:noProof/>
          <w:lang w:val="pt-PT"/>
        </w:rPr>
        <w:t>NAZWA PRODUKTU LECZNICZEGO I DROGA PODANIA</w:t>
      </w:r>
    </w:p>
    <w:p w14:paraId="6BEA9DBF" w14:textId="77777777" w:rsidR="00D77A9B" w:rsidRPr="00D22CB7" w:rsidRDefault="00D77A9B" w:rsidP="00D77A9B">
      <w:pPr>
        <w:ind w:left="567" w:hanging="567"/>
        <w:rPr>
          <w:noProof/>
          <w:lang w:val="pt-PT"/>
        </w:rPr>
      </w:pPr>
    </w:p>
    <w:p w14:paraId="22B29868" w14:textId="77777777" w:rsidR="00D77A9B" w:rsidRDefault="00D77A9B" w:rsidP="00D22CB7">
      <w:pPr>
        <w:pStyle w:val="a3"/>
        <w:ind w:right="5436"/>
      </w:pPr>
      <w:r>
        <w:t>Byooviz 10</w:t>
      </w:r>
      <w:r w:rsidR="00257CD6">
        <w:t> mg</w:t>
      </w:r>
      <w:r>
        <w:t>/ml</w:t>
      </w:r>
    </w:p>
    <w:p w14:paraId="388D968A" w14:textId="77777777" w:rsidR="00D77A9B" w:rsidRDefault="00D77A9B" w:rsidP="00D22CB7">
      <w:pPr>
        <w:pStyle w:val="a3"/>
        <w:ind w:right="5436"/>
      </w:pPr>
      <w:r>
        <w:t>do wstrzykiwań</w:t>
      </w:r>
    </w:p>
    <w:p w14:paraId="2AD4EDEC" w14:textId="77777777" w:rsidR="00D77A9B" w:rsidRPr="008B2522" w:rsidRDefault="00D77A9B" w:rsidP="00D22CB7">
      <w:pPr>
        <w:pStyle w:val="a3"/>
        <w:ind w:right="5436"/>
      </w:pPr>
      <w:r w:rsidRPr="008B2522">
        <w:t>ranibizumab</w:t>
      </w:r>
    </w:p>
    <w:p w14:paraId="45B83CA4" w14:textId="77777777" w:rsidR="00D77A9B" w:rsidRPr="008B2522" w:rsidRDefault="00D77A9B" w:rsidP="00D22CB7">
      <w:pPr>
        <w:pStyle w:val="a3"/>
      </w:pPr>
      <w:r w:rsidRPr="008B2522">
        <w:t>Podanie do ciała szklistego</w:t>
      </w:r>
    </w:p>
    <w:p w14:paraId="47FB4B7A" w14:textId="77777777" w:rsidR="00D77A9B" w:rsidRPr="00D22CB7" w:rsidRDefault="00D77A9B" w:rsidP="00D77A9B">
      <w:pPr>
        <w:rPr>
          <w:noProof/>
          <w:lang w:val="pt-PT"/>
        </w:rPr>
      </w:pPr>
    </w:p>
    <w:p w14:paraId="0E8B5061" w14:textId="77777777" w:rsidR="00D77A9B" w:rsidRPr="00D22CB7" w:rsidRDefault="00D77A9B" w:rsidP="00D77A9B">
      <w:pPr>
        <w:rPr>
          <w:noProof/>
          <w:lang w:val="pt-PT"/>
        </w:rPr>
      </w:pPr>
    </w:p>
    <w:p w14:paraId="1197508A" w14:textId="77777777" w:rsidR="00D77A9B" w:rsidRPr="00412450" w:rsidRDefault="00D77A9B" w:rsidP="00D77A9B">
      <w:pPr>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noProof/>
        </w:rPr>
      </w:pPr>
      <w:r>
        <w:rPr>
          <w:b/>
          <w:noProof/>
        </w:rPr>
        <w:t>SPOSÓB PODAWANIA</w:t>
      </w:r>
    </w:p>
    <w:p w14:paraId="74F9738E" w14:textId="77777777" w:rsidR="00D77A9B" w:rsidRPr="00412450" w:rsidRDefault="00D77A9B" w:rsidP="00D77A9B">
      <w:pPr>
        <w:rPr>
          <w:noProof/>
        </w:rPr>
      </w:pPr>
    </w:p>
    <w:p w14:paraId="20D2FBFC" w14:textId="77777777" w:rsidR="00D77A9B" w:rsidRPr="00EB595B" w:rsidRDefault="00D77A9B" w:rsidP="00D77A9B">
      <w:pPr>
        <w:rPr>
          <w:noProof/>
        </w:rPr>
      </w:pPr>
    </w:p>
    <w:p w14:paraId="5919AD84" w14:textId="77777777" w:rsidR="00D77A9B" w:rsidRPr="008A1008" w:rsidRDefault="00D77A9B" w:rsidP="00D77A9B">
      <w:pPr>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noProof/>
        </w:rPr>
      </w:pPr>
      <w:r>
        <w:rPr>
          <w:b/>
          <w:noProof/>
        </w:rPr>
        <w:t>TERMIN WAŻNOŚCI</w:t>
      </w:r>
    </w:p>
    <w:p w14:paraId="492278EB" w14:textId="77777777" w:rsidR="00D77A9B" w:rsidRDefault="00D77A9B" w:rsidP="00D77A9B"/>
    <w:p w14:paraId="4A85B2A7" w14:textId="77777777" w:rsidR="00574863" w:rsidRPr="006B4557" w:rsidRDefault="00574863" w:rsidP="00D77A9B">
      <w:r>
        <w:t>EXP</w:t>
      </w:r>
    </w:p>
    <w:p w14:paraId="06237DFF" w14:textId="77777777" w:rsidR="00D77A9B" w:rsidRDefault="00D77A9B" w:rsidP="00D77A9B"/>
    <w:p w14:paraId="1AA56480" w14:textId="77777777" w:rsidR="00B307D0" w:rsidRPr="006B4557" w:rsidRDefault="00B307D0" w:rsidP="00D77A9B"/>
    <w:p w14:paraId="560D3334" w14:textId="77777777" w:rsidR="00D77A9B" w:rsidRPr="006B4557" w:rsidRDefault="00D77A9B" w:rsidP="00D77A9B">
      <w:pPr>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NUMER SERII</w:t>
      </w:r>
    </w:p>
    <w:p w14:paraId="53722E47" w14:textId="77777777" w:rsidR="00D77A9B" w:rsidRPr="006B4557" w:rsidRDefault="00D77A9B" w:rsidP="00D77A9B">
      <w:pPr>
        <w:ind w:right="113"/>
      </w:pPr>
    </w:p>
    <w:p w14:paraId="5E663235" w14:textId="77777777" w:rsidR="00D77A9B" w:rsidRDefault="00574863" w:rsidP="00D77A9B">
      <w:pPr>
        <w:ind w:right="113"/>
      </w:pPr>
      <w:r>
        <w:t>Lot</w:t>
      </w:r>
    </w:p>
    <w:p w14:paraId="11A101FC" w14:textId="77777777" w:rsidR="00574863" w:rsidRDefault="00574863" w:rsidP="00D77A9B">
      <w:pPr>
        <w:ind w:right="113"/>
      </w:pPr>
    </w:p>
    <w:p w14:paraId="68D5D525" w14:textId="77777777" w:rsidR="00B307D0" w:rsidRPr="006B4557" w:rsidRDefault="00B307D0" w:rsidP="00D77A9B">
      <w:pPr>
        <w:ind w:right="113"/>
      </w:pPr>
    </w:p>
    <w:p w14:paraId="6E5ED9E9" w14:textId="77777777" w:rsidR="00D77A9B" w:rsidRPr="004A2080" w:rsidRDefault="00D77A9B" w:rsidP="00D77A9B">
      <w:pPr>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noProof/>
        </w:rPr>
      </w:pPr>
      <w:r w:rsidRPr="004A2080">
        <w:rPr>
          <w:b/>
          <w:noProof/>
        </w:rPr>
        <w:t>ZAWARTOŚĆ OPAKOWANIA Z PODANIEM MASY, OBJĘTOŚCI LUB LICZBY JEDNOSTEK</w:t>
      </w:r>
    </w:p>
    <w:p w14:paraId="47DAA7F2" w14:textId="77777777" w:rsidR="00D77A9B" w:rsidRPr="004A2080" w:rsidRDefault="00D77A9B" w:rsidP="00D77A9B">
      <w:pPr>
        <w:ind w:right="113"/>
        <w:rPr>
          <w:noProof/>
        </w:rPr>
      </w:pPr>
    </w:p>
    <w:p w14:paraId="2A69C2C3" w14:textId="77777777" w:rsidR="00574863" w:rsidRPr="00E0574D" w:rsidRDefault="00574863" w:rsidP="00D22CB7">
      <w:pPr>
        <w:pStyle w:val="a3"/>
        <w:spacing w:before="92"/>
        <w:rPr>
          <w:highlight w:val="lightGray"/>
        </w:rPr>
      </w:pPr>
      <w:r w:rsidRPr="00E0574D">
        <w:rPr>
          <w:highlight w:val="lightGray"/>
        </w:rPr>
        <w:t>2,3</w:t>
      </w:r>
      <w:r w:rsidR="00257CD6" w:rsidRPr="00E0574D">
        <w:rPr>
          <w:highlight w:val="lightGray"/>
        </w:rPr>
        <w:t> mg</w:t>
      </w:r>
      <w:r w:rsidRPr="00E0574D">
        <w:rPr>
          <w:highlight w:val="lightGray"/>
        </w:rPr>
        <w:t>/0,23</w:t>
      </w:r>
      <w:r w:rsidR="0020790E" w:rsidRPr="00E0574D">
        <w:rPr>
          <w:highlight w:val="lightGray"/>
        </w:rPr>
        <w:t> ml</w:t>
      </w:r>
    </w:p>
    <w:p w14:paraId="36617022" w14:textId="77777777" w:rsidR="00DD63A4" w:rsidRDefault="00DD63A4" w:rsidP="00DD63A4">
      <w:pPr>
        <w:ind w:right="113"/>
        <w:rPr>
          <w:noProof/>
        </w:rPr>
      </w:pPr>
    </w:p>
    <w:p w14:paraId="53179228" w14:textId="77777777" w:rsidR="00B307D0" w:rsidRPr="001F6423" w:rsidRDefault="00B307D0" w:rsidP="00DD63A4">
      <w:pPr>
        <w:ind w:right="113"/>
        <w:rPr>
          <w:noProof/>
        </w:rPr>
      </w:pPr>
    </w:p>
    <w:p w14:paraId="4A4EDF26" w14:textId="77777777" w:rsidR="00DD63A4" w:rsidRPr="001F6423" w:rsidRDefault="00DD63A4" w:rsidP="00DD63A4">
      <w:pPr>
        <w:widowControl/>
        <w:numPr>
          <w:ilvl w:val="0"/>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noProof/>
        </w:rPr>
      </w:pPr>
      <w:r>
        <w:rPr>
          <w:b/>
          <w:noProof/>
        </w:rPr>
        <w:t>INNE</w:t>
      </w:r>
    </w:p>
    <w:p w14:paraId="4ED38DBE" w14:textId="77777777" w:rsidR="00DD63A4" w:rsidRPr="006B4557" w:rsidRDefault="00DD63A4" w:rsidP="00DD63A4">
      <w:pPr>
        <w:ind w:right="113"/>
        <w:rPr>
          <w:noProof/>
        </w:rPr>
      </w:pPr>
    </w:p>
    <w:p w14:paraId="24F1A32B" w14:textId="77777777" w:rsidR="00DD63A4" w:rsidRPr="006B4557" w:rsidRDefault="00DD63A4" w:rsidP="00DD63A4">
      <w:pPr>
        <w:ind w:right="113"/>
      </w:pPr>
    </w:p>
    <w:p w14:paraId="650D66BC" w14:textId="77777777" w:rsidR="002D6D08" w:rsidRDefault="002D6D08">
      <w:r>
        <w:br w:type="page"/>
      </w:r>
    </w:p>
    <w:p w14:paraId="4E2B2A64"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r w:rsidRPr="00A05C0B">
        <w:rPr>
          <w:b/>
          <w:bCs/>
        </w:rPr>
        <w:lastRenderedPageBreak/>
        <w:t>INFORMACJE ZAMIESZCZANE NA OPAKOWANIACH ZEWNĘTRZNYCH</w:t>
      </w:r>
    </w:p>
    <w:p w14:paraId="69060DFA"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p>
    <w:p w14:paraId="28530CE2" w14:textId="77777777" w:rsidR="002D6D08" w:rsidRPr="00A05C0B" w:rsidRDefault="002D6D08" w:rsidP="002D6D08">
      <w:pPr>
        <w:pBdr>
          <w:top w:val="single" w:sz="4" w:space="1" w:color="auto"/>
          <w:left w:val="single" w:sz="4" w:space="4" w:color="auto"/>
          <w:bottom w:val="single" w:sz="4" w:space="1" w:color="auto"/>
          <w:right w:val="single" w:sz="4" w:space="4" w:color="auto"/>
        </w:pBdr>
        <w:rPr>
          <w:rFonts w:eastAsiaTheme="minorEastAsia"/>
          <w:b/>
        </w:rPr>
      </w:pPr>
      <w:r w:rsidRPr="00A05C0B">
        <w:rPr>
          <w:rFonts w:eastAsiaTheme="minorEastAsia"/>
          <w:b/>
          <w:bCs/>
        </w:rPr>
        <w:t>PUDEŁKO KARTONOWE</w:t>
      </w:r>
    </w:p>
    <w:p w14:paraId="15220482" w14:textId="77777777" w:rsidR="002D6D08" w:rsidRPr="00A05C0B" w:rsidRDefault="002D6D08" w:rsidP="002D6D08">
      <w:pPr>
        <w:pBdr>
          <w:top w:val="single" w:sz="4" w:space="1" w:color="auto"/>
          <w:left w:val="single" w:sz="4" w:space="4" w:color="auto"/>
          <w:bottom w:val="single" w:sz="4" w:space="1" w:color="auto"/>
          <w:right w:val="single" w:sz="4" w:space="4" w:color="auto"/>
        </w:pBdr>
        <w:rPr>
          <w:rFonts w:eastAsiaTheme="minorEastAsia"/>
          <w:b/>
        </w:rPr>
      </w:pPr>
    </w:p>
    <w:p w14:paraId="5513B0DD" w14:textId="77777777" w:rsidR="002D6D08" w:rsidRPr="00A05C0B" w:rsidRDefault="002D6D08" w:rsidP="002D6D08">
      <w:pPr>
        <w:pBdr>
          <w:top w:val="single" w:sz="4" w:space="1" w:color="auto"/>
          <w:left w:val="single" w:sz="4" w:space="4" w:color="auto"/>
          <w:bottom w:val="single" w:sz="4" w:space="1" w:color="auto"/>
          <w:right w:val="single" w:sz="4" w:space="4" w:color="auto"/>
        </w:pBdr>
        <w:rPr>
          <w:rFonts w:eastAsiaTheme="minorEastAsia"/>
          <w:b/>
        </w:rPr>
      </w:pPr>
      <w:r w:rsidRPr="00A05C0B">
        <w:rPr>
          <w:rFonts w:eastAsiaTheme="minorEastAsia"/>
          <w:b/>
          <w:bCs/>
        </w:rPr>
        <w:t>FIOLKA</w:t>
      </w:r>
    </w:p>
    <w:p w14:paraId="6F74EC9E" w14:textId="77777777" w:rsidR="002D6D08" w:rsidRPr="00A05C0B" w:rsidRDefault="002D6D08" w:rsidP="002D6D08"/>
    <w:p w14:paraId="73A65D89" w14:textId="77777777" w:rsidR="002D6D08" w:rsidRPr="00A05C0B" w:rsidRDefault="002D6D08" w:rsidP="002D6D08"/>
    <w:p w14:paraId="505F3F96"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1.</w:t>
      </w:r>
      <w:r w:rsidRPr="00A05C0B">
        <w:rPr>
          <w:b/>
          <w:bCs/>
        </w:rPr>
        <w:tab/>
        <w:t>NAZWA PRODUKTU LECZNICZEGO</w:t>
      </w:r>
    </w:p>
    <w:p w14:paraId="71175034" w14:textId="77777777" w:rsidR="002D6D08" w:rsidRPr="00A05C0B" w:rsidRDefault="002D6D08" w:rsidP="002D6D08"/>
    <w:p w14:paraId="266CDE9E" w14:textId="77777777" w:rsidR="002D6D08" w:rsidRPr="00A05C0B" w:rsidRDefault="002D6D08" w:rsidP="002D6D08">
      <w:r w:rsidRPr="00A05C0B">
        <w:t>Byooviz 10 mg/ml roztwór do wstrzykiwań</w:t>
      </w:r>
    </w:p>
    <w:p w14:paraId="39A51376" w14:textId="77777777" w:rsidR="002D6D08" w:rsidRPr="00A05C0B" w:rsidRDefault="002D6D08" w:rsidP="002D6D08">
      <w:r w:rsidRPr="00A05C0B">
        <w:t>ranibizumab</w:t>
      </w:r>
    </w:p>
    <w:p w14:paraId="0CE87B53" w14:textId="77777777" w:rsidR="002D6D08" w:rsidRPr="00A05C0B" w:rsidRDefault="002D6D08" w:rsidP="002D6D08">
      <w:r w:rsidRPr="00A05C0B">
        <w:t>2,3 mg/0,23 ml</w:t>
      </w:r>
    </w:p>
    <w:p w14:paraId="4DCFD061" w14:textId="77777777" w:rsidR="002D6D08" w:rsidRPr="00A05C0B" w:rsidRDefault="002D6D08" w:rsidP="002D6D08"/>
    <w:p w14:paraId="387A000A" w14:textId="77777777" w:rsidR="002D6D08" w:rsidRPr="00A05C0B" w:rsidRDefault="002D6D08" w:rsidP="002D6D08"/>
    <w:p w14:paraId="3B606191"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rPr>
          <w:b/>
        </w:rPr>
      </w:pPr>
      <w:r w:rsidRPr="00A05C0B">
        <w:rPr>
          <w:b/>
          <w:bCs/>
        </w:rPr>
        <w:t>2.</w:t>
      </w:r>
      <w:r w:rsidRPr="00A05C0B">
        <w:rPr>
          <w:b/>
          <w:bCs/>
        </w:rPr>
        <w:tab/>
        <w:t>ZAWARTOŚĆ SUBSTANCJI CZYNNEJ</w:t>
      </w:r>
    </w:p>
    <w:p w14:paraId="7B8BBAA9" w14:textId="77777777" w:rsidR="002D6D08" w:rsidRPr="00A05C0B" w:rsidRDefault="002D6D08" w:rsidP="002D6D08"/>
    <w:p w14:paraId="3A84CE12" w14:textId="77777777" w:rsidR="002D6D08" w:rsidRPr="00A05C0B" w:rsidRDefault="002D6D08" w:rsidP="002D6D08">
      <w:r w:rsidRPr="00A05C0B">
        <w:t>Jeden ml zawiera 10 mg ranibizumabu. Każda fiolka zawiera 2,3 mg ranibizumabu w roztworze 0,23 ml.</w:t>
      </w:r>
    </w:p>
    <w:p w14:paraId="13E258F1" w14:textId="77777777" w:rsidR="002D6D08" w:rsidRPr="00A05C0B" w:rsidRDefault="002D6D08" w:rsidP="002D6D08"/>
    <w:p w14:paraId="6D7AC534" w14:textId="77777777" w:rsidR="002D6D08" w:rsidRPr="00A05C0B" w:rsidRDefault="002D6D08" w:rsidP="002D6D08"/>
    <w:p w14:paraId="19EC49D0"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3.</w:t>
      </w:r>
      <w:r w:rsidRPr="00A05C0B">
        <w:rPr>
          <w:b/>
          <w:bCs/>
        </w:rPr>
        <w:tab/>
        <w:t>WYKAZ SUBSTANCJI POMOCNICZYCH</w:t>
      </w:r>
    </w:p>
    <w:p w14:paraId="18D87606" w14:textId="77777777" w:rsidR="002D6D08" w:rsidRPr="00A05C0B" w:rsidRDefault="002D6D08" w:rsidP="002D6D08"/>
    <w:p w14:paraId="43348644" w14:textId="77777777" w:rsidR="002D6D08" w:rsidRPr="00A05C0B" w:rsidRDefault="002D6D08" w:rsidP="002D6D08">
      <w:r w:rsidRPr="00A05C0B">
        <w:t>Zawiera także: dwuwodzian α,α-trehalozy; chlorowodorek histydyny, jednowodny; histydynę; polisorbat 20; wodę do wstrzykiwań.</w:t>
      </w:r>
    </w:p>
    <w:p w14:paraId="510FC07C" w14:textId="77777777" w:rsidR="002D6D08" w:rsidRPr="00A05C0B" w:rsidRDefault="002D6D08" w:rsidP="002D6D08"/>
    <w:p w14:paraId="64583075" w14:textId="77777777" w:rsidR="002D6D08" w:rsidRPr="00A05C0B" w:rsidRDefault="002D6D08" w:rsidP="002D6D08"/>
    <w:p w14:paraId="2647E96C"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4.</w:t>
      </w:r>
      <w:r w:rsidRPr="00A05C0B">
        <w:rPr>
          <w:b/>
          <w:bCs/>
        </w:rPr>
        <w:tab/>
        <w:t>POSTAĆ FARMACEUTYCZNA I ZAWARTOŚĆ OPAKOWANIA</w:t>
      </w:r>
    </w:p>
    <w:p w14:paraId="2FD2A3CF" w14:textId="77777777" w:rsidR="002D6D08" w:rsidRPr="00A05C0B" w:rsidRDefault="002D6D08" w:rsidP="002D6D08"/>
    <w:p w14:paraId="3EE3124B" w14:textId="77777777" w:rsidR="002D6D08" w:rsidRPr="00A05C0B" w:rsidRDefault="002D6D08" w:rsidP="002D6D08">
      <w:pPr>
        <w:rPr>
          <w:rFonts w:eastAsia="Verdana"/>
          <w:highlight w:val="lightGray"/>
        </w:rPr>
      </w:pPr>
      <w:r w:rsidRPr="00A05C0B">
        <w:rPr>
          <w:rFonts w:eastAsia="Verdana"/>
          <w:highlight w:val="lightGray"/>
        </w:rPr>
        <w:t>Roztwór do wstrzykiwań</w:t>
      </w:r>
    </w:p>
    <w:p w14:paraId="284195C6" w14:textId="77777777" w:rsidR="002D6D08" w:rsidRPr="00A05C0B" w:rsidRDefault="002D6D08" w:rsidP="002D6D08"/>
    <w:p w14:paraId="771B8E30" w14:textId="77777777" w:rsidR="002D6D08" w:rsidRPr="00A05C0B" w:rsidRDefault="002D6D08" w:rsidP="002D6D08">
      <w:r w:rsidRPr="00A05C0B">
        <w:t>1x fiolka z 0,23 ml roztworu (2,3 mg).</w:t>
      </w:r>
    </w:p>
    <w:p w14:paraId="772ACFA7" w14:textId="77777777" w:rsidR="002D6D08" w:rsidRPr="00A05C0B" w:rsidRDefault="002D6D08" w:rsidP="002D6D08">
      <w:r w:rsidRPr="00A05C0B">
        <w:t>Pojedyncza dawka dla pacjentów dorosłych: 0,5 mg/0,05 ml. Usunąć nadmiar roztworu.</w:t>
      </w:r>
    </w:p>
    <w:p w14:paraId="406D4290" w14:textId="77777777" w:rsidR="002D6D08" w:rsidRPr="00A05C0B" w:rsidRDefault="002D6D08" w:rsidP="002D6D08"/>
    <w:p w14:paraId="3A9F62C2" w14:textId="77777777" w:rsidR="002D6D08" w:rsidRPr="00A05C0B" w:rsidRDefault="002D6D08" w:rsidP="002D6D08"/>
    <w:p w14:paraId="0F9C7B28"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5.</w:t>
      </w:r>
      <w:r w:rsidRPr="00A05C0B">
        <w:rPr>
          <w:b/>
          <w:bCs/>
        </w:rPr>
        <w:tab/>
        <w:t>SPOSÓB I DROGA PODANIA</w:t>
      </w:r>
    </w:p>
    <w:p w14:paraId="012D565F" w14:textId="77777777" w:rsidR="002D6D08" w:rsidRPr="00A05C0B" w:rsidRDefault="002D6D08" w:rsidP="002D6D08"/>
    <w:p w14:paraId="43572DC3" w14:textId="77777777" w:rsidR="002D6D08" w:rsidRPr="00A05C0B" w:rsidRDefault="002D6D08" w:rsidP="002D6D08">
      <w:r w:rsidRPr="00A05C0B">
        <w:t>Należy zapoznać się z treścią ulotki przed zastosowaniem leku.</w:t>
      </w:r>
    </w:p>
    <w:p w14:paraId="028374FA" w14:textId="77777777" w:rsidR="002D6D08" w:rsidRPr="00A05C0B" w:rsidRDefault="002D6D08" w:rsidP="002D6D08">
      <w:r w:rsidRPr="00A05C0B">
        <w:t>Podanie do ciała szklistego.</w:t>
      </w:r>
    </w:p>
    <w:p w14:paraId="082B3F50" w14:textId="77777777" w:rsidR="002D6D08" w:rsidRPr="00A05C0B" w:rsidRDefault="002D6D08" w:rsidP="002D6D08">
      <w:r w:rsidRPr="00A05C0B">
        <w:t>Fiolka przeznaczona wyłącznie do jednorazowego użytku.</w:t>
      </w:r>
    </w:p>
    <w:p w14:paraId="7E28A525" w14:textId="77777777" w:rsidR="002D6D08" w:rsidRPr="00A05C0B" w:rsidRDefault="002D6D08" w:rsidP="002D6D08"/>
    <w:p w14:paraId="78547F67" w14:textId="77777777" w:rsidR="002D6D08" w:rsidRPr="00A05C0B" w:rsidRDefault="002D6D08" w:rsidP="002D6D08"/>
    <w:p w14:paraId="5CA896F7"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6.</w:t>
      </w:r>
      <w:r w:rsidRPr="00A05C0B">
        <w:rPr>
          <w:b/>
          <w:bCs/>
        </w:rPr>
        <w:tab/>
        <w:t>OSTRZEŻENIE DOTYCZĄCE PRZECHOWYWANIA PRODUKTU LECZNICZEGO W MIEJSCU NIEWIDOCZNYM I NIEDOSTĘPNYM DLA DZIECI</w:t>
      </w:r>
    </w:p>
    <w:p w14:paraId="4AB46802" w14:textId="77777777" w:rsidR="002D6D08" w:rsidRPr="00A05C0B" w:rsidRDefault="002D6D08" w:rsidP="002D6D08"/>
    <w:p w14:paraId="0606EC3F" w14:textId="77777777" w:rsidR="002D6D08" w:rsidRPr="00A05C0B" w:rsidRDefault="002D6D08" w:rsidP="002D6D08">
      <w:r w:rsidRPr="00A05C0B">
        <w:t>Lek przechowywać w miejscu niewidocznym i niedostępnym dla dzieci.</w:t>
      </w:r>
    </w:p>
    <w:p w14:paraId="52A1E65B" w14:textId="77777777" w:rsidR="002D6D08" w:rsidRPr="00A05C0B" w:rsidRDefault="002D6D08" w:rsidP="002D6D08"/>
    <w:p w14:paraId="280F171D" w14:textId="77777777" w:rsidR="002D6D08" w:rsidRPr="00A05C0B" w:rsidRDefault="002D6D08" w:rsidP="002D6D08"/>
    <w:p w14:paraId="65F67625"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7.</w:t>
      </w:r>
      <w:r w:rsidRPr="00A05C0B">
        <w:rPr>
          <w:b/>
          <w:bCs/>
        </w:rPr>
        <w:tab/>
        <w:t>INNE OSTRZEŻENIA SPECJALNE, JEŚLI KONIECZNE</w:t>
      </w:r>
    </w:p>
    <w:p w14:paraId="3B1F55A3" w14:textId="77777777" w:rsidR="002D6D08" w:rsidRPr="00A05C0B" w:rsidRDefault="002D6D08" w:rsidP="002D6D08"/>
    <w:p w14:paraId="3C253325" w14:textId="77777777" w:rsidR="002D6D08" w:rsidRPr="00A05C0B" w:rsidRDefault="002D6D08" w:rsidP="002D6D08">
      <w:pPr>
        <w:tabs>
          <w:tab w:val="left" w:pos="749"/>
        </w:tabs>
      </w:pPr>
    </w:p>
    <w:p w14:paraId="7A27DF9D"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pPr>
      <w:r w:rsidRPr="00A05C0B">
        <w:rPr>
          <w:b/>
          <w:bCs/>
        </w:rPr>
        <w:t>8.</w:t>
      </w:r>
      <w:r w:rsidRPr="00A05C0B">
        <w:rPr>
          <w:b/>
          <w:bCs/>
        </w:rPr>
        <w:tab/>
        <w:t>TERMIN WAŻNOŚCI</w:t>
      </w:r>
    </w:p>
    <w:p w14:paraId="66BA8DAF" w14:textId="77777777" w:rsidR="002D6D08" w:rsidRPr="00A05C0B" w:rsidRDefault="002D6D08" w:rsidP="002D6D08"/>
    <w:p w14:paraId="1DDA51F6" w14:textId="77777777" w:rsidR="002D6D08" w:rsidRPr="00A05C0B" w:rsidRDefault="002D6D08" w:rsidP="002D6D08">
      <w:pPr>
        <w:rPr>
          <w:b/>
        </w:rPr>
      </w:pPr>
      <w:r w:rsidRPr="00A05C0B">
        <w:t>Termin ważności (EXP)</w:t>
      </w:r>
      <w:r w:rsidRPr="00A05C0B">
        <w:br w:type="page"/>
      </w:r>
    </w:p>
    <w:p w14:paraId="5B87069C" w14:textId="77777777" w:rsidR="002D6D08" w:rsidRPr="00A05C0B" w:rsidRDefault="002D6D08" w:rsidP="002D6D08">
      <w:pPr>
        <w:keepNext/>
        <w:pBdr>
          <w:top w:val="single" w:sz="4" w:space="1" w:color="auto"/>
          <w:left w:val="single" w:sz="4" w:space="4" w:color="auto"/>
          <w:bottom w:val="single" w:sz="4" w:space="1" w:color="auto"/>
          <w:right w:val="single" w:sz="4" w:space="4" w:color="auto"/>
        </w:pBdr>
        <w:ind w:left="567" w:hanging="567"/>
        <w:outlineLvl w:val="0"/>
      </w:pPr>
      <w:r w:rsidRPr="00A05C0B">
        <w:rPr>
          <w:b/>
          <w:bCs/>
        </w:rPr>
        <w:lastRenderedPageBreak/>
        <w:t>9.</w:t>
      </w:r>
      <w:r w:rsidRPr="00A05C0B">
        <w:rPr>
          <w:b/>
          <w:bCs/>
        </w:rPr>
        <w:tab/>
        <w:t>WARUNKI PRZECHOWYWANIA</w:t>
      </w:r>
    </w:p>
    <w:p w14:paraId="66156A02" w14:textId="77777777" w:rsidR="002D6D08" w:rsidRPr="00A05C0B" w:rsidRDefault="002D6D08" w:rsidP="002D6D08"/>
    <w:p w14:paraId="5E90B8AC" w14:textId="77777777" w:rsidR="002D6D08" w:rsidRPr="00A05C0B" w:rsidRDefault="002D6D08" w:rsidP="002D6D08">
      <w:r w:rsidRPr="00A05C0B">
        <w:t>Przechowywać w lodówce (2°C - 8°C). Nie zamrażać.</w:t>
      </w:r>
    </w:p>
    <w:p w14:paraId="7109988A" w14:textId="77777777" w:rsidR="002D6D08" w:rsidRPr="00A05C0B" w:rsidRDefault="002D6D08" w:rsidP="002D6D08">
      <w:r w:rsidRPr="00A05C0B">
        <w:t>Przechowywać fiolkę w opakowaniu zewnętrznym w celu ochrony przed światłem.</w:t>
      </w:r>
    </w:p>
    <w:p w14:paraId="182DE238" w14:textId="77777777" w:rsidR="002D6D08" w:rsidRPr="00A05C0B" w:rsidRDefault="002D6D08" w:rsidP="002D6D08">
      <w:pPr>
        <w:ind w:left="567" w:hanging="567"/>
      </w:pPr>
    </w:p>
    <w:p w14:paraId="334C2A07" w14:textId="77777777" w:rsidR="002D6D08" w:rsidRPr="00A05C0B" w:rsidRDefault="002D6D08" w:rsidP="002D6D08">
      <w:pPr>
        <w:ind w:left="567" w:hanging="567"/>
      </w:pPr>
    </w:p>
    <w:p w14:paraId="0BF5246A" w14:textId="77777777" w:rsidR="002D6D08" w:rsidRPr="00A05C0B" w:rsidRDefault="002D6D08" w:rsidP="002D6D08">
      <w:pPr>
        <w:pBdr>
          <w:top w:val="single" w:sz="4" w:space="1" w:color="auto"/>
          <w:left w:val="single" w:sz="4" w:space="4" w:color="auto"/>
          <w:bottom w:val="single" w:sz="4" w:space="1" w:color="auto"/>
          <w:right w:val="single" w:sz="4" w:space="4" w:color="auto"/>
        </w:pBdr>
        <w:ind w:left="567" w:hanging="567"/>
        <w:outlineLvl w:val="0"/>
        <w:rPr>
          <w:b/>
        </w:rPr>
      </w:pPr>
      <w:r w:rsidRPr="00A05C0B">
        <w:rPr>
          <w:b/>
          <w:bCs/>
        </w:rPr>
        <w:t>10.</w:t>
      </w:r>
      <w:r w:rsidRPr="00A05C0B">
        <w:rPr>
          <w:b/>
          <w:bCs/>
        </w:rPr>
        <w:tab/>
        <w:t>SPECJALNE ŚRODKI OSTROŻNOŚCI DOTYCZĄCE USUWANIA NIEZUŻYTEGO PRODUKTU LECZNICZEGO LUB POCHODZĄCYCH Z NIEGO ODPADÓW, JEŚLI WŁAŚCIWE</w:t>
      </w:r>
    </w:p>
    <w:p w14:paraId="5682B020" w14:textId="77777777" w:rsidR="002D6D08" w:rsidRPr="00A05C0B" w:rsidRDefault="002D6D08" w:rsidP="002D6D08"/>
    <w:p w14:paraId="6EABAF9D" w14:textId="77777777" w:rsidR="002D6D08" w:rsidRPr="00A05C0B" w:rsidRDefault="002D6D08" w:rsidP="002D6D08"/>
    <w:p w14:paraId="4B7CFAC4"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11.</w:t>
      </w:r>
      <w:r w:rsidRPr="00A05C0B">
        <w:rPr>
          <w:b/>
          <w:bCs/>
        </w:rPr>
        <w:tab/>
        <w:t>NAZWA I ADRES PODMIOTU ODPOWIEDZIALNEGO</w:t>
      </w:r>
    </w:p>
    <w:p w14:paraId="14AD1E3A" w14:textId="77777777" w:rsidR="002D6D08" w:rsidRPr="00A05C0B" w:rsidRDefault="002D6D08" w:rsidP="002D6D08"/>
    <w:p w14:paraId="506D558F" w14:textId="77777777" w:rsidR="002D6D08" w:rsidRPr="00A05C0B" w:rsidRDefault="002D6D08" w:rsidP="002D6D08">
      <w:r w:rsidRPr="00A05C0B">
        <w:t>Samsung Bioepis NL B.V.</w:t>
      </w:r>
    </w:p>
    <w:p w14:paraId="0D783B86" w14:textId="77777777" w:rsidR="002D6D08" w:rsidRPr="00A05C0B" w:rsidRDefault="002D6D08" w:rsidP="002D6D08">
      <w:r w:rsidRPr="00A05C0B">
        <w:t>Olof Palmestraat 10</w:t>
      </w:r>
    </w:p>
    <w:p w14:paraId="58903EB9" w14:textId="77777777" w:rsidR="002D6D08" w:rsidRPr="00A05C0B" w:rsidRDefault="002D6D08" w:rsidP="002D6D08">
      <w:r w:rsidRPr="00A05C0B">
        <w:t>2616 LR Delft</w:t>
      </w:r>
    </w:p>
    <w:p w14:paraId="30C31E24" w14:textId="77777777" w:rsidR="002D6D08" w:rsidRPr="00A05C0B" w:rsidRDefault="002D6D08" w:rsidP="002D6D08">
      <w:r w:rsidRPr="00A05C0B">
        <w:t>Holandia</w:t>
      </w:r>
    </w:p>
    <w:p w14:paraId="48682A3D" w14:textId="77777777" w:rsidR="002D6D08" w:rsidRPr="00A05C0B" w:rsidRDefault="002D6D08" w:rsidP="002D6D08"/>
    <w:p w14:paraId="5F2933DC" w14:textId="77777777" w:rsidR="002D6D08" w:rsidRPr="00A05C0B" w:rsidRDefault="002D6D08" w:rsidP="002D6D08"/>
    <w:p w14:paraId="4AB7669F"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pPr>
      <w:r w:rsidRPr="00A05C0B">
        <w:rPr>
          <w:b/>
          <w:bCs/>
        </w:rPr>
        <w:t>12.</w:t>
      </w:r>
      <w:r w:rsidRPr="00A05C0B">
        <w:rPr>
          <w:b/>
          <w:bCs/>
        </w:rPr>
        <w:tab/>
        <w:t xml:space="preserve">NUMER POZWOLENIA NA DOPUSZCZENIE DO OBROTU </w:t>
      </w:r>
    </w:p>
    <w:p w14:paraId="78E8CA95" w14:textId="77777777" w:rsidR="002D6D08" w:rsidRPr="00A05C0B" w:rsidRDefault="002D6D08" w:rsidP="002D6D08"/>
    <w:p w14:paraId="15B0BAC1" w14:textId="77777777" w:rsidR="002D6D08" w:rsidRPr="00A05C0B" w:rsidRDefault="002D6D08" w:rsidP="002D6D08">
      <w:r w:rsidRPr="00A05C0B">
        <w:t>EU/1/21/1572/002</w:t>
      </w:r>
    </w:p>
    <w:p w14:paraId="37F94512" w14:textId="77777777" w:rsidR="002D6D08" w:rsidRPr="00A05C0B" w:rsidRDefault="002D6D08" w:rsidP="002D6D08"/>
    <w:p w14:paraId="70DB9DE6" w14:textId="77777777" w:rsidR="002D6D08" w:rsidRPr="00A05C0B" w:rsidRDefault="002D6D08" w:rsidP="002D6D08"/>
    <w:p w14:paraId="34458302"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pPr>
      <w:r w:rsidRPr="00A05C0B">
        <w:rPr>
          <w:b/>
          <w:bCs/>
        </w:rPr>
        <w:t>13.</w:t>
      </w:r>
      <w:r w:rsidRPr="00A05C0B">
        <w:rPr>
          <w:b/>
          <w:bCs/>
        </w:rPr>
        <w:tab/>
        <w:t>NUMER SERII</w:t>
      </w:r>
    </w:p>
    <w:p w14:paraId="69BFA057" w14:textId="77777777" w:rsidR="002D6D08" w:rsidRPr="00A05C0B" w:rsidRDefault="002D6D08" w:rsidP="002D6D08">
      <w:pPr>
        <w:rPr>
          <w:i/>
        </w:rPr>
      </w:pPr>
    </w:p>
    <w:p w14:paraId="777727C8" w14:textId="77777777" w:rsidR="002D6D08" w:rsidRPr="00A05C0B" w:rsidRDefault="002D6D08" w:rsidP="002D6D08">
      <w:r w:rsidRPr="00A05C0B">
        <w:t>Nr serii (Lot)</w:t>
      </w:r>
    </w:p>
    <w:p w14:paraId="313E1F5D" w14:textId="77777777" w:rsidR="002D6D08" w:rsidRPr="00A05C0B" w:rsidRDefault="002D6D08" w:rsidP="002D6D08">
      <w:pPr>
        <w:rPr>
          <w:i/>
        </w:rPr>
      </w:pPr>
    </w:p>
    <w:p w14:paraId="3746086E" w14:textId="77777777" w:rsidR="002D6D08" w:rsidRPr="00A05C0B" w:rsidRDefault="002D6D08" w:rsidP="002D6D08"/>
    <w:p w14:paraId="14BE2F0B"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pPr>
      <w:r w:rsidRPr="00A05C0B">
        <w:rPr>
          <w:b/>
          <w:bCs/>
        </w:rPr>
        <w:t>14.</w:t>
      </w:r>
      <w:r w:rsidRPr="00A05C0B">
        <w:rPr>
          <w:b/>
          <w:bCs/>
        </w:rPr>
        <w:tab/>
        <w:t>OGÓLNA KATEGORIA DOSTĘPNOŚCI</w:t>
      </w:r>
    </w:p>
    <w:p w14:paraId="5F1F6C9F" w14:textId="77777777" w:rsidR="002D6D08" w:rsidRPr="00A05C0B" w:rsidRDefault="002D6D08" w:rsidP="002D6D08">
      <w:pPr>
        <w:rPr>
          <w:i/>
        </w:rPr>
      </w:pPr>
    </w:p>
    <w:p w14:paraId="5396EF5F" w14:textId="77777777" w:rsidR="002D6D08" w:rsidRPr="00A05C0B" w:rsidRDefault="002D6D08" w:rsidP="002D6D08"/>
    <w:p w14:paraId="6069E0A8" w14:textId="77777777" w:rsidR="002D6D08" w:rsidRPr="00A05C0B" w:rsidRDefault="002D6D08" w:rsidP="002D6D08">
      <w:pPr>
        <w:pBdr>
          <w:top w:val="single" w:sz="4" w:space="2" w:color="auto"/>
          <w:left w:val="single" w:sz="4" w:space="4" w:color="auto"/>
          <w:bottom w:val="single" w:sz="4" w:space="1" w:color="auto"/>
          <w:right w:val="single" w:sz="4" w:space="4" w:color="auto"/>
        </w:pBdr>
        <w:outlineLvl w:val="0"/>
      </w:pPr>
      <w:r w:rsidRPr="00A05C0B">
        <w:rPr>
          <w:b/>
          <w:bCs/>
        </w:rPr>
        <w:t>15.</w:t>
      </w:r>
      <w:r w:rsidRPr="00A05C0B">
        <w:rPr>
          <w:b/>
          <w:bCs/>
        </w:rPr>
        <w:tab/>
        <w:t>INSTRUKCJA UŻYCIA</w:t>
      </w:r>
    </w:p>
    <w:p w14:paraId="58DC825E" w14:textId="77777777" w:rsidR="002D6D08" w:rsidRPr="00A05C0B" w:rsidRDefault="002D6D08" w:rsidP="002D6D08"/>
    <w:p w14:paraId="1E823B39" w14:textId="77777777" w:rsidR="002D6D08" w:rsidRPr="00A05C0B" w:rsidRDefault="002D6D08" w:rsidP="002D6D08"/>
    <w:p w14:paraId="0526C2D7" w14:textId="77777777" w:rsidR="002D6D08" w:rsidRPr="00A05C0B" w:rsidRDefault="002D6D08" w:rsidP="002D6D08">
      <w:pPr>
        <w:pBdr>
          <w:top w:val="single" w:sz="4" w:space="1" w:color="auto"/>
          <w:left w:val="single" w:sz="4" w:space="4" w:color="auto"/>
          <w:bottom w:val="single" w:sz="4" w:space="0" w:color="auto"/>
          <w:right w:val="single" w:sz="4" w:space="4" w:color="auto"/>
        </w:pBdr>
      </w:pPr>
      <w:r w:rsidRPr="00A05C0B">
        <w:rPr>
          <w:b/>
          <w:bCs/>
        </w:rPr>
        <w:t>16.</w:t>
      </w:r>
      <w:r w:rsidRPr="00A05C0B">
        <w:rPr>
          <w:b/>
          <w:bCs/>
        </w:rPr>
        <w:tab/>
        <w:t>INFORMACJA PODANA SYSTEMEM BRAILLE’A</w:t>
      </w:r>
    </w:p>
    <w:p w14:paraId="3B0D705F" w14:textId="77777777" w:rsidR="002D6D08" w:rsidRPr="00A05C0B" w:rsidRDefault="002D6D08" w:rsidP="002D6D08"/>
    <w:p w14:paraId="0D9CC42E" w14:textId="77777777" w:rsidR="002D6D08" w:rsidRPr="00A05C0B" w:rsidRDefault="002D6D08" w:rsidP="002D6D08">
      <w:pPr>
        <w:rPr>
          <w:rFonts w:eastAsia="Verdana"/>
          <w:highlight w:val="lightGray"/>
        </w:rPr>
      </w:pPr>
      <w:r w:rsidRPr="00A05C0B">
        <w:rPr>
          <w:rFonts w:eastAsia="Verdana"/>
          <w:highlight w:val="lightGray"/>
        </w:rPr>
        <w:t>Zaakceptowano uzasadnienie braku informacji systemem Braille’a</w:t>
      </w:r>
    </w:p>
    <w:p w14:paraId="521EE01E" w14:textId="77777777" w:rsidR="002D6D08" w:rsidRPr="00A05C0B" w:rsidRDefault="002D6D08" w:rsidP="002D6D08">
      <w:pPr>
        <w:rPr>
          <w:shd w:val="clear" w:color="auto" w:fill="CCCCCC"/>
        </w:rPr>
      </w:pPr>
    </w:p>
    <w:p w14:paraId="0588BCB6" w14:textId="77777777" w:rsidR="002D6D08" w:rsidRPr="00A05C0B" w:rsidRDefault="002D6D08" w:rsidP="002D6D08">
      <w:pPr>
        <w:rPr>
          <w:shd w:val="clear" w:color="auto" w:fill="CCCCCC"/>
        </w:rPr>
      </w:pPr>
    </w:p>
    <w:p w14:paraId="69BC557A" w14:textId="77777777" w:rsidR="002D6D08" w:rsidRPr="00A05C0B" w:rsidRDefault="002D6D08" w:rsidP="002D6D08">
      <w:pPr>
        <w:pBdr>
          <w:top w:val="single" w:sz="4" w:space="1" w:color="auto"/>
          <w:left w:val="single" w:sz="4" w:space="4" w:color="auto"/>
          <w:bottom w:val="single" w:sz="4" w:space="0" w:color="auto"/>
          <w:right w:val="single" w:sz="4" w:space="4" w:color="auto"/>
        </w:pBdr>
        <w:rPr>
          <w:i/>
        </w:rPr>
      </w:pPr>
      <w:r w:rsidRPr="00A05C0B">
        <w:rPr>
          <w:b/>
          <w:bCs/>
        </w:rPr>
        <w:t>17.</w:t>
      </w:r>
      <w:r w:rsidRPr="00A05C0B">
        <w:rPr>
          <w:b/>
          <w:bCs/>
        </w:rPr>
        <w:tab/>
        <w:t>NIEPOWTARZALNY IDENTYFIKATOR – KOD 2D</w:t>
      </w:r>
    </w:p>
    <w:p w14:paraId="79280E78" w14:textId="77777777" w:rsidR="002D6D08" w:rsidRPr="00A05C0B" w:rsidRDefault="002D6D08" w:rsidP="002D6D08"/>
    <w:p w14:paraId="10C01A0B" w14:textId="77777777" w:rsidR="002D6D08" w:rsidRPr="00A05C0B" w:rsidRDefault="002D6D08" w:rsidP="002D6D08">
      <w:pPr>
        <w:rPr>
          <w:rFonts w:eastAsia="Verdana"/>
          <w:highlight w:val="lightGray"/>
        </w:rPr>
      </w:pPr>
      <w:r w:rsidRPr="00A05C0B">
        <w:rPr>
          <w:rFonts w:eastAsia="Verdana"/>
          <w:highlight w:val="lightGray"/>
        </w:rPr>
        <w:t>Obejmuje kod 2D będący nośnikiem niepowtarzalnego identyfikatora.</w:t>
      </w:r>
    </w:p>
    <w:p w14:paraId="34B3C2A2" w14:textId="77777777" w:rsidR="002D6D08" w:rsidRPr="00A05C0B" w:rsidRDefault="002D6D08" w:rsidP="002D6D08"/>
    <w:p w14:paraId="6F3E81E3" w14:textId="77777777" w:rsidR="002D6D08" w:rsidRPr="00A05C0B" w:rsidRDefault="002D6D08" w:rsidP="002D6D08"/>
    <w:p w14:paraId="4C09D4C7" w14:textId="77777777" w:rsidR="002D6D08" w:rsidRPr="00A05C0B" w:rsidRDefault="002D6D08" w:rsidP="002D6D08">
      <w:pPr>
        <w:pBdr>
          <w:top w:val="single" w:sz="4" w:space="1" w:color="auto"/>
          <w:left w:val="single" w:sz="4" w:space="4" w:color="auto"/>
          <w:bottom w:val="single" w:sz="4" w:space="0" w:color="auto"/>
          <w:right w:val="single" w:sz="4" w:space="4" w:color="auto"/>
        </w:pBdr>
        <w:rPr>
          <w:i/>
        </w:rPr>
      </w:pPr>
      <w:r w:rsidRPr="00A05C0B">
        <w:rPr>
          <w:b/>
          <w:bCs/>
        </w:rPr>
        <w:t>18.</w:t>
      </w:r>
      <w:r w:rsidRPr="00A05C0B">
        <w:rPr>
          <w:b/>
          <w:bCs/>
        </w:rPr>
        <w:tab/>
        <w:t>NIEPOWTARZALNY IDENTYFIKATOR – DANE CZYTELNE DLA CZŁOWIEKA</w:t>
      </w:r>
    </w:p>
    <w:p w14:paraId="3034C51D" w14:textId="77777777" w:rsidR="002D6D08" w:rsidRPr="00A05C0B" w:rsidRDefault="002D6D08" w:rsidP="002D6D08"/>
    <w:p w14:paraId="737AB5CF" w14:textId="77777777" w:rsidR="002D6D08" w:rsidRPr="00A05C0B" w:rsidRDefault="002D6D08" w:rsidP="002D6D08">
      <w:pPr>
        <w:rPr>
          <w:color w:val="008000"/>
        </w:rPr>
      </w:pPr>
      <w:r w:rsidRPr="00A05C0B">
        <w:t>PC</w:t>
      </w:r>
    </w:p>
    <w:p w14:paraId="459DC2F4" w14:textId="77777777" w:rsidR="002D6D08" w:rsidRPr="00A05C0B" w:rsidRDefault="002D6D08" w:rsidP="002D6D08">
      <w:r w:rsidRPr="00A05C0B">
        <w:t>SN</w:t>
      </w:r>
    </w:p>
    <w:p w14:paraId="504CF51D" w14:textId="77777777" w:rsidR="002D6D08" w:rsidRPr="00A05C0B" w:rsidRDefault="002D6D08" w:rsidP="002D6D08">
      <w:r w:rsidRPr="00A05C0B">
        <w:t>NN</w:t>
      </w:r>
    </w:p>
    <w:p w14:paraId="336437A5" w14:textId="77777777" w:rsidR="002D6D08" w:rsidRPr="00A05C0B" w:rsidRDefault="002D6D08" w:rsidP="002D6D08">
      <w:pPr>
        <w:rPr>
          <w:shd w:val="clear" w:color="auto" w:fill="CCCCCC"/>
        </w:rPr>
      </w:pPr>
    </w:p>
    <w:p w14:paraId="26B7942D" w14:textId="77777777" w:rsidR="002D6D08" w:rsidRPr="00A05C0B" w:rsidRDefault="002D6D08" w:rsidP="002D6D08"/>
    <w:p w14:paraId="6BBC5704"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r w:rsidRPr="00A05C0B">
        <w:br w:type="page"/>
      </w:r>
      <w:r w:rsidRPr="00A05C0B">
        <w:rPr>
          <w:b/>
          <w:bCs/>
        </w:rPr>
        <w:lastRenderedPageBreak/>
        <w:t>MINIMUM INFORMACJI ZAMIESZCZANYCH NA MAŁYCH OPAKOWANIACH BEZPOŚREDNICH</w:t>
      </w:r>
    </w:p>
    <w:p w14:paraId="33631809"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p>
    <w:p w14:paraId="7B9DD42D"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r w:rsidRPr="00A05C0B">
        <w:rPr>
          <w:b/>
          <w:bCs/>
        </w:rPr>
        <w:t>ETYKIETA</w:t>
      </w:r>
    </w:p>
    <w:p w14:paraId="70E1CA6A"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p>
    <w:p w14:paraId="211F3F51" w14:textId="77777777" w:rsidR="002D6D08" w:rsidRPr="00A05C0B" w:rsidRDefault="002D6D08" w:rsidP="002D6D08">
      <w:pPr>
        <w:pBdr>
          <w:top w:val="single" w:sz="4" w:space="1" w:color="auto"/>
          <w:left w:val="single" w:sz="4" w:space="4" w:color="auto"/>
          <w:bottom w:val="single" w:sz="4" w:space="1" w:color="auto"/>
          <w:right w:val="single" w:sz="4" w:space="4" w:color="auto"/>
        </w:pBdr>
        <w:rPr>
          <w:b/>
        </w:rPr>
      </w:pPr>
      <w:r w:rsidRPr="00A05C0B">
        <w:rPr>
          <w:b/>
          <w:bCs/>
        </w:rPr>
        <w:t>FIOLKA</w:t>
      </w:r>
    </w:p>
    <w:p w14:paraId="46CCD52D" w14:textId="77777777" w:rsidR="002D6D08" w:rsidRPr="00A05C0B" w:rsidRDefault="002D6D08" w:rsidP="002D6D08"/>
    <w:p w14:paraId="3B1AF584" w14:textId="77777777" w:rsidR="002D6D08" w:rsidRPr="00A05C0B" w:rsidRDefault="002D6D08" w:rsidP="002D6D08"/>
    <w:p w14:paraId="14499E73"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1.</w:t>
      </w:r>
      <w:r w:rsidRPr="00A05C0B">
        <w:rPr>
          <w:b/>
          <w:bCs/>
        </w:rPr>
        <w:tab/>
        <w:t>NAZWA PRODUKTU LECZNICZEGO I DROGA PODANIA</w:t>
      </w:r>
    </w:p>
    <w:p w14:paraId="67505EEB" w14:textId="77777777" w:rsidR="002D6D08" w:rsidRPr="00A05C0B" w:rsidRDefault="002D6D08" w:rsidP="002D6D08">
      <w:pPr>
        <w:ind w:left="567" w:hanging="567"/>
      </w:pPr>
    </w:p>
    <w:p w14:paraId="11563F9B" w14:textId="77777777" w:rsidR="002D6D08" w:rsidRPr="00A05C0B" w:rsidRDefault="002D6D08" w:rsidP="002D6D08">
      <w:r w:rsidRPr="00A05C0B">
        <w:t xml:space="preserve">Byooviz 10 mg/ml </w:t>
      </w:r>
    </w:p>
    <w:p w14:paraId="34D2D5CE" w14:textId="77777777" w:rsidR="002D6D08" w:rsidRPr="00A05C0B" w:rsidRDefault="002D6D08" w:rsidP="002D6D08">
      <w:r w:rsidRPr="00A05C0B">
        <w:t>do wstrzykiwań</w:t>
      </w:r>
    </w:p>
    <w:p w14:paraId="17611808" w14:textId="77777777" w:rsidR="002D6D08" w:rsidRPr="00A05C0B" w:rsidRDefault="002D6D08" w:rsidP="002D6D08">
      <w:r w:rsidRPr="00A05C0B">
        <w:t>ranibizumab</w:t>
      </w:r>
    </w:p>
    <w:p w14:paraId="02E3965E" w14:textId="77777777" w:rsidR="002D6D08" w:rsidRPr="00A05C0B" w:rsidRDefault="002D6D08" w:rsidP="002D6D08">
      <w:r w:rsidRPr="00A05C0B">
        <w:t>Podanie do ciała szklistego</w:t>
      </w:r>
    </w:p>
    <w:p w14:paraId="700C551C" w14:textId="77777777" w:rsidR="002D6D08" w:rsidRPr="00A05C0B" w:rsidRDefault="002D6D08" w:rsidP="002D6D08"/>
    <w:p w14:paraId="2429FF86" w14:textId="77777777" w:rsidR="002D6D08" w:rsidRPr="00A05C0B" w:rsidRDefault="002D6D08" w:rsidP="002D6D08"/>
    <w:p w14:paraId="7A3C74E5"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2.</w:t>
      </w:r>
      <w:r w:rsidRPr="00A05C0B">
        <w:rPr>
          <w:b/>
          <w:bCs/>
        </w:rPr>
        <w:tab/>
        <w:t>SPOSÓB PODAWANIA</w:t>
      </w:r>
    </w:p>
    <w:p w14:paraId="7C5D5E63" w14:textId="77777777" w:rsidR="002D6D08" w:rsidRPr="00A05C0B" w:rsidRDefault="002D6D08" w:rsidP="002D6D08"/>
    <w:p w14:paraId="24FAFD11" w14:textId="77777777" w:rsidR="002D6D08" w:rsidRPr="00A05C0B" w:rsidRDefault="002D6D08" w:rsidP="002D6D08"/>
    <w:p w14:paraId="4BCB4DD1"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3.</w:t>
      </w:r>
      <w:r w:rsidRPr="00A05C0B">
        <w:rPr>
          <w:b/>
          <w:bCs/>
        </w:rPr>
        <w:tab/>
        <w:t>TERMIN WAŻNOŚCI</w:t>
      </w:r>
    </w:p>
    <w:p w14:paraId="51752032" w14:textId="77777777" w:rsidR="002D6D08" w:rsidRPr="00A05C0B" w:rsidRDefault="002D6D08" w:rsidP="002D6D08"/>
    <w:p w14:paraId="1560ECC4" w14:textId="77777777" w:rsidR="002D6D08" w:rsidRPr="00A05C0B" w:rsidRDefault="002D6D08" w:rsidP="002D6D08">
      <w:r w:rsidRPr="00A05C0B">
        <w:t>EXP</w:t>
      </w:r>
    </w:p>
    <w:p w14:paraId="4267E36F" w14:textId="77777777" w:rsidR="002D6D08" w:rsidRPr="00A05C0B" w:rsidRDefault="002D6D08" w:rsidP="002D6D08"/>
    <w:p w14:paraId="268CF710" w14:textId="77777777" w:rsidR="002D6D08" w:rsidRPr="00A05C0B" w:rsidRDefault="002D6D08" w:rsidP="002D6D08"/>
    <w:p w14:paraId="08EEDD35"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4.</w:t>
      </w:r>
      <w:r w:rsidRPr="00A05C0B">
        <w:rPr>
          <w:b/>
          <w:bCs/>
        </w:rPr>
        <w:tab/>
        <w:t>NUMER SERII</w:t>
      </w:r>
    </w:p>
    <w:p w14:paraId="4EA8FD2A" w14:textId="77777777" w:rsidR="002D6D08" w:rsidRPr="00A05C0B" w:rsidRDefault="002D6D08" w:rsidP="002D6D08">
      <w:pPr>
        <w:ind w:right="113"/>
      </w:pPr>
    </w:p>
    <w:p w14:paraId="440515F7" w14:textId="77777777" w:rsidR="002D6D08" w:rsidRPr="00A05C0B" w:rsidRDefault="002D6D08" w:rsidP="002D6D08">
      <w:pPr>
        <w:ind w:right="113"/>
      </w:pPr>
      <w:r w:rsidRPr="00A05C0B">
        <w:t>Lot</w:t>
      </w:r>
    </w:p>
    <w:p w14:paraId="1228792E" w14:textId="77777777" w:rsidR="002D6D08" w:rsidRPr="00A05C0B" w:rsidRDefault="002D6D08" w:rsidP="002D6D08">
      <w:pPr>
        <w:ind w:right="113"/>
      </w:pPr>
    </w:p>
    <w:p w14:paraId="35BD8206" w14:textId="77777777" w:rsidR="002D6D08" w:rsidRPr="00A05C0B" w:rsidRDefault="002D6D08" w:rsidP="002D6D08">
      <w:pPr>
        <w:ind w:right="113"/>
      </w:pPr>
    </w:p>
    <w:p w14:paraId="4231EF61"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5.</w:t>
      </w:r>
      <w:r w:rsidRPr="00A05C0B">
        <w:rPr>
          <w:b/>
          <w:bCs/>
        </w:rPr>
        <w:tab/>
        <w:t>ZAWARTOŚĆ OPAKOWANIA Z PODANIEM MASY, OBJĘTOŚCI LUB LICZBY JEDNOSTEK</w:t>
      </w:r>
    </w:p>
    <w:p w14:paraId="10B935DB" w14:textId="77777777" w:rsidR="002D6D08" w:rsidRPr="00A05C0B" w:rsidRDefault="002D6D08" w:rsidP="002D6D08">
      <w:pPr>
        <w:ind w:right="113"/>
      </w:pPr>
    </w:p>
    <w:p w14:paraId="2C53CF54" w14:textId="77777777" w:rsidR="002D6D08" w:rsidRPr="00A05C0B" w:rsidRDefault="002D6D08" w:rsidP="002D6D08">
      <w:pPr>
        <w:rPr>
          <w:rFonts w:eastAsia="Verdana"/>
          <w:highlight w:val="lightGray"/>
        </w:rPr>
      </w:pPr>
      <w:r w:rsidRPr="00A05C0B">
        <w:rPr>
          <w:rFonts w:eastAsia="Verdana"/>
          <w:highlight w:val="lightGray"/>
        </w:rPr>
        <w:t>2,3 mg/0,23 ml</w:t>
      </w:r>
    </w:p>
    <w:p w14:paraId="264588E8" w14:textId="77777777" w:rsidR="002D6D08" w:rsidRPr="00A05C0B" w:rsidRDefault="002D6D08" w:rsidP="002D6D08">
      <w:pPr>
        <w:ind w:right="113"/>
      </w:pPr>
    </w:p>
    <w:p w14:paraId="54A1F962" w14:textId="77777777" w:rsidR="002D6D08" w:rsidRPr="00A05C0B" w:rsidRDefault="002D6D08" w:rsidP="002D6D08">
      <w:pPr>
        <w:ind w:right="113"/>
      </w:pPr>
    </w:p>
    <w:p w14:paraId="64E8FAEB" w14:textId="77777777" w:rsidR="002D6D08" w:rsidRPr="00A05C0B" w:rsidRDefault="002D6D08" w:rsidP="002D6D08">
      <w:pPr>
        <w:pBdr>
          <w:top w:val="single" w:sz="4" w:space="1" w:color="auto"/>
          <w:left w:val="single" w:sz="4" w:space="4" w:color="auto"/>
          <w:bottom w:val="single" w:sz="4" w:space="1" w:color="auto"/>
          <w:right w:val="single" w:sz="4" w:space="4" w:color="auto"/>
        </w:pBdr>
        <w:outlineLvl w:val="0"/>
        <w:rPr>
          <w:b/>
        </w:rPr>
      </w:pPr>
      <w:r w:rsidRPr="00A05C0B">
        <w:rPr>
          <w:b/>
          <w:bCs/>
        </w:rPr>
        <w:t>6.</w:t>
      </w:r>
      <w:r w:rsidRPr="00A05C0B">
        <w:rPr>
          <w:b/>
          <w:bCs/>
        </w:rPr>
        <w:tab/>
        <w:t>INNE</w:t>
      </w:r>
    </w:p>
    <w:p w14:paraId="58EEECCD" w14:textId="77777777" w:rsidR="002D6D08" w:rsidRPr="00A05C0B" w:rsidRDefault="002D6D08" w:rsidP="002D6D08">
      <w:pPr>
        <w:ind w:right="113"/>
      </w:pPr>
    </w:p>
    <w:p w14:paraId="60FF4FBC" w14:textId="77777777" w:rsidR="002D6D08" w:rsidRPr="00A05C0B" w:rsidRDefault="002D6D08" w:rsidP="002D6D08">
      <w:pPr>
        <w:ind w:right="113"/>
      </w:pPr>
    </w:p>
    <w:p w14:paraId="3DA2C247" w14:textId="77777777" w:rsidR="00DD63A4" w:rsidRPr="006B4557" w:rsidRDefault="00DD63A4" w:rsidP="00DD63A4">
      <w:pPr>
        <w:outlineLvl w:val="0"/>
        <w:rPr>
          <w:b/>
        </w:rPr>
      </w:pPr>
      <w:r>
        <w:br w:type="page"/>
      </w:r>
    </w:p>
    <w:p w14:paraId="2803F59C" w14:textId="77777777" w:rsidR="00DD63A4" w:rsidRPr="00F64F2B" w:rsidRDefault="00DD63A4" w:rsidP="00F64F2B">
      <w:pPr>
        <w:ind w:right="113"/>
        <w:rPr>
          <w:noProof/>
        </w:rPr>
      </w:pPr>
    </w:p>
    <w:p w14:paraId="3AF23704" w14:textId="77777777" w:rsidR="00DD63A4" w:rsidRPr="00F64F2B" w:rsidRDefault="00DD63A4" w:rsidP="00F64F2B">
      <w:pPr>
        <w:ind w:right="113"/>
        <w:rPr>
          <w:noProof/>
        </w:rPr>
      </w:pPr>
    </w:p>
    <w:p w14:paraId="79356A05" w14:textId="77777777" w:rsidR="00DD63A4" w:rsidRPr="00F64F2B" w:rsidRDefault="00DD63A4" w:rsidP="00F64F2B">
      <w:pPr>
        <w:ind w:right="113"/>
        <w:rPr>
          <w:noProof/>
        </w:rPr>
      </w:pPr>
    </w:p>
    <w:p w14:paraId="11312C4B" w14:textId="77777777" w:rsidR="00DD63A4" w:rsidRPr="00F64F2B" w:rsidRDefault="00DD63A4" w:rsidP="00F64F2B">
      <w:pPr>
        <w:ind w:right="113"/>
        <w:rPr>
          <w:noProof/>
        </w:rPr>
      </w:pPr>
    </w:p>
    <w:p w14:paraId="267CF112" w14:textId="77777777" w:rsidR="00DD63A4" w:rsidRPr="00F64F2B" w:rsidRDefault="00DD63A4" w:rsidP="00F64F2B">
      <w:pPr>
        <w:ind w:right="113"/>
        <w:rPr>
          <w:noProof/>
        </w:rPr>
      </w:pPr>
    </w:p>
    <w:p w14:paraId="2238FF61" w14:textId="77777777" w:rsidR="00DD63A4" w:rsidRPr="00F64F2B" w:rsidRDefault="00DD63A4" w:rsidP="00F64F2B">
      <w:pPr>
        <w:ind w:right="113"/>
        <w:rPr>
          <w:noProof/>
        </w:rPr>
      </w:pPr>
    </w:p>
    <w:p w14:paraId="7FA9FCC8" w14:textId="77777777" w:rsidR="00DD63A4" w:rsidRPr="00F64F2B" w:rsidRDefault="00DD63A4" w:rsidP="00F64F2B">
      <w:pPr>
        <w:ind w:right="113"/>
        <w:rPr>
          <w:noProof/>
        </w:rPr>
      </w:pPr>
    </w:p>
    <w:p w14:paraId="37538EFA" w14:textId="77777777" w:rsidR="00DD63A4" w:rsidRPr="00F64F2B" w:rsidRDefault="00DD63A4" w:rsidP="00F64F2B">
      <w:pPr>
        <w:ind w:right="113"/>
        <w:rPr>
          <w:noProof/>
        </w:rPr>
      </w:pPr>
    </w:p>
    <w:p w14:paraId="1BA0CC4A" w14:textId="77777777" w:rsidR="00DD63A4" w:rsidRPr="00F64F2B" w:rsidRDefault="00DD63A4" w:rsidP="00F64F2B">
      <w:pPr>
        <w:ind w:right="113"/>
        <w:rPr>
          <w:noProof/>
        </w:rPr>
      </w:pPr>
    </w:p>
    <w:p w14:paraId="02C9E098" w14:textId="77777777" w:rsidR="00DD63A4" w:rsidRPr="00F64F2B" w:rsidRDefault="00DD63A4" w:rsidP="00F64F2B">
      <w:pPr>
        <w:ind w:right="113"/>
        <w:rPr>
          <w:noProof/>
        </w:rPr>
      </w:pPr>
    </w:p>
    <w:p w14:paraId="15B9D30E" w14:textId="77777777" w:rsidR="00DD63A4" w:rsidRPr="00F64F2B" w:rsidRDefault="00DD63A4" w:rsidP="00F64F2B">
      <w:pPr>
        <w:ind w:right="113"/>
        <w:rPr>
          <w:noProof/>
        </w:rPr>
      </w:pPr>
    </w:p>
    <w:p w14:paraId="14E27D88" w14:textId="77777777" w:rsidR="00DD63A4" w:rsidRPr="00F64F2B" w:rsidRDefault="00DD63A4" w:rsidP="00F64F2B">
      <w:pPr>
        <w:ind w:right="113"/>
        <w:rPr>
          <w:noProof/>
        </w:rPr>
      </w:pPr>
    </w:p>
    <w:p w14:paraId="4FF692C9" w14:textId="77777777" w:rsidR="00DD63A4" w:rsidRPr="00F64F2B" w:rsidRDefault="00DD63A4" w:rsidP="00F64F2B">
      <w:pPr>
        <w:ind w:right="113"/>
        <w:rPr>
          <w:noProof/>
        </w:rPr>
      </w:pPr>
    </w:p>
    <w:p w14:paraId="416A14B1" w14:textId="77777777" w:rsidR="00DD63A4" w:rsidRPr="00F64F2B" w:rsidRDefault="00DD63A4" w:rsidP="00F64F2B">
      <w:pPr>
        <w:ind w:right="113"/>
        <w:rPr>
          <w:noProof/>
        </w:rPr>
      </w:pPr>
    </w:p>
    <w:p w14:paraId="1DA8A4D1" w14:textId="77777777" w:rsidR="00DD63A4" w:rsidRPr="00F64F2B" w:rsidRDefault="00DD63A4" w:rsidP="00F64F2B">
      <w:pPr>
        <w:ind w:right="113"/>
        <w:rPr>
          <w:noProof/>
        </w:rPr>
      </w:pPr>
    </w:p>
    <w:p w14:paraId="69C7A995" w14:textId="77777777" w:rsidR="00DD63A4" w:rsidRPr="00F64F2B" w:rsidRDefault="00DD63A4" w:rsidP="00F64F2B">
      <w:pPr>
        <w:ind w:right="113"/>
        <w:rPr>
          <w:noProof/>
        </w:rPr>
      </w:pPr>
    </w:p>
    <w:p w14:paraId="2BC1BA28" w14:textId="77777777" w:rsidR="00DD63A4" w:rsidRPr="00F64F2B" w:rsidRDefault="00DD63A4" w:rsidP="00F64F2B">
      <w:pPr>
        <w:ind w:right="113"/>
        <w:rPr>
          <w:noProof/>
        </w:rPr>
      </w:pPr>
    </w:p>
    <w:p w14:paraId="420F6221" w14:textId="77777777" w:rsidR="00DD63A4" w:rsidRPr="00F64F2B" w:rsidRDefault="00DD63A4" w:rsidP="00F64F2B">
      <w:pPr>
        <w:ind w:right="113"/>
        <w:rPr>
          <w:noProof/>
        </w:rPr>
      </w:pPr>
    </w:p>
    <w:p w14:paraId="63345E68" w14:textId="77777777" w:rsidR="00DD63A4" w:rsidRPr="00F64F2B" w:rsidRDefault="00DD63A4" w:rsidP="00F64F2B">
      <w:pPr>
        <w:ind w:right="113"/>
        <w:rPr>
          <w:noProof/>
        </w:rPr>
      </w:pPr>
    </w:p>
    <w:p w14:paraId="6B16B47D" w14:textId="77777777" w:rsidR="001432C3" w:rsidRPr="00F64F2B" w:rsidRDefault="001432C3" w:rsidP="00F64F2B">
      <w:pPr>
        <w:ind w:right="113"/>
        <w:rPr>
          <w:noProof/>
        </w:rPr>
      </w:pPr>
    </w:p>
    <w:p w14:paraId="61171126" w14:textId="77777777" w:rsidR="001432C3" w:rsidRPr="00F64F2B" w:rsidRDefault="001432C3" w:rsidP="00F64F2B">
      <w:pPr>
        <w:ind w:right="113"/>
        <w:rPr>
          <w:noProof/>
        </w:rPr>
      </w:pPr>
    </w:p>
    <w:p w14:paraId="4CF9D4D1" w14:textId="77777777" w:rsidR="001432C3" w:rsidRPr="00F64F2B" w:rsidRDefault="00DD63A4" w:rsidP="00B95FCC">
      <w:pPr>
        <w:pStyle w:val="TitleA"/>
        <w:rPr>
          <w:noProof/>
        </w:rPr>
      </w:pPr>
      <w:bookmarkStart w:id="32" w:name="B._ULOTKA_DLA_PACJENTA"/>
      <w:bookmarkEnd w:id="32"/>
      <w:r w:rsidRPr="00F64F2B">
        <w:rPr>
          <w:noProof/>
        </w:rPr>
        <w:t xml:space="preserve">B. </w:t>
      </w:r>
      <w:r w:rsidR="000E2AE0" w:rsidRPr="00F64F2B">
        <w:rPr>
          <w:noProof/>
        </w:rPr>
        <w:t>ULOTKA DLA PACJENTA</w:t>
      </w:r>
    </w:p>
    <w:p w14:paraId="276632FD" w14:textId="77777777" w:rsidR="001432C3" w:rsidRPr="00F64F2B" w:rsidRDefault="001432C3" w:rsidP="00F64F2B">
      <w:pPr>
        <w:jc w:val="center"/>
        <w:outlineLvl w:val="0"/>
        <w:rPr>
          <w:b/>
          <w:noProof/>
        </w:rPr>
        <w:sectPr w:rsidR="001432C3" w:rsidRPr="00F64F2B" w:rsidSect="00F64F2B">
          <w:pgSz w:w="11910" w:h="16840"/>
          <w:pgMar w:top="1378" w:right="1202" w:bottom="902" w:left="1202" w:header="0" w:footer="656" w:gutter="0"/>
          <w:cols w:space="720"/>
          <w:docGrid w:linePitch="299"/>
        </w:sectPr>
      </w:pPr>
    </w:p>
    <w:p w14:paraId="16BEDE51" w14:textId="77777777" w:rsidR="001432C3" w:rsidRPr="008B2522" w:rsidRDefault="000E2AE0">
      <w:pPr>
        <w:spacing w:before="73"/>
        <w:ind w:left="283" w:right="282"/>
        <w:jc w:val="center"/>
        <w:rPr>
          <w:b/>
        </w:rPr>
      </w:pPr>
      <w:r w:rsidRPr="008B2522">
        <w:rPr>
          <w:b/>
        </w:rPr>
        <w:lastRenderedPageBreak/>
        <w:t>Ulotka dołączona do opakowania: informacja dla dorosłego pacjenta</w:t>
      </w:r>
    </w:p>
    <w:p w14:paraId="33638B10" w14:textId="77777777" w:rsidR="001432C3" w:rsidRPr="008B2522" w:rsidRDefault="001432C3">
      <w:pPr>
        <w:pStyle w:val="a3"/>
        <w:rPr>
          <w:b/>
        </w:rPr>
      </w:pPr>
    </w:p>
    <w:p w14:paraId="0CDAC327" w14:textId="77777777" w:rsidR="001432C3" w:rsidRPr="008B2522" w:rsidRDefault="008B2522">
      <w:pPr>
        <w:spacing w:before="1" w:line="251" w:lineRule="exact"/>
        <w:ind w:left="282" w:right="282"/>
        <w:jc w:val="center"/>
        <w:rPr>
          <w:b/>
        </w:rPr>
      </w:pPr>
      <w:r>
        <w:rPr>
          <w:b/>
        </w:rPr>
        <w:t>Byooviz</w:t>
      </w:r>
      <w:r w:rsidR="000E2AE0" w:rsidRPr="008B2522">
        <w:rPr>
          <w:b/>
        </w:rPr>
        <w:t xml:space="preserve"> 10</w:t>
      </w:r>
      <w:r w:rsidR="00257CD6">
        <w:rPr>
          <w:b/>
        </w:rPr>
        <w:t> mg</w:t>
      </w:r>
      <w:r w:rsidR="000E2AE0" w:rsidRPr="008B2522">
        <w:rPr>
          <w:b/>
        </w:rPr>
        <w:t>/ml roztwór do wstrzykiwań</w:t>
      </w:r>
    </w:p>
    <w:p w14:paraId="3F7D5695" w14:textId="77777777" w:rsidR="001432C3" w:rsidRDefault="0070418F">
      <w:pPr>
        <w:pStyle w:val="a3"/>
        <w:spacing w:line="251" w:lineRule="exact"/>
        <w:ind w:left="282" w:right="282"/>
        <w:jc w:val="center"/>
      </w:pPr>
      <w:r w:rsidRPr="008B2522">
        <w:t>R</w:t>
      </w:r>
      <w:r w:rsidR="000E2AE0" w:rsidRPr="008B2522">
        <w:t>anibizumab</w:t>
      </w:r>
    </w:p>
    <w:p w14:paraId="466F5A6F" w14:textId="77777777" w:rsidR="0070418F" w:rsidRDefault="0070418F">
      <w:pPr>
        <w:pStyle w:val="a3"/>
        <w:spacing w:line="251" w:lineRule="exact"/>
        <w:ind w:left="282" w:right="282"/>
        <w:jc w:val="center"/>
      </w:pPr>
    </w:p>
    <w:p w14:paraId="38ED3907" w14:textId="77777777" w:rsidR="0070418F" w:rsidRPr="003C79F8" w:rsidRDefault="0070418F" w:rsidP="00E0574D">
      <w:pPr>
        <w:pStyle w:val="a3"/>
        <w:spacing w:line="251" w:lineRule="exact"/>
        <w:ind w:right="282"/>
      </w:pPr>
      <w:r>
        <w:rPr>
          <w:noProof/>
          <w:lang w:val="es-ES" w:eastAsia="ko-KR"/>
        </w:rPr>
        <w:drawing>
          <wp:inline distT="0" distB="0" distL="0" distR="0" wp14:anchorId="1BDDF37E" wp14:editId="2CD2F594">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7714"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22CB7">
        <w:t xml:space="preserve">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w:t>
      </w:r>
      <w:r w:rsidR="0020790E">
        <w:t>punkt </w:t>
      </w:r>
      <w:r w:rsidRPr="00D22CB7">
        <w:t>4</w:t>
      </w:r>
      <w:r w:rsidR="004F346A" w:rsidRPr="00D22CB7">
        <w:t>.</w:t>
      </w:r>
    </w:p>
    <w:p w14:paraId="7FB1A02D" w14:textId="77777777" w:rsidR="001432C3" w:rsidRPr="008B2522" w:rsidRDefault="001432C3">
      <w:pPr>
        <w:pStyle w:val="a3"/>
        <w:spacing w:before="5"/>
        <w:rPr>
          <w:sz w:val="14"/>
        </w:rPr>
      </w:pPr>
    </w:p>
    <w:p w14:paraId="5C5AC7FF" w14:textId="77777777" w:rsidR="001432C3" w:rsidRPr="004A2080" w:rsidRDefault="000E2AE0" w:rsidP="00F64F2B">
      <w:pPr>
        <w:rPr>
          <w:b/>
          <w:bCs/>
          <w:color w:val="FFFFFF"/>
          <w:shd w:val="clear" w:color="auto" w:fill="000000"/>
        </w:rPr>
      </w:pPr>
      <w:r w:rsidRPr="004A2080">
        <w:rPr>
          <w:b/>
          <w:bCs/>
          <w:color w:val="FFFFFF"/>
          <w:shd w:val="clear" w:color="auto" w:fill="000000"/>
        </w:rPr>
        <w:t>DOROŚLI</w:t>
      </w:r>
    </w:p>
    <w:p w14:paraId="21B75FF9" w14:textId="77777777" w:rsidR="001432C3" w:rsidRPr="004A2080" w:rsidRDefault="001432C3" w:rsidP="00F64F2B">
      <w:pPr>
        <w:rPr>
          <w:noProof/>
        </w:rPr>
      </w:pPr>
    </w:p>
    <w:p w14:paraId="12E9A13C" w14:textId="77777777" w:rsidR="001432C3" w:rsidRPr="004A2080" w:rsidRDefault="000E2AE0" w:rsidP="00F64F2B">
      <w:pPr>
        <w:rPr>
          <w:b/>
          <w:bCs/>
          <w:noProof/>
        </w:rPr>
      </w:pPr>
      <w:r w:rsidRPr="004A2080">
        <w:rPr>
          <w:b/>
          <w:bCs/>
          <w:noProof/>
        </w:rPr>
        <w:t>Należy uważnie zapoznać się z treścią ulotki przed zastosowaniem leku, ponieważ zawiera ona informacje ważne dla pacjenta.</w:t>
      </w:r>
    </w:p>
    <w:p w14:paraId="27DB431B" w14:textId="77777777" w:rsidR="001432C3" w:rsidRPr="008B2522" w:rsidRDefault="000E2AE0">
      <w:pPr>
        <w:pStyle w:val="a4"/>
        <w:numPr>
          <w:ilvl w:val="0"/>
          <w:numId w:val="17"/>
        </w:numPr>
        <w:tabs>
          <w:tab w:val="left" w:pos="758"/>
          <w:tab w:val="left" w:pos="759"/>
        </w:tabs>
        <w:spacing w:line="247" w:lineRule="exact"/>
        <w:ind w:hanging="482"/>
      </w:pPr>
      <w:r w:rsidRPr="008B2522">
        <w:t>Należy zachować tę ulotkę, aby w razie potrzeby móc ją ponownie</w:t>
      </w:r>
      <w:r w:rsidRPr="008B2522">
        <w:rPr>
          <w:spacing w:val="-22"/>
        </w:rPr>
        <w:t xml:space="preserve"> </w:t>
      </w:r>
      <w:r w:rsidRPr="008B2522">
        <w:t>przeczytać.</w:t>
      </w:r>
    </w:p>
    <w:p w14:paraId="21AA2127" w14:textId="77777777" w:rsidR="001432C3" w:rsidRPr="008B2522" w:rsidRDefault="000E2AE0">
      <w:pPr>
        <w:pStyle w:val="a4"/>
        <w:numPr>
          <w:ilvl w:val="0"/>
          <w:numId w:val="17"/>
        </w:numPr>
        <w:tabs>
          <w:tab w:val="left" w:pos="758"/>
          <w:tab w:val="left" w:pos="759"/>
        </w:tabs>
        <w:spacing w:line="252" w:lineRule="exact"/>
        <w:ind w:hanging="482"/>
      </w:pPr>
      <w:r w:rsidRPr="008B2522">
        <w:t>W razie jakichkolwiek wątpliwości należy zwrócić się do</w:t>
      </w:r>
      <w:r w:rsidRPr="008B2522">
        <w:rPr>
          <w:spacing w:val="-14"/>
        </w:rPr>
        <w:t xml:space="preserve"> </w:t>
      </w:r>
      <w:r w:rsidRPr="008B2522">
        <w:t>lekarza.</w:t>
      </w:r>
    </w:p>
    <w:p w14:paraId="16C68D71" w14:textId="77777777" w:rsidR="001432C3" w:rsidRPr="008B2522" w:rsidRDefault="000E2AE0">
      <w:pPr>
        <w:pStyle w:val="a4"/>
        <w:numPr>
          <w:ilvl w:val="0"/>
          <w:numId w:val="17"/>
        </w:numPr>
        <w:tabs>
          <w:tab w:val="left" w:pos="758"/>
          <w:tab w:val="left" w:pos="759"/>
        </w:tabs>
        <w:spacing w:before="1"/>
        <w:ind w:right="311" w:hanging="482"/>
      </w:pPr>
      <w:r w:rsidRPr="008B2522">
        <w:t xml:space="preserve">Jeśli wystąpią jakiekolwiek objawy niepożądane, w tym wszelkie możliwe objawy niepożądane niewymienione w ulotce, należy powiedzieć o tym lekarzowi. Patrz </w:t>
      </w:r>
      <w:r w:rsidR="0020790E">
        <w:t>punkt </w:t>
      </w:r>
      <w:r w:rsidRPr="008B2522">
        <w:t>4.</w:t>
      </w:r>
    </w:p>
    <w:p w14:paraId="5A2CEB56" w14:textId="77777777" w:rsidR="001432C3" w:rsidRPr="008B2522" w:rsidRDefault="001432C3">
      <w:pPr>
        <w:pStyle w:val="a3"/>
        <w:spacing w:before="4"/>
      </w:pPr>
    </w:p>
    <w:p w14:paraId="084D206E" w14:textId="77777777" w:rsidR="001432C3" w:rsidRPr="00F64F2B" w:rsidRDefault="000E2AE0" w:rsidP="00F64F2B">
      <w:pPr>
        <w:rPr>
          <w:b/>
          <w:bCs/>
          <w:noProof/>
        </w:rPr>
      </w:pPr>
      <w:r w:rsidRPr="00F64F2B">
        <w:rPr>
          <w:b/>
          <w:bCs/>
          <w:noProof/>
        </w:rPr>
        <w:t>Spis treści ulotki</w:t>
      </w:r>
    </w:p>
    <w:p w14:paraId="11E1DBCE" w14:textId="77777777" w:rsidR="001432C3" w:rsidRPr="008B2522" w:rsidRDefault="000E2AE0" w:rsidP="00D22CB7">
      <w:pPr>
        <w:pStyle w:val="a4"/>
        <w:numPr>
          <w:ilvl w:val="0"/>
          <w:numId w:val="16"/>
        </w:numPr>
        <w:tabs>
          <w:tab w:val="left" w:pos="567"/>
        </w:tabs>
        <w:spacing w:line="250" w:lineRule="exact"/>
        <w:ind w:left="567"/>
      </w:pPr>
      <w:r w:rsidRPr="008B2522">
        <w:t xml:space="preserve">Co to jest lek </w:t>
      </w:r>
      <w:r w:rsidR="008B2522">
        <w:t>Byooviz</w:t>
      </w:r>
      <w:r w:rsidRPr="008B2522">
        <w:t xml:space="preserve"> i w jakim celu się go</w:t>
      </w:r>
      <w:r w:rsidRPr="008B2522">
        <w:rPr>
          <w:spacing w:val="-11"/>
        </w:rPr>
        <w:t xml:space="preserve"> </w:t>
      </w:r>
      <w:r w:rsidRPr="008B2522">
        <w:t>stosuje</w:t>
      </w:r>
    </w:p>
    <w:p w14:paraId="20BA1806" w14:textId="77777777" w:rsidR="001432C3" w:rsidRPr="008B2522" w:rsidRDefault="000E2AE0" w:rsidP="00D22CB7">
      <w:pPr>
        <w:pStyle w:val="a4"/>
        <w:numPr>
          <w:ilvl w:val="0"/>
          <w:numId w:val="16"/>
        </w:numPr>
        <w:tabs>
          <w:tab w:val="left" w:pos="567"/>
        </w:tabs>
        <w:spacing w:before="2" w:line="252" w:lineRule="exact"/>
        <w:ind w:left="567"/>
      </w:pPr>
      <w:r w:rsidRPr="008B2522">
        <w:t>Informacje ważne przed zastosowaniem leku</w:t>
      </w:r>
      <w:r w:rsidRPr="008B2522">
        <w:rPr>
          <w:spacing w:val="-10"/>
        </w:rPr>
        <w:t xml:space="preserve"> </w:t>
      </w:r>
      <w:r w:rsidR="008B2522">
        <w:t>Byooviz</w:t>
      </w:r>
    </w:p>
    <w:p w14:paraId="1E385BC6" w14:textId="77777777" w:rsidR="001432C3" w:rsidRPr="008B2522" w:rsidRDefault="000E2AE0" w:rsidP="00D22CB7">
      <w:pPr>
        <w:pStyle w:val="a4"/>
        <w:numPr>
          <w:ilvl w:val="0"/>
          <w:numId w:val="16"/>
        </w:numPr>
        <w:tabs>
          <w:tab w:val="left" w:pos="567"/>
        </w:tabs>
        <w:spacing w:line="252" w:lineRule="exact"/>
        <w:ind w:left="567"/>
      </w:pPr>
      <w:r w:rsidRPr="008B2522">
        <w:t>Jak stosować lek</w:t>
      </w:r>
      <w:r w:rsidRPr="008B2522">
        <w:rPr>
          <w:spacing w:val="-3"/>
        </w:rPr>
        <w:t xml:space="preserve"> </w:t>
      </w:r>
      <w:r w:rsidR="008B2522">
        <w:t>Byooviz</w:t>
      </w:r>
    </w:p>
    <w:p w14:paraId="73257A3E" w14:textId="77777777" w:rsidR="001432C3" w:rsidRPr="008B2522" w:rsidRDefault="000E2AE0" w:rsidP="00D22CB7">
      <w:pPr>
        <w:pStyle w:val="a4"/>
        <w:numPr>
          <w:ilvl w:val="0"/>
          <w:numId w:val="16"/>
        </w:numPr>
        <w:tabs>
          <w:tab w:val="left" w:pos="567"/>
        </w:tabs>
        <w:spacing w:before="1" w:line="252" w:lineRule="exact"/>
        <w:ind w:left="567"/>
      </w:pPr>
      <w:r w:rsidRPr="008B2522">
        <w:t>Możliwe działania</w:t>
      </w:r>
      <w:r w:rsidRPr="008B2522">
        <w:rPr>
          <w:spacing w:val="-5"/>
        </w:rPr>
        <w:t xml:space="preserve"> </w:t>
      </w:r>
      <w:r w:rsidRPr="008B2522">
        <w:t>niepożądane</w:t>
      </w:r>
    </w:p>
    <w:p w14:paraId="7FCF8904" w14:textId="77777777" w:rsidR="001432C3" w:rsidRPr="008B2522" w:rsidRDefault="000E2AE0" w:rsidP="00D22CB7">
      <w:pPr>
        <w:pStyle w:val="a4"/>
        <w:numPr>
          <w:ilvl w:val="0"/>
          <w:numId w:val="16"/>
        </w:numPr>
        <w:tabs>
          <w:tab w:val="left" w:pos="567"/>
        </w:tabs>
        <w:spacing w:line="252" w:lineRule="exact"/>
        <w:ind w:left="567"/>
      </w:pPr>
      <w:r w:rsidRPr="008B2522">
        <w:t>Jak przechowywać lek</w:t>
      </w:r>
      <w:r w:rsidRPr="008B2522">
        <w:rPr>
          <w:spacing w:val="-10"/>
        </w:rPr>
        <w:t xml:space="preserve"> </w:t>
      </w:r>
      <w:r w:rsidR="008B2522">
        <w:t>Byooviz</w:t>
      </w:r>
    </w:p>
    <w:p w14:paraId="57C85F41" w14:textId="77777777" w:rsidR="001432C3" w:rsidRPr="008B2522" w:rsidRDefault="000E2AE0" w:rsidP="00D22CB7">
      <w:pPr>
        <w:pStyle w:val="a4"/>
        <w:numPr>
          <w:ilvl w:val="0"/>
          <w:numId w:val="16"/>
        </w:numPr>
        <w:tabs>
          <w:tab w:val="left" w:pos="567"/>
        </w:tabs>
        <w:spacing w:line="252" w:lineRule="exact"/>
        <w:ind w:left="567"/>
      </w:pPr>
      <w:r w:rsidRPr="008B2522">
        <w:t>Zawartość opakowania i inne</w:t>
      </w:r>
      <w:r w:rsidRPr="008B2522">
        <w:rPr>
          <w:spacing w:val="-11"/>
        </w:rPr>
        <w:t xml:space="preserve"> </w:t>
      </w:r>
      <w:r w:rsidRPr="008B2522">
        <w:t>informacje</w:t>
      </w:r>
    </w:p>
    <w:p w14:paraId="3CFB23BE" w14:textId="77777777" w:rsidR="001432C3" w:rsidRDefault="001432C3">
      <w:pPr>
        <w:pStyle w:val="a3"/>
        <w:rPr>
          <w:sz w:val="23"/>
        </w:rPr>
      </w:pPr>
    </w:p>
    <w:p w14:paraId="099715C8" w14:textId="77777777" w:rsidR="00F64F2B" w:rsidRPr="008B2522" w:rsidRDefault="00F64F2B">
      <w:pPr>
        <w:pStyle w:val="a3"/>
        <w:rPr>
          <w:sz w:val="23"/>
        </w:rPr>
      </w:pPr>
    </w:p>
    <w:p w14:paraId="042B4066" w14:textId="77777777" w:rsidR="004763C1" w:rsidRPr="004A2080" w:rsidRDefault="00B00A61" w:rsidP="00E0574D">
      <w:pPr>
        <w:ind w:right="430"/>
        <w:rPr>
          <w:b/>
          <w:noProof/>
        </w:rPr>
      </w:pPr>
      <w:r>
        <w:rPr>
          <w:b/>
          <w:noProof/>
        </w:rPr>
        <w:t>1.</w:t>
      </w:r>
      <w:r>
        <w:rPr>
          <w:b/>
          <w:noProof/>
        </w:rPr>
        <w:tab/>
      </w:r>
      <w:r w:rsidR="000E2AE0" w:rsidRPr="004A2080">
        <w:rPr>
          <w:b/>
          <w:noProof/>
        </w:rPr>
        <w:t xml:space="preserve">Co to jest lek </w:t>
      </w:r>
      <w:r w:rsidR="008B2522" w:rsidRPr="004A2080">
        <w:rPr>
          <w:b/>
          <w:noProof/>
        </w:rPr>
        <w:t>Byooviz</w:t>
      </w:r>
      <w:r w:rsidR="000E2AE0" w:rsidRPr="004A2080">
        <w:rPr>
          <w:b/>
          <w:noProof/>
        </w:rPr>
        <w:t xml:space="preserve"> i w jakim celu się</w:t>
      </w:r>
      <w:r w:rsidR="004F346A" w:rsidRPr="004A2080">
        <w:rPr>
          <w:b/>
          <w:noProof/>
        </w:rPr>
        <w:t xml:space="preserve"> go stosuje</w:t>
      </w:r>
      <w:r w:rsidR="000E2AE0" w:rsidRPr="004A2080">
        <w:rPr>
          <w:b/>
          <w:noProof/>
        </w:rPr>
        <w:t xml:space="preserve"> </w:t>
      </w:r>
    </w:p>
    <w:p w14:paraId="0A523903" w14:textId="77777777" w:rsidR="004763C1" w:rsidRPr="004A2080" w:rsidRDefault="004763C1" w:rsidP="00F64F2B">
      <w:pPr>
        <w:rPr>
          <w:noProof/>
        </w:rPr>
      </w:pPr>
    </w:p>
    <w:p w14:paraId="0F61E529" w14:textId="77777777" w:rsidR="001432C3" w:rsidRPr="004A2080" w:rsidRDefault="000E2AE0" w:rsidP="00F64F2B">
      <w:pPr>
        <w:rPr>
          <w:b/>
          <w:bCs/>
          <w:noProof/>
        </w:rPr>
      </w:pPr>
      <w:r w:rsidRPr="004A2080">
        <w:rPr>
          <w:b/>
          <w:bCs/>
          <w:noProof/>
        </w:rPr>
        <w:t xml:space="preserve">Co to jest lek </w:t>
      </w:r>
      <w:r w:rsidR="008B2522" w:rsidRPr="004A2080">
        <w:rPr>
          <w:b/>
          <w:bCs/>
          <w:noProof/>
        </w:rPr>
        <w:t>Byooviz</w:t>
      </w:r>
    </w:p>
    <w:p w14:paraId="39A10ACB" w14:textId="77777777" w:rsidR="001432C3" w:rsidRPr="008B2522" w:rsidRDefault="000E2AE0" w:rsidP="00D22CB7">
      <w:pPr>
        <w:pStyle w:val="a3"/>
        <w:ind w:right="474"/>
      </w:pPr>
      <w:r w:rsidRPr="008B2522">
        <w:t xml:space="preserve">Lek </w:t>
      </w:r>
      <w:r w:rsidR="008B2522">
        <w:t>Byooviz</w:t>
      </w:r>
      <w:r w:rsidRPr="008B2522">
        <w:t xml:space="preserve"> jest roztworem wstrzykiwanym do oka. Lek </w:t>
      </w:r>
      <w:r w:rsidR="008B2522">
        <w:t>Byooviz</w:t>
      </w:r>
      <w:r w:rsidRPr="008B2522">
        <w:t xml:space="preserve"> należy do grupy leków zwanych lekami przeciwneowaskularyzacyjnymi. Zawiera substancję czynną zwaną ranibizumabem.</w:t>
      </w:r>
    </w:p>
    <w:p w14:paraId="7227F0B9" w14:textId="77777777" w:rsidR="004763C1" w:rsidRPr="008B2522" w:rsidRDefault="004763C1" w:rsidP="004763C1">
      <w:pPr>
        <w:pStyle w:val="a3"/>
        <w:rPr>
          <w:sz w:val="23"/>
        </w:rPr>
      </w:pPr>
    </w:p>
    <w:p w14:paraId="014AE764" w14:textId="77777777" w:rsidR="001432C3" w:rsidRPr="004A2080" w:rsidRDefault="000E2AE0" w:rsidP="00F64F2B">
      <w:pPr>
        <w:rPr>
          <w:b/>
          <w:bCs/>
          <w:noProof/>
        </w:rPr>
      </w:pPr>
      <w:r w:rsidRPr="004A2080">
        <w:rPr>
          <w:b/>
          <w:bCs/>
          <w:noProof/>
        </w:rPr>
        <w:t xml:space="preserve">W jakim celu stosuje się lek </w:t>
      </w:r>
      <w:r w:rsidR="008B2522" w:rsidRPr="004A2080">
        <w:rPr>
          <w:b/>
          <w:bCs/>
          <w:noProof/>
        </w:rPr>
        <w:t>Byooviz</w:t>
      </w:r>
    </w:p>
    <w:p w14:paraId="319B964F" w14:textId="77777777" w:rsidR="001432C3" w:rsidRPr="008B2522" w:rsidRDefault="000E2AE0" w:rsidP="00D22CB7">
      <w:pPr>
        <w:pStyle w:val="a3"/>
        <w:spacing w:line="251" w:lineRule="exact"/>
      </w:pPr>
      <w:r w:rsidRPr="008B2522">
        <w:t xml:space="preserve">Lek </w:t>
      </w:r>
      <w:r w:rsidR="008B2522">
        <w:t>Byooviz</w:t>
      </w:r>
      <w:r w:rsidRPr="008B2522">
        <w:t xml:space="preserve"> jest stosowany u dorosłych w leczeniu kilku chorób powodujących zaburzenia widzenia.</w:t>
      </w:r>
    </w:p>
    <w:p w14:paraId="38E22A45" w14:textId="77777777" w:rsidR="001432C3" w:rsidRPr="008B2522" w:rsidRDefault="001432C3">
      <w:pPr>
        <w:pStyle w:val="a3"/>
        <w:spacing w:before="9"/>
        <w:rPr>
          <w:sz w:val="21"/>
        </w:rPr>
      </w:pPr>
    </w:p>
    <w:p w14:paraId="577C68AD" w14:textId="77777777" w:rsidR="001432C3" w:rsidRPr="008B2522" w:rsidRDefault="000E2AE0" w:rsidP="00D22CB7">
      <w:pPr>
        <w:pStyle w:val="a3"/>
        <w:ind w:right="254"/>
      </w:pPr>
      <w:r w:rsidRPr="008B2522">
        <w:t>Choroby te są wynikiem uszkodzenia siatkówki (światłoczułej warstwy znajdującej się w tylnej części oka) spowodowanego przez:</w:t>
      </w:r>
    </w:p>
    <w:p w14:paraId="5AC8A1A4" w14:textId="77777777" w:rsidR="001432C3" w:rsidRPr="008B2522" w:rsidRDefault="000E2AE0">
      <w:pPr>
        <w:pStyle w:val="a4"/>
        <w:numPr>
          <w:ilvl w:val="0"/>
          <w:numId w:val="17"/>
        </w:numPr>
        <w:tabs>
          <w:tab w:val="left" w:pos="785"/>
          <w:tab w:val="left" w:pos="786"/>
        </w:tabs>
        <w:ind w:left="785" w:right="316" w:hanging="567"/>
      </w:pPr>
      <w:r w:rsidRPr="008B2522">
        <w:t xml:space="preserve">rozrost nieszczelnych, nieprawidłowych naczyń krwionośnych. Występuje on w takich chorobach jak zwyrodnienie plamki związane z wiekiem (AMD, ang. </w:t>
      </w:r>
      <w:r w:rsidRPr="008B2522">
        <w:rPr>
          <w:i/>
        </w:rPr>
        <w:t>age-related macular degeneration</w:t>
      </w:r>
      <w:r w:rsidRPr="008B2522">
        <w:t xml:space="preserve">) i retinopatia cukrzycowa proliferacyjna (PDR, ang. </w:t>
      </w:r>
      <w:r w:rsidRPr="008B2522">
        <w:rPr>
          <w:i/>
        </w:rPr>
        <w:t>proliferative diabetic retinopathy</w:t>
      </w:r>
      <w:r w:rsidRPr="008B2522">
        <w:t xml:space="preserve">, choroba spowodowana przez cukrzycę). Może także występować w przebiegu neowaskularyzacji naczyniówkowej (CNV, ang. </w:t>
      </w:r>
      <w:r w:rsidRPr="008B2522">
        <w:rPr>
          <w:i/>
        </w:rPr>
        <w:t>choroidal neovascularisation</w:t>
      </w:r>
      <w:r w:rsidRPr="008B2522">
        <w:t xml:space="preserve">), spowodowanej patologiczną krótkowzrocznością (PM, ang. </w:t>
      </w:r>
      <w:r w:rsidRPr="008B2522">
        <w:rPr>
          <w:i/>
        </w:rPr>
        <w:t>pathologic myopia</w:t>
      </w:r>
      <w:r w:rsidRPr="008B2522">
        <w:t>), pasmami naczyniastymi, centralną surowiczą retinopatią lub zapalną</w:t>
      </w:r>
      <w:r w:rsidRPr="008B2522">
        <w:rPr>
          <w:spacing w:val="-12"/>
        </w:rPr>
        <w:t xml:space="preserve"> </w:t>
      </w:r>
      <w:r w:rsidRPr="008B2522">
        <w:t>CNV;</w:t>
      </w:r>
    </w:p>
    <w:p w14:paraId="5DEE06E3" w14:textId="77777777" w:rsidR="001432C3" w:rsidRPr="008B2522" w:rsidRDefault="000E2AE0">
      <w:pPr>
        <w:pStyle w:val="a4"/>
        <w:numPr>
          <w:ilvl w:val="0"/>
          <w:numId w:val="17"/>
        </w:numPr>
        <w:tabs>
          <w:tab w:val="left" w:pos="785"/>
          <w:tab w:val="left" w:pos="786"/>
        </w:tabs>
        <w:ind w:left="785" w:right="270" w:hanging="567"/>
      </w:pPr>
      <w:r w:rsidRPr="008B2522">
        <w:t>obrzęk plamki (obrzęk centralnej części siatkówki). Może on być spowodowany przez</w:t>
      </w:r>
      <w:r w:rsidRPr="008B2522">
        <w:rPr>
          <w:spacing w:val="-24"/>
        </w:rPr>
        <w:t xml:space="preserve"> </w:t>
      </w:r>
      <w:r w:rsidRPr="008B2522">
        <w:t xml:space="preserve">cukrzycę (wówczas mamy do czynienia z cukrzycowym obrzękiem plamki (DME, ang. </w:t>
      </w:r>
      <w:r w:rsidRPr="008B2522">
        <w:rPr>
          <w:i/>
        </w:rPr>
        <w:t>diabetic macular oedema</w:t>
      </w:r>
      <w:r w:rsidRPr="008B2522">
        <w:t xml:space="preserve">)) lub przez niedrożność żył siatkówki (zwaną niedrożnością naczyń żylnych siatkówki (RVO, ang. </w:t>
      </w:r>
      <w:r w:rsidRPr="008B2522">
        <w:rPr>
          <w:i/>
        </w:rPr>
        <w:t>retinal vein</w:t>
      </w:r>
      <w:r w:rsidRPr="008B2522">
        <w:rPr>
          <w:i/>
          <w:spacing w:val="-10"/>
        </w:rPr>
        <w:t xml:space="preserve"> </w:t>
      </w:r>
      <w:r w:rsidRPr="008B2522">
        <w:rPr>
          <w:i/>
        </w:rPr>
        <w:t>occlusion</w:t>
      </w:r>
      <w:r w:rsidRPr="008B2522">
        <w:t>)).</w:t>
      </w:r>
    </w:p>
    <w:p w14:paraId="0F8B2B67" w14:textId="77777777" w:rsidR="001432C3" w:rsidRPr="008B2522" w:rsidRDefault="001432C3">
      <w:pPr>
        <w:pStyle w:val="a3"/>
        <w:spacing w:before="4"/>
      </w:pPr>
    </w:p>
    <w:p w14:paraId="690CC856" w14:textId="77777777" w:rsidR="001432C3" w:rsidRPr="004A2080" w:rsidRDefault="000E2AE0" w:rsidP="00F64F2B">
      <w:pPr>
        <w:rPr>
          <w:b/>
          <w:bCs/>
          <w:noProof/>
        </w:rPr>
      </w:pPr>
      <w:r w:rsidRPr="004A2080">
        <w:rPr>
          <w:b/>
          <w:bCs/>
          <w:noProof/>
        </w:rPr>
        <w:t xml:space="preserve">Jak działa lek </w:t>
      </w:r>
      <w:r w:rsidR="008B2522" w:rsidRPr="004A2080">
        <w:rPr>
          <w:b/>
          <w:bCs/>
          <w:noProof/>
        </w:rPr>
        <w:t>Byooviz</w:t>
      </w:r>
    </w:p>
    <w:p w14:paraId="2A6E74BE" w14:textId="77777777" w:rsidR="001432C3" w:rsidRDefault="000E2AE0" w:rsidP="00D22CB7">
      <w:pPr>
        <w:pStyle w:val="a3"/>
        <w:ind w:right="420"/>
      </w:pPr>
      <w:r w:rsidRPr="008B2522">
        <w:t xml:space="preserve">Lek </w:t>
      </w:r>
      <w:r w:rsidR="008B2522">
        <w:t>Byooviz</w:t>
      </w:r>
      <w:r w:rsidRPr="008B2522">
        <w:t xml:space="preserve"> specyficznie rozpoznaje i wiąże białko zwane ludzkim śródbłonkowym czynnikiem wzrostu naczyń typu A (VEGF-A), obecne w oku. Nadmierna ilość VEGF-A powoduje nieprawidłowy rozrost naczyń krwionośnych oraz obrzęk w oku, który może prowadzić do zaburzeń widzenia w takich chorobach, jak AMD, DME, PDR, RVO, PM i CNV. Wiążąc się z VEGF-A lek </w:t>
      </w:r>
      <w:r w:rsidR="008B2522">
        <w:t>Byooviz</w:t>
      </w:r>
      <w:r w:rsidRPr="008B2522">
        <w:t xml:space="preserve"> może zablokować te działania oraz zapobiec nieprawidłowemu rozrostowi naczyń i </w:t>
      </w:r>
      <w:r w:rsidRPr="008B2522">
        <w:lastRenderedPageBreak/>
        <w:t>obrzękowi.</w:t>
      </w:r>
    </w:p>
    <w:p w14:paraId="6A816D45" w14:textId="77777777" w:rsidR="00B307D0" w:rsidRPr="008B2522" w:rsidRDefault="00B307D0">
      <w:pPr>
        <w:pStyle w:val="a3"/>
        <w:ind w:left="218" w:right="420"/>
      </w:pPr>
    </w:p>
    <w:p w14:paraId="0249DE84" w14:textId="77777777" w:rsidR="001432C3" w:rsidRPr="008B2522" w:rsidRDefault="000E2AE0" w:rsidP="00D22CB7">
      <w:pPr>
        <w:pStyle w:val="a3"/>
        <w:ind w:right="703"/>
      </w:pPr>
      <w:r w:rsidRPr="008B2522">
        <w:t xml:space="preserve">Lek </w:t>
      </w:r>
      <w:r w:rsidR="008B2522">
        <w:t>Byooviz</w:t>
      </w:r>
      <w:r w:rsidRPr="008B2522">
        <w:t xml:space="preserve"> może pomóc w stabilizacji tych chorób i w wielu przypadkach może spowodować poprawę widzenia.</w:t>
      </w:r>
    </w:p>
    <w:p w14:paraId="66EA1763" w14:textId="77777777" w:rsidR="001432C3" w:rsidRDefault="001432C3" w:rsidP="004763C1">
      <w:pPr>
        <w:pStyle w:val="a3"/>
      </w:pPr>
    </w:p>
    <w:p w14:paraId="3D901BF7" w14:textId="77777777" w:rsidR="004763C1" w:rsidRPr="008B2522" w:rsidRDefault="004763C1" w:rsidP="00D22CB7">
      <w:pPr>
        <w:pStyle w:val="a3"/>
      </w:pPr>
    </w:p>
    <w:p w14:paraId="5C8DABE5" w14:textId="77777777" w:rsidR="004763C1" w:rsidRPr="004A2080" w:rsidRDefault="00B00A61" w:rsidP="00E0574D">
      <w:pPr>
        <w:ind w:right="430"/>
        <w:rPr>
          <w:b/>
          <w:noProof/>
        </w:rPr>
      </w:pPr>
      <w:r>
        <w:rPr>
          <w:b/>
          <w:noProof/>
        </w:rPr>
        <w:t>2.</w:t>
      </w:r>
      <w:r>
        <w:rPr>
          <w:b/>
          <w:noProof/>
        </w:rPr>
        <w:tab/>
      </w:r>
      <w:r w:rsidR="000E2AE0" w:rsidRPr="004A2080">
        <w:rPr>
          <w:b/>
          <w:noProof/>
        </w:rPr>
        <w:t xml:space="preserve">Informacje ważne przed zastosowaniem leku </w:t>
      </w:r>
      <w:r w:rsidR="008B2522" w:rsidRPr="004A2080">
        <w:rPr>
          <w:b/>
          <w:noProof/>
        </w:rPr>
        <w:t>Byooviz</w:t>
      </w:r>
    </w:p>
    <w:p w14:paraId="42084FE0" w14:textId="77777777" w:rsidR="004763C1" w:rsidRPr="004A2080" w:rsidRDefault="004763C1" w:rsidP="00F64F2B">
      <w:pPr>
        <w:rPr>
          <w:noProof/>
        </w:rPr>
      </w:pPr>
    </w:p>
    <w:p w14:paraId="53ED1C7D" w14:textId="77777777" w:rsidR="001432C3" w:rsidRPr="00F64F2B" w:rsidRDefault="000E2AE0" w:rsidP="00F64F2B">
      <w:pPr>
        <w:rPr>
          <w:b/>
          <w:bCs/>
          <w:noProof/>
        </w:rPr>
      </w:pPr>
      <w:r w:rsidRPr="00F64F2B">
        <w:rPr>
          <w:b/>
          <w:bCs/>
          <w:noProof/>
        </w:rPr>
        <w:t xml:space="preserve">Kiedy nie stosować leku </w:t>
      </w:r>
      <w:r w:rsidR="008B2522" w:rsidRPr="00F64F2B">
        <w:rPr>
          <w:b/>
          <w:bCs/>
          <w:noProof/>
        </w:rPr>
        <w:t>Byooviz</w:t>
      </w:r>
    </w:p>
    <w:p w14:paraId="4A6AD8A0" w14:textId="77777777" w:rsidR="001432C3" w:rsidRPr="008B2522" w:rsidRDefault="000E2AE0" w:rsidP="00F64F2B">
      <w:pPr>
        <w:pStyle w:val="a4"/>
        <w:numPr>
          <w:ilvl w:val="0"/>
          <w:numId w:val="29"/>
        </w:numPr>
        <w:tabs>
          <w:tab w:val="left" w:pos="658"/>
          <w:tab w:val="left" w:pos="659"/>
        </w:tabs>
        <w:ind w:left="658" w:right="145" w:hanging="516"/>
      </w:pPr>
      <w:r w:rsidRPr="008B2522">
        <w:t xml:space="preserve">Jeśli pacjent ma uczulenie na ranibizumab lub którykolwiek z pozostałych składników tego leku (wymienionych w </w:t>
      </w:r>
      <w:r w:rsidR="00B307D0" w:rsidRPr="008B2522">
        <w:t>punkcie</w:t>
      </w:r>
      <w:r w:rsidR="00B307D0" w:rsidRPr="00F64F2B">
        <w:t> </w:t>
      </w:r>
      <w:r w:rsidRPr="008B2522">
        <w:t>6).</w:t>
      </w:r>
    </w:p>
    <w:p w14:paraId="00055D94" w14:textId="77777777" w:rsidR="001432C3" w:rsidRPr="008B2522" w:rsidRDefault="000E2AE0" w:rsidP="00F64F2B">
      <w:pPr>
        <w:pStyle w:val="a4"/>
        <w:numPr>
          <w:ilvl w:val="0"/>
          <w:numId w:val="29"/>
        </w:numPr>
        <w:tabs>
          <w:tab w:val="left" w:pos="658"/>
          <w:tab w:val="left" w:pos="659"/>
        </w:tabs>
        <w:ind w:left="658" w:right="145" w:hanging="516"/>
      </w:pPr>
      <w:r w:rsidRPr="008B2522">
        <w:t>Jeśli u pacjenta występuje zakażenie oka lub jego</w:t>
      </w:r>
      <w:r w:rsidRPr="00F64F2B">
        <w:t xml:space="preserve"> </w:t>
      </w:r>
      <w:r w:rsidRPr="008B2522">
        <w:t>okolicy.</w:t>
      </w:r>
    </w:p>
    <w:p w14:paraId="68E39602" w14:textId="77777777" w:rsidR="001432C3" w:rsidRPr="008B2522" w:rsidRDefault="000E2AE0" w:rsidP="00F64F2B">
      <w:pPr>
        <w:pStyle w:val="a4"/>
        <w:numPr>
          <w:ilvl w:val="0"/>
          <w:numId w:val="29"/>
        </w:numPr>
        <w:tabs>
          <w:tab w:val="left" w:pos="658"/>
          <w:tab w:val="left" w:pos="659"/>
        </w:tabs>
        <w:ind w:left="658" w:right="145" w:hanging="516"/>
      </w:pPr>
      <w:r w:rsidRPr="008B2522">
        <w:t>Jeśli u pacjenta występuje ból lub zaczerwienienie oka (ciężkie zapalenie wnętrza</w:t>
      </w:r>
      <w:r w:rsidRPr="00F64F2B">
        <w:t xml:space="preserve"> </w:t>
      </w:r>
      <w:r w:rsidRPr="008B2522">
        <w:t>gałki).</w:t>
      </w:r>
    </w:p>
    <w:p w14:paraId="7DFEC11C" w14:textId="77777777" w:rsidR="001432C3" w:rsidRPr="008B2522" w:rsidRDefault="001432C3" w:rsidP="00D22CB7">
      <w:pPr>
        <w:pStyle w:val="a3"/>
      </w:pPr>
    </w:p>
    <w:p w14:paraId="31435CF0" w14:textId="77777777" w:rsidR="001432C3" w:rsidRPr="004A2080" w:rsidRDefault="000E2AE0" w:rsidP="00F64F2B">
      <w:pPr>
        <w:rPr>
          <w:b/>
          <w:bCs/>
          <w:noProof/>
        </w:rPr>
      </w:pPr>
      <w:r w:rsidRPr="004A2080">
        <w:rPr>
          <w:b/>
          <w:bCs/>
          <w:noProof/>
        </w:rPr>
        <w:t>Ostrzeżenia i środki ostrożności</w:t>
      </w:r>
    </w:p>
    <w:p w14:paraId="00513025" w14:textId="77777777" w:rsidR="001432C3" w:rsidRPr="008B2522" w:rsidRDefault="000E2AE0" w:rsidP="00D22CB7">
      <w:pPr>
        <w:pStyle w:val="a3"/>
      </w:pPr>
      <w:r w:rsidRPr="008B2522">
        <w:t xml:space="preserve">Przed rozpoczęciem stosowania leku </w:t>
      </w:r>
      <w:r w:rsidR="008B2522">
        <w:t>Byooviz</w:t>
      </w:r>
      <w:r w:rsidRPr="008B2522">
        <w:t xml:space="preserve"> należy omówić to z lekarzem.</w:t>
      </w:r>
    </w:p>
    <w:p w14:paraId="45B09D75" w14:textId="77777777" w:rsidR="001432C3" w:rsidRPr="008B2522" w:rsidRDefault="008B2522" w:rsidP="00F64F2B">
      <w:pPr>
        <w:pStyle w:val="a4"/>
        <w:numPr>
          <w:ilvl w:val="0"/>
          <w:numId w:val="29"/>
        </w:numPr>
        <w:tabs>
          <w:tab w:val="left" w:pos="658"/>
          <w:tab w:val="left" w:pos="659"/>
        </w:tabs>
        <w:ind w:left="658" w:right="145" w:hanging="516"/>
      </w:pPr>
      <w:r>
        <w:t>Byooviz</w:t>
      </w:r>
      <w:r w:rsidR="000E2AE0" w:rsidRPr="008B2522">
        <w:t xml:space="preserve"> jest podawany w postaci roztworu do wstrzykiwań do oka. Sporadycznie po leczeniu lekiem </w:t>
      </w:r>
      <w:r>
        <w:t>Byooviz</w:t>
      </w:r>
      <w:r w:rsidR="000E2AE0" w:rsidRPr="008B2522">
        <w:t xml:space="preserve"> może wystąpić zakażenie wewnętrznej części oka, ból lub zaczerwienienie (zapalenie), odwarstwienie lub przedarcie jednej z warstw tylnych oka (odwarstwienie lub przedarcie siatkówki i odwarstwienie lub przedarcie nabłonka barwnikowego siatkówki), lub zmętnienie soczewki (zaćma). Ważne jest, by to zakażenie lub odwarstwienie siatkówki jak najszybciej zidentyfikować i leczyć. Należy natychmiast poinformować lekarza, jeśli wystąpią takie objawy jak ból oka lub uczucie większego dyskomfortu w oku, nasilone zaczerwienienie oka, nieostre widzenie lub pogorszenie widzenia, większa liczba drobnych plamek w polu widzenia lub zwiększona wrażliwość na</w:t>
      </w:r>
      <w:r w:rsidR="000E2AE0" w:rsidRPr="00F64F2B">
        <w:t xml:space="preserve"> </w:t>
      </w:r>
      <w:r w:rsidR="000E2AE0" w:rsidRPr="008B2522">
        <w:t>światło.</w:t>
      </w:r>
    </w:p>
    <w:p w14:paraId="23957D2E" w14:textId="77777777" w:rsidR="001432C3" w:rsidRPr="008B2522" w:rsidRDefault="000E2AE0" w:rsidP="00F64F2B">
      <w:pPr>
        <w:pStyle w:val="a4"/>
        <w:numPr>
          <w:ilvl w:val="0"/>
          <w:numId w:val="29"/>
        </w:numPr>
        <w:tabs>
          <w:tab w:val="left" w:pos="658"/>
          <w:tab w:val="left" w:pos="659"/>
        </w:tabs>
        <w:ind w:left="658" w:right="145" w:hanging="516"/>
      </w:pPr>
      <w:r w:rsidRPr="008B2522">
        <w:t>U niektórych pacjentów przez krótki czas bezpośrednio po wstrzyknięciu może zwiększyć się ciśnienie śródgałkowe. Może to być niezauważalne dla pacjenta, dlatego po wstrzyknięciu leku lekarz może kontrolować ciśnienie</w:t>
      </w:r>
      <w:r w:rsidRPr="00F64F2B">
        <w:t xml:space="preserve"> </w:t>
      </w:r>
      <w:r w:rsidRPr="008B2522">
        <w:t>śródgałkowe.</w:t>
      </w:r>
    </w:p>
    <w:p w14:paraId="38F0103F" w14:textId="77777777" w:rsidR="001432C3" w:rsidRPr="008B2522" w:rsidRDefault="000E2AE0" w:rsidP="00F64F2B">
      <w:pPr>
        <w:pStyle w:val="a4"/>
        <w:numPr>
          <w:ilvl w:val="0"/>
          <w:numId w:val="29"/>
        </w:numPr>
        <w:tabs>
          <w:tab w:val="left" w:pos="658"/>
          <w:tab w:val="left" w:pos="659"/>
        </w:tabs>
        <w:ind w:left="658" w:right="145" w:hanging="516"/>
      </w:pPr>
      <w:r w:rsidRPr="008B2522">
        <w:t xml:space="preserve">Należy poinformować lekarza, jeśli pacjent przebył wcześniej choroby oka lub był poddany leczeniu oka, lub jeśli przebył udar lub wystąpiły u niego przejściowe objawy udaru (osłabienie lub porażenie kończyn lub twarzy, trudności w mówieniu i rozumieniu). Informacje te zostaną wzięte pod uwagę podczas podejmowania decyzji, czy lek </w:t>
      </w:r>
      <w:r w:rsidR="008B2522">
        <w:t>Byooviz</w:t>
      </w:r>
      <w:r w:rsidRPr="008B2522">
        <w:t xml:space="preserve"> jest odpowiednim lekiem dla danego</w:t>
      </w:r>
      <w:r w:rsidRPr="00F64F2B">
        <w:t xml:space="preserve"> </w:t>
      </w:r>
      <w:r w:rsidRPr="008B2522">
        <w:t>pacjenta.</w:t>
      </w:r>
    </w:p>
    <w:p w14:paraId="6CAC261D" w14:textId="77777777" w:rsidR="001432C3" w:rsidRPr="008B2522" w:rsidRDefault="001432C3">
      <w:pPr>
        <w:pStyle w:val="a3"/>
        <w:spacing w:before="1"/>
      </w:pPr>
    </w:p>
    <w:p w14:paraId="233F0F96" w14:textId="77777777" w:rsidR="001432C3" w:rsidRPr="008B2522" w:rsidRDefault="000E2AE0" w:rsidP="00D22CB7">
      <w:pPr>
        <w:pStyle w:val="a3"/>
        <w:ind w:right="546"/>
      </w:pPr>
      <w:r w:rsidRPr="008B2522">
        <w:t xml:space="preserve">Patrz </w:t>
      </w:r>
      <w:r w:rsidR="0020790E">
        <w:t>punkt </w:t>
      </w:r>
      <w:r w:rsidRPr="008B2522">
        <w:t xml:space="preserve">4. </w:t>
      </w:r>
      <w:r w:rsidRPr="008B2522">
        <w:rPr>
          <w:color w:val="212121"/>
        </w:rPr>
        <w:t xml:space="preserve">(„Możliwe działania niepożądane") w celu uzyskania szczegółowych informacji na temat działań niepożądanych, które mogą wystąpić w czasie leczenia lekiem </w:t>
      </w:r>
      <w:r w:rsidR="008B2522">
        <w:rPr>
          <w:color w:val="212121"/>
        </w:rPr>
        <w:t>Byooviz</w:t>
      </w:r>
      <w:r w:rsidRPr="008B2522">
        <w:rPr>
          <w:color w:val="212121"/>
        </w:rPr>
        <w:t>.</w:t>
      </w:r>
    </w:p>
    <w:p w14:paraId="4545BA72" w14:textId="77777777" w:rsidR="001432C3" w:rsidRPr="008B2522" w:rsidRDefault="001432C3">
      <w:pPr>
        <w:pStyle w:val="a3"/>
        <w:spacing w:before="4"/>
      </w:pPr>
    </w:p>
    <w:p w14:paraId="1F0E6FCC" w14:textId="77777777" w:rsidR="001432C3" w:rsidRPr="004A2080" w:rsidRDefault="000E2AE0" w:rsidP="00F64F2B">
      <w:pPr>
        <w:rPr>
          <w:b/>
          <w:bCs/>
          <w:noProof/>
        </w:rPr>
      </w:pPr>
      <w:r w:rsidRPr="004A2080">
        <w:rPr>
          <w:b/>
          <w:bCs/>
          <w:noProof/>
        </w:rPr>
        <w:t xml:space="preserve">Dzieci i młodzież (w wieku poniżej </w:t>
      </w:r>
      <w:r w:rsidR="00B307D0" w:rsidRPr="004A2080">
        <w:rPr>
          <w:b/>
          <w:bCs/>
          <w:noProof/>
        </w:rPr>
        <w:t>18 </w:t>
      </w:r>
      <w:r w:rsidRPr="004A2080">
        <w:rPr>
          <w:b/>
          <w:bCs/>
          <w:noProof/>
        </w:rPr>
        <w:t>lat)</w:t>
      </w:r>
    </w:p>
    <w:p w14:paraId="07E3AA6C" w14:textId="77777777" w:rsidR="00B307D0" w:rsidRPr="008B2522" w:rsidRDefault="00A60082" w:rsidP="00D22CB7">
      <w:pPr>
        <w:pStyle w:val="a3"/>
        <w:ind w:right="666"/>
      </w:pPr>
      <w:r>
        <w:t>Nie określono stosowania leku Byooviz u dzieci i młodzieży i dlatego nie jest zalecane w tej grupie wiekowej.</w:t>
      </w:r>
    </w:p>
    <w:p w14:paraId="440DA562" w14:textId="77777777" w:rsidR="001432C3" w:rsidRPr="008B2522" w:rsidRDefault="001432C3">
      <w:pPr>
        <w:pStyle w:val="a3"/>
        <w:spacing w:before="9"/>
      </w:pPr>
    </w:p>
    <w:p w14:paraId="5A8E8AA0" w14:textId="77777777" w:rsidR="001432C3" w:rsidRPr="004A2080" w:rsidRDefault="000E2AE0" w:rsidP="00F64F2B">
      <w:pPr>
        <w:rPr>
          <w:b/>
          <w:bCs/>
          <w:noProof/>
        </w:rPr>
      </w:pPr>
      <w:r w:rsidRPr="004A2080">
        <w:rPr>
          <w:b/>
          <w:bCs/>
          <w:noProof/>
        </w:rPr>
        <w:t xml:space="preserve">Lek </w:t>
      </w:r>
      <w:r w:rsidR="008B2522" w:rsidRPr="004A2080">
        <w:rPr>
          <w:b/>
          <w:bCs/>
          <w:noProof/>
        </w:rPr>
        <w:t>Byooviz</w:t>
      </w:r>
      <w:r w:rsidRPr="004A2080">
        <w:rPr>
          <w:b/>
          <w:bCs/>
          <w:noProof/>
        </w:rPr>
        <w:t xml:space="preserve"> a inne leki</w:t>
      </w:r>
    </w:p>
    <w:p w14:paraId="2968F6CA" w14:textId="77777777" w:rsidR="001432C3" w:rsidRPr="008B2522" w:rsidRDefault="000E2AE0" w:rsidP="00D22CB7">
      <w:pPr>
        <w:pStyle w:val="a3"/>
        <w:spacing w:line="242" w:lineRule="auto"/>
        <w:ind w:right="587"/>
      </w:pPr>
      <w:r w:rsidRPr="008B2522">
        <w:t>Należy powiedzieć lekarzowi o wszystkich lekach przyjmowanych obecnie lub ostatnio a także o lekach, które pacjent planuje stosować.</w:t>
      </w:r>
    </w:p>
    <w:p w14:paraId="3AD074FB" w14:textId="77777777" w:rsidR="001432C3" w:rsidRPr="008B2522" w:rsidRDefault="001432C3">
      <w:pPr>
        <w:pStyle w:val="a3"/>
        <w:spacing w:before="3"/>
      </w:pPr>
    </w:p>
    <w:p w14:paraId="6A24939A" w14:textId="77777777" w:rsidR="001432C3" w:rsidRPr="00F64F2B" w:rsidRDefault="000E2AE0" w:rsidP="00F64F2B">
      <w:pPr>
        <w:rPr>
          <w:b/>
          <w:bCs/>
          <w:noProof/>
        </w:rPr>
      </w:pPr>
      <w:r w:rsidRPr="00F64F2B">
        <w:rPr>
          <w:b/>
          <w:bCs/>
          <w:noProof/>
        </w:rPr>
        <w:t>Ciąża i karmienie piersią</w:t>
      </w:r>
    </w:p>
    <w:p w14:paraId="183F73A8" w14:textId="77777777" w:rsidR="001432C3" w:rsidRPr="008B2522" w:rsidRDefault="000E2AE0" w:rsidP="00F64F2B">
      <w:pPr>
        <w:pStyle w:val="a4"/>
        <w:numPr>
          <w:ilvl w:val="0"/>
          <w:numId w:val="29"/>
        </w:numPr>
        <w:tabs>
          <w:tab w:val="left" w:pos="658"/>
          <w:tab w:val="left" w:pos="659"/>
        </w:tabs>
        <w:ind w:left="658" w:right="145" w:hanging="516"/>
      </w:pPr>
      <w:r w:rsidRPr="008B2522">
        <w:t>Kobietom, które mogą zajść w ciążę, zaleca się stosowanie skutecznej antykoncepcji w czasie leczenia i przynajmniej przez trzy miesiące od ostatniego wstrzyknięcia leku</w:t>
      </w:r>
      <w:r w:rsidRPr="00F64F2B">
        <w:t xml:space="preserve"> </w:t>
      </w:r>
      <w:r w:rsidR="008B2522">
        <w:t>Byooviz</w:t>
      </w:r>
      <w:r w:rsidRPr="008B2522">
        <w:t>.</w:t>
      </w:r>
    </w:p>
    <w:p w14:paraId="5544BF68" w14:textId="77777777" w:rsidR="001432C3" w:rsidRPr="008B2522" w:rsidRDefault="000E2AE0" w:rsidP="00F64F2B">
      <w:pPr>
        <w:pStyle w:val="a4"/>
        <w:numPr>
          <w:ilvl w:val="0"/>
          <w:numId w:val="29"/>
        </w:numPr>
        <w:tabs>
          <w:tab w:val="left" w:pos="658"/>
          <w:tab w:val="left" w:pos="659"/>
        </w:tabs>
        <w:ind w:left="658" w:right="145" w:hanging="516"/>
      </w:pPr>
      <w:r w:rsidRPr="008B2522">
        <w:t xml:space="preserve">Nie ma doświadczenia ze stosowaniem leku </w:t>
      </w:r>
      <w:r w:rsidR="008B2522">
        <w:t>Byooviz</w:t>
      </w:r>
      <w:r w:rsidRPr="008B2522">
        <w:t xml:space="preserve"> przez kobiety w ciąży. Leku </w:t>
      </w:r>
      <w:r w:rsidR="008B2522">
        <w:t>Byooviz</w:t>
      </w:r>
      <w:r w:rsidRPr="008B2522">
        <w:t xml:space="preserve"> nie należy stosować w czasie ciąży, </w:t>
      </w:r>
      <w:r w:rsidRPr="00F64F2B">
        <w:t xml:space="preserve">chyba że potencjalne korzyści przewyższają potencjalne ryzyko dla płodu. </w:t>
      </w:r>
      <w:r w:rsidRPr="008B2522">
        <w:t>Jeśli pacjentka jest w ciąży, przypuszcza że może być w ciąży lub planuje ciążę, powinna omówić to z lekarzem przed rozpoczęciem leczenia lekiem</w:t>
      </w:r>
      <w:r w:rsidRPr="00F64F2B">
        <w:t xml:space="preserve"> </w:t>
      </w:r>
      <w:r w:rsidR="008B2522">
        <w:t>Byooviz</w:t>
      </w:r>
      <w:r w:rsidRPr="008B2522">
        <w:t>.</w:t>
      </w:r>
    </w:p>
    <w:p w14:paraId="496FEEA5" w14:textId="14EE343B" w:rsidR="001432C3" w:rsidRDefault="00F84771" w:rsidP="00F64F2B">
      <w:pPr>
        <w:pStyle w:val="a4"/>
        <w:numPr>
          <w:ilvl w:val="0"/>
          <w:numId w:val="29"/>
        </w:numPr>
        <w:tabs>
          <w:tab w:val="left" w:pos="658"/>
          <w:tab w:val="left" w:pos="659"/>
        </w:tabs>
        <w:ind w:left="658" w:right="145" w:hanging="516"/>
      </w:pPr>
      <w:r w:rsidRPr="00F84771">
        <w:t xml:space="preserve">Niewielkie ilości leku </w:t>
      </w:r>
      <w:r>
        <w:t>ranibizumab</w:t>
      </w:r>
      <w:r w:rsidRPr="00F84771">
        <w:t xml:space="preserve"> mogą przenikać do mleka matki, dlatego </w:t>
      </w:r>
      <w:r>
        <w:t>l</w:t>
      </w:r>
      <w:r w:rsidR="000E2AE0" w:rsidRPr="008B2522">
        <w:t xml:space="preserve">ek </w:t>
      </w:r>
      <w:r w:rsidR="008B2522">
        <w:t>Byooviz</w:t>
      </w:r>
      <w:r w:rsidR="000E2AE0" w:rsidRPr="008B2522">
        <w:t xml:space="preserve"> nie jest zalecany do stosowania w okresie karmienia piersią. Przed rozpoczęciem leczenia lekiem </w:t>
      </w:r>
      <w:r w:rsidR="008B2522">
        <w:t>Byooviz</w:t>
      </w:r>
      <w:r w:rsidR="000E2AE0" w:rsidRPr="008B2522">
        <w:t xml:space="preserve"> należy poradzić się lekarza lub</w:t>
      </w:r>
      <w:r w:rsidR="000E2AE0" w:rsidRPr="00F64F2B">
        <w:t xml:space="preserve"> </w:t>
      </w:r>
      <w:r w:rsidR="000E2AE0" w:rsidRPr="008B2522">
        <w:t>farmaceuty.</w:t>
      </w:r>
    </w:p>
    <w:p w14:paraId="6622FF10" w14:textId="77777777" w:rsidR="00F64F2B" w:rsidRPr="008B2522" w:rsidRDefault="00F64F2B" w:rsidP="00F64F2B">
      <w:pPr>
        <w:pStyle w:val="a4"/>
        <w:tabs>
          <w:tab w:val="left" w:pos="658"/>
          <w:tab w:val="left" w:pos="659"/>
        </w:tabs>
        <w:ind w:left="658" w:right="145" w:firstLine="0"/>
      </w:pPr>
    </w:p>
    <w:p w14:paraId="67A001D2" w14:textId="77777777" w:rsidR="001432C3" w:rsidRPr="004A2080" w:rsidRDefault="000E2AE0" w:rsidP="000F168C">
      <w:pPr>
        <w:keepNext/>
        <w:keepLines/>
        <w:widowControl/>
        <w:rPr>
          <w:b/>
          <w:bCs/>
          <w:noProof/>
        </w:rPr>
      </w:pPr>
      <w:r w:rsidRPr="004A2080">
        <w:rPr>
          <w:b/>
          <w:bCs/>
          <w:noProof/>
        </w:rPr>
        <w:lastRenderedPageBreak/>
        <w:t>Prowadzenie pojazdów i obsługiwanie maszyn</w:t>
      </w:r>
    </w:p>
    <w:p w14:paraId="0072BC8B" w14:textId="77777777" w:rsidR="001432C3" w:rsidRPr="008B2522" w:rsidRDefault="000E2AE0" w:rsidP="000F168C">
      <w:pPr>
        <w:pStyle w:val="a3"/>
        <w:keepNext/>
        <w:keepLines/>
        <w:widowControl/>
        <w:ind w:right="770"/>
      </w:pPr>
      <w:r w:rsidRPr="008B2522">
        <w:t xml:space="preserve">Po leczeniu lekiem </w:t>
      </w:r>
      <w:r w:rsidR="008B2522">
        <w:t>Byooviz</w:t>
      </w:r>
      <w:r w:rsidRPr="008B2522">
        <w:t xml:space="preserve"> mogą wystąpić przemijające zaburzenia ostrości wzroku. W takim przypadku nie należy prowadzić pojazdów ani obsługiwać maszyn aż do ustąpienia objawów.</w:t>
      </w:r>
    </w:p>
    <w:p w14:paraId="4CB7DF83" w14:textId="77777777" w:rsidR="001432C3" w:rsidRPr="008B2522" w:rsidRDefault="001432C3">
      <w:pPr>
        <w:pStyle w:val="a3"/>
        <w:rPr>
          <w:sz w:val="24"/>
        </w:rPr>
      </w:pPr>
    </w:p>
    <w:p w14:paraId="45067537" w14:textId="77777777" w:rsidR="001432C3" w:rsidRPr="008B2522" w:rsidRDefault="001432C3">
      <w:pPr>
        <w:pStyle w:val="a3"/>
        <w:spacing w:before="8"/>
        <w:rPr>
          <w:sz w:val="20"/>
        </w:rPr>
      </w:pPr>
    </w:p>
    <w:p w14:paraId="23CB8F02" w14:textId="77777777" w:rsidR="001432C3" w:rsidRPr="00F64F2B" w:rsidRDefault="00B00A61" w:rsidP="00E0574D">
      <w:pPr>
        <w:ind w:right="430"/>
        <w:rPr>
          <w:b/>
          <w:noProof/>
        </w:rPr>
      </w:pPr>
      <w:r>
        <w:rPr>
          <w:b/>
          <w:noProof/>
        </w:rPr>
        <w:t>3.</w:t>
      </w:r>
      <w:r>
        <w:rPr>
          <w:b/>
          <w:noProof/>
        </w:rPr>
        <w:tab/>
      </w:r>
      <w:r w:rsidR="000E2AE0" w:rsidRPr="00F64F2B">
        <w:rPr>
          <w:b/>
          <w:noProof/>
        </w:rPr>
        <w:t xml:space="preserve">Jak stosować lek </w:t>
      </w:r>
      <w:r w:rsidR="008B2522" w:rsidRPr="00F64F2B">
        <w:rPr>
          <w:b/>
          <w:noProof/>
        </w:rPr>
        <w:t>Byooviz</w:t>
      </w:r>
    </w:p>
    <w:p w14:paraId="5339F2E7" w14:textId="77777777" w:rsidR="001432C3" w:rsidRPr="00F64F2B" w:rsidRDefault="001432C3" w:rsidP="00F64F2B">
      <w:pPr>
        <w:rPr>
          <w:noProof/>
        </w:rPr>
      </w:pPr>
    </w:p>
    <w:p w14:paraId="71286414" w14:textId="77777777" w:rsidR="001432C3" w:rsidRPr="008B2522" w:rsidRDefault="000E2AE0" w:rsidP="00D22CB7">
      <w:pPr>
        <w:pStyle w:val="a3"/>
        <w:ind w:right="128"/>
      </w:pPr>
      <w:r w:rsidRPr="008B2522">
        <w:t xml:space="preserve">Lek </w:t>
      </w:r>
      <w:r w:rsidR="008B2522">
        <w:t>Byooviz</w:t>
      </w:r>
      <w:r w:rsidRPr="008B2522">
        <w:t xml:space="preserve"> jest podawany w postaci pojedynczego wstrzyknięcia do oka wykonywanego przez lekarza okulistę w znieczuleniu miejscowym. Zwykle stosowana dawka wstrzyknięcia wynosi 0,05</w:t>
      </w:r>
      <w:r w:rsidR="0020790E">
        <w:t> ml</w:t>
      </w:r>
      <w:r w:rsidRPr="008B2522">
        <w:t xml:space="preserve"> (które zawiera 0,5</w:t>
      </w:r>
      <w:r w:rsidR="00257CD6">
        <w:t> mg</w:t>
      </w:r>
      <w:r w:rsidRPr="008B2522">
        <w:t xml:space="preserve"> substancji czynnej). Odstęp pomiędzy dwoma kolejnymi wstrzyknięciami leku </w:t>
      </w:r>
      <w:r w:rsidR="008B2522">
        <w:t>Byooviz</w:t>
      </w:r>
      <w:r w:rsidRPr="008B2522">
        <w:t xml:space="preserve"> do tego samego oka powinien wynosić przynajmniej cztery tygodnie. Wszystkie wstrzyknięcia będą wykonywane przez lekarza okulistę.</w:t>
      </w:r>
    </w:p>
    <w:p w14:paraId="35943D24" w14:textId="77777777" w:rsidR="001432C3" w:rsidRPr="008B2522" w:rsidRDefault="001432C3">
      <w:pPr>
        <w:pStyle w:val="a3"/>
      </w:pPr>
    </w:p>
    <w:p w14:paraId="12FA5AE2" w14:textId="77777777" w:rsidR="001432C3" w:rsidRPr="008B2522" w:rsidRDefault="000E2AE0" w:rsidP="00D22CB7">
      <w:pPr>
        <w:pStyle w:val="a3"/>
        <w:ind w:right="453"/>
      </w:pPr>
      <w:r w:rsidRPr="008B2522">
        <w:t>Przed wstrzyknięciem, lekarz dokładnie umyje oko pacjenta, aby zapobiec zakażeniu. Lekarz poda również miejscowy lek znieczulający w celu zmniejszenia lub uniknięcia bólu, który może towarzyszyć wstrzyknięciu.</w:t>
      </w:r>
    </w:p>
    <w:p w14:paraId="297D4A8C" w14:textId="77777777" w:rsidR="001432C3" w:rsidRPr="008B2522" w:rsidRDefault="001432C3">
      <w:pPr>
        <w:pStyle w:val="a3"/>
        <w:spacing w:before="9"/>
        <w:rPr>
          <w:sz w:val="21"/>
        </w:rPr>
      </w:pPr>
    </w:p>
    <w:p w14:paraId="46A1AA69" w14:textId="77777777" w:rsidR="001432C3" w:rsidRPr="008B2522" w:rsidRDefault="000E2AE0" w:rsidP="00D22CB7">
      <w:pPr>
        <w:pStyle w:val="a3"/>
        <w:ind w:right="111"/>
      </w:pPr>
      <w:r w:rsidRPr="008B2522">
        <w:t xml:space="preserve">Leczenie rozpoczyna się podając jedno wstrzyknięcie leku </w:t>
      </w:r>
      <w:r w:rsidR="008B2522">
        <w:t>Byooviz</w:t>
      </w:r>
      <w:r w:rsidRPr="008B2522">
        <w:t xml:space="preserve"> na miesiąc. Lekarz będzie kontrolował stan oka pacjenta i w zależności od odpowiedzi na leczenie zdecyduje, czy i kiedy pacjent powinien otrzymać dalsze leczenie.</w:t>
      </w:r>
    </w:p>
    <w:p w14:paraId="431357E9" w14:textId="77777777" w:rsidR="001432C3" w:rsidRPr="008B2522" w:rsidRDefault="001432C3">
      <w:pPr>
        <w:pStyle w:val="a3"/>
        <w:spacing w:before="11"/>
        <w:rPr>
          <w:sz w:val="21"/>
        </w:rPr>
      </w:pPr>
    </w:p>
    <w:p w14:paraId="58205059" w14:textId="77777777" w:rsidR="001432C3" w:rsidRPr="008B2522" w:rsidRDefault="000E2AE0" w:rsidP="00D22CB7">
      <w:pPr>
        <w:pStyle w:val="a3"/>
        <w:ind w:right="452"/>
      </w:pPr>
      <w:r w:rsidRPr="008B2522">
        <w:t xml:space="preserve">Szczegółowe instrukcje użytkowania znajdują się na końcu ulotki „Jak przygotować i podawać lek </w:t>
      </w:r>
      <w:r w:rsidR="008B2522">
        <w:t>Byooviz</w:t>
      </w:r>
      <w:r w:rsidRPr="008B2522">
        <w:t>”.</w:t>
      </w:r>
    </w:p>
    <w:p w14:paraId="6AB743D7" w14:textId="77777777" w:rsidR="001432C3" w:rsidRPr="008B2522" w:rsidRDefault="001432C3">
      <w:pPr>
        <w:pStyle w:val="a3"/>
        <w:spacing w:before="4"/>
      </w:pPr>
    </w:p>
    <w:p w14:paraId="13B28353" w14:textId="77777777" w:rsidR="001432C3" w:rsidRPr="004A2080" w:rsidRDefault="000E2AE0" w:rsidP="00F64F2B">
      <w:pPr>
        <w:rPr>
          <w:b/>
          <w:bCs/>
          <w:noProof/>
        </w:rPr>
      </w:pPr>
      <w:r w:rsidRPr="004A2080">
        <w:rPr>
          <w:b/>
          <w:bCs/>
          <w:noProof/>
        </w:rPr>
        <w:t>Osoby w podeszłym wieku (65 lat i starsze)</w:t>
      </w:r>
    </w:p>
    <w:p w14:paraId="4264B010" w14:textId="77777777" w:rsidR="001432C3" w:rsidRPr="008B2522" w:rsidRDefault="000E2AE0" w:rsidP="00D22CB7">
      <w:pPr>
        <w:pStyle w:val="a3"/>
        <w:ind w:right="311"/>
      </w:pPr>
      <w:r w:rsidRPr="008B2522">
        <w:t xml:space="preserve">Lek </w:t>
      </w:r>
      <w:r w:rsidR="008B2522">
        <w:t>Byooviz</w:t>
      </w:r>
      <w:r w:rsidRPr="008B2522">
        <w:t xml:space="preserve"> może być stosowany u osób w wieku 65 lat i starszych bez konieczności dostosowania dawki.</w:t>
      </w:r>
    </w:p>
    <w:p w14:paraId="2BC33666" w14:textId="77777777" w:rsidR="001432C3" w:rsidRPr="008B2522" w:rsidRDefault="001432C3">
      <w:pPr>
        <w:pStyle w:val="a3"/>
        <w:spacing w:before="8"/>
      </w:pPr>
    </w:p>
    <w:p w14:paraId="7B0A9FB2" w14:textId="77777777" w:rsidR="001432C3" w:rsidRPr="004A2080" w:rsidRDefault="000E2AE0" w:rsidP="00F64F2B">
      <w:pPr>
        <w:rPr>
          <w:b/>
          <w:bCs/>
          <w:noProof/>
        </w:rPr>
      </w:pPr>
      <w:r w:rsidRPr="004A2080">
        <w:rPr>
          <w:b/>
          <w:bCs/>
          <w:noProof/>
        </w:rPr>
        <w:t xml:space="preserve">Przed zakończeniem leczenia lekiem </w:t>
      </w:r>
      <w:r w:rsidR="008B2522" w:rsidRPr="004A2080">
        <w:rPr>
          <w:b/>
          <w:bCs/>
          <w:noProof/>
        </w:rPr>
        <w:t>Byooviz</w:t>
      </w:r>
    </w:p>
    <w:p w14:paraId="619D7C27" w14:textId="77777777" w:rsidR="001432C3" w:rsidRPr="008B2522" w:rsidRDefault="000E2AE0" w:rsidP="00D22CB7">
      <w:pPr>
        <w:pStyle w:val="a3"/>
        <w:ind w:right="240"/>
      </w:pPr>
      <w:r w:rsidRPr="008B2522">
        <w:t xml:space="preserve">Jeśli pacjent rozważa przerwanie leczenia lekiem </w:t>
      </w:r>
      <w:r w:rsidR="008B2522">
        <w:t>Byooviz</w:t>
      </w:r>
      <w:r w:rsidRPr="008B2522">
        <w:t xml:space="preserve">, należy zgłosić się na kolejną wyznaczoną wizytę i omówić ten problem z lekarzem. Lekarz doradzi pacjentowi i podejmie decyzję o tym, jak długo należy prowadzić leczenie lekiem </w:t>
      </w:r>
      <w:r w:rsidR="008B2522">
        <w:t>Byooviz</w:t>
      </w:r>
      <w:r w:rsidRPr="008B2522">
        <w:t>.</w:t>
      </w:r>
    </w:p>
    <w:p w14:paraId="71B0D42F" w14:textId="77777777" w:rsidR="001432C3" w:rsidRPr="008B2522" w:rsidRDefault="001432C3">
      <w:pPr>
        <w:pStyle w:val="a3"/>
        <w:spacing w:before="3"/>
      </w:pPr>
    </w:p>
    <w:p w14:paraId="27C8FE1F" w14:textId="77777777" w:rsidR="001432C3" w:rsidRPr="008B2522" w:rsidRDefault="000E2AE0" w:rsidP="00D22CB7">
      <w:pPr>
        <w:pStyle w:val="a3"/>
        <w:ind w:right="172"/>
      </w:pPr>
      <w:r w:rsidRPr="008B2522">
        <w:t>W razie jakichkolwiek dalszych wątpliwości związanych ze zastosowaniem tego leku, należy zwrócić się do lekarza.</w:t>
      </w:r>
    </w:p>
    <w:p w14:paraId="64C9A63A" w14:textId="77777777" w:rsidR="001432C3" w:rsidRPr="008B2522" w:rsidRDefault="001432C3">
      <w:pPr>
        <w:pStyle w:val="a3"/>
        <w:rPr>
          <w:sz w:val="24"/>
        </w:rPr>
      </w:pPr>
    </w:p>
    <w:p w14:paraId="26FAFD67" w14:textId="77777777" w:rsidR="001432C3" w:rsidRPr="008B2522" w:rsidRDefault="001432C3">
      <w:pPr>
        <w:pStyle w:val="a3"/>
        <w:spacing w:before="6"/>
        <w:rPr>
          <w:sz w:val="20"/>
        </w:rPr>
      </w:pPr>
    </w:p>
    <w:p w14:paraId="05D81557" w14:textId="77777777" w:rsidR="001432C3" w:rsidRPr="00F64F2B" w:rsidRDefault="00B00A61" w:rsidP="00E0574D">
      <w:pPr>
        <w:ind w:right="430"/>
        <w:rPr>
          <w:b/>
          <w:noProof/>
        </w:rPr>
      </w:pPr>
      <w:r>
        <w:rPr>
          <w:b/>
          <w:noProof/>
        </w:rPr>
        <w:t>4.</w:t>
      </w:r>
      <w:r>
        <w:rPr>
          <w:b/>
          <w:noProof/>
        </w:rPr>
        <w:tab/>
      </w:r>
      <w:r w:rsidR="000E2AE0" w:rsidRPr="00F64F2B">
        <w:rPr>
          <w:b/>
          <w:noProof/>
        </w:rPr>
        <w:t>Możliwe działania niepożądane</w:t>
      </w:r>
    </w:p>
    <w:p w14:paraId="4DB75191" w14:textId="77777777" w:rsidR="001432C3" w:rsidRPr="00F64F2B" w:rsidRDefault="001432C3" w:rsidP="00F64F2B">
      <w:pPr>
        <w:rPr>
          <w:noProof/>
        </w:rPr>
      </w:pPr>
    </w:p>
    <w:p w14:paraId="0CC112E7" w14:textId="77777777" w:rsidR="001432C3" w:rsidRPr="008B2522" w:rsidRDefault="000E2AE0" w:rsidP="00D22CB7">
      <w:pPr>
        <w:pStyle w:val="a3"/>
      </w:pPr>
      <w:r w:rsidRPr="008B2522">
        <w:t>Jak każdy lek, lek ten może powodować działania niepożądane, chociaż nie u każdego one wystąpią.</w:t>
      </w:r>
    </w:p>
    <w:p w14:paraId="65FED89F" w14:textId="77777777" w:rsidR="001432C3" w:rsidRPr="008B2522" w:rsidRDefault="001432C3">
      <w:pPr>
        <w:pStyle w:val="a3"/>
      </w:pPr>
    </w:p>
    <w:p w14:paraId="7CC92825" w14:textId="77777777" w:rsidR="001432C3" w:rsidRPr="008B2522" w:rsidRDefault="000E2AE0" w:rsidP="00D22CB7">
      <w:pPr>
        <w:pStyle w:val="a3"/>
        <w:ind w:right="648"/>
      </w:pPr>
      <w:r w:rsidRPr="008B2522">
        <w:t xml:space="preserve">Działania niepożądane związane z podawaniem leku </w:t>
      </w:r>
      <w:r w:rsidR="008B2522">
        <w:t>Byooviz</w:t>
      </w:r>
      <w:r w:rsidRPr="008B2522">
        <w:t xml:space="preserve"> wynikają z jego stosowania lub są związane z zabiegiem wstrzyknięcia i wpływają przede wszystkim na oko.</w:t>
      </w:r>
    </w:p>
    <w:p w14:paraId="4C161238" w14:textId="77777777" w:rsidR="001432C3" w:rsidRPr="008B2522" w:rsidRDefault="001432C3">
      <w:pPr>
        <w:pStyle w:val="a3"/>
        <w:spacing w:before="9"/>
        <w:rPr>
          <w:sz w:val="21"/>
        </w:rPr>
      </w:pPr>
    </w:p>
    <w:p w14:paraId="05C5D513" w14:textId="77777777" w:rsidR="001432C3" w:rsidRPr="008B2522" w:rsidRDefault="000E2AE0" w:rsidP="00D22CB7">
      <w:pPr>
        <w:pStyle w:val="a3"/>
      </w:pPr>
      <w:r w:rsidRPr="008B2522">
        <w:t>Najcięższe działania niepożądane zostały opisane poniżej:</w:t>
      </w:r>
    </w:p>
    <w:p w14:paraId="118BEE81" w14:textId="77777777" w:rsidR="001432C3" w:rsidRPr="008B2522" w:rsidRDefault="000E2AE0" w:rsidP="00D22CB7">
      <w:pPr>
        <w:pStyle w:val="a3"/>
        <w:spacing w:before="1"/>
        <w:ind w:right="98"/>
      </w:pPr>
      <w:r w:rsidRPr="008B2522">
        <w:rPr>
          <w:b/>
        </w:rPr>
        <w:t xml:space="preserve">Częste ciężkie działania niepożądane </w:t>
      </w:r>
      <w:r w:rsidRPr="008B2522">
        <w:t xml:space="preserve">(może dotyczyć nie więcej niż </w:t>
      </w:r>
      <w:r w:rsidR="00854982" w:rsidRPr="008B2522">
        <w:t>1</w:t>
      </w:r>
      <w:r w:rsidR="00854982">
        <w:t> </w:t>
      </w:r>
      <w:r w:rsidRPr="008B2522">
        <w:t>pacjenta na 10): Odwarstwienie lub przedarcie warstwy tylnej oka (odwarstwienie lub przedarcie siatkówki) objawiające się błyskami światła oraz mętami w ciele szklistym prowadzącymi do przemijającej utraty widzenia lub zmętnienie soczewki (zaćma).</w:t>
      </w:r>
    </w:p>
    <w:p w14:paraId="404991F8" w14:textId="77777777" w:rsidR="001432C3" w:rsidRPr="008B2522" w:rsidRDefault="000E2AE0" w:rsidP="00D22CB7">
      <w:pPr>
        <w:ind w:right="452"/>
      </w:pPr>
      <w:r w:rsidRPr="008B2522">
        <w:rPr>
          <w:b/>
        </w:rPr>
        <w:t xml:space="preserve">Niezbyt częste działania niepożądane </w:t>
      </w:r>
      <w:r w:rsidRPr="008B2522">
        <w:t xml:space="preserve">(może dotyczyć nie więcej niż </w:t>
      </w:r>
      <w:r w:rsidR="00854982" w:rsidRPr="008B2522">
        <w:t>1</w:t>
      </w:r>
      <w:r w:rsidR="00854982">
        <w:t> </w:t>
      </w:r>
      <w:r w:rsidRPr="008B2522">
        <w:t>pacjenta na 100): Ślepota, zakażenie gałki ocznej (wewnętrzne zapalenie oka) z zapaleniem wewnętrznej części oka.</w:t>
      </w:r>
    </w:p>
    <w:p w14:paraId="6171BF64" w14:textId="77777777" w:rsidR="001432C3" w:rsidRPr="008B2522" w:rsidRDefault="001432C3">
      <w:pPr>
        <w:pStyle w:val="a3"/>
        <w:spacing w:before="1"/>
      </w:pPr>
    </w:p>
    <w:p w14:paraId="63C85989" w14:textId="77777777" w:rsidR="001432C3" w:rsidRPr="008B2522" w:rsidRDefault="000E2AE0" w:rsidP="00D22CB7">
      <w:pPr>
        <w:spacing w:before="1" w:line="242" w:lineRule="auto"/>
        <w:ind w:right="349"/>
        <w:rPr>
          <w:b/>
        </w:rPr>
      </w:pPr>
      <w:r w:rsidRPr="008B2522">
        <w:t xml:space="preserve">Objawy, które mogą wystąpić to ból lub narastające uczucie dyskomfortu w oku, nasilone zaczerwienienie oka, zaburzenia lub pogorszenie widzenia, większa liczba drobnych plamek w polu widzenia, lub zwiększona wrażliwość na światło. </w:t>
      </w:r>
      <w:r w:rsidRPr="008B2522">
        <w:rPr>
          <w:b/>
        </w:rPr>
        <w:t>Należy natychmiast poinformować lekarza, w razie wystąpienia któregokolwiek z tych objawów.</w:t>
      </w:r>
    </w:p>
    <w:p w14:paraId="181FC06D" w14:textId="77777777" w:rsidR="001432C3" w:rsidRPr="008B2522" w:rsidRDefault="001432C3">
      <w:pPr>
        <w:spacing w:line="242" w:lineRule="auto"/>
        <w:sectPr w:rsidR="001432C3" w:rsidRPr="008B2522" w:rsidSect="00F64F2B">
          <w:pgSz w:w="11910" w:h="16840"/>
          <w:pgMar w:top="1378" w:right="1202" w:bottom="902" w:left="1202" w:header="0" w:footer="656" w:gutter="0"/>
          <w:cols w:space="720"/>
          <w:docGrid w:linePitch="299"/>
        </w:sectPr>
      </w:pPr>
    </w:p>
    <w:p w14:paraId="1525DF68" w14:textId="77777777" w:rsidR="001432C3" w:rsidRPr="008B2522" w:rsidRDefault="000E2AE0" w:rsidP="00D22CB7">
      <w:pPr>
        <w:pStyle w:val="a3"/>
        <w:spacing w:before="68"/>
      </w:pPr>
      <w:r w:rsidRPr="008B2522">
        <w:lastRenderedPageBreak/>
        <w:t>Najczęściej zgłaszane działania niepożądane są opisane poniżej:</w:t>
      </w:r>
    </w:p>
    <w:p w14:paraId="68F84908" w14:textId="77777777" w:rsidR="001432C3" w:rsidRPr="004A2080" w:rsidRDefault="000E2AE0" w:rsidP="00F64F2B">
      <w:pPr>
        <w:rPr>
          <w:b/>
          <w:bCs/>
          <w:noProof/>
        </w:rPr>
      </w:pPr>
      <w:r w:rsidRPr="004A2080">
        <w:rPr>
          <w:b/>
          <w:bCs/>
          <w:noProof/>
        </w:rPr>
        <w:t>Bardzo częste działania niepożądane</w:t>
      </w:r>
      <w:r w:rsidRPr="004A2080">
        <w:rPr>
          <w:bCs/>
          <w:noProof/>
        </w:rPr>
        <w:t xml:space="preserve"> (może dotyczyć więcej niż </w:t>
      </w:r>
      <w:r w:rsidR="00854982" w:rsidRPr="004A2080">
        <w:rPr>
          <w:bCs/>
          <w:noProof/>
        </w:rPr>
        <w:t>1 </w:t>
      </w:r>
      <w:r w:rsidRPr="004A2080">
        <w:rPr>
          <w:bCs/>
          <w:noProof/>
        </w:rPr>
        <w:t>pacjenta na 10)</w:t>
      </w:r>
    </w:p>
    <w:p w14:paraId="1816B736" w14:textId="77777777" w:rsidR="001432C3" w:rsidRPr="008B2522" w:rsidRDefault="000E2AE0" w:rsidP="00D22CB7">
      <w:pPr>
        <w:pStyle w:val="a3"/>
        <w:ind w:right="128"/>
      </w:pPr>
      <w:r w:rsidRPr="008B2522">
        <w:t>Działania niepożądane dotyczące oka: Zapalenie oka, krwawienie w tylnej części oka (krwawienie w obrębie siatkówki), zaburzenia widzenia, ból oka, niewielkie cząsteczki lub plamki w polu widzenia (męty w ciele szklistym), przekrwienie oka, podrażnienie oka, uczucie ciała obcego w oku, nasilone łzawienie, zapalenie lub zakażenie brzegów powieki, suchość oka, zaczerwienienie lub swędzenie oka oraz zwiększenie ciśnienia śródgałkowego.</w:t>
      </w:r>
    </w:p>
    <w:p w14:paraId="3A7F5D65" w14:textId="77777777" w:rsidR="001432C3" w:rsidRPr="008B2522" w:rsidRDefault="000E2AE0" w:rsidP="00D22CB7">
      <w:pPr>
        <w:pStyle w:val="a3"/>
        <w:ind w:right="469"/>
      </w:pPr>
      <w:r w:rsidRPr="008B2522">
        <w:t>Działania niepożądane niedotyczące oka: Ból gardła, przekrwienie błony śluzowej nosa, katar, ból głowy i ból stawów.</w:t>
      </w:r>
    </w:p>
    <w:p w14:paraId="432ED02C" w14:textId="77777777" w:rsidR="001432C3" w:rsidRPr="008B2522" w:rsidRDefault="001432C3">
      <w:pPr>
        <w:pStyle w:val="a3"/>
      </w:pPr>
    </w:p>
    <w:p w14:paraId="75F4F1B6" w14:textId="77777777" w:rsidR="001432C3" w:rsidRPr="008B2522" w:rsidRDefault="000E2AE0" w:rsidP="00D22CB7">
      <w:pPr>
        <w:pStyle w:val="a3"/>
        <w:spacing w:before="1"/>
      </w:pPr>
      <w:r w:rsidRPr="008B2522">
        <w:t xml:space="preserve">Inne działania niepożądane, które mogą wystąpić po podaniu leku </w:t>
      </w:r>
      <w:r w:rsidR="008B2522">
        <w:t>Byooviz</w:t>
      </w:r>
      <w:r w:rsidRPr="008B2522">
        <w:t xml:space="preserve"> są opisane poniżej:</w:t>
      </w:r>
    </w:p>
    <w:p w14:paraId="50E9C921" w14:textId="77777777" w:rsidR="001432C3" w:rsidRPr="004A2080" w:rsidRDefault="000E2AE0" w:rsidP="00F64F2B">
      <w:pPr>
        <w:rPr>
          <w:b/>
          <w:bCs/>
          <w:noProof/>
        </w:rPr>
      </w:pPr>
      <w:r w:rsidRPr="004A2080">
        <w:rPr>
          <w:b/>
          <w:bCs/>
          <w:noProof/>
        </w:rPr>
        <w:t>Częste działania niepożądane</w:t>
      </w:r>
    </w:p>
    <w:p w14:paraId="33D5D420" w14:textId="77777777" w:rsidR="001432C3" w:rsidRPr="008B2522" w:rsidRDefault="000E2AE0" w:rsidP="00D22CB7">
      <w:pPr>
        <w:pStyle w:val="a3"/>
        <w:ind w:right="378"/>
      </w:pPr>
      <w:r w:rsidRPr="008B2522">
        <w:t>Działania niepożądane dotyczące oka: Zmniejszenie ostrości widzenia, obrzęk części oka (błony naczyniowej, rogówki), zapalenie rogówki (przednia część oka), niewielkie zmiany na powierzchni oka, zamazane widzenie, krwawienie w miejscu wstrzyknięcia, krwawienie wewnątrzgałkowe, wydzielina z oka, której towarzyszy swędzenie, zaczerwienienie i obrzęk (zapalenie spojówek), wrażliwość na światło, uczucie dyskomfortu w oku, opuchnięcie powieki, ból powieki.</w:t>
      </w:r>
    </w:p>
    <w:p w14:paraId="2D37A100" w14:textId="77777777" w:rsidR="001432C3" w:rsidRPr="008B2522" w:rsidRDefault="000E2AE0" w:rsidP="00D22CB7">
      <w:pPr>
        <w:pStyle w:val="a3"/>
        <w:spacing w:before="2"/>
        <w:ind w:right="389"/>
      </w:pPr>
      <w:r w:rsidRPr="008B2522">
        <w:t>Działania niepożądane niedotyczące oka: Zakażenie układu moczowego, mała liczba czerwonych krwinek (z takimi objawami, jak zmęczenie, duszności, zawroty głowy, bladość skóry), lęk, kaszel, nudności, reakcje alergiczne takie jak wysypka, pokrzywka, świąd i zaczerwienienie skóry.</w:t>
      </w:r>
    </w:p>
    <w:p w14:paraId="4A283A84" w14:textId="77777777" w:rsidR="001432C3" w:rsidRPr="008B2522" w:rsidRDefault="001432C3">
      <w:pPr>
        <w:pStyle w:val="a3"/>
        <w:spacing w:before="5"/>
      </w:pPr>
    </w:p>
    <w:p w14:paraId="0459B8AB" w14:textId="77777777" w:rsidR="001432C3" w:rsidRPr="004A2080" w:rsidRDefault="000E2AE0" w:rsidP="00F64F2B">
      <w:pPr>
        <w:rPr>
          <w:b/>
          <w:bCs/>
          <w:noProof/>
        </w:rPr>
      </w:pPr>
      <w:r w:rsidRPr="004A2080">
        <w:rPr>
          <w:b/>
          <w:bCs/>
          <w:noProof/>
        </w:rPr>
        <w:t>Niezbyt częste działania niepożądane</w:t>
      </w:r>
    </w:p>
    <w:p w14:paraId="010E1C04" w14:textId="77777777" w:rsidR="001432C3" w:rsidRPr="008B2522" w:rsidRDefault="000E2AE0" w:rsidP="00D22CB7">
      <w:pPr>
        <w:pStyle w:val="a3"/>
        <w:ind w:right="238"/>
      </w:pPr>
      <w:r w:rsidRPr="008B2522">
        <w:t>Działania niepożądane dotyczące oka: Zapalenie i krwawienie w przedniej części oka, zropienie oka, zmiany na środkowej części powierzchni oka, ból lub podrażnienie w miejscu wstrzyknięcia, nieprawidłowe odczucie wewnątrz oka, podrażnienie powieki.</w:t>
      </w:r>
    </w:p>
    <w:p w14:paraId="15557928" w14:textId="77777777" w:rsidR="001432C3" w:rsidRPr="008B2522" w:rsidRDefault="001432C3" w:rsidP="00D22CB7">
      <w:pPr>
        <w:pStyle w:val="a3"/>
        <w:ind w:right="695"/>
      </w:pPr>
    </w:p>
    <w:p w14:paraId="0B15B3C0" w14:textId="77777777" w:rsidR="001432C3" w:rsidRPr="00024CB3" w:rsidRDefault="000E2AE0" w:rsidP="00F64F2B">
      <w:pPr>
        <w:rPr>
          <w:b/>
          <w:bCs/>
          <w:noProof/>
        </w:rPr>
      </w:pPr>
      <w:r w:rsidRPr="00024CB3">
        <w:rPr>
          <w:b/>
          <w:bCs/>
          <w:noProof/>
        </w:rPr>
        <w:t>Zgłaszanie działań niepożądanych</w:t>
      </w:r>
    </w:p>
    <w:p w14:paraId="5A9D7EEA" w14:textId="77777777" w:rsidR="001432C3" w:rsidRPr="008B2522" w:rsidRDefault="000E2AE0" w:rsidP="00D22CB7">
      <w:pPr>
        <w:pStyle w:val="a3"/>
        <w:ind w:right="96"/>
      </w:pPr>
      <w:r w:rsidRPr="008B2522">
        <w:t xml:space="preserve">Jeśli wystąpią jakiekolwiek objawy niepożądane, w </w:t>
      </w:r>
      <w:r w:rsidRPr="00024CB3">
        <w:t>tym wszelkie</w:t>
      </w:r>
      <w:r w:rsidRPr="008B2522">
        <w:t xml:space="preserve"> objawy niepożądane niewymienione w ulotce, należy powiedzieć o tym lekarzowi. Działania niepożądane można zgłaszać bezpośrednio do</w:t>
      </w:r>
      <w:r w:rsidR="004763C1" w:rsidRPr="00024CB3">
        <w:t xml:space="preserve"> </w:t>
      </w:r>
      <w:r w:rsidRPr="008B2522">
        <w:rPr>
          <w:shd w:val="clear" w:color="auto" w:fill="D9D9D9"/>
        </w:rPr>
        <w:t xml:space="preserve">„krajowego systemu zgłaszania” wymienionego w </w:t>
      </w:r>
      <w:hyperlink r:id="rId23">
        <w:r w:rsidRPr="00024CB3">
          <w:rPr>
            <w:color w:val="0000FF"/>
            <w:u w:val="single"/>
            <w:shd w:val="clear" w:color="auto" w:fill="D9D9D9"/>
          </w:rPr>
          <w:t>załączniku V</w:t>
        </w:r>
      </w:hyperlink>
      <w:r w:rsidRPr="008B2522">
        <w:t>. Dzięki zgłaszaniu działań niepożądanych można będzie zgromadzić więcej informacji na temat bezpieczeństwa stosowania leku.</w:t>
      </w:r>
    </w:p>
    <w:p w14:paraId="671AB501" w14:textId="77777777" w:rsidR="001432C3" w:rsidRPr="008B2522" w:rsidRDefault="001432C3">
      <w:pPr>
        <w:pStyle w:val="a3"/>
        <w:rPr>
          <w:sz w:val="24"/>
        </w:rPr>
      </w:pPr>
    </w:p>
    <w:p w14:paraId="069ECF5E" w14:textId="77777777" w:rsidR="001432C3" w:rsidRPr="008B2522" w:rsidRDefault="001432C3">
      <w:pPr>
        <w:pStyle w:val="a3"/>
        <w:spacing w:before="3"/>
        <w:rPr>
          <w:sz w:val="20"/>
        </w:rPr>
      </w:pPr>
    </w:p>
    <w:p w14:paraId="1586011F" w14:textId="77777777" w:rsidR="001432C3" w:rsidRPr="00F64F2B" w:rsidRDefault="00B00A61" w:rsidP="00E0574D">
      <w:pPr>
        <w:ind w:right="430"/>
        <w:rPr>
          <w:b/>
          <w:noProof/>
        </w:rPr>
      </w:pPr>
      <w:r>
        <w:rPr>
          <w:b/>
          <w:noProof/>
        </w:rPr>
        <w:t>5.</w:t>
      </w:r>
      <w:r>
        <w:rPr>
          <w:b/>
          <w:noProof/>
        </w:rPr>
        <w:tab/>
      </w:r>
      <w:r w:rsidR="000E2AE0" w:rsidRPr="00F64F2B">
        <w:rPr>
          <w:b/>
          <w:noProof/>
        </w:rPr>
        <w:t xml:space="preserve">Jak przechowywać lek </w:t>
      </w:r>
      <w:r w:rsidR="008B2522" w:rsidRPr="00F64F2B">
        <w:rPr>
          <w:b/>
          <w:noProof/>
        </w:rPr>
        <w:t>Byooviz</w:t>
      </w:r>
    </w:p>
    <w:p w14:paraId="50E5D009" w14:textId="77777777" w:rsidR="001432C3" w:rsidRPr="00F64F2B" w:rsidRDefault="001432C3" w:rsidP="00F64F2B">
      <w:pPr>
        <w:rPr>
          <w:noProof/>
        </w:rPr>
      </w:pPr>
    </w:p>
    <w:p w14:paraId="1B6AD7F1" w14:textId="77777777" w:rsidR="001432C3" w:rsidRPr="008B2522" w:rsidRDefault="000E2AE0">
      <w:pPr>
        <w:pStyle w:val="a4"/>
        <w:numPr>
          <w:ilvl w:val="0"/>
          <w:numId w:val="29"/>
        </w:numPr>
        <w:tabs>
          <w:tab w:val="left" w:pos="658"/>
          <w:tab w:val="left" w:pos="659"/>
        </w:tabs>
        <w:spacing w:line="252" w:lineRule="exact"/>
        <w:ind w:left="658" w:hanging="540"/>
      </w:pPr>
      <w:r w:rsidRPr="008B2522">
        <w:t>Lek należy przechowywać w miejscu niewidocznym i niedostępnym dla</w:t>
      </w:r>
      <w:r w:rsidRPr="008B2522">
        <w:rPr>
          <w:spacing w:val="-17"/>
        </w:rPr>
        <w:t xml:space="preserve"> </w:t>
      </w:r>
      <w:r w:rsidRPr="008B2522">
        <w:t>dzieci.</w:t>
      </w:r>
    </w:p>
    <w:p w14:paraId="6CEAF6E4" w14:textId="77777777" w:rsidR="001432C3" w:rsidRPr="008B2522" w:rsidRDefault="000E2AE0">
      <w:pPr>
        <w:pStyle w:val="a4"/>
        <w:numPr>
          <w:ilvl w:val="0"/>
          <w:numId w:val="29"/>
        </w:numPr>
        <w:tabs>
          <w:tab w:val="left" w:pos="658"/>
          <w:tab w:val="left" w:pos="659"/>
        </w:tabs>
        <w:spacing w:line="242" w:lineRule="auto"/>
        <w:ind w:left="658" w:right="161" w:hanging="540"/>
      </w:pPr>
      <w:r w:rsidRPr="008B2522">
        <w:t>Nie stosować tego leku po upływie terminu ważności zamieszczonego na pudełku i etykiecie na fiolce po EXP. Termin ważności oznacza ostatni dzień podanego</w:t>
      </w:r>
      <w:r w:rsidRPr="008B2522">
        <w:rPr>
          <w:spacing w:val="-19"/>
        </w:rPr>
        <w:t xml:space="preserve"> </w:t>
      </w:r>
      <w:r w:rsidRPr="008B2522">
        <w:t>miesiąca.</w:t>
      </w:r>
    </w:p>
    <w:p w14:paraId="0D0E6777" w14:textId="77777777" w:rsidR="001432C3" w:rsidRPr="008B2522" w:rsidRDefault="000E2AE0">
      <w:pPr>
        <w:pStyle w:val="a4"/>
        <w:numPr>
          <w:ilvl w:val="0"/>
          <w:numId w:val="29"/>
        </w:numPr>
        <w:tabs>
          <w:tab w:val="left" w:pos="685"/>
          <w:tab w:val="left" w:pos="686"/>
        </w:tabs>
        <w:spacing w:before="1" w:line="267" w:lineRule="exact"/>
        <w:ind w:hanging="540"/>
      </w:pPr>
      <w:r w:rsidRPr="008B2522">
        <w:t>Przechowywać w lodówce (2</w:t>
      </w:r>
      <w:r w:rsidRPr="008B2522">
        <w:rPr>
          <w:rFonts w:ascii="Symbol" w:hAnsi="Symbol"/>
        </w:rPr>
        <w:t></w:t>
      </w:r>
      <w:r w:rsidRPr="008B2522">
        <w:t>C - 8</w:t>
      </w:r>
      <w:r w:rsidRPr="008B2522">
        <w:rPr>
          <w:rFonts w:ascii="Symbol" w:hAnsi="Symbol"/>
        </w:rPr>
        <w:t></w:t>
      </w:r>
      <w:r w:rsidRPr="008B2522">
        <w:t>C). Nie</w:t>
      </w:r>
      <w:r w:rsidRPr="008B2522">
        <w:rPr>
          <w:spacing w:val="-15"/>
        </w:rPr>
        <w:t xml:space="preserve"> </w:t>
      </w:r>
      <w:r w:rsidRPr="008B2522">
        <w:t>zamrażać.</w:t>
      </w:r>
    </w:p>
    <w:p w14:paraId="7CA40396" w14:textId="7B017E2F" w:rsidR="001432C3" w:rsidRPr="008B2522" w:rsidRDefault="000E2AE0">
      <w:pPr>
        <w:pStyle w:val="a4"/>
        <w:numPr>
          <w:ilvl w:val="0"/>
          <w:numId w:val="29"/>
        </w:numPr>
        <w:tabs>
          <w:tab w:val="left" w:pos="658"/>
          <w:tab w:val="left" w:pos="659"/>
        </w:tabs>
        <w:spacing w:before="1"/>
        <w:ind w:left="658" w:right="245" w:hanging="540"/>
      </w:pPr>
      <w:r w:rsidRPr="008B2522">
        <w:t xml:space="preserve">Przed użyciem, nieotwarta fiolka może być przechowywana w temperaturze </w:t>
      </w:r>
      <w:r w:rsidR="005A31F6">
        <w:t>nieprzekraczającej 30</w:t>
      </w:r>
      <w:r w:rsidRPr="008B2522">
        <w:rPr>
          <w:rFonts w:ascii="Symbol" w:hAnsi="Symbol"/>
        </w:rPr>
        <w:t></w:t>
      </w:r>
      <w:r w:rsidRPr="008B2522">
        <w:t xml:space="preserve">C do </w:t>
      </w:r>
      <w:r w:rsidR="00E70072">
        <w:t>2</w:t>
      </w:r>
      <w:r w:rsidR="005A31F6">
        <w:t xml:space="preserve"> miesiąc</w:t>
      </w:r>
      <w:r w:rsidR="00E70072">
        <w:t>e</w:t>
      </w:r>
      <w:r w:rsidRPr="008B2522">
        <w:t>.</w:t>
      </w:r>
    </w:p>
    <w:p w14:paraId="3B2A9D02" w14:textId="77777777" w:rsidR="001432C3" w:rsidRPr="008B2522" w:rsidRDefault="000E2AE0">
      <w:pPr>
        <w:pStyle w:val="a4"/>
        <w:numPr>
          <w:ilvl w:val="0"/>
          <w:numId w:val="29"/>
        </w:numPr>
        <w:tabs>
          <w:tab w:val="left" w:pos="658"/>
          <w:tab w:val="left" w:pos="659"/>
        </w:tabs>
        <w:spacing w:line="252" w:lineRule="exact"/>
        <w:ind w:left="658" w:hanging="540"/>
      </w:pPr>
      <w:r w:rsidRPr="008B2522">
        <w:t>Przechowywać fiolkę w opakowaniu zewnętrznym w celu ochrony przed</w:t>
      </w:r>
      <w:r w:rsidRPr="008B2522">
        <w:rPr>
          <w:spacing w:val="-28"/>
        </w:rPr>
        <w:t xml:space="preserve"> </w:t>
      </w:r>
      <w:r w:rsidRPr="008B2522">
        <w:t>światłem.</w:t>
      </w:r>
    </w:p>
    <w:p w14:paraId="6CD637F5" w14:textId="77777777" w:rsidR="001432C3" w:rsidRDefault="000E2AE0">
      <w:pPr>
        <w:pStyle w:val="a4"/>
        <w:numPr>
          <w:ilvl w:val="0"/>
          <w:numId w:val="29"/>
        </w:numPr>
        <w:tabs>
          <w:tab w:val="left" w:pos="658"/>
          <w:tab w:val="left" w:pos="659"/>
        </w:tabs>
        <w:spacing w:before="2"/>
        <w:ind w:left="658" w:hanging="540"/>
      </w:pPr>
      <w:r w:rsidRPr="008B2522">
        <w:t>Nie stosować opakowań, które zostały</w:t>
      </w:r>
      <w:r w:rsidRPr="008B2522">
        <w:rPr>
          <w:spacing w:val="-11"/>
        </w:rPr>
        <w:t xml:space="preserve"> </w:t>
      </w:r>
      <w:r w:rsidRPr="008B2522">
        <w:t>uszkodzone.</w:t>
      </w:r>
    </w:p>
    <w:p w14:paraId="712D90DC" w14:textId="77777777" w:rsidR="00854982" w:rsidRDefault="00854982" w:rsidP="00854982">
      <w:pPr>
        <w:pStyle w:val="a4"/>
        <w:tabs>
          <w:tab w:val="left" w:pos="658"/>
          <w:tab w:val="left" w:pos="659"/>
        </w:tabs>
        <w:spacing w:before="2"/>
        <w:ind w:left="658" w:firstLine="0"/>
      </w:pPr>
    </w:p>
    <w:p w14:paraId="7C1B469F" w14:textId="77777777" w:rsidR="00854982" w:rsidRPr="008B2522" w:rsidRDefault="00854982" w:rsidP="00D22CB7">
      <w:pPr>
        <w:pStyle w:val="a4"/>
        <w:tabs>
          <w:tab w:val="left" w:pos="658"/>
          <w:tab w:val="left" w:pos="659"/>
        </w:tabs>
        <w:spacing w:before="2"/>
        <w:ind w:left="658" w:firstLine="0"/>
      </w:pPr>
    </w:p>
    <w:p w14:paraId="3D7147F5" w14:textId="77777777" w:rsidR="001432C3" w:rsidRPr="00F64F2B" w:rsidRDefault="00B00A61" w:rsidP="00E0574D">
      <w:pPr>
        <w:ind w:right="430"/>
        <w:rPr>
          <w:b/>
          <w:noProof/>
        </w:rPr>
      </w:pPr>
      <w:r>
        <w:rPr>
          <w:b/>
          <w:noProof/>
        </w:rPr>
        <w:t>6.</w:t>
      </w:r>
      <w:r>
        <w:rPr>
          <w:b/>
          <w:noProof/>
        </w:rPr>
        <w:tab/>
      </w:r>
      <w:r w:rsidR="000E2AE0" w:rsidRPr="00F64F2B">
        <w:rPr>
          <w:b/>
          <w:noProof/>
        </w:rPr>
        <w:t>Zawartość opakowania i inne informacje</w:t>
      </w:r>
    </w:p>
    <w:p w14:paraId="3DE26822" w14:textId="77777777" w:rsidR="001432C3" w:rsidRPr="00F64F2B" w:rsidRDefault="001432C3" w:rsidP="00F64F2B">
      <w:pPr>
        <w:rPr>
          <w:noProof/>
        </w:rPr>
      </w:pPr>
    </w:p>
    <w:p w14:paraId="31C1A9EF" w14:textId="77777777" w:rsidR="001432C3" w:rsidRPr="00F64F2B" w:rsidRDefault="000E2AE0" w:rsidP="00F64F2B">
      <w:pPr>
        <w:rPr>
          <w:b/>
          <w:bCs/>
          <w:noProof/>
        </w:rPr>
      </w:pPr>
      <w:r w:rsidRPr="00F64F2B">
        <w:rPr>
          <w:b/>
          <w:bCs/>
          <w:noProof/>
        </w:rPr>
        <w:t xml:space="preserve">Co zawiera lek </w:t>
      </w:r>
      <w:r w:rsidR="008B2522" w:rsidRPr="00F64F2B">
        <w:rPr>
          <w:b/>
          <w:bCs/>
          <w:noProof/>
        </w:rPr>
        <w:t>Byooviz</w:t>
      </w:r>
    </w:p>
    <w:p w14:paraId="6DA0F789" w14:textId="77777777" w:rsidR="001432C3" w:rsidRPr="008B2522" w:rsidRDefault="000E2AE0">
      <w:pPr>
        <w:pStyle w:val="a4"/>
        <w:numPr>
          <w:ilvl w:val="1"/>
          <w:numId w:val="29"/>
        </w:numPr>
        <w:tabs>
          <w:tab w:val="left" w:pos="765"/>
          <w:tab w:val="left" w:pos="766"/>
        </w:tabs>
        <w:ind w:right="111"/>
      </w:pPr>
      <w:r w:rsidRPr="008B2522">
        <w:t>Substancją czynną leku jest ranibizumab. Każdy ml zawiera 10</w:t>
      </w:r>
      <w:r w:rsidR="00257CD6">
        <w:t> mg</w:t>
      </w:r>
      <w:r w:rsidRPr="008B2522">
        <w:t xml:space="preserve"> ranibizumabu. Każda fiolka zawiera 2,3</w:t>
      </w:r>
      <w:r w:rsidR="00257CD6">
        <w:t> mg</w:t>
      </w:r>
      <w:r w:rsidRPr="008B2522">
        <w:t xml:space="preserve"> ranibizumabu w 0,23</w:t>
      </w:r>
      <w:r w:rsidR="0020790E">
        <w:t> ml</w:t>
      </w:r>
      <w:r w:rsidRPr="008B2522">
        <w:t xml:space="preserve"> roztworu. Taka ilość zapewnia podanie pojedynczej dawki 0,05</w:t>
      </w:r>
      <w:r w:rsidR="0020790E">
        <w:t> ml</w:t>
      </w:r>
      <w:r w:rsidRPr="008B2522">
        <w:t>, która zawiera 0,5</w:t>
      </w:r>
      <w:r w:rsidR="00257CD6">
        <w:t> mg</w:t>
      </w:r>
      <w:r w:rsidRPr="008B2522">
        <w:rPr>
          <w:spacing w:val="-9"/>
        </w:rPr>
        <w:t xml:space="preserve"> </w:t>
      </w:r>
      <w:r w:rsidRPr="008B2522">
        <w:t>ranibizumabu.</w:t>
      </w:r>
    </w:p>
    <w:p w14:paraId="53452812" w14:textId="77777777" w:rsidR="001432C3" w:rsidRPr="008B2522" w:rsidRDefault="000E2AE0">
      <w:pPr>
        <w:pStyle w:val="a4"/>
        <w:numPr>
          <w:ilvl w:val="1"/>
          <w:numId w:val="29"/>
        </w:numPr>
        <w:tabs>
          <w:tab w:val="left" w:pos="738"/>
          <w:tab w:val="left" w:pos="739"/>
        </w:tabs>
        <w:spacing w:before="1"/>
        <w:ind w:left="738" w:right="467" w:hanging="540"/>
      </w:pPr>
      <w:r w:rsidRPr="008B2522">
        <w:t xml:space="preserve">Pozostałe składniki to: dwuwodzian </w:t>
      </w:r>
      <w:r w:rsidRPr="008B2522">
        <w:rPr>
          <w:rFonts w:ascii="Symbol" w:hAnsi="Symbol"/>
        </w:rPr>
        <w:t></w:t>
      </w:r>
      <w:r w:rsidRPr="008B2522">
        <w:t>,</w:t>
      </w:r>
      <w:r w:rsidRPr="008B2522">
        <w:rPr>
          <w:rFonts w:ascii="Symbol" w:hAnsi="Symbol"/>
        </w:rPr>
        <w:t></w:t>
      </w:r>
      <w:r w:rsidRPr="008B2522">
        <w:t xml:space="preserve">-trehalozy; chlorowodorek histydyny, jednowodny; histydyna; </w:t>
      </w:r>
      <w:r w:rsidR="00854982" w:rsidRPr="008B2522">
        <w:t>polisorbat</w:t>
      </w:r>
      <w:r w:rsidR="00854982">
        <w:t> </w:t>
      </w:r>
      <w:r w:rsidRPr="008B2522">
        <w:t>20; woda do</w:t>
      </w:r>
      <w:r w:rsidRPr="008B2522">
        <w:rPr>
          <w:spacing w:val="-13"/>
        </w:rPr>
        <w:t xml:space="preserve"> </w:t>
      </w:r>
      <w:r w:rsidRPr="008B2522">
        <w:t>wstrzykiwań.</w:t>
      </w:r>
    </w:p>
    <w:p w14:paraId="1F1F2A8F" w14:textId="77777777" w:rsidR="001432C3" w:rsidRPr="008B2522" w:rsidRDefault="001432C3">
      <w:pPr>
        <w:pStyle w:val="a3"/>
        <w:spacing w:before="4"/>
      </w:pPr>
    </w:p>
    <w:p w14:paraId="09B078A2" w14:textId="77777777" w:rsidR="001432C3" w:rsidRPr="00E0574D" w:rsidRDefault="000E2AE0" w:rsidP="00E0574D">
      <w:pPr>
        <w:rPr>
          <w:noProof/>
        </w:rPr>
      </w:pPr>
      <w:r w:rsidRPr="00E0574D">
        <w:rPr>
          <w:b/>
          <w:bCs/>
          <w:noProof/>
        </w:rPr>
        <w:t xml:space="preserve">Jak wygląda lek </w:t>
      </w:r>
      <w:r w:rsidR="008B2522" w:rsidRPr="00E0574D">
        <w:rPr>
          <w:b/>
          <w:bCs/>
          <w:noProof/>
        </w:rPr>
        <w:t>Byooviz</w:t>
      </w:r>
      <w:r w:rsidRPr="00E0574D">
        <w:rPr>
          <w:b/>
          <w:bCs/>
          <w:noProof/>
        </w:rPr>
        <w:t xml:space="preserve"> i co zawiera opakowanie</w:t>
      </w:r>
    </w:p>
    <w:p w14:paraId="521099AB" w14:textId="77777777" w:rsidR="001432C3" w:rsidRDefault="008B2522" w:rsidP="00D22CB7">
      <w:pPr>
        <w:pStyle w:val="a3"/>
        <w:spacing w:line="242" w:lineRule="auto"/>
        <w:ind w:right="237"/>
      </w:pPr>
      <w:r>
        <w:t>Byooviz</w:t>
      </w:r>
      <w:r w:rsidR="000E2AE0" w:rsidRPr="008B2522">
        <w:t xml:space="preserve"> jest roztworem do wstrzykiwań, w fiolkach (0,23</w:t>
      </w:r>
      <w:r w:rsidR="0020790E">
        <w:t> ml</w:t>
      </w:r>
      <w:r w:rsidR="000E2AE0" w:rsidRPr="008B2522">
        <w:t>). Roztwór jest przejrzysty, bezbarwny do barwy bladożółtej oraz wodny.</w:t>
      </w:r>
    </w:p>
    <w:p w14:paraId="61E42583" w14:textId="77777777" w:rsidR="005A31F6" w:rsidRDefault="005A31F6">
      <w:pPr>
        <w:pStyle w:val="a3"/>
        <w:spacing w:line="242" w:lineRule="auto"/>
        <w:ind w:left="198" w:right="237"/>
      </w:pPr>
    </w:p>
    <w:p w14:paraId="087FFE1E" w14:textId="77777777" w:rsidR="002D6D08" w:rsidRPr="00A05C0B" w:rsidRDefault="002D6D08" w:rsidP="002D6D08">
      <w:pPr>
        <w:pStyle w:val="a3"/>
        <w:spacing w:line="242" w:lineRule="auto"/>
        <w:ind w:right="98"/>
      </w:pPr>
      <w:r w:rsidRPr="00A05C0B">
        <w:lastRenderedPageBreak/>
        <w:t>Są dostępne dwa różne rodzaje opakowań:</w:t>
      </w:r>
    </w:p>
    <w:p w14:paraId="31446B1D" w14:textId="77777777" w:rsidR="002D6D08" w:rsidRPr="00A05C0B" w:rsidRDefault="002D6D08" w:rsidP="002D6D08">
      <w:pPr>
        <w:numPr>
          <w:ilvl w:val="12"/>
          <w:numId w:val="0"/>
        </w:numPr>
      </w:pPr>
    </w:p>
    <w:p w14:paraId="28CE0370" w14:textId="77777777" w:rsidR="002D6D08" w:rsidRPr="00A05C0B" w:rsidRDefault="002D6D08" w:rsidP="002D6D08">
      <w:pPr>
        <w:pStyle w:val="a3"/>
        <w:spacing w:line="242" w:lineRule="auto"/>
        <w:ind w:right="98"/>
        <w:rPr>
          <w:u w:val="single"/>
        </w:rPr>
      </w:pPr>
      <w:r w:rsidRPr="00A05C0B">
        <w:rPr>
          <w:u w:val="single"/>
        </w:rPr>
        <w:t xml:space="preserve">Opakowanie zawierające tylko fiolkę </w:t>
      </w:r>
    </w:p>
    <w:p w14:paraId="0266B99B" w14:textId="57B49FCE" w:rsidR="002D6D08" w:rsidRDefault="002D6D08" w:rsidP="002D6D08">
      <w:pPr>
        <w:numPr>
          <w:ilvl w:val="12"/>
          <w:numId w:val="0"/>
        </w:numPr>
      </w:pPr>
      <w:r w:rsidRPr="00A05C0B">
        <w:t>Opakowanie zawierające jedną szklaną fiolkę z ranibizumabem z korkiem z kauczuku chlorobutylowego. Fiolka przeznaczona jest wyłącznie do jednorazowego użytku.</w:t>
      </w:r>
    </w:p>
    <w:p w14:paraId="39EB2196" w14:textId="77777777" w:rsidR="002D6D08" w:rsidRDefault="002D6D08" w:rsidP="00D22CB7">
      <w:pPr>
        <w:pStyle w:val="a3"/>
        <w:spacing w:line="242" w:lineRule="auto"/>
        <w:ind w:right="237"/>
        <w:rPr>
          <w:u w:val="single"/>
        </w:rPr>
      </w:pPr>
    </w:p>
    <w:p w14:paraId="0C744CC4" w14:textId="77777777" w:rsidR="005A31F6" w:rsidRPr="00024CB3" w:rsidRDefault="005A31F6" w:rsidP="00D22CB7">
      <w:pPr>
        <w:pStyle w:val="a3"/>
        <w:spacing w:line="242" w:lineRule="auto"/>
        <w:ind w:right="237"/>
        <w:rPr>
          <w:u w:val="single"/>
        </w:rPr>
      </w:pPr>
      <w:r w:rsidRPr="00024CB3">
        <w:rPr>
          <w:u w:val="single"/>
        </w:rPr>
        <w:t xml:space="preserve">Opakowanie zawierające fiolkę + igłę z filtrem + </w:t>
      </w:r>
      <w:r w:rsidR="00455D34" w:rsidRPr="00024CB3">
        <w:rPr>
          <w:u w:val="single"/>
        </w:rPr>
        <w:t>igłę iniekcyjną</w:t>
      </w:r>
    </w:p>
    <w:p w14:paraId="64B1BA71" w14:textId="77777777" w:rsidR="001432C3" w:rsidRPr="008B2522" w:rsidRDefault="000E2AE0" w:rsidP="00024CB3">
      <w:pPr>
        <w:pStyle w:val="a3"/>
        <w:spacing w:line="242" w:lineRule="auto"/>
        <w:ind w:right="237"/>
      </w:pPr>
      <w:r w:rsidRPr="008B2522">
        <w:t>Opakowanie zawierające jedną szklaną fiolkę z ranibizumabem z korkiem z kauczuku</w:t>
      </w:r>
      <w:r w:rsidR="00024CB3">
        <w:t xml:space="preserve"> </w:t>
      </w:r>
      <w:r w:rsidR="005A31F6">
        <w:t>c</w:t>
      </w:r>
      <w:r w:rsidRPr="008B2522">
        <w:t>hlorobutylowego</w:t>
      </w:r>
      <w:r w:rsidR="005A31F6">
        <w:t xml:space="preserve">, </w:t>
      </w:r>
      <w:r w:rsidR="005A31F6" w:rsidRPr="008B2522">
        <w:t>jedną tępą igłę z filtrem (18G x 1½″, 1,2 mm x 40 mm, 5 mikrometrów)</w:t>
      </w:r>
      <w:r w:rsidR="005A31F6">
        <w:t xml:space="preserve"> </w:t>
      </w:r>
      <w:r w:rsidR="005A31F6" w:rsidRPr="008B2522">
        <w:t>w celu pobrania zawartości fiolki</w:t>
      </w:r>
      <w:r w:rsidR="005A31F6">
        <w:t xml:space="preserve"> i jedną </w:t>
      </w:r>
      <w:r w:rsidR="00455D34">
        <w:t>igłę iniekcyjną</w:t>
      </w:r>
      <w:r w:rsidR="005A31F6">
        <w:t xml:space="preserve"> </w:t>
      </w:r>
      <w:r w:rsidR="005A31F6" w:rsidRPr="00D22CB7">
        <w:t>(30G x ½</w:t>
      </w:r>
      <w:r w:rsidR="005A31F6" w:rsidRPr="00D22CB7">
        <w:rPr>
          <w:rFonts w:hint="eastAsia"/>
        </w:rPr>
        <w:t>″</w:t>
      </w:r>
      <w:r w:rsidR="005A31F6" w:rsidRPr="00D22CB7">
        <w:t>, 0,3 mm x 13 mm)</w:t>
      </w:r>
      <w:r w:rsidRPr="008B2522">
        <w:t>. Wszystkie elementy są przeznaczone do jednorazowego użytku.</w:t>
      </w:r>
    </w:p>
    <w:p w14:paraId="114A6695" w14:textId="45CD510F" w:rsidR="001432C3" w:rsidRDefault="001432C3" w:rsidP="00024CB3">
      <w:pPr>
        <w:pStyle w:val="a3"/>
        <w:spacing w:line="242" w:lineRule="auto"/>
        <w:ind w:right="237"/>
      </w:pPr>
    </w:p>
    <w:p w14:paraId="70AB83BD" w14:textId="414C043A" w:rsidR="00A13D13" w:rsidRDefault="00A13D13" w:rsidP="00024CB3">
      <w:pPr>
        <w:pStyle w:val="a3"/>
        <w:spacing w:line="242" w:lineRule="auto"/>
        <w:ind w:right="237"/>
      </w:pPr>
      <w:r w:rsidRPr="00A05C0B">
        <w:t xml:space="preserve">Nie wszystkie </w:t>
      </w:r>
      <w:r>
        <w:t xml:space="preserve">rodzaje </w:t>
      </w:r>
      <w:r w:rsidRPr="00A05C0B">
        <w:t>opakowań muszą znajdować się w obrocie.</w:t>
      </w:r>
    </w:p>
    <w:p w14:paraId="6C818EB1" w14:textId="77777777" w:rsidR="00A13D13" w:rsidRPr="008B2522" w:rsidRDefault="00A13D13" w:rsidP="00024CB3">
      <w:pPr>
        <w:pStyle w:val="a3"/>
        <w:spacing w:line="242" w:lineRule="auto"/>
        <w:ind w:right="237"/>
      </w:pPr>
    </w:p>
    <w:p w14:paraId="6E4E1A53" w14:textId="77777777" w:rsidR="005A31F6" w:rsidRPr="00D22CB7" w:rsidRDefault="000E2AE0" w:rsidP="005A31F6">
      <w:pPr>
        <w:pStyle w:val="a3"/>
        <w:spacing w:line="250" w:lineRule="exact"/>
      </w:pPr>
      <w:r w:rsidRPr="008B2522">
        <w:rPr>
          <w:b/>
        </w:rPr>
        <w:t>Podmiot odpowiedzialny</w:t>
      </w:r>
      <w:r w:rsidR="005A31F6">
        <w:rPr>
          <w:b/>
        </w:rPr>
        <w:t xml:space="preserve"> i wytwórca</w:t>
      </w:r>
      <w:r w:rsidRPr="008B2522">
        <w:rPr>
          <w:b/>
        </w:rPr>
        <w:t xml:space="preserve"> </w:t>
      </w:r>
    </w:p>
    <w:p w14:paraId="4554C4D5" w14:textId="77777777" w:rsidR="005A31F6" w:rsidRPr="000F168C" w:rsidRDefault="005A31F6" w:rsidP="005A31F6">
      <w:pPr>
        <w:pStyle w:val="a3"/>
        <w:spacing w:line="250" w:lineRule="exact"/>
      </w:pPr>
      <w:r w:rsidRPr="000F168C">
        <w:t>Samsung Bioepis NL B.V.</w:t>
      </w:r>
    </w:p>
    <w:p w14:paraId="601001C2" w14:textId="77777777" w:rsidR="005A31F6" w:rsidRPr="00D22CB7" w:rsidRDefault="005A31F6" w:rsidP="005A31F6">
      <w:pPr>
        <w:pStyle w:val="a3"/>
        <w:spacing w:line="250" w:lineRule="exact"/>
      </w:pPr>
      <w:r w:rsidRPr="00D22CB7">
        <w:t>Olof Palmestraat 10</w:t>
      </w:r>
    </w:p>
    <w:p w14:paraId="61205C45" w14:textId="77777777" w:rsidR="005A31F6" w:rsidRPr="00D22CB7" w:rsidRDefault="005A31F6" w:rsidP="005A31F6">
      <w:pPr>
        <w:pStyle w:val="a3"/>
        <w:spacing w:line="250" w:lineRule="exact"/>
      </w:pPr>
      <w:r w:rsidRPr="00D22CB7">
        <w:t>2616 LR Delft</w:t>
      </w:r>
    </w:p>
    <w:p w14:paraId="3180B961" w14:textId="77777777" w:rsidR="005A31F6" w:rsidRPr="00D22CB7" w:rsidRDefault="005A31F6" w:rsidP="005A31F6">
      <w:pPr>
        <w:numPr>
          <w:ilvl w:val="12"/>
          <w:numId w:val="0"/>
        </w:numPr>
        <w:ind w:right="-2"/>
      </w:pPr>
      <w:r w:rsidRPr="00D22CB7">
        <w:t>Holandia</w:t>
      </w:r>
    </w:p>
    <w:p w14:paraId="325490CF" w14:textId="77777777" w:rsidR="001432C3" w:rsidRPr="008B2522" w:rsidRDefault="001432C3">
      <w:pPr>
        <w:pStyle w:val="a3"/>
        <w:spacing w:before="7"/>
        <w:rPr>
          <w:sz w:val="21"/>
        </w:rPr>
      </w:pPr>
    </w:p>
    <w:p w14:paraId="7144357B" w14:textId="7967533B" w:rsidR="001432C3" w:rsidRPr="008B2522" w:rsidDel="00C6254E" w:rsidRDefault="000E2AE0" w:rsidP="00D22CB7">
      <w:pPr>
        <w:pStyle w:val="a3"/>
        <w:ind w:right="96"/>
        <w:rPr>
          <w:del w:id="33" w:author="만든 이"/>
          <w:i/>
        </w:rPr>
      </w:pPr>
      <w:del w:id="34" w:author="만든 이">
        <w:r w:rsidRPr="008B2522" w:rsidDel="00C6254E">
          <w:delText>W celu uzyskania bardziej szczegółowych informacji należy zwrócić się do miejscowego przedstawiciela podmiotu odpowiedzialnego</w:delText>
        </w:r>
        <w:r w:rsidRPr="008B2522" w:rsidDel="00C6254E">
          <w:rPr>
            <w:i/>
          </w:rPr>
          <w:delText>:</w:delText>
        </w:r>
      </w:del>
    </w:p>
    <w:p w14:paraId="60C4992E" w14:textId="122FCC21" w:rsidR="001432C3" w:rsidRPr="008B2522" w:rsidDel="00C6254E" w:rsidRDefault="001432C3">
      <w:pPr>
        <w:pStyle w:val="a3"/>
        <w:spacing w:before="2"/>
        <w:rPr>
          <w:del w:id="35" w:author="만든 이"/>
          <w:i/>
          <w:sz w:val="23"/>
        </w:rPr>
      </w:pPr>
    </w:p>
    <w:p w14:paraId="71357052" w14:textId="4EB6D0E6" w:rsidR="0039392A" w:rsidRPr="00D22CB7" w:rsidDel="00C6254E" w:rsidRDefault="0039392A" w:rsidP="0039392A">
      <w:pPr>
        <w:rPr>
          <w:del w:id="36" w:author="만든 이"/>
        </w:rPr>
      </w:pPr>
    </w:p>
    <w:tbl>
      <w:tblPr>
        <w:tblW w:w="5000" w:type="pct"/>
        <w:tblLayout w:type="fixed"/>
        <w:tblLook w:val="0000" w:firstRow="0" w:lastRow="0" w:firstColumn="0" w:lastColumn="0" w:noHBand="0" w:noVBand="0"/>
      </w:tblPr>
      <w:tblGrid>
        <w:gridCol w:w="4655"/>
        <w:gridCol w:w="4655"/>
      </w:tblGrid>
      <w:tr w:rsidR="0039392A" w:rsidRPr="00E35F32" w:rsidDel="00C6254E" w14:paraId="3F9A7AED" w14:textId="240EDB46" w:rsidTr="00E0574D">
        <w:trPr>
          <w:del w:id="37" w:author="만든 이"/>
        </w:trPr>
        <w:tc>
          <w:tcPr>
            <w:tcW w:w="2500" w:type="pct"/>
          </w:tcPr>
          <w:p w14:paraId="2A22E83C" w14:textId="34FB80B1" w:rsidR="0039392A" w:rsidRPr="007E75E6" w:rsidDel="00C6254E" w:rsidRDefault="0039392A" w:rsidP="00FB483D">
            <w:pPr>
              <w:pStyle w:val="Default"/>
              <w:rPr>
                <w:del w:id="38" w:author="만든 이"/>
                <w:sz w:val="22"/>
                <w:szCs w:val="22"/>
                <w:lang w:val="de-DE"/>
              </w:rPr>
            </w:pPr>
            <w:del w:id="39" w:author="만든 이">
              <w:r w:rsidRPr="00197887" w:rsidDel="00C6254E">
                <w:rPr>
                  <w:b/>
                  <w:sz w:val="22"/>
                  <w:lang w:val="de-DE"/>
                </w:rPr>
                <w:delText>België/Belgique/Belgien</w:delText>
              </w:r>
            </w:del>
          </w:p>
          <w:p w14:paraId="183415C0" w14:textId="18133131" w:rsidR="0039392A" w:rsidRPr="007E75E6" w:rsidDel="00C6254E" w:rsidRDefault="0039392A" w:rsidP="00FB483D">
            <w:pPr>
              <w:pStyle w:val="Default"/>
              <w:rPr>
                <w:del w:id="40" w:author="만든 이"/>
                <w:sz w:val="22"/>
                <w:szCs w:val="22"/>
                <w:lang w:val="de-DE"/>
              </w:rPr>
            </w:pPr>
            <w:del w:id="41" w:author="만든 이">
              <w:r w:rsidRPr="007E75E6" w:rsidDel="00C6254E">
                <w:rPr>
                  <w:sz w:val="22"/>
                  <w:szCs w:val="22"/>
                  <w:lang w:val="de-DE"/>
                </w:rPr>
                <w:delText>Biogen Belgium NV/S.A</w:delText>
              </w:r>
            </w:del>
          </w:p>
          <w:p w14:paraId="213312F6" w14:textId="0E5F3507" w:rsidR="0039392A" w:rsidRPr="00310A54" w:rsidDel="00C6254E" w:rsidRDefault="0039392A" w:rsidP="00FB483D">
            <w:pPr>
              <w:ind w:right="34"/>
              <w:rPr>
                <w:del w:id="42" w:author="만든 이"/>
                <w:noProof/>
              </w:rPr>
            </w:pPr>
            <w:del w:id="43" w:author="만든 이">
              <w:r w:rsidRPr="00310A54" w:rsidDel="00C6254E">
                <w:delText>Tél/Tel: + 32 (0)2 808 5947</w:delText>
              </w:r>
            </w:del>
          </w:p>
        </w:tc>
        <w:tc>
          <w:tcPr>
            <w:tcW w:w="2500" w:type="pct"/>
          </w:tcPr>
          <w:p w14:paraId="3F6B214A" w14:textId="159F2350" w:rsidR="0039392A" w:rsidRPr="00E0574D" w:rsidDel="00C6254E" w:rsidRDefault="0039392A" w:rsidP="00FB483D">
            <w:pPr>
              <w:pStyle w:val="Default"/>
              <w:rPr>
                <w:del w:id="44" w:author="만든 이"/>
                <w:lang w:val="pl-PL"/>
              </w:rPr>
            </w:pPr>
            <w:del w:id="45" w:author="만든 이">
              <w:r w:rsidRPr="00E0574D" w:rsidDel="00C6254E">
                <w:rPr>
                  <w:b/>
                  <w:sz w:val="22"/>
                  <w:lang w:val="pl-PL"/>
                </w:rPr>
                <w:delText>Lietuva</w:delText>
              </w:r>
            </w:del>
          </w:p>
          <w:p w14:paraId="0BE8D706" w14:textId="32A697ED" w:rsidR="0039392A" w:rsidRPr="00E0574D" w:rsidDel="00C6254E" w:rsidRDefault="00500F99" w:rsidP="00FB483D">
            <w:pPr>
              <w:pStyle w:val="Default"/>
              <w:rPr>
                <w:del w:id="46" w:author="만든 이"/>
                <w:sz w:val="22"/>
                <w:szCs w:val="22"/>
                <w:lang w:val="pl-PL"/>
              </w:rPr>
            </w:pPr>
            <w:del w:id="47" w:author="만든 이">
              <w:r w:rsidRPr="00500F99" w:rsidDel="00C6254E">
                <w:rPr>
                  <w:sz w:val="22"/>
                  <w:szCs w:val="22"/>
                  <w:lang w:val="pl-PL"/>
                </w:rPr>
                <w:delText>Biogen Lithuania UAB</w:delText>
              </w:r>
            </w:del>
          </w:p>
          <w:p w14:paraId="7E8DAB10" w14:textId="6886303C" w:rsidR="0039392A" w:rsidRPr="00E0574D" w:rsidDel="00C6254E" w:rsidRDefault="0039392A" w:rsidP="00FB483D">
            <w:pPr>
              <w:pStyle w:val="Default"/>
              <w:rPr>
                <w:del w:id="48" w:author="만든 이"/>
                <w:sz w:val="22"/>
                <w:szCs w:val="22"/>
                <w:lang w:val="pl-PL"/>
              </w:rPr>
            </w:pPr>
            <w:del w:id="49" w:author="만든 이">
              <w:r w:rsidRPr="00E0574D" w:rsidDel="00C6254E">
                <w:rPr>
                  <w:sz w:val="22"/>
                  <w:lang w:val="pl-PL"/>
                </w:rPr>
                <w:delText xml:space="preserve">Tel: +370 </w:delText>
              </w:r>
              <w:r w:rsidRPr="00E0574D" w:rsidDel="00C6254E">
                <w:rPr>
                  <w:bCs/>
                  <w:sz w:val="22"/>
                  <w:szCs w:val="22"/>
                  <w:lang w:val="pl-PL"/>
                </w:rPr>
                <w:delText>52 07 91 38</w:delText>
              </w:r>
            </w:del>
          </w:p>
          <w:p w14:paraId="1BE87342" w14:textId="7EF55019" w:rsidR="0039392A" w:rsidRPr="00BE6E27" w:rsidDel="00C6254E" w:rsidRDefault="0039392A" w:rsidP="00FB483D">
            <w:pPr>
              <w:suppressAutoHyphens/>
              <w:rPr>
                <w:del w:id="50" w:author="만든 이"/>
                <w:noProof/>
              </w:rPr>
            </w:pPr>
          </w:p>
        </w:tc>
      </w:tr>
      <w:tr w:rsidR="0039392A" w:rsidDel="00C6254E" w14:paraId="58D2D80C" w14:textId="24BDD038" w:rsidTr="00E0574D">
        <w:trPr>
          <w:del w:id="51" w:author="만든 이"/>
        </w:trPr>
        <w:tc>
          <w:tcPr>
            <w:tcW w:w="2500" w:type="pct"/>
          </w:tcPr>
          <w:p w14:paraId="246AA8AC" w14:textId="14FA4092" w:rsidR="0039392A" w:rsidRPr="00197887" w:rsidDel="00C6254E" w:rsidRDefault="0039392A" w:rsidP="00FB483D">
            <w:pPr>
              <w:pStyle w:val="Default"/>
              <w:rPr>
                <w:del w:id="52" w:author="만든 이"/>
              </w:rPr>
            </w:pPr>
            <w:del w:id="53" w:author="만든 이">
              <w:r w:rsidRPr="00197887" w:rsidDel="00C6254E">
                <w:rPr>
                  <w:b/>
                  <w:sz w:val="22"/>
                </w:rPr>
                <w:delText>България</w:delText>
              </w:r>
            </w:del>
          </w:p>
          <w:p w14:paraId="2AD58868" w14:textId="52741FFC" w:rsidR="0039392A" w:rsidRPr="000911AE" w:rsidDel="00C6254E" w:rsidRDefault="0039392A" w:rsidP="00FB483D">
            <w:pPr>
              <w:pStyle w:val="Default"/>
              <w:rPr>
                <w:del w:id="54" w:author="만든 이"/>
                <w:rFonts w:eastAsia="맑은 고딕"/>
                <w:sz w:val="22"/>
                <w:szCs w:val="22"/>
              </w:rPr>
            </w:pPr>
            <w:del w:id="55" w:author="만든 이">
              <w:r w:rsidRPr="001054B4" w:rsidDel="00C6254E">
                <w:rPr>
                  <w:sz w:val="22"/>
                  <w:szCs w:val="22"/>
                </w:rPr>
                <w:delText>Ewo</w:delText>
              </w:r>
              <w:r w:rsidDel="00C6254E">
                <w:rPr>
                  <w:sz w:val="22"/>
                  <w:szCs w:val="22"/>
                </w:rPr>
                <w:delText>pharma AG Representative Office</w:delText>
              </w:r>
            </w:del>
          </w:p>
          <w:p w14:paraId="5CDEC0EA" w14:textId="1B7F893F" w:rsidR="0039392A" w:rsidRPr="0038786C" w:rsidDel="00C6254E" w:rsidRDefault="0039392A" w:rsidP="00FB483D">
            <w:pPr>
              <w:pStyle w:val="Default"/>
              <w:rPr>
                <w:del w:id="56" w:author="만든 이"/>
                <w:sz w:val="22"/>
                <w:szCs w:val="22"/>
              </w:rPr>
            </w:pPr>
            <w:del w:id="57" w:author="만든 이">
              <w:r w:rsidRPr="0038786C" w:rsidDel="00C6254E">
                <w:rPr>
                  <w:sz w:val="22"/>
                  <w:szCs w:val="22"/>
                </w:rPr>
                <w:delText>Teл.: + 359 249 176 81</w:delText>
              </w:r>
            </w:del>
          </w:p>
          <w:p w14:paraId="689BC79E" w14:textId="06C105EA" w:rsidR="0039392A" w:rsidRPr="00E0574D" w:rsidDel="00C6254E" w:rsidRDefault="0039392A" w:rsidP="00FB483D">
            <w:pPr>
              <w:tabs>
                <w:tab w:val="left" w:pos="-720"/>
              </w:tabs>
              <w:suppressAutoHyphens/>
              <w:rPr>
                <w:del w:id="58" w:author="만든 이"/>
                <w:noProof/>
                <w:lang w:val="en-GB"/>
              </w:rPr>
            </w:pPr>
          </w:p>
        </w:tc>
        <w:tc>
          <w:tcPr>
            <w:tcW w:w="2500" w:type="pct"/>
          </w:tcPr>
          <w:p w14:paraId="3B45E6D8" w14:textId="1BC4083D" w:rsidR="0039392A" w:rsidRPr="007E75E6" w:rsidDel="00C6254E" w:rsidRDefault="0039392A" w:rsidP="00FB483D">
            <w:pPr>
              <w:pStyle w:val="Default"/>
              <w:rPr>
                <w:del w:id="59" w:author="만든 이"/>
                <w:sz w:val="22"/>
                <w:szCs w:val="22"/>
                <w:lang w:val="de-DE"/>
              </w:rPr>
            </w:pPr>
            <w:del w:id="60" w:author="만든 이">
              <w:r w:rsidRPr="00197887" w:rsidDel="00C6254E">
                <w:rPr>
                  <w:b/>
                  <w:sz w:val="22"/>
                  <w:lang w:val="de-DE"/>
                </w:rPr>
                <w:delText>Luxembourg/Luxemburg</w:delText>
              </w:r>
            </w:del>
          </w:p>
          <w:p w14:paraId="03B5BC45" w14:textId="3137C636" w:rsidR="0039392A" w:rsidRPr="007E75E6" w:rsidDel="00C6254E" w:rsidRDefault="0039392A" w:rsidP="00FB483D">
            <w:pPr>
              <w:pStyle w:val="Default"/>
              <w:rPr>
                <w:del w:id="61" w:author="만든 이"/>
                <w:sz w:val="22"/>
                <w:szCs w:val="22"/>
                <w:lang w:val="de-DE"/>
              </w:rPr>
            </w:pPr>
            <w:del w:id="62" w:author="만든 이">
              <w:r w:rsidRPr="007E75E6" w:rsidDel="00C6254E">
                <w:rPr>
                  <w:sz w:val="22"/>
                  <w:szCs w:val="22"/>
                  <w:lang w:val="de-DE"/>
                </w:rPr>
                <w:delText>Biogen Belgium NV/SA</w:delText>
              </w:r>
            </w:del>
          </w:p>
          <w:p w14:paraId="6E0467B3" w14:textId="399B60BD" w:rsidR="0039392A" w:rsidRPr="0038786C" w:rsidDel="00C6254E" w:rsidRDefault="0039392A" w:rsidP="00FB483D">
            <w:pPr>
              <w:pStyle w:val="Default"/>
              <w:rPr>
                <w:del w:id="63" w:author="만든 이"/>
                <w:sz w:val="22"/>
                <w:szCs w:val="22"/>
              </w:rPr>
            </w:pPr>
            <w:del w:id="64" w:author="만든 이">
              <w:r w:rsidRPr="00197887" w:rsidDel="00C6254E">
                <w:rPr>
                  <w:sz w:val="22"/>
                </w:rPr>
                <w:delText>Tél/Tel: +</w:delText>
              </w:r>
              <w:r w:rsidRPr="0038786C" w:rsidDel="00C6254E">
                <w:rPr>
                  <w:sz w:val="22"/>
                  <w:szCs w:val="22"/>
                </w:rPr>
                <w:delText>35 227 772 038</w:delText>
              </w:r>
            </w:del>
          </w:p>
          <w:p w14:paraId="3A0B268E" w14:textId="18DB00E3" w:rsidR="0039392A" w:rsidRPr="008225EB" w:rsidDel="00C6254E" w:rsidRDefault="0039392A" w:rsidP="00FB483D">
            <w:pPr>
              <w:tabs>
                <w:tab w:val="left" w:pos="-720"/>
              </w:tabs>
              <w:suppressAutoHyphens/>
              <w:rPr>
                <w:del w:id="65" w:author="만든 이"/>
                <w:noProof/>
              </w:rPr>
            </w:pPr>
          </w:p>
        </w:tc>
      </w:tr>
      <w:tr w:rsidR="0039392A" w:rsidRPr="00E35F32" w:rsidDel="00C6254E" w14:paraId="37D3C0A5" w14:textId="76CDA33D" w:rsidTr="00E0574D">
        <w:trPr>
          <w:trHeight w:val="575"/>
          <w:del w:id="66" w:author="만든 이"/>
        </w:trPr>
        <w:tc>
          <w:tcPr>
            <w:tcW w:w="2500" w:type="pct"/>
          </w:tcPr>
          <w:p w14:paraId="2BB7229F" w14:textId="4283EAAC" w:rsidR="0039392A" w:rsidRPr="00197887" w:rsidDel="00C6254E" w:rsidRDefault="0039392A" w:rsidP="00FB483D">
            <w:pPr>
              <w:pStyle w:val="Default"/>
              <w:rPr>
                <w:del w:id="67" w:author="만든 이"/>
                <w:lang w:val="pl-PL"/>
              </w:rPr>
            </w:pPr>
            <w:del w:id="68" w:author="만든 이">
              <w:r w:rsidRPr="00197887" w:rsidDel="00C6254E">
                <w:rPr>
                  <w:b/>
                  <w:sz w:val="22"/>
                  <w:lang w:val="pl-PL"/>
                </w:rPr>
                <w:delText>Česká republika</w:delText>
              </w:r>
            </w:del>
          </w:p>
          <w:p w14:paraId="2BB7F492" w14:textId="0C4EE8CF" w:rsidR="0039392A" w:rsidRPr="00197887" w:rsidDel="00C6254E" w:rsidRDefault="0039392A" w:rsidP="00FB483D">
            <w:pPr>
              <w:pStyle w:val="Default"/>
              <w:rPr>
                <w:del w:id="69" w:author="만든 이"/>
                <w:lang w:val="pl-PL"/>
              </w:rPr>
            </w:pPr>
            <w:del w:id="70" w:author="만든 이">
              <w:r w:rsidRPr="00F448B7" w:rsidDel="00C6254E">
                <w:rPr>
                  <w:sz w:val="22"/>
                  <w:szCs w:val="22"/>
                  <w:lang w:val="pl-PL"/>
                </w:rPr>
                <w:delText>Biogen (Czech Republic)</w:delText>
              </w:r>
              <w:r w:rsidRPr="00197887" w:rsidDel="00C6254E">
                <w:rPr>
                  <w:sz w:val="22"/>
                  <w:lang w:val="pl-PL"/>
                </w:rPr>
                <w:delText xml:space="preserve"> s.r.o.</w:delText>
              </w:r>
            </w:del>
          </w:p>
          <w:p w14:paraId="4B2E5177" w14:textId="1F25058C" w:rsidR="0039392A" w:rsidRPr="0038786C" w:rsidDel="00C6254E" w:rsidRDefault="0039392A" w:rsidP="00FB483D">
            <w:pPr>
              <w:pStyle w:val="Default"/>
              <w:rPr>
                <w:del w:id="71" w:author="만든 이"/>
                <w:sz w:val="22"/>
                <w:szCs w:val="22"/>
              </w:rPr>
            </w:pPr>
            <w:del w:id="72" w:author="만든 이">
              <w:r w:rsidRPr="00197887" w:rsidDel="00C6254E">
                <w:rPr>
                  <w:sz w:val="22"/>
                </w:rPr>
                <w:delText>Tel: +</w:delText>
              </w:r>
              <w:r w:rsidRPr="0038786C" w:rsidDel="00C6254E">
                <w:rPr>
                  <w:sz w:val="22"/>
                  <w:szCs w:val="22"/>
                </w:rPr>
                <w:delText xml:space="preserve"> </w:delText>
              </w:r>
              <w:r w:rsidRPr="00197887" w:rsidDel="00C6254E">
                <w:rPr>
                  <w:sz w:val="22"/>
                </w:rPr>
                <w:delText xml:space="preserve">420 </w:delText>
              </w:r>
              <w:r w:rsidRPr="0038786C" w:rsidDel="00C6254E">
                <w:rPr>
                  <w:sz w:val="22"/>
                  <w:szCs w:val="22"/>
                </w:rPr>
                <w:delText>228 884 152</w:delText>
              </w:r>
            </w:del>
          </w:p>
          <w:p w14:paraId="4AF8268F" w14:textId="6A5290DE" w:rsidR="0039392A" w:rsidRPr="00067B16" w:rsidDel="00C6254E" w:rsidRDefault="0039392A" w:rsidP="00FB483D">
            <w:pPr>
              <w:tabs>
                <w:tab w:val="left" w:pos="-720"/>
              </w:tabs>
              <w:suppressAutoHyphens/>
              <w:rPr>
                <w:del w:id="73" w:author="만든 이"/>
                <w:noProof/>
              </w:rPr>
            </w:pPr>
          </w:p>
        </w:tc>
        <w:tc>
          <w:tcPr>
            <w:tcW w:w="2500" w:type="pct"/>
          </w:tcPr>
          <w:p w14:paraId="2CEC1E1B" w14:textId="3423CFD0" w:rsidR="0039392A" w:rsidRPr="0038786C" w:rsidDel="00C6254E" w:rsidRDefault="0039392A" w:rsidP="00FB483D">
            <w:pPr>
              <w:pStyle w:val="Default"/>
              <w:rPr>
                <w:del w:id="74" w:author="만든 이"/>
                <w:sz w:val="22"/>
                <w:szCs w:val="22"/>
              </w:rPr>
            </w:pPr>
            <w:del w:id="75" w:author="만든 이">
              <w:r w:rsidRPr="00197887" w:rsidDel="00C6254E">
                <w:rPr>
                  <w:b/>
                  <w:sz w:val="22"/>
                </w:rPr>
                <w:delText>Magyarország</w:delText>
              </w:r>
            </w:del>
          </w:p>
          <w:p w14:paraId="794BC9B2" w14:textId="5F72919E" w:rsidR="0039392A" w:rsidRPr="0038786C" w:rsidDel="00C6254E" w:rsidRDefault="0039392A" w:rsidP="00FB483D">
            <w:pPr>
              <w:pStyle w:val="Default"/>
              <w:rPr>
                <w:del w:id="76" w:author="만든 이"/>
                <w:sz w:val="22"/>
                <w:szCs w:val="22"/>
              </w:rPr>
            </w:pPr>
            <w:del w:id="77" w:author="만든 이">
              <w:r w:rsidRPr="0038786C" w:rsidDel="00C6254E">
                <w:rPr>
                  <w:sz w:val="22"/>
                  <w:szCs w:val="22"/>
                </w:rPr>
                <w:delText>Biogen Hungary</w:delText>
              </w:r>
              <w:r w:rsidRPr="00197887" w:rsidDel="00C6254E">
                <w:rPr>
                  <w:sz w:val="22"/>
                </w:rPr>
                <w:delText xml:space="preserve"> Kft.</w:delText>
              </w:r>
            </w:del>
          </w:p>
          <w:p w14:paraId="6B85B456" w14:textId="7C672F78" w:rsidR="0039392A" w:rsidRPr="0038786C" w:rsidDel="00C6254E" w:rsidRDefault="0039392A" w:rsidP="00FB483D">
            <w:pPr>
              <w:pStyle w:val="Default"/>
              <w:rPr>
                <w:del w:id="78" w:author="만든 이"/>
                <w:sz w:val="22"/>
                <w:szCs w:val="22"/>
              </w:rPr>
            </w:pPr>
            <w:del w:id="79" w:author="만든 이">
              <w:r w:rsidRPr="00197887" w:rsidDel="00C6254E">
                <w:rPr>
                  <w:sz w:val="22"/>
                </w:rPr>
                <w:delText>Tel.: +</w:delText>
              </w:r>
              <w:r w:rsidRPr="0038786C" w:rsidDel="00C6254E">
                <w:rPr>
                  <w:sz w:val="22"/>
                  <w:szCs w:val="22"/>
                </w:rPr>
                <w:delText xml:space="preserve"> </w:delText>
              </w:r>
              <w:r w:rsidRPr="00197887" w:rsidDel="00C6254E">
                <w:rPr>
                  <w:sz w:val="22"/>
                </w:rPr>
                <w:delText xml:space="preserve">36 1 </w:delText>
              </w:r>
              <w:r w:rsidRPr="0038786C" w:rsidDel="00C6254E">
                <w:rPr>
                  <w:sz w:val="22"/>
                  <w:szCs w:val="22"/>
                </w:rPr>
                <w:delText>848 04 64</w:delText>
              </w:r>
            </w:del>
          </w:p>
          <w:p w14:paraId="03643F0E" w14:textId="1D94F6D2" w:rsidR="0039392A" w:rsidRPr="00E0574D" w:rsidDel="00C6254E" w:rsidRDefault="0039392A" w:rsidP="00FB483D">
            <w:pPr>
              <w:rPr>
                <w:del w:id="80" w:author="만든 이"/>
                <w:noProof/>
                <w:lang w:val="en-GB"/>
              </w:rPr>
            </w:pPr>
          </w:p>
        </w:tc>
      </w:tr>
      <w:tr w:rsidR="0039392A" w:rsidRPr="00E35F32" w:rsidDel="00C6254E" w14:paraId="3FBFF3A7" w14:textId="160657C0" w:rsidTr="00E0574D">
        <w:trPr>
          <w:del w:id="81" w:author="만든 이"/>
        </w:trPr>
        <w:tc>
          <w:tcPr>
            <w:tcW w:w="2500" w:type="pct"/>
          </w:tcPr>
          <w:p w14:paraId="51925B7F" w14:textId="6EAC0EBD" w:rsidR="0039392A" w:rsidRPr="00197887" w:rsidDel="00C6254E" w:rsidRDefault="0039392A" w:rsidP="00FB483D">
            <w:pPr>
              <w:pStyle w:val="Default"/>
              <w:rPr>
                <w:del w:id="82" w:author="만든 이"/>
                <w:lang w:val="de-DE"/>
              </w:rPr>
            </w:pPr>
            <w:del w:id="83" w:author="만든 이">
              <w:r w:rsidRPr="00197887" w:rsidDel="00C6254E">
                <w:rPr>
                  <w:b/>
                  <w:sz w:val="22"/>
                  <w:lang w:val="de-DE"/>
                </w:rPr>
                <w:delText>Danmark</w:delText>
              </w:r>
            </w:del>
          </w:p>
          <w:p w14:paraId="76CD0401" w14:textId="6077ABCB" w:rsidR="0039392A" w:rsidRPr="00F448B7" w:rsidDel="00C6254E" w:rsidRDefault="0039392A" w:rsidP="00FB483D">
            <w:pPr>
              <w:pStyle w:val="Default"/>
              <w:rPr>
                <w:del w:id="84" w:author="만든 이"/>
                <w:sz w:val="22"/>
                <w:szCs w:val="22"/>
                <w:lang w:val="de-DE"/>
              </w:rPr>
            </w:pPr>
            <w:del w:id="85" w:author="만든 이">
              <w:r w:rsidRPr="00F448B7" w:rsidDel="00C6254E">
                <w:rPr>
                  <w:sz w:val="22"/>
                  <w:szCs w:val="22"/>
                  <w:lang w:val="de-DE"/>
                </w:rPr>
                <w:delText>Biogen (Denmark)</w:delText>
              </w:r>
              <w:r w:rsidRPr="00197887" w:rsidDel="00C6254E">
                <w:rPr>
                  <w:sz w:val="22"/>
                  <w:lang w:val="de-DE"/>
                </w:rPr>
                <w:delText xml:space="preserve"> A/S</w:delText>
              </w:r>
            </w:del>
          </w:p>
          <w:p w14:paraId="321F97A5" w14:textId="2A50D9C9" w:rsidR="0039392A" w:rsidRPr="00F448B7" w:rsidDel="00C6254E" w:rsidRDefault="0039392A" w:rsidP="00FB483D">
            <w:pPr>
              <w:pStyle w:val="Default"/>
              <w:rPr>
                <w:del w:id="86" w:author="만든 이"/>
                <w:sz w:val="22"/>
                <w:szCs w:val="22"/>
                <w:lang w:val="de-DE"/>
              </w:rPr>
            </w:pPr>
            <w:del w:id="87" w:author="만든 이">
              <w:r w:rsidRPr="00197887" w:rsidDel="00C6254E">
                <w:rPr>
                  <w:sz w:val="22"/>
                  <w:lang w:val="de-DE"/>
                </w:rPr>
                <w:delText>Tlf</w:delText>
              </w:r>
              <w:r w:rsidR="003C543B" w:rsidDel="00C6254E">
                <w:rPr>
                  <w:sz w:val="22"/>
                  <w:lang w:val="de-DE"/>
                </w:rPr>
                <w:delText>.</w:delText>
              </w:r>
              <w:r w:rsidRPr="00197887" w:rsidDel="00C6254E">
                <w:rPr>
                  <w:sz w:val="22"/>
                  <w:lang w:val="de-DE"/>
                </w:rPr>
                <w:delText>: +</w:delText>
              </w:r>
              <w:r w:rsidRPr="00F448B7" w:rsidDel="00C6254E">
                <w:rPr>
                  <w:sz w:val="22"/>
                  <w:szCs w:val="22"/>
                  <w:lang w:val="de-DE"/>
                </w:rPr>
                <w:delText xml:space="preserve"> </w:delText>
              </w:r>
              <w:r w:rsidRPr="00197887" w:rsidDel="00C6254E">
                <w:rPr>
                  <w:sz w:val="22"/>
                  <w:lang w:val="de-DE"/>
                </w:rPr>
                <w:delText xml:space="preserve">45 </w:delText>
              </w:r>
              <w:r w:rsidRPr="00F448B7" w:rsidDel="00C6254E">
                <w:rPr>
                  <w:sz w:val="22"/>
                  <w:szCs w:val="22"/>
                  <w:lang w:val="de-DE"/>
                </w:rPr>
                <w:delText>78 79 37 53</w:delText>
              </w:r>
            </w:del>
          </w:p>
          <w:p w14:paraId="01096365" w14:textId="7ABFD054" w:rsidR="0039392A" w:rsidRPr="00E0574D" w:rsidDel="00C6254E" w:rsidRDefault="0039392A" w:rsidP="00FB483D">
            <w:pPr>
              <w:tabs>
                <w:tab w:val="left" w:pos="-720"/>
              </w:tabs>
              <w:suppressAutoHyphens/>
              <w:rPr>
                <w:del w:id="88" w:author="만든 이"/>
                <w:noProof/>
                <w:lang w:val="en-GB"/>
              </w:rPr>
            </w:pPr>
          </w:p>
        </w:tc>
        <w:tc>
          <w:tcPr>
            <w:tcW w:w="2500" w:type="pct"/>
          </w:tcPr>
          <w:p w14:paraId="6036D3FC" w14:textId="6BA04113" w:rsidR="0039392A" w:rsidRPr="00197887" w:rsidDel="00C6254E" w:rsidRDefault="0039392A" w:rsidP="00FB483D">
            <w:pPr>
              <w:pStyle w:val="Default"/>
              <w:rPr>
                <w:del w:id="89" w:author="만든 이"/>
                <w:lang w:val="fi-FI"/>
              </w:rPr>
            </w:pPr>
            <w:del w:id="90" w:author="만든 이">
              <w:r w:rsidRPr="00197887" w:rsidDel="00C6254E">
                <w:rPr>
                  <w:b/>
                  <w:sz w:val="22"/>
                  <w:lang w:val="fi-FI"/>
                </w:rPr>
                <w:delText>Malta</w:delText>
              </w:r>
            </w:del>
          </w:p>
          <w:p w14:paraId="326F5087" w14:textId="7C23C99B" w:rsidR="0039392A" w:rsidRPr="001B3A45" w:rsidDel="00C6254E" w:rsidRDefault="0039392A" w:rsidP="00FB483D">
            <w:pPr>
              <w:pStyle w:val="Default"/>
              <w:rPr>
                <w:del w:id="91" w:author="만든 이"/>
                <w:rFonts w:eastAsia="맑은 고딕"/>
                <w:sz w:val="22"/>
                <w:szCs w:val="22"/>
                <w:lang w:val="fi-FI"/>
              </w:rPr>
            </w:pPr>
            <w:del w:id="92" w:author="만든 이">
              <w:r w:rsidRPr="00197887" w:rsidDel="00C6254E">
                <w:rPr>
                  <w:sz w:val="22"/>
                  <w:lang w:val="fi-FI"/>
                </w:rPr>
                <w:delText>Pharma</w:delText>
              </w:r>
              <w:r w:rsidRPr="001B3A45" w:rsidDel="00C6254E">
                <w:rPr>
                  <w:sz w:val="22"/>
                  <w:szCs w:val="22"/>
                  <w:lang w:val="fi-FI"/>
                </w:rPr>
                <w:delText>.MT Ltd</w:delText>
              </w:r>
            </w:del>
          </w:p>
          <w:p w14:paraId="73711226" w14:textId="2F7A50B2" w:rsidR="0039392A" w:rsidRPr="001B3A45" w:rsidDel="00C6254E" w:rsidRDefault="0039392A" w:rsidP="00FB483D">
            <w:pPr>
              <w:pStyle w:val="Default"/>
              <w:rPr>
                <w:del w:id="93" w:author="만든 이"/>
                <w:sz w:val="22"/>
                <w:szCs w:val="22"/>
                <w:lang w:val="fi-FI"/>
              </w:rPr>
            </w:pPr>
            <w:del w:id="94" w:author="만든 이">
              <w:r w:rsidRPr="00197887" w:rsidDel="00C6254E">
                <w:rPr>
                  <w:sz w:val="22"/>
                  <w:lang w:val="fi-FI"/>
                </w:rPr>
                <w:delText>Tel: +</w:delText>
              </w:r>
              <w:r w:rsidRPr="001B3A45" w:rsidDel="00C6254E">
                <w:rPr>
                  <w:sz w:val="22"/>
                  <w:szCs w:val="22"/>
                  <w:lang w:val="fi-FI"/>
                </w:rPr>
                <w:delText xml:space="preserve"> </w:delText>
              </w:r>
              <w:r w:rsidRPr="00197887" w:rsidDel="00C6254E">
                <w:rPr>
                  <w:sz w:val="22"/>
                  <w:lang w:val="fi-FI"/>
                </w:rPr>
                <w:delText xml:space="preserve">356 </w:delText>
              </w:r>
              <w:r w:rsidRPr="001B3A45" w:rsidDel="00C6254E">
                <w:rPr>
                  <w:sz w:val="22"/>
                  <w:szCs w:val="22"/>
                  <w:lang w:val="fi-FI"/>
                </w:rPr>
                <w:delText>27 78 15 79</w:delText>
              </w:r>
            </w:del>
          </w:p>
          <w:p w14:paraId="53D2241B" w14:textId="027678D6" w:rsidR="0039392A" w:rsidRPr="00197887" w:rsidDel="00C6254E" w:rsidRDefault="0039392A" w:rsidP="00FB483D">
            <w:pPr>
              <w:rPr>
                <w:del w:id="95" w:author="만든 이"/>
                <w:lang w:val="fi-FI"/>
              </w:rPr>
            </w:pPr>
          </w:p>
        </w:tc>
      </w:tr>
      <w:tr w:rsidR="0039392A" w:rsidDel="00C6254E" w14:paraId="24A5D9C8" w14:textId="3E8536BE" w:rsidTr="00E0574D">
        <w:trPr>
          <w:del w:id="96" w:author="만든 이"/>
        </w:trPr>
        <w:tc>
          <w:tcPr>
            <w:tcW w:w="2500" w:type="pct"/>
          </w:tcPr>
          <w:p w14:paraId="41F33153" w14:textId="0659FAD5" w:rsidR="0039392A" w:rsidRPr="00197887" w:rsidDel="00C6254E" w:rsidRDefault="0039392A" w:rsidP="00FB483D">
            <w:pPr>
              <w:pStyle w:val="Default"/>
              <w:rPr>
                <w:del w:id="97" w:author="만든 이"/>
              </w:rPr>
            </w:pPr>
            <w:del w:id="98" w:author="만든 이">
              <w:r w:rsidRPr="00197887" w:rsidDel="00C6254E">
                <w:rPr>
                  <w:b/>
                  <w:sz w:val="22"/>
                </w:rPr>
                <w:delText>Deutschland</w:delText>
              </w:r>
            </w:del>
          </w:p>
          <w:p w14:paraId="29B806F5" w14:textId="51207BED" w:rsidR="0039392A" w:rsidRPr="0038786C" w:rsidDel="00C6254E" w:rsidRDefault="0039392A" w:rsidP="00FB483D">
            <w:pPr>
              <w:pStyle w:val="Default"/>
              <w:rPr>
                <w:del w:id="99" w:author="만든 이"/>
                <w:sz w:val="22"/>
                <w:szCs w:val="22"/>
              </w:rPr>
            </w:pPr>
            <w:del w:id="100" w:author="만든 이">
              <w:r w:rsidRPr="0038786C" w:rsidDel="00C6254E">
                <w:rPr>
                  <w:sz w:val="22"/>
                  <w:szCs w:val="22"/>
                </w:rPr>
                <w:delText>Biogen</w:delText>
              </w:r>
              <w:r w:rsidRPr="00197887" w:rsidDel="00C6254E">
                <w:rPr>
                  <w:sz w:val="22"/>
                </w:rPr>
                <w:delText xml:space="preserve"> GmbH </w:delText>
              </w:r>
            </w:del>
          </w:p>
          <w:p w14:paraId="13EFBBA0" w14:textId="641A29B5" w:rsidR="0039392A" w:rsidRPr="006B4557" w:rsidDel="00C6254E" w:rsidRDefault="0039392A" w:rsidP="00FB483D">
            <w:pPr>
              <w:tabs>
                <w:tab w:val="left" w:pos="-720"/>
              </w:tabs>
              <w:suppressAutoHyphens/>
              <w:rPr>
                <w:del w:id="101" w:author="만든 이"/>
                <w:noProof/>
              </w:rPr>
            </w:pPr>
            <w:del w:id="102" w:author="만든 이">
              <w:r w:rsidRPr="0038786C" w:rsidDel="00C6254E">
                <w:delText xml:space="preserve">Tel: </w:delText>
              </w:r>
              <w:r w:rsidRPr="00212801" w:rsidDel="00C6254E">
                <w:delText>+ 49 (0)</w:delText>
              </w:r>
              <w:r w:rsidR="00EC301B" w:rsidDel="00C6254E">
                <w:delText>89 996 177 00</w:delText>
              </w:r>
            </w:del>
          </w:p>
        </w:tc>
        <w:tc>
          <w:tcPr>
            <w:tcW w:w="2500" w:type="pct"/>
          </w:tcPr>
          <w:p w14:paraId="6EFD9BB3" w14:textId="67D5BA3C" w:rsidR="0039392A" w:rsidRPr="00197887" w:rsidDel="00C6254E" w:rsidRDefault="0039392A" w:rsidP="00FB483D">
            <w:pPr>
              <w:pStyle w:val="Default"/>
              <w:rPr>
                <w:del w:id="103" w:author="만든 이"/>
                <w:lang w:val="nl-NL"/>
              </w:rPr>
            </w:pPr>
            <w:del w:id="104" w:author="만든 이">
              <w:r w:rsidRPr="00197887" w:rsidDel="00C6254E">
                <w:rPr>
                  <w:b/>
                  <w:sz w:val="22"/>
                  <w:lang w:val="nl-NL"/>
                </w:rPr>
                <w:delText>Nederland</w:delText>
              </w:r>
            </w:del>
          </w:p>
          <w:p w14:paraId="124B132C" w14:textId="4F557A13" w:rsidR="0039392A" w:rsidRPr="001B3A45" w:rsidDel="00C6254E" w:rsidRDefault="0039392A" w:rsidP="00FB483D">
            <w:pPr>
              <w:pStyle w:val="Default"/>
              <w:rPr>
                <w:del w:id="105" w:author="만든 이"/>
                <w:sz w:val="22"/>
                <w:szCs w:val="22"/>
                <w:lang w:val="nl-NL"/>
              </w:rPr>
            </w:pPr>
            <w:del w:id="106" w:author="만든 이">
              <w:r w:rsidRPr="001B3A45" w:rsidDel="00C6254E">
                <w:rPr>
                  <w:sz w:val="22"/>
                  <w:szCs w:val="22"/>
                  <w:lang w:val="nl-NL"/>
                </w:rPr>
                <w:delText>Biogen Netherlands</w:delText>
              </w:r>
              <w:r w:rsidRPr="00197887" w:rsidDel="00C6254E">
                <w:rPr>
                  <w:sz w:val="22"/>
                  <w:lang w:val="nl-NL"/>
                </w:rPr>
                <w:delText xml:space="preserve"> B.V.</w:delText>
              </w:r>
            </w:del>
          </w:p>
          <w:p w14:paraId="652B3D3F" w14:textId="36EC0603" w:rsidR="0039392A" w:rsidRPr="0038786C" w:rsidDel="00C6254E" w:rsidRDefault="0039392A" w:rsidP="00FB483D">
            <w:pPr>
              <w:pStyle w:val="Default"/>
              <w:rPr>
                <w:del w:id="107" w:author="만든 이"/>
                <w:sz w:val="22"/>
                <w:szCs w:val="22"/>
              </w:rPr>
            </w:pPr>
            <w:del w:id="108" w:author="만든 이">
              <w:r w:rsidRPr="00197887" w:rsidDel="00C6254E">
                <w:rPr>
                  <w:sz w:val="22"/>
                </w:rPr>
                <w:delText>Tel: +</w:delText>
              </w:r>
              <w:r w:rsidRPr="0038786C" w:rsidDel="00C6254E">
                <w:rPr>
                  <w:sz w:val="22"/>
                  <w:szCs w:val="22"/>
                </w:rPr>
                <w:delText xml:space="preserve"> </w:delText>
              </w:r>
              <w:r w:rsidRPr="00197887" w:rsidDel="00C6254E">
                <w:rPr>
                  <w:sz w:val="22"/>
                </w:rPr>
                <w:delText xml:space="preserve">31 </w:delText>
              </w:r>
              <w:r w:rsidRPr="0038786C" w:rsidDel="00C6254E">
                <w:rPr>
                  <w:sz w:val="22"/>
                  <w:szCs w:val="22"/>
                </w:rPr>
                <w:delText>(0)20 808 02 70</w:delText>
              </w:r>
            </w:del>
          </w:p>
          <w:p w14:paraId="46D997EA" w14:textId="17AF6367" w:rsidR="0039392A" w:rsidRPr="008225EB" w:rsidDel="00C6254E" w:rsidRDefault="0039392A" w:rsidP="00FB483D">
            <w:pPr>
              <w:tabs>
                <w:tab w:val="left" w:pos="-720"/>
              </w:tabs>
              <w:suppressAutoHyphens/>
              <w:rPr>
                <w:del w:id="109" w:author="만든 이"/>
                <w:noProof/>
              </w:rPr>
            </w:pPr>
          </w:p>
        </w:tc>
      </w:tr>
      <w:tr w:rsidR="0039392A" w:rsidRPr="00E35F32" w:rsidDel="00C6254E" w14:paraId="07CAC3E9" w14:textId="40651CA6" w:rsidTr="00E0574D">
        <w:trPr>
          <w:del w:id="110" w:author="만든 이"/>
        </w:trPr>
        <w:tc>
          <w:tcPr>
            <w:tcW w:w="2500" w:type="pct"/>
          </w:tcPr>
          <w:p w14:paraId="09A0851B" w14:textId="53343294" w:rsidR="0039392A" w:rsidRPr="00197887" w:rsidDel="00C6254E" w:rsidRDefault="0039392A" w:rsidP="00FB483D">
            <w:pPr>
              <w:pStyle w:val="Default"/>
              <w:rPr>
                <w:del w:id="111" w:author="만든 이"/>
                <w:lang w:val="it-IT"/>
              </w:rPr>
            </w:pPr>
            <w:del w:id="112" w:author="만든 이">
              <w:r w:rsidRPr="00197887" w:rsidDel="00C6254E">
                <w:rPr>
                  <w:b/>
                  <w:sz w:val="22"/>
                  <w:lang w:val="it-IT"/>
                </w:rPr>
                <w:delText>Eesti</w:delText>
              </w:r>
            </w:del>
          </w:p>
          <w:p w14:paraId="6E1F202B" w14:textId="576D7AB8" w:rsidR="0039392A" w:rsidRPr="001B3A45" w:rsidDel="00C6254E" w:rsidRDefault="00500F99" w:rsidP="00FB483D">
            <w:pPr>
              <w:pStyle w:val="Default"/>
              <w:rPr>
                <w:del w:id="113" w:author="만든 이"/>
                <w:rFonts w:eastAsia="맑은 고딕"/>
                <w:sz w:val="22"/>
                <w:szCs w:val="22"/>
                <w:lang w:val="it-IT"/>
              </w:rPr>
            </w:pPr>
            <w:del w:id="114" w:author="만든 이">
              <w:r w:rsidRPr="00500F99" w:rsidDel="00C6254E">
                <w:rPr>
                  <w:sz w:val="22"/>
                  <w:szCs w:val="22"/>
                  <w:lang w:val="it-IT"/>
                </w:rPr>
                <w:delText>Biogen Estonia OÜ</w:delText>
              </w:r>
            </w:del>
          </w:p>
          <w:p w14:paraId="3B21F6C6" w14:textId="03C31BCE" w:rsidR="0039392A" w:rsidRPr="001B3A45" w:rsidDel="00C6254E" w:rsidRDefault="0039392A" w:rsidP="00FB483D">
            <w:pPr>
              <w:pStyle w:val="Default"/>
              <w:rPr>
                <w:del w:id="115" w:author="만든 이"/>
                <w:sz w:val="22"/>
                <w:szCs w:val="22"/>
                <w:lang w:val="it-IT"/>
              </w:rPr>
            </w:pPr>
            <w:del w:id="116" w:author="만든 이">
              <w:r w:rsidRPr="00197887" w:rsidDel="00C6254E">
                <w:rPr>
                  <w:sz w:val="22"/>
                  <w:lang w:val="it-IT"/>
                </w:rPr>
                <w:delText>Tel: +</w:delText>
              </w:r>
              <w:r w:rsidRPr="001B3A45" w:rsidDel="00C6254E">
                <w:rPr>
                  <w:sz w:val="22"/>
                  <w:szCs w:val="22"/>
                  <w:lang w:val="it-IT"/>
                </w:rPr>
                <w:delText xml:space="preserve"> </w:delText>
              </w:r>
              <w:r w:rsidRPr="00197887" w:rsidDel="00C6254E">
                <w:rPr>
                  <w:sz w:val="22"/>
                  <w:lang w:val="it-IT"/>
                </w:rPr>
                <w:delText xml:space="preserve">372 </w:delText>
              </w:r>
              <w:r w:rsidRPr="001B3A45" w:rsidDel="00C6254E">
                <w:rPr>
                  <w:sz w:val="22"/>
                  <w:szCs w:val="22"/>
                  <w:lang w:val="it-IT"/>
                </w:rPr>
                <w:delText>6 68</w:delText>
              </w:r>
              <w:r w:rsidRPr="00197887" w:rsidDel="00C6254E">
                <w:rPr>
                  <w:sz w:val="22"/>
                  <w:lang w:val="it-IT"/>
                </w:rPr>
                <w:delText xml:space="preserve"> 30 </w:delText>
              </w:r>
              <w:r w:rsidRPr="001B3A45" w:rsidDel="00C6254E">
                <w:rPr>
                  <w:sz w:val="22"/>
                  <w:szCs w:val="22"/>
                  <w:lang w:val="it-IT"/>
                </w:rPr>
                <w:delText>56</w:delText>
              </w:r>
            </w:del>
          </w:p>
          <w:p w14:paraId="2104EC2A" w14:textId="6F0E53F9" w:rsidR="0039392A" w:rsidRPr="00197887" w:rsidDel="00C6254E" w:rsidRDefault="0039392A" w:rsidP="00FB483D">
            <w:pPr>
              <w:tabs>
                <w:tab w:val="left" w:pos="-720"/>
              </w:tabs>
              <w:suppressAutoHyphens/>
              <w:rPr>
                <w:del w:id="117" w:author="만든 이"/>
                <w:lang w:val="it-IT"/>
              </w:rPr>
            </w:pPr>
          </w:p>
        </w:tc>
        <w:tc>
          <w:tcPr>
            <w:tcW w:w="2500" w:type="pct"/>
          </w:tcPr>
          <w:p w14:paraId="54E4BFC1" w14:textId="23B16426" w:rsidR="0039392A" w:rsidRPr="00197887" w:rsidDel="00C6254E" w:rsidRDefault="0039392A" w:rsidP="00FB483D">
            <w:pPr>
              <w:pStyle w:val="Default"/>
              <w:rPr>
                <w:del w:id="118" w:author="만든 이"/>
              </w:rPr>
            </w:pPr>
            <w:del w:id="119" w:author="만든 이">
              <w:r w:rsidRPr="00197887" w:rsidDel="00C6254E">
                <w:rPr>
                  <w:b/>
                  <w:sz w:val="22"/>
                </w:rPr>
                <w:delText>Norge</w:delText>
              </w:r>
            </w:del>
          </w:p>
          <w:p w14:paraId="669D274D" w14:textId="5A6846B8" w:rsidR="0039392A" w:rsidRPr="0038786C" w:rsidDel="00C6254E" w:rsidRDefault="0039392A" w:rsidP="00FB483D">
            <w:pPr>
              <w:pStyle w:val="Default"/>
              <w:rPr>
                <w:del w:id="120" w:author="만든 이"/>
                <w:sz w:val="22"/>
                <w:szCs w:val="22"/>
              </w:rPr>
            </w:pPr>
            <w:del w:id="121" w:author="만든 이">
              <w:r w:rsidRPr="0038786C" w:rsidDel="00C6254E">
                <w:rPr>
                  <w:sz w:val="22"/>
                  <w:szCs w:val="22"/>
                </w:rPr>
                <w:delText>Biogen Norway</w:delText>
              </w:r>
              <w:r w:rsidRPr="00197887" w:rsidDel="00C6254E">
                <w:rPr>
                  <w:sz w:val="22"/>
                </w:rPr>
                <w:delText xml:space="preserve"> AS</w:delText>
              </w:r>
            </w:del>
          </w:p>
          <w:p w14:paraId="35F9AD29" w14:textId="2241157D" w:rsidR="0039392A" w:rsidRPr="0038786C" w:rsidDel="00C6254E" w:rsidRDefault="0039392A" w:rsidP="00FB483D">
            <w:pPr>
              <w:pStyle w:val="Default"/>
              <w:rPr>
                <w:del w:id="122" w:author="만든 이"/>
                <w:sz w:val="22"/>
                <w:szCs w:val="22"/>
              </w:rPr>
            </w:pPr>
            <w:del w:id="123" w:author="만든 이">
              <w:r w:rsidRPr="00197887" w:rsidDel="00C6254E">
                <w:rPr>
                  <w:sz w:val="22"/>
                </w:rPr>
                <w:delText>Tlf: +</w:delText>
              </w:r>
              <w:r w:rsidRPr="0038786C" w:rsidDel="00C6254E">
                <w:rPr>
                  <w:sz w:val="22"/>
                  <w:szCs w:val="22"/>
                </w:rPr>
                <w:delText xml:space="preserve"> </w:delText>
              </w:r>
              <w:r w:rsidRPr="00197887" w:rsidDel="00C6254E">
                <w:rPr>
                  <w:sz w:val="22"/>
                </w:rPr>
                <w:delText xml:space="preserve">47 </w:delText>
              </w:r>
              <w:r w:rsidRPr="0038786C" w:rsidDel="00C6254E">
                <w:rPr>
                  <w:sz w:val="22"/>
                  <w:szCs w:val="22"/>
                </w:rPr>
                <w:delText>21 93 95 87</w:delText>
              </w:r>
            </w:del>
          </w:p>
          <w:p w14:paraId="4674BEDB" w14:textId="35E229AA" w:rsidR="0039392A" w:rsidRPr="00E0574D" w:rsidDel="00C6254E" w:rsidRDefault="0039392A" w:rsidP="00FB483D">
            <w:pPr>
              <w:rPr>
                <w:del w:id="124" w:author="만든 이"/>
                <w:noProof/>
                <w:lang w:val="en-GB"/>
              </w:rPr>
            </w:pPr>
          </w:p>
        </w:tc>
      </w:tr>
      <w:tr w:rsidR="0039392A" w:rsidRPr="00E35F32" w:rsidDel="00C6254E" w14:paraId="624A1DA2" w14:textId="4703B97A" w:rsidTr="00E0574D">
        <w:trPr>
          <w:del w:id="125" w:author="만든 이"/>
        </w:trPr>
        <w:tc>
          <w:tcPr>
            <w:tcW w:w="2500" w:type="pct"/>
          </w:tcPr>
          <w:p w14:paraId="08CA67C9" w14:textId="2AA5A8C9" w:rsidR="0039392A" w:rsidRPr="00197887" w:rsidDel="00C6254E" w:rsidRDefault="0039392A" w:rsidP="00FB483D">
            <w:pPr>
              <w:pStyle w:val="Default"/>
              <w:rPr>
                <w:del w:id="126" w:author="만든 이"/>
                <w:lang w:val="es-US"/>
              </w:rPr>
            </w:pPr>
            <w:del w:id="127" w:author="만든 이">
              <w:r w:rsidRPr="00197887" w:rsidDel="00C6254E">
                <w:rPr>
                  <w:b/>
                  <w:sz w:val="22"/>
                </w:rPr>
                <w:delText>Ελλάδα</w:delText>
              </w:r>
            </w:del>
          </w:p>
          <w:p w14:paraId="57FC4EF4" w14:textId="2812B2D8" w:rsidR="0039392A" w:rsidRPr="00685ADA" w:rsidDel="00C6254E" w:rsidRDefault="0039392A" w:rsidP="00FB483D">
            <w:pPr>
              <w:pStyle w:val="Default"/>
              <w:rPr>
                <w:del w:id="128" w:author="만든 이"/>
                <w:rFonts w:eastAsia="맑은 고딕"/>
                <w:bCs/>
                <w:sz w:val="22"/>
                <w:szCs w:val="22"/>
                <w:lang w:val="es-US"/>
              </w:rPr>
            </w:pPr>
            <w:del w:id="129" w:author="만든 이">
              <w:r w:rsidRPr="00685ADA" w:rsidDel="00C6254E">
                <w:rPr>
                  <w:sz w:val="22"/>
                  <w:szCs w:val="22"/>
                  <w:lang w:val="es-US"/>
                </w:rPr>
                <w:delText>Genesis Pharma S.</w:delText>
              </w:r>
              <w:r w:rsidRPr="00197887" w:rsidDel="00C6254E">
                <w:rPr>
                  <w:sz w:val="22"/>
                  <w:lang w:val="es-US"/>
                </w:rPr>
                <w:delText>A.</w:delText>
              </w:r>
            </w:del>
          </w:p>
          <w:p w14:paraId="056DC4AE" w14:textId="42E242E3" w:rsidR="0039392A" w:rsidRPr="00D93CFF" w:rsidDel="00C6254E" w:rsidRDefault="0039392A" w:rsidP="00FB483D">
            <w:pPr>
              <w:tabs>
                <w:tab w:val="left" w:pos="-720"/>
              </w:tabs>
              <w:suppressAutoHyphens/>
              <w:rPr>
                <w:del w:id="130" w:author="만든 이"/>
                <w:noProof/>
              </w:rPr>
            </w:pPr>
            <w:del w:id="131" w:author="만든 이">
              <w:r w:rsidRPr="0038786C" w:rsidDel="00C6254E">
                <w:rPr>
                  <w:bCs/>
                </w:rPr>
                <w:delText>Τηλ: + 30 211 176 8555</w:delText>
              </w:r>
            </w:del>
          </w:p>
        </w:tc>
        <w:tc>
          <w:tcPr>
            <w:tcW w:w="2500" w:type="pct"/>
          </w:tcPr>
          <w:p w14:paraId="5F1EF91D" w14:textId="3EDFDE13" w:rsidR="0039392A" w:rsidRPr="00197887" w:rsidDel="00C6254E" w:rsidRDefault="0039392A" w:rsidP="00FB483D">
            <w:pPr>
              <w:pStyle w:val="Default"/>
              <w:rPr>
                <w:del w:id="132" w:author="만든 이"/>
                <w:lang w:val="de-DE"/>
              </w:rPr>
            </w:pPr>
            <w:del w:id="133" w:author="만든 이">
              <w:r w:rsidRPr="00197887" w:rsidDel="00C6254E">
                <w:rPr>
                  <w:b/>
                  <w:sz w:val="22"/>
                  <w:lang w:val="de-DE"/>
                </w:rPr>
                <w:delText>Österreich</w:delText>
              </w:r>
            </w:del>
          </w:p>
          <w:p w14:paraId="4247A653" w14:textId="51FAD3DC" w:rsidR="0039392A" w:rsidRPr="007E75E6" w:rsidDel="00C6254E" w:rsidRDefault="0039392A" w:rsidP="00FB483D">
            <w:pPr>
              <w:pStyle w:val="Default"/>
              <w:rPr>
                <w:del w:id="134" w:author="만든 이"/>
                <w:sz w:val="22"/>
                <w:szCs w:val="22"/>
                <w:lang w:val="de-DE"/>
              </w:rPr>
            </w:pPr>
            <w:del w:id="135" w:author="만든 이">
              <w:r w:rsidRPr="007E75E6" w:rsidDel="00C6254E">
                <w:rPr>
                  <w:sz w:val="22"/>
                  <w:szCs w:val="22"/>
                  <w:lang w:val="de-DE"/>
                </w:rPr>
                <w:delText>Biogen Austria</w:delText>
              </w:r>
              <w:r w:rsidRPr="00197887" w:rsidDel="00C6254E">
                <w:rPr>
                  <w:sz w:val="22"/>
                  <w:lang w:val="de-DE"/>
                </w:rPr>
                <w:delText xml:space="preserve"> GmbH</w:delText>
              </w:r>
            </w:del>
          </w:p>
          <w:p w14:paraId="51C4A15B" w14:textId="3C8D1D46" w:rsidR="0039392A" w:rsidRPr="007E75E6" w:rsidDel="00C6254E" w:rsidRDefault="0039392A" w:rsidP="00FB483D">
            <w:pPr>
              <w:pStyle w:val="Default"/>
              <w:rPr>
                <w:del w:id="136" w:author="만든 이"/>
                <w:bCs/>
                <w:sz w:val="22"/>
                <w:szCs w:val="22"/>
                <w:lang w:val="de-DE"/>
              </w:rPr>
            </w:pPr>
            <w:del w:id="137" w:author="만든 이">
              <w:r w:rsidRPr="00197887" w:rsidDel="00C6254E">
                <w:rPr>
                  <w:sz w:val="22"/>
                  <w:lang w:val="de-DE"/>
                </w:rPr>
                <w:delText>Tel: +</w:delText>
              </w:r>
              <w:r w:rsidRPr="007E75E6" w:rsidDel="00C6254E">
                <w:rPr>
                  <w:bCs/>
                  <w:sz w:val="22"/>
                  <w:szCs w:val="22"/>
                  <w:lang w:val="de-DE"/>
                </w:rPr>
                <w:delText xml:space="preserve"> </w:delText>
              </w:r>
              <w:r w:rsidRPr="00197887" w:rsidDel="00C6254E">
                <w:rPr>
                  <w:sz w:val="22"/>
                  <w:lang w:val="de-DE"/>
                </w:rPr>
                <w:delText xml:space="preserve">43 </w:delText>
              </w:r>
              <w:r w:rsidRPr="007E75E6" w:rsidDel="00C6254E">
                <w:rPr>
                  <w:bCs/>
                  <w:sz w:val="22"/>
                  <w:szCs w:val="22"/>
                  <w:lang w:val="de-DE"/>
                </w:rPr>
                <w:delText>(0)</w:delText>
              </w:r>
              <w:r w:rsidRPr="00197887" w:rsidDel="00C6254E">
                <w:rPr>
                  <w:sz w:val="22"/>
                  <w:lang w:val="de-DE"/>
                </w:rPr>
                <w:delText xml:space="preserve">1 </w:delText>
              </w:r>
              <w:r w:rsidRPr="007E75E6" w:rsidDel="00C6254E">
                <w:rPr>
                  <w:bCs/>
                  <w:sz w:val="22"/>
                  <w:szCs w:val="22"/>
                  <w:lang w:val="de-DE"/>
                </w:rPr>
                <w:delText>267 51 42</w:delText>
              </w:r>
            </w:del>
          </w:p>
          <w:p w14:paraId="7F6F0CC7" w14:textId="0CA8E91D" w:rsidR="0039392A" w:rsidRPr="00197887" w:rsidDel="00C6254E" w:rsidRDefault="0039392A" w:rsidP="00FB483D">
            <w:pPr>
              <w:tabs>
                <w:tab w:val="left" w:pos="-720"/>
              </w:tabs>
              <w:suppressAutoHyphens/>
              <w:rPr>
                <w:del w:id="138" w:author="만든 이"/>
                <w:lang w:val="de-CH"/>
              </w:rPr>
            </w:pPr>
          </w:p>
        </w:tc>
      </w:tr>
      <w:tr w:rsidR="0039392A" w:rsidDel="00C6254E" w14:paraId="0A328552" w14:textId="3FE3D74C" w:rsidTr="00E0574D">
        <w:trPr>
          <w:del w:id="139" w:author="만든 이"/>
        </w:trPr>
        <w:tc>
          <w:tcPr>
            <w:tcW w:w="2500" w:type="pct"/>
          </w:tcPr>
          <w:p w14:paraId="505FCD0E" w14:textId="1EBB7CE0" w:rsidR="0039392A" w:rsidRPr="00197887" w:rsidDel="00C6254E" w:rsidRDefault="0039392A" w:rsidP="00FB483D">
            <w:pPr>
              <w:pStyle w:val="Default"/>
              <w:rPr>
                <w:del w:id="140" w:author="만든 이"/>
                <w:b/>
                <w:lang w:val="es-ES"/>
              </w:rPr>
            </w:pPr>
            <w:del w:id="141" w:author="만든 이">
              <w:r w:rsidRPr="00197887" w:rsidDel="00C6254E">
                <w:rPr>
                  <w:b/>
                  <w:sz w:val="22"/>
                  <w:lang w:val="es-ES"/>
                </w:rPr>
                <w:delText>España</w:delText>
              </w:r>
            </w:del>
          </w:p>
          <w:p w14:paraId="064A7FEF" w14:textId="50523379" w:rsidR="0039392A" w:rsidRPr="00F448B7" w:rsidDel="00C6254E" w:rsidRDefault="0039392A" w:rsidP="00FB483D">
            <w:pPr>
              <w:pStyle w:val="Default"/>
              <w:rPr>
                <w:del w:id="142" w:author="만든 이"/>
                <w:sz w:val="22"/>
                <w:szCs w:val="22"/>
                <w:lang w:val="es-ES"/>
              </w:rPr>
            </w:pPr>
            <w:del w:id="143" w:author="만든 이">
              <w:r w:rsidRPr="00F448B7" w:rsidDel="00C6254E">
                <w:rPr>
                  <w:sz w:val="22"/>
                  <w:szCs w:val="22"/>
                  <w:lang w:val="es-ES"/>
                </w:rPr>
                <w:delText>Biogen Spain</w:delText>
              </w:r>
              <w:r w:rsidRPr="00197887" w:rsidDel="00C6254E">
                <w:rPr>
                  <w:sz w:val="22"/>
                  <w:lang w:val="es-ES"/>
                </w:rPr>
                <w:delText>, S.</w:delText>
              </w:r>
              <w:r w:rsidRPr="00F448B7" w:rsidDel="00C6254E">
                <w:rPr>
                  <w:sz w:val="22"/>
                  <w:szCs w:val="22"/>
                  <w:lang w:val="es-ES"/>
                </w:rPr>
                <w:delText>L.</w:delText>
              </w:r>
            </w:del>
          </w:p>
          <w:p w14:paraId="731AB23D" w14:textId="79600F06" w:rsidR="0039392A" w:rsidRPr="00F448B7" w:rsidDel="00C6254E" w:rsidRDefault="0039392A" w:rsidP="00FB483D">
            <w:pPr>
              <w:pStyle w:val="Default"/>
              <w:rPr>
                <w:del w:id="144" w:author="만든 이"/>
                <w:bCs/>
                <w:sz w:val="22"/>
                <w:szCs w:val="22"/>
                <w:lang w:val="es-ES"/>
              </w:rPr>
            </w:pPr>
            <w:del w:id="145" w:author="만든 이">
              <w:r w:rsidRPr="00197887" w:rsidDel="00C6254E">
                <w:rPr>
                  <w:sz w:val="22"/>
                  <w:lang w:val="es-ES"/>
                </w:rPr>
                <w:delText>Tel: +</w:delText>
              </w:r>
              <w:r w:rsidRPr="00F448B7" w:rsidDel="00C6254E">
                <w:rPr>
                  <w:bCs/>
                  <w:sz w:val="22"/>
                  <w:szCs w:val="22"/>
                  <w:lang w:val="es-ES"/>
                </w:rPr>
                <w:delText xml:space="preserve"> </w:delText>
              </w:r>
              <w:r w:rsidRPr="00197887" w:rsidDel="00C6254E">
                <w:rPr>
                  <w:sz w:val="22"/>
                  <w:lang w:val="es-ES"/>
                </w:rPr>
                <w:delText xml:space="preserve">34 </w:delText>
              </w:r>
              <w:r w:rsidR="00DB39F7" w:rsidRPr="00DB39F7" w:rsidDel="00C6254E">
                <w:rPr>
                  <w:sz w:val="22"/>
                  <w:szCs w:val="22"/>
                  <w:lang w:val="es-ES"/>
                </w:rPr>
                <w:delText>91 310 7110</w:delText>
              </w:r>
            </w:del>
          </w:p>
          <w:p w14:paraId="6234B3C3" w14:textId="752D6358" w:rsidR="0039392A" w:rsidRPr="00067B16" w:rsidDel="00C6254E" w:rsidRDefault="0039392A" w:rsidP="00FB483D">
            <w:pPr>
              <w:tabs>
                <w:tab w:val="left" w:pos="-720"/>
              </w:tabs>
              <w:suppressAutoHyphens/>
              <w:rPr>
                <w:del w:id="146" w:author="만든 이"/>
                <w:noProof/>
              </w:rPr>
            </w:pPr>
          </w:p>
        </w:tc>
        <w:tc>
          <w:tcPr>
            <w:tcW w:w="2500" w:type="pct"/>
          </w:tcPr>
          <w:p w14:paraId="1AE1255F" w14:textId="3620185A" w:rsidR="0039392A" w:rsidRPr="00197887" w:rsidDel="00C6254E" w:rsidRDefault="0039392A" w:rsidP="00FB483D">
            <w:pPr>
              <w:pStyle w:val="Default"/>
              <w:rPr>
                <w:del w:id="147" w:author="만든 이"/>
                <w:b/>
                <w:lang w:val="pl-PL"/>
              </w:rPr>
            </w:pPr>
            <w:del w:id="148" w:author="만든 이">
              <w:r w:rsidRPr="00197887" w:rsidDel="00C6254E">
                <w:rPr>
                  <w:b/>
                  <w:sz w:val="22"/>
                  <w:lang w:val="pl-PL"/>
                </w:rPr>
                <w:delText>Polska</w:delText>
              </w:r>
            </w:del>
          </w:p>
          <w:p w14:paraId="4A6365B5" w14:textId="6904BF7D" w:rsidR="0039392A" w:rsidRPr="001B3A45" w:rsidDel="00C6254E" w:rsidRDefault="0039392A" w:rsidP="00FB483D">
            <w:pPr>
              <w:pStyle w:val="Default"/>
              <w:rPr>
                <w:del w:id="149" w:author="만든 이"/>
                <w:sz w:val="22"/>
                <w:szCs w:val="22"/>
                <w:lang w:val="pl-PL"/>
              </w:rPr>
            </w:pPr>
            <w:del w:id="150" w:author="만든 이">
              <w:r w:rsidRPr="001B3A45" w:rsidDel="00C6254E">
                <w:rPr>
                  <w:sz w:val="22"/>
                  <w:szCs w:val="22"/>
                  <w:lang w:val="pl-PL"/>
                </w:rPr>
                <w:delText>Biogen</w:delText>
              </w:r>
              <w:r w:rsidRPr="00197887" w:rsidDel="00C6254E">
                <w:rPr>
                  <w:sz w:val="22"/>
                  <w:lang w:val="pl-PL"/>
                </w:rPr>
                <w:delText xml:space="preserve"> Poland Sp. z o.o.</w:delText>
              </w:r>
            </w:del>
          </w:p>
          <w:p w14:paraId="6241B36F" w14:textId="6ADBF193" w:rsidR="0039392A" w:rsidRPr="0038786C" w:rsidDel="00C6254E" w:rsidRDefault="0039392A" w:rsidP="00FB483D">
            <w:pPr>
              <w:pStyle w:val="Default"/>
              <w:rPr>
                <w:del w:id="151" w:author="만든 이"/>
                <w:sz w:val="22"/>
                <w:szCs w:val="22"/>
              </w:rPr>
            </w:pPr>
            <w:del w:id="152" w:author="만든 이">
              <w:r w:rsidRPr="00197887" w:rsidDel="00C6254E">
                <w:rPr>
                  <w:sz w:val="22"/>
                </w:rPr>
                <w:delText>Tel.: +</w:delText>
              </w:r>
              <w:r w:rsidRPr="0038786C" w:rsidDel="00C6254E">
                <w:rPr>
                  <w:sz w:val="22"/>
                  <w:szCs w:val="22"/>
                </w:rPr>
                <w:delText xml:space="preserve"> </w:delText>
              </w:r>
              <w:r w:rsidRPr="00197887" w:rsidDel="00C6254E">
                <w:rPr>
                  <w:sz w:val="22"/>
                </w:rPr>
                <w:delText xml:space="preserve">48 22 </w:delText>
              </w:r>
              <w:r w:rsidRPr="0038786C" w:rsidDel="00C6254E">
                <w:rPr>
                  <w:sz w:val="22"/>
                  <w:szCs w:val="22"/>
                </w:rPr>
                <w:delText>116 86 94</w:delText>
              </w:r>
            </w:del>
          </w:p>
          <w:p w14:paraId="0D8D8BA2" w14:textId="12CF9069" w:rsidR="0039392A" w:rsidRPr="000643D3" w:rsidDel="00C6254E" w:rsidRDefault="0039392A" w:rsidP="00FB483D">
            <w:pPr>
              <w:tabs>
                <w:tab w:val="left" w:pos="-720"/>
              </w:tabs>
              <w:suppressAutoHyphens/>
              <w:rPr>
                <w:del w:id="153" w:author="만든 이"/>
                <w:noProof/>
              </w:rPr>
            </w:pPr>
          </w:p>
        </w:tc>
      </w:tr>
      <w:tr w:rsidR="0039392A" w:rsidDel="00C6254E" w14:paraId="6A29EB8E" w14:textId="1846CDDA" w:rsidTr="00E0574D">
        <w:trPr>
          <w:del w:id="154" w:author="만든 이"/>
        </w:trPr>
        <w:tc>
          <w:tcPr>
            <w:tcW w:w="2500" w:type="pct"/>
          </w:tcPr>
          <w:p w14:paraId="4F31487F" w14:textId="55AA192A" w:rsidR="0039392A" w:rsidRPr="00197887" w:rsidDel="00C6254E" w:rsidRDefault="0039392A" w:rsidP="00FB483D">
            <w:pPr>
              <w:pStyle w:val="Default"/>
              <w:rPr>
                <w:del w:id="155" w:author="만든 이"/>
                <w:b/>
                <w:lang w:val="fr-FR"/>
              </w:rPr>
            </w:pPr>
            <w:del w:id="156" w:author="만든 이">
              <w:r w:rsidRPr="00197887" w:rsidDel="00C6254E">
                <w:rPr>
                  <w:b/>
                  <w:sz w:val="22"/>
                  <w:lang w:val="fr-FR"/>
                </w:rPr>
                <w:delText>France</w:delText>
              </w:r>
            </w:del>
          </w:p>
          <w:p w14:paraId="30B70256" w14:textId="4546911C" w:rsidR="0039392A" w:rsidRPr="00F448B7" w:rsidDel="00C6254E" w:rsidRDefault="0039392A" w:rsidP="00FB483D">
            <w:pPr>
              <w:pStyle w:val="Default"/>
              <w:rPr>
                <w:del w:id="157" w:author="만든 이"/>
                <w:sz w:val="22"/>
                <w:szCs w:val="22"/>
                <w:lang w:val="fr-FR"/>
              </w:rPr>
            </w:pPr>
            <w:del w:id="158" w:author="만든 이">
              <w:r w:rsidRPr="00F448B7" w:rsidDel="00C6254E">
                <w:rPr>
                  <w:sz w:val="22"/>
                  <w:szCs w:val="22"/>
                  <w:lang w:val="fr-FR"/>
                </w:rPr>
                <w:delText>Biogen France SAS</w:delText>
              </w:r>
            </w:del>
          </w:p>
          <w:p w14:paraId="77E15AAE" w14:textId="6F928F08" w:rsidR="0039392A" w:rsidRPr="00F448B7" w:rsidDel="00C6254E" w:rsidRDefault="0039392A" w:rsidP="00FB483D">
            <w:pPr>
              <w:pStyle w:val="Default"/>
              <w:rPr>
                <w:del w:id="159" w:author="만든 이"/>
                <w:bCs/>
                <w:sz w:val="22"/>
                <w:szCs w:val="22"/>
                <w:lang w:val="fr-FR"/>
              </w:rPr>
            </w:pPr>
            <w:del w:id="160" w:author="만든 이">
              <w:r w:rsidRPr="00197887" w:rsidDel="00C6254E">
                <w:rPr>
                  <w:sz w:val="22"/>
                  <w:lang w:val="fr-FR"/>
                </w:rPr>
                <w:lastRenderedPageBreak/>
                <w:delText>Tél: +</w:delText>
              </w:r>
              <w:r w:rsidRPr="00F448B7" w:rsidDel="00C6254E">
                <w:rPr>
                  <w:bCs/>
                  <w:sz w:val="22"/>
                  <w:szCs w:val="22"/>
                  <w:lang w:val="fr-FR"/>
                </w:rPr>
                <w:delText xml:space="preserve"> </w:delText>
              </w:r>
              <w:r w:rsidRPr="00197887" w:rsidDel="00C6254E">
                <w:rPr>
                  <w:sz w:val="22"/>
                  <w:lang w:val="fr-FR"/>
                </w:rPr>
                <w:delText xml:space="preserve">33 </w:delText>
              </w:r>
              <w:r w:rsidRPr="00F448B7" w:rsidDel="00C6254E">
                <w:rPr>
                  <w:sz w:val="22"/>
                  <w:szCs w:val="22"/>
                  <w:lang w:val="fr-FR"/>
                </w:rPr>
                <w:delText>(0)</w:delText>
              </w:r>
              <w:r w:rsidRPr="00197887" w:rsidDel="00C6254E">
                <w:rPr>
                  <w:sz w:val="22"/>
                  <w:lang w:val="fr-FR"/>
                </w:rPr>
                <w:delText xml:space="preserve">1 </w:delText>
              </w:r>
              <w:r w:rsidRPr="00F448B7" w:rsidDel="00C6254E">
                <w:rPr>
                  <w:sz w:val="22"/>
                  <w:szCs w:val="22"/>
                  <w:lang w:val="fr-FR"/>
                </w:rPr>
                <w:delText>776 968 14</w:delText>
              </w:r>
            </w:del>
          </w:p>
          <w:p w14:paraId="1B60C351" w14:textId="64862834" w:rsidR="0039392A" w:rsidRPr="001B3A45" w:rsidDel="00C6254E" w:rsidRDefault="0039392A" w:rsidP="00FB483D">
            <w:pPr>
              <w:rPr>
                <w:del w:id="161" w:author="만든 이"/>
                <w:b/>
                <w:noProof/>
                <w:lang w:val="fr-FR"/>
              </w:rPr>
            </w:pPr>
          </w:p>
          <w:p w14:paraId="6A31C8E0" w14:textId="09C14E4D" w:rsidR="0039392A" w:rsidRPr="00197887" w:rsidDel="00C6254E" w:rsidRDefault="0039392A" w:rsidP="00FB483D">
            <w:pPr>
              <w:rPr>
                <w:del w:id="162" w:author="만든 이"/>
                <w:b/>
                <w:lang w:val="fr-FR"/>
              </w:rPr>
            </w:pPr>
          </w:p>
        </w:tc>
        <w:tc>
          <w:tcPr>
            <w:tcW w:w="2500" w:type="pct"/>
          </w:tcPr>
          <w:p w14:paraId="12F41A09" w14:textId="1E4509B8" w:rsidR="0039392A" w:rsidRPr="00197887" w:rsidDel="00C6254E" w:rsidRDefault="0039392A" w:rsidP="00FB483D">
            <w:pPr>
              <w:pStyle w:val="Default"/>
              <w:rPr>
                <w:del w:id="163" w:author="만든 이"/>
                <w:b/>
                <w:lang w:val="pt-BR"/>
              </w:rPr>
            </w:pPr>
            <w:del w:id="164" w:author="만든 이">
              <w:r w:rsidRPr="00197887" w:rsidDel="00C6254E">
                <w:rPr>
                  <w:b/>
                  <w:sz w:val="22"/>
                  <w:lang w:val="pt-BR"/>
                </w:rPr>
                <w:lastRenderedPageBreak/>
                <w:delText>Portugal</w:delText>
              </w:r>
            </w:del>
          </w:p>
          <w:p w14:paraId="39978AE2" w14:textId="6661F5AC" w:rsidR="0039392A" w:rsidRPr="00F448B7" w:rsidDel="00C6254E" w:rsidRDefault="0039392A" w:rsidP="00FB483D">
            <w:pPr>
              <w:pStyle w:val="Default"/>
              <w:rPr>
                <w:del w:id="165" w:author="만든 이"/>
                <w:sz w:val="22"/>
                <w:szCs w:val="22"/>
                <w:lang w:val="pt-BR"/>
              </w:rPr>
            </w:pPr>
            <w:del w:id="166" w:author="만든 이">
              <w:r w:rsidRPr="00F448B7" w:rsidDel="00C6254E">
                <w:rPr>
                  <w:sz w:val="22"/>
                  <w:szCs w:val="22"/>
                  <w:lang w:val="pt-BR"/>
                </w:rPr>
                <w:delText>Biogen Portugal Sociedade Farmacêutica,</w:delText>
              </w:r>
            </w:del>
          </w:p>
          <w:p w14:paraId="05B7E21D" w14:textId="397F9BB4" w:rsidR="0039392A" w:rsidRPr="00F448B7" w:rsidDel="00C6254E" w:rsidRDefault="0039392A" w:rsidP="00FB483D">
            <w:pPr>
              <w:pStyle w:val="Default"/>
              <w:rPr>
                <w:del w:id="167" w:author="만든 이"/>
                <w:sz w:val="22"/>
                <w:szCs w:val="22"/>
                <w:lang w:val="pt-BR"/>
              </w:rPr>
            </w:pPr>
            <w:del w:id="168" w:author="만든 이">
              <w:r w:rsidRPr="00F448B7" w:rsidDel="00C6254E">
                <w:rPr>
                  <w:sz w:val="22"/>
                  <w:szCs w:val="22"/>
                  <w:lang w:val="pt-BR"/>
                </w:rPr>
                <w:lastRenderedPageBreak/>
                <w:delText>Unipessoal, Lda</w:delText>
              </w:r>
            </w:del>
          </w:p>
          <w:p w14:paraId="7A6A161F" w14:textId="39F7338E" w:rsidR="0039392A" w:rsidRPr="0038786C" w:rsidDel="00C6254E" w:rsidRDefault="0039392A" w:rsidP="00FB483D">
            <w:pPr>
              <w:pStyle w:val="Default"/>
              <w:rPr>
                <w:del w:id="169" w:author="만든 이"/>
                <w:sz w:val="22"/>
                <w:szCs w:val="22"/>
              </w:rPr>
            </w:pPr>
            <w:del w:id="170" w:author="만든 이">
              <w:r w:rsidRPr="00197887" w:rsidDel="00C6254E">
                <w:rPr>
                  <w:sz w:val="22"/>
                </w:rPr>
                <w:delText>Tel: +</w:delText>
              </w:r>
              <w:r w:rsidRPr="0038786C" w:rsidDel="00C6254E">
                <w:rPr>
                  <w:sz w:val="22"/>
                  <w:szCs w:val="22"/>
                </w:rPr>
                <w:delText xml:space="preserve"> </w:delText>
              </w:r>
              <w:r w:rsidRPr="00197887" w:rsidDel="00C6254E">
                <w:rPr>
                  <w:sz w:val="22"/>
                </w:rPr>
                <w:delText xml:space="preserve">351 </w:delText>
              </w:r>
              <w:r w:rsidRPr="0038786C" w:rsidDel="00C6254E">
                <w:rPr>
                  <w:sz w:val="22"/>
                  <w:szCs w:val="22"/>
                </w:rPr>
                <w:delText>308 800 792</w:delText>
              </w:r>
            </w:del>
          </w:p>
          <w:p w14:paraId="52DFAE2E" w14:textId="5B81A93F" w:rsidR="0039392A" w:rsidRPr="00067B16" w:rsidDel="00C6254E" w:rsidRDefault="0039392A" w:rsidP="00FB483D">
            <w:pPr>
              <w:tabs>
                <w:tab w:val="left" w:pos="-720"/>
              </w:tabs>
              <w:suppressAutoHyphens/>
              <w:rPr>
                <w:del w:id="171" w:author="만든 이"/>
                <w:noProof/>
              </w:rPr>
            </w:pPr>
          </w:p>
        </w:tc>
      </w:tr>
      <w:tr w:rsidR="0039392A" w:rsidRPr="00E35F32" w:rsidDel="00C6254E" w14:paraId="453DD15C" w14:textId="00F2A78E" w:rsidTr="00E0574D">
        <w:trPr>
          <w:del w:id="172" w:author="만든 이"/>
        </w:trPr>
        <w:tc>
          <w:tcPr>
            <w:tcW w:w="2500" w:type="pct"/>
          </w:tcPr>
          <w:p w14:paraId="653EA669" w14:textId="7D691FF5" w:rsidR="0039392A" w:rsidRPr="00E0574D" w:rsidDel="00C6254E" w:rsidRDefault="0039392A" w:rsidP="00FB483D">
            <w:pPr>
              <w:pStyle w:val="Default"/>
              <w:rPr>
                <w:del w:id="173" w:author="만든 이"/>
                <w:b/>
                <w:lang w:val="pl-PL"/>
              </w:rPr>
            </w:pPr>
            <w:del w:id="174" w:author="만든 이">
              <w:r w:rsidRPr="00E0574D" w:rsidDel="00C6254E">
                <w:rPr>
                  <w:b/>
                  <w:sz w:val="22"/>
                  <w:lang w:val="pl-PL"/>
                </w:rPr>
                <w:lastRenderedPageBreak/>
                <w:delText>Hrvatska</w:delText>
              </w:r>
            </w:del>
          </w:p>
          <w:p w14:paraId="2F8305B4" w14:textId="0923965B" w:rsidR="0039392A" w:rsidRPr="00E0574D" w:rsidDel="00C6254E" w:rsidRDefault="0039392A" w:rsidP="00FB483D">
            <w:pPr>
              <w:pStyle w:val="Default"/>
              <w:rPr>
                <w:del w:id="175" w:author="만든 이"/>
                <w:rFonts w:eastAsia="맑은 고딕"/>
                <w:bCs/>
                <w:sz w:val="22"/>
                <w:szCs w:val="22"/>
                <w:lang w:val="pl-PL"/>
              </w:rPr>
            </w:pPr>
            <w:del w:id="176" w:author="만든 이">
              <w:r w:rsidRPr="00E0574D" w:rsidDel="00C6254E">
                <w:rPr>
                  <w:sz w:val="22"/>
                  <w:szCs w:val="22"/>
                  <w:lang w:val="pl-PL"/>
                </w:rPr>
                <w:delText>Ewopharma</w:delText>
              </w:r>
              <w:r w:rsidRPr="00E0574D" w:rsidDel="00C6254E">
                <w:rPr>
                  <w:sz w:val="22"/>
                  <w:lang w:val="pl-PL"/>
                </w:rPr>
                <w:delText xml:space="preserve"> d.o.o</w:delText>
              </w:r>
            </w:del>
          </w:p>
          <w:p w14:paraId="507E9205" w14:textId="62418312" w:rsidR="0039392A" w:rsidRPr="00E0574D" w:rsidDel="00C6254E" w:rsidRDefault="0039392A" w:rsidP="00FB483D">
            <w:pPr>
              <w:pStyle w:val="Default"/>
              <w:rPr>
                <w:del w:id="177" w:author="만든 이"/>
                <w:bCs/>
                <w:sz w:val="22"/>
                <w:szCs w:val="22"/>
                <w:lang w:val="pl-PL"/>
              </w:rPr>
            </w:pPr>
            <w:del w:id="178" w:author="만든 이">
              <w:r w:rsidRPr="00E0574D" w:rsidDel="00C6254E">
                <w:rPr>
                  <w:sz w:val="22"/>
                  <w:lang w:val="pl-PL"/>
                </w:rPr>
                <w:delText>Tel</w:delText>
              </w:r>
              <w:r w:rsidRPr="00E0574D" w:rsidDel="00C6254E">
                <w:rPr>
                  <w:bCs/>
                  <w:sz w:val="22"/>
                  <w:szCs w:val="22"/>
                  <w:lang w:val="pl-PL"/>
                </w:rPr>
                <w:delText xml:space="preserve">: + </w:delText>
              </w:r>
              <w:r w:rsidRPr="00E0574D" w:rsidDel="00C6254E">
                <w:rPr>
                  <w:sz w:val="22"/>
                  <w:lang w:val="pl-PL"/>
                </w:rPr>
                <w:delText xml:space="preserve">385 </w:delText>
              </w:r>
              <w:r w:rsidRPr="00E0574D" w:rsidDel="00C6254E">
                <w:rPr>
                  <w:bCs/>
                  <w:sz w:val="22"/>
                  <w:szCs w:val="22"/>
                  <w:lang w:val="pl-PL"/>
                </w:rPr>
                <w:delText>(0)</w:delText>
              </w:r>
              <w:r w:rsidRPr="00E0574D" w:rsidDel="00C6254E">
                <w:rPr>
                  <w:sz w:val="22"/>
                  <w:lang w:val="pl-PL"/>
                </w:rPr>
                <w:delText xml:space="preserve">1 </w:delText>
              </w:r>
              <w:r w:rsidRPr="00E0574D" w:rsidDel="00C6254E">
                <w:rPr>
                  <w:bCs/>
                  <w:sz w:val="22"/>
                  <w:szCs w:val="22"/>
                  <w:lang w:val="pl-PL"/>
                </w:rPr>
                <w:delText>777 64 37</w:delText>
              </w:r>
            </w:del>
          </w:p>
          <w:p w14:paraId="22B4BC89" w14:textId="064E44E0" w:rsidR="0039392A" w:rsidRPr="00E0574D" w:rsidDel="00C6254E" w:rsidRDefault="0039392A" w:rsidP="00FB483D">
            <w:pPr>
              <w:pStyle w:val="Default"/>
              <w:rPr>
                <w:del w:id="179" w:author="만든 이"/>
                <w:noProof/>
                <w:lang w:val="pl-PL"/>
              </w:rPr>
            </w:pPr>
          </w:p>
        </w:tc>
        <w:tc>
          <w:tcPr>
            <w:tcW w:w="2500" w:type="pct"/>
          </w:tcPr>
          <w:p w14:paraId="0AB18AC5" w14:textId="509ED629" w:rsidR="0039392A" w:rsidRPr="000253C5" w:rsidDel="00C6254E" w:rsidRDefault="0039392A" w:rsidP="00FB483D">
            <w:pPr>
              <w:pStyle w:val="Default"/>
              <w:rPr>
                <w:del w:id="180" w:author="만든 이"/>
                <w:b/>
              </w:rPr>
            </w:pPr>
            <w:del w:id="181" w:author="만든 이">
              <w:r w:rsidRPr="00197887" w:rsidDel="00C6254E">
                <w:rPr>
                  <w:b/>
                  <w:sz w:val="22"/>
                </w:rPr>
                <w:delText>România</w:delText>
              </w:r>
            </w:del>
          </w:p>
          <w:p w14:paraId="5825677B" w14:textId="7DD345D4" w:rsidR="0039392A" w:rsidRPr="000911AE" w:rsidDel="00C6254E" w:rsidRDefault="0039392A" w:rsidP="00FB483D">
            <w:pPr>
              <w:pStyle w:val="Default"/>
              <w:rPr>
                <w:del w:id="182" w:author="만든 이"/>
                <w:rFonts w:eastAsia="맑은 고딕"/>
                <w:bCs/>
                <w:sz w:val="22"/>
                <w:szCs w:val="22"/>
              </w:rPr>
            </w:pPr>
            <w:del w:id="183" w:author="만든 이">
              <w:r w:rsidRPr="000B2BDE" w:rsidDel="00C6254E">
                <w:rPr>
                  <w:sz w:val="22"/>
                  <w:szCs w:val="22"/>
                </w:rPr>
                <w:delText>Ewopharma AG Representative Office</w:delText>
              </w:r>
            </w:del>
          </w:p>
          <w:p w14:paraId="2DFFB134" w14:textId="7B8A3A7C" w:rsidR="0039392A" w:rsidRPr="000643D3" w:rsidDel="00C6254E" w:rsidRDefault="0039392A" w:rsidP="00FB483D">
            <w:pPr>
              <w:pStyle w:val="Default"/>
              <w:rPr>
                <w:del w:id="184" w:author="만든 이"/>
                <w:noProof/>
              </w:rPr>
            </w:pPr>
            <w:del w:id="185" w:author="만든 이">
              <w:r w:rsidRPr="00197887" w:rsidDel="00C6254E">
                <w:rPr>
                  <w:sz w:val="22"/>
                </w:rPr>
                <w:delText>Tel: +</w:delText>
              </w:r>
              <w:r w:rsidRPr="00BE39DB" w:rsidDel="00C6254E">
                <w:rPr>
                  <w:bCs/>
                  <w:sz w:val="22"/>
                  <w:szCs w:val="22"/>
                </w:rPr>
                <w:delText xml:space="preserve"> </w:delText>
              </w:r>
              <w:r w:rsidRPr="00197887" w:rsidDel="00C6254E">
                <w:rPr>
                  <w:sz w:val="22"/>
                </w:rPr>
                <w:delText xml:space="preserve">40 </w:delText>
              </w:r>
              <w:r w:rsidRPr="00FA7BFD" w:rsidDel="00C6254E">
                <w:rPr>
                  <w:bCs/>
                  <w:sz w:val="22"/>
                  <w:szCs w:val="22"/>
                </w:rPr>
                <w:delText>377 881 045</w:delText>
              </w:r>
            </w:del>
          </w:p>
        </w:tc>
      </w:tr>
      <w:tr w:rsidR="0039392A" w:rsidRPr="001B3A45" w:rsidDel="00C6254E" w14:paraId="63D9AB08" w14:textId="3B2175EA" w:rsidTr="00E0574D">
        <w:trPr>
          <w:del w:id="186" w:author="만든 이"/>
        </w:trPr>
        <w:tc>
          <w:tcPr>
            <w:tcW w:w="2500" w:type="pct"/>
          </w:tcPr>
          <w:p w14:paraId="59A0B6EE" w14:textId="42CC3617" w:rsidR="0039392A" w:rsidRPr="00E0574D" w:rsidDel="00C6254E" w:rsidRDefault="007777F5" w:rsidP="00FB483D">
            <w:pPr>
              <w:pStyle w:val="Default"/>
              <w:rPr>
                <w:del w:id="187" w:author="만든 이"/>
                <w:b/>
                <w:sz w:val="22"/>
                <w:lang w:val="nl-NL"/>
              </w:rPr>
            </w:pPr>
            <w:del w:id="188" w:author="만든 이">
              <w:r w:rsidDel="00C6254E">
                <w:br w:type="page"/>
              </w:r>
              <w:r w:rsidR="0039392A" w:rsidRPr="00E0574D" w:rsidDel="00C6254E">
                <w:rPr>
                  <w:b/>
                  <w:sz w:val="22"/>
                  <w:lang w:val="nl-NL"/>
                </w:rPr>
                <w:delText>Ireland</w:delText>
              </w:r>
            </w:del>
          </w:p>
          <w:p w14:paraId="0596B4BC" w14:textId="5CEC4148" w:rsidR="0039392A" w:rsidRPr="00E0574D" w:rsidDel="00C6254E" w:rsidRDefault="0039392A" w:rsidP="00FB483D">
            <w:pPr>
              <w:pStyle w:val="Default"/>
              <w:rPr>
                <w:del w:id="189" w:author="만든 이"/>
                <w:sz w:val="22"/>
                <w:lang w:val="nl-NL"/>
              </w:rPr>
            </w:pPr>
            <w:del w:id="190" w:author="만든 이">
              <w:r w:rsidRPr="00E0574D" w:rsidDel="00C6254E">
                <w:rPr>
                  <w:sz w:val="22"/>
                  <w:lang w:val="nl-NL"/>
                </w:rPr>
                <w:delText>Biogen Idec (Ireland) Ltd.</w:delText>
              </w:r>
            </w:del>
          </w:p>
          <w:p w14:paraId="01A055D6" w14:textId="69AC4EBF" w:rsidR="0039392A" w:rsidRPr="00E0574D" w:rsidDel="00C6254E" w:rsidRDefault="0039392A" w:rsidP="00FB483D">
            <w:pPr>
              <w:pStyle w:val="Default"/>
              <w:rPr>
                <w:del w:id="191" w:author="만든 이"/>
                <w:sz w:val="22"/>
                <w:lang w:val="nl-NL"/>
              </w:rPr>
            </w:pPr>
            <w:del w:id="192" w:author="만든 이">
              <w:r w:rsidRPr="00E0574D" w:rsidDel="00C6254E">
                <w:rPr>
                  <w:sz w:val="22"/>
                  <w:lang w:val="nl-NL"/>
                </w:rPr>
                <w:delText>Tel: +353 (0)1 513 33 33</w:delText>
              </w:r>
            </w:del>
          </w:p>
          <w:p w14:paraId="7F09956E" w14:textId="1255F152" w:rsidR="0039392A" w:rsidRPr="00E0574D" w:rsidDel="00C6254E" w:rsidRDefault="0039392A" w:rsidP="0039392A">
            <w:pPr>
              <w:pStyle w:val="Default"/>
              <w:rPr>
                <w:del w:id="193" w:author="만든 이"/>
                <w:b/>
                <w:sz w:val="22"/>
                <w:lang w:val="nl-NL"/>
              </w:rPr>
            </w:pPr>
          </w:p>
        </w:tc>
        <w:tc>
          <w:tcPr>
            <w:tcW w:w="2500" w:type="pct"/>
          </w:tcPr>
          <w:p w14:paraId="2DB6A0FD" w14:textId="529E47AA" w:rsidR="0039392A" w:rsidRPr="004A2080" w:rsidDel="00C6254E" w:rsidRDefault="0039392A" w:rsidP="00FB483D">
            <w:pPr>
              <w:pStyle w:val="Default"/>
              <w:rPr>
                <w:del w:id="194" w:author="만든 이"/>
                <w:b/>
                <w:sz w:val="22"/>
                <w:lang w:val="pl-PL"/>
              </w:rPr>
            </w:pPr>
            <w:del w:id="195" w:author="만든 이">
              <w:r w:rsidRPr="004A2080" w:rsidDel="00C6254E">
                <w:rPr>
                  <w:b/>
                  <w:sz w:val="22"/>
                  <w:lang w:val="pl-PL"/>
                </w:rPr>
                <w:delText>Slovenija</w:delText>
              </w:r>
            </w:del>
          </w:p>
          <w:p w14:paraId="524ACADF" w14:textId="5AE19BF1" w:rsidR="0039392A" w:rsidRPr="004A2080" w:rsidDel="00C6254E" w:rsidRDefault="0039392A" w:rsidP="00FB483D">
            <w:pPr>
              <w:pStyle w:val="Default"/>
              <w:rPr>
                <w:del w:id="196" w:author="만든 이"/>
                <w:sz w:val="22"/>
                <w:lang w:val="pl-PL"/>
              </w:rPr>
            </w:pPr>
            <w:del w:id="197" w:author="만든 이">
              <w:r w:rsidRPr="004A2080" w:rsidDel="00C6254E">
                <w:rPr>
                  <w:sz w:val="22"/>
                  <w:lang w:val="pl-PL"/>
                </w:rPr>
                <w:delText>Biogen Pharma d.o.o.</w:delText>
              </w:r>
            </w:del>
          </w:p>
          <w:p w14:paraId="1A55B95C" w14:textId="5196EB30" w:rsidR="0039392A" w:rsidRPr="0039392A" w:rsidDel="00C6254E" w:rsidRDefault="0039392A" w:rsidP="00FB483D">
            <w:pPr>
              <w:pStyle w:val="Default"/>
              <w:rPr>
                <w:del w:id="198" w:author="만든 이"/>
                <w:sz w:val="22"/>
              </w:rPr>
            </w:pPr>
            <w:del w:id="199" w:author="만든 이">
              <w:r w:rsidRPr="0039392A" w:rsidDel="00C6254E">
                <w:rPr>
                  <w:sz w:val="22"/>
                </w:rPr>
                <w:delText>Tel: + 386 (0)1 888 81 07</w:delText>
              </w:r>
            </w:del>
          </w:p>
          <w:p w14:paraId="65B4CAEC" w14:textId="25C96B2D" w:rsidR="0039392A" w:rsidRPr="0039392A" w:rsidDel="00C6254E" w:rsidRDefault="0039392A" w:rsidP="0039392A">
            <w:pPr>
              <w:pStyle w:val="Default"/>
              <w:rPr>
                <w:del w:id="200" w:author="만든 이"/>
                <w:b/>
                <w:sz w:val="22"/>
              </w:rPr>
            </w:pPr>
          </w:p>
        </w:tc>
      </w:tr>
      <w:tr w:rsidR="0039392A" w:rsidRPr="00D93CFF" w:rsidDel="00C6254E" w14:paraId="4B78046D" w14:textId="647C57DF" w:rsidTr="00E0574D">
        <w:trPr>
          <w:del w:id="201" w:author="만든 이"/>
        </w:trPr>
        <w:tc>
          <w:tcPr>
            <w:tcW w:w="2500" w:type="pct"/>
          </w:tcPr>
          <w:p w14:paraId="30832FF1" w14:textId="023C896D" w:rsidR="0039392A" w:rsidRPr="0039392A" w:rsidDel="00C6254E" w:rsidRDefault="0039392A" w:rsidP="00FB483D">
            <w:pPr>
              <w:pStyle w:val="Default"/>
              <w:rPr>
                <w:del w:id="202" w:author="만든 이"/>
                <w:b/>
                <w:sz w:val="22"/>
              </w:rPr>
            </w:pPr>
            <w:del w:id="203" w:author="만든 이">
              <w:r w:rsidRPr="0039392A" w:rsidDel="00C6254E">
                <w:rPr>
                  <w:b/>
                  <w:sz w:val="22"/>
                </w:rPr>
                <w:delText>Ísland</w:delText>
              </w:r>
            </w:del>
          </w:p>
          <w:p w14:paraId="33D308D1" w14:textId="6AEC9F9D" w:rsidR="0039392A" w:rsidRPr="0039392A" w:rsidDel="00C6254E" w:rsidRDefault="0039392A" w:rsidP="00FB483D">
            <w:pPr>
              <w:pStyle w:val="Default"/>
              <w:rPr>
                <w:del w:id="204" w:author="만든 이"/>
                <w:sz w:val="22"/>
              </w:rPr>
            </w:pPr>
            <w:del w:id="205" w:author="만든 이">
              <w:r w:rsidRPr="0039392A" w:rsidDel="00C6254E">
                <w:rPr>
                  <w:rFonts w:hint="eastAsia"/>
                  <w:sz w:val="22"/>
                </w:rPr>
                <w:delText>Icepharma hf.</w:delText>
              </w:r>
            </w:del>
          </w:p>
          <w:p w14:paraId="420612B7" w14:textId="25F0619B" w:rsidR="0039392A" w:rsidRPr="0039392A" w:rsidDel="00C6254E" w:rsidRDefault="0039392A" w:rsidP="00FB483D">
            <w:pPr>
              <w:pStyle w:val="Default"/>
              <w:rPr>
                <w:del w:id="206" w:author="만든 이"/>
                <w:sz w:val="22"/>
              </w:rPr>
            </w:pPr>
            <w:del w:id="207" w:author="만든 이">
              <w:r w:rsidRPr="0039392A" w:rsidDel="00C6254E">
                <w:rPr>
                  <w:sz w:val="22"/>
                </w:rPr>
                <w:delText>Sími: + 354 800 9836</w:delText>
              </w:r>
            </w:del>
          </w:p>
          <w:p w14:paraId="7E08D9AF" w14:textId="11DD4516" w:rsidR="0039392A" w:rsidRPr="0039392A" w:rsidDel="00C6254E" w:rsidRDefault="0039392A" w:rsidP="0039392A">
            <w:pPr>
              <w:pStyle w:val="Default"/>
              <w:rPr>
                <w:del w:id="208" w:author="만든 이"/>
                <w:b/>
                <w:sz w:val="22"/>
              </w:rPr>
            </w:pPr>
          </w:p>
        </w:tc>
        <w:tc>
          <w:tcPr>
            <w:tcW w:w="2500" w:type="pct"/>
          </w:tcPr>
          <w:p w14:paraId="3493FB4C" w14:textId="3093B950" w:rsidR="0039392A" w:rsidRPr="00E0574D" w:rsidDel="00C6254E" w:rsidRDefault="0039392A" w:rsidP="00FB483D">
            <w:pPr>
              <w:pStyle w:val="Default"/>
              <w:rPr>
                <w:del w:id="209" w:author="만든 이"/>
                <w:b/>
                <w:sz w:val="22"/>
                <w:lang w:val="sv-SE"/>
              </w:rPr>
            </w:pPr>
            <w:del w:id="210" w:author="만든 이">
              <w:r w:rsidRPr="00E0574D" w:rsidDel="00C6254E">
                <w:rPr>
                  <w:b/>
                  <w:sz w:val="22"/>
                  <w:lang w:val="sv-SE"/>
                </w:rPr>
                <w:delText>Slovenská republika</w:delText>
              </w:r>
            </w:del>
          </w:p>
          <w:p w14:paraId="2C1C5BAA" w14:textId="5E426650" w:rsidR="0039392A" w:rsidRPr="00E0574D" w:rsidDel="00C6254E" w:rsidRDefault="0039392A" w:rsidP="00FB483D">
            <w:pPr>
              <w:pStyle w:val="Default"/>
              <w:rPr>
                <w:del w:id="211" w:author="만든 이"/>
                <w:sz w:val="22"/>
                <w:lang w:val="sv-SE"/>
              </w:rPr>
            </w:pPr>
            <w:del w:id="212" w:author="만든 이">
              <w:r w:rsidRPr="00E0574D" w:rsidDel="00C6254E">
                <w:rPr>
                  <w:sz w:val="22"/>
                  <w:lang w:val="sv-SE"/>
                </w:rPr>
                <w:delText xml:space="preserve">Biogen Slovakia s.r.o. </w:delText>
              </w:r>
            </w:del>
          </w:p>
          <w:p w14:paraId="56F5666B" w14:textId="450FFC17" w:rsidR="0039392A" w:rsidRPr="0039392A" w:rsidDel="00C6254E" w:rsidRDefault="0039392A" w:rsidP="00FB483D">
            <w:pPr>
              <w:pStyle w:val="Default"/>
              <w:rPr>
                <w:del w:id="213" w:author="만든 이"/>
                <w:sz w:val="22"/>
              </w:rPr>
            </w:pPr>
            <w:del w:id="214" w:author="만든 이">
              <w:r w:rsidRPr="0039392A" w:rsidDel="00C6254E">
                <w:rPr>
                  <w:sz w:val="22"/>
                </w:rPr>
                <w:delText>Tel: + 421 (0)2 333 257 10</w:delText>
              </w:r>
            </w:del>
          </w:p>
          <w:p w14:paraId="1F66F2A9" w14:textId="1146CEE8" w:rsidR="0039392A" w:rsidRPr="0039392A" w:rsidDel="00C6254E" w:rsidRDefault="0039392A" w:rsidP="0039392A">
            <w:pPr>
              <w:pStyle w:val="Default"/>
              <w:rPr>
                <w:del w:id="215" w:author="만든 이"/>
                <w:b/>
                <w:sz w:val="22"/>
              </w:rPr>
            </w:pPr>
          </w:p>
        </w:tc>
      </w:tr>
      <w:tr w:rsidR="0039392A" w:rsidRPr="00E35F32" w:rsidDel="00C6254E" w14:paraId="522CA56D" w14:textId="7E4F3DC4" w:rsidTr="00E0574D">
        <w:trPr>
          <w:del w:id="216" w:author="만든 이"/>
        </w:trPr>
        <w:tc>
          <w:tcPr>
            <w:tcW w:w="2500" w:type="pct"/>
          </w:tcPr>
          <w:p w14:paraId="564EAAEE" w14:textId="75B5AB6E" w:rsidR="0039392A" w:rsidRPr="00D22CB7" w:rsidDel="00C6254E" w:rsidRDefault="0039392A" w:rsidP="00FB483D">
            <w:pPr>
              <w:pStyle w:val="Default"/>
              <w:rPr>
                <w:del w:id="217" w:author="만든 이"/>
                <w:b/>
                <w:sz w:val="22"/>
                <w:lang w:val="pt-PT"/>
              </w:rPr>
            </w:pPr>
            <w:del w:id="218" w:author="만든 이">
              <w:r w:rsidRPr="00D22CB7" w:rsidDel="00C6254E">
                <w:rPr>
                  <w:b/>
                  <w:sz w:val="22"/>
                  <w:lang w:val="pt-PT"/>
                </w:rPr>
                <w:delText>Italia</w:delText>
              </w:r>
            </w:del>
          </w:p>
          <w:p w14:paraId="2300446E" w14:textId="752A6AF8" w:rsidR="0039392A" w:rsidRPr="00D22CB7" w:rsidDel="00C6254E" w:rsidRDefault="0039392A" w:rsidP="00FB483D">
            <w:pPr>
              <w:pStyle w:val="Default"/>
              <w:rPr>
                <w:del w:id="219" w:author="만든 이"/>
                <w:sz w:val="22"/>
                <w:lang w:val="pt-PT"/>
              </w:rPr>
            </w:pPr>
            <w:del w:id="220" w:author="만든 이">
              <w:r w:rsidRPr="00D22CB7" w:rsidDel="00C6254E">
                <w:rPr>
                  <w:sz w:val="22"/>
                  <w:lang w:val="pt-PT"/>
                </w:rPr>
                <w:delText>Biogen Italia s.r.l.</w:delText>
              </w:r>
            </w:del>
          </w:p>
          <w:p w14:paraId="5C4DECE0" w14:textId="4F25FF15" w:rsidR="0039392A" w:rsidRPr="0039392A" w:rsidDel="00C6254E" w:rsidRDefault="0039392A" w:rsidP="00FB483D">
            <w:pPr>
              <w:pStyle w:val="Default"/>
              <w:rPr>
                <w:del w:id="221" w:author="만든 이"/>
                <w:sz w:val="22"/>
              </w:rPr>
            </w:pPr>
            <w:del w:id="222" w:author="만든 이">
              <w:r w:rsidRPr="0039392A" w:rsidDel="00C6254E">
                <w:rPr>
                  <w:sz w:val="22"/>
                </w:rPr>
                <w:delText>Tel: + 39 (0)6 899 701 50</w:delText>
              </w:r>
            </w:del>
          </w:p>
          <w:p w14:paraId="34854111" w14:textId="7FB7ACF4" w:rsidR="0039392A" w:rsidRPr="0039392A" w:rsidDel="00C6254E" w:rsidRDefault="0039392A" w:rsidP="0039392A">
            <w:pPr>
              <w:pStyle w:val="Default"/>
              <w:rPr>
                <w:del w:id="223" w:author="만든 이"/>
                <w:b/>
                <w:sz w:val="22"/>
              </w:rPr>
            </w:pPr>
          </w:p>
        </w:tc>
        <w:tc>
          <w:tcPr>
            <w:tcW w:w="2500" w:type="pct"/>
          </w:tcPr>
          <w:p w14:paraId="771DEE08" w14:textId="0DFF9DF0" w:rsidR="0039392A" w:rsidRPr="00E0574D" w:rsidDel="00C6254E" w:rsidRDefault="0039392A" w:rsidP="00FB483D">
            <w:pPr>
              <w:pStyle w:val="Default"/>
              <w:rPr>
                <w:del w:id="224" w:author="만든 이"/>
                <w:b/>
                <w:sz w:val="22"/>
                <w:lang w:val="sv-SE"/>
              </w:rPr>
            </w:pPr>
            <w:del w:id="225" w:author="만든 이">
              <w:r w:rsidRPr="00E0574D" w:rsidDel="00C6254E">
                <w:rPr>
                  <w:b/>
                  <w:sz w:val="22"/>
                  <w:lang w:val="sv-SE"/>
                </w:rPr>
                <w:delText>Suomi/Finland</w:delText>
              </w:r>
            </w:del>
          </w:p>
          <w:p w14:paraId="5241A656" w14:textId="0F20D61C" w:rsidR="0039392A" w:rsidRPr="00E0574D" w:rsidDel="00C6254E" w:rsidRDefault="0039392A" w:rsidP="00FB483D">
            <w:pPr>
              <w:pStyle w:val="Default"/>
              <w:rPr>
                <w:del w:id="226" w:author="만든 이"/>
                <w:sz w:val="22"/>
                <w:lang w:val="sv-SE"/>
              </w:rPr>
            </w:pPr>
            <w:del w:id="227" w:author="만든 이">
              <w:r w:rsidRPr="00E0574D" w:rsidDel="00C6254E">
                <w:rPr>
                  <w:sz w:val="22"/>
                  <w:lang w:val="sv-SE"/>
                </w:rPr>
                <w:delText>Biogen Finland Oy</w:delText>
              </w:r>
            </w:del>
          </w:p>
          <w:p w14:paraId="3B970DC7" w14:textId="3DB62A54" w:rsidR="0039392A" w:rsidRPr="00E0574D" w:rsidDel="00C6254E" w:rsidRDefault="0039392A" w:rsidP="00FB483D">
            <w:pPr>
              <w:pStyle w:val="Default"/>
              <w:rPr>
                <w:del w:id="228" w:author="만든 이"/>
                <w:sz w:val="22"/>
                <w:lang w:val="sv-SE"/>
              </w:rPr>
            </w:pPr>
            <w:del w:id="229" w:author="만든 이">
              <w:r w:rsidRPr="00E0574D" w:rsidDel="00C6254E">
                <w:rPr>
                  <w:sz w:val="22"/>
                  <w:lang w:val="sv-SE"/>
                </w:rPr>
                <w:delText>Puh/Tel: + 358 (0)9 427 041 08</w:delText>
              </w:r>
            </w:del>
          </w:p>
          <w:p w14:paraId="2CF871A6" w14:textId="1082A060" w:rsidR="0039392A" w:rsidRPr="00E0574D" w:rsidDel="00C6254E" w:rsidRDefault="0039392A" w:rsidP="0039392A">
            <w:pPr>
              <w:pStyle w:val="Default"/>
              <w:rPr>
                <w:del w:id="230" w:author="만든 이"/>
                <w:b/>
                <w:sz w:val="22"/>
                <w:lang w:val="sv-SE"/>
              </w:rPr>
            </w:pPr>
          </w:p>
        </w:tc>
      </w:tr>
      <w:tr w:rsidR="0039392A" w:rsidRPr="00E35F32" w:rsidDel="00C6254E" w14:paraId="4B1899E0" w14:textId="3F18FCC5" w:rsidTr="00E0574D">
        <w:trPr>
          <w:del w:id="231" w:author="만든 이"/>
        </w:trPr>
        <w:tc>
          <w:tcPr>
            <w:tcW w:w="2500" w:type="pct"/>
          </w:tcPr>
          <w:p w14:paraId="15D32250" w14:textId="71879EC9" w:rsidR="0039392A" w:rsidRPr="00E0574D" w:rsidDel="00C6254E" w:rsidRDefault="0039392A" w:rsidP="00FB483D">
            <w:pPr>
              <w:pStyle w:val="Default"/>
              <w:rPr>
                <w:del w:id="232" w:author="만든 이"/>
                <w:b/>
                <w:sz w:val="22"/>
                <w:lang w:val="pl-PL"/>
              </w:rPr>
            </w:pPr>
            <w:del w:id="233" w:author="만든 이">
              <w:r w:rsidRPr="0039392A" w:rsidDel="00C6254E">
                <w:rPr>
                  <w:b/>
                  <w:sz w:val="22"/>
                </w:rPr>
                <w:delText>Κύπρος</w:delText>
              </w:r>
            </w:del>
          </w:p>
          <w:p w14:paraId="5FD81720" w14:textId="04979799" w:rsidR="0039392A" w:rsidRPr="00E0574D" w:rsidDel="00C6254E" w:rsidRDefault="0039392A" w:rsidP="00FB483D">
            <w:pPr>
              <w:pStyle w:val="Default"/>
              <w:rPr>
                <w:del w:id="234" w:author="만든 이"/>
                <w:sz w:val="22"/>
                <w:lang w:val="pl-PL"/>
              </w:rPr>
            </w:pPr>
            <w:del w:id="235" w:author="만든 이">
              <w:r w:rsidRPr="00E0574D" w:rsidDel="00C6254E">
                <w:rPr>
                  <w:sz w:val="22"/>
                  <w:lang w:val="pl-PL"/>
                </w:rPr>
                <w:delText>Genesis Pharma (Cyprus) Ltd</w:delText>
              </w:r>
            </w:del>
          </w:p>
          <w:p w14:paraId="7FFC0C13" w14:textId="7CF1F4F8" w:rsidR="0039392A" w:rsidRPr="00E0574D" w:rsidDel="00C6254E" w:rsidRDefault="0039392A" w:rsidP="00FB483D">
            <w:pPr>
              <w:pStyle w:val="Default"/>
              <w:rPr>
                <w:del w:id="236" w:author="만든 이"/>
                <w:sz w:val="22"/>
                <w:lang w:val="pl-PL"/>
              </w:rPr>
            </w:pPr>
            <w:del w:id="237" w:author="만든 이">
              <w:r w:rsidRPr="0039392A" w:rsidDel="00C6254E">
                <w:rPr>
                  <w:sz w:val="22"/>
                </w:rPr>
                <w:delText>Τηλ</w:delText>
              </w:r>
              <w:r w:rsidRPr="00E0574D" w:rsidDel="00C6254E">
                <w:rPr>
                  <w:sz w:val="22"/>
                  <w:lang w:val="pl-PL"/>
                </w:rPr>
                <w:delText>: + 357 22 00 04 93</w:delText>
              </w:r>
            </w:del>
          </w:p>
          <w:p w14:paraId="036832DC" w14:textId="694FD171" w:rsidR="0039392A" w:rsidRPr="00E0574D" w:rsidDel="00C6254E" w:rsidRDefault="0039392A" w:rsidP="0039392A">
            <w:pPr>
              <w:pStyle w:val="Default"/>
              <w:rPr>
                <w:del w:id="238" w:author="만든 이"/>
                <w:b/>
                <w:sz w:val="22"/>
                <w:lang w:val="pl-PL"/>
              </w:rPr>
            </w:pPr>
          </w:p>
        </w:tc>
        <w:tc>
          <w:tcPr>
            <w:tcW w:w="2500" w:type="pct"/>
          </w:tcPr>
          <w:p w14:paraId="4F73E26F" w14:textId="6F0FE1D2" w:rsidR="0039392A" w:rsidRPr="00315294" w:rsidDel="00C6254E" w:rsidRDefault="0039392A" w:rsidP="00FB483D">
            <w:pPr>
              <w:pStyle w:val="Default"/>
              <w:rPr>
                <w:del w:id="239" w:author="만든 이"/>
                <w:b/>
                <w:sz w:val="22"/>
                <w:lang w:val="es-ES"/>
              </w:rPr>
            </w:pPr>
            <w:del w:id="240" w:author="만든 이">
              <w:r w:rsidRPr="00315294" w:rsidDel="00C6254E">
                <w:rPr>
                  <w:b/>
                  <w:sz w:val="22"/>
                  <w:lang w:val="es-ES"/>
                </w:rPr>
                <w:delText>Sverige</w:delText>
              </w:r>
            </w:del>
          </w:p>
          <w:p w14:paraId="2BC2A53A" w14:textId="5FABF485" w:rsidR="0039392A" w:rsidRPr="00315294" w:rsidDel="00C6254E" w:rsidRDefault="0039392A" w:rsidP="00FB483D">
            <w:pPr>
              <w:pStyle w:val="Default"/>
              <w:rPr>
                <w:del w:id="241" w:author="만든 이"/>
                <w:sz w:val="22"/>
                <w:lang w:val="es-ES"/>
              </w:rPr>
            </w:pPr>
            <w:del w:id="242" w:author="만든 이">
              <w:r w:rsidRPr="00315294" w:rsidDel="00C6254E">
                <w:rPr>
                  <w:sz w:val="22"/>
                  <w:lang w:val="es-ES"/>
                </w:rPr>
                <w:delText>Biogen Sweden AB</w:delText>
              </w:r>
            </w:del>
          </w:p>
          <w:p w14:paraId="654960EF" w14:textId="71CC20F3" w:rsidR="0039392A" w:rsidRPr="00315294" w:rsidDel="00C6254E" w:rsidRDefault="0039392A" w:rsidP="0039392A">
            <w:pPr>
              <w:pStyle w:val="Default"/>
              <w:rPr>
                <w:del w:id="243" w:author="만든 이"/>
                <w:b/>
                <w:sz w:val="22"/>
                <w:lang w:val="es-ES"/>
              </w:rPr>
            </w:pPr>
            <w:del w:id="244" w:author="만든 이">
              <w:r w:rsidRPr="00315294" w:rsidDel="00C6254E">
                <w:rPr>
                  <w:sz w:val="22"/>
                  <w:lang w:val="es-ES"/>
                </w:rPr>
                <w:delText>Tel: +46 (0)8 525 038 36</w:delText>
              </w:r>
            </w:del>
          </w:p>
        </w:tc>
      </w:tr>
      <w:tr w:rsidR="0039392A" w:rsidRPr="00067B16" w:rsidDel="00C6254E" w14:paraId="7A3DA24B" w14:textId="6BFB4FBB" w:rsidTr="00E0574D">
        <w:trPr>
          <w:del w:id="245" w:author="만든 이"/>
        </w:trPr>
        <w:tc>
          <w:tcPr>
            <w:tcW w:w="2500" w:type="pct"/>
          </w:tcPr>
          <w:p w14:paraId="09D3F32E" w14:textId="41A9E475" w:rsidR="0039392A" w:rsidRPr="00E0574D" w:rsidDel="00C6254E" w:rsidRDefault="0039392A" w:rsidP="00FB483D">
            <w:pPr>
              <w:pStyle w:val="Default"/>
              <w:rPr>
                <w:del w:id="246" w:author="만든 이"/>
                <w:b/>
                <w:sz w:val="22"/>
                <w:lang w:val="pl-PL"/>
              </w:rPr>
            </w:pPr>
            <w:del w:id="247" w:author="만든 이">
              <w:r w:rsidRPr="00E0574D" w:rsidDel="00C6254E">
                <w:rPr>
                  <w:b/>
                  <w:sz w:val="22"/>
                  <w:lang w:val="pl-PL"/>
                </w:rPr>
                <w:delText>Latvija</w:delText>
              </w:r>
            </w:del>
          </w:p>
          <w:p w14:paraId="2324E628" w14:textId="0EE36598" w:rsidR="0039392A" w:rsidRPr="00044458" w:rsidDel="00C6254E" w:rsidRDefault="00500F99" w:rsidP="00FB483D">
            <w:pPr>
              <w:pStyle w:val="Default"/>
              <w:rPr>
                <w:del w:id="248" w:author="만든 이"/>
                <w:sz w:val="22"/>
                <w:lang w:val="pl-PL"/>
              </w:rPr>
            </w:pPr>
            <w:del w:id="249" w:author="만든 이">
              <w:r w:rsidRPr="00044458" w:rsidDel="00C6254E">
                <w:rPr>
                  <w:sz w:val="22"/>
                  <w:lang w:val="pl-PL"/>
                </w:rPr>
                <w:delText>Biogen Latvia SIA</w:delText>
              </w:r>
            </w:del>
          </w:p>
          <w:p w14:paraId="599E5A15" w14:textId="27DAA1FE" w:rsidR="0039392A" w:rsidRPr="00044458" w:rsidDel="00C6254E" w:rsidRDefault="0039392A" w:rsidP="00FB483D">
            <w:pPr>
              <w:pStyle w:val="Default"/>
              <w:rPr>
                <w:del w:id="250" w:author="만든 이"/>
                <w:sz w:val="22"/>
                <w:lang w:val="pl-PL"/>
              </w:rPr>
            </w:pPr>
            <w:del w:id="251" w:author="만든 이">
              <w:r w:rsidRPr="00044458" w:rsidDel="00C6254E">
                <w:rPr>
                  <w:sz w:val="22"/>
                  <w:lang w:val="pl-PL"/>
                </w:rPr>
                <w:delText>Tel: + 371 66 16 40 32</w:delText>
              </w:r>
            </w:del>
          </w:p>
          <w:p w14:paraId="2AF2B165" w14:textId="09856192" w:rsidR="0039392A" w:rsidRPr="00E0574D" w:rsidDel="00C6254E" w:rsidRDefault="0039392A" w:rsidP="0039392A">
            <w:pPr>
              <w:pStyle w:val="Default"/>
              <w:rPr>
                <w:del w:id="252" w:author="만든 이"/>
                <w:b/>
                <w:sz w:val="22"/>
                <w:lang w:val="pl-PL"/>
              </w:rPr>
            </w:pPr>
          </w:p>
        </w:tc>
        <w:tc>
          <w:tcPr>
            <w:tcW w:w="2500" w:type="pct"/>
          </w:tcPr>
          <w:p w14:paraId="2A2C22BE" w14:textId="5CFCDEC7" w:rsidR="0039392A" w:rsidRPr="0039392A" w:rsidDel="00C6254E" w:rsidRDefault="0039392A" w:rsidP="00FB483D">
            <w:pPr>
              <w:pStyle w:val="Default"/>
              <w:rPr>
                <w:del w:id="253" w:author="만든 이"/>
                <w:b/>
                <w:sz w:val="22"/>
              </w:rPr>
            </w:pPr>
          </w:p>
        </w:tc>
      </w:tr>
    </w:tbl>
    <w:p w14:paraId="29881E32" w14:textId="77777777" w:rsidR="00620965" w:rsidRPr="00E0574D" w:rsidRDefault="00620965" w:rsidP="00E0574D">
      <w:pPr>
        <w:rPr>
          <w:noProof/>
        </w:rPr>
      </w:pPr>
      <w:r w:rsidRPr="00E0574D">
        <w:rPr>
          <w:b/>
          <w:bCs/>
          <w:noProof/>
        </w:rPr>
        <w:t>Data ostatniej aktualizacji ulotki:</w:t>
      </w:r>
    </w:p>
    <w:p w14:paraId="65FB1CE2" w14:textId="77777777" w:rsidR="00620965" w:rsidRPr="008B2522" w:rsidRDefault="00620965" w:rsidP="00620965">
      <w:pPr>
        <w:pStyle w:val="a3"/>
        <w:rPr>
          <w:b/>
        </w:rPr>
      </w:pPr>
    </w:p>
    <w:p w14:paraId="6D8FF732" w14:textId="77777777" w:rsidR="00620965" w:rsidRPr="008B2522" w:rsidRDefault="00620965" w:rsidP="00D22CB7">
      <w:pPr>
        <w:spacing w:line="250" w:lineRule="exact"/>
        <w:rPr>
          <w:b/>
        </w:rPr>
      </w:pPr>
      <w:r w:rsidRPr="008B2522">
        <w:rPr>
          <w:b/>
        </w:rPr>
        <w:t>Inne źródła informacji</w:t>
      </w:r>
    </w:p>
    <w:p w14:paraId="470B24FC" w14:textId="77777777" w:rsidR="00024CB3" w:rsidRPr="004A2080" w:rsidRDefault="00620965" w:rsidP="00D22CB7">
      <w:pPr>
        <w:pStyle w:val="a3"/>
        <w:spacing w:line="252" w:lineRule="exact"/>
        <w:ind w:right="172"/>
        <w:rPr>
          <w:rStyle w:val="ad"/>
        </w:rPr>
        <w:sectPr w:rsidR="00024CB3" w:rsidRPr="004A2080" w:rsidSect="00105C10">
          <w:pgSz w:w="11910" w:h="16840"/>
          <w:pgMar w:top="1120" w:right="1380" w:bottom="900" w:left="1220" w:header="0" w:footer="656" w:gutter="0"/>
          <w:cols w:space="720"/>
        </w:sectPr>
      </w:pPr>
      <w:r w:rsidRPr="008B2522">
        <w:t xml:space="preserve">Szczegółowe informacje o tym leku znajdują się na stronie internetowej Europejskiej Agencji Leków </w:t>
      </w:r>
      <w:hyperlink r:id="rId24">
        <w:r w:rsidRPr="004A2080">
          <w:rPr>
            <w:rStyle w:val="ad"/>
          </w:rPr>
          <w:t>http://www.ema.europa.eu</w:t>
        </w:r>
      </w:hyperlink>
      <w:r w:rsidR="00024CB3" w:rsidRPr="004A2080">
        <w:rPr>
          <w:rStyle w:val="ad"/>
          <w:color w:val="auto"/>
          <w:u w:val="none"/>
        </w:rPr>
        <w:t>.</w:t>
      </w:r>
    </w:p>
    <w:p w14:paraId="1196C013" w14:textId="77777777" w:rsidR="001432C3" w:rsidRPr="008B2522" w:rsidRDefault="000E2AE0" w:rsidP="00024CB3">
      <w:pPr>
        <w:pStyle w:val="1"/>
        <w:spacing w:before="73"/>
        <w:ind w:left="0" w:right="76"/>
      </w:pPr>
      <w:r w:rsidRPr="008B2522">
        <w:lastRenderedPageBreak/>
        <w:t>INFORMACJE PRZEZNACZONE WYŁĄCZNIE DLA FACHOWEGO PERSONELU MEDYCZNEGO</w:t>
      </w:r>
    </w:p>
    <w:p w14:paraId="5F535B4A" w14:textId="77777777" w:rsidR="001432C3" w:rsidRPr="008B2522" w:rsidRDefault="001432C3" w:rsidP="00024CB3">
      <w:pPr>
        <w:pStyle w:val="a3"/>
        <w:spacing w:before="7"/>
        <w:ind w:right="76"/>
        <w:rPr>
          <w:b/>
          <w:sz w:val="21"/>
        </w:rPr>
      </w:pPr>
    </w:p>
    <w:p w14:paraId="1BE1FD2D" w14:textId="77777777" w:rsidR="001432C3" w:rsidRPr="008B2522" w:rsidRDefault="000E2AE0" w:rsidP="00024CB3">
      <w:pPr>
        <w:pStyle w:val="a3"/>
        <w:ind w:right="76"/>
      </w:pPr>
      <w:r w:rsidRPr="008B2522">
        <w:t xml:space="preserve">Patrz również </w:t>
      </w:r>
      <w:r w:rsidR="0020790E">
        <w:t>punkt </w:t>
      </w:r>
      <w:r w:rsidRPr="008B2522">
        <w:t xml:space="preserve">3 „Jak stosować lek </w:t>
      </w:r>
      <w:r w:rsidR="008B2522">
        <w:t>Byooviz</w:t>
      </w:r>
      <w:r w:rsidRPr="008B2522">
        <w:t>”.</w:t>
      </w:r>
    </w:p>
    <w:p w14:paraId="47BA7247" w14:textId="77777777" w:rsidR="001432C3" w:rsidRPr="008B2522" w:rsidRDefault="001432C3" w:rsidP="00024CB3">
      <w:pPr>
        <w:pStyle w:val="a3"/>
        <w:spacing w:before="5"/>
        <w:ind w:right="76"/>
        <w:rPr>
          <w:sz w:val="14"/>
        </w:rPr>
      </w:pPr>
    </w:p>
    <w:p w14:paraId="56BED9D8" w14:textId="77777777" w:rsidR="001432C3" w:rsidRPr="008B2522" w:rsidRDefault="000E2AE0" w:rsidP="00024CB3">
      <w:pPr>
        <w:pStyle w:val="1"/>
        <w:spacing w:before="91"/>
        <w:ind w:left="0" w:right="76"/>
      </w:pPr>
      <w:r w:rsidRPr="008B2522">
        <w:rPr>
          <w:color w:val="FFFFFF"/>
          <w:shd w:val="clear" w:color="auto" w:fill="000000"/>
        </w:rPr>
        <w:t xml:space="preserve">Jak przygotować i podawać produkt leczniczy </w:t>
      </w:r>
      <w:r w:rsidR="008B2522">
        <w:rPr>
          <w:color w:val="FFFFFF"/>
          <w:shd w:val="clear" w:color="auto" w:fill="000000"/>
        </w:rPr>
        <w:t>Byooviz</w:t>
      </w:r>
      <w:r w:rsidRPr="008B2522">
        <w:rPr>
          <w:color w:val="FFFFFF"/>
          <w:shd w:val="clear" w:color="auto" w:fill="000000"/>
        </w:rPr>
        <w:t xml:space="preserve"> dorosłym pacjentom</w:t>
      </w:r>
    </w:p>
    <w:p w14:paraId="72B81B51" w14:textId="77777777" w:rsidR="001432C3" w:rsidRPr="008B2522" w:rsidRDefault="001432C3" w:rsidP="00024CB3">
      <w:pPr>
        <w:pStyle w:val="a3"/>
        <w:spacing w:before="4"/>
        <w:ind w:right="76"/>
        <w:rPr>
          <w:b/>
          <w:sz w:val="21"/>
        </w:rPr>
      </w:pPr>
    </w:p>
    <w:p w14:paraId="1BFCE931" w14:textId="77777777" w:rsidR="001432C3" w:rsidRPr="008B2522" w:rsidRDefault="000E2AE0" w:rsidP="00024CB3">
      <w:pPr>
        <w:pStyle w:val="a3"/>
        <w:ind w:right="76"/>
      </w:pPr>
      <w:r w:rsidRPr="008B2522">
        <w:t>Fiolka do jednorazowego użytku do podawania do ciała szklistego</w:t>
      </w:r>
      <w:r w:rsidR="00011E03">
        <w:t>.</w:t>
      </w:r>
    </w:p>
    <w:p w14:paraId="508AAC88" w14:textId="77777777" w:rsidR="001432C3" w:rsidRPr="008B2522" w:rsidRDefault="001432C3" w:rsidP="00024CB3">
      <w:pPr>
        <w:pStyle w:val="a3"/>
        <w:ind w:right="76"/>
      </w:pPr>
    </w:p>
    <w:p w14:paraId="7309ABEE" w14:textId="77777777" w:rsidR="001432C3" w:rsidRPr="008B2522" w:rsidRDefault="000E2AE0" w:rsidP="00024CB3">
      <w:pPr>
        <w:pStyle w:val="a3"/>
        <w:ind w:right="76"/>
      </w:pPr>
      <w:r w:rsidRPr="008B2522">
        <w:t xml:space="preserve">Produkt </w:t>
      </w:r>
      <w:r w:rsidR="008B2522">
        <w:t>Byooviz</w:t>
      </w:r>
      <w:r w:rsidRPr="008B2522">
        <w:t xml:space="preserve"> musi być podawany przez wykwalifikowanego lekarza okulistę, posiadającego doświadczenie w wykonywaniu wstrzykiwań do ciała szklistego.</w:t>
      </w:r>
    </w:p>
    <w:p w14:paraId="5515B116" w14:textId="77777777" w:rsidR="001432C3" w:rsidRPr="008B2522" w:rsidRDefault="001432C3" w:rsidP="00024CB3">
      <w:pPr>
        <w:pStyle w:val="a3"/>
        <w:spacing w:before="9"/>
        <w:ind w:right="76"/>
        <w:rPr>
          <w:sz w:val="21"/>
        </w:rPr>
      </w:pPr>
    </w:p>
    <w:p w14:paraId="3C377AED" w14:textId="77777777" w:rsidR="001432C3" w:rsidRPr="008B2522" w:rsidRDefault="000E2AE0" w:rsidP="00024CB3">
      <w:pPr>
        <w:pStyle w:val="a3"/>
        <w:ind w:right="76"/>
      </w:pPr>
      <w:r w:rsidRPr="008B2522">
        <w:t xml:space="preserve">W wysiękowej postaci AMD, w CNV, w PDR oraz zaburzeniach widzenia spowodowanych przez DME lub w obrzęku plamki w wyniku RVO zalecana dawka produktu leczniczego </w:t>
      </w:r>
      <w:r w:rsidR="008B2522">
        <w:t>Byooviz</w:t>
      </w:r>
      <w:r w:rsidRPr="008B2522">
        <w:t xml:space="preserve"> wynosi 0,5</w:t>
      </w:r>
      <w:r w:rsidR="00257CD6">
        <w:t> mg</w:t>
      </w:r>
      <w:r w:rsidRPr="008B2522">
        <w:t xml:space="preserve"> podawana w postaci pojedynczego wstrzyknięcia. Dawka ta odpowiada objętości 0,05</w:t>
      </w:r>
      <w:r w:rsidR="0020790E">
        <w:t> ml</w:t>
      </w:r>
      <w:r w:rsidRPr="008B2522">
        <w:t xml:space="preserve"> wstrzykiwanego leku. Odstęp pomiędzy wstrzyknięciem dwóch dawek do tego samego oka powinien wynosić co najmniej cztery tygodnie.</w:t>
      </w:r>
    </w:p>
    <w:p w14:paraId="37739916" w14:textId="77777777" w:rsidR="001432C3" w:rsidRPr="008B2522" w:rsidRDefault="001432C3" w:rsidP="00024CB3">
      <w:pPr>
        <w:pStyle w:val="a3"/>
        <w:ind w:right="76"/>
      </w:pPr>
    </w:p>
    <w:p w14:paraId="68C4A34D" w14:textId="77777777" w:rsidR="001432C3" w:rsidRPr="008B2522" w:rsidRDefault="000E2AE0" w:rsidP="00024CB3">
      <w:pPr>
        <w:pStyle w:val="a3"/>
        <w:ind w:right="76"/>
      </w:pPr>
      <w:r w:rsidRPr="008B2522">
        <w:t>Leczenie rozpoczyna się od jednej iniekcji na miesiąc, do czasu uzyskania maksymalnej ostrości wzroku i (lub) braku cech aktywności choroby, tj. braku zmian w ostrości wzroku oraz innych objawów przedmiotowych choroby podczas kontynuowania leczenia. U pacjentów z wysiękową postacią AMD, DME, PDR i RVO, początkowo mogą być potrzebne trzy lub więcej kolejne, comiesięczne iniekcje.</w:t>
      </w:r>
    </w:p>
    <w:p w14:paraId="5AB9B7A8" w14:textId="77777777" w:rsidR="001432C3" w:rsidRPr="008B2522" w:rsidRDefault="001432C3" w:rsidP="00024CB3">
      <w:pPr>
        <w:pStyle w:val="a3"/>
        <w:ind w:right="76"/>
      </w:pPr>
    </w:p>
    <w:p w14:paraId="21C79D72" w14:textId="77777777" w:rsidR="001432C3" w:rsidRPr="008B2522" w:rsidRDefault="000E2AE0" w:rsidP="00024CB3">
      <w:pPr>
        <w:pStyle w:val="a3"/>
        <w:ind w:right="76"/>
      </w:pPr>
      <w:r w:rsidRPr="008B2522">
        <w:t>Następnie odstępy w leczeniu i badaniach kontrolnych powinny być ustalane przez lekarza i powinny być uzależnione od aktywności choroby, ocenianej na podstawie ostrości wzroku i (lub) parametrów anatomicznych.</w:t>
      </w:r>
    </w:p>
    <w:p w14:paraId="01EFEA19" w14:textId="77777777" w:rsidR="001432C3" w:rsidRPr="008B2522" w:rsidRDefault="001432C3" w:rsidP="00024CB3">
      <w:pPr>
        <w:pStyle w:val="a3"/>
        <w:ind w:right="76"/>
      </w:pPr>
    </w:p>
    <w:p w14:paraId="6BF45FBA" w14:textId="77777777" w:rsidR="001432C3" w:rsidRPr="008B2522" w:rsidRDefault="000E2AE0" w:rsidP="00024CB3">
      <w:pPr>
        <w:pStyle w:val="a3"/>
        <w:ind w:right="76"/>
      </w:pPr>
      <w:r w:rsidRPr="008B2522">
        <w:t xml:space="preserve">Jeśli lekarz stwierdzi na podstawie ocenianej ostrości wzroku oraz parametrów anatomicznych, że kontynuacja leczenia nie przynosi poprawy stanu pacjenta, leczenie produktem leczniczym </w:t>
      </w:r>
      <w:r w:rsidR="008B2522">
        <w:t>Byooviz</w:t>
      </w:r>
      <w:r w:rsidRPr="008B2522">
        <w:t xml:space="preserve"> powinno być przerwane.</w:t>
      </w:r>
    </w:p>
    <w:p w14:paraId="19094794" w14:textId="77777777" w:rsidR="001432C3" w:rsidRPr="008B2522" w:rsidRDefault="001432C3" w:rsidP="00024CB3">
      <w:pPr>
        <w:pStyle w:val="a3"/>
        <w:spacing w:before="11"/>
        <w:ind w:right="76"/>
        <w:rPr>
          <w:sz w:val="21"/>
        </w:rPr>
      </w:pPr>
    </w:p>
    <w:p w14:paraId="140BBDA1" w14:textId="77777777" w:rsidR="001432C3" w:rsidRPr="008B2522" w:rsidRDefault="000E2AE0" w:rsidP="00024CB3">
      <w:pPr>
        <w:pStyle w:val="a3"/>
        <w:ind w:right="76"/>
      </w:pPr>
      <w:r w:rsidRPr="008B2522">
        <w:t>Monitorowanie aktywności choroby może obejmować badanie kliniczne, testy czynnościowe lub badania obrazowe (np. optyczną koherentną tomografię lub angiografię fluoresceinową).</w:t>
      </w:r>
    </w:p>
    <w:p w14:paraId="21767A32" w14:textId="77777777" w:rsidR="001432C3" w:rsidRPr="008B2522" w:rsidRDefault="001432C3" w:rsidP="00024CB3">
      <w:pPr>
        <w:pStyle w:val="a3"/>
        <w:ind w:right="76"/>
      </w:pPr>
    </w:p>
    <w:p w14:paraId="593A8630" w14:textId="77777777" w:rsidR="001432C3" w:rsidRPr="008B2522" w:rsidRDefault="000E2AE0" w:rsidP="00024CB3">
      <w:pPr>
        <w:pStyle w:val="a3"/>
        <w:ind w:right="76"/>
      </w:pPr>
      <w:r w:rsidRPr="008B2522">
        <w:t>U pacjentów leczonych według schematu „treat-and-extend” („lecz i wydłużaj odstępy między dawkami”), po osiągnięciu maksymalnej ostrości wzroku i (lub) braku cech aktywności choroby, odstępy między dawkami można stopniowo wydłużać, aż do wystąpienia cech aktywności choroby lub pogorszenia widzenia. Odstępy między dawkami należy jednorazowo wydłużać o nie więcej niż dwa tygodnie u pacjentów z wysiękowym AMD, a u pacjentów z DME odstępy te mogą być jednorazowo wydłużane maksymalnie o jeden miesiąc. U pacjentów z PDR i RVO, odstępy między iniekcjami mogą być również stopniowo wydłużane, jednak brak wystarczających danych do określenia długości tych odstępów. Jeśli aktywność choroby nawróci, odstępy między dawkami należy odpowiednio skrócić.</w:t>
      </w:r>
    </w:p>
    <w:p w14:paraId="353AB7DB" w14:textId="77777777" w:rsidR="001432C3" w:rsidRPr="008B2522" w:rsidRDefault="001432C3" w:rsidP="00024CB3">
      <w:pPr>
        <w:pStyle w:val="a3"/>
        <w:ind w:right="76"/>
      </w:pPr>
    </w:p>
    <w:p w14:paraId="28AC0CEC" w14:textId="77777777" w:rsidR="001432C3" w:rsidRPr="008B2522" w:rsidRDefault="000E2AE0" w:rsidP="00024CB3">
      <w:pPr>
        <w:pStyle w:val="a3"/>
        <w:ind w:right="76"/>
      </w:pPr>
      <w:r w:rsidRPr="008B2522">
        <w:t xml:space="preserve">Leczenie zaburzeń widzenia spowodowanych CNV powinno być ustalane indywidualnie dla każdego pacjenta, w zależności od aktywności choroby. Niektórzy pacjenci mogą potrzebować tylko jednej iniekcji w ciągu pierwszych </w:t>
      </w:r>
      <w:r w:rsidR="00854982" w:rsidRPr="008B2522">
        <w:t>12</w:t>
      </w:r>
      <w:r w:rsidR="00854982">
        <w:t> </w:t>
      </w:r>
      <w:r w:rsidRPr="008B2522">
        <w:t>miesięcy; inni mogą wymagać częstszego leczenia, a nawet comiesięcznych iniekcji. W przypadku CNV wtórnej do patologicznej krótkowzroczności (PM), wielu pacjentów może wymagać tylko jednej lub dwóch iniekcji w pierwszym roku leczenia.</w:t>
      </w:r>
    </w:p>
    <w:p w14:paraId="6B7894B2" w14:textId="77777777" w:rsidR="001432C3" w:rsidRPr="008B2522" w:rsidRDefault="001432C3" w:rsidP="00024CB3">
      <w:pPr>
        <w:pStyle w:val="a3"/>
        <w:ind w:right="76"/>
      </w:pPr>
    </w:p>
    <w:p w14:paraId="0BED5E23" w14:textId="77777777" w:rsidR="00854982" w:rsidRDefault="00455D34" w:rsidP="00024CB3">
      <w:pPr>
        <w:pStyle w:val="a3"/>
        <w:keepNext/>
        <w:ind w:right="76"/>
        <w:rPr>
          <w:i/>
        </w:rPr>
      </w:pPr>
      <w:r>
        <w:rPr>
          <w:i/>
        </w:rPr>
        <w:t>Ranibizumab</w:t>
      </w:r>
      <w:r w:rsidR="000E2AE0" w:rsidRPr="008B2522">
        <w:rPr>
          <w:i/>
        </w:rPr>
        <w:t xml:space="preserve"> a fotokoagulacja laserowa w DME i obrzęku plamki wtórnym do BRVO</w:t>
      </w:r>
    </w:p>
    <w:p w14:paraId="2C4126BA" w14:textId="77777777" w:rsidR="001432C3" w:rsidRPr="008B2522" w:rsidRDefault="000E2AE0" w:rsidP="00024CB3">
      <w:pPr>
        <w:pStyle w:val="a3"/>
        <w:ind w:right="76"/>
      </w:pPr>
      <w:r w:rsidRPr="008B2522">
        <w:t xml:space="preserve">Istnieją pewne doświadczenia z podawaniem </w:t>
      </w:r>
      <w:r w:rsidR="00455D34">
        <w:t>r</w:t>
      </w:r>
      <w:r w:rsidR="00455D34" w:rsidRPr="00455D34">
        <w:t>anibizumab</w:t>
      </w:r>
      <w:r w:rsidR="00455D34">
        <w:t xml:space="preserve">u </w:t>
      </w:r>
      <w:r w:rsidRPr="008B2522">
        <w:t xml:space="preserve">jednocześnie z wykonywaniem fotokoagulacji laserowej. W przypadku wykonania fotokoagulacji laserowej i podawania leku tego samego dnia, z podaniem </w:t>
      </w:r>
      <w:r w:rsidR="00455D34">
        <w:t>r</w:t>
      </w:r>
      <w:r w:rsidR="00455D34" w:rsidRPr="00455D34">
        <w:t>anibizumab</w:t>
      </w:r>
      <w:r w:rsidR="00455D34">
        <w:t>u</w:t>
      </w:r>
      <w:r w:rsidRPr="008B2522">
        <w:t xml:space="preserve"> należy odczekać co najmniej </w:t>
      </w:r>
      <w:r w:rsidR="00854982" w:rsidRPr="008B2522">
        <w:t>30</w:t>
      </w:r>
      <w:r w:rsidR="00854982">
        <w:t> </w:t>
      </w:r>
      <w:r w:rsidRPr="008B2522">
        <w:t xml:space="preserve">minut po wykonaniu fotokoagulacji laserowej. </w:t>
      </w:r>
      <w:r w:rsidR="00455D34">
        <w:t>R</w:t>
      </w:r>
      <w:r w:rsidR="00455D34" w:rsidRPr="00455D34">
        <w:t>anibizumab</w:t>
      </w:r>
      <w:r w:rsidR="00455D34">
        <w:t xml:space="preserve"> </w:t>
      </w:r>
      <w:r w:rsidRPr="008B2522">
        <w:t>może być stosowany u pacjentów, u których wcześniej przeprowadzono fotokoagulację laserową.</w:t>
      </w:r>
    </w:p>
    <w:p w14:paraId="5A778862" w14:textId="77777777" w:rsidR="001432C3" w:rsidRPr="008B2522" w:rsidRDefault="001432C3" w:rsidP="00024CB3">
      <w:pPr>
        <w:ind w:right="76"/>
        <w:sectPr w:rsidR="001432C3" w:rsidRPr="008B2522" w:rsidSect="00105C10">
          <w:pgSz w:w="11910" w:h="16840"/>
          <w:pgMar w:top="1040" w:right="1340" w:bottom="900" w:left="1300" w:header="0" w:footer="656" w:gutter="0"/>
          <w:cols w:space="720"/>
        </w:sectPr>
      </w:pPr>
    </w:p>
    <w:p w14:paraId="36B7F723" w14:textId="77777777" w:rsidR="001432C3" w:rsidRPr="008B2522" w:rsidRDefault="00455D34" w:rsidP="00024CB3">
      <w:pPr>
        <w:keepNext/>
        <w:spacing w:before="62" w:line="253" w:lineRule="exact"/>
        <w:ind w:right="76"/>
        <w:rPr>
          <w:i/>
        </w:rPr>
      </w:pPr>
      <w:r>
        <w:rPr>
          <w:i/>
        </w:rPr>
        <w:lastRenderedPageBreak/>
        <w:t xml:space="preserve">Ranibizumab </w:t>
      </w:r>
      <w:r w:rsidR="000E2AE0" w:rsidRPr="008B2522">
        <w:rPr>
          <w:i/>
        </w:rPr>
        <w:t>i terapia fotodynamiczna z weteporfiną w CNV wtórnej do PM</w:t>
      </w:r>
    </w:p>
    <w:p w14:paraId="4A90C3E5" w14:textId="77777777" w:rsidR="001432C3" w:rsidRPr="008B2522" w:rsidRDefault="000E2AE0" w:rsidP="00024CB3">
      <w:pPr>
        <w:pStyle w:val="a3"/>
        <w:spacing w:line="253" w:lineRule="exact"/>
        <w:ind w:right="76"/>
      </w:pPr>
      <w:r w:rsidRPr="008B2522">
        <w:t xml:space="preserve">Brak jest doświadczenia w jednoczesnym podawaniu </w:t>
      </w:r>
      <w:r w:rsidR="00455D34">
        <w:t>r</w:t>
      </w:r>
      <w:r w:rsidR="00455D34" w:rsidRPr="00455D34">
        <w:t>anibizumab</w:t>
      </w:r>
      <w:r w:rsidR="00455D34">
        <w:t xml:space="preserve">u </w:t>
      </w:r>
      <w:r w:rsidRPr="008B2522">
        <w:t>i werteporfiny.</w:t>
      </w:r>
    </w:p>
    <w:p w14:paraId="2EB7FB4A" w14:textId="77777777" w:rsidR="001432C3" w:rsidRPr="008B2522" w:rsidRDefault="001432C3" w:rsidP="00024CB3">
      <w:pPr>
        <w:pStyle w:val="a3"/>
        <w:spacing w:before="1"/>
        <w:ind w:right="76"/>
      </w:pPr>
    </w:p>
    <w:p w14:paraId="63300A37" w14:textId="77777777" w:rsidR="001432C3" w:rsidRPr="008B2522" w:rsidRDefault="000E2AE0" w:rsidP="00024CB3">
      <w:pPr>
        <w:pStyle w:val="a3"/>
        <w:ind w:right="76"/>
      </w:pPr>
      <w:r w:rsidRPr="008B2522">
        <w:t xml:space="preserve">Należy obejrzeć pojemnik z produktem </w:t>
      </w:r>
      <w:r w:rsidR="008B2522">
        <w:t>Byooviz</w:t>
      </w:r>
      <w:r w:rsidRPr="008B2522">
        <w:t xml:space="preserve"> przed podaniem leku, sprawdzając czy nie doszło do wytrącenia osadu i zmiany jego zabarwienia.</w:t>
      </w:r>
    </w:p>
    <w:p w14:paraId="4504D2FF" w14:textId="77777777" w:rsidR="001432C3" w:rsidRPr="008B2522" w:rsidRDefault="001432C3" w:rsidP="00024CB3">
      <w:pPr>
        <w:pStyle w:val="a3"/>
        <w:spacing w:before="9"/>
        <w:ind w:right="76"/>
        <w:rPr>
          <w:sz w:val="21"/>
        </w:rPr>
      </w:pPr>
    </w:p>
    <w:p w14:paraId="651F5381" w14:textId="77777777" w:rsidR="001432C3" w:rsidRDefault="000E2AE0" w:rsidP="00024CB3">
      <w:pPr>
        <w:pStyle w:val="a3"/>
        <w:ind w:right="76"/>
      </w:pPr>
      <w:r w:rsidRPr="008B2522">
        <w:t xml:space="preserve">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zebrać wywiad lekarski pacjenta </w:t>
      </w:r>
      <w:r w:rsidR="00BD593D">
        <w:t>w</w:t>
      </w:r>
      <w:r w:rsidR="00BD593D" w:rsidRPr="008B2522">
        <w:t xml:space="preserve"> </w:t>
      </w:r>
      <w:r w:rsidR="00BD593D">
        <w:t>celu wykrycia</w:t>
      </w:r>
      <w:r w:rsidR="00BD593D" w:rsidRPr="008B2522">
        <w:t xml:space="preserve"> </w:t>
      </w:r>
      <w:r w:rsidRPr="008B2522">
        <w:t>ewentualnych reakcji nadwrażliwości. Przed wstrzyknięciem leku należy zastosować odpowiednie znieczulenie i miejscowy środek bakteriobójczy o szerokim spektrum działania do dezynfekcji skóry wokół oka, powieki i powierzchni gałki ocznej, zgodnie z lokalną praktyką.</w:t>
      </w:r>
    </w:p>
    <w:p w14:paraId="7DD37804" w14:textId="77777777" w:rsidR="000B0748" w:rsidRDefault="000B0748" w:rsidP="00024CB3">
      <w:pPr>
        <w:pStyle w:val="a3"/>
        <w:ind w:right="76"/>
      </w:pPr>
    </w:p>
    <w:p w14:paraId="34B030D5" w14:textId="77777777" w:rsidR="000B0748" w:rsidRPr="00A05C0B" w:rsidRDefault="000B0748" w:rsidP="000B0748">
      <w:pPr>
        <w:pStyle w:val="a3"/>
        <w:ind w:right="187"/>
        <w:rPr>
          <w:u w:val="single"/>
        </w:rPr>
      </w:pPr>
      <w:r w:rsidRPr="00A05C0B">
        <w:rPr>
          <w:u w:val="single"/>
        </w:rPr>
        <w:t xml:space="preserve">Opakowanie zawierające tylko fiolkę </w:t>
      </w:r>
    </w:p>
    <w:p w14:paraId="664E2D20" w14:textId="77777777" w:rsidR="000B0748" w:rsidRPr="00A05C0B" w:rsidRDefault="000B0748" w:rsidP="000B0748">
      <w:pPr>
        <w:pStyle w:val="a3"/>
        <w:ind w:right="12"/>
      </w:pPr>
      <w:r w:rsidRPr="00A05C0B">
        <w:t xml:space="preserve">Fiolka przeznaczona jest wyłącznie do jednorazowego użytku. Po wstrzyknięciu wszelkie niewykorzystane resztki produktu należy wyrzucić. Nie wolno użyć fiolki wykazującej oznaki uszkodzenia lub sfałszowania. Jałowość może być zagwarantowana tylko w przypadku, jeśli zamknięcie opakowania pozostaje nienaruszone. </w:t>
      </w:r>
    </w:p>
    <w:p w14:paraId="602604FB" w14:textId="77777777" w:rsidR="000B0748" w:rsidRPr="00A05C0B" w:rsidRDefault="000B0748" w:rsidP="000B0748">
      <w:pPr>
        <w:pStyle w:val="a3"/>
        <w:ind w:right="187"/>
      </w:pPr>
    </w:p>
    <w:p w14:paraId="2D9A01A7" w14:textId="77777777" w:rsidR="000B0748" w:rsidRPr="00A05C0B" w:rsidRDefault="000B0748" w:rsidP="000B0748">
      <w:pPr>
        <w:pStyle w:val="a3"/>
        <w:ind w:right="187"/>
      </w:pPr>
      <w:r w:rsidRPr="00A05C0B">
        <w:t xml:space="preserve">W celu przygotowania wstrzyknięcia do ciała szklistego potrzebne są następujące elementy zestawu do jednorazowego użytku: </w:t>
      </w:r>
    </w:p>
    <w:p w14:paraId="083E2FCD" w14:textId="69B99DF9" w:rsidR="000B0748" w:rsidRDefault="000B0748" w:rsidP="000B0748">
      <w:pPr>
        <w:pStyle w:val="a3"/>
        <w:numPr>
          <w:ilvl w:val="0"/>
          <w:numId w:val="36"/>
        </w:numPr>
        <w:ind w:right="187"/>
      </w:pPr>
      <w:r w:rsidRPr="00A05C0B">
        <w:t>igła z filtrem 5 μm (18G)</w:t>
      </w:r>
    </w:p>
    <w:p w14:paraId="4295719C" w14:textId="10EE3B51" w:rsidR="007D7D50" w:rsidRPr="00A05C0B" w:rsidRDefault="007D7D50" w:rsidP="000B0748">
      <w:pPr>
        <w:pStyle w:val="a3"/>
        <w:numPr>
          <w:ilvl w:val="0"/>
          <w:numId w:val="36"/>
        </w:numPr>
        <w:ind w:right="187"/>
      </w:pPr>
      <w:r w:rsidRPr="00A05C0B">
        <w:t>igła iniekcyjna (30G</w:t>
      </w:r>
      <w:r>
        <w:t> </w:t>
      </w:r>
      <w:r w:rsidRPr="00A05C0B">
        <w:t>x</w:t>
      </w:r>
      <w:r>
        <w:t> </w:t>
      </w:r>
      <w:r w:rsidRPr="00A05C0B">
        <w:t>½″)</w:t>
      </w:r>
    </w:p>
    <w:p w14:paraId="5BC41FF4" w14:textId="76A23778" w:rsidR="000B0748" w:rsidRPr="00A05C0B" w:rsidRDefault="000B0748">
      <w:pPr>
        <w:pStyle w:val="a3"/>
        <w:numPr>
          <w:ilvl w:val="0"/>
          <w:numId w:val="36"/>
        </w:numPr>
        <w:ind w:right="187"/>
      </w:pPr>
      <w:r w:rsidRPr="00A05C0B">
        <w:t>jałowa strzykawka o pojemności 1 ml (z oznaczoną dawką 0,05 ml)</w:t>
      </w:r>
    </w:p>
    <w:p w14:paraId="0E0AAA09" w14:textId="77777777" w:rsidR="000B0748" w:rsidRPr="008B2522" w:rsidRDefault="000B0748" w:rsidP="000B0748">
      <w:pPr>
        <w:pStyle w:val="a3"/>
        <w:ind w:right="76"/>
      </w:pPr>
      <w:r w:rsidRPr="00A05C0B">
        <w:t>Opakowanie produktu leczniczego Byooviz nie zawiera wymienionych elementów.</w:t>
      </w:r>
    </w:p>
    <w:p w14:paraId="4A29DF4E" w14:textId="77777777" w:rsidR="001432C3" w:rsidRPr="008B2522" w:rsidRDefault="001432C3" w:rsidP="00024CB3">
      <w:pPr>
        <w:pStyle w:val="a3"/>
        <w:ind w:right="76"/>
      </w:pPr>
    </w:p>
    <w:p w14:paraId="43688A7A" w14:textId="77777777" w:rsidR="001432C3" w:rsidRPr="008B2522" w:rsidRDefault="000E2AE0" w:rsidP="00024CB3">
      <w:pPr>
        <w:pStyle w:val="a3"/>
        <w:spacing w:line="252" w:lineRule="exact"/>
        <w:ind w:right="76"/>
      </w:pPr>
      <w:r w:rsidRPr="008B2522">
        <w:rPr>
          <w:u w:val="single"/>
        </w:rPr>
        <w:t>Opakowanie zawierające fiolkę</w:t>
      </w:r>
      <w:r w:rsidR="00A06561">
        <w:rPr>
          <w:u w:val="single"/>
        </w:rPr>
        <w:t xml:space="preserve"> + </w:t>
      </w:r>
      <w:r w:rsidR="00A06561" w:rsidRPr="00D22CB7">
        <w:rPr>
          <w:u w:val="single"/>
        </w:rPr>
        <w:t>igłę z filtrem + igłę iniekcyjną</w:t>
      </w:r>
    </w:p>
    <w:p w14:paraId="1C954DAD" w14:textId="77777777" w:rsidR="001432C3" w:rsidRPr="008B2522" w:rsidRDefault="000E2AE0" w:rsidP="00024CB3">
      <w:pPr>
        <w:pStyle w:val="a3"/>
        <w:spacing w:before="1"/>
        <w:ind w:right="76"/>
      </w:pPr>
      <w:r w:rsidRPr="008B2522">
        <w:t>Wszystkie elementy zestawu są jałowe i przeznaczone do jednorazowego użytku. Nie wolno używać żadnego elementu z opakowania, wykazującego oznaki uszkodzenia lub sfałszowania. Jałowość może być zagwarantowana tylko w przypadku, jeśli zamknięcie opakowania z elementami pozostaje nienaruszone. Powtórne użycie może prowadzić do zakażenia lub choroby/urazu.</w:t>
      </w:r>
    </w:p>
    <w:p w14:paraId="26D1BA25" w14:textId="77777777" w:rsidR="001432C3" w:rsidRPr="008B2522" w:rsidRDefault="001432C3" w:rsidP="00024CB3">
      <w:pPr>
        <w:pStyle w:val="a3"/>
        <w:ind w:right="76"/>
      </w:pPr>
    </w:p>
    <w:p w14:paraId="56DEDE2E" w14:textId="77777777" w:rsidR="001432C3" w:rsidRPr="008B2522" w:rsidRDefault="000E2AE0" w:rsidP="00024CB3">
      <w:pPr>
        <w:pStyle w:val="a3"/>
        <w:ind w:right="76"/>
      </w:pPr>
      <w:r w:rsidRPr="008B2522">
        <w:t>W celu przygotowania wstrzyknięcia do ciała szklistego potrzebne są następujące elementy zestawu do jednorazowego użytku:</w:t>
      </w:r>
    </w:p>
    <w:p w14:paraId="3EFE6227" w14:textId="19288C2E" w:rsidR="001432C3" w:rsidRDefault="000E2AE0" w:rsidP="00024CB3">
      <w:pPr>
        <w:pStyle w:val="a4"/>
        <w:numPr>
          <w:ilvl w:val="0"/>
          <w:numId w:val="29"/>
        </w:numPr>
        <w:tabs>
          <w:tab w:val="left" w:pos="685"/>
          <w:tab w:val="left" w:pos="686"/>
        </w:tabs>
        <w:spacing w:before="1" w:line="252" w:lineRule="exact"/>
        <w:ind w:right="76"/>
      </w:pPr>
      <w:r w:rsidRPr="008B2522">
        <w:t xml:space="preserve">igła z filtrem </w:t>
      </w:r>
      <w:r w:rsidR="00854982" w:rsidRPr="008B2522">
        <w:t>5</w:t>
      </w:r>
      <w:r w:rsidR="00854982">
        <w:t> </w:t>
      </w:r>
      <w:r w:rsidRPr="008B2522">
        <w:t>µm (18G x 1½″, 1,2 mm x 40 mm, dołączona do</w:t>
      </w:r>
      <w:r w:rsidRPr="008B2522">
        <w:rPr>
          <w:spacing w:val="-15"/>
        </w:rPr>
        <w:t xml:space="preserve"> </w:t>
      </w:r>
      <w:r w:rsidRPr="008B2522">
        <w:t>opakowania)</w:t>
      </w:r>
      <w:r w:rsidR="00FB6EB6">
        <w:t xml:space="preserve"> </w:t>
      </w:r>
    </w:p>
    <w:p w14:paraId="40084B09" w14:textId="0EC058F9" w:rsidR="00A06561" w:rsidRPr="00D22CB7" w:rsidRDefault="00A06561" w:rsidP="00024CB3">
      <w:pPr>
        <w:pStyle w:val="a3"/>
        <w:numPr>
          <w:ilvl w:val="0"/>
          <w:numId w:val="29"/>
        </w:numPr>
        <w:ind w:right="76"/>
        <w:rPr>
          <w:noProof/>
          <w:lang w:val="pt-PT"/>
        </w:rPr>
      </w:pPr>
      <w:r w:rsidRPr="00D22CB7">
        <w:rPr>
          <w:noProof/>
          <w:lang w:val="pt-PT"/>
        </w:rPr>
        <w:t>igła injekcyjna (30G x ½</w:t>
      </w:r>
      <w:r w:rsidRPr="00D22CB7">
        <w:rPr>
          <w:rFonts w:hint="eastAsia"/>
          <w:noProof/>
          <w:lang w:val="pt-PT"/>
        </w:rPr>
        <w:t>″</w:t>
      </w:r>
      <w:r w:rsidRPr="00D22CB7">
        <w:rPr>
          <w:noProof/>
          <w:lang w:val="pt-PT"/>
        </w:rPr>
        <w:t xml:space="preserve">, 0,3 mm x 13 mm, </w:t>
      </w:r>
      <w:r w:rsidRPr="008B2522">
        <w:t>dołączona do</w:t>
      </w:r>
      <w:r w:rsidRPr="008B2522">
        <w:rPr>
          <w:spacing w:val="-15"/>
        </w:rPr>
        <w:t xml:space="preserve"> </w:t>
      </w:r>
      <w:r w:rsidRPr="008B2522">
        <w:t>opakowania</w:t>
      </w:r>
      <w:r w:rsidRPr="00D22CB7">
        <w:rPr>
          <w:noProof/>
          <w:lang w:val="pt-PT"/>
        </w:rPr>
        <w:t>)</w:t>
      </w:r>
    </w:p>
    <w:p w14:paraId="19335C15" w14:textId="0421F38B" w:rsidR="001432C3" w:rsidRPr="008B2522" w:rsidRDefault="000E2AE0" w:rsidP="00024CB3">
      <w:pPr>
        <w:pStyle w:val="a4"/>
        <w:numPr>
          <w:ilvl w:val="0"/>
          <w:numId w:val="29"/>
        </w:numPr>
        <w:tabs>
          <w:tab w:val="left" w:pos="685"/>
          <w:tab w:val="left" w:pos="686"/>
        </w:tabs>
        <w:ind w:right="76"/>
      </w:pPr>
      <w:r w:rsidRPr="008B2522">
        <w:t>jałowa strzykawka o pojemności 1</w:t>
      </w:r>
      <w:r w:rsidR="0020790E">
        <w:t> ml</w:t>
      </w:r>
      <w:r w:rsidRPr="008B2522">
        <w:t xml:space="preserve"> (z oznaczoną dawką 0,05</w:t>
      </w:r>
      <w:r w:rsidR="0020790E">
        <w:t> ml</w:t>
      </w:r>
      <w:r w:rsidRPr="008B2522">
        <w:t>, niedołączona do opakowania leku</w:t>
      </w:r>
      <w:r w:rsidRPr="008B2522">
        <w:rPr>
          <w:spacing w:val="-4"/>
        </w:rPr>
        <w:t xml:space="preserve"> </w:t>
      </w:r>
      <w:r w:rsidR="008B2522">
        <w:t>Byooviz</w:t>
      </w:r>
      <w:r w:rsidRPr="008B2522">
        <w:t>)</w:t>
      </w:r>
    </w:p>
    <w:p w14:paraId="626053DD" w14:textId="77777777" w:rsidR="00024CB3" w:rsidRDefault="00024CB3" w:rsidP="00024CB3">
      <w:pPr>
        <w:pStyle w:val="a3"/>
        <w:spacing w:before="68"/>
        <w:ind w:right="204"/>
      </w:pPr>
    </w:p>
    <w:p w14:paraId="247E3501" w14:textId="77777777" w:rsidR="001432C3" w:rsidRPr="008B2522" w:rsidRDefault="000E2AE0" w:rsidP="00024CB3">
      <w:pPr>
        <w:pStyle w:val="a3"/>
        <w:spacing w:before="68"/>
        <w:ind w:right="204"/>
      </w:pPr>
      <w:r w:rsidRPr="008B2522">
        <w:t xml:space="preserve">Aby przygotować lek </w:t>
      </w:r>
      <w:r w:rsidR="008B2522">
        <w:t>Byooviz</w:t>
      </w:r>
      <w:r w:rsidRPr="008B2522">
        <w:t xml:space="preserve"> do podania do ciała szklistego dorosłym pacjentom, należy postępować według poniższej instrukcji:</w:t>
      </w:r>
    </w:p>
    <w:p w14:paraId="18C43A89" w14:textId="77777777" w:rsidR="001432C3" w:rsidRPr="008B2522" w:rsidRDefault="001432C3">
      <w:pPr>
        <w:pStyle w:val="a3"/>
        <w:spacing w:before="6"/>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28"/>
        <w:gridCol w:w="6220"/>
      </w:tblGrid>
      <w:tr w:rsidR="001432C3" w:rsidRPr="004A2080" w14:paraId="0E2C5C3D" w14:textId="77777777" w:rsidTr="00D22CB7">
        <w:trPr>
          <w:trHeight w:hRule="exact" w:val="3374"/>
        </w:trPr>
        <w:tc>
          <w:tcPr>
            <w:tcW w:w="3028" w:type="dxa"/>
            <w:tcBorders>
              <w:bottom w:val="nil"/>
            </w:tcBorders>
          </w:tcPr>
          <w:p w14:paraId="3B066513" w14:textId="77777777" w:rsidR="001432C3" w:rsidRPr="008B2522" w:rsidRDefault="00854982">
            <w:pPr>
              <w:pStyle w:val="TableParagraph"/>
              <w:ind w:left="200"/>
              <w:rPr>
                <w:sz w:val="20"/>
              </w:rPr>
            </w:pPr>
            <w:r>
              <w:rPr>
                <w:noProof/>
                <w:lang w:val="es-ES" w:eastAsia="ko-KR"/>
              </w:rPr>
              <w:drawing>
                <wp:anchor distT="0" distB="0" distL="114300" distR="114300" simplePos="0" relativeHeight="251641344" behindDoc="0" locked="0" layoutInCell="1" allowOverlap="1" wp14:anchorId="3423E936" wp14:editId="60B68A2B">
                  <wp:simplePos x="0" y="0"/>
                  <wp:positionH relativeFrom="margin">
                    <wp:posOffset>-3810</wp:posOffset>
                  </wp:positionH>
                  <wp:positionV relativeFrom="paragraph">
                    <wp:posOffset>153670</wp:posOffset>
                  </wp:positionV>
                  <wp:extent cx="1493520" cy="1483360"/>
                  <wp:effectExtent l="0" t="0" r="0" b="2540"/>
                  <wp:wrapSquare wrapText="bothSides"/>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93520" cy="1483360"/>
                          </a:xfrm>
                          <a:prstGeom prst="rect">
                            <a:avLst/>
                          </a:prstGeom>
                        </pic:spPr>
                      </pic:pic>
                    </a:graphicData>
                  </a:graphic>
                  <wp14:sizeRelH relativeFrom="margin">
                    <wp14:pctWidth>0</wp14:pctWidth>
                  </wp14:sizeRelH>
                  <wp14:sizeRelV relativeFrom="margin">
                    <wp14:pctHeight>0</wp14:pctHeight>
                  </wp14:sizeRelV>
                </wp:anchor>
              </w:drawing>
            </w:r>
          </w:p>
          <w:p w14:paraId="7F60526E" w14:textId="77777777" w:rsidR="001432C3" w:rsidRPr="008B2522" w:rsidRDefault="001432C3">
            <w:pPr>
              <w:pStyle w:val="TableParagraph"/>
              <w:ind w:left="0"/>
              <w:rPr>
                <w:sz w:val="20"/>
              </w:rPr>
            </w:pPr>
          </w:p>
          <w:p w14:paraId="2D473F92" w14:textId="77777777" w:rsidR="001432C3" w:rsidRPr="008B2522" w:rsidRDefault="001432C3">
            <w:pPr>
              <w:pStyle w:val="TableParagraph"/>
              <w:ind w:left="0"/>
              <w:rPr>
                <w:sz w:val="20"/>
              </w:rPr>
            </w:pPr>
          </w:p>
          <w:p w14:paraId="215E9663" w14:textId="77777777" w:rsidR="001432C3" w:rsidRPr="008B2522" w:rsidRDefault="001432C3">
            <w:pPr>
              <w:pStyle w:val="TableParagraph"/>
              <w:spacing w:before="2"/>
              <w:ind w:left="0"/>
              <w:rPr>
                <w:sz w:val="19"/>
              </w:rPr>
            </w:pPr>
          </w:p>
        </w:tc>
        <w:tc>
          <w:tcPr>
            <w:tcW w:w="6220" w:type="dxa"/>
            <w:tcBorders>
              <w:bottom w:val="nil"/>
            </w:tcBorders>
          </w:tcPr>
          <w:p w14:paraId="44BC1F58" w14:textId="77777777" w:rsidR="001432C3" w:rsidRPr="008B2522" w:rsidRDefault="000E2AE0">
            <w:pPr>
              <w:pStyle w:val="TableParagraph"/>
              <w:numPr>
                <w:ilvl w:val="0"/>
                <w:numId w:val="14"/>
              </w:numPr>
              <w:tabs>
                <w:tab w:val="left" w:pos="334"/>
              </w:tabs>
              <w:spacing w:before="4" w:line="244" w:lineRule="auto"/>
              <w:ind w:right="608" w:firstLine="0"/>
            </w:pPr>
            <w:r w:rsidRPr="008B2522">
              <w:t>Przed pobraniem leku do strzykawki należy</w:t>
            </w:r>
            <w:r w:rsidRPr="008B2522">
              <w:rPr>
                <w:spacing w:val="-14"/>
              </w:rPr>
              <w:t xml:space="preserve"> </w:t>
            </w:r>
            <w:r w:rsidRPr="008B2522">
              <w:t>zdezynfekować zewnętrzną gumową zatyczkę</w:t>
            </w:r>
            <w:r w:rsidRPr="008B2522">
              <w:rPr>
                <w:spacing w:val="-8"/>
              </w:rPr>
              <w:t xml:space="preserve"> </w:t>
            </w:r>
            <w:r w:rsidRPr="008B2522">
              <w:t>fiolki.</w:t>
            </w:r>
          </w:p>
          <w:p w14:paraId="000B4279" w14:textId="77777777" w:rsidR="001432C3" w:rsidRPr="008B2522" w:rsidRDefault="001432C3">
            <w:pPr>
              <w:pStyle w:val="TableParagraph"/>
              <w:spacing w:before="10"/>
              <w:ind w:left="0"/>
            </w:pPr>
          </w:p>
          <w:p w14:paraId="4B01C4B8" w14:textId="77777777" w:rsidR="001432C3" w:rsidRPr="008B2522" w:rsidRDefault="000E2AE0">
            <w:pPr>
              <w:pStyle w:val="TableParagraph"/>
              <w:numPr>
                <w:ilvl w:val="0"/>
                <w:numId w:val="14"/>
              </w:numPr>
              <w:tabs>
                <w:tab w:val="left" w:pos="334"/>
              </w:tabs>
              <w:spacing w:line="242" w:lineRule="auto"/>
              <w:ind w:right="349" w:firstLine="0"/>
            </w:pPr>
            <w:r w:rsidRPr="008B2522">
              <w:t>Strzykawkę o pojemności 1</w:t>
            </w:r>
            <w:r w:rsidR="0020790E">
              <w:t> ml</w:t>
            </w:r>
            <w:r w:rsidRPr="008B2522">
              <w:t xml:space="preserve"> należy połączyć z igłą z</w:t>
            </w:r>
            <w:r w:rsidRPr="008B2522">
              <w:rPr>
                <w:spacing w:val="-15"/>
              </w:rPr>
              <w:t xml:space="preserve"> </w:t>
            </w:r>
            <w:r w:rsidRPr="008B2522">
              <w:t xml:space="preserve">filtrem 5 </w:t>
            </w:r>
            <w:r w:rsidRPr="008B2522">
              <w:rPr>
                <w:rFonts w:ascii="Symbol" w:hAnsi="Symbol"/>
              </w:rPr>
              <w:t></w:t>
            </w:r>
            <w:r w:rsidRPr="008B2522">
              <w:t xml:space="preserve">m (18G x 1½″, 1,2 mm x 40 </w:t>
            </w:r>
            <w:r w:rsidRPr="008B2522">
              <w:rPr>
                <w:spacing w:val="-2"/>
              </w:rPr>
              <w:t xml:space="preserve">mm, </w:t>
            </w:r>
            <w:r w:rsidRPr="008B2522">
              <w:t>5 µm), zachowując ich jałowość. Igłą z filtrem przebić sam środek gumowej zatyczki i wprowadzić ją do fiolki tak głęboko, by koniec igły sięgał dna fiolki.</w:t>
            </w:r>
          </w:p>
          <w:p w14:paraId="1DE4997E" w14:textId="77777777" w:rsidR="001432C3" w:rsidRPr="008B2522" w:rsidRDefault="001432C3">
            <w:pPr>
              <w:pStyle w:val="TableParagraph"/>
              <w:ind w:left="0"/>
              <w:rPr>
                <w:sz w:val="23"/>
              </w:rPr>
            </w:pPr>
          </w:p>
          <w:p w14:paraId="65E1454C" w14:textId="77777777" w:rsidR="001432C3" w:rsidRPr="008B2522" w:rsidRDefault="000E2AE0">
            <w:pPr>
              <w:pStyle w:val="TableParagraph"/>
              <w:numPr>
                <w:ilvl w:val="0"/>
                <w:numId w:val="14"/>
              </w:numPr>
              <w:tabs>
                <w:tab w:val="left" w:pos="334"/>
              </w:tabs>
              <w:spacing w:line="247" w:lineRule="auto"/>
              <w:ind w:right="461" w:firstLine="0"/>
              <w:jc w:val="both"/>
            </w:pPr>
            <w:r w:rsidRPr="008B2522">
              <w:t>Należy pobrać całą zawartość fiolki do strzykawki,</w:t>
            </w:r>
            <w:r w:rsidRPr="008B2522">
              <w:rPr>
                <w:spacing w:val="-19"/>
              </w:rPr>
              <w:t xml:space="preserve"> </w:t>
            </w:r>
            <w:r w:rsidRPr="008B2522">
              <w:t>trzymając fiolkę w pozycji pionowej, nieznacznie przechyloną, co ułatwia pobranie całego</w:t>
            </w:r>
            <w:r w:rsidRPr="008B2522">
              <w:rPr>
                <w:spacing w:val="-4"/>
              </w:rPr>
              <w:t xml:space="preserve"> </w:t>
            </w:r>
            <w:r w:rsidRPr="008B2522">
              <w:t>płynu.</w:t>
            </w:r>
          </w:p>
        </w:tc>
      </w:tr>
      <w:tr w:rsidR="001432C3" w:rsidRPr="004A2080" w14:paraId="7E80E24D" w14:textId="77777777" w:rsidTr="00D22CB7">
        <w:trPr>
          <w:trHeight w:hRule="exact" w:val="2935"/>
        </w:trPr>
        <w:tc>
          <w:tcPr>
            <w:tcW w:w="3028" w:type="dxa"/>
            <w:tcBorders>
              <w:top w:val="nil"/>
              <w:left w:val="nil"/>
              <w:bottom w:val="nil"/>
              <w:right w:val="nil"/>
            </w:tcBorders>
          </w:tcPr>
          <w:p w14:paraId="56DB4BA7" w14:textId="77777777" w:rsidR="001432C3" w:rsidRPr="008B2522" w:rsidRDefault="00854982">
            <w:pPr>
              <w:pStyle w:val="TableParagraph"/>
              <w:spacing w:before="5"/>
              <w:ind w:left="0"/>
            </w:pPr>
            <w:r>
              <w:rPr>
                <w:noProof/>
                <w:lang w:val="es-ES" w:eastAsia="ko-KR"/>
              </w:rPr>
              <w:lastRenderedPageBreak/>
              <w:drawing>
                <wp:anchor distT="0" distB="0" distL="114300" distR="114300" simplePos="0" relativeHeight="251654656" behindDoc="0" locked="0" layoutInCell="1" allowOverlap="1" wp14:anchorId="55DF6D62" wp14:editId="777439AA">
                  <wp:simplePos x="0" y="0"/>
                  <wp:positionH relativeFrom="margin">
                    <wp:posOffset>0</wp:posOffset>
                  </wp:positionH>
                  <wp:positionV relativeFrom="paragraph">
                    <wp:posOffset>111095</wp:posOffset>
                  </wp:positionV>
                  <wp:extent cx="1492250" cy="1475105"/>
                  <wp:effectExtent l="0" t="0" r="0" b="0"/>
                  <wp:wrapSquare wrapText="bothSides"/>
                  <wp:docPr id="40"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2250" cy="1475105"/>
                          </a:xfrm>
                          <a:prstGeom prst="rect">
                            <a:avLst/>
                          </a:prstGeom>
                        </pic:spPr>
                      </pic:pic>
                    </a:graphicData>
                  </a:graphic>
                  <wp14:sizeRelH relativeFrom="page">
                    <wp14:pctWidth>0</wp14:pctWidth>
                  </wp14:sizeRelH>
                  <wp14:sizeRelV relativeFrom="page">
                    <wp14:pctHeight>0</wp14:pctHeight>
                  </wp14:sizeRelV>
                </wp:anchor>
              </w:drawing>
            </w:r>
          </w:p>
          <w:p w14:paraId="35F2280D" w14:textId="77777777" w:rsidR="00854982" w:rsidRDefault="00854982">
            <w:pPr>
              <w:pStyle w:val="TableParagraph"/>
              <w:ind w:left="200"/>
              <w:rPr>
                <w:noProof/>
                <w:lang w:val="de-DE" w:eastAsia="de-DE"/>
              </w:rPr>
            </w:pPr>
          </w:p>
          <w:p w14:paraId="25F74128" w14:textId="77777777" w:rsidR="00A0254C" w:rsidRDefault="00A0254C">
            <w:pPr>
              <w:pStyle w:val="TableParagraph"/>
              <w:ind w:left="200"/>
              <w:rPr>
                <w:noProof/>
                <w:lang w:val="de-DE" w:eastAsia="de-DE"/>
              </w:rPr>
            </w:pPr>
          </w:p>
          <w:p w14:paraId="198B6B7B" w14:textId="77777777" w:rsidR="001432C3" w:rsidRPr="008B2522" w:rsidRDefault="001432C3">
            <w:pPr>
              <w:pStyle w:val="TableParagraph"/>
              <w:ind w:left="200"/>
              <w:rPr>
                <w:sz w:val="20"/>
              </w:rPr>
            </w:pPr>
          </w:p>
        </w:tc>
        <w:tc>
          <w:tcPr>
            <w:tcW w:w="6220" w:type="dxa"/>
            <w:tcBorders>
              <w:top w:val="nil"/>
              <w:left w:val="nil"/>
              <w:bottom w:val="nil"/>
              <w:right w:val="nil"/>
            </w:tcBorders>
          </w:tcPr>
          <w:p w14:paraId="14A72042" w14:textId="77777777" w:rsidR="001432C3" w:rsidRPr="008B2522" w:rsidRDefault="001432C3">
            <w:pPr>
              <w:pStyle w:val="TableParagraph"/>
              <w:spacing w:before="8"/>
              <w:ind w:left="0"/>
            </w:pPr>
          </w:p>
          <w:p w14:paraId="6A8D3DE5" w14:textId="77777777" w:rsidR="001432C3" w:rsidRPr="008B2522" w:rsidRDefault="000E2AE0">
            <w:pPr>
              <w:pStyle w:val="TableParagraph"/>
              <w:numPr>
                <w:ilvl w:val="0"/>
                <w:numId w:val="13"/>
              </w:numPr>
              <w:tabs>
                <w:tab w:val="left" w:pos="334"/>
              </w:tabs>
              <w:spacing w:line="247" w:lineRule="auto"/>
              <w:ind w:right="218" w:firstLine="0"/>
            </w:pPr>
            <w:r w:rsidRPr="008B2522">
              <w:t>Podczas opróżniania fiolki należy upewnić się, że tłok strzykawki jest wystarczająco odciągnięty, dzięki czemu także</w:t>
            </w:r>
            <w:r w:rsidRPr="008B2522">
              <w:rPr>
                <w:spacing w:val="-18"/>
              </w:rPr>
              <w:t xml:space="preserve"> </w:t>
            </w:r>
            <w:r w:rsidRPr="008B2522">
              <w:t>igła z filtrem zostanie opróżniona z</w:t>
            </w:r>
            <w:r w:rsidRPr="008B2522">
              <w:rPr>
                <w:spacing w:val="-11"/>
              </w:rPr>
              <w:t xml:space="preserve"> </w:t>
            </w:r>
            <w:r w:rsidRPr="008B2522">
              <w:t>leku.</w:t>
            </w:r>
          </w:p>
          <w:p w14:paraId="478C63B1" w14:textId="77777777" w:rsidR="001432C3" w:rsidRPr="008B2522" w:rsidRDefault="001432C3">
            <w:pPr>
              <w:pStyle w:val="TableParagraph"/>
              <w:spacing w:before="7"/>
              <w:ind w:left="0"/>
            </w:pPr>
          </w:p>
          <w:p w14:paraId="6FD94D8C" w14:textId="77777777" w:rsidR="001432C3" w:rsidRPr="008B2522" w:rsidRDefault="000E2AE0">
            <w:pPr>
              <w:pStyle w:val="TableParagraph"/>
              <w:numPr>
                <w:ilvl w:val="0"/>
                <w:numId w:val="13"/>
              </w:numPr>
              <w:tabs>
                <w:tab w:val="left" w:pos="334"/>
              </w:tabs>
              <w:spacing w:line="247" w:lineRule="auto"/>
              <w:ind w:right="337" w:firstLine="0"/>
            </w:pPr>
            <w:r w:rsidRPr="008B2522">
              <w:t xml:space="preserve">Odłączyć strzykawkę, pozostawiając </w:t>
            </w:r>
            <w:r w:rsidR="00A06561">
              <w:t xml:space="preserve">tępą </w:t>
            </w:r>
            <w:r w:rsidRPr="008B2522">
              <w:t>igłę z filtrem w fiolce.</w:t>
            </w:r>
            <w:r w:rsidRPr="008B2522">
              <w:rPr>
                <w:spacing w:val="-21"/>
              </w:rPr>
              <w:t xml:space="preserve"> </w:t>
            </w:r>
            <w:r w:rsidRPr="008B2522">
              <w:t>Po pobraniu zawartości fiolki, igłę z filtrem należy wyrzucić. Nie należy używać igły z filtrem do podawania leku do ciała szklistego.</w:t>
            </w:r>
          </w:p>
        </w:tc>
      </w:tr>
      <w:tr w:rsidR="00A0254C" w:rsidRPr="004A2080" w14:paraId="17D51E8E" w14:textId="77777777" w:rsidTr="00D22CB7">
        <w:trPr>
          <w:trHeight w:hRule="exact" w:val="2715"/>
        </w:trPr>
        <w:tc>
          <w:tcPr>
            <w:tcW w:w="3028" w:type="dxa"/>
            <w:tcBorders>
              <w:top w:val="nil"/>
              <w:left w:val="nil"/>
              <w:bottom w:val="nil"/>
              <w:right w:val="nil"/>
            </w:tcBorders>
          </w:tcPr>
          <w:p w14:paraId="31769A49" w14:textId="77777777" w:rsidR="00A0254C" w:rsidRDefault="00024CB3" w:rsidP="00A0254C">
            <w:pPr>
              <w:pStyle w:val="TableParagraph"/>
              <w:ind w:left="0"/>
              <w:rPr>
                <w:noProof/>
                <w:lang w:val="de-DE" w:eastAsia="de-DE"/>
              </w:rPr>
            </w:pPr>
            <w:r w:rsidRPr="00C848D9">
              <w:rPr>
                <w:noProof/>
                <w:lang w:val="es-ES" w:eastAsia="ko-KR"/>
              </w:rPr>
              <w:drawing>
                <wp:anchor distT="0" distB="0" distL="114300" distR="114300" simplePos="0" relativeHeight="251702784" behindDoc="0" locked="0" layoutInCell="1" allowOverlap="1" wp14:anchorId="40D532A2" wp14:editId="4E043EB4">
                  <wp:simplePos x="0" y="0"/>
                  <wp:positionH relativeFrom="column">
                    <wp:posOffset>9525</wp:posOffset>
                  </wp:positionH>
                  <wp:positionV relativeFrom="paragraph">
                    <wp:posOffset>-53459</wp:posOffset>
                  </wp:positionV>
                  <wp:extent cx="1524000" cy="1541145"/>
                  <wp:effectExtent l="0" t="0" r="0" b="0"/>
                  <wp:wrapSquare wrapText="bothSides"/>
                  <wp:docPr id="52"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1524000" cy="1541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09B52B" w14:textId="77777777" w:rsidR="00A0254C" w:rsidRDefault="00A0254C" w:rsidP="00A0254C">
            <w:pPr>
              <w:pStyle w:val="TableParagraph"/>
              <w:ind w:left="0"/>
              <w:rPr>
                <w:noProof/>
                <w:lang w:val="de-DE" w:eastAsia="de-DE"/>
              </w:rPr>
            </w:pPr>
          </w:p>
        </w:tc>
        <w:tc>
          <w:tcPr>
            <w:tcW w:w="6220" w:type="dxa"/>
            <w:tcBorders>
              <w:top w:val="nil"/>
              <w:left w:val="nil"/>
              <w:bottom w:val="nil"/>
              <w:right w:val="nil"/>
            </w:tcBorders>
          </w:tcPr>
          <w:p w14:paraId="4577F382" w14:textId="77777777" w:rsidR="00A0254C" w:rsidRPr="008B2522" w:rsidRDefault="00A0254C" w:rsidP="00D22CB7">
            <w:pPr>
              <w:pStyle w:val="TableParagraph"/>
              <w:numPr>
                <w:ilvl w:val="0"/>
                <w:numId w:val="37"/>
              </w:numPr>
              <w:tabs>
                <w:tab w:val="left" w:pos="334"/>
              </w:tabs>
              <w:spacing w:line="244" w:lineRule="auto"/>
              <w:ind w:right="441" w:firstLine="17"/>
            </w:pPr>
            <w:r w:rsidRPr="008B2522">
              <w:t>Następnie należy szczelnie połączyć strzykawkę z jałową igłą iniekcyjną (30G x ½″, 0,3 mm x 13</w:t>
            </w:r>
            <w:r w:rsidRPr="008B2522">
              <w:rPr>
                <w:spacing w:val="-10"/>
              </w:rPr>
              <w:t xml:space="preserve"> </w:t>
            </w:r>
            <w:r w:rsidRPr="008B2522">
              <w:t>mm).</w:t>
            </w:r>
          </w:p>
          <w:p w14:paraId="25C5A79B" w14:textId="77777777" w:rsidR="00A0254C" w:rsidRPr="008B2522" w:rsidRDefault="00A0254C" w:rsidP="00A0254C">
            <w:pPr>
              <w:pStyle w:val="TableParagraph"/>
              <w:ind w:left="0"/>
              <w:rPr>
                <w:sz w:val="23"/>
              </w:rPr>
            </w:pPr>
          </w:p>
          <w:p w14:paraId="2ABBB5EF" w14:textId="77777777" w:rsidR="00A0254C" w:rsidRPr="008B2522" w:rsidRDefault="00A0254C" w:rsidP="00A0254C">
            <w:pPr>
              <w:pStyle w:val="TableParagraph"/>
              <w:numPr>
                <w:ilvl w:val="0"/>
                <w:numId w:val="37"/>
              </w:numPr>
              <w:tabs>
                <w:tab w:val="left" w:pos="334"/>
              </w:tabs>
              <w:spacing w:line="244" w:lineRule="auto"/>
              <w:ind w:right="198" w:firstLine="0"/>
            </w:pPr>
            <w:r w:rsidRPr="008B2522">
              <w:t>Należy ostrożnie zdjąć nakładkę ochronną z igły, starając się,</w:t>
            </w:r>
            <w:r w:rsidRPr="008B2522">
              <w:rPr>
                <w:spacing w:val="-14"/>
              </w:rPr>
              <w:t xml:space="preserve"> </w:t>
            </w:r>
            <w:r w:rsidRPr="008B2522">
              <w:t>by nie doszło do rozłączenia igły ze</w:t>
            </w:r>
            <w:r w:rsidRPr="008B2522">
              <w:rPr>
                <w:spacing w:val="-18"/>
              </w:rPr>
              <w:t xml:space="preserve"> </w:t>
            </w:r>
            <w:r w:rsidRPr="008B2522">
              <w:t>strzykawką.</w:t>
            </w:r>
          </w:p>
          <w:p w14:paraId="7E3F5661" w14:textId="77777777" w:rsidR="00A0254C" w:rsidRPr="008B2522" w:rsidRDefault="00A0254C" w:rsidP="00A0254C">
            <w:pPr>
              <w:pStyle w:val="TableParagraph"/>
              <w:spacing w:before="9"/>
              <w:ind w:left="0"/>
            </w:pPr>
          </w:p>
          <w:p w14:paraId="5EE1CF28" w14:textId="77777777" w:rsidR="00A0254C" w:rsidRPr="008B2522" w:rsidRDefault="00A0254C" w:rsidP="00A0254C">
            <w:pPr>
              <w:pStyle w:val="TableParagraph"/>
              <w:spacing w:before="5" w:line="247" w:lineRule="auto"/>
              <w:ind w:left="113" w:right="265"/>
            </w:pPr>
            <w:r w:rsidRPr="008B2522">
              <w:t>Uwaga: Podczas zdejmowania nakładki należy przytrzymać palcami trzonek igły.</w:t>
            </w:r>
          </w:p>
        </w:tc>
      </w:tr>
      <w:tr w:rsidR="00A0254C" w:rsidRPr="00947EB2" w14:paraId="49F97C37" w14:textId="77777777" w:rsidTr="00D22CB7">
        <w:trPr>
          <w:trHeight w:hRule="exact" w:val="2715"/>
        </w:trPr>
        <w:tc>
          <w:tcPr>
            <w:tcW w:w="3028" w:type="dxa"/>
            <w:tcBorders>
              <w:top w:val="nil"/>
              <w:left w:val="nil"/>
              <w:bottom w:val="nil"/>
              <w:right w:val="nil"/>
            </w:tcBorders>
          </w:tcPr>
          <w:p w14:paraId="6601EC13" w14:textId="77777777" w:rsidR="00A0254C" w:rsidRDefault="00A0254C">
            <w:pPr>
              <w:pStyle w:val="TableParagraph"/>
              <w:ind w:left="0"/>
              <w:rPr>
                <w:noProof/>
                <w:lang w:val="de-DE" w:eastAsia="de-DE"/>
              </w:rPr>
            </w:pPr>
            <w:r>
              <w:rPr>
                <w:noProof/>
                <w:lang w:val="es-ES" w:eastAsia="ko-KR"/>
              </w:rPr>
              <w:drawing>
                <wp:anchor distT="0" distB="0" distL="114300" distR="114300" simplePos="0" relativeHeight="251695616" behindDoc="0" locked="0" layoutInCell="1" allowOverlap="1" wp14:anchorId="13E64EAB" wp14:editId="0564B058">
                  <wp:simplePos x="0" y="0"/>
                  <wp:positionH relativeFrom="column">
                    <wp:posOffset>9525</wp:posOffset>
                  </wp:positionH>
                  <wp:positionV relativeFrom="paragraph">
                    <wp:posOffset>-81235</wp:posOffset>
                  </wp:positionV>
                  <wp:extent cx="1524000" cy="1601470"/>
                  <wp:effectExtent l="0" t="0" r="0" b="0"/>
                  <wp:wrapSquare wrapText="bothSides"/>
                  <wp:docPr id="50"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1524000" cy="1601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CA8178" w14:textId="77777777" w:rsidR="00A0254C" w:rsidRPr="008B2522" w:rsidRDefault="00AF62E2">
            <w:pPr>
              <w:pStyle w:val="TableParagraph"/>
              <w:ind w:left="0"/>
              <w:rPr>
                <w:sz w:val="30"/>
              </w:rPr>
            </w:pPr>
            <w:r>
              <w:rPr>
                <w:noProof/>
                <w:sz w:val="30"/>
                <w:lang w:val="es-ES" w:eastAsia="ko-KR"/>
              </w:rPr>
              <mc:AlternateContent>
                <mc:Choice Requires="wps">
                  <w:drawing>
                    <wp:anchor distT="0" distB="0" distL="114300" distR="114300" simplePos="0" relativeHeight="503190792" behindDoc="0" locked="0" layoutInCell="1" allowOverlap="1" wp14:anchorId="02CDD89E" wp14:editId="2DFBE52A">
                      <wp:simplePos x="0" y="0"/>
                      <wp:positionH relativeFrom="column">
                        <wp:posOffset>-1458595</wp:posOffset>
                      </wp:positionH>
                      <wp:positionV relativeFrom="paragraph">
                        <wp:posOffset>989965</wp:posOffset>
                      </wp:positionV>
                      <wp:extent cx="627380" cy="297815"/>
                      <wp:effectExtent l="0" t="1270" r="0" b="0"/>
                      <wp:wrapNone/>
                      <wp:docPr id="1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05869" w14:textId="77777777" w:rsidR="00505EF6" w:rsidRPr="00D22CB7" w:rsidRDefault="00505EF6">
                                  <w:pPr>
                                    <w:rPr>
                                      <w:b/>
                                      <w:bCs/>
                                      <w:lang w:val="pt-PT"/>
                                    </w:rPr>
                                  </w:pPr>
                                  <w:r w:rsidRPr="00D22CB7">
                                    <w:rPr>
                                      <w:b/>
                                      <w:bCs/>
                                      <w:lang w:val="pt-PT"/>
                                    </w:rPr>
                                    <w:t>0,05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D89E" id="_x0000_t202" coordsize="21600,21600" o:spt="202" path="m,l,21600r21600,l21600,xe">
                      <v:stroke joinstyle="miter"/>
                      <v:path gradientshapeok="t" o:connecttype="rect"/>
                    </v:shapetype>
                    <v:shape id="Text Box 145" o:spid="_x0000_s1026" type="#_x0000_t202" style="position:absolute;margin-left:-114.85pt;margin-top:77.95pt;width:49.4pt;height:23.45pt;z-index:503190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9DdggIAABE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" stroked="f">
                      <v:textbox>
                        <w:txbxContent>
                          <w:p w14:paraId="4D805869" w14:textId="77777777" w:rsidR="00505EF6" w:rsidRPr="00D22CB7" w:rsidRDefault="00505EF6">
                            <w:pPr>
                              <w:rPr>
                                <w:b/>
                                <w:bCs/>
                                <w:lang w:val="pt-PT"/>
                              </w:rPr>
                            </w:pPr>
                            <w:r w:rsidRPr="00D22CB7">
                              <w:rPr>
                                <w:b/>
                                <w:bCs/>
                                <w:lang w:val="pt-PT"/>
                              </w:rPr>
                              <w:t>0,05 ml</w:t>
                            </w:r>
                          </w:p>
                        </w:txbxContent>
                      </v:textbox>
                    </v:shape>
                  </w:pict>
                </mc:Fallback>
              </mc:AlternateContent>
            </w:r>
          </w:p>
        </w:tc>
        <w:tc>
          <w:tcPr>
            <w:tcW w:w="6220" w:type="dxa"/>
            <w:tcBorders>
              <w:top w:val="nil"/>
              <w:left w:val="nil"/>
              <w:bottom w:val="nil"/>
              <w:right w:val="nil"/>
            </w:tcBorders>
          </w:tcPr>
          <w:p w14:paraId="5DD5E05D" w14:textId="77777777" w:rsidR="00A0254C" w:rsidRPr="008B2522" w:rsidRDefault="00A0254C" w:rsidP="00A0254C">
            <w:pPr>
              <w:pStyle w:val="TableParagraph"/>
              <w:spacing w:before="5" w:line="247" w:lineRule="auto"/>
              <w:ind w:left="113" w:right="265"/>
            </w:pPr>
            <w:r w:rsidRPr="008B2522">
              <w:t>8. Należy ostrożnie usunąć powietrze wraz z nadmiarem roztworu ze strzykawki, a następnie wypchnąć tłok do momentu, gdy jego końcówka zrówna się z linią oznaczoną 0,05</w:t>
            </w:r>
            <w:r>
              <w:t> ml</w:t>
            </w:r>
            <w:r w:rsidRPr="008B2522">
              <w:t xml:space="preserve"> na strzykawce. Strzykawka jest gotowa do podania leku.</w:t>
            </w:r>
          </w:p>
          <w:p w14:paraId="710D2EB7" w14:textId="77777777" w:rsidR="00A0254C" w:rsidRPr="008B2522" w:rsidRDefault="00A0254C" w:rsidP="00A0254C">
            <w:pPr>
              <w:pStyle w:val="TableParagraph"/>
              <w:spacing w:before="7"/>
              <w:ind w:left="0"/>
            </w:pPr>
          </w:p>
          <w:p w14:paraId="21C62801" w14:textId="50F4FC82" w:rsidR="00B0530F" w:rsidRPr="008B2522" w:rsidRDefault="00A0254C" w:rsidP="00B0530F">
            <w:pPr>
              <w:pStyle w:val="TableParagraph"/>
              <w:spacing w:before="5" w:line="247" w:lineRule="auto"/>
              <w:ind w:left="113" w:right="265"/>
            </w:pPr>
            <w:r w:rsidRPr="008B2522">
              <w:t>Uwaga: Nie przecierać igły iniekcyjnej. Nie odciągać tłoka strzykawki.</w:t>
            </w:r>
          </w:p>
        </w:tc>
      </w:tr>
    </w:tbl>
    <w:p w14:paraId="031F1942" w14:textId="24A26D58" w:rsidR="00024CB3" w:rsidRDefault="00024CB3">
      <w:pPr>
        <w:pStyle w:val="a3"/>
        <w:spacing w:before="68"/>
        <w:ind w:left="118" w:right="85"/>
      </w:pPr>
    </w:p>
    <w:p w14:paraId="5B18B332" w14:textId="77777777" w:rsidR="001432C3" w:rsidRPr="008B2522" w:rsidRDefault="000E2AE0">
      <w:pPr>
        <w:pStyle w:val="a3"/>
        <w:spacing w:before="68"/>
        <w:ind w:left="118" w:right="85"/>
      </w:pPr>
      <w:r w:rsidRPr="008B2522">
        <w:t>Igłę iniekcyjną należy wprowadzić 3,5-4,0 mm za rąbkiem do ciała szklistego, unikając południka poziomego i kierując ją do części centralnej gałki ocznej. Następnie należy wstrzyknąć lek w objętości 0,05</w:t>
      </w:r>
      <w:r w:rsidR="0020790E">
        <w:t> ml</w:t>
      </w:r>
      <w:r w:rsidRPr="008B2522">
        <w:t>. Należy wybierać różne miejsca wkłucia na twardówce podczas kolejnych wstrzyknięć.</w:t>
      </w:r>
    </w:p>
    <w:p w14:paraId="5D9F642D" w14:textId="77777777" w:rsidR="001432C3" w:rsidRPr="008B2522" w:rsidRDefault="001432C3">
      <w:pPr>
        <w:pStyle w:val="a3"/>
      </w:pPr>
    </w:p>
    <w:p w14:paraId="46D2E91D" w14:textId="6EA952A2" w:rsidR="001432C3" w:rsidRPr="008B2522" w:rsidRDefault="000E2AE0" w:rsidP="00024CB3">
      <w:pPr>
        <w:pStyle w:val="a3"/>
        <w:ind w:left="118" w:right="311"/>
      </w:pPr>
      <w:r w:rsidRPr="008B2522">
        <w:t>Po zakończeniu wstrzyknięcia nie należy zakładać nakładki z powrotem na igłę ani odłączać igły od strzykawki. Zużytą strzykawkę razem z igłą należy wyrzucić do pojemnika na ostre odpady lub usunąć ją zgodnie z lokalnymi przepisami.</w:t>
      </w:r>
    </w:p>
    <w:sectPr w:rsidR="001432C3" w:rsidRPr="008B2522" w:rsidSect="0020790E">
      <w:footerReference w:type="default" r:id="rId29"/>
      <w:pgSz w:w="11910" w:h="16840"/>
      <w:pgMar w:top="1040" w:right="1360" w:bottom="900" w:left="130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5248" w14:textId="77777777" w:rsidR="00E23750" w:rsidRDefault="00E23750">
      <w:r>
        <w:separator/>
      </w:r>
    </w:p>
  </w:endnote>
  <w:endnote w:type="continuationSeparator" w:id="0">
    <w:p w14:paraId="07EBCBD8" w14:textId="77777777" w:rsidR="00E23750" w:rsidRDefault="00E2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Yu Gothic UI"/>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6876" w14:textId="77777777" w:rsidR="00505EF6" w:rsidRDefault="00505EF6">
    <w:pPr>
      <w:pStyle w:val="a3"/>
      <w:spacing w:line="14" w:lineRule="auto"/>
      <w:rPr>
        <w:sz w:val="14"/>
      </w:rPr>
    </w:pPr>
    <w:r>
      <w:rPr>
        <w:noProof/>
        <w:lang w:val="es-ES" w:eastAsia="ko-KR"/>
      </w:rPr>
      <mc:AlternateContent>
        <mc:Choice Requires="wps">
          <w:drawing>
            <wp:anchor distT="0" distB="0" distL="114300" distR="114300" simplePos="0" relativeHeight="503174720" behindDoc="1" locked="0" layoutInCell="1" allowOverlap="1" wp14:anchorId="2C896626" wp14:editId="2E2083B1">
              <wp:simplePos x="0" y="0"/>
              <wp:positionH relativeFrom="page">
                <wp:posOffset>3698240</wp:posOffset>
              </wp:positionH>
              <wp:positionV relativeFrom="page">
                <wp:posOffset>10097770</wp:posOffset>
              </wp:positionV>
              <wp:extent cx="163830" cy="139700"/>
              <wp:effectExtent l="2540" t="127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12C1B" w14:textId="77777777" w:rsidR="00505EF6" w:rsidRDefault="00505EF6">
                          <w:pPr>
                            <w:spacing w:before="15"/>
                            <w:ind w:left="40"/>
                            <w:rPr>
                              <w:rFonts w:ascii="Arial"/>
                              <w:sz w:val="16"/>
                            </w:rPr>
                          </w:pPr>
                          <w:r>
                            <w:fldChar w:fldCharType="begin"/>
                          </w:r>
                          <w:r>
                            <w:rPr>
                              <w:rFonts w:ascii="Arial"/>
                              <w:sz w:val="16"/>
                            </w:rPr>
                            <w:instrText xml:space="preserve"> PAGE </w:instrText>
                          </w:r>
                          <w:r>
                            <w:fldChar w:fldCharType="separate"/>
                          </w:r>
                          <w:r w:rsidR="00B0530F">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96626" id="_x0000_t202" coordsize="21600,21600" o:spt="202" path="m,l,21600r21600,l21600,xe">
              <v:stroke joinstyle="miter"/>
              <v:path gradientshapeok="t" o:connecttype="rect"/>
            </v:shapetype>
            <v:shape id="Text Box 3" o:spid="_x0000_s1027" type="#_x0000_t202" style="position:absolute;margin-left:291.2pt;margin-top:795.1pt;width:12.9pt;height:11pt;z-index:-1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pErQIAAKg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" filled="f" stroked="f">
              <v:textbox inset="0,0,0,0">
                <w:txbxContent>
                  <w:p w14:paraId="19D12C1B" w14:textId="77777777" w:rsidR="00505EF6" w:rsidRDefault="00505EF6">
                    <w:pPr>
                      <w:spacing w:before="15"/>
                      <w:ind w:left="40"/>
                      <w:rPr>
                        <w:rFonts w:ascii="Arial"/>
                        <w:sz w:val="16"/>
                      </w:rPr>
                    </w:pPr>
                    <w:r>
                      <w:fldChar w:fldCharType="begin"/>
                    </w:r>
                    <w:r>
                      <w:rPr>
                        <w:rFonts w:ascii="Arial"/>
                        <w:sz w:val="16"/>
                      </w:rPr>
                      <w:instrText xml:space="preserve"> PAGE </w:instrText>
                    </w:r>
                    <w:r>
                      <w:fldChar w:fldCharType="separate"/>
                    </w:r>
                    <w:r w:rsidR="00B0530F">
                      <w:rPr>
                        <w:rFonts w:ascii="Arial"/>
                        <w:noProof/>
                        <w:sz w:val="16"/>
                      </w:rPr>
                      <w:t>48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C540" w14:textId="77777777" w:rsidR="00505EF6" w:rsidRDefault="00505EF6">
    <w:pPr>
      <w:pStyle w:val="a3"/>
      <w:spacing w:line="14" w:lineRule="auto"/>
      <w:rPr>
        <w:sz w:val="20"/>
      </w:rPr>
    </w:pPr>
    <w:r>
      <w:rPr>
        <w:noProof/>
        <w:lang w:val="es-ES" w:eastAsia="ko-KR"/>
      </w:rPr>
      <mc:AlternateContent>
        <mc:Choice Requires="wps">
          <w:drawing>
            <wp:anchor distT="0" distB="0" distL="114300" distR="114300" simplePos="0" relativeHeight="503174768" behindDoc="1" locked="0" layoutInCell="1" allowOverlap="1" wp14:anchorId="3068E682" wp14:editId="435FCE76">
              <wp:simplePos x="0" y="0"/>
              <wp:positionH relativeFrom="page">
                <wp:posOffset>3670935</wp:posOffset>
              </wp:positionH>
              <wp:positionV relativeFrom="page">
                <wp:posOffset>10097770</wp:posOffset>
              </wp:positionV>
              <wp:extent cx="220345" cy="139700"/>
              <wp:effectExtent l="3810" t="1270" r="444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9A6D" w14:textId="77777777" w:rsidR="00505EF6" w:rsidRDefault="00505EF6">
                          <w:pPr>
                            <w:spacing w:before="15"/>
                            <w:ind w:left="40"/>
                            <w:rPr>
                              <w:rFonts w:ascii="Arial"/>
                              <w:sz w:val="16"/>
                            </w:rPr>
                          </w:pPr>
                          <w:r>
                            <w:fldChar w:fldCharType="begin"/>
                          </w:r>
                          <w:r>
                            <w:rPr>
                              <w:rFonts w:ascii="Arial"/>
                              <w:sz w:val="16"/>
                            </w:rPr>
                            <w:instrText xml:space="preserve"> PAGE </w:instrText>
                          </w:r>
                          <w:r>
                            <w:fldChar w:fldCharType="separate"/>
                          </w:r>
                          <w:r w:rsidR="00B0530F">
                            <w:rPr>
                              <w:rFonts w:ascii="Arial"/>
                              <w:noProof/>
                              <w:sz w:val="16"/>
                            </w:rPr>
                            <w:t>4</w:t>
                          </w:r>
                          <w:r w:rsidR="00B0530F">
                            <w:rPr>
                              <w:rFonts w:ascii="Arial"/>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8E682" id="_x0000_t202" coordsize="21600,21600" o:spt="202" path="m,l,21600r21600,l21600,xe">
              <v:stroke joinstyle="miter"/>
              <v:path gradientshapeok="t" o:connecttype="rect"/>
            </v:shapetype>
            <v:shape id="Text Box 1" o:spid="_x0000_s1028" type="#_x0000_t202" style="position:absolute;margin-left:289.05pt;margin-top:795.1pt;width:17.35pt;height:11pt;z-index:-14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4p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" filled="f" stroked="f">
              <v:textbox inset="0,0,0,0">
                <w:txbxContent>
                  <w:p w14:paraId="75389A6D" w14:textId="77777777" w:rsidR="00505EF6" w:rsidRDefault="00505EF6">
                    <w:pPr>
                      <w:spacing w:before="15"/>
                      <w:ind w:left="40"/>
                      <w:rPr>
                        <w:rFonts w:ascii="Arial"/>
                        <w:sz w:val="16"/>
                      </w:rPr>
                    </w:pPr>
                    <w:r>
                      <w:fldChar w:fldCharType="begin"/>
                    </w:r>
                    <w:r>
                      <w:rPr>
                        <w:rFonts w:ascii="Arial"/>
                        <w:sz w:val="16"/>
                      </w:rPr>
                      <w:instrText xml:space="preserve"> PAGE </w:instrText>
                    </w:r>
                    <w:r>
                      <w:fldChar w:fldCharType="separate"/>
                    </w:r>
                    <w:r w:rsidR="00B0530F">
                      <w:rPr>
                        <w:rFonts w:ascii="Arial"/>
                        <w:noProof/>
                        <w:sz w:val="16"/>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01905" w14:textId="77777777" w:rsidR="00E23750" w:rsidRDefault="00E23750">
      <w:r>
        <w:separator/>
      </w:r>
    </w:p>
  </w:footnote>
  <w:footnote w:type="continuationSeparator" w:id="0">
    <w:p w14:paraId="16A601F4" w14:textId="77777777" w:rsidR="00E23750" w:rsidRDefault="00E2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14.65pt;height:14pt;visibility:visible;mso-wrap-style:square" o:bullet="t">
        <v:imagedata r:id="rId1" o:title="BT_1000x858px"/>
      </v:shape>
    </w:pict>
  </w:numPicBullet>
  <w:abstractNum w:abstractNumId="0" w15:restartNumberingAfterBreak="0">
    <w:nsid w:val="08A4266A"/>
    <w:multiLevelType w:val="hybridMultilevel"/>
    <w:tmpl w:val="B0D0B472"/>
    <w:lvl w:ilvl="0" w:tplc="0CE2ABDC">
      <w:start w:val="7"/>
      <w:numFmt w:val="decimal"/>
      <w:lvlText w:val="%1."/>
      <w:lvlJc w:val="left"/>
      <w:pPr>
        <w:ind w:left="561" w:hanging="459"/>
      </w:pPr>
      <w:rPr>
        <w:rFonts w:ascii="Times New Roman" w:eastAsia="Times New Roman" w:hAnsi="Times New Roman" w:cs="Times New Roman" w:hint="default"/>
        <w:w w:val="100"/>
        <w:sz w:val="22"/>
        <w:szCs w:val="22"/>
      </w:rPr>
    </w:lvl>
    <w:lvl w:ilvl="1" w:tplc="AEE4F3D4">
      <w:numFmt w:val="bullet"/>
      <w:lvlText w:val="•"/>
      <w:lvlJc w:val="left"/>
      <w:pPr>
        <w:ind w:left="942" w:hanging="459"/>
      </w:pPr>
      <w:rPr>
        <w:rFonts w:hint="default"/>
      </w:rPr>
    </w:lvl>
    <w:lvl w:ilvl="2" w:tplc="96DC03F4">
      <w:numFmt w:val="bullet"/>
      <w:lvlText w:val="•"/>
      <w:lvlJc w:val="left"/>
      <w:pPr>
        <w:ind w:left="1325" w:hanging="459"/>
      </w:pPr>
      <w:rPr>
        <w:rFonts w:hint="default"/>
      </w:rPr>
    </w:lvl>
    <w:lvl w:ilvl="3" w:tplc="0EBC99A6">
      <w:numFmt w:val="bullet"/>
      <w:lvlText w:val="•"/>
      <w:lvlJc w:val="left"/>
      <w:pPr>
        <w:ind w:left="1707" w:hanging="459"/>
      </w:pPr>
      <w:rPr>
        <w:rFonts w:hint="default"/>
      </w:rPr>
    </w:lvl>
    <w:lvl w:ilvl="4" w:tplc="E6B8B950">
      <w:numFmt w:val="bullet"/>
      <w:lvlText w:val="•"/>
      <w:lvlJc w:val="left"/>
      <w:pPr>
        <w:ind w:left="2090" w:hanging="459"/>
      </w:pPr>
      <w:rPr>
        <w:rFonts w:hint="default"/>
      </w:rPr>
    </w:lvl>
    <w:lvl w:ilvl="5" w:tplc="CAAA8614">
      <w:numFmt w:val="bullet"/>
      <w:lvlText w:val="•"/>
      <w:lvlJc w:val="left"/>
      <w:pPr>
        <w:ind w:left="2472" w:hanging="459"/>
      </w:pPr>
      <w:rPr>
        <w:rFonts w:hint="default"/>
      </w:rPr>
    </w:lvl>
    <w:lvl w:ilvl="6" w:tplc="285E2336">
      <w:numFmt w:val="bullet"/>
      <w:lvlText w:val="•"/>
      <w:lvlJc w:val="left"/>
      <w:pPr>
        <w:ind w:left="2855" w:hanging="459"/>
      </w:pPr>
      <w:rPr>
        <w:rFonts w:hint="default"/>
      </w:rPr>
    </w:lvl>
    <w:lvl w:ilvl="7" w:tplc="459CFF7C">
      <w:numFmt w:val="bullet"/>
      <w:lvlText w:val="•"/>
      <w:lvlJc w:val="left"/>
      <w:pPr>
        <w:ind w:left="3238" w:hanging="459"/>
      </w:pPr>
      <w:rPr>
        <w:rFonts w:hint="default"/>
      </w:rPr>
    </w:lvl>
    <w:lvl w:ilvl="8" w:tplc="CFC664FC">
      <w:numFmt w:val="bullet"/>
      <w:lvlText w:val="•"/>
      <w:lvlJc w:val="left"/>
      <w:pPr>
        <w:ind w:left="3620" w:hanging="459"/>
      </w:pPr>
      <w:rPr>
        <w:rFonts w:hint="default"/>
      </w:rPr>
    </w:lvl>
  </w:abstractNum>
  <w:abstractNum w:abstractNumId="1" w15:restartNumberingAfterBreak="0">
    <w:nsid w:val="0C7A4E9E"/>
    <w:multiLevelType w:val="hybridMultilevel"/>
    <w:tmpl w:val="B226EB50"/>
    <w:lvl w:ilvl="0" w:tplc="F132C280">
      <w:start w:val="12"/>
      <w:numFmt w:val="decimal"/>
      <w:lvlText w:val="%1."/>
      <w:lvlJc w:val="left"/>
      <w:pPr>
        <w:ind w:left="561" w:hanging="459"/>
      </w:pPr>
      <w:rPr>
        <w:rFonts w:ascii="Times New Roman" w:eastAsia="Times New Roman" w:hAnsi="Times New Roman" w:cs="Times New Roman" w:hint="default"/>
        <w:w w:val="100"/>
        <w:sz w:val="22"/>
        <w:szCs w:val="22"/>
      </w:rPr>
    </w:lvl>
    <w:lvl w:ilvl="1" w:tplc="1DC80692">
      <w:numFmt w:val="bullet"/>
      <w:lvlText w:val="•"/>
      <w:lvlJc w:val="left"/>
      <w:pPr>
        <w:ind w:left="1254" w:hanging="459"/>
      </w:pPr>
      <w:rPr>
        <w:rFonts w:hint="default"/>
      </w:rPr>
    </w:lvl>
    <w:lvl w:ilvl="2" w:tplc="68DEA9CE">
      <w:numFmt w:val="bullet"/>
      <w:lvlText w:val="•"/>
      <w:lvlJc w:val="left"/>
      <w:pPr>
        <w:ind w:left="1948" w:hanging="459"/>
      </w:pPr>
      <w:rPr>
        <w:rFonts w:hint="default"/>
      </w:rPr>
    </w:lvl>
    <w:lvl w:ilvl="3" w:tplc="B8B0AC52">
      <w:numFmt w:val="bullet"/>
      <w:lvlText w:val="•"/>
      <w:lvlJc w:val="left"/>
      <w:pPr>
        <w:ind w:left="2643" w:hanging="459"/>
      </w:pPr>
      <w:rPr>
        <w:rFonts w:hint="default"/>
      </w:rPr>
    </w:lvl>
    <w:lvl w:ilvl="4" w:tplc="405A1468">
      <w:numFmt w:val="bullet"/>
      <w:lvlText w:val="•"/>
      <w:lvlJc w:val="left"/>
      <w:pPr>
        <w:ind w:left="3337" w:hanging="459"/>
      </w:pPr>
      <w:rPr>
        <w:rFonts w:hint="default"/>
      </w:rPr>
    </w:lvl>
    <w:lvl w:ilvl="5" w:tplc="3CBED12E">
      <w:numFmt w:val="bullet"/>
      <w:lvlText w:val="•"/>
      <w:lvlJc w:val="left"/>
      <w:pPr>
        <w:ind w:left="4032" w:hanging="459"/>
      </w:pPr>
      <w:rPr>
        <w:rFonts w:hint="default"/>
      </w:rPr>
    </w:lvl>
    <w:lvl w:ilvl="6" w:tplc="7234AE94">
      <w:numFmt w:val="bullet"/>
      <w:lvlText w:val="•"/>
      <w:lvlJc w:val="left"/>
      <w:pPr>
        <w:ind w:left="4726" w:hanging="459"/>
      </w:pPr>
      <w:rPr>
        <w:rFonts w:hint="default"/>
      </w:rPr>
    </w:lvl>
    <w:lvl w:ilvl="7" w:tplc="15A0F712">
      <w:numFmt w:val="bullet"/>
      <w:lvlText w:val="•"/>
      <w:lvlJc w:val="left"/>
      <w:pPr>
        <w:ind w:left="5420" w:hanging="459"/>
      </w:pPr>
      <w:rPr>
        <w:rFonts w:hint="default"/>
      </w:rPr>
    </w:lvl>
    <w:lvl w:ilvl="8" w:tplc="FB720D86">
      <w:numFmt w:val="bullet"/>
      <w:lvlText w:val="•"/>
      <w:lvlJc w:val="left"/>
      <w:pPr>
        <w:ind w:left="6115" w:hanging="459"/>
      </w:pPr>
      <w:rPr>
        <w:rFonts w:hint="default"/>
      </w:rPr>
    </w:lvl>
  </w:abstractNum>
  <w:abstractNum w:abstractNumId="2" w15:restartNumberingAfterBreak="0">
    <w:nsid w:val="1005388C"/>
    <w:multiLevelType w:val="hybridMultilevel"/>
    <w:tmpl w:val="43AEFD94"/>
    <w:lvl w:ilvl="0" w:tplc="CA2448F2">
      <w:start w:val="1"/>
      <w:numFmt w:val="decimal"/>
      <w:lvlText w:val="%1."/>
      <w:lvlJc w:val="left"/>
      <w:pPr>
        <w:ind w:left="658" w:hanging="540"/>
      </w:pPr>
      <w:rPr>
        <w:rFonts w:ascii="Times New Roman" w:eastAsia="Times New Roman" w:hAnsi="Times New Roman" w:cs="Times New Roman" w:hint="default"/>
        <w:w w:val="100"/>
        <w:sz w:val="22"/>
        <w:szCs w:val="22"/>
      </w:rPr>
    </w:lvl>
    <w:lvl w:ilvl="1" w:tplc="E13669BC">
      <w:numFmt w:val="bullet"/>
      <w:lvlText w:val="•"/>
      <w:lvlJc w:val="left"/>
      <w:pPr>
        <w:ind w:left="1522" w:hanging="540"/>
      </w:pPr>
      <w:rPr>
        <w:rFonts w:hint="default"/>
      </w:rPr>
    </w:lvl>
    <w:lvl w:ilvl="2" w:tplc="E926F52A">
      <w:numFmt w:val="bullet"/>
      <w:lvlText w:val="•"/>
      <w:lvlJc w:val="left"/>
      <w:pPr>
        <w:ind w:left="2385" w:hanging="540"/>
      </w:pPr>
      <w:rPr>
        <w:rFonts w:hint="default"/>
      </w:rPr>
    </w:lvl>
    <w:lvl w:ilvl="3" w:tplc="FE2EB0F8">
      <w:numFmt w:val="bullet"/>
      <w:lvlText w:val="•"/>
      <w:lvlJc w:val="left"/>
      <w:pPr>
        <w:ind w:left="3247" w:hanging="540"/>
      </w:pPr>
      <w:rPr>
        <w:rFonts w:hint="default"/>
      </w:rPr>
    </w:lvl>
    <w:lvl w:ilvl="4" w:tplc="B0DEB5A8">
      <w:numFmt w:val="bullet"/>
      <w:lvlText w:val="•"/>
      <w:lvlJc w:val="left"/>
      <w:pPr>
        <w:ind w:left="4110" w:hanging="540"/>
      </w:pPr>
      <w:rPr>
        <w:rFonts w:hint="default"/>
      </w:rPr>
    </w:lvl>
    <w:lvl w:ilvl="5" w:tplc="8116AFEC">
      <w:numFmt w:val="bullet"/>
      <w:lvlText w:val="•"/>
      <w:lvlJc w:val="left"/>
      <w:pPr>
        <w:ind w:left="4973" w:hanging="540"/>
      </w:pPr>
      <w:rPr>
        <w:rFonts w:hint="default"/>
      </w:rPr>
    </w:lvl>
    <w:lvl w:ilvl="6" w:tplc="92682FAC">
      <w:numFmt w:val="bullet"/>
      <w:lvlText w:val="•"/>
      <w:lvlJc w:val="left"/>
      <w:pPr>
        <w:ind w:left="5835" w:hanging="540"/>
      </w:pPr>
      <w:rPr>
        <w:rFonts w:hint="default"/>
      </w:rPr>
    </w:lvl>
    <w:lvl w:ilvl="7" w:tplc="3EA6C7BE">
      <w:numFmt w:val="bullet"/>
      <w:lvlText w:val="•"/>
      <w:lvlJc w:val="left"/>
      <w:pPr>
        <w:ind w:left="6698" w:hanging="540"/>
      </w:pPr>
      <w:rPr>
        <w:rFonts w:hint="default"/>
      </w:rPr>
    </w:lvl>
    <w:lvl w:ilvl="8" w:tplc="596ABA2E">
      <w:numFmt w:val="bullet"/>
      <w:lvlText w:val="•"/>
      <w:lvlJc w:val="left"/>
      <w:pPr>
        <w:ind w:left="7561" w:hanging="540"/>
      </w:pPr>
      <w:rPr>
        <w:rFonts w:hint="default"/>
      </w:rPr>
    </w:lvl>
  </w:abstractNum>
  <w:abstractNum w:abstractNumId="3" w15:restartNumberingAfterBreak="0">
    <w:nsid w:val="13E60CC0"/>
    <w:multiLevelType w:val="hybridMultilevel"/>
    <w:tmpl w:val="861C6AEA"/>
    <w:lvl w:ilvl="0" w:tplc="33C43B66">
      <w:start w:val="9"/>
      <w:numFmt w:val="decimal"/>
      <w:lvlText w:val="%1."/>
      <w:lvlJc w:val="left"/>
      <w:pPr>
        <w:ind w:left="561" w:hanging="459"/>
      </w:pPr>
      <w:rPr>
        <w:rFonts w:ascii="Times New Roman" w:eastAsia="Times New Roman" w:hAnsi="Times New Roman" w:cs="Times New Roman" w:hint="default"/>
        <w:w w:val="100"/>
        <w:sz w:val="22"/>
        <w:szCs w:val="22"/>
      </w:rPr>
    </w:lvl>
    <w:lvl w:ilvl="1" w:tplc="0AF25F6E">
      <w:numFmt w:val="bullet"/>
      <w:lvlText w:val="•"/>
      <w:lvlJc w:val="left"/>
      <w:pPr>
        <w:ind w:left="942" w:hanging="459"/>
      </w:pPr>
      <w:rPr>
        <w:rFonts w:hint="default"/>
      </w:rPr>
    </w:lvl>
    <w:lvl w:ilvl="2" w:tplc="99107404">
      <w:numFmt w:val="bullet"/>
      <w:lvlText w:val="•"/>
      <w:lvlJc w:val="left"/>
      <w:pPr>
        <w:ind w:left="1325" w:hanging="459"/>
      </w:pPr>
      <w:rPr>
        <w:rFonts w:hint="default"/>
      </w:rPr>
    </w:lvl>
    <w:lvl w:ilvl="3" w:tplc="229AE5B0">
      <w:numFmt w:val="bullet"/>
      <w:lvlText w:val="•"/>
      <w:lvlJc w:val="left"/>
      <w:pPr>
        <w:ind w:left="1707" w:hanging="459"/>
      </w:pPr>
      <w:rPr>
        <w:rFonts w:hint="default"/>
      </w:rPr>
    </w:lvl>
    <w:lvl w:ilvl="4" w:tplc="2284743C">
      <w:numFmt w:val="bullet"/>
      <w:lvlText w:val="•"/>
      <w:lvlJc w:val="left"/>
      <w:pPr>
        <w:ind w:left="2090" w:hanging="459"/>
      </w:pPr>
      <w:rPr>
        <w:rFonts w:hint="default"/>
      </w:rPr>
    </w:lvl>
    <w:lvl w:ilvl="5" w:tplc="A872BDD2">
      <w:numFmt w:val="bullet"/>
      <w:lvlText w:val="•"/>
      <w:lvlJc w:val="left"/>
      <w:pPr>
        <w:ind w:left="2472" w:hanging="459"/>
      </w:pPr>
      <w:rPr>
        <w:rFonts w:hint="default"/>
      </w:rPr>
    </w:lvl>
    <w:lvl w:ilvl="6" w:tplc="AA9A622C">
      <w:numFmt w:val="bullet"/>
      <w:lvlText w:val="•"/>
      <w:lvlJc w:val="left"/>
      <w:pPr>
        <w:ind w:left="2855" w:hanging="459"/>
      </w:pPr>
      <w:rPr>
        <w:rFonts w:hint="default"/>
      </w:rPr>
    </w:lvl>
    <w:lvl w:ilvl="7" w:tplc="9FA61238">
      <w:numFmt w:val="bullet"/>
      <w:lvlText w:val="•"/>
      <w:lvlJc w:val="left"/>
      <w:pPr>
        <w:ind w:left="3238" w:hanging="459"/>
      </w:pPr>
      <w:rPr>
        <w:rFonts w:hint="default"/>
      </w:rPr>
    </w:lvl>
    <w:lvl w:ilvl="8" w:tplc="45845678">
      <w:numFmt w:val="bullet"/>
      <w:lvlText w:val="•"/>
      <w:lvlJc w:val="left"/>
      <w:pPr>
        <w:ind w:left="3620" w:hanging="459"/>
      </w:pPr>
      <w:rPr>
        <w:rFonts w:hint="default"/>
      </w:rPr>
    </w:lvl>
  </w:abstractNum>
  <w:abstractNum w:abstractNumId="4" w15:restartNumberingAfterBreak="0">
    <w:nsid w:val="16AC772D"/>
    <w:multiLevelType w:val="hybridMultilevel"/>
    <w:tmpl w:val="7388C4C2"/>
    <w:lvl w:ilvl="0" w:tplc="FE5A74D4">
      <w:numFmt w:val="bullet"/>
      <w:lvlText w:val="-"/>
      <w:lvlJc w:val="left"/>
      <w:pPr>
        <w:ind w:left="685" w:hanging="567"/>
      </w:pPr>
      <w:rPr>
        <w:rFonts w:ascii="Times New Roman" w:eastAsia="Times New Roman" w:hAnsi="Times New Roman" w:cs="Times New Roman" w:hint="default"/>
        <w:w w:val="100"/>
        <w:sz w:val="22"/>
        <w:szCs w:val="22"/>
      </w:rPr>
    </w:lvl>
    <w:lvl w:ilvl="1" w:tplc="54025534">
      <w:numFmt w:val="bullet"/>
      <w:lvlText w:val="-"/>
      <w:lvlJc w:val="left"/>
      <w:pPr>
        <w:ind w:left="765" w:hanging="567"/>
      </w:pPr>
      <w:rPr>
        <w:rFonts w:ascii="Times New Roman" w:eastAsia="Times New Roman" w:hAnsi="Times New Roman" w:cs="Times New Roman" w:hint="default"/>
        <w:w w:val="100"/>
        <w:sz w:val="22"/>
        <w:szCs w:val="22"/>
      </w:rPr>
    </w:lvl>
    <w:lvl w:ilvl="2" w:tplc="241474CC">
      <w:numFmt w:val="bullet"/>
      <w:lvlText w:val="•"/>
      <w:lvlJc w:val="left"/>
      <w:pPr>
        <w:ind w:left="1698" w:hanging="567"/>
      </w:pPr>
      <w:rPr>
        <w:rFonts w:hint="default"/>
      </w:rPr>
    </w:lvl>
    <w:lvl w:ilvl="3" w:tplc="479CB7FC">
      <w:numFmt w:val="bullet"/>
      <w:lvlText w:val="•"/>
      <w:lvlJc w:val="left"/>
      <w:pPr>
        <w:ind w:left="2636" w:hanging="567"/>
      </w:pPr>
      <w:rPr>
        <w:rFonts w:hint="default"/>
      </w:rPr>
    </w:lvl>
    <w:lvl w:ilvl="4" w:tplc="AE823A06">
      <w:numFmt w:val="bullet"/>
      <w:lvlText w:val="•"/>
      <w:lvlJc w:val="left"/>
      <w:pPr>
        <w:ind w:left="3575" w:hanging="567"/>
      </w:pPr>
      <w:rPr>
        <w:rFonts w:hint="default"/>
      </w:rPr>
    </w:lvl>
    <w:lvl w:ilvl="5" w:tplc="43DC9F42">
      <w:numFmt w:val="bullet"/>
      <w:lvlText w:val="•"/>
      <w:lvlJc w:val="left"/>
      <w:pPr>
        <w:ind w:left="4513" w:hanging="567"/>
      </w:pPr>
      <w:rPr>
        <w:rFonts w:hint="default"/>
      </w:rPr>
    </w:lvl>
    <w:lvl w:ilvl="6" w:tplc="1C428CFC">
      <w:numFmt w:val="bullet"/>
      <w:lvlText w:val="•"/>
      <w:lvlJc w:val="left"/>
      <w:pPr>
        <w:ind w:left="5452" w:hanging="567"/>
      </w:pPr>
      <w:rPr>
        <w:rFonts w:hint="default"/>
      </w:rPr>
    </w:lvl>
    <w:lvl w:ilvl="7" w:tplc="0706E052">
      <w:numFmt w:val="bullet"/>
      <w:lvlText w:val="•"/>
      <w:lvlJc w:val="left"/>
      <w:pPr>
        <w:ind w:left="6390" w:hanging="567"/>
      </w:pPr>
      <w:rPr>
        <w:rFonts w:hint="default"/>
      </w:rPr>
    </w:lvl>
    <w:lvl w:ilvl="8" w:tplc="55FABB26">
      <w:numFmt w:val="bullet"/>
      <w:lvlText w:val="•"/>
      <w:lvlJc w:val="left"/>
      <w:pPr>
        <w:ind w:left="7329" w:hanging="567"/>
      </w:pPr>
      <w:rPr>
        <w:rFonts w:hint="default"/>
      </w:rPr>
    </w:lvl>
  </w:abstractNum>
  <w:abstractNum w:abstractNumId="5" w15:restartNumberingAfterBreak="0">
    <w:nsid w:val="17C16E05"/>
    <w:multiLevelType w:val="hybridMultilevel"/>
    <w:tmpl w:val="04324EC8"/>
    <w:lvl w:ilvl="0" w:tplc="DD280160">
      <w:start w:val="4"/>
      <w:numFmt w:val="decimal"/>
      <w:lvlText w:val="%1."/>
      <w:lvlJc w:val="left"/>
      <w:pPr>
        <w:ind w:left="113" w:hanging="221"/>
      </w:pPr>
      <w:rPr>
        <w:rFonts w:ascii="Times New Roman" w:eastAsia="Times New Roman" w:hAnsi="Times New Roman" w:cs="Times New Roman" w:hint="default"/>
        <w:w w:val="100"/>
        <w:sz w:val="22"/>
        <w:szCs w:val="22"/>
      </w:rPr>
    </w:lvl>
    <w:lvl w:ilvl="1" w:tplc="40EE7462">
      <w:numFmt w:val="bullet"/>
      <w:lvlText w:val="•"/>
      <w:lvlJc w:val="left"/>
      <w:pPr>
        <w:ind w:left="729" w:hanging="221"/>
      </w:pPr>
      <w:rPr>
        <w:rFonts w:hint="default"/>
      </w:rPr>
    </w:lvl>
    <w:lvl w:ilvl="2" w:tplc="6BC25764">
      <w:numFmt w:val="bullet"/>
      <w:lvlText w:val="•"/>
      <w:lvlJc w:val="left"/>
      <w:pPr>
        <w:ind w:left="1339" w:hanging="221"/>
      </w:pPr>
      <w:rPr>
        <w:rFonts w:hint="default"/>
      </w:rPr>
    </w:lvl>
    <w:lvl w:ilvl="3" w:tplc="EAC8A2C4">
      <w:numFmt w:val="bullet"/>
      <w:lvlText w:val="•"/>
      <w:lvlJc w:val="left"/>
      <w:pPr>
        <w:ind w:left="1949" w:hanging="221"/>
      </w:pPr>
      <w:rPr>
        <w:rFonts w:hint="default"/>
      </w:rPr>
    </w:lvl>
    <w:lvl w:ilvl="4" w:tplc="CDF25F1E">
      <w:numFmt w:val="bullet"/>
      <w:lvlText w:val="•"/>
      <w:lvlJc w:val="left"/>
      <w:pPr>
        <w:ind w:left="2559" w:hanging="221"/>
      </w:pPr>
      <w:rPr>
        <w:rFonts w:hint="default"/>
      </w:rPr>
    </w:lvl>
    <w:lvl w:ilvl="5" w:tplc="82B28CCA">
      <w:numFmt w:val="bullet"/>
      <w:lvlText w:val="•"/>
      <w:lvlJc w:val="left"/>
      <w:pPr>
        <w:ind w:left="3169" w:hanging="221"/>
      </w:pPr>
      <w:rPr>
        <w:rFonts w:hint="default"/>
      </w:rPr>
    </w:lvl>
    <w:lvl w:ilvl="6" w:tplc="ABFC8ECC">
      <w:numFmt w:val="bullet"/>
      <w:lvlText w:val="•"/>
      <w:lvlJc w:val="left"/>
      <w:pPr>
        <w:ind w:left="3779" w:hanging="221"/>
      </w:pPr>
      <w:rPr>
        <w:rFonts w:hint="default"/>
      </w:rPr>
    </w:lvl>
    <w:lvl w:ilvl="7" w:tplc="8B7216B4">
      <w:numFmt w:val="bullet"/>
      <w:lvlText w:val="•"/>
      <w:lvlJc w:val="left"/>
      <w:pPr>
        <w:ind w:left="4389" w:hanging="221"/>
      </w:pPr>
      <w:rPr>
        <w:rFonts w:hint="default"/>
      </w:rPr>
    </w:lvl>
    <w:lvl w:ilvl="8" w:tplc="37EE1C84">
      <w:numFmt w:val="bullet"/>
      <w:lvlText w:val="•"/>
      <w:lvlJc w:val="left"/>
      <w:pPr>
        <w:ind w:left="4999" w:hanging="221"/>
      </w:pPr>
      <w:rPr>
        <w:rFonts w:hint="default"/>
      </w:rPr>
    </w:lvl>
  </w:abstractNum>
  <w:abstractNum w:abstractNumId="6" w15:restartNumberingAfterBreak="0">
    <w:nsid w:val="192267EE"/>
    <w:multiLevelType w:val="multilevel"/>
    <w:tmpl w:val="A382380E"/>
    <w:lvl w:ilvl="0">
      <w:start w:val="1"/>
      <w:numFmt w:val="decimal"/>
      <w:lvlText w:val="%1."/>
      <w:lvlJc w:val="left"/>
      <w:pPr>
        <w:ind w:left="685" w:hanging="708"/>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81" w:hanging="567"/>
      </w:pPr>
      <w:rPr>
        <w:rFonts w:hint="default"/>
      </w:rPr>
    </w:lvl>
    <w:lvl w:ilvl="3">
      <w:numFmt w:val="bullet"/>
      <w:lvlText w:val="•"/>
      <w:lvlJc w:val="left"/>
      <w:pPr>
        <w:ind w:left="3231" w:hanging="567"/>
      </w:pPr>
      <w:rPr>
        <w:rFonts w:hint="default"/>
      </w:rPr>
    </w:lvl>
    <w:lvl w:ilvl="4">
      <w:numFmt w:val="bullet"/>
      <w:lvlText w:val="•"/>
      <w:lvlJc w:val="left"/>
      <w:pPr>
        <w:ind w:left="4082" w:hanging="567"/>
      </w:pPr>
      <w:rPr>
        <w:rFonts w:hint="default"/>
      </w:rPr>
    </w:lvl>
    <w:lvl w:ilvl="5">
      <w:numFmt w:val="bullet"/>
      <w:lvlText w:val="•"/>
      <w:lvlJc w:val="left"/>
      <w:pPr>
        <w:ind w:left="4933" w:hanging="567"/>
      </w:pPr>
      <w:rPr>
        <w:rFonts w:hint="default"/>
      </w:rPr>
    </w:lvl>
    <w:lvl w:ilvl="6">
      <w:numFmt w:val="bullet"/>
      <w:lvlText w:val="•"/>
      <w:lvlJc w:val="left"/>
      <w:pPr>
        <w:ind w:left="5783" w:hanging="567"/>
      </w:pPr>
      <w:rPr>
        <w:rFonts w:hint="default"/>
      </w:rPr>
    </w:lvl>
    <w:lvl w:ilvl="7">
      <w:numFmt w:val="bullet"/>
      <w:lvlText w:val="•"/>
      <w:lvlJc w:val="left"/>
      <w:pPr>
        <w:ind w:left="6634" w:hanging="567"/>
      </w:pPr>
      <w:rPr>
        <w:rFonts w:hint="default"/>
      </w:rPr>
    </w:lvl>
    <w:lvl w:ilvl="8">
      <w:numFmt w:val="bullet"/>
      <w:lvlText w:val="•"/>
      <w:lvlJc w:val="left"/>
      <w:pPr>
        <w:ind w:left="7485" w:hanging="567"/>
      </w:pPr>
      <w:rPr>
        <w:rFonts w:hint="default"/>
      </w:rPr>
    </w:lvl>
  </w:abstractNum>
  <w:abstractNum w:abstractNumId="7" w15:restartNumberingAfterBreak="0">
    <w:nsid w:val="1EF37BAA"/>
    <w:multiLevelType w:val="hybridMultilevel"/>
    <w:tmpl w:val="FDFA0624"/>
    <w:lvl w:ilvl="0" w:tplc="16A2C1D6">
      <w:start w:val="1"/>
      <w:numFmt w:val="decimal"/>
      <w:lvlText w:val="%1."/>
      <w:lvlJc w:val="left"/>
      <w:pPr>
        <w:ind w:left="685" w:hanging="567"/>
      </w:pPr>
      <w:rPr>
        <w:rFonts w:ascii="Times New Roman" w:eastAsia="Times New Roman" w:hAnsi="Times New Roman" w:cs="Times New Roman" w:hint="default"/>
        <w:w w:val="100"/>
        <w:sz w:val="22"/>
        <w:szCs w:val="22"/>
      </w:rPr>
    </w:lvl>
    <w:lvl w:ilvl="1" w:tplc="C4CAF96A">
      <w:numFmt w:val="bullet"/>
      <w:lvlText w:val="•"/>
      <w:lvlJc w:val="left"/>
      <w:pPr>
        <w:ind w:left="1536" w:hanging="567"/>
      </w:pPr>
      <w:rPr>
        <w:rFonts w:hint="default"/>
      </w:rPr>
    </w:lvl>
    <w:lvl w:ilvl="2" w:tplc="152699CA">
      <w:numFmt w:val="bullet"/>
      <w:lvlText w:val="•"/>
      <w:lvlJc w:val="left"/>
      <w:pPr>
        <w:ind w:left="2393" w:hanging="567"/>
      </w:pPr>
      <w:rPr>
        <w:rFonts w:hint="default"/>
      </w:rPr>
    </w:lvl>
    <w:lvl w:ilvl="3" w:tplc="7562B0E6">
      <w:numFmt w:val="bullet"/>
      <w:lvlText w:val="•"/>
      <w:lvlJc w:val="left"/>
      <w:pPr>
        <w:ind w:left="3249" w:hanging="567"/>
      </w:pPr>
      <w:rPr>
        <w:rFonts w:hint="default"/>
      </w:rPr>
    </w:lvl>
    <w:lvl w:ilvl="4" w:tplc="DE088C98">
      <w:numFmt w:val="bullet"/>
      <w:lvlText w:val="•"/>
      <w:lvlJc w:val="left"/>
      <w:pPr>
        <w:ind w:left="4106" w:hanging="567"/>
      </w:pPr>
      <w:rPr>
        <w:rFonts w:hint="default"/>
      </w:rPr>
    </w:lvl>
    <w:lvl w:ilvl="5" w:tplc="496C2150">
      <w:numFmt w:val="bullet"/>
      <w:lvlText w:val="•"/>
      <w:lvlJc w:val="left"/>
      <w:pPr>
        <w:ind w:left="4963" w:hanging="567"/>
      </w:pPr>
      <w:rPr>
        <w:rFonts w:hint="default"/>
      </w:rPr>
    </w:lvl>
    <w:lvl w:ilvl="6" w:tplc="5BD69DE8">
      <w:numFmt w:val="bullet"/>
      <w:lvlText w:val="•"/>
      <w:lvlJc w:val="left"/>
      <w:pPr>
        <w:ind w:left="5819" w:hanging="567"/>
      </w:pPr>
      <w:rPr>
        <w:rFonts w:hint="default"/>
      </w:rPr>
    </w:lvl>
    <w:lvl w:ilvl="7" w:tplc="4C4A449C">
      <w:numFmt w:val="bullet"/>
      <w:lvlText w:val="•"/>
      <w:lvlJc w:val="left"/>
      <w:pPr>
        <w:ind w:left="6676" w:hanging="567"/>
      </w:pPr>
      <w:rPr>
        <w:rFonts w:hint="default"/>
      </w:rPr>
    </w:lvl>
    <w:lvl w:ilvl="8" w:tplc="75FE042C">
      <w:numFmt w:val="bullet"/>
      <w:lvlText w:val="•"/>
      <w:lvlJc w:val="left"/>
      <w:pPr>
        <w:ind w:left="7533" w:hanging="567"/>
      </w:pPr>
      <w:rPr>
        <w:rFonts w:hint="default"/>
      </w:rPr>
    </w:lvl>
  </w:abstractNum>
  <w:abstractNum w:abstractNumId="8" w15:restartNumberingAfterBreak="0">
    <w:nsid w:val="1FBE7F96"/>
    <w:multiLevelType w:val="hybridMultilevel"/>
    <w:tmpl w:val="1806E65A"/>
    <w:lvl w:ilvl="0" w:tplc="57061832">
      <w:start w:val="1"/>
      <w:numFmt w:val="decimal"/>
      <w:lvlText w:val="%1."/>
      <w:lvlJc w:val="left"/>
      <w:pPr>
        <w:ind w:left="930" w:hanging="570"/>
      </w:pPr>
      <w:rPr>
        <w:rFonts w:hint="default"/>
      </w:rPr>
    </w:lvl>
    <w:lvl w:ilvl="1" w:tplc="953A5C22" w:tentative="1">
      <w:start w:val="1"/>
      <w:numFmt w:val="lowerLetter"/>
      <w:lvlText w:val="%2."/>
      <w:lvlJc w:val="left"/>
      <w:pPr>
        <w:ind w:left="1440" w:hanging="360"/>
      </w:pPr>
    </w:lvl>
    <w:lvl w:ilvl="2" w:tplc="FA2CEF4E" w:tentative="1">
      <w:start w:val="1"/>
      <w:numFmt w:val="lowerRoman"/>
      <w:lvlText w:val="%3."/>
      <w:lvlJc w:val="right"/>
      <w:pPr>
        <w:ind w:left="2160" w:hanging="180"/>
      </w:pPr>
    </w:lvl>
    <w:lvl w:ilvl="3" w:tplc="485A0EFE" w:tentative="1">
      <w:start w:val="1"/>
      <w:numFmt w:val="decimal"/>
      <w:lvlText w:val="%4."/>
      <w:lvlJc w:val="left"/>
      <w:pPr>
        <w:ind w:left="2880" w:hanging="360"/>
      </w:pPr>
    </w:lvl>
    <w:lvl w:ilvl="4" w:tplc="9A4026A0" w:tentative="1">
      <w:start w:val="1"/>
      <w:numFmt w:val="lowerLetter"/>
      <w:lvlText w:val="%5."/>
      <w:lvlJc w:val="left"/>
      <w:pPr>
        <w:ind w:left="3600" w:hanging="360"/>
      </w:pPr>
    </w:lvl>
    <w:lvl w:ilvl="5" w:tplc="27044848" w:tentative="1">
      <w:start w:val="1"/>
      <w:numFmt w:val="lowerRoman"/>
      <w:lvlText w:val="%6."/>
      <w:lvlJc w:val="right"/>
      <w:pPr>
        <w:ind w:left="4320" w:hanging="180"/>
      </w:pPr>
    </w:lvl>
    <w:lvl w:ilvl="6" w:tplc="40A21430" w:tentative="1">
      <w:start w:val="1"/>
      <w:numFmt w:val="decimal"/>
      <w:lvlText w:val="%7."/>
      <w:lvlJc w:val="left"/>
      <w:pPr>
        <w:ind w:left="5040" w:hanging="360"/>
      </w:pPr>
    </w:lvl>
    <w:lvl w:ilvl="7" w:tplc="B894B70C" w:tentative="1">
      <w:start w:val="1"/>
      <w:numFmt w:val="lowerLetter"/>
      <w:lvlText w:val="%8."/>
      <w:lvlJc w:val="left"/>
      <w:pPr>
        <w:ind w:left="5760" w:hanging="360"/>
      </w:pPr>
    </w:lvl>
    <w:lvl w:ilvl="8" w:tplc="F2E03426" w:tentative="1">
      <w:start w:val="1"/>
      <w:numFmt w:val="lowerRoman"/>
      <w:lvlText w:val="%9."/>
      <w:lvlJc w:val="right"/>
      <w:pPr>
        <w:ind w:left="6480" w:hanging="180"/>
      </w:pPr>
    </w:lvl>
  </w:abstractNum>
  <w:abstractNum w:abstractNumId="9" w15:restartNumberingAfterBreak="0">
    <w:nsid w:val="222B1169"/>
    <w:multiLevelType w:val="hybridMultilevel"/>
    <w:tmpl w:val="58D44E4C"/>
    <w:lvl w:ilvl="0" w:tplc="30127178">
      <w:numFmt w:val="bullet"/>
      <w:lvlText w:val="*"/>
      <w:lvlJc w:val="left"/>
      <w:pPr>
        <w:ind w:left="118" w:hanging="166"/>
      </w:pPr>
      <w:rPr>
        <w:rFonts w:ascii="Times New Roman" w:eastAsia="Times New Roman" w:hAnsi="Times New Roman" w:cs="Times New Roman" w:hint="default"/>
        <w:w w:val="100"/>
        <w:sz w:val="22"/>
        <w:szCs w:val="22"/>
      </w:rPr>
    </w:lvl>
    <w:lvl w:ilvl="1" w:tplc="9934FE9A">
      <w:numFmt w:val="bullet"/>
      <w:lvlText w:val="•"/>
      <w:lvlJc w:val="left"/>
      <w:pPr>
        <w:ind w:left="1038" w:hanging="166"/>
      </w:pPr>
      <w:rPr>
        <w:rFonts w:hint="default"/>
      </w:rPr>
    </w:lvl>
    <w:lvl w:ilvl="2" w:tplc="EE50028A">
      <w:numFmt w:val="bullet"/>
      <w:lvlText w:val="•"/>
      <w:lvlJc w:val="left"/>
      <w:pPr>
        <w:ind w:left="1957" w:hanging="166"/>
      </w:pPr>
      <w:rPr>
        <w:rFonts w:hint="default"/>
      </w:rPr>
    </w:lvl>
    <w:lvl w:ilvl="3" w:tplc="A74486AE">
      <w:numFmt w:val="bullet"/>
      <w:lvlText w:val="•"/>
      <w:lvlJc w:val="left"/>
      <w:pPr>
        <w:ind w:left="2875" w:hanging="166"/>
      </w:pPr>
      <w:rPr>
        <w:rFonts w:hint="default"/>
      </w:rPr>
    </w:lvl>
    <w:lvl w:ilvl="4" w:tplc="2F8C9A76">
      <w:numFmt w:val="bullet"/>
      <w:lvlText w:val="•"/>
      <w:lvlJc w:val="left"/>
      <w:pPr>
        <w:ind w:left="3794" w:hanging="166"/>
      </w:pPr>
      <w:rPr>
        <w:rFonts w:hint="default"/>
      </w:rPr>
    </w:lvl>
    <w:lvl w:ilvl="5" w:tplc="50006652">
      <w:numFmt w:val="bullet"/>
      <w:lvlText w:val="•"/>
      <w:lvlJc w:val="left"/>
      <w:pPr>
        <w:ind w:left="4713" w:hanging="166"/>
      </w:pPr>
      <w:rPr>
        <w:rFonts w:hint="default"/>
      </w:rPr>
    </w:lvl>
    <w:lvl w:ilvl="6" w:tplc="E59E6B8C">
      <w:numFmt w:val="bullet"/>
      <w:lvlText w:val="•"/>
      <w:lvlJc w:val="left"/>
      <w:pPr>
        <w:ind w:left="5631" w:hanging="166"/>
      </w:pPr>
      <w:rPr>
        <w:rFonts w:hint="default"/>
      </w:rPr>
    </w:lvl>
    <w:lvl w:ilvl="7" w:tplc="3C528B36">
      <w:numFmt w:val="bullet"/>
      <w:lvlText w:val="•"/>
      <w:lvlJc w:val="left"/>
      <w:pPr>
        <w:ind w:left="6550" w:hanging="166"/>
      </w:pPr>
      <w:rPr>
        <w:rFonts w:hint="default"/>
      </w:rPr>
    </w:lvl>
    <w:lvl w:ilvl="8" w:tplc="05421346">
      <w:numFmt w:val="bullet"/>
      <w:lvlText w:val="•"/>
      <w:lvlJc w:val="left"/>
      <w:pPr>
        <w:ind w:left="7469" w:hanging="166"/>
      </w:pPr>
      <w:rPr>
        <w:rFonts w:hint="default"/>
      </w:rPr>
    </w:lvl>
  </w:abstractNum>
  <w:abstractNum w:abstractNumId="10" w15:restartNumberingAfterBreak="0">
    <w:nsid w:val="26250C59"/>
    <w:multiLevelType w:val="hybridMultilevel"/>
    <w:tmpl w:val="C8760460"/>
    <w:lvl w:ilvl="0" w:tplc="DC4AB148">
      <w:numFmt w:val="bullet"/>
      <w:lvlText w:val="-"/>
      <w:lvlJc w:val="left"/>
      <w:pPr>
        <w:ind w:left="685" w:hanging="567"/>
      </w:pPr>
      <w:rPr>
        <w:rFonts w:hint="default"/>
        <w:w w:val="100"/>
      </w:rPr>
    </w:lvl>
    <w:lvl w:ilvl="1" w:tplc="BEA07E1A">
      <w:numFmt w:val="bullet"/>
      <w:lvlText w:val="-"/>
      <w:lvlJc w:val="left"/>
      <w:pPr>
        <w:ind w:left="785" w:hanging="567"/>
      </w:pPr>
      <w:rPr>
        <w:rFonts w:ascii="Times New Roman" w:eastAsia="Times New Roman" w:hAnsi="Times New Roman" w:cs="Times New Roman" w:hint="default"/>
        <w:w w:val="100"/>
        <w:sz w:val="22"/>
        <w:szCs w:val="22"/>
      </w:rPr>
    </w:lvl>
    <w:lvl w:ilvl="2" w:tplc="476A3358">
      <w:numFmt w:val="bullet"/>
      <w:lvlText w:val="•"/>
      <w:lvlJc w:val="left"/>
      <w:pPr>
        <w:ind w:left="1718" w:hanging="567"/>
      </w:pPr>
      <w:rPr>
        <w:rFonts w:hint="default"/>
      </w:rPr>
    </w:lvl>
    <w:lvl w:ilvl="3" w:tplc="1882A30C">
      <w:numFmt w:val="bullet"/>
      <w:lvlText w:val="•"/>
      <w:lvlJc w:val="left"/>
      <w:pPr>
        <w:ind w:left="2656" w:hanging="567"/>
      </w:pPr>
      <w:rPr>
        <w:rFonts w:hint="default"/>
      </w:rPr>
    </w:lvl>
    <w:lvl w:ilvl="4" w:tplc="AEDEE5EE">
      <w:numFmt w:val="bullet"/>
      <w:lvlText w:val="•"/>
      <w:lvlJc w:val="left"/>
      <w:pPr>
        <w:ind w:left="3595" w:hanging="567"/>
      </w:pPr>
      <w:rPr>
        <w:rFonts w:hint="default"/>
      </w:rPr>
    </w:lvl>
    <w:lvl w:ilvl="5" w:tplc="90D24D06">
      <w:numFmt w:val="bullet"/>
      <w:lvlText w:val="•"/>
      <w:lvlJc w:val="left"/>
      <w:pPr>
        <w:ind w:left="4533" w:hanging="567"/>
      </w:pPr>
      <w:rPr>
        <w:rFonts w:hint="default"/>
      </w:rPr>
    </w:lvl>
    <w:lvl w:ilvl="6" w:tplc="30A21B58">
      <w:numFmt w:val="bullet"/>
      <w:lvlText w:val="•"/>
      <w:lvlJc w:val="left"/>
      <w:pPr>
        <w:ind w:left="5472" w:hanging="567"/>
      </w:pPr>
      <w:rPr>
        <w:rFonts w:hint="default"/>
      </w:rPr>
    </w:lvl>
    <w:lvl w:ilvl="7" w:tplc="4712ECFE">
      <w:numFmt w:val="bullet"/>
      <w:lvlText w:val="•"/>
      <w:lvlJc w:val="left"/>
      <w:pPr>
        <w:ind w:left="6410" w:hanging="567"/>
      </w:pPr>
      <w:rPr>
        <w:rFonts w:hint="default"/>
      </w:rPr>
    </w:lvl>
    <w:lvl w:ilvl="8" w:tplc="88F6DF78">
      <w:numFmt w:val="bullet"/>
      <w:lvlText w:val="•"/>
      <w:lvlJc w:val="left"/>
      <w:pPr>
        <w:ind w:left="7349" w:hanging="567"/>
      </w:pPr>
      <w:rPr>
        <w:rFonts w:hint="default"/>
      </w:rPr>
    </w:lvl>
  </w:abstractNum>
  <w:abstractNum w:abstractNumId="11" w15:restartNumberingAfterBreak="0">
    <w:nsid w:val="27632F3F"/>
    <w:multiLevelType w:val="hybridMultilevel"/>
    <w:tmpl w:val="68C4964C"/>
    <w:lvl w:ilvl="0" w:tplc="7226BBC6">
      <w:numFmt w:val="bullet"/>
      <w:lvlText w:val=""/>
      <w:lvlJc w:val="left"/>
      <w:pPr>
        <w:ind w:left="561" w:hanging="459"/>
      </w:pPr>
      <w:rPr>
        <w:rFonts w:ascii="Symbol" w:eastAsia="Symbol" w:hAnsi="Symbol" w:cs="Symbol" w:hint="default"/>
        <w:w w:val="100"/>
        <w:sz w:val="22"/>
        <w:szCs w:val="22"/>
      </w:rPr>
    </w:lvl>
    <w:lvl w:ilvl="1" w:tplc="17C6717E">
      <w:numFmt w:val="bullet"/>
      <w:lvlText w:val="•"/>
      <w:lvlJc w:val="left"/>
      <w:pPr>
        <w:ind w:left="1254" w:hanging="459"/>
      </w:pPr>
      <w:rPr>
        <w:rFonts w:hint="default"/>
      </w:rPr>
    </w:lvl>
    <w:lvl w:ilvl="2" w:tplc="883A846E">
      <w:numFmt w:val="bullet"/>
      <w:lvlText w:val="•"/>
      <w:lvlJc w:val="left"/>
      <w:pPr>
        <w:ind w:left="1948" w:hanging="459"/>
      </w:pPr>
      <w:rPr>
        <w:rFonts w:hint="default"/>
      </w:rPr>
    </w:lvl>
    <w:lvl w:ilvl="3" w:tplc="13F26CFA">
      <w:numFmt w:val="bullet"/>
      <w:lvlText w:val="•"/>
      <w:lvlJc w:val="left"/>
      <w:pPr>
        <w:ind w:left="2643" w:hanging="459"/>
      </w:pPr>
      <w:rPr>
        <w:rFonts w:hint="default"/>
      </w:rPr>
    </w:lvl>
    <w:lvl w:ilvl="4" w:tplc="0CF4306E">
      <w:numFmt w:val="bullet"/>
      <w:lvlText w:val="•"/>
      <w:lvlJc w:val="left"/>
      <w:pPr>
        <w:ind w:left="3337" w:hanging="459"/>
      </w:pPr>
      <w:rPr>
        <w:rFonts w:hint="default"/>
      </w:rPr>
    </w:lvl>
    <w:lvl w:ilvl="5" w:tplc="6FE4DD9A">
      <w:numFmt w:val="bullet"/>
      <w:lvlText w:val="•"/>
      <w:lvlJc w:val="left"/>
      <w:pPr>
        <w:ind w:left="4032" w:hanging="459"/>
      </w:pPr>
      <w:rPr>
        <w:rFonts w:hint="default"/>
      </w:rPr>
    </w:lvl>
    <w:lvl w:ilvl="6" w:tplc="E45C55E8">
      <w:numFmt w:val="bullet"/>
      <w:lvlText w:val="•"/>
      <w:lvlJc w:val="left"/>
      <w:pPr>
        <w:ind w:left="4726" w:hanging="459"/>
      </w:pPr>
      <w:rPr>
        <w:rFonts w:hint="default"/>
      </w:rPr>
    </w:lvl>
    <w:lvl w:ilvl="7" w:tplc="29B2FEA8">
      <w:numFmt w:val="bullet"/>
      <w:lvlText w:val="•"/>
      <w:lvlJc w:val="left"/>
      <w:pPr>
        <w:ind w:left="5420" w:hanging="459"/>
      </w:pPr>
      <w:rPr>
        <w:rFonts w:hint="default"/>
      </w:rPr>
    </w:lvl>
    <w:lvl w:ilvl="8" w:tplc="1C48439C">
      <w:numFmt w:val="bullet"/>
      <w:lvlText w:val="•"/>
      <w:lvlJc w:val="left"/>
      <w:pPr>
        <w:ind w:left="6115" w:hanging="459"/>
      </w:pPr>
      <w:rPr>
        <w:rFonts w:hint="default"/>
      </w:rPr>
    </w:lvl>
  </w:abstractNum>
  <w:abstractNum w:abstractNumId="12" w15:restartNumberingAfterBreak="0">
    <w:nsid w:val="2EAF39A5"/>
    <w:multiLevelType w:val="hybridMultilevel"/>
    <w:tmpl w:val="3CFE4310"/>
    <w:lvl w:ilvl="0" w:tplc="4A9CB154">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733A1708">
      <w:numFmt w:val="bullet"/>
      <w:lvlText w:val="•"/>
      <w:lvlJc w:val="left"/>
      <w:pPr>
        <w:ind w:left="1032" w:hanging="567"/>
      </w:pPr>
      <w:rPr>
        <w:rFonts w:hint="default"/>
      </w:rPr>
    </w:lvl>
    <w:lvl w:ilvl="2" w:tplc="0DDC184E">
      <w:numFmt w:val="bullet"/>
      <w:lvlText w:val="•"/>
      <w:lvlJc w:val="left"/>
      <w:pPr>
        <w:ind w:left="1945" w:hanging="567"/>
      </w:pPr>
      <w:rPr>
        <w:rFonts w:hint="default"/>
      </w:rPr>
    </w:lvl>
    <w:lvl w:ilvl="3" w:tplc="B51A3E52">
      <w:numFmt w:val="bullet"/>
      <w:lvlText w:val="•"/>
      <w:lvlJc w:val="left"/>
      <w:pPr>
        <w:ind w:left="2857" w:hanging="567"/>
      </w:pPr>
      <w:rPr>
        <w:rFonts w:hint="default"/>
      </w:rPr>
    </w:lvl>
    <w:lvl w:ilvl="4" w:tplc="39BEB9A8">
      <w:numFmt w:val="bullet"/>
      <w:lvlText w:val="•"/>
      <w:lvlJc w:val="left"/>
      <w:pPr>
        <w:ind w:left="3770" w:hanging="567"/>
      </w:pPr>
      <w:rPr>
        <w:rFonts w:hint="default"/>
      </w:rPr>
    </w:lvl>
    <w:lvl w:ilvl="5" w:tplc="023869E6">
      <w:numFmt w:val="bullet"/>
      <w:lvlText w:val="•"/>
      <w:lvlJc w:val="left"/>
      <w:pPr>
        <w:ind w:left="4683" w:hanging="567"/>
      </w:pPr>
      <w:rPr>
        <w:rFonts w:hint="default"/>
      </w:rPr>
    </w:lvl>
    <w:lvl w:ilvl="6" w:tplc="097E99F2">
      <w:numFmt w:val="bullet"/>
      <w:lvlText w:val="•"/>
      <w:lvlJc w:val="left"/>
      <w:pPr>
        <w:ind w:left="5595" w:hanging="567"/>
      </w:pPr>
      <w:rPr>
        <w:rFonts w:hint="default"/>
      </w:rPr>
    </w:lvl>
    <w:lvl w:ilvl="7" w:tplc="671280D4">
      <w:numFmt w:val="bullet"/>
      <w:lvlText w:val="•"/>
      <w:lvlJc w:val="left"/>
      <w:pPr>
        <w:ind w:left="6508" w:hanging="567"/>
      </w:pPr>
      <w:rPr>
        <w:rFonts w:hint="default"/>
      </w:rPr>
    </w:lvl>
    <w:lvl w:ilvl="8" w:tplc="E1F861A4">
      <w:numFmt w:val="bullet"/>
      <w:lvlText w:val="•"/>
      <w:lvlJc w:val="left"/>
      <w:pPr>
        <w:ind w:left="7421" w:hanging="567"/>
      </w:pPr>
      <w:rPr>
        <w:rFonts w:hint="default"/>
      </w:rPr>
    </w:lvl>
  </w:abstractNum>
  <w:abstractNum w:abstractNumId="13" w15:restartNumberingAfterBreak="0">
    <w:nsid w:val="2EF94A8B"/>
    <w:multiLevelType w:val="hybridMultilevel"/>
    <w:tmpl w:val="FA0ADA48"/>
    <w:lvl w:ilvl="0" w:tplc="353CA412">
      <w:numFmt w:val="bullet"/>
      <w:lvlText w:val="-"/>
      <w:lvlJc w:val="left"/>
      <w:pPr>
        <w:ind w:left="1200" w:hanging="400"/>
      </w:pPr>
      <w:rPr>
        <w:rFonts w:ascii="Times New Roman" w:eastAsia="Times New Roman" w:hAnsi="Times New Roman" w:cs="Times New Roman" w:hint="default"/>
        <w:w w:val="100"/>
        <w:sz w:val="22"/>
        <w:szCs w:val="22"/>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30904D76"/>
    <w:multiLevelType w:val="hybridMultilevel"/>
    <w:tmpl w:val="D6E6B158"/>
    <w:lvl w:ilvl="0" w:tplc="F5A2F9A0">
      <w:start w:val="1"/>
      <w:numFmt w:val="decimal"/>
      <w:lvlText w:val="%1."/>
      <w:lvlJc w:val="left"/>
      <w:pPr>
        <w:ind w:left="785" w:hanging="567"/>
      </w:pPr>
      <w:rPr>
        <w:rFonts w:ascii="Times New Roman" w:eastAsia="Times New Roman" w:hAnsi="Times New Roman" w:cs="Times New Roman" w:hint="default"/>
        <w:w w:val="100"/>
        <w:sz w:val="22"/>
        <w:szCs w:val="22"/>
      </w:rPr>
    </w:lvl>
    <w:lvl w:ilvl="1" w:tplc="33328AEA">
      <w:numFmt w:val="bullet"/>
      <w:lvlText w:val="•"/>
      <w:lvlJc w:val="left"/>
      <w:pPr>
        <w:ind w:left="1652" w:hanging="567"/>
      </w:pPr>
      <w:rPr>
        <w:rFonts w:hint="default"/>
      </w:rPr>
    </w:lvl>
    <w:lvl w:ilvl="2" w:tplc="CBA40544">
      <w:numFmt w:val="bullet"/>
      <w:lvlText w:val="•"/>
      <w:lvlJc w:val="left"/>
      <w:pPr>
        <w:ind w:left="2525" w:hanging="567"/>
      </w:pPr>
      <w:rPr>
        <w:rFonts w:hint="default"/>
      </w:rPr>
    </w:lvl>
    <w:lvl w:ilvl="3" w:tplc="7F52F3F4">
      <w:numFmt w:val="bullet"/>
      <w:lvlText w:val="•"/>
      <w:lvlJc w:val="left"/>
      <w:pPr>
        <w:ind w:left="3397" w:hanging="567"/>
      </w:pPr>
      <w:rPr>
        <w:rFonts w:hint="default"/>
      </w:rPr>
    </w:lvl>
    <w:lvl w:ilvl="4" w:tplc="66345E6A">
      <w:numFmt w:val="bullet"/>
      <w:lvlText w:val="•"/>
      <w:lvlJc w:val="left"/>
      <w:pPr>
        <w:ind w:left="4270" w:hanging="567"/>
      </w:pPr>
      <w:rPr>
        <w:rFonts w:hint="default"/>
      </w:rPr>
    </w:lvl>
    <w:lvl w:ilvl="5" w:tplc="823C9DB4">
      <w:numFmt w:val="bullet"/>
      <w:lvlText w:val="•"/>
      <w:lvlJc w:val="left"/>
      <w:pPr>
        <w:ind w:left="5143" w:hanging="567"/>
      </w:pPr>
      <w:rPr>
        <w:rFonts w:hint="default"/>
      </w:rPr>
    </w:lvl>
    <w:lvl w:ilvl="6" w:tplc="8122940A">
      <w:numFmt w:val="bullet"/>
      <w:lvlText w:val="•"/>
      <w:lvlJc w:val="left"/>
      <w:pPr>
        <w:ind w:left="6015" w:hanging="567"/>
      </w:pPr>
      <w:rPr>
        <w:rFonts w:hint="default"/>
      </w:rPr>
    </w:lvl>
    <w:lvl w:ilvl="7" w:tplc="DFD0AB06">
      <w:numFmt w:val="bullet"/>
      <w:lvlText w:val="•"/>
      <w:lvlJc w:val="left"/>
      <w:pPr>
        <w:ind w:left="6888" w:hanging="567"/>
      </w:pPr>
      <w:rPr>
        <w:rFonts w:hint="default"/>
      </w:rPr>
    </w:lvl>
    <w:lvl w:ilvl="8" w:tplc="9F064370">
      <w:numFmt w:val="bullet"/>
      <w:lvlText w:val="•"/>
      <w:lvlJc w:val="left"/>
      <w:pPr>
        <w:ind w:left="7761" w:hanging="567"/>
      </w:pPr>
      <w:rPr>
        <w:rFonts w:hint="default"/>
      </w:rPr>
    </w:lvl>
  </w:abstractNum>
  <w:abstractNum w:abstractNumId="15" w15:restartNumberingAfterBreak="0">
    <w:nsid w:val="30B833A3"/>
    <w:multiLevelType w:val="hybridMultilevel"/>
    <w:tmpl w:val="828CD25E"/>
    <w:lvl w:ilvl="0" w:tplc="EA38EEE6">
      <w:start w:val="1"/>
      <w:numFmt w:val="decimal"/>
      <w:lvlText w:val="%1."/>
      <w:lvlJc w:val="left"/>
      <w:pPr>
        <w:ind w:left="113" w:hanging="221"/>
      </w:pPr>
      <w:rPr>
        <w:rFonts w:ascii="Times New Roman" w:eastAsia="Times New Roman" w:hAnsi="Times New Roman" w:cs="Times New Roman" w:hint="default"/>
        <w:w w:val="100"/>
        <w:sz w:val="22"/>
        <w:szCs w:val="22"/>
      </w:rPr>
    </w:lvl>
    <w:lvl w:ilvl="1" w:tplc="9784372E">
      <w:numFmt w:val="bullet"/>
      <w:lvlText w:val="•"/>
      <w:lvlJc w:val="left"/>
      <w:pPr>
        <w:ind w:left="729" w:hanging="221"/>
      </w:pPr>
      <w:rPr>
        <w:rFonts w:hint="default"/>
      </w:rPr>
    </w:lvl>
    <w:lvl w:ilvl="2" w:tplc="3B08237E">
      <w:numFmt w:val="bullet"/>
      <w:lvlText w:val="•"/>
      <w:lvlJc w:val="left"/>
      <w:pPr>
        <w:ind w:left="1339" w:hanging="221"/>
      </w:pPr>
      <w:rPr>
        <w:rFonts w:hint="default"/>
      </w:rPr>
    </w:lvl>
    <w:lvl w:ilvl="3" w:tplc="13C6DBEA">
      <w:numFmt w:val="bullet"/>
      <w:lvlText w:val="•"/>
      <w:lvlJc w:val="left"/>
      <w:pPr>
        <w:ind w:left="1949" w:hanging="221"/>
      </w:pPr>
      <w:rPr>
        <w:rFonts w:hint="default"/>
      </w:rPr>
    </w:lvl>
    <w:lvl w:ilvl="4" w:tplc="239ECB7C">
      <w:numFmt w:val="bullet"/>
      <w:lvlText w:val="•"/>
      <w:lvlJc w:val="left"/>
      <w:pPr>
        <w:ind w:left="2559" w:hanging="221"/>
      </w:pPr>
      <w:rPr>
        <w:rFonts w:hint="default"/>
      </w:rPr>
    </w:lvl>
    <w:lvl w:ilvl="5" w:tplc="D9A63E8C">
      <w:numFmt w:val="bullet"/>
      <w:lvlText w:val="•"/>
      <w:lvlJc w:val="left"/>
      <w:pPr>
        <w:ind w:left="3169" w:hanging="221"/>
      </w:pPr>
      <w:rPr>
        <w:rFonts w:hint="default"/>
      </w:rPr>
    </w:lvl>
    <w:lvl w:ilvl="6" w:tplc="FB2C4C9A">
      <w:numFmt w:val="bullet"/>
      <w:lvlText w:val="•"/>
      <w:lvlJc w:val="left"/>
      <w:pPr>
        <w:ind w:left="3779" w:hanging="221"/>
      </w:pPr>
      <w:rPr>
        <w:rFonts w:hint="default"/>
      </w:rPr>
    </w:lvl>
    <w:lvl w:ilvl="7" w:tplc="189A224A">
      <w:numFmt w:val="bullet"/>
      <w:lvlText w:val="•"/>
      <w:lvlJc w:val="left"/>
      <w:pPr>
        <w:ind w:left="4389" w:hanging="221"/>
      </w:pPr>
      <w:rPr>
        <w:rFonts w:hint="default"/>
      </w:rPr>
    </w:lvl>
    <w:lvl w:ilvl="8" w:tplc="B80054DC">
      <w:numFmt w:val="bullet"/>
      <w:lvlText w:val="•"/>
      <w:lvlJc w:val="left"/>
      <w:pPr>
        <w:ind w:left="4999" w:hanging="221"/>
      </w:pPr>
      <w:rPr>
        <w:rFonts w:hint="default"/>
      </w:rPr>
    </w:lvl>
  </w:abstractNum>
  <w:abstractNum w:abstractNumId="16" w15:restartNumberingAfterBreak="0">
    <w:nsid w:val="31AE2D80"/>
    <w:multiLevelType w:val="hybridMultilevel"/>
    <w:tmpl w:val="75C0BF6A"/>
    <w:lvl w:ilvl="0" w:tplc="A166554A">
      <w:numFmt w:val="bullet"/>
      <w:lvlText w:val=""/>
      <w:lvlJc w:val="left"/>
      <w:pPr>
        <w:ind w:left="800" w:hanging="400"/>
      </w:pPr>
      <w:rPr>
        <w:rFonts w:ascii="Symbol" w:eastAsia="Symbol" w:hAnsi="Symbol" w:cs="Symbol" w:hint="default"/>
        <w:w w:val="100"/>
        <w:sz w:val="22"/>
        <w:szCs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37E2922"/>
    <w:multiLevelType w:val="hybridMultilevel"/>
    <w:tmpl w:val="86DE8476"/>
    <w:lvl w:ilvl="0" w:tplc="2E26C350">
      <w:numFmt w:val="bullet"/>
      <w:lvlText w:val="-"/>
      <w:lvlJc w:val="left"/>
      <w:pPr>
        <w:ind w:left="765" w:hanging="567"/>
      </w:pPr>
      <w:rPr>
        <w:rFonts w:ascii="Times New Roman" w:eastAsia="Times New Roman" w:hAnsi="Times New Roman" w:cs="Times New Roman" w:hint="default"/>
        <w:w w:val="100"/>
        <w:sz w:val="22"/>
        <w:szCs w:val="22"/>
      </w:rPr>
    </w:lvl>
    <w:lvl w:ilvl="1" w:tplc="600AC4F2">
      <w:numFmt w:val="bullet"/>
      <w:lvlText w:val="•"/>
      <w:lvlJc w:val="left"/>
      <w:pPr>
        <w:ind w:left="1614" w:hanging="567"/>
      </w:pPr>
      <w:rPr>
        <w:rFonts w:hint="default"/>
      </w:rPr>
    </w:lvl>
    <w:lvl w:ilvl="2" w:tplc="FD6E0570">
      <w:numFmt w:val="bullet"/>
      <w:lvlText w:val="•"/>
      <w:lvlJc w:val="left"/>
      <w:pPr>
        <w:ind w:left="2469" w:hanging="567"/>
      </w:pPr>
      <w:rPr>
        <w:rFonts w:hint="default"/>
      </w:rPr>
    </w:lvl>
    <w:lvl w:ilvl="3" w:tplc="1130BA1A">
      <w:numFmt w:val="bullet"/>
      <w:lvlText w:val="•"/>
      <w:lvlJc w:val="left"/>
      <w:pPr>
        <w:ind w:left="3323" w:hanging="567"/>
      </w:pPr>
      <w:rPr>
        <w:rFonts w:hint="default"/>
      </w:rPr>
    </w:lvl>
    <w:lvl w:ilvl="4" w:tplc="1DA216E4">
      <w:numFmt w:val="bullet"/>
      <w:lvlText w:val="•"/>
      <w:lvlJc w:val="left"/>
      <w:pPr>
        <w:ind w:left="4178" w:hanging="567"/>
      </w:pPr>
      <w:rPr>
        <w:rFonts w:hint="default"/>
      </w:rPr>
    </w:lvl>
    <w:lvl w:ilvl="5" w:tplc="7D0A69BC">
      <w:numFmt w:val="bullet"/>
      <w:lvlText w:val="•"/>
      <w:lvlJc w:val="left"/>
      <w:pPr>
        <w:ind w:left="5033" w:hanging="567"/>
      </w:pPr>
      <w:rPr>
        <w:rFonts w:hint="default"/>
      </w:rPr>
    </w:lvl>
    <w:lvl w:ilvl="6" w:tplc="B2B8B2DE">
      <w:numFmt w:val="bullet"/>
      <w:lvlText w:val="•"/>
      <w:lvlJc w:val="left"/>
      <w:pPr>
        <w:ind w:left="5887" w:hanging="567"/>
      </w:pPr>
      <w:rPr>
        <w:rFonts w:hint="default"/>
      </w:rPr>
    </w:lvl>
    <w:lvl w:ilvl="7" w:tplc="6A3E259A">
      <w:numFmt w:val="bullet"/>
      <w:lvlText w:val="•"/>
      <w:lvlJc w:val="left"/>
      <w:pPr>
        <w:ind w:left="6742" w:hanging="567"/>
      </w:pPr>
      <w:rPr>
        <w:rFonts w:hint="default"/>
      </w:rPr>
    </w:lvl>
    <w:lvl w:ilvl="8" w:tplc="CC207998">
      <w:numFmt w:val="bullet"/>
      <w:lvlText w:val="•"/>
      <w:lvlJc w:val="left"/>
      <w:pPr>
        <w:ind w:left="7597" w:hanging="567"/>
      </w:pPr>
      <w:rPr>
        <w:rFonts w:hint="default"/>
      </w:rPr>
    </w:lvl>
  </w:abstractNum>
  <w:abstractNum w:abstractNumId="18" w15:restartNumberingAfterBreak="0">
    <w:nsid w:val="37562933"/>
    <w:multiLevelType w:val="hybridMultilevel"/>
    <w:tmpl w:val="6B38A8A0"/>
    <w:lvl w:ilvl="0" w:tplc="6ED69BB6">
      <w:start w:val="1"/>
      <w:numFmt w:val="decimal"/>
      <w:lvlText w:val="%1."/>
      <w:lvlJc w:val="left"/>
      <w:pPr>
        <w:ind w:left="785" w:hanging="567"/>
      </w:pPr>
      <w:rPr>
        <w:rFonts w:ascii="Times New Roman" w:eastAsia="Times New Roman" w:hAnsi="Times New Roman" w:cs="Times New Roman" w:hint="default"/>
        <w:w w:val="100"/>
        <w:sz w:val="22"/>
        <w:szCs w:val="22"/>
      </w:rPr>
    </w:lvl>
    <w:lvl w:ilvl="1" w:tplc="1B4EF6D4">
      <w:numFmt w:val="bullet"/>
      <w:lvlText w:val="•"/>
      <w:lvlJc w:val="left"/>
      <w:pPr>
        <w:ind w:left="1652" w:hanging="567"/>
      </w:pPr>
      <w:rPr>
        <w:rFonts w:hint="default"/>
      </w:rPr>
    </w:lvl>
    <w:lvl w:ilvl="2" w:tplc="EFC4C996">
      <w:numFmt w:val="bullet"/>
      <w:lvlText w:val="•"/>
      <w:lvlJc w:val="left"/>
      <w:pPr>
        <w:ind w:left="2525" w:hanging="567"/>
      </w:pPr>
      <w:rPr>
        <w:rFonts w:hint="default"/>
      </w:rPr>
    </w:lvl>
    <w:lvl w:ilvl="3" w:tplc="F380153A">
      <w:numFmt w:val="bullet"/>
      <w:lvlText w:val="•"/>
      <w:lvlJc w:val="left"/>
      <w:pPr>
        <w:ind w:left="3397" w:hanging="567"/>
      </w:pPr>
      <w:rPr>
        <w:rFonts w:hint="default"/>
      </w:rPr>
    </w:lvl>
    <w:lvl w:ilvl="4" w:tplc="97809A9C">
      <w:numFmt w:val="bullet"/>
      <w:lvlText w:val="•"/>
      <w:lvlJc w:val="left"/>
      <w:pPr>
        <w:ind w:left="4270" w:hanging="567"/>
      </w:pPr>
      <w:rPr>
        <w:rFonts w:hint="default"/>
      </w:rPr>
    </w:lvl>
    <w:lvl w:ilvl="5" w:tplc="BB9CF6E8">
      <w:numFmt w:val="bullet"/>
      <w:lvlText w:val="•"/>
      <w:lvlJc w:val="left"/>
      <w:pPr>
        <w:ind w:left="5143" w:hanging="567"/>
      </w:pPr>
      <w:rPr>
        <w:rFonts w:hint="default"/>
      </w:rPr>
    </w:lvl>
    <w:lvl w:ilvl="6" w:tplc="B986D91A">
      <w:numFmt w:val="bullet"/>
      <w:lvlText w:val="•"/>
      <w:lvlJc w:val="left"/>
      <w:pPr>
        <w:ind w:left="6015" w:hanging="567"/>
      </w:pPr>
      <w:rPr>
        <w:rFonts w:hint="default"/>
      </w:rPr>
    </w:lvl>
    <w:lvl w:ilvl="7" w:tplc="699AC24A">
      <w:numFmt w:val="bullet"/>
      <w:lvlText w:val="•"/>
      <w:lvlJc w:val="left"/>
      <w:pPr>
        <w:ind w:left="6888" w:hanging="567"/>
      </w:pPr>
      <w:rPr>
        <w:rFonts w:hint="default"/>
      </w:rPr>
    </w:lvl>
    <w:lvl w:ilvl="8" w:tplc="3F423106">
      <w:numFmt w:val="bullet"/>
      <w:lvlText w:val="•"/>
      <w:lvlJc w:val="left"/>
      <w:pPr>
        <w:ind w:left="7761" w:hanging="567"/>
      </w:pPr>
      <w:rPr>
        <w:rFonts w:hint="default"/>
      </w:rPr>
    </w:lvl>
  </w:abstractNum>
  <w:abstractNum w:abstractNumId="19" w15:restartNumberingAfterBreak="0">
    <w:nsid w:val="37754B26"/>
    <w:multiLevelType w:val="hybridMultilevel"/>
    <w:tmpl w:val="7BDE51D0"/>
    <w:lvl w:ilvl="0" w:tplc="047EA87C">
      <w:numFmt w:val="bullet"/>
      <w:lvlText w:val="-"/>
      <w:lvlJc w:val="left"/>
      <w:pPr>
        <w:ind w:left="758" w:hanging="483"/>
      </w:pPr>
      <w:rPr>
        <w:rFonts w:ascii="Times New Roman" w:eastAsia="Times New Roman" w:hAnsi="Times New Roman" w:cs="Times New Roman" w:hint="default"/>
        <w:w w:val="100"/>
        <w:sz w:val="22"/>
        <w:szCs w:val="22"/>
      </w:rPr>
    </w:lvl>
    <w:lvl w:ilvl="1" w:tplc="153E2D9C">
      <w:numFmt w:val="bullet"/>
      <w:lvlText w:val="•"/>
      <w:lvlJc w:val="left"/>
      <w:pPr>
        <w:ind w:left="1634" w:hanging="483"/>
      </w:pPr>
      <w:rPr>
        <w:rFonts w:hint="default"/>
      </w:rPr>
    </w:lvl>
    <w:lvl w:ilvl="2" w:tplc="03EE1C96">
      <w:numFmt w:val="bullet"/>
      <w:lvlText w:val="•"/>
      <w:lvlJc w:val="left"/>
      <w:pPr>
        <w:ind w:left="2509" w:hanging="483"/>
      </w:pPr>
      <w:rPr>
        <w:rFonts w:hint="default"/>
      </w:rPr>
    </w:lvl>
    <w:lvl w:ilvl="3" w:tplc="F6720C70">
      <w:numFmt w:val="bullet"/>
      <w:lvlText w:val="•"/>
      <w:lvlJc w:val="left"/>
      <w:pPr>
        <w:ind w:left="3383" w:hanging="483"/>
      </w:pPr>
      <w:rPr>
        <w:rFonts w:hint="default"/>
      </w:rPr>
    </w:lvl>
    <w:lvl w:ilvl="4" w:tplc="83BEA714">
      <w:numFmt w:val="bullet"/>
      <w:lvlText w:val="•"/>
      <w:lvlJc w:val="left"/>
      <w:pPr>
        <w:ind w:left="4258" w:hanging="483"/>
      </w:pPr>
      <w:rPr>
        <w:rFonts w:hint="default"/>
      </w:rPr>
    </w:lvl>
    <w:lvl w:ilvl="5" w:tplc="2E2E27EC">
      <w:numFmt w:val="bullet"/>
      <w:lvlText w:val="•"/>
      <w:lvlJc w:val="left"/>
      <w:pPr>
        <w:ind w:left="5133" w:hanging="483"/>
      </w:pPr>
      <w:rPr>
        <w:rFonts w:hint="default"/>
      </w:rPr>
    </w:lvl>
    <w:lvl w:ilvl="6" w:tplc="F7980DBA">
      <w:numFmt w:val="bullet"/>
      <w:lvlText w:val="•"/>
      <w:lvlJc w:val="left"/>
      <w:pPr>
        <w:ind w:left="6007" w:hanging="483"/>
      </w:pPr>
      <w:rPr>
        <w:rFonts w:hint="default"/>
      </w:rPr>
    </w:lvl>
    <w:lvl w:ilvl="7" w:tplc="D53CF582">
      <w:numFmt w:val="bullet"/>
      <w:lvlText w:val="•"/>
      <w:lvlJc w:val="left"/>
      <w:pPr>
        <w:ind w:left="6882" w:hanging="483"/>
      </w:pPr>
      <w:rPr>
        <w:rFonts w:hint="default"/>
      </w:rPr>
    </w:lvl>
    <w:lvl w:ilvl="8" w:tplc="06FC351A">
      <w:numFmt w:val="bullet"/>
      <w:lvlText w:val="•"/>
      <w:lvlJc w:val="left"/>
      <w:pPr>
        <w:ind w:left="7757" w:hanging="483"/>
      </w:pPr>
      <w:rPr>
        <w:rFonts w:hint="default"/>
      </w:rPr>
    </w:lvl>
  </w:abstractNum>
  <w:abstractNum w:abstractNumId="20" w15:restartNumberingAfterBreak="0">
    <w:nsid w:val="3F4F7871"/>
    <w:multiLevelType w:val="hybridMultilevel"/>
    <w:tmpl w:val="B6EAA4A0"/>
    <w:lvl w:ilvl="0" w:tplc="25A240C8">
      <w:start w:val="6"/>
      <w:numFmt w:val="decimal"/>
      <w:lvlText w:val="%1."/>
      <w:lvlJc w:val="left"/>
      <w:pPr>
        <w:ind w:left="113" w:hanging="221"/>
      </w:pPr>
      <w:rPr>
        <w:rFonts w:ascii="Times New Roman" w:eastAsia="Times New Roman" w:hAnsi="Times New Roman" w:cs="Times New Roman" w:hint="default"/>
        <w:w w:val="100"/>
        <w:sz w:val="22"/>
        <w:szCs w:val="22"/>
      </w:rPr>
    </w:lvl>
    <w:lvl w:ilvl="1" w:tplc="A1C46F5C">
      <w:numFmt w:val="bullet"/>
      <w:lvlText w:val="•"/>
      <w:lvlJc w:val="left"/>
      <w:pPr>
        <w:ind w:left="729" w:hanging="221"/>
      </w:pPr>
      <w:rPr>
        <w:rFonts w:hint="default"/>
      </w:rPr>
    </w:lvl>
    <w:lvl w:ilvl="2" w:tplc="9558E938">
      <w:numFmt w:val="bullet"/>
      <w:lvlText w:val="•"/>
      <w:lvlJc w:val="left"/>
      <w:pPr>
        <w:ind w:left="1339" w:hanging="221"/>
      </w:pPr>
      <w:rPr>
        <w:rFonts w:hint="default"/>
      </w:rPr>
    </w:lvl>
    <w:lvl w:ilvl="3" w:tplc="93361866">
      <w:numFmt w:val="bullet"/>
      <w:lvlText w:val="•"/>
      <w:lvlJc w:val="left"/>
      <w:pPr>
        <w:ind w:left="1949" w:hanging="221"/>
      </w:pPr>
      <w:rPr>
        <w:rFonts w:hint="default"/>
      </w:rPr>
    </w:lvl>
    <w:lvl w:ilvl="4" w:tplc="40A67702">
      <w:numFmt w:val="bullet"/>
      <w:lvlText w:val="•"/>
      <w:lvlJc w:val="left"/>
      <w:pPr>
        <w:ind w:left="2559" w:hanging="221"/>
      </w:pPr>
      <w:rPr>
        <w:rFonts w:hint="default"/>
      </w:rPr>
    </w:lvl>
    <w:lvl w:ilvl="5" w:tplc="2AC63DA0">
      <w:numFmt w:val="bullet"/>
      <w:lvlText w:val="•"/>
      <w:lvlJc w:val="left"/>
      <w:pPr>
        <w:ind w:left="3169" w:hanging="221"/>
      </w:pPr>
      <w:rPr>
        <w:rFonts w:hint="default"/>
      </w:rPr>
    </w:lvl>
    <w:lvl w:ilvl="6" w:tplc="787A66E8">
      <w:numFmt w:val="bullet"/>
      <w:lvlText w:val="•"/>
      <w:lvlJc w:val="left"/>
      <w:pPr>
        <w:ind w:left="3779" w:hanging="221"/>
      </w:pPr>
      <w:rPr>
        <w:rFonts w:hint="default"/>
      </w:rPr>
    </w:lvl>
    <w:lvl w:ilvl="7" w:tplc="50F4257E">
      <w:numFmt w:val="bullet"/>
      <w:lvlText w:val="•"/>
      <w:lvlJc w:val="left"/>
      <w:pPr>
        <w:ind w:left="4389" w:hanging="221"/>
      </w:pPr>
      <w:rPr>
        <w:rFonts w:hint="default"/>
      </w:rPr>
    </w:lvl>
    <w:lvl w:ilvl="8" w:tplc="D16EE7C6">
      <w:numFmt w:val="bullet"/>
      <w:lvlText w:val="•"/>
      <w:lvlJc w:val="left"/>
      <w:pPr>
        <w:ind w:left="4999" w:hanging="221"/>
      </w:pPr>
      <w:rPr>
        <w:rFonts w:hint="default"/>
      </w:rPr>
    </w:lvl>
  </w:abstractNum>
  <w:abstractNum w:abstractNumId="21" w15:restartNumberingAfterBreak="0">
    <w:nsid w:val="40B765BD"/>
    <w:multiLevelType w:val="multilevel"/>
    <w:tmpl w:val="B1ACB9BC"/>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1751" w:hanging="567"/>
      </w:pPr>
      <w:rPr>
        <w:rFonts w:hint="default"/>
      </w:rPr>
    </w:lvl>
    <w:lvl w:ilvl="3">
      <w:numFmt w:val="bullet"/>
      <w:lvlText w:val="•"/>
      <w:lvlJc w:val="left"/>
      <w:pPr>
        <w:ind w:left="2683" w:hanging="567"/>
      </w:pPr>
      <w:rPr>
        <w:rFonts w:hint="default"/>
      </w:rPr>
    </w:lvl>
    <w:lvl w:ilvl="4">
      <w:numFmt w:val="bullet"/>
      <w:lvlText w:val="•"/>
      <w:lvlJc w:val="left"/>
      <w:pPr>
        <w:ind w:left="3615" w:hanging="567"/>
      </w:pPr>
      <w:rPr>
        <w:rFonts w:hint="default"/>
      </w:rPr>
    </w:lvl>
    <w:lvl w:ilvl="5">
      <w:numFmt w:val="bullet"/>
      <w:lvlText w:val="•"/>
      <w:lvlJc w:val="left"/>
      <w:pPr>
        <w:ind w:left="4547" w:hanging="567"/>
      </w:pPr>
      <w:rPr>
        <w:rFonts w:hint="default"/>
      </w:rPr>
    </w:lvl>
    <w:lvl w:ilvl="6">
      <w:numFmt w:val="bullet"/>
      <w:lvlText w:val="•"/>
      <w:lvlJc w:val="left"/>
      <w:pPr>
        <w:ind w:left="5479" w:hanging="567"/>
      </w:pPr>
      <w:rPr>
        <w:rFonts w:hint="default"/>
      </w:rPr>
    </w:lvl>
    <w:lvl w:ilvl="7">
      <w:numFmt w:val="bullet"/>
      <w:lvlText w:val="•"/>
      <w:lvlJc w:val="left"/>
      <w:pPr>
        <w:ind w:left="6410" w:hanging="567"/>
      </w:pPr>
      <w:rPr>
        <w:rFonts w:hint="default"/>
      </w:rPr>
    </w:lvl>
    <w:lvl w:ilvl="8">
      <w:numFmt w:val="bullet"/>
      <w:lvlText w:val="•"/>
      <w:lvlJc w:val="left"/>
      <w:pPr>
        <w:ind w:left="7342" w:hanging="567"/>
      </w:pPr>
      <w:rPr>
        <w:rFonts w:hint="default"/>
      </w:rPr>
    </w:lvl>
  </w:abstractNum>
  <w:abstractNum w:abstractNumId="22" w15:restartNumberingAfterBreak="0">
    <w:nsid w:val="4411107D"/>
    <w:multiLevelType w:val="hybridMultilevel"/>
    <w:tmpl w:val="9E6E74BE"/>
    <w:lvl w:ilvl="0" w:tplc="0A4456AA">
      <w:numFmt w:val="bullet"/>
      <w:lvlText w:val=""/>
      <w:lvlJc w:val="left"/>
      <w:pPr>
        <w:ind w:left="561" w:hanging="459"/>
      </w:pPr>
      <w:rPr>
        <w:rFonts w:ascii="Symbol" w:eastAsia="Symbol" w:hAnsi="Symbol" w:cs="Symbol" w:hint="default"/>
        <w:w w:val="100"/>
        <w:sz w:val="22"/>
        <w:szCs w:val="22"/>
      </w:rPr>
    </w:lvl>
    <w:lvl w:ilvl="1" w:tplc="3D5E963A">
      <w:numFmt w:val="bullet"/>
      <w:lvlText w:val="•"/>
      <w:lvlJc w:val="left"/>
      <w:pPr>
        <w:ind w:left="1254" w:hanging="459"/>
      </w:pPr>
      <w:rPr>
        <w:rFonts w:hint="default"/>
      </w:rPr>
    </w:lvl>
    <w:lvl w:ilvl="2" w:tplc="D1D8EA6E">
      <w:numFmt w:val="bullet"/>
      <w:lvlText w:val="•"/>
      <w:lvlJc w:val="left"/>
      <w:pPr>
        <w:ind w:left="1948" w:hanging="459"/>
      </w:pPr>
      <w:rPr>
        <w:rFonts w:hint="default"/>
      </w:rPr>
    </w:lvl>
    <w:lvl w:ilvl="3" w:tplc="202A344C">
      <w:numFmt w:val="bullet"/>
      <w:lvlText w:val="•"/>
      <w:lvlJc w:val="left"/>
      <w:pPr>
        <w:ind w:left="2643" w:hanging="459"/>
      </w:pPr>
      <w:rPr>
        <w:rFonts w:hint="default"/>
      </w:rPr>
    </w:lvl>
    <w:lvl w:ilvl="4" w:tplc="D152B36A">
      <w:numFmt w:val="bullet"/>
      <w:lvlText w:val="•"/>
      <w:lvlJc w:val="left"/>
      <w:pPr>
        <w:ind w:left="3337" w:hanging="459"/>
      </w:pPr>
      <w:rPr>
        <w:rFonts w:hint="default"/>
      </w:rPr>
    </w:lvl>
    <w:lvl w:ilvl="5" w:tplc="701EB11A">
      <w:numFmt w:val="bullet"/>
      <w:lvlText w:val="•"/>
      <w:lvlJc w:val="left"/>
      <w:pPr>
        <w:ind w:left="4032" w:hanging="459"/>
      </w:pPr>
      <w:rPr>
        <w:rFonts w:hint="default"/>
      </w:rPr>
    </w:lvl>
    <w:lvl w:ilvl="6" w:tplc="AD22A5FE">
      <w:numFmt w:val="bullet"/>
      <w:lvlText w:val="•"/>
      <w:lvlJc w:val="left"/>
      <w:pPr>
        <w:ind w:left="4726" w:hanging="459"/>
      </w:pPr>
      <w:rPr>
        <w:rFonts w:hint="default"/>
      </w:rPr>
    </w:lvl>
    <w:lvl w:ilvl="7" w:tplc="A11C5B44">
      <w:numFmt w:val="bullet"/>
      <w:lvlText w:val="•"/>
      <w:lvlJc w:val="left"/>
      <w:pPr>
        <w:ind w:left="5420" w:hanging="459"/>
      </w:pPr>
      <w:rPr>
        <w:rFonts w:hint="default"/>
      </w:rPr>
    </w:lvl>
    <w:lvl w:ilvl="8" w:tplc="D2D8699E">
      <w:numFmt w:val="bullet"/>
      <w:lvlText w:val="•"/>
      <w:lvlJc w:val="left"/>
      <w:pPr>
        <w:ind w:left="6115" w:hanging="459"/>
      </w:pPr>
      <w:rPr>
        <w:rFonts w:hint="default"/>
      </w:rPr>
    </w:lvl>
  </w:abstractNum>
  <w:abstractNum w:abstractNumId="23" w15:restartNumberingAfterBreak="0">
    <w:nsid w:val="482C02AF"/>
    <w:multiLevelType w:val="hybridMultilevel"/>
    <w:tmpl w:val="5ED8F6C4"/>
    <w:lvl w:ilvl="0" w:tplc="87229960">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98BE3CD8">
      <w:start w:val="1"/>
      <w:numFmt w:val="upperLetter"/>
      <w:lvlText w:val="%2."/>
      <w:lvlJc w:val="left"/>
      <w:pPr>
        <w:ind w:left="2832" w:hanging="269"/>
        <w:jc w:val="right"/>
      </w:pPr>
      <w:rPr>
        <w:rFonts w:ascii="Times New Roman" w:eastAsia="Times New Roman" w:hAnsi="Times New Roman" w:cs="Times New Roman" w:hint="default"/>
        <w:b/>
        <w:bCs/>
        <w:spacing w:val="-2"/>
        <w:w w:val="100"/>
        <w:sz w:val="22"/>
        <w:szCs w:val="22"/>
      </w:rPr>
    </w:lvl>
    <w:lvl w:ilvl="2" w:tplc="A25AEDA4">
      <w:numFmt w:val="bullet"/>
      <w:lvlText w:val="•"/>
      <w:lvlJc w:val="left"/>
      <w:pPr>
        <w:ind w:left="3474" w:hanging="269"/>
      </w:pPr>
      <w:rPr>
        <w:rFonts w:hint="default"/>
      </w:rPr>
    </w:lvl>
    <w:lvl w:ilvl="3" w:tplc="29ECCB16">
      <w:numFmt w:val="bullet"/>
      <w:lvlText w:val="•"/>
      <w:lvlJc w:val="left"/>
      <w:pPr>
        <w:ind w:left="4108" w:hanging="269"/>
      </w:pPr>
      <w:rPr>
        <w:rFonts w:hint="default"/>
      </w:rPr>
    </w:lvl>
    <w:lvl w:ilvl="4" w:tplc="B6F2DF96">
      <w:numFmt w:val="bullet"/>
      <w:lvlText w:val="•"/>
      <w:lvlJc w:val="left"/>
      <w:pPr>
        <w:ind w:left="4742" w:hanging="269"/>
      </w:pPr>
      <w:rPr>
        <w:rFonts w:hint="default"/>
      </w:rPr>
    </w:lvl>
    <w:lvl w:ilvl="5" w:tplc="129A0492">
      <w:numFmt w:val="bullet"/>
      <w:lvlText w:val="•"/>
      <w:lvlJc w:val="left"/>
      <w:pPr>
        <w:ind w:left="5376" w:hanging="269"/>
      </w:pPr>
      <w:rPr>
        <w:rFonts w:hint="default"/>
      </w:rPr>
    </w:lvl>
    <w:lvl w:ilvl="6" w:tplc="A37AE7EE">
      <w:numFmt w:val="bullet"/>
      <w:lvlText w:val="•"/>
      <w:lvlJc w:val="left"/>
      <w:pPr>
        <w:ind w:left="6010" w:hanging="269"/>
      </w:pPr>
      <w:rPr>
        <w:rFonts w:hint="default"/>
      </w:rPr>
    </w:lvl>
    <w:lvl w:ilvl="7" w:tplc="3524F0BA">
      <w:numFmt w:val="bullet"/>
      <w:lvlText w:val="•"/>
      <w:lvlJc w:val="left"/>
      <w:pPr>
        <w:ind w:left="6644" w:hanging="269"/>
      </w:pPr>
      <w:rPr>
        <w:rFonts w:hint="default"/>
      </w:rPr>
    </w:lvl>
    <w:lvl w:ilvl="8" w:tplc="CFC432D6">
      <w:numFmt w:val="bullet"/>
      <w:lvlText w:val="•"/>
      <w:lvlJc w:val="left"/>
      <w:pPr>
        <w:ind w:left="7278" w:hanging="269"/>
      </w:pPr>
      <w:rPr>
        <w:rFonts w:hint="default"/>
      </w:rPr>
    </w:lvl>
  </w:abstractNum>
  <w:abstractNum w:abstractNumId="24" w15:restartNumberingAfterBreak="0">
    <w:nsid w:val="48314AF0"/>
    <w:multiLevelType w:val="hybridMultilevel"/>
    <w:tmpl w:val="415E04EE"/>
    <w:lvl w:ilvl="0" w:tplc="A08A6076">
      <w:start w:val="1"/>
      <w:numFmt w:val="upperLetter"/>
      <w:lvlText w:val="%1."/>
      <w:lvlJc w:val="left"/>
      <w:pPr>
        <w:ind w:left="1440" w:hanging="569"/>
      </w:pPr>
      <w:rPr>
        <w:rFonts w:ascii="Times New Roman" w:eastAsia="Times New Roman" w:hAnsi="Times New Roman" w:cs="Times New Roman" w:hint="default"/>
        <w:b/>
        <w:bCs/>
        <w:spacing w:val="-1"/>
        <w:w w:val="100"/>
        <w:sz w:val="22"/>
        <w:szCs w:val="22"/>
      </w:rPr>
    </w:lvl>
    <w:lvl w:ilvl="1" w:tplc="2D346BE2">
      <w:numFmt w:val="bullet"/>
      <w:lvlText w:val="•"/>
      <w:lvlJc w:val="left"/>
      <w:pPr>
        <w:ind w:left="2150" w:hanging="569"/>
      </w:pPr>
      <w:rPr>
        <w:rFonts w:hint="default"/>
      </w:rPr>
    </w:lvl>
    <w:lvl w:ilvl="2" w:tplc="1818A3DE">
      <w:numFmt w:val="bullet"/>
      <w:lvlText w:val="•"/>
      <w:lvlJc w:val="left"/>
      <w:pPr>
        <w:ind w:left="2861" w:hanging="569"/>
      </w:pPr>
      <w:rPr>
        <w:rFonts w:hint="default"/>
      </w:rPr>
    </w:lvl>
    <w:lvl w:ilvl="3" w:tplc="03089F5E">
      <w:numFmt w:val="bullet"/>
      <w:lvlText w:val="•"/>
      <w:lvlJc w:val="left"/>
      <w:pPr>
        <w:ind w:left="3571" w:hanging="569"/>
      </w:pPr>
      <w:rPr>
        <w:rFonts w:hint="default"/>
      </w:rPr>
    </w:lvl>
    <w:lvl w:ilvl="4" w:tplc="41469ABC">
      <w:numFmt w:val="bullet"/>
      <w:lvlText w:val="•"/>
      <w:lvlJc w:val="left"/>
      <w:pPr>
        <w:ind w:left="4282" w:hanging="569"/>
      </w:pPr>
      <w:rPr>
        <w:rFonts w:hint="default"/>
      </w:rPr>
    </w:lvl>
    <w:lvl w:ilvl="5" w:tplc="AFB67358">
      <w:numFmt w:val="bullet"/>
      <w:lvlText w:val="•"/>
      <w:lvlJc w:val="left"/>
      <w:pPr>
        <w:ind w:left="4993" w:hanging="569"/>
      </w:pPr>
      <w:rPr>
        <w:rFonts w:hint="default"/>
      </w:rPr>
    </w:lvl>
    <w:lvl w:ilvl="6" w:tplc="6A9C5BB4">
      <w:numFmt w:val="bullet"/>
      <w:lvlText w:val="•"/>
      <w:lvlJc w:val="left"/>
      <w:pPr>
        <w:ind w:left="5703" w:hanging="569"/>
      </w:pPr>
      <w:rPr>
        <w:rFonts w:hint="default"/>
      </w:rPr>
    </w:lvl>
    <w:lvl w:ilvl="7" w:tplc="905A4956">
      <w:numFmt w:val="bullet"/>
      <w:lvlText w:val="•"/>
      <w:lvlJc w:val="left"/>
      <w:pPr>
        <w:ind w:left="6414" w:hanging="569"/>
      </w:pPr>
      <w:rPr>
        <w:rFonts w:hint="default"/>
      </w:rPr>
    </w:lvl>
    <w:lvl w:ilvl="8" w:tplc="BEB83842">
      <w:numFmt w:val="bullet"/>
      <w:lvlText w:val="•"/>
      <w:lvlJc w:val="left"/>
      <w:pPr>
        <w:ind w:left="7125" w:hanging="569"/>
      </w:pPr>
      <w:rPr>
        <w:rFonts w:hint="default"/>
      </w:rPr>
    </w:lvl>
  </w:abstractNum>
  <w:abstractNum w:abstractNumId="25" w15:restartNumberingAfterBreak="0">
    <w:nsid w:val="5153235A"/>
    <w:multiLevelType w:val="hybridMultilevel"/>
    <w:tmpl w:val="CA7ED0A8"/>
    <w:lvl w:ilvl="0" w:tplc="3A4CC144">
      <w:start w:val="7"/>
      <w:numFmt w:val="decimal"/>
      <w:lvlText w:val="%1."/>
      <w:lvlJc w:val="left"/>
      <w:pPr>
        <w:ind w:left="685" w:hanging="567"/>
      </w:pPr>
      <w:rPr>
        <w:rFonts w:ascii="Times New Roman" w:eastAsia="Times New Roman" w:hAnsi="Times New Roman" w:cs="Times New Roman" w:hint="default"/>
        <w:b/>
        <w:bCs/>
        <w:w w:val="100"/>
        <w:sz w:val="22"/>
        <w:szCs w:val="22"/>
      </w:rPr>
    </w:lvl>
    <w:lvl w:ilvl="1" w:tplc="C024D6A4">
      <w:numFmt w:val="bullet"/>
      <w:lvlText w:val="•"/>
      <w:lvlJc w:val="left"/>
      <w:pPr>
        <w:ind w:left="1540" w:hanging="567"/>
      </w:pPr>
      <w:rPr>
        <w:rFonts w:hint="default"/>
      </w:rPr>
    </w:lvl>
    <w:lvl w:ilvl="2" w:tplc="F8BA90B0">
      <w:numFmt w:val="bullet"/>
      <w:lvlText w:val="•"/>
      <w:lvlJc w:val="left"/>
      <w:pPr>
        <w:ind w:left="2401" w:hanging="567"/>
      </w:pPr>
      <w:rPr>
        <w:rFonts w:hint="default"/>
      </w:rPr>
    </w:lvl>
    <w:lvl w:ilvl="3" w:tplc="57D858E0">
      <w:numFmt w:val="bullet"/>
      <w:lvlText w:val="•"/>
      <w:lvlJc w:val="left"/>
      <w:pPr>
        <w:ind w:left="3261" w:hanging="567"/>
      </w:pPr>
      <w:rPr>
        <w:rFonts w:hint="default"/>
      </w:rPr>
    </w:lvl>
    <w:lvl w:ilvl="4" w:tplc="DB1439B6">
      <w:numFmt w:val="bullet"/>
      <w:lvlText w:val="•"/>
      <w:lvlJc w:val="left"/>
      <w:pPr>
        <w:ind w:left="4122" w:hanging="567"/>
      </w:pPr>
      <w:rPr>
        <w:rFonts w:hint="default"/>
      </w:rPr>
    </w:lvl>
    <w:lvl w:ilvl="5" w:tplc="805CCCD6">
      <w:numFmt w:val="bullet"/>
      <w:lvlText w:val="•"/>
      <w:lvlJc w:val="left"/>
      <w:pPr>
        <w:ind w:left="4983" w:hanging="567"/>
      </w:pPr>
      <w:rPr>
        <w:rFonts w:hint="default"/>
      </w:rPr>
    </w:lvl>
    <w:lvl w:ilvl="6" w:tplc="C6E266B8">
      <w:numFmt w:val="bullet"/>
      <w:lvlText w:val="•"/>
      <w:lvlJc w:val="left"/>
      <w:pPr>
        <w:ind w:left="5843" w:hanging="567"/>
      </w:pPr>
      <w:rPr>
        <w:rFonts w:hint="default"/>
      </w:rPr>
    </w:lvl>
    <w:lvl w:ilvl="7" w:tplc="F6524778">
      <w:numFmt w:val="bullet"/>
      <w:lvlText w:val="•"/>
      <w:lvlJc w:val="left"/>
      <w:pPr>
        <w:ind w:left="6704" w:hanging="567"/>
      </w:pPr>
      <w:rPr>
        <w:rFonts w:hint="default"/>
      </w:rPr>
    </w:lvl>
    <w:lvl w:ilvl="8" w:tplc="4104ADC6">
      <w:numFmt w:val="bullet"/>
      <w:lvlText w:val="•"/>
      <w:lvlJc w:val="left"/>
      <w:pPr>
        <w:ind w:left="7565" w:hanging="567"/>
      </w:pPr>
      <w:rPr>
        <w:rFonts w:hint="default"/>
      </w:rPr>
    </w:lvl>
  </w:abstractNum>
  <w:abstractNum w:abstractNumId="26" w15:restartNumberingAfterBreak="0">
    <w:nsid w:val="54307DC4"/>
    <w:multiLevelType w:val="hybridMultilevel"/>
    <w:tmpl w:val="35E4B408"/>
    <w:lvl w:ilvl="0" w:tplc="31EA5DE4">
      <w:numFmt w:val="bullet"/>
      <w:lvlText w:val=""/>
      <w:lvlJc w:val="left"/>
      <w:pPr>
        <w:ind w:left="685" w:hanging="567"/>
      </w:pPr>
      <w:rPr>
        <w:rFonts w:ascii="Symbol" w:eastAsia="Symbol" w:hAnsi="Symbol" w:cs="Symbol" w:hint="default"/>
        <w:w w:val="100"/>
        <w:sz w:val="22"/>
        <w:szCs w:val="22"/>
      </w:rPr>
    </w:lvl>
    <w:lvl w:ilvl="1" w:tplc="46827918">
      <w:numFmt w:val="bullet"/>
      <w:lvlText w:val="•"/>
      <w:lvlJc w:val="left"/>
      <w:pPr>
        <w:ind w:left="1532" w:hanging="567"/>
      </w:pPr>
      <w:rPr>
        <w:rFonts w:hint="default"/>
      </w:rPr>
    </w:lvl>
    <w:lvl w:ilvl="2" w:tplc="12A80C10">
      <w:numFmt w:val="bullet"/>
      <w:lvlText w:val="•"/>
      <w:lvlJc w:val="left"/>
      <w:pPr>
        <w:ind w:left="2385" w:hanging="567"/>
      </w:pPr>
      <w:rPr>
        <w:rFonts w:hint="default"/>
      </w:rPr>
    </w:lvl>
    <w:lvl w:ilvl="3" w:tplc="333C0C70">
      <w:numFmt w:val="bullet"/>
      <w:lvlText w:val="•"/>
      <w:lvlJc w:val="left"/>
      <w:pPr>
        <w:ind w:left="3237" w:hanging="567"/>
      </w:pPr>
      <w:rPr>
        <w:rFonts w:hint="default"/>
      </w:rPr>
    </w:lvl>
    <w:lvl w:ilvl="4" w:tplc="A1724036">
      <w:numFmt w:val="bullet"/>
      <w:lvlText w:val="•"/>
      <w:lvlJc w:val="left"/>
      <w:pPr>
        <w:ind w:left="4090" w:hanging="567"/>
      </w:pPr>
      <w:rPr>
        <w:rFonts w:hint="default"/>
      </w:rPr>
    </w:lvl>
    <w:lvl w:ilvl="5" w:tplc="ABE88958">
      <w:numFmt w:val="bullet"/>
      <w:lvlText w:val="•"/>
      <w:lvlJc w:val="left"/>
      <w:pPr>
        <w:ind w:left="4943" w:hanging="567"/>
      </w:pPr>
      <w:rPr>
        <w:rFonts w:hint="default"/>
      </w:rPr>
    </w:lvl>
    <w:lvl w:ilvl="6" w:tplc="75BC2BD8">
      <w:numFmt w:val="bullet"/>
      <w:lvlText w:val="•"/>
      <w:lvlJc w:val="left"/>
      <w:pPr>
        <w:ind w:left="5795" w:hanging="567"/>
      </w:pPr>
      <w:rPr>
        <w:rFonts w:hint="default"/>
      </w:rPr>
    </w:lvl>
    <w:lvl w:ilvl="7" w:tplc="5B88D168">
      <w:numFmt w:val="bullet"/>
      <w:lvlText w:val="•"/>
      <w:lvlJc w:val="left"/>
      <w:pPr>
        <w:ind w:left="6648" w:hanging="567"/>
      </w:pPr>
      <w:rPr>
        <w:rFonts w:hint="default"/>
      </w:rPr>
    </w:lvl>
    <w:lvl w:ilvl="8" w:tplc="437C5FE0">
      <w:numFmt w:val="bullet"/>
      <w:lvlText w:val="•"/>
      <w:lvlJc w:val="left"/>
      <w:pPr>
        <w:ind w:left="7501" w:hanging="567"/>
      </w:pPr>
      <w:rPr>
        <w:rFonts w:hint="default"/>
      </w:rPr>
    </w:lvl>
  </w:abstractNum>
  <w:abstractNum w:abstractNumId="27" w15:restartNumberingAfterBreak="0">
    <w:nsid w:val="57CE5139"/>
    <w:multiLevelType w:val="hybridMultilevel"/>
    <w:tmpl w:val="86C84C14"/>
    <w:lvl w:ilvl="0" w:tplc="11F43CD4">
      <w:start w:val="5"/>
      <w:numFmt w:val="decimal"/>
      <w:lvlText w:val="%1."/>
      <w:lvlJc w:val="left"/>
      <w:pPr>
        <w:ind w:left="561" w:hanging="459"/>
      </w:pPr>
      <w:rPr>
        <w:rFonts w:ascii="Times New Roman" w:eastAsia="Times New Roman" w:hAnsi="Times New Roman" w:cs="Times New Roman" w:hint="default"/>
        <w:w w:val="100"/>
        <w:sz w:val="22"/>
        <w:szCs w:val="22"/>
      </w:rPr>
    </w:lvl>
    <w:lvl w:ilvl="1" w:tplc="DD64FBF6">
      <w:numFmt w:val="bullet"/>
      <w:lvlText w:val="•"/>
      <w:lvlJc w:val="left"/>
      <w:pPr>
        <w:ind w:left="942" w:hanging="459"/>
      </w:pPr>
      <w:rPr>
        <w:rFonts w:hint="default"/>
      </w:rPr>
    </w:lvl>
    <w:lvl w:ilvl="2" w:tplc="CB4E1570">
      <w:numFmt w:val="bullet"/>
      <w:lvlText w:val="•"/>
      <w:lvlJc w:val="left"/>
      <w:pPr>
        <w:ind w:left="1325" w:hanging="459"/>
      </w:pPr>
      <w:rPr>
        <w:rFonts w:hint="default"/>
      </w:rPr>
    </w:lvl>
    <w:lvl w:ilvl="3" w:tplc="DC0EA5AE">
      <w:numFmt w:val="bullet"/>
      <w:lvlText w:val="•"/>
      <w:lvlJc w:val="left"/>
      <w:pPr>
        <w:ind w:left="1707" w:hanging="459"/>
      </w:pPr>
      <w:rPr>
        <w:rFonts w:hint="default"/>
      </w:rPr>
    </w:lvl>
    <w:lvl w:ilvl="4" w:tplc="AE7C376E">
      <w:numFmt w:val="bullet"/>
      <w:lvlText w:val="•"/>
      <w:lvlJc w:val="left"/>
      <w:pPr>
        <w:ind w:left="2090" w:hanging="459"/>
      </w:pPr>
      <w:rPr>
        <w:rFonts w:hint="default"/>
      </w:rPr>
    </w:lvl>
    <w:lvl w:ilvl="5" w:tplc="00CA9950">
      <w:numFmt w:val="bullet"/>
      <w:lvlText w:val="•"/>
      <w:lvlJc w:val="left"/>
      <w:pPr>
        <w:ind w:left="2472" w:hanging="459"/>
      </w:pPr>
      <w:rPr>
        <w:rFonts w:hint="default"/>
      </w:rPr>
    </w:lvl>
    <w:lvl w:ilvl="6" w:tplc="3766BE14">
      <w:numFmt w:val="bullet"/>
      <w:lvlText w:val="•"/>
      <w:lvlJc w:val="left"/>
      <w:pPr>
        <w:ind w:left="2855" w:hanging="459"/>
      </w:pPr>
      <w:rPr>
        <w:rFonts w:hint="default"/>
      </w:rPr>
    </w:lvl>
    <w:lvl w:ilvl="7" w:tplc="951A95FC">
      <w:numFmt w:val="bullet"/>
      <w:lvlText w:val="•"/>
      <w:lvlJc w:val="left"/>
      <w:pPr>
        <w:ind w:left="3238" w:hanging="459"/>
      </w:pPr>
      <w:rPr>
        <w:rFonts w:hint="default"/>
      </w:rPr>
    </w:lvl>
    <w:lvl w:ilvl="8" w:tplc="7FCE9932">
      <w:numFmt w:val="bullet"/>
      <w:lvlText w:val="•"/>
      <w:lvlJc w:val="left"/>
      <w:pPr>
        <w:ind w:left="3620" w:hanging="459"/>
      </w:pPr>
      <w:rPr>
        <w:rFonts w:hint="default"/>
      </w:rPr>
    </w:lvl>
  </w:abstractNum>
  <w:abstractNum w:abstractNumId="28" w15:restartNumberingAfterBreak="0">
    <w:nsid w:val="596B1EDD"/>
    <w:multiLevelType w:val="hybridMultilevel"/>
    <w:tmpl w:val="8BD0433E"/>
    <w:lvl w:ilvl="0" w:tplc="013E1C5C">
      <w:start w:val="12"/>
      <w:numFmt w:val="decimal"/>
      <w:lvlText w:val="%1."/>
      <w:lvlJc w:val="left"/>
      <w:pPr>
        <w:ind w:left="561" w:hanging="459"/>
      </w:pPr>
      <w:rPr>
        <w:rFonts w:ascii="Times New Roman" w:eastAsia="Times New Roman" w:hAnsi="Times New Roman" w:cs="Times New Roman" w:hint="default"/>
        <w:w w:val="100"/>
        <w:sz w:val="22"/>
        <w:szCs w:val="22"/>
      </w:rPr>
    </w:lvl>
    <w:lvl w:ilvl="1" w:tplc="3AD45BD6">
      <w:numFmt w:val="bullet"/>
      <w:lvlText w:val="•"/>
      <w:lvlJc w:val="left"/>
      <w:pPr>
        <w:ind w:left="1254" w:hanging="459"/>
      </w:pPr>
      <w:rPr>
        <w:rFonts w:hint="default"/>
      </w:rPr>
    </w:lvl>
    <w:lvl w:ilvl="2" w:tplc="933A82F6">
      <w:numFmt w:val="bullet"/>
      <w:lvlText w:val="•"/>
      <w:lvlJc w:val="left"/>
      <w:pPr>
        <w:ind w:left="1948" w:hanging="459"/>
      </w:pPr>
      <w:rPr>
        <w:rFonts w:hint="default"/>
      </w:rPr>
    </w:lvl>
    <w:lvl w:ilvl="3" w:tplc="A54E1C6C">
      <w:numFmt w:val="bullet"/>
      <w:lvlText w:val="•"/>
      <w:lvlJc w:val="left"/>
      <w:pPr>
        <w:ind w:left="2643" w:hanging="459"/>
      </w:pPr>
      <w:rPr>
        <w:rFonts w:hint="default"/>
      </w:rPr>
    </w:lvl>
    <w:lvl w:ilvl="4" w:tplc="A9EEA70E">
      <w:numFmt w:val="bullet"/>
      <w:lvlText w:val="•"/>
      <w:lvlJc w:val="left"/>
      <w:pPr>
        <w:ind w:left="3337" w:hanging="459"/>
      </w:pPr>
      <w:rPr>
        <w:rFonts w:hint="default"/>
      </w:rPr>
    </w:lvl>
    <w:lvl w:ilvl="5" w:tplc="62A01C26">
      <w:numFmt w:val="bullet"/>
      <w:lvlText w:val="•"/>
      <w:lvlJc w:val="left"/>
      <w:pPr>
        <w:ind w:left="4032" w:hanging="459"/>
      </w:pPr>
      <w:rPr>
        <w:rFonts w:hint="default"/>
      </w:rPr>
    </w:lvl>
    <w:lvl w:ilvl="6" w:tplc="507AC524">
      <w:numFmt w:val="bullet"/>
      <w:lvlText w:val="•"/>
      <w:lvlJc w:val="left"/>
      <w:pPr>
        <w:ind w:left="4726" w:hanging="459"/>
      </w:pPr>
      <w:rPr>
        <w:rFonts w:hint="default"/>
      </w:rPr>
    </w:lvl>
    <w:lvl w:ilvl="7" w:tplc="A816D34C">
      <w:numFmt w:val="bullet"/>
      <w:lvlText w:val="•"/>
      <w:lvlJc w:val="left"/>
      <w:pPr>
        <w:ind w:left="5420" w:hanging="459"/>
      </w:pPr>
      <w:rPr>
        <w:rFonts w:hint="default"/>
      </w:rPr>
    </w:lvl>
    <w:lvl w:ilvl="8" w:tplc="A4D89E42">
      <w:numFmt w:val="bullet"/>
      <w:lvlText w:val="•"/>
      <w:lvlJc w:val="left"/>
      <w:pPr>
        <w:ind w:left="6115" w:hanging="459"/>
      </w:pPr>
      <w:rPr>
        <w:rFonts w:hint="default"/>
      </w:rPr>
    </w:lvl>
  </w:abstractNum>
  <w:abstractNum w:abstractNumId="29" w15:restartNumberingAfterBreak="0">
    <w:nsid w:val="5DB110E7"/>
    <w:multiLevelType w:val="hybridMultilevel"/>
    <w:tmpl w:val="2640E2EE"/>
    <w:lvl w:ilvl="0" w:tplc="53ECDA2C">
      <w:numFmt w:val="bullet"/>
      <w:lvlText w:val=""/>
      <w:lvlJc w:val="left"/>
      <w:pPr>
        <w:ind w:left="561" w:hanging="459"/>
      </w:pPr>
      <w:rPr>
        <w:rFonts w:ascii="Symbol" w:eastAsia="Symbol" w:hAnsi="Symbol" w:cs="Symbol" w:hint="default"/>
        <w:w w:val="100"/>
        <w:sz w:val="22"/>
        <w:szCs w:val="22"/>
      </w:rPr>
    </w:lvl>
    <w:lvl w:ilvl="1" w:tplc="7124FCBE">
      <w:numFmt w:val="bullet"/>
      <w:lvlText w:val="•"/>
      <w:lvlJc w:val="left"/>
      <w:pPr>
        <w:ind w:left="942" w:hanging="459"/>
      </w:pPr>
      <w:rPr>
        <w:rFonts w:hint="default"/>
      </w:rPr>
    </w:lvl>
    <w:lvl w:ilvl="2" w:tplc="AAEC8996">
      <w:numFmt w:val="bullet"/>
      <w:lvlText w:val="•"/>
      <w:lvlJc w:val="left"/>
      <w:pPr>
        <w:ind w:left="1325" w:hanging="459"/>
      </w:pPr>
      <w:rPr>
        <w:rFonts w:hint="default"/>
      </w:rPr>
    </w:lvl>
    <w:lvl w:ilvl="3" w:tplc="B550758A">
      <w:numFmt w:val="bullet"/>
      <w:lvlText w:val="•"/>
      <w:lvlJc w:val="left"/>
      <w:pPr>
        <w:ind w:left="1707" w:hanging="459"/>
      </w:pPr>
      <w:rPr>
        <w:rFonts w:hint="default"/>
      </w:rPr>
    </w:lvl>
    <w:lvl w:ilvl="4" w:tplc="94006002">
      <w:numFmt w:val="bullet"/>
      <w:lvlText w:val="•"/>
      <w:lvlJc w:val="left"/>
      <w:pPr>
        <w:ind w:left="2090" w:hanging="459"/>
      </w:pPr>
      <w:rPr>
        <w:rFonts w:hint="default"/>
      </w:rPr>
    </w:lvl>
    <w:lvl w:ilvl="5" w:tplc="808C0262">
      <w:numFmt w:val="bullet"/>
      <w:lvlText w:val="•"/>
      <w:lvlJc w:val="left"/>
      <w:pPr>
        <w:ind w:left="2472" w:hanging="459"/>
      </w:pPr>
      <w:rPr>
        <w:rFonts w:hint="default"/>
      </w:rPr>
    </w:lvl>
    <w:lvl w:ilvl="6" w:tplc="D6EE2870">
      <w:numFmt w:val="bullet"/>
      <w:lvlText w:val="•"/>
      <w:lvlJc w:val="left"/>
      <w:pPr>
        <w:ind w:left="2855" w:hanging="459"/>
      </w:pPr>
      <w:rPr>
        <w:rFonts w:hint="default"/>
      </w:rPr>
    </w:lvl>
    <w:lvl w:ilvl="7" w:tplc="C61A727E">
      <w:numFmt w:val="bullet"/>
      <w:lvlText w:val="•"/>
      <w:lvlJc w:val="left"/>
      <w:pPr>
        <w:ind w:left="3238" w:hanging="459"/>
      </w:pPr>
      <w:rPr>
        <w:rFonts w:hint="default"/>
      </w:rPr>
    </w:lvl>
    <w:lvl w:ilvl="8" w:tplc="BE2A0112">
      <w:numFmt w:val="bullet"/>
      <w:lvlText w:val="•"/>
      <w:lvlJc w:val="left"/>
      <w:pPr>
        <w:ind w:left="3620" w:hanging="459"/>
      </w:pPr>
      <w:rPr>
        <w:rFonts w:hint="default"/>
      </w:rPr>
    </w:lvl>
  </w:abstractNum>
  <w:abstractNum w:abstractNumId="30" w15:restartNumberingAfterBreak="0">
    <w:nsid w:val="5DF12146"/>
    <w:multiLevelType w:val="hybridMultilevel"/>
    <w:tmpl w:val="83AE3FFA"/>
    <w:lvl w:ilvl="0" w:tplc="C450D062">
      <w:start w:val="7"/>
      <w:numFmt w:val="decimal"/>
      <w:lvlText w:val="%1."/>
      <w:lvlJc w:val="left"/>
      <w:pPr>
        <w:ind w:left="561" w:hanging="459"/>
      </w:pPr>
      <w:rPr>
        <w:rFonts w:ascii="Times New Roman" w:eastAsia="Times New Roman" w:hAnsi="Times New Roman" w:cs="Times New Roman" w:hint="default"/>
        <w:w w:val="100"/>
        <w:sz w:val="22"/>
        <w:szCs w:val="22"/>
      </w:rPr>
    </w:lvl>
    <w:lvl w:ilvl="1" w:tplc="C9CC4186">
      <w:numFmt w:val="bullet"/>
      <w:lvlText w:val="•"/>
      <w:lvlJc w:val="left"/>
      <w:pPr>
        <w:ind w:left="942" w:hanging="459"/>
      </w:pPr>
      <w:rPr>
        <w:rFonts w:hint="default"/>
      </w:rPr>
    </w:lvl>
    <w:lvl w:ilvl="2" w:tplc="0EBC94A6">
      <w:numFmt w:val="bullet"/>
      <w:lvlText w:val="•"/>
      <w:lvlJc w:val="left"/>
      <w:pPr>
        <w:ind w:left="1325" w:hanging="459"/>
      </w:pPr>
      <w:rPr>
        <w:rFonts w:hint="default"/>
      </w:rPr>
    </w:lvl>
    <w:lvl w:ilvl="3" w:tplc="2A2AF2E2">
      <w:numFmt w:val="bullet"/>
      <w:lvlText w:val="•"/>
      <w:lvlJc w:val="left"/>
      <w:pPr>
        <w:ind w:left="1707" w:hanging="459"/>
      </w:pPr>
      <w:rPr>
        <w:rFonts w:hint="default"/>
      </w:rPr>
    </w:lvl>
    <w:lvl w:ilvl="4" w:tplc="6FF0AC62">
      <w:numFmt w:val="bullet"/>
      <w:lvlText w:val="•"/>
      <w:lvlJc w:val="left"/>
      <w:pPr>
        <w:ind w:left="2090" w:hanging="459"/>
      </w:pPr>
      <w:rPr>
        <w:rFonts w:hint="default"/>
      </w:rPr>
    </w:lvl>
    <w:lvl w:ilvl="5" w:tplc="AB0C69FC">
      <w:numFmt w:val="bullet"/>
      <w:lvlText w:val="•"/>
      <w:lvlJc w:val="left"/>
      <w:pPr>
        <w:ind w:left="2472" w:hanging="459"/>
      </w:pPr>
      <w:rPr>
        <w:rFonts w:hint="default"/>
      </w:rPr>
    </w:lvl>
    <w:lvl w:ilvl="6" w:tplc="421EE0E4">
      <w:numFmt w:val="bullet"/>
      <w:lvlText w:val="•"/>
      <w:lvlJc w:val="left"/>
      <w:pPr>
        <w:ind w:left="2855" w:hanging="459"/>
      </w:pPr>
      <w:rPr>
        <w:rFonts w:hint="default"/>
      </w:rPr>
    </w:lvl>
    <w:lvl w:ilvl="7" w:tplc="283E5BAE">
      <w:numFmt w:val="bullet"/>
      <w:lvlText w:val="•"/>
      <w:lvlJc w:val="left"/>
      <w:pPr>
        <w:ind w:left="3238" w:hanging="459"/>
      </w:pPr>
      <w:rPr>
        <w:rFonts w:hint="default"/>
      </w:rPr>
    </w:lvl>
    <w:lvl w:ilvl="8" w:tplc="9640916A">
      <w:numFmt w:val="bullet"/>
      <w:lvlText w:val="•"/>
      <w:lvlJc w:val="left"/>
      <w:pPr>
        <w:ind w:left="3620" w:hanging="459"/>
      </w:pPr>
      <w:rPr>
        <w:rFonts w:hint="default"/>
      </w:rPr>
    </w:lvl>
  </w:abstractNum>
  <w:abstractNum w:abstractNumId="31" w15:restartNumberingAfterBreak="0">
    <w:nsid w:val="61BD5C29"/>
    <w:multiLevelType w:val="hybridMultilevel"/>
    <w:tmpl w:val="C7BC21C4"/>
    <w:lvl w:ilvl="0" w:tplc="D70C7CAC">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76EA75BC">
      <w:numFmt w:val="bullet"/>
      <w:lvlText w:val="•"/>
      <w:lvlJc w:val="left"/>
      <w:pPr>
        <w:ind w:left="1148" w:hanging="567"/>
      </w:pPr>
      <w:rPr>
        <w:rFonts w:hint="default"/>
      </w:rPr>
    </w:lvl>
    <w:lvl w:ilvl="2" w:tplc="336E7F50">
      <w:numFmt w:val="bullet"/>
      <w:lvlText w:val="•"/>
      <w:lvlJc w:val="left"/>
      <w:pPr>
        <w:ind w:left="2077" w:hanging="567"/>
      </w:pPr>
      <w:rPr>
        <w:rFonts w:hint="default"/>
      </w:rPr>
    </w:lvl>
    <w:lvl w:ilvl="3" w:tplc="C45C889A">
      <w:numFmt w:val="bullet"/>
      <w:lvlText w:val="•"/>
      <w:lvlJc w:val="left"/>
      <w:pPr>
        <w:ind w:left="3005" w:hanging="567"/>
      </w:pPr>
      <w:rPr>
        <w:rFonts w:hint="default"/>
      </w:rPr>
    </w:lvl>
    <w:lvl w:ilvl="4" w:tplc="EE442CE8">
      <w:numFmt w:val="bullet"/>
      <w:lvlText w:val="•"/>
      <w:lvlJc w:val="left"/>
      <w:pPr>
        <w:ind w:left="3934" w:hanging="567"/>
      </w:pPr>
      <w:rPr>
        <w:rFonts w:hint="default"/>
      </w:rPr>
    </w:lvl>
    <w:lvl w:ilvl="5" w:tplc="36BEA61C">
      <w:numFmt w:val="bullet"/>
      <w:lvlText w:val="•"/>
      <w:lvlJc w:val="left"/>
      <w:pPr>
        <w:ind w:left="4863" w:hanging="567"/>
      </w:pPr>
      <w:rPr>
        <w:rFonts w:hint="default"/>
      </w:rPr>
    </w:lvl>
    <w:lvl w:ilvl="6" w:tplc="31E81D4E">
      <w:numFmt w:val="bullet"/>
      <w:lvlText w:val="•"/>
      <w:lvlJc w:val="left"/>
      <w:pPr>
        <w:ind w:left="5791" w:hanging="567"/>
      </w:pPr>
      <w:rPr>
        <w:rFonts w:hint="default"/>
      </w:rPr>
    </w:lvl>
    <w:lvl w:ilvl="7" w:tplc="86C47A46">
      <w:numFmt w:val="bullet"/>
      <w:lvlText w:val="•"/>
      <w:lvlJc w:val="left"/>
      <w:pPr>
        <w:ind w:left="6720" w:hanging="567"/>
      </w:pPr>
      <w:rPr>
        <w:rFonts w:hint="default"/>
      </w:rPr>
    </w:lvl>
    <w:lvl w:ilvl="8" w:tplc="433A8AA6">
      <w:numFmt w:val="bullet"/>
      <w:lvlText w:val="•"/>
      <w:lvlJc w:val="left"/>
      <w:pPr>
        <w:ind w:left="7649" w:hanging="567"/>
      </w:pPr>
      <w:rPr>
        <w:rFonts w:hint="default"/>
      </w:rPr>
    </w:lvl>
  </w:abstractNum>
  <w:abstractNum w:abstractNumId="32" w15:restartNumberingAfterBreak="0">
    <w:nsid w:val="634A5D16"/>
    <w:multiLevelType w:val="hybridMultilevel"/>
    <w:tmpl w:val="A4F02EA6"/>
    <w:lvl w:ilvl="0" w:tplc="DC346B92">
      <w:numFmt w:val="bullet"/>
      <w:lvlText w:val=""/>
      <w:lvlJc w:val="left"/>
      <w:pPr>
        <w:ind w:left="561" w:hanging="459"/>
      </w:pPr>
      <w:rPr>
        <w:rFonts w:ascii="Symbol" w:eastAsia="Symbol" w:hAnsi="Symbol" w:cs="Symbol" w:hint="default"/>
        <w:w w:val="100"/>
        <w:sz w:val="22"/>
        <w:szCs w:val="22"/>
      </w:rPr>
    </w:lvl>
    <w:lvl w:ilvl="1" w:tplc="33BCFE94">
      <w:numFmt w:val="bullet"/>
      <w:lvlText w:val="•"/>
      <w:lvlJc w:val="left"/>
      <w:pPr>
        <w:ind w:left="942" w:hanging="459"/>
      </w:pPr>
      <w:rPr>
        <w:rFonts w:hint="default"/>
      </w:rPr>
    </w:lvl>
    <w:lvl w:ilvl="2" w:tplc="014404E4">
      <w:numFmt w:val="bullet"/>
      <w:lvlText w:val="•"/>
      <w:lvlJc w:val="left"/>
      <w:pPr>
        <w:ind w:left="1325" w:hanging="459"/>
      </w:pPr>
      <w:rPr>
        <w:rFonts w:hint="default"/>
      </w:rPr>
    </w:lvl>
    <w:lvl w:ilvl="3" w:tplc="1CFEA9F8">
      <w:numFmt w:val="bullet"/>
      <w:lvlText w:val="•"/>
      <w:lvlJc w:val="left"/>
      <w:pPr>
        <w:ind w:left="1707" w:hanging="459"/>
      </w:pPr>
      <w:rPr>
        <w:rFonts w:hint="default"/>
      </w:rPr>
    </w:lvl>
    <w:lvl w:ilvl="4" w:tplc="3488C068">
      <w:numFmt w:val="bullet"/>
      <w:lvlText w:val="•"/>
      <w:lvlJc w:val="left"/>
      <w:pPr>
        <w:ind w:left="2090" w:hanging="459"/>
      </w:pPr>
      <w:rPr>
        <w:rFonts w:hint="default"/>
      </w:rPr>
    </w:lvl>
    <w:lvl w:ilvl="5" w:tplc="0F8CDB72">
      <w:numFmt w:val="bullet"/>
      <w:lvlText w:val="•"/>
      <w:lvlJc w:val="left"/>
      <w:pPr>
        <w:ind w:left="2472" w:hanging="459"/>
      </w:pPr>
      <w:rPr>
        <w:rFonts w:hint="default"/>
      </w:rPr>
    </w:lvl>
    <w:lvl w:ilvl="6" w:tplc="20C2066A">
      <w:numFmt w:val="bullet"/>
      <w:lvlText w:val="•"/>
      <w:lvlJc w:val="left"/>
      <w:pPr>
        <w:ind w:left="2855" w:hanging="459"/>
      </w:pPr>
      <w:rPr>
        <w:rFonts w:hint="default"/>
      </w:rPr>
    </w:lvl>
    <w:lvl w:ilvl="7" w:tplc="94B455AE">
      <w:numFmt w:val="bullet"/>
      <w:lvlText w:val="•"/>
      <w:lvlJc w:val="left"/>
      <w:pPr>
        <w:ind w:left="3238" w:hanging="459"/>
      </w:pPr>
      <w:rPr>
        <w:rFonts w:hint="default"/>
      </w:rPr>
    </w:lvl>
    <w:lvl w:ilvl="8" w:tplc="757A6EDC">
      <w:numFmt w:val="bullet"/>
      <w:lvlText w:val="•"/>
      <w:lvlJc w:val="left"/>
      <w:pPr>
        <w:ind w:left="3620" w:hanging="459"/>
      </w:pPr>
      <w:rPr>
        <w:rFonts w:hint="default"/>
      </w:rPr>
    </w:lvl>
  </w:abstractNum>
  <w:abstractNum w:abstractNumId="33" w15:restartNumberingAfterBreak="0">
    <w:nsid w:val="6F9337D0"/>
    <w:multiLevelType w:val="hybridMultilevel"/>
    <w:tmpl w:val="B6C885E6"/>
    <w:lvl w:ilvl="0" w:tplc="39283DAE">
      <w:start w:val="1"/>
      <w:numFmt w:val="bullet"/>
      <w:lvlText w:val=""/>
      <w:lvlJc w:val="left"/>
      <w:pPr>
        <w:tabs>
          <w:tab w:val="num" w:pos="720"/>
        </w:tabs>
        <w:ind w:left="720" w:hanging="360"/>
      </w:pPr>
      <w:rPr>
        <w:rFonts w:ascii="Symbol" w:hAnsi="Symbol" w:hint="default"/>
      </w:rPr>
    </w:lvl>
    <w:lvl w:ilvl="1" w:tplc="9E246A38" w:tentative="1">
      <w:start w:val="1"/>
      <w:numFmt w:val="bullet"/>
      <w:lvlText w:val="o"/>
      <w:lvlJc w:val="left"/>
      <w:pPr>
        <w:tabs>
          <w:tab w:val="num" w:pos="1440"/>
        </w:tabs>
        <w:ind w:left="1440" w:hanging="360"/>
      </w:pPr>
      <w:rPr>
        <w:rFonts w:ascii="Courier New" w:hAnsi="Courier New" w:cs="Courier New" w:hint="default"/>
      </w:rPr>
    </w:lvl>
    <w:lvl w:ilvl="2" w:tplc="6C52E6C4" w:tentative="1">
      <w:start w:val="1"/>
      <w:numFmt w:val="bullet"/>
      <w:lvlText w:val=""/>
      <w:lvlJc w:val="left"/>
      <w:pPr>
        <w:tabs>
          <w:tab w:val="num" w:pos="2160"/>
        </w:tabs>
        <w:ind w:left="2160" w:hanging="360"/>
      </w:pPr>
      <w:rPr>
        <w:rFonts w:ascii="Wingdings" w:hAnsi="Wingdings" w:hint="default"/>
      </w:rPr>
    </w:lvl>
    <w:lvl w:ilvl="3" w:tplc="9252F1B2" w:tentative="1">
      <w:start w:val="1"/>
      <w:numFmt w:val="bullet"/>
      <w:lvlText w:val=""/>
      <w:lvlJc w:val="left"/>
      <w:pPr>
        <w:tabs>
          <w:tab w:val="num" w:pos="2880"/>
        </w:tabs>
        <w:ind w:left="2880" w:hanging="360"/>
      </w:pPr>
      <w:rPr>
        <w:rFonts w:ascii="Symbol" w:hAnsi="Symbol" w:hint="default"/>
      </w:rPr>
    </w:lvl>
    <w:lvl w:ilvl="4" w:tplc="BD3A08A8" w:tentative="1">
      <w:start w:val="1"/>
      <w:numFmt w:val="bullet"/>
      <w:lvlText w:val="o"/>
      <w:lvlJc w:val="left"/>
      <w:pPr>
        <w:tabs>
          <w:tab w:val="num" w:pos="3600"/>
        </w:tabs>
        <w:ind w:left="3600" w:hanging="360"/>
      </w:pPr>
      <w:rPr>
        <w:rFonts w:ascii="Courier New" w:hAnsi="Courier New" w:cs="Courier New" w:hint="default"/>
      </w:rPr>
    </w:lvl>
    <w:lvl w:ilvl="5" w:tplc="60F40C2C" w:tentative="1">
      <w:start w:val="1"/>
      <w:numFmt w:val="bullet"/>
      <w:lvlText w:val=""/>
      <w:lvlJc w:val="left"/>
      <w:pPr>
        <w:tabs>
          <w:tab w:val="num" w:pos="4320"/>
        </w:tabs>
        <w:ind w:left="4320" w:hanging="360"/>
      </w:pPr>
      <w:rPr>
        <w:rFonts w:ascii="Wingdings" w:hAnsi="Wingdings" w:hint="default"/>
      </w:rPr>
    </w:lvl>
    <w:lvl w:ilvl="6" w:tplc="63B6BD94" w:tentative="1">
      <w:start w:val="1"/>
      <w:numFmt w:val="bullet"/>
      <w:lvlText w:val=""/>
      <w:lvlJc w:val="left"/>
      <w:pPr>
        <w:tabs>
          <w:tab w:val="num" w:pos="5040"/>
        </w:tabs>
        <w:ind w:left="5040" w:hanging="360"/>
      </w:pPr>
      <w:rPr>
        <w:rFonts w:ascii="Symbol" w:hAnsi="Symbol" w:hint="default"/>
      </w:rPr>
    </w:lvl>
    <w:lvl w:ilvl="7" w:tplc="4FE21A32" w:tentative="1">
      <w:start w:val="1"/>
      <w:numFmt w:val="bullet"/>
      <w:lvlText w:val="o"/>
      <w:lvlJc w:val="left"/>
      <w:pPr>
        <w:tabs>
          <w:tab w:val="num" w:pos="5760"/>
        </w:tabs>
        <w:ind w:left="5760" w:hanging="360"/>
      </w:pPr>
      <w:rPr>
        <w:rFonts w:ascii="Courier New" w:hAnsi="Courier New" w:cs="Courier New" w:hint="default"/>
      </w:rPr>
    </w:lvl>
    <w:lvl w:ilvl="8" w:tplc="6256EDE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B4BF2"/>
    <w:multiLevelType w:val="hybridMultilevel"/>
    <w:tmpl w:val="B6EAA4A0"/>
    <w:lvl w:ilvl="0" w:tplc="25A240C8">
      <w:start w:val="6"/>
      <w:numFmt w:val="decimal"/>
      <w:lvlText w:val="%1."/>
      <w:lvlJc w:val="left"/>
      <w:pPr>
        <w:ind w:left="113" w:hanging="221"/>
      </w:pPr>
      <w:rPr>
        <w:rFonts w:ascii="Times New Roman" w:eastAsia="Times New Roman" w:hAnsi="Times New Roman" w:cs="Times New Roman" w:hint="default"/>
        <w:w w:val="100"/>
        <w:sz w:val="22"/>
        <w:szCs w:val="22"/>
      </w:rPr>
    </w:lvl>
    <w:lvl w:ilvl="1" w:tplc="A1C46F5C">
      <w:numFmt w:val="bullet"/>
      <w:lvlText w:val="•"/>
      <w:lvlJc w:val="left"/>
      <w:pPr>
        <w:ind w:left="729" w:hanging="221"/>
      </w:pPr>
      <w:rPr>
        <w:rFonts w:hint="default"/>
      </w:rPr>
    </w:lvl>
    <w:lvl w:ilvl="2" w:tplc="9558E938">
      <w:numFmt w:val="bullet"/>
      <w:lvlText w:val="•"/>
      <w:lvlJc w:val="left"/>
      <w:pPr>
        <w:ind w:left="1339" w:hanging="221"/>
      </w:pPr>
      <w:rPr>
        <w:rFonts w:hint="default"/>
      </w:rPr>
    </w:lvl>
    <w:lvl w:ilvl="3" w:tplc="93361866">
      <w:numFmt w:val="bullet"/>
      <w:lvlText w:val="•"/>
      <w:lvlJc w:val="left"/>
      <w:pPr>
        <w:ind w:left="1949" w:hanging="221"/>
      </w:pPr>
      <w:rPr>
        <w:rFonts w:hint="default"/>
      </w:rPr>
    </w:lvl>
    <w:lvl w:ilvl="4" w:tplc="40A67702">
      <w:numFmt w:val="bullet"/>
      <w:lvlText w:val="•"/>
      <w:lvlJc w:val="left"/>
      <w:pPr>
        <w:ind w:left="2559" w:hanging="221"/>
      </w:pPr>
      <w:rPr>
        <w:rFonts w:hint="default"/>
      </w:rPr>
    </w:lvl>
    <w:lvl w:ilvl="5" w:tplc="2AC63DA0">
      <w:numFmt w:val="bullet"/>
      <w:lvlText w:val="•"/>
      <w:lvlJc w:val="left"/>
      <w:pPr>
        <w:ind w:left="3169" w:hanging="221"/>
      </w:pPr>
      <w:rPr>
        <w:rFonts w:hint="default"/>
      </w:rPr>
    </w:lvl>
    <w:lvl w:ilvl="6" w:tplc="787A66E8">
      <w:numFmt w:val="bullet"/>
      <w:lvlText w:val="•"/>
      <w:lvlJc w:val="left"/>
      <w:pPr>
        <w:ind w:left="3779" w:hanging="221"/>
      </w:pPr>
      <w:rPr>
        <w:rFonts w:hint="default"/>
      </w:rPr>
    </w:lvl>
    <w:lvl w:ilvl="7" w:tplc="50F4257E">
      <w:numFmt w:val="bullet"/>
      <w:lvlText w:val="•"/>
      <w:lvlJc w:val="left"/>
      <w:pPr>
        <w:ind w:left="4389" w:hanging="221"/>
      </w:pPr>
      <w:rPr>
        <w:rFonts w:hint="default"/>
      </w:rPr>
    </w:lvl>
    <w:lvl w:ilvl="8" w:tplc="D16EE7C6">
      <w:numFmt w:val="bullet"/>
      <w:lvlText w:val="•"/>
      <w:lvlJc w:val="left"/>
      <w:pPr>
        <w:ind w:left="4999" w:hanging="221"/>
      </w:pPr>
      <w:rPr>
        <w:rFonts w:hint="default"/>
      </w:rPr>
    </w:lvl>
  </w:abstractNum>
  <w:abstractNum w:abstractNumId="35" w15:restartNumberingAfterBreak="0">
    <w:nsid w:val="70066A6B"/>
    <w:multiLevelType w:val="hybridMultilevel"/>
    <w:tmpl w:val="9DFAEB2A"/>
    <w:lvl w:ilvl="0" w:tplc="B4B4D9BC">
      <w:numFmt w:val="bullet"/>
      <w:lvlText w:val=""/>
      <w:lvlJc w:val="left"/>
      <w:pPr>
        <w:ind w:left="800" w:hanging="400"/>
      </w:pPr>
      <w:rPr>
        <w:rFonts w:ascii="Symbol" w:eastAsia="Symbol" w:hAnsi="Symbol" w:cs="Symbol" w:hint="default"/>
        <w:w w:val="99"/>
        <w:sz w:val="22"/>
        <w:szCs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04E36C2"/>
    <w:multiLevelType w:val="hybridMultilevel"/>
    <w:tmpl w:val="CA56DF94"/>
    <w:lvl w:ilvl="0" w:tplc="E7567D64">
      <w:start w:val="9"/>
      <w:numFmt w:val="decimal"/>
      <w:lvlText w:val="%1."/>
      <w:lvlJc w:val="left"/>
      <w:pPr>
        <w:ind w:left="561" w:hanging="459"/>
      </w:pPr>
      <w:rPr>
        <w:rFonts w:ascii="Times New Roman" w:eastAsia="Times New Roman" w:hAnsi="Times New Roman" w:cs="Times New Roman" w:hint="default"/>
        <w:w w:val="100"/>
        <w:sz w:val="22"/>
        <w:szCs w:val="22"/>
      </w:rPr>
    </w:lvl>
    <w:lvl w:ilvl="1" w:tplc="F1969240">
      <w:numFmt w:val="bullet"/>
      <w:lvlText w:val="•"/>
      <w:lvlJc w:val="left"/>
      <w:pPr>
        <w:ind w:left="942" w:hanging="459"/>
      </w:pPr>
      <w:rPr>
        <w:rFonts w:hint="default"/>
      </w:rPr>
    </w:lvl>
    <w:lvl w:ilvl="2" w:tplc="1EDC26BE">
      <w:numFmt w:val="bullet"/>
      <w:lvlText w:val="•"/>
      <w:lvlJc w:val="left"/>
      <w:pPr>
        <w:ind w:left="1325" w:hanging="459"/>
      </w:pPr>
      <w:rPr>
        <w:rFonts w:hint="default"/>
      </w:rPr>
    </w:lvl>
    <w:lvl w:ilvl="3" w:tplc="9C504300">
      <w:numFmt w:val="bullet"/>
      <w:lvlText w:val="•"/>
      <w:lvlJc w:val="left"/>
      <w:pPr>
        <w:ind w:left="1707" w:hanging="459"/>
      </w:pPr>
      <w:rPr>
        <w:rFonts w:hint="default"/>
      </w:rPr>
    </w:lvl>
    <w:lvl w:ilvl="4" w:tplc="E8AA790A">
      <w:numFmt w:val="bullet"/>
      <w:lvlText w:val="•"/>
      <w:lvlJc w:val="left"/>
      <w:pPr>
        <w:ind w:left="2090" w:hanging="459"/>
      </w:pPr>
      <w:rPr>
        <w:rFonts w:hint="default"/>
      </w:rPr>
    </w:lvl>
    <w:lvl w:ilvl="5" w:tplc="E7787F94">
      <w:numFmt w:val="bullet"/>
      <w:lvlText w:val="•"/>
      <w:lvlJc w:val="left"/>
      <w:pPr>
        <w:ind w:left="2472" w:hanging="459"/>
      </w:pPr>
      <w:rPr>
        <w:rFonts w:hint="default"/>
      </w:rPr>
    </w:lvl>
    <w:lvl w:ilvl="6" w:tplc="D3A4C424">
      <w:numFmt w:val="bullet"/>
      <w:lvlText w:val="•"/>
      <w:lvlJc w:val="left"/>
      <w:pPr>
        <w:ind w:left="2855" w:hanging="459"/>
      </w:pPr>
      <w:rPr>
        <w:rFonts w:hint="default"/>
      </w:rPr>
    </w:lvl>
    <w:lvl w:ilvl="7" w:tplc="4C2CACAE">
      <w:numFmt w:val="bullet"/>
      <w:lvlText w:val="•"/>
      <w:lvlJc w:val="left"/>
      <w:pPr>
        <w:ind w:left="3238" w:hanging="459"/>
      </w:pPr>
      <w:rPr>
        <w:rFonts w:hint="default"/>
      </w:rPr>
    </w:lvl>
    <w:lvl w:ilvl="8" w:tplc="0B90DE62">
      <w:numFmt w:val="bullet"/>
      <w:lvlText w:val="•"/>
      <w:lvlJc w:val="left"/>
      <w:pPr>
        <w:ind w:left="3620" w:hanging="459"/>
      </w:pPr>
      <w:rPr>
        <w:rFonts w:hint="default"/>
      </w:rPr>
    </w:lvl>
  </w:abstractNum>
  <w:abstractNum w:abstractNumId="37" w15:restartNumberingAfterBreak="0">
    <w:nsid w:val="77D20857"/>
    <w:multiLevelType w:val="hybridMultilevel"/>
    <w:tmpl w:val="58DA247A"/>
    <w:lvl w:ilvl="0" w:tplc="D7985F92">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FDAC3F76">
      <w:numFmt w:val="bullet"/>
      <w:lvlText w:val="•"/>
      <w:lvlJc w:val="left"/>
      <w:pPr>
        <w:ind w:left="1148" w:hanging="567"/>
      </w:pPr>
      <w:rPr>
        <w:rFonts w:hint="default"/>
      </w:rPr>
    </w:lvl>
    <w:lvl w:ilvl="2" w:tplc="E7789D80">
      <w:numFmt w:val="bullet"/>
      <w:lvlText w:val="•"/>
      <w:lvlJc w:val="left"/>
      <w:pPr>
        <w:ind w:left="2077" w:hanging="567"/>
      </w:pPr>
      <w:rPr>
        <w:rFonts w:hint="default"/>
      </w:rPr>
    </w:lvl>
    <w:lvl w:ilvl="3" w:tplc="CDA8431A">
      <w:numFmt w:val="bullet"/>
      <w:lvlText w:val="•"/>
      <w:lvlJc w:val="left"/>
      <w:pPr>
        <w:ind w:left="3005" w:hanging="567"/>
      </w:pPr>
      <w:rPr>
        <w:rFonts w:hint="default"/>
      </w:rPr>
    </w:lvl>
    <w:lvl w:ilvl="4" w:tplc="A7060F52">
      <w:numFmt w:val="bullet"/>
      <w:lvlText w:val="•"/>
      <w:lvlJc w:val="left"/>
      <w:pPr>
        <w:ind w:left="3934" w:hanging="567"/>
      </w:pPr>
      <w:rPr>
        <w:rFonts w:hint="default"/>
      </w:rPr>
    </w:lvl>
    <w:lvl w:ilvl="5" w:tplc="2B06FA5A">
      <w:numFmt w:val="bullet"/>
      <w:lvlText w:val="•"/>
      <w:lvlJc w:val="left"/>
      <w:pPr>
        <w:ind w:left="4863" w:hanging="567"/>
      </w:pPr>
      <w:rPr>
        <w:rFonts w:hint="default"/>
      </w:rPr>
    </w:lvl>
    <w:lvl w:ilvl="6" w:tplc="17E89FAA">
      <w:numFmt w:val="bullet"/>
      <w:lvlText w:val="•"/>
      <w:lvlJc w:val="left"/>
      <w:pPr>
        <w:ind w:left="5791" w:hanging="567"/>
      </w:pPr>
      <w:rPr>
        <w:rFonts w:hint="default"/>
      </w:rPr>
    </w:lvl>
    <w:lvl w:ilvl="7" w:tplc="CEF05226">
      <w:numFmt w:val="bullet"/>
      <w:lvlText w:val="•"/>
      <w:lvlJc w:val="left"/>
      <w:pPr>
        <w:ind w:left="6720" w:hanging="567"/>
      </w:pPr>
      <w:rPr>
        <w:rFonts w:hint="default"/>
      </w:rPr>
    </w:lvl>
    <w:lvl w:ilvl="8" w:tplc="08D40676">
      <w:numFmt w:val="bullet"/>
      <w:lvlText w:val="•"/>
      <w:lvlJc w:val="left"/>
      <w:pPr>
        <w:ind w:left="7649" w:hanging="567"/>
      </w:pPr>
      <w:rPr>
        <w:rFonts w:hint="default"/>
      </w:rPr>
    </w:lvl>
  </w:abstractNum>
  <w:abstractNum w:abstractNumId="38" w15:restartNumberingAfterBreak="0">
    <w:nsid w:val="7A100D28"/>
    <w:multiLevelType w:val="hybridMultilevel"/>
    <w:tmpl w:val="2F94C0BA"/>
    <w:lvl w:ilvl="0" w:tplc="AFBC5D90">
      <w:start w:val="1"/>
      <w:numFmt w:val="upperLetter"/>
      <w:lvlText w:val="%1."/>
      <w:lvlJc w:val="left"/>
      <w:pPr>
        <w:ind w:left="5670" w:hanging="5670"/>
      </w:pPr>
      <w:rPr>
        <w:rFonts w:hint="default"/>
        <w:b/>
      </w:rPr>
    </w:lvl>
    <w:lvl w:ilvl="1" w:tplc="CD8275EC">
      <w:start w:val="1"/>
      <w:numFmt w:val="decimal"/>
      <w:lvlText w:val="%2."/>
      <w:lvlJc w:val="left"/>
      <w:pPr>
        <w:ind w:left="1650" w:hanging="570"/>
      </w:pPr>
      <w:rPr>
        <w:rFonts w:hint="default"/>
        <w:b/>
        <w:i w:val="0"/>
      </w:rPr>
    </w:lvl>
    <w:lvl w:ilvl="2" w:tplc="5ABC35C0" w:tentative="1">
      <w:start w:val="1"/>
      <w:numFmt w:val="lowerRoman"/>
      <w:lvlText w:val="%3."/>
      <w:lvlJc w:val="right"/>
      <w:pPr>
        <w:ind w:left="2160" w:hanging="180"/>
      </w:pPr>
    </w:lvl>
    <w:lvl w:ilvl="3" w:tplc="6D5E3B5C" w:tentative="1">
      <w:start w:val="1"/>
      <w:numFmt w:val="decimal"/>
      <w:lvlText w:val="%4."/>
      <w:lvlJc w:val="left"/>
      <w:pPr>
        <w:ind w:left="2880" w:hanging="360"/>
      </w:pPr>
    </w:lvl>
    <w:lvl w:ilvl="4" w:tplc="814E0818" w:tentative="1">
      <w:start w:val="1"/>
      <w:numFmt w:val="lowerLetter"/>
      <w:lvlText w:val="%5."/>
      <w:lvlJc w:val="left"/>
      <w:pPr>
        <w:ind w:left="3600" w:hanging="360"/>
      </w:pPr>
    </w:lvl>
    <w:lvl w:ilvl="5" w:tplc="DF24ED7E" w:tentative="1">
      <w:start w:val="1"/>
      <w:numFmt w:val="lowerRoman"/>
      <w:lvlText w:val="%6."/>
      <w:lvlJc w:val="right"/>
      <w:pPr>
        <w:ind w:left="4320" w:hanging="180"/>
      </w:pPr>
    </w:lvl>
    <w:lvl w:ilvl="6" w:tplc="A1664168" w:tentative="1">
      <w:start w:val="1"/>
      <w:numFmt w:val="decimal"/>
      <w:lvlText w:val="%7."/>
      <w:lvlJc w:val="left"/>
      <w:pPr>
        <w:ind w:left="5040" w:hanging="360"/>
      </w:pPr>
    </w:lvl>
    <w:lvl w:ilvl="7" w:tplc="92AC4F7C" w:tentative="1">
      <w:start w:val="1"/>
      <w:numFmt w:val="lowerLetter"/>
      <w:lvlText w:val="%8."/>
      <w:lvlJc w:val="left"/>
      <w:pPr>
        <w:ind w:left="5760" w:hanging="360"/>
      </w:pPr>
    </w:lvl>
    <w:lvl w:ilvl="8" w:tplc="B79A2966" w:tentative="1">
      <w:start w:val="1"/>
      <w:numFmt w:val="lowerRoman"/>
      <w:lvlText w:val="%9."/>
      <w:lvlJc w:val="right"/>
      <w:pPr>
        <w:ind w:left="6480" w:hanging="180"/>
      </w:pPr>
    </w:lvl>
  </w:abstractNum>
  <w:abstractNum w:abstractNumId="39" w15:restartNumberingAfterBreak="0">
    <w:nsid w:val="7E746F07"/>
    <w:multiLevelType w:val="hybridMultilevel"/>
    <w:tmpl w:val="4F002096"/>
    <w:lvl w:ilvl="0" w:tplc="A2E48716">
      <w:start w:val="5"/>
      <w:numFmt w:val="decimal"/>
      <w:lvlText w:val="%1."/>
      <w:lvlJc w:val="left"/>
      <w:pPr>
        <w:ind w:left="561" w:hanging="459"/>
      </w:pPr>
      <w:rPr>
        <w:rFonts w:ascii="Times New Roman" w:eastAsia="Times New Roman" w:hAnsi="Times New Roman" w:cs="Times New Roman" w:hint="default"/>
        <w:w w:val="100"/>
        <w:sz w:val="22"/>
        <w:szCs w:val="22"/>
      </w:rPr>
    </w:lvl>
    <w:lvl w:ilvl="1" w:tplc="E48A364E">
      <w:numFmt w:val="bullet"/>
      <w:lvlText w:val="•"/>
      <w:lvlJc w:val="left"/>
      <w:pPr>
        <w:ind w:left="942" w:hanging="459"/>
      </w:pPr>
      <w:rPr>
        <w:rFonts w:hint="default"/>
      </w:rPr>
    </w:lvl>
    <w:lvl w:ilvl="2" w:tplc="9E3AB84E">
      <w:numFmt w:val="bullet"/>
      <w:lvlText w:val="•"/>
      <w:lvlJc w:val="left"/>
      <w:pPr>
        <w:ind w:left="1325" w:hanging="459"/>
      </w:pPr>
      <w:rPr>
        <w:rFonts w:hint="default"/>
      </w:rPr>
    </w:lvl>
    <w:lvl w:ilvl="3" w:tplc="06BA59C2">
      <w:numFmt w:val="bullet"/>
      <w:lvlText w:val="•"/>
      <w:lvlJc w:val="left"/>
      <w:pPr>
        <w:ind w:left="1707" w:hanging="459"/>
      </w:pPr>
      <w:rPr>
        <w:rFonts w:hint="default"/>
      </w:rPr>
    </w:lvl>
    <w:lvl w:ilvl="4" w:tplc="C2802CBC">
      <w:numFmt w:val="bullet"/>
      <w:lvlText w:val="•"/>
      <w:lvlJc w:val="left"/>
      <w:pPr>
        <w:ind w:left="2090" w:hanging="459"/>
      </w:pPr>
      <w:rPr>
        <w:rFonts w:hint="default"/>
      </w:rPr>
    </w:lvl>
    <w:lvl w:ilvl="5" w:tplc="88B0662A">
      <w:numFmt w:val="bullet"/>
      <w:lvlText w:val="•"/>
      <w:lvlJc w:val="left"/>
      <w:pPr>
        <w:ind w:left="2472" w:hanging="459"/>
      </w:pPr>
      <w:rPr>
        <w:rFonts w:hint="default"/>
      </w:rPr>
    </w:lvl>
    <w:lvl w:ilvl="6" w:tplc="D8D60E0C">
      <w:numFmt w:val="bullet"/>
      <w:lvlText w:val="•"/>
      <w:lvlJc w:val="left"/>
      <w:pPr>
        <w:ind w:left="2855" w:hanging="459"/>
      </w:pPr>
      <w:rPr>
        <w:rFonts w:hint="default"/>
      </w:rPr>
    </w:lvl>
    <w:lvl w:ilvl="7" w:tplc="217C1A5E">
      <w:numFmt w:val="bullet"/>
      <w:lvlText w:val="•"/>
      <w:lvlJc w:val="left"/>
      <w:pPr>
        <w:ind w:left="3238" w:hanging="459"/>
      </w:pPr>
      <w:rPr>
        <w:rFonts w:hint="default"/>
      </w:rPr>
    </w:lvl>
    <w:lvl w:ilvl="8" w:tplc="D08E7D06">
      <w:numFmt w:val="bullet"/>
      <w:lvlText w:val="•"/>
      <w:lvlJc w:val="left"/>
      <w:pPr>
        <w:ind w:left="3620" w:hanging="459"/>
      </w:pPr>
      <w:rPr>
        <w:rFonts w:hint="default"/>
      </w:rPr>
    </w:lvl>
  </w:abstractNum>
  <w:num w:numId="1">
    <w:abstractNumId w:val="31"/>
  </w:num>
  <w:num w:numId="2">
    <w:abstractNumId w:val="18"/>
  </w:num>
  <w:num w:numId="3">
    <w:abstractNumId w:val="1"/>
  </w:num>
  <w:num w:numId="4">
    <w:abstractNumId w:val="3"/>
  </w:num>
  <w:num w:numId="5">
    <w:abstractNumId w:val="30"/>
  </w:num>
  <w:num w:numId="6">
    <w:abstractNumId w:val="39"/>
  </w:num>
  <w:num w:numId="7">
    <w:abstractNumId w:val="32"/>
  </w:num>
  <w:num w:numId="8">
    <w:abstractNumId w:val="22"/>
  </w:num>
  <w:num w:numId="9">
    <w:abstractNumId w:val="17"/>
  </w:num>
  <w:num w:numId="10">
    <w:abstractNumId w:val="12"/>
  </w:num>
  <w:num w:numId="11">
    <w:abstractNumId w:val="7"/>
  </w:num>
  <w:num w:numId="12">
    <w:abstractNumId w:val="20"/>
  </w:num>
  <w:num w:numId="13">
    <w:abstractNumId w:val="5"/>
  </w:num>
  <w:num w:numId="14">
    <w:abstractNumId w:val="15"/>
  </w:num>
  <w:num w:numId="15">
    <w:abstractNumId w:val="37"/>
  </w:num>
  <w:num w:numId="16">
    <w:abstractNumId w:val="14"/>
  </w:num>
  <w:num w:numId="17">
    <w:abstractNumId w:val="19"/>
  </w:num>
  <w:num w:numId="18">
    <w:abstractNumId w:val="23"/>
  </w:num>
  <w:num w:numId="19">
    <w:abstractNumId w:val="24"/>
  </w:num>
  <w:num w:numId="20">
    <w:abstractNumId w:val="28"/>
  </w:num>
  <w:num w:numId="21">
    <w:abstractNumId w:val="36"/>
  </w:num>
  <w:num w:numId="22">
    <w:abstractNumId w:val="0"/>
  </w:num>
  <w:num w:numId="23">
    <w:abstractNumId w:val="27"/>
  </w:num>
  <w:num w:numId="24">
    <w:abstractNumId w:val="29"/>
  </w:num>
  <w:num w:numId="25">
    <w:abstractNumId w:val="11"/>
  </w:num>
  <w:num w:numId="26">
    <w:abstractNumId w:val="6"/>
  </w:num>
  <w:num w:numId="27">
    <w:abstractNumId w:val="25"/>
  </w:num>
  <w:num w:numId="28">
    <w:abstractNumId w:val="2"/>
  </w:num>
  <w:num w:numId="29">
    <w:abstractNumId w:val="4"/>
  </w:num>
  <w:num w:numId="30">
    <w:abstractNumId w:val="9"/>
  </w:num>
  <w:num w:numId="31">
    <w:abstractNumId w:val="26"/>
  </w:num>
  <w:num w:numId="32">
    <w:abstractNumId w:val="21"/>
  </w:num>
  <w:num w:numId="33">
    <w:abstractNumId w:val="33"/>
  </w:num>
  <w:num w:numId="34">
    <w:abstractNumId w:val="38"/>
  </w:num>
  <w:num w:numId="35">
    <w:abstractNumId w:val="8"/>
  </w:num>
  <w:num w:numId="36">
    <w:abstractNumId w:val="10"/>
  </w:num>
  <w:num w:numId="37">
    <w:abstractNumId w:val="34"/>
  </w:num>
  <w:num w:numId="38">
    <w:abstractNumId w:val="16"/>
  </w:num>
  <w:num w:numId="39">
    <w:abstractNumId w:val="3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C3"/>
    <w:rsid w:val="00011E03"/>
    <w:rsid w:val="000164CB"/>
    <w:rsid w:val="000243C0"/>
    <w:rsid w:val="00024CB3"/>
    <w:rsid w:val="00031173"/>
    <w:rsid w:val="00035794"/>
    <w:rsid w:val="00044458"/>
    <w:rsid w:val="00056E72"/>
    <w:rsid w:val="00072CEA"/>
    <w:rsid w:val="00087099"/>
    <w:rsid w:val="00097A21"/>
    <w:rsid w:val="000A6183"/>
    <w:rsid w:val="000B0748"/>
    <w:rsid w:val="000B36B7"/>
    <w:rsid w:val="000C2444"/>
    <w:rsid w:val="000D06E9"/>
    <w:rsid w:val="000E143E"/>
    <w:rsid w:val="000E2AE0"/>
    <w:rsid w:val="000E6312"/>
    <w:rsid w:val="000F168C"/>
    <w:rsid w:val="000F5294"/>
    <w:rsid w:val="00105C10"/>
    <w:rsid w:val="00135836"/>
    <w:rsid w:val="001432C3"/>
    <w:rsid w:val="001508B0"/>
    <w:rsid w:val="00156A62"/>
    <w:rsid w:val="0017730A"/>
    <w:rsid w:val="00180C1F"/>
    <w:rsid w:val="001845D9"/>
    <w:rsid w:val="00185CD5"/>
    <w:rsid w:val="00186D52"/>
    <w:rsid w:val="001A4B9B"/>
    <w:rsid w:val="001A589F"/>
    <w:rsid w:val="001B7D36"/>
    <w:rsid w:val="001C41F8"/>
    <w:rsid w:val="001D14A3"/>
    <w:rsid w:val="0020790E"/>
    <w:rsid w:val="00211BFB"/>
    <w:rsid w:val="00214CF5"/>
    <w:rsid w:val="002158A3"/>
    <w:rsid w:val="00216CDD"/>
    <w:rsid w:val="00224ECA"/>
    <w:rsid w:val="00255880"/>
    <w:rsid w:val="00257CD6"/>
    <w:rsid w:val="002B1544"/>
    <w:rsid w:val="002C0214"/>
    <w:rsid w:val="002C63B3"/>
    <w:rsid w:val="002D3100"/>
    <w:rsid w:val="002D442E"/>
    <w:rsid w:val="002D6D08"/>
    <w:rsid w:val="002E2C2A"/>
    <w:rsid w:val="002E6195"/>
    <w:rsid w:val="002F57E6"/>
    <w:rsid w:val="00315294"/>
    <w:rsid w:val="00316762"/>
    <w:rsid w:val="003202F8"/>
    <w:rsid w:val="003304C2"/>
    <w:rsid w:val="0033171B"/>
    <w:rsid w:val="00337908"/>
    <w:rsid w:val="00352AFB"/>
    <w:rsid w:val="003664C7"/>
    <w:rsid w:val="0039392A"/>
    <w:rsid w:val="003C543B"/>
    <w:rsid w:val="003C79F8"/>
    <w:rsid w:val="00402055"/>
    <w:rsid w:val="00403F86"/>
    <w:rsid w:val="00410E4A"/>
    <w:rsid w:val="00411C5B"/>
    <w:rsid w:val="004235BC"/>
    <w:rsid w:val="0044528F"/>
    <w:rsid w:val="00450AF4"/>
    <w:rsid w:val="0045183C"/>
    <w:rsid w:val="00455D34"/>
    <w:rsid w:val="0047153A"/>
    <w:rsid w:val="004763C1"/>
    <w:rsid w:val="0048273F"/>
    <w:rsid w:val="00486CB3"/>
    <w:rsid w:val="00492932"/>
    <w:rsid w:val="00492E72"/>
    <w:rsid w:val="004A2080"/>
    <w:rsid w:val="004A6A3A"/>
    <w:rsid w:val="004B3977"/>
    <w:rsid w:val="004F346A"/>
    <w:rsid w:val="00500F99"/>
    <w:rsid w:val="00505EF6"/>
    <w:rsid w:val="0051644A"/>
    <w:rsid w:val="00556713"/>
    <w:rsid w:val="00574863"/>
    <w:rsid w:val="0059037D"/>
    <w:rsid w:val="00595A8A"/>
    <w:rsid w:val="005A0B89"/>
    <w:rsid w:val="005A1161"/>
    <w:rsid w:val="005A31F6"/>
    <w:rsid w:val="005B1307"/>
    <w:rsid w:val="005E6AA6"/>
    <w:rsid w:val="00601CA6"/>
    <w:rsid w:val="00617759"/>
    <w:rsid w:val="00620965"/>
    <w:rsid w:val="00631321"/>
    <w:rsid w:val="00646CF1"/>
    <w:rsid w:val="00652951"/>
    <w:rsid w:val="00665247"/>
    <w:rsid w:val="006824A8"/>
    <w:rsid w:val="00690787"/>
    <w:rsid w:val="006A0474"/>
    <w:rsid w:val="006B7F8E"/>
    <w:rsid w:val="006D017F"/>
    <w:rsid w:val="006E2568"/>
    <w:rsid w:val="0070418F"/>
    <w:rsid w:val="00726949"/>
    <w:rsid w:val="00751C53"/>
    <w:rsid w:val="00754B19"/>
    <w:rsid w:val="00761524"/>
    <w:rsid w:val="00762D4D"/>
    <w:rsid w:val="00773A02"/>
    <w:rsid w:val="0077496E"/>
    <w:rsid w:val="007777F5"/>
    <w:rsid w:val="007801C1"/>
    <w:rsid w:val="00784947"/>
    <w:rsid w:val="007B6A0B"/>
    <w:rsid w:val="007C14E1"/>
    <w:rsid w:val="007D7D50"/>
    <w:rsid w:val="00821C78"/>
    <w:rsid w:val="00823D40"/>
    <w:rsid w:val="00823DE3"/>
    <w:rsid w:val="0085449F"/>
    <w:rsid w:val="00854982"/>
    <w:rsid w:val="00872A39"/>
    <w:rsid w:val="0088073F"/>
    <w:rsid w:val="0088122A"/>
    <w:rsid w:val="00881BBA"/>
    <w:rsid w:val="0089239D"/>
    <w:rsid w:val="008A49C3"/>
    <w:rsid w:val="008B09C7"/>
    <w:rsid w:val="008B2522"/>
    <w:rsid w:val="008C3700"/>
    <w:rsid w:val="008D5E5C"/>
    <w:rsid w:val="008E3BFD"/>
    <w:rsid w:val="00910396"/>
    <w:rsid w:val="00912219"/>
    <w:rsid w:val="00915E00"/>
    <w:rsid w:val="00940317"/>
    <w:rsid w:val="00947EB2"/>
    <w:rsid w:val="0098507C"/>
    <w:rsid w:val="009A301A"/>
    <w:rsid w:val="009A590E"/>
    <w:rsid w:val="009E5FF5"/>
    <w:rsid w:val="00A0254C"/>
    <w:rsid w:val="00A06561"/>
    <w:rsid w:val="00A13D13"/>
    <w:rsid w:val="00A23B73"/>
    <w:rsid w:val="00A2410A"/>
    <w:rsid w:val="00A60082"/>
    <w:rsid w:val="00A65FEA"/>
    <w:rsid w:val="00AB4917"/>
    <w:rsid w:val="00AC3F69"/>
    <w:rsid w:val="00AD61D2"/>
    <w:rsid w:val="00AF62E2"/>
    <w:rsid w:val="00B00A61"/>
    <w:rsid w:val="00B03EE0"/>
    <w:rsid w:val="00B0530F"/>
    <w:rsid w:val="00B307D0"/>
    <w:rsid w:val="00B95FCC"/>
    <w:rsid w:val="00B96676"/>
    <w:rsid w:val="00BD1820"/>
    <w:rsid w:val="00BD593D"/>
    <w:rsid w:val="00BE3002"/>
    <w:rsid w:val="00BE4E62"/>
    <w:rsid w:val="00BE5CFD"/>
    <w:rsid w:val="00BE6E27"/>
    <w:rsid w:val="00C053B7"/>
    <w:rsid w:val="00C13B11"/>
    <w:rsid w:val="00C22470"/>
    <w:rsid w:val="00C24234"/>
    <w:rsid w:val="00C2775A"/>
    <w:rsid w:val="00C32396"/>
    <w:rsid w:val="00C37D94"/>
    <w:rsid w:val="00C445C6"/>
    <w:rsid w:val="00C50532"/>
    <w:rsid w:val="00C6254E"/>
    <w:rsid w:val="00C657F7"/>
    <w:rsid w:val="00C82F55"/>
    <w:rsid w:val="00C906E0"/>
    <w:rsid w:val="00C90A58"/>
    <w:rsid w:val="00CA00F3"/>
    <w:rsid w:val="00CC4E34"/>
    <w:rsid w:val="00CD292A"/>
    <w:rsid w:val="00CE1B98"/>
    <w:rsid w:val="00CF4404"/>
    <w:rsid w:val="00CF4CC6"/>
    <w:rsid w:val="00D04985"/>
    <w:rsid w:val="00D22CB7"/>
    <w:rsid w:val="00D37EB9"/>
    <w:rsid w:val="00D42ED7"/>
    <w:rsid w:val="00D45FB0"/>
    <w:rsid w:val="00D6214D"/>
    <w:rsid w:val="00D65B86"/>
    <w:rsid w:val="00D77A9B"/>
    <w:rsid w:val="00DA63DD"/>
    <w:rsid w:val="00DB2E9E"/>
    <w:rsid w:val="00DB39F7"/>
    <w:rsid w:val="00DC5C63"/>
    <w:rsid w:val="00DD63A4"/>
    <w:rsid w:val="00DE21EB"/>
    <w:rsid w:val="00DE6CD4"/>
    <w:rsid w:val="00DF3509"/>
    <w:rsid w:val="00E0574D"/>
    <w:rsid w:val="00E05D30"/>
    <w:rsid w:val="00E23750"/>
    <w:rsid w:val="00E35F32"/>
    <w:rsid w:val="00E375AE"/>
    <w:rsid w:val="00E56869"/>
    <w:rsid w:val="00E70072"/>
    <w:rsid w:val="00E912F5"/>
    <w:rsid w:val="00EC301B"/>
    <w:rsid w:val="00ED5FBC"/>
    <w:rsid w:val="00F03757"/>
    <w:rsid w:val="00F33CA8"/>
    <w:rsid w:val="00F64F2B"/>
    <w:rsid w:val="00F65EC9"/>
    <w:rsid w:val="00F75654"/>
    <w:rsid w:val="00F84771"/>
    <w:rsid w:val="00F96FED"/>
    <w:rsid w:val="00FB3132"/>
    <w:rsid w:val="00FB483D"/>
    <w:rsid w:val="00FB6EB6"/>
    <w:rsid w:val="00FE256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6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pl-PL"/>
    </w:rPr>
  </w:style>
  <w:style w:type="paragraph" w:styleId="1">
    <w:name w:val="heading 1"/>
    <w:basedOn w:val="a"/>
    <w:uiPriority w:val="9"/>
    <w:qFormat/>
    <w:pPr>
      <w:ind w:left="108"/>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1"/>
    <w:qFormat/>
    <w:pPr>
      <w:ind w:left="685" w:hanging="567"/>
    </w:pPr>
  </w:style>
  <w:style w:type="paragraph" w:customStyle="1" w:styleId="TableParagraph">
    <w:name w:val="Table Paragraph"/>
    <w:basedOn w:val="a"/>
    <w:uiPriority w:val="1"/>
    <w:qFormat/>
    <w:pPr>
      <w:ind w:left="103"/>
    </w:pPr>
  </w:style>
  <w:style w:type="paragraph" w:styleId="a5">
    <w:name w:val="Balloon Text"/>
    <w:basedOn w:val="a"/>
    <w:link w:val="Char0"/>
    <w:uiPriority w:val="99"/>
    <w:semiHidden/>
    <w:unhideWhenUsed/>
    <w:rsid w:val="008B2522"/>
    <w:rPr>
      <w:rFonts w:ascii="Tahoma" w:hAnsi="Tahoma" w:cs="Tahoma"/>
      <w:sz w:val="16"/>
      <w:szCs w:val="16"/>
    </w:rPr>
  </w:style>
  <w:style w:type="character" w:customStyle="1" w:styleId="Char0">
    <w:name w:val="풍선 도움말 텍스트 Char"/>
    <w:basedOn w:val="a0"/>
    <w:link w:val="a5"/>
    <w:uiPriority w:val="99"/>
    <w:semiHidden/>
    <w:rsid w:val="008B2522"/>
    <w:rPr>
      <w:rFonts w:ascii="Tahoma" w:eastAsia="Times New Roman" w:hAnsi="Tahoma" w:cs="Tahoma"/>
      <w:sz w:val="16"/>
      <w:szCs w:val="16"/>
    </w:rPr>
  </w:style>
  <w:style w:type="character" w:customStyle="1" w:styleId="tlid-translationtranslation">
    <w:name w:val="tlid-translation translation"/>
    <w:basedOn w:val="a0"/>
    <w:rsid w:val="00652951"/>
  </w:style>
  <w:style w:type="character" w:customStyle="1" w:styleId="Hipercze1">
    <w:name w:val="Hiperłącze1"/>
    <w:rsid w:val="00D45FB0"/>
    <w:rPr>
      <w:color w:val="0000FF"/>
      <w:u w:val="single"/>
    </w:rPr>
  </w:style>
  <w:style w:type="table" w:styleId="a6">
    <w:name w:val="Table Grid"/>
    <w:basedOn w:val="a1"/>
    <w:uiPriority w:val="39"/>
    <w:rsid w:val="00F7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81BBA"/>
    <w:tblPr>
      <w:tblInd w:w="0" w:type="dxa"/>
      <w:tblCellMar>
        <w:top w:w="0" w:type="dxa"/>
        <w:left w:w="0" w:type="dxa"/>
        <w:bottom w:w="0" w:type="dxa"/>
        <w:right w:w="0" w:type="dxa"/>
      </w:tblCellMar>
    </w:tblPr>
  </w:style>
  <w:style w:type="paragraph" w:styleId="a7">
    <w:name w:val="header"/>
    <w:basedOn w:val="a"/>
    <w:link w:val="Char1"/>
    <w:uiPriority w:val="99"/>
    <w:unhideWhenUsed/>
    <w:rsid w:val="00224ECA"/>
    <w:pPr>
      <w:tabs>
        <w:tab w:val="center" w:pos="4513"/>
        <w:tab w:val="right" w:pos="9026"/>
      </w:tabs>
    </w:pPr>
  </w:style>
  <w:style w:type="character" w:customStyle="1" w:styleId="Char1">
    <w:name w:val="머리글 Char"/>
    <w:basedOn w:val="a0"/>
    <w:link w:val="a7"/>
    <w:uiPriority w:val="99"/>
    <w:rsid w:val="00224ECA"/>
    <w:rPr>
      <w:rFonts w:ascii="Times New Roman" w:eastAsia="Times New Roman" w:hAnsi="Times New Roman" w:cs="Times New Roman"/>
    </w:rPr>
  </w:style>
  <w:style w:type="paragraph" w:styleId="a8">
    <w:name w:val="footer"/>
    <w:basedOn w:val="a"/>
    <w:link w:val="Char2"/>
    <w:uiPriority w:val="99"/>
    <w:unhideWhenUsed/>
    <w:rsid w:val="00224ECA"/>
    <w:pPr>
      <w:tabs>
        <w:tab w:val="center" w:pos="4513"/>
        <w:tab w:val="right" w:pos="9026"/>
      </w:tabs>
    </w:pPr>
  </w:style>
  <w:style w:type="character" w:customStyle="1" w:styleId="Char2">
    <w:name w:val="바닥글 Char"/>
    <w:basedOn w:val="a0"/>
    <w:link w:val="a8"/>
    <w:uiPriority w:val="99"/>
    <w:rsid w:val="00224ECA"/>
    <w:rPr>
      <w:rFonts w:ascii="Times New Roman" w:eastAsia="Times New Roman" w:hAnsi="Times New Roman" w:cs="Times New Roman"/>
    </w:rPr>
  </w:style>
  <w:style w:type="character" w:customStyle="1" w:styleId="DoNotTranslateExternal1">
    <w:name w:val="DoNotTranslateExternal1"/>
    <w:qFormat/>
    <w:rsid w:val="00224ECA"/>
    <w:rPr>
      <w:b/>
      <w:noProof/>
      <w:szCs w:val="22"/>
    </w:rPr>
  </w:style>
  <w:style w:type="paragraph" w:styleId="a9">
    <w:name w:val="Revision"/>
    <w:hidden/>
    <w:uiPriority w:val="99"/>
    <w:semiHidden/>
    <w:rsid w:val="00D77A9B"/>
    <w:pPr>
      <w:widowControl/>
      <w:autoSpaceDE/>
      <w:autoSpaceDN/>
    </w:pPr>
    <w:rPr>
      <w:rFonts w:ascii="Times New Roman" w:eastAsia="Times New Roman" w:hAnsi="Times New Roman" w:cs="Times New Roman"/>
    </w:rPr>
  </w:style>
  <w:style w:type="character" w:styleId="aa">
    <w:name w:val="annotation reference"/>
    <w:basedOn w:val="a0"/>
    <w:uiPriority w:val="99"/>
    <w:semiHidden/>
    <w:unhideWhenUsed/>
    <w:rsid w:val="00A60082"/>
    <w:rPr>
      <w:sz w:val="16"/>
      <w:szCs w:val="16"/>
    </w:rPr>
  </w:style>
  <w:style w:type="paragraph" w:styleId="ab">
    <w:name w:val="annotation text"/>
    <w:basedOn w:val="a"/>
    <w:link w:val="Char3"/>
    <w:uiPriority w:val="99"/>
    <w:semiHidden/>
    <w:unhideWhenUsed/>
    <w:rsid w:val="00A60082"/>
    <w:rPr>
      <w:sz w:val="20"/>
      <w:szCs w:val="20"/>
    </w:rPr>
  </w:style>
  <w:style w:type="character" w:customStyle="1" w:styleId="Char3">
    <w:name w:val="메모 텍스트 Char"/>
    <w:basedOn w:val="a0"/>
    <w:link w:val="ab"/>
    <w:uiPriority w:val="99"/>
    <w:semiHidden/>
    <w:rsid w:val="00A60082"/>
    <w:rPr>
      <w:rFonts w:ascii="Times New Roman" w:eastAsia="Times New Roman" w:hAnsi="Times New Roman" w:cs="Times New Roman"/>
      <w:sz w:val="20"/>
      <w:szCs w:val="20"/>
    </w:rPr>
  </w:style>
  <w:style w:type="paragraph" w:styleId="ac">
    <w:name w:val="annotation subject"/>
    <w:basedOn w:val="ab"/>
    <w:next w:val="ab"/>
    <w:link w:val="Char4"/>
    <w:uiPriority w:val="99"/>
    <w:semiHidden/>
    <w:unhideWhenUsed/>
    <w:rsid w:val="00A60082"/>
    <w:rPr>
      <w:b/>
      <w:bCs/>
    </w:rPr>
  </w:style>
  <w:style w:type="character" w:customStyle="1" w:styleId="Char4">
    <w:name w:val="메모 주제 Char"/>
    <w:basedOn w:val="Char3"/>
    <w:link w:val="ac"/>
    <w:uiPriority w:val="99"/>
    <w:semiHidden/>
    <w:rsid w:val="00A60082"/>
    <w:rPr>
      <w:rFonts w:ascii="Times New Roman" w:eastAsia="Times New Roman" w:hAnsi="Times New Roman" w:cs="Times New Roman"/>
      <w:b/>
      <w:bCs/>
      <w:sz w:val="20"/>
      <w:szCs w:val="20"/>
    </w:rPr>
  </w:style>
  <w:style w:type="paragraph" w:customStyle="1" w:styleId="Default">
    <w:name w:val="Default"/>
    <w:rsid w:val="005A31F6"/>
    <w:pPr>
      <w:adjustRightInd w:val="0"/>
    </w:pPr>
    <w:rPr>
      <w:rFonts w:ascii="Times New Roman" w:hAnsi="Times New Roman" w:cs="Times New Roman"/>
      <w:color w:val="000000"/>
      <w:sz w:val="24"/>
      <w:szCs w:val="24"/>
    </w:rPr>
  </w:style>
  <w:style w:type="character" w:customStyle="1" w:styleId="Char">
    <w:name w:val="본문 Char"/>
    <w:basedOn w:val="a0"/>
    <w:link w:val="a3"/>
    <w:uiPriority w:val="1"/>
    <w:rsid w:val="00947EB2"/>
    <w:rPr>
      <w:rFonts w:ascii="Times New Roman" w:eastAsia="Times New Roman" w:hAnsi="Times New Roman" w:cs="Times New Roman"/>
    </w:rPr>
  </w:style>
  <w:style w:type="character" w:styleId="ad">
    <w:name w:val="Hyperlink"/>
    <w:rsid w:val="00024CB3"/>
    <w:rPr>
      <w:color w:val="0000FF"/>
      <w:u w:val="single"/>
    </w:rPr>
  </w:style>
  <w:style w:type="paragraph" w:customStyle="1" w:styleId="TitleA">
    <w:name w:val="Title A"/>
    <w:basedOn w:val="a"/>
    <w:link w:val="TitleAChar"/>
    <w:qFormat/>
    <w:rsid w:val="008B09C7"/>
    <w:pPr>
      <w:widowControl/>
      <w:tabs>
        <w:tab w:val="left" w:pos="567"/>
      </w:tabs>
      <w:autoSpaceDE/>
      <w:autoSpaceDN/>
      <w:jc w:val="center"/>
      <w:outlineLvl w:val="0"/>
    </w:pPr>
    <w:rPr>
      <w:b/>
      <w:szCs w:val="20"/>
      <w:lang w:val="en-GB"/>
    </w:rPr>
  </w:style>
  <w:style w:type="character" w:customStyle="1" w:styleId="TitleAChar">
    <w:name w:val="Title A Char"/>
    <w:basedOn w:val="a0"/>
    <w:link w:val="TitleA"/>
    <w:rsid w:val="008B09C7"/>
    <w:rPr>
      <w:rFonts w:ascii="Times New Roman" w:eastAsia="Times New Roman" w:hAnsi="Times New Roman" w:cs="Times New Roman"/>
      <w:b/>
      <w:szCs w:val="20"/>
      <w:lang w:val="en-GB"/>
    </w:rPr>
  </w:style>
  <w:style w:type="paragraph" w:customStyle="1" w:styleId="TitleB">
    <w:name w:val="Title B"/>
    <w:basedOn w:val="a"/>
    <w:link w:val="TitleBChar"/>
    <w:qFormat/>
    <w:rsid w:val="008B09C7"/>
    <w:pPr>
      <w:widowControl/>
      <w:tabs>
        <w:tab w:val="left" w:pos="567"/>
      </w:tabs>
      <w:autoSpaceDE/>
      <w:autoSpaceDN/>
      <w:ind w:left="567" w:hanging="567"/>
    </w:pPr>
    <w:rPr>
      <w:b/>
      <w:noProof/>
      <w:lang w:val="en-GB"/>
    </w:rPr>
  </w:style>
  <w:style w:type="character" w:customStyle="1" w:styleId="TitleBChar">
    <w:name w:val="Title B Char"/>
    <w:basedOn w:val="a0"/>
    <w:link w:val="TitleB"/>
    <w:rsid w:val="008B09C7"/>
    <w:rPr>
      <w:rFonts w:ascii="Times New Roman" w:eastAsia="Times New Roman" w:hAnsi="Times New Roman" w:cs="Times New Roman"/>
      <w:b/>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3.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6.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ema.europa.eu/" TargetMode="External"/><Relationship Id="rId27" Type="http://schemas.openxmlformats.org/officeDocument/2006/relationships/image" Target="media/image15.png"/><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EMADOC-1700519818-2290068</_dlc_DocId>
    <_dlc_DocIdUrl xmlns="a034c160-bfb7-45f5-8632-2eb7e0508071">
      <Url>https://euema.sharepoint.com/sites/CRM/_layouts/15/DocIdRedir.aspx?ID=EMADOC-1700519818-2290068</Url>
      <Description>EMADOC-1700519818-2290068</Description>
    </_dlc_DocIdUrl>
  </documentManagement>
</p:properties>
</file>

<file path=customXml/itemProps1.xml><?xml version="1.0" encoding="utf-8"?>
<ds:datastoreItem xmlns:ds="http://schemas.openxmlformats.org/officeDocument/2006/customXml" ds:itemID="{D8F44877-2705-4EDF-8A0A-1EFEE0F30371}">
  <ds:schemaRefs>
    <ds:schemaRef ds:uri="http://schemas.openxmlformats.org/officeDocument/2006/bibliography"/>
  </ds:schemaRefs>
</ds:datastoreItem>
</file>

<file path=customXml/itemProps2.xml><?xml version="1.0" encoding="utf-8"?>
<ds:datastoreItem xmlns:ds="http://schemas.openxmlformats.org/officeDocument/2006/customXml" ds:itemID="{64DC32AD-ACD8-4231-8AB8-6FBA15EAEA9C}"/>
</file>

<file path=customXml/itemProps3.xml><?xml version="1.0" encoding="utf-8"?>
<ds:datastoreItem xmlns:ds="http://schemas.openxmlformats.org/officeDocument/2006/customXml" ds:itemID="{6EBB248D-4AC7-47CA-B969-5F87F0DB9070}"/>
</file>

<file path=customXml/itemProps4.xml><?xml version="1.0" encoding="utf-8"?>
<ds:datastoreItem xmlns:ds="http://schemas.openxmlformats.org/officeDocument/2006/customXml" ds:itemID="{A0BBEEA7-D1CC-4076-9901-31FFB4F9145F}"/>
</file>

<file path=customXml/itemProps5.xml><?xml version="1.0" encoding="utf-8"?>
<ds:datastoreItem xmlns:ds="http://schemas.openxmlformats.org/officeDocument/2006/customXml" ds:itemID="{C434EFA4-2715-4438-B355-D327B549539C}"/>
</file>

<file path=docProps/app.xml><?xml version="1.0" encoding="utf-8"?>
<Properties xmlns="http://schemas.openxmlformats.org/officeDocument/2006/extended-properties" xmlns:vt="http://schemas.openxmlformats.org/officeDocument/2006/docPropsVTypes">
  <Template>Normal.dotm</Template>
  <TotalTime>0</TotalTime>
  <Pages>49</Pages>
  <Words>14020</Words>
  <Characters>79920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2022-11-14T09:33:00Z</dcterms:created>
  <dcterms:modified xsi:type="dcterms:W3CDTF">2025-06-12T07:32:00Z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7c870fad-6d29-4c94-8834-deb6c52ed33d</vt:lpwstr>
  </property>
</Properties>
</file>